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5EE4F" w14:textId="1189306B" w:rsidR="114A30F8" w:rsidRDefault="00326AA5" w:rsidP="00AB2B2F">
      <w:pPr>
        <w:pStyle w:val="IPPHeadSection"/>
        <w:jc w:val="center"/>
      </w:pPr>
      <w:r>
        <w:t>Quer</w:t>
      </w:r>
      <w:r w:rsidR="114A30F8">
        <w:t>y regarding the rejected submission on the Heat treatment of wood chips (2017-024)</w:t>
      </w:r>
    </w:p>
    <w:p w14:paraId="195C3FA5" w14:textId="456DFD2C" w:rsidR="114A30F8" w:rsidRPr="00AB2B2F" w:rsidRDefault="114A30F8" w:rsidP="00AB2B2F">
      <w:pPr>
        <w:jc w:val="center"/>
        <w:rPr>
          <w:b/>
          <w:i/>
        </w:rPr>
      </w:pPr>
      <w:r w:rsidRPr="00AB2B2F">
        <w:rPr>
          <w:b/>
          <w:i/>
        </w:rPr>
        <w:t xml:space="preserve">(Prepared by Mr Michael </w:t>
      </w:r>
      <w:proofErr w:type="spellStart"/>
      <w:r w:rsidRPr="00AB2B2F">
        <w:rPr>
          <w:b/>
          <w:i/>
        </w:rPr>
        <w:t>Ormsby</w:t>
      </w:r>
      <w:proofErr w:type="spellEnd"/>
      <w:r w:rsidRPr="00AB2B2F">
        <w:rPr>
          <w:b/>
          <w:i/>
        </w:rPr>
        <w:t>)</w:t>
      </w:r>
    </w:p>
    <w:p w14:paraId="6C2AEDF2" w14:textId="508E8A73" w:rsidR="114A30F8" w:rsidRDefault="114A30F8" w:rsidP="114A30F8"/>
    <w:p w14:paraId="0975E6D8" w14:textId="6B60AA68" w:rsidR="114A30F8" w:rsidRDefault="114A30F8" w:rsidP="00AB2B2F">
      <w:pPr>
        <w:pStyle w:val="IPPHeading1"/>
      </w:pPr>
      <w:r w:rsidRPr="114A30F8">
        <w:t>Background</w:t>
      </w:r>
    </w:p>
    <w:p w14:paraId="7046302F" w14:textId="634B912C" w:rsidR="114A30F8" w:rsidRDefault="114A30F8" w:rsidP="00AB2B2F">
      <w:pPr>
        <w:pStyle w:val="IPPParagraphnumbering"/>
      </w:pPr>
      <w:proofErr w:type="gramStart"/>
      <w:r>
        <w:t>The proposal was submitted in 2017 by Belgian NPPO</w:t>
      </w:r>
      <w:proofErr w:type="gramEnd"/>
      <w:r>
        <w:t xml:space="preserve">. </w:t>
      </w:r>
      <w:proofErr w:type="gramStart"/>
      <w:r>
        <w:t>The TPPT reviewed the submission at their 2017 meeting in Vienna</w:t>
      </w:r>
      <w:r w:rsidRPr="114A30F8">
        <w:rPr>
          <w:rStyle w:val="FootnoteReference"/>
        </w:rPr>
        <w:footnoteReference w:id="1"/>
      </w:r>
      <w:r>
        <w:t xml:space="preserve"> and agreed that although the submission described a schedule of 56o C for 30 minutes, which is the same as the treatment option for wood packaging material in ISPM 15 (Regulation of wood packaging material in international trade) it was not focused on a treatment schedule, but rather on a heat treatment method and the equipment to conduct it with.</w:t>
      </w:r>
      <w:proofErr w:type="gramEnd"/>
      <w:r>
        <w:t xml:space="preserve"> The submission described equipment that mixes the chips to achieve a homogenous heat distribution during the treatment. The TPPT agreed that the evaluation of such equipment is outside the scope of the TPPT.</w:t>
      </w:r>
    </w:p>
    <w:p w14:paraId="413CD48D" w14:textId="36811CED" w:rsidR="114A30F8" w:rsidRDefault="114A30F8" w:rsidP="0083224A">
      <w:pPr>
        <w:pStyle w:val="IPPParagraphnumbering"/>
      </w:pPr>
      <w:r>
        <w:t xml:space="preserve">The Lead suggested that the TPPT </w:t>
      </w:r>
      <w:proofErr w:type="gramStart"/>
      <w:r>
        <w:t>may</w:t>
      </w:r>
      <w:proofErr w:type="gramEnd"/>
      <w:r>
        <w:t xml:space="preserve"> consider the treatment schedule to be included as an annex to ISPM 28 based on additional supporting data as wood chips is an economically important commodity and IPPC contracting parties would benefit from having an internationally adopted treatment for it. </w:t>
      </w:r>
      <w:proofErr w:type="gramStart"/>
      <w:r>
        <w:t>Thus</w:t>
      </w:r>
      <w:proofErr w:type="gramEnd"/>
      <w:r>
        <w:t xml:space="preserve"> the treatment was added to the TPPT </w:t>
      </w:r>
      <w:proofErr w:type="spellStart"/>
      <w:r>
        <w:t>workprogramme</w:t>
      </w:r>
      <w:proofErr w:type="spellEnd"/>
      <w:r>
        <w:t xml:space="preserve"> noting that further assessment on the efficacy data is needed.</w:t>
      </w:r>
    </w:p>
    <w:p w14:paraId="1357CE28" w14:textId="20C53C39" w:rsidR="114A30F8" w:rsidRDefault="114A30F8" w:rsidP="0083224A">
      <w:pPr>
        <w:pStyle w:val="IPPParagraphnumbering"/>
      </w:pPr>
      <w:r>
        <w:t>In 2018 at the TPPT meeting</w:t>
      </w:r>
      <w:r w:rsidRPr="114A30F8">
        <w:rPr>
          <w:rStyle w:val="FootnoteReference"/>
        </w:rPr>
        <w:footnoteReference w:id="2"/>
      </w:r>
      <w:r>
        <w:t xml:space="preserve"> in Shenzhen the TPPT recognized that no additional information was available from the IFQRG or otherwise to support establishing the efficacy according to the ISPM 28 criteria, thus recommended the removal from the work programme. </w:t>
      </w:r>
    </w:p>
    <w:p w14:paraId="4F43F067" w14:textId="7D57B57F" w:rsidR="114A30F8" w:rsidRDefault="114A30F8" w:rsidP="0083224A">
      <w:pPr>
        <w:pStyle w:val="IPPParagraphnumbering"/>
      </w:pPr>
      <w:r>
        <w:t xml:space="preserve">In 2019 </w:t>
      </w:r>
      <w:proofErr w:type="gramStart"/>
      <w:r>
        <w:t>October</w:t>
      </w:r>
      <w:proofErr w:type="gramEnd"/>
      <w:r>
        <w:t xml:space="preserve"> the submitter of the PT Heat treatment of wood chips (2017-024) contacted the Secretariat to provide additional information as presented below in the first two columns. The Treatment Lead reviewed the provided information and provided comments in response.</w:t>
      </w:r>
    </w:p>
    <w:p w14:paraId="518797E5" w14:textId="60951B3A" w:rsidR="114A30F8" w:rsidRDefault="114A30F8" w:rsidP="0083224A">
      <w:pPr>
        <w:pStyle w:val="IPPHeading1"/>
      </w:pPr>
      <w:r w:rsidRPr="114A30F8">
        <w:t>Recommendation</w:t>
      </w:r>
    </w:p>
    <w:p w14:paraId="616B8EFD" w14:textId="4FF582C9" w:rsidR="114A30F8" w:rsidRDefault="114A30F8" w:rsidP="0083224A">
      <w:pPr>
        <w:pStyle w:val="IPPParagraphnumbering"/>
      </w:pPr>
      <w:r>
        <w:t xml:space="preserve">The TPPT is </w:t>
      </w:r>
    </w:p>
    <w:p w14:paraId="48AF8039" w14:textId="309D37C5" w:rsidR="114A30F8" w:rsidRDefault="114A30F8" w:rsidP="114A30F8">
      <w:r>
        <w:t xml:space="preserve">(1) </w:t>
      </w:r>
      <w:proofErr w:type="gramStart"/>
      <w:r w:rsidRPr="0083224A">
        <w:rPr>
          <w:i/>
        </w:rPr>
        <w:t>invited</w:t>
      </w:r>
      <w:proofErr w:type="gramEnd"/>
      <w:r>
        <w:t xml:space="preserve"> to consider the submitters comments and consider if these would merit reconsidering the submission (and if not, what kind of information would be needed).</w:t>
      </w:r>
    </w:p>
    <w:p w14:paraId="6C80BE2F" w14:textId="56431C2A" w:rsidR="114A30F8" w:rsidRDefault="114A30F8">
      <w:r>
        <w:br w:type="page"/>
      </w:r>
    </w:p>
    <w:tbl>
      <w:tblPr>
        <w:tblStyle w:val="TableGrid"/>
        <w:tblW w:w="0" w:type="auto"/>
        <w:tblLook w:val="04A0" w:firstRow="1" w:lastRow="0" w:firstColumn="1" w:lastColumn="0" w:noHBand="0" w:noVBand="1"/>
      </w:tblPr>
      <w:tblGrid>
        <w:gridCol w:w="2058"/>
        <w:gridCol w:w="3118"/>
        <w:gridCol w:w="3840"/>
      </w:tblGrid>
      <w:tr w:rsidR="114A30F8" w14:paraId="2862A5A9" w14:textId="77777777" w:rsidTr="0083224A">
        <w:tc>
          <w:tcPr>
            <w:tcW w:w="2058" w:type="dxa"/>
          </w:tcPr>
          <w:p w14:paraId="3A5AAC56" w14:textId="751A3916" w:rsidR="114A30F8" w:rsidRPr="0083224A" w:rsidRDefault="114A30F8" w:rsidP="0083224A">
            <w:pPr>
              <w:pStyle w:val="IPPArialTable"/>
              <w:rPr>
                <w:b/>
              </w:rPr>
            </w:pPr>
            <w:r w:rsidRPr="0083224A">
              <w:rPr>
                <w:b/>
              </w:rPr>
              <w:lastRenderedPageBreak/>
              <w:t>Submitter quote of the TPPT report</w:t>
            </w:r>
          </w:p>
        </w:tc>
        <w:tc>
          <w:tcPr>
            <w:tcW w:w="3118" w:type="dxa"/>
          </w:tcPr>
          <w:p w14:paraId="4D3BCA94" w14:textId="566A2C54" w:rsidR="114A30F8" w:rsidRPr="0083224A" w:rsidRDefault="114A30F8" w:rsidP="0083224A">
            <w:pPr>
              <w:pStyle w:val="IPPArialTable"/>
              <w:rPr>
                <w:b/>
              </w:rPr>
            </w:pPr>
            <w:r w:rsidRPr="0083224A">
              <w:rPr>
                <w:b/>
              </w:rPr>
              <w:t>Submitters comment</w:t>
            </w:r>
          </w:p>
        </w:tc>
        <w:tc>
          <w:tcPr>
            <w:tcW w:w="3840" w:type="dxa"/>
          </w:tcPr>
          <w:p w14:paraId="13030F1A" w14:textId="0AF224EA" w:rsidR="114A30F8" w:rsidRPr="0083224A" w:rsidRDefault="114A30F8" w:rsidP="0083224A">
            <w:pPr>
              <w:pStyle w:val="IPPArialTable"/>
              <w:rPr>
                <w:b/>
              </w:rPr>
            </w:pPr>
            <w:r w:rsidRPr="0083224A">
              <w:rPr>
                <w:b/>
              </w:rPr>
              <w:t>Treatment Leads comment</w:t>
            </w:r>
          </w:p>
        </w:tc>
      </w:tr>
      <w:tr w:rsidR="114A30F8" w14:paraId="3FA0F318" w14:textId="77777777" w:rsidTr="0083224A">
        <w:tc>
          <w:tcPr>
            <w:tcW w:w="2058" w:type="dxa"/>
          </w:tcPr>
          <w:p w14:paraId="7BF202BC" w14:textId="77777777" w:rsidR="114A30F8" w:rsidRDefault="114A30F8" w:rsidP="0083224A">
            <w:pPr>
              <w:pStyle w:val="IPPArialTable"/>
            </w:pPr>
            <w:r w:rsidRPr="114A30F8">
              <w:rPr>
                <w:i/>
                <w:iCs/>
              </w:rPr>
              <w:t xml:space="preserve">[132] </w:t>
            </w:r>
            <w:r w:rsidRPr="114A30F8">
              <w:t>The Lead […] Mr Michael ORMSBY pointed out that the submission was not focused on a treatment schedule, but rather on a heat treatment method and the equipment to conduct it with.</w:t>
            </w:r>
          </w:p>
        </w:tc>
        <w:tc>
          <w:tcPr>
            <w:tcW w:w="3118" w:type="dxa"/>
          </w:tcPr>
          <w:p w14:paraId="7A4713AF" w14:textId="77777777" w:rsidR="114A30F8" w:rsidRDefault="114A30F8" w:rsidP="0083224A">
            <w:pPr>
              <w:pStyle w:val="IPPArialTable"/>
            </w:pPr>
            <w:r w:rsidRPr="114A30F8">
              <w:t xml:space="preserve">Indeed the submission does not focus on a treatment schedule since the one adopted in our trials (i.e. 56°C during 30 minutes) is recognized since nearly 20 years by the IPPC contracting parties as an efficient temperature/time combination to eradicate the most important pests vectored by another wood commodity, namely Wood Packaging Material (WPM). This treatment schedule </w:t>
            </w:r>
            <w:proofErr w:type="gramStart"/>
            <w:r w:rsidRPr="114A30F8">
              <w:t>is also approved</w:t>
            </w:r>
            <w:proofErr w:type="gramEnd"/>
            <w:r w:rsidRPr="114A30F8">
              <w:t xml:space="preserve"> in the Directive of the European Council 2000/29/CE of May 8th 2000 (Annex IV.A.I, 1.2). </w:t>
            </w:r>
            <w:proofErr w:type="gramStart"/>
            <w:r w:rsidRPr="114A30F8">
              <w:t>Hence</w:t>
            </w:r>
            <w:proofErr w:type="gramEnd"/>
            <w:r w:rsidRPr="114A30F8">
              <w:t xml:space="preserve"> we considered it would have been useless to try to re-demonstrate on a large sample of organisms the efficacy of this treatment schedule (that is why the sample is “not very large but large enough”). On the opposite, taking into account the particularities of wood chips, it </w:t>
            </w:r>
            <w:proofErr w:type="gramStart"/>
            <w:r w:rsidRPr="114A30F8">
              <w:t>was needed</w:t>
            </w:r>
            <w:proofErr w:type="gramEnd"/>
            <w:r w:rsidRPr="114A30F8">
              <w:t xml:space="preserve"> to comprehensively describe the Method and the equipment used to apply the treatment (see next line of the Table). It </w:t>
            </w:r>
            <w:proofErr w:type="gramStart"/>
            <w:r w:rsidRPr="114A30F8">
              <w:t>should also be noted</w:t>
            </w:r>
            <w:proofErr w:type="gramEnd"/>
            <w:r w:rsidRPr="114A30F8">
              <w:t xml:space="preserve"> that ISPM15 Annex 1 also provides such kind of technical information.</w:t>
            </w:r>
          </w:p>
        </w:tc>
        <w:tc>
          <w:tcPr>
            <w:tcW w:w="3840" w:type="dxa"/>
          </w:tcPr>
          <w:p w14:paraId="1E92F374" w14:textId="77777777" w:rsidR="114A30F8" w:rsidRDefault="114A30F8" w:rsidP="0083224A">
            <w:pPr>
              <w:pStyle w:val="IPPArialTable"/>
            </w:pPr>
            <w:r w:rsidRPr="114A30F8">
              <w:t xml:space="preserve">We </w:t>
            </w:r>
            <w:proofErr w:type="gramStart"/>
            <w:r w:rsidRPr="114A30F8">
              <w:t>are in agreement</w:t>
            </w:r>
            <w:proofErr w:type="gramEnd"/>
            <w:r w:rsidRPr="114A30F8">
              <w:t xml:space="preserve">.  The submitter suggests that aspects of the operational aspects of the treatment (the “methods”) </w:t>
            </w:r>
            <w:proofErr w:type="gramStart"/>
            <w:r w:rsidRPr="114A30F8">
              <w:t>could be added</w:t>
            </w:r>
            <w:proofErr w:type="gramEnd"/>
            <w:r w:rsidRPr="114A30F8">
              <w:t xml:space="preserve"> to ISPM 15 Annex 1 to ensure adequate guidance is provided for any treatment of wood chips used as packaging material.  This may be true, however this is also outside the scope of the TPPT (treatment schedules under ISPM 28 have to date not contained this operational guidance).</w:t>
            </w:r>
          </w:p>
        </w:tc>
      </w:tr>
      <w:tr w:rsidR="114A30F8" w14:paraId="7E90F674" w14:textId="77777777" w:rsidTr="0083224A">
        <w:tc>
          <w:tcPr>
            <w:tcW w:w="2058" w:type="dxa"/>
          </w:tcPr>
          <w:p w14:paraId="239369ED" w14:textId="77777777" w:rsidR="114A30F8" w:rsidRDefault="114A30F8" w:rsidP="0083224A">
            <w:pPr>
              <w:pStyle w:val="IPPArialTable"/>
            </w:pPr>
            <w:r w:rsidRPr="114A30F8">
              <w:rPr>
                <w:i/>
                <w:iCs/>
              </w:rPr>
              <w:t xml:space="preserve">[133a] </w:t>
            </w:r>
            <w:r w:rsidRPr="114A30F8">
              <w:t>The Lead mentioned that the submission described equipment that mixes the chips to achieve a homogenous heat distribution during the treatment. The evaluation of such equipment is outside the scope of the TPPT.</w:t>
            </w:r>
          </w:p>
          <w:p w14:paraId="1CE40305" w14:textId="77777777" w:rsidR="114A30F8" w:rsidRDefault="114A30F8" w:rsidP="0083224A">
            <w:pPr>
              <w:pStyle w:val="IPPArialTable"/>
            </w:pPr>
            <w:r w:rsidRPr="114A30F8">
              <w:rPr>
                <w:i/>
                <w:iCs/>
              </w:rPr>
              <w:t xml:space="preserve">[134] </w:t>
            </w:r>
            <w:r w:rsidRPr="114A30F8">
              <w:t xml:space="preserve">It </w:t>
            </w:r>
            <w:proofErr w:type="gramStart"/>
            <w:r w:rsidRPr="114A30F8">
              <w:t>was clarified</w:t>
            </w:r>
            <w:proofErr w:type="gramEnd"/>
            <w:r w:rsidRPr="114A30F8">
              <w:t xml:space="preserve"> that the required temperature can be achieved without using the equipment described in the submission.</w:t>
            </w:r>
          </w:p>
          <w:p w14:paraId="1D982D7C" w14:textId="77777777" w:rsidR="114A30F8" w:rsidRDefault="114A30F8" w:rsidP="0083224A">
            <w:pPr>
              <w:pStyle w:val="IPPArialTable"/>
            </w:pPr>
            <w:r w:rsidRPr="114A30F8">
              <w:rPr>
                <w:i/>
                <w:iCs/>
              </w:rPr>
              <w:t xml:space="preserve">[141] </w:t>
            </w:r>
            <w:r w:rsidRPr="114A30F8">
              <w:t>[…] The TPPT stressed that the evaluation of the equipment to heat wood chips is outside the scope of the TPPT but the treatment schedule in the submission is being considered to be recommended for inclusion in the work program.</w:t>
            </w:r>
          </w:p>
        </w:tc>
        <w:tc>
          <w:tcPr>
            <w:tcW w:w="3118" w:type="dxa"/>
          </w:tcPr>
          <w:p w14:paraId="5D18D4E1" w14:textId="77777777" w:rsidR="114A30F8" w:rsidRDefault="114A30F8" w:rsidP="0083224A">
            <w:pPr>
              <w:pStyle w:val="IPPArialTable"/>
            </w:pPr>
            <w:r w:rsidRPr="114A30F8">
              <w:t xml:space="preserve">We are aware that </w:t>
            </w:r>
            <w:proofErr w:type="gramStart"/>
            <w:r w:rsidRPr="114A30F8">
              <w:t>it’s</w:t>
            </w:r>
            <w:proofErr w:type="gramEnd"/>
            <w:r w:rsidRPr="114A30F8">
              <w:t xml:space="preserve"> outside the scope of TPPT to evaluate the equipment we used; such an evaluation was besides neither our aim. However, any scientific report must describe conspicuously the Materials and Methods. Since this Material (namely the oven) is uncommon, we carefully described it.</w:t>
            </w:r>
          </w:p>
          <w:p w14:paraId="765A2354" w14:textId="77777777" w:rsidR="114A30F8" w:rsidRDefault="114A30F8" w:rsidP="0083224A">
            <w:pPr>
              <w:pStyle w:val="IPPArialTable"/>
            </w:pPr>
            <w:r w:rsidRPr="114A30F8">
              <w:t xml:space="preserve">Moreover, it should be observed that a treatment </w:t>
            </w:r>
            <w:proofErr w:type="gramStart"/>
            <w:r w:rsidRPr="114A30F8">
              <w:t>method which can be applied to a given wooden product</w:t>
            </w:r>
            <w:proofErr w:type="gramEnd"/>
            <w:r w:rsidRPr="114A30F8">
              <w:t xml:space="preserve"> cannot necessarily be applied to another wooden product. In other words, the efficacy of a given treatment schedule does not imply the possibility to apply the same treatment method to all forms of wood (ISPM39, 2017). So, if hundreds or even thousands of pallets can be piled in a closed chamber and heated until they reach 56°C during 30min (in compliance with ISPM15), the same process cannot be applied with the same material to chips batches. In that way, it was also very important to describe the treatment method (i.e. the process) which, conversely to other method, </w:t>
            </w:r>
            <w:proofErr w:type="gramStart"/>
            <w:r w:rsidRPr="114A30F8">
              <w:t>can be applied</w:t>
            </w:r>
            <w:proofErr w:type="gramEnd"/>
            <w:r w:rsidRPr="114A30F8">
              <w:t xml:space="preserve"> on a large industrial scale.</w:t>
            </w:r>
          </w:p>
          <w:p w14:paraId="01246B21" w14:textId="77777777" w:rsidR="114A30F8" w:rsidRDefault="114A30F8" w:rsidP="0083224A">
            <w:pPr>
              <w:pStyle w:val="IPPArialTable"/>
            </w:pPr>
            <w:r w:rsidRPr="114A30F8">
              <w:lastRenderedPageBreak/>
              <w:t xml:space="preserve">So even if the oven we used is not the only one able to heat wood chips, and even if the method of treatment is also one amongst others, the specificities of wood chips (particle size, air permeability, specific surface, …) justify to comprehensively describe the (treatment) Material and (the treatment) Method. We </w:t>
            </w:r>
            <w:proofErr w:type="gramStart"/>
            <w:r w:rsidRPr="114A30F8">
              <w:t>don’t</w:t>
            </w:r>
            <w:proofErr w:type="gramEnd"/>
            <w:r w:rsidRPr="114A30F8">
              <w:t xml:space="preserve"> think this can be considered as a weakness of our submission.</w:t>
            </w:r>
          </w:p>
          <w:p w14:paraId="572E89C7" w14:textId="77777777" w:rsidR="114A30F8" w:rsidRDefault="114A30F8" w:rsidP="0083224A">
            <w:pPr>
              <w:pStyle w:val="IPPArialTable"/>
            </w:pPr>
            <w:r w:rsidRPr="114A30F8">
              <w:t xml:space="preserve">We will end by reasoning with the absurd and pointing out that we could have demonstrated in the Lab the efficacy of a given treatment schedule (let's imagine 80°C for 80 minutes). </w:t>
            </w:r>
            <w:proofErr w:type="gramStart"/>
            <w:r w:rsidRPr="114A30F8">
              <w:t>Without information on the possibility to apply this treatment in the Industry (possibility to apply the treatment to the commodity under consideration, existence of the equipment to conduct the treatment, costs linked to the treatment, …), such a proposal would, in our opinion, have been less interesting than the one we submitted (despite indeed we emphasised equally the material and method than the treatment schedule itself).</w:t>
            </w:r>
            <w:proofErr w:type="gramEnd"/>
          </w:p>
        </w:tc>
        <w:tc>
          <w:tcPr>
            <w:tcW w:w="3840" w:type="dxa"/>
          </w:tcPr>
          <w:p w14:paraId="7B4D27B8" w14:textId="77777777" w:rsidR="114A30F8" w:rsidRDefault="114A30F8" w:rsidP="0083224A">
            <w:pPr>
              <w:pStyle w:val="IPPArialTable"/>
            </w:pPr>
            <w:r w:rsidRPr="114A30F8">
              <w:lastRenderedPageBreak/>
              <w:t xml:space="preserve">The confusion seems to be around the different roles of those involved in approving treatments.  Under ISPM </w:t>
            </w:r>
            <w:proofErr w:type="gramStart"/>
            <w:r w:rsidRPr="114A30F8">
              <w:t>28</w:t>
            </w:r>
            <w:proofErr w:type="gramEnd"/>
            <w:r w:rsidRPr="114A30F8">
              <w:t xml:space="preserve"> the IPPC approves treatment schedules e.g. the physical/chemical/environmental conditions required to kill/manage a pest or pests.  Approval of the method used to achieve those physical/chemical/environmental conditions is the role of the NPPO.  The submission provides details on one particular method/system to achieve a particular condition (56°C/30min).  It is up to NPPOs to decide if they accept that this particular method/system provides adequate assurances that the particular condition (56°C/30min) </w:t>
            </w:r>
            <w:proofErr w:type="gramStart"/>
            <w:r w:rsidRPr="114A30F8">
              <w:t>is achieved</w:t>
            </w:r>
            <w:proofErr w:type="gramEnd"/>
            <w:r w:rsidRPr="114A30F8">
              <w:t>.</w:t>
            </w:r>
          </w:p>
        </w:tc>
      </w:tr>
      <w:tr w:rsidR="114A30F8" w14:paraId="6C659395" w14:textId="77777777" w:rsidTr="0083224A">
        <w:tc>
          <w:tcPr>
            <w:tcW w:w="2058" w:type="dxa"/>
          </w:tcPr>
          <w:p w14:paraId="376F09E2" w14:textId="77777777" w:rsidR="114A30F8" w:rsidRDefault="114A30F8" w:rsidP="0083224A">
            <w:pPr>
              <w:pStyle w:val="IPPArialTable"/>
            </w:pPr>
            <w:r w:rsidRPr="114A30F8">
              <w:rPr>
                <w:i/>
                <w:iCs/>
              </w:rPr>
              <w:t xml:space="preserve">[133b] </w:t>
            </w:r>
            <w:r w:rsidRPr="114A30F8">
              <w:t>It was stressed that wood chip is not a wood packaging material but a raw wood commodity resulting from the mechanical processing of wood as described in ISPM 39 (</w:t>
            </w:r>
            <w:r w:rsidRPr="114A30F8">
              <w:rPr>
                <w:i/>
                <w:iCs/>
              </w:rPr>
              <w:t>International movement of</w:t>
            </w:r>
            <w:r w:rsidRPr="114A30F8">
              <w:t xml:space="preserve"> </w:t>
            </w:r>
            <w:r w:rsidRPr="114A30F8">
              <w:rPr>
                <w:i/>
                <w:iCs/>
              </w:rPr>
              <w:t>wood</w:t>
            </w:r>
            <w:r w:rsidRPr="114A30F8">
              <w:t>).</w:t>
            </w:r>
          </w:p>
        </w:tc>
        <w:tc>
          <w:tcPr>
            <w:tcW w:w="3118" w:type="dxa"/>
          </w:tcPr>
          <w:p w14:paraId="36904FD9" w14:textId="77777777" w:rsidR="114A30F8" w:rsidRDefault="114A30F8" w:rsidP="0083224A">
            <w:pPr>
              <w:pStyle w:val="IPPArialTable"/>
            </w:pPr>
            <w:r w:rsidRPr="114A30F8">
              <w:t>As you can see in the references of our submission, we have been working on the PT of wood packaging material (WPM), as well as on the PT of chips. We are thus aware of the differences existing between both materials. These differences may induce:</w:t>
            </w:r>
          </w:p>
          <w:p w14:paraId="1C8DBAC4" w14:textId="77777777" w:rsidR="114A30F8" w:rsidRDefault="114A30F8" w:rsidP="0083224A">
            <w:pPr>
              <w:pStyle w:val="IPPArialTable"/>
            </w:pPr>
            <w:r w:rsidRPr="114A30F8">
              <w:t>A. Differences in the material and method that can be used to treat these commodities, and</w:t>
            </w:r>
          </w:p>
          <w:p w14:paraId="491DDDB4" w14:textId="77777777" w:rsidR="114A30F8" w:rsidRDefault="114A30F8" w:rsidP="0083224A">
            <w:pPr>
              <w:pStyle w:val="IPPArialTable"/>
            </w:pPr>
            <w:r w:rsidRPr="114A30F8">
              <w:t>B. Differences in the pests they may harbour.</w:t>
            </w:r>
          </w:p>
          <w:p w14:paraId="5BE8DAF6" w14:textId="77777777" w:rsidR="114A30F8" w:rsidRDefault="114A30F8" w:rsidP="0083224A">
            <w:pPr>
              <w:pStyle w:val="IPPArialTable"/>
            </w:pPr>
            <w:r w:rsidRPr="114A30F8">
              <w:t xml:space="preserve">Regarding A., we explained in the previous line of the Table the interest of carefully describing the </w:t>
            </w:r>
            <w:proofErr w:type="gramStart"/>
            <w:r w:rsidRPr="114A30F8">
              <w:t>oven which</w:t>
            </w:r>
            <w:proofErr w:type="gramEnd"/>
            <w:r w:rsidRPr="114A30F8">
              <w:t xml:space="preserve"> was used (as well as the treatment process). Regarding B., see answer to [136] to [140].</w:t>
            </w:r>
          </w:p>
        </w:tc>
        <w:tc>
          <w:tcPr>
            <w:tcW w:w="3840" w:type="dxa"/>
          </w:tcPr>
          <w:p w14:paraId="206F14C1" w14:textId="77777777" w:rsidR="114A30F8" w:rsidRDefault="114A30F8" w:rsidP="0083224A">
            <w:pPr>
              <w:pStyle w:val="IPPArialTable"/>
            </w:pPr>
            <w:r w:rsidRPr="114A30F8">
              <w:t>Okay.</w:t>
            </w:r>
          </w:p>
        </w:tc>
      </w:tr>
      <w:tr w:rsidR="114A30F8" w14:paraId="5B8D5DE7" w14:textId="77777777" w:rsidTr="0083224A">
        <w:tc>
          <w:tcPr>
            <w:tcW w:w="2058" w:type="dxa"/>
          </w:tcPr>
          <w:p w14:paraId="681F856D" w14:textId="77777777" w:rsidR="114A30F8" w:rsidRDefault="114A30F8" w:rsidP="0083224A">
            <w:pPr>
              <w:pStyle w:val="IPPArialTable"/>
            </w:pPr>
            <w:r w:rsidRPr="114A30F8">
              <w:rPr>
                <w:i/>
                <w:iCs/>
              </w:rPr>
              <w:t xml:space="preserve">[134] </w:t>
            </w:r>
            <w:r w:rsidRPr="114A30F8">
              <w:t xml:space="preserve">The Lead suggested that the TPPT may consider the treatment schedule to be included as an annex to ISPM 28 based on additional supporting data that were presented in this meeting by the Lead. One member felt that wood chips is an economically important commodity and IPPC contracting parties </w:t>
            </w:r>
            <w:r w:rsidRPr="114A30F8">
              <w:lastRenderedPageBreak/>
              <w:t>would benefit from having an internationally adopted treatment on it.</w:t>
            </w:r>
          </w:p>
        </w:tc>
        <w:tc>
          <w:tcPr>
            <w:tcW w:w="3118" w:type="dxa"/>
          </w:tcPr>
          <w:p w14:paraId="5518CACD" w14:textId="77777777" w:rsidR="114A30F8" w:rsidRDefault="114A30F8" w:rsidP="0083224A">
            <w:pPr>
              <w:pStyle w:val="IPPArialTable"/>
            </w:pPr>
            <w:r w:rsidRPr="114A30F8">
              <w:lastRenderedPageBreak/>
              <w:t xml:space="preserve">We agree with the fact that the 184 IPPC contracting parties would benefit from adopting the submitted heat treatment of wood chips (2017-024), the latter being an economically important commodity potentially representing a high </w:t>
            </w:r>
            <w:proofErr w:type="spellStart"/>
            <w:r w:rsidRPr="114A30F8">
              <w:t>phytosanitary</w:t>
            </w:r>
            <w:proofErr w:type="spellEnd"/>
            <w:r w:rsidRPr="114A30F8">
              <w:t xml:space="preserve"> risk (EPPO, 2015). We think there are far enough information to have no doubt on the efficacy of the 56°C/30min treatment schedule (which is moreover in use for WPM) applied on wood chips. See also next line of the Table (answer to [136] and </w:t>
            </w:r>
            <w:r w:rsidRPr="114A30F8">
              <w:lastRenderedPageBreak/>
              <w:t>[137]) for efficacy of the treatment schedule towards different organisms.</w:t>
            </w:r>
          </w:p>
          <w:p w14:paraId="7DCE120E" w14:textId="77777777" w:rsidR="114A30F8" w:rsidRDefault="114A30F8" w:rsidP="0083224A">
            <w:pPr>
              <w:pStyle w:val="IPPArialTable"/>
            </w:pPr>
            <w:proofErr w:type="gramStart"/>
            <w:r w:rsidRPr="114A30F8">
              <w:t>We therefore regret that, conversely to what was suggested during the July 2017 TPPT reunion in Vienna (</w:t>
            </w:r>
            <w:r w:rsidRPr="114A30F8">
              <w:rPr>
                <w:i/>
                <w:iCs/>
              </w:rPr>
              <w:t xml:space="preserve">[141] </w:t>
            </w:r>
            <w:r w:rsidRPr="114A30F8">
              <w:t>“</w:t>
            </w:r>
            <w:r w:rsidRPr="114A30F8">
              <w:rPr>
                <w:i/>
                <w:iCs/>
              </w:rPr>
              <w:t>the treatment schedule in the submission</w:t>
            </w:r>
            <w:r w:rsidRPr="114A30F8">
              <w:t xml:space="preserve"> </w:t>
            </w:r>
            <w:r w:rsidRPr="114A30F8">
              <w:rPr>
                <w:i/>
                <w:iCs/>
              </w:rPr>
              <w:t>is being considered to be recommended for inclusion in</w:t>
            </w:r>
            <w:r w:rsidRPr="114A30F8">
              <w:t xml:space="preserve"> </w:t>
            </w:r>
            <w:r w:rsidRPr="114A30F8">
              <w:rPr>
                <w:i/>
                <w:iCs/>
              </w:rPr>
              <w:t>the work program</w:t>
            </w:r>
            <w:r w:rsidRPr="114A30F8">
              <w:t xml:space="preserve">”), the decisions has been taken to remove the draft </w:t>
            </w:r>
            <w:r w:rsidRPr="114A30F8">
              <w:rPr>
                <w:i/>
                <w:iCs/>
              </w:rPr>
              <w:t>PT Heat treatment of wood chips</w:t>
            </w:r>
            <w:r w:rsidRPr="114A30F8">
              <w:t xml:space="preserve"> </w:t>
            </w:r>
            <w:r w:rsidRPr="114A30F8">
              <w:rPr>
                <w:i/>
                <w:iCs/>
              </w:rPr>
              <w:t xml:space="preserve">(2017-024) </w:t>
            </w:r>
            <w:r w:rsidRPr="114A30F8">
              <w:t>from the TPPT work programme (June 2018 TPPT reunion in China and November 2018 SC reunion in Roma), which implies that there is currently no internationally recognised wood chips treatment schedule available.</w:t>
            </w:r>
            <w:proofErr w:type="gramEnd"/>
          </w:p>
        </w:tc>
        <w:tc>
          <w:tcPr>
            <w:tcW w:w="3840" w:type="dxa"/>
          </w:tcPr>
          <w:p w14:paraId="6A260663" w14:textId="77777777" w:rsidR="114A30F8" w:rsidRDefault="114A30F8" w:rsidP="0083224A">
            <w:pPr>
              <w:pStyle w:val="IPPArialTable"/>
            </w:pPr>
            <w:r w:rsidRPr="114A30F8">
              <w:lastRenderedPageBreak/>
              <w:t xml:space="preserve">The confusion here seems to have arisen because the 56°C/30min treatment </w:t>
            </w:r>
            <w:proofErr w:type="gramStart"/>
            <w:r w:rsidRPr="114A30F8">
              <w:t>is approved</w:t>
            </w:r>
            <w:proofErr w:type="gramEnd"/>
            <w:r w:rsidRPr="114A30F8">
              <w:t xml:space="preserve"> under ISPM 15 but not yet under ISPM 28.  Any treatments for wood products under ISPM 39 would first have to </w:t>
            </w:r>
            <w:proofErr w:type="gramStart"/>
            <w:r w:rsidRPr="114A30F8">
              <w:t>be approved</w:t>
            </w:r>
            <w:proofErr w:type="gramEnd"/>
            <w:r w:rsidRPr="114A30F8">
              <w:t xml:space="preserve"> under ISPM 28 (as per current SC expectations, however I am aware there are discussions about decoupling treatments in commodity standards from ISPM 28).</w:t>
            </w:r>
          </w:p>
          <w:p w14:paraId="237DB876" w14:textId="77777777" w:rsidR="114A30F8" w:rsidRDefault="114A30F8" w:rsidP="0083224A">
            <w:pPr>
              <w:pStyle w:val="IPPArialTable"/>
            </w:pPr>
            <w:proofErr w:type="gramStart"/>
            <w:r w:rsidRPr="114A30F8">
              <w:t>So</w:t>
            </w:r>
            <w:proofErr w:type="gramEnd"/>
            <w:r w:rsidRPr="114A30F8">
              <w:t xml:space="preserve"> the gap we have is an approved schedule for 56°C/30min under ISPM 28, which could be applied to any wood product given it is generally effective against pests.</w:t>
            </w:r>
          </w:p>
          <w:p w14:paraId="16921ECF" w14:textId="77777777" w:rsidR="114A30F8" w:rsidRDefault="114A30F8" w:rsidP="0083224A">
            <w:pPr>
              <w:pStyle w:val="IPPArialTable"/>
            </w:pPr>
            <w:r w:rsidRPr="114A30F8">
              <w:t xml:space="preserve">The data provided by the submitted is insufficient to support a recommendation for </w:t>
            </w:r>
            <w:r w:rsidRPr="114A30F8">
              <w:lastRenderedPageBreak/>
              <w:t>TPPT for a 56°C/30min schedule, hence the decision to remove the submission from the work program.</w:t>
            </w:r>
          </w:p>
          <w:p w14:paraId="01DB8D4C" w14:textId="77777777" w:rsidR="114A30F8" w:rsidRDefault="114A30F8" w:rsidP="0083224A">
            <w:pPr>
              <w:pStyle w:val="IPPArialTable"/>
            </w:pPr>
            <w:r w:rsidRPr="114A30F8">
              <w:t>If the submitter were to make a submission for a 56°C/30min scheduled that included sufficient supporting evidence, then the TPPT would review that submission for inclusion in ISPM 28.</w:t>
            </w:r>
          </w:p>
        </w:tc>
      </w:tr>
      <w:tr w:rsidR="114A30F8" w14:paraId="11D038E3" w14:textId="77777777" w:rsidTr="0083224A">
        <w:tc>
          <w:tcPr>
            <w:tcW w:w="2058" w:type="dxa"/>
          </w:tcPr>
          <w:p w14:paraId="3215726F" w14:textId="77777777" w:rsidR="114A30F8" w:rsidRDefault="114A30F8" w:rsidP="0083224A">
            <w:pPr>
              <w:pStyle w:val="IPPArialTable"/>
            </w:pPr>
            <w:r w:rsidRPr="114A30F8">
              <w:rPr>
                <w:i/>
                <w:iCs/>
              </w:rPr>
              <w:lastRenderedPageBreak/>
              <w:t xml:space="preserve">[136] </w:t>
            </w:r>
            <w:r w:rsidRPr="114A30F8">
              <w:t>The TPPT discussed that the treatment targets all pests potentially hosted in wood chips, but that chips can be varied in sizes thus the wood chip sizes may limit the number of possible pests present.</w:t>
            </w:r>
          </w:p>
          <w:p w14:paraId="2C9FF6B3" w14:textId="77777777" w:rsidR="114A30F8" w:rsidRDefault="114A30F8" w:rsidP="0083224A">
            <w:pPr>
              <w:pStyle w:val="IPPArialTable"/>
            </w:pPr>
            <w:r w:rsidRPr="114A30F8">
              <w:rPr>
                <w:i/>
                <w:iCs/>
              </w:rPr>
              <w:t xml:space="preserve">[137] </w:t>
            </w:r>
            <w:r w:rsidRPr="114A30F8">
              <w:t xml:space="preserve">It </w:t>
            </w:r>
            <w:proofErr w:type="gramStart"/>
            <w:r w:rsidRPr="114A30F8">
              <w:t>was noted</w:t>
            </w:r>
            <w:proofErr w:type="gramEnd"/>
            <w:r w:rsidRPr="114A30F8">
              <w:t xml:space="preserve"> that there was data to support the efficacy of the treatment against insects and nematodes, however not for all fungi. The Lead informed the TPPT that one of the reference papers provided contained information on the efficacy of the treatment against fungi, but not against all species. The TPPT agreed that fungi </w:t>
            </w:r>
            <w:proofErr w:type="gramStart"/>
            <w:r w:rsidRPr="114A30F8">
              <w:t>can</w:t>
            </w:r>
            <w:proofErr w:type="gramEnd"/>
            <w:r w:rsidRPr="114A30F8">
              <w:t xml:space="preserve"> only be included as a target pest if appropriate additional supporting information is provided. The Lead explained that some fungi species may not pose a risk in wood chips and that he could provide references to establish which fungi species have to </w:t>
            </w:r>
            <w:proofErr w:type="gramStart"/>
            <w:r w:rsidRPr="114A30F8">
              <w:t>be considered</w:t>
            </w:r>
            <w:proofErr w:type="gramEnd"/>
            <w:r w:rsidRPr="114A30F8">
              <w:t>.</w:t>
            </w:r>
          </w:p>
        </w:tc>
        <w:tc>
          <w:tcPr>
            <w:tcW w:w="3118" w:type="dxa"/>
          </w:tcPr>
          <w:p w14:paraId="50E9DF41" w14:textId="77777777" w:rsidR="114A30F8" w:rsidRDefault="114A30F8" w:rsidP="0083224A">
            <w:pPr>
              <w:pStyle w:val="IPPArialTable"/>
            </w:pPr>
            <w:r w:rsidRPr="114A30F8">
              <w:t xml:space="preserve">According to ISPM39 and to EPPO (in press), chipped wood is a potential pathway for the spread of insects, nematodes or fungi, whereas bacteria, </w:t>
            </w:r>
            <w:proofErr w:type="spellStart"/>
            <w:r w:rsidRPr="114A30F8">
              <w:t>phytoplasma</w:t>
            </w:r>
            <w:proofErr w:type="spellEnd"/>
            <w:r w:rsidRPr="114A30F8">
              <w:t xml:space="preserve"> and viruses do not seem to be vectored by wood commodities.</w:t>
            </w:r>
          </w:p>
          <w:p w14:paraId="5C00B577" w14:textId="77777777" w:rsidR="114A30F8" w:rsidRDefault="114A30F8" w:rsidP="0083224A">
            <w:pPr>
              <w:pStyle w:val="IPPArialTable"/>
            </w:pPr>
            <w:r w:rsidRPr="114A30F8">
              <w:t xml:space="preserve">Regarding insects, the chipping process is already a partial </w:t>
            </w:r>
            <w:proofErr w:type="spellStart"/>
            <w:r w:rsidRPr="114A30F8">
              <w:t>phytosanitary</w:t>
            </w:r>
            <w:proofErr w:type="spellEnd"/>
            <w:r w:rsidRPr="114A30F8">
              <w:t xml:space="preserve"> treatment of wood, and it </w:t>
            </w:r>
            <w:proofErr w:type="gramStart"/>
            <w:r w:rsidRPr="114A30F8">
              <w:t>is known</w:t>
            </w:r>
            <w:proofErr w:type="gramEnd"/>
            <w:r w:rsidRPr="114A30F8">
              <w:t xml:space="preserve"> that below some threshold, the size of the chips prevents the presence of some insect species (McCullough et al., 2007; </w:t>
            </w:r>
            <w:proofErr w:type="spellStart"/>
            <w:r w:rsidRPr="114A30F8">
              <w:t>Kopinga</w:t>
            </w:r>
            <w:proofErr w:type="spellEnd"/>
            <w:r w:rsidRPr="114A30F8">
              <w:t xml:space="preserve"> et al., 2010; ISPM39, 2017; EPPO, in press). This explains why the </w:t>
            </w:r>
            <w:proofErr w:type="spellStart"/>
            <w:r w:rsidRPr="114A30F8">
              <w:t>phytosanitary</w:t>
            </w:r>
            <w:proofErr w:type="spellEnd"/>
            <w:r w:rsidRPr="114A30F8">
              <w:t xml:space="preserve"> risk attributed to wood chips is lower than that of WPM (Leal et al. 2010). Anyway, 56°C/30min is considered as an effective treatment schedule to eradicate any insect species (despite McCullough et al. (2007) and Goebel et al. (2010) reported resistance of some </w:t>
            </w:r>
            <w:proofErr w:type="spellStart"/>
            <w:r w:rsidRPr="114A30F8">
              <w:rPr>
                <w:i/>
                <w:iCs/>
              </w:rPr>
              <w:t>Agrilus</w:t>
            </w:r>
            <w:proofErr w:type="spellEnd"/>
            <w:r w:rsidRPr="114A30F8">
              <w:rPr>
                <w:i/>
                <w:iCs/>
              </w:rPr>
              <w:t xml:space="preserve"> </w:t>
            </w:r>
            <w:proofErr w:type="spellStart"/>
            <w:r w:rsidRPr="114A30F8">
              <w:rPr>
                <w:i/>
                <w:iCs/>
              </w:rPr>
              <w:t>planipennis</w:t>
            </w:r>
            <w:proofErr w:type="spellEnd"/>
            <w:r w:rsidRPr="114A30F8">
              <w:t xml:space="preserve"> individuals to “ISPM15 heat treatment schedule”).</w:t>
            </w:r>
          </w:p>
          <w:p w14:paraId="4E457643" w14:textId="77777777" w:rsidR="114A30F8" w:rsidRDefault="114A30F8" w:rsidP="0083224A">
            <w:pPr>
              <w:pStyle w:val="IPPArialTable"/>
            </w:pPr>
            <w:r w:rsidRPr="114A30F8">
              <w:t>The process of chipping itself has on the opposite no effect on the risk linked to nematodes and fungi, unless their vectors are killed (EPPO in press). It should however be mentioned that the ISPM15 temperature/time schedule has been adopted on the basis of numerous researches focusing on identifying conditions that guarantee the eradication of the Pine Wood Nematode (NAPPO, 2014). So whether in WPM or in wood chips, nematodes submitted to 56°C/30min will dye (otherwise ISPM15 should be adapted too).</w:t>
            </w:r>
          </w:p>
          <w:p w14:paraId="4577E2AF" w14:textId="77777777" w:rsidR="114A30F8" w:rsidRDefault="114A30F8" w:rsidP="0083224A">
            <w:pPr>
              <w:pStyle w:val="IPPArialTable"/>
            </w:pPr>
            <w:r w:rsidRPr="114A30F8">
              <w:t xml:space="preserve">Concerning fungi, it </w:t>
            </w:r>
            <w:proofErr w:type="gramStart"/>
            <w:r w:rsidRPr="114A30F8">
              <w:t>has been shown</w:t>
            </w:r>
            <w:proofErr w:type="gramEnd"/>
            <w:r w:rsidRPr="114A30F8">
              <w:t xml:space="preserve"> that some species can survive the 56°C/30min heat </w:t>
            </w:r>
            <w:r w:rsidRPr="114A30F8">
              <w:lastRenderedPageBreak/>
              <w:t xml:space="preserve">treatment (e.g. Hosking 2007; </w:t>
            </w:r>
            <w:proofErr w:type="spellStart"/>
            <w:r w:rsidRPr="114A30F8">
              <w:t>Ramsfield</w:t>
            </w:r>
            <w:proofErr w:type="spellEnd"/>
            <w:r w:rsidRPr="114A30F8">
              <w:t xml:space="preserve"> et al. 2010; </w:t>
            </w:r>
            <w:proofErr w:type="spellStart"/>
            <w:r w:rsidRPr="114A30F8">
              <w:t>Kopinga</w:t>
            </w:r>
            <w:proofErr w:type="spellEnd"/>
            <w:r w:rsidRPr="114A30F8">
              <w:t xml:space="preserve"> et al. 2010; NAPPO 2014). It is thus true that, as when the 56°C/30min heat treatment </w:t>
            </w:r>
            <w:proofErr w:type="gramStart"/>
            <w:r w:rsidRPr="114A30F8">
              <w:t>is applied</w:t>
            </w:r>
            <w:proofErr w:type="gramEnd"/>
            <w:r w:rsidRPr="114A30F8">
              <w:t xml:space="preserve"> to WPM in the frame of ISPM15, we cannot guarantee that all fungi potentially present in wood chips are eradicated by the schedule applied in our submission. However, the temperature/time combination required to eradicate some fungi species is extremely drastic. </w:t>
            </w:r>
            <w:proofErr w:type="spellStart"/>
            <w:r w:rsidRPr="114A30F8">
              <w:t>Kopinga</w:t>
            </w:r>
            <w:proofErr w:type="spellEnd"/>
            <w:r w:rsidRPr="114A30F8">
              <w:t xml:space="preserve"> et al. (2010) mention 70°C during several hours needed to eradicate some organisms. We do not think these specific resistances should make mandatory extremely drastic treatment conditions for 100% of the chips involved in the intercontinental trade.</w:t>
            </w:r>
          </w:p>
        </w:tc>
        <w:tc>
          <w:tcPr>
            <w:tcW w:w="3840" w:type="dxa"/>
          </w:tcPr>
          <w:p w14:paraId="319D8CD2" w14:textId="77777777" w:rsidR="114A30F8" w:rsidRDefault="114A30F8" w:rsidP="0083224A">
            <w:pPr>
              <w:pStyle w:val="IPPArialTable"/>
            </w:pPr>
            <w:r w:rsidRPr="114A30F8">
              <w:lastRenderedPageBreak/>
              <w:t>The response from the submitter highlights some of the problems that need to be resolved to move forward with a 56°C/30min schedule.  The International Forest Quarantine Research Group has been working on this problem for some time and has on their work programme a task to produce a publication that should help to resolve this and other problems.</w:t>
            </w:r>
          </w:p>
        </w:tc>
      </w:tr>
      <w:tr w:rsidR="114A30F8" w14:paraId="34504882" w14:textId="77777777" w:rsidTr="0083224A">
        <w:tc>
          <w:tcPr>
            <w:tcW w:w="2058" w:type="dxa"/>
          </w:tcPr>
          <w:p w14:paraId="1C902C08" w14:textId="77777777" w:rsidR="114A30F8" w:rsidRDefault="114A30F8" w:rsidP="0083224A">
            <w:pPr>
              <w:pStyle w:val="IPPArialTable"/>
            </w:pPr>
            <w:r w:rsidRPr="114A30F8">
              <w:rPr>
                <w:i/>
                <w:iCs/>
              </w:rPr>
              <w:t xml:space="preserve">[138] </w:t>
            </w:r>
            <w:r w:rsidRPr="114A30F8">
              <w:t xml:space="preserve">It was pointed out that wood chips often end up as ground </w:t>
            </w:r>
            <w:proofErr w:type="gramStart"/>
            <w:r w:rsidRPr="114A30F8">
              <w:t>cover,</w:t>
            </w:r>
            <w:proofErr w:type="gramEnd"/>
            <w:r w:rsidRPr="114A30F8">
              <w:t xml:space="preserve"> this means nematodes are an important risk. The TPPT felt that this treatment would be very useful even if validated only against insects and nematodes.</w:t>
            </w:r>
          </w:p>
          <w:p w14:paraId="571F8D25" w14:textId="77777777" w:rsidR="114A30F8" w:rsidRDefault="114A30F8" w:rsidP="0083224A">
            <w:pPr>
              <w:pStyle w:val="IPPArialTable"/>
            </w:pPr>
            <w:r w:rsidRPr="114A30F8">
              <w:rPr>
                <w:i/>
                <w:iCs/>
              </w:rPr>
              <w:t xml:space="preserve">[139] </w:t>
            </w:r>
            <w:r w:rsidRPr="114A30F8">
              <w:t>The TPPT agreed to postpone the decision whether to limit the scope of the treatment to insects and nematodes until the submission is updated by the Lead and the new references on fungi species are available for their review.</w:t>
            </w:r>
          </w:p>
        </w:tc>
        <w:tc>
          <w:tcPr>
            <w:tcW w:w="3118" w:type="dxa"/>
          </w:tcPr>
          <w:p w14:paraId="367D8B87" w14:textId="77777777" w:rsidR="114A30F8" w:rsidRDefault="114A30F8" w:rsidP="0083224A">
            <w:pPr>
              <w:pStyle w:val="IPPArialTable"/>
            </w:pPr>
            <w:r w:rsidRPr="114A30F8">
              <w:t xml:space="preserve">We also think that validating the treatment schedule for insects and nematodes would provide the IPPC contracting parties with a unique tool to prevent biological invasions linked to wood chips trade. The current situation leaves the 23 million tonnes of chips annually included in the international wood trade (Allen et al. 2017) without any official </w:t>
            </w:r>
            <w:proofErr w:type="spellStart"/>
            <w:r w:rsidRPr="114A30F8">
              <w:t>phytosanitary</w:t>
            </w:r>
            <w:proofErr w:type="spellEnd"/>
            <w:r w:rsidRPr="114A30F8">
              <w:t xml:space="preserve"> measure. We think there are </w:t>
            </w:r>
            <w:proofErr w:type="gramStart"/>
            <w:r w:rsidRPr="114A30F8">
              <w:t>absolutely no</w:t>
            </w:r>
            <w:proofErr w:type="gramEnd"/>
            <w:r w:rsidRPr="114A30F8">
              <w:t xml:space="preserve"> scientific reason to suppose that the efficacy of the 56°C/30min treatment schedule would be lower on wood chips than on wood packaging material. One restriction however is that our study considered wood chips made of wood and possibly bark (produced from trunks/logs). From a </w:t>
            </w:r>
            <w:proofErr w:type="spellStart"/>
            <w:r w:rsidRPr="114A30F8">
              <w:t>phytosanitary</w:t>
            </w:r>
            <w:proofErr w:type="spellEnd"/>
            <w:r w:rsidRPr="114A30F8">
              <w:t xml:space="preserve"> point of view, chips produced from the whole tree or containing leaves/needles </w:t>
            </w:r>
            <w:proofErr w:type="gramStart"/>
            <w:r w:rsidRPr="114A30F8">
              <w:t>should be considered</w:t>
            </w:r>
            <w:proofErr w:type="gramEnd"/>
            <w:r w:rsidRPr="114A30F8">
              <w:t xml:space="preserve"> as a more risky material. Currently, the most part of wood chips involved in international trade is however destined to pulp and paper production (</w:t>
            </w:r>
            <w:proofErr w:type="spellStart"/>
            <w:r w:rsidRPr="114A30F8">
              <w:t>Lamers</w:t>
            </w:r>
            <w:proofErr w:type="spellEnd"/>
            <w:r w:rsidRPr="114A30F8">
              <w:t xml:space="preserve"> et al., 2012), made from high quality wood chips (without bark and leaves/needles).</w:t>
            </w:r>
          </w:p>
        </w:tc>
        <w:tc>
          <w:tcPr>
            <w:tcW w:w="3840" w:type="dxa"/>
          </w:tcPr>
          <w:p w14:paraId="1F104C47" w14:textId="77777777" w:rsidR="114A30F8" w:rsidRDefault="114A30F8" w:rsidP="0083224A">
            <w:pPr>
              <w:pStyle w:val="IPPArialTable"/>
            </w:pPr>
            <w:r w:rsidRPr="114A30F8">
              <w:t xml:space="preserve">This is useful information for TPPT consideration when the additional information </w:t>
            </w:r>
            <w:proofErr w:type="gramStart"/>
            <w:r w:rsidRPr="114A30F8">
              <w:t>is provided</w:t>
            </w:r>
            <w:proofErr w:type="gramEnd"/>
            <w:r w:rsidRPr="114A30F8">
              <w:t>.</w:t>
            </w:r>
          </w:p>
        </w:tc>
      </w:tr>
      <w:tr w:rsidR="114A30F8" w14:paraId="0B57F23D" w14:textId="77777777" w:rsidTr="0083224A">
        <w:tc>
          <w:tcPr>
            <w:tcW w:w="2058" w:type="dxa"/>
          </w:tcPr>
          <w:p w14:paraId="182187E9" w14:textId="77777777" w:rsidR="114A30F8" w:rsidRDefault="114A30F8" w:rsidP="0083224A">
            <w:pPr>
              <w:pStyle w:val="IPPArialTable"/>
            </w:pPr>
            <w:r w:rsidRPr="114A30F8">
              <w:rPr>
                <w:i/>
                <w:iCs/>
              </w:rPr>
              <w:t xml:space="preserve">[140] </w:t>
            </w:r>
            <w:r w:rsidRPr="114A30F8">
              <w:t xml:space="preserve">Efficacy: As efficacy data </w:t>
            </w:r>
            <w:proofErr w:type="gramStart"/>
            <w:r w:rsidRPr="114A30F8">
              <w:t>was not presented</w:t>
            </w:r>
            <w:proofErr w:type="gramEnd"/>
            <w:r w:rsidRPr="114A30F8">
              <w:t xml:space="preserve"> clearly in the submission, the TPPT decided to add references to establish the efficacy information.</w:t>
            </w:r>
          </w:p>
        </w:tc>
        <w:tc>
          <w:tcPr>
            <w:tcW w:w="3118" w:type="dxa"/>
          </w:tcPr>
          <w:p w14:paraId="32EC81D0" w14:textId="77777777" w:rsidR="114A30F8" w:rsidRDefault="114A30F8" w:rsidP="0083224A">
            <w:pPr>
              <w:pStyle w:val="IPPArialTable"/>
            </w:pPr>
            <w:r w:rsidRPr="114A30F8">
              <w:t>As mentioned in NAPPO (2014), the heat treatment schedule 56°C/30min “</w:t>
            </w:r>
            <w:r w:rsidRPr="114A30F8">
              <w:rPr>
                <w:i/>
                <w:iCs/>
              </w:rPr>
              <w:t>has been accepted as a</w:t>
            </w:r>
            <w:r w:rsidRPr="114A30F8">
              <w:t xml:space="preserve"> </w:t>
            </w:r>
            <w:proofErr w:type="spellStart"/>
            <w:r w:rsidRPr="114A30F8">
              <w:rPr>
                <w:i/>
                <w:iCs/>
              </w:rPr>
              <w:t>phytosanitary</w:t>
            </w:r>
            <w:proofErr w:type="spellEnd"/>
            <w:r w:rsidRPr="114A30F8">
              <w:rPr>
                <w:i/>
                <w:iCs/>
              </w:rPr>
              <w:t xml:space="preserve"> standard for both insects and nematodes</w:t>
            </w:r>
            <w:r w:rsidRPr="114A30F8">
              <w:t xml:space="preserve"> </w:t>
            </w:r>
            <w:r w:rsidRPr="114A30F8">
              <w:rPr>
                <w:i/>
                <w:iCs/>
              </w:rPr>
              <w:t>and forms the basis for the heat treatment measure in</w:t>
            </w:r>
            <w:r w:rsidRPr="114A30F8">
              <w:t xml:space="preserve"> </w:t>
            </w:r>
            <w:r w:rsidRPr="114A30F8">
              <w:rPr>
                <w:i/>
                <w:iCs/>
              </w:rPr>
              <w:t>the international wood packaging standard, ISPM 15</w:t>
            </w:r>
            <w:r w:rsidRPr="114A30F8">
              <w:t>”.</w:t>
            </w:r>
          </w:p>
          <w:p w14:paraId="4854259E" w14:textId="77777777" w:rsidR="114A30F8" w:rsidRDefault="114A30F8" w:rsidP="0083224A">
            <w:pPr>
              <w:pStyle w:val="IPPArialTable"/>
            </w:pPr>
            <w:r w:rsidRPr="114A30F8">
              <w:t xml:space="preserve">Hence, re-demonstrating that this temperature/time combination used since nearly 20 years is efficient to kill bark- and wood-boring insects </w:t>
            </w:r>
            <w:proofErr w:type="gramStart"/>
            <w:r w:rsidRPr="114A30F8">
              <w:lastRenderedPageBreak/>
              <w:t>was considered</w:t>
            </w:r>
            <w:proofErr w:type="gramEnd"/>
            <w:r w:rsidRPr="114A30F8">
              <w:t xml:space="preserve"> useless. Moreover, notably because :</w:t>
            </w:r>
          </w:p>
          <w:p w14:paraId="58A7B3CE" w14:textId="77777777" w:rsidR="114A30F8" w:rsidRDefault="114A30F8" w:rsidP="0083224A">
            <w:pPr>
              <w:pStyle w:val="IPPArialTable"/>
            </w:pPr>
            <w:r w:rsidRPr="114A30F8">
              <w:t>1. wood chipping eliminates a part of the insects present in wood and</w:t>
            </w:r>
          </w:p>
          <w:p w14:paraId="1EE3A70A" w14:textId="77777777" w:rsidR="114A30F8" w:rsidRDefault="114A30F8" w:rsidP="0083224A">
            <w:pPr>
              <w:pStyle w:val="IPPArialTable"/>
            </w:pPr>
            <w:r w:rsidRPr="114A30F8">
              <w:t xml:space="preserve">2. It </w:t>
            </w:r>
            <w:proofErr w:type="gramStart"/>
            <w:r w:rsidRPr="114A30F8">
              <w:t>can be considered</w:t>
            </w:r>
            <w:proofErr w:type="gramEnd"/>
            <w:r w:rsidRPr="114A30F8">
              <w:t xml:space="preserve"> that all pests potentially present in chips can potentially be found in WPM (whilst the opposite is not true: not all species potentially present in WPM can be found in wood chips), chips represent a lower </w:t>
            </w:r>
            <w:proofErr w:type="spellStart"/>
            <w:r w:rsidRPr="114A30F8">
              <w:t>phytosanitary</w:t>
            </w:r>
            <w:proofErr w:type="spellEnd"/>
            <w:r w:rsidRPr="114A30F8">
              <w:t xml:space="preserve"> risk than WPM (Leal et al. 2010).</w:t>
            </w:r>
          </w:p>
          <w:p w14:paraId="5E5C3268" w14:textId="77777777" w:rsidR="114A30F8" w:rsidRDefault="114A30F8" w:rsidP="0083224A">
            <w:pPr>
              <w:pStyle w:val="IPPArialTable"/>
            </w:pPr>
            <w:r w:rsidRPr="114A30F8">
              <w:t xml:space="preserve">Whereas our experimental design would have been insufficient if the experiments had been aimed at developing a new heat treatment schedule, the 8 batches of 22 </w:t>
            </w:r>
            <w:proofErr w:type="spellStart"/>
            <w:r w:rsidRPr="114A30F8">
              <w:rPr>
                <w:i/>
                <w:iCs/>
              </w:rPr>
              <w:t>Hylotrupes</w:t>
            </w:r>
            <w:proofErr w:type="spellEnd"/>
            <w:r w:rsidRPr="114A30F8">
              <w:rPr>
                <w:i/>
                <w:iCs/>
              </w:rPr>
              <w:t xml:space="preserve"> </w:t>
            </w:r>
            <w:proofErr w:type="spellStart"/>
            <w:r w:rsidRPr="114A30F8">
              <w:rPr>
                <w:i/>
                <w:iCs/>
              </w:rPr>
              <w:t>bajulus</w:t>
            </w:r>
            <w:proofErr w:type="spellEnd"/>
            <w:r w:rsidRPr="114A30F8">
              <w:rPr>
                <w:i/>
                <w:iCs/>
              </w:rPr>
              <w:t xml:space="preserve"> </w:t>
            </w:r>
            <w:r w:rsidRPr="114A30F8">
              <w:t xml:space="preserve">larvae used in our experiments (which all produced 100% mortality when submitted to 56°C/30min) is sufficient to demonstrate that the “ISPM15 schedule” enables a successful </w:t>
            </w:r>
            <w:proofErr w:type="spellStart"/>
            <w:r w:rsidRPr="114A30F8">
              <w:t>phytosanitary</w:t>
            </w:r>
            <w:proofErr w:type="spellEnd"/>
            <w:r w:rsidRPr="114A30F8">
              <w:t xml:space="preserve"> treatment of wood chips. It </w:t>
            </w:r>
            <w:proofErr w:type="gramStart"/>
            <w:r w:rsidRPr="114A30F8">
              <w:t>should also be remembered</w:t>
            </w:r>
            <w:proofErr w:type="gramEnd"/>
            <w:r w:rsidRPr="114A30F8">
              <w:t xml:space="preserve"> that the need to kill nearly 105 organisms in order to test a treatment schedule in compliance with </w:t>
            </w:r>
            <w:proofErr w:type="spellStart"/>
            <w:r w:rsidRPr="114A30F8">
              <w:t>Probit</w:t>
            </w:r>
            <w:proofErr w:type="spellEnd"/>
            <w:r w:rsidRPr="114A30F8">
              <w:t xml:space="preserve"> 9 has been widely questioned (Haack et al., 2011).</w:t>
            </w:r>
          </w:p>
          <w:p w14:paraId="257316DC" w14:textId="77777777" w:rsidR="114A30F8" w:rsidRDefault="114A30F8" w:rsidP="0083224A">
            <w:pPr>
              <w:pStyle w:val="IPPArialTable"/>
            </w:pPr>
            <w:r w:rsidRPr="114A30F8">
              <w:t xml:space="preserve">However, we agree that mortality statistics are scattered throughout the document submitted to IPPC Secretariat (see p. 21, 22 and 26 of the submission) and that they may be not highlighted enough. We thus confirm that, regardless of the characteristics of the chips (dry or wet, at 20°C or 5°C), the 56°C/30min schedule eliminated all the tested individuals (here </w:t>
            </w:r>
            <w:r w:rsidRPr="114A30F8">
              <w:rPr>
                <w:i/>
                <w:iCs/>
              </w:rPr>
              <w:t>H.</w:t>
            </w:r>
            <w:r w:rsidRPr="114A30F8">
              <w:t xml:space="preserve"> </w:t>
            </w:r>
            <w:proofErr w:type="spellStart"/>
            <w:r w:rsidRPr="114A30F8">
              <w:rPr>
                <w:i/>
                <w:iCs/>
              </w:rPr>
              <w:t>bajulus</w:t>
            </w:r>
            <w:proofErr w:type="spellEnd"/>
            <w:r w:rsidRPr="114A30F8">
              <w:rPr>
                <w:i/>
                <w:iCs/>
              </w:rPr>
              <w:t xml:space="preserve"> </w:t>
            </w:r>
            <w:r w:rsidRPr="114A30F8">
              <w:t>larvae).</w:t>
            </w:r>
          </w:p>
        </w:tc>
        <w:tc>
          <w:tcPr>
            <w:tcW w:w="3840" w:type="dxa"/>
          </w:tcPr>
          <w:p w14:paraId="2352A7EA" w14:textId="77777777" w:rsidR="114A30F8" w:rsidRDefault="114A30F8" w:rsidP="0083224A">
            <w:pPr>
              <w:pStyle w:val="IPPArialTable"/>
            </w:pPr>
            <w:r w:rsidRPr="114A30F8">
              <w:lastRenderedPageBreak/>
              <w:t xml:space="preserve">The confusion here seems to have arisen because the 56°C/30min treatment </w:t>
            </w:r>
            <w:proofErr w:type="gramStart"/>
            <w:r w:rsidRPr="114A30F8">
              <w:t>is approved</w:t>
            </w:r>
            <w:proofErr w:type="gramEnd"/>
            <w:r w:rsidRPr="114A30F8">
              <w:t xml:space="preserve"> under ISPM 15 but not yet under ISPM 28.  Any treatments for wood products under ISPM 39 would first have to </w:t>
            </w:r>
            <w:proofErr w:type="gramStart"/>
            <w:r w:rsidRPr="114A30F8">
              <w:t>be approved</w:t>
            </w:r>
            <w:proofErr w:type="gramEnd"/>
            <w:r w:rsidRPr="114A30F8">
              <w:t xml:space="preserve"> under ISPM 28 (as per current SC expectations, however I am aware there are discussions about decoupling treatments in commodity standards from ISPM 28).</w:t>
            </w:r>
          </w:p>
          <w:p w14:paraId="4A5E5A55" w14:textId="77777777" w:rsidR="114A30F8" w:rsidRDefault="114A30F8" w:rsidP="0083224A">
            <w:pPr>
              <w:pStyle w:val="IPPArialTable"/>
            </w:pPr>
            <w:proofErr w:type="gramStart"/>
            <w:r w:rsidRPr="114A30F8">
              <w:t>So</w:t>
            </w:r>
            <w:proofErr w:type="gramEnd"/>
            <w:r w:rsidRPr="114A30F8">
              <w:t xml:space="preserve"> the gap we have is an approved schedule for 56°C/30min under ISPM 28, which could </w:t>
            </w:r>
            <w:r w:rsidRPr="114A30F8">
              <w:lastRenderedPageBreak/>
              <w:t>be applied to any wood product given it is generally effective against pests.</w:t>
            </w:r>
          </w:p>
          <w:p w14:paraId="28F3162F" w14:textId="77777777" w:rsidR="114A30F8" w:rsidRDefault="114A30F8" w:rsidP="0083224A">
            <w:pPr>
              <w:pStyle w:val="IPPArialTable"/>
            </w:pPr>
            <w:r w:rsidRPr="114A30F8">
              <w:t>The data provided by the submitted is insufficient to support a recommendation for TPPT for a 56°C/30min schedule, hence the decision to remove the submission from the work program.</w:t>
            </w:r>
          </w:p>
          <w:p w14:paraId="6B7D5FE2" w14:textId="77777777" w:rsidR="114A30F8" w:rsidRDefault="114A30F8" w:rsidP="0083224A">
            <w:pPr>
              <w:pStyle w:val="IPPArialTable"/>
            </w:pPr>
            <w:r w:rsidRPr="114A30F8">
              <w:t>If the submitter were to make a submission for a 56°C/30min scheduled that included sufficient supporting evidence, then the TPPT would review that submission for inclusion in ISPM 28.</w:t>
            </w:r>
          </w:p>
        </w:tc>
      </w:tr>
      <w:tr w:rsidR="114A30F8" w14:paraId="60D93D55" w14:textId="77777777" w:rsidTr="0083224A">
        <w:tc>
          <w:tcPr>
            <w:tcW w:w="5176" w:type="dxa"/>
            <w:gridSpan w:val="2"/>
          </w:tcPr>
          <w:p w14:paraId="39401921" w14:textId="77777777" w:rsidR="114A30F8" w:rsidRDefault="114A30F8" w:rsidP="0083224A">
            <w:pPr>
              <w:pStyle w:val="IPPArialTable"/>
            </w:pPr>
            <w:r w:rsidRPr="114A30F8">
              <w:lastRenderedPageBreak/>
              <w:t xml:space="preserve">In conclusion, we think there is no scientific reason to doubt the effectiveness of the 56°C/30minute schedule for the elimination of insects and nematodes potentially present in wood chips. Although we agree with the fact that efficacy data could have been presented more clearly in the PT </w:t>
            </w:r>
            <w:r w:rsidRPr="114A30F8">
              <w:rPr>
                <w:i/>
                <w:iCs/>
              </w:rPr>
              <w:t>Heat treatment of wood chips (2017-024)</w:t>
            </w:r>
            <w:r w:rsidRPr="114A30F8">
              <w:t xml:space="preserve"> submission, we would like to remember that the efficacy of the ISPM15 heat treatment schedule towards insects and nematodes is proved every day since many years.</w:t>
            </w:r>
          </w:p>
          <w:p w14:paraId="69E51CD6" w14:textId="77777777" w:rsidR="114A30F8" w:rsidRDefault="114A30F8" w:rsidP="0083224A">
            <w:pPr>
              <w:pStyle w:val="IPPArialTable"/>
            </w:pPr>
            <w:proofErr w:type="gramStart"/>
            <w:r w:rsidRPr="114A30F8">
              <w:t xml:space="preserve">Although the chips destined to energy production (and therefore possibly containing bark and needles/leaves) currently represent a minor part of the chips volume involved in international trade (most part of the latter being high quality chips destined to the boards and paper industries), the share of chips used as biofuel is susceptible to increase in the future, subsequently increasing the </w:t>
            </w:r>
            <w:proofErr w:type="spellStart"/>
            <w:r w:rsidRPr="114A30F8">
              <w:t>phytosanitary</w:t>
            </w:r>
            <w:proofErr w:type="spellEnd"/>
            <w:r w:rsidRPr="114A30F8">
              <w:t xml:space="preserve"> risks linked to chips trade.</w:t>
            </w:r>
            <w:proofErr w:type="gramEnd"/>
          </w:p>
          <w:p w14:paraId="7C5424CB" w14:textId="77777777" w:rsidR="114A30F8" w:rsidRDefault="114A30F8" w:rsidP="0083224A">
            <w:pPr>
              <w:pStyle w:val="IPPArialTable"/>
            </w:pPr>
            <w:r w:rsidRPr="114A30F8">
              <w:t xml:space="preserve">As reported in </w:t>
            </w:r>
            <w:proofErr w:type="spellStart"/>
            <w:r w:rsidRPr="114A30F8">
              <w:t>Kopinga</w:t>
            </w:r>
            <w:proofErr w:type="spellEnd"/>
            <w:r w:rsidRPr="114A30F8">
              <w:t xml:space="preserve"> et al. (2010), the conditions needed to eradicate all the potential noxious organisms are very drastic (at least 70°C for several hours). We do not think it is opportune to leave millions of tons of chips untreated because of some highly heat-resistant (but maybe rare or not widely </w:t>
            </w:r>
            <w:r w:rsidRPr="114A30F8">
              <w:lastRenderedPageBreak/>
              <w:t xml:space="preserve">distributed) organisms. We think more drastic conditions than the 56°C/30min schedule could be required if a particular risk (species) is identified in some regions of the world, but for the most part of the chips involved in international trade, we do not think it is appropriate to require more stringent treatment schedule than HT treatment as authorised in ISPM15. The economic and environmental cost of such drastic treatment schedules </w:t>
            </w:r>
            <w:proofErr w:type="gramStart"/>
            <w:r w:rsidRPr="114A30F8">
              <w:t>should also be considered</w:t>
            </w:r>
            <w:proofErr w:type="gramEnd"/>
            <w:r w:rsidRPr="114A30F8">
              <w:t>.</w:t>
            </w:r>
          </w:p>
          <w:p w14:paraId="720D5AB5" w14:textId="77777777" w:rsidR="114A30F8" w:rsidRDefault="114A30F8" w:rsidP="0083224A">
            <w:pPr>
              <w:pStyle w:val="IPPArialTable"/>
              <w:rPr>
                <w:i/>
                <w:iCs/>
              </w:rPr>
            </w:pPr>
            <w:r w:rsidRPr="114A30F8">
              <w:t xml:space="preserve">As mentioned by </w:t>
            </w:r>
            <w:proofErr w:type="spellStart"/>
            <w:r w:rsidRPr="114A30F8">
              <w:t>Lamers</w:t>
            </w:r>
            <w:proofErr w:type="spellEnd"/>
            <w:r w:rsidRPr="114A30F8">
              <w:t xml:space="preserve"> et al. (2012): “</w:t>
            </w:r>
            <w:r w:rsidRPr="114A30F8">
              <w:rPr>
                <w:i/>
                <w:iCs/>
              </w:rPr>
              <w:t>Under the EU Directive 2000/29/EC, the importation of wood chips for whatever purpose is regulated under the lumber standard of kiln drying which requires heat exposure of 56°C for 30 minutes. However, the international recognized standard of ISPM-15 allows for &lt;6 mm packing material (soft or hardwood) to be shipped without further regulation. Despite the fact the Committee and the EU Health &amp; Consumers Directorate acknowledge this inconsistency no actions have been taken so far to change it</w:t>
            </w:r>
            <w:r w:rsidRPr="114A30F8">
              <w:t>.” This</w:t>
            </w:r>
            <w:r w:rsidRPr="114A30F8">
              <w:rPr>
                <w:i/>
                <w:iCs/>
              </w:rPr>
              <w:t xml:space="preserve"> </w:t>
            </w:r>
            <w:r w:rsidRPr="114A30F8">
              <w:t xml:space="preserve">contradictory situation illustrates a weakness in the normative tools for </w:t>
            </w:r>
            <w:proofErr w:type="spellStart"/>
            <w:r w:rsidRPr="114A30F8">
              <w:t>phytosanitary</w:t>
            </w:r>
            <w:proofErr w:type="spellEnd"/>
            <w:r w:rsidRPr="114A30F8">
              <w:t xml:space="preserve"> treatment of wood products.</w:t>
            </w:r>
          </w:p>
          <w:p w14:paraId="04FC7CDB" w14:textId="77777777" w:rsidR="114A30F8" w:rsidRDefault="114A30F8" w:rsidP="0083224A">
            <w:pPr>
              <w:pStyle w:val="IPPArialTable"/>
            </w:pPr>
            <w:r w:rsidRPr="114A30F8">
              <w:t xml:space="preserve">We believe that our PT submission could contribute to change this situation and we are convinced that, from an ecological, economic and sociological point of view, it is urgent and it would be more pertinent to approve the submitted schedule for the treatment of wood chips than to leave this commodity without approved </w:t>
            </w:r>
            <w:proofErr w:type="spellStart"/>
            <w:r w:rsidRPr="114A30F8">
              <w:t>phytosanitary</w:t>
            </w:r>
            <w:proofErr w:type="spellEnd"/>
            <w:r w:rsidRPr="114A30F8">
              <w:t xml:space="preserve"> treatment.</w:t>
            </w:r>
          </w:p>
          <w:p w14:paraId="746F5A72" w14:textId="77777777" w:rsidR="114A30F8" w:rsidRDefault="114A30F8" w:rsidP="0083224A">
            <w:pPr>
              <w:pStyle w:val="IPPArialTable"/>
            </w:pPr>
            <w:r w:rsidRPr="114A30F8">
              <w:t xml:space="preserve">We would like to conclude by citing </w:t>
            </w:r>
            <w:proofErr w:type="spellStart"/>
            <w:r w:rsidRPr="114A30F8">
              <w:t>Ormsby</w:t>
            </w:r>
            <w:proofErr w:type="spellEnd"/>
            <w:r w:rsidRPr="114A30F8">
              <w:t xml:space="preserve"> &amp; Brenton-Rule (2017): bilateral agreements are a tool used between some countries in order to manage the </w:t>
            </w:r>
            <w:proofErr w:type="spellStart"/>
            <w:r w:rsidRPr="114A30F8">
              <w:t>phytosanitary</w:t>
            </w:r>
            <w:proofErr w:type="spellEnd"/>
            <w:r w:rsidRPr="114A30F8">
              <w:t xml:space="preserve"> risks associated with some commodities and pests. Solutions to forest pest problems in the future should mainly focus on integrating management approaches globally, rather than single-country strategies. A global strategy to manage pest issues is vitally important and urgently needed.</w:t>
            </w:r>
          </w:p>
        </w:tc>
        <w:tc>
          <w:tcPr>
            <w:tcW w:w="3840" w:type="dxa"/>
          </w:tcPr>
          <w:p w14:paraId="200D78D1" w14:textId="77777777" w:rsidR="114A30F8" w:rsidRDefault="114A30F8" w:rsidP="0083224A">
            <w:pPr>
              <w:pStyle w:val="IPPArialTable"/>
            </w:pPr>
            <w:r w:rsidRPr="114A30F8">
              <w:lastRenderedPageBreak/>
              <w:t xml:space="preserve">One again, the confusion here seems to have arisen because the 56°C/30min treatment </w:t>
            </w:r>
            <w:proofErr w:type="gramStart"/>
            <w:r w:rsidRPr="114A30F8">
              <w:t>is approved</w:t>
            </w:r>
            <w:proofErr w:type="gramEnd"/>
            <w:r w:rsidRPr="114A30F8">
              <w:t xml:space="preserve"> under ISPM 15 but not yet under ISPM 28.  Any treatments for wood products under ISPM 39 would first have to </w:t>
            </w:r>
            <w:proofErr w:type="gramStart"/>
            <w:r w:rsidRPr="114A30F8">
              <w:t>be approved</w:t>
            </w:r>
            <w:proofErr w:type="gramEnd"/>
            <w:r w:rsidRPr="114A30F8">
              <w:t xml:space="preserve"> under ISPM 28 (as per current SC expectations, however I am aware there are discussions about decoupling treatments in commodity standards from ISPM 28).</w:t>
            </w:r>
          </w:p>
          <w:p w14:paraId="44E640B2" w14:textId="77777777" w:rsidR="114A30F8" w:rsidRDefault="114A30F8" w:rsidP="0083224A">
            <w:pPr>
              <w:pStyle w:val="IPPArialTable"/>
            </w:pPr>
            <w:proofErr w:type="gramStart"/>
            <w:r w:rsidRPr="114A30F8">
              <w:t>So</w:t>
            </w:r>
            <w:proofErr w:type="gramEnd"/>
            <w:r w:rsidRPr="114A30F8">
              <w:t xml:space="preserve"> the gap we have is an approved schedule for 56°C/30min under ISPM 28, which could be applied to any wood product given it is generally effective against pests.</w:t>
            </w:r>
          </w:p>
          <w:p w14:paraId="4BF34682" w14:textId="77777777" w:rsidR="114A30F8" w:rsidRDefault="114A30F8" w:rsidP="0083224A">
            <w:pPr>
              <w:pStyle w:val="IPPArialTable"/>
            </w:pPr>
            <w:r w:rsidRPr="114A30F8">
              <w:t>The data provided by the submitted is insufficient to support a recommendation for TPPT for a 56°C/30min schedule, hence the decision to remove the submission from the work program.</w:t>
            </w:r>
          </w:p>
          <w:p w14:paraId="1245DBCD" w14:textId="77777777" w:rsidR="114A30F8" w:rsidRDefault="114A30F8" w:rsidP="0083224A">
            <w:pPr>
              <w:pStyle w:val="IPPArialTable"/>
            </w:pPr>
            <w:r w:rsidRPr="114A30F8">
              <w:t xml:space="preserve">If the submitter were to make a submission for a 56°C/30min scheduled that included sufficient supporting evidence, then the </w:t>
            </w:r>
            <w:r w:rsidRPr="114A30F8">
              <w:lastRenderedPageBreak/>
              <w:t>TPPT would review that submission for inclusion in ISPM 28.</w:t>
            </w:r>
          </w:p>
        </w:tc>
      </w:tr>
      <w:tr w:rsidR="114A30F8" w14:paraId="7F769A86" w14:textId="77777777" w:rsidTr="0083224A">
        <w:tc>
          <w:tcPr>
            <w:tcW w:w="9016" w:type="dxa"/>
            <w:gridSpan w:val="3"/>
          </w:tcPr>
          <w:p w14:paraId="605F2845" w14:textId="77777777" w:rsidR="114A30F8" w:rsidRPr="0083224A" w:rsidRDefault="114A30F8" w:rsidP="0083224A">
            <w:pPr>
              <w:pStyle w:val="IPPArialTable"/>
              <w:rPr>
                <w:b/>
                <w:color w:val="000000" w:themeColor="text1"/>
              </w:rPr>
            </w:pPr>
            <w:r w:rsidRPr="0083224A">
              <w:rPr>
                <w:b/>
                <w:color w:val="000000" w:themeColor="text1"/>
              </w:rPr>
              <w:lastRenderedPageBreak/>
              <w:t>References</w:t>
            </w:r>
          </w:p>
          <w:p w14:paraId="2D7F3667" w14:textId="77777777" w:rsidR="114A30F8" w:rsidRDefault="114A30F8" w:rsidP="0083224A">
            <w:pPr>
              <w:pStyle w:val="IPPReferences"/>
            </w:pPr>
            <w:r w:rsidRPr="114A30F8">
              <w:t xml:space="preserve">Allen E., </w:t>
            </w:r>
            <w:proofErr w:type="spellStart"/>
            <w:r w:rsidRPr="114A30F8">
              <w:t>Noseworthy</w:t>
            </w:r>
            <w:proofErr w:type="spellEnd"/>
            <w:r w:rsidRPr="114A30F8">
              <w:t xml:space="preserve"> M., </w:t>
            </w:r>
            <w:proofErr w:type="spellStart"/>
            <w:r w:rsidRPr="114A30F8">
              <w:t>Ormsby</w:t>
            </w:r>
            <w:proofErr w:type="spellEnd"/>
            <w:r w:rsidRPr="114A30F8">
              <w:t xml:space="preserve"> M. (2017). </w:t>
            </w:r>
            <w:proofErr w:type="spellStart"/>
            <w:r w:rsidRPr="114A30F8">
              <w:t>Phytosanitary</w:t>
            </w:r>
            <w:proofErr w:type="spellEnd"/>
            <w:r w:rsidRPr="114A30F8">
              <w:t xml:space="preserve"> measures to reduce the movement of forest pests with the international trade of wood products. Biological Invasions, 19(11): 3365-3376.</w:t>
            </w:r>
          </w:p>
          <w:p w14:paraId="6BB74FAE" w14:textId="77777777" w:rsidR="114A30F8" w:rsidRDefault="114A30F8" w:rsidP="0083224A">
            <w:pPr>
              <w:pStyle w:val="IPPReferences"/>
              <w:rPr>
                <w:color w:val="0000FF"/>
              </w:rPr>
            </w:pPr>
            <w:r w:rsidRPr="114A30F8">
              <w:t xml:space="preserve">EPPO (2015). EPPO Technical Document N° 1071, EPPO Study on wood commodities other than round wood, sawn wood and manufactured items. EPPO Paris. 38 pp. </w:t>
            </w:r>
            <w:r w:rsidRPr="114A30F8">
              <w:rPr>
                <w:color w:val="0000FF"/>
              </w:rPr>
              <w:t>https://www.eppo.int/PUBLICATIONS/TD-1071_EPPO_Study_on_wood_commodities.pdf</w:t>
            </w:r>
          </w:p>
          <w:p w14:paraId="6EC89EF8" w14:textId="77777777" w:rsidR="114A30F8" w:rsidRDefault="114A30F8" w:rsidP="0083224A">
            <w:pPr>
              <w:pStyle w:val="IPPReferences"/>
            </w:pPr>
            <w:r w:rsidRPr="114A30F8">
              <w:t xml:space="preserve">EPPO (in press). Monitoring and consignment inspection of wood chips, </w:t>
            </w:r>
            <w:proofErr w:type="spellStart"/>
            <w:r w:rsidRPr="114A30F8">
              <w:t>hogwood</w:t>
            </w:r>
            <w:proofErr w:type="spellEnd"/>
            <w:r w:rsidRPr="114A30F8">
              <w:t xml:space="preserve"> and bark for quarantine pests.</w:t>
            </w:r>
          </w:p>
          <w:p w14:paraId="654FB754" w14:textId="77777777" w:rsidR="114A30F8" w:rsidRDefault="114A30F8" w:rsidP="0083224A">
            <w:pPr>
              <w:pStyle w:val="IPPReferences"/>
            </w:pPr>
            <w:r w:rsidRPr="114A30F8">
              <w:t xml:space="preserve">EU Directive 2000/29/EC (2000). Council Directive 2000/29/EC of 8 May 2000 on protective measures against the introduction into the Community of organisms harmful to plants or plant products and against their spread within the Community. Official Journal of the European Communities. 122 pp. </w:t>
            </w:r>
            <w:r w:rsidRPr="114A30F8">
              <w:rPr>
                <w:color w:val="0000FF"/>
              </w:rPr>
              <w:t>https://eur-lex.europa.eu/legalcontent/EN/TXT/PDF/?uri=CELEX:32000L0029&amp;from=EN</w:t>
            </w:r>
          </w:p>
          <w:p w14:paraId="5F5A8DEE" w14:textId="77777777" w:rsidR="114A30F8" w:rsidRDefault="114A30F8" w:rsidP="0083224A">
            <w:pPr>
              <w:pStyle w:val="IPPReferences"/>
            </w:pPr>
            <w:r w:rsidRPr="114A30F8">
              <w:t xml:space="preserve">Goebel P.C., </w:t>
            </w:r>
            <w:proofErr w:type="spellStart"/>
            <w:r w:rsidRPr="114A30F8">
              <w:t>Bumgardner</w:t>
            </w:r>
            <w:proofErr w:type="spellEnd"/>
            <w:r w:rsidRPr="114A30F8">
              <w:t xml:space="preserve"> M.S., Herms D.A., Sabula A. (2010). Failure to </w:t>
            </w:r>
            <w:proofErr w:type="spellStart"/>
            <w:r w:rsidRPr="114A30F8">
              <w:t>Phytosanitize</w:t>
            </w:r>
            <w:proofErr w:type="spellEnd"/>
            <w:r w:rsidRPr="114A30F8">
              <w:t xml:space="preserve"> Ash Firewood Infested With Emerald Ash Borer in a Small Dry Kiln Using ISPM-15 Standards. J. Econ. </w:t>
            </w:r>
            <w:proofErr w:type="spellStart"/>
            <w:proofErr w:type="gramStart"/>
            <w:r w:rsidRPr="114A30F8">
              <w:t>Entomol</w:t>
            </w:r>
            <w:proofErr w:type="spellEnd"/>
            <w:r w:rsidRPr="114A30F8">
              <w:t>.,</w:t>
            </w:r>
            <w:proofErr w:type="gramEnd"/>
            <w:r w:rsidRPr="114A30F8">
              <w:t xml:space="preserve"> 103(3): 597-602.</w:t>
            </w:r>
          </w:p>
          <w:p w14:paraId="746CFEAB" w14:textId="77777777" w:rsidR="114A30F8" w:rsidRDefault="114A30F8" w:rsidP="0083224A">
            <w:pPr>
              <w:pStyle w:val="IPPReferences"/>
            </w:pPr>
            <w:r w:rsidRPr="114A30F8">
              <w:t xml:space="preserve">Haack R. A., </w:t>
            </w:r>
            <w:proofErr w:type="spellStart"/>
            <w:r w:rsidRPr="114A30F8">
              <w:t>Uzunovic</w:t>
            </w:r>
            <w:proofErr w:type="spellEnd"/>
            <w:r w:rsidRPr="114A30F8">
              <w:t xml:space="preserve"> A., Hoover K., Cook J.A. (2011). Seeking alternatives to </w:t>
            </w:r>
            <w:proofErr w:type="spellStart"/>
            <w:r w:rsidRPr="114A30F8">
              <w:t>probit</w:t>
            </w:r>
            <w:proofErr w:type="spellEnd"/>
            <w:r w:rsidRPr="114A30F8">
              <w:t xml:space="preserve"> 9 when developing treatments for wood packaging materials under ISPM No. 15. Bulletin OEPP/EPPO Bulletin 41: 39–45. </w:t>
            </w:r>
            <w:r w:rsidRPr="114A30F8">
              <w:rPr>
                <w:color w:val="0000FF"/>
              </w:rPr>
              <w:t>https://www.nrs.fs.fed.us/pubs/jrnl/2011/nrs_2011_haack_002.pdf</w:t>
            </w:r>
          </w:p>
          <w:p w14:paraId="3283E5D8" w14:textId="77777777" w:rsidR="114A30F8" w:rsidRDefault="114A30F8" w:rsidP="0083224A">
            <w:pPr>
              <w:pStyle w:val="IPPReferences"/>
            </w:pPr>
            <w:r w:rsidRPr="114A30F8">
              <w:t xml:space="preserve">Hosking G. (2007). Temperature mortality thresholds for insects. ENSIS (CSIRO &amp; SCION) Client Report 12261. </w:t>
            </w:r>
            <w:r w:rsidRPr="114A30F8">
              <w:rPr>
                <w:color w:val="0000FF"/>
              </w:rPr>
              <w:t>http://www.nzfoa.org.nz/images/stories/pdfs/content/researchgeneral/output_41042.pdf</w:t>
            </w:r>
          </w:p>
          <w:p w14:paraId="6C78B149" w14:textId="77777777" w:rsidR="114A30F8" w:rsidRDefault="114A30F8" w:rsidP="0083224A">
            <w:pPr>
              <w:pStyle w:val="IPPReferences"/>
              <w:rPr>
                <w:color w:val="000000" w:themeColor="text1"/>
              </w:rPr>
            </w:pPr>
            <w:r w:rsidRPr="114A30F8">
              <w:rPr>
                <w:color w:val="000000" w:themeColor="text1"/>
              </w:rPr>
              <w:t xml:space="preserve">ISPM 39 (2017). International movement of wood. 20 pp. </w:t>
            </w:r>
            <w:r w:rsidRPr="114A30F8">
              <w:t>https://www.ippc.int/static/media/files/publication/en/2017/05/ISPM_39_2017_En_2017-05-15.pdf</w:t>
            </w:r>
          </w:p>
          <w:p w14:paraId="5A935C0D" w14:textId="77777777" w:rsidR="114A30F8" w:rsidRDefault="114A30F8" w:rsidP="0083224A">
            <w:pPr>
              <w:pStyle w:val="IPPReferences"/>
            </w:pPr>
            <w:proofErr w:type="spellStart"/>
            <w:r w:rsidRPr="114A30F8">
              <w:t>Kopinga</w:t>
            </w:r>
            <w:proofErr w:type="spellEnd"/>
            <w:r w:rsidRPr="114A30F8">
              <w:t xml:space="preserve"> J., </w:t>
            </w:r>
            <w:proofErr w:type="spellStart"/>
            <w:r w:rsidRPr="114A30F8">
              <w:t>Moraal</w:t>
            </w:r>
            <w:proofErr w:type="spellEnd"/>
            <w:r w:rsidRPr="114A30F8">
              <w:t xml:space="preserve"> L.G., </w:t>
            </w:r>
            <w:proofErr w:type="spellStart"/>
            <w:r w:rsidRPr="114A30F8">
              <w:t>Verwer</w:t>
            </w:r>
            <w:proofErr w:type="spellEnd"/>
            <w:r w:rsidRPr="114A30F8">
              <w:t xml:space="preserve"> C.C., </w:t>
            </w:r>
            <w:proofErr w:type="spellStart"/>
            <w:r w:rsidRPr="114A30F8">
              <w:t>Clerkx</w:t>
            </w:r>
            <w:proofErr w:type="spellEnd"/>
            <w:r w:rsidRPr="114A30F8">
              <w:t xml:space="preserve"> A.P.P.M. (2010). </w:t>
            </w:r>
            <w:proofErr w:type="spellStart"/>
            <w:r w:rsidRPr="114A30F8">
              <w:t>Phytosanitary</w:t>
            </w:r>
            <w:proofErr w:type="spellEnd"/>
            <w:r w:rsidRPr="114A30F8">
              <w:t xml:space="preserve"> risks of wood chips. </w:t>
            </w:r>
            <w:proofErr w:type="spellStart"/>
            <w:r w:rsidRPr="114A30F8">
              <w:t>Wageningen</w:t>
            </w:r>
            <w:proofErr w:type="spellEnd"/>
            <w:r w:rsidRPr="114A30F8">
              <w:t xml:space="preserve">, </w:t>
            </w:r>
            <w:proofErr w:type="spellStart"/>
            <w:r w:rsidRPr="114A30F8">
              <w:t>Alterra</w:t>
            </w:r>
            <w:proofErr w:type="spellEnd"/>
            <w:r w:rsidRPr="114A30F8">
              <w:t xml:space="preserve">, </w:t>
            </w:r>
            <w:proofErr w:type="spellStart"/>
            <w:r w:rsidRPr="114A30F8">
              <w:t>Alterra</w:t>
            </w:r>
            <w:proofErr w:type="spellEnd"/>
            <w:r w:rsidRPr="114A30F8">
              <w:t xml:space="preserve"> report 2059, 80 p. </w:t>
            </w:r>
            <w:r w:rsidRPr="114A30F8">
              <w:rPr>
                <w:color w:val="0000FF"/>
              </w:rPr>
              <w:t>http://edepot.wur.nl/149161</w:t>
            </w:r>
          </w:p>
          <w:p w14:paraId="05D40B9B" w14:textId="77777777" w:rsidR="114A30F8" w:rsidRDefault="114A30F8" w:rsidP="0083224A">
            <w:pPr>
              <w:pStyle w:val="IPPReferences"/>
            </w:pPr>
            <w:proofErr w:type="spellStart"/>
            <w:r w:rsidRPr="114A30F8">
              <w:lastRenderedPageBreak/>
              <w:t>Lamers</w:t>
            </w:r>
            <w:proofErr w:type="spellEnd"/>
            <w:r w:rsidRPr="114A30F8">
              <w:t xml:space="preserve"> P., </w:t>
            </w:r>
            <w:proofErr w:type="spellStart"/>
            <w:r w:rsidRPr="114A30F8">
              <w:t>Marchal</w:t>
            </w:r>
            <w:proofErr w:type="spellEnd"/>
            <w:r w:rsidRPr="114A30F8">
              <w:t xml:space="preserve"> D., </w:t>
            </w:r>
            <w:proofErr w:type="spellStart"/>
            <w:r w:rsidRPr="114A30F8">
              <w:t>Schouwenberg</w:t>
            </w:r>
            <w:proofErr w:type="spellEnd"/>
            <w:r w:rsidRPr="114A30F8">
              <w:t xml:space="preserve"> P.-P., </w:t>
            </w:r>
            <w:proofErr w:type="spellStart"/>
            <w:r w:rsidRPr="114A30F8">
              <w:t>Cocchi</w:t>
            </w:r>
            <w:proofErr w:type="spellEnd"/>
            <w:r w:rsidRPr="114A30F8">
              <w:t xml:space="preserve"> M., </w:t>
            </w:r>
            <w:proofErr w:type="spellStart"/>
            <w:r w:rsidRPr="114A30F8">
              <w:t>Junginger</w:t>
            </w:r>
            <w:proofErr w:type="spellEnd"/>
            <w:r w:rsidRPr="114A30F8">
              <w:t xml:space="preserve"> M. (2012). Global wood chip trade for energy. IEA Bioenergy, Task 40, Sustainable International Bioenergy trade, 24 p. </w:t>
            </w:r>
            <w:r w:rsidRPr="114A30F8">
              <w:rPr>
                <w:color w:val="0000FF"/>
              </w:rPr>
              <w:t>http://task40.ieabioenergy.com/wpcontent/uploads/2013/09/t40-global-wood-chips-study_final.pdf</w:t>
            </w:r>
          </w:p>
          <w:p w14:paraId="6CAFF074" w14:textId="77777777" w:rsidR="114A30F8" w:rsidRDefault="114A30F8" w:rsidP="0083224A">
            <w:pPr>
              <w:pStyle w:val="IPPReferences"/>
            </w:pPr>
            <w:r w:rsidRPr="114A30F8">
              <w:t xml:space="preserve">Leal I., Allen E., Humble L., Sela S., </w:t>
            </w:r>
            <w:proofErr w:type="spellStart"/>
            <w:r w:rsidRPr="114A30F8">
              <w:t>Uzunovic</w:t>
            </w:r>
            <w:proofErr w:type="spellEnd"/>
            <w:r w:rsidRPr="114A30F8">
              <w:t xml:space="preserve"> A. (2010). </w:t>
            </w:r>
            <w:proofErr w:type="spellStart"/>
            <w:r w:rsidRPr="114A30F8">
              <w:t>Phytosanitary</w:t>
            </w:r>
            <w:proofErr w:type="spellEnd"/>
            <w:r w:rsidRPr="114A30F8">
              <w:t xml:space="preserve"> risks associated with the global movement of forest products: A commodity-based approach. Natural Resources Canada, Canadian Forest Service, Information Report BC-X-419. 43 p.</w:t>
            </w:r>
          </w:p>
          <w:p w14:paraId="0EB609B0" w14:textId="77777777" w:rsidR="114A30F8" w:rsidRDefault="114A30F8" w:rsidP="0083224A">
            <w:pPr>
              <w:pStyle w:val="IPPReferences"/>
            </w:pPr>
            <w:r w:rsidRPr="114A30F8">
              <w:t xml:space="preserve">McCullough D.G., Poland T.M., </w:t>
            </w:r>
            <w:proofErr w:type="spellStart"/>
            <w:r w:rsidRPr="114A30F8">
              <w:t>Cappaert</w:t>
            </w:r>
            <w:proofErr w:type="spellEnd"/>
            <w:r w:rsidRPr="114A30F8">
              <w:t xml:space="preserve"> D., Clark E.L., Fraser I., </w:t>
            </w:r>
            <w:proofErr w:type="spellStart"/>
            <w:r w:rsidRPr="114A30F8">
              <w:t>Mastro</w:t>
            </w:r>
            <w:proofErr w:type="spellEnd"/>
            <w:r w:rsidRPr="114A30F8">
              <w:t xml:space="preserve"> V., Smith S., Pell C. (2007). Effects of Chipping, Grinding, and Heat on Survival of Emerald Ash Borer, </w:t>
            </w:r>
            <w:proofErr w:type="spellStart"/>
            <w:r w:rsidRPr="114A30F8">
              <w:rPr>
                <w:i/>
                <w:iCs/>
              </w:rPr>
              <w:t>Agrilus</w:t>
            </w:r>
            <w:proofErr w:type="spellEnd"/>
            <w:r w:rsidRPr="114A30F8">
              <w:rPr>
                <w:i/>
                <w:iCs/>
              </w:rPr>
              <w:t xml:space="preserve"> </w:t>
            </w:r>
            <w:proofErr w:type="spellStart"/>
            <w:r w:rsidRPr="114A30F8">
              <w:rPr>
                <w:i/>
                <w:iCs/>
              </w:rPr>
              <w:t>planipennis</w:t>
            </w:r>
            <w:proofErr w:type="spellEnd"/>
            <w:r w:rsidRPr="114A30F8">
              <w:rPr>
                <w:i/>
                <w:iCs/>
              </w:rPr>
              <w:t xml:space="preserve"> </w:t>
            </w:r>
            <w:r w:rsidRPr="114A30F8">
              <w:t>(</w:t>
            </w:r>
            <w:proofErr w:type="spellStart"/>
            <w:r w:rsidRPr="114A30F8">
              <w:t>Coleoptera</w:t>
            </w:r>
            <w:proofErr w:type="spellEnd"/>
            <w:r w:rsidRPr="114A30F8">
              <w:t xml:space="preserve">: </w:t>
            </w:r>
            <w:proofErr w:type="spellStart"/>
            <w:r w:rsidRPr="114A30F8">
              <w:t>Buprestidae</w:t>
            </w:r>
            <w:proofErr w:type="spellEnd"/>
            <w:r w:rsidRPr="114A30F8">
              <w:t xml:space="preserve">), in Chips. J. Econ. </w:t>
            </w:r>
            <w:proofErr w:type="spellStart"/>
            <w:proofErr w:type="gramStart"/>
            <w:r w:rsidRPr="114A30F8">
              <w:t>Entomol</w:t>
            </w:r>
            <w:proofErr w:type="spellEnd"/>
            <w:r w:rsidRPr="114A30F8">
              <w:t>.,</w:t>
            </w:r>
            <w:proofErr w:type="gramEnd"/>
            <w:r w:rsidRPr="114A30F8">
              <w:t xml:space="preserve"> 100 (4): 1304-1315.</w:t>
            </w:r>
          </w:p>
          <w:p w14:paraId="725A6307" w14:textId="77777777" w:rsidR="114A30F8" w:rsidRDefault="114A30F8" w:rsidP="0083224A">
            <w:pPr>
              <w:pStyle w:val="IPPReferences"/>
            </w:pPr>
            <w:r w:rsidRPr="114A30F8">
              <w:t xml:space="preserve">NAPPO (2014). Review of heat treatment of wood and wood packaging. NAPPO Science and Technology Documents ST 05. 35 pp. </w:t>
            </w:r>
            <w:r w:rsidRPr="114A30F8">
              <w:rPr>
                <w:color w:val="0000FF"/>
              </w:rPr>
              <w:t>https://www.nappo.org/files/6614/3918/6062/ST_5HeathTreatment-e.pdf</w:t>
            </w:r>
          </w:p>
          <w:p w14:paraId="53585937" w14:textId="77777777" w:rsidR="114A30F8" w:rsidRDefault="114A30F8" w:rsidP="0083224A">
            <w:pPr>
              <w:pStyle w:val="IPPReferences"/>
            </w:pPr>
            <w:proofErr w:type="spellStart"/>
            <w:r w:rsidRPr="114A30F8">
              <w:t>Ormsby</w:t>
            </w:r>
            <w:proofErr w:type="spellEnd"/>
            <w:r w:rsidRPr="114A30F8">
              <w:t xml:space="preserve"> M., Brenton-Rule E. (2017). A review of global instruments to combat invasive alien species in forestry. Biol. Invasions 19(11): 3355-3364.</w:t>
            </w:r>
          </w:p>
          <w:p w14:paraId="22195C67" w14:textId="77777777" w:rsidR="114A30F8" w:rsidRDefault="114A30F8" w:rsidP="0083224A">
            <w:pPr>
              <w:pStyle w:val="IPPReferences"/>
            </w:pPr>
            <w:bookmarkStart w:id="0" w:name="_GoBack"/>
            <w:bookmarkEnd w:id="0"/>
            <w:proofErr w:type="spellStart"/>
            <w:r w:rsidRPr="114A30F8">
              <w:t>Ramsfield</w:t>
            </w:r>
            <w:proofErr w:type="spellEnd"/>
            <w:r w:rsidRPr="114A30F8">
              <w:t xml:space="preserve"> T.D., Ball R.D., Gardner J.F., Dick M.A. (2010). Temperature and time combinations required to cause mortality of a range of fungi colonizing wood. Canadian Journal of Plant Pathology 32(3): 368-375.</w:t>
            </w:r>
          </w:p>
        </w:tc>
      </w:tr>
    </w:tbl>
    <w:p w14:paraId="7AA25406" w14:textId="77777777" w:rsidR="114A30F8" w:rsidRDefault="114A30F8" w:rsidP="114A30F8">
      <w:pPr>
        <w:spacing w:before="120" w:after="120"/>
      </w:pPr>
    </w:p>
    <w:p w14:paraId="092DB6A5" w14:textId="0E08786F" w:rsidR="114A30F8" w:rsidRDefault="114A30F8" w:rsidP="114A30F8"/>
    <w:sectPr w:rsidR="114A30F8" w:rsidSect="00326AA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C79AA" w14:textId="77777777" w:rsidR="003D0847" w:rsidRDefault="00BC2310">
      <w:r>
        <w:separator/>
      </w:r>
    </w:p>
  </w:endnote>
  <w:endnote w:type="continuationSeparator" w:id="0">
    <w:p w14:paraId="26F98A1C" w14:textId="77777777" w:rsidR="003D0847" w:rsidRDefault="00BC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95D5D" w14:textId="55B16E20" w:rsidR="00326AA5" w:rsidRPr="00AB2B2F" w:rsidRDefault="00AB2B2F" w:rsidP="00AB2B2F">
    <w:pPr>
      <w:pStyle w:val="IPPFooter"/>
      <w:rPr>
        <w:b w:val="0"/>
      </w:rPr>
    </w:pPr>
    <w:r w:rsidRPr="00AB2B2F">
      <w:rPr>
        <w:rStyle w:val="PageNumber"/>
        <w:b/>
      </w:rPr>
      <w:t xml:space="preserve">Page </w:t>
    </w:r>
    <w:r w:rsidRPr="00AB2B2F">
      <w:rPr>
        <w:rStyle w:val="PageNumber"/>
        <w:b/>
      </w:rPr>
      <w:fldChar w:fldCharType="begin"/>
    </w:r>
    <w:r w:rsidRPr="00AB2B2F">
      <w:rPr>
        <w:rStyle w:val="PageNumber"/>
        <w:b/>
      </w:rPr>
      <w:instrText xml:space="preserve"> PAGE </w:instrText>
    </w:r>
    <w:r w:rsidRPr="00AB2B2F">
      <w:rPr>
        <w:rStyle w:val="PageNumber"/>
        <w:b/>
      </w:rPr>
      <w:fldChar w:fldCharType="separate"/>
    </w:r>
    <w:r w:rsidR="0083224A">
      <w:rPr>
        <w:rStyle w:val="PageNumber"/>
        <w:b/>
        <w:noProof/>
      </w:rPr>
      <w:t>8</w:t>
    </w:r>
    <w:r w:rsidRPr="00AB2B2F">
      <w:rPr>
        <w:rStyle w:val="PageNumber"/>
        <w:b/>
      </w:rPr>
      <w:fldChar w:fldCharType="end"/>
    </w:r>
    <w:r w:rsidRPr="00AB2B2F">
      <w:rPr>
        <w:rStyle w:val="PageNumber"/>
        <w:b/>
      </w:rPr>
      <w:t xml:space="preserve"> of </w:t>
    </w:r>
    <w:r w:rsidRPr="00AB2B2F">
      <w:rPr>
        <w:rStyle w:val="PageNumber"/>
        <w:b/>
      </w:rPr>
      <w:fldChar w:fldCharType="begin"/>
    </w:r>
    <w:r w:rsidRPr="00AB2B2F">
      <w:rPr>
        <w:rStyle w:val="PageNumber"/>
        <w:b/>
      </w:rPr>
      <w:instrText xml:space="preserve"> NUMPAGES </w:instrText>
    </w:r>
    <w:r w:rsidRPr="00AB2B2F">
      <w:rPr>
        <w:rStyle w:val="PageNumber"/>
        <w:b/>
      </w:rPr>
      <w:fldChar w:fldCharType="separate"/>
    </w:r>
    <w:r w:rsidR="0083224A">
      <w:rPr>
        <w:rStyle w:val="PageNumber"/>
        <w:b/>
        <w:noProof/>
      </w:rPr>
      <w:t>8</w:t>
    </w:r>
    <w:r w:rsidRPr="00AB2B2F">
      <w:rPr>
        <w:rStyle w:val="PageNumber"/>
        <w:b/>
      </w:rPr>
      <w:fldChar w:fldCharType="end"/>
    </w:r>
    <w:r w:rsidRPr="00AB2B2F">
      <w:rPr>
        <w:rStyle w:val="PageNumber"/>
        <w:b/>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2584" w14:textId="18C4DFE8" w:rsidR="00326AA5" w:rsidRPr="00AB2B2F" w:rsidRDefault="00AB2B2F" w:rsidP="00AB2B2F">
    <w:pPr>
      <w:pStyle w:val="IPPFooter"/>
      <w:rPr>
        <w:b w:val="0"/>
      </w:rPr>
    </w:pPr>
    <w:r w:rsidRPr="00AB2B2F">
      <w:rPr>
        <w:rStyle w:val="PageNumber"/>
        <w:b/>
      </w:rPr>
      <w:t>International Plant Protection Convention</w:t>
    </w:r>
    <w:r w:rsidRPr="00AB2B2F">
      <w:rPr>
        <w:rStyle w:val="PageNumber"/>
        <w:b/>
      </w:rPr>
      <w:tab/>
      <w:t xml:space="preserve">Page </w:t>
    </w:r>
    <w:r w:rsidRPr="00AB2B2F">
      <w:rPr>
        <w:rStyle w:val="PageNumber"/>
        <w:b/>
      </w:rPr>
      <w:fldChar w:fldCharType="begin"/>
    </w:r>
    <w:r w:rsidRPr="00AB2B2F">
      <w:rPr>
        <w:rStyle w:val="PageNumber"/>
        <w:b/>
      </w:rPr>
      <w:instrText xml:space="preserve"> PAGE </w:instrText>
    </w:r>
    <w:r w:rsidRPr="00AB2B2F">
      <w:rPr>
        <w:rStyle w:val="PageNumber"/>
        <w:b/>
      </w:rPr>
      <w:fldChar w:fldCharType="separate"/>
    </w:r>
    <w:r w:rsidR="0083224A">
      <w:rPr>
        <w:rStyle w:val="PageNumber"/>
        <w:b/>
        <w:noProof/>
      </w:rPr>
      <w:t>7</w:t>
    </w:r>
    <w:r w:rsidRPr="00AB2B2F">
      <w:rPr>
        <w:rStyle w:val="PageNumber"/>
        <w:b/>
      </w:rPr>
      <w:fldChar w:fldCharType="end"/>
    </w:r>
    <w:r w:rsidRPr="00AB2B2F">
      <w:rPr>
        <w:rStyle w:val="PageNumber"/>
        <w:b/>
      </w:rPr>
      <w:t xml:space="preserve"> of </w:t>
    </w:r>
    <w:r w:rsidRPr="00AB2B2F">
      <w:rPr>
        <w:rStyle w:val="PageNumber"/>
        <w:b/>
      </w:rPr>
      <w:fldChar w:fldCharType="begin"/>
    </w:r>
    <w:r w:rsidRPr="00AB2B2F">
      <w:rPr>
        <w:rStyle w:val="PageNumber"/>
        <w:b/>
      </w:rPr>
      <w:instrText xml:space="preserve"> NUMPAGES </w:instrText>
    </w:r>
    <w:r w:rsidRPr="00AB2B2F">
      <w:rPr>
        <w:rStyle w:val="PageNumber"/>
        <w:b/>
      </w:rPr>
      <w:fldChar w:fldCharType="separate"/>
    </w:r>
    <w:r w:rsidR="0083224A">
      <w:rPr>
        <w:rStyle w:val="PageNumber"/>
        <w:b/>
        <w:noProof/>
      </w:rPr>
      <w:t>8</w:t>
    </w:r>
    <w:r w:rsidRPr="00AB2B2F">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DC2A8" w14:textId="437FC7C5" w:rsidR="00326AA5" w:rsidRPr="00AB2B2F" w:rsidRDefault="00AB2B2F" w:rsidP="00AB2B2F">
    <w:pPr>
      <w:pStyle w:val="IPPFooter"/>
      <w:rPr>
        <w:b w:val="0"/>
      </w:rPr>
    </w:pPr>
    <w:r w:rsidRPr="00AB2B2F">
      <w:rPr>
        <w:rStyle w:val="PageNumber"/>
        <w:b/>
      </w:rPr>
      <w:t>International Plant Protection Convention</w:t>
    </w:r>
    <w:r w:rsidRPr="00AB2B2F">
      <w:rPr>
        <w:rStyle w:val="PageNumber"/>
        <w:b/>
      </w:rPr>
      <w:tab/>
      <w:t xml:space="preserve">Page </w:t>
    </w:r>
    <w:r w:rsidRPr="00AB2B2F">
      <w:rPr>
        <w:rStyle w:val="PageNumber"/>
        <w:b/>
      </w:rPr>
      <w:fldChar w:fldCharType="begin"/>
    </w:r>
    <w:r w:rsidRPr="00AB2B2F">
      <w:rPr>
        <w:rStyle w:val="PageNumber"/>
        <w:b/>
      </w:rPr>
      <w:instrText xml:space="preserve"> PAGE </w:instrText>
    </w:r>
    <w:r w:rsidRPr="00AB2B2F">
      <w:rPr>
        <w:rStyle w:val="PageNumber"/>
        <w:b/>
      </w:rPr>
      <w:fldChar w:fldCharType="separate"/>
    </w:r>
    <w:r w:rsidR="0083224A">
      <w:rPr>
        <w:rStyle w:val="PageNumber"/>
        <w:b/>
        <w:noProof/>
      </w:rPr>
      <w:t>1</w:t>
    </w:r>
    <w:r w:rsidRPr="00AB2B2F">
      <w:rPr>
        <w:rStyle w:val="PageNumber"/>
        <w:b/>
      </w:rPr>
      <w:fldChar w:fldCharType="end"/>
    </w:r>
    <w:r w:rsidRPr="00AB2B2F">
      <w:rPr>
        <w:rStyle w:val="PageNumber"/>
        <w:b/>
      </w:rPr>
      <w:t xml:space="preserve"> of </w:t>
    </w:r>
    <w:r w:rsidRPr="00AB2B2F">
      <w:rPr>
        <w:rStyle w:val="PageNumber"/>
        <w:b/>
      </w:rPr>
      <w:fldChar w:fldCharType="begin"/>
    </w:r>
    <w:r w:rsidRPr="00AB2B2F">
      <w:rPr>
        <w:rStyle w:val="PageNumber"/>
        <w:b/>
      </w:rPr>
      <w:instrText xml:space="preserve"> NUMPAGES </w:instrText>
    </w:r>
    <w:r w:rsidRPr="00AB2B2F">
      <w:rPr>
        <w:rStyle w:val="PageNumber"/>
        <w:b/>
      </w:rPr>
      <w:fldChar w:fldCharType="separate"/>
    </w:r>
    <w:r w:rsidR="0083224A">
      <w:rPr>
        <w:rStyle w:val="PageNumber"/>
        <w:b/>
        <w:noProof/>
      </w:rPr>
      <w:t>8</w:t>
    </w:r>
    <w:r w:rsidRPr="00AB2B2F">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44D6C" w14:textId="5C1FED41" w:rsidR="114A30F8" w:rsidRDefault="114A30F8">
      <w:r>
        <w:separator/>
      </w:r>
    </w:p>
  </w:footnote>
  <w:footnote w:type="continuationSeparator" w:id="0">
    <w:p w14:paraId="1AA1ACA0" w14:textId="62DD7D47" w:rsidR="114A30F8" w:rsidRDefault="114A30F8">
      <w:r>
        <w:continuationSeparator/>
      </w:r>
    </w:p>
  </w:footnote>
  <w:footnote w:id="1">
    <w:p w14:paraId="1694B8AF" w14:textId="1CE724C3" w:rsidR="114A30F8" w:rsidRDefault="114A30F8" w:rsidP="114A30F8">
      <w:pPr>
        <w:pStyle w:val="FootnoteText"/>
      </w:pPr>
      <w:r w:rsidRPr="114A30F8">
        <w:rPr>
          <w:rStyle w:val="FootnoteReference"/>
        </w:rPr>
        <w:footnoteRef/>
      </w:r>
      <w:r>
        <w:t xml:space="preserve"> 2017-07 TPPT meeting report: </w:t>
      </w:r>
      <w:hyperlink r:id="rId1">
        <w:r w:rsidRPr="114A30F8">
          <w:rPr>
            <w:rStyle w:val="Hyperlink"/>
          </w:rPr>
          <w:t>https://www.ippc.int/en/publications/85139/</w:t>
        </w:r>
      </w:hyperlink>
      <w:r>
        <w:t xml:space="preserve"> </w:t>
      </w:r>
    </w:p>
  </w:footnote>
  <w:footnote w:id="2">
    <w:p w14:paraId="395BAC6D" w14:textId="35BF1B15" w:rsidR="114A30F8" w:rsidRDefault="114A30F8" w:rsidP="114A30F8">
      <w:pPr>
        <w:pStyle w:val="FootnoteText"/>
      </w:pPr>
      <w:r w:rsidRPr="114A30F8">
        <w:rPr>
          <w:rStyle w:val="FootnoteReference"/>
        </w:rPr>
        <w:footnoteRef/>
      </w:r>
      <w:r>
        <w:t xml:space="preserve"> 2018-06 TPPT meeting report: </w:t>
      </w:r>
      <w:hyperlink r:id="rId2">
        <w:r w:rsidRPr="114A30F8">
          <w:rPr>
            <w:rStyle w:val="Hyperlink"/>
          </w:rPr>
          <w:t>https://www.ippc.int/en/publications/86619/</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065E6" w14:textId="1D78D980" w:rsidR="00326AA5" w:rsidRDefault="00326AA5" w:rsidP="00326AA5">
    <w:pPr>
      <w:pStyle w:val="IPPHeader"/>
    </w:pPr>
    <w:r>
      <w:rPr>
        <w:rFonts w:cs="Arial"/>
        <w:szCs w:val="18"/>
      </w:rPr>
      <w:t>12_</w:t>
    </w:r>
    <w:r w:rsidRPr="006350FB">
      <w:rPr>
        <w:rFonts w:cs="Arial"/>
        <w:szCs w:val="18"/>
      </w:rPr>
      <w:t>TPPT_</w:t>
    </w:r>
    <w:r>
      <w:rPr>
        <w:rFonts w:cs="Arial"/>
        <w:szCs w:val="18"/>
      </w:rPr>
      <w:t>2020_Feb</w:t>
    </w:r>
    <w:r>
      <w:rPr>
        <w:rFonts w:cs="Arial"/>
        <w:szCs w:val="18"/>
      </w:rPr>
      <w:tab/>
    </w:r>
    <w:r w:rsidR="00BC2310">
      <w:t>Query on</w:t>
    </w:r>
    <w:r w:rsidR="00BC2310" w:rsidRPr="00BC2310">
      <w:t xml:space="preserve"> rejected submission on the heat treatment of wood c</w:t>
    </w:r>
    <w:r w:rsidR="00BC2310">
      <w:t>hips</w:t>
    </w:r>
  </w:p>
  <w:p w14:paraId="24CC675D" w14:textId="77777777" w:rsidR="00326AA5" w:rsidRDefault="00326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02AC2" w14:textId="69C3BBE2" w:rsidR="00BC2310" w:rsidRDefault="00BC2310" w:rsidP="00BC2310">
    <w:pPr>
      <w:pStyle w:val="IPPHeader"/>
    </w:pPr>
    <w:r>
      <w:t>Query on</w:t>
    </w:r>
    <w:r w:rsidRPr="00BC2310">
      <w:t xml:space="preserve"> rejected submission on the heat treatment of wood c</w:t>
    </w:r>
    <w:r>
      <w:t>hips</w:t>
    </w:r>
    <w:r>
      <w:ptab w:relativeTo="margin" w:alignment="right" w:leader="none"/>
    </w:r>
    <w:r>
      <w:rPr>
        <w:rFonts w:cs="Arial"/>
        <w:szCs w:val="18"/>
      </w:rPr>
      <w:t>12_</w:t>
    </w:r>
    <w:r w:rsidRPr="006350FB">
      <w:rPr>
        <w:rFonts w:cs="Arial"/>
        <w:szCs w:val="18"/>
      </w:rPr>
      <w:t>TPPT_</w:t>
    </w:r>
    <w:r>
      <w:rPr>
        <w:rFonts w:cs="Arial"/>
        <w:szCs w:val="18"/>
      </w:rPr>
      <w:t>2020_Feb</w:t>
    </w:r>
  </w:p>
  <w:p w14:paraId="75758EF4" w14:textId="77777777" w:rsidR="00BC2310" w:rsidRDefault="00BC2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31A4F" w14:textId="27DDAFD2" w:rsidR="00326AA5" w:rsidRDefault="00326AA5" w:rsidP="00326AA5">
    <w:pPr>
      <w:pStyle w:val="IPPHeader"/>
      <w:spacing w:after="0"/>
    </w:pPr>
    <w:r>
      <w:rPr>
        <w:noProof/>
      </w:rPr>
      <w:drawing>
        <wp:anchor distT="0" distB="0" distL="114300" distR="114300" simplePos="0" relativeHeight="251660288" behindDoc="0" locked="0" layoutInCell="1" allowOverlap="0" wp14:anchorId="6BE07120" wp14:editId="37C450C4">
          <wp:simplePos x="0" y="0"/>
          <wp:positionH relativeFrom="page">
            <wp:posOffset>-7620</wp:posOffset>
          </wp:positionH>
          <wp:positionV relativeFrom="paragraph">
            <wp:posOffset>-451485</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p>
  <w:p w14:paraId="390133C7" w14:textId="36538E60" w:rsidR="00326AA5" w:rsidRPr="007E13DC" w:rsidRDefault="00326AA5" w:rsidP="00326AA5">
    <w:pPr>
      <w:pStyle w:val="IPPHeader"/>
      <w:spacing w:after="0"/>
    </w:pPr>
    <w:r>
      <w:rPr>
        <w:noProof/>
      </w:rPr>
      <w:drawing>
        <wp:anchor distT="0" distB="0" distL="114300" distR="114300" simplePos="0" relativeHeight="251659264" behindDoc="0" locked="0" layoutInCell="1" allowOverlap="1" wp14:anchorId="7F428193" wp14:editId="01FA47C6">
          <wp:simplePos x="0" y="0"/>
          <wp:positionH relativeFrom="margin">
            <wp:posOffset>-594608</wp:posOffset>
          </wp:positionH>
          <wp:positionV relativeFrom="margin">
            <wp:posOffset>-427355</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7E13DC">
      <w:t xml:space="preserve">International </w:t>
    </w:r>
    <w:r>
      <w:t>Plant P</w:t>
    </w:r>
    <w:r w:rsidRPr="007E13DC">
      <w:t>rot</w:t>
    </w:r>
    <w:r>
      <w:t xml:space="preserve">ection Convention </w:t>
    </w:r>
    <w:r>
      <w:tab/>
    </w:r>
    <w:r>
      <w:rPr>
        <w:rFonts w:cs="Arial"/>
        <w:szCs w:val="18"/>
      </w:rPr>
      <w:t>12_</w:t>
    </w:r>
    <w:r w:rsidRPr="006350FB">
      <w:rPr>
        <w:rFonts w:cs="Arial"/>
        <w:szCs w:val="18"/>
      </w:rPr>
      <w:t>TPPT_</w:t>
    </w:r>
    <w:r>
      <w:rPr>
        <w:rFonts w:cs="Arial"/>
        <w:szCs w:val="18"/>
      </w:rPr>
      <w:t>2020_Feb</w:t>
    </w:r>
  </w:p>
  <w:p w14:paraId="41087DE8" w14:textId="461CBFBE" w:rsidR="00326AA5" w:rsidRPr="00326AA5" w:rsidRDefault="00BC2310" w:rsidP="00326AA5">
    <w:pPr>
      <w:pStyle w:val="IPPHeader"/>
      <w:rPr>
        <w:i/>
      </w:rPr>
    </w:pPr>
    <w:r>
      <w:t>Query on</w:t>
    </w:r>
    <w:r w:rsidRPr="00BC2310">
      <w:t xml:space="preserve"> rejected submission on the heat treatment of wood c</w:t>
    </w:r>
    <w:r>
      <w:t>hips</w:t>
    </w:r>
    <w:r w:rsidR="00326AA5">
      <w:rPr>
        <w:i/>
        <w:lang w:val="fr-FR"/>
      </w:rPr>
      <w:tab/>
      <w:t>Agenda item: 3.3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CB6"/>
    <w:rsid w:val="000A39F1"/>
    <w:rsid w:val="00317DA5"/>
    <w:rsid w:val="00326AA5"/>
    <w:rsid w:val="00334248"/>
    <w:rsid w:val="003D0847"/>
    <w:rsid w:val="006B3428"/>
    <w:rsid w:val="0083224A"/>
    <w:rsid w:val="009B4B0D"/>
    <w:rsid w:val="00A63CB6"/>
    <w:rsid w:val="00A8443F"/>
    <w:rsid w:val="00AB2B2F"/>
    <w:rsid w:val="00BC2310"/>
    <w:rsid w:val="00E14F8B"/>
    <w:rsid w:val="00F54CC9"/>
    <w:rsid w:val="00F86EE4"/>
    <w:rsid w:val="114A30F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211A"/>
  <w15:chartTrackingRefBased/>
  <w15:docId w15:val="{0F8F83E2-2517-4EE2-ABC9-0F1A2B6D0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24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3224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3224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3224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322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24A"/>
  </w:style>
  <w:style w:type="table" w:styleId="TableGrid">
    <w:name w:val="Table Grid"/>
    <w:basedOn w:val="TableNormal"/>
    <w:rsid w:val="0083224A"/>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83224A"/>
    <w:rPr>
      <w:vertAlign w:val="superscript"/>
    </w:rPr>
  </w:style>
  <w:style w:type="character" w:styleId="Hyperlink">
    <w:name w:val="Hyperlink"/>
    <w:basedOn w:val="DefaultParagraphFont"/>
    <w:uiPriority w:val="99"/>
    <w:unhideWhenUsed/>
    <w:rPr>
      <w:color w:val="0563C1" w:themeColor="hyperlink"/>
      <w:u w:val="single"/>
    </w:rPr>
  </w:style>
  <w:style w:type="character" w:customStyle="1" w:styleId="FootnoteTextChar">
    <w:name w:val="Footnote Text Char"/>
    <w:basedOn w:val="DefaultParagraphFont"/>
    <w:link w:val="FootnoteText"/>
    <w:semiHidden/>
    <w:rsid w:val="0083224A"/>
    <w:rPr>
      <w:rFonts w:ascii="Times New Roman" w:eastAsia="MS Mincho" w:hAnsi="Times New Roman" w:cs="Times New Roman"/>
      <w:sz w:val="20"/>
      <w:szCs w:val="24"/>
      <w:lang w:val="en-GB"/>
    </w:rPr>
  </w:style>
  <w:style w:type="paragraph" w:styleId="FootnoteText">
    <w:name w:val="footnote text"/>
    <w:basedOn w:val="Normal"/>
    <w:link w:val="FootnoteTextChar"/>
    <w:semiHidden/>
    <w:rsid w:val="0083224A"/>
    <w:pPr>
      <w:spacing w:before="60"/>
    </w:pPr>
    <w:rPr>
      <w:sz w:val="20"/>
    </w:rPr>
  </w:style>
  <w:style w:type="character" w:customStyle="1" w:styleId="Heading1Char">
    <w:name w:val="Heading 1 Char"/>
    <w:basedOn w:val="DefaultParagraphFont"/>
    <w:link w:val="Heading1"/>
    <w:rsid w:val="0083224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83224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3224A"/>
    <w:rPr>
      <w:rFonts w:ascii="Calibri" w:eastAsia="MS Mincho" w:hAnsi="Calibri" w:cs="Times New Roman"/>
      <w:b/>
      <w:bCs/>
      <w:sz w:val="26"/>
      <w:szCs w:val="26"/>
      <w:lang w:val="en-GB"/>
    </w:rPr>
  </w:style>
  <w:style w:type="paragraph" w:customStyle="1" w:styleId="Style">
    <w:name w:val="Style"/>
    <w:basedOn w:val="Footer"/>
    <w:autoRedefine/>
    <w:qFormat/>
    <w:rsid w:val="0083224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3224A"/>
    <w:pPr>
      <w:tabs>
        <w:tab w:val="center" w:pos="4680"/>
        <w:tab w:val="right" w:pos="9360"/>
      </w:tabs>
    </w:pPr>
  </w:style>
  <w:style w:type="character" w:customStyle="1" w:styleId="FooterChar">
    <w:name w:val="Footer Char"/>
    <w:basedOn w:val="DefaultParagraphFont"/>
    <w:link w:val="Footer"/>
    <w:rsid w:val="0083224A"/>
    <w:rPr>
      <w:rFonts w:ascii="Times New Roman" w:eastAsia="MS Mincho" w:hAnsi="Times New Roman" w:cs="Times New Roman"/>
      <w:szCs w:val="24"/>
      <w:lang w:val="en-GB"/>
    </w:rPr>
  </w:style>
  <w:style w:type="character" w:styleId="PageNumber">
    <w:name w:val="page number"/>
    <w:rsid w:val="0083224A"/>
    <w:rPr>
      <w:rFonts w:ascii="Arial" w:hAnsi="Arial"/>
      <w:b/>
      <w:sz w:val="18"/>
    </w:rPr>
  </w:style>
  <w:style w:type="paragraph" w:customStyle="1" w:styleId="IPPArialFootnote">
    <w:name w:val="IPP Arial Footnote"/>
    <w:basedOn w:val="IPPArialTable"/>
    <w:qFormat/>
    <w:rsid w:val="0083224A"/>
    <w:pPr>
      <w:tabs>
        <w:tab w:val="left" w:pos="28"/>
      </w:tabs>
      <w:ind w:left="284" w:hanging="284"/>
    </w:pPr>
    <w:rPr>
      <w:sz w:val="16"/>
    </w:rPr>
  </w:style>
  <w:style w:type="paragraph" w:customStyle="1" w:styleId="IPPContentsHead">
    <w:name w:val="IPP ContentsHead"/>
    <w:basedOn w:val="IPPSubhead"/>
    <w:next w:val="IPPNormal"/>
    <w:qFormat/>
    <w:rsid w:val="0083224A"/>
    <w:pPr>
      <w:spacing w:after="240"/>
    </w:pPr>
    <w:rPr>
      <w:sz w:val="24"/>
    </w:rPr>
  </w:style>
  <w:style w:type="paragraph" w:styleId="BalloonText">
    <w:name w:val="Balloon Text"/>
    <w:basedOn w:val="Normal"/>
    <w:link w:val="BalloonTextChar"/>
    <w:rsid w:val="0083224A"/>
    <w:rPr>
      <w:rFonts w:ascii="Tahoma" w:hAnsi="Tahoma" w:cs="Tahoma"/>
      <w:sz w:val="16"/>
      <w:szCs w:val="16"/>
    </w:rPr>
  </w:style>
  <w:style w:type="character" w:customStyle="1" w:styleId="BalloonTextChar">
    <w:name w:val="Balloon Text Char"/>
    <w:basedOn w:val="DefaultParagraphFont"/>
    <w:link w:val="BalloonText"/>
    <w:rsid w:val="0083224A"/>
    <w:rPr>
      <w:rFonts w:ascii="Tahoma" w:eastAsia="MS Mincho" w:hAnsi="Tahoma" w:cs="Tahoma"/>
      <w:sz w:val="16"/>
      <w:szCs w:val="16"/>
      <w:lang w:val="en-GB"/>
    </w:rPr>
  </w:style>
  <w:style w:type="paragraph" w:customStyle="1" w:styleId="IPPBullet2">
    <w:name w:val="IPP Bullet2"/>
    <w:basedOn w:val="IPPNormal"/>
    <w:next w:val="IPPBullet1"/>
    <w:qFormat/>
    <w:rsid w:val="0083224A"/>
    <w:pPr>
      <w:numPr>
        <w:numId w:val="5"/>
      </w:numPr>
      <w:tabs>
        <w:tab w:val="left" w:pos="1134"/>
      </w:tabs>
      <w:spacing w:after="60"/>
      <w:ind w:left="1134" w:hanging="567"/>
    </w:pPr>
  </w:style>
  <w:style w:type="paragraph" w:customStyle="1" w:styleId="IPPQuote">
    <w:name w:val="IPP Quote"/>
    <w:basedOn w:val="IPPNormal"/>
    <w:qFormat/>
    <w:rsid w:val="0083224A"/>
    <w:pPr>
      <w:ind w:left="851" w:right="851"/>
    </w:pPr>
    <w:rPr>
      <w:sz w:val="18"/>
    </w:rPr>
  </w:style>
  <w:style w:type="paragraph" w:customStyle="1" w:styleId="IPPNormal">
    <w:name w:val="IPP Normal"/>
    <w:basedOn w:val="Normal"/>
    <w:qFormat/>
    <w:rsid w:val="0083224A"/>
    <w:pPr>
      <w:spacing w:after="180"/>
    </w:pPr>
    <w:rPr>
      <w:rFonts w:eastAsia="Times"/>
    </w:rPr>
  </w:style>
  <w:style w:type="paragraph" w:customStyle="1" w:styleId="IPPIndentClose">
    <w:name w:val="IPP Indent Close"/>
    <w:basedOn w:val="IPPNormal"/>
    <w:qFormat/>
    <w:rsid w:val="0083224A"/>
    <w:pPr>
      <w:tabs>
        <w:tab w:val="left" w:pos="2835"/>
      </w:tabs>
      <w:spacing w:after="60"/>
      <w:ind w:left="567"/>
    </w:pPr>
  </w:style>
  <w:style w:type="paragraph" w:customStyle="1" w:styleId="IPPIndent">
    <w:name w:val="IPP Indent"/>
    <w:basedOn w:val="IPPIndentClose"/>
    <w:qFormat/>
    <w:rsid w:val="0083224A"/>
    <w:pPr>
      <w:spacing w:after="180"/>
    </w:pPr>
  </w:style>
  <w:style w:type="paragraph" w:customStyle="1" w:styleId="IPPFootnote">
    <w:name w:val="IPP Footnote"/>
    <w:basedOn w:val="IPPArialFootnote"/>
    <w:qFormat/>
    <w:rsid w:val="0083224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3224A"/>
    <w:pPr>
      <w:keepNext/>
      <w:tabs>
        <w:tab w:val="left" w:pos="567"/>
      </w:tabs>
      <w:spacing w:before="120" w:after="120"/>
      <w:ind w:left="567" w:hanging="567"/>
    </w:pPr>
    <w:rPr>
      <w:b/>
      <w:i/>
    </w:rPr>
  </w:style>
  <w:style w:type="character" w:customStyle="1" w:styleId="IPPnormalitalics">
    <w:name w:val="IPP normal italics"/>
    <w:basedOn w:val="DefaultParagraphFont"/>
    <w:rsid w:val="0083224A"/>
    <w:rPr>
      <w:rFonts w:ascii="Times New Roman" w:hAnsi="Times New Roman"/>
      <w:i/>
      <w:sz w:val="22"/>
      <w:lang w:val="en-US"/>
    </w:rPr>
  </w:style>
  <w:style w:type="character" w:customStyle="1" w:styleId="IPPNormalbold">
    <w:name w:val="IPP Normal bold"/>
    <w:basedOn w:val="PlainTextChar"/>
    <w:rsid w:val="0083224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3224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3224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3224A"/>
    <w:pPr>
      <w:keepNext/>
      <w:ind w:left="567" w:hanging="567"/>
      <w:jc w:val="left"/>
    </w:pPr>
    <w:rPr>
      <w:b/>
      <w:bCs/>
      <w:iCs/>
      <w:szCs w:val="22"/>
    </w:rPr>
  </w:style>
  <w:style w:type="character" w:customStyle="1" w:styleId="IPPNormalunderlined">
    <w:name w:val="IPP Normal underlined"/>
    <w:basedOn w:val="DefaultParagraphFont"/>
    <w:rsid w:val="0083224A"/>
    <w:rPr>
      <w:rFonts w:ascii="Times New Roman" w:hAnsi="Times New Roman"/>
      <w:sz w:val="22"/>
      <w:u w:val="single"/>
      <w:lang w:val="en-US"/>
    </w:rPr>
  </w:style>
  <w:style w:type="paragraph" w:customStyle="1" w:styleId="IPPBullet1">
    <w:name w:val="IPP Bullet1"/>
    <w:basedOn w:val="IPPBullet1Last"/>
    <w:qFormat/>
    <w:rsid w:val="0083224A"/>
    <w:pPr>
      <w:numPr>
        <w:numId w:val="18"/>
      </w:numPr>
      <w:spacing w:after="60"/>
      <w:ind w:left="567" w:hanging="567"/>
    </w:pPr>
    <w:rPr>
      <w:lang w:val="en-US"/>
    </w:rPr>
  </w:style>
  <w:style w:type="paragraph" w:customStyle="1" w:styleId="IPPBullet1Last">
    <w:name w:val="IPP Bullet1Last"/>
    <w:basedOn w:val="IPPNormal"/>
    <w:next w:val="IPPNormal"/>
    <w:autoRedefine/>
    <w:qFormat/>
    <w:rsid w:val="0083224A"/>
    <w:pPr>
      <w:numPr>
        <w:numId w:val="6"/>
      </w:numPr>
    </w:pPr>
  </w:style>
  <w:style w:type="character" w:customStyle="1" w:styleId="IPPNormalstrikethrough">
    <w:name w:val="IPP Normal strikethrough"/>
    <w:rsid w:val="0083224A"/>
    <w:rPr>
      <w:rFonts w:ascii="Times New Roman" w:hAnsi="Times New Roman"/>
      <w:strike/>
      <w:dstrike w:val="0"/>
      <w:sz w:val="22"/>
    </w:rPr>
  </w:style>
  <w:style w:type="paragraph" w:customStyle="1" w:styleId="IPPTitle16pt">
    <w:name w:val="IPP Title16pt"/>
    <w:basedOn w:val="Normal"/>
    <w:qFormat/>
    <w:rsid w:val="0083224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3224A"/>
    <w:pPr>
      <w:spacing w:after="360"/>
      <w:jc w:val="center"/>
    </w:pPr>
    <w:rPr>
      <w:rFonts w:ascii="Arial" w:hAnsi="Arial" w:cs="Arial"/>
      <w:b/>
      <w:bCs/>
      <w:sz w:val="36"/>
      <w:szCs w:val="36"/>
    </w:rPr>
  </w:style>
  <w:style w:type="paragraph" w:customStyle="1" w:styleId="IPPHeader">
    <w:name w:val="IPP Header"/>
    <w:basedOn w:val="Normal"/>
    <w:qFormat/>
    <w:rsid w:val="0083224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3224A"/>
    <w:pPr>
      <w:keepNext/>
      <w:tabs>
        <w:tab w:val="left" w:pos="567"/>
      </w:tabs>
      <w:spacing w:before="120"/>
      <w:jc w:val="left"/>
      <w:outlineLvl w:val="1"/>
    </w:pPr>
    <w:rPr>
      <w:b/>
      <w:sz w:val="24"/>
    </w:rPr>
  </w:style>
  <w:style w:type="numbering" w:customStyle="1" w:styleId="IPPParagraphnumberedlist">
    <w:name w:val="IPP Paragraph numbered list"/>
    <w:rsid w:val="0083224A"/>
    <w:pPr>
      <w:numPr>
        <w:numId w:val="4"/>
      </w:numPr>
    </w:pPr>
  </w:style>
  <w:style w:type="paragraph" w:customStyle="1" w:styleId="IPPNormalCloseSpace">
    <w:name w:val="IPP NormalCloseSpace"/>
    <w:basedOn w:val="Normal"/>
    <w:qFormat/>
    <w:rsid w:val="0083224A"/>
    <w:pPr>
      <w:keepNext/>
      <w:spacing w:after="60"/>
    </w:pPr>
  </w:style>
  <w:style w:type="paragraph" w:customStyle="1" w:styleId="IPPHeading2">
    <w:name w:val="IPP Heading2"/>
    <w:basedOn w:val="IPPNormal"/>
    <w:next w:val="IPPNormal"/>
    <w:qFormat/>
    <w:rsid w:val="0083224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3224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3224A"/>
    <w:pPr>
      <w:tabs>
        <w:tab w:val="right" w:leader="dot" w:pos="9072"/>
      </w:tabs>
      <w:spacing w:before="240"/>
      <w:ind w:left="567" w:hanging="567"/>
    </w:pPr>
  </w:style>
  <w:style w:type="paragraph" w:styleId="TOC2">
    <w:name w:val="toc 2"/>
    <w:basedOn w:val="TOC1"/>
    <w:next w:val="Normal"/>
    <w:autoRedefine/>
    <w:uiPriority w:val="39"/>
    <w:rsid w:val="0083224A"/>
    <w:pPr>
      <w:keepNext w:val="0"/>
      <w:tabs>
        <w:tab w:val="left" w:pos="425"/>
      </w:tabs>
      <w:spacing w:before="120" w:after="0"/>
      <w:ind w:left="425" w:right="284" w:hanging="425"/>
    </w:pPr>
  </w:style>
  <w:style w:type="paragraph" w:styleId="TOC3">
    <w:name w:val="toc 3"/>
    <w:basedOn w:val="TOC2"/>
    <w:next w:val="Normal"/>
    <w:autoRedefine/>
    <w:uiPriority w:val="39"/>
    <w:rsid w:val="0083224A"/>
    <w:pPr>
      <w:tabs>
        <w:tab w:val="left" w:pos="1276"/>
      </w:tabs>
      <w:spacing w:before="60"/>
      <w:ind w:left="1276" w:hanging="851"/>
    </w:pPr>
    <w:rPr>
      <w:rFonts w:eastAsia="Times"/>
    </w:rPr>
  </w:style>
  <w:style w:type="paragraph" w:styleId="TOC4">
    <w:name w:val="toc 4"/>
    <w:basedOn w:val="Normal"/>
    <w:next w:val="Normal"/>
    <w:autoRedefine/>
    <w:uiPriority w:val="39"/>
    <w:rsid w:val="0083224A"/>
    <w:pPr>
      <w:spacing w:after="120"/>
      <w:ind w:left="660"/>
    </w:pPr>
    <w:rPr>
      <w:rFonts w:eastAsia="Times"/>
      <w:lang w:val="en-AU"/>
    </w:rPr>
  </w:style>
  <w:style w:type="paragraph" w:styleId="TOC5">
    <w:name w:val="toc 5"/>
    <w:basedOn w:val="Normal"/>
    <w:next w:val="Normal"/>
    <w:autoRedefine/>
    <w:uiPriority w:val="39"/>
    <w:rsid w:val="0083224A"/>
    <w:pPr>
      <w:spacing w:after="120"/>
      <w:ind w:left="880"/>
    </w:pPr>
    <w:rPr>
      <w:rFonts w:eastAsia="Times"/>
      <w:lang w:val="en-AU"/>
    </w:rPr>
  </w:style>
  <w:style w:type="paragraph" w:styleId="TOC6">
    <w:name w:val="toc 6"/>
    <w:basedOn w:val="Normal"/>
    <w:next w:val="Normal"/>
    <w:autoRedefine/>
    <w:uiPriority w:val="39"/>
    <w:rsid w:val="0083224A"/>
    <w:pPr>
      <w:spacing w:after="120"/>
      <w:ind w:left="1100"/>
    </w:pPr>
    <w:rPr>
      <w:rFonts w:eastAsia="Times"/>
      <w:lang w:val="en-AU"/>
    </w:rPr>
  </w:style>
  <w:style w:type="paragraph" w:styleId="TOC7">
    <w:name w:val="toc 7"/>
    <w:basedOn w:val="Normal"/>
    <w:next w:val="Normal"/>
    <w:autoRedefine/>
    <w:uiPriority w:val="39"/>
    <w:rsid w:val="0083224A"/>
    <w:pPr>
      <w:spacing w:after="120"/>
      <w:ind w:left="1320"/>
    </w:pPr>
    <w:rPr>
      <w:rFonts w:eastAsia="Times"/>
      <w:lang w:val="en-AU"/>
    </w:rPr>
  </w:style>
  <w:style w:type="paragraph" w:styleId="TOC8">
    <w:name w:val="toc 8"/>
    <w:basedOn w:val="Normal"/>
    <w:next w:val="Normal"/>
    <w:autoRedefine/>
    <w:uiPriority w:val="39"/>
    <w:rsid w:val="0083224A"/>
    <w:pPr>
      <w:spacing w:after="120"/>
      <w:ind w:left="1540"/>
    </w:pPr>
    <w:rPr>
      <w:rFonts w:eastAsia="Times"/>
      <w:lang w:val="en-AU"/>
    </w:rPr>
  </w:style>
  <w:style w:type="paragraph" w:styleId="TOC9">
    <w:name w:val="toc 9"/>
    <w:basedOn w:val="Normal"/>
    <w:next w:val="Normal"/>
    <w:autoRedefine/>
    <w:uiPriority w:val="39"/>
    <w:rsid w:val="0083224A"/>
    <w:pPr>
      <w:spacing w:after="120"/>
      <w:ind w:left="1760"/>
    </w:pPr>
    <w:rPr>
      <w:rFonts w:eastAsia="Times"/>
      <w:lang w:val="en-AU"/>
    </w:rPr>
  </w:style>
  <w:style w:type="paragraph" w:customStyle="1" w:styleId="IPPReferences">
    <w:name w:val="IPP References"/>
    <w:basedOn w:val="IPPNormal"/>
    <w:qFormat/>
    <w:rsid w:val="0083224A"/>
    <w:pPr>
      <w:spacing w:after="60"/>
      <w:ind w:left="567" w:hanging="567"/>
    </w:pPr>
  </w:style>
  <w:style w:type="paragraph" w:customStyle="1" w:styleId="IPPArial">
    <w:name w:val="IPP Arial"/>
    <w:basedOn w:val="IPPNormal"/>
    <w:qFormat/>
    <w:rsid w:val="0083224A"/>
    <w:pPr>
      <w:spacing w:after="0"/>
    </w:pPr>
    <w:rPr>
      <w:rFonts w:ascii="Arial" w:hAnsi="Arial"/>
      <w:sz w:val="18"/>
    </w:rPr>
  </w:style>
  <w:style w:type="paragraph" w:customStyle="1" w:styleId="IPPArialTable">
    <w:name w:val="IPP Arial Table"/>
    <w:basedOn w:val="IPPArial"/>
    <w:qFormat/>
    <w:rsid w:val="0083224A"/>
    <w:pPr>
      <w:spacing w:before="60" w:after="60"/>
      <w:jc w:val="left"/>
    </w:pPr>
  </w:style>
  <w:style w:type="paragraph" w:customStyle="1" w:styleId="IPPHeaderlandscape">
    <w:name w:val="IPP Header landscape"/>
    <w:basedOn w:val="IPPHeader"/>
    <w:qFormat/>
    <w:rsid w:val="0083224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3224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3224A"/>
    <w:rPr>
      <w:rFonts w:ascii="Courier" w:eastAsia="Times" w:hAnsi="Courier" w:cs="Times New Roman"/>
      <w:sz w:val="21"/>
      <w:szCs w:val="21"/>
      <w:lang w:val="en-AU"/>
    </w:rPr>
  </w:style>
  <w:style w:type="paragraph" w:customStyle="1" w:styleId="IPPLetterList">
    <w:name w:val="IPP LetterList"/>
    <w:basedOn w:val="IPPBullet2"/>
    <w:qFormat/>
    <w:rsid w:val="0083224A"/>
    <w:pPr>
      <w:numPr>
        <w:numId w:val="1"/>
      </w:numPr>
      <w:jc w:val="left"/>
    </w:pPr>
  </w:style>
  <w:style w:type="paragraph" w:customStyle="1" w:styleId="IPPLetterListIndent">
    <w:name w:val="IPP LetterList Indent"/>
    <w:basedOn w:val="IPPLetterList"/>
    <w:qFormat/>
    <w:rsid w:val="0083224A"/>
    <w:pPr>
      <w:numPr>
        <w:numId w:val="2"/>
      </w:numPr>
    </w:pPr>
  </w:style>
  <w:style w:type="paragraph" w:customStyle="1" w:styleId="IPPFooterLandscape">
    <w:name w:val="IPP Footer Landscape"/>
    <w:basedOn w:val="IPPHeaderlandscape"/>
    <w:qFormat/>
    <w:rsid w:val="0083224A"/>
    <w:pPr>
      <w:pBdr>
        <w:top w:val="single" w:sz="4" w:space="1" w:color="auto"/>
        <w:bottom w:val="none" w:sz="0" w:space="0" w:color="auto"/>
      </w:pBdr>
      <w:jc w:val="right"/>
    </w:pPr>
    <w:rPr>
      <w:b/>
    </w:rPr>
  </w:style>
  <w:style w:type="paragraph" w:customStyle="1" w:styleId="IPPSubheadSpace">
    <w:name w:val="IPP Subhead Space"/>
    <w:basedOn w:val="IPPSubhead"/>
    <w:qFormat/>
    <w:rsid w:val="0083224A"/>
    <w:pPr>
      <w:tabs>
        <w:tab w:val="left" w:pos="567"/>
      </w:tabs>
      <w:spacing w:before="60" w:after="60"/>
    </w:pPr>
  </w:style>
  <w:style w:type="paragraph" w:customStyle="1" w:styleId="IPPSubheadSpaceAfter">
    <w:name w:val="IPP Subhead SpaceAfter"/>
    <w:basedOn w:val="IPPSubhead"/>
    <w:qFormat/>
    <w:rsid w:val="0083224A"/>
    <w:pPr>
      <w:spacing w:after="60"/>
    </w:pPr>
  </w:style>
  <w:style w:type="paragraph" w:customStyle="1" w:styleId="IPPHdg1Num">
    <w:name w:val="IPP Hdg1Num"/>
    <w:basedOn w:val="IPPHeading1"/>
    <w:next w:val="IPPNormal"/>
    <w:qFormat/>
    <w:rsid w:val="0083224A"/>
    <w:pPr>
      <w:numPr>
        <w:numId w:val="7"/>
      </w:numPr>
    </w:pPr>
  </w:style>
  <w:style w:type="paragraph" w:customStyle="1" w:styleId="IPPHdg2Num">
    <w:name w:val="IPP Hdg2Num"/>
    <w:basedOn w:val="IPPHeading2"/>
    <w:next w:val="IPPNormal"/>
    <w:qFormat/>
    <w:rsid w:val="0083224A"/>
    <w:pPr>
      <w:numPr>
        <w:ilvl w:val="1"/>
        <w:numId w:val="8"/>
      </w:numPr>
    </w:pPr>
  </w:style>
  <w:style w:type="paragraph" w:customStyle="1" w:styleId="IPPNumberedList">
    <w:name w:val="IPP NumberedList"/>
    <w:basedOn w:val="IPPBullet1"/>
    <w:qFormat/>
    <w:rsid w:val="0083224A"/>
    <w:pPr>
      <w:numPr>
        <w:numId w:val="16"/>
      </w:numPr>
    </w:pPr>
  </w:style>
  <w:style w:type="paragraph" w:styleId="Header">
    <w:name w:val="header"/>
    <w:basedOn w:val="Normal"/>
    <w:link w:val="HeaderChar"/>
    <w:rsid w:val="0083224A"/>
    <w:pPr>
      <w:tabs>
        <w:tab w:val="center" w:pos="4680"/>
        <w:tab w:val="right" w:pos="9360"/>
      </w:tabs>
    </w:pPr>
  </w:style>
  <w:style w:type="character" w:customStyle="1" w:styleId="HeaderChar">
    <w:name w:val="Header Char"/>
    <w:basedOn w:val="DefaultParagraphFont"/>
    <w:link w:val="Header"/>
    <w:rsid w:val="0083224A"/>
    <w:rPr>
      <w:rFonts w:ascii="Times New Roman" w:eastAsia="MS Mincho" w:hAnsi="Times New Roman" w:cs="Times New Roman"/>
      <w:szCs w:val="24"/>
      <w:lang w:val="en-GB"/>
    </w:rPr>
  </w:style>
  <w:style w:type="character" w:styleId="Strong">
    <w:name w:val="Strong"/>
    <w:basedOn w:val="DefaultParagraphFont"/>
    <w:qFormat/>
    <w:rsid w:val="0083224A"/>
    <w:rPr>
      <w:b/>
      <w:bCs/>
    </w:rPr>
  </w:style>
  <w:style w:type="paragraph" w:styleId="ListParagraph">
    <w:name w:val="List Paragraph"/>
    <w:basedOn w:val="Normal"/>
    <w:uiPriority w:val="34"/>
    <w:qFormat/>
    <w:rsid w:val="0083224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3224A"/>
    <w:pPr>
      <w:numPr>
        <w:numId w:val="10"/>
      </w:numPr>
    </w:pPr>
    <w:rPr>
      <w:lang w:val="en-US"/>
    </w:rPr>
  </w:style>
  <w:style w:type="paragraph" w:customStyle="1" w:styleId="IPPParagraphnumberingclose">
    <w:name w:val="IPP Paragraph numbering close"/>
    <w:basedOn w:val="IPPParagraphnumbering"/>
    <w:qFormat/>
    <w:rsid w:val="0083224A"/>
    <w:pPr>
      <w:keepNext/>
      <w:spacing w:after="60"/>
    </w:pPr>
  </w:style>
  <w:style w:type="paragraph" w:customStyle="1" w:styleId="IPPNumberedListLast">
    <w:name w:val="IPP NumberedListLast"/>
    <w:basedOn w:val="IPPNumberedList"/>
    <w:qFormat/>
    <w:rsid w:val="0083224A"/>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6619/" TargetMode="External"/><Relationship Id="rId1" Type="http://schemas.openxmlformats.org/officeDocument/2006/relationships/hyperlink" Target="https://www.ippc.int/en/publications/8513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BC28A-A5D5-4C52-9BB4-F7966AC2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8</Pages>
  <Words>3730</Words>
  <Characters>21262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Ministry for Primary Industries</Company>
  <LinksUpToDate>false</LinksUpToDate>
  <CharactersWithSpaces>24943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Ormsby</dc:creator>
  <cp:keywords/>
  <dc:description/>
  <cp:lastModifiedBy>Cassin, Aoife (AGDI)</cp:lastModifiedBy>
  <cp:revision>5</cp:revision>
  <dcterms:created xsi:type="dcterms:W3CDTF">2020-02-03T15:55:00Z</dcterms:created>
  <dcterms:modified xsi:type="dcterms:W3CDTF">2020-02-03T16:01:00Z</dcterms:modified>
</cp:coreProperties>
</file>