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380E8F" w14:textId="77777777" w:rsidR="002A0877" w:rsidRDefault="002A0877" w:rsidP="002A0877">
      <w:pPr>
        <w:pStyle w:val="IPPHeadSection"/>
        <w:tabs>
          <w:tab w:val="clear" w:pos="851"/>
        </w:tabs>
        <w:spacing w:before="0" w:after="0"/>
        <w:ind w:left="0" w:firstLine="0"/>
        <w:jc w:val="center"/>
        <w:rPr>
          <w:szCs w:val="24"/>
        </w:rPr>
      </w:pPr>
      <w:r>
        <w:rPr>
          <w:szCs w:val="24"/>
        </w:rPr>
        <w:t>Background document for SC e-decision</w:t>
      </w:r>
    </w:p>
    <w:p w14:paraId="5B933973" w14:textId="77777777" w:rsidR="002A0877" w:rsidRDefault="002A0877" w:rsidP="002A0877">
      <w:pPr>
        <w:pStyle w:val="IPPHeadSection"/>
        <w:spacing w:before="0" w:after="0"/>
        <w:ind w:left="0" w:firstLine="0"/>
        <w:jc w:val="center"/>
        <w:rPr>
          <w:sz w:val="22"/>
        </w:rPr>
      </w:pPr>
    </w:p>
    <w:p w14:paraId="3A0FCA48" w14:textId="06061B21" w:rsidR="002A0877" w:rsidRPr="0040048A" w:rsidRDefault="002A0877" w:rsidP="002A0877">
      <w:pPr>
        <w:pStyle w:val="IPPHeadSection"/>
        <w:spacing w:before="0" w:after="0"/>
        <w:ind w:left="0" w:firstLine="0"/>
        <w:jc w:val="center"/>
        <w:rPr>
          <w:sz w:val="22"/>
        </w:rPr>
      </w:pPr>
      <w:r w:rsidRPr="00E61439">
        <w:rPr>
          <w:sz w:val="22"/>
        </w:rPr>
        <w:t>(</w:t>
      </w:r>
      <w:r w:rsidRPr="00BE03DF">
        <w:rPr>
          <w:sz w:val="22"/>
        </w:rPr>
        <w:t>20</w:t>
      </w:r>
      <w:r>
        <w:rPr>
          <w:sz w:val="22"/>
        </w:rPr>
        <w:t>20_</w:t>
      </w:r>
      <w:r>
        <w:rPr>
          <w:caps w:val="0"/>
          <w:sz w:val="22"/>
        </w:rPr>
        <w:t>e</w:t>
      </w:r>
      <w:r>
        <w:rPr>
          <w:sz w:val="22"/>
        </w:rPr>
        <w:t>SC_Nov_03</w:t>
      </w:r>
      <w:r w:rsidRPr="00E61439">
        <w:rPr>
          <w:sz w:val="22"/>
        </w:rPr>
        <w:t>)</w:t>
      </w:r>
    </w:p>
    <w:p w14:paraId="141A69F7" w14:textId="3B27B5C0" w:rsidR="001A2E3D" w:rsidRDefault="001A2E3D" w:rsidP="002A0877">
      <w:pPr>
        <w:pStyle w:val="IPPContentsHead"/>
        <w:spacing w:before="120"/>
        <w:ind w:left="562" w:hanging="562"/>
        <w:jc w:val="center"/>
      </w:pPr>
      <w:r w:rsidRPr="001A2E3D">
        <w:t>Possible ways to streamline the development processes of technical panels</w:t>
      </w:r>
    </w:p>
    <w:p w14:paraId="48895500" w14:textId="2EA6766A" w:rsidR="0021380C" w:rsidRDefault="001A2E3D" w:rsidP="009F792F">
      <w:pPr>
        <w:pStyle w:val="IPPNormal"/>
        <w:jc w:val="center"/>
      </w:pPr>
      <w:r w:rsidRPr="009F792F">
        <w:rPr>
          <w:rStyle w:val="IPPnormalitalics"/>
        </w:rPr>
        <w:t>(Prepared by IPPC Secretariat based on the discussion at TPDP, TPPT and TPG)</w:t>
      </w:r>
    </w:p>
    <w:p w14:paraId="119969A7" w14:textId="54A27705" w:rsidR="00254DAE" w:rsidRPr="00C11A04" w:rsidRDefault="001F4B8A" w:rsidP="009F792F">
      <w:pPr>
        <w:pStyle w:val="IPPHeadSection"/>
      </w:pPr>
      <w:r>
        <w:t>1</w:t>
      </w:r>
      <w:r w:rsidR="00931082">
        <w:t>.</w:t>
      </w:r>
      <w:r w:rsidR="00931082">
        <w:tab/>
        <w:t>Background</w:t>
      </w:r>
    </w:p>
    <w:p w14:paraId="5DF6AC59" w14:textId="5BC918E4" w:rsidR="001A2E3D" w:rsidRDefault="001A2E3D" w:rsidP="001A2E3D">
      <w:pPr>
        <w:pStyle w:val="IPPParagraphnumbering"/>
      </w:pPr>
      <w:r>
        <w:t>During a strategic discussion on the work of the technical panels</w:t>
      </w:r>
      <w:r w:rsidR="007D3411">
        <w:t xml:space="preserve"> (TPs)</w:t>
      </w:r>
      <w:r>
        <w:t xml:space="preserve">, the Standards Committee (SC) in their May </w:t>
      </w:r>
      <w:r w:rsidR="00530E39" w:rsidRPr="00530E39">
        <w:rPr>
          <w:lang w:val="en-GB"/>
        </w:rPr>
        <w:t>2019 meeting</w:t>
      </w:r>
      <w:r w:rsidR="00530E39" w:rsidRPr="00530E39">
        <w:rPr>
          <w:vertAlign w:val="superscript"/>
          <w:lang w:val="en-GB"/>
        </w:rPr>
        <w:footnoteReference w:id="1"/>
      </w:r>
      <w:r w:rsidR="00530E39" w:rsidRPr="00530E39">
        <w:rPr>
          <w:lang w:val="en-GB"/>
        </w:rPr>
        <w:t xml:space="preserve"> </w:t>
      </w:r>
      <w:r>
        <w:t>discussed the impact of the new IPPC strategic framework 2020</w:t>
      </w:r>
      <w:r w:rsidR="00141366">
        <w:t>-</w:t>
      </w:r>
      <w:r>
        <w:t>2030. The SC asked the stewards of the respective panels to discuss the impact of the new strategic framework with their panels, including with regards to the potential need to revise their terms of reference.</w:t>
      </w:r>
    </w:p>
    <w:p w14:paraId="5B3EAC8B" w14:textId="69A4AD4B" w:rsidR="001A2E3D" w:rsidRDefault="00B10132" w:rsidP="001A2E3D">
      <w:pPr>
        <w:pStyle w:val="IPPParagraphnumbering"/>
      </w:pPr>
      <w:r>
        <w:t xml:space="preserve">With regards to </w:t>
      </w:r>
      <w:r w:rsidR="00530E39" w:rsidRPr="00C006A3">
        <w:rPr>
          <w:lang w:val="en-GB"/>
        </w:rPr>
        <w:t>phytosanitary treatments</w:t>
      </w:r>
      <w:r w:rsidR="00C006A3">
        <w:rPr>
          <w:lang w:val="en-GB"/>
        </w:rPr>
        <w:t xml:space="preserve"> </w:t>
      </w:r>
      <w:r w:rsidR="00C006A3">
        <w:t>(PTs)</w:t>
      </w:r>
      <w:r w:rsidR="006125E3">
        <w:t>, the</w:t>
      </w:r>
      <w:r w:rsidR="00C006A3">
        <w:t xml:space="preserve"> </w:t>
      </w:r>
      <w:r w:rsidR="001A2E3D">
        <w:t xml:space="preserve">SC discussed how </w:t>
      </w:r>
      <w:r w:rsidR="006125E3">
        <w:t>PTs</w:t>
      </w:r>
      <w:r w:rsidR="001A2E3D">
        <w:t xml:space="preserve"> could be expanded to include more historical treatments and not only new treatments (half of which are irradiation treatments), and increase the range of treatments so that they cover commodities or groups of pests. Some SC members, however, recalled that some treatments commonly used are not adequately supported by efficacy data, and so might merit further work. A suggestion was made to prioritize generic treatments, as these will be needed in the context of the commodity standards that will be developed. </w:t>
      </w:r>
    </w:p>
    <w:p w14:paraId="66E025DD" w14:textId="079F48C3" w:rsidR="00530E39" w:rsidRDefault="00530E39" w:rsidP="001A2E3D">
      <w:pPr>
        <w:pStyle w:val="IPPParagraphnumbering"/>
      </w:pPr>
      <w:r>
        <w:t>In relation to diagnostic protocols</w:t>
      </w:r>
      <w:r w:rsidR="000639C4">
        <w:t xml:space="preserve"> (DPs)</w:t>
      </w:r>
      <w:r>
        <w:t>, s</w:t>
      </w:r>
      <w:r w:rsidR="001A2E3D">
        <w:t xml:space="preserve">ome SC members highlighted the difficulties that arise because the development process for DPs is long. </w:t>
      </w:r>
      <w:r w:rsidRPr="00167D03">
        <w:t xml:space="preserve">Contracting </w:t>
      </w:r>
      <w:r w:rsidR="00971EA2">
        <w:t>P</w:t>
      </w:r>
      <w:r w:rsidR="00971EA2" w:rsidRPr="00167D03">
        <w:t xml:space="preserve">arties </w:t>
      </w:r>
      <w:r w:rsidR="00971EA2">
        <w:t xml:space="preserve">(CPs) </w:t>
      </w:r>
      <w:r w:rsidRPr="00167D03">
        <w:t xml:space="preserve">may be left without DPs for emerging and fast-spreading pests, which can lead some </w:t>
      </w:r>
      <w:r w:rsidR="00971EA2">
        <w:t>CPs</w:t>
      </w:r>
      <w:r w:rsidRPr="00167D03">
        <w:t xml:space="preserve"> to develop their own protocols in the meantime without global harmonization. This raised </w:t>
      </w:r>
      <w:r w:rsidR="009C365C">
        <w:t>a</w:t>
      </w:r>
      <w:r w:rsidR="009C365C" w:rsidRPr="00167D03">
        <w:t xml:space="preserve"> </w:t>
      </w:r>
      <w:r w:rsidRPr="00167D03">
        <w:t xml:space="preserve">question of whether subjects for DPs for emerging pests should be prioritized in the work programme of the </w:t>
      </w:r>
      <w:r>
        <w:t>Technical Panel on Diagnostic Protocols (</w:t>
      </w:r>
      <w:r w:rsidRPr="00167D03">
        <w:t>TPDP</w:t>
      </w:r>
      <w:r>
        <w:t>)</w:t>
      </w:r>
      <w:r w:rsidRPr="00167D03">
        <w:t xml:space="preserve">. </w:t>
      </w:r>
    </w:p>
    <w:p w14:paraId="4DC3BE15" w14:textId="04B70ACE" w:rsidR="00530E39" w:rsidRDefault="001A2E3D" w:rsidP="000A0BBC">
      <w:pPr>
        <w:pStyle w:val="IPPParagraphnumbering"/>
      </w:pPr>
      <w:r>
        <w:t xml:space="preserve">The Secretariat confirmed that it could provide an analysis of how long it takes to develop a DP or PT through to adoption, in order to facilitate an evaluation of where the process could be shortened, with the input from the </w:t>
      </w:r>
      <w:r w:rsidR="007D3411">
        <w:t>TPs</w:t>
      </w:r>
      <w:r>
        <w:t xml:space="preserve"> to suggest options for shortening the process without altering the quali</w:t>
      </w:r>
      <w:r w:rsidR="00530E39">
        <w:t>ty of these technical standards</w:t>
      </w:r>
      <w:r w:rsidR="00530E39" w:rsidRPr="00530E39">
        <w:t>, although it was recalled that DPs already have a special process for their development.</w:t>
      </w:r>
    </w:p>
    <w:p w14:paraId="375A48E0" w14:textId="7FA4E2A7" w:rsidR="001A2E3D" w:rsidRDefault="001A2E3D" w:rsidP="001A2E3D">
      <w:pPr>
        <w:pStyle w:val="IPPParagraphnumbering"/>
      </w:pPr>
      <w:r>
        <w:t xml:space="preserve">The SC invited the </w:t>
      </w:r>
      <w:r w:rsidR="007D3411">
        <w:t>TPs</w:t>
      </w:r>
      <w:r>
        <w:t xml:space="preserve"> to comment on the potential impact of the IPPC </w:t>
      </w:r>
      <w:r w:rsidR="00BF69B4">
        <w:t xml:space="preserve">Strategic Framework </w:t>
      </w:r>
      <w:r>
        <w:t>2020</w:t>
      </w:r>
      <w:r w:rsidR="007D3411">
        <w:t>-</w:t>
      </w:r>
      <w:r>
        <w:t>2030 on their work and to comment on possible ways to shorten the length of time it takes</w:t>
      </w:r>
      <w:r w:rsidR="00ED7265">
        <w:t xml:space="preserve"> to develop technical standards</w:t>
      </w:r>
      <w:r>
        <w:t>.</w:t>
      </w:r>
    </w:p>
    <w:p w14:paraId="749B35EB" w14:textId="64A19DF0" w:rsidR="001A2E3D" w:rsidRDefault="001A2E3D" w:rsidP="009F792F">
      <w:pPr>
        <w:pStyle w:val="IPPHeadSection"/>
      </w:pPr>
      <w:r>
        <w:lastRenderedPageBreak/>
        <w:t xml:space="preserve">2. </w:t>
      </w:r>
      <w:r w:rsidRPr="00AC1406">
        <w:t>Possible ways to shorten the length of time to develop diagnostic protocols, particularly in the case of emerging pests</w:t>
      </w:r>
    </w:p>
    <w:p w14:paraId="12C1FECC" w14:textId="588BAFAC" w:rsidR="00EB5A42" w:rsidRPr="00167D03" w:rsidRDefault="00EB5A42" w:rsidP="001A377E">
      <w:pPr>
        <w:pStyle w:val="IPPHeading1"/>
        <w:ind w:left="562" w:hanging="562"/>
      </w:pPr>
      <w:r>
        <w:t>2.</w:t>
      </w:r>
      <w:r w:rsidR="001A2E3D">
        <w:t xml:space="preserve">1 </w:t>
      </w:r>
      <w:r>
        <w:t>Analysis of DP development by Secretariat</w:t>
      </w:r>
    </w:p>
    <w:p w14:paraId="29199A0B" w14:textId="610225ED" w:rsidR="00167D03" w:rsidRDefault="00167D03" w:rsidP="001A377E">
      <w:pPr>
        <w:pStyle w:val="IPPParagraphnumbering"/>
        <w:keepNext/>
        <w:keepLines/>
        <w:spacing w:after="120"/>
        <w:ind w:hanging="475"/>
      </w:pPr>
      <w:r>
        <w:t xml:space="preserve">As of </w:t>
      </w:r>
      <w:r w:rsidR="00225E6E">
        <w:t>June</w:t>
      </w:r>
      <w:r w:rsidR="00884A6C">
        <w:t xml:space="preserve"> 2020</w:t>
      </w:r>
      <w:r>
        <w:t>, there are 29 DPs adopted</w:t>
      </w:r>
      <w:r w:rsidR="00FA5163">
        <w:t xml:space="preserve">, </w:t>
      </w:r>
      <w:r w:rsidR="00F063C9">
        <w:t>one</w:t>
      </w:r>
      <w:r w:rsidR="005A53E1">
        <w:t xml:space="preserve"> </w:t>
      </w:r>
      <w:r w:rsidR="00FA5163">
        <w:t xml:space="preserve">of which </w:t>
      </w:r>
      <w:r w:rsidR="005A53E1">
        <w:t>(DP</w:t>
      </w:r>
      <w:r w:rsidR="00FE5CC6">
        <w:t> </w:t>
      </w:r>
      <w:r w:rsidR="005A53E1">
        <w:t>2</w:t>
      </w:r>
      <w:r w:rsidR="000305BF">
        <w:t>:</w:t>
      </w:r>
      <w:r w:rsidR="005A53E1">
        <w:t xml:space="preserve"> </w:t>
      </w:r>
      <w:r w:rsidR="005A53E1" w:rsidRPr="0067560C">
        <w:rPr>
          <w:i/>
        </w:rPr>
        <w:t>Plum pox virus</w:t>
      </w:r>
      <w:r w:rsidR="005A53E1">
        <w:t>)</w:t>
      </w:r>
      <w:r w:rsidR="00F801C5">
        <w:t xml:space="preserve"> was </w:t>
      </w:r>
      <w:r w:rsidR="00FE5CC6">
        <w:t>adopted in 2018, upon revision</w:t>
      </w:r>
      <w:r>
        <w:t xml:space="preserve">. </w:t>
      </w:r>
      <w:r w:rsidR="00EB5A42">
        <w:t>Figure</w:t>
      </w:r>
      <w:r w:rsidR="00FE5CC6">
        <w:t> </w:t>
      </w:r>
      <w:r w:rsidR="00F3275B">
        <w:t xml:space="preserve">1 </w:t>
      </w:r>
      <w:r>
        <w:t xml:space="preserve">shows the </w:t>
      </w:r>
      <w:r w:rsidR="00EB5A42">
        <w:t xml:space="preserve">cumulative </w:t>
      </w:r>
      <w:r>
        <w:t xml:space="preserve">number </w:t>
      </w:r>
      <w:r w:rsidR="00EB5A42">
        <w:t>of adopted DPs</w:t>
      </w:r>
      <w:r w:rsidR="005A53E1">
        <w:t>.</w:t>
      </w:r>
      <w:r w:rsidR="00EB5A42">
        <w:t xml:space="preserve"> </w:t>
      </w:r>
      <w:r w:rsidR="007565F7">
        <w:t>ISPM</w:t>
      </w:r>
      <w:r w:rsidR="00FE5CC6">
        <w:t> </w:t>
      </w:r>
      <w:r w:rsidR="007565F7">
        <w:t xml:space="preserve">27 </w:t>
      </w:r>
      <w:r w:rsidR="00F063C9">
        <w:t>(</w:t>
      </w:r>
      <w:r w:rsidR="00F063C9" w:rsidRPr="0067560C">
        <w:rPr>
          <w:i/>
        </w:rPr>
        <w:t>Diagnostic protocols for regulated pests</w:t>
      </w:r>
      <w:r w:rsidR="00F063C9">
        <w:t>)</w:t>
      </w:r>
      <w:r w:rsidR="00F063C9" w:rsidRPr="00F063C9">
        <w:t xml:space="preserve"> </w:t>
      </w:r>
      <w:r w:rsidR="007565F7">
        <w:t>was adopted in 2006</w:t>
      </w:r>
      <w:r w:rsidR="003E53A0">
        <w:t xml:space="preserve"> and </w:t>
      </w:r>
      <w:r w:rsidR="007565F7">
        <w:t xml:space="preserve">the first </w:t>
      </w:r>
      <w:r w:rsidR="000305BF">
        <w:t>one (</w:t>
      </w:r>
      <w:r w:rsidR="007565F7">
        <w:t>DP</w:t>
      </w:r>
      <w:r w:rsidR="003E53A0">
        <w:t> </w:t>
      </w:r>
      <w:r w:rsidR="007565F7">
        <w:t>1</w:t>
      </w:r>
      <w:r w:rsidR="003E53A0">
        <w:t>:</w:t>
      </w:r>
      <w:r w:rsidR="007565F7">
        <w:t xml:space="preserve"> </w:t>
      </w:r>
      <w:r w:rsidR="007565F7" w:rsidRPr="0067560C">
        <w:rPr>
          <w:i/>
        </w:rPr>
        <w:t>Thrips palmi</w:t>
      </w:r>
      <w:r w:rsidR="007565F7">
        <w:t xml:space="preserve"> </w:t>
      </w:r>
      <w:r w:rsidR="000E5E90">
        <w:t>Karny</w:t>
      </w:r>
      <w:r w:rsidR="000305BF">
        <w:t>)</w:t>
      </w:r>
      <w:r w:rsidR="000E5E90">
        <w:t xml:space="preserve"> </w:t>
      </w:r>
      <w:r w:rsidR="007565F7">
        <w:t xml:space="preserve">was adopted in 2010. </w:t>
      </w:r>
    </w:p>
    <w:p w14:paraId="51F6B2AC" w14:textId="6F4A6662" w:rsidR="007565F7" w:rsidRDefault="00225E6E" w:rsidP="001A377E">
      <w:pPr>
        <w:pStyle w:val="IPPParagraphnumbering"/>
        <w:keepNext/>
        <w:numPr>
          <w:ilvl w:val="0"/>
          <w:numId w:val="0"/>
        </w:numPr>
        <w:jc w:val="center"/>
        <w:rPr>
          <w:b/>
          <w:sz w:val="20"/>
        </w:rPr>
      </w:pPr>
      <w:r>
        <w:rPr>
          <w:b/>
          <w:noProof/>
          <w:sz w:val="20"/>
        </w:rPr>
        <w:drawing>
          <wp:inline distT="0" distB="0" distL="0" distR="0" wp14:anchorId="00F3DEFB" wp14:editId="4A756FB6">
            <wp:extent cx="5731510" cy="3746975"/>
            <wp:effectExtent l="0" t="0" r="2540" b="6350"/>
            <wp:docPr id="1" name="Picture 1" descr="C:\Users\CASSIN\AppData\Local\Microsoft\Windows\INetCache\Content.MSO\214AD8C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SIN\AppData\Local\Microsoft\Windows\INetCache\Content.MSO\214AD8C4.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746975"/>
                    </a:xfrm>
                    <a:prstGeom prst="rect">
                      <a:avLst/>
                    </a:prstGeom>
                    <a:noFill/>
                    <a:ln>
                      <a:noFill/>
                    </a:ln>
                  </pic:spPr>
                </pic:pic>
              </a:graphicData>
            </a:graphic>
          </wp:inline>
        </w:drawing>
      </w:r>
    </w:p>
    <w:p w14:paraId="66B63157" w14:textId="4D416ED6" w:rsidR="0067560C" w:rsidRDefault="0067560C" w:rsidP="009F792F">
      <w:pPr>
        <w:pStyle w:val="IPPArial"/>
        <w:jc w:val="center"/>
      </w:pPr>
      <w:r w:rsidRPr="009F792F">
        <w:rPr>
          <w:b/>
          <w:bCs/>
        </w:rPr>
        <w:t>Figure</w:t>
      </w:r>
      <w:r w:rsidR="00ED7265" w:rsidRPr="009F792F">
        <w:rPr>
          <w:b/>
          <w:bCs/>
        </w:rPr>
        <w:t xml:space="preserve"> </w:t>
      </w:r>
      <w:r w:rsidR="00F3275B">
        <w:rPr>
          <w:b/>
          <w:bCs/>
        </w:rPr>
        <w:t>1</w:t>
      </w:r>
      <w:r w:rsidRPr="009F792F">
        <w:rPr>
          <w:b/>
          <w:bCs/>
        </w:rPr>
        <w:t>:</w:t>
      </w:r>
      <w:r w:rsidRPr="00910F63">
        <w:t xml:space="preserve"> Cumulative number of </w:t>
      </w:r>
      <w:r>
        <w:t>d</w:t>
      </w:r>
      <w:r w:rsidRPr="00910F63">
        <w:t xml:space="preserve">iagnostic </w:t>
      </w:r>
      <w:r>
        <w:t>p</w:t>
      </w:r>
      <w:r w:rsidRPr="00910F63">
        <w:t xml:space="preserve">rotocols adopted </w:t>
      </w:r>
      <w:r>
        <w:t>since 2010.</w:t>
      </w:r>
    </w:p>
    <w:p w14:paraId="4B6BFA13" w14:textId="77777777" w:rsidR="00F3275B" w:rsidRDefault="00F3275B" w:rsidP="001A377E">
      <w:pPr>
        <w:pStyle w:val="IPPParagraphnumbering"/>
        <w:numPr>
          <w:ilvl w:val="0"/>
          <w:numId w:val="0"/>
        </w:numPr>
        <w:spacing w:after="0"/>
        <w:jc w:val="center"/>
        <w:rPr>
          <w:b/>
          <w:sz w:val="20"/>
        </w:rPr>
      </w:pPr>
    </w:p>
    <w:p w14:paraId="372BB27D" w14:textId="0D853CC9" w:rsidR="00621A50" w:rsidRDefault="00621A50" w:rsidP="001C5177">
      <w:pPr>
        <w:pStyle w:val="IPPParagraphnumbering"/>
        <w:rPr>
          <w:b/>
          <w:sz w:val="20"/>
        </w:rPr>
      </w:pPr>
      <w:r>
        <w:t xml:space="preserve">The sharp increase during the period </w:t>
      </w:r>
      <w:r w:rsidR="0046597F">
        <w:t>2014</w:t>
      </w:r>
      <w:r>
        <w:t>-</w:t>
      </w:r>
      <w:r w:rsidR="0046597F">
        <w:t xml:space="preserve">2017 </w:t>
      </w:r>
      <w:r>
        <w:t>can be interpreted as a sign of a greater quantitative activity of the TPDP and Secretariat resources secured for</w:t>
      </w:r>
      <w:r w:rsidR="00ED7265">
        <w:t xml:space="preserve"> the work of the panel. Figure</w:t>
      </w:r>
      <w:r w:rsidR="001C5177">
        <w:t> </w:t>
      </w:r>
      <w:r w:rsidR="00F3275B">
        <w:t>2</w:t>
      </w:r>
      <w:r w:rsidR="00401E6F">
        <w:t xml:space="preserve"> </w:t>
      </w:r>
      <w:r>
        <w:t>shows the n</w:t>
      </w:r>
      <w:r w:rsidRPr="0067560C">
        <w:t xml:space="preserve">umber of </w:t>
      </w:r>
      <w:r>
        <w:t>DPs</w:t>
      </w:r>
      <w:r w:rsidRPr="0067560C">
        <w:t xml:space="preserve"> at various stages of development since 2014</w:t>
      </w:r>
      <w:r>
        <w:t>.</w:t>
      </w:r>
    </w:p>
    <w:p w14:paraId="080AA61E" w14:textId="51CB07AC" w:rsidR="000801EC" w:rsidRPr="00910F63" w:rsidRDefault="000801EC" w:rsidP="001A377E">
      <w:pPr>
        <w:pStyle w:val="IPPParagraphnumbering"/>
        <w:keepNext/>
        <w:numPr>
          <w:ilvl w:val="0"/>
          <w:numId w:val="0"/>
        </w:numPr>
        <w:jc w:val="center"/>
        <w:rPr>
          <w:b/>
          <w:sz w:val="20"/>
        </w:rPr>
      </w:pPr>
      <w:r>
        <w:rPr>
          <w:noProof/>
        </w:rPr>
        <w:drawing>
          <wp:inline distT="0" distB="0" distL="0" distR="0" wp14:anchorId="74F225C7" wp14:editId="76D2388B">
            <wp:extent cx="5722034" cy="2218329"/>
            <wp:effectExtent l="0" t="0" r="12065" b="1079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8B47279" w14:textId="21054ECD" w:rsidR="000801EC" w:rsidRDefault="000801EC" w:rsidP="00F3275B">
      <w:pPr>
        <w:pStyle w:val="IPPArial"/>
        <w:jc w:val="center"/>
      </w:pPr>
      <w:r w:rsidRPr="009F792F">
        <w:rPr>
          <w:b/>
          <w:bCs/>
        </w:rPr>
        <w:t xml:space="preserve">Figure </w:t>
      </w:r>
      <w:r w:rsidR="00F3275B" w:rsidRPr="009F792F">
        <w:rPr>
          <w:b/>
          <w:bCs/>
        </w:rPr>
        <w:t>2</w:t>
      </w:r>
      <w:r w:rsidRPr="009F792F">
        <w:rPr>
          <w:b/>
          <w:bCs/>
        </w:rPr>
        <w:t>:</w:t>
      </w:r>
      <w:r w:rsidRPr="000801EC">
        <w:t xml:space="preserve"> Number of diagnostic protocols at various stages of development since 2014</w:t>
      </w:r>
      <w:r>
        <w:t>.</w:t>
      </w:r>
    </w:p>
    <w:p w14:paraId="127A588B" w14:textId="77777777" w:rsidR="00F3275B" w:rsidRPr="000801EC" w:rsidRDefault="00F3275B" w:rsidP="009F792F">
      <w:pPr>
        <w:pStyle w:val="IPPArial"/>
        <w:jc w:val="center"/>
      </w:pPr>
    </w:p>
    <w:p w14:paraId="42E11CDA" w14:textId="45887E2A" w:rsidR="00CD7A84" w:rsidRPr="00CD7A84" w:rsidRDefault="00167D03" w:rsidP="00C914C3">
      <w:pPr>
        <w:pStyle w:val="IPPParagraphnumbering"/>
        <w:spacing w:after="160" w:line="259" w:lineRule="auto"/>
        <w:ind w:hanging="475"/>
      </w:pPr>
      <w:r>
        <w:t>Table</w:t>
      </w:r>
      <w:r w:rsidR="001C5177">
        <w:t> </w:t>
      </w:r>
      <w:r>
        <w:t xml:space="preserve">1 below shows </w:t>
      </w:r>
      <w:r w:rsidR="00C331B1">
        <w:t xml:space="preserve">timelines </w:t>
      </w:r>
      <w:r>
        <w:t xml:space="preserve">for the </w:t>
      </w:r>
      <w:r w:rsidR="00C331B1">
        <w:t xml:space="preserve">development of the adopted </w:t>
      </w:r>
      <w:r>
        <w:t>DPs</w:t>
      </w:r>
      <w:r w:rsidR="00C331B1">
        <w:t>, with major events (adoption of topic, first TPDP review, expert consultation, SC approval for consultation, consultation and adoption) highlighted. It should be noted that the formal expert consultation process has only been in place since 2013, as it was agreed by the TPDP in their November</w:t>
      </w:r>
      <w:r w:rsidR="00C914C3">
        <w:t> </w:t>
      </w:r>
      <w:r w:rsidR="00C331B1">
        <w:t>2012 meeting</w:t>
      </w:r>
      <w:r w:rsidR="00621A50">
        <w:t xml:space="preserve"> and by the SC in May</w:t>
      </w:r>
      <w:r w:rsidR="00C914C3">
        <w:t> </w:t>
      </w:r>
      <w:r w:rsidR="00621A50">
        <w:t>2013</w:t>
      </w:r>
      <w:r w:rsidR="00C331B1">
        <w:t>.</w:t>
      </w:r>
    </w:p>
    <w:p w14:paraId="3DB67188" w14:textId="6B2E3AA5" w:rsidR="00C331B1" w:rsidRPr="00DD3648" w:rsidRDefault="00167D03" w:rsidP="001A377E">
      <w:pPr>
        <w:pStyle w:val="IPPArial"/>
        <w:spacing w:after="60"/>
      </w:pPr>
      <w:r w:rsidRPr="00DD3648">
        <w:rPr>
          <w:b/>
        </w:rPr>
        <w:t>Table</w:t>
      </w:r>
      <w:r w:rsidR="001C5177">
        <w:rPr>
          <w:b/>
        </w:rPr>
        <w:t> </w:t>
      </w:r>
      <w:r w:rsidRPr="00DD3648">
        <w:rPr>
          <w:b/>
        </w:rPr>
        <w:t xml:space="preserve">1: </w:t>
      </w:r>
      <w:r w:rsidR="00D92FFC" w:rsidRPr="00DD3648">
        <w:rPr>
          <w:b/>
        </w:rPr>
        <w:t xml:space="preserve">Timeline </w:t>
      </w:r>
      <w:r w:rsidRPr="00DD3648">
        <w:rPr>
          <w:b/>
        </w:rPr>
        <w:t>for develop</w:t>
      </w:r>
      <w:r w:rsidR="00D92FFC" w:rsidRPr="00DD3648">
        <w:rPr>
          <w:b/>
        </w:rPr>
        <w:t xml:space="preserve">ment of currently adopted </w:t>
      </w:r>
      <w:r w:rsidRPr="00DD3648">
        <w:rPr>
          <w:b/>
        </w:rPr>
        <w:t>DPs</w:t>
      </w:r>
      <w:r w:rsidR="00D92FFC" w:rsidRPr="00DD3648">
        <w:rPr>
          <w:b/>
        </w:rPr>
        <w:t xml:space="preserve">. </w:t>
      </w:r>
      <w:r w:rsidR="009F0EC7" w:rsidRPr="00DD3648">
        <w:t xml:space="preserve">Major events indicated as follows: T, Topic included in LOT; F, TPDP reviews first draft; E, Expert consultation (since 2013); </w:t>
      </w:r>
      <w:r w:rsidR="00621A50">
        <w:t>SC</w:t>
      </w:r>
      <w:r w:rsidR="009F0EC7" w:rsidRPr="00DD3648">
        <w:t>, SC approves draft DP for consultation; C, consultation</w:t>
      </w:r>
      <w:r w:rsidR="00621A50">
        <w:t xml:space="preserve"> period</w:t>
      </w:r>
      <w:r w:rsidR="00DD3648" w:rsidRPr="00DD3648">
        <w:t>; A, Adoption</w:t>
      </w:r>
      <w:r w:rsidR="009F0EC7" w:rsidRPr="00DD3648">
        <w:t xml:space="preserve">. </w:t>
      </w:r>
      <w:r w:rsidR="00DD3648" w:rsidRPr="00DD3648">
        <w:rPr>
          <w:vertAlign w:val="superscript"/>
        </w:rPr>
        <w:t>*)</w:t>
      </w:r>
      <w:r w:rsidR="00DD3648" w:rsidRPr="00DD3648">
        <w:t xml:space="preserve"> priority as noted by SC in 2013-05, except for DP2 and 3, where priority was noted by SC 2011-11;</w:t>
      </w:r>
      <w:r w:rsidR="0017418A" w:rsidRPr="00DD3648">
        <w:rPr>
          <w:vertAlign w:val="superscript"/>
        </w:rPr>
        <w:t xml:space="preserve"> *</w:t>
      </w:r>
      <w:r w:rsidR="00DD3648" w:rsidRPr="00DD3648">
        <w:rPr>
          <w:vertAlign w:val="superscript"/>
        </w:rPr>
        <w:t>*</w:t>
      </w:r>
      <w:r w:rsidR="0017418A" w:rsidRPr="00DD3648">
        <w:rPr>
          <w:vertAlign w:val="superscript"/>
        </w:rPr>
        <w:t>)</w:t>
      </w:r>
      <w:r w:rsidR="0017418A" w:rsidRPr="00DD3648">
        <w:t xml:space="preserve"> in 2015 and 2016, there were two consultation periods for DPs, starting in February and July.</w:t>
      </w:r>
    </w:p>
    <w:tbl>
      <w:tblPr>
        <w:tblW w:w="499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6"/>
        <w:gridCol w:w="1268"/>
        <w:gridCol w:w="357"/>
        <w:gridCol w:w="359"/>
        <w:gridCol w:w="375"/>
        <w:gridCol w:w="341"/>
        <w:gridCol w:w="357"/>
        <w:gridCol w:w="358"/>
        <w:gridCol w:w="364"/>
        <w:gridCol w:w="358"/>
        <w:gridCol w:w="358"/>
        <w:gridCol w:w="362"/>
        <w:gridCol w:w="537"/>
        <w:gridCol w:w="477"/>
        <w:gridCol w:w="567"/>
        <w:gridCol w:w="576"/>
        <w:gridCol w:w="558"/>
        <w:gridCol w:w="284"/>
        <w:gridCol w:w="238"/>
        <w:gridCol w:w="542"/>
      </w:tblGrid>
      <w:tr w:rsidR="00E11000" w:rsidRPr="00D3035E" w14:paraId="0718DACB" w14:textId="77777777" w:rsidTr="00F53166">
        <w:trPr>
          <w:cantSplit/>
          <w:trHeight w:val="620"/>
        </w:trPr>
        <w:tc>
          <w:tcPr>
            <w:tcW w:w="203" w:type="pct"/>
            <w:shd w:val="clear" w:color="auto" w:fill="D9D9D9" w:themeFill="background1" w:themeFillShade="D9"/>
            <w:noWrap/>
            <w:vAlign w:val="center"/>
            <w:hideMark/>
          </w:tcPr>
          <w:p w14:paraId="0C65F140"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DP</w:t>
            </w:r>
          </w:p>
        </w:tc>
        <w:tc>
          <w:tcPr>
            <w:tcW w:w="704" w:type="pct"/>
            <w:shd w:val="clear" w:color="auto" w:fill="D9D9D9" w:themeFill="background1" w:themeFillShade="D9"/>
            <w:vAlign w:val="center"/>
            <w:hideMark/>
          </w:tcPr>
          <w:p w14:paraId="3DE4D2C8" w14:textId="32707B76" w:rsidR="003427F0" w:rsidRPr="00762D6B" w:rsidRDefault="003427F0" w:rsidP="00762D6B">
            <w:pPr>
              <w:contextualSpacing/>
              <w:jc w:val="center"/>
              <w:rPr>
                <w:rFonts w:eastAsia="Times New Roman"/>
                <w:color w:val="000000"/>
                <w:sz w:val="16"/>
                <w:szCs w:val="16"/>
                <w:lang w:val="en-US"/>
              </w:rPr>
            </w:pPr>
          </w:p>
        </w:tc>
        <w:tc>
          <w:tcPr>
            <w:tcW w:w="198" w:type="pct"/>
            <w:shd w:val="clear" w:color="auto" w:fill="D9D9D9" w:themeFill="background1" w:themeFillShade="D9"/>
            <w:textDirection w:val="btLr"/>
            <w:vAlign w:val="center"/>
            <w:hideMark/>
          </w:tcPr>
          <w:p w14:paraId="0E7714C8" w14:textId="79D08A44" w:rsidR="003427F0" w:rsidRPr="00762D6B" w:rsidRDefault="00DD3648"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P</w:t>
            </w:r>
            <w:r w:rsidR="003427F0" w:rsidRPr="00762D6B">
              <w:rPr>
                <w:rFonts w:eastAsia="Times New Roman"/>
                <w:color w:val="000000"/>
                <w:sz w:val="16"/>
                <w:szCs w:val="16"/>
                <w:lang w:val="en-US"/>
              </w:rPr>
              <w:t>riority</w:t>
            </w:r>
            <w:r w:rsidRPr="00762D6B">
              <w:rPr>
                <w:rFonts w:eastAsia="Times New Roman"/>
                <w:color w:val="000000"/>
                <w:sz w:val="16"/>
                <w:szCs w:val="16"/>
                <w:lang w:val="en-US"/>
              </w:rPr>
              <w:t>*</w:t>
            </w:r>
          </w:p>
        </w:tc>
        <w:tc>
          <w:tcPr>
            <w:tcW w:w="199" w:type="pct"/>
            <w:shd w:val="clear" w:color="auto" w:fill="D9D9D9" w:themeFill="background1" w:themeFillShade="D9"/>
            <w:textDirection w:val="btLr"/>
            <w:vAlign w:val="center"/>
            <w:hideMark/>
          </w:tcPr>
          <w:p w14:paraId="0964F322"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2004</w:t>
            </w:r>
          </w:p>
        </w:tc>
        <w:tc>
          <w:tcPr>
            <w:tcW w:w="208" w:type="pct"/>
            <w:shd w:val="clear" w:color="auto" w:fill="D9D9D9" w:themeFill="background1" w:themeFillShade="D9"/>
            <w:textDirection w:val="btLr"/>
            <w:vAlign w:val="center"/>
            <w:hideMark/>
          </w:tcPr>
          <w:p w14:paraId="00D014DB"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2005</w:t>
            </w:r>
          </w:p>
        </w:tc>
        <w:tc>
          <w:tcPr>
            <w:tcW w:w="189" w:type="pct"/>
            <w:shd w:val="clear" w:color="auto" w:fill="D9D9D9" w:themeFill="background1" w:themeFillShade="D9"/>
            <w:textDirection w:val="btLr"/>
            <w:vAlign w:val="center"/>
            <w:hideMark/>
          </w:tcPr>
          <w:p w14:paraId="49BCBD32"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2006</w:t>
            </w:r>
          </w:p>
        </w:tc>
        <w:tc>
          <w:tcPr>
            <w:tcW w:w="198" w:type="pct"/>
            <w:shd w:val="clear" w:color="auto" w:fill="D9D9D9" w:themeFill="background1" w:themeFillShade="D9"/>
            <w:textDirection w:val="btLr"/>
            <w:vAlign w:val="center"/>
            <w:hideMark/>
          </w:tcPr>
          <w:p w14:paraId="68B30460"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2007</w:t>
            </w:r>
          </w:p>
        </w:tc>
        <w:tc>
          <w:tcPr>
            <w:tcW w:w="199" w:type="pct"/>
            <w:shd w:val="clear" w:color="auto" w:fill="D9D9D9" w:themeFill="background1" w:themeFillShade="D9"/>
            <w:textDirection w:val="btLr"/>
            <w:vAlign w:val="center"/>
            <w:hideMark/>
          </w:tcPr>
          <w:p w14:paraId="36BBBAAE"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2008</w:t>
            </w:r>
          </w:p>
        </w:tc>
        <w:tc>
          <w:tcPr>
            <w:tcW w:w="202" w:type="pct"/>
            <w:shd w:val="clear" w:color="auto" w:fill="D9D9D9" w:themeFill="background1" w:themeFillShade="D9"/>
            <w:textDirection w:val="btLr"/>
            <w:vAlign w:val="center"/>
            <w:hideMark/>
          </w:tcPr>
          <w:p w14:paraId="5AF57CF3"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2009</w:t>
            </w:r>
          </w:p>
        </w:tc>
        <w:tc>
          <w:tcPr>
            <w:tcW w:w="199" w:type="pct"/>
            <w:shd w:val="clear" w:color="auto" w:fill="D9D9D9" w:themeFill="background1" w:themeFillShade="D9"/>
            <w:textDirection w:val="btLr"/>
            <w:vAlign w:val="center"/>
            <w:hideMark/>
          </w:tcPr>
          <w:p w14:paraId="16C76B05"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2010</w:t>
            </w:r>
          </w:p>
        </w:tc>
        <w:tc>
          <w:tcPr>
            <w:tcW w:w="199" w:type="pct"/>
            <w:shd w:val="clear" w:color="auto" w:fill="D9D9D9" w:themeFill="background1" w:themeFillShade="D9"/>
            <w:textDirection w:val="btLr"/>
            <w:vAlign w:val="center"/>
            <w:hideMark/>
          </w:tcPr>
          <w:p w14:paraId="7B615224"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2011</w:t>
            </w:r>
          </w:p>
        </w:tc>
        <w:tc>
          <w:tcPr>
            <w:tcW w:w="201" w:type="pct"/>
            <w:shd w:val="clear" w:color="auto" w:fill="D9D9D9" w:themeFill="background1" w:themeFillShade="D9"/>
            <w:textDirection w:val="btLr"/>
            <w:vAlign w:val="center"/>
            <w:hideMark/>
          </w:tcPr>
          <w:p w14:paraId="5F99192D"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2012</w:t>
            </w:r>
          </w:p>
        </w:tc>
        <w:tc>
          <w:tcPr>
            <w:tcW w:w="298" w:type="pct"/>
            <w:shd w:val="clear" w:color="auto" w:fill="D9D9D9" w:themeFill="background1" w:themeFillShade="D9"/>
            <w:textDirection w:val="btLr"/>
            <w:vAlign w:val="center"/>
            <w:hideMark/>
          </w:tcPr>
          <w:p w14:paraId="0F67B4FC"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2013</w:t>
            </w:r>
          </w:p>
        </w:tc>
        <w:tc>
          <w:tcPr>
            <w:tcW w:w="265" w:type="pct"/>
            <w:shd w:val="clear" w:color="auto" w:fill="D9D9D9" w:themeFill="background1" w:themeFillShade="D9"/>
            <w:textDirection w:val="btLr"/>
            <w:vAlign w:val="center"/>
            <w:hideMark/>
          </w:tcPr>
          <w:p w14:paraId="1896CEAA"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2014</w:t>
            </w:r>
          </w:p>
        </w:tc>
        <w:tc>
          <w:tcPr>
            <w:tcW w:w="315" w:type="pct"/>
            <w:shd w:val="clear" w:color="auto" w:fill="D9D9D9" w:themeFill="background1" w:themeFillShade="D9"/>
            <w:textDirection w:val="btLr"/>
            <w:vAlign w:val="center"/>
            <w:hideMark/>
          </w:tcPr>
          <w:p w14:paraId="6C82FC30" w14:textId="4E7ECF72"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2015</w:t>
            </w:r>
            <w:r w:rsidR="00DD3648" w:rsidRPr="00762D6B">
              <w:rPr>
                <w:rFonts w:eastAsia="Times New Roman"/>
                <w:color w:val="000000"/>
                <w:sz w:val="16"/>
                <w:szCs w:val="16"/>
                <w:lang w:val="en-US"/>
              </w:rPr>
              <w:t>**</w:t>
            </w:r>
          </w:p>
        </w:tc>
        <w:tc>
          <w:tcPr>
            <w:tcW w:w="320" w:type="pct"/>
            <w:shd w:val="clear" w:color="auto" w:fill="D9D9D9" w:themeFill="background1" w:themeFillShade="D9"/>
            <w:textDirection w:val="btLr"/>
            <w:vAlign w:val="center"/>
            <w:hideMark/>
          </w:tcPr>
          <w:p w14:paraId="7811B29F" w14:textId="1AFDDA75"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2016</w:t>
            </w:r>
            <w:r w:rsidR="00DD3648" w:rsidRPr="00762D6B">
              <w:rPr>
                <w:rFonts w:eastAsia="Times New Roman"/>
                <w:color w:val="000000"/>
                <w:sz w:val="16"/>
                <w:szCs w:val="16"/>
                <w:lang w:val="en-US"/>
              </w:rPr>
              <w:t>**</w:t>
            </w:r>
          </w:p>
        </w:tc>
        <w:tc>
          <w:tcPr>
            <w:tcW w:w="310" w:type="pct"/>
            <w:shd w:val="clear" w:color="auto" w:fill="D9D9D9" w:themeFill="background1" w:themeFillShade="D9"/>
            <w:textDirection w:val="btLr"/>
            <w:vAlign w:val="center"/>
            <w:hideMark/>
          </w:tcPr>
          <w:p w14:paraId="59FE8142"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2017</w:t>
            </w:r>
          </w:p>
        </w:tc>
        <w:tc>
          <w:tcPr>
            <w:tcW w:w="158" w:type="pct"/>
            <w:shd w:val="clear" w:color="auto" w:fill="D9D9D9" w:themeFill="background1" w:themeFillShade="D9"/>
            <w:textDirection w:val="btLr"/>
            <w:vAlign w:val="center"/>
            <w:hideMark/>
          </w:tcPr>
          <w:p w14:paraId="13B1B8CA"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2018</w:t>
            </w:r>
          </w:p>
        </w:tc>
        <w:tc>
          <w:tcPr>
            <w:tcW w:w="132" w:type="pct"/>
            <w:shd w:val="clear" w:color="auto" w:fill="D9D9D9" w:themeFill="background1" w:themeFillShade="D9"/>
            <w:textDirection w:val="btLr"/>
            <w:vAlign w:val="center"/>
            <w:hideMark/>
          </w:tcPr>
          <w:p w14:paraId="240AE1DF" w14:textId="77777777" w:rsidR="003427F0" w:rsidRPr="00762D6B" w:rsidRDefault="003427F0"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2019</w:t>
            </w:r>
          </w:p>
        </w:tc>
        <w:tc>
          <w:tcPr>
            <w:tcW w:w="301" w:type="pct"/>
            <w:shd w:val="clear" w:color="auto" w:fill="D9D9D9" w:themeFill="background1" w:themeFillShade="D9"/>
            <w:vAlign w:val="center"/>
            <w:hideMark/>
          </w:tcPr>
          <w:p w14:paraId="5087DC3C" w14:textId="63B2504E" w:rsidR="003427F0" w:rsidRPr="00762D6B" w:rsidRDefault="00735C3E" w:rsidP="00762D6B">
            <w:pPr>
              <w:contextualSpacing/>
              <w:jc w:val="center"/>
              <w:rPr>
                <w:rFonts w:eastAsia="Times New Roman"/>
                <w:color w:val="000000"/>
                <w:sz w:val="16"/>
                <w:szCs w:val="16"/>
                <w:lang w:val="en-US"/>
              </w:rPr>
            </w:pPr>
            <w:r w:rsidRPr="00762D6B">
              <w:rPr>
                <w:rFonts w:eastAsia="Times New Roman"/>
                <w:color w:val="000000"/>
                <w:sz w:val="16"/>
                <w:szCs w:val="16"/>
                <w:lang w:val="en-US"/>
              </w:rPr>
              <w:t xml:space="preserve">Development </w:t>
            </w:r>
            <w:r w:rsidR="003427F0" w:rsidRPr="00762D6B">
              <w:rPr>
                <w:rFonts w:eastAsia="Times New Roman"/>
                <w:color w:val="000000"/>
                <w:sz w:val="16"/>
                <w:szCs w:val="16"/>
                <w:lang w:val="en-US"/>
              </w:rPr>
              <w:t>length in years</w:t>
            </w:r>
          </w:p>
        </w:tc>
      </w:tr>
      <w:tr w:rsidR="00A23224" w:rsidRPr="00735C3E" w14:paraId="5DF733E1" w14:textId="77777777" w:rsidTr="00F53166">
        <w:trPr>
          <w:trHeight w:val="300"/>
        </w:trPr>
        <w:tc>
          <w:tcPr>
            <w:tcW w:w="203" w:type="pct"/>
            <w:shd w:val="clear" w:color="auto" w:fill="auto"/>
            <w:noWrap/>
            <w:vAlign w:val="center"/>
            <w:hideMark/>
          </w:tcPr>
          <w:p w14:paraId="5F8E4DEC"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w:t>
            </w:r>
          </w:p>
        </w:tc>
        <w:tc>
          <w:tcPr>
            <w:tcW w:w="704" w:type="pct"/>
            <w:shd w:val="clear" w:color="auto" w:fill="auto"/>
            <w:vAlign w:val="center"/>
            <w:hideMark/>
          </w:tcPr>
          <w:p w14:paraId="71504F11"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Thrips palmi</w:t>
            </w:r>
          </w:p>
        </w:tc>
        <w:tc>
          <w:tcPr>
            <w:tcW w:w="198" w:type="pct"/>
            <w:shd w:val="clear" w:color="auto" w:fill="auto"/>
            <w:noWrap/>
            <w:vAlign w:val="center"/>
            <w:hideMark/>
          </w:tcPr>
          <w:p w14:paraId="30F63471"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N/A</w:t>
            </w:r>
          </w:p>
        </w:tc>
        <w:tc>
          <w:tcPr>
            <w:tcW w:w="199" w:type="pct"/>
            <w:shd w:val="clear" w:color="auto" w:fill="auto"/>
            <w:noWrap/>
            <w:vAlign w:val="center"/>
            <w:hideMark/>
          </w:tcPr>
          <w:p w14:paraId="704690DD" w14:textId="6749EF87"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5E3068DE" w14:textId="1A76FD9D"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0233ECC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 F</w:t>
            </w:r>
          </w:p>
        </w:tc>
        <w:tc>
          <w:tcPr>
            <w:tcW w:w="198" w:type="pct"/>
            <w:shd w:val="clear" w:color="000000" w:fill="F8CBAD"/>
            <w:noWrap/>
            <w:vAlign w:val="center"/>
            <w:hideMark/>
          </w:tcPr>
          <w:p w14:paraId="1D0F903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C</w:t>
            </w:r>
          </w:p>
        </w:tc>
        <w:tc>
          <w:tcPr>
            <w:tcW w:w="199" w:type="pct"/>
            <w:shd w:val="clear" w:color="000000" w:fill="F8CBAD"/>
            <w:noWrap/>
            <w:vAlign w:val="center"/>
            <w:hideMark/>
          </w:tcPr>
          <w:p w14:paraId="791C8CD5" w14:textId="569919CA"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p>
        </w:tc>
        <w:tc>
          <w:tcPr>
            <w:tcW w:w="202" w:type="pct"/>
            <w:shd w:val="clear" w:color="000000" w:fill="F8CBAD"/>
            <w:noWrap/>
            <w:vAlign w:val="center"/>
            <w:hideMark/>
          </w:tcPr>
          <w:p w14:paraId="5753CC13"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C</w:t>
            </w:r>
          </w:p>
        </w:tc>
        <w:tc>
          <w:tcPr>
            <w:tcW w:w="199" w:type="pct"/>
            <w:shd w:val="clear" w:color="000000" w:fill="FF0000"/>
            <w:noWrap/>
            <w:vAlign w:val="center"/>
            <w:hideMark/>
          </w:tcPr>
          <w:p w14:paraId="44C8E91E"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99" w:type="pct"/>
            <w:shd w:val="clear" w:color="auto" w:fill="auto"/>
            <w:noWrap/>
            <w:vAlign w:val="center"/>
            <w:hideMark/>
          </w:tcPr>
          <w:p w14:paraId="6AA3F32C" w14:textId="61EC3544" w:rsidR="003427F0" w:rsidRPr="00762D6B" w:rsidRDefault="003427F0" w:rsidP="00762D6B">
            <w:pPr>
              <w:jc w:val="center"/>
              <w:rPr>
                <w:rFonts w:eastAsia="Times New Roman"/>
                <w:color w:val="000000"/>
                <w:sz w:val="16"/>
                <w:szCs w:val="16"/>
                <w:lang w:val="en-US"/>
              </w:rPr>
            </w:pPr>
          </w:p>
        </w:tc>
        <w:tc>
          <w:tcPr>
            <w:tcW w:w="201" w:type="pct"/>
            <w:shd w:val="clear" w:color="auto" w:fill="auto"/>
            <w:noWrap/>
            <w:vAlign w:val="center"/>
            <w:hideMark/>
          </w:tcPr>
          <w:p w14:paraId="2EB4BF91" w14:textId="3DC46B9D" w:rsidR="003427F0" w:rsidRPr="00762D6B" w:rsidRDefault="003427F0" w:rsidP="00762D6B">
            <w:pPr>
              <w:jc w:val="center"/>
              <w:rPr>
                <w:rFonts w:eastAsia="Times New Roman"/>
                <w:color w:val="000000"/>
                <w:sz w:val="16"/>
                <w:szCs w:val="16"/>
                <w:lang w:val="en-US"/>
              </w:rPr>
            </w:pPr>
          </w:p>
        </w:tc>
        <w:tc>
          <w:tcPr>
            <w:tcW w:w="298" w:type="pct"/>
            <w:shd w:val="clear" w:color="auto" w:fill="auto"/>
            <w:noWrap/>
            <w:vAlign w:val="center"/>
            <w:hideMark/>
          </w:tcPr>
          <w:p w14:paraId="6725FCAF" w14:textId="33612DD1" w:rsidR="003427F0" w:rsidRPr="00762D6B" w:rsidRDefault="003427F0" w:rsidP="00762D6B">
            <w:pPr>
              <w:jc w:val="center"/>
              <w:rPr>
                <w:rFonts w:eastAsia="Times New Roman"/>
                <w:color w:val="000000"/>
                <w:sz w:val="16"/>
                <w:szCs w:val="16"/>
                <w:lang w:val="en-US"/>
              </w:rPr>
            </w:pPr>
          </w:p>
        </w:tc>
        <w:tc>
          <w:tcPr>
            <w:tcW w:w="265" w:type="pct"/>
            <w:shd w:val="clear" w:color="auto" w:fill="auto"/>
            <w:noWrap/>
            <w:vAlign w:val="center"/>
            <w:hideMark/>
          </w:tcPr>
          <w:p w14:paraId="375BABB4" w14:textId="32278537" w:rsidR="003427F0" w:rsidRPr="00762D6B" w:rsidRDefault="003427F0" w:rsidP="00762D6B">
            <w:pPr>
              <w:jc w:val="center"/>
              <w:rPr>
                <w:rFonts w:eastAsia="Times New Roman"/>
                <w:color w:val="000000"/>
                <w:sz w:val="16"/>
                <w:szCs w:val="16"/>
                <w:lang w:val="en-US"/>
              </w:rPr>
            </w:pPr>
          </w:p>
        </w:tc>
        <w:tc>
          <w:tcPr>
            <w:tcW w:w="315" w:type="pct"/>
            <w:shd w:val="clear" w:color="auto" w:fill="auto"/>
            <w:noWrap/>
            <w:vAlign w:val="center"/>
            <w:hideMark/>
          </w:tcPr>
          <w:p w14:paraId="52D6E1F8" w14:textId="312E641A" w:rsidR="003427F0" w:rsidRPr="00762D6B" w:rsidRDefault="003427F0" w:rsidP="00762D6B">
            <w:pPr>
              <w:jc w:val="center"/>
              <w:rPr>
                <w:rFonts w:eastAsia="Times New Roman"/>
                <w:color w:val="000000"/>
                <w:sz w:val="16"/>
                <w:szCs w:val="16"/>
                <w:lang w:val="en-US"/>
              </w:rPr>
            </w:pPr>
          </w:p>
        </w:tc>
        <w:tc>
          <w:tcPr>
            <w:tcW w:w="320" w:type="pct"/>
            <w:shd w:val="clear" w:color="auto" w:fill="auto"/>
            <w:noWrap/>
            <w:vAlign w:val="center"/>
            <w:hideMark/>
          </w:tcPr>
          <w:p w14:paraId="18A7CF2C" w14:textId="5BC2FA1B"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78C389EC" w14:textId="6201D4A5"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008F12C2" w14:textId="7B479AED"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0BCF3EDF" w14:textId="050F5FE6" w:rsidR="003427F0" w:rsidRPr="00762D6B" w:rsidRDefault="003427F0" w:rsidP="00762D6B">
            <w:pPr>
              <w:jc w:val="center"/>
              <w:rPr>
                <w:rFonts w:eastAsia="Times New Roman"/>
                <w:color w:val="000000"/>
                <w:sz w:val="16"/>
                <w:szCs w:val="16"/>
                <w:lang w:val="en-US"/>
              </w:rPr>
            </w:pPr>
          </w:p>
        </w:tc>
        <w:tc>
          <w:tcPr>
            <w:tcW w:w="301" w:type="pct"/>
            <w:shd w:val="clear" w:color="000000" w:fill="FCFCFF"/>
            <w:noWrap/>
            <w:vAlign w:val="center"/>
            <w:hideMark/>
          </w:tcPr>
          <w:p w14:paraId="28ABB2CD"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4</w:t>
            </w:r>
          </w:p>
        </w:tc>
      </w:tr>
      <w:tr w:rsidR="00E11000" w:rsidRPr="00735C3E" w14:paraId="033C7C41" w14:textId="77777777" w:rsidTr="00F53166">
        <w:trPr>
          <w:trHeight w:val="300"/>
        </w:trPr>
        <w:tc>
          <w:tcPr>
            <w:tcW w:w="203" w:type="pct"/>
            <w:shd w:val="clear" w:color="auto" w:fill="auto"/>
            <w:noWrap/>
            <w:vAlign w:val="center"/>
            <w:hideMark/>
          </w:tcPr>
          <w:p w14:paraId="6F8E3948"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w:t>
            </w:r>
          </w:p>
        </w:tc>
        <w:tc>
          <w:tcPr>
            <w:tcW w:w="704" w:type="pct"/>
            <w:shd w:val="clear" w:color="auto" w:fill="auto"/>
            <w:vAlign w:val="center"/>
            <w:hideMark/>
          </w:tcPr>
          <w:p w14:paraId="3E386EF3" w14:textId="678CAC72" w:rsidR="003427F0" w:rsidRPr="00762D6B" w:rsidRDefault="003427F0" w:rsidP="001C5177">
            <w:pPr>
              <w:jc w:val="left"/>
              <w:rPr>
                <w:rFonts w:eastAsia="Times New Roman"/>
                <w:i/>
                <w:iCs/>
                <w:color w:val="000000"/>
                <w:sz w:val="16"/>
                <w:szCs w:val="16"/>
                <w:lang w:val="en-US"/>
              </w:rPr>
            </w:pPr>
            <w:r w:rsidRPr="00762D6B">
              <w:rPr>
                <w:rFonts w:eastAsia="Times New Roman"/>
                <w:i/>
                <w:iCs/>
                <w:color w:val="000000"/>
                <w:sz w:val="16"/>
                <w:szCs w:val="16"/>
                <w:lang w:val="en-US"/>
              </w:rPr>
              <w:t xml:space="preserve">Plum pox virus </w:t>
            </w:r>
            <w:r w:rsidRPr="00762D6B">
              <w:rPr>
                <w:rFonts w:eastAsia="Times New Roman"/>
                <w:color w:val="000000"/>
                <w:sz w:val="16"/>
                <w:szCs w:val="16"/>
                <w:lang w:val="en-US"/>
              </w:rPr>
              <w:t>(incl</w:t>
            </w:r>
            <w:r w:rsidR="001C5177">
              <w:rPr>
                <w:rFonts w:eastAsia="Times New Roman"/>
                <w:color w:val="000000"/>
                <w:sz w:val="16"/>
                <w:szCs w:val="16"/>
                <w:lang w:val="en-US"/>
              </w:rPr>
              <w:t>.</w:t>
            </w:r>
            <w:r w:rsidRPr="00762D6B">
              <w:rPr>
                <w:rFonts w:eastAsia="Times New Roman"/>
                <w:color w:val="000000"/>
                <w:sz w:val="16"/>
                <w:szCs w:val="16"/>
                <w:lang w:val="en-US"/>
              </w:rPr>
              <w:t xml:space="preserve"> </w:t>
            </w:r>
            <w:r w:rsidR="001C5177">
              <w:rPr>
                <w:rFonts w:eastAsia="Times New Roman"/>
                <w:color w:val="000000"/>
                <w:sz w:val="16"/>
                <w:szCs w:val="16"/>
                <w:lang w:val="en-US"/>
              </w:rPr>
              <w:t>r</w:t>
            </w:r>
            <w:r w:rsidRPr="00762D6B">
              <w:rPr>
                <w:rFonts w:eastAsia="Times New Roman"/>
                <w:color w:val="000000"/>
                <w:sz w:val="16"/>
                <w:szCs w:val="16"/>
                <w:lang w:val="en-US"/>
              </w:rPr>
              <w:t>evision)</w:t>
            </w:r>
          </w:p>
        </w:tc>
        <w:tc>
          <w:tcPr>
            <w:tcW w:w="198" w:type="pct"/>
            <w:shd w:val="clear" w:color="auto" w:fill="auto"/>
            <w:noWrap/>
            <w:vAlign w:val="center"/>
            <w:hideMark/>
          </w:tcPr>
          <w:p w14:paraId="16053A6B" w14:textId="2210ED40"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r w:rsidR="00DD3648" w:rsidRPr="00762D6B">
              <w:rPr>
                <w:rFonts w:eastAsia="Times New Roman"/>
                <w:color w:val="000000"/>
                <w:sz w:val="16"/>
                <w:szCs w:val="16"/>
                <w:lang w:val="en-US"/>
              </w:rPr>
              <w:t xml:space="preserve"> (1)</w:t>
            </w:r>
          </w:p>
        </w:tc>
        <w:tc>
          <w:tcPr>
            <w:tcW w:w="199" w:type="pct"/>
            <w:shd w:val="clear" w:color="auto" w:fill="auto"/>
            <w:noWrap/>
            <w:vAlign w:val="center"/>
            <w:hideMark/>
          </w:tcPr>
          <w:p w14:paraId="619EE20D" w14:textId="39DEC050"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2752FBFE" w14:textId="31849B06"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359A0F00"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 F</w:t>
            </w:r>
          </w:p>
        </w:tc>
        <w:tc>
          <w:tcPr>
            <w:tcW w:w="198" w:type="pct"/>
            <w:shd w:val="clear" w:color="000000" w:fill="F8CBAD"/>
            <w:noWrap/>
            <w:vAlign w:val="center"/>
            <w:hideMark/>
          </w:tcPr>
          <w:p w14:paraId="723E30AA" w14:textId="473C067A"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6DDD667" w14:textId="4A7F4A53"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p>
        </w:tc>
        <w:tc>
          <w:tcPr>
            <w:tcW w:w="202" w:type="pct"/>
            <w:shd w:val="clear" w:color="000000" w:fill="F8CBAD"/>
            <w:noWrap/>
            <w:vAlign w:val="center"/>
            <w:hideMark/>
          </w:tcPr>
          <w:p w14:paraId="177715F2" w14:textId="64D1533B"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E91A74D"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C</w:t>
            </w:r>
          </w:p>
        </w:tc>
        <w:tc>
          <w:tcPr>
            <w:tcW w:w="199" w:type="pct"/>
            <w:shd w:val="clear" w:color="000000" w:fill="F8CBAD"/>
            <w:noWrap/>
            <w:vAlign w:val="center"/>
            <w:hideMark/>
          </w:tcPr>
          <w:p w14:paraId="44CC0C44" w14:textId="4D72E143" w:rsidR="003427F0" w:rsidRPr="00762D6B" w:rsidRDefault="003427F0" w:rsidP="00762D6B">
            <w:pPr>
              <w:jc w:val="center"/>
              <w:rPr>
                <w:rFonts w:eastAsia="Times New Roman"/>
                <w:color w:val="3F3F76"/>
                <w:sz w:val="16"/>
                <w:szCs w:val="16"/>
                <w:lang w:val="en-US"/>
              </w:rPr>
            </w:pPr>
          </w:p>
        </w:tc>
        <w:tc>
          <w:tcPr>
            <w:tcW w:w="201" w:type="pct"/>
            <w:shd w:val="clear" w:color="000000" w:fill="FF0000"/>
            <w:noWrap/>
            <w:vAlign w:val="center"/>
            <w:hideMark/>
          </w:tcPr>
          <w:p w14:paraId="62FF57A1"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298" w:type="pct"/>
            <w:shd w:val="clear" w:color="auto" w:fill="auto"/>
            <w:noWrap/>
            <w:vAlign w:val="center"/>
            <w:hideMark/>
          </w:tcPr>
          <w:p w14:paraId="78D1ADE7" w14:textId="4B38B795" w:rsidR="003427F0" w:rsidRPr="00762D6B" w:rsidRDefault="003427F0" w:rsidP="00762D6B">
            <w:pPr>
              <w:jc w:val="center"/>
              <w:rPr>
                <w:rFonts w:eastAsia="Times New Roman"/>
                <w:color w:val="000000"/>
                <w:sz w:val="16"/>
                <w:szCs w:val="16"/>
                <w:lang w:val="en-US"/>
              </w:rPr>
            </w:pPr>
          </w:p>
        </w:tc>
        <w:tc>
          <w:tcPr>
            <w:tcW w:w="265" w:type="pct"/>
            <w:shd w:val="clear" w:color="auto" w:fill="auto"/>
            <w:noWrap/>
            <w:vAlign w:val="center"/>
            <w:hideMark/>
          </w:tcPr>
          <w:p w14:paraId="1F095EC5" w14:textId="59E7ACB7" w:rsidR="003427F0" w:rsidRPr="00762D6B" w:rsidRDefault="003427F0" w:rsidP="00762D6B">
            <w:pPr>
              <w:jc w:val="center"/>
              <w:rPr>
                <w:rFonts w:eastAsia="Times New Roman"/>
                <w:color w:val="000000"/>
                <w:sz w:val="16"/>
                <w:szCs w:val="16"/>
                <w:lang w:val="en-US"/>
              </w:rPr>
            </w:pPr>
          </w:p>
        </w:tc>
        <w:tc>
          <w:tcPr>
            <w:tcW w:w="315" w:type="pct"/>
            <w:shd w:val="clear" w:color="auto" w:fill="auto"/>
            <w:noWrap/>
            <w:vAlign w:val="center"/>
            <w:hideMark/>
          </w:tcPr>
          <w:p w14:paraId="45857C1D" w14:textId="27D9BD4D" w:rsidR="003427F0" w:rsidRPr="00762D6B" w:rsidRDefault="003427F0" w:rsidP="00762D6B">
            <w:pPr>
              <w:jc w:val="center"/>
              <w:rPr>
                <w:rFonts w:eastAsia="Times New Roman"/>
                <w:color w:val="000000"/>
                <w:sz w:val="16"/>
                <w:szCs w:val="16"/>
                <w:lang w:val="en-US"/>
              </w:rPr>
            </w:pPr>
          </w:p>
        </w:tc>
        <w:tc>
          <w:tcPr>
            <w:tcW w:w="320" w:type="pct"/>
            <w:shd w:val="clear" w:color="000000" w:fill="F8CBAD"/>
            <w:noWrap/>
            <w:vAlign w:val="center"/>
            <w:hideMark/>
          </w:tcPr>
          <w:p w14:paraId="2CF7487E" w14:textId="77777777" w:rsidR="003427F0" w:rsidRPr="00762D6B" w:rsidRDefault="003427F0" w:rsidP="00762D6B">
            <w:pPr>
              <w:jc w:val="center"/>
              <w:rPr>
                <w:rFonts w:eastAsia="Times New Roman"/>
                <w:color w:val="006100"/>
                <w:sz w:val="16"/>
                <w:szCs w:val="16"/>
                <w:lang w:val="en-US"/>
              </w:rPr>
            </w:pPr>
            <w:r w:rsidRPr="00762D6B">
              <w:rPr>
                <w:rFonts w:eastAsia="Times New Roman"/>
                <w:color w:val="006100"/>
                <w:sz w:val="16"/>
                <w:szCs w:val="16"/>
                <w:lang w:val="en-US"/>
              </w:rPr>
              <w:t>T</w:t>
            </w:r>
          </w:p>
        </w:tc>
        <w:tc>
          <w:tcPr>
            <w:tcW w:w="310" w:type="pct"/>
            <w:shd w:val="clear" w:color="000000" w:fill="F8CBAD"/>
            <w:noWrap/>
            <w:vAlign w:val="center"/>
            <w:hideMark/>
          </w:tcPr>
          <w:p w14:paraId="25A4C917" w14:textId="673FFE20"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286369" w:rsidRPr="00762D6B">
              <w:rPr>
                <w:rFonts w:eastAsia="Times New Roman"/>
                <w:color w:val="000000"/>
                <w:sz w:val="16"/>
                <w:szCs w:val="16"/>
                <w:lang w:val="en-US"/>
              </w:rPr>
              <w:t>,</w:t>
            </w:r>
            <w:r w:rsidR="003427F0" w:rsidRPr="00762D6B">
              <w:rPr>
                <w:rFonts w:eastAsia="Times New Roman"/>
                <w:color w:val="000000"/>
                <w:sz w:val="16"/>
                <w:szCs w:val="16"/>
                <w:lang w:val="en-US"/>
              </w:rPr>
              <w:t xml:space="preserve"> C</w:t>
            </w:r>
          </w:p>
        </w:tc>
        <w:tc>
          <w:tcPr>
            <w:tcW w:w="158" w:type="pct"/>
            <w:shd w:val="clear" w:color="000000" w:fill="FF0000"/>
            <w:noWrap/>
            <w:vAlign w:val="center"/>
            <w:hideMark/>
          </w:tcPr>
          <w:p w14:paraId="3DC33D7D"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32" w:type="pct"/>
            <w:shd w:val="clear" w:color="auto" w:fill="auto"/>
            <w:noWrap/>
            <w:vAlign w:val="center"/>
            <w:hideMark/>
          </w:tcPr>
          <w:p w14:paraId="061ABEDA" w14:textId="1D04F296" w:rsidR="003427F0" w:rsidRPr="00762D6B" w:rsidRDefault="003427F0" w:rsidP="00762D6B">
            <w:pPr>
              <w:jc w:val="center"/>
              <w:rPr>
                <w:rFonts w:eastAsia="Times New Roman"/>
                <w:color w:val="000000"/>
                <w:sz w:val="16"/>
                <w:szCs w:val="16"/>
                <w:lang w:val="en-US"/>
              </w:rPr>
            </w:pPr>
          </w:p>
        </w:tc>
        <w:tc>
          <w:tcPr>
            <w:tcW w:w="301" w:type="pct"/>
            <w:shd w:val="clear" w:color="000000" w:fill="FCDFE2"/>
            <w:noWrap/>
            <w:vAlign w:val="center"/>
            <w:hideMark/>
          </w:tcPr>
          <w:p w14:paraId="4B186DE3"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6</w:t>
            </w:r>
          </w:p>
        </w:tc>
      </w:tr>
      <w:tr w:rsidR="00A23224" w:rsidRPr="00735C3E" w14:paraId="1557329C" w14:textId="77777777" w:rsidTr="00F53166">
        <w:trPr>
          <w:trHeight w:val="300"/>
        </w:trPr>
        <w:tc>
          <w:tcPr>
            <w:tcW w:w="203" w:type="pct"/>
            <w:shd w:val="clear" w:color="auto" w:fill="auto"/>
            <w:noWrap/>
            <w:vAlign w:val="center"/>
            <w:hideMark/>
          </w:tcPr>
          <w:p w14:paraId="42777479"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3</w:t>
            </w:r>
          </w:p>
        </w:tc>
        <w:tc>
          <w:tcPr>
            <w:tcW w:w="704" w:type="pct"/>
            <w:shd w:val="clear" w:color="auto" w:fill="auto"/>
            <w:vAlign w:val="center"/>
            <w:hideMark/>
          </w:tcPr>
          <w:p w14:paraId="7BBC1BE6"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Trogoderma granarium</w:t>
            </w:r>
          </w:p>
        </w:tc>
        <w:tc>
          <w:tcPr>
            <w:tcW w:w="198" w:type="pct"/>
            <w:shd w:val="clear" w:color="auto" w:fill="auto"/>
            <w:noWrap/>
            <w:vAlign w:val="center"/>
            <w:hideMark/>
          </w:tcPr>
          <w:p w14:paraId="7A874482"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325C161B" w14:textId="61DB199D"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11C8CC6C"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w:t>
            </w:r>
          </w:p>
        </w:tc>
        <w:tc>
          <w:tcPr>
            <w:tcW w:w="189" w:type="pct"/>
            <w:shd w:val="clear" w:color="000000" w:fill="F8CBAD"/>
            <w:noWrap/>
            <w:vAlign w:val="center"/>
            <w:hideMark/>
          </w:tcPr>
          <w:p w14:paraId="5F571111"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 F</w:t>
            </w:r>
          </w:p>
        </w:tc>
        <w:tc>
          <w:tcPr>
            <w:tcW w:w="198" w:type="pct"/>
            <w:shd w:val="clear" w:color="000000" w:fill="F8CBAD"/>
            <w:noWrap/>
            <w:vAlign w:val="center"/>
            <w:hideMark/>
          </w:tcPr>
          <w:p w14:paraId="2A369E1B" w14:textId="2D7293EC"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0C5C3EFD" w14:textId="63EDA85F"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p>
        </w:tc>
        <w:tc>
          <w:tcPr>
            <w:tcW w:w="202" w:type="pct"/>
            <w:shd w:val="clear" w:color="000000" w:fill="F8CBAD"/>
            <w:noWrap/>
            <w:vAlign w:val="center"/>
            <w:hideMark/>
          </w:tcPr>
          <w:p w14:paraId="49E926D5" w14:textId="1FA1903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08398B1" w14:textId="142557E8" w:rsidR="003427F0" w:rsidRPr="00762D6B" w:rsidRDefault="003427F0" w:rsidP="00762D6B">
            <w:pPr>
              <w:jc w:val="center"/>
              <w:rPr>
                <w:rFonts w:eastAsia="Times New Roman"/>
                <w:color w:val="3F3F76"/>
                <w:sz w:val="16"/>
                <w:szCs w:val="16"/>
                <w:lang w:val="en-US"/>
              </w:rPr>
            </w:pPr>
          </w:p>
        </w:tc>
        <w:tc>
          <w:tcPr>
            <w:tcW w:w="199" w:type="pct"/>
            <w:shd w:val="clear" w:color="000000" w:fill="F8CBAD"/>
            <w:noWrap/>
            <w:vAlign w:val="center"/>
            <w:hideMark/>
          </w:tcPr>
          <w:p w14:paraId="23857394"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C</w:t>
            </w:r>
          </w:p>
        </w:tc>
        <w:tc>
          <w:tcPr>
            <w:tcW w:w="201" w:type="pct"/>
            <w:shd w:val="clear" w:color="000000" w:fill="FF0000"/>
            <w:noWrap/>
            <w:vAlign w:val="center"/>
            <w:hideMark/>
          </w:tcPr>
          <w:p w14:paraId="51AFADDC"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298" w:type="pct"/>
            <w:shd w:val="clear" w:color="auto" w:fill="auto"/>
            <w:noWrap/>
            <w:vAlign w:val="center"/>
            <w:hideMark/>
          </w:tcPr>
          <w:p w14:paraId="5BADBA7F" w14:textId="77AA2A48" w:rsidR="003427F0" w:rsidRPr="00762D6B" w:rsidRDefault="003427F0" w:rsidP="00762D6B">
            <w:pPr>
              <w:jc w:val="center"/>
              <w:rPr>
                <w:rFonts w:eastAsia="Times New Roman"/>
                <w:color w:val="000000"/>
                <w:sz w:val="16"/>
                <w:szCs w:val="16"/>
                <w:lang w:val="en-US"/>
              </w:rPr>
            </w:pPr>
          </w:p>
        </w:tc>
        <w:tc>
          <w:tcPr>
            <w:tcW w:w="265" w:type="pct"/>
            <w:shd w:val="clear" w:color="auto" w:fill="auto"/>
            <w:noWrap/>
            <w:vAlign w:val="center"/>
            <w:hideMark/>
          </w:tcPr>
          <w:p w14:paraId="32D8715B" w14:textId="5625058A" w:rsidR="003427F0" w:rsidRPr="00762D6B" w:rsidRDefault="003427F0" w:rsidP="00762D6B">
            <w:pPr>
              <w:jc w:val="center"/>
              <w:rPr>
                <w:rFonts w:eastAsia="Times New Roman"/>
                <w:color w:val="000000"/>
                <w:sz w:val="16"/>
                <w:szCs w:val="16"/>
                <w:lang w:val="en-US"/>
              </w:rPr>
            </w:pPr>
          </w:p>
        </w:tc>
        <w:tc>
          <w:tcPr>
            <w:tcW w:w="315" w:type="pct"/>
            <w:shd w:val="clear" w:color="auto" w:fill="auto"/>
            <w:noWrap/>
            <w:vAlign w:val="center"/>
            <w:hideMark/>
          </w:tcPr>
          <w:p w14:paraId="34817405" w14:textId="655262DC" w:rsidR="003427F0" w:rsidRPr="00762D6B" w:rsidRDefault="003427F0" w:rsidP="00762D6B">
            <w:pPr>
              <w:jc w:val="center"/>
              <w:rPr>
                <w:rFonts w:eastAsia="Times New Roman"/>
                <w:color w:val="000000"/>
                <w:sz w:val="16"/>
                <w:szCs w:val="16"/>
                <w:lang w:val="en-US"/>
              </w:rPr>
            </w:pPr>
          </w:p>
        </w:tc>
        <w:tc>
          <w:tcPr>
            <w:tcW w:w="320" w:type="pct"/>
            <w:shd w:val="clear" w:color="auto" w:fill="auto"/>
            <w:noWrap/>
            <w:vAlign w:val="center"/>
            <w:hideMark/>
          </w:tcPr>
          <w:p w14:paraId="654CB3FD" w14:textId="24A7890F"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4AA1D863" w14:textId="4A41D6F2"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3DF721E3" w14:textId="5ADFDB3A"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4CDBC5B9" w14:textId="58EA2DB0" w:rsidR="003427F0" w:rsidRPr="00762D6B" w:rsidRDefault="003427F0" w:rsidP="00762D6B">
            <w:pPr>
              <w:jc w:val="center"/>
              <w:rPr>
                <w:rFonts w:eastAsia="Times New Roman"/>
                <w:color w:val="000000"/>
                <w:sz w:val="16"/>
                <w:szCs w:val="16"/>
                <w:lang w:val="en-US"/>
              </w:rPr>
            </w:pPr>
          </w:p>
        </w:tc>
        <w:tc>
          <w:tcPr>
            <w:tcW w:w="301" w:type="pct"/>
            <w:shd w:val="clear" w:color="000000" w:fill="FCDFE2"/>
            <w:noWrap/>
            <w:vAlign w:val="center"/>
            <w:hideMark/>
          </w:tcPr>
          <w:p w14:paraId="263D3641"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6</w:t>
            </w:r>
          </w:p>
        </w:tc>
      </w:tr>
      <w:tr w:rsidR="00A23224" w:rsidRPr="00735C3E" w14:paraId="74962A2D" w14:textId="77777777" w:rsidTr="00F53166">
        <w:trPr>
          <w:trHeight w:val="300"/>
        </w:trPr>
        <w:tc>
          <w:tcPr>
            <w:tcW w:w="203" w:type="pct"/>
            <w:shd w:val="clear" w:color="auto" w:fill="auto"/>
            <w:noWrap/>
            <w:vAlign w:val="center"/>
            <w:hideMark/>
          </w:tcPr>
          <w:p w14:paraId="4D3D39BA"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4</w:t>
            </w:r>
          </w:p>
        </w:tc>
        <w:tc>
          <w:tcPr>
            <w:tcW w:w="704" w:type="pct"/>
            <w:shd w:val="clear" w:color="auto" w:fill="auto"/>
            <w:vAlign w:val="center"/>
            <w:hideMark/>
          </w:tcPr>
          <w:p w14:paraId="40DC711B"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Tilletia indica</w:t>
            </w:r>
          </w:p>
        </w:tc>
        <w:tc>
          <w:tcPr>
            <w:tcW w:w="198" w:type="pct"/>
            <w:shd w:val="clear" w:color="auto" w:fill="auto"/>
            <w:noWrap/>
            <w:vAlign w:val="center"/>
            <w:hideMark/>
          </w:tcPr>
          <w:p w14:paraId="63EBFF29"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6FA8A660" w14:textId="2AE7AF2D"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3403B2F4" w14:textId="15381CF4"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0CF4FAB5"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2D42B0D8" w14:textId="24BB7AAF"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287260F"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202" w:type="pct"/>
            <w:shd w:val="clear" w:color="000000" w:fill="F8CBAD"/>
            <w:noWrap/>
            <w:vAlign w:val="center"/>
            <w:hideMark/>
          </w:tcPr>
          <w:p w14:paraId="45CBF440" w14:textId="475E4E56"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C661D2F" w14:textId="07F00D04"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47A5710" w14:textId="2F613488"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p>
        </w:tc>
        <w:tc>
          <w:tcPr>
            <w:tcW w:w="201" w:type="pct"/>
            <w:shd w:val="clear" w:color="000000" w:fill="F8CBAD"/>
            <w:noWrap/>
            <w:vAlign w:val="center"/>
            <w:hideMark/>
          </w:tcPr>
          <w:p w14:paraId="546AC320"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C</w:t>
            </w:r>
          </w:p>
        </w:tc>
        <w:tc>
          <w:tcPr>
            <w:tcW w:w="298" w:type="pct"/>
            <w:shd w:val="clear" w:color="000000" w:fill="F8CBAD"/>
            <w:noWrap/>
            <w:vAlign w:val="center"/>
            <w:hideMark/>
          </w:tcPr>
          <w:p w14:paraId="1ECC72F3" w14:textId="1F3008C7" w:rsidR="003427F0" w:rsidRPr="00762D6B" w:rsidRDefault="003427F0" w:rsidP="00762D6B">
            <w:pPr>
              <w:jc w:val="center"/>
              <w:rPr>
                <w:rFonts w:eastAsia="Times New Roman"/>
                <w:sz w:val="16"/>
                <w:szCs w:val="16"/>
                <w:lang w:val="en-US"/>
              </w:rPr>
            </w:pPr>
          </w:p>
        </w:tc>
        <w:tc>
          <w:tcPr>
            <w:tcW w:w="265" w:type="pct"/>
            <w:shd w:val="clear" w:color="000000" w:fill="FF0000"/>
            <w:noWrap/>
            <w:vAlign w:val="center"/>
            <w:hideMark/>
          </w:tcPr>
          <w:p w14:paraId="2462A354"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5" w:type="pct"/>
            <w:shd w:val="clear" w:color="auto" w:fill="auto"/>
            <w:noWrap/>
            <w:vAlign w:val="center"/>
            <w:hideMark/>
          </w:tcPr>
          <w:p w14:paraId="77209931" w14:textId="10CD8839" w:rsidR="003427F0" w:rsidRPr="00762D6B" w:rsidRDefault="003427F0" w:rsidP="00762D6B">
            <w:pPr>
              <w:jc w:val="center"/>
              <w:rPr>
                <w:rFonts w:eastAsia="Times New Roman"/>
                <w:color w:val="000000"/>
                <w:sz w:val="16"/>
                <w:szCs w:val="16"/>
                <w:lang w:val="en-US"/>
              </w:rPr>
            </w:pPr>
          </w:p>
        </w:tc>
        <w:tc>
          <w:tcPr>
            <w:tcW w:w="320" w:type="pct"/>
            <w:shd w:val="clear" w:color="auto" w:fill="auto"/>
            <w:noWrap/>
            <w:vAlign w:val="center"/>
            <w:hideMark/>
          </w:tcPr>
          <w:p w14:paraId="38A1D82C" w14:textId="37EFA296"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33EEF510" w14:textId="7F3D30F3"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713C41EC" w14:textId="698BE006"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FB9F625" w14:textId="361E28DC" w:rsidR="003427F0" w:rsidRPr="00762D6B" w:rsidRDefault="003427F0" w:rsidP="00762D6B">
            <w:pPr>
              <w:jc w:val="center"/>
              <w:rPr>
                <w:rFonts w:eastAsia="Times New Roman"/>
                <w:color w:val="000000"/>
                <w:sz w:val="16"/>
                <w:szCs w:val="16"/>
                <w:lang w:val="en-US"/>
              </w:rPr>
            </w:pPr>
          </w:p>
        </w:tc>
        <w:tc>
          <w:tcPr>
            <w:tcW w:w="301" w:type="pct"/>
            <w:shd w:val="clear" w:color="000000" w:fill="FBC2C4"/>
            <w:noWrap/>
            <w:vAlign w:val="center"/>
            <w:hideMark/>
          </w:tcPr>
          <w:p w14:paraId="0C24A337"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8</w:t>
            </w:r>
          </w:p>
        </w:tc>
      </w:tr>
      <w:tr w:rsidR="00E11000" w:rsidRPr="00735C3E" w14:paraId="182B4E50" w14:textId="77777777" w:rsidTr="00F53166">
        <w:trPr>
          <w:trHeight w:val="300"/>
        </w:trPr>
        <w:tc>
          <w:tcPr>
            <w:tcW w:w="203" w:type="pct"/>
            <w:shd w:val="clear" w:color="auto" w:fill="auto"/>
            <w:noWrap/>
            <w:vAlign w:val="center"/>
            <w:hideMark/>
          </w:tcPr>
          <w:p w14:paraId="3FDCFF34"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5</w:t>
            </w:r>
          </w:p>
        </w:tc>
        <w:tc>
          <w:tcPr>
            <w:tcW w:w="704" w:type="pct"/>
            <w:shd w:val="clear" w:color="auto" w:fill="auto"/>
            <w:vAlign w:val="center"/>
            <w:hideMark/>
          </w:tcPr>
          <w:p w14:paraId="1C37354D"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Phyllosticta citricarpa</w:t>
            </w:r>
            <w:r w:rsidRPr="00762D6B">
              <w:rPr>
                <w:rFonts w:eastAsia="Times New Roman"/>
                <w:color w:val="000000"/>
                <w:sz w:val="16"/>
                <w:szCs w:val="16"/>
                <w:lang w:val="en-US"/>
              </w:rPr>
              <w:t xml:space="preserve"> on fruits</w:t>
            </w:r>
          </w:p>
        </w:tc>
        <w:tc>
          <w:tcPr>
            <w:tcW w:w="198" w:type="pct"/>
            <w:shd w:val="clear" w:color="auto" w:fill="auto"/>
            <w:noWrap/>
            <w:vAlign w:val="center"/>
            <w:hideMark/>
          </w:tcPr>
          <w:p w14:paraId="0D04826C"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000000" w:fill="F8CBAD"/>
            <w:noWrap/>
            <w:vAlign w:val="center"/>
            <w:hideMark/>
          </w:tcPr>
          <w:p w14:paraId="010C2C9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4B17A85F" w14:textId="3E12623A"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65A32698" w14:textId="624F30E5"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3F0C719B" w14:textId="1313BBA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B6F1FB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202" w:type="pct"/>
            <w:shd w:val="clear" w:color="000000" w:fill="F8CBAD"/>
            <w:noWrap/>
            <w:vAlign w:val="center"/>
            <w:hideMark/>
          </w:tcPr>
          <w:p w14:paraId="5120E2EF" w14:textId="7711BB5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5AEC5C9" w14:textId="7E4C1C97"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CE69D7D" w14:textId="3F290E16"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p>
        </w:tc>
        <w:tc>
          <w:tcPr>
            <w:tcW w:w="201" w:type="pct"/>
            <w:shd w:val="clear" w:color="000000" w:fill="F8CBAD"/>
            <w:noWrap/>
            <w:vAlign w:val="center"/>
            <w:hideMark/>
          </w:tcPr>
          <w:p w14:paraId="4634ACC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C</w:t>
            </w:r>
          </w:p>
        </w:tc>
        <w:tc>
          <w:tcPr>
            <w:tcW w:w="298" w:type="pct"/>
            <w:shd w:val="clear" w:color="000000" w:fill="F8CBAD"/>
            <w:noWrap/>
            <w:vAlign w:val="center"/>
            <w:hideMark/>
          </w:tcPr>
          <w:p w14:paraId="6DD575D5" w14:textId="48F1CAF6" w:rsidR="003427F0" w:rsidRPr="00762D6B" w:rsidRDefault="003427F0" w:rsidP="00762D6B">
            <w:pPr>
              <w:jc w:val="center"/>
              <w:rPr>
                <w:rFonts w:eastAsia="Times New Roman"/>
                <w:sz w:val="16"/>
                <w:szCs w:val="16"/>
                <w:lang w:val="en-US"/>
              </w:rPr>
            </w:pPr>
          </w:p>
        </w:tc>
        <w:tc>
          <w:tcPr>
            <w:tcW w:w="265" w:type="pct"/>
            <w:shd w:val="clear" w:color="000000" w:fill="FF0000"/>
            <w:noWrap/>
            <w:vAlign w:val="center"/>
            <w:hideMark/>
          </w:tcPr>
          <w:p w14:paraId="31164BEA"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5" w:type="pct"/>
            <w:shd w:val="clear" w:color="auto" w:fill="auto"/>
            <w:noWrap/>
            <w:vAlign w:val="center"/>
            <w:hideMark/>
          </w:tcPr>
          <w:p w14:paraId="3F6B1A43" w14:textId="7F040DD0" w:rsidR="003427F0" w:rsidRPr="00762D6B" w:rsidRDefault="003427F0" w:rsidP="00762D6B">
            <w:pPr>
              <w:jc w:val="center"/>
              <w:rPr>
                <w:rFonts w:eastAsia="Times New Roman"/>
                <w:color w:val="000000"/>
                <w:sz w:val="16"/>
                <w:szCs w:val="16"/>
                <w:lang w:val="en-US"/>
              </w:rPr>
            </w:pPr>
          </w:p>
        </w:tc>
        <w:tc>
          <w:tcPr>
            <w:tcW w:w="320" w:type="pct"/>
            <w:shd w:val="clear" w:color="auto" w:fill="auto"/>
            <w:noWrap/>
            <w:vAlign w:val="center"/>
            <w:hideMark/>
          </w:tcPr>
          <w:p w14:paraId="0ADB5668" w14:textId="5992EB95"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1B8E93FF" w14:textId="74649941"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47D06AAA" w14:textId="5258428E"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198CB1C" w14:textId="1EFE29D0" w:rsidR="003427F0" w:rsidRPr="00762D6B" w:rsidRDefault="003427F0" w:rsidP="00762D6B">
            <w:pPr>
              <w:jc w:val="center"/>
              <w:rPr>
                <w:rFonts w:eastAsia="Times New Roman"/>
                <w:color w:val="000000"/>
                <w:sz w:val="16"/>
                <w:szCs w:val="16"/>
                <w:lang w:val="en-US"/>
              </w:rPr>
            </w:pPr>
          </w:p>
        </w:tc>
        <w:tc>
          <w:tcPr>
            <w:tcW w:w="301" w:type="pct"/>
            <w:shd w:val="clear" w:color="000000" w:fill="FAA4A7"/>
            <w:noWrap/>
            <w:vAlign w:val="center"/>
            <w:hideMark/>
          </w:tcPr>
          <w:p w14:paraId="7DB4B25B"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10</w:t>
            </w:r>
          </w:p>
        </w:tc>
      </w:tr>
      <w:tr w:rsidR="00E11000" w:rsidRPr="00735C3E" w14:paraId="7B91CBE8" w14:textId="77777777" w:rsidTr="00F53166">
        <w:trPr>
          <w:trHeight w:val="300"/>
        </w:trPr>
        <w:tc>
          <w:tcPr>
            <w:tcW w:w="203" w:type="pct"/>
            <w:shd w:val="clear" w:color="auto" w:fill="auto"/>
            <w:noWrap/>
            <w:vAlign w:val="center"/>
            <w:hideMark/>
          </w:tcPr>
          <w:p w14:paraId="50681346"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6</w:t>
            </w:r>
          </w:p>
        </w:tc>
        <w:tc>
          <w:tcPr>
            <w:tcW w:w="704" w:type="pct"/>
            <w:shd w:val="clear" w:color="auto" w:fill="auto"/>
            <w:vAlign w:val="center"/>
            <w:hideMark/>
          </w:tcPr>
          <w:p w14:paraId="43B857D2"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 xml:space="preserve">Xanthomonas citri </w:t>
            </w:r>
            <w:r w:rsidRPr="00762D6B">
              <w:rPr>
                <w:rFonts w:eastAsia="Times New Roman"/>
                <w:color w:val="000000"/>
                <w:sz w:val="16"/>
                <w:szCs w:val="16"/>
                <w:lang w:val="en-US"/>
              </w:rPr>
              <w:t xml:space="preserve">subsp. </w:t>
            </w:r>
            <w:r w:rsidRPr="00762D6B">
              <w:rPr>
                <w:rFonts w:eastAsia="Times New Roman"/>
                <w:i/>
                <w:iCs/>
                <w:color w:val="000000"/>
                <w:sz w:val="16"/>
                <w:szCs w:val="16"/>
                <w:lang w:val="en-US"/>
              </w:rPr>
              <w:t xml:space="preserve">citri </w:t>
            </w:r>
          </w:p>
        </w:tc>
        <w:tc>
          <w:tcPr>
            <w:tcW w:w="198" w:type="pct"/>
            <w:shd w:val="clear" w:color="auto" w:fill="auto"/>
            <w:noWrap/>
            <w:vAlign w:val="center"/>
            <w:hideMark/>
          </w:tcPr>
          <w:p w14:paraId="120DE2A4"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000000" w:fill="F8CBAD"/>
            <w:noWrap/>
            <w:vAlign w:val="center"/>
            <w:hideMark/>
          </w:tcPr>
          <w:p w14:paraId="39BC6EC4"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0CF23018" w14:textId="1796DD71"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422BC8DC"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8" w:type="pct"/>
            <w:shd w:val="clear" w:color="000000" w:fill="F8CBAD"/>
            <w:noWrap/>
            <w:vAlign w:val="center"/>
            <w:hideMark/>
          </w:tcPr>
          <w:p w14:paraId="24C565FB" w14:textId="11B9F977"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3E621A7" w14:textId="26A413A9"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6EA5EAD7" w14:textId="7F931488"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E2F3EE0" w14:textId="488792F4"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258C127C" w14:textId="141D63B3"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09ADE34F" w14:textId="46868153"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6EF61361" w14:textId="311C28F1"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w:t>
            </w:r>
          </w:p>
        </w:tc>
        <w:tc>
          <w:tcPr>
            <w:tcW w:w="265" w:type="pct"/>
            <w:shd w:val="clear" w:color="000000" w:fill="FF0000"/>
            <w:noWrap/>
            <w:vAlign w:val="center"/>
            <w:hideMark/>
          </w:tcPr>
          <w:p w14:paraId="71526D97"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5" w:type="pct"/>
            <w:shd w:val="clear" w:color="auto" w:fill="auto"/>
            <w:noWrap/>
            <w:vAlign w:val="center"/>
            <w:hideMark/>
          </w:tcPr>
          <w:p w14:paraId="024335B7" w14:textId="205B6C96" w:rsidR="003427F0" w:rsidRPr="00762D6B" w:rsidRDefault="003427F0" w:rsidP="00762D6B">
            <w:pPr>
              <w:jc w:val="center"/>
              <w:rPr>
                <w:rFonts w:eastAsia="Times New Roman"/>
                <w:color w:val="000000"/>
                <w:sz w:val="16"/>
                <w:szCs w:val="16"/>
                <w:lang w:val="en-US"/>
              </w:rPr>
            </w:pPr>
          </w:p>
        </w:tc>
        <w:tc>
          <w:tcPr>
            <w:tcW w:w="320" w:type="pct"/>
            <w:shd w:val="clear" w:color="auto" w:fill="auto"/>
            <w:noWrap/>
            <w:vAlign w:val="center"/>
            <w:hideMark/>
          </w:tcPr>
          <w:p w14:paraId="67706AB2" w14:textId="6E617175"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5EBA17DD" w14:textId="2B4A93D6"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24326B07" w14:textId="671635CF"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3D40BB0B" w14:textId="5A1B2176" w:rsidR="003427F0" w:rsidRPr="00762D6B" w:rsidRDefault="003427F0" w:rsidP="00762D6B">
            <w:pPr>
              <w:jc w:val="center"/>
              <w:rPr>
                <w:rFonts w:eastAsia="Times New Roman"/>
                <w:color w:val="000000"/>
                <w:sz w:val="16"/>
                <w:szCs w:val="16"/>
                <w:lang w:val="en-US"/>
              </w:rPr>
            </w:pPr>
          </w:p>
        </w:tc>
        <w:tc>
          <w:tcPr>
            <w:tcW w:w="301" w:type="pct"/>
            <w:shd w:val="clear" w:color="000000" w:fill="FAA4A7"/>
            <w:noWrap/>
            <w:vAlign w:val="center"/>
            <w:hideMark/>
          </w:tcPr>
          <w:p w14:paraId="7754641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10</w:t>
            </w:r>
          </w:p>
        </w:tc>
      </w:tr>
      <w:tr w:rsidR="00A23224" w:rsidRPr="00735C3E" w14:paraId="56DF3B46" w14:textId="77777777" w:rsidTr="00F53166">
        <w:trPr>
          <w:trHeight w:val="300"/>
        </w:trPr>
        <w:tc>
          <w:tcPr>
            <w:tcW w:w="203" w:type="pct"/>
            <w:shd w:val="clear" w:color="auto" w:fill="auto"/>
            <w:noWrap/>
            <w:vAlign w:val="center"/>
            <w:hideMark/>
          </w:tcPr>
          <w:p w14:paraId="23486A9C"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7</w:t>
            </w:r>
          </w:p>
        </w:tc>
        <w:tc>
          <w:tcPr>
            <w:tcW w:w="704" w:type="pct"/>
            <w:shd w:val="clear" w:color="auto" w:fill="auto"/>
            <w:vAlign w:val="center"/>
            <w:hideMark/>
          </w:tcPr>
          <w:p w14:paraId="2C2EA8BB"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Potato spindle tuber viroid</w:t>
            </w:r>
          </w:p>
        </w:tc>
        <w:tc>
          <w:tcPr>
            <w:tcW w:w="198" w:type="pct"/>
            <w:shd w:val="clear" w:color="auto" w:fill="auto"/>
            <w:noWrap/>
            <w:vAlign w:val="center"/>
            <w:hideMark/>
          </w:tcPr>
          <w:p w14:paraId="150BE168"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03D31399" w14:textId="5DDF8ED9"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53A38CA1" w14:textId="6477F2A5" w:rsidR="003427F0" w:rsidRPr="00762D6B" w:rsidRDefault="003427F0" w:rsidP="00762D6B">
            <w:pPr>
              <w:jc w:val="center"/>
              <w:rPr>
                <w:rFonts w:eastAsia="Times New Roman"/>
                <w:sz w:val="16"/>
                <w:szCs w:val="16"/>
                <w:lang w:val="en-US"/>
              </w:rPr>
            </w:pPr>
          </w:p>
        </w:tc>
        <w:tc>
          <w:tcPr>
            <w:tcW w:w="189" w:type="pct"/>
            <w:shd w:val="clear" w:color="auto" w:fill="auto"/>
            <w:noWrap/>
            <w:vAlign w:val="center"/>
            <w:hideMark/>
          </w:tcPr>
          <w:p w14:paraId="4456D13B" w14:textId="68A49FA5"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51A5AEFB"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9" w:type="pct"/>
            <w:shd w:val="clear" w:color="000000" w:fill="F8CBAD"/>
            <w:noWrap/>
            <w:vAlign w:val="center"/>
            <w:hideMark/>
          </w:tcPr>
          <w:p w14:paraId="5C36B843" w14:textId="0E8D78E0"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3A47BD74" w14:textId="6462ED7C"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D3BE02F" w14:textId="423D8C28"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2D144B22" w14:textId="4E36B9C4"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7E932C18"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298" w:type="pct"/>
            <w:shd w:val="clear" w:color="000000" w:fill="F8CBAD"/>
            <w:noWrap/>
            <w:vAlign w:val="center"/>
            <w:hideMark/>
          </w:tcPr>
          <w:p w14:paraId="6F0F7F44" w14:textId="248168E0"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w:t>
            </w:r>
          </w:p>
        </w:tc>
        <w:tc>
          <w:tcPr>
            <w:tcW w:w="265" w:type="pct"/>
            <w:shd w:val="clear" w:color="000000" w:fill="F8CBAD"/>
            <w:noWrap/>
            <w:vAlign w:val="center"/>
            <w:hideMark/>
          </w:tcPr>
          <w:p w14:paraId="409238EE" w14:textId="13A11698" w:rsidR="003427F0" w:rsidRPr="00762D6B" w:rsidRDefault="003427F0" w:rsidP="00762D6B">
            <w:pPr>
              <w:jc w:val="center"/>
              <w:rPr>
                <w:rFonts w:eastAsia="Times New Roman"/>
                <w:color w:val="3F3F76"/>
                <w:sz w:val="16"/>
                <w:szCs w:val="16"/>
                <w:lang w:val="en-US"/>
              </w:rPr>
            </w:pPr>
          </w:p>
        </w:tc>
        <w:tc>
          <w:tcPr>
            <w:tcW w:w="315" w:type="pct"/>
            <w:shd w:val="clear" w:color="000000" w:fill="FF0000"/>
            <w:noWrap/>
            <w:vAlign w:val="center"/>
            <w:hideMark/>
          </w:tcPr>
          <w:p w14:paraId="449EEB96"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20" w:type="pct"/>
            <w:shd w:val="clear" w:color="auto" w:fill="auto"/>
            <w:noWrap/>
            <w:vAlign w:val="center"/>
            <w:hideMark/>
          </w:tcPr>
          <w:p w14:paraId="1FC0AD44" w14:textId="25EC880F"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3DC3C007" w14:textId="7E2C5BD2"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19AA9A79" w14:textId="06CB8639"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40F4C3D6" w14:textId="48E8E0CB" w:rsidR="003427F0" w:rsidRPr="00762D6B" w:rsidRDefault="003427F0" w:rsidP="00762D6B">
            <w:pPr>
              <w:jc w:val="center"/>
              <w:rPr>
                <w:rFonts w:eastAsia="Times New Roman"/>
                <w:color w:val="000000"/>
                <w:sz w:val="16"/>
                <w:szCs w:val="16"/>
                <w:lang w:val="en-US"/>
              </w:rPr>
            </w:pPr>
          </w:p>
        </w:tc>
        <w:tc>
          <w:tcPr>
            <w:tcW w:w="301" w:type="pct"/>
            <w:shd w:val="clear" w:color="000000" w:fill="FBC2C4"/>
            <w:noWrap/>
            <w:vAlign w:val="center"/>
            <w:hideMark/>
          </w:tcPr>
          <w:p w14:paraId="0909C535"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8</w:t>
            </w:r>
          </w:p>
        </w:tc>
      </w:tr>
      <w:tr w:rsidR="00E11000" w:rsidRPr="00735C3E" w14:paraId="1EC8234C" w14:textId="77777777" w:rsidTr="00F53166">
        <w:trPr>
          <w:trHeight w:val="300"/>
        </w:trPr>
        <w:tc>
          <w:tcPr>
            <w:tcW w:w="203" w:type="pct"/>
            <w:shd w:val="clear" w:color="auto" w:fill="auto"/>
            <w:noWrap/>
            <w:vAlign w:val="center"/>
            <w:hideMark/>
          </w:tcPr>
          <w:p w14:paraId="4CF1CF09"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8</w:t>
            </w:r>
          </w:p>
        </w:tc>
        <w:tc>
          <w:tcPr>
            <w:tcW w:w="704" w:type="pct"/>
            <w:shd w:val="clear" w:color="auto" w:fill="auto"/>
            <w:vAlign w:val="center"/>
            <w:hideMark/>
          </w:tcPr>
          <w:p w14:paraId="73A0679B" w14:textId="1AC08FD2" w:rsidR="003427F0" w:rsidRPr="00762D6B" w:rsidRDefault="003427F0" w:rsidP="001C5177">
            <w:pPr>
              <w:jc w:val="left"/>
              <w:rPr>
                <w:rFonts w:eastAsia="Times New Roman"/>
                <w:i/>
                <w:iCs/>
                <w:color w:val="000000"/>
                <w:sz w:val="16"/>
                <w:szCs w:val="16"/>
                <w:lang w:val="en-US"/>
              </w:rPr>
            </w:pPr>
            <w:r w:rsidRPr="00762D6B">
              <w:rPr>
                <w:rFonts w:eastAsia="Times New Roman"/>
                <w:i/>
                <w:iCs/>
                <w:color w:val="000000"/>
                <w:sz w:val="16"/>
                <w:szCs w:val="16"/>
                <w:lang w:val="en-US"/>
              </w:rPr>
              <w:t>Ditylenchus destructor, D.</w:t>
            </w:r>
            <w:r w:rsidR="001C5177">
              <w:rPr>
                <w:rFonts w:eastAsia="Times New Roman"/>
                <w:i/>
                <w:iCs/>
                <w:color w:val="000000"/>
                <w:sz w:val="16"/>
                <w:szCs w:val="16"/>
                <w:lang w:val="en-US"/>
              </w:rPr>
              <w:t> </w:t>
            </w:r>
            <w:r w:rsidRPr="00762D6B">
              <w:rPr>
                <w:rFonts w:eastAsia="Times New Roman"/>
                <w:i/>
                <w:iCs/>
                <w:color w:val="000000"/>
                <w:sz w:val="16"/>
                <w:szCs w:val="16"/>
                <w:lang w:val="en-US"/>
              </w:rPr>
              <w:t>dipsaci</w:t>
            </w:r>
          </w:p>
        </w:tc>
        <w:tc>
          <w:tcPr>
            <w:tcW w:w="198" w:type="pct"/>
            <w:shd w:val="clear" w:color="auto" w:fill="auto"/>
            <w:noWrap/>
            <w:vAlign w:val="center"/>
            <w:hideMark/>
          </w:tcPr>
          <w:p w14:paraId="6BB38F41"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628BAAD2" w14:textId="2904AC68"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23251E05" w14:textId="3356D165"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61FD7696"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53BB515A" w14:textId="24ABF1B3"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42CC302" w14:textId="736429FB"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54421159" w14:textId="64AB66BC"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05A05336"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9" w:type="pct"/>
            <w:shd w:val="clear" w:color="000000" w:fill="F8CBAD"/>
            <w:noWrap/>
            <w:vAlign w:val="center"/>
            <w:hideMark/>
          </w:tcPr>
          <w:p w14:paraId="72A4E3DB" w14:textId="1E913183"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3AC62CF7" w14:textId="432521B1"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5FB7C27D"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265" w:type="pct"/>
            <w:shd w:val="clear" w:color="000000" w:fill="F8CBAD"/>
            <w:noWrap/>
            <w:vAlign w:val="center"/>
            <w:hideMark/>
          </w:tcPr>
          <w:p w14:paraId="27AD2F8C" w14:textId="028A5880"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315" w:type="pct"/>
            <w:shd w:val="clear" w:color="000000" w:fill="FF0000"/>
            <w:noWrap/>
            <w:vAlign w:val="center"/>
            <w:hideMark/>
          </w:tcPr>
          <w:p w14:paraId="3A05C42F"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20" w:type="pct"/>
            <w:shd w:val="clear" w:color="auto" w:fill="auto"/>
            <w:noWrap/>
            <w:vAlign w:val="center"/>
            <w:hideMark/>
          </w:tcPr>
          <w:p w14:paraId="0A440D01" w14:textId="1071C7C5"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6FB38F3D" w14:textId="78099CEB"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568B19FC" w14:textId="23D5D7BD"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3170B815" w14:textId="5DC22495" w:rsidR="003427F0" w:rsidRPr="00762D6B" w:rsidRDefault="003427F0" w:rsidP="00762D6B">
            <w:pPr>
              <w:jc w:val="center"/>
              <w:rPr>
                <w:rFonts w:eastAsia="Times New Roman"/>
                <w:color w:val="000000"/>
                <w:sz w:val="16"/>
                <w:szCs w:val="16"/>
                <w:lang w:val="en-US"/>
              </w:rPr>
            </w:pPr>
          </w:p>
        </w:tc>
        <w:tc>
          <w:tcPr>
            <w:tcW w:w="301" w:type="pct"/>
            <w:shd w:val="clear" w:color="000000" w:fill="FAB3B5"/>
            <w:noWrap/>
            <w:vAlign w:val="center"/>
            <w:hideMark/>
          </w:tcPr>
          <w:p w14:paraId="4C52C7CF"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9</w:t>
            </w:r>
          </w:p>
        </w:tc>
      </w:tr>
      <w:tr w:rsidR="00E11000" w:rsidRPr="00735C3E" w14:paraId="47420630" w14:textId="77777777" w:rsidTr="00F53166">
        <w:trPr>
          <w:trHeight w:val="300"/>
        </w:trPr>
        <w:tc>
          <w:tcPr>
            <w:tcW w:w="203" w:type="pct"/>
            <w:shd w:val="clear" w:color="auto" w:fill="auto"/>
            <w:noWrap/>
            <w:vAlign w:val="center"/>
            <w:hideMark/>
          </w:tcPr>
          <w:p w14:paraId="7EFEDEF1"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9</w:t>
            </w:r>
          </w:p>
        </w:tc>
        <w:tc>
          <w:tcPr>
            <w:tcW w:w="704" w:type="pct"/>
            <w:shd w:val="clear" w:color="auto" w:fill="auto"/>
            <w:vAlign w:val="center"/>
            <w:hideMark/>
          </w:tcPr>
          <w:p w14:paraId="12BBB692"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Anastrepha</w:t>
            </w:r>
            <w:r w:rsidRPr="00762D6B">
              <w:rPr>
                <w:rFonts w:eastAsia="Times New Roman"/>
                <w:color w:val="000000"/>
                <w:sz w:val="16"/>
                <w:szCs w:val="16"/>
                <w:lang w:val="en-US"/>
              </w:rPr>
              <w:t xml:space="preserve"> genus</w:t>
            </w:r>
          </w:p>
        </w:tc>
        <w:tc>
          <w:tcPr>
            <w:tcW w:w="198" w:type="pct"/>
            <w:shd w:val="clear" w:color="auto" w:fill="auto"/>
            <w:noWrap/>
            <w:vAlign w:val="center"/>
            <w:hideMark/>
          </w:tcPr>
          <w:p w14:paraId="4657AB9F"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2C5FCF86" w14:textId="7C02476F"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72A91C92" w14:textId="7E7B6F52"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5CBA0586"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6772C284"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9" w:type="pct"/>
            <w:shd w:val="clear" w:color="000000" w:fill="F8CBAD"/>
            <w:noWrap/>
            <w:vAlign w:val="center"/>
            <w:hideMark/>
          </w:tcPr>
          <w:p w14:paraId="389D1DD1" w14:textId="606AA2AF"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7E8DA8EC" w14:textId="75F00430"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B966950" w14:textId="13DDA5DE"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452D409" w14:textId="3930F603"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289D6365" w14:textId="265AAC0E"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38FAD290"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265" w:type="pct"/>
            <w:shd w:val="clear" w:color="000000" w:fill="F8CBAD"/>
            <w:noWrap/>
            <w:vAlign w:val="center"/>
            <w:hideMark/>
          </w:tcPr>
          <w:p w14:paraId="096CB2FC" w14:textId="7F875C30"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315" w:type="pct"/>
            <w:shd w:val="clear" w:color="000000" w:fill="FF0000"/>
            <w:noWrap/>
            <w:vAlign w:val="center"/>
            <w:hideMark/>
          </w:tcPr>
          <w:p w14:paraId="2A1B2AC4"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20" w:type="pct"/>
            <w:shd w:val="clear" w:color="auto" w:fill="auto"/>
            <w:noWrap/>
            <w:vAlign w:val="center"/>
            <w:hideMark/>
          </w:tcPr>
          <w:p w14:paraId="6F446409" w14:textId="06E8AC1B" w:rsidR="003427F0" w:rsidRPr="00762D6B" w:rsidRDefault="003427F0" w:rsidP="00762D6B">
            <w:pPr>
              <w:jc w:val="center"/>
              <w:rPr>
                <w:rFonts w:eastAsia="Times New Roman"/>
                <w:color w:val="000000"/>
                <w:sz w:val="16"/>
                <w:szCs w:val="16"/>
                <w:lang w:val="en-US"/>
              </w:rPr>
            </w:pPr>
          </w:p>
        </w:tc>
        <w:tc>
          <w:tcPr>
            <w:tcW w:w="310" w:type="pct"/>
            <w:shd w:val="clear" w:color="auto" w:fill="auto"/>
            <w:noWrap/>
            <w:vAlign w:val="center"/>
            <w:hideMark/>
          </w:tcPr>
          <w:p w14:paraId="2DBEAE5F" w14:textId="271F354B"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07344B28" w14:textId="734C3B89"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7C33EC6F" w14:textId="4E94E6F0" w:rsidR="003427F0" w:rsidRPr="00762D6B" w:rsidRDefault="003427F0" w:rsidP="00762D6B">
            <w:pPr>
              <w:jc w:val="center"/>
              <w:rPr>
                <w:rFonts w:eastAsia="Times New Roman"/>
                <w:color w:val="000000"/>
                <w:sz w:val="16"/>
                <w:szCs w:val="16"/>
                <w:lang w:val="en-US"/>
              </w:rPr>
            </w:pPr>
          </w:p>
        </w:tc>
        <w:tc>
          <w:tcPr>
            <w:tcW w:w="301" w:type="pct"/>
            <w:shd w:val="clear" w:color="000000" w:fill="FAB3B5"/>
            <w:noWrap/>
            <w:vAlign w:val="center"/>
            <w:hideMark/>
          </w:tcPr>
          <w:p w14:paraId="6F025349"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9</w:t>
            </w:r>
          </w:p>
        </w:tc>
      </w:tr>
      <w:tr w:rsidR="00E11000" w:rsidRPr="00735C3E" w14:paraId="14DF4D63" w14:textId="77777777" w:rsidTr="00F53166">
        <w:trPr>
          <w:trHeight w:val="300"/>
        </w:trPr>
        <w:tc>
          <w:tcPr>
            <w:tcW w:w="203" w:type="pct"/>
            <w:shd w:val="clear" w:color="auto" w:fill="auto"/>
            <w:noWrap/>
            <w:vAlign w:val="center"/>
            <w:hideMark/>
          </w:tcPr>
          <w:p w14:paraId="4AF44437"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10</w:t>
            </w:r>
          </w:p>
        </w:tc>
        <w:tc>
          <w:tcPr>
            <w:tcW w:w="704" w:type="pct"/>
            <w:shd w:val="clear" w:color="auto" w:fill="auto"/>
            <w:vAlign w:val="center"/>
            <w:hideMark/>
          </w:tcPr>
          <w:p w14:paraId="17E9D796"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Bursaphelenchus xylophilus</w:t>
            </w:r>
          </w:p>
        </w:tc>
        <w:tc>
          <w:tcPr>
            <w:tcW w:w="198" w:type="pct"/>
            <w:shd w:val="clear" w:color="auto" w:fill="auto"/>
            <w:noWrap/>
            <w:vAlign w:val="center"/>
            <w:hideMark/>
          </w:tcPr>
          <w:p w14:paraId="010054A9"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000000" w:fill="F8CBAD"/>
            <w:noWrap/>
            <w:vAlign w:val="center"/>
            <w:hideMark/>
          </w:tcPr>
          <w:p w14:paraId="04BC8F98"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50DD7689" w14:textId="416C5BE1"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5B195392" w14:textId="750DA6A5"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75A7F4E8"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9" w:type="pct"/>
            <w:shd w:val="clear" w:color="000000" w:fill="F8CBAD"/>
            <w:noWrap/>
            <w:vAlign w:val="center"/>
            <w:hideMark/>
          </w:tcPr>
          <w:p w14:paraId="476B6590" w14:textId="27BEF4F7"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7E2413C2" w14:textId="63C8664B"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917007F" w14:textId="1A093ECA"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27AEE44" w14:textId="6FBA824D"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11137049" w14:textId="6125C9A5"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31C7623C" w14:textId="01B59A95"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491056BD" w14:textId="01B84CE8"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r w:rsidR="00621A50" w:rsidRPr="00762D6B">
              <w:rPr>
                <w:rFonts w:eastAsia="Times New Roman"/>
                <w:sz w:val="16"/>
                <w:szCs w:val="16"/>
                <w:lang w:val="en-US"/>
              </w:rPr>
              <w:t>,</w:t>
            </w:r>
            <w:r w:rsidRPr="00762D6B">
              <w:rPr>
                <w:rFonts w:eastAsia="Times New Roman"/>
                <w:sz w:val="16"/>
                <w:szCs w:val="16"/>
                <w:lang w:val="en-US"/>
              </w:rPr>
              <w:t xml:space="preserve"> </w:t>
            </w:r>
            <w:r w:rsidR="00621A50" w:rsidRPr="00762D6B">
              <w:rPr>
                <w:rFonts w:eastAsia="Times New Roman"/>
                <w:sz w:val="16"/>
                <w:szCs w:val="16"/>
                <w:lang w:val="en-US"/>
              </w:rPr>
              <w:t>SC</w:t>
            </w:r>
          </w:p>
        </w:tc>
        <w:tc>
          <w:tcPr>
            <w:tcW w:w="315" w:type="pct"/>
            <w:shd w:val="clear" w:color="000000" w:fill="F8CBAD"/>
            <w:noWrap/>
            <w:vAlign w:val="center"/>
            <w:hideMark/>
          </w:tcPr>
          <w:p w14:paraId="12DC5A51"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1</w:t>
            </w:r>
          </w:p>
        </w:tc>
        <w:tc>
          <w:tcPr>
            <w:tcW w:w="320" w:type="pct"/>
            <w:shd w:val="clear" w:color="000000" w:fill="FF0000"/>
            <w:noWrap/>
            <w:vAlign w:val="center"/>
            <w:hideMark/>
          </w:tcPr>
          <w:p w14:paraId="2A819E1C"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499B52FE" w14:textId="2EF7FF3A"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66CBA44D" w14:textId="7B071748"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D6B097F" w14:textId="5A151360"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7E5819B6"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0135B7E8" w14:textId="77777777" w:rsidTr="00F53166">
        <w:trPr>
          <w:trHeight w:val="300"/>
        </w:trPr>
        <w:tc>
          <w:tcPr>
            <w:tcW w:w="203" w:type="pct"/>
            <w:shd w:val="clear" w:color="auto" w:fill="auto"/>
            <w:noWrap/>
            <w:vAlign w:val="center"/>
            <w:hideMark/>
          </w:tcPr>
          <w:p w14:paraId="55A88297"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11</w:t>
            </w:r>
          </w:p>
        </w:tc>
        <w:tc>
          <w:tcPr>
            <w:tcW w:w="704" w:type="pct"/>
            <w:shd w:val="clear" w:color="auto" w:fill="auto"/>
            <w:vAlign w:val="center"/>
            <w:hideMark/>
          </w:tcPr>
          <w:p w14:paraId="3CA6BA77"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Xiphinema americanum sensu lato</w:t>
            </w:r>
          </w:p>
        </w:tc>
        <w:tc>
          <w:tcPr>
            <w:tcW w:w="198" w:type="pct"/>
            <w:shd w:val="clear" w:color="auto" w:fill="auto"/>
            <w:noWrap/>
            <w:vAlign w:val="center"/>
            <w:hideMark/>
          </w:tcPr>
          <w:p w14:paraId="634C3860"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4</w:t>
            </w:r>
          </w:p>
        </w:tc>
        <w:tc>
          <w:tcPr>
            <w:tcW w:w="199" w:type="pct"/>
            <w:shd w:val="clear" w:color="000000" w:fill="F8CBAD"/>
            <w:noWrap/>
            <w:vAlign w:val="center"/>
            <w:hideMark/>
          </w:tcPr>
          <w:p w14:paraId="7E1BB036"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0743F2B2" w14:textId="75952B34"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54C23981" w14:textId="76A76837"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3A24F576" w14:textId="0F560FC7"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6E9836A" w14:textId="73A7FA44"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3763414A" w14:textId="0E38ECA8"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5CC8E2B" w14:textId="38DB9683"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377031A" w14:textId="5B2A033E"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47BEE379" w14:textId="75CB51B0"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0129696F" w14:textId="1409C9EC"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2CBE7DF3" w14:textId="166B21C5"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r w:rsidR="00621A50" w:rsidRPr="00762D6B">
              <w:rPr>
                <w:rFonts w:eastAsia="Times New Roman"/>
                <w:sz w:val="16"/>
                <w:szCs w:val="16"/>
                <w:lang w:val="en-US"/>
              </w:rPr>
              <w:t>,</w:t>
            </w:r>
            <w:r w:rsidRPr="00762D6B">
              <w:rPr>
                <w:rFonts w:eastAsia="Times New Roman"/>
                <w:sz w:val="16"/>
                <w:szCs w:val="16"/>
                <w:lang w:val="en-US"/>
              </w:rPr>
              <w:t xml:space="preserve"> </w:t>
            </w:r>
            <w:r w:rsidR="00621A50" w:rsidRPr="00762D6B">
              <w:rPr>
                <w:rFonts w:eastAsia="Times New Roman"/>
                <w:sz w:val="16"/>
                <w:szCs w:val="16"/>
                <w:lang w:val="en-US"/>
              </w:rPr>
              <w:t>SC</w:t>
            </w:r>
          </w:p>
        </w:tc>
        <w:tc>
          <w:tcPr>
            <w:tcW w:w="315" w:type="pct"/>
            <w:shd w:val="clear" w:color="000000" w:fill="F8CBAD"/>
            <w:noWrap/>
            <w:vAlign w:val="center"/>
            <w:hideMark/>
          </w:tcPr>
          <w:p w14:paraId="22F296B7"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1</w:t>
            </w:r>
          </w:p>
        </w:tc>
        <w:tc>
          <w:tcPr>
            <w:tcW w:w="320" w:type="pct"/>
            <w:shd w:val="clear" w:color="000000" w:fill="FF0000"/>
            <w:noWrap/>
            <w:vAlign w:val="center"/>
            <w:hideMark/>
          </w:tcPr>
          <w:p w14:paraId="4F8CBBBD"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650B2E44" w14:textId="5694154F"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78FADEBC" w14:textId="0A0268D8"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4B3FD20D" w14:textId="197CE496"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6A6A0B05"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59BF84AF" w14:textId="77777777" w:rsidTr="00F53166">
        <w:trPr>
          <w:trHeight w:val="300"/>
        </w:trPr>
        <w:tc>
          <w:tcPr>
            <w:tcW w:w="203" w:type="pct"/>
            <w:shd w:val="clear" w:color="auto" w:fill="auto"/>
            <w:noWrap/>
            <w:vAlign w:val="center"/>
            <w:hideMark/>
          </w:tcPr>
          <w:p w14:paraId="04DCE0C7"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12</w:t>
            </w:r>
          </w:p>
        </w:tc>
        <w:tc>
          <w:tcPr>
            <w:tcW w:w="704" w:type="pct"/>
            <w:shd w:val="clear" w:color="auto" w:fill="auto"/>
            <w:vAlign w:val="center"/>
            <w:hideMark/>
          </w:tcPr>
          <w:p w14:paraId="28A7ED31"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Phytoplasma</w:t>
            </w:r>
          </w:p>
        </w:tc>
        <w:tc>
          <w:tcPr>
            <w:tcW w:w="198" w:type="pct"/>
            <w:shd w:val="clear" w:color="auto" w:fill="auto"/>
            <w:noWrap/>
            <w:vAlign w:val="center"/>
            <w:hideMark/>
          </w:tcPr>
          <w:p w14:paraId="4D4326E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000000" w:fill="F8CBAD"/>
            <w:noWrap/>
            <w:vAlign w:val="center"/>
            <w:hideMark/>
          </w:tcPr>
          <w:p w14:paraId="243966DF"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492C321B" w14:textId="675A1838"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3F8B1F62" w14:textId="0660125C"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573FC9D1" w14:textId="2EAD0A1F"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52E4140" w14:textId="3F6A11AA"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1A8A046D" w14:textId="63348EC2"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BD88AB6" w14:textId="725586CF"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D4E3C09" w14:textId="5621A756"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3D620FE5" w14:textId="641D7D0F"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760889F2" w14:textId="5A539B1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 E</w:t>
            </w:r>
          </w:p>
        </w:tc>
        <w:tc>
          <w:tcPr>
            <w:tcW w:w="265" w:type="pct"/>
            <w:shd w:val="clear" w:color="000000" w:fill="F8CBAD"/>
            <w:noWrap/>
            <w:vAlign w:val="center"/>
            <w:hideMark/>
          </w:tcPr>
          <w:p w14:paraId="40A10D3D" w14:textId="547197BF"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w:t>
            </w:r>
          </w:p>
        </w:tc>
        <w:tc>
          <w:tcPr>
            <w:tcW w:w="315" w:type="pct"/>
            <w:shd w:val="clear" w:color="000000" w:fill="F8CBAD"/>
            <w:noWrap/>
            <w:vAlign w:val="center"/>
            <w:hideMark/>
          </w:tcPr>
          <w:p w14:paraId="7D85AE9B" w14:textId="24D764C9" w:rsidR="003427F0" w:rsidRPr="00762D6B" w:rsidRDefault="003427F0" w:rsidP="00762D6B">
            <w:pPr>
              <w:jc w:val="center"/>
              <w:rPr>
                <w:rFonts w:eastAsia="Times New Roman"/>
                <w:sz w:val="16"/>
                <w:szCs w:val="16"/>
                <w:lang w:val="en-US"/>
              </w:rPr>
            </w:pPr>
          </w:p>
        </w:tc>
        <w:tc>
          <w:tcPr>
            <w:tcW w:w="320" w:type="pct"/>
            <w:shd w:val="clear" w:color="000000" w:fill="FF0000"/>
            <w:noWrap/>
            <w:vAlign w:val="center"/>
            <w:hideMark/>
          </w:tcPr>
          <w:p w14:paraId="0C885B29"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661DE844" w14:textId="76424A28"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246477A2" w14:textId="6823EA3F"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3D4E5027" w14:textId="44DE6DB2"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0065BAE5"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7DE62937" w14:textId="77777777" w:rsidTr="00F53166">
        <w:trPr>
          <w:trHeight w:val="300"/>
        </w:trPr>
        <w:tc>
          <w:tcPr>
            <w:tcW w:w="203" w:type="pct"/>
            <w:shd w:val="clear" w:color="auto" w:fill="auto"/>
            <w:noWrap/>
            <w:vAlign w:val="center"/>
            <w:hideMark/>
          </w:tcPr>
          <w:p w14:paraId="23520ED6"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13</w:t>
            </w:r>
          </w:p>
        </w:tc>
        <w:tc>
          <w:tcPr>
            <w:tcW w:w="704" w:type="pct"/>
            <w:shd w:val="clear" w:color="auto" w:fill="auto"/>
            <w:vAlign w:val="center"/>
            <w:hideMark/>
          </w:tcPr>
          <w:p w14:paraId="1E0FE0C4"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Erwinia amylovora</w:t>
            </w:r>
          </w:p>
        </w:tc>
        <w:tc>
          <w:tcPr>
            <w:tcW w:w="198" w:type="pct"/>
            <w:shd w:val="clear" w:color="auto" w:fill="auto"/>
            <w:noWrap/>
            <w:vAlign w:val="center"/>
            <w:hideMark/>
          </w:tcPr>
          <w:p w14:paraId="622E7B72"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000000" w:fill="F8CBAD"/>
            <w:noWrap/>
            <w:vAlign w:val="center"/>
            <w:hideMark/>
          </w:tcPr>
          <w:p w14:paraId="2C429FC1"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12F772B4" w14:textId="24231457"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39F810B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8" w:type="pct"/>
            <w:shd w:val="clear" w:color="000000" w:fill="F8CBAD"/>
            <w:noWrap/>
            <w:vAlign w:val="center"/>
            <w:hideMark/>
          </w:tcPr>
          <w:p w14:paraId="7CA65EEC" w14:textId="70D01CCD"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5947C26" w14:textId="7AEDE472"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7C6B6D61" w14:textId="1361F2E9"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0502F8E" w14:textId="2FB0941C"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F3D243D" w14:textId="242ECA3E"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47A42734" w14:textId="32117EB9"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7F80D712" w14:textId="64373CA5"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0CC7BDEF" w14:textId="361E840C"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735C3E" w:rsidRPr="00762D6B">
              <w:rPr>
                <w:rFonts w:eastAsia="Times New Roman"/>
                <w:sz w:val="16"/>
                <w:szCs w:val="16"/>
                <w:lang w:val="en-US"/>
              </w:rPr>
              <w:t xml:space="preserve"> </w:t>
            </w:r>
            <w:r w:rsidR="003427F0" w:rsidRPr="00762D6B">
              <w:rPr>
                <w:rFonts w:eastAsia="Times New Roman"/>
                <w:sz w:val="16"/>
                <w:szCs w:val="16"/>
                <w:lang w:val="en-US"/>
              </w:rPr>
              <w:t>C</w:t>
            </w:r>
          </w:p>
        </w:tc>
        <w:tc>
          <w:tcPr>
            <w:tcW w:w="315" w:type="pct"/>
            <w:shd w:val="clear" w:color="000000" w:fill="F8CBAD"/>
            <w:noWrap/>
            <w:vAlign w:val="center"/>
            <w:hideMark/>
          </w:tcPr>
          <w:p w14:paraId="65CE3EFB" w14:textId="4BBC8EBC" w:rsidR="003427F0" w:rsidRPr="00762D6B" w:rsidRDefault="003427F0" w:rsidP="00762D6B">
            <w:pPr>
              <w:jc w:val="center"/>
              <w:rPr>
                <w:rFonts w:eastAsia="Times New Roman"/>
                <w:sz w:val="16"/>
                <w:szCs w:val="16"/>
                <w:lang w:val="en-US"/>
              </w:rPr>
            </w:pPr>
          </w:p>
        </w:tc>
        <w:tc>
          <w:tcPr>
            <w:tcW w:w="320" w:type="pct"/>
            <w:shd w:val="clear" w:color="000000" w:fill="FF0000"/>
            <w:noWrap/>
            <w:vAlign w:val="center"/>
            <w:hideMark/>
          </w:tcPr>
          <w:p w14:paraId="34531620"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72849586" w14:textId="1BBC9BFD"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636935F5" w14:textId="2DB8FCA6"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5647D0A5" w14:textId="2CC12793"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1C1C1F36"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392B077A" w14:textId="77777777" w:rsidTr="00F53166">
        <w:trPr>
          <w:trHeight w:val="300"/>
        </w:trPr>
        <w:tc>
          <w:tcPr>
            <w:tcW w:w="203" w:type="pct"/>
            <w:shd w:val="clear" w:color="auto" w:fill="auto"/>
            <w:noWrap/>
            <w:vAlign w:val="center"/>
            <w:hideMark/>
          </w:tcPr>
          <w:p w14:paraId="01C81194"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14</w:t>
            </w:r>
          </w:p>
        </w:tc>
        <w:tc>
          <w:tcPr>
            <w:tcW w:w="704" w:type="pct"/>
            <w:shd w:val="clear" w:color="auto" w:fill="auto"/>
            <w:vAlign w:val="center"/>
            <w:hideMark/>
          </w:tcPr>
          <w:p w14:paraId="73571223"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Xanthomonas fragariae</w:t>
            </w:r>
          </w:p>
        </w:tc>
        <w:tc>
          <w:tcPr>
            <w:tcW w:w="198" w:type="pct"/>
            <w:shd w:val="clear" w:color="auto" w:fill="auto"/>
            <w:noWrap/>
            <w:vAlign w:val="center"/>
            <w:hideMark/>
          </w:tcPr>
          <w:p w14:paraId="6E5FAB78"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4</w:t>
            </w:r>
          </w:p>
        </w:tc>
        <w:tc>
          <w:tcPr>
            <w:tcW w:w="199" w:type="pct"/>
            <w:shd w:val="clear" w:color="000000" w:fill="F8CBAD"/>
            <w:noWrap/>
            <w:vAlign w:val="center"/>
            <w:hideMark/>
          </w:tcPr>
          <w:p w14:paraId="67421AF2"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6E109598" w14:textId="0917FFE2"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0D47E6B3"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8" w:type="pct"/>
            <w:shd w:val="clear" w:color="000000" w:fill="F8CBAD"/>
            <w:noWrap/>
            <w:vAlign w:val="center"/>
            <w:hideMark/>
          </w:tcPr>
          <w:p w14:paraId="1A6A2BE2" w14:textId="78C02D88"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622422F" w14:textId="7F9FAF97"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1B51F10C" w14:textId="2C20375B"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1992975" w14:textId="6AF86F8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BD84E03" w14:textId="57DA92B6"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1435A122" w14:textId="773B2ADA"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6873593C" w14:textId="33E7EC20"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2C33425E" w14:textId="635A5613"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315" w:type="pct"/>
            <w:shd w:val="clear" w:color="000000" w:fill="F8CBAD"/>
            <w:noWrap/>
            <w:vAlign w:val="center"/>
            <w:hideMark/>
          </w:tcPr>
          <w:p w14:paraId="4585D562" w14:textId="21E0CC85"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C2</w:t>
            </w:r>
          </w:p>
        </w:tc>
        <w:tc>
          <w:tcPr>
            <w:tcW w:w="320" w:type="pct"/>
            <w:shd w:val="clear" w:color="000000" w:fill="FF0000"/>
            <w:noWrap/>
            <w:vAlign w:val="center"/>
            <w:hideMark/>
          </w:tcPr>
          <w:p w14:paraId="3A57E426"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58D84D96" w14:textId="1BA4F790"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7D254DC7" w14:textId="22BA0EEE"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1B25C6C7" w14:textId="56DB7C1A"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134780F6"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776F5A9F" w14:textId="77777777" w:rsidTr="00F53166">
        <w:trPr>
          <w:trHeight w:val="300"/>
        </w:trPr>
        <w:tc>
          <w:tcPr>
            <w:tcW w:w="203" w:type="pct"/>
            <w:shd w:val="clear" w:color="auto" w:fill="auto"/>
            <w:noWrap/>
            <w:vAlign w:val="center"/>
            <w:hideMark/>
          </w:tcPr>
          <w:p w14:paraId="42CAB04E"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15</w:t>
            </w:r>
          </w:p>
        </w:tc>
        <w:tc>
          <w:tcPr>
            <w:tcW w:w="704" w:type="pct"/>
            <w:shd w:val="clear" w:color="auto" w:fill="auto"/>
            <w:vAlign w:val="center"/>
            <w:hideMark/>
          </w:tcPr>
          <w:p w14:paraId="74DA8A22"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Citrus tristeza virus</w:t>
            </w:r>
          </w:p>
        </w:tc>
        <w:tc>
          <w:tcPr>
            <w:tcW w:w="198" w:type="pct"/>
            <w:shd w:val="clear" w:color="auto" w:fill="auto"/>
            <w:noWrap/>
            <w:vAlign w:val="center"/>
            <w:hideMark/>
          </w:tcPr>
          <w:p w14:paraId="7EF22678"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000000" w:fill="F8CBAD"/>
            <w:noWrap/>
            <w:vAlign w:val="center"/>
            <w:hideMark/>
          </w:tcPr>
          <w:p w14:paraId="2ABACDFE"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5B7D619D" w14:textId="3D34E1C3"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7416A3CA" w14:textId="30C5DA65"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239681D5" w14:textId="31582564"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FFF8F2F" w14:textId="1D9F38DC"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6A24F0DD" w14:textId="00550700"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2639329E" w14:textId="58FA2B85"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B579330" w14:textId="106460B7"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69B696B1" w14:textId="75DF14B5"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1CBFE0B1" w14:textId="0A2A67DB"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081B985B" w14:textId="17DEF90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15" w:type="pct"/>
            <w:shd w:val="clear" w:color="000000" w:fill="F8CBAD"/>
            <w:noWrap/>
            <w:vAlign w:val="center"/>
            <w:hideMark/>
          </w:tcPr>
          <w:p w14:paraId="25B09B6D" w14:textId="4812C55C"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C1</w:t>
            </w:r>
          </w:p>
        </w:tc>
        <w:tc>
          <w:tcPr>
            <w:tcW w:w="320" w:type="pct"/>
            <w:shd w:val="clear" w:color="000000" w:fill="FF0000"/>
            <w:noWrap/>
            <w:vAlign w:val="center"/>
            <w:hideMark/>
          </w:tcPr>
          <w:p w14:paraId="03475934"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6335C0A2" w14:textId="60044B6C"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202BEF28" w14:textId="1FCE4BD2"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50829604" w14:textId="483F8C1C"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3CC1F20B"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6C1D5C73" w14:textId="77777777" w:rsidTr="00F53166">
        <w:trPr>
          <w:trHeight w:val="300"/>
        </w:trPr>
        <w:tc>
          <w:tcPr>
            <w:tcW w:w="203" w:type="pct"/>
            <w:shd w:val="clear" w:color="auto" w:fill="auto"/>
            <w:noWrap/>
            <w:vAlign w:val="center"/>
            <w:hideMark/>
          </w:tcPr>
          <w:p w14:paraId="05F482AC"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16</w:t>
            </w:r>
          </w:p>
        </w:tc>
        <w:tc>
          <w:tcPr>
            <w:tcW w:w="704" w:type="pct"/>
            <w:shd w:val="clear" w:color="auto" w:fill="auto"/>
            <w:vAlign w:val="center"/>
            <w:hideMark/>
          </w:tcPr>
          <w:p w14:paraId="1045AC2C"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 xml:space="preserve">Liriomyza </w:t>
            </w:r>
            <w:r w:rsidRPr="00762D6B">
              <w:rPr>
                <w:rFonts w:eastAsia="Times New Roman"/>
                <w:color w:val="000000"/>
                <w:sz w:val="16"/>
                <w:szCs w:val="16"/>
                <w:lang w:val="en-US"/>
              </w:rPr>
              <w:t xml:space="preserve">genus </w:t>
            </w:r>
          </w:p>
        </w:tc>
        <w:tc>
          <w:tcPr>
            <w:tcW w:w="198" w:type="pct"/>
            <w:shd w:val="clear" w:color="auto" w:fill="auto"/>
            <w:noWrap/>
            <w:vAlign w:val="center"/>
            <w:hideMark/>
          </w:tcPr>
          <w:p w14:paraId="5BEAC37D"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585A7264" w14:textId="48EED953"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20E35A52" w14:textId="0E14261D"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4D0CB628"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7BB50979" w14:textId="3606DBA9"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B396B34" w14:textId="4025B3EB"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14D29AA9" w14:textId="017409D4"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E84071B" w14:textId="5BA9BA1E"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A117C1C" w14:textId="19560245"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6BD32E30" w14:textId="13A1C931"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1F9FD67C" w14:textId="40B01226"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265" w:type="pct"/>
            <w:shd w:val="clear" w:color="000000" w:fill="F8CBAD"/>
            <w:noWrap/>
            <w:vAlign w:val="center"/>
            <w:hideMark/>
          </w:tcPr>
          <w:p w14:paraId="51F40E04" w14:textId="132A395C"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r w:rsidR="00621A50" w:rsidRPr="00762D6B">
              <w:rPr>
                <w:rFonts w:eastAsia="Times New Roman"/>
                <w:sz w:val="16"/>
                <w:szCs w:val="16"/>
                <w:lang w:val="en-US"/>
              </w:rPr>
              <w:t>,</w:t>
            </w:r>
            <w:r w:rsidRPr="00762D6B">
              <w:rPr>
                <w:rFonts w:eastAsia="Times New Roman"/>
                <w:sz w:val="16"/>
                <w:szCs w:val="16"/>
                <w:lang w:val="en-US"/>
              </w:rPr>
              <w:t xml:space="preserve"> </w:t>
            </w:r>
            <w:r w:rsidR="00621A50" w:rsidRPr="00762D6B">
              <w:rPr>
                <w:rFonts w:eastAsia="Times New Roman"/>
                <w:sz w:val="16"/>
                <w:szCs w:val="16"/>
                <w:lang w:val="en-US"/>
              </w:rPr>
              <w:t>SC</w:t>
            </w:r>
          </w:p>
        </w:tc>
        <w:tc>
          <w:tcPr>
            <w:tcW w:w="315" w:type="pct"/>
            <w:shd w:val="clear" w:color="000000" w:fill="F8CBAD"/>
            <w:noWrap/>
            <w:vAlign w:val="center"/>
            <w:hideMark/>
          </w:tcPr>
          <w:p w14:paraId="1ACA876C"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C1</w:t>
            </w:r>
          </w:p>
        </w:tc>
        <w:tc>
          <w:tcPr>
            <w:tcW w:w="320" w:type="pct"/>
            <w:shd w:val="clear" w:color="000000" w:fill="FF0000"/>
            <w:noWrap/>
            <w:vAlign w:val="center"/>
            <w:hideMark/>
          </w:tcPr>
          <w:p w14:paraId="66B9F726"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074B607F" w14:textId="3DB5223B"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71C1ACFE" w14:textId="68EF16E2"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E1689B4" w14:textId="374DDA0F" w:rsidR="003427F0" w:rsidRPr="00762D6B" w:rsidRDefault="003427F0" w:rsidP="00762D6B">
            <w:pPr>
              <w:jc w:val="center"/>
              <w:rPr>
                <w:rFonts w:eastAsia="Times New Roman"/>
                <w:color w:val="000000"/>
                <w:sz w:val="16"/>
                <w:szCs w:val="16"/>
                <w:lang w:val="en-US"/>
              </w:rPr>
            </w:pPr>
          </w:p>
        </w:tc>
        <w:tc>
          <w:tcPr>
            <w:tcW w:w="301" w:type="pct"/>
            <w:shd w:val="clear" w:color="000000" w:fill="FAA4A7"/>
            <w:noWrap/>
            <w:vAlign w:val="center"/>
            <w:hideMark/>
          </w:tcPr>
          <w:p w14:paraId="31AD9AE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10</w:t>
            </w:r>
          </w:p>
        </w:tc>
      </w:tr>
      <w:tr w:rsidR="00E11000" w:rsidRPr="00735C3E" w14:paraId="52F09E86" w14:textId="77777777" w:rsidTr="00F53166">
        <w:trPr>
          <w:trHeight w:val="600"/>
        </w:trPr>
        <w:tc>
          <w:tcPr>
            <w:tcW w:w="203" w:type="pct"/>
            <w:shd w:val="clear" w:color="auto" w:fill="auto"/>
            <w:noWrap/>
            <w:vAlign w:val="center"/>
            <w:hideMark/>
          </w:tcPr>
          <w:p w14:paraId="3D708643"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17</w:t>
            </w:r>
          </w:p>
        </w:tc>
        <w:tc>
          <w:tcPr>
            <w:tcW w:w="704" w:type="pct"/>
            <w:shd w:val="clear" w:color="auto" w:fill="auto"/>
            <w:vAlign w:val="center"/>
            <w:hideMark/>
          </w:tcPr>
          <w:p w14:paraId="20DB9421" w14:textId="66D09A8D" w:rsidR="003427F0" w:rsidRPr="00762D6B" w:rsidRDefault="003427F0" w:rsidP="001C5177">
            <w:pPr>
              <w:jc w:val="left"/>
              <w:rPr>
                <w:rFonts w:eastAsia="Times New Roman"/>
                <w:i/>
                <w:iCs/>
                <w:color w:val="000000"/>
                <w:sz w:val="16"/>
                <w:szCs w:val="16"/>
                <w:lang w:val="en-US"/>
              </w:rPr>
            </w:pPr>
            <w:r w:rsidRPr="00762D6B">
              <w:rPr>
                <w:rFonts w:eastAsia="Times New Roman"/>
                <w:i/>
                <w:iCs/>
                <w:color w:val="000000"/>
                <w:sz w:val="16"/>
                <w:szCs w:val="16"/>
                <w:lang w:val="en-US"/>
              </w:rPr>
              <w:t>Aphelenchoides besseyi, A.</w:t>
            </w:r>
            <w:r w:rsidR="001C5177">
              <w:rPr>
                <w:rFonts w:eastAsia="Times New Roman"/>
                <w:i/>
                <w:iCs/>
                <w:color w:val="000000"/>
                <w:sz w:val="16"/>
                <w:szCs w:val="16"/>
                <w:lang w:val="en-US"/>
              </w:rPr>
              <w:t> </w:t>
            </w:r>
            <w:r w:rsidRPr="00762D6B">
              <w:rPr>
                <w:rFonts w:eastAsia="Times New Roman"/>
                <w:i/>
                <w:iCs/>
                <w:color w:val="000000"/>
                <w:sz w:val="16"/>
                <w:szCs w:val="16"/>
                <w:lang w:val="en-US"/>
              </w:rPr>
              <w:t xml:space="preserve">fragariae </w:t>
            </w:r>
            <w:r w:rsidRPr="00762D6B">
              <w:rPr>
                <w:rFonts w:eastAsia="Times New Roman"/>
                <w:iCs/>
                <w:color w:val="000000"/>
                <w:sz w:val="16"/>
                <w:szCs w:val="16"/>
                <w:lang w:val="en-US"/>
              </w:rPr>
              <w:t>and</w:t>
            </w:r>
            <w:r w:rsidRPr="00762D6B">
              <w:rPr>
                <w:rFonts w:eastAsia="Times New Roman"/>
                <w:i/>
                <w:iCs/>
                <w:color w:val="000000"/>
                <w:sz w:val="16"/>
                <w:szCs w:val="16"/>
                <w:lang w:val="en-US"/>
              </w:rPr>
              <w:t xml:space="preserve"> A.</w:t>
            </w:r>
            <w:r w:rsidR="001C5177">
              <w:rPr>
                <w:rFonts w:eastAsia="Times New Roman"/>
                <w:i/>
                <w:iCs/>
                <w:color w:val="000000"/>
                <w:sz w:val="16"/>
                <w:szCs w:val="16"/>
                <w:lang w:val="en-US"/>
              </w:rPr>
              <w:t> </w:t>
            </w:r>
            <w:r w:rsidRPr="00762D6B">
              <w:rPr>
                <w:rFonts w:eastAsia="Times New Roman"/>
                <w:i/>
                <w:iCs/>
                <w:color w:val="000000"/>
                <w:sz w:val="16"/>
                <w:szCs w:val="16"/>
                <w:lang w:val="en-US"/>
              </w:rPr>
              <w:t>ritzemabosi</w:t>
            </w:r>
          </w:p>
        </w:tc>
        <w:tc>
          <w:tcPr>
            <w:tcW w:w="198" w:type="pct"/>
            <w:shd w:val="clear" w:color="auto" w:fill="auto"/>
            <w:noWrap/>
            <w:vAlign w:val="center"/>
            <w:hideMark/>
          </w:tcPr>
          <w:p w14:paraId="22CE7D06"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auto" w:fill="auto"/>
            <w:noWrap/>
            <w:vAlign w:val="center"/>
            <w:hideMark/>
          </w:tcPr>
          <w:p w14:paraId="669F0A25" w14:textId="40B331E3"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7E552BC4" w14:textId="358DB366"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247D07D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6BA2DD3B" w14:textId="1828130B"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20E129F" w14:textId="546F4F4F"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50ED5712" w14:textId="4D425A06"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C322A4D" w14:textId="0584673C"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B8DA0DD" w14:textId="43790E1C"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336136C5" w14:textId="161F338C"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337F0067" w14:textId="46094080"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265" w:type="pct"/>
            <w:shd w:val="clear" w:color="000000" w:fill="F8CBAD"/>
            <w:noWrap/>
            <w:vAlign w:val="center"/>
            <w:hideMark/>
          </w:tcPr>
          <w:p w14:paraId="2A3F4B48"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315" w:type="pct"/>
            <w:shd w:val="clear" w:color="000000" w:fill="F8CBAD"/>
            <w:noWrap/>
            <w:vAlign w:val="center"/>
            <w:hideMark/>
          </w:tcPr>
          <w:p w14:paraId="5937D728" w14:textId="55E73737"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C2</w:t>
            </w:r>
          </w:p>
        </w:tc>
        <w:tc>
          <w:tcPr>
            <w:tcW w:w="320" w:type="pct"/>
            <w:shd w:val="clear" w:color="000000" w:fill="FF0000"/>
            <w:noWrap/>
            <w:vAlign w:val="center"/>
            <w:hideMark/>
          </w:tcPr>
          <w:p w14:paraId="4E45F6BE"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6D17AF5D" w14:textId="6BFC42A4"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40AF628B" w14:textId="47958D1B"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3644DBB" w14:textId="4F5324A4" w:rsidR="003427F0" w:rsidRPr="00762D6B" w:rsidRDefault="003427F0" w:rsidP="00762D6B">
            <w:pPr>
              <w:jc w:val="center"/>
              <w:rPr>
                <w:rFonts w:eastAsia="Times New Roman"/>
                <w:color w:val="000000"/>
                <w:sz w:val="16"/>
                <w:szCs w:val="16"/>
                <w:lang w:val="en-US"/>
              </w:rPr>
            </w:pPr>
          </w:p>
        </w:tc>
        <w:tc>
          <w:tcPr>
            <w:tcW w:w="301" w:type="pct"/>
            <w:shd w:val="clear" w:color="000000" w:fill="FAA4A7"/>
            <w:noWrap/>
            <w:vAlign w:val="center"/>
            <w:hideMark/>
          </w:tcPr>
          <w:p w14:paraId="5A06D39A"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10</w:t>
            </w:r>
          </w:p>
        </w:tc>
      </w:tr>
      <w:tr w:rsidR="00A23224" w:rsidRPr="00735C3E" w14:paraId="0072C879" w14:textId="77777777" w:rsidTr="00F53166">
        <w:trPr>
          <w:trHeight w:val="300"/>
        </w:trPr>
        <w:tc>
          <w:tcPr>
            <w:tcW w:w="203" w:type="pct"/>
            <w:shd w:val="clear" w:color="auto" w:fill="auto"/>
            <w:noWrap/>
            <w:vAlign w:val="center"/>
            <w:hideMark/>
          </w:tcPr>
          <w:p w14:paraId="73FE63E0"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18</w:t>
            </w:r>
          </w:p>
        </w:tc>
        <w:tc>
          <w:tcPr>
            <w:tcW w:w="704" w:type="pct"/>
            <w:shd w:val="clear" w:color="auto" w:fill="auto"/>
            <w:vAlign w:val="center"/>
            <w:hideMark/>
          </w:tcPr>
          <w:p w14:paraId="014A897B"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 xml:space="preserve">Anguina </w:t>
            </w:r>
            <w:r w:rsidRPr="00762D6B">
              <w:rPr>
                <w:rFonts w:eastAsia="Times New Roman"/>
                <w:color w:val="000000"/>
                <w:sz w:val="16"/>
                <w:szCs w:val="16"/>
                <w:lang w:val="en-US"/>
              </w:rPr>
              <w:t>spp.</w:t>
            </w:r>
          </w:p>
        </w:tc>
        <w:tc>
          <w:tcPr>
            <w:tcW w:w="198" w:type="pct"/>
            <w:shd w:val="clear" w:color="auto" w:fill="auto"/>
            <w:noWrap/>
            <w:vAlign w:val="center"/>
            <w:hideMark/>
          </w:tcPr>
          <w:p w14:paraId="2388E5F6"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3</w:t>
            </w:r>
          </w:p>
        </w:tc>
        <w:tc>
          <w:tcPr>
            <w:tcW w:w="199" w:type="pct"/>
            <w:shd w:val="clear" w:color="auto" w:fill="auto"/>
            <w:noWrap/>
            <w:vAlign w:val="center"/>
            <w:hideMark/>
          </w:tcPr>
          <w:p w14:paraId="55EAE3A3" w14:textId="43B18DA1"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2F2BBE51" w14:textId="0D934277" w:rsidR="003427F0" w:rsidRPr="00762D6B" w:rsidRDefault="003427F0" w:rsidP="00762D6B">
            <w:pPr>
              <w:jc w:val="center"/>
              <w:rPr>
                <w:rFonts w:eastAsia="Times New Roman"/>
                <w:sz w:val="16"/>
                <w:szCs w:val="16"/>
                <w:lang w:val="en-US"/>
              </w:rPr>
            </w:pPr>
          </w:p>
        </w:tc>
        <w:tc>
          <w:tcPr>
            <w:tcW w:w="189" w:type="pct"/>
            <w:shd w:val="clear" w:color="auto" w:fill="auto"/>
            <w:noWrap/>
            <w:vAlign w:val="center"/>
            <w:hideMark/>
          </w:tcPr>
          <w:p w14:paraId="3C310058" w14:textId="65699510" w:rsidR="003427F0" w:rsidRPr="00762D6B" w:rsidRDefault="003427F0" w:rsidP="00762D6B">
            <w:pPr>
              <w:jc w:val="center"/>
              <w:rPr>
                <w:rFonts w:eastAsia="Times New Roman"/>
                <w:sz w:val="16"/>
                <w:szCs w:val="16"/>
                <w:lang w:val="en-US"/>
              </w:rPr>
            </w:pPr>
          </w:p>
        </w:tc>
        <w:tc>
          <w:tcPr>
            <w:tcW w:w="198" w:type="pct"/>
            <w:shd w:val="clear" w:color="auto" w:fill="auto"/>
            <w:noWrap/>
            <w:vAlign w:val="center"/>
            <w:hideMark/>
          </w:tcPr>
          <w:p w14:paraId="3EE6FE6B" w14:textId="1E886BBE"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3EBB2F87" w14:textId="729A2532" w:rsidR="003427F0" w:rsidRPr="00762D6B" w:rsidRDefault="003427F0" w:rsidP="00762D6B">
            <w:pPr>
              <w:jc w:val="center"/>
              <w:rPr>
                <w:rFonts w:eastAsia="Times New Roman"/>
                <w:sz w:val="16"/>
                <w:szCs w:val="16"/>
                <w:lang w:val="en-US"/>
              </w:rPr>
            </w:pPr>
          </w:p>
        </w:tc>
        <w:tc>
          <w:tcPr>
            <w:tcW w:w="202" w:type="pct"/>
            <w:shd w:val="clear" w:color="auto" w:fill="auto"/>
            <w:noWrap/>
            <w:vAlign w:val="center"/>
            <w:hideMark/>
          </w:tcPr>
          <w:p w14:paraId="2E1B3406" w14:textId="1E91F2D1"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64A785D2" w14:textId="601CF4F2"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09C5B99C" w14:textId="51EDCA85" w:rsidR="003427F0" w:rsidRPr="00762D6B" w:rsidRDefault="003427F0" w:rsidP="00762D6B">
            <w:pPr>
              <w:jc w:val="center"/>
              <w:rPr>
                <w:rFonts w:eastAsia="Times New Roman"/>
                <w:sz w:val="16"/>
                <w:szCs w:val="16"/>
                <w:lang w:val="en-US"/>
              </w:rPr>
            </w:pPr>
          </w:p>
        </w:tc>
        <w:tc>
          <w:tcPr>
            <w:tcW w:w="201" w:type="pct"/>
            <w:shd w:val="clear" w:color="auto" w:fill="auto"/>
            <w:noWrap/>
            <w:vAlign w:val="center"/>
            <w:hideMark/>
          </w:tcPr>
          <w:p w14:paraId="016E53DE" w14:textId="2A7F2BA8"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009415FD"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65" w:type="pct"/>
            <w:shd w:val="clear" w:color="000000" w:fill="F8CBAD"/>
            <w:noWrap/>
            <w:vAlign w:val="center"/>
            <w:hideMark/>
          </w:tcPr>
          <w:p w14:paraId="4C1C3013" w14:textId="6BBA8F9D"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706D31D6" w14:textId="6F24741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20" w:type="pct"/>
            <w:shd w:val="clear" w:color="000000" w:fill="F8CBAD"/>
            <w:noWrap/>
            <w:vAlign w:val="center"/>
            <w:hideMark/>
          </w:tcPr>
          <w:p w14:paraId="281DC3AC" w14:textId="09463AD8"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735C3E">
              <w:rPr>
                <w:rFonts w:eastAsia="Times New Roman"/>
                <w:color w:val="000000"/>
                <w:sz w:val="16"/>
                <w:szCs w:val="16"/>
                <w:lang w:val="en-US"/>
              </w:rPr>
              <w:t>,</w:t>
            </w:r>
            <w:r w:rsidR="003427F0" w:rsidRPr="00762D6B">
              <w:rPr>
                <w:rFonts w:eastAsia="Times New Roman"/>
                <w:color w:val="000000"/>
                <w:sz w:val="16"/>
                <w:szCs w:val="16"/>
                <w:lang w:val="en-US"/>
              </w:rPr>
              <w:t xml:space="preserve"> C1</w:t>
            </w:r>
          </w:p>
        </w:tc>
        <w:tc>
          <w:tcPr>
            <w:tcW w:w="310" w:type="pct"/>
            <w:shd w:val="clear" w:color="000000" w:fill="FF0000"/>
            <w:noWrap/>
            <w:vAlign w:val="center"/>
            <w:hideMark/>
          </w:tcPr>
          <w:p w14:paraId="18E86ABD"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58" w:type="pct"/>
            <w:shd w:val="clear" w:color="auto" w:fill="auto"/>
            <w:noWrap/>
            <w:vAlign w:val="center"/>
            <w:hideMark/>
          </w:tcPr>
          <w:p w14:paraId="2753928E" w14:textId="64869282"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4C2A0669" w14:textId="19AF84AF" w:rsidR="003427F0" w:rsidRPr="00762D6B" w:rsidRDefault="003427F0" w:rsidP="00762D6B">
            <w:pPr>
              <w:jc w:val="center"/>
              <w:rPr>
                <w:rFonts w:eastAsia="Times New Roman"/>
                <w:color w:val="000000"/>
                <w:sz w:val="16"/>
                <w:szCs w:val="16"/>
                <w:lang w:val="en-US"/>
              </w:rPr>
            </w:pPr>
          </w:p>
        </w:tc>
        <w:tc>
          <w:tcPr>
            <w:tcW w:w="301" w:type="pct"/>
            <w:shd w:val="clear" w:color="000000" w:fill="FCFCFF"/>
            <w:noWrap/>
            <w:vAlign w:val="center"/>
            <w:hideMark/>
          </w:tcPr>
          <w:p w14:paraId="0344C629"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4</w:t>
            </w:r>
          </w:p>
        </w:tc>
      </w:tr>
      <w:tr w:rsidR="00E11000" w:rsidRPr="00735C3E" w14:paraId="565D618B" w14:textId="77777777" w:rsidTr="00F53166">
        <w:trPr>
          <w:trHeight w:val="300"/>
        </w:trPr>
        <w:tc>
          <w:tcPr>
            <w:tcW w:w="203" w:type="pct"/>
            <w:shd w:val="clear" w:color="auto" w:fill="auto"/>
            <w:noWrap/>
            <w:vAlign w:val="center"/>
            <w:hideMark/>
          </w:tcPr>
          <w:p w14:paraId="4E817890"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19</w:t>
            </w:r>
          </w:p>
        </w:tc>
        <w:tc>
          <w:tcPr>
            <w:tcW w:w="704" w:type="pct"/>
            <w:shd w:val="clear" w:color="auto" w:fill="auto"/>
            <w:vAlign w:val="center"/>
            <w:hideMark/>
          </w:tcPr>
          <w:p w14:paraId="57FB1C66"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Sorghum halepense</w:t>
            </w:r>
          </w:p>
        </w:tc>
        <w:tc>
          <w:tcPr>
            <w:tcW w:w="198" w:type="pct"/>
            <w:shd w:val="clear" w:color="auto" w:fill="auto"/>
            <w:noWrap/>
            <w:vAlign w:val="center"/>
            <w:hideMark/>
          </w:tcPr>
          <w:p w14:paraId="577D57F5"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7EA44936" w14:textId="7D81DFEC"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7F999C71" w14:textId="7A786355"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431396C2"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618B661E" w14:textId="7787A4CB"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BD97E57" w14:textId="29C9F5C3"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21D0A999" w14:textId="43E5F09D"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D070BD3"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9" w:type="pct"/>
            <w:shd w:val="clear" w:color="000000" w:fill="F8CBAD"/>
            <w:noWrap/>
            <w:vAlign w:val="center"/>
            <w:hideMark/>
          </w:tcPr>
          <w:p w14:paraId="725D9529" w14:textId="674C8868"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0B303B3C" w14:textId="7E19E1A8"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545D31A8" w14:textId="41F2EF1B"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1646D11A"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315" w:type="pct"/>
            <w:shd w:val="clear" w:color="000000" w:fill="F8CBAD"/>
            <w:noWrap/>
            <w:vAlign w:val="center"/>
            <w:hideMark/>
          </w:tcPr>
          <w:p w14:paraId="35D08878"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C2</w:t>
            </w:r>
          </w:p>
        </w:tc>
        <w:tc>
          <w:tcPr>
            <w:tcW w:w="320" w:type="pct"/>
            <w:shd w:val="clear" w:color="000000" w:fill="FF0000"/>
            <w:noWrap/>
            <w:vAlign w:val="center"/>
            <w:hideMark/>
          </w:tcPr>
          <w:p w14:paraId="1C103C03"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10" w:type="pct"/>
            <w:shd w:val="clear" w:color="auto" w:fill="auto"/>
            <w:noWrap/>
            <w:vAlign w:val="center"/>
            <w:hideMark/>
          </w:tcPr>
          <w:p w14:paraId="35DAFF74" w14:textId="1FCBA911" w:rsidR="003427F0" w:rsidRPr="00762D6B" w:rsidRDefault="003427F0" w:rsidP="00762D6B">
            <w:pPr>
              <w:jc w:val="center"/>
              <w:rPr>
                <w:rFonts w:eastAsia="Times New Roman"/>
                <w:color w:val="000000"/>
                <w:sz w:val="16"/>
                <w:szCs w:val="16"/>
                <w:lang w:val="en-US"/>
              </w:rPr>
            </w:pPr>
          </w:p>
        </w:tc>
        <w:tc>
          <w:tcPr>
            <w:tcW w:w="158" w:type="pct"/>
            <w:shd w:val="clear" w:color="auto" w:fill="auto"/>
            <w:noWrap/>
            <w:vAlign w:val="center"/>
            <w:hideMark/>
          </w:tcPr>
          <w:p w14:paraId="2D86E01B" w14:textId="6321A4E0"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A5032EB" w14:textId="1CBF0BF4" w:rsidR="003427F0" w:rsidRPr="00762D6B" w:rsidRDefault="003427F0" w:rsidP="00762D6B">
            <w:pPr>
              <w:jc w:val="center"/>
              <w:rPr>
                <w:rFonts w:eastAsia="Times New Roman"/>
                <w:color w:val="000000"/>
                <w:sz w:val="16"/>
                <w:szCs w:val="16"/>
                <w:lang w:val="en-US"/>
              </w:rPr>
            </w:pPr>
          </w:p>
        </w:tc>
        <w:tc>
          <w:tcPr>
            <w:tcW w:w="301" w:type="pct"/>
            <w:shd w:val="clear" w:color="000000" w:fill="FAA4A7"/>
            <w:noWrap/>
            <w:vAlign w:val="center"/>
            <w:hideMark/>
          </w:tcPr>
          <w:p w14:paraId="61BE234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10</w:t>
            </w:r>
          </w:p>
        </w:tc>
      </w:tr>
      <w:tr w:rsidR="00E11000" w:rsidRPr="00735C3E" w14:paraId="46004C2A" w14:textId="77777777" w:rsidTr="00F53166">
        <w:trPr>
          <w:trHeight w:val="300"/>
        </w:trPr>
        <w:tc>
          <w:tcPr>
            <w:tcW w:w="203" w:type="pct"/>
            <w:shd w:val="clear" w:color="auto" w:fill="auto"/>
            <w:noWrap/>
            <w:vAlign w:val="center"/>
            <w:hideMark/>
          </w:tcPr>
          <w:p w14:paraId="5773F526"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20</w:t>
            </w:r>
          </w:p>
        </w:tc>
        <w:tc>
          <w:tcPr>
            <w:tcW w:w="704" w:type="pct"/>
            <w:shd w:val="clear" w:color="auto" w:fill="auto"/>
            <w:vAlign w:val="center"/>
            <w:hideMark/>
          </w:tcPr>
          <w:p w14:paraId="1690A2FA"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Dendroctonus ponderosae</w:t>
            </w:r>
          </w:p>
        </w:tc>
        <w:tc>
          <w:tcPr>
            <w:tcW w:w="198" w:type="pct"/>
            <w:shd w:val="clear" w:color="auto" w:fill="auto"/>
            <w:noWrap/>
            <w:vAlign w:val="center"/>
            <w:hideMark/>
          </w:tcPr>
          <w:p w14:paraId="45C90113"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3</w:t>
            </w:r>
          </w:p>
        </w:tc>
        <w:tc>
          <w:tcPr>
            <w:tcW w:w="199" w:type="pct"/>
            <w:shd w:val="clear" w:color="auto" w:fill="auto"/>
            <w:noWrap/>
            <w:vAlign w:val="center"/>
            <w:hideMark/>
          </w:tcPr>
          <w:p w14:paraId="4B3B0ED8" w14:textId="683A5CAA"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33B53F40" w14:textId="2201DB79"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4B48385D"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2CA737E1" w14:textId="3C4D7225"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26178264" w14:textId="0220D055"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6EF1ED06" w14:textId="3FE50D05"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21EEFF2" w14:textId="51313EE0"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07E7FEFE" w14:textId="694601D9"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6A2E1536" w14:textId="3DC1BFF1"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04F0A8A4" w14:textId="4CED5FC9"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1F823DE6" w14:textId="498076B0"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628D5B5F" w14:textId="60562184"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20" w:type="pct"/>
            <w:shd w:val="clear" w:color="000000" w:fill="F8CBAD"/>
            <w:noWrap/>
            <w:vAlign w:val="center"/>
            <w:hideMark/>
          </w:tcPr>
          <w:p w14:paraId="63F73BE7" w14:textId="4652E6B2"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C1</w:t>
            </w:r>
          </w:p>
        </w:tc>
        <w:tc>
          <w:tcPr>
            <w:tcW w:w="310" w:type="pct"/>
            <w:shd w:val="clear" w:color="000000" w:fill="FF0000"/>
            <w:noWrap/>
            <w:vAlign w:val="center"/>
            <w:hideMark/>
          </w:tcPr>
          <w:p w14:paraId="1EC1F871"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58" w:type="pct"/>
            <w:shd w:val="clear" w:color="auto" w:fill="auto"/>
            <w:noWrap/>
            <w:vAlign w:val="center"/>
            <w:hideMark/>
          </w:tcPr>
          <w:p w14:paraId="1264D3A1" w14:textId="6350AE27"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41179364" w14:textId="2935E8E8" w:rsidR="003427F0" w:rsidRPr="00762D6B" w:rsidRDefault="003427F0" w:rsidP="00762D6B">
            <w:pPr>
              <w:jc w:val="center"/>
              <w:rPr>
                <w:rFonts w:eastAsia="Times New Roman"/>
                <w:color w:val="000000"/>
                <w:sz w:val="16"/>
                <w:szCs w:val="16"/>
                <w:lang w:val="en-US"/>
              </w:rPr>
            </w:pPr>
          </w:p>
        </w:tc>
        <w:tc>
          <w:tcPr>
            <w:tcW w:w="301" w:type="pct"/>
            <w:shd w:val="clear" w:color="000000" w:fill="FA9698"/>
            <w:noWrap/>
            <w:vAlign w:val="center"/>
            <w:hideMark/>
          </w:tcPr>
          <w:p w14:paraId="407E3D3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11</w:t>
            </w:r>
          </w:p>
        </w:tc>
      </w:tr>
      <w:tr w:rsidR="00A23224" w:rsidRPr="00735C3E" w14:paraId="56DCBA41" w14:textId="77777777" w:rsidTr="00F53166">
        <w:trPr>
          <w:trHeight w:val="300"/>
        </w:trPr>
        <w:tc>
          <w:tcPr>
            <w:tcW w:w="203" w:type="pct"/>
            <w:shd w:val="clear" w:color="auto" w:fill="auto"/>
            <w:noWrap/>
            <w:vAlign w:val="center"/>
            <w:hideMark/>
          </w:tcPr>
          <w:p w14:paraId="1476BC87"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21</w:t>
            </w:r>
          </w:p>
        </w:tc>
        <w:tc>
          <w:tcPr>
            <w:tcW w:w="704" w:type="pct"/>
            <w:shd w:val="clear" w:color="auto" w:fill="auto"/>
            <w:vAlign w:val="center"/>
            <w:hideMark/>
          </w:tcPr>
          <w:p w14:paraId="2A2B55A5" w14:textId="77777777" w:rsidR="003427F0" w:rsidRPr="00762D6B" w:rsidRDefault="003427F0" w:rsidP="00735C3E">
            <w:pPr>
              <w:jc w:val="left"/>
              <w:rPr>
                <w:rFonts w:eastAsia="Times New Roman"/>
                <w:i/>
                <w:iCs/>
                <w:color w:val="000000"/>
                <w:sz w:val="16"/>
                <w:szCs w:val="16"/>
                <w:lang w:val="en-US"/>
              </w:rPr>
            </w:pPr>
            <w:r w:rsidRPr="00762D6B">
              <w:rPr>
                <w:rFonts w:eastAsia="Times New Roman"/>
                <w:color w:val="000000"/>
                <w:sz w:val="16"/>
                <w:szCs w:val="16"/>
                <w:lang w:val="en-US"/>
              </w:rPr>
              <w:t>Candidatus</w:t>
            </w:r>
            <w:r w:rsidRPr="00762D6B">
              <w:rPr>
                <w:rFonts w:eastAsia="Times New Roman"/>
                <w:i/>
                <w:iCs/>
                <w:color w:val="000000"/>
                <w:sz w:val="16"/>
                <w:szCs w:val="16"/>
                <w:lang w:val="en-US"/>
              </w:rPr>
              <w:t xml:space="preserve"> Liberibacter solanacearum</w:t>
            </w:r>
          </w:p>
        </w:tc>
        <w:tc>
          <w:tcPr>
            <w:tcW w:w="198" w:type="pct"/>
            <w:shd w:val="clear" w:color="auto" w:fill="auto"/>
            <w:noWrap/>
            <w:vAlign w:val="center"/>
            <w:hideMark/>
          </w:tcPr>
          <w:p w14:paraId="5B81632C"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auto" w:fill="auto"/>
            <w:noWrap/>
            <w:vAlign w:val="center"/>
            <w:hideMark/>
          </w:tcPr>
          <w:p w14:paraId="0DC66CB9" w14:textId="1434E4D9"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1045B19A" w14:textId="4C3C2722" w:rsidR="003427F0" w:rsidRPr="00762D6B" w:rsidRDefault="003427F0" w:rsidP="00762D6B">
            <w:pPr>
              <w:jc w:val="center"/>
              <w:rPr>
                <w:rFonts w:eastAsia="Times New Roman"/>
                <w:sz w:val="16"/>
                <w:szCs w:val="16"/>
                <w:lang w:val="en-US"/>
              </w:rPr>
            </w:pPr>
          </w:p>
        </w:tc>
        <w:tc>
          <w:tcPr>
            <w:tcW w:w="189" w:type="pct"/>
            <w:shd w:val="clear" w:color="auto" w:fill="auto"/>
            <w:noWrap/>
            <w:vAlign w:val="center"/>
            <w:hideMark/>
          </w:tcPr>
          <w:p w14:paraId="5CBB23DB" w14:textId="3AB61613" w:rsidR="003427F0" w:rsidRPr="00762D6B" w:rsidRDefault="003427F0" w:rsidP="00762D6B">
            <w:pPr>
              <w:jc w:val="center"/>
              <w:rPr>
                <w:rFonts w:eastAsia="Times New Roman"/>
                <w:sz w:val="16"/>
                <w:szCs w:val="16"/>
                <w:lang w:val="en-US"/>
              </w:rPr>
            </w:pPr>
          </w:p>
        </w:tc>
        <w:tc>
          <w:tcPr>
            <w:tcW w:w="198" w:type="pct"/>
            <w:shd w:val="clear" w:color="auto" w:fill="auto"/>
            <w:noWrap/>
            <w:vAlign w:val="center"/>
            <w:hideMark/>
          </w:tcPr>
          <w:p w14:paraId="125B6A45" w14:textId="76799EC1"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58088725" w14:textId="32CC59BC" w:rsidR="003427F0" w:rsidRPr="00762D6B" w:rsidRDefault="003427F0" w:rsidP="00762D6B">
            <w:pPr>
              <w:jc w:val="center"/>
              <w:rPr>
                <w:rFonts w:eastAsia="Times New Roman"/>
                <w:sz w:val="16"/>
                <w:szCs w:val="16"/>
                <w:lang w:val="en-US"/>
              </w:rPr>
            </w:pPr>
          </w:p>
        </w:tc>
        <w:tc>
          <w:tcPr>
            <w:tcW w:w="202" w:type="pct"/>
            <w:shd w:val="clear" w:color="auto" w:fill="auto"/>
            <w:noWrap/>
            <w:vAlign w:val="center"/>
            <w:hideMark/>
          </w:tcPr>
          <w:p w14:paraId="5A358B7A" w14:textId="649B5271"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5334BCE2" w14:textId="35B6AE64"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293F03B8" w14:textId="3C4CF70A" w:rsidR="003427F0" w:rsidRPr="00762D6B" w:rsidRDefault="003427F0" w:rsidP="00762D6B">
            <w:pPr>
              <w:jc w:val="center"/>
              <w:rPr>
                <w:rFonts w:eastAsia="Times New Roman"/>
                <w:sz w:val="16"/>
                <w:szCs w:val="16"/>
                <w:lang w:val="en-US"/>
              </w:rPr>
            </w:pPr>
          </w:p>
        </w:tc>
        <w:tc>
          <w:tcPr>
            <w:tcW w:w="201" w:type="pct"/>
            <w:shd w:val="clear" w:color="auto" w:fill="auto"/>
            <w:noWrap/>
            <w:vAlign w:val="center"/>
            <w:hideMark/>
          </w:tcPr>
          <w:p w14:paraId="717E669C" w14:textId="6FAE03C3"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1933546D"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65" w:type="pct"/>
            <w:shd w:val="clear" w:color="000000" w:fill="F8CBAD"/>
            <w:noWrap/>
            <w:vAlign w:val="center"/>
            <w:hideMark/>
          </w:tcPr>
          <w:p w14:paraId="613AA6D9" w14:textId="01D33479"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221FB717" w14:textId="1E90B756"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20" w:type="pct"/>
            <w:shd w:val="clear" w:color="000000" w:fill="F8CBAD"/>
            <w:noWrap/>
            <w:vAlign w:val="center"/>
            <w:hideMark/>
          </w:tcPr>
          <w:p w14:paraId="35BFA22E" w14:textId="7569237C"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C2</w:t>
            </w:r>
          </w:p>
        </w:tc>
        <w:tc>
          <w:tcPr>
            <w:tcW w:w="310" w:type="pct"/>
            <w:shd w:val="clear" w:color="000000" w:fill="FF0000"/>
            <w:noWrap/>
            <w:vAlign w:val="center"/>
            <w:hideMark/>
          </w:tcPr>
          <w:p w14:paraId="13BD9ABA"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58" w:type="pct"/>
            <w:shd w:val="clear" w:color="auto" w:fill="auto"/>
            <w:noWrap/>
            <w:vAlign w:val="center"/>
            <w:hideMark/>
          </w:tcPr>
          <w:p w14:paraId="6BE58724" w14:textId="30D62C9F"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5F7E6B69" w14:textId="237A9A18" w:rsidR="003427F0" w:rsidRPr="00762D6B" w:rsidRDefault="003427F0" w:rsidP="00762D6B">
            <w:pPr>
              <w:jc w:val="center"/>
              <w:rPr>
                <w:rFonts w:eastAsia="Times New Roman"/>
                <w:color w:val="000000"/>
                <w:sz w:val="16"/>
                <w:szCs w:val="16"/>
                <w:lang w:val="en-US"/>
              </w:rPr>
            </w:pPr>
          </w:p>
        </w:tc>
        <w:tc>
          <w:tcPr>
            <w:tcW w:w="301" w:type="pct"/>
            <w:shd w:val="clear" w:color="000000" w:fill="FCFCFF"/>
            <w:noWrap/>
            <w:vAlign w:val="center"/>
            <w:hideMark/>
          </w:tcPr>
          <w:p w14:paraId="0FEB7463"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4</w:t>
            </w:r>
          </w:p>
        </w:tc>
      </w:tr>
      <w:tr w:rsidR="00E11000" w:rsidRPr="00735C3E" w14:paraId="1307C6F9" w14:textId="77777777" w:rsidTr="00F53166">
        <w:trPr>
          <w:trHeight w:val="300"/>
        </w:trPr>
        <w:tc>
          <w:tcPr>
            <w:tcW w:w="203" w:type="pct"/>
            <w:shd w:val="clear" w:color="auto" w:fill="auto"/>
            <w:noWrap/>
            <w:vAlign w:val="center"/>
            <w:hideMark/>
          </w:tcPr>
          <w:p w14:paraId="6CE2239B"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22</w:t>
            </w:r>
          </w:p>
        </w:tc>
        <w:tc>
          <w:tcPr>
            <w:tcW w:w="704" w:type="pct"/>
            <w:shd w:val="clear" w:color="auto" w:fill="auto"/>
            <w:vAlign w:val="center"/>
            <w:hideMark/>
          </w:tcPr>
          <w:p w14:paraId="3A7CE2E7"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Fusarium circinatum</w:t>
            </w:r>
          </w:p>
        </w:tc>
        <w:tc>
          <w:tcPr>
            <w:tcW w:w="198" w:type="pct"/>
            <w:shd w:val="clear" w:color="auto" w:fill="auto"/>
            <w:noWrap/>
            <w:vAlign w:val="center"/>
            <w:hideMark/>
          </w:tcPr>
          <w:p w14:paraId="6419797A"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auto" w:fill="auto"/>
            <w:noWrap/>
            <w:vAlign w:val="center"/>
            <w:hideMark/>
          </w:tcPr>
          <w:p w14:paraId="40563B0D" w14:textId="31764564"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4724339F" w14:textId="2150C96C"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52DD22B1"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0888C888" w14:textId="334C01A3"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0281AFEC" w14:textId="05E7960C"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4446B226" w14:textId="2073F6F2"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72D253C" w14:textId="1BD5585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9FA5FF0" w14:textId="62A9C9F4"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253F5EAB" w14:textId="26B58E21"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0B1F8FDB" w14:textId="1E1A3E77"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54DE6DD8" w14:textId="6FDB10BA"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7428D487" w14:textId="421DA3EF"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20" w:type="pct"/>
            <w:shd w:val="clear" w:color="000000" w:fill="F8CBAD"/>
            <w:noWrap/>
            <w:vAlign w:val="center"/>
            <w:hideMark/>
          </w:tcPr>
          <w:p w14:paraId="5D6E2FCF" w14:textId="5D8350AB"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C2</w:t>
            </w:r>
          </w:p>
        </w:tc>
        <w:tc>
          <w:tcPr>
            <w:tcW w:w="310" w:type="pct"/>
            <w:shd w:val="clear" w:color="000000" w:fill="FF0000"/>
            <w:noWrap/>
            <w:vAlign w:val="center"/>
            <w:hideMark/>
          </w:tcPr>
          <w:p w14:paraId="672D0046"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58" w:type="pct"/>
            <w:shd w:val="clear" w:color="auto" w:fill="auto"/>
            <w:noWrap/>
            <w:vAlign w:val="center"/>
            <w:hideMark/>
          </w:tcPr>
          <w:p w14:paraId="447062BC" w14:textId="0626E51D"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26888FF4" w14:textId="1D30427C" w:rsidR="003427F0" w:rsidRPr="00762D6B" w:rsidRDefault="003427F0" w:rsidP="00762D6B">
            <w:pPr>
              <w:jc w:val="center"/>
              <w:rPr>
                <w:rFonts w:eastAsia="Times New Roman"/>
                <w:color w:val="000000"/>
                <w:sz w:val="16"/>
                <w:szCs w:val="16"/>
                <w:lang w:val="en-US"/>
              </w:rPr>
            </w:pPr>
          </w:p>
        </w:tc>
        <w:tc>
          <w:tcPr>
            <w:tcW w:w="301" w:type="pct"/>
            <w:shd w:val="clear" w:color="000000" w:fill="FA9698"/>
            <w:noWrap/>
            <w:vAlign w:val="center"/>
            <w:hideMark/>
          </w:tcPr>
          <w:p w14:paraId="60074C52"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11</w:t>
            </w:r>
          </w:p>
        </w:tc>
      </w:tr>
      <w:tr w:rsidR="00E11000" w:rsidRPr="00735C3E" w14:paraId="565FA23D" w14:textId="77777777" w:rsidTr="00F53166">
        <w:trPr>
          <w:trHeight w:val="300"/>
        </w:trPr>
        <w:tc>
          <w:tcPr>
            <w:tcW w:w="203" w:type="pct"/>
            <w:shd w:val="clear" w:color="auto" w:fill="auto"/>
            <w:noWrap/>
            <w:vAlign w:val="center"/>
            <w:hideMark/>
          </w:tcPr>
          <w:p w14:paraId="2C69087D"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23</w:t>
            </w:r>
          </w:p>
        </w:tc>
        <w:tc>
          <w:tcPr>
            <w:tcW w:w="704" w:type="pct"/>
            <w:shd w:val="clear" w:color="auto" w:fill="auto"/>
            <w:vAlign w:val="center"/>
            <w:hideMark/>
          </w:tcPr>
          <w:p w14:paraId="54776891"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Phytophthora ramorum</w:t>
            </w:r>
          </w:p>
        </w:tc>
        <w:tc>
          <w:tcPr>
            <w:tcW w:w="198" w:type="pct"/>
            <w:shd w:val="clear" w:color="auto" w:fill="auto"/>
            <w:noWrap/>
            <w:vAlign w:val="center"/>
            <w:hideMark/>
          </w:tcPr>
          <w:p w14:paraId="03F3759F"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000000" w:fill="F8CBAD"/>
            <w:noWrap/>
            <w:vAlign w:val="center"/>
            <w:hideMark/>
          </w:tcPr>
          <w:p w14:paraId="2DF3FA4D"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03D635E4" w14:textId="5F734452"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4BDE1E1B" w14:textId="6410DD3F"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2335C714" w14:textId="7604A375"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12318DD" w14:textId="2AFFBD16"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1A7DC4E2" w14:textId="3005B8F4"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5F6C97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p>
        </w:tc>
        <w:tc>
          <w:tcPr>
            <w:tcW w:w="199" w:type="pct"/>
            <w:shd w:val="clear" w:color="000000" w:fill="F8CBAD"/>
            <w:noWrap/>
            <w:vAlign w:val="center"/>
            <w:hideMark/>
          </w:tcPr>
          <w:p w14:paraId="479C09B6" w14:textId="669538D0"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482D7464" w14:textId="05B16B0B"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12D7020A" w14:textId="0264328E"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5D75E7B6" w14:textId="58F435D8"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0F472629"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320" w:type="pct"/>
            <w:shd w:val="clear" w:color="000000" w:fill="F8CBAD"/>
            <w:noWrap/>
            <w:vAlign w:val="center"/>
            <w:hideMark/>
          </w:tcPr>
          <w:p w14:paraId="378F9BBB" w14:textId="11BA9D72"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C2</w:t>
            </w:r>
          </w:p>
        </w:tc>
        <w:tc>
          <w:tcPr>
            <w:tcW w:w="310" w:type="pct"/>
            <w:shd w:val="clear" w:color="000000" w:fill="FF0000"/>
            <w:noWrap/>
            <w:vAlign w:val="center"/>
            <w:hideMark/>
          </w:tcPr>
          <w:p w14:paraId="1B562E8D"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58" w:type="pct"/>
            <w:shd w:val="clear" w:color="auto" w:fill="auto"/>
            <w:noWrap/>
            <w:vAlign w:val="center"/>
            <w:hideMark/>
          </w:tcPr>
          <w:p w14:paraId="544493FD" w14:textId="2BC28B85"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65EE36A9" w14:textId="616F34F2" w:rsidR="003427F0" w:rsidRPr="00762D6B" w:rsidRDefault="003427F0" w:rsidP="00762D6B">
            <w:pPr>
              <w:jc w:val="center"/>
              <w:rPr>
                <w:rFonts w:eastAsia="Times New Roman"/>
                <w:color w:val="000000"/>
                <w:sz w:val="16"/>
                <w:szCs w:val="16"/>
                <w:lang w:val="en-US"/>
              </w:rPr>
            </w:pPr>
          </w:p>
        </w:tc>
        <w:tc>
          <w:tcPr>
            <w:tcW w:w="301" w:type="pct"/>
            <w:shd w:val="clear" w:color="000000" w:fill="F9787A"/>
            <w:noWrap/>
            <w:vAlign w:val="center"/>
            <w:hideMark/>
          </w:tcPr>
          <w:p w14:paraId="7EB3E4DB"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13</w:t>
            </w:r>
          </w:p>
        </w:tc>
      </w:tr>
      <w:tr w:rsidR="00E11000" w:rsidRPr="00735C3E" w14:paraId="7B3AE6CD" w14:textId="77777777" w:rsidTr="00F53166">
        <w:trPr>
          <w:trHeight w:val="300"/>
        </w:trPr>
        <w:tc>
          <w:tcPr>
            <w:tcW w:w="203" w:type="pct"/>
            <w:shd w:val="clear" w:color="auto" w:fill="auto"/>
            <w:noWrap/>
            <w:vAlign w:val="center"/>
            <w:hideMark/>
          </w:tcPr>
          <w:p w14:paraId="2DDFE197"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24</w:t>
            </w:r>
          </w:p>
        </w:tc>
        <w:tc>
          <w:tcPr>
            <w:tcW w:w="704" w:type="pct"/>
            <w:shd w:val="clear" w:color="auto" w:fill="auto"/>
            <w:vAlign w:val="center"/>
            <w:hideMark/>
          </w:tcPr>
          <w:p w14:paraId="00DE391F"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TSWV, INSV, WSMV</w:t>
            </w:r>
          </w:p>
        </w:tc>
        <w:tc>
          <w:tcPr>
            <w:tcW w:w="198" w:type="pct"/>
            <w:shd w:val="clear" w:color="auto" w:fill="auto"/>
            <w:noWrap/>
            <w:vAlign w:val="center"/>
            <w:hideMark/>
          </w:tcPr>
          <w:p w14:paraId="684216E0"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w:t>
            </w:r>
          </w:p>
        </w:tc>
        <w:tc>
          <w:tcPr>
            <w:tcW w:w="199" w:type="pct"/>
            <w:shd w:val="clear" w:color="000000" w:fill="F8CBAD"/>
            <w:noWrap/>
            <w:vAlign w:val="center"/>
            <w:hideMark/>
          </w:tcPr>
          <w:p w14:paraId="4A748D8E"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74676164"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w:t>
            </w:r>
          </w:p>
        </w:tc>
        <w:tc>
          <w:tcPr>
            <w:tcW w:w="189" w:type="pct"/>
            <w:shd w:val="clear" w:color="000000" w:fill="F8CBAD"/>
            <w:noWrap/>
            <w:vAlign w:val="center"/>
            <w:hideMark/>
          </w:tcPr>
          <w:p w14:paraId="3D102D3E" w14:textId="024F1AA2"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30A47D5D" w14:textId="2FBD6FDA"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16A2A75" w14:textId="1178BE1D"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50EBA3E5" w14:textId="602226B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AFB566A" w14:textId="19332B12"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72F12A0" w14:textId="5B08120D"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03EA502E" w14:textId="5FA9659F"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4F12B633"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265" w:type="pct"/>
            <w:shd w:val="clear" w:color="000000" w:fill="F8CBAD"/>
            <w:noWrap/>
            <w:vAlign w:val="center"/>
            <w:hideMark/>
          </w:tcPr>
          <w:p w14:paraId="1BE492EE" w14:textId="00AC69FE"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2AE5641E" w14:textId="3F36D26A" w:rsidR="003427F0" w:rsidRPr="00762D6B" w:rsidRDefault="00621A50" w:rsidP="00762D6B">
            <w:pPr>
              <w:jc w:val="center"/>
              <w:rPr>
                <w:rFonts w:eastAsia="Times New Roman"/>
                <w:sz w:val="16"/>
                <w:szCs w:val="16"/>
                <w:lang w:val="en-US"/>
              </w:rPr>
            </w:pPr>
            <w:r w:rsidRPr="00762D6B">
              <w:rPr>
                <w:rFonts w:eastAsia="Times New Roman"/>
                <w:sz w:val="16"/>
                <w:szCs w:val="16"/>
                <w:lang w:val="en-US"/>
              </w:rPr>
              <w:t>SC,</w:t>
            </w:r>
            <w:r w:rsidR="003427F0" w:rsidRPr="00762D6B">
              <w:rPr>
                <w:rFonts w:eastAsia="Times New Roman"/>
                <w:sz w:val="16"/>
                <w:szCs w:val="16"/>
                <w:lang w:val="en-US"/>
              </w:rPr>
              <w:t xml:space="preserve"> C1</w:t>
            </w:r>
          </w:p>
        </w:tc>
        <w:tc>
          <w:tcPr>
            <w:tcW w:w="320" w:type="pct"/>
            <w:shd w:val="clear" w:color="000000" w:fill="F8CBAD"/>
            <w:noWrap/>
            <w:vAlign w:val="center"/>
            <w:hideMark/>
          </w:tcPr>
          <w:p w14:paraId="3D3E9A75" w14:textId="716AF7F5" w:rsidR="003427F0" w:rsidRPr="00762D6B" w:rsidRDefault="003427F0" w:rsidP="00762D6B">
            <w:pPr>
              <w:jc w:val="center"/>
              <w:rPr>
                <w:rFonts w:eastAsia="Times New Roman"/>
                <w:sz w:val="16"/>
                <w:szCs w:val="16"/>
                <w:lang w:val="en-US"/>
              </w:rPr>
            </w:pPr>
          </w:p>
        </w:tc>
        <w:tc>
          <w:tcPr>
            <w:tcW w:w="310" w:type="pct"/>
            <w:shd w:val="clear" w:color="000000" w:fill="FF0000"/>
            <w:noWrap/>
            <w:vAlign w:val="center"/>
            <w:hideMark/>
          </w:tcPr>
          <w:p w14:paraId="25B83FE4"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58" w:type="pct"/>
            <w:shd w:val="clear" w:color="auto" w:fill="auto"/>
            <w:noWrap/>
            <w:vAlign w:val="center"/>
            <w:hideMark/>
          </w:tcPr>
          <w:p w14:paraId="2877C8F3" w14:textId="2FB7652C" w:rsidR="003427F0" w:rsidRPr="00762D6B" w:rsidRDefault="003427F0" w:rsidP="00762D6B">
            <w:pPr>
              <w:jc w:val="center"/>
              <w:rPr>
                <w:rFonts w:eastAsia="Times New Roman"/>
                <w:color w:val="000000"/>
                <w:sz w:val="16"/>
                <w:szCs w:val="16"/>
                <w:lang w:val="en-US"/>
              </w:rPr>
            </w:pPr>
          </w:p>
        </w:tc>
        <w:tc>
          <w:tcPr>
            <w:tcW w:w="132" w:type="pct"/>
            <w:shd w:val="clear" w:color="auto" w:fill="auto"/>
            <w:noWrap/>
            <w:vAlign w:val="center"/>
            <w:hideMark/>
          </w:tcPr>
          <w:p w14:paraId="1664D1D2" w14:textId="29B10F0B" w:rsidR="003427F0" w:rsidRPr="00762D6B" w:rsidRDefault="003427F0" w:rsidP="00762D6B">
            <w:pPr>
              <w:jc w:val="center"/>
              <w:rPr>
                <w:rFonts w:eastAsia="Times New Roman"/>
                <w:color w:val="000000"/>
                <w:sz w:val="16"/>
                <w:szCs w:val="16"/>
                <w:lang w:val="en-US"/>
              </w:rPr>
            </w:pPr>
          </w:p>
        </w:tc>
        <w:tc>
          <w:tcPr>
            <w:tcW w:w="301" w:type="pct"/>
            <w:shd w:val="clear" w:color="000000" w:fill="F9787A"/>
            <w:noWrap/>
            <w:vAlign w:val="center"/>
            <w:hideMark/>
          </w:tcPr>
          <w:p w14:paraId="34D219F7"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13</w:t>
            </w:r>
          </w:p>
        </w:tc>
      </w:tr>
      <w:tr w:rsidR="00E11000" w:rsidRPr="00735C3E" w14:paraId="769A9D33" w14:textId="77777777" w:rsidTr="00F53166">
        <w:trPr>
          <w:trHeight w:val="300"/>
        </w:trPr>
        <w:tc>
          <w:tcPr>
            <w:tcW w:w="203" w:type="pct"/>
            <w:shd w:val="clear" w:color="auto" w:fill="auto"/>
            <w:noWrap/>
            <w:vAlign w:val="center"/>
            <w:hideMark/>
          </w:tcPr>
          <w:p w14:paraId="1DB55104"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25</w:t>
            </w:r>
          </w:p>
        </w:tc>
        <w:tc>
          <w:tcPr>
            <w:tcW w:w="704" w:type="pct"/>
            <w:shd w:val="clear" w:color="auto" w:fill="auto"/>
            <w:vAlign w:val="center"/>
            <w:hideMark/>
          </w:tcPr>
          <w:p w14:paraId="4FF1DABF"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Xylella fastidiosa</w:t>
            </w:r>
          </w:p>
        </w:tc>
        <w:tc>
          <w:tcPr>
            <w:tcW w:w="198" w:type="pct"/>
            <w:shd w:val="clear" w:color="auto" w:fill="auto"/>
            <w:noWrap/>
            <w:vAlign w:val="center"/>
            <w:hideMark/>
          </w:tcPr>
          <w:p w14:paraId="0C61B87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000000" w:fill="F8CBAD"/>
            <w:noWrap/>
            <w:vAlign w:val="center"/>
            <w:hideMark/>
          </w:tcPr>
          <w:p w14:paraId="1BEF6ADB"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08" w:type="pct"/>
            <w:shd w:val="clear" w:color="000000" w:fill="F8CBAD"/>
            <w:noWrap/>
            <w:vAlign w:val="center"/>
            <w:hideMark/>
          </w:tcPr>
          <w:p w14:paraId="4AE3060F" w14:textId="089AEC78"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026C57A0" w14:textId="3A6E7868" w:rsidR="003427F0" w:rsidRPr="00762D6B" w:rsidRDefault="003427F0" w:rsidP="00762D6B">
            <w:pPr>
              <w:jc w:val="center"/>
              <w:rPr>
                <w:rFonts w:eastAsia="Times New Roman"/>
                <w:sz w:val="16"/>
                <w:szCs w:val="16"/>
                <w:lang w:val="en-US"/>
              </w:rPr>
            </w:pPr>
          </w:p>
        </w:tc>
        <w:tc>
          <w:tcPr>
            <w:tcW w:w="198" w:type="pct"/>
            <w:shd w:val="clear" w:color="000000" w:fill="F8CBAD"/>
            <w:noWrap/>
            <w:vAlign w:val="center"/>
            <w:hideMark/>
          </w:tcPr>
          <w:p w14:paraId="116A575D" w14:textId="3B0E0C3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7A65425" w14:textId="24F6888C"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02F6D341" w14:textId="20E1270C"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21326D9" w14:textId="78A3B612"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3C6428D" w14:textId="3B8CD204"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27F40566" w14:textId="2461B880"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577FDC4A" w14:textId="53EFC032"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5F32F299" w14:textId="2FAD12C2"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4091D11E" w14:textId="1DB57917" w:rsidR="003427F0" w:rsidRPr="00762D6B" w:rsidRDefault="003427F0" w:rsidP="00762D6B">
            <w:pPr>
              <w:jc w:val="center"/>
              <w:rPr>
                <w:rFonts w:eastAsia="Times New Roman"/>
                <w:sz w:val="16"/>
                <w:szCs w:val="16"/>
                <w:lang w:val="en-US"/>
              </w:rPr>
            </w:pPr>
          </w:p>
        </w:tc>
        <w:tc>
          <w:tcPr>
            <w:tcW w:w="320" w:type="pct"/>
            <w:shd w:val="clear" w:color="000000" w:fill="F8CBAD"/>
            <w:noWrap/>
            <w:vAlign w:val="center"/>
            <w:hideMark/>
          </w:tcPr>
          <w:p w14:paraId="35103734" w14:textId="660DE930"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10" w:type="pct"/>
            <w:shd w:val="clear" w:color="000000" w:fill="F8CBAD"/>
            <w:noWrap/>
            <w:vAlign w:val="center"/>
            <w:hideMark/>
          </w:tcPr>
          <w:p w14:paraId="4A228E6C" w14:textId="55F32E50"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158" w:type="pct"/>
            <w:shd w:val="clear" w:color="000000" w:fill="FF0000"/>
            <w:noWrap/>
            <w:vAlign w:val="center"/>
            <w:hideMark/>
          </w:tcPr>
          <w:p w14:paraId="2ABE987B"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32" w:type="pct"/>
            <w:shd w:val="clear" w:color="auto" w:fill="auto"/>
            <w:noWrap/>
            <w:vAlign w:val="center"/>
            <w:hideMark/>
          </w:tcPr>
          <w:p w14:paraId="6CEC78F4" w14:textId="6D448D6C" w:rsidR="003427F0" w:rsidRPr="00762D6B" w:rsidRDefault="003427F0" w:rsidP="00762D6B">
            <w:pPr>
              <w:jc w:val="center"/>
              <w:rPr>
                <w:rFonts w:eastAsia="Times New Roman"/>
                <w:color w:val="000000"/>
                <w:sz w:val="16"/>
                <w:szCs w:val="16"/>
                <w:lang w:val="en-US"/>
              </w:rPr>
            </w:pPr>
          </w:p>
        </w:tc>
        <w:tc>
          <w:tcPr>
            <w:tcW w:w="301" w:type="pct"/>
            <w:shd w:val="clear" w:color="000000" w:fill="F8696B"/>
            <w:noWrap/>
            <w:vAlign w:val="center"/>
            <w:hideMark/>
          </w:tcPr>
          <w:p w14:paraId="46E9136A"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14</w:t>
            </w:r>
          </w:p>
        </w:tc>
      </w:tr>
      <w:tr w:rsidR="00E11000" w:rsidRPr="00735C3E" w14:paraId="707BA1A7" w14:textId="77777777" w:rsidTr="00F53166">
        <w:trPr>
          <w:trHeight w:val="300"/>
        </w:trPr>
        <w:tc>
          <w:tcPr>
            <w:tcW w:w="203" w:type="pct"/>
            <w:shd w:val="clear" w:color="auto" w:fill="auto"/>
            <w:noWrap/>
            <w:vAlign w:val="center"/>
            <w:hideMark/>
          </w:tcPr>
          <w:p w14:paraId="248DA99C"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26</w:t>
            </w:r>
          </w:p>
        </w:tc>
        <w:tc>
          <w:tcPr>
            <w:tcW w:w="704" w:type="pct"/>
            <w:shd w:val="clear" w:color="auto" w:fill="auto"/>
            <w:vAlign w:val="center"/>
            <w:hideMark/>
          </w:tcPr>
          <w:p w14:paraId="69B097B7"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Austropuccinia psidii</w:t>
            </w:r>
          </w:p>
        </w:tc>
        <w:tc>
          <w:tcPr>
            <w:tcW w:w="198" w:type="pct"/>
            <w:shd w:val="clear" w:color="auto" w:fill="auto"/>
            <w:noWrap/>
            <w:vAlign w:val="center"/>
            <w:hideMark/>
          </w:tcPr>
          <w:p w14:paraId="36B943B6"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auto" w:fill="auto"/>
            <w:noWrap/>
            <w:vAlign w:val="center"/>
            <w:hideMark/>
          </w:tcPr>
          <w:p w14:paraId="7C677D19" w14:textId="79F26AAE"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29371C13" w14:textId="63F39E8D"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423CBF46"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2F82A703" w14:textId="1416857B"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424DFBFA" w14:textId="3F0B75A2"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44C87026" w14:textId="35AC994D"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88342D6" w14:textId="3981E375"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3EA7EE33" w14:textId="46FFDA18"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4B69E7EE" w14:textId="605E9558"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38F3614A" w14:textId="27944DE0"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6BE826D3" w14:textId="7F7C5C58"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44266FC7" w14:textId="60EF913B" w:rsidR="003427F0" w:rsidRPr="00762D6B" w:rsidRDefault="003427F0" w:rsidP="00762D6B">
            <w:pPr>
              <w:jc w:val="center"/>
              <w:rPr>
                <w:rFonts w:eastAsia="Times New Roman"/>
                <w:sz w:val="16"/>
                <w:szCs w:val="16"/>
                <w:lang w:val="en-US"/>
              </w:rPr>
            </w:pPr>
          </w:p>
        </w:tc>
        <w:tc>
          <w:tcPr>
            <w:tcW w:w="320" w:type="pct"/>
            <w:shd w:val="clear" w:color="000000" w:fill="F8CBAD"/>
            <w:noWrap/>
            <w:vAlign w:val="center"/>
            <w:hideMark/>
          </w:tcPr>
          <w:p w14:paraId="119AFA57" w14:textId="3EB7C7A8"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10" w:type="pct"/>
            <w:shd w:val="clear" w:color="000000" w:fill="F8CBAD"/>
            <w:noWrap/>
            <w:vAlign w:val="center"/>
            <w:hideMark/>
          </w:tcPr>
          <w:p w14:paraId="0182954E" w14:textId="61A3689C"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158" w:type="pct"/>
            <w:shd w:val="clear" w:color="000000" w:fill="FF0000"/>
            <w:noWrap/>
            <w:vAlign w:val="center"/>
            <w:hideMark/>
          </w:tcPr>
          <w:p w14:paraId="09A67F92"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32" w:type="pct"/>
            <w:shd w:val="clear" w:color="auto" w:fill="auto"/>
            <w:noWrap/>
            <w:vAlign w:val="center"/>
            <w:hideMark/>
          </w:tcPr>
          <w:p w14:paraId="5378BA4A" w14:textId="54F12341"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598F7B57"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E11000" w:rsidRPr="00735C3E" w14:paraId="050BCE85" w14:textId="77777777" w:rsidTr="00F53166">
        <w:trPr>
          <w:trHeight w:val="300"/>
        </w:trPr>
        <w:tc>
          <w:tcPr>
            <w:tcW w:w="203" w:type="pct"/>
            <w:shd w:val="clear" w:color="auto" w:fill="auto"/>
            <w:noWrap/>
            <w:vAlign w:val="center"/>
            <w:hideMark/>
          </w:tcPr>
          <w:p w14:paraId="51F576D5"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27</w:t>
            </w:r>
          </w:p>
        </w:tc>
        <w:tc>
          <w:tcPr>
            <w:tcW w:w="704" w:type="pct"/>
            <w:shd w:val="clear" w:color="auto" w:fill="auto"/>
            <w:vAlign w:val="center"/>
            <w:hideMark/>
          </w:tcPr>
          <w:p w14:paraId="50DCAA43" w14:textId="44F2CCB2"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 xml:space="preserve">Ips </w:t>
            </w:r>
            <w:r w:rsidRPr="00762D6B">
              <w:rPr>
                <w:rFonts w:eastAsia="Times New Roman"/>
                <w:iCs/>
                <w:color w:val="000000"/>
                <w:sz w:val="16"/>
                <w:szCs w:val="16"/>
                <w:lang w:val="en-US"/>
              </w:rPr>
              <w:t>spp</w:t>
            </w:r>
            <w:r w:rsidR="00286369" w:rsidRPr="00762D6B">
              <w:rPr>
                <w:rFonts w:eastAsia="Times New Roman"/>
                <w:iCs/>
                <w:color w:val="000000"/>
                <w:sz w:val="16"/>
                <w:szCs w:val="16"/>
                <w:lang w:val="en-US"/>
              </w:rPr>
              <w:t>.</w:t>
            </w:r>
          </w:p>
        </w:tc>
        <w:tc>
          <w:tcPr>
            <w:tcW w:w="198" w:type="pct"/>
            <w:shd w:val="clear" w:color="auto" w:fill="auto"/>
            <w:noWrap/>
            <w:vAlign w:val="center"/>
            <w:hideMark/>
          </w:tcPr>
          <w:p w14:paraId="3C7CA0DC"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4</w:t>
            </w:r>
          </w:p>
        </w:tc>
        <w:tc>
          <w:tcPr>
            <w:tcW w:w="199" w:type="pct"/>
            <w:shd w:val="clear" w:color="auto" w:fill="auto"/>
            <w:noWrap/>
            <w:vAlign w:val="center"/>
            <w:hideMark/>
          </w:tcPr>
          <w:p w14:paraId="1433ED91" w14:textId="41E254BF"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272D9EC1" w14:textId="22D9FEF4"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1C302C1B"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7F18C10D" w14:textId="201688C5"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73B3073B" w14:textId="1B89B4E7"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362957D9" w14:textId="0CEDB266"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6B1BEB95" w14:textId="15E1BA8A"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2929A579" w14:textId="0FBDFE8D"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3DBDCDA0" w14:textId="06DB2677"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35865595" w14:textId="205F6266"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7D8E0287" w14:textId="064E9B41"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4C03E73C" w14:textId="10A6C8EF" w:rsidR="003427F0" w:rsidRPr="00762D6B" w:rsidRDefault="003427F0" w:rsidP="00762D6B">
            <w:pPr>
              <w:jc w:val="center"/>
              <w:rPr>
                <w:rFonts w:eastAsia="Times New Roman"/>
                <w:sz w:val="16"/>
                <w:szCs w:val="16"/>
                <w:lang w:val="en-US"/>
              </w:rPr>
            </w:pPr>
          </w:p>
        </w:tc>
        <w:tc>
          <w:tcPr>
            <w:tcW w:w="320" w:type="pct"/>
            <w:shd w:val="clear" w:color="000000" w:fill="F8CBAD"/>
            <w:noWrap/>
            <w:vAlign w:val="center"/>
            <w:hideMark/>
          </w:tcPr>
          <w:p w14:paraId="4CCABBBE" w14:textId="2B733D1E"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r w:rsidRPr="00762D6B">
              <w:rPr>
                <w:rFonts w:eastAsia="Times New Roman"/>
                <w:sz w:val="16"/>
                <w:szCs w:val="16"/>
                <w:lang w:val="en-US"/>
              </w:rPr>
              <w:t xml:space="preserve"> E</w:t>
            </w:r>
          </w:p>
        </w:tc>
        <w:tc>
          <w:tcPr>
            <w:tcW w:w="310" w:type="pct"/>
            <w:shd w:val="clear" w:color="000000" w:fill="F8CBAD"/>
            <w:noWrap/>
            <w:vAlign w:val="center"/>
            <w:hideMark/>
          </w:tcPr>
          <w:p w14:paraId="189144CA" w14:textId="697734C4"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158" w:type="pct"/>
            <w:shd w:val="clear" w:color="000000" w:fill="FF0000"/>
            <w:noWrap/>
            <w:vAlign w:val="center"/>
            <w:hideMark/>
          </w:tcPr>
          <w:p w14:paraId="1808A7EB"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32" w:type="pct"/>
            <w:shd w:val="clear" w:color="auto" w:fill="auto"/>
            <w:noWrap/>
            <w:vAlign w:val="center"/>
            <w:hideMark/>
          </w:tcPr>
          <w:p w14:paraId="1F1E8E22" w14:textId="1D302908" w:rsidR="003427F0" w:rsidRPr="00762D6B" w:rsidRDefault="003427F0" w:rsidP="00762D6B">
            <w:pPr>
              <w:jc w:val="center"/>
              <w:rPr>
                <w:rFonts w:eastAsia="Times New Roman"/>
                <w:color w:val="000000"/>
                <w:sz w:val="16"/>
                <w:szCs w:val="16"/>
                <w:lang w:val="en-US"/>
              </w:rPr>
            </w:pPr>
          </w:p>
        </w:tc>
        <w:tc>
          <w:tcPr>
            <w:tcW w:w="301" w:type="pct"/>
            <w:shd w:val="clear" w:color="000000" w:fill="F98789"/>
            <w:noWrap/>
            <w:vAlign w:val="center"/>
            <w:hideMark/>
          </w:tcPr>
          <w:p w14:paraId="723F64D2"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12</w:t>
            </w:r>
          </w:p>
        </w:tc>
      </w:tr>
      <w:tr w:rsidR="00A23224" w:rsidRPr="00735C3E" w14:paraId="32BBDC68" w14:textId="77777777" w:rsidTr="00F53166">
        <w:trPr>
          <w:trHeight w:val="300"/>
        </w:trPr>
        <w:tc>
          <w:tcPr>
            <w:tcW w:w="203" w:type="pct"/>
            <w:shd w:val="clear" w:color="auto" w:fill="auto"/>
            <w:noWrap/>
            <w:vAlign w:val="center"/>
            <w:hideMark/>
          </w:tcPr>
          <w:p w14:paraId="30FE6C1B"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28</w:t>
            </w:r>
          </w:p>
        </w:tc>
        <w:tc>
          <w:tcPr>
            <w:tcW w:w="704" w:type="pct"/>
            <w:shd w:val="clear" w:color="auto" w:fill="auto"/>
            <w:vAlign w:val="center"/>
            <w:hideMark/>
          </w:tcPr>
          <w:p w14:paraId="2B860C98"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Conotrachelus nenuphar</w:t>
            </w:r>
          </w:p>
        </w:tc>
        <w:tc>
          <w:tcPr>
            <w:tcW w:w="198" w:type="pct"/>
            <w:shd w:val="clear" w:color="auto" w:fill="auto"/>
            <w:noWrap/>
            <w:vAlign w:val="center"/>
            <w:hideMark/>
          </w:tcPr>
          <w:p w14:paraId="509DF351"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auto" w:fill="auto"/>
            <w:noWrap/>
            <w:vAlign w:val="center"/>
            <w:hideMark/>
          </w:tcPr>
          <w:p w14:paraId="568C4AEF" w14:textId="5BA2EBF9"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5F238ADD" w14:textId="1443A805" w:rsidR="003427F0" w:rsidRPr="00762D6B" w:rsidRDefault="003427F0" w:rsidP="00762D6B">
            <w:pPr>
              <w:jc w:val="center"/>
              <w:rPr>
                <w:rFonts w:eastAsia="Times New Roman"/>
                <w:sz w:val="16"/>
                <w:szCs w:val="16"/>
                <w:lang w:val="en-US"/>
              </w:rPr>
            </w:pPr>
          </w:p>
        </w:tc>
        <w:tc>
          <w:tcPr>
            <w:tcW w:w="189" w:type="pct"/>
            <w:shd w:val="clear" w:color="auto" w:fill="auto"/>
            <w:noWrap/>
            <w:vAlign w:val="center"/>
            <w:hideMark/>
          </w:tcPr>
          <w:p w14:paraId="71932A88" w14:textId="02918543" w:rsidR="003427F0" w:rsidRPr="00762D6B" w:rsidRDefault="003427F0" w:rsidP="00762D6B">
            <w:pPr>
              <w:jc w:val="center"/>
              <w:rPr>
                <w:rFonts w:eastAsia="Times New Roman"/>
                <w:sz w:val="16"/>
                <w:szCs w:val="16"/>
                <w:lang w:val="en-US"/>
              </w:rPr>
            </w:pPr>
          </w:p>
        </w:tc>
        <w:tc>
          <w:tcPr>
            <w:tcW w:w="198" w:type="pct"/>
            <w:shd w:val="clear" w:color="auto" w:fill="auto"/>
            <w:noWrap/>
            <w:vAlign w:val="center"/>
            <w:hideMark/>
          </w:tcPr>
          <w:p w14:paraId="35D392FA" w14:textId="23B20CB8"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10BA4622" w14:textId="009EBD3A" w:rsidR="003427F0" w:rsidRPr="00762D6B" w:rsidRDefault="003427F0" w:rsidP="00762D6B">
            <w:pPr>
              <w:jc w:val="center"/>
              <w:rPr>
                <w:rFonts w:eastAsia="Times New Roman"/>
                <w:sz w:val="16"/>
                <w:szCs w:val="16"/>
                <w:lang w:val="en-US"/>
              </w:rPr>
            </w:pPr>
          </w:p>
        </w:tc>
        <w:tc>
          <w:tcPr>
            <w:tcW w:w="202" w:type="pct"/>
            <w:shd w:val="clear" w:color="auto" w:fill="auto"/>
            <w:noWrap/>
            <w:vAlign w:val="center"/>
            <w:hideMark/>
          </w:tcPr>
          <w:p w14:paraId="55213A80" w14:textId="64CDFE09"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76CE2A85" w14:textId="4D97804D" w:rsidR="003427F0" w:rsidRPr="00762D6B" w:rsidRDefault="003427F0" w:rsidP="00762D6B">
            <w:pPr>
              <w:jc w:val="center"/>
              <w:rPr>
                <w:rFonts w:eastAsia="Times New Roman"/>
                <w:sz w:val="16"/>
                <w:szCs w:val="16"/>
                <w:lang w:val="en-US"/>
              </w:rPr>
            </w:pPr>
          </w:p>
        </w:tc>
        <w:tc>
          <w:tcPr>
            <w:tcW w:w="199" w:type="pct"/>
            <w:shd w:val="clear" w:color="auto" w:fill="auto"/>
            <w:noWrap/>
            <w:vAlign w:val="center"/>
            <w:hideMark/>
          </w:tcPr>
          <w:p w14:paraId="5E423157" w14:textId="4821F7E4" w:rsidR="003427F0" w:rsidRPr="00762D6B" w:rsidRDefault="003427F0" w:rsidP="00762D6B">
            <w:pPr>
              <w:jc w:val="center"/>
              <w:rPr>
                <w:rFonts w:eastAsia="Times New Roman"/>
                <w:sz w:val="16"/>
                <w:szCs w:val="16"/>
                <w:lang w:val="en-US"/>
              </w:rPr>
            </w:pPr>
          </w:p>
        </w:tc>
        <w:tc>
          <w:tcPr>
            <w:tcW w:w="201" w:type="pct"/>
            <w:shd w:val="clear" w:color="auto" w:fill="auto"/>
            <w:noWrap/>
            <w:vAlign w:val="center"/>
            <w:hideMark/>
          </w:tcPr>
          <w:p w14:paraId="2C6BCEB8" w14:textId="5A2FD193"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3EE622D7"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265" w:type="pct"/>
            <w:shd w:val="clear" w:color="000000" w:fill="F8CBAD"/>
            <w:noWrap/>
            <w:vAlign w:val="center"/>
            <w:hideMark/>
          </w:tcPr>
          <w:p w14:paraId="1DD35C36" w14:textId="7787D5E2"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50854FBE"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E</w:t>
            </w:r>
          </w:p>
        </w:tc>
        <w:tc>
          <w:tcPr>
            <w:tcW w:w="320" w:type="pct"/>
            <w:shd w:val="clear" w:color="000000" w:fill="F8CBAD"/>
            <w:noWrap/>
            <w:vAlign w:val="center"/>
            <w:hideMark/>
          </w:tcPr>
          <w:p w14:paraId="25511AD8" w14:textId="7EFC6D81"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621A50" w:rsidRPr="00762D6B">
              <w:rPr>
                <w:rFonts w:eastAsia="Times New Roman"/>
                <w:sz w:val="16"/>
                <w:szCs w:val="16"/>
                <w:lang w:val="en-US"/>
              </w:rPr>
              <w:t>,</w:t>
            </w:r>
          </w:p>
        </w:tc>
        <w:tc>
          <w:tcPr>
            <w:tcW w:w="310" w:type="pct"/>
            <w:shd w:val="clear" w:color="000000" w:fill="F8CBAD"/>
            <w:noWrap/>
            <w:vAlign w:val="center"/>
            <w:hideMark/>
          </w:tcPr>
          <w:p w14:paraId="337F9CBF" w14:textId="31252501"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158" w:type="pct"/>
            <w:shd w:val="clear" w:color="000000" w:fill="FF0000"/>
            <w:noWrap/>
            <w:vAlign w:val="center"/>
            <w:hideMark/>
          </w:tcPr>
          <w:p w14:paraId="41AD21C7"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132" w:type="pct"/>
            <w:shd w:val="clear" w:color="auto" w:fill="auto"/>
            <w:noWrap/>
            <w:vAlign w:val="center"/>
            <w:hideMark/>
          </w:tcPr>
          <w:p w14:paraId="29F5B9B1" w14:textId="79097266" w:rsidR="003427F0" w:rsidRPr="00762D6B" w:rsidRDefault="003427F0" w:rsidP="00762D6B">
            <w:pPr>
              <w:jc w:val="center"/>
              <w:rPr>
                <w:rFonts w:eastAsia="Times New Roman"/>
                <w:color w:val="000000"/>
                <w:sz w:val="16"/>
                <w:szCs w:val="16"/>
                <w:lang w:val="en-US"/>
              </w:rPr>
            </w:pPr>
          </w:p>
        </w:tc>
        <w:tc>
          <w:tcPr>
            <w:tcW w:w="301" w:type="pct"/>
            <w:shd w:val="clear" w:color="000000" w:fill="FCEEF1"/>
            <w:noWrap/>
            <w:vAlign w:val="center"/>
            <w:hideMark/>
          </w:tcPr>
          <w:p w14:paraId="52E19271"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5</w:t>
            </w:r>
          </w:p>
        </w:tc>
      </w:tr>
      <w:tr w:rsidR="00E11000" w:rsidRPr="00735C3E" w14:paraId="2F812165" w14:textId="77777777" w:rsidTr="00F53166">
        <w:trPr>
          <w:trHeight w:val="300"/>
        </w:trPr>
        <w:tc>
          <w:tcPr>
            <w:tcW w:w="203" w:type="pct"/>
            <w:shd w:val="clear" w:color="auto" w:fill="auto"/>
            <w:noWrap/>
            <w:vAlign w:val="center"/>
            <w:hideMark/>
          </w:tcPr>
          <w:p w14:paraId="6C035613" w14:textId="77777777" w:rsidR="003427F0" w:rsidRPr="00762D6B" w:rsidRDefault="003427F0" w:rsidP="00735C3E">
            <w:pPr>
              <w:jc w:val="center"/>
              <w:rPr>
                <w:rFonts w:eastAsia="Times New Roman"/>
                <w:color w:val="000000"/>
                <w:sz w:val="16"/>
                <w:szCs w:val="16"/>
                <w:lang w:val="en-US"/>
              </w:rPr>
            </w:pPr>
            <w:r w:rsidRPr="00762D6B">
              <w:rPr>
                <w:rFonts w:eastAsia="Times New Roman"/>
                <w:color w:val="000000"/>
                <w:sz w:val="16"/>
                <w:szCs w:val="16"/>
                <w:lang w:val="en-US"/>
              </w:rPr>
              <w:t>29</w:t>
            </w:r>
          </w:p>
        </w:tc>
        <w:tc>
          <w:tcPr>
            <w:tcW w:w="704" w:type="pct"/>
            <w:shd w:val="clear" w:color="auto" w:fill="auto"/>
            <w:vAlign w:val="center"/>
            <w:hideMark/>
          </w:tcPr>
          <w:p w14:paraId="5709FE01" w14:textId="77777777" w:rsidR="003427F0" w:rsidRPr="00762D6B" w:rsidRDefault="003427F0" w:rsidP="00735C3E">
            <w:pPr>
              <w:jc w:val="left"/>
              <w:rPr>
                <w:rFonts w:eastAsia="Times New Roman"/>
                <w:i/>
                <w:iCs/>
                <w:color w:val="000000"/>
                <w:sz w:val="16"/>
                <w:szCs w:val="16"/>
                <w:lang w:val="en-US"/>
              </w:rPr>
            </w:pPr>
            <w:r w:rsidRPr="00762D6B">
              <w:rPr>
                <w:rFonts w:eastAsia="Times New Roman"/>
                <w:i/>
                <w:iCs/>
                <w:color w:val="000000"/>
                <w:sz w:val="16"/>
                <w:szCs w:val="16"/>
                <w:lang w:val="en-US"/>
              </w:rPr>
              <w:t>Bactrocera dorsalis</w:t>
            </w:r>
          </w:p>
        </w:tc>
        <w:tc>
          <w:tcPr>
            <w:tcW w:w="198" w:type="pct"/>
            <w:shd w:val="clear" w:color="auto" w:fill="auto"/>
            <w:noWrap/>
            <w:vAlign w:val="center"/>
            <w:hideMark/>
          </w:tcPr>
          <w:p w14:paraId="356243CE"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2</w:t>
            </w:r>
          </w:p>
        </w:tc>
        <w:tc>
          <w:tcPr>
            <w:tcW w:w="199" w:type="pct"/>
            <w:shd w:val="clear" w:color="auto" w:fill="auto"/>
            <w:noWrap/>
            <w:vAlign w:val="center"/>
            <w:hideMark/>
          </w:tcPr>
          <w:p w14:paraId="15D00EB4" w14:textId="7A76A77D" w:rsidR="003427F0" w:rsidRPr="00762D6B" w:rsidRDefault="003427F0" w:rsidP="00762D6B">
            <w:pPr>
              <w:jc w:val="center"/>
              <w:rPr>
                <w:rFonts w:eastAsia="Times New Roman"/>
                <w:sz w:val="16"/>
                <w:szCs w:val="16"/>
                <w:lang w:val="en-US"/>
              </w:rPr>
            </w:pPr>
          </w:p>
        </w:tc>
        <w:tc>
          <w:tcPr>
            <w:tcW w:w="208" w:type="pct"/>
            <w:shd w:val="clear" w:color="auto" w:fill="auto"/>
            <w:noWrap/>
            <w:vAlign w:val="center"/>
            <w:hideMark/>
          </w:tcPr>
          <w:p w14:paraId="69D0D333" w14:textId="3504711A" w:rsidR="003427F0" w:rsidRPr="00762D6B" w:rsidRDefault="003427F0" w:rsidP="00762D6B">
            <w:pPr>
              <w:jc w:val="center"/>
              <w:rPr>
                <w:rFonts w:eastAsia="Times New Roman"/>
                <w:sz w:val="16"/>
                <w:szCs w:val="16"/>
                <w:lang w:val="en-US"/>
              </w:rPr>
            </w:pPr>
          </w:p>
        </w:tc>
        <w:tc>
          <w:tcPr>
            <w:tcW w:w="189" w:type="pct"/>
            <w:shd w:val="clear" w:color="000000" w:fill="F8CBAD"/>
            <w:noWrap/>
            <w:vAlign w:val="center"/>
            <w:hideMark/>
          </w:tcPr>
          <w:p w14:paraId="0B433421" w14:textId="77777777"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T</w:t>
            </w:r>
          </w:p>
        </w:tc>
        <w:tc>
          <w:tcPr>
            <w:tcW w:w="198" w:type="pct"/>
            <w:shd w:val="clear" w:color="000000" w:fill="F8CBAD"/>
            <w:noWrap/>
            <w:vAlign w:val="center"/>
            <w:hideMark/>
          </w:tcPr>
          <w:p w14:paraId="2C339F58" w14:textId="0673D4AE"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5374C623" w14:textId="24B2CFB5" w:rsidR="003427F0" w:rsidRPr="00762D6B" w:rsidRDefault="003427F0" w:rsidP="00762D6B">
            <w:pPr>
              <w:jc w:val="center"/>
              <w:rPr>
                <w:rFonts w:eastAsia="Times New Roman"/>
                <w:sz w:val="16"/>
                <w:szCs w:val="16"/>
                <w:lang w:val="en-US"/>
              </w:rPr>
            </w:pPr>
          </w:p>
        </w:tc>
        <w:tc>
          <w:tcPr>
            <w:tcW w:w="202" w:type="pct"/>
            <w:shd w:val="clear" w:color="000000" w:fill="F8CBAD"/>
            <w:noWrap/>
            <w:vAlign w:val="center"/>
            <w:hideMark/>
          </w:tcPr>
          <w:p w14:paraId="41E21E62" w14:textId="7AD72AF1"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AB45E22" w14:textId="2B9757BD" w:rsidR="003427F0" w:rsidRPr="00762D6B" w:rsidRDefault="003427F0" w:rsidP="00762D6B">
            <w:pPr>
              <w:jc w:val="center"/>
              <w:rPr>
                <w:rFonts w:eastAsia="Times New Roman"/>
                <w:sz w:val="16"/>
                <w:szCs w:val="16"/>
                <w:lang w:val="en-US"/>
              </w:rPr>
            </w:pPr>
          </w:p>
        </w:tc>
        <w:tc>
          <w:tcPr>
            <w:tcW w:w="199" w:type="pct"/>
            <w:shd w:val="clear" w:color="000000" w:fill="F8CBAD"/>
            <w:noWrap/>
            <w:vAlign w:val="center"/>
            <w:hideMark/>
          </w:tcPr>
          <w:p w14:paraId="148C119A" w14:textId="680DAE9F" w:rsidR="003427F0" w:rsidRPr="00762D6B" w:rsidRDefault="003427F0" w:rsidP="00762D6B">
            <w:pPr>
              <w:jc w:val="center"/>
              <w:rPr>
                <w:rFonts w:eastAsia="Times New Roman"/>
                <w:sz w:val="16"/>
                <w:szCs w:val="16"/>
                <w:lang w:val="en-US"/>
              </w:rPr>
            </w:pPr>
          </w:p>
        </w:tc>
        <w:tc>
          <w:tcPr>
            <w:tcW w:w="201" w:type="pct"/>
            <w:shd w:val="clear" w:color="000000" w:fill="F8CBAD"/>
            <w:noWrap/>
            <w:vAlign w:val="center"/>
            <w:hideMark/>
          </w:tcPr>
          <w:p w14:paraId="5C8BECDA" w14:textId="6FF0F61B" w:rsidR="003427F0" w:rsidRPr="00762D6B" w:rsidRDefault="003427F0" w:rsidP="00762D6B">
            <w:pPr>
              <w:jc w:val="center"/>
              <w:rPr>
                <w:rFonts w:eastAsia="Times New Roman"/>
                <w:sz w:val="16"/>
                <w:szCs w:val="16"/>
                <w:lang w:val="en-US"/>
              </w:rPr>
            </w:pPr>
          </w:p>
        </w:tc>
        <w:tc>
          <w:tcPr>
            <w:tcW w:w="298" w:type="pct"/>
            <w:shd w:val="clear" w:color="000000" w:fill="F8CBAD"/>
            <w:noWrap/>
            <w:vAlign w:val="center"/>
            <w:hideMark/>
          </w:tcPr>
          <w:p w14:paraId="7F0A51F7" w14:textId="0A1E5CAD" w:rsidR="003427F0" w:rsidRPr="00762D6B" w:rsidRDefault="003427F0" w:rsidP="00762D6B">
            <w:pPr>
              <w:jc w:val="center"/>
              <w:rPr>
                <w:rFonts w:eastAsia="Times New Roman"/>
                <w:sz w:val="16"/>
                <w:szCs w:val="16"/>
                <w:lang w:val="en-US"/>
              </w:rPr>
            </w:pPr>
          </w:p>
        </w:tc>
        <w:tc>
          <w:tcPr>
            <w:tcW w:w="265" w:type="pct"/>
            <w:shd w:val="clear" w:color="000000" w:fill="F8CBAD"/>
            <w:noWrap/>
            <w:vAlign w:val="center"/>
            <w:hideMark/>
          </w:tcPr>
          <w:p w14:paraId="49F76AB7" w14:textId="49D61DDB" w:rsidR="003427F0" w:rsidRPr="00762D6B" w:rsidRDefault="003427F0" w:rsidP="00762D6B">
            <w:pPr>
              <w:jc w:val="center"/>
              <w:rPr>
                <w:rFonts w:eastAsia="Times New Roman"/>
                <w:sz w:val="16"/>
                <w:szCs w:val="16"/>
                <w:lang w:val="en-US"/>
              </w:rPr>
            </w:pPr>
          </w:p>
        </w:tc>
        <w:tc>
          <w:tcPr>
            <w:tcW w:w="315" w:type="pct"/>
            <w:shd w:val="clear" w:color="000000" w:fill="F8CBAD"/>
            <w:noWrap/>
            <w:vAlign w:val="center"/>
            <w:hideMark/>
          </w:tcPr>
          <w:p w14:paraId="33C5BD3B" w14:textId="36443F90" w:rsidR="003427F0" w:rsidRPr="00762D6B" w:rsidRDefault="003427F0" w:rsidP="00762D6B">
            <w:pPr>
              <w:jc w:val="center"/>
              <w:rPr>
                <w:rFonts w:eastAsia="Times New Roman"/>
                <w:sz w:val="16"/>
                <w:szCs w:val="16"/>
                <w:lang w:val="en-US"/>
              </w:rPr>
            </w:pPr>
          </w:p>
        </w:tc>
        <w:tc>
          <w:tcPr>
            <w:tcW w:w="320" w:type="pct"/>
            <w:shd w:val="clear" w:color="000000" w:fill="F8CBAD"/>
            <w:noWrap/>
            <w:vAlign w:val="center"/>
            <w:hideMark/>
          </w:tcPr>
          <w:p w14:paraId="43F9569A" w14:textId="664C37E0" w:rsidR="003427F0" w:rsidRPr="00762D6B" w:rsidRDefault="003427F0" w:rsidP="00762D6B">
            <w:pPr>
              <w:jc w:val="center"/>
              <w:rPr>
                <w:rFonts w:eastAsia="Times New Roman"/>
                <w:sz w:val="16"/>
                <w:szCs w:val="16"/>
                <w:lang w:val="en-US"/>
              </w:rPr>
            </w:pPr>
            <w:r w:rsidRPr="00762D6B">
              <w:rPr>
                <w:rFonts w:eastAsia="Times New Roman"/>
                <w:sz w:val="16"/>
                <w:szCs w:val="16"/>
                <w:lang w:val="en-US"/>
              </w:rPr>
              <w:t>F</w:t>
            </w:r>
            <w:r w:rsidR="00735C3E">
              <w:rPr>
                <w:rFonts w:eastAsia="Times New Roman"/>
                <w:sz w:val="16"/>
                <w:szCs w:val="16"/>
                <w:lang w:val="en-US"/>
              </w:rPr>
              <w:t>,</w:t>
            </w:r>
            <w:r w:rsidRPr="00762D6B">
              <w:rPr>
                <w:rFonts w:eastAsia="Times New Roman"/>
                <w:sz w:val="16"/>
                <w:szCs w:val="16"/>
                <w:lang w:val="en-US"/>
              </w:rPr>
              <w:t xml:space="preserve"> E</w:t>
            </w:r>
          </w:p>
        </w:tc>
        <w:tc>
          <w:tcPr>
            <w:tcW w:w="310" w:type="pct"/>
            <w:shd w:val="clear" w:color="000000" w:fill="F8CBAD"/>
            <w:noWrap/>
            <w:vAlign w:val="center"/>
            <w:hideMark/>
          </w:tcPr>
          <w:p w14:paraId="4F7C2770" w14:textId="73474B74" w:rsidR="003427F0" w:rsidRPr="00762D6B" w:rsidRDefault="00621A50" w:rsidP="00762D6B">
            <w:pPr>
              <w:jc w:val="center"/>
              <w:rPr>
                <w:rFonts w:eastAsia="Times New Roman"/>
                <w:color w:val="000000"/>
                <w:sz w:val="16"/>
                <w:szCs w:val="16"/>
                <w:lang w:val="en-US"/>
              </w:rPr>
            </w:pPr>
            <w:r w:rsidRPr="00762D6B">
              <w:rPr>
                <w:rFonts w:eastAsia="Times New Roman"/>
                <w:color w:val="000000"/>
                <w:sz w:val="16"/>
                <w:szCs w:val="16"/>
                <w:lang w:val="en-US"/>
              </w:rPr>
              <w:t>SC,</w:t>
            </w:r>
            <w:r w:rsidR="003427F0" w:rsidRPr="00762D6B">
              <w:rPr>
                <w:rFonts w:eastAsia="Times New Roman"/>
                <w:color w:val="000000"/>
                <w:sz w:val="16"/>
                <w:szCs w:val="16"/>
                <w:lang w:val="en-US"/>
              </w:rPr>
              <w:t xml:space="preserve"> C</w:t>
            </w:r>
          </w:p>
        </w:tc>
        <w:tc>
          <w:tcPr>
            <w:tcW w:w="158" w:type="pct"/>
            <w:shd w:val="clear" w:color="000000" w:fill="F8CBAD"/>
            <w:noWrap/>
            <w:vAlign w:val="center"/>
            <w:hideMark/>
          </w:tcPr>
          <w:p w14:paraId="6901D731" w14:textId="1126A0AC" w:rsidR="003427F0" w:rsidRPr="00762D6B" w:rsidRDefault="003427F0" w:rsidP="00762D6B">
            <w:pPr>
              <w:jc w:val="center"/>
              <w:rPr>
                <w:rFonts w:eastAsia="Times New Roman"/>
                <w:color w:val="3F3F76"/>
                <w:sz w:val="16"/>
                <w:szCs w:val="16"/>
                <w:lang w:val="en-US"/>
              </w:rPr>
            </w:pPr>
          </w:p>
        </w:tc>
        <w:tc>
          <w:tcPr>
            <w:tcW w:w="132" w:type="pct"/>
            <w:shd w:val="clear" w:color="000000" w:fill="FF0000"/>
            <w:noWrap/>
            <w:vAlign w:val="center"/>
            <w:hideMark/>
          </w:tcPr>
          <w:p w14:paraId="06A95509" w14:textId="77777777" w:rsidR="003427F0" w:rsidRPr="00762D6B" w:rsidRDefault="003427F0" w:rsidP="00762D6B">
            <w:pPr>
              <w:jc w:val="center"/>
              <w:rPr>
                <w:rFonts w:eastAsia="Times New Roman"/>
                <w:color w:val="FFFFFF"/>
                <w:sz w:val="16"/>
                <w:szCs w:val="16"/>
                <w:lang w:val="en-US"/>
              </w:rPr>
            </w:pPr>
            <w:r w:rsidRPr="00762D6B">
              <w:rPr>
                <w:rFonts w:eastAsia="Times New Roman"/>
                <w:color w:val="FFFFFF"/>
                <w:sz w:val="16"/>
                <w:szCs w:val="16"/>
                <w:lang w:val="en-US"/>
              </w:rPr>
              <w:t>A</w:t>
            </w:r>
          </w:p>
        </w:tc>
        <w:tc>
          <w:tcPr>
            <w:tcW w:w="301" w:type="pct"/>
            <w:shd w:val="clear" w:color="000000" w:fill="F9787A"/>
            <w:noWrap/>
            <w:vAlign w:val="center"/>
            <w:hideMark/>
          </w:tcPr>
          <w:p w14:paraId="292FF2C4" w14:textId="77777777" w:rsidR="003427F0" w:rsidRPr="00762D6B" w:rsidRDefault="003427F0" w:rsidP="00762D6B">
            <w:pPr>
              <w:jc w:val="center"/>
              <w:rPr>
                <w:rFonts w:eastAsia="Times New Roman"/>
                <w:color w:val="000000"/>
                <w:sz w:val="16"/>
                <w:szCs w:val="16"/>
                <w:lang w:val="en-US"/>
              </w:rPr>
            </w:pPr>
            <w:r w:rsidRPr="00762D6B">
              <w:rPr>
                <w:rFonts w:eastAsia="Times New Roman"/>
                <w:color w:val="000000"/>
                <w:sz w:val="16"/>
                <w:szCs w:val="16"/>
                <w:lang w:val="en-US"/>
              </w:rPr>
              <w:t>13</w:t>
            </w:r>
          </w:p>
        </w:tc>
      </w:tr>
    </w:tbl>
    <w:p w14:paraId="39C08E8A" w14:textId="77777777" w:rsidR="005345E4" w:rsidRDefault="005345E4" w:rsidP="005345E4">
      <w:pPr>
        <w:pStyle w:val="IPPParagraphnumbering"/>
        <w:numPr>
          <w:ilvl w:val="0"/>
          <w:numId w:val="0"/>
        </w:numPr>
      </w:pPr>
    </w:p>
    <w:p w14:paraId="65DDEBCB" w14:textId="6BC5FED1" w:rsidR="005E755C" w:rsidRDefault="0017418A" w:rsidP="001C5177">
      <w:pPr>
        <w:pStyle w:val="IPPParagraphnumbering"/>
      </w:pPr>
      <w:r w:rsidRPr="0017418A">
        <w:t xml:space="preserve">Data presented </w:t>
      </w:r>
      <w:r>
        <w:t xml:space="preserve">in </w:t>
      </w:r>
      <w:r w:rsidR="004213B8">
        <w:t>T</w:t>
      </w:r>
      <w:r>
        <w:t>able</w:t>
      </w:r>
      <w:r w:rsidR="001C5177">
        <w:t> </w:t>
      </w:r>
      <w:r w:rsidR="00DD3648">
        <w:t>1</w:t>
      </w:r>
      <w:r>
        <w:t xml:space="preserve"> highlight several things. </w:t>
      </w:r>
      <w:r w:rsidR="00F53166">
        <w:t>Typically,</w:t>
      </w:r>
      <w:r>
        <w:t xml:space="preserve"> the main lag time for DP development is associated with </w:t>
      </w:r>
      <w:r w:rsidR="00DC736B">
        <w:t xml:space="preserve">the </w:t>
      </w:r>
      <w:r>
        <w:t>establishment of the DP drafting group and generation of the first draft for the DP. The long development time of some DPs may be associated with the fact that initially processes had to be established for the TPDP</w:t>
      </w:r>
      <w:r w:rsidR="00874C83">
        <w:t xml:space="preserve">, who had their first meeting in September 2004 (following the agreement of the Specification TP1 by </w:t>
      </w:r>
      <w:r w:rsidR="00CB65B4">
        <w:t xml:space="preserve">the </w:t>
      </w:r>
      <w:r w:rsidR="00874C83">
        <w:t>SC in May 2004).</w:t>
      </w:r>
    </w:p>
    <w:p w14:paraId="44035BE5" w14:textId="1321ECA2" w:rsidR="005D6EE9" w:rsidRDefault="00874C83" w:rsidP="005D6EE9">
      <w:pPr>
        <w:pStyle w:val="IPPParagraphnumbering"/>
      </w:pPr>
      <w:r>
        <w:t xml:space="preserve">An example for the continued improvement of TPDP processes is given by the development of a process for expert consultation, which was agreed in 2012. </w:t>
      </w:r>
      <w:r w:rsidR="005D6EE9">
        <w:t>The data show</w:t>
      </w:r>
      <w:r w:rsidR="00C02362">
        <w:t>s</w:t>
      </w:r>
      <w:r w:rsidR="005D6EE9">
        <w:t xml:space="preserve"> that DPs which </w:t>
      </w:r>
      <w:r w:rsidR="00C02362">
        <w:t xml:space="preserve">had </w:t>
      </w:r>
      <w:r w:rsidR="005D6EE9">
        <w:t>been considered by external experts and approved for consultation</w:t>
      </w:r>
      <w:r w:rsidR="005D6EE9" w:rsidRPr="005D6EE9">
        <w:t xml:space="preserve"> </w:t>
      </w:r>
      <w:r w:rsidR="005D6EE9">
        <w:t xml:space="preserve">by the SC are typically adopted within 1-2 years. </w:t>
      </w:r>
      <w:r w:rsidR="005E755C">
        <w:t>It was only in 2013 that the process for adoption of DPs was adjusted, and the CPM delegated the authority for adopting DPs to</w:t>
      </w:r>
      <w:r w:rsidR="00C02362">
        <w:t xml:space="preserve"> the</w:t>
      </w:r>
      <w:r w:rsidR="005E755C">
        <w:t xml:space="preserve"> SC</w:t>
      </w:r>
      <w:r w:rsidR="00B66383">
        <w:t xml:space="preserve"> on its behalf</w:t>
      </w:r>
      <w:r w:rsidR="005E755C">
        <w:t>. Also, the 45-days DP notification period (i.e. adoption period for DPs) can happen twice per year</w:t>
      </w:r>
      <w:r w:rsidR="005E755C">
        <w:rPr>
          <w:rStyle w:val="FootnoteReference"/>
        </w:rPr>
        <w:footnoteReference w:id="2"/>
      </w:r>
      <w:r w:rsidR="005E755C">
        <w:t xml:space="preserve">, and this process was </w:t>
      </w:r>
      <w:r w:rsidR="00134C62">
        <w:t xml:space="preserve">only </w:t>
      </w:r>
      <w:r w:rsidR="005E755C">
        <w:t xml:space="preserve">established in 2013. Moreover, during the years of 2015 and 2016 there were two consultation periods per each year for draft </w:t>
      </w:r>
      <w:r w:rsidR="00E07FAC">
        <w:t>DPs</w:t>
      </w:r>
      <w:r w:rsidR="005E755C">
        <w:t xml:space="preserve">. </w:t>
      </w:r>
    </w:p>
    <w:p w14:paraId="498EB1D4" w14:textId="1DB75391" w:rsidR="005D6EE9" w:rsidRDefault="00431860" w:rsidP="001C5177">
      <w:pPr>
        <w:pStyle w:val="IPPParagraphnumbering"/>
        <w:spacing w:before="240"/>
      </w:pPr>
      <w:r>
        <w:t>It should be noted that</w:t>
      </w:r>
      <w:r w:rsidR="00E07FAC">
        <w:t xml:space="preserve"> the</w:t>
      </w:r>
      <w:r>
        <w:t xml:space="preserve"> large number of DP topics were added at the same time to the </w:t>
      </w:r>
      <w:r w:rsidR="007D3DC6" w:rsidRPr="005345E4">
        <w:rPr>
          <w:i/>
        </w:rPr>
        <w:t xml:space="preserve">List of Topics </w:t>
      </w:r>
      <w:r w:rsidR="005E755C" w:rsidRPr="005345E4">
        <w:rPr>
          <w:i/>
        </w:rPr>
        <w:t>for IPPC Standards</w:t>
      </w:r>
      <w:r w:rsidR="005E755C">
        <w:t xml:space="preserve"> </w:t>
      </w:r>
      <w:r w:rsidR="007D3DC6">
        <w:t>(</w:t>
      </w:r>
      <w:r>
        <w:t>LOT</w:t>
      </w:r>
      <w:r w:rsidR="007D3DC6">
        <w:t>)</w:t>
      </w:r>
      <w:r>
        <w:t xml:space="preserve"> and these could not </w:t>
      </w:r>
      <w:r w:rsidR="002F34BC">
        <w:t xml:space="preserve">be </w:t>
      </w:r>
      <w:r>
        <w:t xml:space="preserve">easily processed in parallel, but rather in sequence according to their associated priority. </w:t>
      </w:r>
      <w:r w:rsidR="005D6EE9">
        <w:t>In some cases, external circumstances and technical issues lead to a delay in development of DPs, for example in the case of DP</w:t>
      </w:r>
      <w:r w:rsidR="001C5177">
        <w:t> </w:t>
      </w:r>
      <w:r w:rsidR="005D6EE9">
        <w:t xml:space="preserve">8, </w:t>
      </w:r>
      <w:r w:rsidR="001C5177">
        <w:t>DP </w:t>
      </w:r>
      <w:r w:rsidR="005D6EE9">
        <w:t xml:space="preserve">9, </w:t>
      </w:r>
      <w:r w:rsidR="001C5177">
        <w:t>DP </w:t>
      </w:r>
      <w:r w:rsidR="005D6EE9">
        <w:t xml:space="preserve">11, </w:t>
      </w:r>
      <w:r w:rsidR="001C5177">
        <w:t>DP </w:t>
      </w:r>
      <w:r w:rsidR="005D6EE9">
        <w:t xml:space="preserve">23 or </w:t>
      </w:r>
      <w:r w:rsidR="001C5177">
        <w:t>DP </w:t>
      </w:r>
      <w:r w:rsidR="005D6EE9">
        <w:t>29</w:t>
      </w:r>
      <w:r w:rsidR="0018063A">
        <w:t>,</w:t>
      </w:r>
      <w:r w:rsidR="005D6EE9">
        <w:t xml:space="preserve"> where new methods or taxonomic changes had been developed during the drafting period and were incorporated into the DPs. In other instances, the Secretariat and TPDP noted difficulties in establishing drafting teams with appropriate experts or changes within existing drafting </w:t>
      </w:r>
      <w:r w:rsidR="00B66383">
        <w:t>groups</w:t>
      </w:r>
      <w:r w:rsidR="005D6EE9">
        <w:t>. The latter may have resulted from the length of the process, where contact with drafters was not regularly maintained</w:t>
      </w:r>
      <w:r w:rsidR="00B66383">
        <w:t xml:space="preserve"> or just simply the lack of experts worldwide, as already outlined in several strategic discussions within the IPPC governing bodies</w:t>
      </w:r>
      <w:r w:rsidR="005D6EE9">
        <w:t>.</w:t>
      </w:r>
    </w:p>
    <w:p w14:paraId="5C1CED56" w14:textId="077C9C9D" w:rsidR="005D6EE9" w:rsidRDefault="005D6EE9" w:rsidP="00B66383">
      <w:pPr>
        <w:pStyle w:val="IPPParagraphnumbering"/>
      </w:pPr>
      <w:r>
        <w:t xml:space="preserve">In 2008, three draft DPs were approved by the SC </w:t>
      </w:r>
      <w:r w:rsidR="009A2A13">
        <w:t>for consultation</w:t>
      </w:r>
      <w:r w:rsidR="00B66383">
        <w:t xml:space="preserve"> period</w:t>
      </w:r>
      <w:r w:rsidR="009A2A13">
        <w:t>, however, due to a lack of resources in the IPPC Secretariat (to translate these lengthy documents into French and Spanish)</w:t>
      </w:r>
      <w:r w:rsidR="000A15B3">
        <w:t>,</w:t>
      </w:r>
      <w:r w:rsidR="009A2A13">
        <w:t xml:space="preserve"> these were not immediately submitted</w:t>
      </w:r>
      <w:r w:rsidR="007D3DC6" w:rsidRPr="007D3DC6">
        <w:t xml:space="preserve"> </w:t>
      </w:r>
      <w:r w:rsidR="007D3DC6">
        <w:t>for consultation</w:t>
      </w:r>
      <w:r w:rsidR="009A2A13">
        <w:t xml:space="preserve">. As a </w:t>
      </w:r>
      <w:r w:rsidR="00F53166">
        <w:t>consequence,</w:t>
      </w:r>
      <w:r w:rsidR="009A2A13">
        <w:t xml:space="preserve"> the process for DPs was revised and DPs are now presented for consultation exclusively in English</w:t>
      </w:r>
      <w:r w:rsidR="00B66383">
        <w:t xml:space="preserve">, which helped </w:t>
      </w:r>
      <w:r w:rsidR="007D2043">
        <w:t xml:space="preserve">to </w:t>
      </w:r>
      <w:r w:rsidR="00B66383">
        <w:t>speed up the process</w:t>
      </w:r>
      <w:r w:rsidR="009A2A13">
        <w:t>.</w:t>
      </w:r>
      <w:r w:rsidR="00B66383">
        <w:t xml:space="preserve"> It is important to highlight that </w:t>
      </w:r>
      <w:r w:rsidR="007D2043">
        <w:t>the CPs</w:t>
      </w:r>
      <w:r w:rsidR="00B66383">
        <w:t xml:space="preserve"> may </w:t>
      </w:r>
      <w:r w:rsidR="00B66383" w:rsidRPr="00B66383">
        <w:t>request translation of draft DPs into the FAO languages</w:t>
      </w:r>
      <w:r w:rsidR="00B66383">
        <w:t>, and</w:t>
      </w:r>
      <w:r w:rsidR="00B66383" w:rsidRPr="00B66383">
        <w:t xml:space="preserve"> the mechanism posted on the IPP should be followed</w:t>
      </w:r>
      <w:r w:rsidR="00B66383">
        <w:t xml:space="preserve"> (</w:t>
      </w:r>
      <w:hyperlink r:id="rId10" w:history="1">
        <w:r w:rsidR="00B66383" w:rsidRPr="00BE5504">
          <w:rPr>
            <w:rStyle w:val="Hyperlink"/>
          </w:rPr>
          <w:t>https://www.ippc.int/en/core-activities/standards-setting/notification-period-dps/mechanism-translate-diagnostic-protocols-languages/</w:t>
        </w:r>
      </w:hyperlink>
      <w:r w:rsidR="00B66383">
        <w:t>).</w:t>
      </w:r>
    </w:p>
    <w:p w14:paraId="264D34DC" w14:textId="6329053F" w:rsidR="009A2A13" w:rsidRDefault="009A2A13" w:rsidP="00C914C3">
      <w:pPr>
        <w:pStyle w:val="IPPParagraphnumbering"/>
      </w:pPr>
      <w:r>
        <w:t xml:space="preserve">Three DP subjects were added to the LOT in 2013 and these were developed and adopted within </w:t>
      </w:r>
      <w:r w:rsidR="00C914C3">
        <w:br/>
      </w:r>
      <w:r>
        <w:t>4-5</w:t>
      </w:r>
      <w:r w:rsidR="00C914C3">
        <w:t> </w:t>
      </w:r>
      <w:r>
        <w:t>years.</w:t>
      </w:r>
      <w:r w:rsidR="009E5388">
        <w:t xml:space="preserve"> </w:t>
      </w:r>
    </w:p>
    <w:p w14:paraId="2E011321" w14:textId="729A94A9" w:rsidR="007933CB" w:rsidRDefault="007933CB" w:rsidP="001C5177">
      <w:pPr>
        <w:pStyle w:val="IPPParagraphnumbering"/>
        <w:spacing w:before="240"/>
      </w:pPr>
      <w:r>
        <w:t xml:space="preserve">As of </w:t>
      </w:r>
      <w:r w:rsidR="00ED7CE7">
        <w:t>June 2020</w:t>
      </w:r>
      <w:r>
        <w:t>, there are 1</w:t>
      </w:r>
      <w:r w:rsidR="00ED7CE7">
        <w:t>9</w:t>
      </w:r>
      <w:r>
        <w:t xml:space="preserve"> subjects in the TPDP work programme, four of which had been added to the work programme more than 10</w:t>
      </w:r>
      <w:r w:rsidR="001C5177">
        <w:t> </w:t>
      </w:r>
      <w:r>
        <w:t>years ago.</w:t>
      </w:r>
    </w:p>
    <w:p w14:paraId="7A47B3A6" w14:textId="1CDF3624" w:rsidR="007933CB" w:rsidRDefault="007933CB" w:rsidP="00DD3648">
      <w:pPr>
        <w:pStyle w:val="IPPBullet1"/>
      </w:pPr>
      <w:r>
        <w:t xml:space="preserve">2004-010 </w:t>
      </w:r>
      <w:r w:rsidRPr="00010DE2">
        <w:rPr>
          <w:i/>
        </w:rPr>
        <w:t>Candidatus</w:t>
      </w:r>
      <w:r>
        <w:t xml:space="preserve"> Liberibacter on </w:t>
      </w:r>
      <w:r w:rsidRPr="001A377E">
        <w:rPr>
          <w:i/>
          <w:iCs/>
        </w:rPr>
        <w:t>Citrus</w:t>
      </w:r>
      <w:r>
        <w:t xml:space="preserve"> spp. </w:t>
      </w:r>
      <w:r w:rsidR="00F53166">
        <w:t xml:space="preserve">– </w:t>
      </w:r>
      <w:r>
        <w:t>added in 2004; in drafting stage</w:t>
      </w:r>
      <w:r w:rsidR="00EB5502">
        <w:t>;</w:t>
      </w:r>
    </w:p>
    <w:p w14:paraId="2BC3DF44" w14:textId="010DF07E" w:rsidR="007933CB" w:rsidRDefault="007933CB" w:rsidP="00DD3648">
      <w:pPr>
        <w:pStyle w:val="IPPBullet1"/>
      </w:pPr>
      <w:r>
        <w:t xml:space="preserve">2006-023 </w:t>
      </w:r>
      <w:r w:rsidRPr="00010DE2">
        <w:rPr>
          <w:i/>
        </w:rPr>
        <w:t>Begomovirus</w:t>
      </w:r>
      <w:r>
        <w:t xml:space="preserve"> trasminited by </w:t>
      </w:r>
      <w:r w:rsidRPr="00010DE2">
        <w:rPr>
          <w:i/>
        </w:rPr>
        <w:t xml:space="preserve">Bemisi tabaci </w:t>
      </w:r>
      <w:r>
        <w:t>– added in 2006; in drafting stage</w:t>
      </w:r>
      <w:r w:rsidR="00EB5502">
        <w:t>;</w:t>
      </w:r>
    </w:p>
    <w:p w14:paraId="14590634" w14:textId="15173A91" w:rsidR="007933CB" w:rsidRDefault="007933CB" w:rsidP="00DD3648">
      <w:pPr>
        <w:pStyle w:val="IPPBullet1"/>
      </w:pPr>
      <w:r>
        <w:t>2006-028 Tephritidae (immature stages of economic importance) – added in 2006; status pending development of molecular methods</w:t>
      </w:r>
      <w:r w:rsidR="00EB5502">
        <w:t>;</w:t>
      </w:r>
    </w:p>
    <w:p w14:paraId="364FABD8" w14:textId="415087F5" w:rsidR="007933CB" w:rsidRPr="00931082" w:rsidRDefault="007933CB" w:rsidP="007D3DC6">
      <w:pPr>
        <w:pStyle w:val="IPPBullet1Last"/>
      </w:pPr>
      <w:r>
        <w:t xml:space="preserve">2008-009 </w:t>
      </w:r>
      <w:r w:rsidRPr="00010DE2">
        <w:rPr>
          <w:i/>
        </w:rPr>
        <w:t>Striga</w:t>
      </w:r>
      <w:r>
        <w:t xml:space="preserve"> spp. – added in 2008: consultation period in 2019</w:t>
      </w:r>
      <w:r w:rsidR="00CC38D9">
        <w:t>, Notification Period 2020/2021</w:t>
      </w:r>
    </w:p>
    <w:p w14:paraId="3787BF4B" w14:textId="1FFB420E" w:rsidR="009A2A13" w:rsidRPr="0017418A" w:rsidRDefault="009A2A13" w:rsidP="005D6EE9">
      <w:pPr>
        <w:pStyle w:val="IPPParagraphnumbering"/>
      </w:pPr>
      <w:r>
        <w:t>The above analysis suggests that the main criteria for ensuring a rapid process are read</w:t>
      </w:r>
      <w:r w:rsidR="00134C62">
        <w:t>ily</w:t>
      </w:r>
      <w:r>
        <w:t xml:space="preserve"> </w:t>
      </w:r>
      <w:r w:rsidR="00C914C3">
        <w:t>available</w:t>
      </w:r>
      <w:r>
        <w:t xml:space="preserve"> existing protocols, the identification of an active lead author, who drafts the DP within a relatively short time frame and with the assistance of the TPDP discipline lead and other relevant experts. </w:t>
      </w:r>
    </w:p>
    <w:p w14:paraId="621EDEA3" w14:textId="55631399" w:rsidR="00167D03" w:rsidRPr="007933CB" w:rsidRDefault="00C006A3" w:rsidP="00167D03">
      <w:pPr>
        <w:pStyle w:val="IPPParagraphnumbering"/>
        <w:numPr>
          <w:ilvl w:val="0"/>
          <w:numId w:val="0"/>
        </w:numPr>
        <w:rPr>
          <w:b/>
        </w:rPr>
      </w:pPr>
      <w:r>
        <w:rPr>
          <w:b/>
          <w:lang w:val="en-GB"/>
        </w:rPr>
        <w:t xml:space="preserve">2.1.1 </w:t>
      </w:r>
      <w:r w:rsidR="009E5388">
        <w:rPr>
          <w:b/>
          <w:lang w:val="en-GB"/>
        </w:rPr>
        <w:t>Current Standard Setting Process for DPs</w:t>
      </w:r>
    </w:p>
    <w:p w14:paraId="03878F61" w14:textId="64B40598" w:rsidR="00ED7265" w:rsidRPr="00ED7265" w:rsidRDefault="00DD3648" w:rsidP="00ED7265">
      <w:pPr>
        <w:pStyle w:val="IPPParagraphnumbering"/>
      </w:pPr>
      <w:r>
        <w:t>T</w:t>
      </w:r>
      <w:r w:rsidR="00D10678">
        <w:t>he development of DPs follows a special process as outlined in the flowchart in Figure </w:t>
      </w:r>
      <w:r w:rsidR="00107E43">
        <w:t>3</w:t>
      </w:r>
      <w:r w:rsidR="00D10678">
        <w:t>, which could allow the development of DPs within two years after approval of a new topic.</w:t>
      </w:r>
    </w:p>
    <w:p w14:paraId="5C8537E3" w14:textId="15565A38" w:rsidR="00D10678" w:rsidRDefault="00D10678" w:rsidP="005345E4">
      <w:pPr>
        <w:pStyle w:val="IPPNormal"/>
        <w:jc w:val="center"/>
      </w:pPr>
      <w:r>
        <w:rPr>
          <w:noProof/>
          <w:lang w:val="en-US"/>
        </w:rPr>
        <w:drawing>
          <wp:inline distT="0" distB="0" distL="0" distR="0" wp14:anchorId="5A0A5316" wp14:editId="7D686D39">
            <wp:extent cx="5715000" cy="2372281"/>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2542" cy="2387865"/>
                    </a:xfrm>
                    <a:prstGeom prst="rect">
                      <a:avLst/>
                    </a:prstGeom>
                    <a:noFill/>
                    <a:ln>
                      <a:noFill/>
                    </a:ln>
                  </pic:spPr>
                </pic:pic>
              </a:graphicData>
            </a:graphic>
          </wp:inline>
        </w:drawing>
      </w:r>
    </w:p>
    <w:p w14:paraId="0CA1B40C" w14:textId="76BDA549" w:rsidR="00F3275B" w:rsidRDefault="00D10678" w:rsidP="00F3275B">
      <w:pPr>
        <w:pStyle w:val="IPPArial"/>
        <w:jc w:val="center"/>
      </w:pPr>
      <w:r w:rsidRPr="00DD3648">
        <w:rPr>
          <w:b/>
        </w:rPr>
        <w:t xml:space="preserve">Figure </w:t>
      </w:r>
      <w:r w:rsidR="00F3275B">
        <w:rPr>
          <w:b/>
        </w:rPr>
        <w:t>3</w:t>
      </w:r>
      <w:r w:rsidRPr="00DD3648">
        <w:rPr>
          <w:b/>
        </w:rPr>
        <w:t>:</w:t>
      </w:r>
      <w:r w:rsidRPr="00DD3648">
        <w:t xml:space="preserve"> Flowchart outlining the special </w:t>
      </w:r>
      <w:r w:rsidR="002161A7">
        <w:t>S</w:t>
      </w:r>
      <w:r w:rsidR="002161A7" w:rsidRPr="00DD3648">
        <w:t xml:space="preserve">tandard </w:t>
      </w:r>
      <w:r w:rsidR="002161A7">
        <w:t>S</w:t>
      </w:r>
      <w:r w:rsidR="002161A7" w:rsidRPr="00DD3648">
        <w:t xml:space="preserve">etting </w:t>
      </w:r>
      <w:r w:rsidR="002161A7">
        <w:t>P</w:t>
      </w:r>
      <w:r w:rsidR="002161A7" w:rsidRPr="00DD3648">
        <w:t xml:space="preserve">rocess </w:t>
      </w:r>
      <w:r w:rsidRPr="00DD3648">
        <w:t>for DPs.</w:t>
      </w:r>
    </w:p>
    <w:p w14:paraId="2D9B7244" w14:textId="77777777" w:rsidR="00F3275B" w:rsidRPr="009F792F" w:rsidRDefault="00F3275B" w:rsidP="009F792F">
      <w:pPr>
        <w:pStyle w:val="IPPArial"/>
        <w:jc w:val="center"/>
      </w:pPr>
    </w:p>
    <w:p w14:paraId="7ABB9B73" w14:textId="15CF65C5" w:rsidR="006D2D69" w:rsidRDefault="00D10678" w:rsidP="006D2D69">
      <w:pPr>
        <w:pStyle w:val="IPPParagraphnumbering"/>
      </w:pPr>
      <w:r>
        <w:t>T</w:t>
      </w:r>
      <w:r w:rsidR="006D2D69">
        <w:t xml:space="preserve">he special process </w:t>
      </w:r>
      <w:r>
        <w:t>for DPs includes</w:t>
      </w:r>
      <w:r w:rsidR="008C4618">
        <w:t xml:space="preserve">: </w:t>
      </w:r>
    </w:p>
    <w:p w14:paraId="0DC3FE13" w14:textId="7A5792C1" w:rsidR="006D2D69" w:rsidRDefault="006D2D69" w:rsidP="00D10678">
      <w:pPr>
        <w:pStyle w:val="IPPBullet1"/>
      </w:pPr>
      <w:r>
        <w:t>There is no Specification document for individual DPs</w:t>
      </w:r>
      <w:r w:rsidR="009558B2">
        <w:t>;</w:t>
      </w:r>
    </w:p>
    <w:p w14:paraId="61485B9B" w14:textId="03131979" w:rsidR="006D2D69" w:rsidRDefault="006D2D69" w:rsidP="001C5177">
      <w:pPr>
        <w:pStyle w:val="IPPBullet1"/>
      </w:pPr>
      <w:r>
        <w:t>The SC makes its approval for consultation period or for adoption via electronic means (i.e.</w:t>
      </w:r>
      <w:r w:rsidR="001C5177">
        <w:t> </w:t>
      </w:r>
      <w:r>
        <w:t>the timeframe is not tied to</w:t>
      </w:r>
      <w:r w:rsidR="00134C62">
        <w:t xml:space="preserve"> the</w:t>
      </w:r>
      <w:r>
        <w:t xml:space="preserve"> SC meetings calendar)</w:t>
      </w:r>
      <w:r w:rsidR="009558B2">
        <w:t>;</w:t>
      </w:r>
    </w:p>
    <w:p w14:paraId="4E3AA22D" w14:textId="0EC4D84E" w:rsidR="006D2D69" w:rsidRDefault="006B6F45" w:rsidP="00D10678">
      <w:pPr>
        <w:pStyle w:val="IPPBullet1"/>
      </w:pPr>
      <w:r>
        <w:t xml:space="preserve">DPs usually </w:t>
      </w:r>
      <w:r w:rsidR="009E5388">
        <w:t>under</w:t>
      </w:r>
      <w:r>
        <w:t xml:space="preserve">go </w:t>
      </w:r>
      <w:r w:rsidR="009E5388">
        <w:t>only</w:t>
      </w:r>
      <w:r>
        <w:t xml:space="preserve"> one round of consultation (if more is needed, the SC can decide)</w:t>
      </w:r>
      <w:r w:rsidR="009558B2">
        <w:t>;</w:t>
      </w:r>
    </w:p>
    <w:p w14:paraId="476909F7" w14:textId="24C58E7E" w:rsidR="006B6F45" w:rsidRPr="006B6F45" w:rsidRDefault="006B6F45" w:rsidP="00D10678">
      <w:pPr>
        <w:pStyle w:val="IPPBullet1"/>
      </w:pPr>
      <w:r>
        <w:t xml:space="preserve">In 2015 and 2016, there were two consultation periods per year for draft DPs (February and July), which helped to speed up the process. </w:t>
      </w:r>
      <w:r w:rsidR="00134C62">
        <w:t>S</w:t>
      </w:r>
      <w:r>
        <w:t xml:space="preserve">pecial information </w:t>
      </w:r>
      <w:r w:rsidR="00134C62">
        <w:t xml:space="preserve">was </w:t>
      </w:r>
      <w:r w:rsidR="0067226B">
        <w:t xml:space="preserve">given </w:t>
      </w:r>
      <w:r>
        <w:t>to the CPM by the Secretariat, as resources were available for this</w:t>
      </w:r>
      <w:r w:rsidR="009558B2">
        <w:t>;</w:t>
      </w:r>
    </w:p>
    <w:p w14:paraId="0906229E" w14:textId="2CA27196" w:rsidR="006D2D69" w:rsidRDefault="00910F63" w:rsidP="00D10678">
      <w:pPr>
        <w:pStyle w:val="IPPBullet1"/>
      </w:pPr>
      <w:r w:rsidRPr="0098116B">
        <w:t>The CPM has delegated its authority to the SC to adopt DPs on its behalf. The notification period for approved DPs is twice a year on defined dates</w:t>
      </w:r>
      <w:r>
        <w:t xml:space="preserve"> </w:t>
      </w:r>
      <w:r w:rsidR="006B6F45">
        <w:t>(January and July</w:t>
      </w:r>
      <w:r w:rsidR="00C71A44">
        <w:t>);</w:t>
      </w:r>
    </w:p>
    <w:p w14:paraId="1889B887" w14:textId="6EEC46A7" w:rsidR="006B6F45" w:rsidRDefault="006B6F45" w:rsidP="007D3DC6">
      <w:pPr>
        <w:pStyle w:val="IPPBullet1Last"/>
      </w:pPr>
      <w:r w:rsidRPr="00A434C2">
        <w:t>When a technical revision</w:t>
      </w:r>
      <w:r w:rsidRPr="009F792F">
        <w:rPr>
          <w:rStyle w:val="IPPFootnoteRedChar"/>
          <w:rFonts w:eastAsia="Times"/>
          <w:b w:val="0"/>
          <w:bCs w:val="0"/>
          <w:color w:val="auto"/>
        </w:rPr>
        <w:footnoteReference w:id="3"/>
      </w:r>
      <w:r w:rsidRPr="00653E0E">
        <w:t xml:space="preserve"> </w:t>
      </w:r>
      <w:r w:rsidRPr="00A434C2">
        <w:t>is required for an adopted DP, the SC can adopt the updates to adopted DPs via electronic means. The revised DPs shall be made publicly available as soon as the SC adopts them. DPs revised through this process are noted by the CPM and attached to the report of the CPM meeting.</w:t>
      </w:r>
    </w:p>
    <w:p w14:paraId="006B1A91" w14:textId="726B2109" w:rsidR="00910F63" w:rsidRDefault="00910F63" w:rsidP="00910F63">
      <w:pPr>
        <w:pStyle w:val="IPPParagraphnumbering"/>
      </w:pPr>
      <w:r>
        <w:t>The defined criteria for DP revision (SC May 2013</w:t>
      </w:r>
      <w:r w:rsidRPr="009F792F">
        <w:rPr>
          <w:rStyle w:val="IPPFootnoteRedChar"/>
          <w:rFonts w:eastAsia="Times"/>
          <w:b w:val="0"/>
          <w:bCs w:val="0"/>
          <w:color w:val="auto"/>
        </w:rPr>
        <w:footnoteReference w:id="4"/>
      </w:r>
      <w:r>
        <w:t xml:space="preserve">) as a technical revision that should be done by the TPDP </w:t>
      </w:r>
      <w:r w:rsidR="00D10678">
        <w:t xml:space="preserve">are </w:t>
      </w:r>
      <w:r>
        <w:t>as follow:</w:t>
      </w:r>
    </w:p>
    <w:p w14:paraId="27E6D690" w14:textId="35B1C08B" w:rsidR="00910F63" w:rsidRPr="000B41BE" w:rsidRDefault="00910F63">
      <w:pPr>
        <w:pStyle w:val="IPPBullet1"/>
      </w:pPr>
      <w:r w:rsidRPr="000B41BE">
        <w:t>Editorials</w:t>
      </w:r>
      <w:r w:rsidR="00E16778" w:rsidRPr="000B41BE">
        <w:t>;</w:t>
      </w:r>
    </w:p>
    <w:p w14:paraId="5DC21A65" w14:textId="7F346737" w:rsidR="00910F63" w:rsidRPr="000B41BE" w:rsidRDefault="00910F63">
      <w:pPr>
        <w:pStyle w:val="IPPBullet1"/>
      </w:pPr>
      <w:r w:rsidRPr="000B41BE">
        <w:t>Taxonomic changes that do not affect the identification of the pest (and do not change the diagnosis)</w:t>
      </w:r>
      <w:r w:rsidR="00E16778" w:rsidRPr="000B41BE">
        <w:t>;</w:t>
      </w:r>
    </w:p>
    <w:p w14:paraId="7A7B6FFD" w14:textId="18689734" w:rsidR="00910F63" w:rsidRPr="000B41BE" w:rsidRDefault="00910F63">
      <w:pPr>
        <w:pStyle w:val="IPPBullet1"/>
      </w:pPr>
      <w:r w:rsidRPr="000B41BE">
        <w:t>Addition of validation data relating to the methods already on the DP</w:t>
      </w:r>
      <w:r w:rsidR="00E16778" w:rsidRPr="000B41BE">
        <w:t>;</w:t>
      </w:r>
    </w:p>
    <w:p w14:paraId="6C843697" w14:textId="49F82EFF" w:rsidR="00910F63" w:rsidRPr="000B41BE" w:rsidRDefault="00910F63" w:rsidP="007904DA">
      <w:pPr>
        <w:pStyle w:val="IPPBullet1"/>
      </w:pPr>
      <w:r w:rsidRPr="000B41BE">
        <w:t>Improved specification of method, e.g.</w:t>
      </w:r>
      <w:r w:rsidR="007904DA">
        <w:t> </w:t>
      </w:r>
      <w:r w:rsidRPr="000B41BE">
        <w:t>additional descriptors such as amount of DNA</w:t>
      </w:r>
      <w:r w:rsidR="00E16778" w:rsidRPr="000B41BE">
        <w:t>;</w:t>
      </w:r>
    </w:p>
    <w:p w14:paraId="272F3E76" w14:textId="07F9AFE4" w:rsidR="00910F63" w:rsidRPr="000B41BE" w:rsidRDefault="00910F63">
      <w:pPr>
        <w:pStyle w:val="IPPBullet1"/>
      </w:pPr>
      <w:r w:rsidRPr="000B41BE">
        <w:t>Pest information</w:t>
      </w:r>
      <w:r w:rsidR="00E16778" w:rsidRPr="000B41BE">
        <w:t>;</w:t>
      </w:r>
    </w:p>
    <w:p w14:paraId="5A7BF53B" w14:textId="10DD7AE6" w:rsidR="00910F63" w:rsidRPr="000B41BE" w:rsidRDefault="00910F63">
      <w:pPr>
        <w:pStyle w:val="IPPBullet1"/>
      </w:pPr>
      <w:r w:rsidRPr="000B41BE">
        <w:t>New information on distribution of official notification</w:t>
      </w:r>
      <w:r w:rsidR="00E16778" w:rsidRPr="000B41BE">
        <w:t>;</w:t>
      </w:r>
    </w:p>
    <w:p w14:paraId="607BB365" w14:textId="77777777" w:rsidR="00910F63" w:rsidRPr="00610AEE" w:rsidRDefault="00910F63" w:rsidP="00910F63">
      <w:pPr>
        <w:pStyle w:val="IPPBullet1Last"/>
      </w:pPr>
      <w:r w:rsidRPr="00610AEE">
        <w:rPr>
          <w:lang w:val="en-US"/>
        </w:rPr>
        <w:t xml:space="preserve">New host that may help the diagnosis reported in an official notification and does not affect the diagnosis. </w:t>
      </w:r>
    </w:p>
    <w:p w14:paraId="049E172A" w14:textId="7477BDFC" w:rsidR="00910F63" w:rsidRPr="00910F63" w:rsidRDefault="00910F63" w:rsidP="007904DA">
      <w:pPr>
        <w:pStyle w:val="IPPParagraphnumbering"/>
      </w:pPr>
      <w:r w:rsidRPr="00910F63">
        <w:t>Other revisions different from the above, would need to be subject to the normal DP adoption process (i.e.</w:t>
      </w:r>
      <w:r w:rsidR="007904DA">
        <w:t> </w:t>
      </w:r>
      <w:r w:rsidRPr="00910F63">
        <w:t>consultations, redrafting, SC approval, notification period, SC adoption).</w:t>
      </w:r>
      <w:r w:rsidR="00D10678">
        <w:t xml:space="preserve"> This process was followed for the revision of DP</w:t>
      </w:r>
      <w:r w:rsidR="007904DA">
        <w:t> </w:t>
      </w:r>
      <w:r w:rsidR="00D10678">
        <w:t xml:space="preserve">2: </w:t>
      </w:r>
      <w:r w:rsidR="00D10678" w:rsidRPr="00D10678">
        <w:rPr>
          <w:i/>
        </w:rPr>
        <w:t>Plum pox virus</w:t>
      </w:r>
      <w:r w:rsidR="00D10678">
        <w:t>, the process of which was finalized within 2 years</w:t>
      </w:r>
      <w:r w:rsidR="00456B09">
        <w:t xml:space="preserve"> (see Figure</w:t>
      </w:r>
      <w:r w:rsidR="007904DA">
        <w:t> </w:t>
      </w:r>
      <w:r w:rsidR="00456B09">
        <w:t>1)</w:t>
      </w:r>
      <w:r w:rsidR="00D10678">
        <w:t>.</w:t>
      </w:r>
    </w:p>
    <w:p w14:paraId="18D6531F" w14:textId="6000AF6C" w:rsidR="00D10678" w:rsidRDefault="00C006A3" w:rsidP="00DC5381">
      <w:pPr>
        <w:pStyle w:val="IPPHeading1"/>
      </w:pPr>
      <w:r>
        <w:t xml:space="preserve">2.2 </w:t>
      </w:r>
      <w:r w:rsidR="00D10678">
        <w:t>TPDP discussion</w:t>
      </w:r>
    </w:p>
    <w:p w14:paraId="5C742BA3" w14:textId="30C06E66" w:rsidR="00653E0E" w:rsidRDefault="00D10678" w:rsidP="007904DA">
      <w:pPr>
        <w:pStyle w:val="IPPParagraphnumbering"/>
      </w:pPr>
      <w:r w:rsidRPr="00D10678">
        <w:t xml:space="preserve">During </w:t>
      </w:r>
      <w:r w:rsidR="004817D8" w:rsidRPr="00D10678">
        <w:t xml:space="preserve">the TPDP </w:t>
      </w:r>
      <w:r w:rsidRPr="00D10678">
        <w:t>meeting</w:t>
      </w:r>
      <w:r w:rsidR="004817D8">
        <w:t xml:space="preserve"> in</w:t>
      </w:r>
      <w:r w:rsidRPr="00D10678">
        <w:t xml:space="preserve"> </w:t>
      </w:r>
      <w:r w:rsidR="004817D8" w:rsidRPr="00D10678">
        <w:t>August</w:t>
      </w:r>
      <w:r w:rsidR="007904DA">
        <w:t> </w:t>
      </w:r>
      <w:r w:rsidR="004817D8" w:rsidRPr="00D10678">
        <w:t>2019</w:t>
      </w:r>
      <w:r w:rsidR="004817D8">
        <w:t>, the panel</w:t>
      </w:r>
      <w:r w:rsidR="004817D8" w:rsidRPr="00D10678">
        <w:t xml:space="preserve"> </w:t>
      </w:r>
      <w:r w:rsidRPr="00D10678">
        <w:t>discussed</w:t>
      </w:r>
      <w:r>
        <w:t xml:space="preserve"> p</w:t>
      </w:r>
      <w:r w:rsidRPr="00AC1406">
        <w:t xml:space="preserve">ossible ways to shorten the length of time to develop </w:t>
      </w:r>
      <w:r w:rsidR="004817D8">
        <w:t>DPs</w:t>
      </w:r>
      <w:r w:rsidRPr="00AC1406">
        <w:t>, particularly in the case of emerging pests</w:t>
      </w:r>
      <w:r>
        <w:t>. S</w:t>
      </w:r>
      <w:r w:rsidR="00653E0E">
        <w:t xml:space="preserve">ome questions </w:t>
      </w:r>
      <w:r>
        <w:t>addressed by the TPDP</w:t>
      </w:r>
      <w:r w:rsidR="00653E0E">
        <w:t xml:space="preserve"> </w:t>
      </w:r>
      <w:r>
        <w:t>included</w:t>
      </w:r>
      <w:r w:rsidR="00653E0E">
        <w:t>:</w:t>
      </w:r>
    </w:p>
    <w:p w14:paraId="18E80161" w14:textId="234C7118" w:rsidR="00653E0E" w:rsidRDefault="00653E0E" w:rsidP="009F792F">
      <w:pPr>
        <w:pStyle w:val="IPPNumberedList"/>
      </w:pPr>
      <w:r>
        <w:t xml:space="preserve">Is it conceivable to set up a process in order to provide the most relevant DP in order to help a country face emergency situation following occurrence of an emerging pest? </w:t>
      </w:r>
    </w:p>
    <w:p w14:paraId="1789960C" w14:textId="5A4E4083" w:rsidR="00653E0E" w:rsidRDefault="00653E0E" w:rsidP="009F792F">
      <w:pPr>
        <w:pStyle w:val="IPPNumberedList"/>
      </w:pPr>
      <w:r>
        <w:t xml:space="preserve">Would it be useful to set up a second consultation period per year to </w:t>
      </w:r>
      <w:r w:rsidR="00D10678">
        <w:t>speed up</w:t>
      </w:r>
      <w:r>
        <w:t xml:space="preserve"> the process? </w:t>
      </w:r>
    </w:p>
    <w:p w14:paraId="144DF97E" w14:textId="759D6DE9" w:rsidR="00653E0E" w:rsidRDefault="00653E0E" w:rsidP="009F792F">
      <w:pPr>
        <w:pStyle w:val="IPPNumberedListLast"/>
      </w:pPr>
      <w:r>
        <w:t xml:space="preserve">Is it possible to improve the way </w:t>
      </w:r>
      <w:r w:rsidR="00A96AAD">
        <w:t>potential</w:t>
      </w:r>
      <w:r>
        <w:t xml:space="preserve"> difficulties during the drafting stage</w:t>
      </w:r>
      <w:r w:rsidR="00D10678">
        <w:t xml:space="preserve"> are addressed</w:t>
      </w:r>
      <w:r>
        <w:t xml:space="preserve">, </w:t>
      </w:r>
      <w:r w:rsidR="00D10678">
        <w:t>including</w:t>
      </w:r>
      <w:r>
        <w:t xml:space="preserve"> communication amongst the experts, the TPDP members and the Secretariat?</w:t>
      </w:r>
    </w:p>
    <w:p w14:paraId="3012ED2E" w14:textId="627E48EF" w:rsidR="00E7485D" w:rsidRDefault="00456B09" w:rsidP="007D3DC6">
      <w:pPr>
        <w:pStyle w:val="IPPParagraphnumbering"/>
      </w:pPr>
      <w:r>
        <w:t xml:space="preserve">The TPDP considered that it would be difficult to speed up development of DPs for </w:t>
      </w:r>
      <w:r w:rsidR="001A6979" w:rsidRPr="00456B09">
        <w:t>emerging and fast spreading pests</w:t>
      </w:r>
      <w:r w:rsidR="001A6979">
        <w:t xml:space="preserve"> </w:t>
      </w:r>
      <w:r>
        <w:t xml:space="preserve">as they would have to </w:t>
      </w:r>
      <w:r w:rsidR="001A6979">
        <w:t xml:space="preserve">be developed according to the </w:t>
      </w:r>
      <w:r w:rsidR="002161A7">
        <w:t>Standard Setting Process (SSP)</w:t>
      </w:r>
      <w:r w:rsidR="001A6979">
        <w:t xml:space="preserve">. </w:t>
      </w:r>
      <w:r w:rsidR="00E7485D">
        <w:t xml:space="preserve">The rationale of “quality x transparency x inclusiveness” requires time. </w:t>
      </w:r>
    </w:p>
    <w:p w14:paraId="4ED97A6B" w14:textId="664D29C4" w:rsidR="001A6979" w:rsidRDefault="00D175D8" w:rsidP="00E7485D">
      <w:pPr>
        <w:pStyle w:val="IPPParagraphnumbering"/>
      </w:pPr>
      <w:r>
        <w:t xml:space="preserve">One participant suggested that voluntary contributions by </w:t>
      </w:r>
      <w:r w:rsidR="00552340">
        <w:t>the CPs</w:t>
      </w:r>
      <w:r w:rsidR="00B66383">
        <w:t xml:space="preserve"> </w:t>
      </w:r>
      <w:r>
        <w:t xml:space="preserve">could be considered to speed up the process of drafting a DP for emerging pests, noting however that these may not be considered international standards if they do not follow the IPPC process. </w:t>
      </w:r>
      <w:r w:rsidR="00456B09">
        <w:t>The</w:t>
      </w:r>
      <w:r>
        <w:t xml:space="preserve"> TPDP </w:t>
      </w:r>
      <w:r w:rsidR="00456B09">
        <w:t>suggested that i</w:t>
      </w:r>
      <w:r w:rsidR="001A6979">
        <w:t xml:space="preserve">n </w:t>
      </w:r>
      <w:r w:rsidR="00456B09">
        <w:t>such</w:t>
      </w:r>
      <w:r w:rsidR="001A6979">
        <w:t xml:space="preserve"> situation</w:t>
      </w:r>
      <w:r w:rsidR="00456B09">
        <w:t>s</w:t>
      </w:r>
      <w:r w:rsidR="001A6979">
        <w:t xml:space="preserve"> </w:t>
      </w:r>
      <w:r w:rsidR="00456B09" w:rsidRPr="001A6979">
        <w:t xml:space="preserve">it could be </w:t>
      </w:r>
      <w:r w:rsidR="00456B09">
        <w:t>useful</w:t>
      </w:r>
      <w:r w:rsidR="00456B09" w:rsidRPr="001A6979">
        <w:t xml:space="preserve"> to make available to the CPs information on </w:t>
      </w:r>
      <w:r w:rsidR="00456B09">
        <w:t>existing diagnostic methods</w:t>
      </w:r>
      <w:r w:rsidR="00456B09" w:rsidRPr="001A6979">
        <w:t xml:space="preserve"> </w:t>
      </w:r>
      <w:r w:rsidR="00456B09">
        <w:t>available</w:t>
      </w:r>
      <w:r w:rsidR="00456B09" w:rsidRPr="001A6979">
        <w:t xml:space="preserve"> from NPPOs, RPPOs or other bodies</w:t>
      </w:r>
      <w:r w:rsidR="00456B09">
        <w:t xml:space="preserve">, noting however that gathering the relevant information </w:t>
      </w:r>
      <w:r w:rsidR="00456B09" w:rsidRPr="001A6979">
        <w:t xml:space="preserve">would require a strong international network and </w:t>
      </w:r>
      <w:r w:rsidR="00456B09">
        <w:t xml:space="preserve">additional resources </w:t>
      </w:r>
      <w:r w:rsidR="00456B09" w:rsidRPr="001A6979">
        <w:t xml:space="preserve">allocated to the IPPC </w:t>
      </w:r>
      <w:r w:rsidR="00456B09" w:rsidRPr="005E6AA6">
        <w:t>Secretariat</w:t>
      </w:r>
      <w:r w:rsidR="005E6AA6" w:rsidRPr="005E6AA6">
        <w:t xml:space="preserve"> </w:t>
      </w:r>
      <w:r w:rsidR="005E6AA6" w:rsidRPr="00E7485D">
        <w:rPr>
          <w:rFonts w:eastAsia="Calibri"/>
        </w:rPr>
        <w:t>to process and coordinate such activities</w:t>
      </w:r>
      <w:r w:rsidR="00456B09">
        <w:t>.</w:t>
      </w:r>
      <w:r w:rsidR="009B1D59">
        <w:t xml:space="preserve"> </w:t>
      </w:r>
      <w:r w:rsidR="00A801E2">
        <w:t>In addition</w:t>
      </w:r>
      <w:r w:rsidR="001A6979">
        <w:t xml:space="preserve">, the TPDP noted that </w:t>
      </w:r>
      <w:r w:rsidR="00A801E2">
        <w:t xml:space="preserve">new subjects for DPs can be proposed by </w:t>
      </w:r>
      <w:r w:rsidR="001A6979">
        <w:t>the CPM, SC, and the TPDP</w:t>
      </w:r>
      <w:r w:rsidR="00A801E2">
        <w:t xml:space="preserve"> and suggested that </w:t>
      </w:r>
      <w:r w:rsidR="001A6979">
        <w:t xml:space="preserve">good communication amongst these bodies would be particularly important in </w:t>
      </w:r>
      <w:r w:rsidR="00A801E2">
        <w:t>response to emerging issues</w:t>
      </w:r>
      <w:r w:rsidR="001A6979">
        <w:t>.</w:t>
      </w:r>
      <w:r w:rsidR="00E7485D">
        <w:t xml:space="preserve"> Discussion around the development agenda on “</w:t>
      </w:r>
      <w:r w:rsidR="00E7485D" w:rsidRPr="00E7485D">
        <w:t>Diagnostic laboratory networking</w:t>
      </w:r>
      <w:r w:rsidR="00E7485D">
        <w:t>” in the IPPC Strategic Framework 2020-2030 were further made, and the full discussions and recommendations by the TPDP will be presented to the SC</w:t>
      </w:r>
      <w:r w:rsidR="0067226B">
        <w:t>.</w:t>
      </w:r>
      <w:r w:rsidR="00E7485D">
        <w:t xml:space="preserve"> </w:t>
      </w:r>
    </w:p>
    <w:p w14:paraId="6415D9D2" w14:textId="22EE2D0B" w:rsidR="00D175D8" w:rsidRDefault="001A6979" w:rsidP="00A801E2">
      <w:pPr>
        <w:pStyle w:val="IPPParagraphnumbering"/>
      </w:pPr>
      <w:r w:rsidRPr="001A6979">
        <w:t xml:space="preserve">Considering the </w:t>
      </w:r>
      <w:r w:rsidRPr="00A5466A">
        <w:t xml:space="preserve">objective to reduce the length </w:t>
      </w:r>
      <w:r w:rsidR="0067226B">
        <w:t xml:space="preserve">of time </w:t>
      </w:r>
      <w:r w:rsidRPr="00A5466A">
        <w:t xml:space="preserve">to produce and publish IPPC DPs, </w:t>
      </w:r>
      <w:r w:rsidRPr="001A6979">
        <w:t xml:space="preserve">one </w:t>
      </w:r>
      <w:r w:rsidR="00A801E2">
        <w:t>TPDP member</w:t>
      </w:r>
      <w:r w:rsidRPr="001A6979">
        <w:t xml:space="preserve"> stated that producing internationally recognized </w:t>
      </w:r>
      <w:r w:rsidR="00EF296D">
        <w:t>DPs</w:t>
      </w:r>
      <w:r w:rsidRPr="001A6979">
        <w:t xml:space="preserve"> </w:t>
      </w:r>
      <w:r w:rsidR="00A801E2">
        <w:t>requires</w:t>
      </w:r>
      <w:r w:rsidRPr="001A6979">
        <w:t xml:space="preserve"> a minimum </w:t>
      </w:r>
      <w:r w:rsidR="00A801E2">
        <w:t>length</w:t>
      </w:r>
      <w:r w:rsidRPr="001A6979">
        <w:t xml:space="preserve"> of time</w:t>
      </w:r>
      <w:r w:rsidR="00A5466A">
        <w:t xml:space="preserve"> and the current procedures do not allow to significantly shorten this process</w:t>
      </w:r>
      <w:r w:rsidRPr="001A6979">
        <w:t xml:space="preserve">. Several participants were of the opinion that providing an accurate draft </w:t>
      </w:r>
      <w:r w:rsidR="00E85E98">
        <w:t xml:space="preserve">DP </w:t>
      </w:r>
      <w:r w:rsidRPr="001A6979">
        <w:t>with</w:t>
      </w:r>
      <w:r w:rsidR="00A801E2">
        <w:t xml:space="preserve">in an appropriate </w:t>
      </w:r>
      <w:r w:rsidRPr="001A6979">
        <w:t>time</w:t>
      </w:r>
      <w:r w:rsidR="00A801E2">
        <w:t>frame</w:t>
      </w:r>
      <w:r w:rsidRPr="001A6979">
        <w:t xml:space="preserve"> depends o</w:t>
      </w:r>
      <w:r w:rsidR="0067226B">
        <w:t>n</w:t>
      </w:r>
      <w:r w:rsidRPr="001A6979">
        <w:t xml:space="preserve"> the availability </w:t>
      </w:r>
      <w:r w:rsidR="00A801E2">
        <w:t xml:space="preserve">and activity </w:t>
      </w:r>
      <w:r w:rsidRPr="001A6979">
        <w:t xml:space="preserve">of the drafting </w:t>
      </w:r>
      <w:r w:rsidR="00A801E2">
        <w:t xml:space="preserve">group, particularly the </w:t>
      </w:r>
      <w:r w:rsidRPr="001A6979">
        <w:t>lead</w:t>
      </w:r>
      <w:r w:rsidR="00A801E2">
        <w:t xml:space="preserve"> author</w:t>
      </w:r>
      <w:r w:rsidRPr="001A6979">
        <w:t xml:space="preserve"> and </w:t>
      </w:r>
      <w:r w:rsidR="0067226B">
        <w:t xml:space="preserve">the </w:t>
      </w:r>
      <w:r w:rsidR="00A801E2">
        <w:t>TPDP discipline</w:t>
      </w:r>
      <w:r w:rsidRPr="001A6979">
        <w:t xml:space="preserve"> lead. This is the reason why clear commitments related</w:t>
      </w:r>
      <w:r w:rsidR="0067226B">
        <w:t>,</w:t>
      </w:r>
      <w:r w:rsidRPr="001A6979">
        <w:t xml:space="preserve"> </w:t>
      </w:r>
      <w:r w:rsidR="00A801E2">
        <w:t xml:space="preserve">particularly </w:t>
      </w:r>
      <w:r w:rsidRPr="001A6979">
        <w:t xml:space="preserve">to </w:t>
      </w:r>
      <w:r w:rsidR="00A801E2">
        <w:t>deadlines</w:t>
      </w:r>
      <w:r w:rsidRPr="001A6979">
        <w:t xml:space="preserve">, </w:t>
      </w:r>
      <w:r w:rsidR="00A801E2">
        <w:t>should</w:t>
      </w:r>
      <w:r w:rsidRPr="001A6979">
        <w:t xml:space="preserve"> be </w:t>
      </w:r>
      <w:r w:rsidR="00A801E2">
        <w:t>given</w:t>
      </w:r>
      <w:r w:rsidRPr="001A6979">
        <w:t xml:space="preserve"> by the experts responding to the call for authors of DPs. Also, the possibility for the TPDP to include additional authors in the drafting groups</w:t>
      </w:r>
      <w:r w:rsidR="00A801E2">
        <w:t xml:space="preserve"> was considered</w:t>
      </w:r>
      <w:r w:rsidRPr="001A6979">
        <w:t xml:space="preserve"> positive to speed up the drafting process</w:t>
      </w:r>
      <w:r w:rsidR="0067226B">
        <w:t>,</w:t>
      </w:r>
      <w:r w:rsidRPr="001A6979">
        <w:t xml:space="preserve"> if necessary</w:t>
      </w:r>
      <w:r w:rsidR="00A801E2">
        <w:t xml:space="preserve">. </w:t>
      </w:r>
      <w:r w:rsidRPr="001A6979">
        <w:t xml:space="preserve">The </w:t>
      </w:r>
      <w:r w:rsidR="00A801E2">
        <w:t xml:space="preserve">TPDP considered the </w:t>
      </w:r>
      <w:r w:rsidRPr="001A6979">
        <w:t xml:space="preserve">section ‘Acknowledgments’ </w:t>
      </w:r>
      <w:r w:rsidR="00A801E2">
        <w:t>within</w:t>
      </w:r>
      <w:r w:rsidRPr="001A6979">
        <w:t xml:space="preserve"> the DPs </w:t>
      </w:r>
      <w:r w:rsidR="00A801E2">
        <w:t>very</w:t>
      </w:r>
      <w:r w:rsidRPr="001A6979">
        <w:t xml:space="preserve"> important as it provides the list of the authors who can be contact points for implementation.</w:t>
      </w:r>
      <w:r w:rsidR="00D175D8" w:rsidRPr="00D175D8">
        <w:t xml:space="preserve"> </w:t>
      </w:r>
      <w:r w:rsidR="00D175D8">
        <w:t>The TPDP also considered management of the individual drafting groups important and suggested that the experts could be asked to develop different sections of the DP, which are then compiled by the lead author.</w:t>
      </w:r>
    </w:p>
    <w:p w14:paraId="5039729E" w14:textId="261DA3A2" w:rsidR="001A6979" w:rsidRDefault="00D175D8" w:rsidP="00A801E2">
      <w:pPr>
        <w:pStyle w:val="IPPParagraphnumbering"/>
      </w:pPr>
      <w:r>
        <w:t>In addition, the TPDP suggested that</w:t>
      </w:r>
      <w:r w:rsidRPr="001A6979">
        <w:t xml:space="preserve"> having two consultation period</w:t>
      </w:r>
      <w:r>
        <w:t>s</w:t>
      </w:r>
      <w:r w:rsidRPr="001A6979">
        <w:t xml:space="preserve"> per year instead of a single one could be considered, </w:t>
      </w:r>
      <w:r>
        <w:t>as well as</w:t>
      </w:r>
      <w:r w:rsidRPr="001A6979">
        <w:t xml:space="preserve"> organizing additional TPDP virtual meetings</w:t>
      </w:r>
      <w:r>
        <w:t xml:space="preserve"> </w:t>
      </w:r>
      <w:r w:rsidR="00E7485D">
        <w:t xml:space="preserve">or more than one face to face meeting per year </w:t>
      </w:r>
      <w:r>
        <w:t>to discuss the draft DPs</w:t>
      </w:r>
      <w:r w:rsidRPr="001A6979">
        <w:t>.</w:t>
      </w:r>
      <w:r w:rsidR="004E23AF">
        <w:t xml:space="preserve"> It was noted that Secretariat resources should be considered.</w:t>
      </w:r>
    </w:p>
    <w:p w14:paraId="0721BF02" w14:textId="77777777" w:rsidR="003B3BF6" w:rsidRPr="003B3BF6" w:rsidRDefault="003B3BF6" w:rsidP="00DC5381">
      <w:pPr>
        <w:pStyle w:val="IPPHeading1"/>
      </w:pPr>
      <w:r w:rsidRPr="003B3BF6">
        <w:t>2.3 TPDP conclusion</w:t>
      </w:r>
    </w:p>
    <w:p w14:paraId="5DFBCE08" w14:textId="2642C967" w:rsidR="003B3BF6" w:rsidRDefault="003B3BF6" w:rsidP="007904DA">
      <w:pPr>
        <w:pStyle w:val="IPPParagraphnumbering"/>
      </w:pPr>
      <w:r>
        <w:t>Based on the available analysis and discussions of the TPDP, the following conclusions can be reached. DPs with a shorter development time profited from the availability of existing information, an active DP drafting group and, to some extent, from two consultation periods. In cases where DP development was long, the reasons can be attributed either to the availability of existing information (e.g.</w:t>
      </w:r>
      <w:r w:rsidR="007904DA">
        <w:t> </w:t>
      </w:r>
      <w:r>
        <w:t>methods still being developed, taxonomic changes, discussions on scope of DP) or the activity of the drafting group (e.g. difficulty to identify experts, lack of commitment, changes in drafting group).</w:t>
      </w:r>
    </w:p>
    <w:p w14:paraId="201BFA5A" w14:textId="6B35360E" w:rsidR="003B3BF6" w:rsidRDefault="003B3BF6" w:rsidP="007904DA">
      <w:pPr>
        <w:pStyle w:val="IPPParagraphnumbering"/>
      </w:pPr>
      <w:r>
        <w:t>Following this, the bottleneck of development of DPs can be considered the actual drafting stage, including the identification of relevant experts who commit to providing a draft within a specified timeframe. The coordination of DP drafting groups could be a shared task of the TPDP and</w:t>
      </w:r>
      <w:r w:rsidR="00390CFE">
        <w:t xml:space="preserve"> the</w:t>
      </w:r>
      <w:r>
        <w:t xml:space="preserve"> IPPC Secretariat (currently the responsibility is with the TPDP), hence the Secretariat has the required overview of the process and timelines. Additional time savings can be achieved through implementing an additional consultation period for DPs as necessary as was done in 2015 and 2016, or by increasing the number of intersessional activities of the TPDP (e.g.</w:t>
      </w:r>
      <w:r w:rsidR="007904DA">
        <w:t> </w:t>
      </w:r>
      <w:r>
        <w:t>virtual meetings).</w:t>
      </w:r>
    </w:p>
    <w:p w14:paraId="6C600252" w14:textId="4BC6B5D3" w:rsidR="003B3BF6" w:rsidRDefault="003B3BF6" w:rsidP="003B3BF6">
      <w:pPr>
        <w:pStyle w:val="IPPParagraphnumbering"/>
      </w:pPr>
      <w:r>
        <w:t xml:space="preserve">In relation to emerging pests, one option to make information on diagnostics more readily available would be to publish third party information on the IPP (similar to contributed resources collected by the Implementation and Capacity Development Committee (IC)). Additionally, topics on emerging pests should be prioritized when submitting topics, which can be done by </w:t>
      </w:r>
      <w:r w:rsidR="0095612A">
        <w:t xml:space="preserve">the </w:t>
      </w:r>
      <w:r>
        <w:t xml:space="preserve">SC, </w:t>
      </w:r>
      <w:r w:rsidR="0095612A">
        <w:t xml:space="preserve">the </w:t>
      </w:r>
      <w:r>
        <w:t xml:space="preserve">TPDP and </w:t>
      </w:r>
      <w:r w:rsidR="0095612A">
        <w:t xml:space="preserve">the </w:t>
      </w:r>
      <w:r>
        <w:t xml:space="preserve">CPM, and </w:t>
      </w:r>
      <w:r w:rsidR="0095612A">
        <w:t xml:space="preserve">the </w:t>
      </w:r>
      <w:r>
        <w:t xml:space="preserve">CPs could commit resources to speed up the development of such protocols. The SC may also consider implementing an open call for DPs similar to the process followed for PTs, where the TPDP would review DP proposals submitted on an ongoing basis for their relevance and technical feasibility before presenting to the SC for inclusion in the </w:t>
      </w:r>
      <w:r w:rsidR="00E73BB3">
        <w:t>LOT</w:t>
      </w:r>
      <w:r>
        <w:t>. The Task Force on Topics had already considered this, of having separate call for DPs.</w:t>
      </w:r>
    </w:p>
    <w:p w14:paraId="3B4ED5BA" w14:textId="0FB34EEC" w:rsidR="004C420F" w:rsidRDefault="00C006A3" w:rsidP="009F792F">
      <w:pPr>
        <w:pStyle w:val="IPPHeadSection"/>
      </w:pPr>
      <w:r>
        <w:t xml:space="preserve">3. </w:t>
      </w:r>
      <w:r w:rsidR="004C420F" w:rsidRPr="00C006A3">
        <w:t>Possible ways to streamline the phytosanitary treatments development process</w:t>
      </w:r>
    </w:p>
    <w:p w14:paraId="6CE75EF7" w14:textId="3F8365A8" w:rsidR="008C4618" w:rsidRDefault="008C4618" w:rsidP="00DC5381">
      <w:pPr>
        <w:pStyle w:val="IPPHeading1"/>
      </w:pPr>
      <w:r w:rsidRPr="008C4618">
        <w:t>3.1 Analysis of PTs development by Secretariat</w:t>
      </w:r>
    </w:p>
    <w:p w14:paraId="1C5B191E" w14:textId="43EF4E28" w:rsidR="008C4618" w:rsidRPr="008C4618" w:rsidRDefault="008C4618" w:rsidP="0039363C">
      <w:pPr>
        <w:keepNext/>
        <w:keepLines/>
        <w:numPr>
          <w:ilvl w:val="0"/>
          <w:numId w:val="8"/>
        </w:numPr>
        <w:spacing w:after="60" w:line="259" w:lineRule="auto"/>
        <w:ind w:hanging="475"/>
        <w:rPr>
          <w:rFonts w:eastAsia="Times"/>
          <w:szCs w:val="22"/>
          <w:lang w:val="en-US"/>
        </w:rPr>
      </w:pPr>
      <w:r w:rsidRPr="008C4618">
        <w:rPr>
          <w:rFonts w:eastAsia="Times"/>
          <w:szCs w:val="22"/>
          <w:lang w:val="en-US"/>
        </w:rPr>
        <w:t xml:space="preserve">As of </w:t>
      </w:r>
      <w:r w:rsidR="004E00B9">
        <w:rPr>
          <w:rFonts w:eastAsia="Times"/>
          <w:szCs w:val="22"/>
          <w:lang w:val="en-US"/>
        </w:rPr>
        <w:t>May</w:t>
      </w:r>
      <w:r w:rsidR="00F53166" w:rsidRPr="008C4618">
        <w:rPr>
          <w:rFonts w:eastAsia="Times"/>
          <w:szCs w:val="22"/>
          <w:lang w:val="en-US"/>
        </w:rPr>
        <w:t xml:space="preserve"> </w:t>
      </w:r>
      <w:r w:rsidR="004E00B9">
        <w:rPr>
          <w:rFonts w:eastAsia="Times"/>
          <w:szCs w:val="22"/>
          <w:lang w:val="en-US"/>
        </w:rPr>
        <w:t>2020</w:t>
      </w:r>
      <w:r w:rsidR="00F53166" w:rsidRPr="008C4618">
        <w:rPr>
          <w:rFonts w:eastAsia="Times"/>
          <w:szCs w:val="22"/>
          <w:lang w:val="en-US"/>
        </w:rPr>
        <w:t>,</w:t>
      </w:r>
      <w:r w:rsidRPr="008C4618">
        <w:rPr>
          <w:rFonts w:eastAsia="Times"/>
          <w:szCs w:val="22"/>
          <w:lang w:val="en-US"/>
        </w:rPr>
        <w:t xml:space="preserve"> there are 32 adopted PTs.</w:t>
      </w:r>
      <w:r w:rsidR="00ED7265">
        <w:rPr>
          <w:rFonts w:eastAsia="Times"/>
          <w:szCs w:val="22"/>
          <w:lang w:val="en-US"/>
        </w:rPr>
        <w:t xml:space="preserve"> Figure</w:t>
      </w:r>
      <w:r w:rsidR="007904DA">
        <w:rPr>
          <w:rFonts w:eastAsia="Times"/>
          <w:szCs w:val="22"/>
          <w:lang w:val="en-US"/>
        </w:rPr>
        <w:t> </w:t>
      </w:r>
      <w:r w:rsidR="00107E43">
        <w:rPr>
          <w:rFonts w:eastAsia="Times"/>
          <w:szCs w:val="22"/>
          <w:lang w:val="en-US"/>
        </w:rPr>
        <w:t>4</w:t>
      </w:r>
      <w:r w:rsidR="00107E43" w:rsidRPr="008C4618">
        <w:rPr>
          <w:rFonts w:eastAsia="Times"/>
          <w:szCs w:val="22"/>
          <w:lang w:val="en-US"/>
        </w:rPr>
        <w:t xml:space="preserve"> </w:t>
      </w:r>
      <w:r w:rsidRPr="008C4618">
        <w:rPr>
          <w:rFonts w:eastAsia="Times"/>
          <w:szCs w:val="22"/>
          <w:lang w:val="en-US"/>
        </w:rPr>
        <w:t>shows the cumulative number of adopted PTs. ISPM</w:t>
      </w:r>
      <w:r w:rsidR="007904DA">
        <w:rPr>
          <w:rFonts w:eastAsia="Times"/>
          <w:szCs w:val="22"/>
          <w:lang w:val="en-US"/>
        </w:rPr>
        <w:t> </w:t>
      </w:r>
      <w:r w:rsidRPr="008C4618">
        <w:rPr>
          <w:rFonts w:eastAsia="Times"/>
          <w:szCs w:val="22"/>
          <w:lang w:val="en-US"/>
        </w:rPr>
        <w:t>28 (</w:t>
      </w:r>
      <w:r w:rsidRPr="0018313D">
        <w:rPr>
          <w:rFonts w:eastAsia="Times"/>
          <w:i/>
          <w:iCs/>
          <w:szCs w:val="22"/>
          <w:lang w:val="en-US"/>
        </w:rPr>
        <w:t>Phytosanitary treatments for regulated pests</w:t>
      </w:r>
      <w:r w:rsidRPr="008C4618">
        <w:rPr>
          <w:rFonts w:eastAsia="Times"/>
          <w:szCs w:val="22"/>
          <w:lang w:val="en-US"/>
        </w:rPr>
        <w:t>) was adopted in 2007</w:t>
      </w:r>
      <w:r w:rsidR="00B27670" w:rsidRPr="009F792F">
        <w:rPr>
          <w:rFonts w:eastAsia="Times"/>
          <w:szCs w:val="22"/>
          <w:lang w:val="en-US"/>
        </w:rPr>
        <w:t>,</w:t>
      </w:r>
      <w:r w:rsidRPr="008C4618">
        <w:rPr>
          <w:rFonts w:eastAsia="Times"/>
          <w:szCs w:val="22"/>
          <w:lang w:val="en-US"/>
        </w:rPr>
        <w:t xml:space="preserve"> and the first PT </w:t>
      </w:r>
      <w:r w:rsidR="00B27670" w:rsidRPr="009F792F">
        <w:rPr>
          <w:rFonts w:eastAsia="Times"/>
          <w:szCs w:val="22"/>
          <w:lang w:val="en-US"/>
        </w:rPr>
        <w:t>(</w:t>
      </w:r>
      <w:r w:rsidR="00B27670">
        <w:rPr>
          <w:rFonts w:eastAsia="Times"/>
          <w:szCs w:val="22"/>
          <w:lang w:val="en-US"/>
        </w:rPr>
        <w:t>PT</w:t>
      </w:r>
      <w:r w:rsidR="007904DA">
        <w:rPr>
          <w:rFonts w:eastAsia="Times"/>
          <w:szCs w:val="22"/>
          <w:lang w:val="en-US"/>
        </w:rPr>
        <w:t> </w:t>
      </w:r>
      <w:r w:rsidRPr="008C4618">
        <w:rPr>
          <w:rFonts w:eastAsia="Times"/>
          <w:szCs w:val="22"/>
          <w:lang w:val="en-US"/>
        </w:rPr>
        <w:t>1:</w:t>
      </w:r>
      <w:r w:rsidR="007904DA">
        <w:rPr>
          <w:rFonts w:eastAsia="Times"/>
          <w:szCs w:val="22"/>
          <w:lang w:val="en-US"/>
        </w:rPr>
        <w:t> </w:t>
      </w:r>
      <w:r w:rsidRPr="008C4618">
        <w:rPr>
          <w:rFonts w:eastAsia="Times"/>
          <w:szCs w:val="22"/>
          <w:lang w:val="en-US"/>
        </w:rPr>
        <w:t xml:space="preserve">Irradiation treatment for </w:t>
      </w:r>
      <w:r w:rsidRPr="008C4618">
        <w:rPr>
          <w:rFonts w:eastAsia="Times"/>
          <w:i/>
          <w:szCs w:val="22"/>
          <w:lang w:val="en-US"/>
        </w:rPr>
        <w:t>Anastrepha ludens</w:t>
      </w:r>
      <w:r w:rsidR="00B27670">
        <w:rPr>
          <w:rFonts w:eastAsia="Times"/>
          <w:iCs/>
          <w:szCs w:val="22"/>
          <w:lang w:val="en-US"/>
        </w:rPr>
        <w:t>)</w:t>
      </w:r>
      <w:r w:rsidRPr="008C4618">
        <w:rPr>
          <w:rFonts w:eastAsia="Times"/>
          <w:szCs w:val="22"/>
          <w:lang w:val="en-US"/>
        </w:rPr>
        <w:t xml:space="preserve"> was adopted in 2009. </w:t>
      </w:r>
    </w:p>
    <w:p w14:paraId="644314EB" w14:textId="6B0DD2A4" w:rsidR="008C4618" w:rsidRDefault="004E00B9" w:rsidP="008C4618">
      <w:pPr>
        <w:pStyle w:val="IPPNormal"/>
        <w:jc w:val="center"/>
        <w:rPr>
          <w:lang w:val="en-US"/>
        </w:rPr>
      </w:pPr>
      <w:r>
        <w:rPr>
          <w:noProof/>
          <w:lang w:val="en-US"/>
        </w:rPr>
        <w:drawing>
          <wp:inline distT="0" distB="0" distL="0" distR="0" wp14:anchorId="78589F92" wp14:editId="553E8D34">
            <wp:extent cx="5663580" cy="370409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5287" cy="3731367"/>
                    </a:xfrm>
                    <a:prstGeom prst="rect">
                      <a:avLst/>
                    </a:prstGeom>
                    <a:noFill/>
                  </pic:spPr>
                </pic:pic>
              </a:graphicData>
            </a:graphic>
          </wp:inline>
        </w:drawing>
      </w:r>
    </w:p>
    <w:p w14:paraId="3F7EA49B" w14:textId="225E7984" w:rsidR="008C4618" w:rsidRPr="009F792F" w:rsidRDefault="00ED7265" w:rsidP="001A377E">
      <w:pPr>
        <w:pStyle w:val="IPPArial"/>
        <w:spacing w:after="240"/>
        <w:jc w:val="center"/>
        <w:rPr>
          <w:rStyle w:val="IPPNormalbold"/>
          <w:rFonts w:ascii="Arial" w:hAnsi="Arial"/>
          <w:b w:val="0"/>
          <w:sz w:val="18"/>
          <w:szCs w:val="24"/>
          <w:lang w:val="en-GB"/>
        </w:rPr>
      </w:pPr>
      <w:r w:rsidRPr="009F792F">
        <w:rPr>
          <w:rStyle w:val="IPPNormalbold"/>
          <w:rFonts w:ascii="Arial" w:hAnsi="Arial"/>
          <w:bCs/>
          <w:sz w:val="18"/>
          <w:szCs w:val="24"/>
          <w:lang w:val="en-GB"/>
        </w:rPr>
        <w:t xml:space="preserve">Figure </w:t>
      </w:r>
      <w:r w:rsidR="00F3275B">
        <w:rPr>
          <w:rStyle w:val="IPPNormalbold"/>
          <w:rFonts w:ascii="Arial" w:hAnsi="Arial"/>
          <w:bCs/>
          <w:sz w:val="18"/>
          <w:szCs w:val="24"/>
          <w:lang w:val="en-GB"/>
        </w:rPr>
        <w:t>4</w:t>
      </w:r>
      <w:r w:rsidR="008C4618" w:rsidRPr="009F792F">
        <w:rPr>
          <w:rStyle w:val="IPPNormalbold"/>
          <w:rFonts w:ascii="Arial" w:hAnsi="Arial"/>
          <w:bCs/>
          <w:sz w:val="18"/>
          <w:szCs w:val="24"/>
          <w:lang w:val="en-GB"/>
        </w:rPr>
        <w:t>:</w:t>
      </w:r>
      <w:r w:rsidR="008C4618" w:rsidRPr="009F792F">
        <w:rPr>
          <w:rStyle w:val="IPPNormalbold"/>
          <w:rFonts w:ascii="Arial" w:hAnsi="Arial"/>
          <w:b w:val="0"/>
          <w:sz w:val="18"/>
          <w:szCs w:val="24"/>
          <w:lang w:val="en-GB"/>
        </w:rPr>
        <w:t xml:space="preserve"> Cumulative number of IPPC PTs adopted since 2009</w:t>
      </w:r>
      <w:r w:rsidR="001217FD">
        <w:rPr>
          <w:rStyle w:val="IPPNormalbold"/>
          <w:rFonts w:ascii="Arial" w:hAnsi="Arial"/>
          <w:b w:val="0"/>
          <w:sz w:val="18"/>
          <w:szCs w:val="24"/>
          <w:lang w:val="en-GB"/>
        </w:rPr>
        <w:t>.</w:t>
      </w:r>
    </w:p>
    <w:p w14:paraId="2B3FC29B" w14:textId="1D68748D" w:rsidR="004C420F" w:rsidRPr="008C4618" w:rsidRDefault="008C4618" w:rsidP="009F792F">
      <w:pPr>
        <w:pStyle w:val="IPPHeading2"/>
      </w:pPr>
      <w:r>
        <w:t>3.1.1</w:t>
      </w:r>
      <w:r w:rsidR="00C006A3" w:rsidRPr="008C4618">
        <w:t xml:space="preserve"> </w:t>
      </w:r>
      <w:r w:rsidR="004C420F" w:rsidRPr="008C4618">
        <w:t>Current Standard Setting Process for phytosanitary treatments</w:t>
      </w:r>
    </w:p>
    <w:p w14:paraId="48198A1A" w14:textId="091C98E8" w:rsidR="004C420F" w:rsidRPr="00ED7265" w:rsidRDefault="004C420F" w:rsidP="0039363C">
      <w:pPr>
        <w:numPr>
          <w:ilvl w:val="0"/>
          <w:numId w:val="8"/>
        </w:numPr>
        <w:spacing w:before="240" w:after="60" w:line="259" w:lineRule="auto"/>
        <w:ind w:hanging="475"/>
        <w:rPr>
          <w:rFonts w:eastAsia="Times"/>
          <w:szCs w:val="22"/>
          <w:lang w:val="en-US"/>
        </w:rPr>
      </w:pPr>
      <w:r w:rsidRPr="00ED7265">
        <w:rPr>
          <w:rFonts w:eastAsia="Times"/>
          <w:szCs w:val="22"/>
          <w:lang w:val="en-US"/>
        </w:rPr>
        <w:t xml:space="preserve">PTs currently follow the </w:t>
      </w:r>
      <w:r w:rsidR="002161A7">
        <w:rPr>
          <w:rFonts w:eastAsia="Times"/>
          <w:szCs w:val="22"/>
          <w:lang w:val="en-US"/>
        </w:rPr>
        <w:t>SSP</w:t>
      </w:r>
      <w:r w:rsidRPr="00ED7265">
        <w:rPr>
          <w:rFonts w:eastAsia="Times"/>
          <w:szCs w:val="22"/>
          <w:lang w:val="en-US"/>
        </w:rPr>
        <w:t>, adopted by the CPM-11 in 2016 that includes speci</w:t>
      </w:r>
      <w:r w:rsidR="00ED7265">
        <w:rPr>
          <w:rFonts w:eastAsia="Times"/>
          <w:szCs w:val="22"/>
          <w:lang w:val="en-US"/>
        </w:rPr>
        <w:t>fic provisions for PTs (Figure </w:t>
      </w:r>
      <w:r w:rsidR="00107E43">
        <w:rPr>
          <w:rFonts w:eastAsia="Times"/>
          <w:szCs w:val="22"/>
          <w:lang w:val="en-US"/>
        </w:rPr>
        <w:t>5</w:t>
      </w:r>
      <w:r w:rsidRPr="00ED7265">
        <w:rPr>
          <w:rFonts w:eastAsia="Times"/>
          <w:szCs w:val="22"/>
          <w:lang w:val="en-US"/>
        </w:rPr>
        <w:t>).</w:t>
      </w:r>
    </w:p>
    <w:p w14:paraId="16D3E077" w14:textId="77777777" w:rsidR="004C420F" w:rsidRPr="004C420F" w:rsidRDefault="004C420F" w:rsidP="0039363C">
      <w:pPr>
        <w:numPr>
          <w:ilvl w:val="0"/>
          <w:numId w:val="8"/>
        </w:numPr>
        <w:spacing w:before="240" w:after="160" w:line="259" w:lineRule="auto"/>
        <w:ind w:hanging="475"/>
        <w:jc w:val="left"/>
        <w:rPr>
          <w:rFonts w:asciiTheme="minorHAnsi" w:eastAsia="Times" w:hAnsiTheme="minorHAnsi" w:cstheme="minorBidi"/>
          <w:szCs w:val="22"/>
          <w:lang w:val="en-US"/>
        </w:rPr>
      </w:pPr>
      <w:r w:rsidRPr="004C420F">
        <w:rPr>
          <w:rFonts w:asciiTheme="minorHAnsi" w:eastAsia="Times" w:hAnsiTheme="minorHAnsi" w:cstheme="minorBidi"/>
          <w:noProof/>
          <w:szCs w:val="22"/>
          <w:lang w:val="en-US"/>
        </w:rPr>
        <w:drawing>
          <wp:inline distT="0" distB="0" distL="0" distR="0" wp14:anchorId="7EEC0B4F" wp14:editId="2C1F58AA">
            <wp:extent cx="5595105" cy="2321479"/>
            <wp:effectExtent l="0" t="0" r="571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PPTProces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98656" cy="2322952"/>
                    </a:xfrm>
                    <a:prstGeom prst="rect">
                      <a:avLst/>
                    </a:prstGeom>
                  </pic:spPr>
                </pic:pic>
              </a:graphicData>
            </a:graphic>
          </wp:inline>
        </w:drawing>
      </w:r>
    </w:p>
    <w:p w14:paraId="5956E09D" w14:textId="5E8FB108" w:rsidR="004C420F" w:rsidRPr="009F792F" w:rsidRDefault="00ED7265" w:rsidP="009F792F">
      <w:pPr>
        <w:pStyle w:val="IPPArial"/>
        <w:jc w:val="center"/>
        <w:rPr>
          <w:lang w:val="en-US"/>
        </w:rPr>
      </w:pPr>
      <w:r w:rsidRPr="009F792F">
        <w:rPr>
          <w:b/>
          <w:lang w:val="en-US"/>
        </w:rPr>
        <w:t xml:space="preserve">Figure </w:t>
      </w:r>
      <w:r w:rsidR="00F3275B">
        <w:rPr>
          <w:b/>
          <w:lang w:val="en-US"/>
        </w:rPr>
        <w:t>5</w:t>
      </w:r>
      <w:r w:rsidR="004C420F" w:rsidRPr="009F792F">
        <w:rPr>
          <w:b/>
          <w:lang w:val="en-US"/>
        </w:rPr>
        <w:t>:</w:t>
      </w:r>
      <w:r w:rsidR="004C420F" w:rsidRPr="009F792F">
        <w:rPr>
          <w:lang w:val="en-US"/>
        </w:rPr>
        <w:t xml:space="preserve"> </w:t>
      </w:r>
      <w:r w:rsidR="004C420F" w:rsidRPr="001217FD">
        <w:rPr>
          <w:lang w:val="en-US"/>
        </w:rPr>
        <w:t xml:space="preserve">Flowchart outlining the </w:t>
      </w:r>
      <w:r w:rsidR="002161A7">
        <w:rPr>
          <w:lang w:val="en-US"/>
        </w:rPr>
        <w:t>S</w:t>
      </w:r>
      <w:r w:rsidR="002161A7" w:rsidRPr="001217FD">
        <w:rPr>
          <w:lang w:val="en-US"/>
        </w:rPr>
        <w:t xml:space="preserve">tandard </w:t>
      </w:r>
      <w:r w:rsidR="002161A7">
        <w:rPr>
          <w:lang w:val="en-US"/>
        </w:rPr>
        <w:t>S</w:t>
      </w:r>
      <w:r w:rsidR="002161A7" w:rsidRPr="001217FD">
        <w:rPr>
          <w:lang w:val="en-US"/>
        </w:rPr>
        <w:t xml:space="preserve">etting </w:t>
      </w:r>
      <w:r w:rsidR="002161A7">
        <w:rPr>
          <w:lang w:val="en-US"/>
        </w:rPr>
        <w:t>P</w:t>
      </w:r>
      <w:r w:rsidR="002161A7" w:rsidRPr="001217FD">
        <w:rPr>
          <w:lang w:val="en-US"/>
        </w:rPr>
        <w:t xml:space="preserve">rocess </w:t>
      </w:r>
      <w:r w:rsidR="004C420F" w:rsidRPr="001217FD">
        <w:rPr>
          <w:lang w:val="en-US"/>
        </w:rPr>
        <w:t xml:space="preserve">for </w:t>
      </w:r>
      <w:r w:rsidR="004C420F" w:rsidRPr="009F792F">
        <w:rPr>
          <w:lang w:val="en-US"/>
        </w:rPr>
        <w:t>PTs</w:t>
      </w:r>
      <w:r w:rsidR="001217FD">
        <w:rPr>
          <w:lang w:val="en-US"/>
        </w:rPr>
        <w:t>.</w:t>
      </w:r>
    </w:p>
    <w:p w14:paraId="74F3C764" w14:textId="77777777" w:rsidR="004C420F" w:rsidRPr="00ED7265" w:rsidRDefault="004C420F" w:rsidP="0039363C">
      <w:pPr>
        <w:numPr>
          <w:ilvl w:val="0"/>
          <w:numId w:val="8"/>
        </w:numPr>
        <w:spacing w:before="240" w:after="160" w:line="259" w:lineRule="auto"/>
        <w:jc w:val="left"/>
        <w:rPr>
          <w:rFonts w:eastAsia="Times"/>
          <w:szCs w:val="22"/>
          <w:lang w:val="en-US"/>
        </w:rPr>
      </w:pPr>
      <w:r w:rsidRPr="00ED7265">
        <w:rPr>
          <w:rFonts w:eastAsia="Times"/>
          <w:szCs w:val="22"/>
          <w:lang w:val="en-US"/>
        </w:rPr>
        <w:t>The specific differences between the development of ISPMs and the development of PTs are listed below:</w:t>
      </w:r>
    </w:p>
    <w:p w14:paraId="473537CC" w14:textId="728DB7E5" w:rsidR="004C420F" w:rsidRPr="00ED7265" w:rsidRDefault="004C420F" w:rsidP="009F792F">
      <w:pPr>
        <w:pStyle w:val="IPPBullet1"/>
      </w:pPr>
      <w:r w:rsidRPr="00ED7265">
        <w:t>PT submissions are received via a separate call</w:t>
      </w:r>
      <w:r w:rsidR="00D1695B">
        <w:t>;</w:t>
      </w:r>
    </w:p>
    <w:p w14:paraId="5FAA594F" w14:textId="4987697B" w:rsidR="004C420F" w:rsidRPr="00ED7265" w:rsidRDefault="004C420F" w:rsidP="009F792F">
      <w:pPr>
        <w:pStyle w:val="IPPBullet1"/>
      </w:pPr>
      <w:r w:rsidRPr="00ED7265">
        <w:t xml:space="preserve">No </w:t>
      </w:r>
      <w:r w:rsidR="00A43FEA">
        <w:t>s</w:t>
      </w:r>
      <w:r w:rsidR="00A43FEA" w:rsidRPr="00ED7265">
        <w:t xml:space="preserve">pecification </w:t>
      </w:r>
      <w:r w:rsidRPr="00ED7265">
        <w:t>is needed, however the submission should contain the technical information necessary to calculate the efficacy of the treatment</w:t>
      </w:r>
      <w:r w:rsidR="00D1695B">
        <w:t>;</w:t>
      </w:r>
    </w:p>
    <w:p w14:paraId="2531217D" w14:textId="4E962F6C" w:rsidR="004C420F" w:rsidRPr="00ED7265" w:rsidRDefault="004C420F" w:rsidP="007904DA">
      <w:pPr>
        <w:pStyle w:val="IPPBullet1"/>
      </w:pPr>
      <w:r w:rsidRPr="00ED7265">
        <w:t>The TPPT evaluates the submissions and makes recommendation to the SC on priority and whether the submission is suitable for a PT (based on ISPM</w:t>
      </w:r>
      <w:r w:rsidR="007904DA">
        <w:t> </w:t>
      </w:r>
      <w:r w:rsidRPr="00ED7265">
        <w:t>28 and established criteria)</w:t>
      </w:r>
      <w:r w:rsidR="00D1695B">
        <w:t>;</w:t>
      </w:r>
    </w:p>
    <w:p w14:paraId="68DE8090" w14:textId="2182EC8A" w:rsidR="004C420F" w:rsidRPr="00ED7265" w:rsidRDefault="00C63535" w:rsidP="009F792F">
      <w:pPr>
        <w:pStyle w:val="IPPBullet1"/>
      </w:pPr>
      <w:r>
        <w:t xml:space="preserve">The </w:t>
      </w:r>
      <w:r w:rsidR="004C420F" w:rsidRPr="00ED7265">
        <w:t>SC can add PTs to the LOT as they are considered “subjects” (similar to terms and DPs). The CPM adopts the LOT, including the subjects added by the SC. This allows the TPPT to start working on the PT submissions as soon as they are added to the LOT (after the SC meeting)</w:t>
      </w:r>
      <w:r w:rsidR="00D1695B">
        <w:t>;</w:t>
      </w:r>
    </w:p>
    <w:p w14:paraId="3AF71172" w14:textId="12C0B9EB" w:rsidR="004C420F" w:rsidRPr="00ED7265" w:rsidRDefault="004C420F" w:rsidP="009F792F">
      <w:pPr>
        <w:pStyle w:val="IPPBullet1"/>
      </w:pPr>
      <w:r w:rsidRPr="00ED7265">
        <w:t>TPPT liaises with the technical contact point of the submitter regarding the submission if further information is needed and prepare draft PT</w:t>
      </w:r>
      <w:r w:rsidR="00D1695B">
        <w:t>;</w:t>
      </w:r>
    </w:p>
    <w:p w14:paraId="336502EE" w14:textId="06A93847" w:rsidR="004C420F" w:rsidRPr="00ED7265" w:rsidRDefault="004C420F" w:rsidP="009F792F">
      <w:pPr>
        <w:pStyle w:val="IPPBullet1"/>
      </w:pPr>
      <w:r w:rsidRPr="00ED7265">
        <w:t>Treatment Lead and TPPT members prepare the responses to consultation comments (not the Steward of the ISPM) and the SC approves the responses to the comments</w:t>
      </w:r>
      <w:r w:rsidR="00D1695B">
        <w:t>;</w:t>
      </w:r>
    </w:p>
    <w:p w14:paraId="452E26FF" w14:textId="36B92C4C" w:rsidR="004C420F" w:rsidRPr="00ED7265" w:rsidRDefault="004C420F" w:rsidP="009F792F">
      <w:pPr>
        <w:pStyle w:val="IPPBullet1"/>
      </w:pPr>
      <w:r w:rsidRPr="00ED7265">
        <w:t xml:space="preserve">Once the SC approves the responses to comments, they are made </w:t>
      </w:r>
      <w:r w:rsidR="00F32EA9" w:rsidRPr="00ED7265">
        <w:t>publicly</w:t>
      </w:r>
      <w:r w:rsidRPr="00ED7265">
        <w:t xml:space="preserve"> available (unlike responses to comments on ISPMs that are restricted to SC meeting participants)</w:t>
      </w:r>
      <w:r w:rsidR="00D1695B">
        <w:t>;</w:t>
      </w:r>
    </w:p>
    <w:p w14:paraId="169AE9DE" w14:textId="78E521FE" w:rsidR="004C420F" w:rsidRPr="00ED7265" w:rsidRDefault="00D361D4" w:rsidP="009F792F">
      <w:pPr>
        <w:pStyle w:val="IPPBullet1"/>
      </w:pPr>
      <w:r>
        <w:t xml:space="preserve">The </w:t>
      </w:r>
      <w:r w:rsidR="004C420F" w:rsidRPr="00ED7265">
        <w:t>SC may approve draft PTs (and responses to comments) via e-decision for consultation and for adoption, (the two-week e-decision allows for a thorough review with the involvement of technical experts, and it does not have to be timed to the SC meetings)</w:t>
      </w:r>
      <w:r w:rsidR="00D1695B">
        <w:t>;</w:t>
      </w:r>
    </w:p>
    <w:p w14:paraId="500AAC55" w14:textId="5A19F623" w:rsidR="004C420F" w:rsidRPr="00ED7265" w:rsidRDefault="004C420F" w:rsidP="009F792F">
      <w:pPr>
        <w:pStyle w:val="IPPBullet1Last"/>
      </w:pPr>
      <w:r w:rsidRPr="00ED7265">
        <w:t>PTs are adopted by the CPM (same as ISPMs but unlike DPs)</w:t>
      </w:r>
      <w:r w:rsidR="00D1695B">
        <w:t>.</w:t>
      </w:r>
    </w:p>
    <w:p w14:paraId="1769F9A4" w14:textId="4D5DCC16" w:rsidR="004C420F" w:rsidRPr="00ED7265" w:rsidRDefault="00ED7265" w:rsidP="009F792F">
      <w:pPr>
        <w:pStyle w:val="IPPHeading2"/>
        <w:rPr>
          <w:lang w:val="en-US"/>
        </w:rPr>
      </w:pPr>
      <w:r w:rsidRPr="00ED7265">
        <w:rPr>
          <w:lang w:val="en-US"/>
        </w:rPr>
        <w:t xml:space="preserve">3.1.2 </w:t>
      </w:r>
      <w:r w:rsidR="004C420F" w:rsidRPr="00ED7265">
        <w:rPr>
          <w:lang w:val="en-US"/>
        </w:rPr>
        <w:t>Challenges in PT development</w:t>
      </w:r>
    </w:p>
    <w:p w14:paraId="66BA106B" w14:textId="72A61960"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On average, the development of the currently adopted PTs took more than 7 years. The fastest ones were developed in 4 years and the longest took 12</w:t>
      </w:r>
      <w:r w:rsidR="007904DA">
        <w:rPr>
          <w:rFonts w:eastAsia="Times"/>
          <w:szCs w:val="22"/>
          <w:lang w:val="en-US"/>
        </w:rPr>
        <w:t> </w:t>
      </w:r>
      <w:r w:rsidRPr="00ED7265">
        <w:rPr>
          <w:rFonts w:eastAsia="Times"/>
          <w:szCs w:val="22"/>
          <w:lang w:val="en-US"/>
        </w:rPr>
        <w:t>years from the submission of the PT to adoption. To note that currently adopted PTs were developed via a “special process” (formerly “fast track process”) that required only one consultation. The current</w:t>
      </w:r>
      <w:r w:rsidR="00F60C62">
        <w:rPr>
          <w:rFonts w:eastAsia="Times"/>
          <w:szCs w:val="22"/>
          <w:lang w:val="en-US"/>
        </w:rPr>
        <w:t>ly adopted standard setting</w:t>
      </w:r>
      <w:r w:rsidRPr="00ED7265">
        <w:rPr>
          <w:rFonts w:eastAsia="Times"/>
          <w:szCs w:val="22"/>
          <w:lang w:val="en-US"/>
        </w:rPr>
        <w:t xml:space="preserve"> process </w:t>
      </w:r>
      <w:r w:rsidR="00F60C62">
        <w:rPr>
          <w:rFonts w:eastAsia="Times"/>
          <w:szCs w:val="22"/>
          <w:lang w:val="en-US"/>
        </w:rPr>
        <w:t>does not include anymore the</w:t>
      </w:r>
      <w:r w:rsidRPr="00ED7265">
        <w:rPr>
          <w:rFonts w:eastAsia="Times"/>
          <w:szCs w:val="22"/>
          <w:lang w:val="en-US"/>
        </w:rPr>
        <w:t xml:space="preserve"> possibility for fast tracking the PTs adoption. </w:t>
      </w:r>
    </w:p>
    <w:p w14:paraId="0B14CE83" w14:textId="77777777" w:rsidR="004C420F" w:rsidRPr="00ED7265" w:rsidRDefault="004C420F" w:rsidP="0039363C">
      <w:pPr>
        <w:numPr>
          <w:ilvl w:val="0"/>
          <w:numId w:val="8"/>
        </w:numPr>
        <w:spacing w:after="180" w:line="259" w:lineRule="auto"/>
        <w:jc w:val="left"/>
        <w:rPr>
          <w:rFonts w:eastAsia="Times"/>
          <w:szCs w:val="22"/>
          <w:lang w:val="en-US"/>
        </w:rPr>
      </w:pPr>
      <w:r w:rsidRPr="00ED7265">
        <w:rPr>
          <w:rFonts w:eastAsia="Times"/>
          <w:szCs w:val="22"/>
          <w:lang w:val="en-US"/>
        </w:rPr>
        <w:t>The review of the development of the currently adopted PTs also makes two things apparent:</w:t>
      </w:r>
    </w:p>
    <w:p w14:paraId="384331CF" w14:textId="44EE1777" w:rsidR="004C420F" w:rsidRPr="00ED7265" w:rsidRDefault="004C420F" w:rsidP="009F792F">
      <w:pPr>
        <w:pStyle w:val="IPPBullet1"/>
      </w:pPr>
      <w:r w:rsidRPr="00ED7265">
        <w:t>The development process becomes lengthy when the submission is incomplete or research data is not sufficient and the TPPT has to request additional information from the submitter</w:t>
      </w:r>
      <w:r w:rsidR="00C818A8">
        <w:t>;</w:t>
      </w:r>
    </w:p>
    <w:p w14:paraId="04DAB136" w14:textId="4C40BAE1" w:rsidR="004C420F" w:rsidRPr="00ED7265" w:rsidRDefault="004C420F" w:rsidP="007904DA">
      <w:pPr>
        <w:pStyle w:val="IPPBullet1Last"/>
      </w:pPr>
      <w:r w:rsidRPr="00ED7265">
        <w:t>The PT development process is already quite flexible, as the TPPT meets virtually (up to 3-4 times a year) to progress the draft PTs, and the SC can approve them via e-decision throughout the year. The time bound processes where improvements may be considered are the addition of subjects to the work programme (which occurs at the SC meetings in November or May) and the consultation period (1</w:t>
      </w:r>
      <w:r w:rsidR="007904DA">
        <w:t> </w:t>
      </w:r>
      <w:r w:rsidRPr="00ED7265">
        <w:t>July to 30</w:t>
      </w:r>
      <w:r w:rsidR="007904DA">
        <w:t> </w:t>
      </w:r>
      <w:r w:rsidRPr="00ED7265">
        <w:t>September each year).</w:t>
      </w:r>
    </w:p>
    <w:p w14:paraId="54CD2461" w14:textId="6A4E1869"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Proposals to improve the submission process are presented below in section</w:t>
      </w:r>
      <w:r w:rsidR="007904DA">
        <w:rPr>
          <w:rFonts w:eastAsia="Times"/>
          <w:szCs w:val="22"/>
          <w:lang w:val="en-US"/>
        </w:rPr>
        <w:t> </w:t>
      </w:r>
      <w:r w:rsidR="00F60C62">
        <w:rPr>
          <w:rFonts w:eastAsia="Times"/>
          <w:szCs w:val="22"/>
          <w:lang w:val="en-US"/>
        </w:rPr>
        <w:t>3.2</w:t>
      </w:r>
      <w:r w:rsidRPr="00ED7265">
        <w:rPr>
          <w:rFonts w:eastAsia="Times"/>
          <w:szCs w:val="22"/>
          <w:lang w:val="en-US"/>
        </w:rPr>
        <w:t>. To utilize e-decisions for the addition of subjects to the TPPT work programme may also be considered.</w:t>
      </w:r>
    </w:p>
    <w:p w14:paraId="5CF98D2E" w14:textId="111491FC"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Similarly to the process for DPs, the SC may consider having an expert consultation for draft PTs, at earlier stages of development, which could be performed at any time of the year (according to the Secretariat’s schedule and resources) and would be followed by one country consultation.</w:t>
      </w:r>
    </w:p>
    <w:p w14:paraId="6CAA05C9" w14:textId="3FE6DB5F"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 xml:space="preserve">Alternatively, if PTs follow the regular process the need for second consultation may be justified in some cases, however if the SC considers that comments are adequately addressed (the responses to comments are made </w:t>
      </w:r>
      <w:r w:rsidR="00AF5CB9" w:rsidRPr="00ED7265">
        <w:rPr>
          <w:rFonts w:eastAsia="Times"/>
          <w:szCs w:val="22"/>
          <w:lang w:val="en-US"/>
        </w:rPr>
        <w:t>publicly</w:t>
      </w:r>
      <w:r w:rsidRPr="00ED7265">
        <w:rPr>
          <w:rFonts w:eastAsia="Times"/>
          <w:szCs w:val="22"/>
          <w:lang w:val="en-US"/>
        </w:rPr>
        <w:t xml:space="preserve"> available in case of PTs), they may recommend the treatment for immediate adoption instead of the second consultation.</w:t>
      </w:r>
    </w:p>
    <w:p w14:paraId="51ACD552" w14:textId="0642C77E"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Additionally, the SC may also consider having two consultation periods per ye</w:t>
      </w:r>
      <w:r w:rsidR="00F60C62">
        <w:rPr>
          <w:rFonts w:eastAsia="Times"/>
          <w:szCs w:val="22"/>
          <w:lang w:val="en-US"/>
        </w:rPr>
        <w:t>ar (already a precedent for DPs</w:t>
      </w:r>
      <w:r w:rsidRPr="00ED7265">
        <w:rPr>
          <w:rFonts w:eastAsia="Times"/>
          <w:szCs w:val="22"/>
          <w:lang w:val="en-US"/>
        </w:rPr>
        <w:t>), noting that this will depend on Secretariat’s resources. Moreover, the SC may also consider revisiting the adoption process, noting that for DPs the CPM had delegated its authority to the SC to adopt DPs on behalf of the CPM.</w:t>
      </w:r>
    </w:p>
    <w:p w14:paraId="6E809ACE" w14:textId="0DA03BC2" w:rsidR="004C420F" w:rsidRPr="00ED7265" w:rsidRDefault="00ED7265" w:rsidP="009F792F">
      <w:pPr>
        <w:pStyle w:val="IPPHeading1"/>
        <w:rPr>
          <w:lang w:val="en-US"/>
        </w:rPr>
      </w:pPr>
      <w:r w:rsidRPr="00ED7265">
        <w:rPr>
          <w:lang w:val="en-US"/>
        </w:rPr>
        <w:t xml:space="preserve">3.2 </w:t>
      </w:r>
      <w:r w:rsidR="004C420F" w:rsidRPr="00ED7265">
        <w:rPr>
          <w:lang w:val="en-US"/>
        </w:rPr>
        <w:t>TPPT discussion</w:t>
      </w:r>
    </w:p>
    <w:p w14:paraId="56BFBFE1" w14:textId="3DE31E5E"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During their July</w:t>
      </w:r>
      <w:r w:rsidR="007904DA">
        <w:rPr>
          <w:rFonts w:eastAsia="Times"/>
          <w:szCs w:val="22"/>
          <w:lang w:val="en-US"/>
        </w:rPr>
        <w:t> </w:t>
      </w:r>
      <w:r w:rsidRPr="00ED7265">
        <w:rPr>
          <w:rFonts w:eastAsia="Times"/>
          <w:szCs w:val="22"/>
          <w:lang w:val="en-US"/>
        </w:rPr>
        <w:t>2019 meeting the TPPT discussed the length of the standard PT development process and the linkages with the newly endorsed 2020-2030 IPPC Strategic Framework as reported below (extracts from the TPPT July</w:t>
      </w:r>
      <w:r w:rsidR="007904DA">
        <w:rPr>
          <w:rFonts w:eastAsia="Times"/>
          <w:szCs w:val="22"/>
          <w:lang w:val="en-US"/>
        </w:rPr>
        <w:t> </w:t>
      </w:r>
      <w:r w:rsidRPr="00ED7265">
        <w:rPr>
          <w:rFonts w:eastAsia="Times"/>
          <w:szCs w:val="22"/>
          <w:lang w:val="en-US"/>
        </w:rPr>
        <w:t>2019 draft meeting report).</w:t>
      </w:r>
    </w:p>
    <w:p w14:paraId="1530FC13" w14:textId="004B3A3F" w:rsidR="004C420F" w:rsidRPr="00ED7265" w:rsidRDefault="004C420F" w:rsidP="004C420F">
      <w:pPr>
        <w:keepNext/>
        <w:tabs>
          <w:tab w:val="left" w:pos="567"/>
        </w:tabs>
        <w:spacing w:before="120" w:after="120" w:line="259" w:lineRule="auto"/>
        <w:ind w:left="567" w:hanging="567"/>
        <w:jc w:val="left"/>
        <w:rPr>
          <w:rFonts w:eastAsia="Times"/>
          <w:b/>
          <w:i/>
          <w:szCs w:val="22"/>
          <w:lang w:val="en-US"/>
        </w:rPr>
      </w:pPr>
      <w:r w:rsidRPr="00ED7265">
        <w:rPr>
          <w:rFonts w:eastAsia="Times"/>
          <w:b/>
          <w:i/>
          <w:szCs w:val="22"/>
          <w:lang w:val="en-US"/>
        </w:rPr>
        <w:t xml:space="preserve">Length of </w:t>
      </w:r>
      <w:r w:rsidR="002161A7">
        <w:rPr>
          <w:rFonts w:eastAsia="Times"/>
          <w:b/>
          <w:i/>
          <w:szCs w:val="22"/>
          <w:lang w:val="en-US"/>
        </w:rPr>
        <w:t>S</w:t>
      </w:r>
      <w:r w:rsidR="002161A7" w:rsidRPr="00ED7265">
        <w:rPr>
          <w:rFonts w:eastAsia="Times"/>
          <w:b/>
          <w:i/>
          <w:szCs w:val="22"/>
          <w:lang w:val="en-US"/>
        </w:rPr>
        <w:t xml:space="preserve">tandard </w:t>
      </w:r>
      <w:r w:rsidR="002161A7">
        <w:rPr>
          <w:rFonts w:eastAsia="Times"/>
          <w:b/>
          <w:i/>
          <w:szCs w:val="22"/>
          <w:lang w:val="en-US"/>
        </w:rPr>
        <w:t>S</w:t>
      </w:r>
      <w:r w:rsidR="002161A7" w:rsidRPr="00ED7265">
        <w:rPr>
          <w:rFonts w:eastAsia="Times"/>
          <w:b/>
          <w:i/>
          <w:szCs w:val="22"/>
          <w:lang w:val="en-US"/>
        </w:rPr>
        <w:t xml:space="preserve">etting </w:t>
      </w:r>
      <w:r w:rsidR="002161A7">
        <w:rPr>
          <w:rFonts w:eastAsia="Times"/>
          <w:b/>
          <w:i/>
          <w:szCs w:val="22"/>
          <w:lang w:val="en-US"/>
        </w:rPr>
        <w:t>P</w:t>
      </w:r>
      <w:r w:rsidR="002161A7" w:rsidRPr="00ED7265">
        <w:rPr>
          <w:rFonts w:eastAsia="Times"/>
          <w:b/>
          <w:i/>
          <w:szCs w:val="22"/>
          <w:lang w:val="en-US"/>
        </w:rPr>
        <w:t>rocess</w:t>
      </w:r>
      <w:r w:rsidRPr="00ED7265">
        <w:rPr>
          <w:rFonts w:eastAsia="Times"/>
          <w:b/>
          <w:i/>
          <w:szCs w:val="22"/>
          <w:lang w:val="en-US"/>
        </w:rPr>
        <w:t>: PT development</w:t>
      </w:r>
    </w:p>
    <w:p w14:paraId="0FC33626" w14:textId="59AA0C01" w:rsidR="004C420F" w:rsidRPr="00ED7265" w:rsidRDefault="004C420F" w:rsidP="0039363C">
      <w:pPr>
        <w:numPr>
          <w:ilvl w:val="0"/>
          <w:numId w:val="8"/>
        </w:numPr>
        <w:spacing w:after="180" w:line="259" w:lineRule="auto"/>
        <w:rPr>
          <w:rFonts w:eastAsia="Times"/>
          <w:szCs w:val="22"/>
        </w:rPr>
      </w:pPr>
      <w:r w:rsidRPr="00ED7265">
        <w:rPr>
          <w:rFonts w:eastAsia="Times"/>
          <w:szCs w:val="22"/>
        </w:rPr>
        <w:t>The TPPT discussed the length of the processes and how to potentially shorten it and proposed the following:</w:t>
      </w:r>
    </w:p>
    <w:p w14:paraId="4F00F6C4" w14:textId="5064194C" w:rsidR="004C420F" w:rsidRPr="00ED7265" w:rsidRDefault="004C420F" w:rsidP="0039363C">
      <w:pPr>
        <w:numPr>
          <w:ilvl w:val="0"/>
          <w:numId w:val="8"/>
        </w:numPr>
        <w:spacing w:after="180" w:line="259" w:lineRule="auto"/>
        <w:rPr>
          <w:rFonts w:eastAsia="Times"/>
          <w:b/>
          <w:szCs w:val="22"/>
          <w:lang w:val="en-US"/>
        </w:rPr>
      </w:pPr>
      <w:r w:rsidRPr="00ED7265">
        <w:rPr>
          <w:rFonts w:eastAsia="Times"/>
          <w:b/>
          <w:szCs w:val="22"/>
        </w:rPr>
        <w:t>Improve</w:t>
      </w:r>
      <w:r w:rsidRPr="00ED7265">
        <w:rPr>
          <w:rFonts w:eastAsia="Times"/>
          <w:b/>
          <w:szCs w:val="22"/>
          <w:lang w:val="en-US"/>
        </w:rPr>
        <w:t xml:space="preserve"> the quality of submissions</w:t>
      </w:r>
      <w:r w:rsidRPr="00ED7265">
        <w:rPr>
          <w:rFonts w:eastAsia="Times"/>
          <w:szCs w:val="22"/>
          <w:lang w:val="en-US"/>
        </w:rPr>
        <w:t>: The TPPT considered how to aid countries to improve the quality of their submissions. If the submissions would arrive complete with the research data necessary to evaluate the submission, the time to develop a new PT would be significantly shorter, as the lengthy process of requesting further information from the submitter could be avoided. This is an issue that concerns the conducting of research in a way that allows the calculation of efficacy and also the quality of the submission e.g. how much detail is presented in the supporting data.</w:t>
      </w:r>
    </w:p>
    <w:p w14:paraId="7307A86C" w14:textId="77777777" w:rsidR="004C420F" w:rsidRPr="00ED7265" w:rsidRDefault="004C420F" w:rsidP="0039363C">
      <w:pPr>
        <w:numPr>
          <w:ilvl w:val="0"/>
          <w:numId w:val="8"/>
        </w:numPr>
        <w:spacing w:after="180" w:line="259" w:lineRule="auto"/>
        <w:rPr>
          <w:rFonts w:eastAsia="Times"/>
          <w:b/>
          <w:szCs w:val="22"/>
          <w:lang w:val="en-US"/>
        </w:rPr>
      </w:pPr>
      <w:r w:rsidRPr="00ED7265">
        <w:rPr>
          <w:rFonts w:eastAsia="Times"/>
          <w:szCs w:val="22"/>
          <w:lang w:val="en-US"/>
        </w:rPr>
        <w:t>To address the research methods and clarify what are the necessary requirements of a research study that could sufficiently support a PT, the Phytosanitary Measures Research Group (PMRG) is continuously working on the development of research guidelines for different treatment types, and research guidelines for vapor heat treatments and cold treatments are already available</w:t>
      </w:r>
      <w:r w:rsidRPr="00ED7265">
        <w:rPr>
          <w:rFonts w:eastAsia="Times"/>
          <w:szCs w:val="22"/>
          <w:vertAlign w:val="superscript"/>
          <w:lang w:val="en-US"/>
        </w:rPr>
        <w:footnoteReference w:id="5"/>
      </w:r>
      <w:r w:rsidRPr="00ED7265">
        <w:rPr>
          <w:rFonts w:eastAsia="Times"/>
          <w:szCs w:val="22"/>
          <w:lang w:val="en-US"/>
        </w:rPr>
        <w:t>.</w:t>
      </w:r>
    </w:p>
    <w:p w14:paraId="07D534AB" w14:textId="2B2B4E7B" w:rsidR="004C420F" w:rsidRPr="00ED7265" w:rsidRDefault="004C420F" w:rsidP="0039363C">
      <w:pPr>
        <w:numPr>
          <w:ilvl w:val="0"/>
          <w:numId w:val="8"/>
        </w:numPr>
        <w:spacing w:after="180" w:line="259" w:lineRule="auto"/>
        <w:rPr>
          <w:rFonts w:eastAsia="Times"/>
          <w:szCs w:val="22"/>
          <w:lang w:val="en-US"/>
        </w:rPr>
      </w:pPr>
      <w:r w:rsidRPr="00ED7265">
        <w:rPr>
          <w:rFonts w:eastAsia="Times"/>
          <w:szCs w:val="22"/>
          <w:lang w:val="en-US"/>
        </w:rPr>
        <w:t xml:space="preserve">In order to further improve the quality of submissions, the TPPT decided to revise the submission form. One member suggested to consider developing different submission forms for the different treatment types. </w:t>
      </w:r>
      <w:r w:rsidR="000C04FB">
        <w:rPr>
          <w:rFonts w:eastAsia="Times"/>
          <w:szCs w:val="22"/>
          <w:lang w:val="en-US"/>
        </w:rPr>
        <w:t>Two TPPT members</w:t>
      </w:r>
      <w:r w:rsidRPr="00ED7265">
        <w:rPr>
          <w:rFonts w:eastAsia="Times"/>
          <w:szCs w:val="22"/>
          <w:lang w:val="en-US"/>
        </w:rPr>
        <w:t xml:space="preserve"> volunteered to review the checklist for evaluating treatment submissions and the submission form taking into account the PMRG guidelines and the recent experiences on evaluating treatment submissions to make it more user friendly and highlight better the necessary elements of the submission.</w:t>
      </w:r>
    </w:p>
    <w:p w14:paraId="66CD1B51" w14:textId="3D724D07" w:rsidR="000C04FB" w:rsidRPr="00F3275B" w:rsidRDefault="004C420F" w:rsidP="0039363C">
      <w:pPr>
        <w:numPr>
          <w:ilvl w:val="0"/>
          <w:numId w:val="8"/>
        </w:numPr>
        <w:spacing w:after="180" w:line="259" w:lineRule="auto"/>
        <w:rPr>
          <w:rFonts w:eastAsia="Times"/>
          <w:b/>
          <w:szCs w:val="22"/>
          <w:lang w:val="en-US"/>
        </w:rPr>
      </w:pPr>
      <w:r w:rsidRPr="00ED7265">
        <w:rPr>
          <w:rFonts w:eastAsia="Times"/>
          <w:b/>
          <w:szCs w:val="22"/>
          <w:lang w:val="en-US"/>
        </w:rPr>
        <w:t xml:space="preserve">Reduced number of consultation periods. </w:t>
      </w:r>
      <w:r w:rsidRPr="00ED7265">
        <w:rPr>
          <w:rFonts w:eastAsia="Times"/>
          <w:szCs w:val="22"/>
          <w:lang w:val="en-US"/>
        </w:rPr>
        <w:t>The TPPT also discussed the number of consultations necessary to balance the need to ensure a thorough review of the PTs but also to speed up the process. It was discussed that many PTs are very technical and straightforward, are composed of short documents, and the SC may decide that one consultation is enough if there is no significant concern submitted during consultation with the draft PT.</w:t>
      </w:r>
    </w:p>
    <w:tbl>
      <w:tblPr>
        <w:tblStyle w:val="TableGrid"/>
        <w:tblW w:w="0" w:type="auto"/>
        <w:tblLook w:val="04A0" w:firstRow="1" w:lastRow="0" w:firstColumn="1" w:lastColumn="0" w:noHBand="0" w:noVBand="1"/>
      </w:tblPr>
      <w:tblGrid>
        <w:gridCol w:w="9016"/>
      </w:tblGrid>
      <w:tr w:rsidR="000C04FB" w14:paraId="35ABC0BD" w14:textId="77777777" w:rsidTr="000C04FB">
        <w:tc>
          <w:tcPr>
            <w:tcW w:w="9016" w:type="dxa"/>
          </w:tcPr>
          <w:p w14:paraId="430BC5B0" w14:textId="6CA0E067" w:rsidR="000C04FB" w:rsidRDefault="000C04FB" w:rsidP="009F792F">
            <w:pPr>
              <w:pStyle w:val="IPPNormalCloseSpace"/>
              <w:rPr>
                <w:b/>
                <w:lang w:val="en-US"/>
              </w:rPr>
            </w:pPr>
            <w:r w:rsidRPr="004C420F">
              <w:rPr>
                <w:b/>
                <w:lang w:val="en-US"/>
              </w:rPr>
              <w:t xml:space="preserve">Secretariat note: </w:t>
            </w:r>
            <w:r w:rsidRPr="004C420F">
              <w:rPr>
                <w:lang w:val="en-US"/>
              </w:rPr>
              <w:t xml:space="preserve">The </w:t>
            </w:r>
            <w:r w:rsidR="002161A7">
              <w:rPr>
                <w:lang w:val="en-US"/>
              </w:rPr>
              <w:t>SSP</w:t>
            </w:r>
            <w:r w:rsidRPr="004C420F">
              <w:rPr>
                <w:lang w:val="en-US"/>
              </w:rPr>
              <w:t xml:space="preserve"> contains the following: “Draft ISPMs are submitted to two consultation periods except for draft DPs which are submitted to one consultation period unless decided otherwise by the SC.</w:t>
            </w:r>
            <w:r w:rsidR="00743FDB">
              <w:rPr>
                <w:lang w:val="en-US"/>
              </w:rPr>
              <w:t>”</w:t>
            </w:r>
          </w:p>
        </w:tc>
      </w:tr>
    </w:tbl>
    <w:p w14:paraId="3E038314" w14:textId="77777777" w:rsidR="00F46A2F" w:rsidRDefault="00F46A2F" w:rsidP="009F792F">
      <w:pPr>
        <w:spacing w:after="180" w:line="259" w:lineRule="auto"/>
        <w:rPr>
          <w:rFonts w:asciiTheme="minorHAnsi" w:eastAsia="Times" w:hAnsiTheme="minorHAnsi" w:cstheme="minorBidi"/>
          <w:b/>
          <w:szCs w:val="22"/>
          <w:lang w:val="en-US"/>
        </w:rPr>
      </w:pPr>
    </w:p>
    <w:p w14:paraId="647C0D11" w14:textId="18F9B0E2" w:rsidR="004C420F" w:rsidRPr="004C420F" w:rsidRDefault="004C420F" w:rsidP="000C04FB">
      <w:pPr>
        <w:spacing w:after="180" w:line="259" w:lineRule="auto"/>
        <w:jc w:val="center"/>
        <w:rPr>
          <w:rFonts w:asciiTheme="minorHAnsi" w:eastAsia="Times" w:hAnsiTheme="minorHAnsi" w:cstheme="minorBidi"/>
          <w:b/>
          <w:szCs w:val="22"/>
          <w:lang w:val="en-US"/>
        </w:rPr>
      </w:pPr>
      <w:r w:rsidRPr="004C420F">
        <w:rPr>
          <w:rFonts w:asciiTheme="minorHAnsi" w:eastAsia="Times" w:hAnsiTheme="minorHAnsi" w:cstheme="minorBidi"/>
          <w:i/>
          <w:noProof/>
          <w:szCs w:val="22"/>
          <w:lang w:val="en-US"/>
        </w:rPr>
        <w:drawing>
          <wp:inline distT="0" distB="0" distL="0" distR="0" wp14:anchorId="381FD4F0" wp14:editId="41ED90B8">
            <wp:extent cx="3364770" cy="1881963"/>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T_Cons.png"/>
                    <pic:cNvPicPr/>
                  </pic:nvPicPr>
                  <pic:blipFill rotWithShape="1">
                    <a:blip r:embed="rId14" cstate="print">
                      <a:extLst>
                        <a:ext uri="{28A0092B-C50C-407E-A947-70E740481C1C}">
                          <a14:useLocalDpi xmlns:a14="http://schemas.microsoft.com/office/drawing/2010/main" val="0"/>
                        </a:ext>
                      </a:extLst>
                    </a:blip>
                    <a:srcRect t="1392" b="12474"/>
                    <a:stretch/>
                  </pic:blipFill>
                  <pic:spPr bwMode="auto">
                    <a:xfrm>
                      <a:off x="0" y="0"/>
                      <a:ext cx="3411632" cy="1908173"/>
                    </a:xfrm>
                    <a:prstGeom prst="rect">
                      <a:avLst/>
                    </a:prstGeom>
                    <a:ln>
                      <a:noFill/>
                    </a:ln>
                    <a:extLst>
                      <a:ext uri="{53640926-AAD7-44D8-BBD7-CCE9431645EC}">
                        <a14:shadowObscured xmlns:a14="http://schemas.microsoft.com/office/drawing/2010/main"/>
                      </a:ext>
                    </a:extLst>
                  </pic:spPr>
                </pic:pic>
              </a:graphicData>
            </a:graphic>
          </wp:inline>
        </w:drawing>
      </w:r>
    </w:p>
    <w:p w14:paraId="060E20E5" w14:textId="5D30A0EA" w:rsidR="004C420F" w:rsidRDefault="000C04FB" w:rsidP="004C420F">
      <w:pPr>
        <w:spacing w:before="60" w:after="60" w:line="259" w:lineRule="auto"/>
        <w:jc w:val="center"/>
        <w:rPr>
          <w:rFonts w:ascii="Arial" w:eastAsia="Times" w:hAnsi="Arial" w:cstheme="minorBidi"/>
          <w:sz w:val="18"/>
          <w:szCs w:val="22"/>
          <w:lang w:val="en-US"/>
        </w:rPr>
      </w:pPr>
      <w:r>
        <w:rPr>
          <w:rFonts w:ascii="Arial" w:eastAsia="Times" w:hAnsi="Arial" w:cstheme="minorBidi"/>
          <w:b/>
          <w:sz w:val="18"/>
          <w:szCs w:val="22"/>
          <w:lang w:val="en-US"/>
        </w:rPr>
        <w:t xml:space="preserve">Figure </w:t>
      </w:r>
      <w:r w:rsidR="00107E43">
        <w:rPr>
          <w:rFonts w:ascii="Arial" w:eastAsia="Times" w:hAnsi="Arial" w:cstheme="minorBidi"/>
          <w:b/>
          <w:sz w:val="18"/>
          <w:szCs w:val="22"/>
          <w:lang w:val="en-US"/>
        </w:rPr>
        <w:t>6</w:t>
      </w:r>
      <w:r w:rsidR="004C420F" w:rsidRPr="004C420F">
        <w:rPr>
          <w:rFonts w:ascii="Arial" w:eastAsia="Times" w:hAnsi="Arial" w:cstheme="minorBidi"/>
          <w:sz w:val="18"/>
          <w:szCs w:val="22"/>
          <w:lang w:val="en-US"/>
        </w:rPr>
        <w:t>. Number of consultation periods for phytosanitary treatments (PTs) – proposed modification highlighted in red as “SC: recommends for adoption or for second consultation”.</w:t>
      </w:r>
    </w:p>
    <w:p w14:paraId="769B3E2C" w14:textId="77777777" w:rsidR="00F46A2F" w:rsidRPr="004C420F" w:rsidRDefault="00F46A2F" w:rsidP="004C420F">
      <w:pPr>
        <w:spacing w:before="60" w:after="60" w:line="259" w:lineRule="auto"/>
        <w:jc w:val="center"/>
        <w:rPr>
          <w:rFonts w:ascii="Arial" w:eastAsia="Times" w:hAnsi="Arial" w:cstheme="minorBidi"/>
          <w:sz w:val="18"/>
          <w:szCs w:val="22"/>
          <w:lang w:val="en-US"/>
        </w:rPr>
      </w:pPr>
    </w:p>
    <w:p w14:paraId="6710A1E5" w14:textId="0AE989A3" w:rsidR="004C420F" w:rsidRPr="000C04FB" w:rsidRDefault="004C420F" w:rsidP="0039363C">
      <w:pPr>
        <w:numPr>
          <w:ilvl w:val="0"/>
          <w:numId w:val="8"/>
        </w:numPr>
        <w:spacing w:after="180" w:line="259" w:lineRule="auto"/>
        <w:rPr>
          <w:rFonts w:eastAsia="Times"/>
          <w:szCs w:val="22"/>
          <w:lang w:val="en-US"/>
        </w:rPr>
      </w:pPr>
      <w:r w:rsidRPr="000C04FB">
        <w:rPr>
          <w:rFonts w:eastAsia="Times"/>
          <w:b/>
          <w:szCs w:val="22"/>
          <w:lang w:val="en-US"/>
        </w:rPr>
        <w:t>Timing of consultation process and meetings</w:t>
      </w:r>
      <w:r w:rsidRPr="000C04FB">
        <w:rPr>
          <w:rFonts w:eastAsia="Times"/>
          <w:szCs w:val="22"/>
          <w:lang w:val="en-US"/>
        </w:rPr>
        <w:t>: The TPPT noted that often the approved PTs await consultation for a lengthy period, as the consultation period has fixed dates, and therefore, timing the meetings differently would allow to shorten the delay before the consultation. It was discussed that the Secretariat schedule would allow the meetings to be held in January or February in order to submit draft PTs for the 1 July consultation period, but not later due to other meeting</w:t>
      </w:r>
      <w:r w:rsidR="000C04FB" w:rsidRPr="000C04FB">
        <w:rPr>
          <w:rFonts w:eastAsia="Times"/>
          <w:szCs w:val="22"/>
          <w:lang w:val="en-US"/>
        </w:rPr>
        <w:t>s the Secretariat needs to care</w:t>
      </w:r>
      <w:r w:rsidRPr="000C04FB">
        <w:rPr>
          <w:rFonts w:eastAsia="Times"/>
          <w:szCs w:val="22"/>
          <w:lang w:val="en-US"/>
        </w:rPr>
        <w:t xml:space="preserve"> for. The TPPT also considered the possibility to have another consultation period in December-January parallel to the DP notification period in order to speed up the process.</w:t>
      </w:r>
    </w:p>
    <w:p w14:paraId="041FAA95" w14:textId="2ACC0128" w:rsidR="004C420F" w:rsidRPr="000C04FB" w:rsidRDefault="004C420F" w:rsidP="0039363C">
      <w:pPr>
        <w:numPr>
          <w:ilvl w:val="0"/>
          <w:numId w:val="8"/>
        </w:numPr>
        <w:spacing w:after="180" w:line="259" w:lineRule="auto"/>
        <w:rPr>
          <w:rFonts w:eastAsia="Times"/>
          <w:szCs w:val="22"/>
          <w:lang w:val="en-US"/>
        </w:rPr>
      </w:pPr>
      <w:r w:rsidRPr="000C04FB">
        <w:rPr>
          <w:rFonts w:eastAsia="Times"/>
          <w:szCs w:val="22"/>
          <w:lang w:val="en-US"/>
        </w:rPr>
        <w:t xml:space="preserve">The TPPT agreed to present the outcome of their deliberation to the SC in order to consider the way forward and invited the SC to consider the possibility of having </w:t>
      </w:r>
      <w:r w:rsidR="00F46A2F">
        <w:rPr>
          <w:rFonts w:eastAsia="Times"/>
          <w:szCs w:val="22"/>
          <w:lang w:val="en-US"/>
        </w:rPr>
        <w:t>two</w:t>
      </w:r>
      <w:r w:rsidR="00F46A2F" w:rsidRPr="000C04FB">
        <w:rPr>
          <w:rFonts w:eastAsia="Times"/>
          <w:szCs w:val="22"/>
          <w:lang w:val="en-US"/>
        </w:rPr>
        <w:t xml:space="preserve"> </w:t>
      </w:r>
      <w:r w:rsidRPr="000C04FB">
        <w:rPr>
          <w:rFonts w:eastAsia="Times"/>
          <w:szCs w:val="22"/>
          <w:lang w:val="en-US"/>
        </w:rPr>
        <w:t>consultation periods in a given year for PTs and to give guidance on the minimum number of consultation periods necessary for PTs.</w:t>
      </w:r>
    </w:p>
    <w:p w14:paraId="61244FC6" w14:textId="6F55384A" w:rsidR="004C420F" w:rsidRPr="000C04FB" w:rsidRDefault="004C420F" w:rsidP="0039363C">
      <w:pPr>
        <w:numPr>
          <w:ilvl w:val="0"/>
          <w:numId w:val="8"/>
        </w:numPr>
        <w:spacing w:after="180" w:line="259" w:lineRule="auto"/>
        <w:rPr>
          <w:rFonts w:eastAsia="Times"/>
          <w:szCs w:val="22"/>
          <w:lang w:val="en-US"/>
        </w:rPr>
      </w:pPr>
      <w:r w:rsidRPr="000C04FB">
        <w:rPr>
          <w:rFonts w:eastAsia="Times"/>
          <w:b/>
          <w:szCs w:val="22"/>
          <w:lang w:val="en-US"/>
        </w:rPr>
        <w:t>Commodity standards and TPPT</w:t>
      </w:r>
      <w:r w:rsidRPr="000C04FB">
        <w:rPr>
          <w:rFonts w:eastAsia="Times"/>
          <w:szCs w:val="22"/>
          <w:lang w:val="en-US"/>
        </w:rPr>
        <w:t xml:space="preserve">. The TPPT discussed how they could contribute to the goals of the development agenda and the </w:t>
      </w:r>
      <w:r w:rsidR="003D2336">
        <w:rPr>
          <w:rFonts w:eastAsia="Times"/>
          <w:szCs w:val="22"/>
          <w:lang w:val="en-US"/>
        </w:rPr>
        <w:t>Strategic Framework</w:t>
      </w:r>
      <w:r w:rsidRPr="000C04FB">
        <w:rPr>
          <w:rFonts w:eastAsia="Times"/>
          <w:szCs w:val="22"/>
          <w:lang w:val="en-US"/>
        </w:rPr>
        <w:t>, in relation to the commodity standards.</w:t>
      </w:r>
    </w:p>
    <w:p w14:paraId="505D5626" w14:textId="532CEAAF" w:rsidR="004C420F" w:rsidRPr="00742C52" w:rsidRDefault="004C420F" w:rsidP="0039363C">
      <w:pPr>
        <w:numPr>
          <w:ilvl w:val="0"/>
          <w:numId w:val="8"/>
        </w:numPr>
        <w:spacing w:after="180" w:line="259" w:lineRule="auto"/>
        <w:rPr>
          <w:rFonts w:eastAsia="Times"/>
          <w:szCs w:val="22"/>
          <w:lang w:val="en-US"/>
        </w:rPr>
      </w:pPr>
      <w:r w:rsidRPr="00742C52">
        <w:rPr>
          <w:rFonts w:eastAsia="Times"/>
          <w:szCs w:val="22"/>
          <w:lang w:val="en-US"/>
        </w:rPr>
        <w:t>The TPPT considered that commodity standards would include several different kind of phytosanitary measures, among them treatments. They expressed their willingness to provide input in the process of developing commodity standards and associated phytosanitary measures. The TPPT considered that because of the diversity of potential measures, the same level of rigor cannot be expected in the evaluation of those as for the annexes to ISPM</w:t>
      </w:r>
      <w:r w:rsidR="00B85B40">
        <w:rPr>
          <w:rFonts w:eastAsia="Times"/>
          <w:szCs w:val="22"/>
          <w:lang w:val="en-US"/>
        </w:rPr>
        <w:t> </w:t>
      </w:r>
      <w:r w:rsidRPr="00742C52">
        <w:rPr>
          <w:rFonts w:eastAsia="Times"/>
          <w:szCs w:val="22"/>
          <w:lang w:val="en-US"/>
        </w:rPr>
        <w:t>28. For example</w:t>
      </w:r>
      <w:r w:rsidR="00B85B40">
        <w:rPr>
          <w:rFonts w:eastAsia="Times"/>
          <w:szCs w:val="22"/>
          <w:lang w:val="en-US"/>
        </w:rPr>
        <w:t>,</w:t>
      </w:r>
      <w:r w:rsidRPr="00742C52">
        <w:rPr>
          <w:rFonts w:eastAsia="Times"/>
          <w:szCs w:val="22"/>
          <w:lang w:val="en-US"/>
        </w:rPr>
        <w:t xml:space="preserve"> one member mentioned that</w:t>
      </w:r>
      <w:r w:rsidR="00B85B40">
        <w:rPr>
          <w:rFonts w:eastAsia="Times"/>
          <w:szCs w:val="22"/>
          <w:lang w:val="en-US"/>
        </w:rPr>
        <w:t>,</w:t>
      </w:r>
      <w:r w:rsidRPr="00742C52">
        <w:rPr>
          <w:rFonts w:eastAsia="Times"/>
          <w:szCs w:val="22"/>
          <w:lang w:val="en-US"/>
        </w:rPr>
        <w:t xml:space="preserve"> if the commodity is resistant (e.g.</w:t>
      </w:r>
      <w:r w:rsidR="00B85B40">
        <w:rPr>
          <w:rFonts w:eastAsia="Times"/>
          <w:szCs w:val="22"/>
          <w:lang w:val="en-US"/>
        </w:rPr>
        <w:t> </w:t>
      </w:r>
      <w:r w:rsidRPr="00742C52">
        <w:rPr>
          <w:rFonts w:eastAsia="Times"/>
          <w:szCs w:val="22"/>
          <w:lang w:val="en-US"/>
        </w:rPr>
        <w:t>wood), a sufficiently robust treatment can be designed that would kill every pest that could be assumed to be present and rigorous evaluation of the supporting data is not as crucial as in cases where sensitive commodities, like fruits need to be treated with the lowest possible effective dose.</w:t>
      </w:r>
      <w:r w:rsidR="00742C52">
        <w:rPr>
          <w:rFonts w:eastAsia="Times"/>
          <w:szCs w:val="22"/>
          <w:lang w:val="en-US"/>
        </w:rPr>
        <w:t xml:space="preserve"> </w:t>
      </w:r>
      <w:r w:rsidRPr="00742C52">
        <w:rPr>
          <w:rFonts w:eastAsia="Times"/>
          <w:szCs w:val="22"/>
          <w:lang w:val="en-US"/>
        </w:rPr>
        <w:t>One member highlighted the importance of the developed databases (e.g.</w:t>
      </w:r>
      <w:r w:rsidR="00B85B40">
        <w:rPr>
          <w:rFonts w:eastAsia="Times"/>
          <w:szCs w:val="22"/>
          <w:lang w:val="en-US"/>
        </w:rPr>
        <w:t> </w:t>
      </w:r>
      <w:r w:rsidRPr="00742C52">
        <w:rPr>
          <w:rFonts w:eastAsia="Times"/>
          <w:szCs w:val="22"/>
          <w:lang w:val="en-US"/>
        </w:rPr>
        <w:t>the commodity tolerance database, or the PT search tool) and to consider and utilize these when developing commodity standards.</w:t>
      </w:r>
    </w:p>
    <w:p w14:paraId="27BECF57" w14:textId="539644A0" w:rsidR="004C420F" w:rsidRPr="000C04FB" w:rsidRDefault="004C420F" w:rsidP="0039363C">
      <w:pPr>
        <w:numPr>
          <w:ilvl w:val="0"/>
          <w:numId w:val="8"/>
        </w:numPr>
        <w:spacing w:after="180" w:line="259" w:lineRule="auto"/>
        <w:rPr>
          <w:rFonts w:eastAsia="Times"/>
          <w:szCs w:val="22"/>
          <w:lang w:val="en-US"/>
        </w:rPr>
      </w:pPr>
      <w:r w:rsidRPr="000C04FB">
        <w:rPr>
          <w:rFonts w:eastAsia="Times"/>
          <w:b/>
          <w:szCs w:val="22"/>
          <w:lang w:val="en-US"/>
        </w:rPr>
        <w:t>Historical data</w:t>
      </w:r>
      <w:r w:rsidRPr="000C04FB">
        <w:rPr>
          <w:rFonts w:eastAsia="Times"/>
          <w:szCs w:val="22"/>
          <w:lang w:val="en-US"/>
        </w:rPr>
        <w:t xml:space="preserve">. In some </w:t>
      </w:r>
      <w:r w:rsidR="002C4236" w:rsidRPr="000C04FB">
        <w:rPr>
          <w:rFonts w:eastAsia="Times"/>
          <w:szCs w:val="22"/>
          <w:lang w:val="en-US"/>
        </w:rPr>
        <w:t>cases,</w:t>
      </w:r>
      <w:r w:rsidRPr="000C04FB">
        <w:rPr>
          <w:rFonts w:eastAsia="Times"/>
          <w:szCs w:val="22"/>
          <w:lang w:val="en-US"/>
        </w:rPr>
        <w:t xml:space="preserve"> the evaluation of historical data may be </w:t>
      </w:r>
      <w:r w:rsidR="00F32EA9" w:rsidRPr="000C04FB">
        <w:rPr>
          <w:rFonts w:eastAsia="Times"/>
          <w:szCs w:val="22"/>
          <w:lang w:val="en-US"/>
        </w:rPr>
        <w:t>necessary,</w:t>
      </w:r>
      <w:r w:rsidRPr="000C04FB">
        <w:rPr>
          <w:rFonts w:eastAsia="Times"/>
          <w:szCs w:val="22"/>
          <w:lang w:val="en-US"/>
        </w:rPr>
        <w:t xml:space="preserve"> and the Steward queried whether it was possible to develop criteria to adopt treatments based on successful use rather than the research data. The TPPT considered that the evaluation of historical data was difficult to consider as a basis for treatments under ISPM</w:t>
      </w:r>
      <w:r w:rsidR="00B85B40">
        <w:rPr>
          <w:rFonts w:eastAsia="Times"/>
          <w:szCs w:val="22"/>
          <w:lang w:val="en-US"/>
        </w:rPr>
        <w:t> </w:t>
      </w:r>
      <w:r w:rsidRPr="000C04FB">
        <w:rPr>
          <w:rFonts w:eastAsia="Times"/>
          <w:szCs w:val="22"/>
          <w:lang w:val="en-US"/>
        </w:rPr>
        <w:t>28, as it requires efficacy to be established. It was considered that historical data could be used to establish the efficacy of the treatment in some cases. It was highlighted that this has been discussed before and the SC was presented with a position paper on the acceptance of experience or historical-based phytosanitary treatments (21_SC_2014_May) at their 2014</w:t>
      </w:r>
      <w:r w:rsidR="00743FDB">
        <w:rPr>
          <w:rFonts w:eastAsia="Times"/>
          <w:szCs w:val="22"/>
          <w:lang w:val="en-US"/>
        </w:rPr>
        <w:t> </w:t>
      </w:r>
      <w:r w:rsidRPr="000C04FB">
        <w:rPr>
          <w:rFonts w:eastAsia="Times"/>
          <w:szCs w:val="22"/>
          <w:lang w:val="en-US"/>
        </w:rPr>
        <w:t>May meeting</w:t>
      </w:r>
      <w:r w:rsidRPr="000C04FB">
        <w:rPr>
          <w:rFonts w:eastAsia="Times"/>
          <w:szCs w:val="22"/>
          <w:vertAlign w:val="superscript"/>
          <w:lang w:val="en-US"/>
        </w:rPr>
        <w:footnoteReference w:id="6"/>
      </w:r>
      <w:r w:rsidR="00335219">
        <w:rPr>
          <w:rFonts w:eastAsia="Times"/>
          <w:szCs w:val="22"/>
          <w:lang w:val="en-US"/>
        </w:rPr>
        <w:t>,</w:t>
      </w:r>
      <w:r w:rsidRPr="000C04FB">
        <w:rPr>
          <w:rFonts w:eastAsia="Times"/>
          <w:szCs w:val="22"/>
          <w:lang w:val="en-US"/>
        </w:rPr>
        <w:t xml:space="preserve"> but didn’t agree that the paper should be included in the working procedures of the TPPT.</w:t>
      </w:r>
    </w:p>
    <w:p w14:paraId="07B20554" w14:textId="0D14AA0B" w:rsidR="00E92DD3" w:rsidRPr="00DC5381" w:rsidRDefault="00E92DD3" w:rsidP="009F792F">
      <w:pPr>
        <w:pStyle w:val="IPPHeadSection"/>
      </w:pPr>
      <w:r w:rsidRPr="00DC5381">
        <w:t>4. Possible ways to streamline the Glossary terms development process</w:t>
      </w:r>
    </w:p>
    <w:p w14:paraId="5383197E" w14:textId="63619844" w:rsidR="00E92DD3" w:rsidRDefault="00E92DD3" w:rsidP="00DC5381">
      <w:pPr>
        <w:pStyle w:val="IPPHeading1"/>
      </w:pPr>
      <w:r>
        <w:t>4</w:t>
      </w:r>
      <w:r w:rsidRPr="008C4618">
        <w:t xml:space="preserve">.1 Analysis of </w:t>
      </w:r>
      <w:r>
        <w:t>Glossary terms</w:t>
      </w:r>
      <w:r w:rsidRPr="008C4618">
        <w:t xml:space="preserve"> development by </w:t>
      </w:r>
      <w:r w:rsidR="00E6718B">
        <w:t xml:space="preserve">the IPPC </w:t>
      </w:r>
      <w:r w:rsidRPr="008C4618">
        <w:t>Secretariat</w:t>
      </w:r>
    </w:p>
    <w:p w14:paraId="62EF2634" w14:textId="3D78505E" w:rsidR="000A0BBC" w:rsidRDefault="000A0BBC" w:rsidP="003505DE">
      <w:pPr>
        <w:pStyle w:val="IPPParagraphnumbering"/>
        <w:numPr>
          <w:ilvl w:val="0"/>
          <w:numId w:val="0"/>
        </w:numPr>
        <w:spacing w:line="259" w:lineRule="auto"/>
        <w:rPr>
          <w:szCs w:val="22"/>
        </w:rPr>
      </w:pPr>
      <w:r w:rsidRPr="000A0BBC">
        <w:rPr>
          <w:szCs w:val="22"/>
        </w:rPr>
        <w:t xml:space="preserve">As of </w:t>
      </w:r>
      <w:r w:rsidR="00993B27">
        <w:rPr>
          <w:szCs w:val="22"/>
          <w:lang w:val="en-GB"/>
        </w:rPr>
        <w:t>May</w:t>
      </w:r>
      <w:r w:rsidR="003505DE">
        <w:rPr>
          <w:szCs w:val="22"/>
          <w:lang w:val="en-GB"/>
        </w:rPr>
        <w:t> </w:t>
      </w:r>
      <w:r w:rsidR="00993B27" w:rsidRPr="000A0BBC">
        <w:rPr>
          <w:szCs w:val="22"/>
        </w:rPr>
        <w:t>20</w:t>
      </w:r>
      <w:r w:rsidR="00993B27">
        <w:rPr>
          <w:szCs w:val="22"/>
        </w:rPr>
        <w:t>20</w:t>
      </w:r>
      <w:r w:rsidR="006C0119" w:rsidRPr="000A0BBC">
        <w:rPr>
          <w:szCs w:val="22"/>
        </w:rPr>
        <w:t>,</w:t>
      </w:r>
      <w:r w:rsidRPr="000A0BBC">
        <w:rPr>
          <w:szCs w:val="22"/>
        </w:rPr>
        <w:t xml:space="preserve"> there are </w:t>
      </w:r>
      <w:r w:rsidR="00B36970">
        <w:rPr>
          <w:szCs w:val="22"/>
        </w:rPr>
        <w:t>28</w:t>
      </w:r>
      <w:r w:rsidR="003505DE">
        <w:rPr>
          <w:szCs w:val="22"/>
        </w:rPr>
        <w:t> </w:t>
      </w:r>
      <w:r w:rsidR="00B36970">
        <w:rPr>
          <w:szCs w:val="22"/>
        </w:rPr>
        <w:t>G</w:t>
      </w:r>
      <w:r>
        <w:rPr>
          <w:szCs w:val="22"/>
        </w:rPr>
        <w:t>lossary terms included in the</w:t>
      </w:r>
      <w:r w:rsidR="006C0119">
        <w:rPr>
          <w:szCs w:val="22"/>
        </w:rPr>
        <w:t xml:space="preserve"> TPG work programme</w:t>
      </w:r>
      <w:r w:rsidR="00300B41">
        <w:rPr>
          <w:szCs w:val="22"/>
        </w:rPr>
        <w:t>.</w:t>
      </w:r>
    </w:p>
    <w:p w14:paraId="56AD9CB6" w14:textId="154CDC46" w:rsidR="000A0BBC" w:rsidRDefault="00C20B7B">
      <w:pPr>
        <w:pStyle w:val="IPPParagraphnumbering"/>
        <w:numPr>
          <w:ilvl w:val="0"/>
          <w:numId w:val="0"/>
        </w:numPr>
        <w:spacing w:line="259" w:lineRule="auto"/>
        <w:jc w:val="center"/>
        <w:rPr>
          <w:szCs w:val="22"/>
        </w:rPr>
      </w:pPr>
      <w:r>
        <w:rPr>
          <w:noProof/>
          <w:szCs w:val="22"/>
        </w:rPr>
        <w:drawing>
          <wp:inline distT="0" distB="0" distL="0" distR="0" wp14:anchorId="3CD9EBB6" wp14:editId="4FBF1573">
            <wp:extent cx="5651500" cy="3688461"/>
            <wp:effectExtent l="0" t="0" r="635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68270" cy="3699406"/>
                    </a:xfrm>
                    <a:prstGeom prst="rect">
                      <a:avLst/>
                    </a:prstGeom>
                    <a:noFill/>
                  </pic:spPr>
                </pic:pic>
              </a:graphicData>
            </a:graphic>
          </wp:inline>
        </w:drawing>
      </w:r>
    </w:p>
    <w:p w14:paraId="43120242" w14:textId="1ACC7DD4" w:rsidR="00993B27" w:rsidRDefault="006F4F6A" w:rsidP="006D2917">
      <w:pPr>
        <w:pStyle w:val="IPPArial"/>
        <w:jc w:val="center"/>
        <w:rPr>
          <w:rStyle w:val="IPPNormalbold"/>
          <w:rFonts w:ascii="Arial" w:hAnsi="Arial"/>
          <w:b w:val="0"/>
          <w:sz w:val="18"/>
          <w:szCs w:val="24"/>
          <w:lang w:val="en-GB"/>
        </w:rPr>
      </w:pPr>
      <w:r w:rsidRPr="00FD220E">
        <w:rPr>
          <w:rStyle w:val="IPPNormalbold"/>
          <w:rFonts w:ascii="Arial" w:hAnsi="Arial"/>
          <w:bCs/>
          <w:sz w:val="18"/>
          <w:szCs w:val="24"/>
          <w:lang w:val="en-GB"/>
        </w:rPr>
        <w:t xml:space="preserve">Figure </w:t>
      </w:r>
      <w:r w:rsidR="00DF366A" w:rsidRPr="009F792F">
        <w:rPr>
          <w:rStyle w:val="IPPNormalbold"/>
          <w:rFonts w:ascii="Arial" w:hAnsi="Arial"/>
          <w:bCs/>
          <w:sz w:val="18"/>
          <w:szCs w:val="24"/>
          <w:lang w:val="en-US"/>
        </w:rPr>
        <w:t>7</w:t>
      </w:r>
      <w:r w:rsidRPr="00FD220E">
        <w:rPr>
          <w:rStyle w:val="IPPNormalbold"/>
          <w:rFonts w:ascii="Arial" w:hAnsi="Arial"/>
          <w:bCs/>
          <w:sz w:val="18"/>
          <w:szCs w:val="24"/>
          <w:lang w:val="en-GB"/>
        </w:rPr>
        <w:t>:</w:t>
      </w:r>
      <w:r w:rsidRPr="00FD220E">
        <w:rPr>
          <w:rStyle w:val="IPPNormalbold"/>
          <w:rFonts w:ascii="Arial" w:hAnsi="Arial"/>
          <w:b w:val="0"/>
          <w:sz w:val="18"/>
          <w:szCs w:val="24"/>
          <w:lang w:val="en-GB"/>
        </w:rPr>
        <w:t xml:space="preserve"> </w:t>
      </w:r>
      <w:r>
        <w:rPr>
          <w:rStyle w:val="IPPNormalbold"/>
          <w:rFonts w:ascii="Arial" w:hAnsi="Arial"/>
          <w:b w:val="0"/>
          <w:sz w:val="18"/>
          <w:szCs w:val="24"/>
          <w:lang w:val="en-GB"/>
        </w:rPr>
        <w:t xml:space="preserve">Dynamic changes of </w:t>
      </w:r>
      <w:r w:rsidR="00DC41DF">
        <w:rPr>
          <w:rStyle w:val="IPPNormalbold"/>
          <w:rFonts w:ascii="Arial" w:hAnsi="Arial"/>
          <w:b w:val="0"/>
          <w:sz w:val="18"/>
          <w:szCs w:val="24"/>
          <w:lang w:val="en-GB"/>
        </w:rPr>
        <w:t xml:space="preserve">terms status in </w:t>
      </w:r>
      <w:r>
        <w:rPr>
          <w:rStyle w:val="IPPNormalbold"/>
          <w:rFonts w:ascii="Arial" w:hAnsi="Arial"/>
          <w:b w:val="0"/>
          <w:sz w:val="18"/>
          <w:szCs w:val="24"/>
          <w:lang w:val="en-GB"/>
        </w:rPr>
        <w:t>the LOT since 2016</w:t>
      </w:r>
      <w:r w:rsidR="00DC41DF">
        <w:rPr>
          <w:rStyle w:val="IPPNormalbold"/>
          <w:rFonts w:ascii="Arial" w:hAnsi="Arial"/>
          <w:b w:val="0"/>
          <w:sz w:val="18"/>
          <w:szCs w:val="24"/>
          <w:lang w:val="en-GB"/>
        </w:rPr>
        <w:t xml:space="preserve"> with a forecast to 2020.</w:t>
      </w:r>
    </w:p>
    <w:p w14:paraId="3203EB3C" w14:textId="77777777" w:rsidR="006D2917" w:rsidRPr="009F792F" w:rsidRDefault="006D2917" w:rsidP="009F792F">
      <w:pPr>
        <w:pStyle w:val="IPPArial"/>
        <w:jc w:val="center"/>
      </w:pPr>
    </w:p>
    <w:p w14:paraId="32DD08E9" w14:textId="3813B491" w:rsidR="001678E2" w:rsidRPr="009F792F" w:rsidRDefault="005866EF" w:rsidP="003505DE">
      <w:pPr>
        <w:pStyle w:val="IPPParagraphnumbering"/>
      </w:pPr>
      <w:r w:rsidRPr="005866EF">
        <w:t xml:space="preserve">Although the timing of terms development varies considerably, the </w:t>
      </w:r>
      <w:r>
        <w:t>TPG</w:t>
      </w:r>
      <w:r w:rsidRPr="005866EF">
        <w:t xml:space="preserve"> demonstrate</w:t>
      </w:r>
      <w:r>
        <w:t>s</w:t>
      </w:r>
      <w:r w:rsidRPr="005866EF">
        <w:t xml:space="preserve"> </w:t>
      </w:r>
      <w:r>
        <w:t>sustainable</w:t>
      </w:r>
      <w:r w:rsidR="00D63CF3">
        <w:t xml:space="preserve"> amount of</w:t>
      </w:r>
      <w:r w:rsidRPr="005866EF">
        <w:t xml:space="preserve"> work on the terms</w:t>
      </w:r>
      <w:r>
        <w:t>,</w:t>
      </w:r>
      <w:r w:rsidRPr="005866EF">
        <w:t xml:space="preserve"> as well as the addition of terms to the </w:t>
      </w:r>
      <w:r>
        <w:t>LOT</w:t>
      </w:r>
      <w:r w:rsidR="001E68FB" w:rsidRPr="009F792F">
        <w:t xml:space="preserve"> (</w:t>
      </w:r>
      <w:r w:rsidR="001E68FB">
        <w:t>see Figure</w:t>
      </w:r>
      <w:r w:rsidR="003505DE">
        <w:t> </w:t>
      </w:r>
      <w:r w:rsidR="001E68FB">
        <w:t>7)</w:t>
      </w:r>
      <w:r w:rsidR="00A530F1">
        <w:t xml:space="preserve">, which are </w:t>
      </w:r>
      <w:r w:rsidR="002D2F82">
        <w:t xml:space="preserve">mainly </w:t>
      </w:r>
      <w:r w:rsidR="00540F91">
        <w:t xml:space="preserve">suggested by the TPG. </w:t>
      </w:r>
      <w:r w:rsidR="00982278">
        <w:t xml:space="preserve">Almost each year the </w:t>
      </w:r>
      <w:r w:rsidR="00540F91">
        <w:t>SC</w:t>
      </w:r>
      <w:r w:rsidR="00982278">
        <w:t xml:space="preserve"> </w:t>
      </w:r>
      <w:r w:rsidR="009518F7">
        <w:t>introduces</w:t>
      </w:r>
      <w:r w:rsidR="00C01ED7">
        <w:t xml:space="preserve"> draft</w:t>
      </w:r>
      <w:r w:rsidR="009272F6" w:rsidRPr="009272F6">
        <w:t xml:space="preserve"> amendments to ISPM</w:t>
      </w:r>
      <w:r w:rsidR="003505DE">
        <w:t> </w:t>
      </w:r>
      <w:r w:rsidR="009272F6" w:rsidRPr="009272F6">
        <w:t>5</w:t>
      </w:r>
      <w:r w:rsidR="009272F6">
        <w:t xml:space="preserve"> (including</w:t>
      </w:r>
      <w:r w:rsidR="00982278">
        <w:t xml:space="preserve"> ink amendment</w:t>
      </w:r>
      <w:r w:rsidR="00EE1254">
        <w:t>s</w:t>
      </w:r>
      <w:r w:rsidR="009272F6">
        <w:t>)</w:t>
      </w:r>
      <w:r w:rsidR="009518F7">
        <w:t xml:space="preserve"> to the CPM</w:t>
      </w:r>
      <w:r w:rsidR="00982278">
        <w:t xml:space="preserve">, </w:t>
      </w:r>
      <w:r w:rsidR="009272F6">
        <w:t>where the latter</w:t>
      </w:r>
      <w:r w:rsidR="00941B62">
        <w:t xml:space="preserve"> consequently</w:t>
      </w:r>
      <w:r w:rsidR="009272F6">
        <w:t xml:space="preserve"> adopts </w:t>
      </w:r>
      <w:r w:rsidR="003505DE">
        <w:t xml:space="preserve">(or notes, if ink amendments) </w:t>
      </w:r>
      <w:r w:rsidR="009272F6">
        <w:t>them</w:t>
      </w:r>
      <w:r w:rsidR="00EE1254">
        <w:t>.</w:t>
      </w:r>
    </w:p>
    <w:p w14:paraId="4E6CF9B9" w14:textId="0D62F285" w:rsidR="000A0BBC" w:rsidRDefault="000A0BBC" w:rsidP="009F792F">
      <w:pPr>
        <w:pStyle w:val="IPPHeading2"/>
      </w:pPr>
      <w:r>
        <w:t>4</w:t>
      </w:r>
      <w:r w:rsidRPr="000A0BBC">
        <w:t xml:space="preserve">.1.1 Current Standard Setting Process for </w:t>
      </w:r>
      <w:r>
        <w:t>Glossary terms</w:t>
      </w:r>
    </w:p>
    <w:p w14:paraId="0C5D8B10" w14:textId="6703021B" w:rsidR="00CD7A84" w:rsidRPr="009F792F" w:rsidRDefault="00CD7A84" w:rsidP="003505DE">
      <w:pPr>
        <w:spacing w:after="180"/>
        <w:rPr>
          <w:rFonts w:eastAsia="Times"/>
          <w:lang w:val="en-US"/>
        </w:rPr>
      </w:pPr>
      <w:r w:rsidRPr="00CD7A84">
        <w:rPr>
          <w:rFonts w:eastAsia="Times"/>
        </w:rPr>
        <w:t>In May</w:t>
      </w:r>
      <w:r w:rsidR="003505DE">
        <w:rPr>
          <w:rFonts w:eastAsia="Times"/>
        </w:rPr>
        <w:t> </w:t>
      </w:r>
      <w:r w:rsidRPr="00CD7A84">
        <w:rPr>
          <w:rFonts w:eastAsia="Times"/>
        </w:rPr>
        <w:t xml:space="preserve">2013, the SC agreed that the </w:t>
      </w:r>
      <w:r w:rsidRPr="00CD7A84">
        <w:rPr>
          <w:rFonts w:eastAsia="Times"/>
          <w:i/>
          <w:iCs/>
        </w:rPr>
        <w:t>Amendments to the Glossary</w:t>
      </w:r>
      <w:r w:rsidRPr="00CD7A84">
        <w:rPr>
          <w:rFonts w:eastAsia="Times"/>
        </w:rPr>
        <w:t xml:space="preserve"> follow the same process as the regular ISPMs, but that the SC-7, when considering the </w:t>
      </w:r>
      <w:r w:rsidRPr="00CD7A84">
        <w:rPr>
          <w:rFonts w:eastAsia="Times"/>
          <w:i/>
          <w:iCs/>
        </w:rPr>
        <w:t>Amendments to the Glossary</w:t>
      </w:r>
      <w:r w:rsidRPr="00CD7A84">
        <w:rPr>
          <w:rFonts w:eastAsia="Times"/>
        </w:rPr>
        <w:t xml:space="preserve"> after the first consultation, could consider separating them in two sets: one going for second consultation (terms and definitions for which comments were made), and one going directly to the SC in November (terms and definitions for which no comments were made)</w:t>
      </w:r>
      <w:r>
        <w:rPr>
          <w:rFonts w:eastAsia="Times"/>
        </w:rPr>
        <w:t>.</w:t>
      </w:r>
    </w:p>
    <w:p w14:paraId="4B143EFB" w14:textId="4C193D6B" w:rsidR="000A0BBC" w:rsidRDefault="00D16EEB" w:rsidP="00762D6B">
      <w:pPr>
        <w:pStyle w:val="IPPNormal"/>
        <w:jc w:val="center"/>
      </w:pPr>
      <w:r>
        <w:rPr>
          <w:noProof/>
          <w:lang w:val="en-US"/>
        </w:rPr>
        <w:drawing>
          <wp:inline distT="0" distB="0" distL="0" distR="0" wp14:anchorId="012BC2B3" wp14:editId="144CE1D7">
            <wp:extent cx="5717500" cy="26562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PG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17500" cy="2656205"/>
                    </a:xfrm>
                    <a:prstGeom prst="rect">
                      <a:avLst/>
                    </a:prstGeom>
                  </pic:spPr>
                </pic:pic>
              </a:graphicData>
            </a:graphic>
          </wp:inline>
        </w:drawing>
      </w:r>
    </w:p>
    <w:p w14:paraId="6E011543" w14:textId="082AF5AD" w:rsidR="008E3AFB" w:rsidRDefault="008E3AFB" w:rsidP="008E3AFB">
      <w:pPr>
        <w:pStyle w:val="IPPArial"/>
        <w:jc w:val="center"/>
        <w:rPr>
          <w:rStyle w:val="IPPNormalbold"/>
          <w:rFonts w:ascii="Arial" w:hAnsi="Arial"/>
          <w:b w:val="0"/>
          <w:sz w:val="18"/>
          <w:szCs w:val="24"/>
          <w:lang w:val="en-GB"/>
        </w:rPr>
      </w:pPr>
      <w:r w:rsidRPr="00FD220E">
        <w:rPr>
          <w:rStyle w:val="IPPNormalbold"/>
          <w:rFonts w:ascii="Arial" w:hAnsi="Arial"/>
          <w:bCs/>
          <w:sz w:val="18"/>
          <w:szCs w:val="24"/>
          <w:lang w:val="en-GB"/>
        </w:rPr>
        <w:t xml:space="preserve">Figure </w:t>
      </w:r>
      <w:r w:rsidRPr="009F792F">
        <w:rPr>
          <w:rStyle w:val="IPPNormalbold"/>
          <w:rFonts w:ascii="Arial" w:hAnsi="Arial"/>
          <w:bCs/>
          <w:sz w:val="18"/>
          <w:szCs w:val="24"/>
          <w:lang w:val="en-US"/>
        </w:rPr>
        <w:t>8</w:t>
      </w:r>
      <w:r w:rsidRPr="00FD220E">
        <w:rPr>
          <w:rStyle w:val="IPPNormalbold"/>
          <w:rFonts w:ascii="Arial" w:hAnsi="Arial"/>
          <w:bCs/>
          <w:sz w:val="18"/>
          <w:szCs w:val="24"/>
          <w:lang w:val="en-GB"/>
        </w:rPr>
        <w:t>:</w:t>
      </w:r>
      <w:r w:rsidRPr="00FD220E">
        <w:rPr>
          <w:rStyle w:val="IPPNormalbold"/>
          <w:rFonts w:ascii="Arial" w:hAnsi="Arial"/>
          <w:b w:val="0"/>
          <w:sz w:val="18"/>
          <w:szCs w:val="24"/>
          <w:lang w:val="en-GB"/>
        </w:rPr>
        <w:t xml:space="preserve"> </w:t>
      </w:r>
      <w:r w:rsidR="001217FD" w:rsidRPr="001217FD">
        <w:rPr>
          <w:rStyle w:val="IPPNormalbold"/>
          <w:rFonts w:ascii="Arial" w:hAnsi="Arial"/>
          <w:b w:val="0"/>
          <w:sz w:val="18"/>
          <w:szCs w:val="24"/>
          <w:lang w:val="en-GB"/>
        </w:rPr>
        <w:t xml:space="preserve">Flowchart outlining the </w:t>
      </w:r>
      <w:r w:rsidR="002161A7">
        <w:rPr>
          <w:rStyle w:val="IPPNormalbold"/>
          <w:rFonts w:ascii="Arial" w:hAnsi="Arial"/>
          <w:b w:val="0"/>
          <w:sz w:val="18"/>
          <w:szCs w:val="24"/>
          <w:lang w:val="en-GB"/>
        </w:rPr>
        <w:t>S</w:t>
      </w:r>
      <w:r w:rsidR="001217FD" w:rsidRPr="001217FD">
        <w:rPr>
          <w:rStyle w:val="IPPNormalbold"/>
          <w:rFonts w:ascii="Arial" w:hAnsi="Arial"/>
          <w:b w:val="0"/>
          <w:sz w:val="18"/>
          <w:szCs w:val="24"/>
          <w:lang w:val="en-GB"/>
        </w:rPr>
        <w:t xml:space="preserve">tandard </w:t>
      </w:r>
      <w:r w:rsidR="002161A7">
        <w:rPr>
          <w:rStyle w:val="IPPNormalbold"/>
          <w:rFonts w:ascii="Arial" w:hAnsi="Arial"/>
          <w:b w:val="0"/>
          <w:sz w:val="18"/>
          <w:szCs w:val="24"/>
          <w:lang w:val="en-GB"/>
        </w:rPr>
        <w:t>S</w:t>
      </w:r>
      <w:r w:rsidR="001217FD" w:rsidRPr="001217FD">
        <w:rPr>
          <w:rStyle w:val="IPPNormalbold"/>
          <w:rFonts w:ascii="Arial" w:hAnsi="Arial"/>
          <w:b w:val="0"/>
          <w:sz w:val="18"/>
          <w:szCs w:val="24"/>
          <w:lang w:val="en-GB"/>
        </w:rPr>
        <w:t xml:space="preserve">etting </w:t>
      </w:r>
      <w:r w:rsidR="002161A7">
        <w:rPr>
          <w:rStyle w:val="IPPNormalbold"/>
          <w:rFonts w:ascii="Arial" w:hAnsi="Arial"/>
          <w:b w:val="0"/>
          <w:sz w:val="18"/>
          <w:szCs w:val="24"/>
          <w:lang w:val="en-GB"/>
        </w:rPr>
        <w:t>P</w:t>
      </w:r>
      <w:r w:rsidR="001217FD" w:rsidRPr="001217FD">
        <w:rPr>
          <w:rStyle w:val="IPPNormalbold"/>
          <w:rFonts w:ascii="Arial" w:hAnsi="Arial"/>
          <w:b w:val="0"/>
          <w:sz w:val="18"/>
          <w:szCs w:val="24"/>
          <w:lang w:val="en-GB"/>
        </w:rPr>
        <w:t xml:space="preserve">rocess for </w:t>
      </w:r>
      <w:r w:rsidR="001217FD">
        <w:rPr>
          <w:rStyle w:val="IPPNormalbold"/>
          <w:rFonts w:ascii="Arial" w:hAnsi="Arial"/>
          <w:b w:val="0"/>
          <w:sz w:val="18"/>
          <w:szCs w:val="24"/>
          <w:lang w:val="en-GB"/>
        </w:rPr>
        <w:t>terms.</w:t>
      </w:r>
    </w:p>
    <w:p w14:paraId="731FB5DA" w14:textId="62FADF35" w:rsidR="006D2917" w:rsidRDefault="006D2917" w:rsidP="006D2917">
      <w:pPr>
        <w:pStyle w:val="IPPArial"/>
        <w:rPr>
          <w:rStyle w:val="IPPNormalbold"/>
          <w:rFonts w:ascii="Arial" w:hAnsi="Arial"/>
          <w:b w:val="0"/>
          <w:sz w:val="18"/>
          <w:szCs w:val="24"/>
          <w:lang w:val="en-US"/>
        </w:rPr>
      </w:pPr>
    </w:p>
    <w:p w14:paraId="0B273C8D" w14:textId="77777777" w:rsidR="008E3AFB" w:rsidRPr="009F792F" w:rsidRDefault="008E3AFB" w:rsidP="009F792F">
      <w:pPr>
        <w:pStyle w:val="IPPArial"/>
        <w:jc w:val="center"/>
        <w:rPr>
          <w:lang w:val="en-US"/>
        </w:rPr>
      </w:pPr>
    </w:p>
    <w:p w14:paraId="22993D42" w14:textId="598BF791" w:rsidR="00E92DD3" w:rsidRPr="000F5D31" w:rsidRDefault="000A0BBC" w:rsidP="009F792F">
      <w:pPr>
        <w:pStyle w:val="IPPHeading2"/>
      </w:pPr>
      <w:r>
        <w:t>4.1.2</w:t>
      </w:r>
      <w:r w:rsidR="00742C52">
        <w:t xml:space="preserve"> IPPC</w:t>
      </w:r>
      <w:r w:rsidR="00E92DD3">
        <w:t xml:space="preserve"> </w:t>
      </w:r>
      <w:r w:rsidR="00742C52">
        <w:t>Secretariat p</w:t>
      </w:r>
      <w:r w:rsidR="00E92DD3" w:rsidRPr="000F5D31">
        <w:t>roposal for increased involvement of TPG in consistency review in languages</w:t>
      </w:r>
    </w:p>
    <w:p w14:paraId="6BCFC0D3" w14:textId="56575035" w:rsidR="00E92DD3" w:rsidRPr="000F5D31" w:rsidRDefault="00E92DD3" w:rsidP="0039363C">
      <w:pPr>
        <w:numPr>
          <w:ilvl w:val="0"/>
          <w:numId w:val="8"/>
        </w:numPr>
        <w:spacing w:after="180" w:line="259" w:lineRule="auto"/>
        <w:rPr>
          <w:rFonts w:eastAsia="Times"/>
          <w:szCs w:val="22"/>
          <w:lang w:val="en-US"/>
        </w:rPr>
      </w:pPr>
      <w:r>
        <w:rPr>
          <w:rFonts w:eastAsia="Times"/>
          <w:szCs w:val="22"/>
          <w:lang w:val="en-US"/>
        </w:rPr>
        <w:t xml:space="preserve">Currently </w:t>
      </w:r>
      <w:r w:rsidRPr="000F5D31">
        <w:rPr>
          <w:rFonts w:eastAsia="Times"/>
          <w:szCs w:val="22"/>
          <w:lang w:val="en-US"/>
        </w:rPr>
        <w:t>ink amendments are presented to CPM in English only and are translated into the FAO official languages and implemented into the language versions of the standards concerned as resources permit (CPM-14</w:t>
      </w:r>
      <w:r w:rsidR="00C26CD0">
        <w:rPr>
          <w:rFonts w:eastAsia="Times"/>
          <w:szCs w:val="22"/>
          <w:lang w:val="en-US"/>
        </w:rPr>
        <w:t>,</w:t>
      </w:r>
      <w:r w:rsidRPr="000F5D31">
        <w:rPr>
          <w:rFonts w:eastAsia="Times"/>
          <w:szCs w:val="22"/>
          <w:lang w:val="en-US"/>
        </w:rPr>
        <w:t xml:space="preserve"> 2019). The FAO Translation Office (CPAM) is in charge of translation once ink amendments have been noted by the CPM. </w:t>
      </w:r>
      <w:r w:rsidR="00C26CD0">
        <w:rPr>
          <w:rFonts w:eastAsia="Times"/>
          <w:szCs w:val="22"/>
          <w:lang w:val="en-US"/>
        </w:rPr>
        <w:t>Nevertheless</w:t>
      </w:r>
      <w:r w:rsidRPr="000F5D31">
        <w:rPr>
          <w:rFonts w:eastAsia="Times"/>
          <w:szCs w:val="22"/>
          <w:lang w:val="en-US"/>
        </w:rPr>
        <w:t>, there is no systematic further quality check (of provided translation) before ink amendments are implemented in the relevant standards, and the Secretariat had noted that in some language versions of ISPMs there are inconsistencies between the English versions and the translated versions of ink amendments.</w:t>
      </w:r>
    </w:p>
    <w:p w14:paraId="1C25532B" w14:textId="5167D9EC" w:rsidR="00E92DD3" w:rsidRPr="000F5D31" w:rsidRDefault="00742C52" w:rsidP="0039363C">
      <w:pPr>
        <w:numPr>
          <w:ilvl w:val="0"/>
          <w:numId w:val="8"/>
        </w:numPr>
        <w:spacing w:after="180" w:line="259" w:lineRule="auto"/>
        <w:rPr>
          <w:rFonts w:eastAsia="Times"/>
          <w:szCs w:val="22"/>
          <w:lang w:val="en-US"/>
        </w:rPr>
      </w:pPr>
      <w:r>
        <w:rPr>
          <w:rFonts w:eastAsia="Times"/>
          <w:szCs w:val="22"/>
          <w:lang w:val="en-US"/>
        </w:rPr>
        <w:t>Under</w:t>
      </w:r>
      <w:r w:rsidR="00E92DD3" w:rsidRPr="000F5D31">
        <w:rPr>
          <w:rFonts w:eastAsia="Times"/>
          <w:szCs w:val="22"/>
          <w:lang w:val="en-US"/>
        </w:rPr>
        <w:t xml:space="preserve"> proposed new process for consistency review and ink amendments f</w:t>
      </w:r>
      <w:r>
        <w:rPr>
          <w:rFonts w:eastAsia="Times"/>
          <w:szCs w:val="22"/>
          <w:lang w:val="en-US"/>
        </w:rPr>
        <w:t xml:space="preserve">or specific terms in languages, </w:t>
      </w:r>
      <w:r w:rsidR="00E92DD3" w:rsidRPr="000F5D31">
        <w:rPr>
          <w:rFonts w:eastAsia="Times"/>
          <w:szCs w:val="22"/>
          <w:lang w:val="en-US"/>
        </w:rPr>
        <w:t>after CPM has noted the ink amendments in English the TPG would provide the corresponding ink amendments in the other FAO languages using the same tabular format as for English but without translating the explanation column. The tables would then be reviewed by CPAM for accuracy and from a legal point of view, after which the Secretariat would implement the ink amendments in all language versions of the ISPMs and publish the updated documents on the IPP.</w:t>
      </w:r>
    </w:p>
    <w:p w14:paraId="5EF45D7B" w14:textId="2C5979B5" w:rsidR="00E92DD3" w:rsidRPr="000F5D31" w:rsidRDefault="00742C52" w:rsidP="0039363C">
      <w:pPr>
        <w:numPr>
          <w:ilvl w:val="0"/>
          <w:numId w:val="8"/>
        </w:numPr>
        <w:spacing w:after="180" w:line="259" w:lineRule="auto"/>
        <w:rPr>
          <w:rFonts w:eastAsia="Times"/>
          <w:szCs w:val="22"/>
          <w:lang w:val="en-US"/>
        </w:rPr>
      </w:pPr>
      <w:r>
        <w:rPr>
          <w:rFonts w:eastAsia="Times"/>
          <w:szCs w:val="22"/>
          <w:lang w:val="en-US"/>
        </w:rPr>
        <w:t>I</w:t>
      </w:r>
      <w:r w:rsidR="00E92DD3" w:rsidRPr="000F5D31">
        <w:rPr>
          <w:rFonts w:eastAsia="Times"/>
          <w:szCs w:val="22"/>
          <w:lang w:val="en-US"/>
        </w:rPr>
        <w:t>t is an official FAO policy that CPAM has the final approval of translated text</w:t>
      </w:r>
      <w:r w:rsidR="00F26F5D">
        <w:rPr>
          <w:rFonts w:eastAsia="Times"/>
          <w:szCs w:val="22"/>
          <w:lang w:val="en-US"/>
        </w:rPr>
        <w:t>;</w:t>
      </w:r>
      <w:r w:rsidR="00E92DD3" w:rsidRPr="000F5D31">
        <w:rPr>
          <w:rFonts w:eastAsia="Times"/>
          <w:szCs w:val="22"/>
          <w:lang w:val="en-US"/>
        </w:rPr>
        <w:t xml:space="preserve"> so</w:t>
      </w:r>
      <w:r w:rsidR="00F26F5D">
        <w:rPr>
          <w:rFonts w:eastAsia="Times"/>
          <w:szCs w:val="22"/>
          <w:lang w:val="en-US"/>
        </w:rPr>
        <w:t>,</w:t>
      </w:r>
      <w:r w:rsidR="00E92DD3" w:rsidRPr="000F5D31">
        <w:rPr>
          <w:rFonts w:eastAsia="Times"/>
          <w:szCs w:val="22"/>
          <w:lang w:val="en-US"/>
        </w:rPr>
        <w:t xml:space="preserve"> if changes were to be made by the TPG after translation by CPAM, then the text would need to go back to CPAM for approval, adding another stage and consequential resource spending. </w:t>
      </w:r>
      <w:r>
        <w:rPr>
          <w:rFonts w:eastAsia="Times"/>
          <w:szCs w:val="22"/>
          <w:lang w:val="en-US"/>
        </w:rPr>
        <w:t>T</w:t>
      </w:r>
      <w:r w:rsidR="00E92DD3" w:rsidRPr="000F5D31">
        <w:rPr>
          <w:rFonts w:eastAsia="Times"/>
          <w:szCs w:val="22"/>
          <w:lang w:val="en-US"/>
        </w:rPr>
        <w:t xml:space="preserve">ranslation into languages after </w:t>
      </w:r>
      <w:r w:rsidR="00F26F5D">
        <w:rPr>
          <w:rFonts w:eastAsia="Times"/>
          <w:szCs w:val="22"/>
          <w:lang w:val="en-US"/>
        </w:rPr>
        <w:t xml:space="preserve">noting by </w:t>
      </w:r>
      <w:r w:rsidR="00E92DD3" w:rsidRPr="000F5D31">
        <w:rPr>
          <w:rFonts w:eastAsia="Times"/>
          <w:szCs w:val="22"/>
          <w:lang w:val="en-US"/>
        </w:rPr>
        <w:t xml:space="preserve">CPM is the most efficient approach, as it avoids the risk of translating ink amendments that ultimately are not </w:t>
      </w:r>
      <w:r w:rsidR="00F26F5D">
        <w:rPr>
          <w:rFonts w:eastAsia="Times"/>
          <w:szCs w:val="22"/>
          <w:lang w:val="en-US"/>
        </w:rPr>
        <w:t>noted</w:t>
      </w:r>
      <w:r w:rsidR="00E92DD3" w:rsidRPr="000F5D31">
        <w:rPr>
          <w:rFonts w:eastAsia="Times"/>
          <w:szCs w:val="22"/>
          <w:lang w:val="en-US"/>
        </w:rPr>
        <w:t xml:space="preserve"> by CPM. The translation </w:t>
      </w:r>
      <w:r w:rsidR="00F26F5D">
        <w:rPr>
          <w:rFonts w:eastAsia="Times"/>
          <w:szCs w:val="22"/>
          <w:lang w:val="en-US"/>
        </w:rPr>
        <w:t xml:space="preserve">and implementation </w:t>
      </w:r>
      <w:r w:rsidR="00E92DD3" w:rsidRPr="000F5D31">
        <w:rPr>
          <w:rFonts w:eastAsia="Times"/>
          <w:szCs w:val="22"/>
          <w:lang w:val="en-US"/>
        </w:rPr>
        <w:t>of ink amendments currently only proceed when resources permit.</w:t>
      </w:r>
    </w:p>
    <w:p w14:paraId="5D52ED4D" w14:textId="0D65ED3F" w:rsidR="002B6156" w:rsidRDefault="00E92DD3" w:rsidP="0039363C">
      <w:pPr>
        <w:numPr>
          <w:ilvl w:val="0"/>
          <w:numId w:val="8"/>
        </w:numPr>
        <w:spacing w:after="180" w:line="259" w:lineRule="auto"/>
        <w:rPr>
          <w:rFonts w:eastAsia="Times"/>
          <w:szCs w:val="22"/>
          <w:lang w:val="en-US"/>
        </w:rPr>
      </w:pPr>
      <w:r w:rsidRPr="000F5D31">
        <w:rPr>
          <w:rFonts w:eastAsia="Times"/>
          <w:szCs w:val="22"/>
          <w:lang w:val="en-US"/>
        </w:rPr>
        <w:t xml:space="preserve">The </w:t>
      </w:r>
      <w:r w:rsidR="00742C52">
        <w:rPr>
          <w:rFonts w:eastAsia="Times"/>
          <w:szCs w:val="22"/>
          <w:lang w:val="en-US"/>
        </w:rPr>
        <w:t>new</w:t>
      </w:r>
      <w:r w:rsidRPr="000F5D31">
        <w:rPr>
          <w:rFonts w:eastAsia="Times"/>
          <w:szCs w:val="22"/>
          <w:lang w:val="en-US"/>
        </w:rPr>
        <w:t xml:space="preserve"> proposal </w:t>
      </w:r>
      <w:r w:rsidR="00742C52">
        <w:rPr>
          <w:rFonts w:eastAsia="Times"/>
          <w:szCs w:val="22"/>
          <w:lang w:val="en-US"/>
        </w:rPr>
        <w:t>is for</w:t>
      </w:r>
      <w:r w:rsidRPr="000F5D31">
        <w:rPr>
          <w:rFonts w:eastAsia="Times"/>
          <w:szCs w:val="22"/>
          <w:lang w:val="en-US"/>
        </w:rPr>
        <w:t xml:space="preserve"> improving the quality of the translated ink amendments, as the FAO translators have the language expertise but not the phytosanitary knowledge.</w:t>
      </w:r>
    </w:p>
    <w:p w14:paraId="7349B822" w14:textId="66F2DB79" w:rsidR="00E92DD3" w:rsidRPr="000F5D31" w:rsidRDefault="00742C52" w:rsidP="0039363C">
      <w:pPr>
        <w:numPr>
          <w:ilvl w:val="0"/>
          <w:numId w:val="8"/>
        </w:numPr>
        <w:spacing w:after="180" w:line="259" w:lineRule="auto"/>
        <w:rPr>
          <w:rFonts w:eastAsia="Times"/>
          <w:szCs w:val="22"/>
          <w:lang w:val="en-US"/>
        </w:rPr>
      </w:pPr>
      <w:r>
        <w:rPr>
          <w:rFonts w:eastAsia="Times"/>
          <w:szCs w:val="22"/>
          <w:lang w:val="en-US"/>
        </w:rPr>
        <w:t xml:space="preserve">According </w:t>
      </w:r>
      <w:r w:rsidR="00F26F5D">
        <w:rPr>
          <w:rFonts w:eastAsia="Times"/>
          <w:szCs w:val="22"/>
          <w:lang w:val="en-US"/>
        </w:rPr>
        <w:t xml:space="preserve">to </w:t>
      </w:r>
      <w:r>
        <w:rPr>
          <w:rFonts w:eastAsia="Times"/>
          <w:szCs w:val="22"/>
          <w:lang w:val="en-US"/>
        </w:rPr>
        <w:t xml:space="preserve">this proposal </w:t>
      </w:r>
      <w:r w:rsidR="00E92DD3" w:rsidRPr="000F5D31">
        <w:rPr>
          <w:rFonts w:eastAsia="Times"/>
          <w:szCs w:val="22"/>
          <w:lang w:val="en-US"/>
        </w:rPr>
        <w:t>the task for TPG members would be to draft proposed translations for ink amendments, provided the Secretariat can prepare the table in languages beforehand.</w:t>
      </w:r>
    </w:p>
    <w:p w14:paraId="6E29EF21" w14:textId="0BD5EBC7" w:rsidR="00E92DD3" w:rsidRPr="000F5D31" w:rsidRDefault="00E92DD3" w:rsidP="0039363C">
      <w:pPr>
        <w:numPr>
          <w:ilvl w:val="0"/>
          <w:numId w:val="8"/>
        </w:numPr>
        <w:spacing w:after="180" w:line="259" w:lineRule="auto"/>
        <w:rPr>
          <w:rFonts w:eastAsia="Times"/>
          <w:szCs w:val="22"/>
          <w:lang w:val="en-US"/>
        </w:rPr>
      </w:pPr>
      <w:r w:rsidRPr="000F5D31">
        <w:rPr>
          <w:rFonts w:eastAsia="Times"/>
          <w:szCs w:val="22"/>
          <w:lang w:val="en-US"/>
        </w:rPr>
        <w:t xml:space="preserve">With regard to timing, would be between the SC meeting in May and the following CPM. This was agreed by the TPG </w:t>
      </w:r>
      <w:r w:rsidR="00756205">
        <w:rPr>
          <w:rFonts w:eastAsia="Times"/>
          <w:szCs w:val="22"/>
          <w:lang w:val="en-US"/>
        </w:rPr>
        <w:t>in November</w:t>
      </w:r>
      <w:r w:rsidR="00F26F5D">
        <w:rPr>
          <w:rFonts w:eastAsia="Times"/>
          <w:szCs w:val="22"/>
          <w:lang w:val="en-US"/>
        </w:rPr>
        <w:t xml:space="preserve"> 2019 </w:t>
      </w:r>
      <w:r w:rsidRPr="000F5D31">
        <w:rPr>
          <w:rFonts w:eastAsia="Times"/>
          <w:szCs w:val="22"/>
          <w:lang w:val="en-US"/>
        </w:rPr>
        <w:t>as an objection to an ink amendment at CPM is now a rare occurrence. The Secretariat would not initiate the ink amendment process unless there were resources to pay for the FAO translation, to ensure that the TPG effort was not wasted. The TPG and Secretariat agreed that this new translation process is in regard of future ink amendments only.</w:t>
      </w:r>
    </w:p>
    <w:p w14:paraId="5C136684" w14:textId="0D5CA41A" w:rsidR="00E92DD3" w:rsidRPr="000F5D31" w:rsidRDefault="00E92DD3" w:rsidP="0039363C">
      <w:pPr>
        <w:numPr>
          <w:ilvl w:val="0"/>
          <w:numId w:val="8"/>
        </w:numPr>
        <w:spacing w:after="180" w:line="259" w:lineRule="auto"/>
        <w:rPr>
          <w:rFonts w:eastAsia="Times"/>
          <w:szCs w:val="22"/>
          <w:lang w:val="en-US"/>
        </w:rPr>
      </w:pPr>
      <w:r w:rsidRPr="000F5D31">
        <w:rPr>
          <w:rFonts w:eastAsia="Times"/>
          <w:szCs w:val="22"/>
          <w:lang w:val="en-US"/>
        </w:rPr>
        <w:t>As a possible test, the TPG agreed to produce language versions of the ink amendments for “commodity class”, which had been discussed by TPG</w:t>
      </w:r>
      <w:r w:rsidR="00F26F5D">
        <w:rPr>
          <w:rFonts w:eastAsia="Times"/>
          <w:szCs w:val="22"/>
          <w:lang w:val="en-US"/>
        </w:rPr>
        <w:t xml:space="preserve"> in their </w:t>
      </w:r>
      <w:r w:rsidRPr="000F5D31">
        <w:rPr>
          <w:rFonts w:eastAsia="Times"/>
          <w:szCs w:val="22"/>
          <w:lang w:val="en-US"/>
        </w:rPr>
        <w:t>2018</w:t>
      </w:r>
      <w:r w:rsidR="00F26F5D">
        <w:rPr>
          <w:rFonts w:eastAsia="Times"/>
          <w:szCs w:val="22"/>
          <w:lang w:val="en-US"/>
        </w:rPr>
        <w:t xml:space="preserve"> meeting</w:t>
      </w:r>
      <w:r w:rsidRPr="000F5D31">
        <w:rPr>
          <w:rFonts w:eastAsia="Times"/>
          <w:szCs w:val="22"/>
          <w:lang w:val="en-US"/>
        </w:rPr>
        <w:t xml:space="preserve"> and approved by SC May</w:t>
      </w:r>
      <w:r w:rsidR="00F26F5D">
        <w:rPr>
          <w:rFonts w:eastAsia="Times"/>
          <w:szCs w:val="22"/>
          <w:lang w:val="en-US"/>
        </w:rPr>
        <w:t> </w:t>
      </w:r>
      <w:r w:rsidRPr="000F5D31">
        <w:rPr>
          <w:rFonts w:eastAsia="Times"/>
          <w:szCs w:val="22"/>
          <w:lang w:val="en-US"/>
        </w:rPr>
        <w:t>2019.</w:t>
      </w:r>
    </w:p>
    <w:p w14:paraId="4D589BEA" w14:textId="77777777" w:rsidR="00770DB4" w:rsidRDefault="00E92DD3" w:rsidP="009F792F">
      <w:pPr>
        <w:pStyle w:val="IPPHeadSection"/>
      </w:pPr>
      <w:bookmarkStart w:id="0" w:name="_Toc31723861"/>
      <w:r>
        <w:t>4.2</w:t>
      </w:r>
      <w:r w:rsidR="000F5D31" w:rsidRPr="000F5D31">
        <w:tab/>
      </w:r>
      <w:r w:rsidR="002B6156" w:rsidRPr="000F5D31">
        <w:t xml:space="preserve">TPG </w:t>
      </w:r>
      <w:r w:rsidR="000F5D31" w:rsidRPr="000F5D31">
        <w:t xml:space="preserve">discussion </w:t>
      </w:r>
      <w:bookmarkEnd w:id="0"/>
    </w:p>
    <w:p w14:paraId="7D76EE54" w14:textId="0521D973" w:rsidR="000F5D31" w:rsidRPr="000F5D31" w:rsidRDefault="000F5D31" w:rsidP="0039363C">
      <w:pPr>
        <w:numPr>
          <w:ilvl w:val="0"/>
          <w:numId w:val="8"/>
        </w:numPr>
        <w:spacing w:after="180" w:line="259" w:lineRule="auto"/>
        <w:rPr>
          <w:rFonts w:eastAsia="Times"/>
          <w:szCs w:val="22"/>
          <w:lang w:val="en-US"/>
        </w:rPr>
      </w:pPr>
      <w:r w:rsidRPr="000F5D31">
        <w:rPr>
          <w:rFonts w:eastAsia="Times"/>
          <w:b/>
          <w:szCs w:val="22"/>
          <w:lang w:val="en-US"/>
        </w:rPr>
        <w:t>The impact of the new strategic framework</w:t>
      </w:r>
      <w:r w:rsidR="00770DB4" w:rsidRPr="00770DB4">
        <w:rPr>
          <w:rFonts w:eastAsia="Times"/>
          <w:szCs w:val="22"/>
          <w:lang w:val="en-US"/>
        </w:rPr>
        <w:t xml:space="preserve">. </w:t>
      </w:r>
      <w:r w:rsidR="00770DB4">
        <w:rPr>
          <w:rFonts w:eastAsia="Times"/>
          <w:szCs w:val="22"/>
          <w:lang w:val="en-US"/>
        </w:rPr>
        <w:t xml:space="preserve">At </w:t>
      </w:r>
      <w:r w:rsidR="00284300">
        <w:rPr>
          <w:rFonts w:eastAsia="Times"/>
          <w:szCs w:val="22"/>
          <w:lang w:val="en-US"/>
        </w:rPr>
        <w:t>the</w:t>
      </w:r>
      <w:r w:rsidR="00BF6B0E">
        <w:rPr>
          <w:rFonts w:eastAsia="Times"/>
          <w:szCs w:val="22"/>
          <w:lang w:val="en-US"/>
        </w:rPr>
        <w:t>ir annual meeting in</w:t>
      </w:r>
      <w:r w:rsidR="00284300">
        <w:rPr>
          <w:rFonts w:eastAsia="Times"/>
          <w:szCs w:val="22"/>
          <w:lang w:val="en-US"/>
        </w:rPr>
        <w:t xml:space="preserve"> </w:t>
      </w:r>
      <w:r w:rsidR="00770DB4">
        <w:rPr>
          <w:rFonts w:eastAsia="Times"/>
          <w:szCs w:val="22"/>
          <w:lang w:val="en-US"/>
        </w:rPr>
        <w:t>November</w:t>
      </w:r>
      <w:r w:rsidR="00F26F5D">
        <w:rPr>
          <w:rFonts w:eastAsia="Times"/>
          <w:szCs w:val="22"/>
          <w:lang w:val="en-US"/>
        </w:rPr>
        <w:t> </w:t>
      </w:r>
      <w:r w:rsidR="00770DB4">
        <w:rPr>
          <w:rFonts w:eastAsia="Times"/>
          <w:szCs w:val="22"/>
          <w:lang w:val="en-US"/>
        </w:rPr>
        <w:t>2019</w:t>
      </w:r>
      <w:r w:rsidR="00BF6B0E">
        <w:rPr>
          <w:rFonts w:eastAsia="Times"/>
          <w:szCs w:val="22"/>
          <w:lang w:val="en-US"/>
        </w:rPr>
        <w:t>, the TPG</w:t>
      </w:r>
      <w:r w:rsidR="00770DB4" w:rsidRPr="00770DB4">
        <w:rPr>
          <w:rFonts w:eastAsia="Times"/>
          <w:szCs w:val="22"/>
          <w:lang w:val="en-US"/>
        </w:rPr>
        <w:t xml:space="preserve"> discussed that w</w:t>
      </w:r>
      <w:r w:rsidRPr="000F5D31">
        <w:rPr>
          <w:rFonts w:eastAsia="Times"/>
          <w:szCs w:val="22"/>
          <w:lang w:val="en-US"/>
        </w:rPr>
        <w:t>ithin the new Strategic Framework, the</w:t>
      </w:r>
      <w:r w:rsidR="00121077">
        <w:rPr>
          <w:rFonts w:eastAsia="Times"/>
          <w:szCs w:val="22"/>
          <w:lang w:val="en-US"/>
        </w:rPr>
        <w:t>y</w:t>
      </w:r>
      <w:r w:rsidRPr="000F5D31">
        <w:rPr>
          <w:rFonts w:eastAsia="Times"/>
          <w:szCs w:val="22"/>
          <w:lang w:val="en-US"/>
        </w:rPr>
        <w:t xml:space="preserve"> </w:t>
      </w:r>
      <w:r w:rsidR="00BF6B0E">
        <w:rPr>
          <w:rFonts w:eastAsia="Times"/>
          <w:szCs w:val="22"/>
          <w:lang w:val="en-US"/>
        </w:rPr>
        <w:t xml:space="preserve">will be able to </w:t>
      </w:r>
      <w:r w:rsidR="00BF6B0E" w:rsidRPr="000F5D31">
        <w:rPr>
          <w:rFonts w:eastAsia="Times"/>
          <w:szCs w:val="22"/>
          <w:lang w:val="en-US"/>
        </w:rPr>
        <w:t>contribut</w:t>
      </w:r>
      <w:r w:rsidR="00BF6B0E">
        <w:rPr>
          <w:rFonts w:eastAsia="Times"/>
          <w:szCs w:val="22"/>
          <w:lang w:val="en-US"/>
        </w:rPr>
        <w:t>e</w:t>
      </w:r>
      <w:r w:rsidRPr="000F5D31">
        <w:rPr>
          <w:rFonts w:eastAsia="Times"/>
          <w:szCs w:val="22"/>
          <w:lang w:val="en-US"/>
        </w:rPr>
        <w:t xml:space="preserve"> to the terminology associated with item 5 of the IPPC development agenda 2020</w:t>
      </w:r>
      <w:r w:rsidR="00876608">
        <w:rPr>
          <w:rFonts w:eastAsia="Times"/>
          <w:szCs w:val="22"/>
          <w:lang w:val="en-US"/>
        </w:rPr>
        <w:t>-</w:t>
      </w:r>
      <w:r w:rsidRPr="000F5D31">
        <w:rPr>
          <w:rFonts w:eastAsia="Times"/>
          <w:szCs w:val="22"/>
          <w:lang w:val="en-US"/>
        </w:rPr>
        <w:t>2030 (strengthening pest outbreak alert and response systems).</w:t>
      </w:r>
    </w:p>
    <w:p w14:paraId="62D2B2F8" w14:textId="4828B8CC" w:rsidR="00B63EDE" w:rsidRPr="00B63EDE" w:rsidRDefault="00121077" w:rsidP="0039363C">
      <w:pPr>
        <w:numPr>
          <w:ilvl w:val="0"/>
          <w:numId w:val="8"/>
        </w:numPr>
        <w:spacing w:after="180" w:line="259" w:lineRule="auto"/>
        <w:rPr>
          <w:rFonts w:eastAsia="Times"/>
          <w:szCs w:val="22"/>
          <w:lang w:val="en-US"/>
        </w:rPr>
      </w:pPr>
      <w:r>
        <w:rPr>
          <w:rFonts w:eastAsia="Times"/>
          <w:szCs w:val="22"/>
          <w:lang w:val="en-US"/>
        </w:rPr>
        <w:t xml:space="preserve">The </w:t>
      </w:r>
      <w:r w:rsidR="000F5D31" w:rsidRPr="000F5D31">
        <w:rPr>
          <w:rFonts w:eastAsia="Times"/>
          <w:szCs w:val="22"/>
          <w:lang w:val="en-US"/>
        </w:rPr>
        <w:t>TPG suggested that the capacity development guides should use terms in the</w:t>
      </w:r>
      <w:r>
        <w:rPr>
          <w:rFonts w:eastAsia="Times"/>
          <w:szCs w:val="22"/>
          <w:lang w:val="en-US"/>
        </w:rPr>
        <w:t xml:space="preserve"> same</w:t>
      </w:r>
      <w:r w:rsidR="000F5D31" w:rsidRPr="000F5D31">
        <w:rPr>
          <w:rFonts w:eastAsia="Times"/>
          <w:szCs w:val="22"/>
          <w:lang w:val="en-US"/>
        </w:rPr>
        <w:t xml:space="preserve"> sense that they are used in Glossary, and that the TPG should promote the use of Glossary terms more widely than</w:t>
      </w:r>
      <w:r>
        <w:rPr>
          <w:rFonts w:eastAsia="Times"/>
          <w:szCs w:val="22"/>
          <w:lang w:val="en-US"/>
        </w:rPr>
        <w:t xml:space="preserve"> solely</w:t>
      </w:r>
      <w:r w:rsidR="000F5D31" w:rsidRPr="000F5D31">
        <w:rPr>
          <w:rFonts w:eastAsia="Times"/>
          <w:szCs w:val="22"/>
          <w:lang w:val="en-US"/>
        </w:rPr>
        <w:t xml:space="preserve"> in ISPMs. The TPG agreed to recommend that all expert working groups, including those working under the IC direction, are provided with both ISPM 5 and the Annotated Glossary to ensure consistency of terms.</w:t>
      </w:r>
      <w:r w:rsidR="00B63EDE" w:rsidRPr="00B63EDE">
        <w:rPr>
          <w:rFonts w:eastAsia="Times"/>
          <w:lang w:val="en-US"/>
        </w:rPr>
        <w:t xml:space="preserve"> </w:t>
      </w:r>
      <w:r w:rsidR="00B63EDE" w:rsidRPr="00B63EDE">
        <w:rPr>
          <w:rFonts w:eastAsia="Times"/>
          <w:szCs w:val="22"/>
          <w:lang w:val="en-US"/>
        </w:rPr>
        <w:t xml:space="preserve">The TPG acknowledged that documents produced by other IPPC bodies do not go through the same consultation and review process as do ISPMs, so they are unlikely to be as rigorous in their use of terms. The TPG recalled that only the SC can decide which terms are worked on by the TPG, but bodies other than the SC can submit proposals for terms to the SC. </w:t>
      </w:r>
    </w:p>
    <w:p w14:paraId="72AF5264" w14:textId="3ABD8999" w:rsidR="000F5D31" w:rsidRPr="000F5D31" w:rsidRDefault="000F5D31" w:rsidP="0039363C">
      <w:pPr>
        <w:numPr>
          <w:ilvl w:val="0"/>
          <w:numId w:val="8"/>
        </w:numPr>
        <w:tabs>
          <w:tab w:val="clear" w:pos="0"/>
        </w:tabs>
        <w:spacing w:after="180" w:line="259" w:lineRule="auto"/>
        <w:rPr>
          <w:rFonts w:eastAsia="Times"/>
          <w:szCs w:val="22"/>
          <w:lang w:val="en-US"/>
        </w:rPr>
      </w:pPr>
      <w:r w:rsidRPr="000F5D31">
        <w:rPr>
          <w:rFonts w:eastAsia="Times"/>
          <w:b/>
          <w:szCs w:val="22"/>
          <w:lang w:val="en-US"/>
        </w:rPr>
        <w:t>Streamlining technical panel processes</w:t>
      </w:r>
      <w:r w:rsidR="00770DB4" w:rsidRPr="00770DB4">
        <w:rPr>
          <w:rFonts w:eastAsia="Times"/>
          <w:szCs w:val="22"/>
          <w:lang w:val="en-US"/>
        </w:rPr>
        <w:t xml:space="preserve"> </w:t>
      </w:r>
      <w:r w:rsidRPr="000F5D31">
        <w:rPr>
          <w:rFonts w:eastAsia="Times"/>
          <w:szCs w:val="22"/>
          <w:lang w:val="en-US"/>
        </w:rPr>
        <w:t xml:space="preserve">The TPG discussed the </w:t>
      </w:r>
      <w:r w:rsidR="002161A7">
        <w:rPr>
          <w:rFonts w:eastAsia="Times"/>
          <w:szCs w:val="22"/>
          <w:lang w:val="en-US"/>
        </w:rPr>
        <w:t>SSP</w:t>
      </w:r>
      <w:r w:rsidRPr="000F5D31">
        <w:rPr>
          <w:rFonts w:eastAsia="Times"/>
          <w:szCs w:val="22"/>
          <w:lang w:val="en-US"/>
        </w:rPr>
        <w:t xml:space="preserve"> and possible ways of streamlining it.</w:t>
      </w:r>
      <w:r w:rsidR="00770DB4">
        <w:rPr>
          <w:rFonts w:eastAsia="Times"/>
          <w:szCs w:val="22"/>
          <w:lang w:val="en-US"/>
        </w:rPr>
        <w:t xml:space="preserve"> </w:t>
      </w:r>
      <w:r w:rsidR="00B63EDE" w:rsidRPr="00B63EDE">
        <w:rPr>
          <w:rFonts w:eastAsia="Times"/>
          <w:szCs w:val="22"/>
        </w:rPr>
        <w:t xml:space="preserve">While the TPG recognized </w:t>
      </w:r>
      <w:r w:rsidRPr="000F5D31">
        <w:rPr>
          <w:rFonts w:eastAsia="Times"/>
          <w:szCs w:val="22"/>
          <w:lang w:val="en-US"/>
        </w:rPr>
        <w:t>that the best time to undertake the consistency review</w:t>
      </w:r>
      <w:r w:rsidR="00B63EDE">
        <w:rPr>
          <w:rFonts w:eastAsia="Times"/>
          <w:szCs w:val="22"/>
          <w:lang w:val="en-US"/>
        </w:rPr>
        <w:t xml:space="preserve"> of draft ISPMs</w:t>
      </w:r>
      <w:r w:rsidRPr="000F5D31">
        <w:rPr>
          <w:rFonts w:eastAsia="Times"/>
          <w:szCs w:val="22"/>
          <w:lang w:val="en-US"/>
        </w:rPr>
        <w:t xml:space="preserve"> is a</w:t>
      </w:r>
      <w:r w:rsidR="00B63EDE">
        <w:rPr>
          <w:rFonts w:eastAsia="Times"/>
          <w:szCs w:val="22"/>
          <w:lang w:val="en-US"/>
        </w:rPr>
        <w:t>fter the first consultation, the</w:t>
      </w:r>
      <w:r w:rsidRPr="000F5D31">
        <w:rPr>
          <w:rFonts w:eastAsia="Times"/>
          <w:szCs w:val="22"/>
          <w:lang w:val="en-US"/>
        </w:rPr>
        <w:t xml:space="preserve"> </w:t>
      </w:r>
      <w:r w:rsidR="00B63EDE">
        <w:rPr>
          <w:rFonts w:eastAsia="Times"/>
          <w:szCs w:val="22"/>
          <w:lang w:val="en-US"/>
        </w:rPr>
        <w:t>TPG</w:t>
      </w:r>
      <w:r w:rsidR="00121077" w:rsidRPr="000F5D31">
        <w:rPr>
          <w:rFonts w:eastAsia="Times"/>
          <w:szCs w:val="22"/>
          <w:lang w:val="en-US"/>
        </w:rPr>
        <w:t xml:space="preserve"> </w:t>
      </w:r>
      <w:r w:rsidRPr="000F5D31">
        <w:rPr>
          <w:rFonts w:eastAsia="Times"/>
          <w:szCs w:val="22"/>
          <w:lang w:val="en-US"/>
        </w:rPr>
        <w:t xml:space="preserve">discussed whether it would be possible to also review for consistency after the second consultation, but recognized that the relative timing of </w:t>
      </w:r>
      <w:r w:rsidR="00121077">
        <w:rPr>
          <w:rFonts w:eastAsia="Times"/>
          <w:szCs w:val="22"/>
          <w:lang w:val="en-US"/>
        </w:rPr>
        <w:t xml:space="preserve">the </w:t>
      </w:r>
      <w:r w:rsidRPr="000F5D31">
        <w:rPr>
          <w:rFonts w:eastAsia="Times"/>
          <w:szCs w:val="22"/>
          <w:lang w:val="en-US"/>
        </w:rPr>
        <w:t xml:space="preserve">SC and </w:t>
      </w:r>
      <w:r w:rsidR="00121077">
        <w:rPr>
          <w:rFonts w:eastAsia="Times"/>
          <w:szCs w:val="22"/>
          <w:lang w:val="en-US"/>
        </w:rPr>
        <w:t xml:space="preserve">the </w:t>
      </w:r>
      <w:r w:rsidRPr="000F5D31">
        <w:rPr>
          <w:rFonts w:eastAsia="Times"/>
          <w:szCs w:val="22"/>
          <w:lang w:val="en-US"/>
        </w:rPr>
        <w:t>TPG meetings will make this difficult. However, it was suggested that, if particular concerns</w:t>
      </w:r>
      <w:r w:rsidR="00121077">
        <w:rPr>
          <w:rFonts w:eastAsia="Times"/>
          <w:szCs w:val="22"/>
          <w:lang w:val="en-US"/>
        </w:rPr>
        <w:t xml:space="preserve"> are identified</w:t>
      </w:r>
      <w:r w:rsidRPr="000F5D31">
        <w:rPr>
          <w:rFonts w:eastAsia="Times"/>
          <w:szCs w:val="22"/>
          <w:lang w:val="en-US"/>
        </w:rPr>
        <w:t>, the Steward of a draft ISPM could call upon the TPG for advice. The TPG considered whether its members could be more involved in the LRG process, but the Steward commented that, in her opinion, the TPG members would not have the time to do that. TPG members commented that, over and above their involvement with the TPG, they do already input to the LRG process.</w:t>
      </w:r>
    </w:p>
    <w:p w14:paraId="1DBC2240" w14:textId="7D4E71BF" w:rsidR="000F5D31" w:rsidRPr="000F5D31" w:rsidRDefault="000F5D31" w:rsidP="0039363C">
      <w:pPr>
        <w:numPr>
          <w:ilvl w:val="0"/>
          <w:numId w:val="8"/>
        </w:numPr>
        <w:tabs>
          <w:tab w:val="clear" w:pos="0"/>
        </w:tabs>
        <w:spacing w:after="180" w:line="259" w:lineRule="auto"/>
        <w:rPr>
          <w:rFonts w:eastAsia="Times"/>
          <w:szCs w:val="22"/>
          <w:lang w:val="en-US"/>
        </w:rPr>
      </w:pPr>
      <w:r w:rsidRPr="000F5D31">
        <w:rPr>
          <w:rFonts w:eastAsia="Times"/>
          <w:b/>
          <w:szCs w:val="22"/>
          <w:lang w:val="en-US"/>
        </w:rPr>
        <w:t>Explanatory documents</w:t>
      </w:r>
      <w:r w:rsidRPr="000F5D31">
        <w:rPr>
          <w:rFonts w:eastAsia="Times"/>
          <w:szCs w:val="22"/>
          <w:lang w:val="en-US"/>
        </w:rPr>
        <w:t>. The TPG discussed the merits of developing more explanatory documents to help the implementation of standards in clarifying the language used or the content of ISPMs, and whether the TPG could contribute to their development. The TPG agreed that the</w:t>
      </w:r>
      <w:r w:rsidR="00971743">
        <w:rPr>
          <w:rFonts w:eastAsia="Times"/>
          <w:szCs w:val="22"/>
          <w:lang w:val="en-US"/>
        </w:rPr>
        <w:t>y</w:t>
      </w:r>
      <w:r w:rsidRPr="000F5D31">
        <w:rPr>
          <w:rFonts w:eastAsia="Times"/>
          <w:szCs w:val="22"/>
          <w:lang w:val="en-US"/>
        </w:rPr>
        <w:t xml:space="preserve"> should only work on the Explanatory document on ISPM 5 and any explanatory documents that are linked to terms.</w:t>
      </w:r>
    </w:p>
    <w:p w14:paraId="5F97E803" w14:textId="446A6037" w:rsidR="000F5D31" w:rsidRPr="000F5D31" w:rsidRDefault="000F5D31" w:rsidP="0039363C">
      <w:pPr>
        <w:numPr>
          <w:ilvl w:val="0"/>
          <w:numId w:val="8"/>
        </w:numPr>
        <w:tabs>
          <w:tab w:val="clear" w:pos="0"/>
        </w:tabs>
        <w:spacing w:after="180" w:line="259" w:lineRule="auto"/>
        <w:rPr>
          <w:rFonts w:eastAsia="Times"/>
          <w:szCs w:val="22"/>
          <w:lang w:val="en-US"/>
        </w:rPr>
      </w:pPr>
      <w:r w:rsidRPr="000F5D31">
        <w:rPr>
          <w:rFonts w:eastAsia="Times"/>
          <w:b/>
          <w:szCs w:val="22"/>
          <w:lang w:val="en-US"/>
        </w:rPr>
        <w:t>Revision and definition of terms</w:t>
      </w:r>
      <w:r w:rsidRPr="000F5D31">
        <w:rPr>
          <w:rFonts w:eastAsia="Times"/>
          <w:szCs w:val="22"/>
          <w:lang w:val="en-US"/>
        </w:rPr>
        <w:t>. The TPG noted that section 7.5.2 of the IPPC procedure manual for standard setting (Process for proposal of terms to be defined or revision of terms) needs to be corrected, because a list of all requests to define or refine terms is no longer appended to the TPG report and no executive summary is included.</w:t>
      </w:r>
    </w:p>
    <w:p w14:paraId="098F3B97" w14:textId="753CFC32" w:rsidR="000F5D31" w:rsidRDefault="00770DB4" w:rsidP="009F792F">
      <w:pPr>
        <w:pStyle w:val="IPPParagraphnumbering"/>
      </w:pPr>
      <w:r w:rsidRPr="00770DB4">
        <w:rPr>
          <w:b/>
          <w:bCs/>
        </w:rPr>
        <w:t>Scope of the TPG.</w:t>
      </w:r>
      <w:r w:rsidRPr="00770DB4">
        <w:t xml:space="preserve"> The TPG discussed whether, taking into account the above discussions, it made sense to change or increase the scope of the TPG, but agreed that </w:t>
      </w:r>
      <w:r w:rsidRPr="00770DB4">
        <w:rPr>
          <w:bCs/>
        </w:rPr>
        <w:t>there was presently no need to.</w:t>
      </w:r>
    </w:p>
    <w:p w14:paraId="07CAA164" w14:textId="429FEE75" w:rsidR="002B6156" w:rsidRPr="00CD7A84" w:rsidRDefault="00D3035E" w:rsidP="009F792F">
      <w:pPr>
        <w:pStyle w:val="IPPHeadSection"/>
      </w:pPr>
      <w:r>
        <w:rPr>
          <w:lang w:val="ru-RU"/>
        </w:rPr>
        <w:t xml:space="preserve">5. </w:t>
      </w:r>
      <w:r w:rsidR="002B6156" w:rsidRPr="00CD7A84">
        <w:t xml:space="preserve">Recommendations to </w:t>
      </w:r>
      <w:r>
        <w:rPr>
          <w:lang w:val="en-US"/>
        </w:rPr>
        <w:t xml:space="preserve">the </w:t>
      </w:r>
      <w:r w:rsidR="002B6156" w:rsidRPr="00CD7A84">
        <w:t>SC</w:t>
      </w:r>
    </w:p>
    <w:p w14:paraId="68AFE86E" w14:textId="3FA3EEF1" w:rsidR="00CD7A84" w:rsidRDefault="00CD7A84" w:rsidP="002B6156">
      <w:pPr>
        <w:pStyle w:val="IPPParagraphnumbering"/>
      </w:pPr>
      <w:r>
        <w:t>IPPC Secretariat</w:t>
      </w:r>
      <w:r w:rsidR="002B6156">
        <w:t xml:space="preserve"> invited the SC</w:t>
      </w:r>
      <w:r>
        <w:t xml:space="preserve"> to:</w:t>
      </w:r>
    </w:p>
    <w:p w14:paraId="24C439AB" w14:textId="432D5F9A" w:rsidR="00CD7A84" w:rsidRDefault="00CD7A84" w:rsidP="00DB00FF">
      <w:pPr>
        <w:pStyle w:val="IPPParagraphnumbering"/>
        <w:numPr>
          <w:ilvl w:val="0"/>
          <w:numId w:val="0"/>
        </w:numPr>
      </w:pPr>
      <w:r w:rsidRPr="00517A71">
        <w:rPr>
          <w:i/>
        </w:rPr>
        <w:t>Note</w:t>
      </w:r>
      <w:r>
        <w:t xml:space="preserve"> the Secretariat analysis on TPDP, TPPT and TPG and discussions on DP, PT </w:t>
      </w:r>
      <w:r w:rsidR="00DB00FF">
        <w:t>and</w:t>
      </w:r>
      <w:r>
        <w:t xml:space="preserve"> </w:t>
      </w:r>
      <w:r w:rsidR="00DB00FF">
        <w:t>Glossary</w:t>
      </w:r>
      <w:r>
        <w:t xml:space="preserve"> terms development</w:t>
      </w:r>
      <w:r w:rsidR="001217FD">
        <w:t>.</w:t>
      </w:r>
    </w:p>
    <w:p w14:paraId="039E3666" w14:textId="2DF560F2" w:rsidR="002B6156" w:rsidRPr="009F792F" w:rsidRDefault="00CD7A84" w:rsidP="002D32C7">
      <w:pPr>
        <w:pStyle w:val="IPPParagraphnumbering"/>
        <w:rPr>
          <w:b/>
          <w:bCs/>
        </w:rPr>
      </w:pPr>
      <w:r w:rsidRPr="009F792F">
        <w:rPr>
          <w:b/>
          <w:bCs/>
        </w:rPr>
        <w:t>TPDP invited the</w:t>
      </w:r>
      <w:r w:rsidR="002D32C7" w:rsidRPr="009F792F">
        <w:rPr>
          <w:b/>
          <w:bCs/>
        </w:rPr>
        <w:t xml:space="preserve"> SC to</w:t>
      </w:r>
      <w:r w:rsidR="002B6156" w:rsidRPr="009F792F">
        <w:rPr>
          <w:b/>
          <w:bCs/>
        </w:rPr>
        <w:t>:</w:t>
      </w:r>
    </w:p>
    <w:p w14:paraId="0B00C2A0" w14:textId="0F12793B" w:rsidR="002B6156" w:rsidRDefault="002B6156" w:rsidP="0039363C">
      <w:pPr>
        <w:pStyle w:val="IPPNumberedList"/>
        <w:numPr>
          <w:ilvl w:val="0"/>
          <w:numId w:val="12"/>
        </w:numPr>
      </w:pPr>
      <w:r w:rsidRPr="00E174D3">
        <w:rPr>
          <w:i/>
        </w:rPr>
        <w:t>Discuss</w:t>
      </w:r>
      <w:r>
        <w:t xml:space="preserve"> options to incentivize the work of DP authors, and to ensure their commitment and adherence to specific timeframes</w:t>
      </w:r>
      <w:r w:rsidR="00990D88">
        <w:t>;</w:t>
      </w:r>
    </w:p>
    <w:p w14:paraId="37372594" w14:textId="52C19291" w:rsidR="002B6156" w:rsidRDefault="002B6156">
      <w:pPr>
        <w:pStyle w:val="IPPNumberedList"/>
      </w:pPr>
      <w:r w:rsidRPr="00517A71">
        <w:rPr>
          <w:i/>
        </w:rPr>
        <w:t>Request</w:t>
      </w:r>
      <w:r>
        <w:t xml:space="preserve"> the Secretariat to take on shared coordination of DP drafting groups, noting that this will impact the IPPC Secretariat resources and staff</w:t>
      </w:r>
      <w:r w:rsidR="00990D88">
        <w:t>;</w:t>
      </w:r>
    </w:p>
    <w:p w14:paraId="59A9741C" w14:textId="67209F1D" w:rsidR="002B6156" w:rsidRDefault="002B6156">
      <w:pPr>
        <w:pStyle w:val="IPPNumberedList"/>
      </w:pPr>
      <w:r w:rsidRPr="00517A71">
        <w:rPr>
          <w:i/>
        </w:rPr>
        <w:t>Agree</w:t>
      </w:r>
      <w:r>
        <w:t xml:space="preserve"> to call an additional consultation period for DPs, as needed</w:t>
      </w:r>
      <w:r w:rsidR="00990D88">
        <w:t>;</w:t>
      </w:r>
    </w:p>
    <w:p w14:paraId="54D82BBD" w14:textId="2E27C5A4" w:rsidR="002B6156" w:rsidRDefault="002B6156">
      <w:pPr>
        <w:pStyle w:val="IPPNumberedList"/>
      </w:pPr>
      <w:r>
        <w:rPr>
          <w:i/>
        </w:rPr>
        <w:t xml:space="preserve">Agree </w:t>
      </w:r>
      <w:r w:rsidRPr="009F792F">
        <w:rPr>
          <w:iCs/>
        </w:rPr>
        <w:t>to</w:t>
      </w:r>
      <w:r>
        <w:rPr>
          <w:i/>
        </w:rPr>
        <w:t xml:space="preserve"> </w:t>
      </w:r>
      <w:r>
        <w:t>have an ongoing call for DP proposals, similar to the process followed by the phytosanitary treatments</w:t>
      </w:r>
      <w:r w:rsidR="00990D88">
        <w:t>;</w:t>
      </w:r>
    </w:p>
    <w:p w14:paraId="0412DC23" w14:textId="71F88EF8" w:rsidR="002B6156" w:rsidRDefault="002B6156" w:rsidP="0039363C">
      <w:pPr>
        <w:pStyle w:val="IPPNumberedList"/>
        <w:numPr>
          <w:ilvl w:val="0"/>
          <w:numId w:val="12"/>
        </w:numPr>
      </w:pPr>
      <w:r w:rsidRPr="00517A71">
        <w:rPr>
          <w:i/>
        </w:rPr>
        <w:t>Discuss</w:t>
      </w:r>
      <w:r>
        <w:t xml:space="preserve"> the possibility to collect information on diagnostics of emerging pests, as contributed resources, on the IPP, </w:t>
      </w:r>
      <w:r w:rsidRPr="00D175D8">
        <w:rPr>
          <w:i/>
        </w:rPr>
        <w:t>in lieu of</w:t>
      </w:r>
      <w:r>
        <w:t xml:space="preserve"> or as temporary resource for contracting parties during development of an IPPC DP, and propose a process for this involving the TPDP.</w:t>
      </w:r>
    </w:p>
    <w:p w14:paraId="18CAAEA6" w14:textId="77777777" w:rsidR="00ED53F5" w:rsidRDefault="00ED53F5" w:rsidP="0039363C">
      <w:pPr>
        <w:pStyle w:val="IPPNumberedList"/>
        <w:numPr>
          <w:ilvl w:val="0"/>
          <w:numId w:val="12"/>
        </w:numPr>
      </w:pPr>
      <w:r w:rsidRPr="00ED53F5">
        <w:rPr>
          <w:i/>
        </w:rPr>
        <w:t>note</w:t>
      </w:r>
      <w:r>
        <w:t xml:space="preserve"> that developing a DP implies a minimum span of time due to the fact that this is an international standard</w:t>
      </w:r>
    </w:p>
    <w:p w14:paraId="329AD28C" w14:textId="77777777" w:rsidR="00ED53F5" w:rsidRDefault="00ED53F5" w:rsidP="0039363C">
      <w:pPr>
        <w:pStyle w:val="IPPNumberedList"/>
        <w:numPr>
          <w:ilvl w:val="0"/>
          <w:numId w:val="12"/>
        </w:numPr>
      </w:pPr>
      <w:r w:rsidRPr="00ED53F5">
        <w:rPr>
          <w:i/>
        </w:rPr>
        <w:t>note</w:t>
      </w:r>
      <w:r>
        <w:t xml:space="preserve"> that time could be gained at the drafting stage by requesting commitments from applicants to Calls for authors, especially on deadlines to be respected</w:t>
      </w:r>
    </w:p>
    <w:p w14:paraId="788C2032" w14:textId="77777777" w:rsidR="00ED53F5" w:rsidRDefault="00ED53F5" w:rsidP="0039363C">
      <w:pPr>
        <w:pStyle w:val="IPPNumberedList"/>
        <w:numPr>
          <w:ilvl w:val="0"/>
          <w:numId w:val="12"/>
        </w:numPr>
      </w:pPr>
      <w:r w:rsidRPr="00ED53F5">
        <w:rPr>
          <w:i/>
        </w:rPr>
        <w:t xml:space="preserve">note </w:t>
      </w:r>
      <w:r>
        <w:t>that if necessary,</w:t>
      </w:r>
      <w:bookmarkStart w:id="1" w:name="_GoBack"/>
      <w:bookmarkEnd w:id="1"/>
      <w:r>
        <w:t xml:space="preserve"> two country consultation periods per year could be organized, also virtual TPDP meetings</w:t>
      </w:r>
    </w:p>
    <w:p w14:paraId="6791C6D0" w14:textId="227AA725" w:rsidR="00ED53F5" w:rsidRDefault="00ED53F5" w:rsidP="00ED53F5">
      <w:pPr>
        <w:pStyle w:val="IPPNumberedListLast"/>
      </w:pPr>
      <w:r w:rsidRPr="00ED53F5">
        <w:rPr>
          <w:i/>
        </w:rPr>
        <w:t>note</w:t>
      </w:r>
      <w:r>
        <w:t xml:space="preserve"> that there are positive aspects in the current process: the possibility granted to the TPDP to add further experts outside the Call for authors, and the Acknowledgments section in the DPs to identify the experts as contact points which could help implementation.</w:t>
      </w:r>
    </w:p>
    <w:p w14:paraId="5E63A819" w14:textId="77777777" w:rsidR="002B6156" w:rsidRPr="009F792F" w:rsidRDefault="002B6156" w:rsidP="002B6156">
      <w:pPr>
        <w:pStyle w:val="IPPNumberedListLast"/>
        <w:numPr>
          <w:ilvl w:val="0"/>
          <w:numId w:val="0"/>
        </w:numPr>
        <w:ind w:left="567" w:hanging="567"/>
        <w:rPr>
          <w:b/>
          <w:bCs/>
        </w:rPr>
      </w:pPr>
      <w:r w:rsidRPr="009F792F">
        <w:rPr>
          <w:b/>
          <w:bCs/>
        </w:rPr>
        <w:t>TPPT invited the SC to:</w:t>
      </w:r>
    </w:p>
    <w:p w14:paraId="7307B61D" w14:textId="2207C460" w:rsidR="002B6156" w:rsidRPr="009F792F" w:rsidRDefault="002B6156" w:rsidP="0039363C">
      <w:pPr>
        <w:pStyle w:val="IPPNumberedList"/>
        <w:numPr>
          <w:ilvl w:val="0"/>
          <w:numId w:val="13"/>
        </w:numPr>
      </w:pPr>
      <w:r w:rsidRPr="009F792F">
        <w:rPr>
          <w:i/>
        </w:rPr>
        <w:t>note</w:t>
      </w:r>
      <w:r w:rsidRPr="009F792F">
        <w:t xml:space="preserve"> the discussions of the TPPT on PTs development</w:t>
      </w:r>
      <w:r w:rsidR="00990D88">
        <w:t>;</w:t>
      </w:r>
    </w:p>
    <w:p w14:paraId="66DB09AB" w14:textId="53766307" w:rsidR="00E174D3" w:rsidRPr="00CD7A84" w:rsidRDefault="002B6156" w:rsidP="009F792F">
      <w:pPr>
        <w:pStyle w:val="IPPNumberedList"/>
      </w:pPr>
      <w:r w:rsidRPr="00CD7A84">
        <w:rPr>
          <w:i/>
        </w:rPr>
        <w:t xml:space="preserve">note </w:t>
      </w:r>
      <w:r w:rsidRPr="00CD7A84">
        <w:t>the proposal to review of the submission form for phytosanitary treatments and the checklist for evaluating treatment submissions taking into account the PMRG research guidelines</w:t>
      </w:r>
      <w:r w:rsidR="00990D88">
        <w:t>;</w:t>
      </w:r>
    </w:p>
    <w:p w14:paraId="4C7F8A09" w14:textId="7FC1D2F7" w:rsidR="002B6156" w:rsidRPr="00CD7A84" w:rsidRDefault="002B6156" w:rsidP="009F792F">
      <w:pPr>
        <w:pStyle w:val="IPPNumberedList"/>
      </w:pPr>
      <w:r w:rsidRPr="00CD7A84">
        <w:rPr>
          <w:i/>
        </w:rPr>
        <w:t>note</w:t>
      </w:r>
      <w:r w:rsidRPr="00CD7A84">
        <w:t xml:space="preserve"> the TPPTs willingness to provide input in the process of developing commodity standards and associated phytosanitary measures</w:t>
      </w:r>
      <w:r w:rsidR="00990D88">
        <w:t>;</w:t>
      </w:r>
    </w:p>
    <w:p w14:paraId="53DF53D5" w14:textId="49C73C40" w:rsidR="002B6156" w:rsidRPr="00CD7A84" w:rsidRDefault="002B6156" w:rsidP="009F792F">
      <w:pPr>
        <w:pStyle w:val="IPPNumberedList"/>
      </w:pPr>
      <w:r w:rsidRPr="00CD7A84">
        <w:rPr>
          <w:i/>
        </w:rPr>
        <w:t>agree</w:t>
      </w:r>
      <w:r w:rsidRPr="00CD7A84">
        <w:t xml:space="preserve"> to call an additional consultation period for PTs per year, as needed</w:t>
      </w:r>
      <w:r w:rsidR="00990D88">
        <w:t>;</w:t>
      </w:r>
    </w:p>
    <w:p w14:paraId="39A0070B" w14:textId="3EB9659F" w:rsidR="002B6156" w:rsidRPr="00CD7A84" w:rsidRDefault="002B6156" w:rsidP="00DB00FF">
      <w:pPr>
        <w:pStyle w:val="IPPNumberedList"/>
      </w:pPr>
      <w:r w:rsidRPr="00CD7A84">
        <w:rPr>
          <w:i/>
        </w:rPr>
        <w:t>provide</w:t>
      </w:r>
      <w:r w:rsidRPr="00CD7A84">
        <w:t xml:space="preserve"> guidance on the minimum number of consultation periods necessary for PTs (e.g.</w:t>
      </w:r>
      <w:r w:rsidR="00DB00FF">
        <w:t> </w:t>
      </w:r>
      <w:r w:rsidRPr="00CD7A84">
        <w:t>second consultation would only be needed if the SC requires it</w:t>
      </w:r>
      <w:r w:rsidR="00990D88" w:rsidRPr="00CD7A84">
        <w:t>)</w:t>
      </w:r>
      <w:r w:rsidR="00990D88">
        <w:t>;</w:t>
      </w:r>
    </w:p>
    <w:p w14:paraId="4B3B03B7" w14:textId="0F447234" w:rsidR="002B6156" w:rsidRPr="00CD7A84" w:rsidRDefault="002B6156" w:rsidP="009F792F">
      <w:pPr>
        <w:pStyle w:val="IPPNumberedList"/>
      </w:pPr>
      <w:r w:rsidRPr="00CD7A84">
        <w:rPr>
          <w:i/>
        </w:rPr>
        <w:t>consider</w:t>
      </w:r>
      <w:r w:rsidRPr="00CD7A84">
        <w:t xml:space="preserve"> whether</w:t>
      </w:r>
      <w:r w:rsidRPr="00CD7A84">
        <w:rPr>
          <w:i/>
        </w:rPr>
        <w:t xml:space="preserve"> </w:t>
      </w:r>
      <w:r w:rsidRPr="00CD7A84">
        <w:t>to propose to the CPM to include the possibility to submit a PT for adoption after only one consultation period, considering no substantial change was introduced and the consultation comments are adequately addressed</w:t>
      </w:r>
      <w:r w:rsidR="00990D88">
        <w:t>;</w:t>
      </w:r>
    </w:p>
    <w:p w14:paraId="29D74DA8" w14:textId="7CB9580C" w:rsidR="00CD7A84" w:rsidRDefault="002B6156" w:rsidP="009F792F">
      <w:pPr>
        <w:pStyle w:val="IPPNumberedListLast"/>
      </w:pPr>
      <w:r w:rsidRPr="00CD7A84">
        <w:rPr>
          <w:i/>
        </w:rPr>
        <w:t xml:space="preserve">consider </w:t>
      </w:r>
      <w:r w:rsidRPr="00CD7A84">
        <w:t xml:space="preserve">revising the </w:t>
      </w:r>
      <w:r w:rsidR="002161A7">
        <w:t>SSP</w:t>
      </w:r>
      <w:r w:rsidRPr="00CD7A84">
        <w:t xml:space="preserve"> allowing the SC to</w:t>
      </w:r>
      <w:r w:rsidRPr="00CD7A84">
        <w:rPr>
          <w:i/>
        </w:rPr>
        <w:t xml:space="preserve"> </w:t>
      </w:r>
      <w:r w:rsidRPr="00CD7A84">
        <w:t>adopt PTs on behalf of CPM. Thus, a request to CPM would be needed.</w:t>
      </w:r>
    </w:p>
    <w:p w14:paraId="2BDBDE85" w14:textId="4CDF33E9" w:rsidR="002B6156" w:rsidRPr="009F792F" w:rsidRDefault="002B6156" w:rsidP="009F792F">
      <w:pPr>
        <w:pStyle w:val="IPPNumberedListLast"/>
        <w:numPr>
          <w:ilvl w:val="0"/>
          <w:numId w:val="0"/>
        </w:numPr>
        <w:ind w:left="567" w:hanging="567"/>
        <w:rPr>
          <w:b/>
          <w:bCs/>
        </w:rPr>
      </w:pPr>
      <w:r w:rsidRPr="009F792F">
        <w:rPr>
          <w:b/>
          <w:bCs/>
        </w:rPr>
        <w:t>TPG invited the SC to:</w:t>
      </w:r>
    </w:p>
    <w:p w14:paraId="0445245A" w14:textId="4D87B5BD" w:rsidR="0098040C" w:rsidRPr="0098040C" w:rsidRDefault="0098040C" w:rsidP="0039363C">
      <w:pPr>
        <w:pStyle w:val="IPPNumberedList"/>
        <w:numPr>
          <w:ilvl w:val="0"/>
          <w:numId w:val="14"/>
        </w:numPr>
      </w:pPr>
      <w:r w:rsidRPr="0098040C">
        <w:rPr>
          <w:rFonts w:eastAsia="MS Mincho"/>
          <w:i/>
          <w:iCs/>
          <w:lang w:val="en-GB"/>
        </w:rPr>
        <w:t>Consider</w:t>
      </w:r>
      <w:r w:rsidRPr="0098040C">
        <w:rPr>
          <w:rFonts w:eastAsia="MS Mincho"/>
          <w:lang w:val="en-GB"/>
        </w:rPr>
        <w:t xml:space="preserve"> the TPG comments regarding the potential impact of the IPPC Strategic Framework 2020–2030 on the work of the TPG, streamlining technical panel processes, and the possible TPG contributions to IPPC processes and materials;</w:t>
      </w:r>
    </w:p>
    <w:p w14:paraId="3BEB63CA" w14:textId="1E718697" w:rsidR="002B6156" w:rsidRPr="009F792F" w:rsidRDefault="006079F1" w:rsidP="0039363C">
      <w:pPr>
        <w:pStyle w:val="IPPNumberedList"/>
        <w:numPr>
          <w:ilvl w:val="0"/>
          <w:numId w:val="14"/>
        </w:numPr>
      </w:pPr>
      <w:r w:rsidRPr="009F792F">
        <w:rPr>
          <w:i/>
        </w:rPr>
        <w:t>consider</w:t>
      </w:r>
      <w:r w:rsidR="002B6156" w:rsidRPr="009F792F">
        <w:rPr>
          <w:i/>
        </w:rPr>
        <w:t xml:space="preserve"> </w:t>
      </w:r>
      <w:r w:rsidR="002B6156" w:rsidRPr="009F792F">
        <w:t>revising the process for translation of ink amendments resulting from the consistency review of standards so that, where resources permit, initial translation is undertaken by TPG members following the SC May meeting each year, for subsequent checking by the FAO Translation Office</w:t>
      </w:r>
      <w:r w:rsidR="00990D88" w:rsidRPr="009F792F">
        <w:t>;</w:t>
      </w:r>
    </w:p>
    <w:p w14:paraId="10E55E85" w14:textId="5195A750" w:rsidR="002B6156" w:rsidRPr="00CD7A84" w:rsidRDefault="002B6156" w:rsidP="009F792F">
      <w:pPr>
        <w:pStyle w:val="IPPNumberedList"/>
      </w:pPr>
      <w:r w:rsidRPr="00CD7A84">
        <w:rPr>
          <w:i/>
        </w:rPr>
        <w:t xml:space="preserve">recommend </w:t>
      </w:r>
      <w:r w:rsidRPr="00CD7A84">
        <w:t xml:space="preserve">that all expert working groups, including both those working on </w:t>
      </w:r>
      <w:r w:rsidR="001A377E">
        <w:t>S</w:t>
      </w:r>
      <w:r w:rsidRPr="00CD7A84">
        <w:t xml:space="preserve">tandard </w:t>
      </w:r>
      <w:r w:rsidR="001A377E">
        <w:t>S</w:t>
      </w:r>
      <w:r w:rsidRPr="00CD7A84">
        <w:t>etting and those working on capacity development topics, are provided with both ISPM 5 (</w:t>
      </w:r>
      <w:r w:rsidRPr="00CD7A84">
        <w:rPr>
          <w:i/>
        </w:rPr>
        <w:t>Glossary of phytosanitary terms</w:t>
      </w:r>
      <w:r w:rsidRPr="00CD7A84">
        <w:t>) and the Annotated Glossary (Explanatory document on ISPM 5) to ensure consistency of terms</w:t>
      </w:r>
      <w:r w:rsidR="00990D88">
        <w:t>;</w:t>
      </w:r>
    </w:p>
    <w:p w14:paraId="0CDB2C3A" w14:textId="1264E613" w:rsidR="002B6156" w:rsidRPr="00CD7A84" w:rsidRDefault="006079F1" w:rsidP="009F792F">
      <w:pPr>
        <w:pStyle w:val="IPPNumberedList"/>
        <w:rPr>
          <w:i/>
        </w:rPr>
      </w:pPr>
      <w:r w:rsidRPr="00CD7A84">
        <w:rPr>
          <w:i/>
        </w:rPr>
        <w:t xml:space="preserve">agree </w:t>
      </w:r>
      <w:r w:rsidRPr="00CD7A84">
        <w:t xml:space="preserve">that TPG will </w:t>
      </w:r>
      <w:r w:rsidR="002B6156" w:rsidRPr="00CD7A84">
        <w:t>develop the language versions of the ink amendments for “commodity class”, pending confirmation from the Secretariat of the availability of resources to prepare the consistency tables in languages</w:t>
      </w:r>
      <w:r w:rsidR="00990D88">
        <w:t>;</w:t>
      </w:r>
    </w:p>
    <w:p w14:paraId="7FA95FE5" w14:textId="0C4D55A0" w:rsidR="000F5D31" w:rsidRPr="00B36970" w:rsidRDefault="006079F1" w:rsidP="009F792F">
      <w:pPr>
        <w:pStyle w:val="IPPNumberedListLast"/>
      </w:pPr>
      <w:r w:rsidRPr="00CD7A84">
        <w:rPr>
          <w:i/>
        </w:rPr>
        <w:t>request</w:t>
      </w:r>
      <w:r w:rsidR="002B6156" w:rsidRPr="00CD7A84">
        <w:rPr>
          <w:i/>
        </w:rPr>
        <w:t xml:space="preserve"> </w:t>
      </w:r>
      <w:r w:rsidR="002B6156" w:rsidRPr="00CD7A84">
        <w:t>that the Secretariat amend section 7.5.2 of the IPPC procedure manual for standard setting (</w:t>
      </w:r>
      <w:r w:rsidR="002B6156" w:rsidRPr="00CD7A84">
        <w:rPr>
          <w:i/>
        </w:rPr>
        <w:t>Process for proposal of terms to be defined or revision of terms</w:t>
      </w:r>
      <w:r w:rsidR="002B6156" w:rsidRPr="00CD7A84">
        <w:t>) at its next revision to remove the requirements to include an executive summary in TPG reports and to attach as an appendix a list of all requests to define or refine terms, and invited the SC to note these changes.</w:t>
      </w:r>
    </w:p>
    <w:sectPr w:rsidR="000F5D31" w:rsidRPr="00B36970" w:rsidSect="00C912FB">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15742E" w16cid:durableId="2269423D"/>
  <w16cid:commentId w16cid:paraId="52B850AE" w16cid:durableId="226947E9"/>
  <w16cid:commentId w16cid:paraId="76809573" w16cid:durableId="226CDFA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72AD65" w14:textId="77777777" w:rsidR="0039363C" w:rsidRDefault="0039363C" w:rsidP="00C4540F">
      <w:r>
        <w:separator/>
      </w:r>
    </w:p>
  </w:endnote>
  <w:endnote w:type="continuationSeparator" w:id="0">
    <w:p w14:paraId="2860C5AF" w14:textId="77777777" w:rsidR="0039363C" w:rsidRDefault="0039363C" w:rsidP="00C45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khbar MT">
    <w:altName w:val="Times New Roman"/>
    <w:charset w:val="B2"/>
    <w:family w:val="auto"/>
    <w:pitch w:val="variable"/>
    <w:sig w:usb0="00002001" w:usb1="00000000" w:usb2="00000000" w:usb3="00000000" w:csb0="00000040"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F983E" w14:textId="5AC7DC47" w:rsidR="00B63EDE" w:rsidRPr="00C912FB" w:rsidRDefault="00B63EDE" w:rsidP="00C912FB">
    <w:pPr>
      <w:pStyle w:val="IPPFooter"/>
      <w:rPr>
        <w:bCs/>
      </w:rPr>
    </w:pPr>
    <w:r w:rsidRPr="00070CFD">
      <w:rPr>
        <w:rStyle w:val="PageNumber"/>
        <w:b/>
        <w:bCs/>
      </w:rPr>
      <w:t xml:space="preserve">Page </w:t>
    </w:r>
    <w:r w:rsidRPr="00070CFD">
      <w:rPr>
        <w:rStyle w:val="PageNumber"/>
        <w:b/>
        <w:bCs/>
      </w:rPr>
      <w:fldChar w:fldCharType="begin"/>
    </w:r>
    <w:r w:rsidRPr="00070CFD">
      <w:rPr>
        <w:rStyle w:val="PageNumber"/>
        <w:b/>
        <w:bCs/>
      </w:rPr>
      <w:instrText xml:space="preserve"> PAGE </w:instrText>
    </w:r>
    <w:r w:rsidRPr="00070CFD">
      <w:rPr>
        <w:rStyle w:val="PageNumber"/>
        <w:b/>
        <w:bCs/>
      </w:rPr>
      <w:fldChar w:fldCharType="separate"/>
    </w:r>
    <w:r w:rsidR="005119DC">
      <w:rPr>
        <w:rStyle w:val="PageNumber"/>
        <w:b/>
        <w:bCs/>
        <w:noProof/>
      </w:rPr>
      <w:t>16</w:t>
    </w:r>
    <w:r w:rsidRPr="00070CFD">
      <w:rPr>
        <w:rStyle w:val="PageNumber"/>
        <w:b/>
        <w:bCs/>
      </w:rPr>
      <w:fldChar w:fldCharType="end"/>
    </w:r>
    <w:r w:rsidRPr="00070CFD">
      <w:rPr>
        <w:rStyle w:val="PageNumber"/>
        <w:b/>
        <w:bCs/>
      </w:rPr>
      <w:t xml:space="preserve"> of </w:t>
    </w:r>
    <w:r w:rsidRPr="00070CFD">
      <w:rPr>
        <w:rStyle w:val="PageNumber"/>
        <w:b/>
        <w:bCs/>
      </w:rPr>
      <w:fldChar w:fldCharType="begin"/>
    </w:r>
    <w:r w:rsidRPr="00070CFD">
      <w:rPr>
        <w:rStyle w:val="PageNumber"/>
        <w:b/>
        <w:bCs/>
      </w:rPr>
      <w:instrText xml:space="preserve"> NUMPAGES </w:instrText>
    </w:r>
    <w:r w:rsidRPr="00070CFD">
      <w:rPr>
        <w:rStyle w:val="PageNumber"/>
        <w:b/>
        <w:bCs/>
      </w:rPr>
      <w:fldChar w:fldCharType="separate"/>
    </w:r>
    <w:r w:rsidR="005119DC">
      <w:rPr>
        <w:rStyle w:val="PageNumber"/>
        <w:b/>
        <w:bCs/>
        <w:noProof/>
      </w:rPr>
      <w:t>16</w:t>
    </w:r>
    <w:r w:rsidRPr="00070CFD">
      <w:rPr>
        <w:rStyle w:val="PageNumber"/>
        <w:b/>
        <w:bCs/>
      </w:rPr>
      <w:fldChar w:fldCharType="end"/>
    </w:r>
    <w:r w:rsidRPr="00D656B3">
      <w:rPr>
        <w:rStyle w:val="PageNumber"/>
        <w:bCs/>
      </w:rPr>
      <w:tab/>
    </w:r>
    <w:r>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CBE6A" w14:textId="137FE5A6" w:rsidR="00B63EDE" w:rsidRDefault="00B63EDE" w:rsidP="00C912FB">
    <w:pPr>
      <w:pStyle w:val="IPPFooter"/>
    </w:pPr>
    <w:r>
      <w:rPr>
        <w:rStyle w:val="PageNumber"/>
        <w:b/>
      </w:rPr>
      <w:t>International Plant Protection Convention</w:t>
    </w:r>
    <w:r>
      <w:rPr>
        <w:rStyle w:val="PageNumber"/>
        <w:b/>
      </w:rPr>
      <w:tab/>
    </w: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5119DC">
      <w:rPr>
        <w:rStyle w:val="PageNumber"/>
        <w:b/>
        <w:bCs/>
        <w:noProof/>
      </w:rPr>
      <w:t>3</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5119DC">
      <w:rPr>
        <w:rStyle w:val="PageNumber"/>
        <w:b/>
        <w:bCs/>
        <w:noProof/>
      </w:rPr>
      <w:t>16</w:t>
    </w:r>
    <w:r w:rsidRPr="007D640A">
      <w:rPr>
        <w:rStyle w:val="PageNumbe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1E769" w14:textId="3325EADF" w:rsidR="00B63EDE" w:rsidRDefault="00B63EDE" w:rsidP="00C912FB">
    <w:pPr>
      <w:pStyle w:val="IPPFooter"/>
    </w:pPr>
    <w:r>
      <w:rPr>
        <w:rStyle w:val="PageNumber"/>
        <w:b/>
      </w:rPr>
      <w:t>International Plant Protection Convention</w:t>
    </w:r>
    <w:r>
      <w:rPr>
        <w:rStyle w:val="PageNumber"/>
        <w:b/>
      </w:rPr>
      <w:tab/>
    </w: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39363C">
      <w:rPr>
        <w:rStyle w:val="PageNumber"/>
        <w:b/>
        <w:bCs/>
        <w:noProof/>
      </w:rPr>
      <w:t>1</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39363C">
      <w:rPr>
        <w:rStyle w:val="PageNumber"/>
        <w:b/>
        <w:bCs/>
        <w:noProof/>
      </w:rPr>
      <w:t>1</w:t>
    </w:r>
    <w:r w:rsidRPr="007D640A">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FA8E58" w14:textId="77777777" w:rsidR="0039363C" w:rsidRDefault="0039363C" w:rsidP="00C4540F">
      <w:r>
        <w:separator/>
      </w:r>
    </w:p>
  </w:footnote>
  <w:footnote w:type="continuationSeparator" w:id="0">
    <w:p w14:paraId="2F1EF305" w14:textId="77777777" w:rsidR="0039363C" w:rsidRDefault="0039363C" w:rsidP="00C4540F">
      <w:r>
        <w:continuationSeparator/>
      </w:r>
    </w:p>
  </w:footnote>
  <w:footnote w:id="1">
    <w:p w14:paraId="790A002F" w14:textId="697C53F5" w:rsidR="00B63EDE" w:rsidRPr="007207BC" w:rsidRDefault="00B63EDE" w:rsidP="009F792F">
      <w:pPr>
        <w:pStyle w:val="IPPFootnote"/>
      </w:pPr>
      <w:r>
        <w:rPr>
          <w:rStyle w:val="FootnoteReference"/>
        </w:rPr>
        <w:footnoteRef/>
      </w:r>
      <w:r>
        <w:t xml:space="preserve"> </w:t>
      </w:r>
      <w:r w:rsidRPr="007207BC">
        <w:rPr>
          <w:szCs w:val="20"/>
        </w:rPr>
        <w:t xml:space="preserve">Standards Committee (SC) May 2019 meeting report: </w:t>
      </w:r>
      <w:hyperlink r:id="rId1" w:history="1">
        <w:r>
          <w:rPr>
            <w:rStyle w:val="Hyperlink"/>
          </w:rPr>
          <w:t>https://www.ippc.int/en/publications/87249/</w:t>
        </w:r>
      </w:hyperlink>
      <w:r>
        <w:t>.</w:t>
      </w:r>
    </w:p>
  </w:footnote>
  <w:footnote w:id="2">
    <w:p w14:paraId="27A41A72" w14:textId="6FC8980F" w:rsidR="00B63EDE" w:rsidRPr="004E23AF" w:rsidRDefault="00B63EDE" w:rsidP="009F792F">
      <w:pPr>
        <w:pStyle w:val="IPPFootnote"/>
      </w:pPr>
      <w:r>
        <w:rPr>
          <w:rStyle w:val="FootnoteReference"/>
        </w:rPr>
        <w:footnoteRef/>
      </w:r>
      <w:r>
        <w:t xml:space="preserve"> 1 July and 5 January, as decided by SC 2017-05.</w:t>
      </w:r>
    </w:p>
  </w:footnote>
  <w:footnote w:id="3">
    <w:p w14:paraId="7678E04B" w14:textId="01D64646" w:rsidR="00B63EDE" w:rsidRPr="00653E0E" w:rsidRDefault="00B63EDE" w:rsidP="009F792F">
      <w:pPr>
        <w:pStyle w:val="IPPFootnote"/>
        <w:rPr>
          <w:bCs/>
        </w:rPr>
      </w:pPr>
      <w:r w:rsidRPr="00335219">
        <w:rPr>
          <w:rStyle w:val="IPPFootnoteRedChar"/>
          <w:rFonts w:eastAsia="MS Mincho"/>
          <w:b w:val="0"/>
          <w:bCs w:val="0"/>
          <w:color w:val="auto"/>
          <w:szCs w:val="20"/>
        </w:rPr>
        <w:footnoteRef/>
      </w:r>
      <w:r w:rsidRPr="00653E0E">
        <w:rPr>
          <w:bCs/>
        </w:rPr>
        <w:t xml:space="preserve"> A technical revision for DPs has been defined by the SC and is recorded in the </w:t>
      </w:r>
      <w:r w:rsidRPr="00653E0E">
        <w:t>IPPC Procedure manual for standard setting</w:t>
      </w:r>
      <w:r w:rsidRPr="00653E0E">
        <w:rPr>
          <w:bCs/>
        </w:rPr>
        <w:t xml:space="preserve"> at: </w:t>
      </w:r>
      <w:hyperlink r:id="rId2" w:history="1">
        <w:r w:rsidRPr="00653E0E">
          <w:rPr>
            <w:rStyle w:val="Hyperlink"/>
            <w:szCs w:val="20"/>
          </w:rPr>
          <w:t>https://www.ippc.int/en/core-activities/ippc-standard-setting-procedure-manual/</w:t>
        </w:r>
      </w:hyperlink>
      <w:r w:rsidRPr="00653E0E">
        <w:t xml:space="preserve"> (or direct link at: </w:t>
      </w:r>
      <w:hyperlink r:id="rId3" w:history="1">
        <w:r w:rsidRPr="00653E0E">
          <w:rPr>
            <w:rStyle w:val="Hyperlink"/>
            <w:szCs w:val="20"/>
          </w:rPr>
          <w:t>https://www.ippc.int/en/publications/85024/</w:t>
        </w:r>
      </w:hyperlink>
      <w:r w:rsidRPr="00653E0E">
        <w:t>).</w:t>
      </w:r>
    </w:p>
  </w:footnote>
  <w:footnote w:id="4">
    <w:p w14:paraId="25FA2846" w14:textId="77777777" w:rsidR="00B63EDE" w:rsidRPr="009D7B38" w:rsidRDefault="00B63EDE" w:rsidP="009F792F">
      <w:pPr>
        <w:pStyle w:val="IPPFootnote"/>
        <w:rPr>
          <w:lang w:val="en-US"/>
        </w:rPr>
      </w:pPr>
      <w:r w:rsidRPr="009F792F">
        <w:rPr>
          <w:rStyle w:val="IPPFootnoteRedChar"/>
          <w:rFonts w:eastAsia="MS Mincho"/>
          <w:b w:val="0"/>
          <w:bCs w:val="0"/>
          <w:color w:val="auto"/>
          <w:szCs w:val="20"/>
        </w:rPr>
        <w:footnoteRef/>
      </w:r>
      <w:r w:rsidRPr="009F792F">
        <w:rPr>
          <w:rStyle w:val="IPPFootnoteRedChar"/>
          <w:rFonts w:eastAsia="MS Mincho"/>
          <w:b w:val="0"/>
          <w:bCs w:val="0"/>
          <w:szCs w:val="20"/>
        </w:rPr>
        <w:t xml:space="preserve"> </w:t>
      </w:r>
      <w:r w:rsidRPr="00653E0E">
        <w:t>SC 2013</w:t>
      </w:r>
      <w:r w:rsidRPr="00653E0E">
        <w:rPr>
          <w:lang w:val="en-US"/>
        </w:rPr>
        <w:t>-05</w:t>
      </w:r>
      <w:r w:rsidRPr="00653E0E">
        <w:t>, agenda item 9.1</w:t>
      </w:r>
      <w:r w:rsidRPr="00653E0E">
        <w:rPr>
          <w:lang w:val="en-US"/>
        </w:rPr>
        <w:t>.</w:t>
      </w:r>
    </w:p>
  </w:footnote>
  <w:footnote w:id="5">
    <w:p w14:paraId="3F7285F9" w14:textId="1D4AE902" w:rsidR="00B63EDE" w:rsidRPr="00743FDB" w:rsidRDefault="00B63EDE" w:rsidP="009F792F">
      <w:pPr>
        <w:pStyle w:val="IPPFootnote"/>
      </w:pPr>
      <w:r>
        <w:rPr>
          <w:rStyle w:val="FootnoteReference"/>
        </w:rPr>
        <w:footnoteRef/>
      </w:r>
      <w:r>
        <w:t xml:space="preserve"> PMRG website and research guidelines: </w:t>
      </w:r>
      <w:hyperlink r:id="rId4" w:history="1">
        <w:r>
          <w:rPr>
            <w:rStyle w:val="Hyperlink"/>
          </w:rPr>
          <w:t>https://www.ippc.int/en/external-cooperation/organizations-page-in-ipp/phytosanitarymeasuresresearchgroup/</w:t>
        </w:r>
      </w:hyperlink>
      <w:r>
        <w:rPr>
          <w:rStyle w:val="Hyperlink"/>
          <w:u w:val="none"/>
        </w:rPr>
        <w:t>.</w:t>
      </w:r>
    </w:p>
  </w:footnote>
  <w:footnote w:id="6">
    <w:p w14:paraId="278A6EA3" w14:textId="61ADDDFB" w:rsidR="00B63EDE" w:rsidRDefault="00B63EDE" w:rsidP="009F792F">
      <w:pPr>
        <w:pStyle w:val="IPPFootnote"/>
      </w:pPr>
      <w:r>
        <w:rPr>
          <w:rStyle w:val="FootnoteReference"/>
        </w:rPr>
        <w:footnoteRef/>
      </w:r>
      <w:r>
        <w:t xml:space="preserve"> 2014 May SC report: </w:t>
      </w:r>
      <w:hyperlink r:id="rId5" w:history="1">
        <w:r>
          <w:rPr>
            <w:rStyle w:val="Hyperlink"/>
          </w:rPr>
          <w:t>https://www.ippc.int/en/publications/2514/</w:t>
        </w:r>
      </w:hyperlink>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5FB32D" w14:textId="35A0B592" w:rsidR="00B63EDE" w:rsidRPr="00704013" w:rsidRDefault="005119DC" w:rsidP="00C912FB">
    <w:pPr>
      <w:pStyle w:val="IPPHeader"/>
      <w:tabs>
        <w:tab w:val="left" w:pos="2454"/>
      </w:tabs>
      <w:rPr>
        <w:i/>
      </w:rPr>
    </w:pPr>
    <w:r>
      <w:t>2020_eSC_Nov_03_Rev1</w:t>
    </w:r>
    <w:r w:rsidR="00B63EDE">
      <w:tab/>
      <w:t xml:space="preserve">           </w:t>
    </w:r>
    <w:r w:rsidR="00B63EDE" w:rsidRPr="001A2E3D">
      <w:rPr>
        <w:lang w:val="en-GB"/>
      </w:rPr>
      <w:t>Possible ways to streamline the development processes of technical panels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C5C2E4" w14:textId="2F85CC73" w:rsidR="00B63EDE" w:rsidRPr="00704013" w:rsidRDefault="00B63EDE" w:rsidP="00B91E31">
    <w:pPr>
      <w:pStyle w:val="IPPHeader"/>
      <w:tabs>
        <w:tab w:val="left" w:pos="2454"/>
      </w:tabs>
      <w:rPr>
        <w:i/>
      </w:rPr>
    </w:pPr>
    <w:r w:rsidRPr="004337C2">
      <w:rPr>
        <w:lang w:val="en-GB"/>
      </w:rPr>
      <w:t>Possible ways to streamline the development processes of technical panels</w:t>
    </w:r>
    <w:r>
      <w:tab/>
    </w:r>
    <w:r w:rsidR="005119DC">
      <w:t>2020_eSC_Nov_03_Rev1</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653F7" w14:textId="73CB0527" w:rsidR="00B63EDE" w:rsidRDefault="00B63EDE" w:rsidP="00C912FB">
    <w:pPr>
      <w:pStyle w:val="IPPHeader"/>
      <w:ind w:left="1134"/>
    </w:pPr>
    <w:r>
      <w:rPr>
        <w:noProof/>
      </w:rPr>
      <w:drawing>
        <wp:anchor distT="0" distB="0" distL="114300" distR="114300" simplePos="0" relativeHeight="251660288" behindDoc="0" locked="0" layoutInCell="1" allowOverlap="0" wp14:anchorId="39EE5F76" wp14:editId="409F4794">
          <wp:simplePos x="0" y="0"/>
          <wp:positionH relativeFrom="page">
            <wp:posOffset>-28575</wp:posOffset>
          </wp:positionH>
          <wp:positionV relativeFrom="paragraph">
            <wp:posOffset>-436880</wp:posOffset>
          </wp:positionV>
          <wp:extent cx="7629525" cy="463550"/>
          <wp:effectExtent l="0" t="0" r="952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58DDCD" w14:textId="4DE2165F" w:rsidR="00B63EDE" w:rsidRPr="000A0552" w:rsidRDefault="00B63EDE" w:rsidP="00C912FB">
    <w:pPr>
      <w:pStyle w:val="IPPHeader"/>
      <w:ind w:left="1134"/>
    </w:pPr>
    <w:r>
      <w:rPr>
        <w:noProof/>
      </w:rPr>
      <w:drawing>
        <wp:anchor distT="0" distB="0" distL="114300" distR="114300" simplePos="0" relativeHeight="251659264" behindDoc="0" locked="0" layoutInCell="1" allowOverlap="1" wp14:anchorId="08D11680" wp14:editId="2F085A1A">
          <wp:simplePos x="0" y="0"/>
          <wp:positionH relativeFrom="column">
            <wp:posOffset>-12700</wp:posOffset>
          </wp:positionH>
          <wp:positionV relativeFrom="paragraph">
            <wp:posOffset>3810</wp:posOffset>
          </wp:positionV>
          <wp:extent cx="632460" cy="321310"/>
          <wp:effectExtent l="0" t="0" r="0" b="2540"/>
          <wp:wrapSquare wrapText="bothSides"/>
          <wp:docPr id="3" name="Picture 3"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t>2020</w:t>
    </w:r>
    <w:r w:rsidR="002A0877">
      <w:t>_eSC_Nov_03</w:t>
    </w:r>
    <w:r w:rsidR="008F1569">
      <w:t>_Rev1</w:t>
    </w:r>
    <w:r>
      <w:br/>
    </w:r>
    <w:r w:rsidRPr="001A2E3D">
      <w:rPr>
        <w:lang w:val="en-GB"/>
      </w:rPr>
      <w:t>Possible ways to streamline the development processes of technical panels</w:t>
    </w:r>
    <w:r w:rsidRPr="00AC1406">
      <w:rPr>
        <w:i/>
      </w:rPr>
      <w:tab/>
      <w:t xml:space="preserve">Agenda item: </w:t>
    </w:r>
    <w:r w:rsidR="002A0877">
      <w:rPr>
        <w:i/>
      </w:rPr>
      <w:t>N/A</w:t>
    </w:r>
  </w:p>
  <w:p w14:paraId="5DF2927C" w14:textId="77777777" w:rsidR="00B63EDE" w:rsidRDefault="00B63E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1FE0F8F"/>
    <w:multiLevelType w:val="multilevel"/>
    <w:tmpl w:val="06E871E4"/>
    <w:styleLink w:val="IPPParagraphnumberedlist"/>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4"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15:restartNumberingAfterBreak="0">
    <w:nsid w:val="5FFA4880"/>
    <w:multiLevelType w:val="multilevel"/>
    <w:tmpl w:val="6E483918"/>
    <w:styleLink w:val="IPPParagraphnumberedlist1"/>
    <w:lvl w:ilvl="0">
      <w:start w:val="1"/>
      <w:numFmt w:val="decimal"/>
      <w:pStyle w:val="NewPara"/>
      <w:lvlText w:val="%1."/>
      <w:lvlJc w:val="left"/>
      <w:pPr>
        <w:ind w:left="720" w:hanging="720"/>
      </w:pPr>
      <w:rPr>
        <w:rFonts w:ascii="Times New Roman" w:hAnsi="Times New Roman" w:cs="Akhbar MT" w:hint="default"/>
        <w:b w:val="0"/>
        <w:bCs w:val="0"/>
        <w:i w:val="0"/>
        <w:iCs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7"/>
  </w:num>
  <w:num w:numId="2">
    <w:abstractNumId w:val="2"/>
  </w:num>
  <w:num w:numId="3">
    <w:abstractNumId w:val="3"/>
  </w:num>
  <w:num w:numId="4">
    <w:abstractNumId w:val="9"/>
  </w:num>
  <w:num w:numId="5">
    <w:abstractNumId w:val="5"/>
  </w:num>
  <w:num w:numId="6">
    <w:abstractNumId w:val="4"/>
  </w:num>
  <w:num w:numId="7">
    <w:abstractNumId w:val="10"/>
  </w:num>
  <w:num w:numId="8">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9">
    <w:abstractNumId w:val="0"/>
  </w:num>
  <w:num w:numId="10">
    <w:abstractNumId w:val="8"/>
  </w:num>
  <w:num w:numId="11">
    <w:abstractNumId w:val="6"/>
  </w:num>
  <w:num w:numId="12">
    <w:abstractNumId w:val="0"/>
    <w:lvlOverride w:ilvl="0">
      <w:startOverride w:val="1"/>
    </w:lvlOverride>
  </w:num>
  <w:num w:numId="13">
    <w:abstractNumId w:val="0"/>
    <w:lvlOverride w:ilvl="0">
      <w:startOverride w:val="1"/>
    </w:lvlOverride>
  </w:num>
  <w:num w:numId="14">
    <w:abstractNumId w:val="0"/>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attachedTemplate r:id="rId1"/>
  <w:linkStyles/>
  <w:defaultTabStop w:val="720"/>
  <w:evenAndOddHeaders/>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2838"/>
    <w:rsid w:val="00010DE2"/>
    <w:rsid w:val="00011AE9"/>
    <w:rsid w:val="00012838"/>
    <w:rsid w:val="00013198"/>
    <w:rsid w:val="000174F5"/>
    <w:rsid w:val="00023506"/>
    <w:rsid w:val="000305BF"/>
    <w:rsid w:val="00033AB8"/>
    <w:rsid w:val="00044C76"/>
    <w:rsid w:val="000639C4"/>
    <w:rsid w:val="000677AF"/>
    <w:rsid w:val="00070258"/>
    <w:rsid w:val="00073976"/>
    <w:rsid w:val="0007610A"/>
    <w:rsid w:val="000801EC"/>
    <w:rsid w:val="00080DE4"/>
    <w:rsid w:val="000839E6"/>
    <w:rsid w:val="000857D5"/>
    <w:rsid w:val="0009240C"/>
    <w:rsid w:val="00093EF0"/>
    <w:rsid w:val="00094174"/>
    <w:rsid w:val="000A0BBC"/>
    <w:rsid w:val="000A15B3"/>
    <w:rsid w:val="000B41BE"/>
    <w:rsid w:val="000C04FB"/>
    <w:rsid w:val="000C6B5F"/>
    <w:rsid w:val="000E03B3"/>
    <w:rsid w:val="000E49F4"/>
    <w:rsid w:val="000E5E90"/>
    <w:rsid w:val="000F1F17"/>
    <w:rsid w:val="000F5D31"/>
    <w:rsid w:val="00107E43"/>
    <w:rsid w:val="00121077"/>
    <w:rsid w:val="001217FD"/>
    <w:rsid w:val="00123105"/>
    <w:rsid w:val="00130A4F"/>
    <w:rsid w:val="00132862"/>
    <w:rsid w:val="00133B55"/>
    <w:rsid w:val="001345FC"/>
    <w:rsid w:val="00134C62"/>
    <w:rsid w:val="00136050"/>
    <w:rsid w:val="00141366"/>
    <w:rsid w:val="00141382"/>
    <w:rsid w:val="001657EC"/>
    <w:rsid w:val="001678E2"/>
    <w:rsid w:val="00167D03"/>
    <w:rsid w:val="001729A2"/>
    <w:rsid w:val="0017418A"/>
    <w:rsid w:val="0018063A"/>
    <w:rsid w:val="0018313D"/>
    <w:rsid w:val="00194F5E"/>
    <w:rsid w:val="001A1B96"/>
    <w:rsid w:val="001A2E3D"/>
    <w:rsid w:val="001A377E"/>
    <w:rsid w:val="001A6979"/>
    <w:rsid w:val="001C47AE"/>
    <w:rsid w:val="001C5177"/>
    <w:rsid w:val="001D53ED"/>
    <w:rsid w:val="001E0FBE"/>
    <w:rsid w:val="001E4DB5"/>
    <w:rsid w:val="001E68FB"/>
    <w:rsid w:val="001F4B8A"/>
    <w:rsid w:val="00204632"/>
    <w:rsid w:val="00212408"/>
    <w:rsid w:val="0021380C"/>
    <w:rsid w:val="002161A7"/>
    <w:rsid w:val="00217A1E"/>
    <w:rsid w:val="00222470"/>
    <w:rsid w:val="002240AD"/>
    <w:rsid w:val="00225E6E"/>
    <w:rsid w:val="00227220"/>
    <w:rsid w:val="00251410"/>
    <w:rsid w:val="00254DAE"/>
    <w:rsid w:val="00280F18"/>
    <w:rsid w:val="00284300"/>
    <w:rsid w:val="00286369"/>
    <w:rsid w:val="00293DA5"/>
    <w:rsid w:val="00297D63"/>
    <w:rsid w:val="002A05CC"/>
    <w:rsid w:val="002A0877"/>
    <w:rsid w:val="002B6156"/>
    <w:rsid w:val="002C4236"/>
    <w:rsid w:val="002C4AE6"/>
    <w:rsid w:val="002D2F82"/>
    <w:rsid w:val="002D32C7"/>
    <w:rsid w:val="002D6203"/>
    <w:rsid w:val="002E51D8"/>
    <w:rsid w:val="002F34BC"/>
    <w:rsid w:val="00300B41"/>
    <w:rsid w:val="00302A47"/>
    <w:rsid w:val="003061E4"/>
    <w:rsid w:val="00306F7B"/>
    <w:rsid w:val="00310251"/>
    <w:rsid w:val="0031540B"/>
    <w:rsid w:val="003203D3"/>
    <w:rsid w:val="00323A32"/>
    <w:rsid w:val="00335219"/>
    <w:rsid w:val="003403AE"/>
    <w:rsid w:val="003427F0"/>
    <w:rsid w:val="003505DE"/>
    <w:rsid w:val="00356755"/>
    <w:rsid w:val="003578C2"/>
    <w:rsid w:val="003623C6"/>
    <w:rsid w:val="00374EA4"/>
    <w:rsid w:val="00390CFE"/>
    <w:rsid w:val="00391C98"/>
    <w:rsid w:val="0039363C"/>
    <w:rsid w:val="003B3BF6"/>
    <w:rsid w:val="003C0A2B"/>
    <w:rsid w:val="003C2EF9"/>
    <w:rsid w:val="003D2336"/>
    <w:rsid w:val="003D2A4B"/>
    <w:rsid w:val="003E0D21"/>
    <w:rsid w:val="003E53A0"/>
    <w:rsid w:val="003E57FD"/>
    <w:rsid w:val="003F3656"/>
    <w:rsid w:val="00401E6F"/>
    <w:rsid w:val="00402EAB"/>
    <w:rsid w:val="004155D3"/>
    <w:rsid w:val="004155DF"/>
    <w:rsid w:val="004213B8"/>
    <w:rsid w:val="004218C4"/>
    <w:rsid w:val="00431860"/>
    <w:rsid w:val="004337C2"/>
    <w:rsid w:val="00433F75"/>
    <w:rsid w:val="004446CA"/>
    <w:rsid w:val="0045489E"/>
    <w:rsid w:val="00456B09"/>
    <w:rsid w:val="00461029"/>
    <w:rsid w:val="0046597F"/>
    <w:rsid w:val="004674DD"/>
    <w:rsid w:val="00471373"/>
    <w:rsid w:val="00472E80"/>
    <w:rsid w:val="004817D8"/>
    <w:rsid w:val="004A27D4"/>
    <w:rsid w:val="004B699B"/>
    <w:rsid w:val="004C420F"/>
    <w:rsid w:val="004C6C98"/>
    <w:rsid w:val="004E00B9"/>
    <w:rsid w:val="004E23AF"/>
    <w:rsid w:val="004E6001"/>
    <w:rsid w:val="004F5F3D"/>
    <w:rsid w:val="005009A4"/>
    <w:rsid w:val="00501CAC"/>
    <w:rsid w:val="00503BFC"/>
    <w:rsid w:val="00510FE0"/>
    <w:rsid w:val="005119DC"/>
    <w:rsid w:val="00517983"/>
    <w:rsid w:val="00517A71"/>
    <w:rsid w:val="005206D3"/>
    <w:rsid w:val="005275A7"/>
    <w:rsid w:val="00530E39"/>
    <w:rsid w:val="005345E4"/>
    <w:rsid w:val="00534D83"/>
    <w:rsid w:val="00540F91"/>
    <w:rsid w:val="00550DB1"/>
    <w:rsid w:val="00552340"/>
    <w:rsid w:val="00566E27"/>
    <w:rsid w:val="00570292"/>
    <w:rsid w:val="00570D80"/>
    <w:rsid w:val="00574064"/>
    <w:rsid w:val="00583F83"/>
    <w:rsid w:val="005866EF"/>
    <w:rsid w:val="0058755F"/>
    <w:rsid w:val="00594FC7"/>
    <w:rsid w:val="005A53E1"/>
    <w:rsid w:val="005B657A"/>
    <w:rsid w:val="005C5175"/>
    <w:rsid w:val="005D6EE9"/>
    <w:rsid w:val="005E6AA6"/>
    <w:rsid w:val="005E755C"/>
    <w:rsid w:val="006079F1"/>
    <w:rsid w:val="006125E3"/>
    <w:rsid w:val="006127E9"/>
    <w:rsid w:val="00621A50"/>
    <w:rsid w:val="00622083"/>
    <w:rsid w:val="006420FC"/>
    <w:rsid w:val="00653E0E"/>
    <w:rsid w:val="00656EF0"/>
    <w:rsid w:val="00662D30"/>
    <w:rsid w:val="00665CA4"/>
    <w:rsid w:val="00667E03"/>
    <w:rsid w:val="00670C28"/>
    <w:rsid w:val="0067226B"/>
    <w:rsid w:val="0067560C"/>
    <w:rsid w:val="00686618"/>
    <w:rsid w:val="00687E3D"/>
    <w:rsid w:val="006A4549"/>
    <w:rsid w:val="006B1226"/>
    <w:rsid w:val="006B6F45"/>
    <w:rsid w:val="006C0119"/>
    <w:rsid w:val="006C1A56"/>
    <w:rsid w:val="006C51FD"/>
    <w:rsid w:val="006D2917"/>
    <w:rsid w:val="006D2D69"/>
    <w:rsid w:val="006D422E"/>
    <w:rsid w:val="006D6C1E"/>
    <w:rsid w:val="006D6EB9"/>
    <w:rsid w:val="006E0BDA"/>
    <w:rsid w:val="006E6F07"/>
    <w:rsid w:val="006E7232"/>
    <w:rsid w:val="006F4F6A"/>
    <w:rsid w:val="006F546E"/>
    <w:rsid w:val="00704013"/>
    <w:rsid w:val="0072653D"/>
    <w:rsid w:val="00731274"/>
    <w:rsid w:val="00735095"/>
    <w:rsid w:val="007359ED"/>
    <w:rsid w:val="00735C3E"/>
    <w:rsid w:val="00742C52"/>
    <w:rsid w:val="00743986"/>
    <w:rsid w:val="00743FDB"/>
    <w:rsid w:val="0075082A"/>
    <w:rsid w:val="00756205"/>
    <w:rsid w:val="007565F7"/>
    <w:rsid w:val="007600CB"/>
    <w:rsid w:val="00762D6B"/>
    <w:rsid w:val="00770DB4"/>
    <w:rsid w:val="00772376"/>
    <w:rsid w:val="00777E12"/>
    <w:rsid w:val="007904DA"/>
    <w:rsid w:val="007933CB"/>
    <w:rsid w:val="007A2C62"/>
    <w:rsid w:val="007C5B8F"/>
    <w:rsid w:val="007D2043"/>
    <w:rsid w:val="007D3411"/>
    <w:rsid w:val="007D3BCC"/>
    <w:rsid w:val="007D3DC6"/>
    <w:rsid w:val="007E04D7"/>
    <w:rsid w:val="007E4382"/>
    <w:rsid w:val="007E7ACE"/>
    <w:rsid w:val="007F6446"/>
    <w:rsid w:val="00832DA3"/>
    <w:rsid w:val="00841C9E"/>
    <w:rsid w:val="0084351B"/>
    <w:rsid w:val="00843A1F"/>
    <w:rsid w:val="00853BD3"/>
    <w:rsid w:val="00874C83"/>
    <w:rsid w:val="00876608"/>
    <w:rsid w:val="00881EB4"/>
    <w:rsid w:val="00884A6C"/>
    <w:rsid w:val="00892F5D"/>
    <w:rsid w:val="008A4654"/>
    <w:rsid w:val="008B4E1C"/>
    <w:rsid w:val="008C4618"/>
    <w:rsid w:val="008D1CB9"/>
    <w:rsid w:val="008D4D3E"/>
    <w:rsid w:val="008E3AFB"/>
    <w:rsid w:val="008E498A"/>
    <w:rsid w:val="008E5231"/>
    <w:rsid w:val="008F1569"/>
    <w:rsid w:val="0090154A"/>
    <w:rsid w:val="00910F63"/>
    <w:rsid w:val="0091179C"/>
    <w:rsid w:val="00912307"/>
    <w:rsid w:val="0091650F"/>
    <w:rsid w:val="009272F6"/>
    <w:rsid w:val="00931082"/>
    <w:rsid w:val="009349BF"/>
    <w:rsid w:val="00941B62"/>
    <w:rsid w:val="009518F7"/>
    <w:rsid w:val="009558B2"/>
    <w:rsid w:val="0095612A"/>
    <w:rsid w:val="00971743"/>
    <w:rsid w:val="00971EA2"/>
    <w:rsid w:val="0098040C"/>
    <w:rsid w:val="00982278"/>
    <w:rsid w:val="00990D88"/>
    <w:rsid w:val="00993B27"/>
    <w:rsid w:val="009A2A13"/>
    <w:rsid w:val="009B1D59"/>
    <w:rsid w:val="009C365C"/>
    <w:rsid w:val="009E5388"/>
    <w:rsid w:val="009F0EC7"/>
    <w:rsid w:val="009F2876"/>
    <w:rsid w:val="009F32C7"/>
    <w:rsid w:val="009F792F"/>
    <w:rsid w:val="00A23224"/>
    <w:rsid w:val="00A26615"/>
    <w:rsid w:val="00A32AD7"/>
    <w:rsid w:val="00A43FEA"/>
    <w:rsid w:val="00A530F1"/>
    <w:rsid w:val="00A5466A"/>
    <w:rsid w:val="00A6709C"/>
    <w:rsid w:val="00A70F71"/>
    <w:rsid w:val="00A72AD3"/>
    <w:rsid w:val="00A801E2"/>
    <w:rsid w:val="00A82DE4"/>
    <w:rsid w:val="00A875AA"/>
    <w:rsid w:val="00A90A51"/>
    <w:rsid w:val="00A96AAD"/>
    <w:rsid w:val="00AA18A5"/>
    <w:rsid w:val="00AB58B4"/>
    <w:rsid w:val="00AB7E91"/>
    <w:rsid w:val="00AC1406"/>
    <w:rsid w:val="00AC7E2C"/>
    <w:rsid w:val="00AE18B0"/>
    <w:rsid w:val="00AF48C1"/>
    <w:rsid w:val="00AF5CB9"/>
    <w:rsid w:val="00B10132"/>
    <w:rsid w:val="00B27670"/>
    <w:rsid w:val="00B27EB6"/>
    <w:rsid w:val="00B36970"/>
    <w:rsid w:val="00B36A1B"/>
    <w:rsid w:val="00B4791E"/>
    <w:rsid w:val="00B63EDE"/>
    <w:rsid w:val="00B65213"/>
    <w:rsid w:val="00B65F69"/>
    <w:rsid w:val="00B66383"/>
    <w:rsid w:val="00B72645"/>
    <w:rsid w:val="00B76B58"/>
    <w:rsid w:val="00B85B40"/>
    <w:rsid w:val="00B91E31"/>
    <w:rsid w:val="00BA1FA3"/>
    <w:rsid w:val="00BA4B16"/>
    <w:rsid w:val="00BB17BC"/>
    <w:rsid w:val="00BB5DEB"/>
    <w:rsid w:val="00BC0A18"/>
    <w:rsid w:val="00BF69B4"/>
    <w:rsid w:val="00BF6B0E"/>
    <w:rsid w:val="00C006A3"/>
    <w:rsid w:val="00C01ED7"/>
    <w:rsid w:val="00C02362"/>
    <w:rsid w:val="00C04DB4"/>
    <w:rsid w:val="00C11A04"/>
    <w:rsid w:val="00C20B7B"/>
    <w:rsid w:val="00C253AA"/>
    <w:rsid w:val="00C26CD0"/>
    <w:rsid w:val="00C331B1"/>
    <w:rsid w:val="00C4377E"/>
    <w:rsid w:val="00C44E0D"/>
    <w:rsid w:val="00C4540F"/>
    <w:rsid w:val="00C53B1C"/>
    <w:rsid w:val="00C53D43"/>
    <w:rsid w:val="00C63535"/>
    <w:rsid w:val="00C668DE"/>
    <w:rsid w:val="00C702FB"/>
    <w:rsid w:val="00C71A44"/>
    <w:rsid w:val="00C733FF"/>
    <w:rsid w:val="00C818A8"/>
    <w:rsid w:val="00C82460"/>
    <w:rsid w:val="00C8399B"/>
    <w:rsid w:val="00C912FB"/>
    <w:rsid w:val="00C914C3"/>
    <w:rsid w:val="00C93754"/>
    <w:rsid w:val="00CA068C"/>
    <w:rsid w:val="00CA1505"/>
    <w:rsid w:val="00CA54F9"/>
    <w:rsid w:val="00CB34FD"/>
    <w:rsid w:val="00CB4EB2"/>
    <w:rsid w:val="00CB5EB2"/>
    <w:rsid w:val="00CB65B4"/>
    <w:rsid w:val="00CC2224"/>
    <w:rsid w:val="00CC38D9"/>
    <w:rsid w:val="00CC44BD"/>
    <w:rsid w:val="00CD41CB"/>
    <w:rsid w:val="00CD7A84"/>
    <w:rsid w:val="00CE6D6F"/>
    <w:rsid w:val="00D00FCB"/>
    <w:rsid w:val="00D04C04"/>
    <w:rsid w:val="00D10678"/>
    <w:rsid w:val="00D10C43"/>
    <w:rsid w:val="00D11E49"/>
    <w:rsid w:val="00D1695B"/>
    <w:rsid w:val="00D16EEB"/>
    <w:rsid w:val="00D175D8"/>
    <w:rsid w:val="00D25CEC"/>
    <w:rsid w:val="00D263C7"/>
    <w:rsid w:val="00D3035E"/>
    <w:rsid w:val="00D361D4"/>
    <w:rsid w:val="00D5160D"/>
    <w:rsid w:val="00D564DA"/>
    <w:rsid w:val="00D63CF3"/>
    <w:rsid w:val="00D66027"/>
    <w:rsid w:val="00D80BF0"/>
    <w:rsid w:val="00D827B3"/>
    <w:rsid w:val="00D904BA"/>
    <w:rsid w:val="00D92FFC"/>
    <w:rsid w:val="00DB00FF"/>
    <w:rsid w:val="00DB59D1"/>
    <w:rsid w:val="00DC41DF"/>
    <w:rsid w:val="00DC5381"/>
    <w:rsid w:val="00DC736B"/>
    <w:rsid w:val="00DD2CA7"/>
    <w:rsid w:val="00DD3648"/>
    <w:rsid w:val="00DD67F3"/>
    <w:rsid w:val="00DE424E"/>
    <w:rsid w:val="00DE55DE"/>
    <w:rsid w:val="00DE5BC8"/>
    <w:rsid w:val="00DF366A"/>
    <w:rsid w:val="00E07393"/>
    <w:rsid w:val="00E07FAC"/>
    <w:rsid w:val="00E11000"/>
    <w:rsid w:val="00E16778"/>
    <w:rsid w:val="00E174D3"/>
    <w:rsid w:val="00E17B94"/>
    <w:rsid w:val="00E62DBD"/>
    <w:rsid w:val="00E6590C"/>
    <w:rsid w:val="00E6718B"/>
    <w:rsid w:val="00E73BB3"/>
    <w:rsid w:val="00E7485D"/>
    <w:rsid w:val="00E77E3D"/>
    <w:rsid w:val="00E85E98"/>
    <w:rsid w:val="00E92DD3"/>
    <w:rsid w:val="00E9747E"/>
    <w:rsid w:val="00EA130F"/>
    <w:rsid w:val="00EB48E5"/>
    <w:rsid w:val="00EB5502"/>
    <w:rsid w:val="00EB5A42"/>
    <w:rsid w:val="00EC48A5"/>
    <w:rsid w:val="00ED53F5"/>
    <w:rsid w:val="00ED7265"/>
    <w:rsid w:val="00ED7CE7"/>
    <w:rsid w:val="00EE0B2F"/>
    <w:rsid w:val="00EE1254"/>
    <w:rsid w:val="00EF296D"/>
    <w:rsid w:val="00F026A5"/>
    <w:rsid w:val="00F03367"/>
    <w:rsid w:val="00F03B94"/>
    <w:rsid w:val="00F063C9"/>
    <w:rsid w:val="00F073FB"/>
    <w:rsid w:val="00F21647"/>
    <w:rsid w:val="00F26F5D"/>
    <w:rsid w:val="00F3275B"/>
    <w:rsid w:val="00F32EA9"/>
    <w:rsid w:val="00F43026"/>
    <w:rsid w:val="00F46A2F"/>
    <w:rsid w:val="00F53166"/>
    <w:rsid w:val="00F54102"/>
    <w:rsid w:val="00F60C62"/>
    <w:rsid w:val="00F671D5"/>
    <w:rsid w:val="00F7504A"/>
    <w:rsid w:val="00F801C5"/>
    <w:rsid w:val="00F824B9"/>
    <w:rsid w:val="00F87EA6"/>
    <w:rsid w:val="00F93911"/>
    <w:rsid w:val="00F950B4"/>
    <w:rsid w:val="00F96B18"/>
    <w:rsid w:val="00FA5163"/>
    <w:rsid w:val="00FA581B"/>
    <w:rsid w:val="00FB7CC7"/>
    <w:rsid w:val="00FD0838"/>
    <w:rsid w:val="00FD1734"/>
    <w:rsid w:val="00FE46FD"/>
    <w:rsid w:val="00FE5CC6"/>
    <w:rsid w:val="00FF5D7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7BA3F2"/>
  <w15:chartTrackingRefBased/>
  <w15:docId w15:val="{56E06FE3-F27C-4B14-805B-9060ACD52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1CAC"/>
    <w:pPr>
      <w:spacing w:after="0" w:line="240" w:lineRule="auto"/>
      <w:jc w:val="both"/>
    </w:pPr>
    <w:rPr>
      <w:rFonts w:ascii="Times New Roman" w:eastAsia="MS Mincho" w:hAnsi="Times New Roman" w:cs="Times New Roman"/>
      <w:szCs w:val="24"/>
    </w:rPr>
  </w:style>
  <w:style w:type="paragraph" w:styleId="Heading1">
    <w:name w:val="heading 1"/>
    <w:basedOn w:val="Normal"/>
    <w:next w:val="Normal"/>
    <w:link w:val="Heading1Char"/>
    <w:qFormat/>
    <w:rsid w:val="00501CAC"/>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501CAC"/>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501CAC"/>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01CAC"/>
    <w:pPr>
      <w:spacing w:line="240" w:lineRule="atLeast"/>
      <w:ind w:leftChars="400" w:left="800"/>
    </w:pPr>
    <w:rPr>
      <w:rFonts w:ascii="Verdana" w:eastAsia="Times New Roman" w:hAnsi="Verdana"/>
      <w:sz w:val="20"/>
      <w:lang w:val="nl-NL" w:eastAsia="nl-NL"/>
    </w:rPr>
  </w:style>
  <w:style w:type="paragraph" w:styleId="FootnoteText">
    <w:name w:val="footnote text"/>
    <w:aliases w:val="FOOTNOTES,fn,single space"/>
    <w:basedOn w:val="Normal"/>
    <w:link w:val="FootnoteTextChar"/>
    <w:rsid w:val="00501CAC"/>
    <w:pPr>
      <w:spacing w:before="60"/>
    </w:pPr>
    <w:rPr>
      <w:sz w:val="20"/>
    </w:rPr>
  </w:style>
  <w:style w:type="character" w:customStyle="1" w:styleId="FootnoteTextChar">
    <w:name w:val="Footnote Text Char"/>
    <w:aliases w:val="FOOTNOTES Char,fn Char,single space Char"/>
    <w:basedOn w:val="DefaultParagraphFont"/>
    <w:link w:val="FootnoteText"/>
    <w:rsid w:val="00501CAC"/>
    <w:rPr>
      <w:rFonts w:ascii="Times New Roman" w:eastAsia="MS Mincho" w:hAnsi="Times New Roman" w:cs="Times New Roman"/>
      <w:sz w:val="20"/>
      <w:szCs w:val="24"/>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uiPriority w:val="99"/>
    <w:rsid w:val="00501CAC"/>
    <w:rPr>
      <w:vertAlign w:val="superscript"/>
    </w:rPr>
  </w:style>
  <w:style w:type="character" w:styleId="Hyperlink">
    <w:name w:val="Hyperlink"/>
    <w:basedOn w:val="DefaultParagraphFont"/>
    <w:uiPriority w:val="99"/>
    <w:unhideWhenUsed/>
    <w:rsid w:val="00033AB8"/>
    <w:rPr>
      <w:color w:val="0563C1" w:themeColor="hyperlink"/>
      <w:u w:val="single"/>
    </w:rPr>
  </w:style>
  <w:style w:type="character" w:styleId="CommentReference">
    <w:name w:val="annotation reference"/>
    <w:basedOn w:val="DefaultParagraphFont"/>
    <w:uiPriority w:val="99"/>
    <w:semiHidden/>
    <w:unhideWhenUsed/>
    <w:rsid w:val="00033AB8"/>
    <w:rPr>
      <w:sz w:val="16"/>
      <w:szCs w:val="16"/>
    </w:rPr>
  </w:style>
  <w:style w:type="paragraph" w:styleId="CommentText">
    <w:name w:val="annotation text"/>
    <w:basedOn w:val="Normal"/>
    <w:link w:val="CommentTextChar"/>
    <w:uiPriority w:val="99"/>
    <w:semiHidden/>
    <w:unhideWhenUsed/>
    <w:rsid w:val="00033AB8"/>
    <w:rPr>
      <w:sz w:val="20"/>
      <w:szCs w:val="20"/>
    </w:rPr>
  </w:style>
  <w:style w:type="character" w:customStyle="1" w:styleId="CommentTextChar">
    <w:name w:val="Comment Text Char"/>
    <w:basedOn w:val="DefaultParagraphFont"/>
    <w:link w:val="CommentText"/>
    <w:uiPriority w:val="99"/>
    <w:semiHidden/>
    <w:rsid w:val="00033AB8"/>
    <w:rPr>
      <w:sz w:val="20"/>
      <w:szCs w:val="20"/>
    </w:rPr>
  </w:style>
  <w:style w:type="paragraph" w:styleId="CommentSubject">
    <w:name w:val="annotation subject"/>
    <w:basedOn w:val="CommentText"/>
    <w:next w:val="CommentText"/>
    <w:link w:val="CommentSubjectChar"/>
    <w:uiPriority w:val="99"/>
    <w:semiHidden/>
    <w:unhideWhenUsed/>
    <w:rsid w:val="00033AB8"/>
    <w:rPr>
      <w:b/>
      <w:bCs/>
    </w:rPr>
  </w:style>
  <w:style w:type="character" w:customStyle="1" w:styleId="CommentSubjectChar">
    <w:name w:val="Comment Subject Char"/>
    <w:basedOn w:val="CommentTextChar"/>
    <w:link w:val="CommentSubject"/>
    <w:uiPriority w:val="99"/>
    <w:semiHidden/>
    <w:rsid w:val="00033AB8"/>
    <w:rPr>
      <w:b/>
      <w:bCs/>
      <w:sz w:val="20"/>
      <w:szCs w:val="20"/>
    </w:rPr>
  </w:style>
  <w:style w:type="paragraph" w:styleId="BalloonText">
    <w:name w:val="Balloon Text"/>
    <w:basedOn w:val="Normal"/>
    <w:link w:val="BalloonTextChar"/>
    <w:rsid w:val="00501CAC"/>
    <w:rPr>
      <w:rFonts w:ascii="Tahoma" w:hAnsi="Tahoma" w:cs="Tahoma"/>
      <w:sz w:val="16"/>
      <w:szCs w:val="16"/>
    </w:rPr>
  </w:style>
  <w:style w:type="character" w:customStyle="1" w:styleId="BalloonTextChar">
    <w:name w:val="Balloon Text Char"/>
    <w:basedOn w:val="DefaultParagraphFont"/>
    <w:link w:val="BalloonText"/>
    <w:rsid w:val="00501CAC"/>
    <w:rPr>
      <w:rFonts w:ascii="Tahoma" w:eastAsia="MS Mincho" w:hAnsi="Tahoma" w:cs="Tahoma"/>
      <w:sz w:val="16"/>
      <w:szCs w:val="16"/>
    </w:rPr>
  </w:style>
  <w:style w:type="character" w:customStyle="1" w:styleId="Heading1Char">
    <w:name w:val="Heading 1 Char"/>
    <w:basedOn w:val="DefaultParagraphFont"/>
    <w:link w:val="Heading1"/>
    <w:rsid w:val="00501CAC"/>
    <w:rPr>
      <w:rFonts w:ascii="Times New Roman" w:eastAsia="MS Mincho" w:hAnsi="Times New Roman" w:cs="Times New Roman"/>
      <w:b/>
      <w:bCs/>
      <w:szCs w:val="24"/>
    </w:rPr>
  </w:style>
  <w:style w:type="character" w:customStyle="1" w:styleId="Heading2Char">
    <w:name w:val="Heading 2 Char"/>
    <w:basedOn w:val="DefaultParagraphFont"/>
    <w:link w:val="Heading2"/>
    <w:rsid w:val="00501CAC"/>
    <w:rPr>
      <w:rFonts w:ascii="Calibri" w:eastAsia="MS Mincho" w:hAnsi="Calibri" w:cs="Times New Roman"/>
      <w:b/>
      <w:bCs/>
      <w:i/>
      <w:iCs/>
      <w:sz w:val="28"/>
      <w:szCs w:val="28"/>
    </w:rPr>
  </w:style>
  <w:style w:type="character" w:customStyle="1" w:styleId="Heading3Char">
    <w:name w:val="Heading 3 Char"/>
    <w:basedOn w:val="DefaultParagraphFont"/>
    <w:link w:val="Heading3"/>
    <w:rsid w:val="00501CAC"/>
    <w:rPr>
      <w:rFonts w:ascii="Calibri" w:eastAsia="MS Mincho" w:hAnsi="Calibri" w:cs="Times New Roman"/>
      <w:b/>
      <w:bCs/>
      <w:sz w:val="26"/>
      <w:szCs w:val="26"/>
    </w:rPr>
  </w:style>
  <w:style w:type="paragraph" w:customStyle="1" w:styleId="Style">
    <w:name w:val="Style"/>
    <w:basedOn w:val="Footer"/>
    <w:autoRedefine/>
    <w:qFormat/>
    <w:rsid w:val="00501CAC"/>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styleId="Footer">
    <w:name w:val="footer"/>
    <w:basedOn w:val="Normal"/>
    <w:link w:val="FooterChar"/>
    <w:rsid w:val="00501CAC"/>
    <w:pPr>
      <w:tabs>
        <w:tab w:val="center" w:pos="4680"/>
        <w:tab w:val="right" w:pos="9360"/>
      </w:tabs>
    </w:pPr>
  </w:style>
  <w:style w:type="character" w:customStyle="1" w:styleId="FooterChar">
    <w:name w:val="Footer Char"/>
    <w:basedOn w:val="DefaultParagraphFont"/>
    <w:link w:val="Footer"/>
    <w:rsid w:val="00501CAC"/>
    <w:rPr>
      <w:rFonts w:ascii="Times New Roman" w:eastAsia="MS Mincho" w:hAnsi="Times New Roman" w:cs="Times New Roman"/>
      <w:szCs w:val="24"/>
    </w:rPr>
  </w:style>
  <w:style w:type="character" w:styleId="PageNumber">
    <w:name w:val="page number"/>
    <w:rsid w:val="00501CAC"/>
    <w:rPr>
      <w:rFonts w:ascii="Arial" w:hAnsi="Arial"/>
      <w:b/>
      <w:sz w:val="18"/>
    </w:rPr>
  </w:style>
  <w:style w:type="paragraph" w:customStyle="1" w:styleId="IPPArialFootnote">
    <w:name w:val="IPP Arial Footnote"/>
    <w:basedOn w:val="IPPArialTable"/>
    <w:qFormat/>
    <w:rsid w:val="00501CAC"/>
    <w:pPr>
      <w:tabs>
        <w:tab w:val="left" w:pos="28"/>
      </w:tabs>
      <w:ind w:left="284" w:hanging="284"/>
    </w:pPr>
    <w:rPr>
      <w:sz w:val="16"/>
    </w:rPr>
  </w:style>
  <w:style w:type="paragraph" w:customStyle="1" w:styleId="IPPContentsHead">
    <w:name w:val="IPP ContentsHead"/>
    <w:basedOn w:val="IPPSubhead"/>
    <w:next w:val="IPPNormal"/>
    <w:qFormat/>
    <w:rsid w:val="00501CAC"/>
    <w:pPr>
      <w:spacing w:after="240"/>
    </w:pPr>
    <w:rPr>
      <w:sz w:val="24"/>
    </w:rPr>
  </w:style>
  <w:style w:type="table" w:styleId="TableGrid">
    <w:name w:val="Table Grid"/>
    <w:basedOn w:val="TableNormal"/>
    <w:rsid w:val="00501CAC"/>
    <w:pPr>
      <w:spacing w:after="0" w:line="240" w:lineRule="auto"/>
    </w:pPr>
    <w:rPr>
      <w:rFonts w:ascii="Cambria" w:eastAsia="MS Mincho" w:hAnsi="Cambria"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501CAC"/>
    <w:pPr>
      <w:numPr>
        <w:numId w:val="4"/>
      </w:numPr>
      <w:tabs>
        <w:tab w:val="left" w:pos="1134"/>
      </w:tabs>
      <w:spacing w:after="60"/>
      <w:ind w:left="1134" w:hanging="567"/>
    </w:pPr>
  </w:style>
  <w:style w:type="paragraph" w:customStyle="1" w:styleId="IPPQuote">
    <w:name w:val="IPP Quote"/>
    <w:basedOn w:val="IPPNormal"/>
    <w:qFormat/>
    <w:rsid w:val="00501CAC"/>
    <w:pPr>
      <w:ind w:left="851" w:right="851"/>
    </w:pPr>
    <w:rPr>
      <w:sz w:val="18"/>
    </w:rPr>
  </w:style>
  <w:style w:type="paragraph" w:customStyle="1" w:styleId="IPPNormal">
    <w:name w:val="IPP Normal"/>
    <w:basedOn w:val="Normal"/>
    <w:link w:val="IPPNormalChar"/>
    <w:qFormat/>
    <w:rsid w:val="00501CAC"/>
    <w:pPr>
      <w:spacing w:after="180"/>
    </w:pPr>
    <w:rPr>
      <w:rFonts w:eastAsia="Times"/>
    </w:rPr>
  </w:style>
  <w:style w:type="paragraph" w:customStyle="1" w:styleId="IPPIndentClose">
    <w:name w:val="IPP Indent Close"/>
    <w:basedOn w:val="IPPNormal"/>
    <w:qFormat/>
    <w:rsid w:val="00501CAC"/>
    <w:pPr>
      <w:tabs>
        <w:tab w:val="left" w:pos="2835"/>
      </w:tabs>
      <w:spacing w:after="60"/>
      <w:ind w:left="567"/>
    </w:pPr>
  </w:style>
  <w:style w:type="paragraph" w:customStyle="1" w:styleId="IPPIndent">
    <w:name w:val="IPP Indent"/>
    <w:basedOn w:val="IPPIndentClose"/>
    <w:qFormat/>
    <w:rsid w:val="00501CAC"/>
    <w:pPr>
      <w:spacing w:after="180"/>
    </w:pPr>
  </w:style>
  <w:style w:type="paragraph" w:customStyle="1" w:styleId="IPPFootnote">
    <w:name w:val="IPP Footnote"/>
    <w:basedOn w:val="IPPArialFootnote"/>
    <w:qFormat/>
    <w:rsid w:val="00501CAC"/>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501CAC"/>
    <w:pPr>
      <w:keepNext/>
      <w:tabs>
        <w:tab w:val="left" w:pos="567"/>
      </w:tabs>
      <w:spacing w:before="120" w:after="120"/>
      <w:ind w:left="567" w:hanging="567"/>
    </w:pPr>
    <w:rPr>
      <w:b/>
      <w:i/>
    </w:rPr>
  </w:style>
  <w:style w:type="character" w:customStyle="1" w:styleId="IPPnormalitalics">
    <w:name w:val="IPP normal italics"/>
    <w:basedOn w:val="DefaultParagraphFont"/>
    <w:rsid w:val="00501CAC"/>
    <w:rPr>
      <w:rFonts w:ascii="Times New Roman" w:hAnsi="Times New Roman"/>
      <w:i/>
      <w:sz w:val="22"/>
      <w:lang w:val="en-US"/>
    </w:rPr>
  </w:style>
  <w:style w:type="character" w:customStyle="1" w:styleId="IPPNormalbold">
    <w:name w:val="IPP Normal bold"/>
    <w:basedOn w:val="PlainTextChar"/>
    <w:rsid w:val="00501CAC"/>
    <w:rPr>
      <w:rFonts w:ascii="Times New Roman" w:eastAsia="Times" w:hAnsi="Times New Roman" w:cs="Times New Roman"/>
      <w:b/>
      <w:sz w:val="22"/>
      <w:szCs w:val="21"/>
      <w:lang w:val="en-AU"/>
    </w:rPr>
  </w:style>
  <w:style w:type="paragraph" w:customStyle="1" w:styleId="IPPHeadSection">
    <w:name w:val="IPP HeadSection"/>
    <w:basedOn w:val="Normal"/>
    <w:next w:val="Normal"/>
    <w:qFormat/>
    <w:rsid w:val="00501CAC"/>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501CAC"/>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501CAC"/>
    <w:pPr>
      <w:keepNext/>
      <w:ind w:left="567" w:hanging="567"/>
      <w:jc w:val="left"/>
    </w:pPr>
    <w:rPr>
      <w:b/>
      <w:bCs/>
      <w:iCs/>
      <w:szCs w:val="22"/>
    </w:rPr>
  </w:style>
  <w:style w:type="character" w:customStyle="1" w:styleId="IPPNormalunderlined">
    <w:name w:val="IPP Normal underlined"/>
    <w:basedOn w:val="DefaultParagraphFont"/>
    <w:rsid w:val="00501CAC"/>
    <w:rPr>
      <w:rFonts w:ascii="Times New Roman" w:hAnsi="Times New Roman"/>
      <w:sz w:val="22"/>
      <w:u w:val="single"/>
      <w:lang w:val="en-US"/>
    </w:rPr>
  </w:style>
  <w:style w:type="paragraph" w:customStyle="1" w:styleId="IPPBullet1">
    <w:name w:val="IPP Bullet1"/>
    <w:basedOn w:val="IPPBullet1Last"/>
    <w:link w:val="IPPBullet1Char"/>
    <w:qFormat/>
    <w:rsid w:val="00501CAC"/>
    <w:pPr>
      <w:numPr>
        <w:numId w:val="10"/>
      </w:numPr>
      <w:spacing w:after="60"/>
      <w:ind w:left="567" w:hanging="567"/>
    </w:pPr>
    <w:rPr>
      <w:lang w:val="en-US"/>
    </w:rPr>
  </w:style>
  <w:style w:type="paragraph" w:customStyle="1" w:styleId="IPPBullet1Last">
    <w:name w:val="IPP Bullet1Last"/>
    <w:basedOn w:val="IPPNormal"/>
    <w:next w:val="IPPNormal"/>
    <w:link w:val="IPPBullet1LastChar"/>
    <w:autoRedefine/>
    <w:qFormat/>
    <w:rsid w:val="00501CAC"/>
    <w:pPr>
      <w:numPr>
        <w:numId w:val="5"/>
      </w:numPr>
    </w:pPr>
  </w:style>
  <w:style w:type="character" w:customStyle="1" w:styleId="IPPNormalstrikethrough">
    <w:name w:val="IPP Normal strikethrough"/>
    <w:rsid w:val="00501CAC"/>
    <w:rPr>
      <w:rFonts w:ascii="Times New Roman" w:hAnsi="Times New Roman"/>
      <w:strike/>
      <w:dstrike w:val="0"/>
      <w:sz w:val="22"/>
    </w:rPr>
  </w:style>
  <w:style w:type="paragraph" w:customStyle="1" w:styleId="IPPTitle16pt">
    <w:name w:val="IPP Title16pt"/>
    <w:basedOn w:val="Normal"/>
    <w:qFormat/>
    <w:rsid w:val="00501CAC"/>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501CAC"/>
    <w:pPr>
      <w:spacing w:after="360"/>
      <w:jc w:val="center"/>
    </w:pPr>
    <w:rPr>
      <w:rFonts w:ascii="Arial" w:hAnsi="Arial" w:cs="Arial"/>
      <w:b/>
      <w:bCs/>
      <w:sz w:val="36"/>
      <w:szCs w:val="36"/>
    </w:rPr>
  </w:style>
  <w:style w:type="paragraph" w:customStyle="1" w:styleId="IPPHeader">
    <w:name w:val="IPP Header"/>
    <w:basedOn w:val="Normal"/>
    <w:qFormat/>
    <w:rsid w:val="00501CAC"/>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501CAC"/>
    <w:pPr>
      <w:keepNext/>
      <w:tabs>
        <w:tab w:val="left" w:pos="567"/>
      </w:tabs>
      <w:spacing w:before="120"/>
      <w:jc w:val="left"/>
      <w:outlineLvl w:val="1"/>
    </w:pPr>
    <w:rPr>
      <w:b/>
      <w:sz w:val="24"/>
    </w:rPr>
  </w:style>
  <w:style w:type="numbering" w:customStyle="1" w:styleId="IPPParagraphnumberedlist">
    <w:name w:val="IPP Paragraph numbered list"/>
    <w:rsid w:val="00501CAC"/>
    <w:pPr>
      <w:numPr>
        <w:numId w:val="3"/>
      </w:numPr>
    </w:pPr>
  </w:style>
  <w:style w:type="paragraph" w:customStyle="1" w:styleId="IPPNormalCloseSpace">
    <w:name w:val="IPP NormalCloseSpace"/>
    <w:basedOn w:val="Normal"/>
    <w:qFormat/>
    <w:rsid w:val="00501CAC"/>
    <w:pPr>
      <w:keepNext/>
      <w:spacing w:after="60"/>
    </w:pPr>
  </w:style>
  <w:style w:type="paragraph" w:customStyle="1" w:styleId="IPPHeading2">
    <w:name w:val="IPP Heading2"/>
    <w:basedOn w:val="IPPNormal"/>
    <w:next w:val="IPPNormal"/>
    <w:qFormat/>
    <w:rsid w:val="00501CAC"/>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501CAC"/>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501CAC"/>
    <w:pPr>
      <w:tabs>
        <w:tab w:val="right" w:leader="dot" w:pos="9072"/>
      </w:tabs>
      <w:spacing w:before="240"/>
      <w:ind w:left="567" w:hanging="567"/>
    </w:pPr>
  </w:style>
  <w:style w:type="paragraph" w:styleId="TOC2">
    <w:name w:val="toc 2"/>
    <w:basedOn w:val="TOC1"/>
    <w:next w:val="Normal"/>
    <w:autoRedefine/>
    <w:uiPriority w:val="39"/>
    <w:rsid w:val="00501CAC"/>
    <w:pPr>
      <w:keepNext w:val="0"/>
      <w:tabs>
        <w:tab w:val="left" w:pos="425"/>
      </w:tabs>
      <w:spacing w:before="120" w:after="0"/>
      <w:ind w:left="425" w:right="284" w:hanging="425"/>
    </w:pPr>
  </w:style>
  <w:style w:type="paragraph" w:styleId="TOC3">
    <w:name w:val="toc 3"/>
    <w:basedOn w:val="TOC2"/>
    <w:next w:val="Normal"/>
    <w:autoRedefine/>
    <w:uiPriority w:val="39"/>
    <w:rsid w:val="00501CAC"/>
    <w:pPr>
      <w:tabs>
        <w:tab w:val="left" w:pos="1276"/>
      </w:tabs>
      <w:spacing w:before="60"/>
      <w:ind w:left="1276" w:hanging="851"/>
    </w:pPr>
    <w:rPr>
      <w:rFonts w:eastAsia="Times"/>
    </w:rPr>
  </w:style>
  <w:style w:type="paragraph" w:styleId="TOC4">
    <w:name w:val="toc 4"/>
    <w:basedOn w:val="Normal"/>
    <w:next w:val="Normal"/>
    <w:autoRedefine/>
    <w:uiPriority w:val="39"/>
    <w:rsid w:val="00501CAC"/>
    <w:pPr>
      <w:spacing w:after="120"/>
      <w:ind w:left="660"/>
    </w:pPr>
    <w:rPr>
      <w:rFonts w:eastAsia="Times"/>
      <w:lang w:val="en-AU"/>
    </w:rPr>
  </w:style>
  <w:style w:type="paragraph" w:styleId="TOC5">
    <w:name w:val="toc 5"/>
    <w:basedOn w:val="Normal"/>
    <w:next w:val="Normal"/>
    <w:autoRedefine/>
    <w:uiPriority w:val="39"/>
    <w:rsid w:val="00501CAC"/>
    <w:pPr>
      <w:spacing w:after="120"/>
      <w:ind w:left="880"/>
    </w:pPr>
    <w:rPr>
      <w:rFonts w:eastAsia="Times"/>
      <w:lang w:val="en-AU"/>
    </w:rPr>
  </w:style>
  <w:style w:type="paragraph" w:styleId="TOC6">
    <w:name w:val="toc 6"/>
    <w:basedOn w:val="Normal"/>
    <w:next w:val="Normal"/>
    <w:autoRedefine/>
    <w:uiPriority w:val="39"/>
    <w:rsid w:val="00501CAC"/>
    <w:pPr>
      <w:spacing w:after="120"/>
      <w:ind w:left="1100"/>
    </w:pPr>
    <w:rPr>
      <w:rFonts w:eastAsia="Times"/>
      <w:lang w:val="en-AU"/>
    </w:rPr>
  </w:style>
  <w:style w:type="paragraph" w:styleId="TOC7">
    <w:name w:val="toc 7"/>
    <w:basedOn w:val="Normal"/>
    <w:next w:val="Normal"/>
    <w:autoRedefine/>
    <w:uiPriority w:val="39"/>
    <w:rsid w:val="00501CAC"/>
    <w:pPr>
      <w:spacing w:after="120"/>
      <w:ind w:left="1320"/>
    </w:pPr>
    <w:rPr>
      <w:rFonts w:eastAsia="Times"/>
      <w:lang w:val="en-AU"/>
    </w:rPr>
  </w:style>
  <w:style w:type="paragraph" w:styleId="TOC8">
    <w:name w:val="toc 8"/>
    <w:basedOn w:val="Normal"/>
    <w:next w:val="Normal"/>
    <w:autoRedefine/>
    <w:uiPriority w:val="39"/>
    <w:rsid w:val="00501CAC"/>
    <w:pPr>
      <w:spacing w:after="120"/>
      <w:ind w:left="1540"/>
    </w:pPr>
    <w:rPr>
      <w:rFonts w:eastAsia="Times"/>
      <w:lang w:val="en-AU"/>
    </w:rPr>
  </w:style>
  <w:style w:type="paragraph" w:styleId="TOC9">
    <w:name w:val="toc 9"/>
    <w:basedOn w:val="Normal"/>
    <w:next w:val="Normal"/>
    <w:autoRedefine/>
    <w:uiPriority w:val="39"/>
    <w:rsid w:val="00501CAC"/>
    <w:pPr>
      <w:spacing w:after="120"/>
      <w:ind w:left="1760"/>
    </w:pPr>
    <w:rPr>
      <w:rFonts w:eastAsia="Times"/>
      <w:lang w:val="en-AU"/>
    </w:rPr>
  </w:style>
  <w:style w:type="paragraph" w:customStyle="1" w:styleId="IPPReferences">
    <w:name w:val="IPP References"/>
    <w:basedOn w:val="IPPNormal"/>
    <w:qFormat/>
    <w:rsid w:val="00501CAC"/>
    <w:pPr>
      <w:spacing w:after="60"/>
      <w:ind w:left="567" w:hanging="567"/>
    </w:pPr>
  </w:style>
  <w:style w:type="paragraph" w:customStyle="1" w:styleId="IPPArial">
    <w:name w:val="IPP Arial"/>
    <w:basedOn w:val="IPPNormal"/>
    <w:qFormat/>
    <w:rsid w:val="00501CAC"/>
    <w:pPr>
      <w:spacing w:after="0"/>
    </w:pPr>
    <w:rPr>
      <w:rFonts w:ascii="Arial" w:hAnsi="Arial"/>
      <w:sz w:val="18"/>
    </w:rPr>
  </w:style>
  <w:style w:type="paragraph" w:customStyle="1" w:styleId="IPPArialTable">
    <w:name w:val="IPP Arial Table"/>
    <w:basedOn w:val="IPPArial"/>
    <w:qFormat/>
    <w:rsid w:val="00501CAC"/>
    <w:pPr>
      <w:spacing w:before="60" w:after="60"/>
      <w:jc w:val="left"/>
    </w:pPr>
  </w:style>
  <w:style w:type="paragraph" w:customStyle="1" w:styleId="IPPHeaderlandscape">
    <w:name w:val="IPP Header landscape"/>
    <w:basedOn w:val="IPPHeader"/>
    <w:qFormat/>
    <w:rsid w:val="00501CAC"/>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501CAC"/>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501CAC"/>
    <w:rPr>
      <w:rFonts w:ascii="Courier" w:eastAsia="Times" w:hAnsi="Courier" w:cs="Times New Roman"/>
      <w:sz w:val="21"/>
      <w:szCs w:val="21"/>
      <w:lang w:val="en-AU"/>
    </w:rPr>
  </w:style>
  <w:style w:type="paragraph" w:customStyle="1" w:styleId="IPPLetterList">
    <w:name w:val="IPP LetterList"/>
    <w:basedOn w:val="IPPBullet2"/>
    <w:qFormat/>
    <w:rsid w:val="00501CAC"/>
    <w:pPr>
      <w:numPr>
        <w:numId w:val="1"/>
      </w:numPr>
      <w:jc w:val="left"/>
    </w:pPr>
  </w:style>
  <w:style w:type="paragraph" w:customStyle="1" w:styleId="IPPLetterListIndent">
    <w:name w:val="IPP LetterList Indent"/>
    <w:basedOn w:val="IPPLetterList"/>
    <w:qFormat/>
    <w:rsid w:val="00501CAC"/>
    <w:pPr>
      <w:numPr>
        <w:numId w:val="2"/>
      </w:numPr>
    </w:pPr>
  </w:style>
  <w:style w:type="paragraph" w:customStyle="1" w:styleId="IPPFooterLandscape">
    <w:name w:val="IPP Footer Landscape"/>
    <w:basedOn w:val="IPPHeaderlandscape"/>
    <w:qFormat/>
    <w:rsid w:val="00501CAC"/>
    <w:pPr>
      <w:pBdr>
        <w:top w:val="single" w:sz="4" w:space="1" w:color="auto"/>
        <w:bottom w:val="none" w:sz="0" w:space="0" w:color="auto"/>
      </w:pBdr>
      <w:jc w:val="right"/>
    </w:pPr>
    <w:rPr>
      <w:b/>
    </w:rPr>
  </w:style>
  <w:style w:type="paragraph" w:customStyle="1" w:styleId="IPPSubheadSpace">
    <w:name w:val="IPP Subhead Space"/>
    <w:basedOn w:val="IPPSubhead"/>
    <w:qFormat/>
    <w:rsid w:val="00501CAC"/>
    <w:pPr>
      <w:tabs>
        <w:tab w:val="left" w:pos="567"/>
      </w:tabs>
      <w:spacing w:before="60" w:after="60"/>
    </w:pPr>
  </w:style>
  <w:style w:type="paragraph" w:customStyle="1" w:styleId="IPPSubheadSpaceAfter">
    <w:name w:val="IPP Subhead SpaceAfter"/>
    <w:basedOn w:val="IPPSubhead"/>
    <w:qFormat/>
    <w:rsid w:val="00501CAC"/>
    <w:pPr>
      <w:spacing w:after="60"/>
    </w:pPr>
  </w:style>
  <w:style w:type="paragraph" w:customStyle="1" w:styleId="IPPHdg1Num">
    <w:name w:val="IPP Hdg1Num"/>
    <w:basedOn w:val="IPPHeading1"/>
    <w:next w:val="IPPNormal"/>
    <w:qFormat/>
    <w:rsid w:val="00501CAC"/>
    <w:pPr>
      <w:numPr>
        <w:numId w:val="6"/>
      </w:numPr>
    </w:pPr>
  </w:style>
  <w:style w:type="paragraph" w:customStyle="1" w:styleId="IPPHdg2Num">
    <w:name w:val="IPP Hdg2Num"/>
    <w:basedOn w:val="IPPHeading2"/>
    <w:next w:val="IPPNormal"/>
    <w:qFormat/>
    <w:rsid w:val="00501CAC"/>
    <w:pPr>
      <w:numPr>
        <w:ilvl w:val="1"/>
        <w:numId w:val="7"/>
      </w:numPr>
    </w:pPr>
  </w:style>
  <w:style w:type="paragraph" w:customStyle="1" w:styleId="IPPNumberedList">
    <w:name w:val="IPP NumberedList"/>
    <w:basedOn w:val="IPPBullet1"/>
    <w:qFormat/>
    <w:rsid w:val="00501CAC"/>
    <w:pPr>
      <w:numPr>
        <w:numId w:val="9"/>
      </w:numPr>
    </w:pPr>
  </w:style>
  <w:style w:type="paragraph" w:styleId="Header">
    <w:name w:val="header"/>
    <w:basedOn w:val="Normal"/>
    <w:link w:val="HeaderChar"/>
    <w:rsid w:val="00501CAC"/>
    <w:pPr>
      <w:tabs>
        <w:tab w:val="center" w:pos="4680"/>
        <w:tab w:val="right" w:pos="9360"/>
      </w:tabs>
    </w:pPr>
  </w:style>
  <w:style w:type="character" w:customStyle="1" w:styleId="HeaderChar">
    <w:name w:val="Header Char"/>
    <w:basedOn w:val="DefaultParagraphFont"/>
    <w:link w:val="Header"/>
    <w:rsid w:val="00501CAC"/>
    <w:rPr>
      <w:rFonts w:ascii="Times New Roman" w:eastAsia="MS Mincho" w:hAnsi="Times New Roman" w:cs="Times New Roman"/>
      <w:szCs w:val="24"/>
    </w:rPr>
  </w:style>
  <w:style w:type="character" w:styleId="Strong">
    <w:name w:val="Strong"/>
    <w:basedOn w:val="DefaultParagraphFont"/>
    <w:qFormat/>
    <w:rsid w:val="00501CAC"/>
    <w:rPr>
      <w:b/>
      <w:bCs/>
    </w:rPr>
  </w:style>
  <w:style w:type="paragraph" w:customStyle="1" w:styleId="IPPParagraphnumbering">
    <w:name w:val="IPP Paragraph numbering"/>
    <w:basedOn w:val="IPPNormal"/>
    <w:qFormat/>
    <w:rsid w:val="00501CAC"/>
    <w:pPr>
      <w:numPr>
        <w:numId w:val="8"/>
      </w:numPr>
    </w:pPr>
    <w:rPr>
      <w:lang w:val="en-US"/>
    </w:rPr>
  </w:style>
  <w:style w:type="paragraph" w:customStyle="1" w:styleId="IPPParagraphnumberingclose">
    <w:name w:val="IPP Paragraph numbering close"/>
    <w:basedOn w:val="IPPParagraphnumbering"/>
    <w:qFormat/>
    <w:rsid w:val="00501CAC"/>
    <w:pPr>
      <w:keepNext/>
      <w:spacing w:after="60"/>
    </w:pPr>
  </w:style>
  <w:style w:type="paragraph" w:customStyle="1" w:styleId="IPPNumberedListLast">
    <w:name w:val="IPP NumberedListLast"/>
    <w:basedOn w:val="IPPNumberedList"/>
    <w:qFormat/>
    <w:rsid w:val="00501CAC"/>
    <w:pPr>
      <w:spacing w:after="180"/>
    </w:pPr>
  </w:style>
  <w:style w:type="character" w:styleId="FollowedHyperlink">
    <w:name w:val="FollowedHyperlink"/>
    <w:basedOn w:val="DefaultParagraphFont"/>
    <w:uiPriority w:val="99"/>
    <w:semiHidden/>
    <w:unhideWhenUsed/>
    <w:rsid w:val="003623C6"/>
    <w:rPr>
      <w:color w:val="954F72" w:themeColor="followedHyperlink"/>
      <w:u w:val="single"/>
    </w:rPr>
  </w:style>
  <w:style w:type="character" w:customStyle="1" w:styleId="IPPNormalChar">
    <w:name w:val="IPP Normal Char"/>
    <w:link w:val="IPPNormal"/>
    <w:rsid w:val="006D2D69"/>
    <w:rPr>
      <w:rFonts w:ascii="Times New Roman" w:eastAsia="Times" w:hAnsi="Times New Roman" w:cs="Times New Roman"/>
      <w:szCs w:val="24"/>
    </w:rPr>
  </w:style>
  <w:style w:type="character" w:customStyle="1" w:styleId="IPPBullet1LastChar">
    <w:name w:val="IPP Bullet1Last Char"/>
    <w:link w:val="IPPBullet1Last"/>
    <w:rsid w:val="006D2D69"/>
    <w:rPr>
      <w:rFonts w:ascii="Times New Roman" w:eastAsia="Times" w:hAnsi="Times New Roman" w:cs="Times New Roman"/>
      <w:szCs w:val="24"/>
    </w:rPr>
  </w:style>
  <w:style w:type="character" w:customStyle="1" w:styleId="IPPBullet1Char">
    <w:name w:val="IPP Bullet1 Char"/>
    <w:link w:val="IPPBullet1"/>
    <w:rsid w:val="006D2D69"/>
    <w:rPr>
      <w:rFonts w:ascii="Times New Roman" w:eastAsia="Times" w:hAnsi="Times New Roman" w:cs="Times New Roman"/>
      <w:szCs w:val="24"/>
      <w:lang w:val="en-US"/>
    </w:rPr>
  </w:style>
  <w:style w:type="paragraph" w:customStyle="1" w:styleId="IPPFootnoteRed">
    <w:name w:val="IPP Footnote Red"/>
    <w:basedOn w:val="IPPFootnote"/>
    <w:link w:val="IPPFootnoteRedChar"/>
    <w:qFormat/>
    <w:rsid w:val="006B6F45"/>
    <w:rPr>
      <w:b/>
      <w:bCs/>
      <w:color w:val="FF0000"/>
      <w:sz w:val="22"/>
      <w:vertAlign w:val="superscript"/>
    </w:rPr>
  </w:style>
  <w:style w:type="character" w:customStyle="1" w:styleId="IPPFootnoteRedChar">
    <w:name w:val="IPP Footnote Red Char"/>
    <w:link w:val="IPPFootnoteRed"/>
    <w:rsid w:val="006B6F45"/>
    <w:rPr>
      <w:rFonts w:ascii="Times New Roman" w:eastAsia="Times New Roman" w:hAnsi="Times New Roman" w:cs="Times New Roman"/>
      <w:b/>
      <w:bCs/>
      <w:color w:val="FF0000"/>
      <w:szCs w:val="24"/>
      <w:vertAlign w:val="superscript"/>
    </w:rPr>
  </w:style>
  <w:style w:type="paragraph" w:customStyle="1" w:styleId="IPPNormalBlue">
    <w:name w:val="IPP Normal Blue"/>
    <w:basedOn w:val="IPPNormal"/>
    <w:link w:val="IPPNormalBlueChar"/>
    <w:qFormat/>
    <w:rsid w:val="00910F63"/>
    <w:rPr>
      <w:color w:val="3366FF"/>
    </w:rPr>
  </w:style>
  <w:style w:type="character" w:customStyle="1" w:styleId="IPPNormalBlueChar">
    <w:name w:val="IPP Normal Blue Char"/>
    <w:link w:val="IPPNormalBlue"/>
    <w:rsid w:val="00910F63"/>
    <w:rPr>
      <w:rFonts w:ascii="Times New Roman" w:eastAsia="Times" w:hAnsi="Times New Roman" w:cs="Times New Roman"/>
      <w:color w:val="3366FF"/>
      <w:szCs w:val="24"/>
    </w:rPr>
  </w:style>
  <w:style w:type="numbering" w:customStyle="1" w:styleId="IPPParagraphnumberedlist1">
    <w:name w:val="IPP Paragraph numbered list1"/>
    <w:rsid w:val="00F063C9"/>
    <w:pPr>
      <w:numPr>
        <w:numId w:val="11"/>
      </w:numPr>
    </w:pPr>
  </w:style>
  <w:style w:type="paragraph" w:customStyle="1" w:styleId="NewPara">
    <w:name w:val="NewPara"/>
    <w:basedOn w:val="ListParagraph"/>
    <w:qFormat/>
    <w:rsid w:val="00F063C9"/>
    <w:pPr>
      <w:numPr>
        <w:numId w:val="11"/>
      </w:numPr>
      <w:spacing w:after="200"/>
      <w:ind w:left="0" w:firstLine="0"/>
    </w:pPr>
    <w:rPr>
      <w:rFonts w:ascii="Times New Roman" w:hAnsi="Times New Roman" w:cs="Akhbar MT"/>
      <w:sz w:val="22"/>
      <w:szCs w:val="30"/>
      <w:lang w:val="en-GB"/>
    </w:rPr>
  </w:style>
  <w:style w:type="paragraph" w:styleId="NormalWeb">
    <w:name w:val="Normal (Web)"/>
    <w:basedOn w:val="Normal"/>
    <w:uiPriority w:val="99"/>
    <w:semiHidden/>
    <w:unhideWhenUsed/>
    <w:rsid w:val="0067560C"/>
    <w:pPr>
      <w:spacing w:before="100" w:beforeAutospacing="1" w:after="100" w:afterAutospacing="1"/>
    </w:pPr>
    <w:rPr>
      <w:rFonts w:eastAsiaTheme="minorEastAsia"/>
      <w:sz w:val="24"/>
      <w:lang w:eastAsia="en-GB"/>
    </w:rPr>
  </w:style>
  <w:style w:type="paragraph" w:styleId="Revision">
    <w:name w:val="Revision"/>
    <w:hidden/>
    <w:uiPriority w:val="99"/>
    <w:semiHidden/>
    <w:rsid w:val="004E23AF"/>
    <w:pPr>
      <w:spacing w:after="0" w:line="240" w:lineRule="auto"/>
    </w:pPr>
    <w:rPr>
      <w:rFonts w:ascii="Times New Roman" w:eastAsia="MS Mincho" w:hAnsi="Times New Roman" w:cs="Times New Roman"/>
      <w:szCs w:val="24"/>
    </w:rPr>
  </w:style>
  <w:style w:type="numbering" w:customStyle="1" w:styleId="IPPParagraphnumberedlist2">
    <w:name w:val="IPP Paragraph numbered list2"/>
    <w:rsid w:val="004C42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764328">
      <w:bodyDiv w:val="1"/>
      <w:marLeft w:val="0"/>
      <w:marRight w:val="0"/>
      <w:marTop w:val="0"/>
      <w:marBottom w:val="0"/>
      <w:divBdr>
        <w:top w:val="none" w:sz="0" w:space="0" w:color="auto"/>
        <w:left w:val="none" w:sz="0" w:space="0" w:color="auto"/>
        <w:bottom w:val="none" w:sz="0" w:space="0" w:color="auto"/>
        <w:right w:val="none" w:sz="0" w:space="0" w:color="auto"/>
      </w:divBdr>
    </w:div>
    <w:div w:id="369108618">
      <w:bodyDiv w:val="1"/>
      <w:marLeft w:val="0"/>
      <w:marRight w:val="0"/>
      <w:marTop w:val="0"/>
      <w:marBottom w:val="0"/>
      <w:divBdr>
        <w:top w:val="none" w:sz="0" w:space="0" w:color="auto"/>
        <w:left w:val="none" w:sz="0" w:space="0" w:color="auto"/>
        <w:bottom w:val="none" w:sz="0" w:space="0" w:color="auto"/>
        <w:right w:val="none" w:sz="0" w:space="0" w:color="auto"/>
      </w:divBdr>
    </w:div>
    <w:div w:id="651451650">
      <w:bodyDiv w:val="1"/>
      <w:marLeft w:val="0"/>
      <w:marRight w:val="0"/>
      <w:marTop w:val="0"/>
      <w:marBottom w:val="0"/>
      <w:divBdr>
        <w:top w:val="none" w:sz="0" w:space="0" w:color="auto"/>
        <w:left w:val="none" w:sz="0" w:space="0" w:color="auto"/>
        <w:bottom w:val="none" w:sz="0" w:space="0" w:color="auto"/>
        <w:right w:val="none" w:sz="0" w:space="0" w:color="auto"/>
      </w:divBdr>
    </w:div>
    <w:div w:id="705523249">
      <w:bodyDiv w:val="1"/>
      <w:marLeft w:val="0"/>
      <w:marRight w:val="0"/>
      <w:marTop w:val="0"/>
      <w:marBottom w:val="0"/>
      <w:divBdr>
        <w:top w:val="none" w:sz="0" w:space="0" w:color="auto"/>
        <w:left w:val="none" w:sz="0" w:space="0" w:color="auto"/>
        <w:bottom w:val="none" w:sz="0" w:space="0" w:color="auto"/>
        <w:right w:val="none" w:sz="0" w:space="0" w:color="auto"/>
      </w:divBdr>
    </w:div>
    <w:div w:id="1236014647">
      <w:bodyDiv w:val="1"/>
      <w:marLeft w:val="0"/>
      <w:marRight w:val="0"/>
      <w:marTop w:val="0"/>
      <w:marBottom w:val="0"/>
      <w:divBdr>
        <w:top w:val="none" w:sz="0" w:space="0" w:color="auto"/>
        <w:left w:val="none" w:sz="0" w:space="0" w:color="auto"/>
        <w:bottom w:val="none" w:sz="0" w:space="0" w:color="auto"/>
        <w:right w:val="none" w:sz="0" w:space="0" w:color="auto"/>
      </w:divBdr>
    </w:div>
    <w:div w:id="1433549105">
      <w:bodyDiv w:val="1"/>
      <w:marLeft w:val="0"/>
      <w:marRight w:val="0"/>
      <w:marTop w:val="0"/>
      <w:marBottom w:val="0"/>
      <w:divBdr>
        <w:top w:val="none" w:sz="0" w:space="0" w:color="auto"/>
        <w:left w:val="none" w:sz="0" w:space="0" w:color="auto"/>
        <w:bottom w:val="none" w:sz="0" w:space="0" w:color="auto"/>
        <w:right w:val="none" w:sz="0" w:space="0" w:color="auto"/>
      </w:divBdr>
    </w:div>
    <w:div w:id="1493176946">
      <w:bodyDiv w:val="1"/>
      <w:marLeft w:val="0"/>
      <w:marRight w:val="0"/>
      <w:marTop w:val="0"/>
      <w:marBottom w:val="0"/>
      <w:divBdr>
        <w:top w:val="none" w:sz="0" w:space="0" w:color="auto"/>
        <w:left w:val="none" w:sz="0" w:space="0" w:color="auto"/>
        <w:bottom w:val="none" w:sz="0" w:space="0" w:color="auto"/>
        <w:right w:val="none" w:sz="0" w:space="0" w:color="auto"/>
      </w:divBdr>
    </w:div>
    <w:div w:id="1614441109">
      <w:bodyDiv w:val="1"/>
      <w:marLeft w:val="0"/>
      <w:marRight w:val="0"/>
      <w:marTop w:val="0"/>
      <w:marBottom w:val="0"/>
      <w:divBdr>
        <w:top w:val="none" w:sz="0" w:space="0" w:color="auto"/>
        <w:left w:val="none" w:sz="0" w:space="0" w:color="auto"/>
        <w:bottom w:val="none" w:sz="0" w:space="0" w:color="auto"/>
        <w:right w:val="none" w:sz="0" w:space="0" w:color="auto"/>
      </w:divBdr>
    </w:div>
    <w:div w:id="2139253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28" Type="http://schemas.microsoft.com/office/2016/09/relationships/commentsIds" Target="commentsIds.xml"/><Relationship Id="rId10" Type="http://schemas.openxmlformats.org/officeDocument/2006/relationships/hyperlink" Target="https://www.ippc.int/en/core-activities/standards-setting/notification-period-dps/mechanism-translate-diagnostic-protocols-languages/"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5.png"/><Relationship Id="rId22"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www.ippc.int/en/publications/85024/" TargetMode="External"/><Relationship Id="rId2" Type="http://schemas.openxmlformats.org/officeDocument/2006/relationships/hyperlink" Target="https://www.ippc.int/en/core-activities/ippc-standard-setting-procedure-manual/" TargetMode="External"/><Relationship Id="rId1" Type="http://schemas.openxmlformats.org/officeDocument/2006/relationships/hyperlink" Target="https://www.ippc.int/en/publications/87249/" TargetMode="External"/><Relationship Id="rId5" Type="http://schemas.openxmlformats.org/officeDocument/2006/relationships/hyperlink" Target="https://www.ippc.int/en/publications/2514/" TargetMode="External"/><Relationship Id="rId4" Type="http://schemas.openxmlformats.org/officeDocument/2006/relationships/hyperlink" Target="https://www.ippc.int/en/external-cooperation/organizations-page-in-ipp/phytosanitarymeasuresresearchgroup/"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S:\03%20Standard%20Setting%20Unit\07%20Procedures%20and%20Guides\Style%20Guide%20for%20Standard%20Setting\IPPC_2015-06-04.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HQFILE4\AGDI\IPPC\02%20Governance%20and%20Strategy\05%20Standards%20Committee\2019\2019%20May\2019%20May%20SC\01_WorkingPapers\Drafts\XX_CPM_April_2019_Report_SC_Activities__TPDP_TPPT_WorkProgramm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b="1" baseline="0">
                <a:solidFill>
                  <a:schemeClr val="tx1"/>
                </a:solidFill>
              </a:rPr>
              <a:t>TPDP - number of draft DPs at various stages of development</a:t>
            </a:r>
          </a:p>
          <a:p>
            <a:pPr>
              <a:defRPr/>
            </a:pPr>
            <a:r>
              <a:rPr lang="en-GB" sz="900" b="1" baseline="0">
                <a:solidFill>
                  <a:schemeClr val="tx1"/>
                </a:solidFill>
              </a:rPr>
              <a:t>(as of October 2019)</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0"/>
      <c:rotY val="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2563890040060783E-2"/>
          <c:y val="0.17171296296296296"/>
          <c:w val="0.70840102224064094"/>
          <c:h val="0.7260954359871683"/>
        </c:manualLayout>
      </c:layout>
      <c:bar3DChart>
        <c:barDir val="col"/>
        <c:grouping val="stacked"/>
        <c:varyColors val="0"/>
        <c:ser>
          <c:idx val="0"/>
          <c:order val="0"/>
          <c:tx>
            <c:strRef>
              <c:f>'CPM-14 (2019)'!$A$22</c:f>
              <c:strCache>
                <c:ptCount val="1"/>
                <c:pt idx="0">
                  <c:v>Expert Consultation</c:v>
                </c:pt>
              </c:strCache>
            </c:strRef>
          </c:tx>
          <c:spPr>
            <a:solidFill>
              <a:schemeClr val="accent1">
                <a:lumMod val="50000"/>
              </a:schemeClr>
            </a:solidFill>
            <a:ln>
              <a:noFill/>
            </a:ln>
            <a:effectLst/>
            <a:scene3d>
              <a:camera prst="orthographicFront"/>
              <a:lightRig rig="threePt" dir="t"/>
            </a:scene3d>
            <a:sp3d>
              <a:bevelT/>
            </a:sp3d>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0-0D99-41AA-99F9-CA0F9686C7F8}"/>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'CPM-14 (2019)'!$B$21:$G$21</c:f>
              <c:numCache>
                <c:formatCode>General</c:formatCode>
                <c:ptCount val="6"/>
                <c:pt idx="0">
                  <c:v>2014</c:v>
                </c:pt>
                <c:pt idx="1">
                  <c:v>2015</c:v>
                </c:pt>
                <c:pt idx="2">
                  <c:v>2016</c:v>
                </c:pt>
                <c:pt idx="3">
                  <c:v>2017</c:v>
                </c:pt>
                <c:pt idx="4">
                  <c:v>2018</c:v>
                </c:pt>
                <c:pt idx="5">
                  <c:v>2019</c:v>
                </c:pt>
              </c:numCache>
            </c:numRef>
          </c:cat>
          <c:val>
            <c:numRef>
              <c:f>'CPM-14 (2019)'!$B$22:$G$22</c:f>
              <c:numCache>
                <c:formatCode>General</c:formatCode>
                <c:ptCount val="6"/>
                <c:pt idx="0">
                  <c:v>7</c:v>
                </c:pt>
                <c:pt idx="1">
                  <c:v>5</c:v>
                </c:pt>
                <c:pt idx="2">
                  <c:v>6</c:v>
                </c:pt>
                <c:pt idx="3">
                  <c:v>0</c:v>
                </c:pt>
                <c:pt idx="4">
                  <c:v>1</c:v>
                </c:pt>
                <c:pt idx="5">
                  <c:v>1</c:v>
                </c:pt>
              </c:numCache>
            </c:numRef>
          </c:val>
          <c:extLst>
            <c:ext xmlns:c16="http://schemas.microsoft.com/office/drawing/2014/chart" uri="{C3380CC4-5D6E-409C-BE32-E72D297353CC}">
              <c16:uniqueId val="{00000001-518D-4E88-A879-D0BDA9B2C764}"/>
            </c:ext>
          </c:extLst>
        </c:ser>
        <c:ser>
          <c:idx val="1"/>
          <c:order val="1"/>
          <c:tx>
            <c:strRef>
              <c:f>'CPM-14 (2019)'!$A$23</c:f>
              <c:strCache>
                <c:ptCount val="1"/>
                <c:pt idx="0">
                  <c:v>Consultation</c:v>
                </c:pt>
              </c:strCache>
            </c:strRef>
          </c:tx>
          <c:spPr>
            <a:solidFill>
              <a:schemeClr val="accent1">
                <a:lumMod val="60000"/>
                <a:lumOff val="40000"/>
              </a:schemeClr>
            </a:solidFill>
            <a:ln>
              <a:noFill/>
            </a:ln>
            <a:effectLst/>
            <a:scene3d>
              <a:camera prst="orthographicFront"/>
              <a:lightRig rig="threePt" dir="t"/>
            </a:scene3d>
            <a:sp3d>
              <a:bevelT/>
            </a:sp3d>
          </c:spPr>
          <c:invertIfNegative val="0"/>
          <c:dLbls>
            <c:dLbl>
              <c:idx val="4"/>
              <c:delete val="1"/>
              <c:extLst>
                <c:ext xmlns:c15="http://schemas.microsoft.com/office/drawing/2012/chart" uri="{CE6537A1-D6FC-4f65-9D91-7224C49458BB}"/>
                <c:ext xmlns:c16="http://schemas.microsoft.com/office/drawing/2014/chart" uri="{C3380CC4-5D6E-409C-BE32-E72D297353CC}">
                  <c16:uniqueId val="{00000000-4230-4A42-BECC-E0AE7CFA744D}"/>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'CPM-14 (2019)'!$B$21:$G$21</c:f>
              <c:numCache>
                <c:formatCode>General</c:formatCode>
                <c:ptCount val="6"/>
                <c:pt idx="0">
                  <c:v>2014</c:v>
                </c:pt>
                <c:pt idx="1">
                  <c:v>2015</c:v>
                </c:pt>
                <c:pt idx="2">
                  <c:v>2016</c:v>
                </c:pt>
                <c:pt idx="3">
                  <c:v>2017</c:v>
                </c:pt>
                <c:pt idx="4">
                  <c:v>2018</c:v>
                </c:pt>
                <c:pt idx="5">
                  <c:v>2019</c:v>
                </c:pt>
              </c:numCache>
            </c:numRef>
          </c:cat>
          <c:val>
            <c:numRef>
              <c:f>'CPM-14 (2019)'!$B$23:$G$23</c:f>
              <c:numCache>
                <c:formatCode>General</c:formatCode>
                <c:ptCount val="6"/>
                <c:pt idx="0">
                  <c:v>4</c:v>
                </c:pt>
                <c:pt idx="1">
                  <c:v>8</c:v>
                </c:pt>
                <c:pt idx="2">
                  <c:v>5</c:v>
                </c:pt>
                <c:pt idx="3">
                  <c:v>6</c:v>
                </c:pt>
                <c:pt idx="4">
                  <c:v>0</c:v>
                </c:pt>
                <c:pt idx="5">
                  <c:v>1</c:v>
                </c:pt>
              </c:numCache>
            </c:numRef>
          </c:val>
          <c:extLst>
            <c:ext xmlns:c16="http://schemas.microsoft.com/office/drawing/2014/chart" uri="{C3380CC4-5D6E-409C-BE32-E72D297353CC}">
              <c16:uniqueId val="{00000002-518D-4E88-A879-D0BDA9B2C764}"/>
            </c:ext>
          </c:extLst>
        </c:ser>
        <c:ser>
          <c:idx val="2"/>
          <c:order val="2"/>
          <c:tx>
            <c:strRef>
              <c:f>'CPM-14 (2019)'!$A$24</c:f>
              <c:strCache>
                <c:ptCount val="1"/>
                <c:pt idx="0">
                  <c:v>Submission to the Notification Period</c:v>
                </c:pt>
              </c:strCache>
            </c:strRef>
          </c:tx>
          <c:spPr>
            <a:solidFill>
              <a:srgbClr val="00B0F0"/>
            </a:solidFill>
            <a:ln>
              <a:noFill/>
            </a:ln>
            <a:effectLst/>
            <a:scene3d>
              <a:camera prst="orthographicFront"/>
              <a:lightRig rig="threePt" dir="t"/>
            </a:scene3d>
            <a:sp3d prstMaterial="matte">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'CPM-14 (2019)'!$B$21:$G$21</c:f>
              <c:numCache>
                <c:formatCode>General</c:formatCode>
                <c:ptCount val="6"/>
                <c:pt idx="0">
                  <c:v>2014</c:v>
                </c:pt>
                <c:pt idx="1">
                  <c:v>2015</c:v>
                </c:pt>
                <c:pt idx="2">
                  <c:v>2016</c:v>
                </c:pt>
                <c:pt idx="3">
                  <c:v>2017</c:v>
                </c:pt>
                <c:pt idx="4">
                  <c:v>2018</c:v>
                </c:pt>
                <c:pt idx="5">
                  <c:v>2019</c:v>
                </c:pt>
              </c:numCache>
            </c:numRef>
          </c:cat>
          <c:val>
            <c:numRef>
              <c:f>'CPM-14 (2019)'!$B$24:$G$24</c:f>
              <c:numCache>
                <c:formatCode>General</c:formatCode>
                <c:ptCount val="6"/>
                <c:pt idx="0">
                  <c:v>3</c:v>
                </c:pt>
                <c:pt idx="1">
                  <c:v>5</c:v>
                </c:pt>
                <c:pt idx="2">
                  <c:v>12</c:v>
                </c:pt>
                <c:pt idx="3">
                  <c:v>2</c:v>
                </c:pt>
                <c:pt idx="4">
                  <c:v>6</c:v>
                </c:pt>
                <c:pt idx="5">
                  <c:v>1</c:v>
                </c:pt>
              </c:numCache>
            </c:numRef>
          </c:val>
          <c:extLst>
            <c:ext xmlns:c16="http://schemas.microsoft.com/office/drawing/2014/chart" uri="{C3380CC4-5D6E-409C-BE32-E72D297353CC}">
              <c16:uniqueId val="{00000003-518D-4E88-A879-D0BDA9B2C764}"/>
            </c:ext>
          </c:extLst>
        </c:ser>
        <c:ser>
          <c:idx val="3"/>
          <c:order val="3"/>
          <c:tx>
            <c:strRef>
              <c:f>'CPM-14 (2019)'!$A$25</c:f>
              <c:strCache>
                <c:ptCount val="1"/>
                <c:pt idx="0">
                  <c:v>New DPs added</c:v>
                </c:pt>
              </c:strCache>
            </c:strRef>
          </c:tx>
          <c:spPr>
            <a:pattFill prst="dashHorz">
              <a:fgClr>
                <a:srgbClr val="92D050"/>
              </a:fgClr>
              <a:bgClr>
                <a:schemeClr val="bg1"/>
              </a:bgClr>
            </a:pattFill>
            <a:ln>
              <a:solidFill>
                <a:schemeClr val="tx1"/>
              </a:solidFill>
            </a:ln>
            <a:effectLst/>
            <a:scene3d>
              <a:camera prst="orthographicFront"/>
              <a:lightRig rig="threePt" dir="t"/>
            </a:scene3d>
            <a:sp3d>
              <a:bevelT/>
              <a:contourClr>
                <a:schemeClr val="tx1"/>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'CPM-14 (2019)'!$B$21:$G$21</c:f>
              <c:numCache>
                <c:formatCode>General</c:formatCode>
                <c:ptCount val="6"/>
                <c:pt idx="0">
                  <c:v>2014</c:v>
                </c:pt>
                <c:pt idx="1">
                  <c:v>2015</c:v>
                </c:pt>
                <c:pt idx="2">
                  <c:v>2016</c:v>
                </c:pt>
                <c:pt idx="3">
                  <c:v>2017</c:v>
                </c:pt>
                <c:pt idx="4">
                  <c:v>2018</c:v>
                </c:pt>
                <c:pt idx="5">
                  <c:v>2019</c:v>
                </c:pt>
              </c:numCache>
            </c:numRef>
          </c:cat>
          <c:val>
            <c:numRef>
              <c:f>'CPM-14 (2019)'!$B$25:$G$25</c:f>
              <c:numCache>
                <c:formatCode>General</c:formatCode>
                <c:ptCount val="6"/>
                <c:pt idx="2">
                  <c:v>1</c:v>
                </c:pt>
                <c:pt idx="4">
                  <c:v>7</c:v>
                </c:pt>
                <c:pt idx="5">
                  <c:v>6</c:v>
                </c:pt>
              </c:numCache>
            </c:numRef>
          </c:val>
          <c:extLst>
            <c:ext xmlns:c16="http://schemas.microsoft.com/office/drawing/2014/chart" uri="{C3380CC4-5D6E-409C-BE32-E72D297353CC}">
              <c16:uniqueId val="{00000000-3F51-4824-83A6-3B768B529873}"/>
            </c:ext>
          </c:extLst>
        </c:ser>
        <c:dLbls>
          <c:showLegendKey val="0"/>
          <c:showVal val="0"/>
          <c:showCatName val="0"/>
          <c:showSerName val="0"/>
          <c:showPercent val="0"/>
          <c:showBubbleSize val="0"/>
        </c:dLbls>
        <c:gapWidth val="150"/>
        <c:shape val="box"/>
        <c:axId val="294305248"/>
        <c:axId val="294301720"/>
        <c:axId val="0"/>
      </c:bar3DChart>
      <c:catAx>
        <c:axId val="294305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solidFill>
                <a:latin typeface="+mn-lt"/>
                <a:ea typeface="+mn-ea"/>
                <a:cs typeface="+mn-cs"/>
              </a:defRPr>
            </a:pPr>
            <a:endParaRPr lang="en-US"/>
          </a:p>
        </c:txPr>
        <c:crossAx val="294301720"/>
        <c:crosses val="autoZero"/>
        <c:auto val="1"/>
        <c:lblAlgn val="ctr"/>
        <c:lblOffset val="100"/>
        <c:noMultiLvlLbl val="0"/>
      </c:catAx>
      <c:valAx>
        <c:axId val="294301720"/>
        <c:scaling>
          <c:orientation val="minMax"/>
          <c:max val="25"/>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mn-lt"/>
                <a:ea typeface="+mn-ea"/>
                <a:cs typeface="+mn-cs"/>
              </a:defRPr>
            </a:pPr>
            <a:endParaRPr lang="en-US"/>
          </a:p>
        </c:txPr>
        <c:crossAx val="294305248"/>
        <c:crosses val="autoZero"/>
        <c:crossBetween val="between"/>
        <c:majorUnit val="2"/>
      </c:valAx>
      <c:spPr>
        <a:noFill/>
        <a:ln>
          <a:noFill/>
        </a:ln>
        <a:effectLst/>
      </c:spPr>
    </c:plotArea>
    <c:legend>
      <c:legendPos val="r"/>
      <c:layout>
        <c:manualLayout>
          <c:xMode val="edge"/>
          <c:yMode val="edge"/>
          <c:x val="0.73243688906732651"/>
          <c:y val="0.35206629576708315"/>
          <c:w val="0.25195437003777232"/>
          <c:h val="0.4558416684400936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3175"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5764C-2FC1-414F-9961-30FDA7283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4</TotalTime>
  <Pages>1</Pages>
  <Words>5839</Words>
  <Characters>33287</Characters>
  <Application>Microsoft Office Word</Application>
  <DocSecurity>0</DocSecurity>
  <Lines>277</Lines>
  <Paragraphs>78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39048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Sandy Gibson</dc:creator>
  <cp:keywords/>
  <dc:description/>
  <cp:lastModifiedBy>Kiss, Janka (AGDI)</cp:lastModifiedBy>
  <cp:revision>7</cp:revision>
  <cp:lastPrinted>2019-10-04T11:30:00Z</cp:lastPrinted>
  <dcterms:created xsi:type="dcterms:W3CDTF">2020-06-22T07:57:00Z</dcterms:created>
  <dcterms:modified xsi:type="dcterms:W3CDTF">2020-06-22T08:27:00Z</dcterms:modified>
</cp:coreProperties>
</file>