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318AD6" w14:textId="77777777" w:rsidR="0054601E" w:rsidRPr="0054601E" w:rsidRDefault="0054601E" w:rsidP="0054601E">
      <w:pPr>
        <w:spacing w:before="240"/>
        <w:jc w:val="center"/>
        <w:rPr>
          <w:rFonts w:eastAsia="Times"/>
          <w:b/>
          <w:bCs/>
          <w:caps/>
          <w:sz w:val="24"/>
        </w:rPr>
      </w:pPr>
      <w:r w:rsidRPr="0054601E">
        <w:rPr>
          <w:rFonts w:eastAsia="Times"/>
          <w:b/>
          <w:bCs/>
          <w:caps/>
          <w:sz w:val="24"/>
        </w:rPr>
        <w:t>Updates from the Standards Committee (SC)</w:t>
      </w:r>
    </w:p>
    <w:p w14:paraId="40C5A2F4" w14:textId="77777777" w:rsidR="0054601E" w:rsidRDefault="0054601E" w:rsidP="0054601E">
      <w:pPr>
        <w:spacing w:before="240"/>
        <w:jc w:val="center"/>
        <w:rPr>
          <w:rFonts w:eastAsia="Times"/>
          <w:b/>
          <w:bCs/>
          <w:caps/>
          <w:sz w:val="24"/>
        </w:rPr>
      </w:pPr>
      <w:bookmarkStart w:id="0" w:name="_GoBack"/>
      <w:bookmarkEnd w:id="0"/>
    </w:p>
    <w:p w14:paraId="5223F8A0" w14:textId="74B43797" w:rsidR="0054601E" w:rsidRDefault="0054601E" w:rsidP="0054601E">
      <w:pPr>
        <w:jc w:val="center"/>
        <w:rPr>
          <w:rFonts w:eastAsia="Times"/>
          <w:b/>
          <w:bCs/>
          <w:i/>
          <w:caps/>
          <w:sz w:val="24"/>
        </w:rPr>
      </w:pPr>
      <w:r w:rsidRPr="0054601E">
        <w:rPr>
          <w:rFonts w:eastAsia="Times"/>
          <w:b/>
          <w:bCs/>
          <w:caps/>
          <w:sz w:val="24"/>
        </w:rPr>
        <w:t>IPPC Strategic Framework 2020-2030: Development agenda: Laboratory diagnostic networking</w:t>
      </w:r>
      <w:r w:rsidRPr="0054601E">
        <w:rPr>
          <w:rFonts w:eastAsia="Times"/>
          <w:b/>
          <w:bCs/>
          <w:i/>
          <w:caps/>
          <w:sz w:val="24"/>
        </w:rPr>
        <w:t xml:space="preserve"> </w:t>
      </w:r>
    </w:p>
    <w:p w14:paraId="7D1B778D" w14:textId="77777777" w:rsidR="0054601E" w:rsidRDefault="0054601E" w:rsidP="0054601E">
      <w:pPr>
        <w:jc w:val="center"/>
        <w:rPr>
          <w:rFonts w:eastAsia="Times"/>
          <w:b/>
          <w:bCs/>
          <w:i/>
          <w:caps/>
          <w:sz w:val="24"/>
        </w:rPr>
      </w:pPr>
    </w:p>
    <w:p w14:paraId="69828B05" w14:textId="32AB88EA" w:rsidR="005B02A2" w:rsidRPr="00D21E70" w:rsidRDefault="005B02A2" w:rsidP="0054601E">
      <w:pPr>
        <w:jc w:val="center"/>
        <w:rPr>
          <w:i/>
        </w:rPr>
      </w:pPr>
      <w:r w:rsidRPr="00D21E70">
        <w:rPr>
          <w:i/>
        </w:rPr>
        <w:t>(</w:t>
      </w:r>
      <w:r w:rsidR="002F66BC" w:rsidRPr="00D21E70">
        <w:rPr>
          <w:i/>
        </w:rPr>
        <w:t>Prepared</w:t>
      </w:r>
      <w:r w:rsidRPr="00D21E70">
        <w:rPr>
          <w:i/>
        </w:rPr>
        <w:t xml:space="preserve"> by </w:t>
      </w:r>
      <w:r>
        <w:rPr>
          <w:i/>
        </w:rPr>
        <w:t>IPPC Secretariat</w:t>
      </w:r>
      <w:r w:rsidRPr="00D21E70">
        <w:rPr>
          <w:i/>
        </w:rPr>
        <w:t>)</w:t>
      </w:r>
    </w:p>
    <w:p w14:paraId="2B3F3FC0" w14:textId="0B32A7BA" w:rsidR="00700AAE" w:rsidRDefault="00700AAE" w:rsidP="00700AAE"/>
    <w:p w14:paraId="0657FF31" w14:textId="3F9CF331" w:rsidR="007D4B57" w:rsidRDefault="007D4B57" w:rsidP="007D4B57">
      <w:pPr>
        <w:pStyle w:val="IPPHeading1"/>
      </w:pPr>
      <w:r>
        <w:t>Background</w:t>
      </w:r>
    </w:p>
    <w:p w14:paraId="2DEA16E8" w14:textId="7F4949B5" w:rsidR="0054601E" w:rsidRDefault="0054601E" w:rsidP="0054601E">
      <w:pPr>
        <w:pStyle w:val="IPPParagraphnumbering"/>
      </w:pPr>
      <w:r w:rsidRPr="00F178A4">
        <w:t xml:space="preserve">The </w:t>
      </w:r>
      <w:r w:rsidRPr="004B1612">
        <w:t xml:space="preserve">IPPC </w:t>
      </w:r>
      <w:r>
        <w:t>Strategic Framework</w:t>
      </w:r>
      <w:r w:rsidRPr="004B1612">
        <w:t xml:space="preserve"> 2020</w:t>
      </w:r>
      <w:r>
        <w:t>-</w:t>
      </w:r>
      <w:r w:rsidRPr="004B1612">
        <w:t>2030</w:t>
      </w:r>
      <w:r>
        <w:rPr>
          <w:rStyle w:val="FootnoteReference"/>
        </w:rPr>
        <w:footnoteReference w:id="1"/>
      </w:r>
      <w:r w:rsidRPr="00D05D6D">
        <w:rPr>
          <w:bCs/>
        </w:rPr>
        <w:t>,</w:t>
      </w:r>
      <w:r w:rsidRPr="004B1612">
        <w:t xml:space="preserve"> </w:t>
      </w:r>
      <w:r w:rsidRPr="00F178A4">
        <w:t xml:space="preserve">with its eight key development </w:t>
      </w:r>
      <w:r>
        <w:t>agenda items,</w:t>
      </w:r>
      <w:r w:rsidRPr="00F178A4">
        <w:t xml:space="preserve"> identif</w:t>
      </w:r>
      <w:r>
        <w:t>ies</w:t>
      </w:r>
      <w:r w:rsidRPr="00F178A4">
        <w:t xml:space="preserve"> new priority work</w:t>
      </w:r>
      <w:r>
        <w:t xml:space="preserve"> areas that are </w:t>
      </w:r>
      <w:r w:rsidRPr="00F178A4">
        <w:t xml:space="preserve">aligned to the </w:t>
      </w:r>
      <w:r>
        <w:t>IPPC</w:t>
      </w:r>
      <w:r w:rsidRPr="00BA6BE1">
        <w:t>’s</w:t>
      </w:r>
      <w:r w:rsidRPr="00F178A4">
        <w:t xml:space="preserve"> </w:t>
      </w:r>
      <w:r>
        <w:t>v</w:t>
      </w:r>
      <w:r w:rsidRPr="00F178A4">
        <w:t xml:space="preserve">ision, </w:t>
      </w:r>
      <w:r>
        <w:t>m</w:t>
      </w:r>
      <w:r w:rsidRPr="00F178A4">
        <w:t xml:space="preserve">ission and </w:t>
      </w:r>
      <w:r>
        <w:t>s</w:t>
      </w:r>
      <w:r w:rsidRPr="00F178A4">
        <w:t xml:space="preserve">trategic </w:t>
      </w:r>
      <w:r>
        <w:t>o</w:t>
      </w:r>
      <w:r w:rsidRPr="00F178A4">
        <w:t xml:space="preserve">bjectives. </w:t>
      </w:r>
      <w:r>
        <w:t>One of the identified development agenda is to e</w:t>
      </w:r>
      <w:r w:rsidRPr="00686BC9">
        <w:t>stablish</w:t>
      </w:r>
      <w:r>
        <w:t xml:space="preserve"> </w:t>
      </w:r>
      <w:r w:rsidRPr="00686BC9">
        <w:t>a network of diagnostic laboratory services and diagnostic protocols to help countries identify pests in a more reliable and timely manner</w:t>
      </w:r>
      <w:r>
        <w:t>. It is expected that by 2030 an</w:t>
      </w:r>
      <w:r w:rsidRPr="00D05D6D">
        <w:t xml:space="preserve"> international network of diagnostic laboratory services </w:t>
      </w:r>
      <w:r>
        <w:t>is functioning, and that n</w:t>
      </w:r>
      <w:r w:rsidRPr="00D05D6D">
        <w:t>ational laboratories</w:t>
      </w:r>
      <w:r>
        <w:t xml:space="preserve"> have</w:t>
      </w:r>
      <w:r w:rsidRPr="00D05D6D">
        <w:t xml:space="preserve"> strong diagnostic functions are officially recognized as capable of offering reliable services within regions or globally, reducing the need for all countries to develop duplicated capacity.</w:t>
      </w:r>
    </w:p>
    <w:p w14:paraId="087D98E7" w14:textId="756DAF4E" w:rsidR="0054601E" w:rsidRDefault="0054601E" w:rsidP="0054601E">
      <w:pPr>
        <w:pStyle w:val="IPPParagraphnumbering"/>
      </w:pPr>
      <w:r>
        <w:t xml:space="preserve">The </w:t>
      </w:r>
      <w:hyperlink r:id="rId8" w:history="1">
        <w:r w:rsidRPr="00A061EE">
          <w:rPr>
            <w:rStyle w:val="Hyperlink"/>
          </w:rPr>
          <w:t>IPPC Standard Setting Unit (SSU)</w:t>
        </w:r>
      </w:hyperlink>
      <w:r w:rsidRPr="00D05D6D">
        <w:t xml:space="preserve"> </w:t>
      </w:r>
      <w:r>
        <w:t xml:space="preserve">was assigned to </w:t>
      </w:r>
      <w:r w:rsidRPr="00D05D6D">
        <w:t>coordinat</w:t>
      </w:r>
      <w:r>
        <w:t>e</w:t>
      </w:r>
      <w:r w:rsidRPr="00D05D6D">
        <w:t xml:space="preserve"> the activities</w:t>
      </w:r>
      <w:r>
        <w:t xml:space="preserve"> related to this development agenda item. </w:t>
      </w:r>
      <w:r w:rsidRPr="004065B7">
        <w:t xml:space="preserve">The plan </w:t>
      </w:r>
      <w:r>
        <w:t>is to</w:t>
      </w:r>
      <w:r w:rsidRPr="004065B7">
        <w:t xml:space="preserve"> include activities that would go across the</w:t>
      </w:r>
      <w:r>
        <w:t xml:space="preserve"> different IPPC committees and to the entire</w:t>
      </w:r>
      <w:r w:rsidRPr="004065B7">
        <w:t xml:space="preserve"> IPPC Secretariat, building on the expertise of all its</w:t>
      </w:r>
      <w:r w:rsidRPr="00DF278E">
        <w:t xml:space="preserve"> units</w:t>
      </w:r>
      <w:r>
        <w:t xml:space="preserve"> and committees. </w:t>
      </w:r>
      <w:r w:rsidRPr="00A061EE">
        <w:t>It is to note that there is no secured resources to achieve this development agenda, and the work has not yet commenced</w:t>
      </w:r>
      <w:r>
        <w:t>,</w:t>
      </w:r>
      <w:r w:rsidRPr="00A061EE">
        <w:t xml:space="preserve"> but initial discussions were </w:t>
      </w:r>
      <w:r>
        <w:t>held</w:t>
      </w:r>
      <w:r w:rsidRPr="00A061EE">
        <w:t xml:space="preserve"> with the </w:t>
      </w:r>
      <w:hyperlink r:id="rId9" w:history="1">
        <w:r w:rsidRPr="00A061EE">
          <w:rPr>
            <w:rStyle w:val="Hyperlink"/>
          </w:rPr>
          <w:t>IPPC Technical Panel on Diagnostic Protocols (TPDP)</w:t>
        </w:r>
      </w:hyperlink>
      <w:r w:rsidR="009C13C1" w:rsidRPr="009C13C1">
        <w:rPr>
          <w:rStyle w:val="Hyperlink"/>
          <w:color w:val="auto"/>
          <w:u w:val="none"/>
        </w:rPr>
        <w:t xml:space="preserve"> at their 2019-08 meeting</w:t>
      </w:r>
      <w:r>
        <w:t xml:space="preserve">, </w:t>
      </w:r>
      <w:r>
        <w:t>the</w:t>
      </w:r>
      <w:r w:rsidRPr="00A061EE">
        <w:t xml:space="preserve"> </w:t>
      </w:r>
      <w:hyperlink r:id="rId10" w:history="1">
        <w:r w:rsidRPr="00A061EE">
          <w:rPr>
            <w:rStyle w:val="Hyperlink"/>
          </w:rPr>
          <w:t>Standards Committee (SC)</w:t>
        </w:r>
      </w:hyperlink>
      <w:r w:rsidRPr="0054601E">
        <w:rPr>
          <w:rStyle w:val="Hyperlink"/>
          <w:u w:val="none"/>
        </w:rPr>
        <w:t xml:space="preserve"> </w:t>
      </w:r>
      <w:r w:rsidRPr="0054601E">
        <w:rPr>
          <w:rStyle w:val="Hyperlink"/>
          <w:color w:val="auto"/>
          <w:u w:val="none"/>
        </w:rPr>
        <w:t xml:space="preserve">and the </w:t>
      </w:r>
      <w:hyperlink r:id="rId11" w:history="1">
        <w:r w:rsidRPr="009C13C1">
          <w:rPr>
            <w:rStyle w:val="Hyperlink"/>
          </w:rPr>
          <w:t>IPPC Strategic Planning Group (SPG)</w:t>
        </w:r>
      </w:hyperlink>
      <w:r w:rsidR="009C13C1">
        <w:rPr>
          <w:rStyle w:val="FootnoteReference"/>
        </w:rPr>
        <w:footnoteReference w:id="2"/>
      </w:r>
      <w:r w:rsidRPr="009C13C1">
        <w:rPr>
          <w:rStyle w:val="Hyperlink"/>
          <w:color w:val="000000" w:themeColor="text1"/>
          <w:u w:val="none"/>
        </w:rPr>
        <w:t>.</w:t>
      </w:r>
      <w:r w:rsidRPr="00C924FF">
        <w:rPr>
          <w:rStyle w:val="Hyperlink"/>
        </w:rPr>
        <w:t xml:space="preserve"> </w:t>
      </w:r>
    </w:p>
    <w:p w14:paraId="071BDD91" w14:textId="21CB184D" w:rsidR="007D4B57" w:rsidRDefault="0054601E" w:rsidP="0054601E">
      <w:pPr>
        <w:pStyle w:val="IPPParagraphnumbering"/>
      </w:pPr>
      <w:r>
        <w:t xml:space="preserve">It is important to highlight that, although a prioritization exercise should be made to the progress the development agendas in the </w:t>
      </w:r>
      <w:r w:rsidRPr="004B1612">
        <w:t xml:space="preserve">IPPC </w:t>
      </w:r>
      <w:r>
        <w:t xml:space="preserve">Strategic Framework, some activities related to </w:t>
      </w:r>
      <w:r w:rsidRPr="00521531">
        <w:t>diagnostic laboratory networking</w:t>
      </w:r>
      <w:r>
        <w:t xml:space="preserve"> should commence soon in order to achieve the desirable goal, in which it may take up to some years to consolidate an international network.</w:t>
      </w:r>
      <w:r>
        <w:t xml:space="preserve"> </w:t>
      </w:r>
      <w:r w:rsidR="00CB203C">
        <w:t xml:space="preserve"> </w:t>
      </w:r>
    </w:p>
    <w:p w14:paraId="37D51C6D" w14:textId="2E0648C5" w:rsidR="0054601E" w:rsidRDefault="0054601E" w:rsidP="0054601E">
      <w:pPr>
        <w:pStyle w:val="IPPParagraphnumbering"/>
      </w:pPr>
      <w:r>
        <w:t xml:space="preserve">Below, extracts from the </w:t>
      </w:r>
      <w:r w:rsidRPr="009C13C1">
        <w:rPr>
          <w:u w:val="single"/>
        </w:rPr>
        <w:t>DRAFT</w:t>
      </w:r>
      <w:r>
        <w:t xml:space="preserve"> SC November 2020 meeting report on this development agenda item. In </w:t>
      </w:r>
      <w:r w:rsidR="009C13C1" w:rsidRPr="009C13C1">
        <w:rPr>
          <w:u w:val="single"/>
        </w:rPr>
        <w:t>A</w:t>
      </w:r>
      <w:r w:rsidRPr="009C13C1">
        <w:rPr>
          <w:u w:val="single"/>
        </w:rPr>
        <w:t>ttachment 1</w:t>
      </w:r>
      <w:r>
        <w:t xml:space="preserve"> of this document it is the paper presented to the SC, with </w:t>
      </w:r>
      <w:r w:rsidR="009C13C1">
        <w:t xml:space="preserve">summarized </w:t>
      </w:r>
      <w:r>
        <w:t xml:space="preserve">discussions </w:t>
      </w:r>
      <w:r w:rsidR="009C13C1">
        <w:t>from the SPG.</w:t>
      </w:r>
    </w:p>
    <w:p w14:paraId="1E224707" w14:textId="74901620" w:rsidR="00303F8C" w:rsidRPr="009C13C1" w:rsidRDefault="009C13C1" w:rsidP="009C13C1">
      <w:pPr>
        <w:pStyle w:val="IPPParagraphnumbering"/>
        <w:numPr>
          <w:ilvl w:val="0"/>
          <w:numId w:val="0"/>
        </w:numPr>
        <w:rPr>
          <w:b/>
        </w:rPr>
      </w:pPr>
      <w:r w:rsidRPr="009C13C1">
        <w:rPr>
          <w:b/>
        </w:rPr>
        <w:t>SC November 2020 – draft:</w:t>
      </w:r>
    </w:p>
    <w:p w14:paraId="2641067B" w14:textId="77777777" w:rsidR="009C13C1" w:rsidRPr="002400D9" w:rsidRDefault="009C13C1" w:rsidP="009C13C1">
      <w:pPr>
        <w:pStyle w:val="IPPHeading3"/>
      </w:pPr>
      <w:r w:rsidRPr="002400D9">
        <w:t>Diagnostic laboratory networking</w:t>
      </w:r>
    </w:p>
    <w:p w14:paraId="27A25E2D" w14:textId="77777777" w:rsidR="009C13C1" w:rsidRDefault="009C13C1" w:rsidP="009C13C1">
      <w:pPr>
        <w:pStyle w:val="IPPParagraphnumbering"/>
        <w:rPr>
          <w:lang w:val="en-GB"/>
        </w:rPr>
      </w:pPr>
      <w:r w:rsidRPr="00903516">
        <w:rPr>
          <w:lang w:val="en-GB"/>
        </w:rPr>
        <w:t>The Secretariat presented the</w:t>
      </w:r>
      <w:r w:rsidRPr="00903516">
        <w:rPr>
          <w:rStyle w:val="FootnoteReference"/>
          <w:lang w:val="en-GB"/>
        </w:rPr>
        <w:t xml:space="preserve"> </w:t>
      </w:r>
      <w:r w:rsidRPr="00903516">
        <w:rPr>
          <w:lang w:val="en-GB"/>
        </w:rPr>
        <w:t>paper summarizing the discussions at the SPG virtual meeting in October 2020 related to diagnostic laboratory networking</w:t>
      </w:r>
      <w:r w:rsidRPr="002400D9">
        <w:rPr>
          <w:rStyle w:val="FootnoteReference"/>
          <w:lang w:val="en-GB"/>
        </w:rPr>
        <w:footnoteReference w:id="3"/>
      </w:r>
      <w:r w:rsidRPr="00903516">
        <w:rPr>
          <w:lang w:val="en-GB"/>
        </w:rPr>
        <w:t xml:space="preserve">. </w:t>
      </w:r>
      <w:r>
        <w:rPr>
          <w:lang w:val="en-GB"/>
        </w:rPr>
        <w:t xml:space="preserve">As it had been difficult for the </w:t>
      </w:r>
      <w:r w:rsidRPr="00903516">
        <w:rPr>
          <w:lang w:val="en-GB"/>
        </w:rPr>
        <w:t xml:space="preserve">Secretariat </w:t>
      </w:r>
      <w:r>
        <w:rPr>
          <w:lang w:val="en-GB"/>
        </w:rPr>
        <w:t>to know how address these development agenda items, given the lack of guidance on this, the paper presented by the Secretariat to the SPG (included as an annex to the SC paper) had been drawn largely from the output of the TPDP meeting in 2019, when the panel discussed the Strategic Framework. T</w:t>
      </w:r>
      <w:r w:rsidRPr="00903516">
        <w:rPr>
          <w:lang w:val="en-GB"/>
        </w:rPr>
        <w:t xml:space="preserve">he SPG had made some recommendations </w:t>
      </w:r>
      <w:r>
        <w:rPr>
          <w:lang w:val="en-GB"/>
        </w:rPr>
        <w:t xml:space="preserve">to the SC </w:t>
      </w:r>
      <w:r w:rsidRPr="00903516">
        <w:rPr>
          <w:lang w:val="en-GB"/>
        </w:rPr>
        <w:t>in response</w:t>
      </w:r>
      <w:r>
        <w:rPr>
          <w:lang w:val="en-GB"/>
        </w:rPr>
        <w:t xml:space="preserve"> to the paper</w:t>
      </w:r>
      <w:r w:rsidRPr="00903516">
        <w:rPr>
          <w:lang w:val="en-GB"/>
        </w:rPr>
        <w:t xml:space="preserve">. The SPG had acknowledged that </w:t>
      </w:r>
      <w:r>
        <w:rPr>
          <w:lang w:val="en-GB"/>
        </w:rPr>
        <w:t xml:space="preserve">diagnostic laboratory networking </w:t>
      </w:r>
      <w:r w:rsidRPr="00903516">
        <w:rPr>
          <w:lang w:val="en-GB"/>
        </w:rPr>
        <w:t xml:space="preserve">is an important development agenda item, but thought that it is </w:t>
      </w:r>
      <w:r w:rsidRPr="00903516">
        <w:rPr>
          <w:lang w:val="en-GB"/>
        </w:rPr>
        <w:lastRenderedPageBreak/>
        <w:t xml:space="preserve">perhaps not a top priority relative to other items (e.g. commodity standards, </w:t>
      </w:r>
      <w:proofErr w:type="spellStart"/>
      <w:r w:rsidRPr="00903516">
        <w:rPr>
          <w:lang w:val="en-GB"/>
        </w:rPr>
        <w:t>ePhyto</w:t>
      </w:r>
      <w:proofErr w:type="spellEnd"/>
      <w:r w:rsidRPr="00903516">
        <w:rPr>
          <w:lang w:val="en-GB"/>
        </w:rPr>
        <w:t>, strengthening pest outbreak and response systems, e-commerce).</w:t>
      </w:r>
    </w:p>
    <w:p w14:paraId="1B039CC5" w14:textId="77777777" w:rsidR="009C13C1" w:rsidRPr="00903516" w:rsidRDefault="009C13C1" w:rsidP="009C13C1">
      <w:pPr>
        <w:pStyle w:val="IPPParagraphnumbering"/>
        <w:rPr>
          <w:lang w:val="en-GB"/>
        </w:rPr>
      </w:pPr>
      <w:r>
        <w:rPr>
          <w:lang w:val="en-GB"/>
        </w:rPr>
        <w:t>T</w:t>
      </w:r>
      <w:r w:rsidRPr="00903516">
        <w:rPr>
          <w:lang w:val="en-GB"/>
        </w:rPr>
        <w:t xml:space="preserve">he Secretariat </w:t>
      </w:r>
      <w:r>
        <w:rPr>
          <w:lang w:val="en-GB"/>
        </w:rPr>
        <w:t xml:space="preserve">commented that although </w:t>
      </w:r>
      <w:r w:rsidRPr="00903516">
        <w:rPr>
          <w:lang w:val="en-GB"/>
        </w:rPr>
        <w:t>th</w:t>
      </w:r>
      <w:r>
        <w:rPr>
          <w:lang w:val="en-GB"/>
        </w:rPr>
        <w:t>e Strategic Framework is a ten-year plan and</w:t>
      </w:r>
      <w:r w:rsidRPr="00903516">
        <w:rPr>
          <w:lang w:val="en-GB"/>
        </w:rPr>
        <w:t xml:space="preserve"> the establishment of international </w:t>
      </w:r>
      <w:r>
        <w:rPr>
          <w:lang w:val="en-GB"/>
        </w:rPr>
        <w:t xml:space="preserve">diagnostic laboratory </w:t>
      </w:r>
      <w:r w:rsidRPr="00903516">
        <w:rPr>
          <w:lang w:val="en-GB"/>
        </w:rPr>
        <w:t xml:space="preserve">networking will take time, it </w:t>
      </w:r>
      <w:r>
        <w:rPr>
          <w:lang w:val="en-GB"/>
        </w:rPr>
        <w:t>would</w:t>
      </w:r>
      <w:r w:rsidRPr="00903516">
        <w:rPr>
          <w:lang w:val="en-GB"/>
        </w:rPr>
        <w:t xml:space="preserve"> </w:t>
      </w:r>
      <w:r>
        <w:rPr>
          <w:lang w:val="en-GB"/>
        </w:rPr>
        <w:t xml:space="preserve">still </w:t>
      </w:r>
      <w:r w:rsidRPr="00903516">
        <w:rPr>
          <w:lang w:val="en-GB"/>
        </w:rPr>
        <w:t xml:space="preserve">be helpful to at least have some discussion about this development agenda. The </w:t>
      </w:r>
      <w:r>
        <w:rPr>
          <w:lang w:val="en-GB"/>
        </w:rPr>
        <w:t xml:space="preserve">Secretariat invited the SC to consider the offer made by the </w:t>
      </w:r>
      <w:r w:rsidRPr="00903516">
        <w:rPr>
          <w:lang w:val="en-GB"/>
        </w:rPr>
        <w:t xml:space="preserve">TPDP to continue exploring the options </w:t>
      </w:r>
      <w:r>
        <w:rPr>
          <w:lang w:val="en-GB"/>
        </w:rPr>
        <w:t xml:space="preserve">for </w:t>
      </w:r>
      <w:r w:rsidRPr="00903516">
        <w:rPr>
          <w:lang w:val="en-GB"/>
        </w:rPr>
        <w:t>deliver</w:t>
      </w:r>
      <w:r>
        <w:rPr>
          <w:lang w:val="en-GB"/>
        </w:rPr>
        <w:t>y of</w:t>
      </w:r>
      <w:r w:rsidRPr="00903516">
        <w:rPr>
          <w:lang w:val="en-GB"/>
        </w:rPr>
        <w:t xml:space="preserve"> this development agenda item, reporting back to the SC</w:t>
      </w:r>
      <w:r>
        <w:rPr>
          <w:lang w:val="en-GB"/>
        </w:rPr>
        <w:t xml:space="preserve">. The TPDP is a group of enthusiastic diagnosticians and they are willing to contribute to this development agenda item, although not necessarily to be the drivers. A further possibility for the SC to consider was the </w:t>
      </w:r>
      <w:r w:rsidRPr="00903516">
        <w:rPr>
          <w:lang w:val="en-GB"/>
        </w:rPr>
        <w:t>creati</w:t>
      </w:r>
      <w:r>
        <w:rPr>
          <w:lang w:val="en-GB"/>
        </w:rPr>
        <w:t>o</w:t>
      </w:r>
      <w:r w:rsidRPr="00903516">
        <w:rPr>
          <w:lang w:val="en-GB"/>
        </w:rPr>
        <w:t>n</w:t>
      </w:r>
      <w:r>
        <w:rPr>
          <w:lang w:val="en-GB"/>
        </w:rPr>
        <w:t xml:space="preserve"> of</w:t>
      </w:r>
      <w:r w:rsidRPr="00903516">
        <w:rPr>
          <w:lang w:val="en-GB"/>
        </w:rPr>
        <w:t xml:space="preserve"> </w:t>
      </w:r>
      <w:r>
        <w:rPr>
          <w:lang w:val="en-GB"/>
        </w:rPr>
        <w:t xml:space="preserve">SC </w:t>
      </w:r>
      <w:r w:rsidRPr="00903516">
        <w:rPr>
          <w:lang w:val="en-GB"/>
        </w:rPr>
        <w:t>subgroups for these development agenda items</w:t>
      </w:r>
      <w:r>
        <w:rPr>
          <w:lang w:val="en-GB"/>
        </w:rPr>
        <w:t xml:space="preserve">, reporting back to the SC, to help </w:t>
      </w:r>
      <w:r w:rsidRPr="00903516">
        <w:rPr>
          <w:lang w:val="en-GB"/>
        </w:rPr>
        <w:t>advance the</w:t>
      </w:r>
      <w:r>
        <w:rPr>
          <w:lang w:val="en-GB"/>
        </w:rPr>
        <w:t>se items</w:t>
      </w:r>
      <w:r w:rsidRPr="00903516">
        <w:rPr>
          <w:lang w:val="en-GB"/>
        </w:rPr>
        <w:t>.</w:t>
      </w:r>
    </w:p>
    <w:p w14:paraId="74A202C9" w14:textId="77777777" w:rsidR="009C13C1" w:rsidRPr="002400D9" w:rsidRDefault="009C13C1" w:rsidP="009C13C1">
      <w:pPr>
        <w:pStyle w:val="IPPParagraphnumbering"/>
        <w:rPr>
          <w:lang w:val="en-GB"/>
        </w:rPr>
      </w:pPr>
      <w:r w:rsidRPr="002400D9">
        <w:rPr>
          <w:lang w:val="en-GB"/>
        </w:rPr>
        <w:t>The SC Chairperson thanked the Secretariat and invited comments from the SC.</w:t>
      </w:r>
    </w:p>
    <w:p w14:paraId="0651D554" w14:textId="77777777" w:rsidR="009C13C1" w:rsidRDefault="009C13C1" w:rsidP="009C13C1">
      <w:pPr>
        <w:pStyle w:val="IPPParagraphnumbering"/>
        <w:rPr>
          <w:lang w:val="en-GB"/>
        </w:rPr>
      </w:pPr>
      <w:r w:rsidRPr="002400D9">
        <w:rPr>
          <w:lang w:val="en-GB"/>
        </w:rPr>
        <w:t xml:space="preserve">One SC member asked whether the TPDP has the capacity to </w:t>
      </w:r>
      <w:r>
        <w:rPr>
          <w:lang w:val="en-GB"/>
        </w:rPr>
        <w:t xml:space="preserve">look at </w:t>
      </w:r>
      <w:r w:rsidRPr="002400D9">
        <w:rPr>
          <w:lang w:val="en-GB"/>
        </w:rPr>
        <w:t xml:space="preserve">existing diagnostic protocols that have been used for trade but are not </w:t>
      </w:r>
      <w:r>
        <w:rPr>
          <w:lang w:val="en-GB"/>
        </w:rPr>
        <w:t xml:space="preserve">annexes to </w:t>
      </w:r>
      <w:r w:rsidRPr="002400D9">
        <w:rPr>
          <w:lang w:val="en-GB"/>
        </w:rPr>
        <w:t>ISPM</w:t>
      </w:r>
      <w:r>
        <w:rPr>
          <w:lang w:val="en-GB"/>
        </w:rPr>
        <w:t> </w:t>
      </w:r>
      <w:r w:rsidRPr="002400D9">
        <w:rPr>
          <w:lang w:val="en-GB"/>
        </w:rPr>
        <w:t>27</w:t>
      </w:r>
      <w:r>
        <w:rPr>
          <w:lang w:val="en-GB"/>
        </w:rPr>
        <w:t xml:space="preserve"> (</w:t>
      </w:r>
      <w:r w:rsidRPr="00525AE4">
        <w:rPr>
          <w:i/>
          <w:iCs/>
          <w:lang w:val="en-GB"/>
        </w:rPr>
        <w:t>Diagnostic protocols for regulated pests</w:t>
      </w:r>
      <w:r>
        <w:rPr>
          <w:lang w:val="en-GB"/>
        </w:rPr>
        <w:t xml:space="preserve">) and assess their </w:t>
      </w:r>
      <w:r w:rsidRPr="002400D9">
        <w:rPr>
          <w:lang w:val="en-GB"/>
        </w:rPr>
        <w:t>equival</w:t>
      </w:r>
      <w:r>
        <w:rPr>
          <w:lang w:val="en-GB"/>
        </w:rPr>
        <w:t>e</w:t>
      </w:r>
      <w:r w:rsidRPr="002400D9">
        <w:rPr>
          <w:lang w:val="en-GB"/>
        </w:rPr>
        <w:t xml:space="preserve">nce. This would </w:t>
      </w:r>
      <w:r>
        <w:rPr>
          <w:lang w:val="en-GB"/>
        </w:rPr>
        <w:t>increase</w:t>
      </w:r>
      <w:r w:rsidRPr="002400D9">
        <w:rPr>
          <w:lang w:val="en-GB"/>
        </w:rPr>
        <w:t xml:space="preserve"> </w:t>
      </w:r>
      <w:r>
        <w:rPr>
          <w:lang w:val="en-GB"/>
        </w:rPr>
        <w:t xml:space="preserve">harmonization </w:t>
      </w:r>
      <w:r w:rsidRPr="002400D9">
        <w:rPr>
          <w:lang w:val="en-GB"/>
        </w:rPr>
        <w:t xml:space="preserve">and </w:t>
      </w:r>
      <w:r>
        <w:rPr>
          <w:lang w:val="en-GB"/>
        </w:rPr>
        <w:t xml:space="preserve">would help, later on, with the development of commodity standards and with </w:t>
      </w:r>
      <w:r w:rsidRPr="002400D9">
        <w:rPr>
          <w:lang w:val="en-GB"/>
        </w:rPr>
        <w:t xml:space="preserve">multilateral acceptance of </w:t>
      </w:r>
      <w:r>
        <w:rPr>
          <w:lang w:val="en-GB"/>
        </w:rPr>
        <w:t xml:space="preserve">certain </w:t>
      </w:r>
      <w:r w:rsidRPr="002400D9">
        <w:rPr>
          <w:lang w:val="en-GB"/>
        </w:rPr>
        <w:t xml:space="preserve">implementation programmes. Equivalence might be more important at this point rather than </w:t>
      </w:r>
      <w:r>
        <w:rPr>
          <w:lang w:val="en-GB"/>
        </w:rPr>
        <w:t xml:space="preserve">helping countries to </w:t>
      </w:r>
      <w:r w:rsidRPr="002400D9">
        <w:rPr>
          <w:lang w:val="en-GB"/>
        </w:rPr>
        <w:t>build</w:t>
      </w:r>
      <w:r>
        <w:rPr>
          <w:lang w:val="en-GB"/>
        </w:rPr>
        <w:t xml:space="preserve"> diagnostic</w:t>
      </w:r>
      <w:r w:rsidRPr="002400D9">
        <w:rPr>
          <w:lang w:val="en-GB"/>
        </w:rPr>
        <w:t xml:space="preserve"> </w:t>
      </w:r>
      <w:r>
        <w:rPr>
          <w:lang w:val="en-GB"/>
        </w:rPr>
        <w:t>capacity</w:t>
      </w:r>
      <w:r w:rsidRPr="002400D9">
        <w:rPr>
          <w:lang w:val="en-GB"/>
        </w:rPr>
        <w:t xml:space="preserve">, because they may already have </w:t>
      </w:r>
      <w:r>
        <w:rPr>
          <w:lang w:val="en-GB"/>
        </w:rPr>
        <w:t xml:space="preserve">equivalent </w:t>
      </w:r>
      <w:r w:rsidRPr="002400D9">
        <w:rPr>
          <w:lang w:val="en-GB"/>
        </w:rPr>
        <w:t>techniques.</w:t>
      </w:r>
    </w:p>
    <w:p w14:paraId="0C71B82F" w14:textId="452E2CD9" w:rsidR="009C13C1" w:rsidRDefault="009C13C1" w:rsidP="009C13C1">
      <w:pPr>
        <w:pStyle w:val="IPPParagraphnumbering"/>
        <w:rPr>
          <w:lang w:val="en-GB"/>
        </w:rPr>
      </w:pPr>
      <w:r w:rsidRPr="002400D9">
        <w:rPr>
          <w:lang w:val="en-GB"/>
        </w:rPr>
        <w:t xml:space="preserve">The Secretariat responded that </w:t>
      </w:r>
      <w:r>
        <w:rPr>
          <w:lang w:val="en-GB"/>
        </w:rPr>
        <w:t xml:space="preserve">although </w:t>
      </w:r>
      <w:r w:rsidRPr="002400D9">
        <w:rPr>
          <w:lang w:val="en-GB"/>
        </w:rPr>
        <w:t xml:space="preserve">this is a little outside the usual work </w:t>
      </w:r>
      <w:r>
        <w:rPr>
          <w:lang w:val="en-GB"/>
        </w:rPr>
        <w:t xml:space="preserve">of the TPDP, it is possible that </w:t>
      </w:r>
      <w:r w:rsidRPr="002400D9">
        <w:rPr>
          <w:lang w:val="en-GB"/>
        </w:rPr>
        <w:t>they have the capacity to do it</w:t>
      </w:r>
      <w:r>
        <w:rPr>
          <w:lang w:val="en-GB"/>
        </w:rPr>
        <w:t xml:space="preserve">, and the suggestion from the </w:t>
      </w:r>
      <w:r w:rsidR="009A3B21">
        <w:rPr>
          <w:lang w:val="en-GB"/>
        </w:rPr>
        <w:t>Implementation Facilitation Unit (</w:t>
      </w:r>
      <w:r>
        <w:rPr>
          <w:lang w:val="en-GB"/>
        </w:rPr>
        <w:t>IFU</w:t>
      </w:r>
      <w:r w:rsidR="009A3B21">
        <w:rPr>
          <w:lang w:val="en-GB"/>
        </w:rPr>
        <w:t>)</w:t>
      </w:r>
      <w:r>
        <w:rPr>
          <w:lang w:val="en-GB"/>
        </w:rPr>
        <w:t xml:space="preserve"> lead about using </w:t>
      </w:r>
      <w:hyperlink r:id="rId12" w:history="1">
        <w:r w:rsidRPr="009A3B21">
          <w:rPr>
            <w:rStyle w:val="Hyperlink"/>
            <w:lang w:val="en-GB"/>
          </w:rPr>
          <w:t>IRSS</w:t>
        </w:r>
      </w:hyperlink>
      <w:r>
        <w:rPr>
          <w:lang w:val="en-GB"/>
        </w:rPr>
        <w:t xml:space="preserve"> is also a good one. However, </w:t>
      </w:r>
      <w:r w:rsidRPr="002400D9">
        <w:rPr>
          <w:lang w:val="en-GB"/>
        </w:rPr>
        <w:t xml:space="preserve">the SC </w:t>
      </w:r>
      <w:r>
        <w:rPr>
          <w:lang w:val="en-GB"/>
        </w:rPr>
        <w:t xml:space="preserve">would need </w:t>
      </w:r>
      <w:r w:rsidRPr="002400D9">
        <w:rPr>
          <w:lang w:val="en-GB"/>
        </w:rPr>
        <w:t xml:space="preserve">to </w:t>
      </w:r>
      <w:r>
        <w:rPr>
          <w:lang w:val="en-GB"/>
        </w:rPr>
        <w:t xml:space="preserve">give </w:t>
      </w:r>
      <w:r w:rsidRPr="002400D9">
        <w:rPr>
          <w:lang w:val="en-GB"/>
        </w:rPr>
        <w:t>approv</w:t>
      </w:r>
      <w:r>
        <w:rPr>
          <w:lang w:val="en-GB"/>
        </w:rPr>
        <w:t>al to</w:t>
      </w:r>
      <w:r w:rsidRPr="002400D9">
        <w:rPr>
          <w:lang w:val="en-GB"/>
        </w:rPr>
        <w:t xml:space="preserve"> the TPDP </w:t>
      </w:r>
      <w:r>
        <w:rPr>
          <w:lang w:val="en-GB"/>
        </w:rPr>
        <w:t xml:space="preserve">to </w:t>
      </w:r>
      <w:r w:rsidRPr="002400D9">
        <w:rPr>
          <w:lang w:val="en-GB"/>
        </w:rPr>
        <w:t xml:space="preserve">continue to explore </w:t>
      </w:r>
      <w:r>
        <w:rPr>
          <w:lang w:val="en-GB"/>
        </w:rPr>
        <w:t xml:space="preserve">the options for </w:t>
      </w:r>
      <w:r w:rsidRPr="002400D9">
        <w:rPr>
          <w:lang w:val="en-GB"/>
        </w:rPr>
        <w:t>this agenda item</w:t>
      </w:r>
      <w:r>
        <w:rPr>
          <w:lang w:val="en-GB"/>
        </w:rPr>
        <w:t>, besides their usual work of developing diagnostic protocols under ISPM 27</w:t>
      </w:r>
      <w:r w:rsidRPr="002400D9">
        <w:rPr>
          <w:lang w:val="en-GB"/>
        </w:rPr>
        <w:t>.</w:t>
      </w:r>
      <w:r>
        <w:rPr>
          <w:lang w:val="en-GB"/>
        </w:rPr>
        <w:t xml:space="preserve"> </w:t>
      </w:r>
    </w:p>
    <w:p w14:paraId="01B38D30" w14:textId="77777777" w:rsidR="009C13C1" w:rsidRPr="002400D9" w:rsidRDefault="009C13C1" w:rsidP="009C13C1">
      <w:pPr>
        <w:pStyle w:val="IPPParagraphnumbering"/>
        <w:rPr>
          <w:lang w:val="en-GB"/>
        </w:rPr>
      </w:pPr>
      <w:r>
        <w:rPr>
          <w:lang w:val="en-GB"/>
        </w:rPr>
        <w:t>Another SC member s</w:t>
      </w:r>
      <w:r w:rsidRPr="002400D9">
        <w:rPr>
          <w:lang w:val="en-GB"/>
        </w:rPr>
        <w:t xml:space="preserve">uggested </w:t>
      </w:r>
      <w:r>
        <w:rPr>
          <w:lang w:val="en-GB"/>
        </w:rPr>
        <w:t>that it would be better to use</w:t>
      </w:r>
      <w:r w:rsidRPr="002400D9">
        <w:rPr>
          <w:lang w:val="en-GB"/>
        </w:rPr>
        <w:t xml:space="preserve"> </w:t>
      </w:r>
      <w:r>
        <w:rPr>
          <w:lang w:val="en-GB"/>
        </w:rPr>
        <w:t xml:space="preserve">the </w:t>
      </w:r>
      <w:r w:rsidRPr="002400D9">
        <w:rPr>
          <w:lang w:val="en-GB"/>
        </w:rPr>
        <w:t>IRSS to gather information.</w:t>
      </w:r>
    </w:p>
    <w:p w14:paraId="603C210F" w14:textId="77777777" w:rsidR="009C13C1" w:rsidRPr="002400D9" w:rsidRDefault="009C13C1" w:rsidP="009C13C1">
      <w:pPr>
        <w:pStyle w:val="IPPParagraphnumbering"/>
        <w:rPr>
          <w:lang w:val="en-GB"/>
        </w:rPr>
      </w:pPr>
      <w:r w:rsidRPr="002400D9">
        <w:rPr>
          <w:lang w:val="en-GB"/>
        </w:rPr>
        <w:t>The SC Chairperson asked whether to open an e-forum on these development agenda topics?</w:t>
      </w:r>
    </w:p>
    <w:p w14:paraId="7DCD263F" w14:textId="1F544C8F" w:rsidR="009C13C1" w:rsidRDefault="009C13C1" w:rsidP="009C13C1">
      <w:pPr>
        <w:pStyle w:val="IPPParagraphnumbering"/>
        <w:rPr>
          <w:lang w:val="en-GB"/>
        </w:rPr>
      </w:pPr>
      <w:r>
        <w:rPr>
          <w:lang w:val="en-GB"/>
        </w:rPr>
        <w:t>The IFU lead commented that although the SPG had recommended that the CPM set up a focus group to develop implementation plans for all eight development agenda items, he thought that doing this would delay the development of the implementation plans. He supported the idea of an SC e-forum to continue the discuss the way forward, but suggested that it be extended to all eight development agenda items</w:t>
      </w:r>
      <w:r w:rsidRPr="002400D9">
        <w:rPr>
          <w:lang w:val="en-GB"/>
        </w:rPr>
        <w:t xml:space="preserve">, </w:t>
      </w:r>
      <w:r>
        <w:rPr>
          <w:lang w:val="en-GB"/>
        </w:rPr>
        <w:t xml:space="preserve">rather than simply the three for which the </w:t>
      </w:r>
      <w:r w:rsidR="009A3B21">
        <w:rPr>
          <w:lang w:val="en-GB"/>
        </w:rPr>
        <w:t>Standard Setting Unit (</w:t>
      </w:r>
      <w:r>
        <w:rPr>
          <w:lang w:val="en-GB"/>
        </w:rPr>
        <w:t>SSU</w:t>
      </w:r>
      <w:r w:rsidR="009A3B21">
        <w:rPr>
          <w:lang w:val="en-GB"/>
        </w:rPr>
        <w:t>)</w:t>
      </w:r>
      <w:r>
        <w:rPr>
          <w:lang w:val="en-GB"/>
        </w:rPr>
        <w:t xml:space="preserve"> is the lead, as </w:t>
      </w:r>
      <w:r w:rsidRPr="002400D9">
        <w:rPr>
          <w:lang w:val="en-GB"/>
        </w:rPr>
        <w:t xml:space="preserve">SC input is </w:t>
      </w:r>
      <w:proofErr w:type="gramStart"/>
      <w:r w:rsidRPr="002400D9">
        <w:rPr>
          <w:lang w:val="en-GB"/>
        </w:rPr>
        <w:t>needed</w:t>
      </w:r>
      <w:proofErr w:type="gramEnd"/>
      <w:r w:rsidRPr="002400D9">
        <w:rPr>
          <w:lang w:val="en-GB"/>
        </w:rPr>
        <w:t xml:space="preserve"> on </w:t>
      </w:r>
      <w:r>
        <w:rPr>
          <w:lang w:val="en-GB"/>
        </w:rPr>
        <w:t>all eight.</w:t>
      </w:r>
    </w:p>
    <w:p w14:paraId="42414203" w14:textId="77777777" w:rsidR="009C13C1" w:rsidRPr="001B361D" w:rsidRDefault="009C13C1" w:rsidP="009C13C1">
      <w:pPr>
        <w:pStyle w:val="IPPParagraphnumbering"/>
      </w:pPr>
      <w:r w:rsidRPr="003F68A2">
        <w:rPr>
          <w:lang w:val="en-GB"/>
        </w:rPr>
        <w:t xml:space="preserve">The SC Chairperson suggested that perhaps </w:t>
      </w:r>
      <w:r w:rsidRPr="001B361D">
        <w:t xml:space="preserve">a small group </w:t>
      </w:r>
      <w:r>
        <w:t xml:space="preserve">could </w:t>
      </w:r>
      <w:r w:rsidRPr="001B361D">
        <w:t xml:space="preserve">discuss not only how the SC and the IC interact, but how </w:t>
      </w:r>
      <w:r>
        <w:t xml:space="preserve">the </w:t>
      </w:r>
      <w:r w:rsidRPr="001B361D">
        <w:t xml:space="preserve">development agenda items should be addressed from the </w:t>
      </w:r>
      <w:r>
        <w:t xml:space="preserve">point of view of the </w:t>
      </w:r>
      <w:r w:rsidRPr="001B361D">
        <w:t>SC</w:t>
      </w:r>
      <w:r>
        <w:t xml:space="preserve"> and </w:t>
      </w:r>
      <w:r w:rsidRPr="001B361D">
        <w:t xml:space="preserve">implementation. As it is a new issue for the SC, there is a need </w:t>
      </w:r>
      <w:r>
        <w:t xml:space="preserve">for </w:t>
      </w:r>
      <w:r w:rsidRPr="001B361D">
        <w:t xml:space="preserve">time to discuss </w:t>
      </w:r>
      <w:r>
        <w:t xml:space="preserve">the matter within the SC </w:t>
      </w:r>
      <w:r w:rsidRPr="001B361D">
        <w:t>internally</w:t>
      </w:r>
      <w:r>
        <w:t>,</w:t>
      </w:r>
      <w:r w:rsidRPr="001B361D">
        <w:t xml:space="preserve"> to come up with some ideas</w:t>
      </w:r>
      <w:r>
        <w:t>, hence the proposal for an e-forum.</w:t>
      </w:r>
    </w:p>
    <w:p w14:paraId="5C8E4222" w14:textId="77777777" w:rsidR="009C13C1" w:rsidRPr="00460A29" w:rsidRDefault="009C13C1" w:rsidP="009C13C1">
      <w:pPr>
        <w:pStyle w:val="IPPParagraphnumbering"/>
      </w:pPr>
      <w:r>
        <w:t xml:space="preserve">The Secretariat confirmed that the e-forum, which would be to gather comments, ideas and suggestions, could be left open </w:t>
      </w:r>
      <w:r w:rsidRPr="00460A29">
        <w:t xml:space="preserve">for a while, as there </w:t>
      </w:r>
      <w:r>
        <w:t>wa</w:t>
      </w:r>
      <w:r w:rsidRPr="00460A29">
        <w:t>s no need</w:t>
      </w:r>
      <w:r>
        <w:t xml:space="preserve"> for </w:t>
      </w:r>
      <w:r w:rsidRPr="00460A29">
        <w:t>a decision</w:t>
      </w:r>
      <w:r>
        <w:t xml:space="preserve"> at the moment. </w:t>
      </w:r>
      <w:r w:rsidRPr="00460A29">
        <w:t xml:space="preserve">The Secretariat </w:t>
      </w:r>
      <w:r>
        <w:t xml:space="preserve">would then </w:t>
      </w:r>
      <w:r w:rsidRPr="00460A29">
        <w:t>compile responses and re</w:t>
      </w:r>
      <w:r>
        <w:t>po</w:t>
      </w:r>
      <w:r w:rsidRPr="00460A29">
        <w:t xml:space="preserve">rt back to the SC. </w:t>
      </w:r>
      <w:r>
        <w:t xml:space="preserve">The Chairperson proposed that the e-forum cover all three </w:t>
      </w:r>
      <w:r w:rsidRPr="00460A29">
        <w:t>development agenda items</w:t>
      </w:r>
      <w:r>
        <w:t xml:space="preserve"> for which the SSU is the lead, not just diagnostic laboratory networking</w:t>
      </w:r>
      <w:r w:rsidRPr="00460A29">
        <w:t>.</w:t>
      </w:r>
    </w:p>
    <w:p w14:paraId="588BF269" w14:textId="77777777" w:rsidR="009C13C1" w:rsidRDefault="009C13C1" w:rsidP="009C13C1">
      <w:pPr>
        <w:pStyle w:val="IPPParagraphnumbering"/>
        <w:rPr>
          <w:lang w:val="en-GB"/>
        </w:rPr>
      </w:pPr>
      <w:r>
        <w:rPr>
          <w:lang w:val="en-GB"/>
        </w:rPr>
        <w:t xml:space="preserve">The SSU lead emphasized that </w:t>
      </w:r>
      <w:r w:rsidRPr="002400D9">
        <w:rPr>
          <w:lang w:val="en-GB"/>
        </w:rPr>
        <w:t xml:space="preserve">it is important to </w:t>
      </w:r>
      <w:r>
        <w:rPr>
          <w:lang w:val="en-GB"/>
        </w:rPr>
        <w:t xml:space="preserve">clearly </w:t>
      </w:r>
      <w:r w:rsidRPr="002400D9">
        <w:rPr>
          <w:lang w:val="en-GB"/>
        </w:rPr>
        <w:t xml:space="preserve">establish what the role of the SC will be in the implementation of the </w:t>
      </w:r>
      <w:r>
        <w:rPr>
          <w:lang w:val="en-GB"/>
        </w:rPr>
        <w:t>Strategic Framework,</w:t>
      </w:r>
      <w:r w:rsidRPr="002400D9">
        <w:rPr>
          <w:lang w:val="en-GB"/>
        </w:rPr>
        <w:t xml:space="preserve"> and specifically for each </w:t>
      </w:r>
      <w:r>
        <w:rPr>
          <w:lang w:val="en-GB"/>
        </w:rPr>
        <w:t xml:space="preserve">of the eight </w:t>
      </w:r>
      <w:r w:rsidRPr="002400D9">
        <w:rPr>
          <w:lang w:val="en-GB"/>
        </w:rPr>
        <w:t>dev</w:t>
      </w:r>
      <w:r>
        <w:rPr>
          <w:lang w:val="en-GB"/>
        </w:rPr>
        <w:t>elopment</w:t>
      </w:r>
      <w:r w:rsidRPr="002400D9">
        <w:rPr>
          <w:lang w:val="en-GB"/>
        </w:rPr>
        <w:t xml:space="preserve"> agenda item</w:t>
      </w:r>
      <w:r>
        <w:rPr>
          <w:lang w:val="en-GB"/>
        </w:rPr>
        <w:t>s</w:t>
      </w:r>
      <w:r w:rsidRPr="002400D9">
        <w:rPr>
          <w:lang w:val="en-GB"/>
        </w:rPr>
        <w:t xml:space="preserve">. In some cases, the SC may not have </w:t>
      </w:r>
      <w:r>
        <w:rPr>
          <w:lang w:val="en-GB"/>
        </w:rPr>
        <w:t xml:space="preserve">the </w:t>
      </w:r>
      <w:r w:rsidRPr="002400D9">
        <w:rPr>
          <w:lang w:val="en-GB"/>
        </w:rPr>
        <w:t xml:space="preserve">capacity to </w:t>
      </w:r>
      <w:r>
        <w:rPr>
          <w:lang w:val="en-GB"/>
        </w:rPr>
        <w:t xml:space="preserve">provide </w:t>
      </w:r>
      <w:r w:rsidRPr="002400D9">
        <w:rPr>
          <w:lang w:val="en-GB"/>
        </w:rPr>
        <w:t xml:space="preserve">input, but </w:t>
      </w:r>
      <w:r>
        <w:rPr>
          <w:lang w:val="en-GB"/>
        </w:rPr>
        <w:t xml:space="preserve">the SC </w:t>
      </w:r>
      <w:r w:rsidRPr="002400D9">
        <w:rPr>
          <w:lang w:val="en-GB"/>
        </w:rPr>
        <w:t xml:space="preserve">should be clear about where it can </w:t>
      </w:r>
      <w:r>
        <w:rPr>
          <w:lang w:val="en-GB"/>
        </w:rPr>
        <w:t xml:space="preserve">provide </w:t>
      </w:r>
      <w:r w:rsidRPr="002400D9">
        <w:rPr>
          <w:lang w:val="en-GB"/>
        </w:rPr>
        <w:t>input</w:t>
      </w:r>
      <w:r>
        <w:rPr>
          <w:lang w:val="en-GB"/>
        </w:rPr>
        <w:t xml:space="preserve"> and where it can provide support to other IPPC bodies</w:t>
      </w:r>
      <w:r w:rsidRPr="002400D9">
        <w:rPr>
          <w:lang w:val="en-GB"/>
        </w:rPr>
        <w:t xml:space="preserve">. </w:t>
      </w:r>
      <w:r>
        <w:rPr>
          <w:lang w:val="en-GB"/>
        </w:rPr>
        <w:t xml:space="preserve">He noted that there needs to be </w:t>
      </w:r>
      <w:r w:rsidRPr="002400D9">
        <w:rPr>
          <w:lang w:val="en-GB"/>
        </w:rPr>
        <w:t xml:space="preserve">an action plan </w:t>
      </w:r>
      <w:r>
        <w:rPr>
          <w:lang w:val="en-GB"/>
        </w:rPr>
        <w:t xml:space="preserve">for the development agenda items, to define the </w:t>
      </w:r>
      <w:r w:rsidRPr="002400D9">
        <w:rPr>
          <w:lang w:val="en-GB"/>
        </w:rPr>
        <w:t xml:space="preserve">activities </w:t>
      </w:r>
      <w:r>
        <w:rPr>
          <w:lang w:val="en-GB"/>
        </w:rPr>
        <w:t xml:space="preserve">that would be </w:t>
      </w:r>
      <w:r w:rsidRPr="002400D9">
        <w:rPr>
          <w:lang w:val="en-GB"/>
        </w:rPr>
        <w:t>needed</w:t>
      </w:r>
      <w:r>
        <w:rPr>
          <w:lang w:val="en-GB"/>
        </w:rPr>
        <w:t xml:space="preserve"> in the short-term and long-term to implement the Strategic Framework</w:t>
      </w:r>
      <w:r w:rsidRPr="002400D9">
        <w:rPr>
          <w:lang w:val="en-GB"/>
        </w:rPr>
        <w:t>.</w:t>
      </w:r>
    </w:p>
    <w:p w14:paraId="0BDF7ABE" w14:textId="77777777" w:rsidR="009C13C1" w:rsidRPr="002400D9" w:rsidRDefault="009C13C1" w:rsidP="009C13C1">
      <w:pPr>
        <w:pStyle w:val="IPPParagraphnumbering"/>
        <w:rPr>
          <w:lang w:val="en-GB"/>
        </w:rPr>
      </w:pPr>
      <w:r>
        <w:rPr>
          <w:lang w:val="en-GB"/>
        </w:rPr>
        <w:lastRenderedPageBreak/>
        <w:t xml:space="preserve">The IFU lead proposed opening a </w:t>
      </w:r>
      <w:r w:rsidRPr="002400D9">
        <w:rPr>
          <w:lang w:val="en-GB"/>
        </w:rPr>
        <w:t>joint SC</w:t>
      </w:r>
      <w:r>
        <w:rPr>
          <w:lang w:val="en-GB"/>
        </w:rPr>
        <w:t>–</w:t>
      </w:r>
      <w:r w:rsidRPr="002400D9">
        <w:rPr>
          <w:lang w:val="en-GB"/>
        </w:rPr>
        <w:t>IC e-forum on the</w:t>
      </w:r>
      <w:r>
        <w:rPr>
          <w:lang w:val="en-GB"/>
        </w:rPr>
        <w:t xml:space="preserve"> eight development </w:t>
      </w:r>
      <w:r w:rsidRPr="002400D9">
        <w:rPr>
          <w:lang w:val="en-GB"/>
        </w:rPr>
        <w:t>agenda items</w:t>
      </w:r>
      <w:r>
        <w:rPr>
          <w:lang w:val="en-GB"/>
        </w:rPr>
        <w:t xml:space="preserve">. </w:t>
      </w:r>
      <w:r w:rsidRPr="002400D9">
        <w:rPr>
          <w:lang w:val="en-GB"/>
        </w:rPr>
        <w:t>The SC Chairperson, while welcoming the suggestion, recommended that the SC discuss the matter first, and then to have a joint discussion</w:t>
      </w:r>
      <w:r>
        <w:rPr>
          <w:lang w:val="en-GB"/>
        </w:rPr>
        <w:t>.</w:t>
      </w:r>
    </w:p>
    <w:p w14:paraId="17748146" w14:textId="631AC86E" w:rsidR="009C13C1" w:rsidRDefault="009C13C1" w:rsidP="009C13C1">
      <w:pPr>
        <w:pStyle w:val="IPPParagraphnumbering"/>
      </w:pPr>
      <w:r w:rsidRPr="0019639A">
        <w:rPr>
          <w:lang w:val="en-GB"/>
        </w:rPr>
        <w:t>The IC representative on the SC noted that the IC terms of reference include an overview about the relationship of the IC with the SC, with some guidelines about collaboration.</w:t>
      </w:r>
      <w:r>
        <w:rPr>
          <w:lang w:val="en-GB"/>
        </w:rPr>
        <w:t xml:space="preserve"> </w:t>
      </w:r>
      <w:r w:rsidRPr="00460A29">
        <w:t xml:space="preserve">He also noted that in the SC </w:t>
      </w:r>
      <w:r>
        <w:t xml:space="preserve">terms of reference there </w:t>
      </w:r>
      <w:r w:rsidRPr="00460A29">
        <w:t xml:space="preserve">is a short statement about collaboration. He suggested </w:t>
      </w:r>
      <w:r>
        <w:t xml:space="preserve">that </w:t>
      </w:r>
      <w:r w:rsidRPr="00460A29">
        <w:t xml:space="preserve">a joint document </w:t>
      </w:r>
      <w:r>
        <w:t xml:space="preserve">could be developed, </w:t>
      </w:r>
      <w:r w:rsidRPr="00460A29">
        <w:t xml:space="preserve">clarifying how to align the </w:t>
      </w:r>
      <w:r>
        <w:t xml:space="preserve">work of the </w:t>
      </w:r>
      <w:r w:rsidRPr="00460A29">
        <w:t>IC and SC</w:t>
      </w:r>
      <w:r>
        <w:t>,</w:t>
      </w:r>
      <w:r w:rsidRPr="00460A29">
        <w:t xml:space="preserve"> based on the guidelines stated in the </w:t>
      </w:r>
      <w:r>
        <w:t>terms of reference</w:t>
      </w:r>
      <w:r w:rsidRPr="00460A29">
        <w:t>.</w:t>
      </w:r>
      <w:r>
        <w:t xml:space="preserve"> </w:t>
      </w:r>
    </w:p>
    <w:p w14:paraId="6B902162" w14:textId="77777777" w:rsidR="009C13C1" w:rsidRPr="002400D9" w:rsidRDefault="009C13C1" w:rsidP="009C13C1">
      <w:pPr>
        <w:pStyle w:val="IPPParagraphnumbering"/>
        <w:rPr>
          <w:rFonts w:asciiTheme="majorBidi" w:hAnsiTheme="majorBidi" w:cstheme="majorBidi"/>
          <w:lang w:val="en-GB"/>
        </w:rPr>
      </w:pPr>
      <w:r w:rsidRPr="002400D9">
        <w:rPr>
          <w:rFonts w:asciiTheme="majorBidi" w:hAnsiTheme="majorBidi" w:cstheme="majorBidi"/>
          <w:lang w:val="en-GB"/>
        </w:rPr>
        <w:t>The SC:</w:t>
      </w:r>
    </w:p>
    <w:p w14:paraId="135DAD55" w14:textId="77777777" w:rsidR="009C13C1" w:rsidRPr="002400D9" w:rsidRDefault="009C13C1" w:rsidP="003C7AB6">
      <w:pPr>
        <w:pStyle w:val="IPPNumberedList"/>
        <w:numPr>
          <w:ilvl w:val="0"/>
          <w:numId w:val="25"/>
        </w:numPr>
        <w:rPr>
          <w:lang w:val="en-GB"/>
        </w:rPr>
      </w:pPr>
      <w:r w:rsidRPr="002400D9">
        <w:rPr>
          <w:i/>
          <w:lang w:val="en-GB"/>
        </w:rPr>
        <w:t>noted</w:t>
      </w:r>
      <w:r w:rsidRPr="002400D9">
        <w:rPr>
          <w:lang w:val="en-GB"/>
        </w:rPr>
        <w:t xml:space="preserve"> the S</w:t>
      </w:r>
      <w:r>
        <w:rPr>
          <w:lang w:val="en-GB"/>
        </w:rPr>
        <w:t xml:space="preserve">trategic </w:t>
      </w:r>
      <w:r w:rsidRPr="002400D9">
        <w:rPr>
          <w:lang w:val="en-GB"/>
        </w:rPr>
        <w:t>P</w:t>
      </w:r>
      <w:r>
        <w:rPr>
          <w:lang w:val="en-GB"/>
        </w:rPr>
        <w:t xml:space="preserve">lanning </w:t>
      </w:r>
      <w:r w:rsidRPr="002400D9">
        <w:rPr>
          <w:lang w:val="en-GB"/>
        </w:rPr>
        <w:t>G</w:t>
      </w:r>
      <w:r>
        <w:rPr>
          <w:lang w:val="en-GB"/>
        </w:rPr>
        <w:t>roup</w:t>
      </w:r>
      <w:r w:rsidRPr="002400D9">
        <w:rPr>
          <w:lang w:val="en-GB"/>
        </w:rPr>
        <w:t xml:space="preserve"> discussions on the IPPC development agenda </w:t>
      </w:r>
      <w:r>
        <w:rPr>
          <w:lang w:val="en-GB"/>
        </w:rPr>
        <w:t xml:space="preserve">items </w:t>
      </w:r>
      <w:r w:rsidRPr="002400D9">
        <w:rPr>
          <w:lang w:val="en-GB"/>
        </w:rPr>
        <w:t>on commodity standards, the use of third-party entities and the development of international diagnostic laboratory networking</w:t>
      </w:r>
    </w:p>
    <w:p w14:paraId="0BCF4BC2" w14:textId="77777777" w:rsidR="009C13C1" w:rsidRPr="002400D9" w:rsidRDefault="009C13C1" w:rsidP="003C7AB6">
      <w:pPr>
        <w:pStyle w:val="IPPNumberedListLast"/>
        <w:numPr>
          <w:ilvl w:val="0"/>
          <w:numId w:val="25"/>
        </w:numPr>
      </w:pPr>
      <w:proofErr w:type="gramStart"/>
      <w:r w:rsidRPr="002400D9">
        <w:rPr>
          <w:i/>
          <w:iCs/>
        </w:rPr>
        <w:t>invited</w:t>
      </w:r>
      <w:proofErr w:type="gramEnd"/>
      <w:r w:rsidRPr="002400D9">
        <w:rPr>
          <w:i/>
          <w:iCs/>
        </w:rPr>
        <w:t xml:space="preserve"> </w:t>
      </w:r>
      <w:r w:rsidRPr="002400D9">
        <w:t>the Secretariat to open an e-forum to continue the discussion on how to take forward the IPPC development agenda items on commodity standards, use of third-party entities and the development of international diagnostic laboratory networking</w:t>
      </w:r>
      <w:r>
        <w:t>.</w:t>
      </w:r>
    </w:p>
    <w:p w14:paraId="3AC2585C" w14:textId="5788E2C0" w:rsidR="003C7AB6" w:rsidRPr="003C7AB6" w:rsidRDefault="003C7AB6" w:rsidP="003C7AB6">
      <w:pPr>
        <w:pStyle w:val="IPPParagraphnumbering"/>
        <w:numPr>
          <w:ilvl w:val="0"/>
          <w:numId w:val="0"/>
        </w:numPr>
        <w:rPr>
          <w:b/>
        </w:rPr>
      </w:pPr>
      <w:r w:rsidRPr="003C7AB6">
        <w:rPr>
          <w:b/>
        </w:rPr>
        <w:t>Recommendations to the TPDP</w:t>
      </w:r>
    </w:p>
    <w:p w14:paraId="47F18261" w14:textId="44A9E81F" w:rsidR="00072E1D" w:rsidRDefault="00072E1D" w:rsidP="00072E1D">
      <w:pPr>
        <w:pStyle w:val="IPPParagraphnumbering"/>
      </w:pPr>
      <w:r>
        <w:t>The TPDP is invited to</w:t>
      </w:r>
      <w:r w:rsidR="009A3B21">
        <w:t>:</w:t>
      </w:r>
    </w:p>
    <w:p w14:paraId="51FA0061" w14:textId="5C1DE8FE" w:rsidR="00072E1D" w:rsidRDefault="00CB203C" w:rsidP="00CB203C">
      <w:pPr>
        <w:pStyle w:val="IPPNumberedList"/>
        <w:ind w:left="720" w:hanging="720"/>
      </w:pPr>
      <w:proofErr w:type="gramStart"/>
      <w:r>
        <w:rPr>
          <w:i/>
        </w:rPr>
        <w:t>d</w:t>
      </w:r>
      <w:r w:rsidR="009716F3">
        <w:rPr>
          <w:i/>
        </w:rPr>
        <w:t>iscuss</w:t>
      </w:r>
      <w:proofErr w:type="gramEnd"/>
      <w:r w:rsidR="009716F3">
        <w:rPr>
          <w:i/>
        </w:rPr>
        <w:t xml:space="preserve"> </w:t>
      </w:r>
      <w:r w:rsidRPr="00CB203C">
        <w:t>how the TPDP can still contribute to this development agenda item.</w:t>
      </w:r>
      <w:r>
        <w:rPr>
          <w:i/>
        </w:rPr>
        <w:t xml:space="preserve"> </w:t>
      </w:r>
    </w:p>
    <w:p w14:paraId="48C61861" w14:textId="38BCFA43" w:rsidR="00072E1D" w:rsidRDefault="00CB203C" w:rsidP="00CB203C">
      <w:pPr>
        <w:pStyle w:val="IPPNumberedList"/>
      </w:pPr>
      <w:proofErr w:type="gramStart"/>
      <w:r>
        <w:rPr>
          <w:i/>
        </w:rPr>
        <w:t>discuss</w:t>
      </w:r>
      <w:proofErr w:type="gramEnd"/>
      <w:r>
        <w:rPr>
          <w:i/>
        </w:rPr>
        <w:t xml:space="preserve"> </w:t>
      </w:r>
      <w:r w:rsidRPr="00CB203C">
        <w:t>the feasibility of the TPDP to coordinate and publish a list of diagnostic laboratories including operational expertise</w:t>
      </w:r>
      <w:r w:rsidR="00917C49">
        <w:t>.</w:t>
      </w:r>
      <w:r w:rsidR="00072E1D">
        <w:t xml:space="preserve"> </w:t>
      </w:r>
    </w:p>
    <w:p w14:paraId="5E556B41" w14:textId="44D9A6E5" w:rsidR="00072E1D" w:rsidRDefault="00917C49" w:rsidP="009B1A01">
      <w:pPr>
        <w:pStyle w:val="IPPNumberedList"/>
        <w:jc w:val="left"/>
      </w:pPr>
      <w:proofErr w:type="gramStart"/>
      <w:r>
        <w:rPr>
          <w:i/>
        </w:rPr>
        <w:t>discuss</w:t>
      </w:r>
      <w:proofErr w:type="gramEnd"/>
      <w:r>
        <w:rPr>
          <w:i/>
        </w:rPr>
        <w:t xml:space="preserve"> </w:t>
      </w:r>
      <w:r>
        <w:t xml:space="preserve">the feasibility of the TPDP to gather information </w:t>
      </w:r>
      <w:r>
        <w:t>of existing laboratories and their respective expertise as well as the country primary requirements</w:t>
      </w:r>
      <w:r>
        <w:t>.</w:t>
      </w:r>
    </w:p>
    <w:p w14:paraId="6CE46EC3" w14:textId="58B7837D" w:rsidR="00917C49" w:rsidRPr="00D97CCB" w:rsidRDefault="00917C49" w:rsidP="009B1A01">
      <w:pPr>
        <w:pStyle w:val="IPPNumberedList"/>
        <w:jc w:val="left"/>
      </w:pPr>
      <w:proofErr w:type="gramStart"/>
      <w:r>
        <w:rPr>
          <w:i/>
        </w:rPr>
        <w:t>assign</w:t>
      </w:r>
      <w:proofErr w:type="gramEnd"/>
      <w:r>
        <w:rPr>
          <w:i/>
        </w:rPr>
        <w:t xml:space="preserve"> </w:t>
      </w:r>
      <w:r>
        <w:t>leads as appropriate.</w:t>
      </w:r>
    </w:p>
    <w:p w14:paraId="0F88A230" w14:textId="77777777" w:rsidR="00C66D3A" w:rsidRDefault="00C66D3A" w:rsidP="007D4B57">
      <w:pPr>
        <w:sectPr w:rsidR="00C66D3A" w:rsidSect="0054601E">
          <w:headerReference w:type="even" r:id="rId13"/>
          <w:headerReference w:type="default" r:id="rId14"/>
          <w:footerReference w:type="even" r:id="rId15"/>
          <w:footerReference w:type="default" r:id="rId16"/>
          <w:headerReference w:type="first" r:id="rId17"/>
          <w:footerReference w:type="first" r:id="rId18"/>
          <w:pgSz w:w="11906" w:h="16838" w:code="9"/>
          <w:pgMar w:top="1440" w:right="1440" w:bottom="1440" w:left="1440" w:header="720" w:footer="720" w:gutter="0"/>
          <w:cols w:space="720"/>
          <w:titlePg/>
          <w:docGrid w:linePitch="360"/>
        </w:sectPr>
      </w:pPr>
    </w:p>
    <w:p w14:paraId="11A45603" w14:textId="1EFFB041" w:rsidR="002B6EF6" w:rsidRDefault="00C66D3A" w:rsidP="007D4B57">
      <w:r w:rsidRPr="00C66D3A">
        <w:rPr>
          <w:b/>
        </w:rPr>
        <w:lastRenderedPageBreak/>
        <w:t>ATTACHMENT 1:</w:t>
      </w:r>
      <w:r>
        <w:t xml:space="preserve"> Document</w:t>
      </w:r>
      <w:r>
        <w:t xml:space="preserve"> presented to the </w:t>
      </w:r>
      <w:r>
        <w:t>Standards Committee (</w:t>
      </w:r>
      <w:r>
        <w:t>SC</w:t>
      </w:r>
      <w:r>
        <w:t>) November 2020</w:t>
      </w:r>
    </w:p>
    <w:p w14:paraId="52197339" w14:textId="6E33FBD3" w:rsidR="00C66D3A" w:rsidRDefault="00C66D3A" w:rsidP="007D4B57"/>
    <w:p w14:paraId="14D38E4E" w14:textId="77777777" w:rsidR="00C66D3A" w:rsidRPr="00DE2672" w:rsidRDefault="00C66D3A" w:rsidP="00C66D3A">
      <w:pPr>
        <w:jc w:val="center"/>
        <w:rPr>
          <w:b/>
          <w:sz w:val="24"/>
        </w:rPr>
      </w:pPr>
      <w:r w:rsidRPr="00E6063A">
        <w:rPr>
          <w:b/>
          <w:sz w:val="24"/>
        </w:rPr>
        <w:t>IPPC STRATEGIC FRAMEWORK 2020-2030 DEVELOPMENT PROGRAMME</w:t>
      </w:r>
      <w:r>
        <w:rPr>
          <w:b/>
          <w:sz w:val="24"/>
        </w:rPr>
        <w:t>:</w:t>
      </w:r>
      <w:r w:rsidRPr="00DE2672">
        <w:rPr>
          <w:b/>
          <w:sz w:val="24"/>
        </w:rPr>
        <w:t xml:space="preserve"> DIAGNOSTIC LABORATORY NETWORKING</w:t>
      </w:r>
    </w:p>
    <w:p w14:paraId="1306FC70" w14:textId="77777777" w:rsidR="00C66D3A" w:rsidRPr="00A061EE" w:rsidRDefault="00C66D3A" w:rsidP="00C66D3A">
      <w:pPr>
        <w:jc w:val="center"/>
        <w:rPr>
          <w:i/>
        </w:rPr>
      </w:pPr>
      <w:r w:rsidRPr="00A061EE">
        <w:rPr>
          <w:i/>
        </w:rPr>
        <w:t>(Prepared by IPPC Secretariat)</w:t>
      </w:r>
    </w:p>
    <w:p w14:paraId="0E0F0DB6" w14:textId="77777777" w:rsidR="00C66D3A" w:rsidRDefault="00C66D3A" w:rsidP="00C66D3A">
      <w:pPr>
        <w:jc w:val="center"/>
        <w:rPr>
          <w:b/>
          <w:sz w:val="24"/>
        </w:rPr>
      </w:pPr>
    </w:p>
    <w:p w14:paraId="728DBB5B" w14:textId="77777777" w:rsidR="00C66D3A" w:rsidRDefault="00C66D3A" w:rsidP="00C66D3A">
      <w:pPr>
        <w:pStyle w:val="IPPHeading1"/>
        <w:ind w:left="0" w:firstLine="0"/>
        <w:rPr>
          <w:rStyle w:val="IPPnormalitalics"/>
          <w:i w:val="0"/>
        </w:rPr>
      </w:pPr>
      <w:r>
        <w:rPr>
          <w:rStyle w:val="IPPnormalitalics"/>
        </w:rPr>
        <w:t>Background</w:t>
      </w:r>
    </w:p>
    <w:p w14:paraId="425993C2" w14:textId="77777777" w:rsidR="00C66D3A" w:rsidRPr="009D6326" w:rsidRDefault="00C66D3A" w:rsidP="00C66D3A">
      <w:pPr>
        <w:pStyle w:val="IPPParagraphnumbering"/>
        <w:spacing w:before="120" w:after="120"/>
        <w:rPr>
          <w:b/>
          <w:bCs/>
          <w:sz w:val="24"/>
        </w:rPr>
      </w:pPr>
      <w:r>
        <w:t>The IPPC Secretariat prepared and introduced the</w:t>
      </w:r>
      <w:r w:rsidRPr="27745078">
        <w:rPr>
          <w:rStyle w:val="FootnoteReference"/>
        </w:rPr>
        <w:t xml:space="preserve"> </w:t>
      </w:r>
      <w:r w:rsidRPr="27745078">
        <w:rPr>
          <w:i/>
          <w:iCs/>
        </w:rPr>
        <w:t xml:space="preserve">IPPC Strategic Framework 2020-2030 development </w:t>
      </w:r>
      <w:proofErr w:type="spellStart"/>
      <w:r w:rsidRPr="27745078">
        <w:rPr>
          <w:i/>
          <w:iCs/>
        </w:rPr>
        <w:t>programme</w:t>
      </w:r>
      <w:proofErr w:type="spellEnd"/>
      <w:r w:rsidRPr="27745078">
        <w:rPr>
          <w:i/>
          <w:iCs/>
        </w:rPr>
        <w:t xml:space="preserve">: Diagnostic Laboratory Networking </w:t>
      </w:r>
      <w:r>
        <w:t xml:space="preserve">(Annex 1) at the Strategic Planning Group (SPG) virtual meeting in October 2020, summarizing the few discussions that took place regarding this subject. It is important to mention that there is no secured resources to achieve this developmental agenda, and the work has not yet commenced. Initial discussions were held with the IPPC Technical Panel on Diagnostic Protocols (TPDP) and the Standards Committee (SC), although further discussions by the SC will take place, also as a follow up from the discussions held in the SC e-forum on the recommendations of the work of the TPDP. </w:t>
      </w:r>
    </w:p>
    <w:p w14:paraId="01866381" w14:textId="77777777" w:rsidR="00C66D3A" w:rsidRPr="00C2544F" w:rsidRDefault="00C66D3A" w:rsidP="00C66D3A">
      <w:pPr>
        <w:pStyle w:val="IPPParagraphnumbering"/>
        <w:spacing w:before="120" w:after="120"/>
        <w:ind w:hanging="475"/>
        <w:rPr>
          <w:b/>
          <w:sz w:val="24"/>
        </w:rPr>
      </w:pPr>
      <w:r>
        <w:t>The discussions on the SPG 2020 are provided below:</w:t>
      </w:r>
    </w:p>
    <w:p w14:paraId="1BA4002A" w14:textId="77777777" w:rsidR="00C66D3A" w:rsidRDefault="00C66D3A" w:rsidP="00C66D3A">
      <w:pPr>
        <w:pStyle w:val="IPPParagraphnumbering"/>
      </w:pPr>
      <w:r w:rsidRPr="00284BA7">
        <w:t>The IPPC Secretariat introduced the paper</w:t>
      </w:r>
      <w:r w:rsidRPr="00284BA7">
        <w:rPr>
          <w:rStyle w:val="FootnoteReference"/>
          <w:rFonts w:cs="Arial"/>
          <w:szCs w:val="18"/>
        </w:rPr>
        <w:footnoteReference w:id="4"/>
      </w:r>
      <w:r w:rsidRPr="00284BA7">
        <w:t xml:space="preserve"> </w:t>
      </w:r>
      <w:proofErr w:type="spellStart"/>
      <w:r w:rsidRPr="00284BA7">
        <w:t>summarising</w:t>
      </w:r>
      <w:proofErr w:type="spellEnd"/>
      <w:r w:rsidRPr="00284BA7">
        <w:t xml:space="preserve"> the proposed and planned activities related to developing guidance on the Diagnostic laboratory networking, explaining that the paper contained the ideas of the TPDP and not to be</w:t>
      </w:r>
      <w:r>
        <w:t xml:space="preserve"> regarded as a developed plan. It was</w:t>
      </w:r>
      <w:r w:rsidRPr="00284BA7">
        <w:t xml:space="preserve"> highlighted that the nature of the agenda item (developing an international network) requires some time to be established, despite </w:t>
      </w:r>
      <w:proofErr w:type="spellStart"/>
      <w:r w:rsidRPr="00284BA7">
        <w:t>recognising</w:t>
      </w:r>
      <w:proofErr w:type="spellEnd"/>
      <w:r w:rsidRPr="00284BA7">
        <w:t xml:space="preserve"> that </w:t>
      </w:r>
      <w:r>
        <w:t>this development agenda item may be considered a high priority but still requiring work as all the others.</w:t>
      </w:r>
    </w:p>
    <w:p w14:paraId="7DA71CDA" w14:textId="77777777" w:rsidR="00C66D3A" w:rsidRPr="00284BA7" w:rsidRDefault="00C66D3A" w:rsidP="00C66D3A">
      <w:pPr>
        <w:pStyle w:val="IPPParagraphnumbering"/>
      </w:pPr>
      <w:r>
        <w:t xml:space="preserve">The IPPC Secretariat informed the SPG that the TPDP proposed a diagnostician workshop to be held but the current global sanitary crisis has not allowed it to take place just yet. It was also clarified that the presented budget comes from the five-year investment plan (as presented to CPM-14), but there is no resource allocation at the moment, inviting the SPG to provide guidance on resource </w:t>
      </w:r>
      <w:proofErr w:type="spellStart"/>
      <w:r>
        <w:t>mobilisation</w:t>
      </w:r>
      <w:proofErr w:type="spellEnd"/>
      <w:r>
        <w:t>.</w:t>
      </w:r>
    </w:p>
    <w:p w14:paraId="0F0ADB7C" w14:textId="77777777" w:rsidR="00C66D3A" w:rsidRDefault="00C66D3A" w:rsidP="00C66D3A">
      <w:pPr>
        <w:pStyle w:val="IPPParagraphnumbering"/>
      </w:pPr>
      <w:r>
        <w:t xml:space="preserve">The SPG noted that the needs for laboratory capacities vary greatly at the global level and suggested a step-by-step approach in identifying the requirements at the regional level before implementing a global initiative. Several SPG participants highlighted the need to list the country’s requirements as a first step to begin planning the implementation of a diagnostic network while compiling a list of existing laboratories and their respective expertise, making use of the capillary spread of information technology and communication tools also as a result of the current COVID-19 pandemic, noting that this tool may be of high interest of national plant protection organizations (NPPOs). </w:t>
      </w:r>
    </w:p>
    <w:p w14:paraId="2E92DEB8" w14:textId="77777777" w:rsidR="00C66D3A" w:rsidRPr="009659D7" w:rsidRDefault="00C66D3A" w:rsidP="00C66D3A">
      <w:pPr>
        <w:pStyle w:val="IPPParagraphnumbering"/>
        <w:rPr>
          <w:rFonts w:asciiTheme="majorBidi" w:hAnsiTheme="majorBidi" w:cstheme="majorBidi"/>
        </w:rPr>
      </w:pPr>
      <w:r>
        <w:t xml:space="preserve">The SPG also welcomed any initiative to share additional information that may support the better definition of the steps to follow. It was suggested the IPPC Secretariat to compile a list of existing laboratories and their respective expertise as well as the country primary requirements. Furthermore, the SPG </w:t>
      </w:r>
      <w:proofErr w:type="spellStart"/>
      <w:r>
        <w:t>recognised</w:t>
      </w:r>
      <w:proofErr w:type="spellEnd"/>
      <w:r>
        <w:t xml:space="preserve"> the importance of this initiative, which may provide great support to NPPOs in terms of expertise, equipment and capacity development. </w:t>
      </w:r>
    </w:p>
    <w:p w14:paraId="5376F4EF" w14:textId="77777777" w:rsidR="00C66D3A" w:rsidRPr="00284BA7" w:rsidRDefault="00C66D3A" w:rsidP="00C66D3A">
      <w:pPr>
        <w:pStyle w:val="IPPParagraphnumbering"/>
        <w:rPr>
          <w:rFonts w:asciiTheme="majorBidi" w:hAnsiTheme="majorBidi" w:cstheme="majorBidi"/>
        </w:rPr>
      </w:pPr>
      <w:r>
        <w:rPr>
          <w:rFonts w:asciiTheme="majorBidi" w:hAnsiTheme="majorBidi" w:cstheme="majorBidi"/>
        </w:rPr>
        <w:t>The SPG also agreed to apply a ten-year-span approach for this development agenda item and further suggested to add this item in the Standards Committee-Implementation Committee collaboration framework.</w:t>
      </w:r>
    </w:p>
    <w:p w14:paraId="159F6897" w14:textId="77777777" w:rsidR="00C66D3A" w:rsidRPr="009659D7" w:rsidRDefault="00C66D3A" w:rsidP="00C66D3A">
      <w:pPr>
        <w:pStyle w:val="IPPParagraphnumbering"/>
        <w:numPr>
          <w:ilvl w:val="0"/>
          <w:numId w:val="0"/>
        </w:numPr>
        <w:rPr>
          <w:rFonts w:asciiTheme="majorBidi" w:hAnsiTheme="majorBidi" w:cstheme="majorBidi"/>
          <w:b/>
        </w:rPr>
      </w:pPr>
      <w:r w:rsidRPr="009659D7">
        <w:rPr>
          <w:rFonts w:asciiTheme="majorBidi" w:hAnsiTheme="majorBidi" w:cstheme="majorBidi"/>
          <w:b/>
        </w:rPr>
        <w:t>Recommendations to the SC:</w:t>
      </w:r>
    </w:p>
    <w:p w14:paraId="1F7C34AF" w14:textId="77777777" w:rsidR="00C66D3A" w:rsidRDefault="00C66D3A" w:rsidP="00C66D3A">
      <w:pPr>
        <w:pStyle w:val="IPPParagraphnumbering"/>
        <w:rPr>
          <w:rFonts w:asciiTheme="majorBidi" w:hAnsiTheme="majorBidi" w:cstheme="majorBidi"/>
        </w:rPr>
      </w:pPr>
      <w:r w:rsidRPr="00284BA7">
        <w:rPr>
          <w:rFonts w:asciiTheme="majorBidi" w:hAnsiTheme="majorBidi" w:cstheme="majorBidi"/>
        </w:rPr>
        <w:t xml:space="preserve">The </w:t>
      </w:r>
      <w:r>
        <w:rPr>
          <w:rFonts w:asciiTheme="majorBidi" w:hAnsiTheme="majorBidi" w:cstheme="majorBidi"/>
        </w:rPr>
        <w:t>SC is invited to</w:t>
      </w:r>
      <w:r w:rsidRPr="00284BA7">
        <w:rPr>
          <w:rFonts w:asciiTheme="majorBidi" w:hAnsiTheme="majorBidi" w:cstheme="majorBidi"/>
        </w:rPr>
        <w:t>:</w:t>
      </w:r>
    </w:p>
    <w:p w14:paraId="7AFDF084" w14:textId="77777777" w:rsidR="00C66D3A" w:rsidRPr="000A7B9F" w:rsidRDefault="00C66D3A" w:rsidP="00C66D3A">
      <w:pPr>
        <w:pStyle w:val="IPPNumberedList"/>
      </w:pPr>
      <w:r>
        <w:rPr>
          <w:i/>
        </w:rPr>
        <w:t>n</w:t>
      </w:r>
      <w:r w:rsidRPr="000A7B9F">
        <w:rPr>
          <w:i/>
        </w:rPr>
        <w:t>ote</w:t>
      </w:r>
      <w:r w:rsidRPr="000A7B9F">
        <w:t xml:space="preserve"> the </w:t>
      </w:r>
      <w:r>
        <w:rPr>
          <w:rStyle w:val="normaltextrun"/>
          <w:color w:val="000000"/>
          <w:szCs w:val="22"/>
          <w:shd w:val="clear" w:color="auto" w:fill="FFFFFF"/>
        </w:rPr>
        <w:t>SPG discussion</w:t>
      </w:r>
      <w:r w:rsidRPr="000A7B9F">
        <w:t>;</w:t>
      </w:r>
    </w:p>
    <w:p w14:paraId="7B00FB13" w14:textId="77777777" w:rsidR="00C66D3A" w:rsidRPr="000A7B9F" w:rsidRDefault="00C66D3A" w:rsidP="00C66D3A">
      <w:pPr>
        <w:pStyle w:val="IPPNumberedList"/>
        <w:rPr>
          <w:rFonts w:asciiTheme="majorBidi" w:hAnsiTheme="majorBidi" w:cstheme="majorBidi"/>
        </w:rPr>
      </w:pPr>
      <w:r w:rsidRPr="27745078">
        <w:rPr>
          <w:i/>
          <w:iCs/>
        </w:rPr>
        <w:lastRenderedPageBreak/>
        <w:t>discuss</w:t>
      </w:r>
      <w:r>
        <w:t xml:space="preserve"> and </w:t>
      </w:r>
      <w:r w:rsidRPr="27745078">
        <w:rPr>
          <w:i/>
          <w:iCs/>
        </w:rPr>
        <w:t>consider</w:t>
      </w:r>
      <w:r>
        <w:t xml:space="preserve"> the proposed activities by the TPDP and </w:t>
      </w:r>
      <w:r w:rsidRPr="007B4DCB">
        <w:rPr>
          <w:i/>
        </w:rPr>
        <w:t>possibly ask</w:t>
      </w:r>
      <w:r>
        <w:t xml:space="preserve"> the panel to continue to explore the options;</w:t>
      </w:r>
    </w:p>
    <w:p w14:paraId="6FAD034F" w14:textId="77777777" w:rsidR="00C66D3A" w:rsidRPr="000A7B9F" w:rsidRDefault="00C66D3A" w:rsidP="00C66D3A">
      <w:pPr>
        <w:pStyle w:val="IPPNumberedList"/>
        <w:rPr>
          <w:rFonts w:asciiTheme="majorBidi" w:hAnsiTheme="majorBidi" w:cstheme="majorBidi"/>
        </w:rPr>
      </w:pPr>
      <w:proofErr w:type="gramStart"/>
      <w:r w:rsidRPr="000A7B9F">
        <w:rPr>
          <w:i/>
          <w:lang w:val="en-GB"/>
        </w:rPr>
        <w:t>discuss</w:t>
      </w:r>
      <w:proofErr w:type="gramEnd"/>
      <w:r w:rsidRPr="000A7B9F">
        <w:t xml:space="preserve"> possible next steps on the development of an international diagnostic laboratory networking, and if possible, provide advice on mobilizing resources.</w:t>
      </w:r>
    </w:p>
    <w:p w14:paraId="5B64CDD5" w14:textId="77777777" w:rsidR="00C66D3A" w:rsidRDefault="00C66D3A" w:rsidP="00C66D3A">
      <w:pPr>
        <w:jc w:val="center"/>
        <w:rPr>
          <w:b/>
          <w:sz w:val="24"/>
        </w:rPr>
      </w:pPr>
    </w:p>
    <w:p w14:paraId="1D3EB817" w14:textId="59AD0558" w:rsidR="00C66D3A" w:rsidRDefault="00C66D3A" w:rsidP="00C66D3A">
      <w:pPr>
        <w:jc w:val="center"/>
        <w:rPr>
          <w:b/>
          <w:sz w:val="24"/>
        </w:rPr>
      </w:pPr>
      <w:r>
        <w:rPr>
          <w:b/>
          <w:sz w:val="24"/>
        </w:rPr>
        <w:t>--</w:t>
      </w:r>
    </w:p>
    <w:p w14:paraId="4E896701" w14:textId="5F4CB569" w:rsidR="00C66D3A" w:rsidRDefault="00C66D3A" w:rsidP="00C66D3A">
      <w:pPr>
        <w:jc w:val="center"/>
        <w:rPr>
          <w:b/>
          <w:sz w:val="24"/>
        </w:rPr>
      </w:pPr>
    </w:p>
    <w:p w14:paraId="4059B8E9" w14:textId="77777777" w:rsidR="00C66D3A" w:rsidRPr="008D3A55" w:rsidRDefault="00C66D3A" w:rsidP="00C66D3A">
      <w:pPr>
        <w:jc w:val="center"/>
        <w:rPr>
          <w:b/>
        </w:rPr>
      </w:pPr>
      <w:r w:rsidRPr="008D3A55">
        <w:rPr>
          <w:b/>
          <w:sz w:val="24"/>
        </w:rPr>
        <w:t>ANNEX 1 - P</w:t>
      </w:r>
      <w:r w:rsidRPr="008D3A55">
        <w:rPr>
          <w:b/>
        </w:rPr>
        <w:t xml:space="preserve">aper as presented to the IPPC Strategic Planning Group </w:t>
      </w:r>
      <w:r>
        <w:rPr>
          <w:b/>
        </w:rPr>
        <w:t>(SPG) 2020</w:t>
      </w:r>
    </w:p>
    <w:p w14:paraId="4D17AC38" w14:textId="77777777" w:rsidR="00C66D3A" w:rsidRDefault="00C66D3A" w:rsidP="00C66D3A">
      <w:pPr>
        <w:jc w:val="center"/>
        <w:rPr>
          <w:b/>
          <w:sz w:val="24"/>
        </w:rPr>
      </w:pPr>
    </w:p>
    <w:p w14:paraId="2036B790" w14:textId="77777777" w:rsidR="00C66D3A" w:rsidRPr="00DE2672" w:rsidRDefault="00C66D3A" w:rsidP="00C66D3A">
      <w:pPr>
        <w:jc w:val="center"/>
        <w:rPr>
          <w:b/>
          <w:sz w:val="24"/>
        </w:rPr>
      </w:pPr>
      <w:r w:rsidRPr="00E6063A">
        <w:rPr>
          <w:b/>
          <w:sz w:val="24"/>
        </w:rPr>
        <w:t>IPPC STRATEGIC FRAMEWORK 2020-2030 DEVELOPMENT PROGRAMME</w:t>
      </w:r>
      <w:r>
        <w:rPr>
          <w:b/>
          <w:sz w:val="24"/>
        </w:rPr>
        <w:t>:</w:t>
      </w:r>
      <w:r w:rsidRPr="00DE2672">
        <w:rPr>
          <w:b/>
          <w:sz w:val="24"/>
        </w:rPr>
        <w:t xml:space="preserve"> DIAGNOSTIC LABORATORY NETWORKING</w:t>
      </w:r>
    </w:p>
    <w:p w14:paraId="6E2CD345" w14:textId="77777777" w:rsidR="00C66D3A" w:rsidRPr="00A061EE" w:rsidRDefault="00C66D3A" w:rsidP="00C66D3A">
      <w:pPr>
        <w:jc w:val="center"/>
        <w:rPr>
          <w:i/>
        </w:rPr>
      </w:pPr>
      <w:r w:rsidRPr="00A061EE">
        <w:rPr>
          <w:i/>
        </w:rPr>
        <w:t>(Prepared by IPPC Secretariat)</w:t>
      </w:r>
    </w:p>
    <w:p w14:paraId="48B1F49A" w14:textId="77777777" w:rsidR="00C66D3A" w:rsidRPr="00B4252E" w:rsidRDefault="00C66D3A" w:rsidP="00C66D3A"/>
    <w:p w14:paraId="6E019F92" w14:textId="77777777" w:rsidR="00C66D3A" w:rsidRPr="00F64299" w:rsidRDefault="00C66D3A" w:rsidP="00C66D3A">
      <w:pPr>
        <w:pStyle w:val="IPPParagraphnumbering"/>
        <w:numPr>
          <w:ilvl w:val="0"/>
          <w:numId w:val="21"/>
        </w:numPr>
        <w:rPr>
          <w:b/>
        </w:rPr>
      </w:pPr>
      <w:r>
        <w:rPr>
          <w:b/>
        </w:rPr>
        <w:t>INTRODUCTION</w:t>
      </w:r>
    </w:p>
    <w:p w14:paraId="4F5385E5" w14:textId="77777777" w:rsidR="00C66D3A" w:rsidRDefault="00C66D3A" w:rsidP="00C66D3A">
      <w:pPr>
        <w:pStyle w:val="IPPParagraphnumbering"/>
        <w:numPr>
          <w:ilvl w:val="0"/>
          <w:numId w:val="23"/>
        </w:numPr>
      </w:pPr>
      <w:r>
        <w:t xml:space="preserve">The current COVID-19 pandemic is demonstrating to the world that we need to be ready to tackle such emergencies. Plant pests are no different to </w:t>
      </w:r>
      <w:r w:rsidRPr="007B4DCB">
        <w:rPr>
          <w:color w:val="1B1E24"/>
          <w:shd w:val="clear" w:color="auto" w:fill="FFFFFF"/>
        </w:rPr>
        <w:t xml:space="preserve">viruses, </w:t>
      </w:r>
      <w:proofErr w:type="gramStart"/>
      <w:r w:rsidRPr="007B4DCB">
        <w:rPr>
          <w:color w:val="1B1E24"/>
          <w:shd w:val="clear" w:color="auto" w:fill="FFFFFF"/>
        </w:rPr>
        <w:t>nor pests</w:t>
      </w:r>
      <w:proofErr w:type="gramEnd"/>
      <w:r w:rsidRPr="007B4DCB">
        <w:rPr>
          <w:color w:val="1B1E24"/>
          <w:shd w:val="clear" w:color="auto" w:fill="FFFFFF"/>
        </w:rPr>
        <w:t xml:space="preserve"> or diseases carry passports when moving from one country to another.</w:t>
      </w:r>
      <w:r>
        <w:t xml:space="preserve"> We also need to be conscious of increase in trade and travel as plant </w:t>
      </w:r>
      <w:proofErr w:type="gramStart"/>
      <w:r>
        <w:t>pests</w:t>
      </w:r>
      <w:proofErr w:type="gramEnd"/>
      <w:r>
        <w:t xml:space="preserve"> move across borders with consignments and travelers and spread unintentionally at alarming rates.</w:t>
      </w:r>
    </w:p>
    <w:p w14:paraId="524484B9" w14:textId="77777777" w:rsidR="00C66D3A" w:rsidRDefault="00C66D3A" w:rsidP="00C66D3A">
      <w:pPr>
        <w:pStyle w:val="IPPParagraphnumbering"/>
      </w:pPr>
      <w:r>
        <w:t xml:space="preserve">It is known that early detection and accurate diagnosis can minimize the likelihood of a pest outbreak. Accurate and rapid pest diagnosis underpins phytosanitary certification, import inspections, surveillance activities and the application of appropriate phytosanitary measures. </w:t>
      </w:r>
      <w:r w:rsidRPr="00F178A4">
        <w:t xml:space="preserve">The </w:t>
      </w:r>
      <w:r w:rsidRPr="004B1612">
        <w:t xml:space="preserve">IPPC </w:t>
      </w:r>
      <w:r>
        <w:t>Strategic Framework</w:t>
      </w:r>
      <w:r w:rsidRPr="004B1612">
        <w:t xml:space="preserve"> 2020</w:t>
      </w:r>
      <w:r>
        <w:t>-</w:t>
      </w:r>
      <w:r w:rsidRPr="004B1612">
        <w:t>2030</w:t>
      </w:r>
      <w:r>
        <w:rPr>
          <w:rStyle w:val="FootnoteReference"/>
        </w:rPr>
        <w:footnoteReference w:id="5"/>
      </w:r>
      <w:r w:rsidRPr="00D05D6D">
        <w:rPr>
          <w:bCs/>
        </w:rPr>
        <w:t>,</w:t>
      </w:r>
      <w:r w:rsidRPr="004B1612">
        <w:t xml:space="preserve"> </w:t>
      </w:r>
      <w:r w:rsidRPr="00F178A4">
        <w:t xml:space="preserve">with its eight key development </w:t>
      </w:r>
      <w:r>
        <w:t>agenda items,</w:t>
      </w:r>
      <w:r w:rsidRPr="00F178A4">
        <w:t xml:space="preserve"> identif</w:t>
      </w:r>
      <w:r>
        <w:t>ies</w:t>
      </w:r>
      <w:r w:rsidRPr="00F178A4">
        <w:t xml:space="preserve"> new priority work</w:t>
      </w:r>
      <w:r>
        <w:t xml:space="preserve"> areas that are </w:t>
      </w:r>
      <w:r w:rsidRPr="00F178A4">
        <w:t xml:space="preserve">aligned to the </w:t>
      </w:r>
      <w:r>
        <w:t>IPPC</w:t>
      </w:r>
      <w:r w:rsidRPr="00BA6BE1">
        <w:t>’s</w:t>
      </w:r>
      <w:r w:rsidRPr="00F178A4">
        <w:t xml:space="preserve"> </w:t>
      </w:r>
      <w:r>
        <w:t>v</w:t>
      </w:r>
      <w:r w:rsidRPr="00F178A4">
        <w:t xml:space="preserve">ision, </w:t>
      </w:r>
      <w:r>
        <w:t>m</w:t>
      </w:r>
      <w:r w:rsidRPr="00F178A4">
        <w:t xml:space="preserve">ission and </w:t>
      </w:r>
      <w:r>
        <w:t>s</w:t>
      </w:r>
      <w:r w:rsidRPr="00F178A4">
        <w:t xml:space="preserve">trategic </w:t>
      </w:r>
      <w:r>
        <w:t>o</w:t>
      </w:r>
      <w:r w:rsidRPr="00F178A4">
        <w:t xml:space="preserve">bjectives. </w:t>
      </w:r>
      <w:r>
        <w:t>One of the identified development agenda is to e</w:t>
      </w:r>
      <w:r w:rsidRPr="00686BC9">
        <w:t>stablish</w:t>
      </w:r>
      <w:r>
        <w:t xml:space="preserve"> </w:t>
      </w:r>
      <w:r w:rsidRPr="00686BC9">
        <w:t>a network of diagnostic laboratory services and diagnostic protocols to help countries identify pests in a more reliable and timely manner</w:t>
      </w:r>
      <w:r>
        <w:t>. It is expected that by 2030 an</w:t>
      </w:r>
      <w:r w:rsidRPr="00D05D6D">
        <w:t xml:space="preserve"> international network of diagnostic laboratory services </w:t>
      </w:r>
      <w:r>
        <w:t>is functioning, and that n</w:t>
      </w:r>
      <w:r w:rsidRPr="00D05D6D">
        <w:t>ational laboratories</w:t>
      </w:r>
      <w:r>
        <w:t xml:space="preserve"> have</w:t>
      </w:r>
      <w:r w:rsidRPr="00D05D6D">
        <w:t xml:space="preserve"> strong diagnostic functions are officially recognized as capable of offering reliable services within regions or globally, reducing the need for all countries to develop duplicated capacity.</w:t>
      </w:r>
    </w:p>
    <w:p w14:paraId="29A48194" w14:textId="77777777" w:rsidR="00C66D3A" w:rsidRDefault="00C66D3A" w:rsidP="00C66D3A">
      <w:pPr>
        <w:pStyle w:val="IPPParagraphnumbering"/>
      </w:pPr>
      <w:r>
        <w:t xml:space="preserve">The </w:t>
      </w:r>
      <w:hyperlink r:id="rId19" w:history="1">
        <w:r w:rsidRPr="00A061EE">
          <w:rPr>
            <w:rStyle w:val="Hyperlink"/>
          </w:rPr>
          <w:t>IPPC Standard Setting Unit (SSU)</w:t>
        </w:r>
      </w:hyperlink>
      <w:r w:rsidRPr="00D05D6D">
        <w:t xml:space="preserve"> </w:t>
      </w:r>
      <w:r>
        <w:t xml:space="preserve">was assigned to </w:t>
      </w:r>
      <w:r w:rsidRPr="00D05D6D">
        <w:t>coordinat</w:t>
      </w:r>
      <w:r>
        <w:t>e</w:t>
      </w:r>
      <w:r w:rsidRPr="00D05D6D">
        <w:t xml:space="preserve"> the activities</w:t>
      </w:r>
      <w:r>
        <w:t xml:space="preserve"> related to this development agenda item. </w:t>
      </w:r>
      <w:r w:rsidRPr="004065B7">
        <w:t xml:space="preserve">The plan </w:t>
      </w:r>
      <w:r>
        <w:t>is to</w:t>
      </w:r>
      <w:r w:rsidRPr="004065B7">
        <w:t xml:space="preserve"> include activities that would go across the</w:t>
      </w:r>
      <w:r>
        <w:t xml:space="preserve"> different IPPC committees and to the entire</w:t>
      </w:r>
      <w:r w:rsidRPr="004065B7">
        <w:t xml:space="preserve"> IPPC Secretariat, building on the expertise of all its</w:t>
      </w:r>
      <w:r w:rsidRPr="00DF278E">
        <w:t xml:space="preserve"> units</w:t>
      </w:r>
      <w:r>
        <w:t xml:space="preserve"> and committees. </w:t>
      </w:r>
      <w:r w:rsidRPr="00A061EE">
        <w:t>It is to note that there is no secured resources to achieve this development agenda, and the work has not yet commenced</w:t>
      </w:r>
      <w:r>
        <w:t>,</w:t>
      </w:r>
      <w:r w:rsidRPr="00A061EE">
        <w:t xml:space="preserve"> but initial discussions were </w:t>
      </w:r>
      <w:r>
        <w:t>held</w:t>
      </w:r>
      <w:r w:rsidRPr="00A061EE">
        <w:t xml:space="preserve"> with the </w:t>
      </w:r>
      <w:hyperlink r:id="rId20" w:history="1">
        <w:r w:rsidRPr="00A061EE">
          <w:rPr>
            <w:rStyle w:val="Hyperlink"/>
          </w:rPr>
          <w:t>IPPC Technical Panel on Diagnostic Protocols (TPDP)</w:t>
        </w:r>
      </w:hyperlink>
      <w:r w:rsidRPr="00A061EE">
        <w:t xml:space="preserve"> and</w:t>
      </w:r>
      <w:r>
        <w:t xml:space="preserve"> the</w:t>
      </w:r>
      <w:r w:rsidRPr="00A061EE">
        <w:t xml:space="preserve"> </w:t>
      </w:r>
      <w:hyperlink r:id="rId21" w:history="1">
        <w:r w:rsidRPr="00A061EE">
          <w:rPr>
            <w:rStyle w:val="Hyperlink"/>
          </w:rPr>
          <w:t>Standards Committee (SC)</w:t>
        </w:r>
      </w:hyperlink>
      <w:r w:rsidRPr="00C924FF">
        <w:rPr>
          <w:rStyle w:val="Hyperlink"/>
          <w:color w:val="000000" w:themeColor="text1"/>
        </w:rPr>
        <w:t>.</w:t>
      </w:r>
      <w:r w:rsidRPr="00C924FF">
        <w:rPr>
          <w:rStyle w:val="Hyperlink"/>
        </w:rPr>
        <w:t xml:space="preserve"> </w:t>
      </w:r>
      <w:r w:rsidRPr="00C924FF">
        <w:rPr>
          <w:rStyle w:val="Hyperlink"/>
          <w:color w:val="000000" w:themeColor="text1"/>
        </w:rPr>
        <w:t>The SC</w:t>
      </w:r>
      <w:r w:rsidRPr="00C924FF">
        <w:rPr>
          <w:color w:val="000000" w:themeColor="text1"/>
        </w:rPr>
        <w:t xml:space="preserve"> </w:t>
      </w:r>
      <w:r w:rsidRPr="00A061EE">
        <w:t xml:space="preserve">is </w:t>
      </w:r>
      <w:r>
        <w:t xml:space="preserve">scheduled </w:t>
      </w:r>
      <w:r w:rsidRPr="00A061EE">
        <w:t xml:space="preserve">to have </w:t>
      </w:r>
      <w:r>
        <w:t>further</w:t>
      </w:r>
      <w:r w:rsidRPr="00A061EE">
        <w:t xml:space="preserve"> discussions in its November 2020 meeting. Therefore, this document outlines the discussions carried out in 2020 and some possible future activities.</w:t>
      </w:r>
    </w:p>
    <w:p w14:paraId="270BD279" w14:textId="77777777" w:rsidR="00C66D3A" w:rsidRPr="004065B7" w:rsidRDefault="00C66D3A" w:rsidP="00C66D3A">
      <w:pPr>
        <w:pStyle w:val="IPPParagraphnumbering"/>
      </w:pPr>
      <w:r>
        <w:t xml:space="preserve">It is important to highlight that, although a prioritization exercise should be made to the progress the development agendas in the </w:t>
      </w:r>
      <w:r w:rsidRPr="004B1612">
        <w:t xml:space="preserve">IPPC </w:t>
      </w:r>
      <w:r>
        <w:t xml:space="preserve">Strategic Framework, some activities related to </w:t>
      </w:r>
      <w:r w:rsidRPr="00521531">
        <w:t>diagnostic laboratory networking</w:t>
      </w:r>
      <w:r>
        <w:t xml:space="preserve"> should commence soon in order to achieve the desirable goal, in which it may take up to some years to consolidate an international network.</w:t>
      </w:r>
    </w:p>
    <w:p w14:paraId="0B963F48" w14:textId="77777777" w:rsidR="00C66D3A" w:rsidRPr="00CF79A8" w:rsidRDefault="00C66D3A" w:rsidP="00C66D3A">
      <w:pPr>
        <w:pStyle w:val="IPPParagraphnumbering"/>
        <w:numPr>
          <w:ilvl w:val="0"/>
          <w:numId w:val="21"/>
        </w:numPr>
        <w:rPr>
          <w:b/>
        </w:rPr>
      </w:pPr>
      <w:r w:rsidRPr="00CF79A8">
        <w:rPr>
          <w:b/>
        </w:rPr>
        <w:t xml:space="preserve"> </w:t>
      </w:r>
      <w:r>
        <w:rPr>
          <w:b/>
        </w:rPr>
        <w:t>WHAT HAPPENED SO FAR</w:t>
      </w:r>
      <w:r w:rsidRPr="00CF79A8">
        <w:rPr>
          <w:b/>
        </w:rPr>
        <w:t>?</w:t>
      </w:r>
    </w:p>
    <w:p w14:paraId="1E066009" w14:textId="77777777" w:rsidR="00C66D3A" w:rsidRPr="00590DB0" w:rsidRDefault="00C66D3A" w:rsidP="00C66D3A">
      <w:pPr>
        <w:pStyle w:val="IPPParagraphnumbering"/>
      </w:pPr>
      <w:r>
        <w:t>The</w:t>
      </w:r>
      <w:r w:rsidRPr="00590DB0">
        <w:rPr>
          <w:lang w:val="en-GB"/>
        </w:rPr>
        <w:t xml:space="preserve"> SC </w:t>
      </w:r>
      <w:r>
        <w:rPr>
          <w:lang w:val="en-GB"/>
        </w:rPr>
        <w:t xml:space="preserve">in May 2019 </w:t>
      </w:r>
      <w:r w:rsidRPr="00590DB0">
        <w:rPr>
          <w:lang w:val="en-GB"/>
        </w:rPr>
        <w:t>had agreed to discuss the impact of the IPPC Strategic Framework 2020</w:t>
      </w:r>
      <w:r>
        <w:rPr>
          <w:lang w:val="en-GB"/>
        </w:rPr>
        <w:t>-</w:t>
      </w:r>
      <w:r w:rsidRPr="00590DB0">
        <w:rPr>
          <w:lang w:val="en-GB"/>
        </w:rPr>
        <w:t>2030 on standard setting at its meeting in November 2019. In preparation for this, the SC had invited the technical panels to comment on the potential impact of the IPPC Strategic Framework 2020</w:t>
      </w:r>
      <w:r>
        <w:rPr>
          <w:lang w:val="en-GB"/>
        </w:rPr>
        <w:t>-</w:t>
      </w:r>
      <w:r w:rsidRPr="00590DB0">
        <w:rPr>
          <w:lang w:val="en-GB"/>
        </w:rPr>
        <w:t>2030 on their work</w:t>
      </w:r>
      <w:r>
        <w:t>. The TPDP in their August 2019 meeting</w:t>
      </w:r>
      <w:r>
        <w:rPr>
          <w:rStyle w:val="FootnoteReference"/>
        </w:rPr>
        <w:footnoteReference w:id="6"/>
      </w:r>
      <w:r>
        <w:t xml:space="preserve"> focused some discussions on three</w:t>
      </w:r>
      <w:r w:rsidRPr="00590DB0">
        <w:t xml:space="preserve"> </w:t>
      </w:r>
      <w:r w:rsidRPr="00945400">
        <w:t xml:space="preserve">development </w:t>
      </w:r>
      <w:r w:rsidRPr="00945400">
        <w:lastRenderedPageBreak/>
        <w:t xml:space="preserve">agenda </w:t>
      </w:r>
      <w:r>
        <w:t>items in which diagnostic protocols (</w:t>
      </w:r>
      <w:r w:rsidRPr="00945400">
        <w:t>DPs</w:t>
      </w:r>
      <w:r>
        <w:t>)</w:t>
      </w:r>
      <w:r w:rsidRPr="00945400">
        <w:t xml:space="preserve"> are mainly concerned with</w:t>
      </w:r>
      <w:r>
        <w:t xml:space="preserve"> and these are: a) c</w:t>
      </w:r>
      <w:r w:rsidRPr="00945400">
        <w:t>ommodity</w:t>
      </w:r>
      <w:r>
        <w:t>-</w:t>
      </w:r>
      <w:r w:rsidRPr="00945400">
        <w:t xml:space="preserve"> and pathway</w:t>
      </w:r>
      <w:r>
        <w:t>-</w:t>
      </w:r>
      <w:r w:rsidRPr="00945400">
        <w:t>specific ISPMs</w:t>
      </w:r>
      <w:r>
        <w:t>, b) d</w:t>
      </w:r>
      <w:r w:rsidRPr="00945400">
        <w:t xml:space="preserve">iagnostic </w:t>
      </w:r>
      <w:r>
        <w:t>l</w:t>
      </w:r>
      <w:r w:rsidRPr="00945400">
        <w:t xml:space="preserve">aboratory </w:t>
      </w:r>
      <w:r>
        <w:t xml:space="preserve">networking, and c) </w:t>
      </w:r>
      <w:r w:rsidRPr="00945400">
        <w:t xml:space="preserve">strengthening </w:t>
      </w:r>
      <w:r>
        <w:t>p</w:t>
      </w:r>
      <w:r w:rsidRPr="00945400">
        <w:t xml:space="preserve">est </w:t>
      </w:r>
      <w:r>
        <w:t>o</w:t>
      </w:r>
      <w:r w:rsidRPr="00945400">
        <w:t xml:space="preserve">utbreak </w:t>
      </w:r>
      <w:r>
        <w:t>a</w:t>
      </w:r>
      <w:r w:rsidRPr="00945400">
        <w:t xml:space="preserve">lert and </w:t>
      </w:r>
      <w:r>
        <w:t>r</w:t>
      </w:r>
      <w:r w:rsidRPr="00945400">
        <w:t xml:space="preserve">esponse </w:t>
      </w:r>
      <w:r>
        <w:t>s</w:t>
      </w:r>
      <w:r w:rsidRPr="00945400">
        <w:t>ystem</w:t>
      </w:r>
      <w:r>
        <w:t>s</w:t>
      </w:r>
      <w:r w:rsidRPr="00945400">
        <w:t>.</w:t>
      </w:r>
      <w:r>
        <w:t xml:space="preserve"> Noting that </w:t>
      </w:r>
      <w:r w:rsidRPr="00945400">
        <w:rPr>
          <w:lang w:val="en-GB"/>
        </w:rPr>
        <w:t>global phytosanitary research</w:t>
      </w:r>
      <w:r>
        <w:rPr>
          <w:lang w:val="en-GB"/>
        </w:rPr>
        <w:t xml:space="preserve"> coordination may also influence the TPDP work and that they could provide contributions in the future. </w:t>
      </w:r>
    </w:p>
    <w:p w14:paraId="759EF98E" w14:textId="77777777" w:rsidR="00C66D3A" w:rsidRPr="00590DB0" w:rsidRDefault="00C66D3A" w:rsidP="00C66D3A">
      <w:pPr>
        <w:pStyle w:val="IPPParagraphnumbering"/>
        <w:rPr>
          <w:lang w:val="en-GB"/>
        </w:rPr>
      </w:pPr>
      <w:r w:rsidRPr="00590DB0">
        <w:rPr>
          <w:lang w:val="en-GB"/>
        </w:rPr>
        <w:t xml:space="preserve">Regarding </w:t>
      </w:r>
      <w:r w:rsidRPr="00945400">
        <w:t>Diagnostic laboratory networking</w:t>
      </w:r>
      <w:r>
        <w:t xml:space="preserve">, the TPDP noted the </w:t>
      </w:r>
      <w:r w:rsidRPr="00590DB0">
        <w:rPr>
          <w:lang w:val="en-GB"/>
        </w:rPr>
        <w:t xml:space="preserve">strong linkage with the work of the panel and acknowledged the need for many contracting parties to be supported in their diagnostic capacity, particularly in the face of occurrence of emerging pests, and that this could be achieved through a network of diagnostic laboratories. </w:t>
      </w:r>
    </w:p>
    <w:p w14:paraId="6ED8B6F1" w14:textId="77777777" w:rsidR="00C66D3A" w:rsidRDefault="00C66D3A" w:rsidP="00C66D3A">
      <w:pPr>
        <w:pStyle w:val="IPPParagraphnumbering"/>
        <w:rPr>
          <w:lang w:val="en-GB"/>
        </w:rPr>
      </w:pPr>
      <w:r w:rsidRPr="008212C7">
        <w:rPr>
          <w:b/>
          <w:lang w:val="en-GB"/>
        </w:rPr>
        <w:t>TPDP 2019-08 meeting.</w:t>
      </w:r>
      <w:r>
        <w:rPr>
          <w:lang w:val="en-GB"/>
        </w:rPr>
        <w:t xml:space="preserve"> Below, extracts from the </w:t>
      </w:r>
      <w:hyperlink r:id="rId22" w:history="1">
        <w:r w:rsidRPr="008212C7">
          <w:rPr>
            <w:rStyle w:val="Hyperlink"/>
          </w:rPr>
          <w:t>TPDP 2019-08 meeting report</w:t>
        </w:r>
      </w:hyperlink>
      <w:r>
        <w:rPr>
          <w:lang w:val="en-GB"/>
        </w:rPr>
        <w:t xml:space="preserve">: </w:t>
      </w:r>
    </w:p>
    <w:p w14:paraId="0AEF2D38" w14:textId="77777777" w:rsidR="00C66D3A" w:rsidRPr="00945400" w:rsidRDefault="00C66D3A" w:rsidP="00C66D3A">
      <w:pPr>
        <w:pStyle w:val="IPPParagraphnumbering"/>
        <w:rPr>
          <w:lang w:val="en-GB"/>
        </w:rPr>
      </w:pPr>
      <w:r w:rsidRPr="00945400">
        <w:rPr>
          <w:lang w:val="en-GB"/>
        </w:rPr>
        <w:t>The TPDP noted that a network of diagnostic laborator</w:t>
      </w:r>
      <w:r>
        <w:rPr>
          <w:lang w:val="en-GB"/>
        </w:rPr>
        <w:t>ies</w:t>
      </w:r>
      <w:r w:rsidRPr="00945400">
        <w:rPr>
          <w:lang w:val="en-GB"/>
        </w:rPr>
        <w:t xml:space="preserve"> exists in the f</w:t>
      </w:r>
      <w:r>
        <w:rPr>
          <w:lang w:val="en-GB"/>
        </w:rPr>
        <w:t xml:space="preserve">ield of animal health, which is </w:t>
      </w:r>
      <w:r w:rsidRPr="00945400">
        <w:rPr>
          <w:lang w:val="en-GB"/>
        </w:rPr>
        <w:t>managed by the World Organization for Animal Health (OIE)</w:t>
      </w:r>
      <w:r>
        <w:rPr>
          <w:lang w:val="en-GB"/>
        </w:rPr>
        <w:t>;</w:t>
      </w:r>
      <w:r w:rsidRPr="00945400">
        <w:rPr>
          <w:lang w:val="en-GB"/>
        </w:rPr>
        <w:t xml:space="preserve"> however</w:t>
      </w:r>
      <w:r>
        <w:rPr>
          <w:lang w:val="en-GB"/>
        </w:rPr>
        <w:t>,</w:t>
      </w:r>
      <w:r w:rsidRPr="00945400">
        <w:rPr>
          <w:lang w:val="en-GB"/>
        </w:rPr>
        <w:t xml:space="preserve"> this network deal</w:t>
      </w:r>
      <w:r>
        <w:rPr>
          <w:lang w:val="en-GB"/>
        </w:rPr>
        <w:t>s</w:t>
      </w:r>
      <w:r w:rsidRPr="00945400">
        <w:rPr>
          <w:lang w:val="en-GB"/>
        </w:rPr>
        <w:t xml:space="preserve"> with approximately 15 pests, while in the plant health field the number of pests to be taken into consideration is far greater. Despite this difficulty, there are networks in the plant health field, but they only certain regions of the world (e.g. the network of official reference laboratories within the European Union), or they function on an informal basis which, beside</w:t>
      </w:r>
      <w:r>
        <w:rPr>
          <w:lang w:val="en-GB"/>
        </w:rPr>
        <w:t>s</w:t>
      </w:r>
      <w:r w:rsidRPr="00945400">
        <w:rPr>
          <w:lang w:val="en-GB"/>
        </w:rPr>
        <w:t xml:space="preserve"> the lack of sustainability, can lead to difficulties when the matter is for official NPPO purposes. The TPDP noted that this means that a laboratory network would have to comply with some rules. </w:t>
      </w:r>
      <w:r>
        <w:rPr>
          <w:lang w:val="en-GB"/>
        </w:rPr>
        <w:t>One</w:t>
      </w:r>
      <w:r w:rsidRPr="00945400">
        <w:rPr>
          <w:lang w:val="en-GB"/>
        </w:rPr>
        <w:t xml:space="preserve"> participant noted that EPPO established a database of diagnostic laboratories in which the laboratories of its region can declare themselves on a voluntary basis.</w:t>
      </w:r>
    </w:p>
    <w:p w14:paraId="14A685F4" w14:textId="77777777" w:rsidR="00C66D3A" w:rsidRPr="00945400" w:rsidRDefault="00C66D3A" w:rsidP="00C66D3A">
      <w:pPr>
        <w:pStyle w:val="IPPParagraphnumbering"/>
        <w:rPr>
          <w:lang w:val="en-GB"/>
        </w:rPr>
      </w:pPr>
      <w:r w:rsidRPr="00945400">
        <w:rPr>
          <w:lang w:val="en-GB"/>
        </w:rPr>
        <w:t xml:space="preserve">The TPDP acknowledged that, in the framework of </w:t>
      </w:r>
      <w:r>
        <w:rPr>
          <w:lang w:val="en-GB"/>
        </w:rPr>
        <w:t xml:space="preserve">a </w:t>
      </w:r>
      <w:r w:rsidRPr="00945400">
        <w:rPr>
          <w:lang w:val="en-GB"/>
        </w:rPr>
        <w:t xml:space="preserve">diagnostic laboratory network, sending samples for laboratory testing from one country to another could </w:t>
      </w:r>
      <w:r>
        <w:rPr>
          <w:lang w:val="en-GB"/>
        </w:rPr>
        <w:t>present</w:t>
      </w:r>
      <w:r w:rsidRPr="00945400">
        <w:rPr>
          <w:lang w:val="en-GB"/>
        </w:rPr>
        <w:t xml:space="preserve"> legal and procedural difficulties. The TPDP noted it was necessary to draw the attention of NPPOs and RPPOs </w:t>
      </w:r>
      <w:r>
        <w:rPr>
          <w:lang w:val="en-GB"/>
        </w:rPr>
        <w:t>to</w:t>
      </w:r>
      <w:r w:rsidRPr="00945400">
        <w:rPr>
          <w:lang w:val="en-GB"/>
        </w:rPr>
        <w:t xml:space="preserve"> the need to facilitate the movement of plant material and specimens for diagnosis. A document should be drafted </w:t>
      </w:r>
      <w:r>
        <w:rPr>
          <w:lang w:val="en-GB"/>
        </w:rPr>
        <w:t>for this</w:t>
      </w:r>
      <w:r w:rsidRPr="00945400">
        <w:rPr>
          <w:lang w:val="en-GB"/>
        </w:rPr>
        <w:t xml:space="preserve"> purpose and discussed during the next TPDP meeting in order to make a proposal to the SC for a CPM recommendation. </w:t>
      </w:r>
    </w:p>
    <w:p w14:paraId="536D957D" w14:textId="77777777" w:rsidR="00C66D3A" w:rsidRDefault="00C66D3A" w:rsidP="00C66D3A">
      <w:pPr>
        <w:pStyle w:val="IPPParagraphnumbering"/>
        <w:rPr>
          <w:lang w:val="en-GB"/>
        </w:rPr>
      </w:pPr>
      <w:r w:rsidRPr="00945400">
        <w:rPr>
          <w:lang w:val="en-GB"/>
        </w:rPr>
        <w:t>The TPDP underlined that the objective is both to facilitate diagnosi</w:t>
      </w:r>
      <w:r>
        <w:rPr>
          <w:lang w:val="en-GB"/>
        </w:rPr>
        <w:t>s</w:t>
      </w:r>
      <w:r w:rsidRPr="00945400">
        <w:rPr>
          <w:lang w:val="en-GB"/>
        </w:rPr>
        <w:t xml:space="preserve"> of regulated pests and new emerging pests which could be non-regulated.</w:t>
      </w:r>
    </w:p>
    <w:p w14:paraId="2E0CD0ED" w14:textId="77777777" w:rsidR="00C66D3A" w:rsidRPr="00945400" w:rsidRDefault="00C66D3A" w:rsidP="00C66D3A">
      <w:pPr>
        <w:pStyle w:val="IPPParagraphnumbering"/>
        <w:numPr>
          <w:ilvl w:val="0"/>
          <w:numId w:val="0"/>
        </w:numPr>
        <w:rPr>
          <w:lang w:val="en-GB"/>
        </w:rPr>
      </w:pPr>
      <w:r>
        <w:t>The TPDP then considered a series of questions in relation to diagnostic laboratory networking.</w:t>
      </w:r>
    </w:p>
    <w:p w14:paraId="3CB7D8E2" w14:textId="77777777" w:rsidR="00C66D3A" w:rsidRPr="008744BA" w:rsidRDefault="00C66D3A" w:rsidP="00C66D3A">
      <w:pPr>
        <w:pStyle w:val="IPPParagraphnumberingclose"/>
        <w:rPr>
          <w:i/>
          <w:iCs/>
        </w:rPr>
      </w:pPr>
      <w:r w:rsidRPr="008744BA">
        <w:rPr>
          <w:i/>
          <w:iCs/>
        </w:rPr>
        <w:t>Question 1:</w:t>
      </w:r>
    </w:p>
    <w:p w14:paraId="74082632" w14:textId="77777777" w:rsidR="00C66D3A" w:rsidRPr="00945400" w:rsidRDefault="00C66D3A" w:rsidP="00C66D3A">
      <w:pPr>
        <w:pStyle w:val="IPPIndent"/>
      </w:pPr>
      <w:r w:rsidRPr="00945400">
        <w:t xml:space="preserve">How could the TPDP collaborate in achieving the desired outcome with the development of DPs or other documents (e.g. CPM </w:t>
      </w:r>
      <w:r>
        <w:t>r</w:t>
      </w:r>
      <w:r w:rsidRPr="00945400">
        <w:t xml:space="preserve">ecommendations, cross-cutting DPs such as </w:t>
      </w:r>
      <w:r>
        <w:t xml:space="preserve">for the </w:t>
      </w:r>
      <w:r w:rsidRPr="00945400">
        <w:t xml:space="preserve">setting up </w:t>
      </w:r>
      <w:r>
        <w:t xml:space="preserve">of </w:t>
      </w:r>
      <w:r w:rsidRPr="00945400">
        <w:t>laboratories, or other type of documents such as guides or manuals)?</w:t>
      </w:r>
    </w:p>
    <w:p w14:paraId="77AE5308" w14:textId="77777777" w:rsidR="00C66D3A" w:rsidRPr="00945400" w:rsidRDefault="00C66D3A" w:rsidP="00C66D3A">
      <w:pPr>
        <w:pStyle w:val="IPPParagraphnumbering"/>
        <w:rPr>
          <w:bCs/>
          <w:lang w:val="en-GB"/>
        </w:rPr>
      </w:pPr>
      <w:r w:rsidRPr="00945400">
        <w:rPr>
          <w:bCs/>
          <w:lang w:val="en-GB"/>
        </w:rPr>
        <w:t>The TPDP considered that it could gather different types of information from different regions (e.g. manual</w:t>
      </w:r>
      <w:r>
        <w:rPr>
          <w:bCs/>
          <w:lang w:val="en-GB"/>
        </w:rPr>
        <w:t>s,</w:t>
      </w:r>
      <w:r w:rsidRPr="00945400">
        <w:rPr>
          <w:bCs/>
          <w:lang w:val="en-GB"/>
        </w:rPr>
        <w:t xml:space="preserve"> guides, videos), and after assessment should be able to review the IPPC diagnostic manual</w:t>
      </w:r>
      <w:r>
        <w:rPr>
          <w:bCs/>
          <w:lang w:val="en-GB"/>
        </w:rPr>
        <w:t xml:space="preserve"> (</w:t>
      </w:r>
      <w:hyperlink r:id="rId23" w:history="1">
        <w:r w:rsidRPr="004E08F1">
          <w:rPr>
            <w:rStyle w:val="Hyperlink"/>
            <w:bCs/>
          </w:rPr>
          <w:t>Guide to Delivering Phytosanitary Diagnostic Services</w:t>
        </w:r>
      </w:hyperlink>
      <w:r>
        <w:rPr>
          <w:bCs/>
          <w:lang w:val="en-GB"/>
        </w:rPr>
        <w:t>)</w:t>
      </w:r>
      <w:r w:rsidRPr="00945400">
        <w:rPr>
          <w:bCs/>
          <w:lang w:val="en-GB"/>
        </w:rPr>
        <w:t xml:space="preserve">, if and when needed. In </w:t>
      </w:r>
      <w:r>
        <w:rPr>
          <w:bCs/>
          <w:lang w:val="en-GB"/>
        </w:rPr>
        <w:t>this regard</w:t>
      </w:r>
      <w:r w:rsidRPr="00945400">
        <w:rPr>
          <w:bCs/>
          <w:lang w:val="en-GB"/>
        </w:rPr>
        <w:t xml:space="preserve">, </w:t>
      </w:r>
      <w:r>
        <w:rPr>
          <w:bCs/>
          <w:lang w:val="en-GB"/>
        </w:rPr>
        <w:t xml:space="preserve">Specification </w:t>
      </w:r>
      <w:r w:rsidRPr="00945400">
        <w:rPr>
          <w:bCs/>
          <w:lang w:val="en-GB"/>
        </w:rPr>
        <w:t>TP</w:t>
      </w:r>
      <w:r>
        <w:rPr>
          <w:bCs/>
          <w:lang w:val="en-GB"/>
        </w:rPr>
        <w:t> </w:t>
      </w:r>
      <w:r w:rsidRPr="00945400">
        <w:rPr>
          <w:bCs/>
          <w:lang w:val="en-GB"/>
        </w:rPr>
        <w:t>1</w:t>
      </w:r>
      <w:r>
        <w:rPr>
          <w:rStyle w:val="FootnoteReference"/>
          <w:bCs/>
          <w:lang w:val="en-GB"/>
        </w:rPr>
        <w:footnoteReference w:id="7"/>
      </w:r>
      <w:r w:rsidRPr="00945400">
        <w:rPr>
          <w:bCs/>
          <w:lang w:val="en-GB"/>
        </w:rPr>
        <w:t xml:space="preserve"> should be adjusted in order to allow the TPDP to address such issues in collaboration with the SC and the I</w:t>
      </w:r>
      <w:r>
        <w:rPr>
          <w:bCs/>
          <w:lang w:val="en-GB"/>
        </w:rPr>
        <w:t xml:space="preserve">mplementation and </w:t>
      </w:r>
      <w:r w:rsidRPr="00945400">
        <w:rPr>
          <w:bCs/>
          <w:lang w:val="en-GB"/>
        </w:rPr>
        <w:t>C</w:t>
      </w:r>
      <w:r>
        <w:rPr>
          <w:bCs/>
          <w:lang w:val="en-GB"/>
        </w:rPr>
        <w:t>apacity Development Committee (IC)</w:t>
      </w:r>
      <w:r w:rsidRPr="00945400">
        <w:rPr>
          <w:bCs/>
          <w:lang w:val="en-GB"/>
        </w:rPr>
        <w:t>.</w:t>
      </w:r>
    </w:p>
    <w:p w14:paraId="75B4584F" w14:textId="77777777" w:rsidR="00C66D3A" w:rsidRPr="008744BA" w:rsidRDefault="00C66D3A" w:rsidP="00C66D3A">
      <w:pPr>
        <w:pStyle w:val="IPPParagraphnumberingclose"/>
        <w:rPr>
          <w:i/>
          <w:iCs/>
        </w:rPr>
      </w:pPr>
      <w:r w:rsidRPr="008744BA">
        <w:rPr>
          <w:i/>
          <w:iCs/>
        </w:rPr>
        <w:t>Question 2:</w:t>
      </w:r>
    </w:p>
    <w:p w14:paraId="22ACB906" w14:textId="77777777" w:rsidR="00C66D3A" w:rsidRPr="00945400" w:rsidRDefault="00C66D3A" w:rsidP="00C66D3A">
      <w:pPr>
        <w:pStyle w:val="IPPIndent"/>
      </w:pPr>
      <w:r w:rsidRPr="00945400">
        <w:t>Could the TPDP consider support</w:t>
      </w:r>
      <w:r>
        <w:t>ing</w:t>
      </w:r>
      <w:r w:rsidRPr="00945400">
        <w:t xml:space="preserve"> diagnostic laboratory networking beyond providing DPs (or other documents, such as CPM recommendations)?</w:t>
      </w:r>
    </w:p>
    <w:p w14:paraId="5742EB6D" w14:textId="77777777" w:rsidR="00C66D3A" w:rsidRPr="00945400" w:rsidRDefault="00C66D3A" w:rsidP="00C66D3A">
      <w:pPr>
        <w:pStyle w:val="IPPParagraphnumbering"/>
        <w:rPr>
          <w:lang w:val="en-GB"/>
        </w:rPr>
      </w:pPr>
      <w:r w:rsidRPr="00945400">
        <w:rPr>
          <w:lang w:val="en-GB"/>
        </w:rPr>
        <w:t>The TPDP noted that the IPPC Secretariat could collect information on existing network</w:t>
      </w:r>
      <w:r>
        <w:rPr>
          <w:lang w:val="en-GB"/>
        </w:rPr>
        <w:t>s</w:t>
      </w:r>
      <w:r w:rsidRPr="00945400">
        <w:rPr>
          <w:lang w:val="en-GB"/>
        </w:rPr>
        <w:t xml:space="preserve"> of laboratories. </w:t>
      </w:r>
    </w:p>
    <w:p w14:paraId="3D4EA30B" w14:textId="77777777" w:rsidR="00C66D3A" w:rsidRPr="00945400" w:rsidRDefault="00C66D3A" w:rsidP="00C66D3A">
      <w:pPr>
        <w:pStyle w:val="IPPParagraphnumbering"/>
        <w:rPr>
          <w:bCs/>
          <w:lang w:val="en-GB"/>
        </w:rPr>
      </w:pPr>
      <w:r w:rsidRPr="00945400">
        <w:rPr>
          <w:bCs/>
          <w:lang w:val="en-GB"/>
        </w:rPr>
        <w:t>The TPDP suggested that it could lead a workshop for diagnosticians. This would</w:t>
      </w:r>
      <w:r w:rsidRPr="00945400">
        <w:rPr>
          <w:lang w:val="en-GB"/>
        </w:rPr>
        <w:t xml:space="preserve"> be very useful not only for sharing scientific information but also </w:t>
      </w:r>
      <w:r>
        <w:rPr>
          <w:lang w:val="en-GB"/>
        </w:rPr>
        <w:t>because</w:t>
      </w:r>
      <w:r w:rsidRPr="00945400">
        <w:rPr>
          <w:lang w:val="en-GB"/>
        </w:rPr>
        <w:t xml:space="preserve">, provided all regions of the world are </w:t>
      </w:r>
      <w:r w:rsidRPr="00945400">
        <w:rPr>
          <w:lang w:val="en-GB"/>
        </w:rPr>
        <w:lastRenderedPageBreak/>
        <w:t xml:space="preserve">represented, </w:t>
      </w:r>
      <w:r>
        <w:rPr>
          <w:lang w:val="en-GB"/>
        </w:rPr>
        <w:t xml:space="preserve">a </w:t>
      </w:r>
      <w:r w:rsidRPr="00945400">
        <w:rPr>
          <w:lang w:val="en-GB"/>
        </w:rPr>
        <w:t>face</w:t>
      </w:r>
      <w:r>
        <w:rPr>
          <w:lang w:val="en-GB"/>
        </w:rPr>
        <w:t>-</w:t>
      </w:r>
      <w:r w:rsidRPr="00945400">
        <w:rPr>
          <w:lang w:val="en-GB"/>
        </w:rPr>
        <w:t>to</w:t>
      </w:r>
      <w:r>
        <w:rPr>
          <w:lang w:val="en-GB"/>
        </w:rPr>
        <w:t>-</w:t>
      </w:r>
      <w:r w:rsidRPr="00945400">
        <w:rPr>
          <w:lang w:val="en-GB"/>
        </w:rPr>
        <w:t xml:space="preserve">face meeting (e.g. scientific workshop) among specialists would facilitate </w:t>
      </w:r>
      <w:r>
        <w:rPr>
          <w:lang w:val="en-GB"/>
        </w:rPr>
        <w:t xml:space="preserve">the </w:t>
      </w:r>
      <w:r w:rsidRPr="00945400">
        <w:rPr>
          <w:lang w:val="en-GB"/>
        </w:rPr>
        <w:t xml:space="preserve">building </w:t>
      </w:r>
      <w:r>
        <w:rPr>
          <w:lang w:val="en-GB"/>
        </w:rPr>
        <w:t xml:space="preserve">of </w:t>
      </w:r>
      <w:r w:rsidRPr="00945400">
        <w:rPr>
          <w:lang w:val="en-GB"/>
        </w:rPr>
        <w:t>a network. In that respect, people from outside the TPDP should be invited</w:t>
      </w:r>
      <w:r>
        <w:rPr>
          <w:lang w:val="en-GB"/>
        </w:rPr>
        <w:t>, for instance</w:t>
      </w:r>
      <w:r w:rsidRPr="00945400">
        <w:rPr>
          <w:bCs/>
          <w:lang w:val="en-GB"/>
        </w:rPr>
        <w:t xml:space="preserve"> through SC and IC members and representatives of OIE or international scientific bodies such the Centre for Agricultural and Bioscience International (CABI)</w:t>
      </w:r>
      <w:r w:rsidRPr="00945400">
        <w:rPr>
          <w:lang w:val="en-GB"/>
        </w:rPr>
        <w:t xml:space="preserve">. This workshop should take place in 2021. </w:t>
      </w:r>
    </w:p>
    <w:p w14:paraId="0CD1ACCC" w14:textId="77777777" w:rsidR="00C66D3A" w:rsidRPr="008744BA" w:rsidRDefault="00C66D3A" w:rsidP="00C66D3A">
      <w:pPr>
        <w:pStyle w:val="IPPParagraphnumberingclose"/>
        <w:rPr>
          <w:i/>
          <w:iCs/>
        </w:rPr>
      </w:pPr>
      <w:r w:rsidRPr="008744BA">
        <w:rPr>
          <w:i/>
          <w:iCs/>
        </w:rPr>
        <w:t>Question 3:</w:t>
      </w:r>
    </w:p>
    <w:p w14:paraId="62DED2BE" w14:textId="77777777" w:rsidR="00C66D3A" w:rsidRPr="00945400" w:rsidRDefault="00C66D3A" w:rsidP="00C66D3A">
      <w:pPr>
        <w:pStyle w:val="IPPIndent"/>
      </w:pPr>
      <w:r w:rsidRPr="00945400">
        <w:t xml:space="preserve">If yes, would it be possible for </w:t>
      </w:r>
      <w:r>
        <w:t xml:space="preserve">the </w:t>
      </w:r>
      <w:r w:rsidRPr="00945400">
        <w:t>TPDP to consider advising or participating in capacity building in the field of diagnostic laborator</w:t>
      </w:r>
      <w:r>
        <w:t>ies;</w:t>
      </w:r>
      <w:r w:rsidRPr="00945400">
        <w:t xml:space="preserve"> for example</w:t>
      </w:r>
      <w:r>
        <w:t>,</w:t>
      </w:r>
      <w:r w:rsidRPr="00945400">
        <w:t xml:space="preserve"> this could be training, </w:t>
      </w:r>
      <w:r>
        <w:t xml:space="preserve">advising on </w:t>
      </w:r>
      <w:r w:rsidRPr="00945400">
        <w:t>quality process</w:t>
      </w:r>
      <w:r>
        <w:t>es</w:t>
      </w:r>
      <w:r w:rsidRPr="00945400">
        <w:t>, or proficiency tests?</w:t>
      </w:r>
    </w:p>
    <w:p w14:paraId="1947AB8D" w14:textId="77777777" w:rsidR="00C66D3A" w:rsidRDefault="00C66D3A" w:rsidP="00C66D3A">
      <w:pPr>
        <w:pStyle w:val="IPPParagraphnumbering"/>
        <w:rPr>
          <w:bCs/>
          <w:lang w:val="en-GB"/>
        </w:rPr>
      </w:pPr>
      <w:r w:rsidRPr="00945400">
        <w:rPr>
          <w:bCs/>
          <w:lang w:val="en-GB"/>
        </w:rPr>
        <w:t xml:space="preserve">The TPDP declared that it could encourage participation </w:t>
      </w:r>
      <w:r>
        <w:rPr>
          <w:bCs/>
          <w:lang w:val="en-GB"/>
        </w:rPr>
        <w:t>in</w:t>
      </w:r>
      <w:r w:rsidRPr="00945400">
        <w:rPr>
          <w:bCs/>
          <w:lang w:val="en-GB"/>
        </w:rPr>
        <w:t xml:space="preserve"> the proficiency tests by preparing a guideline or cross-cutting DP aiming to describe how to organize such tests, and how to participate, particularly </w:t>
      </w:r>
      <w:r>
        <w:rPr>
          <w:bCs/>
          <w:lang w:val="en-GB"/>
        </w:rPr>
        <w:t xml:space="preserve">in relation to </w:t>
      </w:r>
      <w:r w:rsidRPr="00945400">
        <w:rPr>
          <w:bCs/>
          <w:lang w:val="en-GB"/>
        </w:rPr>
        <w:t>how to perform a good sampling.</w:t>
      </w:r>
    </w:p>
    <w:p w14:paraId="6D8D029B" w14:textId="77777777" w:rsidR="00C66D3A" w:rsidRPr="00192883" w:rsidRDefault="00C66D3A" w:rsidP="00C66D3A">
      <w:pPr>
        <w:pStyle w:val="IPPParagraphnumbering"/>
        <w:rPr>
          <w:bCs/>
          <w:lang w:val="en-GB"/>
        </w:rPr>
      </w:pPr>
      <w:r w:rsidRPr="00192883">
        <w:rPr>
          <w:bCs/>
          <w:lang w:val="en-GB"/>
        </w:rPr>
        <w:t xml:space="preserve">Noting that the TPDP is under the SC’s remit and following the tasks described in the Specification TP 1, </w:t>
      </w:r>
      <w:r>
        <w:rPr>
          <w:bCs/>
          <w:lang w:val="en-GB"/>
        </w:rPr>
        <w:t>t</w:t>
      </w:r>
      <w:r w:rsidRPr="00192883">
        <w:rPr>
          <w:bCs/>
          <w:lang w:val="en-GB"/>
        </w:rPr>
        <w:t>he TPDP proposed some recommendations to the SC</w:t>
      </w:r>
      <w:r>
        <w:rPr>
          <w:bCs/>
          <w:lang w:val="en-GB"/>
        </w:rPr>
        <w:t>,</w:t>
      </w:r>
      <w:r w:rsidRPr="00192883">
        <w:rPr>
          <w:bCs/>
          <w:lang w:val="en-GB"/>
        </w:rPr>
        <w:t xml:space="preserve"> to commence </w:t>
      </w:r>
      <w:r>
        <w:rPr>
          <w:bCs/>
          <w:lang w:val="en-GB"/>
        </w:rPr>
        <w:t>some</w:t>
      </w:r>
      <w:r w:rsidRPr="00192883">
        <w:rPr>
          <w:bCs/>
          <w:lang w:val="en-GB"/>
        </w:rPr>
        <w:t xml:space="preserve"> work on diagnostic laboratory networking, as follows: </w:t>
      </w:r>
    </w:p>
    <w:p w14:paraId="55A9F1F6" w14:textId="77777777" w:rsidR="00C66D3A" w:rsidRPr="00945400" w:rsidRDefault="00C66D3A" w:rsidP="00C66D3A">
      <w:pPr>
        <w:pStyle w:val="IPPBullet2"/>
        <w:spacing w:before="120" w:after="120"/>
        <w:ind w:left="1124" w:hanging="562"/>
      </w:pPr>
      <w:r w:rsidRPr="00945400">
        <w:t>that the TPDP gather different sources of information (manual</w:t>
      </w:r>
      <w:r>
        <w:t>s</w:t>
      </w:r>
      <w:r w:rsidRPr="00945400">
        <w:t xml:space="preserve">, guides, videos) from different regions, in order to identify gaps in the existing </w:t>
      </w:r>
      <w:r>
        <w:t>DPs;</w:t>
      </w:r>
    </w:p>
    <w:p w14:paraId="73B45BBB" w14:textId="77777777" w:rsidR="00C66D3A" w:rsidRPr="00945400" w:rsidRDefault="00C66D3A" w:rsidP="00C66D3A">
      <w:pPr>
        <w:pStyle w:val="IPPBullet2"/>
        <w:spacing w:before="120" w:after="120"/>
        <w:ind w:left="1124" w:hanging="562"/>
      </w:pPr>
      <w:r w:rsidRPr="00945400">
        <w:t xml:space="preserve">in collaboration with the SC and IC, the TPDP develops or revises manuals and guidelines when needed </w:t>
      </w:r>
      <w:r>
        <w:t>(</w:t>
      </w:r>
      <w:r w:rsidRPr="00945400">
        <w:t xml:space="preserve">e.g. the existing </w:t>
      </w:r>
      <w:r>
        <w:t>IPPC guide to diagnostic services</w:t>
      </w:r>
      <w:r w:rsidRPr="00945400">
        <w:t>, or guideline</w:t>
      </w:r>
      <w:r>
        <w:t>s</w:t>
      </w:r>
      <w:r w:rsidRPr="00945400">
        <w:t xml:space="preserve"> on proficiency test</w:t>
      </w:r>
      <w:r>
        <w:t>s);</w:t>
      </w:r>
    </w:p>
    <w:p w14:paraId="69300E51" w14:textId="77777777" w:rsidR="00C66D3A" w:rsidRPr="00945400" w:rsidRDefault="00C66D3A" w:rsidP="00C66D3A">
      <w:pPr>
        <w:pStyle w:val="IPPBullet2"/>
        <w:spacing w:before="120" w:after="120"/>
        <w:ind w:left="1124" w:hanging="562"/>
      </w:pPr>
      <w:r w:rsidRPr="00945400">
        <w:t>amend</w:t>
      </w:r>
      <w:r>
        <w:t>ing</w:t>
      </w:r>
      <w:r w:rsidRPr="00945400">
        <w:t xml:space="preserve"> Specification TP</w:t>
      </w:r>
      <w:r>
        <w:t> </w:t>
      </w:r>
      <w:r w:rsidRPr="00945400">
        <w:t>1 in order</w:t>
      </w:r>
      <w:r>
        <w:t xml:space="preserve"> </w:t>
      </w:r>
      <w:r w:rsidRPr="00945400">
        <w:t>to allow the TPDP to participate in the activities described above</w:t>
      </w:r>
      <w:r>
        <w:t>;</w:t>
      </w:r>
    </w:p>
    <w:p w14:paraId="73A21D27" w14:textId="77777777" w:rsidR="00C66D3A" w:rsidRPr="00945400" w:rsidRDefault="00C66D3A" w:rsidP="00C66D3A">
      <w:pPr>
        <w:pStyle w:val="IPPBullet2"/>
        <w:spacing w:before="120" w:after="120"/>
        <w:ind w:left="1124" w:hanging="562"/>
      </w:pPr>
      <w:r w:rsidRPr="00945400">
        <w:t>that the TPDP</w:t>
      </w:r>
      <w:r>
        <w:t xml:space="preserve"> </w:t>
      </w:r>
      <w:r w:rsidRPr="00945400">
        <w:t xml:space="preserve">recommended </w:t>
      </w:r>
      <w:r>
        <w:t xml:space="preserve">that </w:t>
      </w:r>
      <w:r w:rsidRPr="00945400">
        <w:t xml:space="preserve">a CPM </w:t>
      </w:r>
      <w:r>
        <w:t>r</w:t>
      </w:r>
      <w:r w:rsidRPr="00945400">
        <w:t>ecommendation on “Facilitating shipment and transport of reference material and specimens, to support diagnostic activities for regulated pests”</w:t>
      </w:r>
      <w:r>
        <w:t xml:space="preserve"> be developed</w:t>
      </w:r>
      <w:r w:rsidRPr="00945400">
        <w:t xml:space="preserve">, and asked </w:t>
      </w:r>
      <w:r>
        <w:t xml:space="preserve">some TPDP members </w:t>
      </w:r>
      <w:r w:rsidRPr="00945400">
        <w:t xml:space="preserve">to draft a justification </w:t>
      </w:r>
      <w:r>
        <w:t>for</w:t>
      </w:r>
      <w:r w:rsidRPr="00945400">
        <w:t xml:space="preserve"> that purpose to be discussed </w:t>
      </w:r>
      <w:r>
        <w:t xml:space="preserve">at </w:t>
      </w:r>
      <w:r w:rsidRPr="00945400">
        <w:t>the next TPDP meeting</w:t>
      </w:r>
      <w:r>
        <w:t>;</w:t>
      </w:r>
      <w:r w:rsidRPr="00945400">
        <w:t xml:space="preserve"> </w:t>
      </w:r>
    </w:p>
    <w:p w14:paraId="2D45584E" w14:textId="77777777" w:rsidR="00C66D3A" w:rsidRPr="008212C7" w:rsidRDefault="00C66D3A" w:rsidP="00C66D3A">
      <w:pPr>
        <w:pStyle w:val="IPPBullet2"/>
        <w:spacing w:before="120" w:after="120"/>
        <w:ind w:left="1124" w:hanging="562"/>
        <w:rPr>
          <w:i/>
        </w:rPr>
      </w:pPr>
      <w:r w:rsidRPr="008212C7">
        <w:t xml:space="preserve">that the TPDP is willing to take the lead in organizing the </w:t>
      </w:r>
      <w:r w:rsidRPr="008212C7">
        <w:rPr>
          <w:i/>
        </w:rPr>
        <w:t xml:space="preserve">first international workshop on diagnostic laboratories </w:t>
      </w:r>
      <w:r w:rsidRPr="008212C7">
        <w:t xml:space="preserve">in 2021 and asked </w:t>
      </w:r>
      <w:r>
        <w:t>some TPDP members</w:t>
      </w:r>
      <w:r w:rsidRPr="008212C7">
        <w:t xml:space="preserve"> to draft a detailed proposal (justification, programme, resource mobilization) to be discussed </w:t>
      </w:r>
      <w:r>
        <w:t>at</w:t>
      </w:r>
      <w:r w:rsidRPr="008212C7">
        <w:t xml:space="preserve"> the next TPDP meeting.</w:t>
      </w:r>
    </w:p>
    <w:p w14:paraId="58597AFB" w14:textId="77777777" w:rsidR="00C66D3A" w:rsidRDefault="00C66D3A" w:rsidP="00C66D3A">
      <w:pPr>
        <w:pStyle w:val="IPPParagraphnumbering"/>
      </w:pPr>
      <w:r w:rsidRPr="008212C7">
        <w:rPr>
          <w:b/>
        </w:rPr>
        <w:t>SC 2020.</w:t>
      </w:r>
      <w:r>
        <w:t xml:space="preserve"> The SC discussed the recommendations from the TPDP 2019-08 meeting via e-forum. Although the majority of the SC members agreed in principle with the TPDP recommendations, </w:t>
      </w:r>
      <w:r w:rsidRPr="008212C7">
        <w:t xml:space="preserve">one SC member </w:t>
      </w:r>
      <w:r>
        <w:t>pointed out</w:t>
      </w:r>
      <w:r w:rsidRPr="008212C7">
        <w:t xml:space="preserve"> </w:t>
      </w:r>
      <w:r>
        <w:t>the</w:t>
      </w:r>
      <w:r w:rsidRPr="008212C7">
        <w:t xml:space="preserve"> need to have a broader debate on this topic, not only at the SC level but also at the IC and even the Bureau or CPM levels. </w:t>
      </w:r>
      <w:r>
        <w:t xml:space="preserve">It was mentioned that </w:t>
      </w:r>
      <w:r w:rsidRPr="008212C7">
        <w:t xml:space="preserve">the issue goes beyond standard setting work and means that the TPDP would be directly involved in implementation issues. Even though </w:t>
      </w:r>
      <w:r>
        <w:t>it was</w:t>
      </w:r>
      <w:r w:rsidRPr="008212C7">
        <w:t xml:space="preserve"> agreed conceptually, </w:t>
      </w:r>
      <w:r>
        <w:t>it was thought</w:t>
      </w:r>
      <w:r w:rsidRPr="008212C7">
        <w:t xml:space="preserve"> that the topic require</w:t>
      </w:r>
      <w:r>
        <w:t>d</w:t>
      </w:r>
      <w:r w:rsidRPr="008212C7">
        <w:t xml:space="preserve"> further discussion.</w:t>
      </w:r>
      <w:r>
        <w:t xml:space="preserve"> </w:t>
      </w:r>
    </w:p>
    <w:p w14:paraId="7BCFD66E" w14:textId="77777777" w:rsidR="00C66D3A" w:rsidRPr="008212C7" w:rsidRDefault="00C66D3A" w:rsidP="00C66D3A">
      <w:pPr>
        <w:pStyle w:val="IPPParagraphnumbering"/>
      </w:pPr>
      <w:r w:rsidRPr="008212C7">
        <w:t>The SC in its September 2020 meeting did not have sufficient time to engage in such discussions, thus it was</w:t>
      </w:r>
      <w:r>
        <w:t xml:space="preserve"> </w:t>
      </w:r>
      <w:r w:rsidRPr="008212C7">
        <w:t>deferred to the November meeting.</w:t>
      </w:r>
    </w:p>
    <w:p w14:paraId="6F6245B3" w14:textId="77777777" w:rsidR="00C66D3A" w:rsidRDefault="00C66D3A" w:rsidP="00C66D3A">
      <w:pPr>
        <w:pStyle w:val="IPPParagraphnumbering"/>
        <w:numPr>
          <w:ilvl w:val="0"/>
          <w:numId w:val="21"/>
        </w:numPr>
        <w:rPr>
          <w:b/>
        </w:rPr>
      </w:pPr>
      <w:r>
        <w:t xml:space="preserve"> </w:t>
      </w:r>
      <w:r w:rsidRPr="002358C8">
        <w:rPr>
          <w:b/>
        </w:rPr>
        <w:t>WHAT</w:t>
      </w:r>
      <w:r>
        <w:rPr>
          <w:b/>
        </w:rPr>
        <w:t>’S</w:t>
      </w:r>
      <w:r w:rsidRPr="002358C8">
        <w:rPr>
          <w:b/>
        </w:rPr>
        <w:t xml:space="preserve"> NEXT?</w:t>
      </w:r>
    </w:p>
    <w:p w14:paraId="2818DB17" w14:textId="77777777" w:rsidR="00C66D3A" w:rsidRPr="002358C8" w:rsidRDefault="00C66D3A" w:rsidP="00C66D3A">
      <w:pPr>
        <w:pStyle w:val="IPPParagraphnumbering"/>
        <w:rPr>
          <w:b/>
        </w:rPr>
      </w:pPr>
      <w:r>
        <w:t xml:space="preserve">With the COVID-19 pandemic, some of the SC’s discussions and decisions related to its technical panels got delayed, and consequently some activities in relation to </w:t>
      </w:r>
      <w:r w:rsidRPr="00945400">
        <w:t>Diagnostic laboratory networking</w:t>
      </w:r>
      <w:r>
        <w:t xml:space="preserve">. Moreover, some discussions were supposed to happen at the </w:t>
      </w:r>
      <w:r w:rsidRPr="002358C8">
        <w:t xml:space="preserve">International Plant Health Conference </w:t>
      </w:r>
      <w:r>
        <w:t xml:space="preserve">in Helsinki, which is now postponed for 2021. </w:t>
      </w:r>
    </w:p>
    <w:p w14:paraId="5C99CCF5" w14:textId="77777777" w:rsidR="00C66D3A" w:rsidRPr="004B0ACD" w:rsidRDefault="00C66D3A" w:rsidP="00C66D3A">
      <w:pPr>
        <w:pStyle w:val="IPPParagraphnumbering"/>
        <w:rPr>
          <w:b/>
        </w:rPr>
      </w:pPr>
      <w:r>
        <w:t>The TPDP just had their first virtual meeting in 2020 and they are awaiting recommendations and directions from the SC to continue the discussions about this development agenda. Moreover, it is important to highlight that there is yet not a establish plan, and that the IPPC Secretariat is also awaiting further discussions at different meeting and that proper resources are allocated.</w:t>
      </w:r>
    </w:p>
    <w:p w14:paraId="1358B769" w14:textId="77777777" w:rsidR="00C66D3A" w:rsidRPr="004B0ACD" w:rsidRDefault="00C66D3A" w:rsidP="00C66D3A">
      <w:pPr>
        <w:pStyle w:val="IPPParagraphnumbering"/>
        <w:numPr>
          <w:ilvl w:val="0"/>
          <w:numId w:val="21"/>
        </w:numPr>
      </w:pPr>
      <w:r w:rsidRPr="004B0ACD">
        <w:rPr>
          <w:b/>
        </w:rPr>
        <w:lastRenderedPageBreak/>
        <w:t>FINANCES</w:t>
      </w:r>
      <w:r>
        <w:rPr>
          <w:b/>
        </w:rPr>
        <w:t>:</w:t>
      </w:r>
      <w:r w:rsidRPr="004B0ACD">
        <w:rPr>
          <w:b/>
        </w:rPr>
        <w:t xml:space="preserve"> </w:t>
      </w:r>
      <w:r w:rsidRPr="004B0ACD">
        <w:rPr>
          <w:b/>
          <w:bCs/>
        </w:rPr>
        <w:t>IPPC INVESTMENT PLAN 2020-2024.</w:t>
      </w:r>
    </w:p>
    <w:p w14:paraId="4D80F9E8" w14:textId="77777777" w:rsidR="00C66D3A" w:rsidRDefault="00C66D3A" w:rsidP="00C66D3A">
      <w:pPr>
        <w:pStyle w:val="IPPParagraphnumbering"/>
      </w:pPr>
      <w:r w:rsidRPr="004B0ACD">
        <w:t>The following budget is proposed in the IPPC Investment plan which was noted by CPM-14 (2019). It is to note</w:t>
      </w:r>
      <w:r>
        <w:t xml:space="preserve"> that the investment plan discusses only the first 5 year of the 10-year lifespan of the Strategic Framework and should be re-visited once a detailed set of activities are agreed. </w:t>
      </w:r>
    </w:p>
    <w:tbl>
      <w:tblPr>
        <w:tblStyle w:val="TableGrid2"/>
        <w:tblW w:w="0" w:type="auto"/>
        <w:tblLook w:val="04A0" w:firstRow="1" w:lastRow="0" w:firstColumn="1" w:lastColumn="0" w:noHBand="0" w:noVBand="1"/>
      </w:tblPr>
      <w:tblGrid>
        <w:gridCol w:w="2972"/>
        <w:gridCol w:w="1134"/>
        <w:gridCol w:w="992"/>
        <w:gridCol w:w="993"/>
        <w:gridCol w:w="992"/>
        <w:gridCol w:w="992"/>
        <w:gridCol w:w="941"/>
      </w:tblGrid>
      <w:tr w:rsidR="00C66D3A" w:rsidRPr="00A87D70" w14:paraId="52913F1E" w14:textId="77777777" w:rsidTr="00226F04">
        <w:trPr>
          <w:trHeight w:val="278"/>
          <w:tblHeader/>
        </w:trPr>
        <w:tc>
          <w:tcPr>
            <w:tcW w:w="2972" w:type="dxa"/>
            <w:vMerge w:val="restart"/>
            <w:shd w:val="clear" w:color="auto" w:fill="D9D9D9"/>
          </w:tcPr>
          <w:p w14:paraId="68000D0D" w14:textId="77777777" w:rsidR="00C66D3A" w:rsidRPr="00A87D70" w:rsidRDefault="00C66D3A" w:rsidP="00226F04">
            <w:pPr>
              <w:rPr>
                <w:rFonts w:ascii="Arial" w:eastAsia="Calibri" w:hAnsi="Arial" w:cs="Arial"/>
                <w:b/>
                <w:sz w:val="18"/>
                <w:szCs w:val="18"/>
              </w:rPr>
            </w:pPr>
            <w:r>
              <w:t xml:space="preserve"> </w:t>
            </w:r>
            <w:r w:rsidRPr="00A87D70">
              <w:rPr>
                <w:rFonts w:ascii="Arial" w:eastAsia="Calibri" w:hAnsi="Arial" w:cs="Arial"/>
                <w:b/>
                <w:sz w:val="18"/>
                <w:szCs w:val="18"/>
              </w:rPr>
              <w:t>Action</w:t>
            </w:r>
          </w:p>
        </w:tc>
        <w:tc>
          <w:tcPr>
            <w:tcW w:w="1134" w:type="dxa"/>
            <w:vMerge w:val="restart"/>
            <w:shd w:val="clear" w:color="auto" w:fill="D9D9D9"/>
          </w:tcPr>
          <w:p w14:paraId="65018868" w14:textId="77777777" w:rsidR="00C66D3A" w:rsidRPr="00A87D70" w:rsidRDefault="00C66D3A" w:rsidP="00226F04">
            <w:pPr>
              <w:rPr>
                <w:rFonts w:ascii="Arial" w:eastAsia="Calibri" w:hAnsi="Arial" w:cs="Arial"/>
                <w:b/>
                <w:sz w:val="18"/>
                <w:szCs w:val="18"/>
              </w:rPr>
            </w:pPr>
            <w:r w:rsidRPr="00A87D70">
              <w:rPr>
                <w:rFonts w:ascii="Arial" w:eastAsia="Calibri" w:hAnsi="Arial" w:cs="Arial"/>
                <w:b/>
                <w:sz w:val="18"/>
                <w:szCs w:val="18"/>
              </w:rPr>
              <w:t>Funding</w:t>
            </w:r>
          </w:p>
          <w:p w14:paraId="06DAF213" w14:textId="77777777" w:rsidR="00C66D3A" w:rsidRPr="00A87D70" w:rsidRDefault="00C66D3A" w:rsidP="00226F04">
            <w:pPr>
              <w:rPr>
                <w:rFonts w:ascii="Arial" w:eastAsia="Calibri" w:hAnsi="Arial" w:cs="Arial"/>
                <w:b/>
                <w:sz w:val="18"/>
                <w:szCs w:val="18"/>
              </w:rPr>
            </w:pPr>
            <w:r w:rsidRPr="00A87D70">
              <w:rPr>
                <w:rFonts w:ascii="Arial" w:eastAsia="Calibri" w:hAnsi="Arial" w:cs="Arial"/>
                <w:b/>
                <w:sz w:val="18"/>
                <w:szCs w:val="18"/>
              </w:rPr>
              <w:t>Source</w:t>
            </w:r>
          </w:p>
        </w:tc>
        <w:tc>
          <w:tcPr>
            <w:tcW w:w="4910" w:type="dxa"/>
            <w:gridSpan w:val="5"/>
            <w:shd w:val="clear" w:color="auto" w:fill="D9D9D9"/>
          </w:tcPr>
          <w:p w14:paraId="188572C9" w14:textId="77777777" w:rsidR="00C66D3A" w:rsidRPr="00A87D70" w:rsidRDefault="00C66D3A" w:rsidP="00226F04">
            <w:pPr>
              <w:jc w:val="center"/>
              <w:rPr>
                <w:rFonts w:ascii="Arial" w:eastAsia="Calibri" w:hAnsi="Arial" w:cs="Arial"/>
                <w:b/>
                <w:sz w:val="18"/>
                <w:szCs w:val="18"/>
              </w:rPr>
            </w:pPr>
            <w:r w:rsidRPr="00A87D70">
              <w:rPr>
                <w:rFonts w:ascii="Arial" w:eastAsia="Calibri" w:hAnsi="Arial" w:cs="Arial"/>
                <w:b/>
                <w:sz w:val="18"/>
                <w:szCs w:val="18"/>
              </w:rPr>
              <w:t>Estimated budget (USD)</w:t>
            </w:r>
          </w:p>
        </w:tc>
      </w:tr>
      <w:tr w:rsidR="00C66D3A" w:rsidRPr="00A87D70" w14:paraId="24476339" w14:textId="77777777" w:rsidTr="00226F04">
        <w:trPr>
          <w:trHeight w:val="278"/>
          <w:tblHeader/>
        </w:trPr>
        <w:tc>
          <w:tcPr>
            <w:tcW w:w="2972" w:type="dxa"/>
            <w:vMerge/>
          </w:tcPr>
          <w:p w14:paraId="292F4149" w14:textId="77777777" w:rsidR="00C66D3A" w:rsidRPr="00A87D70" w:rsidRDefault="00C66D3A" w:rsidP="00226F04">
            <w:pPr>
              <w:rPr>
                <w:rFonts w:ascii="Arial" w:eastAsia="Calibri" w:hAnsi="Arial" w:cs="Arial"/>
                <w:sz w:val="18"/>
                <w:szCs w:val="18"/>
              </w:rPr>
            </w:pPr>
          </w:p>
        </w:tc>
        <w:tc>
          <w:tcPr>
            <w:tcW w:w="1134" w:type="dxa"/>
            <w:vMerge/>
          </w:tcPr>
          <w:p w14:paraId="14E849C4" w14:textId="77777777" w:rsidR="00C66D3A" w:rsidRPr="00A87D70" w:rsidRDefault="00C66D3A" w:rsidP="00226F04">
            <w:pPr>
              <w:rPr>
                <w:rFonts w:ascii="Arial" w:eastAsia="Calibri" w:hAnsi="Arial" w:cs="Arial"/>
                <w:sz w:val="18"/>
                <w:szCs w:val="18"/>
              </w:rPr>
            </w:pPr>
          </w:p>
        </w:tc>
        <w:tc>
          <w:tcPr>
            <w:tcW w:w="992" w:type="dxa"/>
            <w:shd w:val="clear" w:color="auto" w:fill="F2F2F2"/>
          </w:tcPr>
          <w:p w14:paraId="2E62992E" w14:textId="77777777" w:rsidR="00C66D3A" w:rsidRPr="00A87D70" w:rsidRDefault="00C66D3A" w:rsidP="00226F04">
            <w:pPr>
              <w:rPr>
                <w:rFonts w:ascii="Arial" w:eastAsia="Calibri" w:hAnsi="Arial" w:cs="Arial"/>
                <w:b/>
                <w:sz w:val="18"/>
                <w:szCs w:val="18"/>
              </w:rPr>
            </w:pPr>
            <w:r w:rsidRPr="00A87D70">
              <w:rPr>
                <w:rFonts w:ascii="Arial" w:eastAsia="Calibri" w:hAnsi="Arial" w:cs="Arial"/>
                <w:b/>
                <w:sz w:val="18"/>
                <w:szCs w:val="18"/>
              </w:rPr>
              <w:t>2020</w:t>
            </w:r>
          </w:p>
        </w:tc>
        <w:tc>
          <w:tcPr>
            <w:tcW w:w="993" w:type="dxa"/>
            <w:shd w:val="clear" w:color="auto" w:fill="F2F2F2"/>
          </w:tcPr>
          <w:p w14:paraId="179B3D4D" w14:textId="77777777" w:rsidR="00C66D3A" w:rsidRPr="00A87D70" w:rsidRDefault="00C66D3A" w:rsidP="00226F04">
            <w:pPr>
              <w:rPr>
                <w:rFonts w:ascii="Arial" w:eastAsia="Calibri" w:hAnsi="Arial" w:cs="Arial"/>
                <w:b/>
                <w:sz w:val="18"/>
                <w:szCs w:val="18"/>
              </w:rPr>
            </w:pPr>
            <w:r w:rsidRPr="00A87D70">
              <w:rPr>
                <w:rFonts w:ascii="Arial" w:eastAsia="Calibri" w:hAnsi="Arial" w:cs="Arial"/>
                <w:b/>
                <w:sz w:val="18"/>
                <w:szCs w:val="18"/>
              </w:rPr>
              <w:t>2021</w:t>
            </w:r>
          </w:p>
        </w:tc>
        <w:tc>
          <w:tcPr>
            <w:tcW w:w="992" w:type="dxa"/>
            <w:shd w:val="clear" w:color="auto" w:fill="F2F2F2"/>
          </w:tcPr>
          <w:p w14:paraId="398B604E" w14:textId="77777777" w:rsidR="00C66D3A" w:rsidRPr="00A87D70" w:rsidRDefault="00C66D3A" w:rsidP="00226F04">
            <w:pPr>
              <w:rPr>
                <w:rFonts w:ascii="Arial" w:eastAsia="Calibri" w:hAnsi="Arial" w:cs="Arial"/>
                <w:b/>
                <w:sz w:val="18"/>
                <w:szCs w:val="18"/>
              </w:rPr>
            </w:pPr>
            <w:r w:rsidRPr="00A87D70">
              <w:rPr>
                <w:rFonts w:ascii="Arial" w:eastAsia="Calibri" w:hAnsi="Arial" w:cs="Arial"/>
                <w:b/>
                <w:sz w:val="18"/>
                <w:szCs w:val="18"/>
              </w:rPr>
              <w:t>2022</w:t>
            </w:r>
          </w:p>
        </w:tc>
        <w:tc>
          <w:tcPr>
            <w:tcW w:w="992" w:type="dxa"/>
            <w:shd w:val="clear" w:color="auto" w:fill="F2F2F2"/>
          </w:tcPr>
          <w:p w14:paraId="32FA660E" w14:textId="77777777" w:rsidR="00C66D3A" w:rsidRPr="00A87D70" w:rsidRDefault="00C66D3A" w:rsidP="00226F04">
            <w:pPr>
              <w:rPr>
                <w:rFonts w:ascii="Arial" w:eastAsia="Calibri" w:hAnsi="Arial" w:cs="Arial"/>
                <w:b/>
                <w:sz w:val="18"/>
                <w:szCs w:val="18"/>
              </w:rPr>
            </w:pPr>
            <w:r w:rsidRPr="00A87D70">
              <w:rPr>
                <w:rFonts w:ascii="Arial" w:eastAsia="Calibri" w:hAnsi="Arial" w:cs="Arial"/>
                <w:b/>
                <w:sz w:val="18"/>
                <w:szCs w:val="18"/>
              </w:rPr>
              <w:t>2023</w:t>
            </w:r>
          </w:p>
        </w:tc>
        <w:tc>
          <w:tcPr>
            <w:tcW w:w="941" w:type="dxa"/>
            <w:shd w:val="clear" w:color="auto" w:fill="F2F2F2"/>
          </w:tcPr>
          <w:p w14:paraId="4B29F922" w14:textId="77777777" w:rsidR="00C66D3A" w:rsidRPr="00A87D70" w:rsidRDefault="00C66D3A" w:rsidP="00226F04">
            <w:pPr>
              <w:rPr>
                <w:rFonts w:ascii="Arial" w:eastAsia="Calibri" w:hAnsi="Arial" w:cs="Arial"/>
                <w:b/>
                <w:sz w:val="18"/>
                <w:szCs w:val="18"/>
              </w:rPr>
            </w:pPr>
            <w:r w:rsidRPr="00A87D70">
              <w:rPr>
                <w:rFonts w:ascii="Arial" w:eastAsia="Calibri" w:hAnsi="Arial" w:cs="Arial"/>
                <w:b/>
                <w:sz w:val="18"/>
                <w:szCs w:val="18"/>
              </w:rPr>
              <w:t>2024</w:t>
            </w:r>
          </w:p>
        </w:tc>
      </w:tr>
      <w:tr w:rsidR="00C66D3A" w:rsidRPr="00A87D70" w14:paraId="486FCF1A" w14:textId="77777777" w:rsidTr="00226F04">
        <w:tc>
          <w:tcPr>
            <w:tcW w:w="2972" w:type="dxa"/>
          </w:tcPr>
          <w:p w14:paraId="61B63B53" w14:textId="77777777" w:rsidR="00C66D3A" w:rsidRPr="005F6A9B" w:rsidRDefault="00C66D3A" w:rsidP="00C66D3A">
            <w:pPr>
              <w:pStyle w:val="Default"/>
              <w:numPr>
                <w:ilvl w:val="0"/>
                <w:numId w:val="4"/>
              </w:numPr>
              <w:rPr>
                <w:rFonts w:eastAsia="Times New Roman" w:cs="Times New Roman"/>
                <w:i/>
                <w:color w:val="0000FF"/>
                <w:sz w:val="18"/>
                <w:szCs w:val="18"/>
                <w:lang w:eastAsia="en-GB"/>
              </w:rPr>
            </w:pPr>
            <w:r>
              <w:rPr>
                <w:sz w:val="18"/>
                <w:szCs w:val="18"/>
              </w:rPr>
              <w:t xml:space="preserve">Coordinate and publish a list of diagnostic laboratories including operational expertise </w:t>
            </w:r>
          </w:p>
        </w:tc>
        <w:tc>
          <w:tcPr>
            <w:tcW w:w="1134" w:type="dxa"/>
          </w:tcPr>
          <w:p w14:paraId="270ED325" w14:textId="77777777" w:rsidR="00C66D3A" w:rsidRPr="005F6A9B" w:rsidRDefault="00C66D3A" w:rsidP="00C66D3A">
            <w:pPr>
              <w:pStyle w:val="Default"/>
              <w:numPr>
                <w:ilvl w:val="0"/>
                <w:numId w:val="4"/>
              </w:numPr>
              <w:rPr>
                <w:rFonts w:eastAsia="Times New Roman" w:cs="Times New Roman"/>
                <w:i/>
                <w:color w:val="0000FF"/>
                <w:sz w:val="18"/>
                <w:szCs w:val="18"/>
                <w:lang w:eastAsia="en-GB"/>
              </w:rPr>
            </w:pPr>
            <w:proofErr w:type="spellStart"/>
            <w:r>
              <w:rPr>
                <w:sz w:val="18"/>
                <w:szCs w:val="18"/>
              </w:rPr>
              <w:t>ExtP</w:t>
            </w:r>
            <w:proofErr w:type="spellEnd"/>
            <w:r>
              <w:rPr>
                <w:sz w:val="18"/>
                <w:szCs w:val="18"/>
              </w:rPr>
              <w:t xml:space="preserve"> </w:t>
            </w:r>
          </w:p>
        </w:tc>
        <w:tc>
          <w:tcPr>
            <w:tcW w:w="992" w:type="dxa"/>
          </w:tcPr>
          <w:p w14:paraId="7EC6ECCF" w14:textId="77777777" w:rsidR="00C66D3A" w:rsidRPr="00A87D70" w:rsidRDefault="00C66D3A" w:rsidP="00226F04">
            <w:pPr>
              <w:rPr>
                <w:rFonts w:ascii="Arial" w:eastAsia="Calibri" w:hAnsi="Arial" w:cs="Arial"/>
                <w:sz w:val="18"/>
                <w:szCs w:val="18"/>
              </w:rPr>
            </w:pPr>
            <w:r>
              <w:rPr>
                <w:rFonts w:ascii="Arial" w:eastAsia="Calibri" w:hAnsi="Arial" w:cs="Arial"/>
                <w:sz w:val="18"/>
                <w:szCs w:val="18"/>
              </w:rPr>
              <w:t>30K</w:t>
            </w:r>
          </w:p>
        </w:tc>
        <w:tc>
          <w:tcPr>
            <w:tcW w:w="993" w:type="dxa"/>
          </w:tcPr>
          <w:p w14:paraId="3077AE25" w14:textId="77777777" w:rsidR="00C66D3A" w:rsidRPr="00A87D70" w:rsidRDefault="00C66D3A" w:rsidP="00226F04">
            <w:pPr>
              <w:rPr>
                <w:rFonts w:ascii="Arial" w:eastAsia="Calibri" w:hAnsi="Arial" w:cs="Arial"/>
                <w:sz w:val="18"/>
                <w:szCs w:val="18"/>
              </w:rPr>
            </w:pPr>
          </w:p>
        </w:tc>
        <w:tc>
          <w:tcPr>
            <w:tcW w:w="992" w:type="dxa"/>
          </w:tcPr>
          <w:p w14:paraId="7A609F79" w14:textId="77777777" w:rsidR="00C66D3A" w:rsidRPr="00A87D70" w:rsidRDefault="00C66D3A" w:rsidP="00226F04">
            <w:pPr>
              <w:rPr>
                <w:rFonts w:ascii="Arial" w:eastAsia="Calibri" w:hAnsi="Arial" w:cs="Arial"/>
                <w:sz w:val="18"/>
                <w:szCs w:val="18"/>
              </w:rPr>
            </w:pPr>
            <w:r>
              <w:rPr>
                <w:rFonts w:ascii="Arial" w:eastAsia="Calibri" w:hAnsi="Arial" w:cs="Arial"/>
                <w:sz w:val="18"/>
                <w:szCs w:val="18"/>
              </w:rPr>
              <w:t>10K</w:t>
            </w:r>
          </w:p>
        </w:tc>
        <w:tc>
          <w:tcPr>
            <w:tcW w:w="992" w:type="dxa"/>
          </w:tcPr>
          <w:p w14:paraId="67D2E395" w14:textId="77777777" w:rsidR="00C66D3A" w:rsidRPr="00A87D70" w:rsidRDefault="00C66D3A" w:rsidP="00226F04">
            <w:pPr>
              <w:rPr>
                <w:rFonts w:ascii="Arial" w:eastAsia="Calibri" w:hAnsi="Arial" w:cs="Arial"/>
                <w:sz w:val="18"/>
                <w:szCs w:val="18"/>
              </w:rPr>
            </w:pPr>
          </w:p>
        </w:tc>
        <w:tc>
          <w:tcPr>
            <w:tcW w:w="941" w:type="dxa"/>
          </w:tcPr>
          <w:p w14:paraId="2071CA6F" w14:textId="77777777" w:rsidR="00C66D3A" w:rsidRPr="00A87D70" w:rsidRDefault="00C66D3A" w:rsidP="00226F04">
            <w:pPr>
              <w:rPr>
                <w:rFonts w:ascii="Arial" w:eastAsia="Calibri" w:hAnsi="Arial" w:cs="Arial"/>
                <w:sz w:val="18"/>
                <w:szCs w:val="18"/>
              </w:rPr>
            </w:pPr>
          </w:p>
        </w:tc>
      </w:tr>
      <w:tr w:rsidR="00C66D3A" w:rsidRPr="00A87D70" w14:paraId="11827F7A" w14:textId="77777777" w:rsidTr="00226F04">
        <w:tc>
          <w:tcPr>
            <w:tcW w:w="2972" w:type="dxa"/>
          </w:tcPr>
          <w:p w14:paraId="0468FCEE" w14:textId="77777777" w:rsidR="00C66D3A" w:rsidRPr="005F6A9B" w:rsidRDefault="00C66D3A" w:rsidP="00C66D3A">
            <w:pPr>
              <w:pStyle w:val="Default"/>
              <w:numPr>
                <w:ilvl w:val="0"/>
                <w:numId w:val="4"/>
              </w:numPr>
              <w:rPr>
                <w:rFonts w:eastAsia="Times New Roman" w:cs="Times New Roman"/>
                <w:i/>
                <w:color w:val="0000FF"/>
                <w:sz w:val="18"/>
                <w:szCs w:val="18"/>
                <w:lang w:eastAsia="en-GB"/>
              </w:rPr>
            </w:pPr>
            <w:r>
              <w:rPr>
                <w:sz w:val="18"/>
                <w:szCs w:val="18"/>
              </w:rPr>
              <w:t xml:space="preserve">Develop a model for networked or shared diagnostic laboratories </w:t>
            </w:r>
          </w:p>
        </w:tc>
        <w:tc>
          <w:tcPr>
            <w:tcW w:w="1134" w:type="dxa"/>
          </w:tcPr>
          <w:p w14:paraId="4ABBD9D4" w14:textId="77777777" w:rsidR="00C66D3A" w:rsidRPr="005F6A9B" w:rsidRDefault="00C66D3A" w:rsidP="00C66D3A">
            <w:pPr>
              <w:pStyle w:val="Default"/>
              <w:numPr>
                <w:ilvl w:val="0"/>
                <w:numId w:val="4"/>
              </w:numPr>
              <w:rPr>
                <w:rFonts w:eastAsia="Times New Roman" w:cs="Times New Roman"/>
                <w:i/>
                <w:color w:val="0000FF"/>
                <w:sz w:val="18"/>
                <w:szCs w:val="18"/>
                <w:lang w:eastAsia="en-GB"/>
              </w:rPr>
            </w:pPr>
            <w:proofErr w:type="spellStart"/>
            <w:r>
              <w:rPr>
                <w:sz w:val="18"/>
                <w:szCs w:val="18"/>
              </w:rPr>
              <w:t>ExtP</w:t>
            </w:r>
            <w:proofErr w:type="spellEnd"/>
            <w:r>
              <w:rPr>
                <w:sz w:val="18"/>
                <w:szCs w:val="18"/>
              </w:rPr>
              <w:t xml:space="preserve"> </w:t>
            </w:r>
          </w:p>
        </w:tc>
        <w:tc>
          <w:tcPr>
            <w:tcW w:w="992" w:type="dxa"/>
          </w:tcPr>
          <w:p w14:paraId="23A069AB" w14:textId="77777777" w:rsidR="00C66D3A" w:rsidRPr="00A87D70" w:rsidRDefault="00C66D3A" w:rsidP="00226F04">
            <w:pPr>
              <w:rPr>
                <w:rFonts w:ascii="Arial" w:eastAsia="Calibri" w:hAnsi="Arial" w:cs="Arial"/>
                <w:sz w:val="18"/>
                <w:szCs w:val="18"/>
              </w:rPr>
            </w:pPr>
          </w:p>
        </w:tc>
        <w:tc>
          <w:tcPr>
            <w:tcW w:w="993" w:type="dxa"/>
          </w:tcPr>
          <w:p w14:paraId="5C027BD1" w14:textId="77777777" w:rsidR="00C66D3A" w:rsidRPr="00A87D70" w:rsidRDefault="00C66D3A" w:rsidP="00226F04">
            <w:pPr>
              <w:rPr>
                <w:rFonts w:ascii="Arial" w:eastAsia="Calibri" w:hAnsi="Arial" w:cs="Arial"/>
                <w:sz w:val="18"/>
                <w:szCs w:val="18"/>
              </w:rPr>
            </w:pPr>
            <w:r>
              <w:rPr>
                <w:rFonts w:ascii="Arial" w:eastAsia="Calibri" w:hAnsi="Arial" w:cs="Arial"/>
                <w:sz w:val="18"/>
                <w:szCs w:val="18"/>
              </w:rPr>
              <w:t>100K</w:t>
            </w:r>
          </w:p>
        </w:tc>
        <w:tc>
          <w:tcPr>
            <w:tcW w:w="992" w:type="dxa"/>
          </w:tcPr>
          <w:p w14:paraId="6654F1B1" w14:textId="77777777" w:rsidR="00C66D3A" w:rsidRPr="00A87D70" w:rsidRDefault="00C66D3A" w:rsidP="00226F04">
            <w:pPr>
              <w:rPr>
                <w:rFonts w:ascii="Arial" w:eastAsia="Calibri" w:hAnsi="Arial" w:cs="Arial"/>
                <w:sz w:val="18"/>
                <w:szCs w:val="18"/>
              </w:rPr>
            </w:pPr>
            <w:r>
              <w:rPr>
                <w:rFonts w:ascii="Arial" w:eastAsia="Calibri" w:hAnsi="Arial" w:cs="Arial"/>
                <w:sz w:val="18"/>
                <w:szCs w:val="18"/>
              </w:rPr>
              <w:t>60K</w:t>
            </w:r>
          </w:p>
        </w:tc>
        <w:tc>
          <w:tcPr>
            <w:tcW w:w="992" w:type="dxa"/>
          </w:tcPr>
          <w:p w14:paraId="63C8FB4D" w14:textId="77777777" w:rsidR="00C66D3A" w:rsidRPr="00A87D70" w:rsidRDefault="00C66D3A" w:rsidP="00226F04">
            <w:pPr>
              <w:rPr>
                <w:rFonts w:ascii="Arial" w:eastAsia="Calibri" w:hAnsi="Arial" w:cs="Arial"/>
                <w:sz w:val="18"/>
                <w:szCs w:val="18"/>
              </w:rPr>
            </w:pPr>
          </w:p>
        </w:tc>
        <w:tc>
          <w:tcPr>
            <w:tcW w:w="941" w:type="dxa"/>
          </w:tcPr>
          <w:p w14:paraId="305D974F" w14:textId="77777777" w:rsidR="00C66D3A" w:rsidRPr="00A87D70" w:rsidRDefault="00C66D3A" w:rsidP="00226F04">
            <w:pPr>
              <w:rPr>
                <w:rFonts w:ascii="Arial" w:eastAsia="Calibri" w:hAnsi="Arial" w:cs="Arial"/>
                <w:sz w:val="18"/>
                <w:szCs w:val="18"/>
              </w:rPr>
            </w:pPr>
          </w:p>
        </w:tc>
      </w:tr>
      <w:tr w:rsidR="00C66D3A" w:rsidRPr="00A87D70" w14:paraId="6BB4DAA7" w14:textId="77777777" w:rsidTr="00226F04">
        <w:tc>
          <w:tcPr>
            <w:tcW w:w="2972" w:type="dxa"/>
          </w:tcPr>
          <w:p w14:paraId="566133A0" w14:textId="77777777" w:rsidR="00C66D3A" w:rsidRPr="005F6A9B" w:rsidRDefault="00C66D3A" w:rsidP="00C66D3A">
            <w:pPr>
              <w:pStyle w:val="Default"/>
              <w:numPr>
                <w:ilvl w:val="0"/>
                <w:numId w:val="4"/>
              </w:numPr>
              <w:rPr>
                <w:rFonts w:eastAsia="Times New Roman" w:cs="Times New Roman"/>
                <w:i/>
                <w:color w:val="0000FF"/>
                <w:sz w:val="18"/>
                <w:szCs w:val="18"/>
                <w:lang w:eastAsia="en-GB"/>
              </w:rPr>
            </w:pPr>
            <w:r>
              <w:rPr>
                <w:sz w:val="18"/>
                <w:szCs w:val="18"/>
              </w:rPr>
              <w:t xml:space="preserve">Draft standards and protocols </w:t>
            </w:r>
          </w:p>
        </w:tc>
        <w:tc>
          <w:tcPr>
            <w:tcW w:w="1134" w:type="dxa"/>
          </w:tcPr>
          <w:p w14:paraId="6A0665D4" w14:textId="77777777" w:rsidR="00C66D3A" w:rsidRPr="005F6A9B" w:rsidRDefault="00C66D3A" w:rsidP="00C66D3A">
            <w:pPr>
              <w:pStyle w:val="Default"/>
              <w:numPr>
                <w:ilvl w:val="0"/>
                <w:numId w:val="4"/>
              </w:numPr>
              <w:rPr>
                <w:rFonts w:eastAsia="Times New Roman" w:cs="Times New Roman"/>
                <w:i/>
                <w:color w:val="0000FF"/>
                <w:sz w:val="18"/>
                <w:szCs w:val="18"/>
                <w:lang w:eastAsia="en-GB"/>
              </w:rPr>
            </w:pPr>
            <w:proofErr w:type="spellStart"/>
            <w:r>
              <w:rPr>
                <w:sz w:val="18"/>
                <w:szCs w:val="18"/>
              </w:rPr>
              <w:t>ExtP</w:t>
            </w:r>
            <w:proofErr w:type="spellEnd"/>
            <w:r>
              <w:rPr>
                <w:sz w:val="18"/>
                <w:szCs w:val="18"/>
              </w:rPr>
              <w:t xml:space="preserve"> </w:t>
            </w:r>
          </w:p>
        </w:tc>
        <w:tc>
          <w:tcPr>
            <w:tcW w:w="992" w:type="dxa"/>
          </w:tcPr>
          <w:p w14:paraId="127D54A7" w14:textId="77777777" w:rsidR="00C66D3A" w:rsidRPr="00A87D70" w:rsidRDefault="00C66D3A" w:rsidP="00226F04">
            <w:pPr>
              <w:rPr>
                <w:rFonts w:ascii="Arial" w:eastAsia="Calibri" w:hAnsi="Arial" w:cs="Arial"/>
                <w:sz w:val="18"/>
                <w:szCs w:val="18"/>
              </w:rPr>
            </w:pPr>
          </w:p>
        </w:tc>
        <w:tc>
          <w:tcPr>
            <w:tcW w:w="993" w:type="dxa"/>
          </w:tcPr>
          <w:p w14:paraId="6D254DF3" w14:textId="77777777" w:rsidR="00C66D3A" w:rsidRPr="00A87D70" w:rsidRDefault="00C66D3A" w:rsidP="00226F04">
            <w:pPr>
              <w:rPr>
                <w:rFonts w:ascii="Arial" w:eastAsia="Calibri" w:hAnsi="Arial" w:cs="Arial"/>
                <w:sz w:val="18"/>
                <w:szCs w:val="18"/>
              </w:rPr>
            </w:pPr>
          </w:p>
        </w:tc>
        <w:tc>
          <w:tcPr>
            <w:tcW w:w="992" w:type="dxa"/>
          </w:tcPr>
          <w:p w14:paraId="4B2C67D3" w14:textId="77777777" w:rsidR="00C66D3A" w:rsidRPr="00A87D70" w:rsidRDefault="00C66D3A" w:rsidP="00226F04">
            <w:pPr>
              <w:rPr>
                <w:rFonts w:ascii="Arial" w:eastAsia="Calibri" w:hAnsi="Arial" w:cs="Arial"/>
                <w:sz w:val="18"/>
                <w:szCs w:val="18"/>
              </w:rPr>
            </w:pPr>
            <w:r>
              <w:rPr>
                <w:rFonts w:ascii="Arial" w:eastAsia="Calibri" w:hAnsi="Arial" w:cs="Arial"/>
                <w:sz w:val="18"/>
                <w:szCs w:val="18"/>
              </w:rPr>
              <w:t>60K</w:t>
            </w:r>
          </w:p>
        </w:tc>
        <w:tc>
          <w:tcPr>
            <w:tcW w:w="992" w:type="dxa"/>
          </w:tcPr>
          <w:p w14:paraId="0197EFEF" w14:textId="77777777" w:rsidR="00C66D3A" w:rsidRPr="00A87D70" w:rsidRDefault="00C66D3A" w:rsidP="00226F04">
            <w:pPr>
              <w:rPr>
                <w:rFonts w:ascii="Arial" w:eastAsia="Calibri" w:hAnsi="Arial" w:cs="Arial"/>
                <w:sz w:val="18"/>
                <w:szCs w:val="18"/>
              </w:rPr>
            </w:pPr>
            <w:r>
              <w:rPr>
                <w:rFonts w:ascii="Arial" w:eastAsia="Calibri" w:hAnsi="Arial" w:cs="Arial"/>
                <w:sz w:val="18"/>
                <w:szCs w:val="18"/>
              </w:rPr>
              <w:t>15K</w:t>
            </w:r>
          </w:p>
        </w:tc>
        <w:tc>
          <w:tcPr>
            <w:tcW w:w="941" w:type="dxa"/>
          </w:tcPr>
          <w:p w14:paraId="3CDC54FA" w14:textId="77777777" w:rsidR="00C66D3A" w:rsidRPr="00A87D70" w:rsidRDefault="00C66D3A" w:rsidP="00226F04">
            <w:pPr>
              <w:rPr>
                <w:rFonts w:ascii="Arial" w:eastAsia="Calibri" w:hAnsi="Arial" w:cs="Arial"/>
                <w:sz w:val="18"/>
                <w:szCs w:val="18"/>
              </w:rPr>
            </w:pPr>
            <w:r>
              <w:rPr>
                <w:rFonts w:ascii="Arial" w:eastAsia="Calibri" w:hAnsi="Arial" w:cs="Arial"/>
                <w:sz w:val="18"/>
                <w:szCs w:val="18"/>
              </w:rPr>
              <w:t>15K</w:t>
            </w:r>
          </w:p>
        </w:tc>
      </w:tr>
      <w:tr w:rsidR="00C66D3A" w:rsidRPr="00A87D70" w14:paraId="1871E3CC" w14:textId="77777777" w:rsidTr="00226F04">
        <w:trPr>
          <w:trHeight w:val="440"/>
        </w:trPr>
        <w:tc>
          <w:tcPr>
            <w:tcW w:w="2972" w:type="dxa"/>
          </w:tcPr>
          <w:p w14:paraId="14352A30" w14:textId="77777777" w:rsidR="00C66D3A" w:rsidRPr="005F6A9B" w:rsidRDefault="00C66D3A" w:rsidP="00C66D3A">
            <w:pPr>
              <w:pStyle w:val="Default"/>
              <w:numPr>
                <w:ilvl w:val="0"/>
                <w:numId w:val="4"/>
              </w:numPr>
              <w:rPr>
                <w:rFonts w:eastAsia="Times New Roman" w:cs="Times New Roman"/>
                <w:i/>
                <w:color w:val="0000FF"/>
                <w:sz w:val="18"/>
                <w:szCs w:val="18"/>
                <w:lang w:eastAsia="en-GB"/>
              </w:rPr>
            </w:pPr>
            <w:r>
              <w:rPr>
                <w:sz w:val="18"/>
                <w:szCs w:val="18"/>
              </w:rPr>
              <w:t xml:space="preserve">Coordinate a pilot laboratory network </w:t>
            </w:r>
          </w:p>
        </w:tc>
        <w:tc>
          <w:tcPr>
            <w:tcW w:w="1134" w:type="dxa"/>
          </w:tcPr>
          <w:p w14:paraId="56A02E1B" w14:textId="77777777" w:rsidR="00C66D3A" w:rsidRPr="005F6A9B" w:rsidRDefault="00C66D3A" w:rsidP="00C66D3A">
            <w:pPr>
              <w:pStyle w:val="Default"/>
              <w:numPr>
                <w:ilvl w:val="0"/>
                <w:numId w:val="4"/>
              </w:numPr>
              <w:rPr>
                <w:rFonts w:eastAsia="Times New Roman" w:cs="Times New Roman"/>
                <w:i/>
                <w:color w:val="0000FF"/>
                <w:sz w:val="18"/>
                <w:szCs w:val="18"/>
                <w:lang w:eastAsia="en-GB"/>
              </w:rPr>
            </w:pPr>
            <w:proofErr w:type="spellStart"/>
            <w:r>
              <w:rPr>
                <w:sz w:val="18"/>
                <w:szCs w:val="18"/>
              </w:rPr>
              <w:t>ExtP</w:t>
            </w:r>
            <w:proofErr w:type="spellEnd"/>
            <w:r>
              <w:rPr>
                <w:sz w:val="18"/>
                <w:szCs w:val="18"/>
              </w:rPr>
              <w:t xml:space="preserve"> </w:t>
            </w:r>
          </w:p>
        </w:tc>
        <w:tc>
          <w:tcPr>
            <w:tcW w:w="992" w:type="dxa"/>
          </w:tcPr>
          <w:p w14:paraId="5A15A443" w14:textId="77777777" w:rsidR="00C66D3A" w:rsidRPr="00A87D70" w:rsidRDefault="00C66D3A" w:rsidP="00226F04">
            <w:pPr>
              <w:rPr>
                <w:rFonts w:ascii="Arial" w:eastAsia="Calibri" w:hAnsi="Arial" w:cs="Arial"/>
                <w:sz w:val="18"/>
                <w:szCs w:val="18"/>
              </w:rPr>
            </w:pPr>
          </w:p>
        </w:tc>
        <w:tc>
          <w:tcPr>
            <w:tcW w:w="993" w:type="dxa"/>
          </w:tcPr>
          <w:p w14:paraId="0B4B921C" w14:textId="77777777" w:rsidR="00C66D3A" w:rsidRPr="00A87D70" w:rsidRDefault="00C66D3A" w:rsidP="00226F04">
            <w:pPr>
              <w:rPr>
                <w:rFonts w:ascii="Arial" w:eastAsia="Calibri" w:hAnsi="Arial" w:cs="Arial"/>
                <w:sz w:val="18"/>
                <w:szCs w:val="18"/>
              </w:rPr>
            </w:pPr>
          </w:p>
        </w:tc>
        <w:tc>
          <w:tcPr>
            <w:tcW w:w="992" w:type="dxa"/>
          </w:tcPr>
          <w:p w14:paraId="6D30E1A2" w14:textId="77777777" w:rsidR="00C66D3A" w:rsidRPr="00A87D70" w:rsidRDefault="00C66D3A" w:rsidP="00226F04">
            <w:pPr>
              <w:rPr>
                <w:rFonts w:ascii="Arial" w:eastAsia="Calibri" w:hAnsi="Arial" w:cs="Arial"/>
                <w:sz w:val="18"/>
                <w:szCs w:val="18"/>
              </w:rPr>
            </w:pPr>
            <w:r>
              <w:rPr>
                <w:rFonts w:ascii="Arial" w:eastAsia="Calibri" w:hAnsi="Arial" w:cs="Arial"/>
                <w:sz w:val="18"/>
                <w:szCs w:val="18"/>
              </w:rPr>
              <w:t>15K</w:t>
            </w:r>
          </w:p>
        </w:tc>
        <w:tc>
          <w:tcPr>
            <w:tcW w:w="992" w:type="dxa"/>
          </w:tcPr>
          <w:p w14:paraId="074CFD2A" w14:textId="77777777" w:rsidR="00C66D3A" w:rsidRPr="00A87D70" w:rsidRDefault="00C66D3A" w:rsidP="00226F04">
            <w:pPr>
              <w:rPr>
                <w:rFonts w:ascii="Arial" w:eastAsia="Calibri" w:hAnsi="Arial" w:cs="Arial"/>
                <w:sz w:val="18"/>
                <w:szCs w:val="18"/>
              </w:rPr>
            </w:pPr>
            <w:r>
              <w:rPr>
                <w:rFonts w:ascii="Arial" w:eastAsia="Calibri" w:hAnsi="Arial" w:cs="Arial"/>
                <w:sz w:val="18"/>
                <w:szCs w:val="18"/>
              </w:rPr>
              <w:t>30K</w:t>
            </w:r>
          </w:p>
        </w:tc>
        <w:tc>
          <w:tcPr>
            <w:tcW w:w="941" w:type="dxa"/>
          </w:tcPr>
          <w:p w14:paraId="2F98EABB" w14:textId="77777777" w:rsidR="00C66D3A" w:rsidRPr="00A87D70" w:rsidRDefault="00C66D3A" w:rsidP="00226F04">
            <w:pPr>
              <w:rPr>
                <w:rFonts w:ascii="Arial" w:eastAsia="Calibri" w:hAnsi="Arial" w:cs="Arial"/>
                <w:sz w:val="18"/>
                <w:szCs w:val="18"/>
              </w:rPr>
            </w:pPr>
          </w:p>
        </w:tc>
      </w:tr>
      <w:tr w:rsidR="00C66D3A" w:rsidRPr="00A87D70" w14:paraId="53E01655" w14:textId="77777777" w:rsidTr="00226F04">
        <w:tc>
          <w:tcPr>
            <w:tcW w:w="2972" w:type="dxa"/>
          </w:tcPr>
          <w:p w14:paraId="643CD71C" w14:textId="77777777" w:rsidR="00C66D3A" w:rsidRPr="00A87D70" w:rsidRDefault="00C66D3A" w:rsidP="00226F04">
            <w:pPr>
              <w:rPr>
                <w:rFonts w:ascii="Arial" w:eastAsia="Calibri" w:hAnsi="Arial" w:cs="Arial"/>
                <w:b/>
                <w:sz w:val="18"/>
                <w:szCs w:val="18"/>
              </w:rPr>
            </w:pPr>
            <w:r w:rsidRPr="00A87D70">
              <w:rPr>
                <w:rFonts w:ascii="Arial" w:hAnsi="Arial" w:cs="Arial"/>
                <w:b/>
                <w:bCs/>
                <w:sz w:val="18"/>
                <w:szCs w:val="18"/>
              </w:rPr>
              <w:t xml:space="preserve">Total </w:t>
            </w:r>
          </w:p>
        </w:tc>
        <w:tc>
          <w:tcPr>
            <w:tcW w:w="1134" w:type="dxa"/>
          </w:tcPr>
          <w:p w14:paraId="0D152A63" w14:textId="77777777" w:rsidR="00C66D3A" w:rsidRPr="005F6A9B" w:rsidRDefault="00C66D3A" w:rsidP="00C66D3A">
            <w:pPr>
              <w:pStyle w:val="Default"/>
              <w:numPr>
                <w:ilvl w:val="0"/>
                <w:numId w:val="4"/>
              </w:numPr>
              <w:rPr>
                <w:rFonts w:eastAsia="Times New Roman" w:cs="Times New Roman"/>
                <w:i/>
                <w:color w:val="0000FF"/>
                <w:sz w:val="18"/>
                <w:szCs w:val="18"/>
                <w:lang w:eastAsia="en-GB"/>
              </w:rPr>
            </w:pPr>
            <w:proofErr w:type="spellStart"/>
            <w:r>
              <w:rPr>
                <w:sz w:val="18"/>
                <w:szCs w:val="18"/>
              </w:rPr>
              <w:t>ExtP</w:t>
            </w:r>
            <w:proofErr w:type="spellEnd"/>
            <w:r>
              <w:rPr>
                <w:sz w:val="18"/>
                <w:szCs w:val="18"/>
              </w:rPr>
              <w:t xml:space="preserve"> </w:t>
            </w:r>
          </w:p>
        </w:tc>
        <w:tc>
          <w:tcPr>
            <w:tcW w:w="992" w:type="dxa"/>
          </w:tcPr>
          <w:p w14:paraId="0007C9F2" w14:textId="77777777" w:rsidR="00C66D3A" w:rsidRDefault="00C66D3A" w:rsidP="00226F04">
            <w:pPr>
              <w:pStyle w:val="Default"/>
              <w:rPr>
                <w:sz w:val="18"/>
                <w:szCs w:val="18"/>
              </w:rPr>
            </w:pPr>
            <w:r>
              <w:rPr>
                <w:b/>
                <w:bCs/>
                <w:sz w:val="18"/>
                <w:szCs w:val="18"/>
              </w:rPr>
              <w:t xml:space="preserve">30 K </w:t>
            </w:r>
          </w:p>
        </w:tc>
        <w:tc>
          <w:tcPr>
            <w:tcW w:w="993" w:type="dxa"/>
          </w:tcPr>
          <w:p w14:paraId="45DB024F" w14:textId="77777777" w:rsidR="00C66D3A" w:rsidRDefault="00C66D3A" w:rsidP="00226F04">
            <w:pPr>
              <w:pStyle w:val="Default"/>
              <w:rPr>
                <w:sz w:val="18"/>
                <w:szCs w:val="18"/>
              </w:rPr>
            </w:pPr>
            <w:r>
              <w:rPr>
                <w:b/>
                <w:bCs/>
                <w:sz w:val="18"/>
                <w:szCs w:val="18"/>
              </w:rPr>
              <w:t xml:space="preserve">100 K </w:t>
            </w:r>
          </w:p>
        </w:tc>
        <w:tc>
          <w:tcPr>
            <w:tcW w:w="992" w:type="dxa"/>
          </w:tcPr>
          <w:p w14:paraId="7DF46FC8" w14:textId="77777777" w:rsidR="00C66D3A" w:rsidRDefault="00C66D3A" w:rsidP="00226F04">
            <w:pPr>
              <w:pStyle w:val="Default"/>
              <w:rPr>
                <w:sz w:val="18"/>
                <w:szCs w:val="18"/>
              </w:rPr>
            </w:pPr>
            <w:r>
              <w:rPr>
                <w:b/>
                <w:bCs/>
                <w:sz w:val="18"/>
                <w:szCs w:val="18"/>
              </w:rPr>
              <w:t xml:space="preserve">145 K </w:t>
            </w:r>
          </w:p>
        </w:tc>
        <w:tc>
          <w:tcPr>
            <w:tcW w:w="992" w:type="dxa"/>
          </w:tcPr>
          <w:p w14:paraId="25714664" w14:textId="77777777" w:rsidR="00C66D3A" w:rsidRDefault="00C66D3A" w:rsidP="00226F04">
            <w:pPr>
              <w:pStyle w:val="Default"/>
              <w:rPr>
                <w:sz w:val="18"/>
                <w:szCs w:val="18"/>
              </w:rPr>
            </w:pPr>
            <w:r>
              <w:rPr>
                <w:b/>
                <w:bCs/>
                <w:sz w:val="18"/>
                <w:szCs w:val="18"/>
              </w:rPr>
              <w:t xml:space="preserve">45 K </w:t>
            </w:r>
          </w:p>
        </w:tc>
        <w:tc>
          <w:tcPr>
            <w:tcW w:w="941" w:type="dxa"/>
          </w:tcPr>
          <w:p w14:paraId="05A63230" w14:textId="77777777" w:rsidR="00C66D3A" w:rsidRDefault="00C66D3A" w:rsidP="00226F04">
            <w:pPr>
              <w:pStyle w:val="Default"/>
              <w:rPr>
                <w:sz w:val="18"/>
                <w:szCs w:val="18"/>
              </w:rPr>
            </w:pPr>
            <w:r>
              <w:rPr>
                <w:b/>
                <w:bCs/>
                <w:sz w:val="18"/>
                <w:szCs w:val="18"/>
              </w:rPr>
              <w:t xml:space="preserve">15 K </w:t>
            </w:r>
          </w:p>
        </w:tc>
      </w:tr>
      <w:tr w:rsidR="00C66D3A" w:rsidRPr="00A87D70" w14:paraId="32714AF2" w14:textId="77777777" w:rsidTr="00226F04">
        <w:tc>
          <w:tcPr>
            <w:tcW w:w="2972" w:type="dxa"/>
          </w:tcPr>
          <w:p w14:paraId="56C58BE0" w14:textId="77777777" w:rsidR="00C66D3A" w:rsidRPr="00A87D70" w:rsidRDefault="00C66D3A" w:rsidP="00226F04">
            <w:pPr>
              <w:rPr>
                <w:rFonts w:ascii="Arial" w:eastAsia="Calibri" w:hAnsi="Arial" w:cs="Arial"/>
                <w:sz w:val="18"/>
                <w:szCs w:val="18"/>
              </w:rPr>
            </w:pPr>
            <w:r w:rsidRPr="00A87D70">
              <w:rPr>
                <w:rFonts w:ascii="Arial" w:hAnsi="Arial" w:cs="Arial"/>
                <w:sz w:val="18"/>
                <w:szCs w:val="18"/>
              </w:rPr>
              <w:t xml:space="preserve">FTE (estimate) </w:t>
            </w:r>
          </w:p>
        </w:tc>
        <w:tc>
          <w:tcPr>
            <w:tcW w:w="1134" w:type="dxa"/>
          </w:tcPr>
          <w:p w14:paraId="7393F7C6" w14:textId="77777777" w:rsidR="00C66D3A" w:rsidRPr="005F6A9B" w:rsidRDefault="00C66D3A" w:rsidP="00C66D3A">
            <w:pPr>
              <w:pStyle w:val="Default"/>
              <w:numPr>
                <w:ilvl w:val="0"/>
                <w:numId w:val="4"/>
              </w:numPr>
              <w:rPr>
                <w:rFonts w:eastAsia="Times New Roman" w:cs="Times New Roman"/>
                <w:i/>
                <w:color w:val="0000FF"/>
                <w:sz w:val="18"/>
                <w:szCs w:val="18"/>
                <w:lang w:eastAsia="en-GB"/>
              </w:rPr>
            </w:pPr>
            <w:proofErr w:type="spellStart"/>
            <w:r>
              <w:rPr>
                <w:sz w:val="18"/>
                <w:szCs w:val="18"/>
              </w:rPr>
              <w:t>ExtP</w:t>
            </w:r>
            <w:proofErr w:type="spellEnd"/>
            <w:r>
              <w:rPr>
                <w:sz w:val="18"/>
                <w:szCs w:val="18"/>
              </w:rPr>
              <w:t xml:space="preserve"> </w:t>
            </w:r>
          </w:p>
        </w:tc>
        <w:tc>
          <w:tcPr>
            <w:tcW w:w="992" w:type="dxa"/>
          </w:tcPr>
          <w:p w14:paraId="0E955A3F" w14:textId="77777777" w:rsidR="00C66D3A" w:rsidRDefault="00C66D3A" w:rsidP="00226F04">
            <w:pPr>
              <w:pStyle w:val="Default"/>
              <w:rPr>
                <w:sz w:val="18"/>
                <w:szCs w:val="18"/>
              </w:rPr>
            </w:pPr>
            <w:r>
              <w:rPr>
                <w:sz w:val="18"/>
                <w:szCs w:val="18"/>
              </w:rPr>
              <w:t xml:space="preserve">0.25 </w:t>
            </w:r>
          </w:p>
        </w:tc>
        <w:tc>
          <w:tcPr>
            <w:tcW w:w="993" w:type="dxa"/>
          </w:tcPr>
          <w:p w14:paraId="12B3EB58" w14:textId="77777777" w:rsidR="00C66D3A" w:rsidRDefault="00C66D3A" w:rsidP="00226F04">
            <w:pPr>
              <w:pStyle w:val="Default"/>
              <w:rPr>
                <w:sz w:val="18"/>
                <w:szCs w:val="18"/>
              </w:rPr>
            </w:pPr>
            <w:r>
              <w:rPr>
                <w:sz w:val="18"/>
                <w:szCs w:val="18"/>
              </w:rPr>
              <w:t xml:space="preserve">0.5 </w:t>
            </w:r>
          </w:p>
        </w:tc>
        <w:tc>
          <w:tcPr>
            <w:tcW w:w="992" w:type="dxa"/>
          </w:tcPr>
          <w:p w14:paraId="1B585B40" w14:textId="77777777" w:rsidR="00C66D3A" w:rsidRDefault="00C66D3A" w:rsidP="00226F04">
            <w:pPr>
              <w:pStyle w:val="Default"/>
              <w:rPr>
                <w:sz w:val="18"/>
                <w:szCs w:val="18"/>
              </w:rPr>
            </w:pPr>
            <w:r>
              <w:rPr>
                <w:sz w:val="18"/>
                <w:szCs w:val="18"/>
              </w:rPr>
              <w:t xml:space="preserve">1.25 </w:t>
            </w:r>
          </w:p>
        </w:tc>
        <w:tc>
          <w:tcPr>
            <w:tcW w:w="992" w:type="dxa"/>
          </w:tcPr>
          <w:p w14:paraId="27B15648" w14:textId="77777777" w:rsidR="00C66D3A" w:rsidRDefault="00C66D3A" w:rsidP="00226F04">
            <w:pPr>
              <w:pStyle w:val="Default"/>
              <w:rPr>
                <w:sz w:val="18"/>
                <w:szCs w:val="18"/>
              </w:rPr>
            </w:pPr>
            <w:r>
              <w:rPr>
                <w:sz w:val="18"/>
                <w:szCs w:val="18"/>
              </w:rPr>
              <w:t xml:space="preserve">0.5 </w:t>
            </w:r>
          </w:p>
        </w:tc>
        <w:tc>
          <w:tcPr>
            <w:tcW w:w="941" w:type="dxa"/>
          </w:tcPr>
          <w:p w14:paraId="5947CC31" w14:textId="77777777" w:rsidR="00C66D3A" w:rsidRDefault="00C66D3A" w:rsidP="00226F04">
            <w:pPr>
              <w:pStyle w:val="Default"/>
              <w:rPr>
                <w:sz w:val="18"/>
                <w:szCs w:val="18"/>
              </w:rPr>
            </w:pPr>
            <w:r>
              <w:rPr>
                <w:sz w:val="18"/>
                <w:szCs w:val="18"/>
              </w:rPr>
              <w:t xml:space="preserve">0.1 </w:t>
            </w:r>
          </w:p>
        </w:tc>
      </w:tr>
    </w:tbl>
    <w:p w14:paraId="3F54E2E8" w14:textId="77777777" w:rsidR="00C66D3A" w:rsidRDefault="00C66D3A" w:rsidP="00C66D3A">
      <w:pPr>
        <w:pStyle w:val="IPPParagraphnumbering"/>
        <w:numPr>
          <w:ilvl w:val="0"/>
          <w:numId w:val="0"/>
        </w:numPr>
      </w:pPr>
    </w:p>
    <w:p w14:paraId="3691B294" w14:textId="77777777" w:rsidR="00C66D3A" w:rsidRDefault="00C66D3A" w:rsidP="00C66D3A">
      <w:pPr>
        <w:pStyle w:val="IPPHeading1"/>
      </w:pPr>
      <w:r>
        <w:t>Recommendation</w:t>
      </w:r>
    </w:p>
    <w:p w14:paraId="0E7C9882" w14:textId="77777777" w:rsidR="00C66D3A" w:rsidRPr="00073887" w:rsidRDefault="00C66D3A" w:rsidP="00C66D3A">
      <w:pPr>
        <w:pStyle w:val="IPPParagraphnumbering"/>
      </w:pPr>
      <w:r w:rsidRPr="00073887">
        <w:t>The SPG is invited to:</w:t>
      </w:r>
    </w:p>
    <w:p w14:paraId="5CF3644E" w14:textId="77777777" w:rsidR="00C66D3A" w:rsidRPr="00073887" w:rsidRDefault="00C66D3A" w:rsidP="00C66D3A">
      <w:pPr>
        <w:pStyle w:val="IPPNumberedList"/>
      </w:pPr>
      <w:r w:rsidRPr="00073887">
        <w:rPr>
          <w:i/>
        </w:rPr>
        <w:t>note</w:t>
      </w:r>
      <w:r>
        <w:t xml:space="preserve"> the document;</w:t>
      </w:r>
    </w:p>
    <w:p w14:paraId="005BDD35" w14:textId="77777777" w:rsidR="00C66D3A" w:rsidRPr="00073887" w:rsidRDefault="00C66D3A" w:rsidP="00C66D3A">
      <w:pPr>
        <w:pStyle w:val="IPPNumberedList"/>
      </w:pPr>
      <w:r>
        <w:rPr>
          <w:i/>
          <w:lang w:val="en-GB"/>
        </w:rPr>
        <w:t>d</w:t>
      </w:r>
      <w:r w:rsidRPr="00151661">
        <w:rPr>
          <w:i/>
          <w:lang w:val="en-GB"/>
        </w:rPr>
        <w:t>iscuss</w:t>
      </w:r>
      <w:r>
        <w:t xml:space="preserve"> possible next steps on the development of an international </w:t>
      </w:r>
      <w:r w:rsidRPr="004B0ACD">
        <w:t>diagnostic laboratory networking</w:t>
      </w:r>
      <w:r>
        <w:t>;</w:t>
      </w:r>
    </w:p>
    <w:p w14:paraId="5F41D7B3" w14:textId="77777777" w:rsidR="00C66D3A" w:rsidRPr="00073887" w:rsidRDefault="00C66D3A" w:rsidP="00C66D3A">
      <w:pPr>
        <w:pStyle w:val="IPPNumberedList"/>
      </w:pPr>
      <w:proofErr w:type="gramStart"/>
      <w:r>
        <w:rPr>
          <w:i/>
        </w:rPr>
        <w:t>discuss</w:t>
      </w:r>
      <w:proofErr w:type="gramEnd"/>
      <w:r>
        <w:t xml:space="preserve">, </w:t>
      </w:r>
      <w:r>
        <w:rPr>
          <w:i/>
        </w:rPr>
        <w:t xml:space="preserve">and if possible, provide advice </w:t>
      </w:r>
      <w:r>
        <w:t xml:space="preserve">on the finances and possible ways to mobilize resources. </w:t>
      </w:r>
    </w:p>
    <w:p w14:paraId="7BFCD6A0" w14:textId="77777777" w:rsidR="00C66D3A" w:rsidRPr="00DE2672" w:rsidRDefault="00C66D3A" w:rsidP="00C66D3A">
      <w:pPr>
        <w:jc w:val="center"/>
      </w:pPr>
    </w:p>
    <w:p w14:paraId="5B50B1AE" w14:textId="77777777" w:rsidR="00C66D3A" w:rsidRDefault="00C66D3A" w:rsidP="007D4B57"/>
    <w:sectPr w:rsidR="00C66D3A" w:rsidSect="0054601E">
      <w:headerReference w:type="first" r:id="rId24"/>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D8C06" w14:textId="77777777" w:rsidR="00B5372D" w:rsidRDefault="00B5372D" w:rsidP="005B02A2">
      <w:r>
        <w:separator/>
      </w:r>
    </w:p>
  </w:endnote>
  <w:endnote w:type="continuationSeparator" w:id="0">
    <w:p w14:paraId="2ECD205A" w14:textId="77777777" w:rsidR="00B5372D" w:rsidRDefault="00B5372D" w:rsidP="005B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DCCC9" w14:textId="299A28AD" w:rsidR="00C66D3A" w:rsidRPr="00C66D3A" w:rsidRDefault="00C66D3A" w:rsidP="00C66D3A">
    <w:pPr>
      <w:pStyle w:val="IPPFooter"/>
      <w:tabs>
        <w:tab w:val="clear" w:pos="9072"/>
        <w:tab w:val="right" w:pos="9360"/>
      </w:tabs>
      <w:jc w:val="left"/>
      <w:rPr>
        <w:b w:val="0"/>
      </w:rPr>
    </w:pPr>
    <w:r w:rsidRPr="00A62A0E">
      <w:t>International Plant Protection Convention</w:t>
    </w:r>
    <w:r w:rsidRPr="00A62A0E">
      <w:tab/>
    </w:r>
    <w:r w:rsidRPr="00013E90">
      <w:rPr>
        <w:rStyle w:val="PageNumber"/>
      </w:rPr>
      <w:t xml:space="preserve">Page </w:t>
    </w:r>
    <w:r w:rsidRPr="00013E90">
      <w:rPr>
        <w:rStyle w:val="PageNumber"/>
        <w:b/>
      </w:rPr>
      <w:fldChar w:fldCharType="begin"/>
    </w:r>
    <w:r w:rsidRPr="00013E90">
      <w:rPr>
        <w:rStyle w:val="PageNumber"/>
      </w:rPr>
      <w:instrText xml:space="preserve"> PAGE </w:instrText>
    </w:r>
    <w:r w:rsidRPr="00013E90">
      <w:rPr>
        <w:rStyle w:val="PageNumber"/>
        <w:b/>
      </w:rPr>
      <w:fldChar w:fldCharType="separate"/>
    </w:r>
    <w:r>
      <w:rPr>
        <w:rStyle w:val="PageNumber"/>
        <w:noProof/>
      </w:rPr>
      <w:t>8</w:t>
    </w:r>
    <w:r w:rsidRPr="00013E90">
      <w:rPr>
        <w:rStyle w:val="PageNumber"/>
        <w:b/>
      </w:rPr>
      <w:fldChar w:fldCharType="end"/>
    </w:r>
    <w:r w:rsidRPr="00013E90">
      <w:rPr>
        <w:rStyle w:val="PageNumber"/>
      </w:rPr>
      <w:t xml:space="preserve"> of </w:t>
    </w:r>
    <w:r w:rsidRPr="00013E90">
      <w:rPr>
        <w:rStyle w:val="PageNumber"/>
        <w:b/>
      </w:rPr>
      <w:fldChar w:fldCharType="begin"/>
    </w:r>
    <w:r w:rsidRPr="00013E90">
      <w:rPr>
        <w:rStyle w:val="PageNumber"/>
      </w:rPr>
      <w:instrText xml:space="preserve"> NUMPAGES </w:instrText>
    </w:r>
    <w:r w:rsidRPr="00013E90">
      <w:rPr>
        <w:rStyle w:val="PageNumber"/>
        <w:b/>
      </w:rPr>
      <w:fldChar w:fldCharType="separate"/>
    </w:r>
    <w:r>
      <w:rPr>
        <w:rStyle w:val="PageNumber"/>
        <w:noProof/>
      </w:rPr>
      <w:t>8</w:t>
    </w:r>
    <w:r w:rsidRPr="00013E90">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6CD65" w14:textId="7D45044E" w:rsidR="00C66D3A" w:rsidRPr="00C66D3A" w:rsidRDefault="00C66D3A" w:rsidP="00C66D3A">
    <w:pPr>
      <w:pStyle w:val="IPPFooter"/>
      <w:tabs>
        <w:tab w:val="clear" w:pos="9072"/>
        <w:tab w:val="right" w:pos="9360"/>
      </w:tabs>
      <w:jc w:val="left"/>
      <w:rPr>
        <w:b w:val="0"/>
      </w:rPr>
    </w:pPr>
    <w:r w:rsidRPr="00A62A0E">
      <w:t>International Plant Protection Convention</w:t>
    </w:r>
    <w:r w:rsidRPr="00A62A0E">
      <w:tab/>
    </w:r>
    <w:r w:rsidRPr="00013E90">
      <w:rPr>
        <w:rStyle w:val="PageNumber"/>
      </w:rPr>
      <w:t xml:space="preserve">Page </w:t>
    </w:r>
    <w:r w:rsidRPr="00013E90">
      <w:rPr>
        <w:rStyle w:val="PageNumber"/>
        <w:b/>
      </w:rPr>
      <w:fldChar w:fldCharType="begin"/>
    </w:r>
    <w:r w:rsidRPr="00013E90">
      <w:rPr>
        <w:rStyle w:val="PageNumber"/>
      </w:rPr>
      <w:instrText xml:space="preserve"> PAGE </w:instrText>
    </w:r>
    <w:r w:rsidRPr="00013E90">
      <w:rPr>
        <w:rStyle w:val="PageNumber"/>
        <w:b/>
      </w:rPr>
      <w:fldChar w:fldCharType="separate"/>
    </w:r>
    <w:r>
      <w:rPr>
        <w:rStyle w:val="PageNumber"/>
        <w:noProof/>
      </w:rPr>
      <w:t>7</w:t>
    </w:r>
    <w:r w:rsidRPr="00013E90">
      <w:rPr>
        <w:rStyle w:val="PageNumber"/>
        <w:b/>
      </w:rPr>
      <w:fldChar w:fldCharType="end"/>
    </w:r>
    <w:r w:rsidRPr="00013E90">
      <w:rPr>
        <w:rStyle w:val="PageNumber"/>
      </w:rPr>
      <w:t xml:space="preserve"> of </w:t>
    </w:r>
    <w:r w:rsidRPr="00013E90">
      <w:rPr>
        <w:rStyle w:val="PageNumber"/>
        <w:b/>
      </w:rPr>
      <w:fldChar w:fldCharType="begin"/>
    </w:r>
    <w:r w:rsidRPr="00013E90">
      <w:rPr>
        <w:rStyle w:val="PageNumber"/>
      </w:rPr>
      <w:instrText xml:space="preserve"> NUMPAGES </w:instrText>
    </w:r>
    <w:r w:rsidRPr="00013E90">
      <w:rPr>
        <w:rStyle w:val="PageNumber"/>
        <w:b/>
      </w:rPr>
      <w:fldChar w:fldCharType="separate"/>
    </w:r>
    <w:r>
      <w:rPr>
        <w:rStyle w:val="PageNumber"/>
        <w:noProof/>
      </w:rPr>
      <w:t>8</w:t>
    </w:r>
    <w:r w:rsidRPr="00013E90">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4F495" w14:textId="43173836" w:rsidR="005B02A2" w:rsidRPr="005B02A2" w:rsidRDefault="005B02A2" w:rsidP="005B02A2">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C66D3A">
      <w:rPr>
        <w:rFonts w:cs="Arial"/>
        <w:noProof/>
        <w:szCs w:val="18"/>
      </w:rPr>
      <w:t>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C66D3A">
      <w:rPr>
        <w:rFonts w:cs="Arial"/>
        <w:noProof/>
        <w:szCs w:val="18"/>
      </w:rPr>
      <w:t>8</w:t>
    </w:r>
    <w:r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2E84D" w14:textId="77777777" w:rsidR="00B5372D" w:rsidRDefault="00B5372D" w:rsidP="005B02A2">
      <w:r>
        <w:separator/>
      </w:r>
    </w:p>
  </w:footnote>
  <w:footnote w:type="continuationSeparator" w:id="0">
    <w:p w14:paraId="064D97C5" w14:textId="77777777" w:rsidR="00B5372D" w:rsidRDefault="00B5372D" w:rsidP="005B02A2">
      <w:r>
        <w:continuationSeparator/>
      </w:r>
    </w:p>
  </w:footnote>
  <w:footnote w:id="1">
    <w:p w14:paraId="4D043AEA" w14:textId="77777777" w:rsidR="0054601E" w:rsidRPr="00590DB0" w:rsidRDefault="0054601E" w:rsidP="0054601E">
      <w:pPr>
        <w:pStyle w:val="FootnoteText"/>
      </w:pPr>
      <w:r w:rsidRPr="00590DB0">
        <w:rPr>
          <w:rStyle w:val="FootnoteReference"/>
        </w:rPr>
        <w:footnoteRef/>
      </w:r>
      <w:r w:rsidRPr="00590DB0">
        <w:t xml:space="preserve"> Link to the IPPC Strategic Framework 2020-2030, as to be presented to CPM-15 (CPM 2020/08): </w:t>
      </w:r>
      <w:hyperlink r:id="rId1" w:history="1">
        <w:r w:rsidRPr="00590DB0">
          <w:rPr>
            <w:rStyle w:val="Hyperlink"/>
          </w:rPr>
          <w:t>https://www.ippc.int/en/publications/88125/</w:t>
        </w:r>
      </w:hyperlink>
    </w:p>
  </w:footnote>
  <w:footnote w:id="2">
    <w:p w14:paraId="6E1880EB" w14:textId="62413E66" w:rsidR="009C13C1" w:rsidRDefault="009C13C1">
      <w:pPr>
        <w:pStyle w:val="FootnoteText"/>
      </w:pPr>
      <w:r>
        <w:rPr>
          <w:rStyle w:val="FootnoteReference"/>
        </w:rPr>
        <w:footnoteRef/>
      </w:r>
      <w:r>
        <w:t xml:space="preserve"> SPG 2020 meeting documents: </w:t>
      </w:r>
      <w:hyperlink r:id="rId2" w:history="1">
        <w:r w:rsidRPr="008174A2">
          <w:rPr>
            <w:rStyle w:val="Hyperlink"/>
          </w:rPr>
          <w:t>https://www.ippc.int/en/core-activities/governance/strategic-planning-group/2020-spg/</w:t>
        </w:r>
      </w:hyperlink>
      <w:r>
        <w:t xml:space="preserve"> </w:t>
      </w:r>
    </w:p>
  </w:footnote>
  <w:footnote w:id="3">
    <w:p w14:paraId="2A99F598" w14:textId="77777777" w:rsidR="009C13C1" w:rsidRDefault="009C13C1" w:rsidP="009C13C1">
      <w:pPr>
        <w:pStyle w:val="IPPFootnote"/>
      </w:pPr>
      <w:r>
        <w:rPr>
          <w:rStyle w:val="FootnoteReference"/>
        </w:rPr>
        <w:footnoteRef/>
      </w:r>
      <w:r>
        <w:t xml:space="preserve"> 11_SC_Tel_2020_Nov.</w:t>
      </w:r>
    </w:p>
  </w:footnote>
  <w:footnote w:id="4">
    <w:p w14:paraId="2DC2B63B" w14:textId="77777777" w:rsidR="00C66D3A" w:rsidRPr="001A14CD" w:rsidRDefault="00C66D3A" w:rsidP="00C66D3A">
      <w:pPr>
        <w:pStyle w:val="FootnoteText"/>
        <w:rPr>
          <w:sz w:val="18"/>
          <w:szCs w:val="18"/>
          <w:lang w:val="en-US"/>
        </w:rPr>
      </w:pPr>
      <w:r w:rsidRPr="001A14CD">
        <w:rPr>
          <w:rStyle w:val="FootnoteReference"/>
          <w:sz w:val="18"/>
          <w:szCs w:val="18"/>
        </w:rPr>
        <w:footnoteRef/>
      </w:r>
      <w:r w:rsidRPr="001A14CD">
        <w:rPr>
          <w:sz w:val="18"/>
          <w:szCs w:val="18"/>
        </w:rPr>
        <w:t xml:space="preserve"> </w:t>
      </w:r>
      <w:r w:rsidRPr="001A14CD">
        <w:rPr>
          <w:sz w:val="18"/>
          <w:szCs w:val="18"/>
          <w:lang w:val="en-US"/>
        </w:rPr>
        <w:t>17_SPG_2020</w:t>
      </w:r>
      <w:r>
        <w:rPr>
          <w:sz w:val="18"/>
          <w:szCs w:val="18"/>
          <w:lang w:val="en-US"/>
        </w:rPr>
        <w:t>_</w:t>
      </w:r>
      <w:r w:rsidRPr="001A14CD">
        <w:rPr>
          <w:sz w:val="18"/>
          <w:szCs w:val="18"/>
          <w:lang w:val="en-US"/>
        </w:rPr>
        <w:t>Oct</w:t>
      </w:r>
    </w:p>
  </w:footnote>
  <w:footnote w:id="5">
    <w:p w14:paraId="21D5C3E3" w14:textId="77777777" w:rsidR="00C66D3A" w:rsidRPr="00590DB0" w:rsidRDefault="00C66D3A" w:rsidP="00C66D3A">
      <w:pPr>
        <w:pStyle w:val="FootnoteText"/>
      </w:pPr>
      <w:r w:rsidRPr="00590DB0">
        <w:rPr>
          <w:rStyle w:val="FootnoteReference"/>
        </w:rPr>
        <w:footnoteRef/>
      </w:r>
      <w:r w:rsidRPr="00590DB0">
        <w:t xml:space="preserve"> Link to the IPPC Strategic Framework 2020-2030, as to be presented to CPM-15 (CPM 2020/08): </w:t>
      </w:r>
      <w:hyperlink r:id="rId3" w:history="1">
        <w:r w:rsidRPr="00590DB0">
          <w:rPr>
            <w:rStyle w:val="Hyperlink"/>
          </w:rPr>
          <w:t>https://www.ippc.int/en/publications/88125/</w:t>
        </w:r>
      </w:hyperlink>
    </w:p>
  </w:footnote>
  <w:footnote w:id="6">
    <w:p w14:paraId="20C895C3" w14:textId="77777777" w:rsidR="00C66D3A" w:rsidRPr="00590DB0" w:rsidRDefault="00C66D3A" w:rsidP="00C66D3A">
      <w:pPr>
        <w:pStyle w:val="FootnoteText"/>
      </w:pPr>
      <w:r w:rsidRPr="00590DB0">
        <w:rPr>
          <w:rStyle w:val="FootnoteReference"/>
        </w:rPr>
        <w:footnoteRef/>
      </w:r>
      <w:r w:rsidRPr="00590DB0">
        <w:t xml:space="preserve"> 2019-08 TPDP Meeting Report (Melbourne, Australia): </w:t>
      </w:r>
      <w:hyperlink r:id="rId4" w:history="1">
        <w:r w:rsidRPr="00590DB0">
          <w:rPr>
            <w:rStyle w:val="Hyperlink"/>
          </w:rPr>
          <w:t>https://www.ippc.int/en/publications/88295/</w:t>
        </w:r>
      </w:hyperlink>
      <w:r>
        <w:t xml:space="preserve"> </w:t>
      </w:r>
    </w:p>
  </w:footnote>
  <w:footnote w:id="7">
    <w:p w14:paraId="4A261974" w14:textId="77777777" w:rsidR="00C66D3A" w:rsidRPr="005147F0" w:rsidRDefault="00C66D3A" w:rsidP="00C66D3A">
      <w:pPr>
        <w:pStyle w:val="FootnoteText"/>
      </w:pPr>
      <w:r w:rsidRPr="005147F0">
        <w:rPr>
          <w:rStyle w:val="FootnoteReference"/>
        </w:rPr>
        <w:footnoteRef/>
      </w:r>
      <w:r w:rsidRPr="005147F0">
        <w:t xml:space="preserve"> Specification TP 1 - Technical Panel on Diagnostic Protocols: </w:t>
      </w:r>
      <w:hyperlink r:id="rId5" w:history="1">
        <w:r w:rsidRPr="005147F0">
          <w:rPr>
            <w:rStyle w:val="Hyperlink"/>
          </w:rPr>
          <w:t>https://www.ippc.int/en/publications/1297/</w:t>
        </w:r>
      </w:hyperlink>
      <w:r w:rsidRPr="005147F0">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67628" w14:textId="0963C270" w:rsidR="009C13C1" w:rsidRDefault="009C13C1" w:rsidP="009C13C1">
    <w:pPr>
      <w:pStyle w:val="IPPHeader"/>
      <w:tabs>
        <w:tab w:val="clear" w:pos="9072"/>
        <w:tab w:val="right" w:pos="9360"/>
      </w:tabs>
    </w:pPr>
    <w:r>
      <w:t>06</w:t>
    </w:r>
    <w:r>
      <w:t>_TPDP</w:t>
    </w:r>
    <w:r w:rsidRPr="00606019">
      <w:t>_</w:t>
    </w:r>
    <w:r>
      <w:t>Tel_</w:t>
    </w:r>
    <w:r w:rsidRPr="00606019">
      <w:t>20</w:t>
    </w:r>
    <w:r>
      <w:t>20</w:t>
    </w:r>
    <w:r w:rsidRPr="00606019">
      <w:t>_</w:t>
    </w:r>
    <w:r>
      <w:t>Nov</w:t>
    </w:r>
    <w:r w:rsidRPr="00013E90">
      <w:t xml:space="preserve"> </w:t>
    </w:r>
    <w:r>
      <w:tab/>
    </w:r>
    <w:r w:rsidRPr="009C13C1">
      <w:rPr>
        <w:i/>
      </w:rPr>
      <w:t xml:space="preserve">Updates from the SC: </w:t>
    </w:r>
    <w:r w:rsidRPr="009C13C1">
      <w:rPr>
        <w:i/>
      </w:rPr>
      <w:t>Diagnostic laboratory networking</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6D08D" w14:textId="16D1DBD9" w:rsidR="00C66D3A" w:rsidRDefault="00C66D3A" w:rsidP="00C66D3A">
    <w:pPr>
      <w:pStyle w:val="IPPHeader"/>
      <w:tabs>
        <w:tab w:val="clear" w:pos="9072"/>
        <w:tab w:val="right" w:pos="9360"/>
      </w:tabs>
    </w:pPr>
    <w:r w:rsidRPr="009C13C1">
      <w:rPr>
        <w:i/>
      </w:rPr>
      <w:t>Updates from the SC: Diagnostic laboratory networking</w:t>
    </w:r>
    <w:r>
      <w:t xml:space="preserve"> </w:t>
    </w:r>
    <w:r>
      <w:tab/>
    </w:r>
    <w:r>
      <w:t>06_TPDP</w:t>
    </w:r>
    <w:r w:rsidRPr="00606019">
      <w:t>_</w:t>
    </w:r>
    <w:r>
      <w:t>Tel_</w:t>
    </w:r>
    <w:r w:rsidRPr="00606019">
      <w:t>20</w:t>
    </w:r>
    <w:r>
      <w:t>20</w:t>
    </w:r>
    <w:r w:rsidRPr="00606019">
      <w:t>_</w:t>
    </w:r>
    <w:r>
      <w:t>Nov</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6667E" w14:textId="77777777" w:rsidR="005B02A2" w:rsidRDefault="005B02A2" w:rsidP="005B02A2">
    <w:pPr>
      <w:pStyle w:val="IPPHeader"/>
      <w:spacing w:after="0"/>
    </w:pPr>
    <w:r>
      <w:rPr>
        <w:noProof/>
      </w:rPr>
      <w:drawing>
        <wp:anchor distT="0" distB="0" distL="114300" distR="114300" simplePos="0" relativeHeight="251660288" behindDoc="0" locked="0" layoutInCell="1" allowOverlap="0" wp14:anchorId="5E83CF26" wp14:editId="01AED640">
          <wp:simplePos x="0" y="0"/>
          <wp:positionH relativeFrom="page">
            <wp:posOffset>3175</wp:posOffset>
          </wp:positionH>
          <wp:positionV relativeFrom="paragraph">
            <wp:posOffset>-482600</wp:posOffset>
          </wp:positionV>
          <wp:extent cx="7555925" cy="463550"/>
          <wp:effectExtent l="0" t="0" r="698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555925" cy="463550"/>
                  </a:xfrm>
                  <a:prstGeom prst="rect">
                    <a:avLst/>
                  </a:prstGeom>
                </pic:spPr>
              </pic:pic>
            </a:graphicData>
          </a:graphic>
          <wp14:sizeRelH relativeFrom="margin">
            <wp14:pctWidth>0</wp14:pctWidth>
          </wp14:sizeRelH>
          <wp14:sizeRelV relativeFrom="margin">
            <wp14:pctHeight>0</wp14:pctHeight>
          </wp14:sizeRelV>
        </wp:anchor>
      </w:drawing>
    </w:r>
  </w:p>
  <w:p w14:paraId="74A6A139" w14:textId="4CBC34FC" w:rsidR="005B02A2" w:rsidRPr="007E205D" w:rsidRDefault="005B02A2" w:rsidP="005B02A2">
    <w:pPr>
      <w:pStyle w:val="IPPHeader"/>
      <w:spacing w:after="0"/>
    </w:pPr>
    <w:r>
      <w:rPr>
        <w:noProof/>
      </w:rPr>
      <w:drawing>
        <wp:anchor distT="0" distB="0" distL="114300" distR="114300" simplePos="0" relativeHeight="251659264" behindDoc="0" locked="0" layoutInCell="1" allowOverlap="1" wp14:anchorId="2B5E08E1" wp14:editId="518758FC">
          <wp:simplePos x="0" y="0"/>
          <wp:positionH relativeFrom="margin">
            <wp:posOffset>8890</wp:posOffset>
          </wp:positionH>
          <wp:positionV relativeFrom="margin">
            <wp:posOffset>-410837</wp:posOffset>
          </wp:positionV>
          <wp:extent cx="647065" cy="333375"/>
          <wp:effectExtent l="0" t="0" r="0" b="0"/>
          <wp:wrapSquare wrapText="bothSides"/>
          <wp:docPr id="6" name="Picture 6"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r>
    <w:r w:rsidR="009C13C1">
      <w:t>06</w:t>
    </w:r>
    <w:r>
      <w:t>_TPDP</w:t>
    </w:r>
    <w:r w:rsidRPr="00606019">
      <w:t>_</w:t>
    </w:r>
    <w:r>
      <w:t>Tel_</w:t>
    </w:r>
    <w:r w:rsidRPr="00606019">
      <w:t>20</w:t>
    </w:r>
    <w:r>
      <w:t>20</w:t>
    </w:r>
    <w:r w:rsidRPr="00606019">
      <w:t>_</w:t>
    </w:r>
    <w:r>
      <w:t>Nov</w:t>
    </w:r>
  </w:p>
  <w:p w14:paraId="07C248A7" w14:textId="6CDCB3F1" w:rsidR="005B02A2" w:rsidRPr="005B02A2" w:rsidRDefault="0054601E" w:rsidP="005B02A2">
    <w:pPr>
      <w:pStyle w:val="IPPHeader"/>
      <w:rPr>
        <w:i/>
      </w:rPr>
    </w:pPr>
    <w:r>
      <w:rPr>
        <w:i/>
      </w:rPr>
      <w:t>Updates from the Standards Committee (SC)</w:t>
    </w:r>
    <w:r w:rsidR="005B02A2" w:rsidRPr="007E205D">
      <w:rPr>
        <w:i/>
      </w:rPr>
      <w:tab/>
      <w:t xml:space="preserve">Agenda item: </w:t>
    </w:r>
    <w:r w:rsidR="009C13C1">
      <w:rPr>
        <w:i/>
      </w:rPr>
      <w:t>5.1</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B8F4" w14:textId="46E19463" w:rsidR="00C66D3A" w:rsidRPr="00C66D3A" w:rsidRDefault="00C66D3A" w:rsidP="00C66D3A">
    <w:pPr>
      <w:pStyle w:val="IPPHeader"/>
      <w:tabs>
        <w:tab w:val="clear" w:pos="9072"/>
        <w:tab w:val="right" w:pos="9360"/>
      </w:tabs>
    </w:pPr>
    <w:r>
      <w:t>06_TPDP</w:t>
    </w:r>
    <w:r w:rsidRPr="00606019">
      <w:t>_</w:t>
    </w:r>
    <w:r>
      <w:t>Tel_</w:t>
    </w:r>
    <w:r w:rsidRPr="00606019">
      <w:t>20</w:t>
    </w:r>
    <w:r>
      <w:t>20</w:t>
    </w:r>
    <w:r w:rsidRPr="00606019">
      <w:t>_</w:t>
    </w:r>
    <w:r>
      <w:t>Nov</w:t>
    </w:r>
    <w:r w:rsidRPr="00013E90">
      <w:t xml:space="preserve"> </w:t>
    </w:r>
    <w:r>
      <w:tab/>
    </w:r>
    <w:r w:rsidRPr="009C13C1">
      <w:rPr>
        <w:i/>
      </w:rPr>
      <w:t>Updates from the SC: Diagnostic laboratory networking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4CC0F0E"/>
    <w:multiLevelType w:val="multilevel"/>
    <w:tmpl w:val="8C3A23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DB7D22"/>
    <w:multiLevelType w:val="hybridMultilevel"/>
    <w:tmpl w:val="625282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D3E0A75"/>
    <w:multiLevelType w:val="hybridMultilevel"/>
    <w:tmpl w:val="B11608AE"/>
    <w:lvl w:ilvl="0" w:tplc="04090001">
      <w:start w:val="1"/>
      <w:numFmt w:val="bullet"/>
      <w:lvlText w:val=""/>
      <w:lvlJc w:val="left"/>
      <w:pPr>
        <w:tabs>
          <w:tab w:val="num" w:pos="567"/>
        </w:tabs>
        <w:ind w:left="567" w:hanging="567"/>
      </w:pPr>
      <w:rPr>
        <w:rFonts w:ascii="Symbol" w:hAnsi="Symbo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num>
  <w:num w:numId="3">
    <w:abstractNumId w:val="1"/>
  </w:num>
  <w:num w:numId="4">
    <w:abstractNumId w:val="4"/>
  </w:num>
  <w:num w:numId="5">
    <w:abstractNumId w:val="11"/>
  </w:num>
  <w:num w:numId="6">
    <w:abstractNumId w:val="8"/>
  </w:num>
  <w:num w:numId="7">
    <w:abstractNumId w:val="5"/>
  </w:num>
  <w:num w:numId="8">
    <w:abstractNumId w:val="14"/>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7"/>
  </w:num>
  <w:num w:numId="18">
    <w:abstractNumId w:val="10"/>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2"/>
  </w:num>
  <w:num w:numId="22">
    <w:abstractNumId w:val="6"/>
  </w:num>
  <w:num w:numId="23">
    <w:abstractNumId w:val="1"/>
    <w:lvlOverride w:ilvl="0">
      <w:startOverride w:val="1"/>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startOverride w:val="1"/>
      <w:lvl w:ilvl="1">
        <w:start w:val="1"/>
        <w:numFmt w:val="none"/>
        <w:lvlRestart w:val="0"/>
        <w:lvlText w:val=""/>
        <w:lvlJc w:val="left"/>
        <w:pPr>
          <w:tabs>
            <w:tab w:val="num" w:pos="0"/>
          </w:tabs>
          <w:ind w:left="0" w:hanging="482"/>
        </w:pPr>
        <w:rPr>
          <w:rFonts w:hint="default"/>
        </w:rPr>
      </w:lvl>
    </w:lvlOverride>
    <w:lvlOverride w:ilvl="2">
      <w:startOverride w:val="1"/>
      <w:lvl w:ilvl="2">
        <w:start w:val="1"/>
        <w:numFmt w:val="none"/>
        <w:lvlRestart w:val="0"/>
        <w:lvlText w:val=""/>
        <w:lvlJc w:val="left"/>
        <w:pPr>
          <w:tabs>
            <w:tab w:val="num" w:pos="0"/>
          </w:tabs>
          <w:ind w:left="0" w:hanging="482"/>
        </w:pPr>
        <w:rPr>
          <w:rFonts w:hint="default"/>
        </w:rPr>
      </w:lvl>
    </w:lvlOverride>
    <w:lvlOverride w:ilvl="3">
      <w:startOverride w:val="1"/>
      <w:lvl w:ilvl="3">
        <w:start w:val="1"/>
        <w:numFmt w:val="none"/>
        <w:lvlRestart w:val="0"/>
        <w:lvlText w:val=""/>
        <w:lvlJc w:val="left"/>
        <w:pPr>
          <w:tabs>
            <w:tab w:val="num" w:pos="0"/>
          </w:tabs>
          <w:ind w:left="0" w:hanging="482"/>
        </w:pPr>
        <w:rPr>
          <w:rFonts w:hint="default"/>
        </w:rPr>
      </w:lvl>
    </w:lvlOverride>
    <w:lvlOverride w:ilvl="4">
      <w:startOverride w:val="1"/>
      <w:lvl w:ilvl="4">
        <w:start w:val="1"/>
        <w:numFmt w:val="none"/>
        <w:lvlRestart w:val="0"/>
        <w:lvlText w:val=""/>
        <w:lvlJc w:val="left"/>
        <w:pPr>
          <w:tabs>
            <w:tab w:val="num" w:pos="0"/>
          </w:tabs>
          <w:ind w:left="0" w:hanging="482"/>
        </w:pPr>
        <w:rPr>
          <w:rFonts w:hint="default"/>
        </w:rPr>
      </w:lvl>
    </w:lvlOverride>
    <w:lvlOverride w:ilvl="5">
      <w:startOverride w:val="1"/>
      <w:lvl w:ilvl="5">
        <w:start w:val="1"/>
        <w:numFmt w:val="none"/>
        <w:lvlRestart w:val="0"/>
        <w:lvlText w:val=""/>
        <w:lvlJc w:val="left"/>
        <w:pPr>
          <w:tabs>
            <w:tab w:val="num" w:pos="0"/>
          </w:tabs>
          <w:ind w:left="0" w:hanging="482"/>
        </w:pPr>
        <w:rPr>
          <w:rFonts w:hint="default"/>
        </w:rPr>
      </w:lvl>
    </w:lvlOverride>
    <w:lvlOverride w:ilvl="6">
      <w:startOverride w:val="1"/>
      <w:lvl w:ilvl="6">
        <w:start w:val="1"/>
        <w:numFmt w:val="none"/>
        <w:lvlRestart w:val="0"/>
        <w:lvlText w:val=""/>
        <w:lvlJc w:val="left"/>
        <w:pPr>
          <w:tabs>
            <w:tab w:val="num" w:pos="0"/>
          </w:tabs>
          <w:ind w:left="0" w:hanging="482"/>
        </w:pPr>
        <w:rPr>
          <w:rFonts w:hint="default"/>
        </w:rPr>
      </w:lvl>
    </w:lvlOverride>
    <w:lvlOverride w:ilvl="7">
      <w:startOverride w:val="1"/>
      <w:lvl w:ilvl="7">
        <w:start w:val="1"/>
        <w:numFmt w:val="none"/>
        <w:lvlRestart w:val="0"/>
        <w:lvlText w:val=""/>
        <w:lvlJc w:val="left"/>
        <w:pPr>
          <w:tabs>
            <w:tab w:val="num" w:pos="0"/>
          </w:tabs>
          <w:ind w:left="0" w:hanging="482"/>
        </w:pPr>
        <w:rPr>
          <w:rFonts w:hint="default"/>
        </w:rPr>
      </w:lvl>
    </w:lvlOverride>
    <w:lvlOverride w:ilvl="8">
      <w:startOverride w:val="1"/>
      <w:lvl w:ilvl="8">
        <w:start w:val="1"/>
        <w:numFmt w:val="none"/>
        <w:lvlRestart w:val="0"/>
        <w:lvlText w:val=""/>
        <w:lvlJc w:val="left"/>
        <w:pPr>
          <w:tabs>
            <w:tab w:val="num" w:pos="0"/>
          </w:tabs>
          <w:ind w:left="0" w:hanging="482"/>
        </w:pPr>
        <w:rPr>
          <w:rFonts w:hint="default"/>
        </w:rPr>
      </w:lvl>
    </w:lvlOverride>
  </w:num>
  <w:num w:numId="24">
    <w:abstractNumId w:val="1"/>
    <w:lvlOverride w:ilvl="0">
      <w:lvl w:ilvl="0">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Override>
    <w:lvlOverride w:ilvl="1">
      <w:lvl w:ilvl="1">
        <w:start w:val="1"/>
        <w:numFmt w:val="decimal"/>
        <w:lvlRestart w:val="0"/>
        <w:lvlText w:val=""/>
        <w:lvlJc w:val="left"/>
        <w:pPr>
          <w:tabs>
            <w:tab w:val="num" w:pos="0"/>
          </w:tabs>
          <w:ind w:left="0" w:hanging="482"/>
        </w:pPr>
      </w:lvl>
    </w:lvlOverride>
    <w:lvlOverride w:ilvl="2">
      <w:lvl w:ilvl="2">
        <w:start w:val="1"/>
        <w:numFmt w:val="decimal"/>
        <w:lvlRestart w:val="0"/>
        <w:lvlText w:val=""/>
        <w:lvlJc w:val="left"/>
        <w:pPr>
          <w:tabs>
            <w:tab w:val="num" w:pos="0"/>
          </w:tabs>
          <w:ind w:left="0" w:hanging="482"/>
        </w:pPr>
      </w:lvl>
    </w:lvlOverride>
    <w:lvlOverride w:ilvl="3">
      <w:lvl w:ilvl="3">
        <w:start w:val="1"/>
        <w:numFmt w:val="decimal"/>
        <w:lvlRestart w:val="0"/>
        <w:lvlText w:val=""/>
        <w:lvlJc w:val="left"/>
        <w:pPr>
          <w:tabs>
            <w:tab w:val="num" w:pos="0"/>
          </w:tabs>
          <w:ind w:left="0" w:hanging="482"/>
        </w:pPr>
      </w:lvl>
    </w:lvlOverride>
    <w:lvlOverride w:ilvl="4">
      <w:lvl w:ilvl="4">
        <w:start w:val="1"/>
        <w:numFmt w:val="decimal"/>
        <w:lvlRestart w:val="0"/>
        <w:lvlText w:val=""/>
        <w:lvlJc w:val="left"/>
        <w:pPr>
          <w:tabs>
            <w:tab w:val="num" w:pos="0"/>
          </w:tabs>
          <w:ind w:left="0" w:hanging="482"/>
        </w:pPr>
      </w:lvl>
    </w:lvlOverride>
    <w:lvlOverride w:ilvl="5">
      <w:lvl w:ilvl="5">
        <w:start w:val="1"/>
        <w:numFmt w:val="decimal"/>
        <w:lvlRestart w:val="0"/>
        <w:lvlText w:val=""/>
        <w:lvlJc w:val="left"/>
        <w:pPr>
          <w:tabs>
            <w:tab w:val="num" w:pos="0"/>
          </w:tabs>
          <w:ind w:left="0" w:hanging="482"/>
        </w:pPr>
      </w:lvl>
    </w:lvlOverride>
    <w:lvlOverride w:ilvl="6">
      <w:lvl w:ilvl="6">
        <w:start w:val="1"/>
        <w:numFmt w:val="decimal"/>
        <w:lvlRestart w:val="0"/>
        <w:lvlText w:val=""/>
        <w:lvlJc w:val="left"/>
        <w:pPr>
          <w:tabs>
            <w:tab w:val="num" w:pos="0"/>
          </w:tabs>
          <w:ind w:left="0" w:hanging="482"/>
        </w:pPr>
      </w:lvl>
    </w:lvlOverride>
    <w:lvlOverride w:ilvl="7">
      <w:lvl w:ilvl="7">
        <w:start w:val="1"/>
        <w:numFmt w:val="decimal"/>
        <w:lvlRestart w:val="0"/>
        <w:lvlText w:val=""/>
        <w:lvlJc w:val="left"/>
        <w:pPr>
          <w:tabs>
            <w:tab w:val="num" w:pos="0"/>
          </w:tabs>
          <w:ind w:left="0" w:hanging="482"/>
        </w:pPr>
      </w:lvl>
    </w:lvlOverride>
    <w:lvlOverride w:ilvl="8">
      <w:lvl w:ilvl="8">
        <w:start w:val="1"/>
        <w:numFmt w:val="decimal"/>
        <w:lvlRestart w:val="0"/>
        <w:lvlText w:val=""/>
        <w:lvlJc w:val="left"/>
        <w:pPr>
          <w:tabs>
            <w:tab w:val="num" w:pos="0"/>
          </w:tabs>
          <w:ind w:left="0" w:hanging="482"/>
        </w:pPr>
      </w:lvl>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6EF6"/>
    <w:rsid w:val="00072E1D"/>
    <w:rsid w:val="000A5409"/>
    <w:rsid w:val="001B4E2D"/>
    <w:rsid w:val="001C239B"/>
    <w:rsid w:val="002359D8"/>
    <w:rsid w:val="002B6EF6"/>
    <w:rsid w:val="002F66BC"/>
    <w:rsid w:val="00303F8C"/>
    <w:rsid w:val="003C7AB6"/>
    <w:rsid w:val="004C3130"/>
    <w:rsid w:val="0052742E"/>
    <w:rsid w:val="0054601E"/>
    <w:rsid w:val="005B02A2"/>
    <w:rsid w:val="00662F80"/>
    <w:rsid w:val="006F1231"/>
    <w:rsid w:val="00700AAE"/>
    <w:rsid w:val="007D4B57"/>
    <w:rsid w:val="007E2991"/>
    <w:rsid w:val="008904A0"/>
    <w:rsid w:val="00917C49"/>
    <w:rsid w:val="00953DE3"/>
    <w:rsid w:val="009716F3"/>
    <w:rsid w:val="009A3B21"/>
    <w:rsid w:val="009B1A01"/>
    <w:rsid w:val="009C13C1"/>
    <w:rsid w:val="00AA59E1"/>
    <w:rsid w:val="00B27D07"/>
    <w:rsid w:val="00B5372D"/>
    <w:rsid w:val="00BD408F"/>
    <w:rsid w:val="00C66D3A"/>
    <w:rsid w:val="00CB203C"/>
    <w:rsid w:val="00D97CCB"/>
    <w:rsid w:val="00EE4ADF"/>
    <w:rsid w:val="00EE6A6C"/>
    <w:rsid w:val="00F14D90"/>
    <w:rsid w:val="00FC03A5"/>
    <w:rsid w:val="00FC6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C4EF"/>
  <w15:chartTrackingRefBased/>
  <w15:docId w15:val="{C213996A-DF95-4187-892A-A0686847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DE3"/>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953DE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53DE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53DE3"/>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953DE3"/>
    <w:rPr>
      <w:rFonts w:ascii="Tahoma" w:hAnsi="Tahoma" w:cs="Tahoma"/>
      <w:sz w:val="16"/>
      <w:szCs w:val="16"/>
    </w:rPr>
  </w:style>
  <w:style w:type="character" w:customStyle="1" w:styleId="BalloonTextChar">
    <w:name w:val="Balloon Text Char"/>
    <w:basedOn w:val="DefaultParagraphFont"/>
    <w:link w:val="BalloonText"/>
    <w:rsid w:val="00953DE3"/>
    <w:rPr>
      <w:rFonts w:ascii="Tahoma" w:eastAsia="MS Mincho" w:hAnsi="Tahoma" w:cs="Tahoma"/>
      <w:sz w:val="16"/>
      <w:szCs w:val="16"/>
      <w:lang w:val="en-GB"/>
    </w:rPr>
  </w:style>
  <w:style w:type="paragraph" w:styleId="Header">
    <w:name w:val="header"/>
    <w:basedOn w:val="Normal"/>
    <w:link w:val="HeaderChar"/>
    <w:rsid w:val="00953DE3"/>
    <w:pPr>
      <w:tabs>
        <w:tab w:val="center" w:pos="4680"/>
        <w:tab w:val="right" w:pos="9360"/>
      </w:tabs>
    </w:pPr>
  </w:style>
  <w:style w:type="character" w:customStyle="1" w:styleId="HeaderChar">
    <w:name w:val="Header Char"/>
    <w:basedOn w:val="DefaultParagraphFont"/>
    <w:link w:val="Header"/>
    <w:rsid w:val="00953DE3"/>
    <w:rPr>
      <w:rFonts w:ascii="Times New Roman" w:eastAsia="MS Mincho" w:hAnsi="Times New Roman" w:cs="Times New Roman"/>
      <w:szCs w:val="24"/>
      <w:lang w:val="en-GB"/>
    </w:rPr>
  </w:style>
  <w:style w:type="paragraph" w:styleId="Footer">
    <w:name w:val="footer"/>
    <w:basedOn w:val="Normal"/>
    <w:link w:val="FooterChar"/>
    <w:rsid w:val="00953DE3"/>
    <w:pPr>
      <w:tabs>
        <w:tab w:val="center" w:pos="4680"/>
        <w:tab w:val="right" w:pos="9360"/>
      </w:tabs>
    </w:pPr>
  </w:style>
  <w:style w:type="character" w:customStyle="1" w:styleId="FooterChar">
    <w:name w:val="Footer Char"/>
    <w:basedOn w:val="DefaultParagraphFont"/>
    <w:link w:val="Footer"/>
    <w:rsid w:val="00953DE3"/>
    <w:rPr>
      <w:rFonts w:ascii="Times New Roman" w:eastAsia="MS Mincho" w:hAnsi="Times New Roman" w:cs="Times New Roman"/>
      <w:szCs w:val="24"/>
      <w:lang w:val="en-GB"/>
    </w:rPr>
  </w:style>
  <w:style w:type="paragraph" w:customStyle="1" w:styleId="IPPHeader">
    <w:name w:val="IPP Header"/>
    <w:basedOn w:val="Normal"/>
    <w:qFormat/>
    <w:rsid w:val="00953DE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953DE3"/>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953DE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53DE3"/>
    <w:rPr>
      <w:rFonts w:ascii="Courier" w:eastAsia="Times" w:hAnsi="Courier" w:cs="Times New Roman"/>
      <w:sz w:val="21"/>
      <w:szCs w:val="21"/>
      <w:lang w:val="en-AU"/>
    </w:rPr>
  </w:style>
  <w:style w:type="character" w:customStyle="1" w:styleId="Heading1Char">
    <w:name w:val="Heading 1 Char"/>
    <w:basedOn w:val="DefaultParagraphFont"/>
    <w:link w:val="Heading1"/>
    <w:rsid w:val="00953DE3"/>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953DE3"/>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953DE3"/>
    <w:rPr>
      <w:rFonts w:ascii="Calibri" w:eastAsia="MS Mincho" w:hAnsi="Calibri" w:cs="Times New Roman"/>
      <w:b/>
      <w:bCs/>
      <w:sz w:val="26"/>
      <w:szCs w:val="26"/>
      <w:lang w:val="en-GB"/>
    </w:rPr>
  </w:style>
  <w:style w:type="paragraph" w:styleId="FootnoteText">
    <w:name w:val="footnote text"/>
    <w:aliases w:val="FOOTNOTES,fn,single space,Footnote Text Char1,Footnote Text Char Char,Char,Char Char,Char Char Char Char,Char Char Char Char Char Char"/>
    <w:basedOn w:val="Normal"/>
    <w:link w:val="FootnoteTextChar"/>
    <w:rsid w:val="00953DE3"/>
    <w:pPr>
      <w:spacing w:before="60"/>
    </w:pPr>
    <w:rPr>
      <w:sz w:val="20"/>
    </w:rPr>
  </w:style>
  <w:style w:type="character" w:customStyle="1" w:styleId="FootnoteTextChar">
    <w:name w:val="Footnote Text Char"/>
    <w:aliases w:val="FOOTNOTES Char,fn Char,single space Char,Footnote Text Char1 Char,Footnote Text Char Char Char,Char Char1,Char Char Char,Char Char Char Char Char,Char Char Char Char Char Char Char"/>
    <w:basedOn w:val="DefaultParagraphFont"/>
    <w:link w:val="FootnoteText"/>
    <w:rsid w:val="00953DE3"/>
    <w:rPr>
      <w:rFonts w:ascii="Times New Roman" w:eastAsia="MS Mincho" w:hAnsi="Times New Roman" w:cs="Times New Roman"/>
      <w:sz w:val="20"/>
      <w:szCs w:val="24"/>
      <w:lang w:val="en-GB"/>
    </w:rPr>
  </w:style>
  <w:style w:type="character" w:styleId="FootnoteReference">
    <w:name w:val="footnote reference"/>
    <w:aliases w:val="BVI fnr Carattere Char Char Char Carattere Char Char Char Char Char Char1 Char Char Char Carattere Char Char,16 Point,Superscript 6 Point,Ref,de nota al pie,Footnote Reference1,Ref1,de nota al pie1,註腳內容,11 pt,Footnote text"/>
    <w:basedOn w:val="DefaultParagraphFont"/>
    <w:link w:val="BVIfnrCarattereCharCharCharCarattereCharCharCharCharCharChar1CharCharCharCarattereChar"/>
    <w:rsid w:val="00953DE3"/>
    <w:rPr>
      <w:vertAlign w:val="superscript"/>
    </w:rPr>
  </w:style>
  <w:style w:type="paragraph" w:customStyle="1" w:styleId="Style">
    <w:name w:val="Style"/>
    <w:basedOn w:val="Footer"/>
    <w:autoRedefine/>
    <w:qFormat/>
    <w:rsid w:val="00953DE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953DE3"/>
    <w:rPr>
      <w:rFonts w:ascii="Arial" w:hAnsi="Arial"/>
      <w:b/>
      <w:sz w:val="18"/>
    </w:rPr>
  </w:style>
  <w:style w:type="paragraph" w:customStyle="1" w:styleId="IPPArialFootnote">
    <w:name w:val="IPP Arial Footnote"/>
    <w:basedOn w:val="IPPArialTable"/>
    <w:qFormat/>
    <w:rsid w:val="00953DE3"/>
    <w:pPr>
      <w:tabs>
        <w:tab w:val="left" w:pos="28"/>
      </w:tabs>
      <w:ind w:left="284" w:hanging="284"/>
    </w:pPr>
    <w:rPr>
      <w:sz w:val="16"/>
    </w:rPr>
  </w:style>
  <w:style w:type="paragraph" w:customStyle="1" w:styleId="IPPContentsHead">
    <w:name w:val="IPP ContentsHead"/>
    <w:basedOn w:val="IPPSubhead"/>
    <w:next w:val="IPPNormal"/>
    <w:qFormat/>
    <w:rsid w:val="00953DE3"/>
    <w:pPr>
      <w:spacing w:after="240"/>
    </w:pPr>
    <w:rPr>
      <w:sz w:val="24"/>
    </w:rPr>
  </w:style>
  <w:style w:type="table" w:styleId="TableGrid">
    <w:name w:val="Table Grid"/>
    <w:basedOn w:val="TableNormal"/>
    <w:rsid w:val="00953DE3"/>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953DE3"/>
    <w:pPr>
      <w:numPr>
        <w:numId w:val="5"/>
      </w:numPr>
      <w:tabs>
        <w:tab w:val="left" w:pos="1134"/>
      </w:tabs>
      <w:spacing w:after="60"/>
      <w:ind w:left="1134" w:hanging="567"/>
    </w:pPr>
  </w:style>
  <w:style w:type="paragraph" w:customStyle="1" w:styleId="IPPQuote">
    <w:name w:val="IPP Quote"/>
    <w:basedOn w:val="IPPNormal"/>
    <w:qFormat/>
    <w:rsid w:val="00953DE3"/>
    <w:pPr>
      <w:ind w:left="851" w:right="851"/>
    </w:pPr>
    <w:rPr>
      <w:sz w:val="18"/>
    </w:rPr>
  </w:style>
  <w:style w:type="paragraph" w:customStyle="1" w:styleId="IPPNormal">
    <w:name w:val="IPP Normal"/>
    <w:basedOn w:val="Normal"/>
    <w:qFormat/>
    <w:rsid w:val="00953DE3"/>
    <w:pPr>
      <w:spacing w:after="180"/>
    </w:pPr>
    <w:rPr>
      <w:rFonts w:eastAsia="Times"/>
    </w:rPr>
  </w:style>
  <w:style w:type="paragraph" w:customStyle="1" w:styleId="IPPIndentClose">
    <w:name w:val="IPP Indent Close"/>
    <w:basedOn w:val="IPPNormal"/>
    <w:qFormat/>
    <w:rsid w:val="00953DE3"/>
    <w:pPr>
      <w:tabs>
        <w:tab w:val="left" w:pos="2835"/>
      </w:tabs>
      <w:spacing w:after="60"/>
      <w:ind w:left="567"/>
    </w:pPr>
  </w:style>
  <w:style w:type="paragraph" w:customStyle="1" w:styleId="IPPIndent">
    <w:name w:val="IPP Indent"/>
    <w:basedOn w:val="IPPIndentClose"/>
    <w:qFormat/>
    <w:rsid w:val="00953DE3"/>
    <w:pPr>
      <w:spacing w:after="180"/>
    </w:pPr>
  </w:style>
  <w:style w:type="paragraph" w:customStyle="1" w:styleId="IPPFootnote">
    <w:name w:val="IPP Footnote"/>
    <w:basedOn w:val="IPPArialFootnote"/>
    <w:qFormat/>
    <w:rsid w:val="00953DE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53DE3"/>
    <w:pPr>
      <w:keepNext/>
      <w:tabs>
        <w:tab w:val="left" w:pos="567"/>
      </w:tabs>
      <w:spacing w:before="120" w:after="120"/>
      <w:ind w:left="567" w:hanging="567"/>
    </w:pPr>
    <w:rPr>
      <w:b/>
      <w:i/>
    </w:rPr>
  </w:style>
  <w:style w:type="character" w:customStyle="1" w:styleId="IPPnormalitalics">
    <w:name w:val="IPP normal italics"/>
    <w:basedOn w:val="DefaultParagraphFont"/>
    <w:rsid w:val="00953DE3"/>
    <w:rPr>
      <w:rFonts w:ascii="Times New Roman" w:hAnsi="Times New Roman"/>
      <w:i/>
      <w:sz w:val="22"/>
      <w:lang w:val="en-US"/>
    </w:rPr>
  </w:style>
  <w:style w:type="character" w:customStyle="1" w:styleId="IPPNormalbold">
    <w:name w:val="IPP Normal bold"/>
    <w:basedOn w:val="PlainTextChar"/>
    <w:rsid w:val="00953DE3"/>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953DE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53DE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53DE3"/>
    <w:pPr>
      <w:keepNext/>
      <w:ind w:left="567" w:hanging="567"/>
      <w:jc w:val="left"/>
    </w:pPr>
    <w:rPr>
      <w:b/>
      <w:bCs/>
      <w:iCs/>
      <w:szCs w:val="22"/>
    </w:rPr>
  </w:style>
  <w:style w:type="character" w:customStyle="1" w:styleId="IPPNormalunderlined">
    <w:name w:val="IPP Normal underlined"/>
    <w:basedOn w:val="DefaultParagraphFont"/>
    <w:rsid w:val="00953DE3"/>
    <w:rPr>
      <w:rFonts w:ascii="Times New Roman" w:hAnsi="Times New Roman"/>
      <w:sz w:val="22"/>
      <w:u w:val="single"/>
      <w:lang w:val="en-US"/>
    </w:rPr>
  </w:style>
  <w:style w:type="paragraph" w:customStyle="1" w:styleId="IPPBullet1">
    <w:name w:val="IPP Bullet1"/>
    <w:basedOn w:val="IPPBullet1Last"/>
    <w:qFormat/>
    <w:rsid w:val="00953DE3"/>
    <w:pPr>
      <w:numPr>
        <w:numId w:val="18"/>
      </w:numPr>
      <w:spacing w:after="60"/>
      <w:ind w:left="567" w:hanging="567"/>
    </w:pPr>
    <w:rPr>
      <w:lang w:val="en-US"/>
    </w:rPr>
  </w:style>
  <w:style w:type="paragraph" w:customStyle="1" w:styleId="IPPBullet1Last">
    <w:name w:val="IPP Bullet1Last"/>
    <w:basedOn w:val="IPPNormal"/>
    <w:next w:val="IPPNormal"/>
    <w:autoRedefine/>
    <w:qFormat/>
    <w:rsid w:val="00953DE3"/>
    <w:pPr>
      <w:numPr>
        <w:numId w:val="6"/>
      </w:numPr>
    </w:pPr>
  </w:style>
  <w:style w:type="character" w:customStyle="1" w:styleId="IPPNormalstrikethrough">
    <w:name w:val="IPP Normal strikethrough"/>
    <w:rsid w:val="00953DE3"/>
    <w:rPr>
      <w:rFonts w:ascii="Times New Roman" w:hAnsi="Times New Roman"/>
      <w:strike/>
      <w:dstrike w:val="0"/>
      <w:sz w:val="22"/>
    </w:rPr>
  </w:style>
  <w:style w:type="paragraph" w:customStyle="1" w:styleId="IPPTitle16pt">
    <w:name w:val="IPP Title16pt"/>
    <w:basedOn w:val="Normal"/>
    <w:qFormat/>
    <w:rsid w:val="00953DE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53DE3"/>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953DE3"/>
    <w:pPr>
      <w:keepNext/>
      <w:tabs>
        <w:tab w:val="left" w:pos="567"/>
      </w:tabs>
      <w:spacing w:before="120"/>
      <w:jc w:val="left"/>
      <w:outlineLvl w:val="1"/>
    </w:pPr>
    <w:rPr>
      <w:b/>
      <w:sz w:val="24"/>
    </w:rPr>
  </w:style>
  <w:style w:type="numbering" w:customStyle="1" w:styleId="IPPParagraphnumberedlist">
    <w:name w:val="IPP Paragraph numbered list"/>
    <w:rsid w:val="00953DE3"/>
    <w:pPr>
      <w:numPr>
        <w:numId w:val="4"/>
      </w:numPr>
    </w:pPr>
  </w:style>
  <w:style w:type="paragraph" w:customStyle="1" w:styleId="IPPNormalCloseSpace">
    <w:name w:val="IPP NormalCloseSpace"/>
    <w:basedOn w:val="Normal"/>
    <w:qFormat/>
    <w:rsid w:val="00953DE3"/>
    <w:pPr>
      <w:keepNext/>
      <w:spacing w:after="60"/>
    </w:pPr>
  </w:style>
  <w:style w:type="paragraph" w:customStyle="1" w:styleId="IPPHeading2">
    <w:name w:val="IPP Heading2"/>
    <w:basedOn w:val="IPPNormal"/>
    <w:next w:val="IPPNormal"/>
    <w:qFormat/>
    <w:rsid w:val="00953DE3"/>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953DE3"/>
    <w:pPr>
      <w:tabs>
        <w:tab w:val="right" w:leader="dot" w:pos="9072"/>
      </w:tabs>
      <w:spacing w:before="240"/>
      <w:ind w:left="567" w:hanging="567"/>
    </w:pPr>
  </w:style>
  <w:style w:type="paragraph" w:styleId="TOC2">
    <w:name w:val="toc 2"/>
    <w:basedOn w:val="TOC1"/>
    <w:next w:val="Normal"/>
    <w:autoRedefine/>
    <w:uiPriority w:val="39"/>
    <w:rsid w:val="00953DE3"/>
    <w:pPr>
      <w:keepNext w:val="0"/>
      <w:tabs>
        <w:tab w:val="left" w:pos="425"/>
      </w:tabs>
      <w:spacing w:before="120" w:after="0"/>
      <w:ind w:left="425" w:right="284" w:hanging="425"/>
    </w:pPr>
  </w:style>
  <w:style w:type="paragraph" w:styleId="TOC3">
    <w:name w:val="toc 3"/>
    <w:basedOn w:val="TOC2"/>
    <w:next w:val="Normal"/>
    <w:autoRedefine/>
    <w:uiPriority w:val="39"/>
    <w:rsid w:val="00953DE3"/>
    <w:pPr>
      <w:tabs>
        <w:tab w:val="left" w:pos="1276"/>
      </w:tabs>
      <w:spacing w:before="60"/>
      <w:ind w:left="1276" w:hanging="851"/>
    </w:pPr>
    <w:rPr>
      <w:rFonts w:eastAsia="Times"/>
    </w:rPr>
  </w:style>
  <w:style w:type="paragraph" w:styleId="TOC4">
    <w:name w:val="toc 4"/>
    <w:basedOn w:val="Normal"/>
    <w:next w:val="Normal"/>
    <w:autoRedefine/>
    <w:uiPriority w:val="39"/>
    <w:rsid w:val="00953DE3"/>
    <w:pPr>
      <w:spacing w:after="120"/>
      <w:ind w:left="660"/>
    </w:pPr>
    <w:rPr>
      <w:rFonts w:eastAsia="Times"/>
      <w:lang w:val="en-AU"/>
    </w:rPr>
  </w:style>
  <w:style w:type="paragraph" w:styleId="TOC5">
    <w:name w:val="toc 5"/>
    <w:basedOn w:val="Normal"/>
    <w:next w:val="Normal"/>
    <w:autoRedefine/>
    <w:uiPriority w:val="39"/>
    <w:rsid w:val="00953DE3"/>
    <w:pPr>
      <w:spacing w:after="120"/>
      <w:ind w:left="880"/>
    </w:pPr>
    <w:rPr>
      <w:rFonts w:eastAsia="Times"/>
      <w:lang w:val="en-AU"/>
    </w:rPr>
  </w:style>
  <w:style w:type="paragraph" w:styleId="TOC6">
    <w:name w:val="toc 6"/>
    <w:basedOn w:val="Normal"/>
    <w:next w:val="Normal"/>
    <w:autoRedefine/>
    <w:uiPriority w:val="39"/>
    <w:rsid w:val="00953DE3"/>
    <w:pPr>
      <w:spacing w:after="120"/>
      <w:ind w:left="1100"/>
    </w:pPr>
    <w:rPr>
      <w:rFonts w:eastAsia="Times"/>
      <w:lang w:val="en-AU"/>
    </w:rPr>
  </w:style>
  <w:style w:type="paragraph" w:styleId="TOC7">
    <w:name w:val="toc 7"/>
    <w:basedOn w:val="Normal"/>
    <w:next w:val="Normal"/>
    <w:autoRedefine/>
    <w:uiPriority w:val="39"/>
    <w:rsid w:val="00953DE3"/>
    <w:pPr>
      <w:spacing w:after="120"/>
      <w:ind w:left="1320"/>
    </w:pPr>
    <w:rPr>
      <w:rFonts w:eastAsia="Times"/>
      <w:lang w:val="en-AU"/>
    </w:rPr>
  </w:style>
  <w:style w:type="paragraph" w:styleId="TOC8">
    <w:name w:val="toc 8"/>
    <w:basedOn w:val="Normal"/>
    <w:next w:val="Normal"/>
    <w:autoRedefine/>
    <w:uiPriority w:val="39"/>
    <w:rsid w:val="00953DE3"/>
    <w:pPr>
      <w:spacing w:after="120"/>
      <w:ind w:left="1540"/>
    </w:pPr>
    <w:rPr>
      <w:rFonts w:eastAsia="Times"/>
      <w:lang w:val="en-AU"/>
    </w:rPr>
  </w:style>
  <w:style w:type="paragraph" w:styleId="TOC9">
    <w:name w:val="toc 9"/>
    <w:basedOn w:val="Normal"/>
    <w:next w:val="Normal"/>
    <w:autoRedefine/>
    <w:uiPriority w:val="39"/>
    <w:rsid w:val="00953DE3"/>
    <w:pPr>
      <w:spacing w:after="120"/>
      <w:ind w:left="1760"/>
    </w:pPr>
    <w:rPr>
      <w:rFonts w:eastAsia="Times"/>
      <w:lang w:val="en-AU"/>
    </w:rPr>
  </w:style>
  <w:style w:type="paragraph" w:customStyle="1" w:styleId="IPPReferences">
    <w:name w:val="IPP References"/>
    <w:basedOn w:val="IPPNormal"/>
    <w:qFormat/>
    <w:rsid w:val="00953DE3"/>
    <w:pPr>
      <w:spacing w:after="60"/>
      <w:ind w:left="567" w:hanging="567"/>
    </w:pPr>
  </w:style>
  <w:style w:type="paragraph" w:customStyle="1" w:styleId="IPPArial">
    <w:name w:val="IPP Arial"/>
    <w:basedOn w:val="IPPNormal"/>
    <w:qFormat/>
    <w:rsid w:val="00953DE3"/>
    <w:pPr>
      <w:spacing w:after="0"/>
    </w:pPr>
    <w:rPr>
      <w:rFonts w:ascii="Arial" w:hAnsi="Arial"/>
      <w:sz w:val="18"/>
    </w:rPr>
  </w:style>
  <w:style w:type="paragraph" w:customStyle="1" w:styleId="IPPArialTable">
    <w:name w:val="IPP Arial Table"/>
    <w:basedOn w:val="IPPArial"/>
    <w:qFormat/>
    <w:rsid w:val="00953DE3"/>
    <w:pPr>
      <w:spacing w:before="60" w:after="60"/>
      <w:jc w:val="left"/>
    </w:pPr>
  </w:style>
  <w:style w:type="paragraph" w:customStyle="1" w:styleId="IPPHeaderlandscape">
    <w:name w:val="IPP Header landscape"/>
    <w:basedOn w:val="IPPHeader"/>
    <w:qFormat/>
    <w:rsid w:val="00953DE3"/>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953DE3"/>
    <w:pPr>
      <w:numPr>
        <w:numId w:val="1"/>
      </w:numPr>
      <w:jc w:val="left"/>
    </w:pPr>
  </w:style>
  <w:style w:type="paragraph" w:customStyle="1" w:styleId="IPPLetterListIndent">
    <w:name w:val="IPP LetterList Indent"/>
    <w:basedOn w:val="IPPLetterList"/>
    <w:qFormat/>
    <w:rsid w:val="00953DE3"/>
    <w:pPr>
      <w:numPr>
        <w:numId w:val="2"/>
      </w:numPr>
    </w:pPr>
  </w:style>
  <w:style w:type="paragraph" w:customStyle="1" w:styleId="IPPFooterLandscape">
    <w:name w:val="IPP Footer Landscape"/>
    <w:basedOn w:val="IPPHeaderlandscape"/>
    <w:qFormat/>
    <w:rsid w:val="00953DE3"/>
    <w:pPr>
      <w:pBdr>
        <w:top w:val="single" w:sz="4" w:space="1" w:color="auto"/>
        <w:bottom w:val="none" w:sz="0" w:space="0" w:color="auto"/>
      </w:pBdr>
      <w:jc w:val="right"/>
    </w:pPr>
    <w:rPr>
      <w:b/>
    </w:rPr>
  </w:style>
  <w:style w:type="paragraph" w:customStyle="1" w:styleId="IPPSubheadSpace">
    <w:name w:val="IPP Subhead Space"/>
    <w:basedOn w:val="IPPSubhead"/>
    <w:qFormat/>
    <w:rsid w:val="00953DE3"/>
    <w:pPr>
      <w:tabs>
        <w:tab w:val="left" w:pos="567"/>
      </w:tabs>
      <w:spacing w:before="60" w:after="60"/>
    </w:pPr>
  </w:style>
  <w:style w:type="paragraph" w:customStyle="1" w:styleId="IPPSubheadSpaceAfter">
    <w:name w:val="IPP Subhead SpaceAfter"/>
    <w:basedOn w:val="IPPSubhead"/>
    <w:qFormat/>
    <w:rsid w:val="00953DE3"/>
    <w:pPr>
      <w:spacing w:after="60"/>
    </w:pPr>
  </w:style>
  <w:style w:type="paragraph" w:customStyle="1" w:styleId="IPPHdg1Num">
    <w:name w:val="IPP Hdg1Num"/>
    <w:basedOn w:val="IPPHeading1"/>
    <w:next w:val="IPPNormal"/>
    <w:qFormat/>
    <w:rsid w:val="00953DE3"/>
    <w:pPr>
      <w:numPr>
        <w:numId w:val="7"/>
      </w:numPr>
    </w:pPr>
  </w:style>
  <w:style w:type="paragraph" w:customStyle="1" w:styleId="IPPHdg2Num">
    <w:name w:val="IPP Hdg2Num"/>
    <w:basedOn w:val="IPPHeading2"/>
    <w:next w:val="IPPNormal"/>
    <w:qFormat/>
    <w:rsid w:val="00953DE3"/>
    <w:pPr>
      <w:numPr>
        <w:ilvl w:val="1"/>
        <w:numId w:val="8"/>
      </w:numPr>
    </w:pPr>
  </w:style>
  <w:style w:type="paragraph" w:customStyle="1" w:styleId="IPPNumberedList">
    <w:name w:val="IPP NumberedList"/>
    <w:basedOn w:val="IPPBullet1"/>
    <w:qFormat/>
    <w:rsid w:val="00953DE3"/>
    <w:pPr>
      <w:numPr>
        <w:numId w:val="16"/>
      </w:numPr>
    </w:pPr>
  </w:style>
  <w:style w:type="character" w:styleId="Strong">
    <w:name w:val="Strong"/>
    <w:basedOn w:val="DefaultParagraphFont"/>
    <w:qFormat/>
    <w:rsid w:val="00953DE3"/>
    <w:rPr>
      <w:b/>
      <w:bCs/>
    </w:rPr>
  </w:style>
  <w:style w:type="paragraph" w:styleId="ListParagraph">
    <w:name w:val="List Paragraph"/>
    <w:basedOn w:val="Normal"/>
    <w:uiPriority w:val="34"/>
    <w:qFormat/>
    <w:rsid w:val="00953DE3"/>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953DE3"/>
    <w:pPr>
      <w:numPr>
        <w:numId w:val="10"/>
      </w:numPr>
    </w:pPr>
    <w:rPr>
      <w:lang w:val="en-US"/>
    </w:rPr>
  </w:style>
  <w:style w:type="paragraph" w:customStyle="1" w:styleId="IPPParagraphnumberingclose">
    <w:name w:val="IPP Paragraph numbering close"/>
    <w:basedOn w:val="IPPParagraphnumbering"/>
    <w:qFormat/>
    <w:rsid w:val="00953DE3"/>
    <w:pPr>
      <w:keepNext/>
      <w:spacing w:after="60"/>
    </w:pPr>
  </w:style>
  <w:style w:type="paragraph" w:customStyle="1" w:styleId="IPPNumberedListLast">
    <w:name w:val="IPP NumberedListLast"/>
    <w:basedOn w:val="IPPNumberedList"/>
    <w:qFormat/>
    <w:rsid w:val="00953DE3"/>
    <w:pPr>
      <w:spacing w:after="180"/>
    </w:pPr>
  </w:style>
  <w:style w:type="character" w:styleId="Hyperlink">
    <w:name w:val="Hyperlink"/>
    <w:basedOn w:val="DefaultParagraphFont"/>
    <w:uiPriority w:val="99"/>
    <w:unhideWhenUsed/>
    <w:rsid w:val="0054601E"/>
    <w:rPr>
      <w:color w:val="0563C1" w:themeColor="hyperlink"/>
      <w:u w:val="single"/>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54601E"/>
    <w:pPr>
      <w:spacing w:line="240" w:lineRule="exact"/>
    </w:pPr>
    <w:rPr>
      <w:rFonts w:asciiTheme="minorHAnsi" w:eastAsiaTheme="minorHAnsi" w:hAnsiTheme="minorHAnsi" w:cstheme="minorBidi"/>
      <w:szCs w:val="22"/>
      <w:vertAlign w:val="superscript"/>
      <w:lang w:val="en-US"/>
    </w:rPr>
  </w:style>
  <w:style w:type="table" w:customStyle="1" w:styleId="TableGrid2">
    <w:name w:val="Table Grid2"/>
    <w:basedOn w:val="TableNormal"/>
    <w:next w:val="TableGrid"/>
    <w:rsid w:val="00C66D3A"/>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6D3A"/>
    <w:pPr>
      <w:autoSpaceDE w:val="0"/>
      <w:autoSpaceDN w:val="0"/>
      <w:adjustRightInd w:val="0"/>
      <w:spacing w:after="0" w:line="240" w:lineRule="auto"/>
    </w:pPr>
    <w:rPr>
      <w:rFonts w:ascii="Arial" w:hAnsi="Arial" w:cs="Arial"/>
      <w:color w:val="000000"/>
      <w:sz w:val="24"/>
      <w:szCs w:val="24"/>
      <w:lang w:val="en-GB"/>
    </w:rPr>
  </w:style>
  <w:style w:type="character" w:customStyle="1" w:styleId="normaltextrun">
    <w:name w:val="normaltextrun"/>
    <w:basedOn w:val="DefaultParagraphFont"/>
    <w:rsid w:val="00C66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82510">
      <w:bodyDiv w:val="1"/>
      <w:marLeft w:val="0"/>
      <w:marRight w:val="0"/>
      <w:marTop w:val="0"/>
      <w:marBottom w:val="0"/>
      <w:divBdr>
        <w:top w:val="none" w:sz="0" w:space="0" w:color="auto"/>
        <w:left w:val="none" w:sz="0" w:space="0" w:color="auto"/>
        <w:bottom w:val="none" w:sz="0" w:space="0" w:color="auto"/>
        <w:right w:val="none" w:sz="0" w:space="0" w:color="auto"/>
      </w:divBdr>
    </w:div>
    <w:div w:id="462037550">
      <w:bodyDiv w:val="1"/>
      <w:marLeft w:val="0"/>
      <w:marRight w:val="0"/>
      <w:marTop w:val="0"/>
      <w:marBottom w:val="0"/>
      <w:divBdr>
        <w:top w:val="none" w:sz="0" w:space="0" w:color="auto"/>
        <w:left w:val="none" w:sz="0" w:space="0" w:color="auto"/>
        <w:bottom w:val="none" w:sz="0" w:space="0" w:color="auto"/>
        <w:right w:val="none" w:sz="0" w:space="0" w:color="auto"/>
      </w:divBdr>
    </w:div>
    <w:div w:id="1808543925">
      <w:bodyDiv w:val="1"/>
      <w:marLeft w:val="0"/>
      <w:marRight w:val="0"/>
      <w:marTop w:val="0"/>
      <w:marBottom w:val="0"/>
      <w:divBdr>
        <w:top w:val="none" w:sz="0" w:space="0" w:color="auto"/>
        <w:left w:val="none" w:sz="0" w:space="0" w:color="auto"/>
        <w:bottom w:val="none" w:sz="0" w:space="0" w:color="auto"/>
        <w:right w:val="none" w:sz="0" w:space="0" w:color="auto"/>
      </w:divBdr>
    </w:div>
    <w:div w:id="186924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2463/"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ippc.int/en/core-activities/standards-setting/standards-committee/" TargetMode="External"/><Relationship Id="rId7" Type="http://schemas.openxmlformats.org/officeDocument/2006/relationships/endnotes" Target="endnotes.xml"/><Relationship Id="rId12" Type="http://schemas.openxmlformats.org/officeDocument/2006/relationships/hyperlink" Target="https://www.ippc.int/en/irss/activities/"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www.ippc.int/core-activities/standards-setting/expert-drafting-groups/technical-panels/technical-panel-diagnostic-protoco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core-activities/governance/strategic-planning-group/"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www.ippc.int/en/publications/86076/" TargetMode="External"/><Relationship Id="rId10" Type="http://schemas.openxmlformats.org/officeDocument/2006/relationships/hyperlink" Target="https://www.ippc.int/en/core-activities/standards-setting/standards-committee/" TargetMode="External"/><Relationship Id="rId19" Type="http://schemas.openxmlformats.org/officeDocument/2006/relationships/hyperlink" Target="https://www.ippc.int/en/publications/2463/" TargetMode="External"/><Relationship Id="rId4" Type="http://schemas.openxmlformats.org/officeDocument/2006/relationships/settings" Target="settings.xml"/><Relationship Id="rId9" Type="http://schemas.openxmlformats.org/officeDocument/2006/relationships/hyperlink" Target="https://www.ippc.int/core-activities/standards-setting/expert-drafting-groups/technical-panels/technical-panel-diagnostic-protocols/" TargetMode="External"/><Relationship Id="rId14" Type="http://schemas.openxmlformats.org/officeDocument/2006/relationships/header" Target="header2.xml"/><Relationship Id="rId22" Type="http://schemas.openxmlformats.org/officeDocument/2006/relationships/hyperlink" Target="https://www.ippc.int/static/media/files/publication/en/2020/04/Report_TPDP_2019_Aug_2020-04-09.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publications/88125/" TargetMode="External"/><Relationship Id="rId2" Type="http://schemas.openxmlformats.org/officeDocument/2006/relationships/hyperlink" Target="https://www.ippc.int/en/core-activities/governance/strategic-planning-group/2020-spg/" TargetMode="External"/><Relationship Id="rId1" Type="http://schemas.openxmlformats.org/officeDocument/2006/relationships/hyperlink" Target="https://www.ippc.int/en/publications/88125/" TargetMode="External"/><Relationship Id="rId5" Type="http://schemas.openxmlformats.org/officeDocument/2006/relationships/hyperlink" Target="https://www.ippc.int/en/publications/1297/" TargetMode="External"/><Relationship Id="rId4" Type="http://schemas.openxmlformats.org/officeDocument/2006/relationships/hyperlink" Target="https://www.ippc.int/en/publications/88295/"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esktop\Teleworking\SSU\SC\SC%20November\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8344A-CCA4-418D-ABCD-F0811C59F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36</TotalTime>
  <Pages>8</Pages>
  <Words>3668</Words>
  <Characters>20909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Musselman, Lytton John</dc:creator>
  <cp:keywords/>
  <dc:description/>
  <cp:lastModifiedBy>Moreira, Adriana (NSP)</cp:lastModifiedBy>
  <cp:revision>8</cp:revision>
  <dcterms:created xsi:type="dcterms:W3CDTF">2020-11-23T17:40:00Z</dcterms:created>
  <dcterms:modified xsi:type="dcterms:W3CDTF">2020-11-23T18:26:00Z</dcterms:modified>
</cp:coreProperties>
</file>