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17DA9" w14:textId="526B2C27" w:rsidR="00CB4A3C" w:rsidRDefault="0012294A" w:rsidP="00316E50">
      <w:pPr>
        <w:pStyle w:val="IPPHeadSection"/>
        <w:tabs>
          <w:tab w:val="clear" w:pos="851"/>
        </w:tabs>
        <w:spacing w:before="0" w:after="0"/>
        <w:ind w:left="0" w:firstLine="0"/>
        <w:jc w:val="center"/>
      </w:pPr>
      <w:r w:rsidRPr="00204D54">
        <w:rPr>
          <w:lang w:eastAsia="en-GB"/>
        </w:rPr>
        <w:t>update on activities of the</w:t>
      </w:r>
      <w:r w:rsidRPr="00204D54">
        <w:t xml:space="preserve"> </w:t>
      </w:r>
      <w:r w:rsidR="0009506D" w:rsidRPr="0009506D">
        <w:t xml:space="preserve">Technical Panel on Commodity Standards </w:t>
      </w:r>
      <w:r w:rsidR="00B5032E">
        <w:t>to the standards committee (sc)</w:t>
      </w:r>
    </w:p>
    <w:p w14:paraId="641E87D8" w14:textId="77777777" w:rsidR="0012294A" w:rsidRPr="00316E50" w:rsidRDefault="0009506D" w:rsidP="00316E50">
      <w:pPr>
        <w:pStyle w:val="IPPHeadSection"/>
        <w:tabs>
          <w:tab w:val="clear" w:pos="851"/>
        </w:tabs>
        <w:spacing w:before="0" w:after="0"/>
        <w:ind w:left="0" w:firstLine="0"/>
        <w:jc w:val="center"/>
        <w:rPr>
          <w:b w:val="0"/>
        </w:rPr>
      </w:pPr>
      <w:r w:rsidRPr="00094EEF">
        <w:t>f</w:t>
      </w:r>
      <w:r w:rsidR="0012294A" w:rsidRPr="00094EEF">
        <w:t xml:space="preserve">ROM </w:t>
      </w:r>
      <w:r w:rsidR="004B5534" w:rsidRPr="00094EEF">
        <w:t>JULY</w:t>
      </w:r>
      <w:r w:rsidR="009A52AA" w:rsidRPr="00094EEF">
        <w:t xml:space="preserve"> 2022</w:t>
      </w:r>
      <w:r w:rsidR="00CB4A3C" w:rsidRPr="00094EEF">
        <w:t xml:space="preserve"> to april 2023</w:t>
      </w:r>
    </w:p>
    <w:p w14:paraId="024E664E" w14:textId="77777777" w:rsidR="0012294A" w:rsidRPr="00204D54" w:rsidRDefault="0012294A" w:rsidP="00C304A4">
      <w:pPr>
        <w:pStyle w:val="IPPNormal"/>
        <w:spacing w:before="120"/>
        <w:jc w:val="center"/>
        <w:rPr>
          <w:bCs/>
          <w:i/>
          <w:lang w:eastAsia="en-GB"/>
        </w:rPr>
      </w:pPr>
      <w:r w:rsidRPr="00204D54">
        <w:rPr>
          <w:bCs/>
          <w:i/>
          <w:lang w:eastAsia="en-GB"/>
        </w:rPr>
        <w:t>(Prepared by the IPPC Secretariat</w:t>
      </w:r>
      <w:r w:rsidR="004B5534">
        <w:rPr>
          <w:bCs/>
          <w:i/>
          <w:lang w:eastAsia="en-GB"/>
        </w:rPr>
        <w:t xml:space="preserve"> </w:t>
      </w:r>
      <w:r w:rsidR="004B5534">
        <w:rPr>
          <w:i/>
          <w:iCs/>
          <w:lang w:eastAsia="en-GB"/>
        </w:rPr>
        <w:t>with TPCS Steward</w:t>
      </w:r>
      <w:r w:rsidR="00E94B92">
        <w:rPr>
          <w:i/>
          <w:iCs/>
          <w:lang w:eastAsia="en-GB"/>
        </w:rPr>
        <w:t>s</w:t>
      </w:r>
      <w:r w:rsidR="004B5534">
        <w:rPr>
          <w:i/>
          <w:iCs/>
          <w:lang w:eastAsia="en-GB"/>
        </w:rPr>
        <w:t>’ revision</w:t>
      </w:r>
      <w:r w:rsidRPr="00204D54">
        <w:rPr>
          <w:bCs/>
          <w:i/>
          <w:lang w:eastAsia="en-GB"/>
        </w:rPr>
        <w:t>)</w:t>
      </w:r>
    </w:p>
    <w:p w14:paraId="14B762FB" w14:textId="77777777" w:rsidR="006B5506" w:rsidRPr="00204D54" w:rsidRDefault="006B5506" w:rsidP="006314F0">
      <w:pPr>
        <w:pStyle w:val="IPPHeading1"/>
      </w:pPr>
      <w:r w:rsidRPr="00204D54">
        <w:t xml:space="preserve">1. </w:t>
      </w:r>
      <w:r w:rsidR="00564804" w:rsidRPr="00204D54">
        <w:t>Background</w:t>
      </w:r>
    </w:p>
    <w:p w14:paraId="5A5CE3D8" w14:textId="77777777" w:rsidR="00666D56" w:rsidRPr="0046268E" w:rsidRDefault="00666D56" w:rsidP="004D1D6A">
      <w:pPr>
        <w:pStyle w:val="IPPParagraphnumbering"/>
        <w:spacing w:before="120" w:after="120"/>
        <w:rPr>
          <w:szCs w:val="22"/>
        </w:rPr>
      </w:pPr>
      <w:r w:rsidRPr="0046268E">
        <w:rPr>
          <w:szCs w:val="22"/>
        </w:rPr>
        <w:t xml:space="preserve">Commodity standards for phytosanitary measures are crucial to safeguard plant-based agriculture, protect the environment and facilitate safe trade. </w:t>
      </w:r>
      <w:r w:rsidR="0046268E" w:rsidRPr="0046268E">
        <w:rPr>
          <w:szCs w:val="22"/>
        </w:rPr>
        <w:t>The purpose of commodity standards is to support the development of phytosanitary import requirements that are technically justified and facilitate safe trade.</w:t>
      </w:r>
      <w:r w:rsidR="0046268E">
        <w:rPr>
          <w:szCs w:val="22"/>
        </w:rPr>
        <w:t xml:space="preserve"> </w:t>
      </w:r>
      <w:r w:rsidRPr="0046268E">
        <w:rPr>
          <w:szCs w:val="22"/>
        </w:rPr>
        <w:t xml:space="preserve">Included amongst the key programmes of the IPPC development agenda for 2020-2030, the adoption of commodity-specific standards is expected to facilitate and accelerate trade negotiations and simplify safe trade in plant products by 2030. </w:t>
      </w:r>
    </w:p>
    <w:p w14:paraId="389DA9D7" w14:textId="77777777" w:rsidR="004D1D6A" w:rsidRPr="00424065" w:rsidRDefault="004F338A" w:rsidP="004D1D6A">
      <w:pPr>
        <w:pStyle w:val="IPPParagraphnumbering"/>
        <w:spacing w:before="120" w:after="120"/>
        <w:rPr>
          <w:szCs w:val="22"/>
        </w:rPr>
      </w:pPr>
      <w:r w:rsidRPr="004D1D6A">
        <w:rPr>
          <w:szCs w:val="22"/>
        </w:rPr>
        <w:t>The IPPC Technical Panel</w:t>
      </w:r>
      <w:r w:rsidR="009A52AA" w:rsidRPr="004D1D6A">
        <w:rPr>
          <w:szCs w:val="22"/>
        </w:rPr>
        <w:t xml:space="preserve"> on Commodity Standards (TPCS) was</w:t>
      </w:r>
      <w:r w:rsidRPr="004D1D6A">
        <w:rPr>
          <w:szCs w:val="22"/>
        </w:rPr>
        <w:t xml:space="preserve"> established by the </w:t>
      </w:r>
      <w:r w:rsidR="00F23C9B" w:rsidRPr="004D1D6A">
        <w:rPr>
          <w:szCs w:val="22"/>
        </w:rPr>
        <w:t>14</w:t>
      </w:r>
      <w:r w:rsidR="00F23C9B" w:rsidRPr="004D1D6A">
        <w:rPr>
          <w:szCs w:val="22"/>
          <w:vertAlign w:val="superscript"/>
        </w:rPr>
        <w:t>th</w:t>
      </w:r>
      <w:r w:rsidR="00F23C9B" w:rsidRPr="004D1D6A">
        <w:rPr>
          <w:szCs w:val="22"/>
        </w:rPr>
        <w:t xml:space="preserve"> Commission on Phytosanitary Measures (</w:t>
      </w:r>
      <w:r w:rsidRPr="004D1D6A">
        <w:rPr>
          <w:szCs w:val="22"/>
        </w:rPr>
        <w:t>CPM</w:t>
      </w:r>
      <w:r w:rsidR="001965CE" w:rsidRPr="004D1D6A">
        <w:rPr>
          <w:szCs w:val="22"/>
        </w:rPr>
        <w:t>-14</w:t>
      </w:r>
      <w:r w:rsidR="00F23C9B" w:rsidRPr="004D1D6A">
        <w:rPr>
          <w:szCs w:val="22"/>
        </w:rPr>
        <w:t>)</w:t>
      </w:r>
      <w:r w:rsidRPr="004D1D6A">
        <w:rPr>
          <w:szCs w:val="22"/>
        </w:rPr>
        <w:t xml:space="preserve"> in 2019</w:t>
      </w:r>
      <w:r w:rsidR="001965CE">
        <w:rPr>
          <w:rStyle w:val="FootnoteReference"/>
          <w:szCs w:val="22"/>
        </w:rPr>
        <w:footnoteReference w:id="2"/>
      </w:r>
      <w:r w:rsidRPr="004D1D6A">
        <w:rPr>
          <w:szCs w:val="22"/>
          <w:lang w:val="en-GB" w:eastAsia="en-GB"/>
        </w:rPr>
        <w:t xml:space="preserve"> to support the development of </w:t>
      </w:r>
      <w:r w:rsidR="0046268E" w:rsidRPr="004D1D6A">
        <w:rPr>
          <w:szCs w:val="22"/>
          <w:lang w:val="en-GB" w:eastAsia="en-GB"/>
        </w:rPr>
        <w:t xml:space="preserve">specific </w:t>
      </w:r>
      <w:r w:rsidRPr="004D1D6A">
        <w:rPr>
          <w:szCs w:val="22"/>
          <w:lang w:val="en-GB" w:eastAsia="en-GB"/>
        </w:rPr>
        <w:t xml:space="preserve">commodity standards </w:t>
      </w:r>
      <w:r w:rsidR="0046268E">
        <w:t xml:space="preserve">within the </w:t>
      </w:r>
      <w:r w:rsidR="0046268E" w:rsidRPr="00224431">
        <w:t xml:space="preserve">framework of </w:t>
      </w:r>
      <w:hyperlink r:id="rId12" w:history="1">
        <w:r w:rsidR="0046268E" w:rsidRPr="004D1D6A">
          <w:rPr>
            <w:rStyle w:val="Hyperlink"/>
          </w:rPr>
          <w:t>ISPM 46 (</w:t>
        </w:r>
        <w:r w:rsidR="0046268E" w:rsidRPr="004D1D6A">
          <w:rPr>
            <w:rStyle w:val="Hyperlink"/>
            <w:i/>
          </w:rPr>
          <w:t>Commodity-specific standards for phytosanitary measures</w:t>
        </w:r>
      </w:hyperlink>
      <w:r w:rsidR="0046268E">
        <w:t>),</w:t>
      </w:r>
      <w:r>
        <w:t xml:space="preserve"> ensure that sufficient rigour, resources and focus can be provided</w:t>
      </w:r>
      <w:r w:rsidR="0046268E">
        <w:t>, and to develop</w:t>
      </w:r>
      <w:r w:rsidR="0046268E" w:rsidRPr="00224431">
        <w:t xml:space="preserve"> guidance on related issues. </w:t>
      </w:r>
      <w:r w:rsidR="0046268E">
        <w:t>The TPCS works under the guidance of the IPPC Standards Committee</w:t>
      </w:r>
      <w:r w:rsidR="004032C1">
        <w:t xml:space="preserve"> (SC)</w:t>
      </w:r>
      <w:r w:rsidR="0046268E">
        <w:t>, following the technical panels working procedures</w:t>
      </w:r>
      <w:r w:rsidR="0046268E">
        <w:rPr>
          <w:rStyle w:val="FootnoteReference"/>
        </w:rPr>
        <w:footnoteReference w:id="3"/>
      </w:r>
      <w:r w:rsidR="0046268E">
        <w:t xml:space="preserve"> and the approved Specification TP </w:t>
      </w:r>
      <w:r w:rsidR="004D1D6A">
        <w:t>6</w:t>
      </w:r>
      <w:r w:rsidR="0046268E">
        <w:rPr>
          <w:rStyle w:val="FootnoteReference"/>
        </w:rPr>
        <w:footnoteReference w:id="4"/>
      </w:r>
      <w:r w:rsidR="0046268E">
        <w:t xml:space="preserve">. </w:t>
      </w:r>
      <w:r w:rsidR="0046268E" w:rsidRPr="00224431">
        <w:t xml:space="preserve"> </w:t>
      </w:r>
      <w:r w:rsidR="0046268E">
        <w:t xml:space="preserve">Currently, there </w:t>
      </w:r>
      <w:r w:rsidR="004D1D6A">
        <w:t>is one</w:t>
      </w:r>
      <w:r w:rsidR="0046268E" w:rsidRPr="002D2BAE">
        <w:t xml:space="preserve"> </w:t>
      </w:r>
      <w:r w:rsidR="004D1D6A">
        <w:t xml:space="preserve">specific commodity standard topic in the TPCS </w:t>
      </w:r>
      <w:r w:rsidR="0046268E" w:rsidRPr="008C599F">
        <w:t>work programme</w:t>
      </w:r>
      <w:r w:rsidR="004D1D6A">
        <w:t xml:space="preserve">: </w:t>
      </w:r>
      <w:r w:rsidR="004D1D6A" w:rsidRPr="004D1D6A">
        <w:t xml:space="preserve">Annex </w:t>
      </w:r>
      <w:r w:rsidR="004032C1" w:rsidRPr="004D1D6A">
        <w:t xml:space="preserve">to ISPM 46 </w:t>
      </w:r>
      <w:r w:rsidR="004032C1">
        <w:t xml:space="preserve">- </w:t>
      </w:r>
      <w:r w:rsidR="004D1D6A" w:rsidRPr="004D1D6A">
        <w:t xml:space="preserve">International movement of </w:t>
      </w:r>
      <w:r w:rsidR="004D1D6A" w:rsidRPr="004D1D6A">
        <w:rPr>
          <w:i/>
        </w:rPr>
        <w:t>Mangifera indica</w:t>
      </w:r>
      <w:r w:rsidR="004D1D6A" w:rsidRPr="004D1D6A">
        <w:t xml:space="preserve"> fruit </w:t>
      </w:r>
      <w:r w:rsidR="004D1D6A">
        <w:t>(</w:t>
      </w:r>
      <w:r w:rsidR="004D1D6A" w:rsidRPr="004D1D6A">
        <w:t>2021-011</w:t>
      </w:r>
      <w:r w:rsidR="004D1D6A" w:rsidRPr="00424065">
        <w:t xml:space="preserve">). </w:t>
      </w:r>
      <w:r w:rsidR="004032C1" w:rsidRPr="00424065">
        <w:t>(Decision point 1).</w:t>
      </w:r>
    </w:p>
    <w:p w14:paraId="138964D1" w14:textId="77777777" w:rsidR="004F338A" w:rsidRPr="004D1D6A" w:rsidRDefault="004B5534" w:rsidP="004D1D6A">
      <w:pPr>
        <w:pStyle w:val="IPPParagraphnumbering"/>
        <w:spacing w:before="120" w:after="120"/>
        <w:rPr>
          <w:szCs w:val="22"/>
        </w:rPr>
      </w:pPr>
      <w:r>
        <w:t xml:space="preserve">More information about the </w:t>
      </w:r>
      <w:r w:rsidRPr="004D1D6A">
        <w:rPr>
          <w:lang w:val="en-GB" w:eastAsia="en-GB"/>
        </w:rPr>
        <w:t xml:space="preserve">TPCS </w:t>
      </w:r>
      <w:r>
        <w:t xml:space="preserve">can be found at </w:t>
      </w:r>
      <w:hyperlink r:id="rId13" w:history="1">
        <w:r w:rsidRPr="00E37560">
          <w:rPr>
            <w:rStyle w:val="Hyperlink"/>
          </w:rPr>
          <w:t>https://www.ippc.int/en/core-activities/standards-setting/expert-drafting-groups/technical-panels/technical-panel-on-commodity-standards/</w:t>
        </w:r>
      </w:hyperlink>
      <w:r>
        <w:t xml:space="preserve">. </w:t>
      </w:r>
    </w:p>
    <w:p w14:paraId="18ED52E3" w14:textId="77777777" w:rsidR="004032C1" w:rsidRPr="004032C1" w:rsidRDefault="004032C1" w:rsidP="004032C1">
      <w:pPr>
        <w:pStyle w:val="IPPHeading1"/>
        <w:rPr>
          <w:szCs w:val="24"/>
        </w:rPr>
      </w:pPr>
      <w:r w:rsidRPr="004032C1">
        <w:rPr>
          <w:lang w:val="en-NZ"/>
        </w:rPr>
        <w:t>2. Membership update</w:t>
      </w:r>
      <w:r w:rsidRPr="000664E6">
        <w:t xml:space="preserve"> </w:t>
      </w:r>
    </w:p>
    <w:p w14:paraId="63918157" w14:textId="77777777" w:rsidR="00087CCB" w:rsidRPr="00BF5D6E" w:rsidRDefault="00087CCB" w:rsidP="004D1D6A">
      <w:pPr>
        <w:pStyle w:val="IPPParagraphnumbering"/>
        <w:spacing w:before="120" w:after="120"/>
        <w:ind w:hanging="475"/>
      </w:pPr>
      <w:r w:rsidRPr="00BF5D6E">
        <w:t>The</w:t>
      </w:r>
      <w:r w:rsidR="004F338A">
        <w:t xml:space="preserve"> </w:t>
      </w:r>
      <w:r w:rsidRPr="00BF5D6E">
        <w:t xml:space="preserve">Stewards for the </w:t>
      </w:r>
      <w:r w:rsidRPr="00BF5D6E">
        <w:rPr>
          <w:lang w:val="en-GB" w:eastAsia="en-GB"/>
        </w:rPr>
        <w:t xml:space="preserve">Technical Panel on </w:t>
      </w:r>
      <w:r w:rsidR="0009506D" w:rsidRPr="00BF5D6E">
        <w:rPr>
          <w:lang w:val="en-GB" w:eastAsia="en-GB"/>
        </w:rPr>
        <w:t>Commodity Standards</w:t>
      </w:r>
      <w:r w:rsidR="00C63034">
        <w:rPr>
          <w:lang w:val="en-GB" w:eastAsia="en-GB"/>
        </w:rPr>
        <w:t xml:space="preserve"> (TPCS)</w:t>
      </w:r>
      <w:r w:rsidR="0009506D" w:rsidRPr="00BF5D6E">
        <w:rPr>
          <w:lang w:val="en-GB" w:eastAsia="en-GB"/>
        </w:rPr>
        <w:t xml:space="preserve"> </w:t>
      </w:r>
      <w:r w:rsidRPr="00BF5D6E">
        <w:t xml:space="preserve">are: </w:t>
      </w:r>
    </w:p>
    <w:p w14:paraId="601BCD41" w14:textId="77777777" w:rsidR="004B5534" w:rsidRDefault="004B5534" w:rsidP="00E94B92">
      <w:pPr>
        <w:pStyle w:val="IPPBullet1"/>
        <w:spacing w:before="80" w:after="80"/>
        <w:rPr>
          <w:lang w:val="en-GB"/>
        </w:rPr>
      </w:pPr>
      <w:r w:rsidRPr="00B3136F">
        <w:t>Mr Samuel BISHOP (</w:t>
      </w:r>
      <w:r>
        <w:t>Steward)</w:t>
      </w:r>
    </w:p>
    <w:p w14:paraId="259E30F9" w14:textId="77777777" w:rsidR="0009506D" w:rsidRPr="0009506D" w:rsidRDefault="0009506D" w:rsidP="00E94B92">
      <w:pPr>
        <w:pStyle w:val="IPPBullet1"/>
        <w:spacing w:before="80" w:after="80"/>
      </w:pPr>
      <w:r w:rsidRPr="00B3136F">
        <w:t>Ms Joanne WILSON (</w:t>
      </w:r>
      <w:r>
        <w:t>Assistant Steward)</w:t>
      </w:r>
    </w:p>
    <w:p w14:paraId="40C98BAF" w14:textId="77777777" w:rsidR="0009506D" w:rsidRDefault="0009506D" w:rsidP="008A25AF">
      <w:pPr>
        <w:pStyle w:val="IPPParagraphnumbering"/>
        <w:spacing w:before="120" w:after="120"/>
        <w:contextualSpacing/>
        <w:rPr>
          <w:lang w:val="en-GB"/>
        </w:rPr>
      </w:pPr>
      <w:r w:rsidRPr="0009506D">
        <w:rPr>
          <w:lang w:val="en-GB"/>
        </w:rPr>
        <w:t>The IPPC</w:t>
      </w:r>
      <w:r>
        <w:rPr>
          <w:lang w:val="en-GB"/>
        </w:rPr>
        <w:t xml:space="preserve"> Secretariat support for the TPCS</w:t>
      </w:r>
      <w:r w:rsidRPr="0009506D">
        <w:rPr>
          <w:lang w:val="en-GB"/>
        </w:rPr>
        <w:t xml:space="preserve"> </w:t>
      </w:r>
      <w:r w:rsidR="004032C1">
        <w:rPr>
          <w:lang w:val="en-GB"/>
        </w:rPr>
        <w:t>are</w:t>
      </w:r>
      <w:r w:rsidRPr="0009506D">
        <w:rPr>
          <w:lang w:val="en-GB"/>
        </w:rPr>
        <w:t>:</w:t>
      </w:r>
    </w:p>
    <w:p w14:paraId="0F00A081" w14:textId="77777777" w:rsidR="0009506D" w:rsidRDefault="0009506D" w:rsidP="008A25AF">
      <w:pPr>
        <w:pStyle w:val="IPPBullet1"/>
        <w:spacing w:before="120" w:after="120"/>
        <w:contextualSpacing/>
      </w:pPr>
      <w:r w:rsidRPr="0009506D">
        <w:t>Ms Adriana G. MOREIRA (lead)</w:t>
      </w:r>
    </w:p>
    <w:p w14:paraId="261A25DE" w14:textId="77777777" w:rsidR="002E7E23" w:rsidRDefault="002E7E23" w:rsidP="008A25AF">
      <w:pPr>
        <w:pStyle w:val="IPPBullet1"/>
        <w:spacing w:before="120" w:after="120"/>
        <w:contextualSpacing/>
      </w:pPr>
      <w:r>
        <w:t xml:space="preserve">Ms Karen </w:t>
      </w:r>
      <w:r w:rsidR="002C0890">
        <w:t>ROUEN</w:t>
      </w:r>
      <w:r>
        <w:t xml:space="preserve"> (rep</w:t>
      </w:r>
      <w:bookmarkStart w:id="0" w:name="_GoBack"/>
      <w:bookmarkEnd w:id="0"/>
      <w:r>
        <w:t>ort writer)</w:t>
      </w:r>
    </w:p>
    <w:p w14:paraId="542B878B" w14:textId="77777777" w:rsidR="00577321" w:rsidRDefault="00577321" w:rsidP="008A25AF">
      <w:pPr>
        <w:pStyle w:val="IPPBullet1"/>
        <w:spacing w:before="120" w:after="120"/>
        <w:contextualSpacing/>
      </w:pPr>
      <w:r w:rsidRPr="00D14B7B">
        <w:rPr>
          <w:lang w:val="fr-BE"/>
        </w:rPr>
        <w:t>Ms Erika MANGILI ANDRÉ (support</w:t>
      </w:r>
      <w:r>
        <w:rPr>
          <w:lang w:val="fr-BE"/>
        </w:rPr>
        <w:t xml:space="preserve"> until January 2023</w:t>
      </w:r>
      <w:r w:rsidRPr="00D14B7B">
        <w:rPr>
          <w:lang w:val="fr-BE"/>
        </w:rPr>
        <w:t>)</w:t>
      </w:r>
    </w:p>
    <w:p w14:paraId="24FBCDCB" w14:textId="77777777" w:rsidR="002E7E23" w:rsidRDefault="002E7E23" w:rsidP="004A02B6">
      <w:pPr>
        <w:pStyle w:val="IPPBullet1"/>
      </w:pPr>
      <w:r>
        <w:t xml:space="preserve">Mr </w:t>
      </w:r>
      <w:r w:rsidR="00224117">
        <w:t xml:space="preserve">Lorenzo </w:t>
      </w:r>
      <w:r w:rsidR="002C0890">
        <w:t>MONTEROSA</w:t>
      </w:r>
      <w:r w:rsidR="00224117">
        <w:t xml:space="preserve"> (</w:t>
      </w:r>
      <w:r w:rsidR="004A02B6" w:rsidRPr="004A02B6">
        <w:t xml:space="preserve">support, from </w:t>
      </w:r>
      <w:r w:rsidR="00577321">
        <w:t>March</w:t>
      </w:r>
      <w:r w:rsidR="004A02B6" w:rsidRPr="004A02B6">
        <w:t xml:space="preserve"> 2023)</w:t>
      </w:r>
    </w:p>
    <w:p w14:paraId="6B12A69B" w14:textId="77777777" w:rsidR="004B5534" w:rsidRPr="000544B5" w:rsidRDefault="004B5534" w:rsidP="004B5534">
      <w:pPr>
        <w:pStyle w:val="IPPPargraphnumbering"/>
        <w:numPr>
          <w:ilvl w:val="0"/>
          <w:numId w:val="2"/>
        </w:numPr>
        <w:spacing w:before="120" w:after="120"/>
        <w:rPr>
          <w:lang w:val="en-GB"/>
        </w:rPr>
      </w:pPr>
      <w:r w:rsidRPr="000544B5">
        <w:rPr>
          <w:lang w:val="en-GB"/>
        </w:rPr>
        <w:t xml:space="preserve">The </w:t>
      </w:r>
      <w:hyperlink r:id="rId14" w:history="1">
        <w:r w:rsidRPr="004B5534">
          <w:rPr>
            <w:rStyle w:val="Hyperlink"/>
            <w:lang w:val="en-GB"/>
          </w:rPr>
          <w:t>TPCS membership and contact information</w:t>
        </w:r>
      </w:hyperlink>
      <w:r w:rsidRPr="00FA5089">
        <w:rPr>
          <w:lang w:val="en-GB"/>
        </w:rPr>
        <w:t xml:space="preserve"> </w:t>
      </w:r>
      <w:r w:rsidRPr="000544B5">
        <w:rPr>
          <w:lang w:val="en-GB"/>
        </w:rPr>
        <w:t xml:space="preserve">can be found on </w:t>
      </w:r>
      <w:r w:rsidR="004D1D6A">
        <w:rPr>
          <w:lang w:val="en-GB"/>
        </w:rPr>
        <w:t>the International Phytosanitary Portal (</w:t>
      </w:r>
      <w:r w:rsidRPr="000544B5">
        <w:rPr>
          <w:lang w:val="en-GB"/>
        </w:rPr>
        <w:t>IPP</w:t>
      </w:r>
      <w:r w:rsidR="004D1D6A">
        <w:rPr>
          <w:lang w:val="en-GB"/>
        </w:rPr>
        <w:t>)</w:t>
      </w:r>
      <w:r w:rsidRPr="000544B5">
        <w:rPr>
          <w:rStyle w:val="FootnoteReference"/>
          <w:lang w:val="en-GB"/>
        </w:rPr>
        <w:footnoteReference w:id="5"/>
      </w:r>
      <w:r w:rsidRPr="000544B5">
        <w:rPr>
          <w:lang w:val="en-GB"/>
        </w:rPr>
        <w:t xml:space="preserve">. Table 1 shows a simplified version of the </w:t>
      </w:r>
      <w:r>
        <w:rPr>
          <w:lang w:val="en-GB"/>
        </w:rPr>
        <w:t>TPCS</w:t>
      </w:r>
      <w:r w:rsidRPr="000544B5">
        <w:rPr>
          <w:lang w:val="en-GB"/>
        </w:rPr>
        <w:t xml:space="preserve"> membership as of </w:t>
      </w:r>
      <w:r w:rsidR="002C0890">
        <w:rPr>
          <w:szCs w:val="22"/>
        </w:rPr>
        <w:t>April 2023</w:t>
      </w:r>
      <w:r w:rsidRPr="000544B5">
        <w:rPr>
          <w:lang w:val="en-GB"/>
        </w:rPr>
        <w:t xml:space="preserve">. </w:t>
      </w:r>
    </w:p>
    <w:p w14:paraId="458E7B8C" w14:textId="77777777" w:rsidR="004B5534" w:rsidRDefault="004B5534" w:rsidP="00E94B92">
      <w:pPr>
        <w:pStyle w:val="IPPArialTable"/>
        <w:rPr>
          <w:rFonts w:ascii="Times New Roman" w:hAnsi="Times New Roman"/>
          <w:sz w:val="22"/>
          <w:szCs w:val="22"/>
        </w:rPr>
      </w:pPr>
      <w:r w:rsidRPr="009B21DC">
        <w:rPr>
          <w:rFonts w:ascii="Times New Roman" w:hAnsi="Times New Roman"/>
          <w:b/>
          <w:sz w:val="22"/>
          <w:szCs w:val="22"/>
        </w:rPr>
        <w:t>Table 1.</w:t>
      </w:r>
      <w:r w:rsidRPr="009B21DC">
        <w:rPr>
          <w:rFonts w:ascii="Times New Roman" w:hAnsi="Times New Roman"/>
          <w:sz w:val="22"/>
          <w:szCs w:val="22"/>
        </w:rPr>
        <w:t xml:space="preserve"> </w:t>
      </w:r>
      <w:r>
        <w:rPr>
          <w:rFonts w:ascii="Times New Roman" w:hAnsi="Times New Roman"/>
          <w:sz w:val="22"/>
          <w:szCs w:val="22"/>
        </w:rPr>
        <w:t>TPCS</w:t>
      </w:r>
      <w:r w:rsidRPr="009B21DC">
        <w:rPr>
          <w:rFonts w:ascii="Times New Roman" w:hAnsi="Times New Roman"/>
          <w:sz w:val="22"/>
          <w:szCs w:val="22"/>
        </w:rPr>
        <w:t xml:space="preserve"> membership (as of </w:t>
      </w:r>
      <w:r w:rsidR="002C0890">
        <w:rPr>
          <w:rFonts w:ascii="Times New Roman" w:hAnsi="Times New Roman"/>
          <w:sz w:val="22"/>
          <w:szCs w:val="22"/>
        </w:rPr>
        <w:t>April 2023</w:t>
      </w:r>
      <w:r w:rsidRPr="009B21DC">
        <w:rPr>
          <w:rFonts w:ascii="Times New Roman" w:hAnsi="Times New Roman"/>
          <w:sz w:val="22"/>
          <w:szCs w:val="22"/>
        </w:rPr>
        <w:t>)</w:t>
      </w:r>
      <w:r w:rsidR="00FD61C0">
        <w:rPr>
          <w:rFonts w:ascii="Times New Roman" w:hAnsi="Times New Roman"/>
          <w:sz w:val="22"/>
          <w:szCs w:val="22"/>
        </w:rPr>
        <w:t xml:space="preserve"> – all members are in their first term</w:t>
      </w:r>
      <w:r w:rsidRPr="009B21DC">
        <w:rPr>
          <w:rFonts w:ascii="Times New Roman" w:hAnsi="Times New Roman"/>
          <w:sz w:val="22"/>
          <w:szCs w:val="22"/>
        </w:rPr>
        <w:t>.</w:t>
      </w:r>
    </w:p>
    <w:tbl>
      <w:tblPr>
        <w:tblW w:w="82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166"/>
        <w:gridCol w:w="4587"/>
        <w:gridCol w:w="810"/>
        <w:gridCol w:w="720"/>
      </w:tblGrid>
      <w:tr w:rsidR="004B5534" w:rsidRPr="002C0890" w14:paraId="1AC10235" w14:textId="77777777" w:rsidTr="009519CC">
        <w:trPr>
          <w:tblHeader/>
          <w:jc w:val="center"/>
        </w:trPr>
        <w:tc>
          <w:tcPr>
            <w:tcW w:w="2166" w:type="dxa"/>
            <w:shd w:val="clear" w:color="auto" w:fill="BFBFBF"/>
            <w:vAlign w:val="center"/>
            <w:hideMark/>
          </w:tcPr>
          <w:p w14:paraId="062691CA" w14:textId="77777777" w:rsidR="004B5534" w:rsidRPr="002C0890" w:rsidRDefault="00A31077" w:rsidP="00A31077">
            <w:pPr>
              <w:jc w:val="left"/>
              <w:textAlignment w:val="baseline"/>
              <w:rPr>
                <w:rFonts w:ascii="Arial" w:eastAsia="Times New Roman" w:hAnsi="Arial" w:cs="Arial"/>
                <w:sz w:val="18"/>
                <w:szCs w:val="18"/>
                <w:lang w:val="en-US"/>
              </w:rPr>
            </w:pPr>
            <w:r>
              <w:rPr>
                <w:rFonts w:ascii="Arial" w:eastAsia="Times New Roman" w:hAnsi="Arial" w:cs="Arial"/>
                <w:b/>
                <w:bCs/>
                <w:sz w:val="18"/>
                <w:szCs w:val="18"/>
              </w:rPr>
              <w:lastRenderedPageBreak/>
              <w:t>TPCS p</w:t>
            </w:r>
            <w:r w:rsidR="004B5534" w:rsidRPr="002C0890">
              <w:rPr>
                <w:rFonts w:ascii="Arial" w:eastAsia="Times New Roman" w:hAnsi="Arial" w:cs="Arial"/>
                <w:b/>
                <w:bCs/>
                <w:sz w:val="18"/>
                <w:szCs w:val="18"/>
              </w:rPr>
              <w:t>articipant role</w:t>
            </w:r>
          </w:p>
        </w:tc>
        <w:tc>
          <w:tcPr>
            <w:tcW w:w="4587" w:type="dxa"/>
            <w:shd w:val="clear" w:color="auto" w:fill="BFBFBF"/>
            <w:vAlign w:val="center"/>
            <w:hideMark/>
          </w:tcPr>
          <w:p w14:paraId="10B3A364"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rPr>
              <w:t>Name (country)</w:t>
            </w:r>
            <w:r w:rsidRPr="002C0890">
              <w:rPr>
                <w:rFonts w:ascii="Arial" w:eastAsia="Times New Roman" w:hAnsi="Arial" w:cs="Arial"/>
                <w:sz w:val="18"/>
                <w:szCs w:val="18"/>
                <w:lang w:val="en-US"/>
              </w:rPr>
              <w:t> </w:t>
            </w:r>
          </w:p>
        </w:tc>
        <w:tc>
          <w:tcPr>
            <w:tcW w:w="810" w:type="dxa"/>
            <w:shd w:val="clear" w:color="auto" w:fill="BFBFBF"/>
            <w:vAlign w:val="center"/>
            <w:hideMark/>
          </w:tcPr>
          <w:p w14:paraId="568FDEDC" w14:textId="77777777" w:rsidR="004B5534" w:rsidRPr="002C0890" w:rsidRDefault="004B5534" w:rsidP="004B5534">
            <w:pPr>
              <w:jc w:val="center"/>
              <w:textAlignment w:val="baseline"/>
              <w:rPr>
                <w:rFonts w:ascii="Arial" w:eastAsia="Times New Roman" w:hAnsi="Arial" w:cs="Arial"/>
                <w:sz w:val="18"/>
                <w:szCs w:val="18"/>
                <w:lang w:val="en-US"/>
              </w:rPr>
            </w:pPr>
            <w:r w:rsidRPr="002C0890">
              <w:rPr>
                <w:rFonts w:ascii="Arial" w:eastAsia="Times New Roman" w:hAnsi="Arial" w:cs="Arial"/>
                <w:b/>
                <w:bCs/>
                <w:sz w:val="18"/>
                <w:szCs w:val="18"/>
              </w:rPr>
              <w:t>Term begins</w:t>
            </w:r>
          </w:p>
        </w:tc>
        <w:tc>
          <w:tcPr>
            <w:tcW w:w="720" w:type="dxa"/>
            <w:shd w:val="clear" w:color="auto" w:fill="BFBFBF"/>
            <w:vAlign w:val="center"/>
            <w:hideMark/>
          </w:tcPr>
          <w:p w14:paraId="68658C37" w14:textId="77777777" w:rsidR="004B5534" w:rsidRPr="002C0890" w:rsidRDefault="004B5534" w:rsidP="004B5534">
            <w:pPr>
              <w:jc w:val="center"/>
              <w:textAlignment w:val="baseline"/>
              <w:rPr>
                <w:rFonts w:ascii="Arial" w:eastAsia="Times New Roman" w:hAnsi="Arial" w:cs="Arial"/>
                <w:sz w:val="18"/>
                <w:szCs w:val="18"/>
                <w:lang w:val="en-US"/>
              </w:rPr>
            </w:pPr>
            <w:r w:rsidRPr="002C0890">
              <w:rPr>
                <w:rFonts w:ascii="Arial" w:eastAsia="Times New Roman" w:hAnsi="Arial" w:cs="Arial"/>
                <w:b/>
                <w:bCs/>
                <w:sz w:val="18"/>
                <w:szCs w:val="18"/>
              </w:rPr>
              <w:t>Term ends</w:t>
            </w:r>
          </w:p>
        </w:tc>
      </w:tr>
      <w:tr w:rsidR="004B5534" w:rsidRPr="002C0890" w14:paraId="1AC07E59" w14:textId="77777777" w:rsidTr="009519CC">
        <w:trPr>
          <w:trHeight w:val="265"/>
          <w:tblHeader/>
          <w:jc w:val="center"/>
        </w:trPr>
        <w:tc>
          <w:tcPr>
            <w:tcW w:w="2166" w:type="dxa"/>
            <w:shd w:val="clear" w:color="auto" w:fill="FFFFFF"/>
            <w:vAlign w:val="center"/>
            <w:hideMark/>
          </w:tcPr>
          <w:p w14:paraId="797E7821"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Steward</w:t>
            </w:r>
          </w:p>
        </w:tc>
        <w:tc>
          <w:tcPr>
            <w:tcW w:w="4587" w:type="dxa"/>
            <w:shd w:val="clear" w:color="auto" w:fill="auto"/>
            <w:hideMark/>
          </w:tcPr>
          <w:p w14:paraId="03D371C5"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lang w:val="en-US"/>
              </w:rPr>
              <w:t>Mr Samuel BISHOP</w:t>
            </w:r>
            <w:r w:rsidRPr="002C0890">
              <w:rPr>
                <w:rFonts w:ascii="Arial" w:eastAsia="Times New Roman" w:hAnsi="Arial" w:cs="Arial"/>
                <w:sz w:val="18"/>
                <w:szCs w:val="18"/>
                <w:lang w:val="en-US"/>
              </w:rPr>
              <w:t> (United Kingdom)</w:t>
            </w:r>
            <w:r w:rsidRPr="002C0890">
              <w:rPr>
                <w:rFonts w:ascii="Arial" w:eastAsia="Times New Roman" w:hAnsi="Arial" w:cs="Arial"/>
                <w:b/>
                <w:bCs/>
                <w:sz w:val="18"/>
                <w:szCs w:val="18"/>
              </w:rPr>
              <w:t xml:space="preserve"> </w:t>
            </w:r>
          </w:p>
        </w:tc>
        <w:tc>
          <w:tcPr>
            <w:tcW w:w="810" w:type="dxa"/>
            <w:shd w:val="clear" w:color="auto" w:fill="D9D9D9"/>
            <w:hideMark/>
          </w:tcPr>
          <w:p w14:paraId="61C035B5" w14:textId="77777777" w:rsidR="004B5534" w:rsidRPr="002C0890" w:rsidRDefault="004B5534" w:rsidP="009F49F7">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lang w:val="en-US"/>
              </w:rPr>
              <w:t> </w:t>
            </w:r>
          </w:p>
        </w:tc>
        <w:tc>
          <w:tcPr>
            <w:tcW w:w="720" w:type="dxa"/>
            <w:shd w:val="clear" w:color="auto" w:fill="D9D9D9"/>
            <w:hideMark/>
          </w:tcPr>
          <w:p w14:paraId="25D941DD" w14:textId="77777777" w:rsidR="004B5534" w:rsidRPr="002C0890" w:rsidRDefault="004B5534" w:rsidP="009F49F7">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lang w:val="en-US"/>
              </w:rPr>
              <w:t> </w:t>
            </w:r>
          </w:p>
        </w:tc>
      </w:tr>
      <w:tr w:rsidR="004B5534" w:rsidRPr="002C0890" w14:paraId="117A1013" w14:textId="77777777" w:rsidTr="009519CC">
        <w:trPr>
          <w:trHeight w:val="229"/>
          <w:tblHeader/>
          <w:jc w:val="center"/>
        </w:trPr>
        <w:tc>
          <w:tcPr>
            <w:tcW w:w="2166" w:type="dxa"/>
            <w:shd w:val="clear" w:color="auto" w:fill="FFFFFF"/>
            <w:vAlign w:val="center"/>
            <w:hideMark/>
          </w:tcPr>
          <w:p w14:paraId="65BBE59C"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Assistant Steward</w:t>
            </w:r>
          </w:p>
        </w:tc>
        <w:tc>
          <w:tcPr>
            <w:tcW w:w="4587" w:type="dxa"/>
            <w:shd w:val="clear" w:color="auto" w:fill="auto"/>
            <w:hideMark/>
          </w:tcPr>
          <w:p w14:paraId="7464843C"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lang w:val="en-US"/>
              </w:rPr>
              <w:t>Ms Joanne WILSON</w:t>
            </w:r>
            <w:r w:rsidRPr="002C0890">
              <w:rPr>
                <w:rFonts w:ascii="Arial" w:eastAsia="Times New Roman" w:hAnsi="Arial" w:cs="Arial"/>
                <w:sz w:val="18"/>
                <w:szCs w:val="18"/>
                <w:lang w:val="en-US"/>
              </w:rPr>
              <w:t> </w:t>
            </w:r>
            <w:r w:rsidRPr="002C0890">
              <w:rPr>
                <w:rFonts w:ascii="Arial" w:eastAsia="Times New Roman" w:hAnsi="Arial" w:cs="Arial"/>
                <w:sz w:val="18"/>
                <w:szCs w:val="18"/>
              </w:rPr>
              <w:t xml:space="preserve"> (New Zealand)</w:t>
            </w:r>
          </w:p>
        </w:tc>
        <w:tc>
          <w:tcPr>
            <w:tcW w:w="810" w:type="dxa"/>
            <w:shd w:val="clear" w:color="auto" w:fill="D9D9D9"/>
            <w:hideMark/>
          </w:tcPr>
          <w:p w14:paraId="4F31E795" w14:textId="77777777" w:rsidR="004B5534" w:rsidRPr="002C0890" w:rsidRDefault="004B5534" w:rsidP="009F49F7">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lang w:val="en-US"/>
              </w:rPr>
              <w:t> </w:t>
            </w:r>
          </w:p>
        </w:tc>
        <w:tc>
          <w:tcPr>
            <w:tcW w:w="720" w:type="dxa"/>
            <w:shd w:val="clear" w:color="auto" w:fill="D9D9D9"/>
            <w:hideMark/>
          </w:tcPr>
          <w:p w14:paraId="488E2DA6" w14:textId="77777777" w:rsidR="004B5534" w:rsidRPr="002C0890" w:rsidRDefault="004B5534" w:rsidP="009F49F7">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lang w:val="en-US"/>
              </w:rPr>
              <w:t> </w:t>
            </w:r>
          </w:p>
        </w:tc>
      </w:tr>
      <w:tr w:rsidR="004B5534" w:rsidRPr="002C0890" w14:paraId="6ED97898" w14:textId="77777777" w:rsidTr="009519CC">
        <w:trPr>
          <w:trHeight w:val="436"/>
          <w:tblHeader/>
          <w:jc w:val="center"/>
        </w:trPr>
        <w:tc>
          <w:tcPr>
            <w:tcW w:w="2166" w:type="dxa"/>
            <w:shd w:val="clear" w:color="auto" w:fill="FFFFFF"/>
            <w:vAlign w:val="center"/>
            <w:hideMark/>
          </w:tcPr>
          <w:p w14:paraId="12C7696B" w14:textId="77777777" w:rsidR="004B5534" w:rsidRPr="002C0890" w:rsidRDefault="004B5534" w:rsidP="002C0890">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Member</w:t>
            </w:r>
          </w:p>
          <w:p w14:paraId="0723F069" w14:textId="77777777" w:rsidR="004B5534" w:rsidRPr="002C0890" w:rsidRDefault="004B5534" w:rsidP="002C0890">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Argentina</w:t>
            </w:r>
          </w:p>
        </w:tc>
        <w:tc>
          <w:tcPr>
            <w:tcW w:w="4587" w:type="dxa"/>
            <w:shd w:val="clear" w:color="auto" w:fill="FFFFFF"/>
            <w:hideMark/>
          </w:tcPr>
          <w:p w14:paraId="08CAAB03" w14:textId="77777777" w:rsidR="004B5534" w:rsidRPr="002C0890" w:rsidRDefault="004B5534" w:rsidP="002C0890">
            <w:pPr>
              <w:jc w:val="left"/>
              <w:textAlignment w:val="baseline"/>
              <w:rPr>
                <w:rFonts w:ascii="Arial" w:eastAsia="Times New Roman" w:hAnsi="Arial" w:cs="Arial"/>
                <w:sz w:val="18"/>
                <w:szCs w:val="18"/>
                <w:lang w:val="it-IT"/>
              </w:rPr>
            </w:pPr>
            <w:r w:rsidRPr="002C0890">
              <w:rPr>
                <w:rFonts w:ascii="Arial" w:eastAsia="Times New Roman" w:hAnsi="Arial" w:cs="Arial"/>
                <w:b/>
                <w:bCs/>
                <w:sz w:val="18"/>
                <w:szCs w:val="18"/>
                <w:lang w:val="it-IT"/>
              </w:rPr>
              <w:t>Ms Adriana Ceriani Camdessus</w:t>
            </w:r>
            <w:r w:rsidRPr="002C0890">
              <w:rPr>
                <w:rFonts w:ascii="Arial" w:eastAsia="Times New Roman" w:hAnsi="Arial" w:cs="Arial"/>
                <w:sz w:val="18"/>
                <w:szCs w:val="18"/>
                <w:lang w:val="it-IT"/>
              </w:rPr>
              <w:t> </w:t>
            </w:r>
            <w:r w:rsidRPr="002C0890">
              <w:rPr>
                <w:rFonts w:ascii="Arial" w:eastAsia="Times New Roman" w:hAnsi="Arial" w:cs="Arial"/>
                <w:sz w:val="18"/>
                <w:szCs w:val="18"/>
                <w:shd w:val="clear" w:color="auto" w:fill="FAF9F8"/>
                <w:lang w:val="it-IT"/>
              </w:rPr>
              <w:t>(Argentina)</w:t>
            </w:r>
            <w:r w:rsidRPr="002C0890">
              <w:rPr>
                <w:rFonts w:ascii="Arial" w:eastAsia="Times New Roman" w:hAnsi="Arial" w:cs="Arial"/>
                <w:sz w:val="18"/>
                <w:szCs w:val="18"/>
                <w:lang w:val="it-IT"/>
              </w:rPr>
              <w:t> </w:t>
            </w:r>
          </w:p>
        </w:tc>
        <w:tc>
          <w:tcPr>
            <w:tcW w:w="810" w:type="dxa"/>
            <w:shd w:val="clear" w:color="auto" w:fill="FFFFFF"/>
            <w:vAlign w:val="center"/>
            <w:hideMark/>
          </w:tcPr>
          <w:p w14:paraId="620F54C6" w14:textId="77777777" w:rsidR="004B5534" w:rsidRPr="002C0890" w:rsidRDefault="004B5534" w:rsidP="002C0890">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 2022</w:t>
            </w:r>
          </w:p>
        </w:tc>
        <w:tc>
          <w:tcPr>
            <w:tcW w:w="720" w:type="dxa"/>
            <w:shd w:val="clear" w:color="auto" w:fill="FFFFFF"/>
            <w:vAlign w:val="center"/>
            <w:hideMark/>
          </w:tcPr>
          <w:p w14:paraId="01342319" w14:textId="77777777" w:rsidR="004B5534" w:rsidRPr="002C0890" w:rsidRDefault="004B5534" w:rsidP="002C0890">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48333087" w14:textId="77777777" w:rsidR="004B5534" w:rsidRPr="002C0890" w:rsidRDefault="004B5534" w:rsidP="002C0890">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2027</w:t>
            </w:r>
          </w:p>
        </w:tc>
      </w:tr>
      <w:tr w:rsidR="004B5534" w:rsidRPr="002C0890" w14:paraId="4EE65D0A" w14:textId="77777777" w:rsidTr="009519CC">
        <w:trPr>
          <w:tblHeader/>
          <w:jc w:val="center"/>
        </w:trPr>
        <w:tc>
          <w:tcPr>
            <w:tcW w:w="2166" w:type="dxa"/>
            <w:shd w:val="clear" w:color="auto" w:fill="FFFFFF"/>
            <w:vAlign w:val="center"/>
            <w:hideMark/>
          </w:tcPr>
          <w:p w14:paraId="27F44473"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Member</w:t>
            </w:r>
          </w:p>
          <w:p w14:paraId="60F2B289"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Australia</w:t>
            </w:r>
          </w:p>
        </w:tc>
        <w:tc>
          <w:tcPr>
            <w:tcW w:w="4587" w:type="dxa"/>
            <w:shd w:val="clear" w:color="auto" w:fill="FFFFFF"/>
            <w:hideMark/>
          </w:tcPr>
          <w:p w14:paraId="59B82BE7" w14:textId="77777777" w:rsidR="004B5534" w:rsidRPr="002C0890" w:rsidRDefault="004B5534" w:rsidP="00727AF9">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rPr>
              <w:t>Mr Douglas Kerruish</w:t>
            </w:r>
            <w:r w:rsidRPr="002C0890">
              <w:rPr>
                <w:rFonts w:ascii="Arial" w:eastAsia="Times New Roman" w:hAnsi="Arial" w:cs="Arial"/>
                <w:sz w:val="18"/>
                <w:szCs w:val="18"/>
                <w:lang w:val="en-US"/>
              </w:rPr>
              <w:t> </w:t>
            </w:r>
            <w:r w:rsidR="00727AF9" w:rsidRPr="002C0890">
              <w:rPr>
                <w:rFonts w:ascii="Arial" w:eastAsia="Times New Roman" w:hAnsi="Arial" w:cs="Arial"/>
                <w:sz w:val="18"/>
                <w:szCs w:val="18"/>
                <w:lang w:val="en-US"/>
              </w:rPr>
              <w:t>(</w:t>
            </w:r>
            <w:r w:rsidRPr="002C0890">
              <w:rPr>
                <w:rFonts w:ascii="Arial" w:eastAsia="Times New Roman" w:hAnsi="Arial" w:cs="Arial"/>
                <w:sz w:val="18"/>
                <w:szCs w:val="18"/>
                <w:shd w:val="clear" w:color="auto" w:fill="FAF9F8"/>
              </w:rPr>
              <w:t>Australia</w:t>
            </w:r>
            <w:r w:rsidR="00727AF9" w:rsidRPr="002C0890">
              <w:rPr>
                <w:rFonts w:ascii="Arial" w:eastAsia="Times New Roman" w:hAnsi="Arial" w:cs="Arial"/>
                <w:sz w:val="18"/>
                <w:szCs w:val="18"/>
                <w:lang w:val="en-US"/>
              </w:rPr>
              <w:t>)</w:t>
            </w:r>
          </w:p>
        </w:tc>
        <w:tc>
          <w:tcPr>
            <w:tcW w:w="810" w:type="dxa"/>
            <w:shd w:val="clear" w:color="auto" w:fill="FFFFFF"/>
            <w:vAlign w:val="center"/>
            <w:hideMark/>
          </w:tcPr>
          <w:p w14:paraId="0979199C"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w:t>
            </w:r>
            <w:r w:rsidR="00727AF9" w:rsidRPr="002C0890">
              <w:rPr>
                <w:rFonts w:ascii="Arial" w:eastAsia="Times New Roman" w:hAnsi="Arial" w:cs="Arial"/>
                <w:sz w:val="18"/>
                <w:szCs w:val="18"/>
              </w:rPr>
              <w:t>p</w:t>
            </w:r>
            <w:r w:rsidRPr="002C0890">
              <w:rPr>
                <w:rFonts w:ascii="Arial" w:eastAsia="Times New Roman" w:hAnsi="Arial" w:cs="Arial"/>
                <w:sz w:val="18"/>
                <w:szCs w:val="18"/>
              </w:rPr>
              <w:t>ril 2022</w:t>
            </w:r>
          </w:p>
        </w:tc>
        <w:tc>
          <w:tcPr>
            <w:tcW w:w="720" w:type="dxa"/>
            <w:shd w:val="clear" w:color="auto" w:fill="FFFFFF"/>
            <w:vAlign w:val="center"/>
            <w:hideMark/>
          </w:tcPr>
          <w:p w14:paraId="05D81D3D"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 2027</w:t>
            </w:r>
          </w:p>
        </w:tc>
      </w:tr>
      <w:tr w:rsidR="004B5534" w:rsidRPr="002C0890" w14:paraId="05349AD9" w14:textId="77777777" w:rsidTr="009519CC">
        <w:trPr>
          <w:tblHeader/>
          <w:jc w:val="center"/>
        </w:trPr>
        <w:tc>
          <w:tcPr>
            <w:tcW w:w="2166" w:type="dxa"/>
            <w:shd w:val="clear" w:color="auto" w:fill="FFFFFF"/>
            <w:vAlign w:val="center"/>
            <w:hideMark/>
          </w:tcPr>
          <w:p w14:paraId="768C2517"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Member</w:t>
            </w:r>
          </w:p>
          <w:p w14:paraId="7977E919"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Brazil</w:t>
            </w:r>
          </w:p>
        </w:tc>
        <w:tc>
          <w:tcPr>
            <w:tcW w:w="4587" w:type="dxa"/>
            <w:shd w:val="clear" w:color="auto" w:fill="FFFFFF"/>
            <w:hideMark/>
          </w:tcPr>
          <w:p w14:paraId="08366D21" w14:textId="77777777" w:rsidR="004B5534" w:rsidRPr="002C0890" w:rsidRDefault="004B5534" w:rsidP="00727AF9">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rPr>
              <w:t>Mr Tiago Rodrigo Lohmann</w:t>
            </w:r>
            <w:r w:rsidRPr="002C0890">
              <w:rPr>
                <w:rFonts w:ascii="Arial" w:eastAsia="Times New Roman" w:hAnsi="Arial" w:cs="Arial"/>
                <w:sz w:val="18"/>
                <w:szCs w:val="18"/>
                <w:lang w:val="en-US"/>
              </w:rPr>
              <w:t> </w:t>
            </w:r>
            <w:r w:rsidR="00727AF9" w:rsidRPr="002C0890">
              <w:rPr>
                <w:rFonts w:ascii="Arial" w:eastAsia="Times New Roman" w:hAnsi="Arial" w:cs="Arial"/>
                <w:sz w:val="18"/>
                <w:szCs w:val="18"/>
                <w:shd w:val="clear" w:color="auto" w:fill="FAF9F8"/>
              </w:rPr>
              <w:t>(</w:t>
            </w:r>
            <w:r w:rsidRPr="002C0890">
              <w:rPr>
                <w:rFonts w:ascii="Arial" w:eastAsia="Times New Roman" w:hAnsi="Arial" w:cs="Arial"/>
                <w:sz w:val="18"/>
                <w:szCs w:val="18"/>
                <w:shd w:val="clear" w:color="auto" w:fill="FAF9F8"/>
              </w:rPr>
              <w:t>Brazil</w:t>
            </w:r>
            <w:r w:rsidR="00727AF9" w:rsidRPr="002C0890">
              <w:rPr>
                <w:rFonts w:ascii="Arial" w:eastAsia="Times New Roman" w:hAnsi="Arial" w:cs="Arial"/>
                <w:sz w:val="18"/>
                <w:szCs w:val="18"/>
                <w:lang w:val="en-US"/>
              </w:rPr>
              <w:t>)</w:t>
            </w:r>
          </w:p>
        </w:tc>
        <w:tc>
          <w:tcPr>
            <w:tcW w:w="810" w:type="dxa"/>
            <w:shd w:val="clear" w:color="auto" w:fill="FFFFFF"/>
            <w:vAlign w:val="center"/>
            <w:hideMark/>
          </w:tcPr>
          <w:p w14:paraId="2B054702"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 2022</w:t>
            </w:r>
          </w:p>
        </w:tc>
        <w:tc>
          <w:tcPr>
            <w:tcW w:w="720" w:type="dxa"/>
            <w:shd w:val="clear" w:color="auto" w:fill="FFFFFF"/>
            <w:vAlign w:val="center"/>
            <w:hideMark/>
          </w:tcPr>
          <w:p w14:paraId="0481DE2A"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 2027</w:t>
            </w:r>
          </w:p>
        </w:tc>
      </w:tr>
      <w:tr w:rsidR="004B5534" w:rsidRPr="002C0890" w14:paraId="0A73876A" w14:textId="77777777" w:rsidTr="009519CC">
        <w:trPr>
          <w:tblHeader/>
          <w:jc w:val="center"/>
        </w:trPr>
        <w:tc>
          <w:tcPr>
            <w:tcW w:w="2166" w:type="dxa"/>
            <w:shd w:val="clear" w:color="auto" w:fill="FFFFFF"/>
            <w:vAlign w:val="center"/>
            <w:hideMark/>
          </w:tcPr>
          <w:p w14:paraId="4E25230A"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Member</w:t>
            </w:r>
          </w:p>
          <w:p w14:paraId="01BE16EB"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Canada</w:t>
            </w:r>
          </w:p>
        </w:tc>
        <w:tc>
          <w:tcPr>
            <w:tcW w:w="4587" w:type="dxa"/>
            <w:shd w:val="clear" w:color="auto" w:fill="FFFFFF"/>
            <w:hideMark/>
          </w:tcPr>
          <w:p w14:paraId="7481F881" w14:textId="77777777" w:rsidR="004B5534" w:rsidRPr="002C0890" w:rsidRDefault="004B5534" w:rsidP="009F49F7">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rPr>
              <w:t>Mr Martin Damus</w:t>
            </w:r>
            <w:r w:rsidRPr="002C0890">
              <w:rPr>
                <w:rFonts w:ascii="Arial" w:eastAsia="Times New Roman" w:hAnsi="Arial" w:cs="Arial"/>
                <w:sz w:val="18"/>
                <w:szCs w:val="18"/>
                <w:lang w:val="en-US"/>
              </w:rPr>
              <w:t> </w:t>
            </w:r>
            <w:r w:rsidR="00727AF9" w:rsidRPr="002C0890">
              <w:rPr>
                <w:rFonts w:ascii="Arial" w:eastAsia="Times New Roman" w:hAnsi="Arial" w:cs="Arial"/>
                <w:sz w:val="18"/>
                <w:szCs w:val="18"/>
                <w:lang w:val="en-US"/>
              </w:rPr>
              <w:t>(</w:t>
            </w:r>
            <w:r w:rsidRPr="002C0890">
              <w:rPr>
                <w:rFonts w:ascii="Arial" w:eastAsia="Times New Roman" w:hAnsi="Arial" w:cs="Arial"/>
                <w:color w:val="000000"/>
                <w:sz w:val="18"/>
                <w:szCs w:val="18"/>
              </w:rPr>
              <w:t>Canada</w:t>
            </w:r>
            <w:r w:rsidR="00727AF9" w:rsidRPr="002C0890">
              <w:rPr>
                <w:rFonts w:ascii="Arial" w:eastAsia="Times New Roman" w:hAnsi="Arial" w:cs="Arial"/>
                <w:color w:val="000000"/>
                <w:sz w:val="18"/>
                <w:szCs w:val="18"/>
              </w:rPr>
              <w:t>)</w:t>
            </w:r>
            <w:r w:rsidRPr="002C0890">
              <w:rPr>
                <w:rFonts w:ascii="Arial" w:eastAsia="Times New Roman" w:hAnsi="Arial" w:cs="Arial"/>
                <w:color w:val="000000"/>
                <w:sz w:val="18"/>
                <w:szCs w:val="18"/>
              </w:rPr>
              <w:t> </w:t>
            </w:r>
            <w:r w:rsidRPr="002C0890">
              <w:rPr>
                <w:rFonts w:ascii="Arial" w:eastAsia="Times New Roman" w:hAnsi="Arial" w:cs="Arial"/>
                <w:color w:val="000000"/>
                <w:sz w:val="18"/>
                <w:szCs w:val="18"/>
                <w:lang w:val="en-US"/>
              </w:rPr>
              <w:t> </w:t>
            </w:r>
          </w:p>
        </w:tc>
        <w:tc>
          <w:tcPr>
            <w:tcW w:w="810" w:type="dxa"/>
            <w:shd w:val="clear" w:color="auto" w:fill="FFFFFF"/>
            <w:vAlign w:val="center"/>
            <w:hideMark/>
          </w:tcPr>
          <w:p w14:paraId="3927637A"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37201E68"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2022</w:t>
            </w:r>
          </w:p>
        </w:tc>
        <w:tc>
          <w:tcPr>
            <w:tcW w:w="720" w:type="dxa"/>
            <w:shd w:val="clear" w:color="auto" w:fill="FFFFFF"/>
            <w:vAlign w:val="center"/>
            <w:hideMark/>
          </w:tcPr>
          <w:p w14:paraId="663B4283"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 2027</w:t>
            </w:r>
          </w:p>
        </w:tc>
      </w:tr>
      <w:tr w:rsidR="004B5534" w:rsidRPr="002C0890" w14:paraId="6814BDF4" w14:textId="77777777" w:rsidTr="009519CC">
        <w:trPr>
          <w:tblHeader/>
          <w:jc w:val="center"/>
        </w:trPr>
        <w:tc>
          <w:tcPr>
            <w:tcW w:w="2166" w:type="dxa"/>
            <w:shd w:val="clear" w:color="auto" w:fill="FFFFFF"/>
            <w:vAlign w:val="center"/>
            <w:hideMark/>
          </w:tcPr>
          <w:p w14:paraId="0D1EAF99"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Member</w:t>
            </w:r>
          </w:p>
          <w:p w14:paraId="6D433BFF" w14:textId="77777777" w:rsidR="004B5534" w:rsidRPr="002C0890" w:rsidRDefault="004B5534" w:rsidP="004B5534">
            <w:pPr>
              <w:jc w:val="left"/>
              <w:textAlignment w:val="baseline"/>
              <w:rPr>
                <w:rFonts w:ascii="Arial" w:eastAsia="Times New Roman" w:hAnsi="Arial" w:cs="Arial"/>
                <w:sz w:val="18"/>
                <w:szCs w:val="18"/>
                <w:lang w:val="en-US"/>
              </w:rPr>
            </w:pPr>
            <w:r w:rsidRPr="002C0890">
              <w:rPr>
                <w:rFonts w:ascii="Arial" w:eastAsia="Times New Roman" w:hAnsi="Arial" w:cs="Arial"/>
                <w:sz w:val="18"/>
                <w:szCs w:val="18"/>
              </w:rPr>
              <w:t>China</w:t>
            </w:r>
          </w:p>
        </w:tc>
        <w:tc>
          <w:tcPr>
            <w:tcW w:w="4587" w:type="dxa"/>
            <w:shd w:val="clear" w:color="auto" w:fill="FFFFFF"/>
            <w:hideMark/>
          </w:tcPr>
          <w:p w14:paraId="4761A76A" w14:textId="77777777" w:rsidR="004B5534" w:rsidRPr="002C0890" w:rsidRDefault="004B5534" w:rsidP="009F49F7">
            <w:pPr>
              <w:jc w:val="left"/>
              <w:textAlignment w:val="baseline"/>
              <w:rPr>
                <w:rFonts w:ascii="Arial" w:eastAsia="Times New Roman" w:hAnsi="Arial" w:cs="Arial"/>
                <w:sz w:val="18"/>
                <w:szCs w:val="18"/>
                <w:lang w:val="en-US"/>
              </w:rPr>
            </w:pPr>
            <w:r w:rsidRPr="002C0890">
              <w:rPr>
                <w:rFonts w:ascii="Arial" w:eastAsia="Times New Roman" w:hAnsi="Arial" w:cs="Arial"/>
                <w:b/>
                <w:bCs/>
                <w:sz w:val="18"/>
                <w:szCs w:val="18"/>
              </w:rPr>
              <w:t>Ms</w:t>
            </w:r>
            <w:r w:rsidRPr="002C0890">
              <w:rPr>
                <w:rFonts w:ascii="Arial" w:eastAsia="Times New Roman" w:hAnsi="Arial" w:cs="Arial"/>
                <w:sz w:val="18"/>
                <w:szCs w:val="18"/>
              </w:rPr>
              <w:t xml:space="preserve"> </w:t>
            </w:r>
            <w:r w:rsidRPr="002C0890">
              <w:rPr>
                <w:rFonts w:ascii="Arial" w:eastAsia="Times New Roman" w:hAnsi="Arial" w:cs="Arial"/>
                <w:b/>
                <w:bCs/>
                <w:sz w:val="18"/>
                <w:szCs w:val="18"/>
              </w:rPr>
              <w:t>Sun Shuangyan</w:t>
            </w:r>
            <w:r w:rsidRPr="002C0890">
              <w:rPr>
                <w:rFonts w:ascii="Arial" w:eastAsia="Times New Roman" w:hAnsi="Arial" w:cs="Arial"/>
                <w:sz w:val="18"/>
                <w:szCs w:val="18"/>
                <w:lang w:val="en-US"/>
              </w:rPr>
              <w:t> </w:t>
            </w:r>
            <w:r w:rsidR="00727AF9" w:rsidRPr="002C0890">
              <w:rPr>
                <w:rFonts w:ascii="Arial" w:eastAsia="Times New Roman" w:hAnsi="Arial" w:cs="Arial"/>
                <w:sz w:val="18"/>
                <w:szCs w:val="18"/>
                <w:lang w:val="en-US"/>
              </w:rPr>
              <w:t>(</w:t>
            </w:r>
            <w:r w:rsidRPr="002C0890">
              <w:rPr>
                <w:rFonts w:ascii="Arial" w:eastAsia="Times New Roman" w:hAnsi="Arial" w:cs="Arial"/>
                <w:color w:val="000000"/>
                <w:sz w:val="18"/>
                <w:szCs w:val="18"/>
                <w:shd w:val="clear" w:color="auto" w:fill="FFFFFF"/>
              </w:rPr>
              <w:t>China</w:t>
            </w:r>
            <w:r w:rsidR="00727AF9" w:rsidRPr="002C0890">
              <w:rPr>
                <w:rFonts w:ascii="Arial" w:eastAsia="Times New Roman" w:hAnsi="Arial" w:cs="Arial"/>
                <w:color w:val="000000"/>
                <w:sz w:val="18"/>
                <w:szCs w:val="18"/>
                <w:shd w:val="clear" w:color="auto" w:fill="FFFFFF"/>
              </w:rPr>
              <w:t>)</w:t>
            </w:r>
            <w:r w:rsidRPr="002C0890">
              <w:rPr>
                <w:rFonts w:ascii="Arial" w:eastAsia="Times New Roman" w:hAnsi="Arial" w:cs="Arial"/>
                <w:color w:val="000000"/>
                <w:sz w:val="18"/>
                <w:szCs w:val="18"/>
                <w:lang w:val="en-US"/>
              </w:rPr>
              <w:t> </w:t>
            </w:r>
          </w:p>
        </w:tc>
        <w:tc>
          <w:tcPr>
            <w:tcW w:w="810" w:type="dxa"/>
            <w:shd w:val="clear" w:color="auto" w:fill="FFFFFF"/>
            <w:vAlign w:val="center"/>
            <w:hideMark/>
          </w:tcPr>
          <w:p w14:paraId="08605811"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731F2D62"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2022</w:t>
            </w:r>
          </w:p>
        </w:tc>
        <w:tc>
          <w:tcPr>
            <w:tcW w:w="720" w:type="dxa"/>
            <w:shd w:val="clear" w:color="auto" w:fill="FFFFFF"/>
            <w:vAlign w:val="center"/>
            <w:hideMark/>
          </w:tcPr>
          <w:p w14:paraId="0E1D0510"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0A57DF0D" w14:textId="77777777" w:rsidR="004B5534" w:rsidRPr="002C0890" w:rsidRDefault="004B5534"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2027</w:t>
            </w:r>
          </w:p>
        </w:tc>
      </w:tr>
      <w:tr w:rsidR="003A2C81" w:rsidRPr="002C0890" w14:paraId="2A1D69CF" w14:textId="77777777" w:rsidTr="009519CC">
        <w:trPr>
          <w:tblHeader/>
          <w:jc w:val="center"/>
        </w:trPr>
        <w:tc>
          <w:tcPr>
            <w:tcW w:w="2166" w:type="dxa"/>
            <w:shd w:val="clear" w:color="auto" w:fill="FFFFFF"/>
            <w:vAlign w:val="center"/>
          </w:tcPr>
          <w:p w14:paraId="7EC8175F"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Member</w:t>
            </w:r>
          </w:p>
          <w:p w14:paraId="5D35A0A1"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Israel</w:t>
            </w:r>
          </w:p>
        </w:tc>
        <w:tc>
          <w:tcPr>
            <w:tcW w:w="4587" w:type="dxa"/>
            <w:shd w:val="clear" w:color="auto" w:fill="FFFFFF"/>
          </w:tcPr>
          <w:p w14:paraId="6D6029E9" w14:textId="77777777" w:rsidR="003A2C81" w:rsidRPr="002C0890" w:rsidRDefault="003A2C81" w:rsidP="003A2C81">
            <w:pPr>
              <w:spacing w:before="40"/>
              <w:rPr>
                <w:rFonts w:ascii="Arial" w:hAnsi="Arial" w:cs="Arial"/>
                <w:caps/>
                <w:spacing w:val="-2"/>
                <w:sz w:val="18"/>
                <w:szCs w:val="18"/>
              </w:rPr>
            </w:pPr>
            <w:r w:rsidRPr="002C0890">
              <w:rPr>
                <w:rFonts w:ascii="Arial" w:hAnsi="Arial" w:cs="Arial"/>
                <w:b/>
                <w:spacing w:val="-2"/>
                <w:sz w:val="18"/>
                <w:szCs w:val="18"/>
              </w:rPr>
              <w:t xml:space="preserve">Mr Moshe </w:t>
            </w:r>
            <w:r w:rsidRPr="002C0890">
              <w:rPr>
                <w:rFonts w:ascii="Arial" w:hAnsi="Arial" w:cs="Arial"/>
                <w:b/>
                <w:caps/>
                <w:spacing w:val="-2"/>
                <w:sz w:val="18"/>
                <w:szCs w:val="18"/>
              </w:rPr>
              <w:t xml:space="preserve">Vaknin </w:t>
            </w:r>
            <w:r w:rsidRPr="002C0890">
              <w:rPr>
                <w:rFonts w:ascii="Arial" w:hAnsi="Arial" w:cs="Arial"/>
                <w:caps/>
                <w:spacing w:val="-2"/>
                <w:sz w:val="18"/>
                <w:szCs w:val="18"/>
              </w:rPr>
              <w:t>(I</w:t>
            </w:r>
            <w:r w:rsidRPr="002C0890">
              <w:rPr>
                <w:rFonts w:ascii="Arial" w:hAnsi="Arial" w:cs="Arial"/>
                <w:spacing w:val="-2"/>
                <w:sz w:val="18"/>
                <w:szCs w:val="18"/>
              </w:rPr>
              <w:t>srael</w:t>
            </w:r>
            <w:r w:rsidRPr="002C0890">
              <w:rPr>
                <w:rFonts w:ascii="Arial" w:hAnsi="Arial" w:cs="Arial"/>
                <w:caps/>
                <w:spacing w:val="-2"/>
                <w:sz w:val="18"/>
                <w:szCs w:val="18"/>
              </w:rPr>
              <w:t>)</w:t>
            </w:r>
          </w:p>
        </w:tc>
        <w:tc>
          <w:tcPr>
            <w:tcW w:w="810" w:type="dxa"/>
            <w:shd w:val="clear" w:color="auto" w:fill="FFFFFF"/>
            <w:vAlign w:val="center"/>
          </w:tcPr>
          <w:p w14:paraId="1D34BF4A"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720" w:type="dxa"/>
            <w:shd w:val="clear" w:color="auto" w:fill="FFFFFF"/>
            <w:vAlign w:val="center"/>
          </w:tcPr>
          <w:p w14:paraId="0B9B463D" w14:textId="77777777" w:rsidR="003A2C81" w:rsidRPr="002C0890" w:rsidRDefault="003A2C81"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5EE24928"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2027</w:t>
            </w:r>
          </w:p>
        </w:tc>
      </w:tr>
      <w:tr w:rsidR="003A2C81" w:rsidRPr="002C0890" w14:paraId="2A5DF02A" w14:textId="77777777" w:rsidTr="009519CC">
        <w:trPr>
          <w:tblHeader/>
          <w:jc w:val="center"/>
        </w:trPr>
        <w:tc>
          <w:tcPr>
            <w:tcW w:w="2166" w:type="dxa"/>
            <w:shd w:val="clear" w:color="auto" w:fill="FFFFFF"/>
            <w:vAlign w:val="center"/>
          </w:tcPr>
          <w:p w14:paraId="457101B7"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Member</w:t>
            </w:r>
          </w:p>
          <w:p w14:paraId="1B5BA951"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Japan</w:t>
            </w:r>
          </w:p>
        </w:tc>
        <w:tc>
          <w:tcPr>
            <w:tcW w:w="4587" w:type="dxa"/>
            <w:shd w:val="clear" w:color="auto" w:fill="FFFFFF"/>
          </w:tcPr>
          <w:p w14:paraId="267B481E" w14:textId="77777777" w:rsidR="003A2C81" w:rsidRPr="002C0890" w:rsidRDefault="003A2C81" w:rsidP="003A2C81">
            <w:pPr>
              <w:spacing w:before="40"/>
              <w:rPr>
                <w:rFonts w:ascii="Arial" w:hAnsi="Arial" w:cs="Arial"/>
                <w:b/>
                <w:caps/>
                <w:spacing w:val="-2"/>
                <w:sz w:val="18"/>
                <w:szCs w:val="18"/>
              </w:rPr>
            </w:pPr>
            <w:r w:rsidRPr="002C0890">
              <w:rPr>
                <w:rFonts w:ascii="Arial" w:hAnsi="Arial" w:cs="Arial"/>
                <w:b/>
                <w:spacing w:val="-2"/>
                <w:sz w:val="18"/>
                <w:szCs w:val="18"/>
              </w:rPr>
              <w:t xml:space="preserve">Mr Hideki </w:t>
            </w:r>
            <w:r w:rsidRPr="002C0890">
              <w:rPr>
                <w:rFonts w:ascii="Arial" w:hAnsi="Arial" w:cs="Arial"/>
                <w:b/>
                <w:caps/>
                <w:spacing w:val="-2"/>
                <w:sz w:val="18"/>
                <w:szCs w:val="18"/>
              </w:rPr>
              <w:t xml:space="preserve">Taniguchi </w:t>
            </w:r>
            <w:r w:rsidRPr="002C0890">
              <w:rPr>
                <w:rFonts w:ascii="Arial" w:hAnsi="Arial" w:cs="Arial"/>
                <w:caps/>
                <w:spacing w:val="-2"/>
                <w:sz w:val="18"/>
                <w:szCs w:val="18"/>
              </w:rPr>
              <w:t>(j</w:t>
            </w:r>
            <w:r w:rsidRPr="002C0890">
              <w:rPr>
                <w:rFonts w:ascii="Arial" w:hAnsi="Arial" w:cs="Arial"/>
                <w:spacing w:val="-2"/>
                <w:sz w:val="18"/>
                <w:szCs w:val="18"/>
              </w:rPr>
              <w:t>apan</w:t>
            </w:r>
            <w:r w:rsidRPr="002C0890">
              <w:rPr>
                <w:rFonts w:ascii="Arial" w:hAnsi="Arial" w:cs="Arial"/>
                <w:caps/>
                <w:spacing w:val="-2"/>
                <w:sz w:val="18"/>
                <w:szCs w:val="18"/>
              </w:rPr>
              <w:t>)</w:t>
            </w:r>
          </w:p>
        </w:tc>
        <w:tc>
          <w:tcPr>
            <w:tcW w:w="810" w:type="dxa"/>
            <w:shd w:val="clear" w:color="auto" w:fill="FFFFFF"/>
            <w:vAlign w:val="center"/>
          </w:tcPr>
          <w:p w14:paraId="628A6982"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720" w:type="dxa"/>
            <w:shd w:val="clear" w:color="auto" w:fill="FFFFFF"/>
            <w:vAlign w:val="center"/>
          </w:tcPr>
          <w:p w14:paraId="72FE8C6C"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A2C81" w:rsidRPr="002C0890" w14:paraId="25413B2A" w14:textId="77777777" w:rsidTr="009519CC">
        <w:trPr>
          <w:tblHeader/>
          <w:jc w:val="center"/>
        </w:trPr>
        <w:tc>
          <w:tcPr>
            <w:tcW w:w="2166" w:type="dxa"/>
            <w:shd w:val="clear" w:color="auto" w:fill="FFFFFF"/>
            <w:vAlign w:val="center"/>
          </w:tcPr>
          <w:p w14:paraId="70D34882"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Member</w:t>
            </w:r>
          </w:p>
          <w:p w14:paraId="7491877A"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Kenya</w:t>
            </w:r>
          </w:p>
        </w:tc>
        <w:tc>
          <w:tcPr>
            <w:tcW w:w="4587" w:type="dxa"/>
            <w:shd w:val="clear" w:color="auto" w:fill="FFFFFF"/>
          </w:tcPr>
          <w:p w14:paraId="0E075506" w14:textId="77777777" w:rsidR="003A2C81" w:rsidRPr="002C0890" w:rsidRDefault="003A2C81" w:rsidP="003A2C81">
            <w:pPr>
              <w:rPr>
                <w:rFonts w:ascii="Arial" w:hAnsi="Arial" w:cs="Arial"/>
                <w:b/>
                <w:caps/>
                <w:spacing w:val="-2"/>
                <w:sz w:val="18"/>
                <w:szCs w:val="18"/>
              </w:rPr>
            </w:pPr>
            <w:r w:rsidRPr="002C0890">
              <w:rPr>
                <w:rFonts w:ascii="Arial" w:hAnsi="Arial" w:cs="Arial"/>
                <w:b/>
                <w:spacing w:val="-2"/>
                <w:sz w:val="18"/>
                <w:szCs w:val="18"/>
              </w:rPr>
              <w:t xml:space="preserve">Mr Alfayo </w:t>
            </w:r>
            <w:r w:rsidRPr="002C0890">
              <w:rPr>
                <w:rFonts w:ascii="Arial" w:hAnsi="Arial" w:cs="Arial"/>
                <w:b/>
                <w:caps/>
                <w:spacing w:val="-2"/>
                <w:sz w:val="18"/>
                <w:szCs w:val="18"/>
              </w:rPr>
              <w:t xml:space="preserve">Ombuya </w:t>
            </w:r>
            <w:r w:rsidRPr="002C0890">
              <w:rPr>
                <w:rFonts w:ascii="Arial" w:hAnsi="Arial" w:cs="Arial"/>
                <w:caps/>
                <w:spacing w:val="-2"/>
                <w:sz w:val="18"/>
                <w:szCs w:val="18"/>
              </w:rPr>
              <w:t>(k</w:t>
            </w:r>
            <w:r w:rsidRPr="002C0890">
              <w:rPr>
                <w:rFonts w:ascii="Arial" w:hAnsi="Arial" w:cs="Arial"/>
                <w:spacing w:val="-2"/>
                <w:sz w:val="18"/>
                <w:szCs w:val="18"/>
              </w:rPr>
              <w:t>enya</w:t>
            </w:r>
            <w:r w:rsidRPr="002C0890">
              <w:rPr>
                <w:rFonts w:ascii="Arial" w:hAnsi="Arial" w:cs="Arial"/>
                <w:caps/>
                <w:spacing w:val="-2"/>
                <w:sz w:val="18"/>
                <w:szCs w:val="18"/>
              </w:rPr>
              <w:t>)</w:t>
            </w:r>
          </w:p>
        </w:tc>
        <w:tc>
          <w:tcPr>
            <w:tcW w:w="810" w:type="dxa"/>
            <w:shd w:val="clear" w:color="auto" w:fill="FFFFFF"/>
            <w:vAlign w:val="center"/>
          </w:tcPr>
          <w:p w14:paraId="4A558AD7"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2022</w:t>
            </w:r>
          </w:p>
        </w:tc>
        <w:tc>
          <w:tcPr>
            <w:tcW w:w="720" w:type="dxa"/>
            <w:shd w:val="clear" w:color="auto" w:fill="FFFFFF"/>
            <w:vAlign w:val="center"/>
          </w:tcPr>
          <w:p w14:paraId="4EBC34C5"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A2C81" w:rsidRPr="002C0890" w14:paraId="275B7F66" w14:textId="77777777" w:rsidTr="009519CC">
        <w:trPr>
          <w:tblHeader/>
          <w:jc w:val="center"/>
        </w:trPr>
        <w:tc>
          <w:tcPr>
            <w:tcW w:w="2166" w:type="dxa"/>
            <w:shd w:val="clear" w:color="auto" w:fill="FFFFFF"/>
            <w:vAlign w:val="center"/>
          </w:tcPr>
          <w:p w14:paraId="52878CAE"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Member</w:t>
            </w:r>
          </w:p>
          <w:p w14:paraId="352CC18F"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Rep. of Korea</w:t>
            </w:r>
          </w:p>
        </w:tc>
        <w:tc>
          <w:tcPr>
            <w:tcW w:w="4587" w:type="dxa"/>
            <w:shd w:val="clear" w:color="auto" w:fill="FFFFFF"/>
          </w:tcPr>
          <w:p w14:paraId="110A5655" w14:textId="77777777" w:rsidR="003A2C81" w:rsidRPr="002C0890" w:rsidRDefault="003A2C81" w:rsidP="003A2C81">
            <w:pPr>
              <w:rPr>
                <w:rFonts w:ascii="Arial" w:hAnsi="Arial" w:cs="Arial"/>
                <w:b/>
                <w:sz w:val="18"/>
                <w:szCs w:val="18"/>
                <w:lang w:eastAsia="pt-BR"/>
              </w:rPr>
            </w:pPr>
            <w:r w:rsidRPr="002C0890">
              <w:rPr>
                <w:rFonts w:ascii="Arial" w:hAnsi="Arial" w:cs="Arial"/>
                <w:b/>
                <w:sz w:val="18"/>
                <w:szCs w:val="18"/>
                <w:lang w:eastAsia="pt-BR"/>
              </w:rPr>
              <w:t xml:space="preserve">Mr Donam </w:t>
            </w:r>
            <w:r w:rsidRPr="002C0890">
              <w:rPr>
                <w:rFonts w:ascii="Arial" w:hAnsi="Arial" w:cs="Arial"/>
                <w:b/>
                <w:caps/>
                <w:sz w:val="18"/>
                <w:szCs w:val="18"/>
                <w:lang w:eastAsia="pt-BR"/>
              </w:rPr>
              <w:t>Kim</w:t>
            </w:r>
            <w:r w:rsidRPr="002C0890">
              <w:rPr>
                <w:rFonts w:ascii="Arial" w:hAnsi="Arial" w:cs="Arial"/>
                <w:b/>
                <w:sz w:val="18"/>
                <w:szCs w:val="18"/>
                <w:lang w:eastAsia="pt-BR"/>
              </w:rPr>
              <w:t xml:space="preserve"> </w:t>
            </w:r>
            <w:r w:rsidRPr="002C0890">
              <w:rPr>
                <w:rFonts w:ascii="Arial" w:hAnsi="Arial" w:cs="Arial"/>
                <w:sz w:val="18"/>
                <w:szCs w:val="18"/>
                <w:lang w:eastAsia="pt-BR"/>
              </w:rPr>
              <w:t>(</w:t>
            </w:r>
            <w:r w:rsidRPr="002C0890">
              <w:rPr>
                <w:rStyle w:val="normaltextrun"/>
                <w:rFonts w:ascii="Arial" w:hAnsi="Arial" w:cs="Arial"/>
                <w:color w:val="000000"/>
                <w:sz w:val="18"/>
                <w:szCs w:val="18"/>
                <w:bdr w:val="none" w:sz="0" w:space="0" w:color="auto" w:frame="1"/>
              </w:rPr>
              <w:t>Republic of Korea</w:t>
            </w:r>
            <w:r w:rsidRPr="002C0890">
              <w:rPr>
                <w:rStyle w:val="normaltextrun"/>
                <w:rFonts w:ascii="Arial" w:hAnsi="Arial" w:cs="Arial"/>
                <w:caps/>
                <w:color w:val="000000"/>
                <w:sz w:val="18"/>
                <w:szCs w:val="18"/>
                <w:bdr w:val="none" w:sz="0" w:space="0" w:color="auto" w:frame="1"/>
              </w:rPr>
              <w:t>)</w:t>
            </w:r>
          </w:p>
        </w:tc>
        <w:tc>
          <w:tcPr>
            <w:tcW w:w="810" w:type="dxa"/>
            <w:shd w:val="clear" w:color="auto" w:fill="FFFFFF"/>
            <w:vAlign w:val="center"/>
          </w:tcPr>
          <w:p w14:paraId="549EA403" w14:textId="77777777" w:rsidR="003A2C81" w:rsidRPr="002C0890" w:rsidRDefault="003A2C81"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6506FC93"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2022</w:t>
            </w:r>
          </w:p>
        </w:tc>
        <w:tc>
          <w:tcPr>
            <w:tcW w:w="720" w:type="dxa"/>
            <w:shd w:val="clear" w:color="auto" w:fill="FFFFFF"/>
            <w:vAlign w:val="center"/>
          </w:tcPr>
          <w:p w14:paraId="58148C69"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April 2027</w:t>
            </w:r>
          </w:p>
        </w:tc>
      </w:tr>
      <w:tr w:rsidR="003A2C81" w:rsidRPr="002C0890" w14:paraId="044AC1B9" w14:textId="77777777" w:rsidTr="009519CC">
        <w:trPr>
          <w:tblHeader/>
          <w:jc w:val="center"/>
        </w:trPr>
        <w:tc>
          <w:tcPr>
            <w:tcW w:w="2166" w:type="dxa"/>
            <w:shd w:val="clear" w:color="auto" w:fill="FFFFFF"/>
            <w:vAlign w:val="center"/>
          </w:tcPr>
          <w:p w14:paraId="7C332B11"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Member</w:t>
            </w:r>
          </w:p>
          <w:p w14:paraId="52082229" w14:textId="77777777" w:rsidR="003A2C81" w:rsidRPr="002C0890" w:rsidRDefault="003A2C81" w:rsidP="003A2C81">
            <w:pPr>
              <w:jc w:val="left"/>
              <w:textAlignment w:val="baseline"/>
              <w:rPr>
                <w:rFonts w:ascii="Arial" w:eastAsia="Times New Roman" w:hAnsi="Arial" w:cs="Arial"/>
                <w:sz w:val="18"/>
                <w:szCs w:val="18"/>
              </w:rPr>
            </w:pPr>
            <w:r w:rsidRPr="002C0890">
              <w:rPr>
                <w:rFonts w:ascii="Arial" w:eastAsia="Times New Roman" w:hAnsi="Arial" w:cs="Arial"/>
                <w:sz w:val="18"/>
                <w:szCs w:val="18"/>
              </w:rPr>
              <w:t>New Zealand</w:t>
            </w:r>
          </w:p>
        </w:tc>
        <w:tc>
          <w:tcPr>
            <w:tcW w:w="4587" w:type="dxa"/>
            <w:shd w:val="clear" w:color="auto" w:fill="FFFFFF"/>
          </w:tcPr>
          <w:p w14:paraId="1D1369D2" w14:textId="77777777" w:rsidR="003A2C81" w:rsidRPr="002C0890" w:rsidRDefault="003A2C81" w:rsidP="003A2C81">
            <w:pPr>
              <w:rPr>
                <w:rFonts w:ascii="Arial" w:hAnsi="Arial" w:cs="Arial"/>
                <w:b/>
                <w:sz w:val="18"/>
                <w:szCs w:val="18"/>
                <w:lang w:eastAsia="pt-BR"/>
              </w:rPr>
            </w:pPr>
            <w:r w:rsidRPr="002C0890">
              <w:rPr>
                <w:rFonts w:ascii="Arial" w:hAnsi="Arial" w:cs="Arial"/>
                <w:b/>
                <w:sz w:val="18"/>
                <w:szCs w:val="18"/>
                <w:lang w:eastAsia="pt-BR"/>
              </w:rPr>
              <w:t xml:space="preserve">Ms Lihong </w:t>
            </w:r>
            <w:r w:rsidRPr="002C0890">
              <w:rPr>
                <w:rFonts w:ascii="Arial" w:hAnsi="Arial" w:cs="Arial"/>
                <w:b/>
                <w:caps/>
                <w:sz w:val="18"/>
                <w:szCs w:val="18"/>
                <w:lang w:eastAsia="pt-BR"/>
              </w:rPr>
              <w:t>Zhu</w:t>
            </w:r>
            <w:r w:rsidRPr="002C0890">
              <w:rPr>
                <w:rFonts w:ascii="Arial" w:hAnsi="Arial" w:cs="Arial"/>
                <w:b/>
                <w:sz w:val="18"/>
                <w:szCs w:val="18"/>
                <w:lang w:eastAsia="pt-BR"/>
              </w:rPr>
              <w:t xml:space="preserve"> </w:t>
            </w:r>
            <w:r w:rsidRPr="002C0890">
              <w:rPr>
                <w:rFonts w:ascii="Arial" w:hAnsi="Arial" w:cs="Arial"/>
                <w:sz w:val="18"/>
                <w:szCs w:val="18"/>
                <w:lang w:eastAsia="pt-BR"/>
              </w:rPr>
              <w:t>(</w:t>
            </w:r>
            <w:r w:rsidRPr="002C0890">
              <w:rPr>
                <w:rStyle w:val="normaltextrun"/>
                <w:rFonts w:ascii="Arial" w:hAnsi="Arial" w:cs="Arial"/>
                <w:color w:val="000000"/>
                <w:sz w:val="18"/>
                <w:szCs w:val="18"/>
                <w:bdr w:val="none" w:sz="0" w:space="0" w:color="auto" w:frame="1"/>
              </w:rPr>
              <w:t>New Zealand</w:t>
            </w:r>
            <w:r w:rsidRPr="002C0890">
              <w:rPr>
                <w:rStyle w:val="normaltextrun"/>
                <w:rFonts w:ascii="Arial" w:hAnsi="Arial" w:cs="Arial"/>
                <w:caps/>
                <w:color w:val="000000"/>
                <w:sz w:val="18"/>
                <w:szCs w:val="18"/>
                <w:bdr w:val="none" w:sz="0" w:space="0" w:color="auto" w:frame="1"/>
              </w:rPr>
              <w:t>)</w:t>
            </w:r>
          </w:p>
        </w:tc>
        <w:tc>
          <w:tcPr>
            <w:tcW w:w="810" w:type="dxa"/>
            <w:shd w:val="clear" w:color="auto" w:fill="FFFFFF"/>
            <w:vAlign w:val="center"/>
          </w:tcPr>
          <w:p w14:paraId="0CCF587C" w14:textId="77777777" w:rsidR="003A2C81" w:rsidRPr="002C0890" w:rsidRDefault="003A2C81"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0982538F"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2022</w:t>
            </w:r>
          </w:p>
        </w:tc>
        <w:tc>
          <w:tcPr>
            <w:tcW w:w="720" w:type="dxa"/>
            <w:shd w:val="clear" w:color="auto" w:fill="FFFFFF"/>
            <w:vAlign w:val="center"/>
          </w:tcPr>
          <w:p w14:paraId="67CC4580" w14:textId="77777777" w:rsidR="003A2C81" w:rsidRPr="002C0890" w:rsidRDefault="003A2C81" w:rsidP="003A2C81">
            <w:pPr>
              <w:jc w:val="center"/>
              <w:textAlignment w:val="baseline"/>
              <w:rPr>
                <w:rFonts w:ascii="Arial" w:eastAsia="Times New Roman" w:hAnsi="Arial" w:cs="Arial"/>
                <w:sz w:val="18"/>
                <w:szCs w:val="18"/>
                <w:lang w:val="en-US"/>
              </w:rPr>
            </w:pPr>
            <w:r w:rsidRPr="002C0890">
              <w:rPr>
                <w:rFonts w:ascii="Arial" w:eastAsia="Times New Roman" w:hAnsi="Arial" w:cs="Arial"/>
                <w:sz w:val="18"/>
                <w:szCs w:val="18"/>
              </w:rPr>
              <w:t>April</w:t>
            </w:r>
          </w:p>
          <w:p w14:paraId="22933451" w14:textId="77777777" w:rsidR="003A2C81" w:rsidRPr="002C0890" w:rsidRDefault="003A2C81" w:rsidP="003A2C81">
            <w:pPr>
              <w:jc w:val="center"/>
              <w:textAlignment w:val="baseline"/>
              <w:rPr>
                <w:rFonts w:ascii="Arial" w:eastAsia="Times New Roman" w:hAnsi="Arial" w:cs="Arial"/>
                <w:sz w:val="18"/>
                <w:szCs w:val="18"/>
              </w:rPr>
            </w:pPr>
            <w:r w:rsidRPr="002C0890">
              <w:rPr>
                <w:rFonts w:ascii="Arial" w:eastAsia="Times New Roman" w:hAnsi="Arial" w:cs="Arial"/>
                <w:sz w:val="18"/>
                <w:szCs w:val="18"/>
              </w:rPr>
              <w:t>2027</w:t>
            </w:r>
          </w:p>
        </w:tc>
      </w:tr>
    </w:tbl>
    <w:p w14:paraId="42F695D2" w14:textId="77777777" w:rsidR="006B5506" w:rsidRDefault="004032C1" w:rsidP="00A75503">
      <w:pPr>
        <w:pStyle w:val="IPPHeading1"/>
      </w:pPr>
      <w:r>
        <w:t>3</w:t>
      </w:r>
      <w:r w:rsidR="006B5506" w:rsidRPr="005461D0">
        <w:t>. TP</w:t>
      </w:r>
      <w:r w:rsidR="0009506D">
        <w:t>CS</w:t>
      </w:r>
      <w:r w:rsidR="006B5506" w:rsidRPr="005461D0">
        <w:t xml:space="preserve"> work </w:t>
      </w:r>
      <w:r w:rsidR="0009506D">
        <w:t>programme</w:t>
      </w:r>
    </w:p>
    <w:p w14:paraId="08DE7B4D" w14:textId="77777777" w:rsidR="00FD61C0" w:rsidRPr="00FD61C0" w:rsidRDefault="00FD61C0" w:rsidP="00FD61C0">
      <w:pPr>
        <w:pStyle w:val="IPPParagraphnumbering"/>
        <w:numPr>
          <w:ilvl w:val="0"/>
          <w:numId w:val="0"/>
        </w:numPr>
        <w:spacing w:before="120" w:after="120"/>
      </w:pPr>
      <w:r>
        <w:rPr>
          <w:b/>
          <w:szCs w:val="22"/>
          <w:u w:val="single"/>
        </w:rPr>
        <w:t>W</w:t>
      </w:r>
      <w:r w:rsidR="00E93746" w:rsidRPr="007343CC">
        <w:rPr>
          <w:b/>
          <w:szCs w:val="22"/>
          <w:u w:val="single"/>
        </w:rPr>
        <w:t>ork programme</w:t>
      </w:r>
      <w:r w:rsidR="00094EEF">
        <w:rPr>
          <w:b/>
          <w:szCs w:val="22"/>
          <w:u w:val="single"/>
        </w:rPr>
        <w:t xml:space="preserve"> – volume of work</w:t>
      </w:r>
    </w:p>
    <w:p w14:paraId="5A2CDC90" w14:textId="77777777" w:rsidR="004032C1" w:rsidRDefault="0038431D" w:rsidP="0038431D">
      <w:pPr>
        <w:pStyle w:val="IPPParagraphnumbering"/>
        <w:spacing w:before="120" w:after="120"/>
        <w:ind w:hanging="475"/>
      </w:pPr>
      <w:r>
        <w:rPr>
          <w:szCs w:val="22"/>
        </w:rPr>
        <w:t>Currently, there is only one topic under the work programme of the TPCS</w:t>
      </w:r>
      <w:r w:rsidR="004032C1">
        <w:rPr>
          <w:szCs w:val="22"/>
        </w:rPr>
        <w:t>, a</w:t>
      </w:r>
      <w:r w:rsidRPr="00DB6453">
        <w:t xml:space="preserve">s a result from the 2021 </w:t>
      </w:r>
      <w:r w:rsidR="00FD61C0">
        <w:t>IPPC c</w:t>
      </w:r>
      <w:r w:rsidRPr="00DB6453">
        <w:t xml:space="preserve">all for </w:t>
      </w:r>
      <w:r w:rsidR="00FD61C0">
        <w:t>t</w:t>
      </w:r>
      <w:r w:rsidRPr="00DB6453">
        <w:t>opics</w:t>
      </w:r>
      <w:r w:rsidRPr="00DB6453">
        <w:rPr>
          <w:rStyle w:val="FootnoteReference"/>
        </w:rPr>
        <w:footnoteReference w:id="6"/>
      </w:r>
      <w:r w:rsidR="004032C1">
        <w:t xml:space="preserve">: </w:t>
      </w:r>
      <w:r w:rsidR="004032C1" w:rsidRPr="004D1D6A">
        <w:t xml:space="preserve">Annex to ISPM 46 </w:t>
      </w:r>
      <w:r w:rsidR="004032C1">
        <w:t xml:space="preserve">- </w:t>
      </w:r>
      <w:r w:rsidR="004032C1" w:rsidRPr="004D1D6A">
        <w:t xml:space="preserve">International movement of </w:t>
      </w:r>
      <w:r w:rsidR="004032C1" w:rsidRPr="004D1D6A">
        <w:rPr>
          <w:i/>
        </w:rPr>
        <w:t>Mangifera indica</w:t>
      </w:r>
      <w:r w:rsidR="004032C1" w:rsidRPr="004D1D6A">
        <w:t xml:space="preserve"> fruit </w:t>
      </w:r>
      <w:r w:rsidR="004032C1">
        <w:t>(</w:t>
      </w:r>
      <w:r w:rsidR="004032C1" w:rsidRPr="004D1D6A">
        <w:t>2021-011</w:t>
      </w:r>
      <w:r w:rsidR="004032C1">
        <w:t>)</w:t>
      </w:r>
      <w:r w:rsidR="000B06FD">
        <w:t>, priority 1</w:t>
      </w:r>
      <w:r w:rsidR="004032C1">
        <w:t xml:space="preserve">. </w:t>
      </w:r>
      <w:r w:rsidRPr="00DB6453">
        <w:t xml:space="preserve"> </w:t>
      </w:r>
    </w:p>
    <w:p w14:paraId="061664DF" w14:textId="77777777" w:rsidR="00FD61C0" w:rsidRDefault="00FD61C0" w:rsidP="0038431D">
      <w:pPr>
        <w:pStyle w:val="IPPParagraphnumbering"/>
        <w:spacing w:before="120" w:after="120"/>
        <w:ind w:hanging="475"/>
      </w:pPr>
      <w:r>
        <w:t xml:space="preserve">The draft ISPM was developed and the first version is being presented to the SC May 2023 for approval for first consultation period (see agenda item </w:t>
      </w:r>
      <w:r w:rsidR="000B06FD">
        <w:t>4.2).</w:t>
      </w:r>
    </w:p>
    <w:p w14:paraId="24286959" w14:textId="77777777" w:rsidR="000B06FD" w:rsidRDefault="000B06FD" w:rsidP="0038431D">
      <w:pPr>
        <w:pStyle w:val="IPPParagraphnumbering"/>
        <w:spacing w:before="120" w:after="120"/>
        <w:ind w:hanging="475"/>
      </w:pPr>
      <w:r>
        <w:t xml:space="preserve">The steps and timeline of the draft ISPM </w:t>
      </w:r>
      <w:r w:rsidR="00CF2B73" w:rsidRPr="004D1D6A">
        <w:t xml:space="preserve">Annex to ISPM 46 </w:t>
      </w:r>
      <w:r w:rsidR="00CF2B73">
        <w:t xml:space="preserve">- </w:t>
      </w:r>
      <w:r w:rsidR="00CF2B73" w:rsidRPr="004D1D6A">
        <w:t xml:space="preserve">International movement of </w:t>
      </w:r>
      <w:r w:rsidR="00CF2B73" w:rsidRPr="004D1D6A">
        <w:rPr>
          <w:i/>
        </w:rPr>
        <w:t>Mangifera indica</w:t>
      </w:r>
      <w:r w:rsidR="00CF2B73" w:rsidRPr="004D1D6A">
        <w:t xml:space="preserve"> fruit </w:t>
      </w:r>
      <w:r w:rsidR="00CF2B73">
        <w:t>(</w:t>
      </w:r>
      <w:r w:rsidR="00CF2B73" w:rsidRPr="004D1D6A">
        <w:t>2021-011</w:t>
      </w:r>
      <w:r w:rsidR="00CF2B73">
        <w:t>) are</w:t>
      </w:r>
      <w:r>
        <w:t xml:space="preserve"> summarized in </w:t>
      </w:r>
      <w:r w:rsidR="00AA09F5">
        <w:t>F</w:t>
      </w:r>
      <w:r>
        <w:t xml:space="preserve">igure 1. </w:t>
      </w:r>
      <w:r w:rsidR="00AA09F5">
        <w:t xml:space="preserve">See also Figure 2 on the tentative work plan </w:t>
      </w:r>
      <w:r w:rsidR="00480C48" w:rsidRPr="000B40DF">
        <w:t>(Decision point 2)</w:t>
      </w:r>
      <w:r w:rsidR="00AA09F5" w:rsidRPr="000B40DF">
        <w:t>.</w:t>
      </w:r>
    </w:p>
    <w:p w14:paraId="3D5E46DC" w14:textId="77777777" w:rsidR="000B06FD" w:rsidRDefault="000B06FD" w:rsidP="000B06FD">
      <w:pPr>
        <w:pStyle w:val="IPPParagraphnumbering"/>
        <w:numPr>
          <w:ilvl w:val="0"/>
          <w:numId w:val="0"/>
        </w:numPr>
        <w:spacing w:before="120" w:after="120"/>
      </w:pPr>
      <w:r w:rsidRPr="000B06FD">
        <w:rPr>
          <w:noProof/>
        </w:rPr>
        <w:drawing>
          <wp:inline distT="0" distB="0" distL="0" distR="0" wp14:anchorId="7275EA67" wp14:editId="30AE603D">
            <wp:extent cx="5876925" cy="1833563"/>
            <wp:effectExtent l="0" t="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4D1435B" w14:textId="77777777" w:rsidR="000B06FD" w:rsidRDefault="000B06FD" w:rsidP="000B06FD">
      <w:pPr>
        <w:pStyle w:val="IPPPargraphnumbering"/>
        <w:tabs>
          <w:tab w:val="clear" w:pos="0"/>
        </w:tabs>
        <w:ind w:firstLine="0"/>
        <w:rPr>
          <w:lang w:val="en-GB"/>
        </w:rPr>
      </w:pPr>
      <w:r w:rsidRPr="00256B4B">
        <w:rPr>
          <w:b/>
          <w:lang w:val="en-GB"/>
        </w:rPr>
        <w:t>Figure 1.</w:t>
      </w:r>
      <w:r>
        <w:rPr>
          <w:lang w:val="en-GB"/>
        </w:rPr>
        <w:t xml:space="preserve"> Estimated timeline </w:t>
      </w:r>
      <w:r w:rsidR="0044605D">
        <w:rPr>
          <w:lang w:val="en-GB"/>
        </w:rPr>
        <w:t>for the</w:t>
      </w:r>
      <w:r>
        <w:rPr>
          <w:lang w:val="en-GB"/>
        </w:rPr>
        <w:t xml:space="preserve"> a</w:t>
      </w:r>
      <w:r w:rsidRPr="004D1D6A">
        <w:t xml:space="preserve">nnex to ISPM 46 </w:t>
      </w:r>
      <w:r>
        <w:t xml:space="preserve">- </w:t>
      </w:r>
      <w:r w:rsidRPr="004D1D6A">
        <w:t xml:space="preserve">International movement of </w:t>
      </w:r>
      <w:r w:rsidRPr="004D1D6A">
        <w:rPr>
          <w:i/>
        </w:rPr>
        <w:t>Mangifera indica</w:t>
      </w:r>
      <w:r w:rsidRPr="004D1D6A">
        <w:t xml:space="preserve"> fruit </w:t>
      </w:r>
      <w:r>
        <w:t>(</w:t>
      </w:r>
      <w:r w:rsidRPr="004D1D6A">
        <w:t>2021-011</w:t>
      </w:r>
      <w:r>
        <w:t>)</w:t>
      </w:r>
      <w:r>
        <w:rPr>
          <w:lang w:val="en-GB"/>
        </w:rPr>
        <w:t>.</w:t>
      </w:r>
    </w:p>
    <w:p w14:paraId="4B11E74E" w14:textId="77777777" w:rsidR="003476F3" w:rsidRDefault="004032C1" w:rsidP="009519CC">
      <w:pPr>
        <w:pStyle w:val="IPPParagraphnumbering"/>
        <w:spacing w:before="240"/>
        <w:ind w:hanging="475"/>
        <w:rPr>
          <w:szCs w:val="22"/>
        </w:rPr>
      </w:pPr>
      <w:r w:rsidRPr="003476F3">
        <w:rPr>
          <w:szCs w:val="22"/>
        </w:rPr>
        <w:t xml:space="preserve">It is to point out that the TPCS is a new IPPC technical panel, and that the first topic was added into the work programme following the “regular ISPMs” process. I.e. the topic was included into the work </w:t>
      </w:r>
      <w:r w:rsidRPr="003476F3">
        <w:rPr>
          <w:szCs w:val="22"/>
        </w:rPr>
        <w:lastRenderedPageBreak/>
        <w:t xml:space="preserve">programme by the CPM, the draft Specification was discussed by the </w:t>
      </w:r>
      <w:r>
        <w:t>Standards Committee (SC), approved for consultation period</w:t>
      </w:r>
      <w:r w:rsidRPr="003476F3">
        <w:rPr>
          <w:szCs w:val="22"/>
        </w:rPr>
        <w:t xml:space="preserve">, revised again by the SC </w:t>
      </w:r>
      <w:r w:rsidR="00D3434D">
        <w:rPr>
          <w:szCs w:val="22"/>
        </w:rPr>
        <w:t>for its</w:t>
      </w:r>
      <w:r w:rsidR="003476F3" w:rsidRPr="003476F3">
        <w:rPr>
          <w:szCs w:val="22"/>
        </w:rPr>
        <w:t xml:space="preserve"> final </w:t>
      </w:r>
      <w:r w:rsidRPr="003476F3">
        <w:rPr>
          <w:szCs w:val="22"/>
        </w:rPr>
        <w:t>approv</w:t>
      </w:r>
      <w:r w:rsidR="003476F3" w:rsidRPr="003476F3">
        <w:rPr>
          <w:szCs w:val="22"/>
        </w:rPr>
        <w:t xml:space="preserve">al </w:t>
      </w:r>
      <w:r w:rsidR="00D3434D">
        <w:rPr>
          <w:szCs w:val="22"/>
        </w:rPr>
        <w:t>as</w:t>
      </w:r>
      <w:r w:rsidRPr="003476F3">
        <w:rPr>
          <w:szCs w:val="22"/>
        </w:rPr>
        <w:t xml:space="preserve"> </w:t>
      </w:r>
      <w:hyperlink r:id="rId20" w:history="1">
        <w:r w:rsidRPr="003476F3">
          <w:rPr>
            <w:rStyle w:val="Hyperlink"/>
            <w:szCs w:val="22"/>
          </w:rPr>
          <w:t>Specification 73</w:t>
        </w:r>
      </w:hyperlink>
      <w:r w:rsidR="003476F3">
        <w:rPr>
          <w:rStyle w:val="FootnoteReference"/>
          <w:szCs w:val="22"/>
        </w:rPr>
        <w:footnoteReference w:id="7"/>
      </w:r>
      <w:r w:rsidR="003476F3" w:rsidRPr="003476F3">
        <w:rPr>
          <w:szCs w:val="22"/>
        </w:rPr>
        <w:t xml:space="preserve">. </w:t>
      </w:r>
    </w:p>
    <w:p w14:paraId="08E36EBC" w14:textId="77777777" w:rsidR="00FD61C0" w:rsidRPr="00D96986" w:rsidRDefault="00FD61C0" w:rsidP="00FD61C0">
      <w:pPr>
        <w:pStyle w:val="IPPParagraphnumbering"/>
        <w:numPr>
          <w:ilvl w:val="0"/>
          <w:numId w:val="0"/>
        </w:numPr>
        <w:rPr>
          <w:u w:val="single"/>
        </w:rPr>
      </w:pPr>
      <w:r w:rsidRPr="00D96986">
        <w:rPr>
          <w:b/>
          <w:u w:val="single"/>
        </w:rPr>
        <w:t>Call for topics</w:t>
      </w:r>
      <w:r w:rsidRPr="00D96986">
        <w:rPr>
          <w:u w:val="single"/>
        </w:rPr>
        <w:t xml:space="preserve"> </w:t>
      </w:r>
      <w:r w:rsidR="00485AA6">
        <w:rPr>
          <w:u w:val="single"/>
        </w:rPr>
        <w:t xml:space="preserve">– </w:t>
      </w:r>
      <w:r w:rsidR="00485AA6" w:rsidRPr="00485AA6">
        <w:rPr>
          <w:b/>
          <w:u w:val="single"/>
        </w:rPr>
        <w:t>potential adjustment to the IPPC Standard Setting Procedure</w:t>
      </w:r>
    </w:p>
    <w:p w14:paraId="181BDC25" w14:textId="77777777" w:rsidR="00485AA6" w:rsidRDefault="00FD61C0" w:rsidP="00CF7F44">
      <w:pPr>
        <w:pStyle w:val="IPPParagraphnumbering"/>
        <w:spacing w:before="120" w:after="120"/>
        <w:rPr>
          <w:szCs w:val="22"/>
        </w:rPr>
      </w:pPr>
      <w:r>
        <w:t>In light of the 2023 IPPC call for topics: standards and implementation</w:t>
      </w:r>
      <w:r>
        <w:rPr>
          <w:rStyle w:val="FootnoteReference"/>
        </w:rPr>
        <w:t>5</w:t>
      </w:r>
      <w:r w:rsidR="003476F3">
        <w:t xml:space="preserve">, when it is envisaged that new topics on commodity standards will be proposed, and </w:t>
      </w:r>
      <w:r w:rsidR="003476F3" w:rsidRPr="00FD61C0">
        <w:rPr>
          <w:szCs w:val="22"/>
        </w:rPr>
        <w:t>acknowledging that the work of the TPCS has just commenced, the panel is inviting the SC to consider that draft specifications for specific commodity standards received in response to calls for topics could be revised by the TPCS and SC</w:t>
      </w:r>
      <w:r w:rsidR="00480C48">
        <w:rPr>
          <w:szCs w:val="22"/>
        </w:rPr>
        <w:t>,</w:t>
      </w:r>
      <w:r w:rsidR="003476F3" w:rsidRPr="00FD61C0">
        <w:rPr>
          <w:szCs w:val="22"/>
        </w:rPr>
        <w:t xml:space="preserve"> without the need to be submitted for consultation period.</w:t>
      </w:r>
      <w:r w:rsidRPr="00FD61C0">
        <w:rPr>
          <w:szCs w:val="22"/>
        </w:rPr>
        <w:t xml:space="preserve"> This is to streamline and expedite the development of specific commodity standards, so it can also achieve the desirable outcomes in the IPPC Strategic Framework 2020-2030. </w:t>
      </w:r>
    </w:p>
    <w:p w14:paraId="7FD9339B" w14:textId="2B0C5D61" w:rsidR="003476F3" w:rsidRPr="00424065" w:rsidRDefault="00FD61C0" w:rsidP="00CF7F44">
      <w:pPr>
        <w:pStyle w:val="IPPParagraphnumbering"/>
        <w:spacing w:before="120" w:after="120"/>
        <w:rPr>
          <w:szCs w:val="22"/>
        </w:rPr>
      </w:pPr>
      <w:r w:rsidRPr="00FD61C0">
        <w:rPr>
          <w:szCs w:val="22"/>
        </w:rPr>
        <w:t xml:space="preserve">The TPCS </w:t>
      </w:r>
      <w:r>
        <w:rPr>
          <w:szCs w:val="22"/>
        </w:rPr>
        <w:t xml:space="preserve">also </w:t>
      </w:r>
      <w:r w:rsidRPr="00FD61C0">
        <w:rPr>
          <w:szCs w:val="22"/>
        </w:rPr>
        <w:t xml:space="preserve">acknowledged that </w:t>
      </w:r>
      <w:r>
        <w:rPr>
          <w:szCs w:val="22"/>
        </w:rPr>
        <w:t>diagnostic protocols (DPs)</w:t>
      </w:r>
      <w:r w:rsidRPr="00FD61C0">
        <w:rPr>
          <w:szCs w:val="22"/>
        </w:rPr>
        <w:t xml:space="preserve"> </w:t>
      </w:r>
      <w:r>
        <w:rPr>
          <w:szCs w:val="22"/>
        </w:rPr>
        <w:t>and phytosanitary treatments (</w:t>
      </w:r>
      <w:r w:rsidRPr="00FD61C0">
        <w:rPr>
          <w:szCs w:val="22"/>
        </w:rPr>
        <w:t>PTs</w:t>
      </w:r>
      <w:r>
        <w:rPr>
          <w:szCs w:val="22"/>
        </w:rPr>
        <w:t xml:space="preserve">), which are annexes to ISPMs 27 and 28 respectively, </w:t>
      </w:r>
      <w:r w:rsidRPr="00FD61C0">
        <w:rPr>
          <w:szCs w:val="22"/>
        </w:rPr>
        <w:t>are developed without specifications or without consultation period</w:t>
      </w:r>
      <w:r w:rsidR="00F072DB">
        <w:rPr>
          <w:szCs w:val="22"/>
        </w:rPr>
        <w:t xml:space="preserve"> of the specification</w:t>
      </w:r>
      <w:r w:rsidRPr="00FD61C0">
        <w:rPr>
          <w:szCs w:val="22"/>
        </w:rPr>
        <w:t>, and that this does not compromise the relevance, transparency and quality of these standards. This would avoid unnecessary repetition</w:t>
      </w:r>
      <w:r w:rsidR="009D1BFC">
        <w:rPr>
          <w:szCs w:val="22"/>
        </w:rPr>
        <w:t>, it would</w:t>
      </w:r>
      <w:r w:rsidRPr="00FD61C0">
        <w:rPr>
          <w:szCs w:val="22"/>
        </w:rPr>
        <w:t xml:space="preserve"> speed up the development of such annexes</w:t>
      </w:r>
      <w:r w:rsidR="009D1BFC">
        <w:rPr>
          <w:szCs w:val="22"/>
        </w:rPr>
        <w:t xml:space="preserve"> </w:t>
      </w:r>
      <w:r w:rsidR="009D1BFC" w:rsidRPr="009D1BFC">
        <w:rPr>
          <w:lang w:val="en-GB"/>
        </w:rPr>
        <w:t xml:space="preserve">and, because the content of each specification for a commodity standard (annex to ISPM 46) would be largely the same and so it </w:t>
      </w:r>
      <w:r w:rsidR="00F072DB">
        <w:rPr>
          <w:lang w:val="en-GB"/>
        </w:rPr>
        <w:t>i</w:t>
      </w:r>
      <w:r w:rsidR="00F072DB" w:rsidRPr="009D1BFC">
        <w:rPr>
          <w:lang w:val="en-GB"/>
        </w:rPr>
        <w:t xml:space="preserve">s </w:t>
      </w:r>
      <w:r w:rsidR="009D1BFC" w:rsidRPr="009D1BFC">
        <w:rPr>
          <w:lang w:val="en-GB"/>
        </w:rPr>
        <w:t>not necessary to have a consultation on each draft specification.</w:t>
      </w:r>
      <w:r w:rsidRPr="00FD61C0">
        <w:rPr>
          <w:szCs w:val="22"/>
        </w:rPr>
        <w:t xml:space="preserve"> </w:t>
      </w:r>
      <w:r w:rsidR="00480C48">
        <w:rPr>
          <w:szCs w:val="22"/>
        </w:rPr>
        <w:t xml:space="preserve">The TPCS </w:t>
      </w:r>
      <w:r w:rsidR="001644A4">
        <w:rPr>
          <w:szCs w:val="22"/>
        </w:rPr>
        <w:t>pointed out</w:t>
      </w:r>
      <w:r w:rsidRPr="00FD61C0">
        <w:rPr>
          <w:szCs w:val="22"/>
        </w:rPr>
        <w:t xml:space="preserve"> that the </w:t>
      </w:r>
      <w:r w:rsidR="00480C48">
        <w:rPr>
          <w:szCs w:val="22"/>
        </w:rPr>
        <w:t>panel</w:t>
      </w:r>
      <w:r w:rsidRPr="00FD61C0">
        <w:rPr>
          <w:szCs w:val="22"/>
        </w:rPr>
        <w:t xml:space="preserve"> would review proposals and make recommendations to the SC for the inclusion of a subject in the work programme, in which ultimately the CPM, each year, adopts the SC</w:t>
      </w:r>
      <w:r>
        <w:rPr>
          <w:szCs w:val="22"/>
        </w:rPr>
        <w:t xml:space="preserve"> work programme.</w:t>
      </w:r>
      <w:r w:rsidRPr="00FD61C0">
        <w:rPr>
          <w:szCs w:val="22"/>
        </w:rPr>
        <w:t xml:space="preserve"> </w:t>
      </w:r>
      <w:r w:rsidRPr="00424065">
        <w:rPr>
          <w:szCs w:val="22"/>
        </w:rPr>
        <w:t>(Decision point</w:t>
      </w:r>
      <w:r w:rsidR="00480C48" w:rsidRPr="00424065">
        <w:rPr>
          <w:szCs w:val="22"/>
        </w:rPr>
        <w:t>s</w:t>
      </w:r>
      <w:r w:rsidRPr="00424065">
        <w:rPr>
          <w:szCs w:val="22"/>
        </w:rPr>
        <w:t xml:space="preserve"> </w:t>
      </w:r>
      <w:r w:rsidR="00480C48" w:rsidRPr="00424065">
        <w:rPr>
          <w:szCs w:val="22"/>
        </w:rPr>
        <w:t>3</w:t>
      </w:r>
      <w:r w:rsidR="009D1BFC" w:rsidRPr="00424065">
        <w:rPr>
          <w:szCs w:val="22"/>
        </w:rPr>
        <w:t xml:space="preserve">, </w:t>
      </w:r>
      <w:r w:rsidR="00480C48" w:rsidRPr="00424065">
        <w:rPr>
          <w:szCs w:val="22"/>
        </w:rPr>
        <w:t>4</w:t>
      </w:r>
      <w:r w:rsidR="009D1BFC" w:rsidRPr="00424065">
        <w:rPr>
          <w:szCs w:val="22"/>
        </w:rPr>
        <w:t xml:space="preserve"> and 5</w:t>
      </w:r>
      <w:r w:rsidRPr="00424065">
        <w:rPr>
          <w:szCs w:val="22"/>
        </w:rPr>
        <w:t xml:space="preserve">). </w:t>
      </w:r>
    </w:p>
    <w:p w14:paraId="4A9DBC0A" w14:textId="77777777" w:rsidR="0038431D" w:rsidRPr="00D96986" w:rsidRDefault="00470AE1" w:rsidP="00470AE1">
      <w:pPr>
        <w:pStyle w:val="IPPParagraphnumbering"/>
        <w:numPr>
          <w:ilvl w:val="0"/>
          <w:numId w:val="0"/>
        </w:numPr>
        <w:spacing w:before="120" w:after="120"/>
        <w:rPr>
          <w:b/>
          <w:u w:val="single"/>
        </w:rPr>
      </w:pPr>
      <w:r>
        <w:rPr>
          <w:b/>
          <w:u w:val="single"/>
        </w:rPr>
        <w:t xml:space="preserve">Template form </w:t>
      </w:r>
      <w:r w:rsidRPr="00470AE1">
        <w:rPr>
          <w:b/>
          <w:u w:val="single"/>
        </w:rPr>
        <w:t>for submitting information on pests and measures</w:t>
      </w:r>
    </w:p>
    <w:p w14:paraId="2043B9DB" w14:textId="4D80151B" w:rsidR="002057BA" w:rsidRPr="002057BA" w:rsidRDefault="009D1BFC" w:rsidP="002057BA">
      <w:pPr>
        <w:pStyle w:val="IPPParagraphnumbering"/>
        <w:rPr>
          <w:lang w:val="en-GB"/>
        </w:rPr>
      </w:pPr>
      <w:r>
        <w:t xml:space="preserve">While drafting the annex to mango fruits, the TPCS acknowledged that a </w:t>
      </w:r>
      <w:r w:rsidRPr="0047072F">
        <w:t xml:space="preserve">template form </w:t>
      </w:r>
      <w:r>
        <w:t>with</w:t>
      </w:r>
      <w:r w:rsidRPr="0047072F">
        <w:t xml:space="preserve"> </w:t>
      </w:r>
      <w:r>
        <w:t xml:space="preserve">key </w:t>
      </w:r>
      <w:r w:rsidRPr="0047072F">
        <w:t>information on pests known to be associated with the commodity for which a commodity standard is being proposed or developed</w:t>
      </w:r>
      <w:r>
        <w:t xml:space="preserve">, and </w:t>
      </w:r>
      <w:r w:rsidRPr="0047072F">
        <w:t xml:space="preserve">information on effective phytosanitary measures to </w:t>
      </w:r>
      <w:r>
        <w:t>mitigate</w:t>
      </w:r>
      <w:r w:rsidRPr="0047072F">
        <w:t xml:space="preserve"> the pest risk posed by that commodity</w:t>
      </w:r>
      <w:r>
        <w:t xml:space="preserve"> would be extremely beneficial for future commodity standards development</w:t>
      </w:r>
      <w:r w:rsidRPr="0047072F">
        <w:t xml:space="preserve">. The panel agreed that it would </w:t>
      </w:r>
      <w:r>
        <w:t xml:space="preserve">be </w:t>
      </w:r>
      <w:r w:rsidRPr="0047072F">
        <w:t>preferable if the form could be made available with the call for topics, with submitters being encouraged to complete and return it when proposing topics for commodity standards</w:t>
      </w:r>
      <w:r w:rsidR="002057BA">
        <w:t xml:space="preserve"> and also during </w:t>
      </w:r>
      <w:r w:rsidR="00F072DB">
        <w:t xml:space="preserve">the </w:t>
      </w:r>
      <w:r w:rsidR="002057BA">
        <w:t xml:space="preserve">consultation period, </w:t>
      </w:r>
      <w:r w:rsidR="002057BA" w:rsidRPr="002057BA">
        <w:rPr>
          <w:lang w:val="en-GB"/>
        </w:rPr>
        <w:t>when submitting a consultation comment on a draft commodity standard, suggesting the addition of a pest or measure to the draft standard.</w:t>
      </w:r>
    </w:p>
    <w:p w14:paraId="613DC173" w14:textId="77777777" w:rsidR="009D1BFC" w:rsidRPr="0047072F" w:rsidRDefault="009D1BFC" w:rsidP="009D1BFC">
      <w:pPr>
        <w:pStyle w:val="IPPParagraphnumbering"/>
        <w:rPr>
          <w:lang w:val="en-GB"/>
        </w:rPr>
      </w:pPr>
      <w:r w:rsidRPr="0047072F">
        <w:rPr>
          <w:lang w:val="en-GB"/>
        </w:rPr>
        <w:t>The panel also agreed that submitters of information in response to a call for information for a particular commodity standard should be required to complete the same form.</w:t>
      </w:r>
      <w:r>
        <w:rPr>
          <w:lang w:val="en-GB"/>
        </w:rPr>
        <w:t xml:space="preserve"> </w:t>
      </w:r>
      <w:r w:rsidR="002057BA">
        <w:rPr>
          <w:lang w:val="en-GB"/>
        </w:rPr>
        <w:t xml:space="preserve">The template form is presented as </w:t>
      </w:r>
      <w:r w:rsidR="002057BA" w:rsidRPr="00F6395D">
        <w:rPr>
          <w:b/>
          <w:lang w:val="en-GB"/>
        </w:rPr>
        <w:t>Attachment 1</w:t>
      </w:r>
      <w:r w:rsidR="002057BA">
        <w:rPr>
          <w:lang w:val="en-GB"/>
        </w:rPr>
        <w:t xml:space="preserve"> of this </w:t>
      </w:r>
      <w:r w:rsidR="002057BA" w:rsidRPr="00424065">
        <w:rPr>
          <w:lang w:val="en-GB"/>
        </w:rPr>
        <w:t xml:space="preserve">document </w:t>
      </w:r>
      <w:r w:rsidRPr="00424065">
        <w:rPr>
          <w:lang w:val="en-GB"/>
        </w:rPr>
        <w:t>(Decision points 6 and 7).</w:t>
      </w:r>
      <w:r w:rsidRPr="0047072F">
        <w:rPr>
          <w:lang w:val="en-GB"/>
        </w:rPr>
        <w:t xml:space="preserve"> </w:t>
      </w:r>
    </w:p>
    <w:p w14:paraId="19335024" w14:textId="77777777" w:rsidR="00D96986" w:rsidRPr="00470AE1" w:rsidRDefault="00470AE1" w:rsidP="00470AE1">
      <w:pPr>
        <w:pStyle w:val="IPPParagraphnumbering"/>
        <w:numPr>
          <w:ilvl w:val="0"/>
          <w:numId w:val="0"/>
        </w:numPr>
        <w:spacing w:before="120" w:after="120"/>
        <w:rPr>
          <w:b/>
          <w:u w:val="single"/>
        </w:rPr>
      </w:pPr>
      <w:r>
        <w:rPr>
          <w:b/>
          <w:szCs w:val="22"/>
          <w:u w:val="single"/>
        </w:rPr>
        <w:t>C</w:t>
      </w:r>
      <w:r w:rsidRPr="00470AE1">
        <w:rPr>
          <w:b/>
          <w:szCs w:val="22"/>
          <w:u w:val="single"/>
        </w:rPr>
        <w:t>riteria for inclusion of phytosanitary measures into a commodity-specific standard</w:t>
      </w:r>
    </w:p>
    <w:p w14:paraId="6096361D" w14:textId="77777777" w:rsidR="00094EEF" w:rsidRPr="00094EEF" w:rsidRDefault="00094EEF" w:rsidP="00D14B7B">
      <w:pPr>
        <w:pStyle w:val="IPPParagraphnumbering"/>
        <w:spacing w:before="120" w:after="120"/>
      </w:pPr>
      <w:r>
        <w:rPr>
          <w:szCs w:val="22"/>
        </w:rPr>
        <w:t>The TPCS discussed this point at their meeting in January 2023</w:t>
      </w:r>
      <w:r>
        <w:rPr>
          <w:rStyle w:val="FootnoteReference"/>
          <w:szCs w:val="22"/>
        </w:rPr>
        <w:footnoteReference w:id="8"/>
      </w:r>
      <w:r>
        <w:rPr>
          <w:szCs w:val="22"/>
        </w:rPr>
        <w:t xml:space="preserve">. Below, excerpts of the TPCS meeting reports and its recommendations. </w:t>
      </w:r>
    </w:p>
    <w:p w14:paraId="7DA6E9D9" w14:textId="77777777" w:rsidR="0044605D" w:rsidRPr="0044605D" w:rsidRDefault="00094EEF" w:rsidP="00D14B7B">
      <w:pPr>
        <w:pStyle w:val="IPPParagraphnumbering"/>
        <w:spacing w:before="120" w:after="120"/>
      </w:pPr>
      <w:r w:rsidRPr="0047072F">
        <w:rPr>
          <w:b/>
          <w:bCs/>
          <w:lang w:val="en-GB"/>
        </w:rPr>
        <w:t>Transparency.</w:t>
      </w:r>
      <w:r w:rsidRPr="0047072F">
        <w:rPr>
          <w:lang w:val="en-GB"/>
        </w:rPr>
        <w:t xml:space="preserve"> The panel considered the intervention made at CPM-16 (2022) regarding the need for there to be a transparent process by which the criteria for categorizing measures according to confidence are agreed.</w:t>
      </w:r>
      <w:r w:rsidRPr="0047072F">
        <w:rPr>
          <w:rStyle w:val="FootnoteReference"/>
          <w:lang w:val="en-GB"/>
        </w:rPr>
        <w:footnoteReference w:id="9"/>
      </w:r>
      <w:r w:rsidRPr="0047072F">
        <w:rPr>
          <w:lang w:val="en-GB"/>
        </w:rPr>
        <w:t xml:space="preserve"> The secretariat referred to the working procedures used by other technical panels to ensure transparency, with criteria for evaluation, for example, being included in the </w:t>
      </w:r>
      <w:r w:rsidRPr="0047072F">
        <w:rPr>
          <w:i/>
          <w:iCs/>
          <w:lang w:val="en-GB"/>
        </w:rPr>
        <w:t>IPPC procedure manual for standard setting</w:t>
      </w:r>
      <w:r w:rsidRPr="0047072F">
        <w:rPr>
          <w:lang w:val="en-GB"/>
        </w:rPr>
        <w:t>.</w:t>
      </w:r>
      <w:r w:rsidR="0044605D">
        <w:rPr>
          <w:lang w:val="en-GB"/>
        </w:rPr>
        <w:t xml:space="preserve"> </w:t>
      </w:r>
    </w:p>
    <w:p w14:paraId="07661894" w14:textId="77777777" w:rsidR="00094EEF" w:rsidRPr="00424065" w:rsidRDefault="0044605D" w:rsidP="00311376">
      <w:pPr>
        <w:pStyle w:val="IPPParagraphnumbering"/>
        <w:spacing w:before="120" w:after="120"/>
      </w:pPr>
      <w:r w:rsidRPr="0044605D">
        <w:rPr>
          <w:b/>
          <w:bCs/>
          <w:lang w:val="en-GB"/>
        </w:rPr>
        <w:t xml:space="preserve">Categorization according to confidence in effectiveness of measures. </w:t>
      </w:r>
      <w:r w:rsidRPr="0044605D">
        <w:rPr>
          <w:bCs/>
          <w:lang w:val="en-GB"/>
        </w:rPr>
        <w:t xml:space="preserve">The TPCS discussed and agreed that </w:t>
      </w:r>
      <w:r w:rsidR="00094EEF" w:rsidRPr="0044605D">
        <w:rPr>
          <w:lang w:val="en-GB"/>
        </w:rPr>
        <w:t>regarding the categorization of options for phytosanitary measures according to confidence</w:t>
      </w:r>
      <w:r>
        <w:rPr>
          <w:lang w:val="en-GB"/>
        </w:rPr>
        <w:t xml:space="preserve">, </w:t>
      </w:r>
      <w:r w:rsidR="00094EEF" w:rsidRPr="0047072F">
        <w:t xml:space="preserve">the criteria listed in section 3 of ISPM 46 are used by the TPCS to identify candidate measures for inclusion and the criteria listed in section 4 are used to select which of these </w:t>
      </w:r>
      <w:r w:rsidR="00094EEF">
        <w:t xml:space="preserve">candidate measures </w:t>
      </w:r>
      <w:r w:rsidR="00094EEF" w:rsidRPr="0047072F">
        <w:t>to actually include</w:t>
      </w:r>
      <w:r>
        <w:t xml:space="preserve">. Moreover, the TPCS acknowledged that </w:t>
      </w:r>
      <w:r w:rsidR="00094EEF" w:rsidRPr="0047072F">
        <w:t>the confidence categories are not included in commodity standard</w:t>
      </w:r>
      <w:r w:rsidR="00094EEF">
        <w:t>s,</w:t>
      </w:r>
      <w:r>
        <w:t xml:space="preserve"> </w:t>
      </w:r>
      <w:r w:rsidR="00094EEF" w:rsidRPr="0047072F">
        <w:t xml:space="preserve">there is no need for the TPCS to develop the criteria in section 4 of ISPM 46 any </w:t>
      </w:r>
      <w:r w:rsidR="00094EEF" w:rsidRPr="0047072F">
        <w:lastRenderedPageBreak/>
        <w:t>further</w:t>
      </w:r>
      <w:r w:rsidR="00094EEF">
        <w:t>,</w:t>
      </w:r>
      <w:r w:rsidR="00094EEF" w:rsidRPr="0047072F">
        <w:t xml:space="preserve"> and</w:t>
      </w:r>
      <w:r>
        <w:t xml:space="preserve"> </w:t>
      </w:r>
      <w:r w:rsidR="00094EEF" w:rsidRPr="0047072F">
        <w:t>transparency regarding the selection of measures will be achieved by the publication of working procedures for the panel and the recording of the rationale for including or excluding pests and measures.</w:t>
      </w:r>
      <w:r>
        <w:t xml:space="preserve"> </w:t>
      </w:r>
      <w:r w:rsidRPr="00424065">
        <w:t xml:space="preserve">(Decision point </w:t>
      </w:r>
      <w:r w:rsidR="000319F9" w:rsidRPr="00424065">
        <w:t>8</w:t>
      </w:r>
      <w:r w:rsidRPr="00424065">
        <w:t>).</w:t>
      </w:r>
    </w:p>
    <w:p w14:paraId="72C9AB39" w14:textId="77777777" w:rsidR="00D96986" w:rsidRPr="00424065" w:rsidRDefault="00470AE1" w:rsidP="0044605D">
      <w:pPr>
        <w:pStyle w:val="IPPParagraphnumbering"/>
        <w:numPr>
          <w:ilvl w:val="0"/>
          <w:numId w:val="0"/>
        </w:numPr>
        <w:spacing w:before="120" w:after="120"/>
        <w:rPr>
          <w:b/>
          <w:u w:val="single"/>
        </w:rPr>
      </w:pPr>
      <w:r w:rsidRPr="00424065">
        <w:rPr>
          <w:b/>
          <w:u w:val="single"/>
        </w:rPr>
        <w:t>TPCS working procedures</w:t>
      </w:r>
    </w:p>
    <w:p w14:paraId="3DBA9228" w14:textId="3DE27758" w:rsidR="000319F9" w:rsidRPr="00424065" w:rsidRDefault="000319F9" w:rsidP="0044605D">
      <w:pPr>
        <w:pStyle w:val="IPPParagraphnumbering"/>
        <w:rPr>
          <w:lang w:val="en-GB"/>
        </w:rPr>
      </w:pPr>
      <w:r w:rsidRPr="00424065">
        <w:rPr>
          <w:lang w:val="en-GB"/>
        </w:rPr>
        <w:t>As a new technical panel, the TPCS discussed several points regarding its working procedures, also during the drafting of the annex on the mango fruit standard. Therefore, the TPCS agreed to draft a working procedures document (also mentioned above), to record several elements of their work</w:t>
      </w:r>
      <w:r w:rsidR="00EF4D67" w:rsidRPr="00424065">
        <w:rPr>
          <w:lang w:val="en-GB"/>
        </w:rPr>
        <w:t xml:space="preserve"> </w:t>
      </w:r>
      <w:r w:rsidRPr="00424065">
        <w:rPr>
          <w:lang w:val="en-GB"/>
        </w:rPr>
        <w:t xml:space="preserve">to be presented to the SC for approval. The TPCS draft working procedures is presented as </w:t>
      </w:r>
      <w:r w:rsidRPr="00424065">
        <w:rPr>
          <w:b/>
          <w:lang w:val="en-GB"/>
        </w:rPr>
        <w:t>Attachment 2</w:t>
      </w:r>
      <w:r w:rsidRPr="00424065">
        <w:rPr>
          <w:lang w:val="en-GB"/>
        </w:rPr>
        <w:t xml:space="preserve"> of this document. (Decision point 9)</w:t>
      </w:r>
    </w:p>
    <w:p w14:paraId="3985EA77" w14:textId="77777777" w:rsidR="0014760E" w:rsidRPr="0014760E" w:rsidRDefault="0044605D" w:rsidP="0014760E">
      <w:pPr>
        <w:pStyle w:val="IPPParagraphnumbering"/>
        <w:rPr>
          <w:lang w:val="en-GB"/>
        </w:rPr>
      </w:pPr>
      <w:r w:rsidRPr="0014760E">
        <w:rPr>
          <w:b/>
          <w:bCs/>
          <w:u w:val="single"/>
          <w:lang w:val="en-GB"/>
        </w:rPr>
        <w:t>How to record decisions on pests and measures.</w:t>
      </w:r>
      <w:r w:rsidRPr="0014760E">
        <w:rPr>
          <w:lang w:val="en-GB"/>
        </w:rPr>
        <w:t xml:space="preserve"> The panel discussed how to record their decisions on the pests and measures included and excluded from annexes to ISPM 46 and the rationale for these decisions. The TPCS therefore drafted a working procedures document, to record this and other elements of their working procedures, as mentioned above. </w:t>
      </w:r>
      <w:r w:rsidR="0014760E" w:rsidRPr="0014760E">
        <w:rPr>
          <w:lang w:val="en-GB"/>
        </w:rPr>
        <w:t xml:space="preserve">Regarding criteria for inclusion of a pest, the TPCS </w:t>
      </w:r>
      <w:r w:rsidR="0014760E">
        <w:rPr>
          <w:lang w:val="en-GB"/>
        </w:rPr>
        <w:t>acknowledged that, a</w:t>
      </w:r>
      <w:r w:rsidR="0014760E" w:rsidRPr="0014760E">
        <w:rPr>
          <w:lang w:val="en-GB"/>
        </w:rPr>
        <w:t xml:space="preserve">ccording to ISPM 46, the inclusion of a pest in a commodity standard is that it is regulated by at least one contracting party, and based on technical justification, for that specific commodity. </w:t>
      </w:r>
    </w:p>
    <w:p w14:paraId="61809A37" w14:textId="77777777" w:rsidR="0014760E" w:rsidRPr="00424065" w:rsidRDefault="0014760E" w:rsidP="0014760E">
      <w:pPr>
        <w:pStyle w:val="IPPParagraphnumbering"/>
      </w:pPr>
      <w:r w:rsidRPr="0014760E">
        <w:rPr>
          <w:lang w:val="en-GB"/>
        </w:rPr>
        <w:t xml:space="preserve">Furthermore, the TPCS agreed that the pest should additionally meet at least one of the following sub </w:t>
      </w:r>
      <w:r w:rsidRPr="00424065">
        <w:rPr>
          <w:lang w:val="en-GB"/>
        </w:rPr>
        <w:t>criteria (Decision point 10):</w:t>
      </w:r>
    </w:p>
    <w:p w14:paraId="1DA918A8" w14:textId="77777777" w:rsidR="0014760E" w:rsidRPr="00424065" w:rsidRDefault="0014760E" w:rsidP="0014760E">
      <w:pPr>
        <w:pStyle w:val="IPPBullet2"/>
      </w:pPr>
      <w:r w:rsidRPr="00424065">
        <w:t>The commercially produced commodity is a host.</w:t>
      </w:r>
    </w:p>
    <w:p w14:paraId="7B23B55A" w14:textId="34093812" w:rsidR="0014760E" w:rsidRPr="00424065" w:rsidRDefault="0014760E" w:rsidP="0014760E">
      <w:pPr>
        <w:pStyle w:val="IPPBullet2"/>
      </w:pPr>
      <w:r w:rsidRPr="00424065">
        <w:t>There are existing phytosanitary measures options available (and there is sufficient confidence for option(s) to be included in the commodity standard).</w:t>
      </w:r>
    </w:p>
    <w:p w14:paraId="23F1331C" w14:textId="77777777" w:rsidR="0014760E" w:rsidRPr="00424065" w:rsidRDefault="0014760E" w:rsidP="0014760E">
      <w:pPr>
        <w:pStyle w:val="IPPBullet2"/>
      </w:pPr>
      <w:r w:rsidRPr="00424065">
        <w:t>There is evidence of establishment of the pest after entry, via the commodity.</w:t>
      </w:r>
    </w:p>
    <w:p w14:paraId="774284EC" w14:textId="77777777" w:rsidR="0014760E" w:rsidRPr="00424065" w:rsidRDefault="0014760E" w:rsidP="0014760E">
      <w:pPr>
        <w:pStyle w:val="IPPBullet2"/>
      </w:pPr>
      <w:r w:rsidRPr="00424065">
        <w:t>Major or minor pest for the crop.</w:t>
      </w:r>
    </w:p>
    <w:p w14:paraId="4DF24413" w14:textId="77777777" w:rsidR="0014760E" w:rsidRPr="00424065" w:rsidRDefault="0014760E" w:rsidP="0014760E">
      <w:pPr>
        <w:pStyle w:val="IPPBullet2"/>
      </w:pPr>
      <w:r w:rsidRPr="00424065">
        <w:t>There have been repeated interceptions of the pest on the commodity.</w:t>
      </w:r>
    </w:p>
    <w:p w14:paraId="622A6DEF" w14:textId="77777777" w:rsidR="00783981" w:rsidRPr="00424065" w:rsidRDefault="00783981" w:rsidP="0014760E">
      <w:pPr>
        <w:pStyle w:val="IPPParagraphnumbering"/>
        <w:spacing w:before="120"/>
        <w:ind w:hanging="475"/>
        <w:rPr>
          <w:lang w:val="en-GB"/>
        </w:rPr>
      </w:pPr>
      <w:r w:rsidRPr="00424065">
        <w:rPr>
          <w:b/>
          <w:bCs/>
          <w:u w:val="single"/>
          <w:lang w:val="en-GB"/>
        </w:rPr>
        <w:t>Revision of commodity standards</w:t>
      </w:r>
      <w:r w:rsidR="00FD7CAE" w:rsidRPr="00424065">
        <w:rPr>
          <w:b/>
          <w:bCs/>
          <w:u w:val="single"/>
          <w:lang w:val="en-GB"/>
        </w:rPr>
        <w:t>.</w:t>
      </w:r>
      <w:r w:rsidR="00FD7CAE" w:rsidRPr="00424065">
        <w:rPr>
          <w:b/>
          <w:bCs/>
          <w:lang w:val="en-GB"/>
        </w:rPr>
        <w:t xml:space="preserve"> </w:t>
      </w:r>
      <w:r w:rsidRPr="00424065">
        <w:rPr>
          <w:lang w:val="en-GB"/>
        </w:rPr>
        <w:t xml:space="preserve">The TPCS </w:t>
      </w:r>
      <w:r w:rsidR="0044605D" w:rsidRPr="00424065">
        <w:rPr>
          <w:lang w:val="en-GB"/>
        </w:rPr>
        <w:t>agreed that</w:t>
      </w:r>
      <w:r w:rsidRPr="00424065">
        <w:rPr>
          <w:lang w:val="en-GB"/>
        </w:rPr>
        <w:t xml:space="preserve">, where there is evidence that a particular measure in a commodity standard may no longer be effective, </w:t>
      </w:r>
      <w:r w:rsidR="000319F9" w:rsidRPr="00424065">
        <w:rPr>
          <w:lang w:val="en-GB"/>
        </w:rPr>
        <w:t xml:space="preserve">or when there is a taxonomy change of the pest, </w:t>
      </w:r>
      <w:r w:rsidRPr="00424065">
        <w:rPr>
          <w:lang w:val="en-GB"/>
        </w:rPr>
        <w:t>a footnote to this effect could perhaps be added to the annex as a variation to the ink amendment process. This would then provide a useful interim solution until the commodity standard was revised.</w:t>
      </w:r>
      <w:r w:rsidR="0014760E" w:rsidRPr="00424065">
        <w:rPr>
          <w:lang w:val="en-GB"/>
        </w:rPr>
        <w:t xml:space="preserve"> (Decision point 11).</w:t>
      </w:r>
      <w:r w:rsidR="00C2243A" w:rsidRPr="00424065">
        <w:rPr>
          <w:lang w:val="en-GB"/>
        </w:rPr>
        <w:t xml:space="preserve"> </w:t>
      </w:r>
    </w:p>
    <w:p w14:paraId="10C84C48" w14:textId="77777777" w:rsidR="000319F9" w:rsidRPr="00424065" w:rsidRDefault="009D1BFC" w:rsidP="00C2243A">
      <w:pPr>
        <w:pStyle w:val="IPPParagraphnumbering"/>
        <w:rPr>
          <w:lang w:val="en-GB"/>
        </w:rPr>
      </w:pPr>
      <w:r w:rsidRPr="009D1BFC">
        <w:rPr>
          <w:b/>
          <w:u w:val="single"/>
        </w:rPr>
        <w:t>Commodity standards database</w:t>
      </w:r>
      <w:r w:rsidR="00FD7CAE">
        <w:rPr>
          <w:b/>
          <w:u w:val="single"/>
        </w:rPr>
        <w:t>.</w:t>
      </w:r>
      <w:r w:rsidR="00FD7CAE" w:rsidRPr="00FD7CAE">
        <w:rPr>
          <w:b/>
        </w:rPr>
        <w:t xml:space="preserve"> </w:t>
      </w:r>
      <w:r w:rsidR="000319F9">
        <w:t xml:space="preserve">The TPCS in January 2023 </w:t>
      </w:r>
      <w:r w:rsidR="000319F9" w:rsidRPr="0047072F">
        <w:rPr>
          <w:lang w:val="en-GB"/>
        </w:rPr>
        <w:t>agreed that it would be beneficial for a database on commodity standards to be developed, as envisaged in Task 9 of Specification TP 6. As well as listing the target pest, commodity and measure, cross-referenced to relevant sources of information (as indicated in Specification TP 6), the database could also include pests and measures excluded from commodity standards, with the rationale for their exclusion, and any problems that have arisen with measures that appear in adopted commodity standards.</w:t>
      </w:r>
      <w:r w:rsidR="0014760E">
        <w:rPr>
          <w:lang w:val="en-GB"/>
        </w:rPr>
        <w:t xml:space="preserve"> </w:t>
      </w:r>
      <w:r w:rsidR="0014760E" w:rsidRPr="00424065">
        <w:rPr>
          <w:lang w:val="en-GB"/>
        </w:rPr>
        <w:t>(Decision point 12).</w:t>
      </w:r>
      <w:r w:rsidR="00C2243A" w:rsidRPr="00424065">
        <w:rPr>
          <w:lang w:val="en-GB"/>
        </w:rPr>
        <w:t xml:space="preserve"> </w:t>
      </w:r>
      <w:r w:rsidR="000319F9" w:rsidRPr="00424065">
        <w:rPr>
          <w:lang w:val="en-GB"/>
        </w:rPr>
        <w:t xml:space="preserve"> </w:t>
      </w:r>
    </w:p>
    <w:p w14:paraId="6F23338E" w14:textId="77777777" w:rsidR="009D1BFC" w:rsidRPr="00424065" w:rsidRDefault="000319F9" w:rsidP="000319F9">
      <w:pPr>
        <w:pStyle w:val="IPPParagraphnumbering"/>
        <w:spacing w:before="120" w:after="120"/>
      </w:pPr>
      <w:r w:rsidRPr="00424065">
        <w:rPr>
          <w:lang w:val="en-GB"/>
        </w:rPr>
        <w:t xml:space="preserve">The panel agreed that the baseline data for this database would be the data submitted to the panel for the mango annex. As an interim solution, all the information will be kept and maintained in a excel file. </w:t>
      </w:r>
    </w:p>
    <w:p w14:paraId="347DC0C7" w14:textId="77777777" w:rsidR="009D1BFC" w:rsidRPr="00424065" w:rsidRDefault="00CF7F44" w:rsidP="00CF7F44">
      <w:pPr>
        <w:pStyle w:val="IPPParagraphnumbering"/>
        <w:numPr>
          <w:ilvl w:val="0"/>
          <w:numId w:val="0"/>
        </w:numPr>
        <w:spacing w:before="120" w:after="120"/>
        <w:rPr>
          <w:b/>
          <w:u w:val="single"/>
        </w:rPr>
      </w:pPr>
      <w:r w:rsidRPr="00424065">
        <w:rPr>
          <w:b/>
          <w:u w:val="single"/>
        </w:rPr>
        <w:t>Other points</w:t>
      </w:r>
      <w:r w:rsidR="00485AA6" w:rsidRPr="00424065">
        <w:rPr>
          <w:b/>
          <w:u w:val="single"/>
        </w:rPr>
        <w:t xml:space="preserve"> under</w:t>
      </w:r>
      <w:r w:rsidRPr="00424065">
        <w:rPr>
          <w:b/>
          <w:u w:val="single"/>
        </w:rPr>
        <w:t xml:space="preserve"> potential adjustments to the Standard Setting Procedure</w:t>
      </w:r>
    </w:p>
    <w:p w14:paraId="5759653D" w14:textId="77777777" w:rsidR="009D1BFC" w:rsidRPr="00424065" w:rsidRDefault="00D93469" w:rsidP="009D1BFC">
      <w:pPr>
        <w:pStyle w:val="IPPParagraphnumbering"/>
        <w:spacing w:before="120" w:after="120"/>
      </w:pPr>
      <w:r w:rsidRPr="00424065">
        <w:t>The TPCS also discussed</w:t>
      </w:r>
      <w:r w:rsidR="00F6395D" w:rsidRPr="00424065">
        <w:t xml:space="preserve"> and agreed with</w:t>
      </w:r>
      <w:r w:rsidRPr="00424065">
        <w:t xml:space="preserve"> other potential adjustments to the Standard Setting Procedure to speed up the development of commodity standards and streamline the process. These are for the SC’s consideration</w:t>
      </w:r>
      <w:r w:rsidR="0014760E" w:rsidRPr="00424065">
        <w:t>. (Decision point 13)</w:t>
      </w:r>
      <w:r w:rsidRPr="00424065">
        <w:t xml:space="preserve">: </w:t>
      </w:r>
    </w:p>
    <w:p w14:paraId="1B8DB1ED" w14:textId="77777777" w:rsidR="00D93469" w:rsidRDefault="00D93469" w:rsidP="00D93469">
      <w:pPr>
        <w:pStyle w:val="IPPBullet2"/>
      </w:pPr>
      <w:r w:rsidRPr="00424065">
        <w:t>draft specifications for commodity standards to follow a standa</w:t>
      </w:r>
      <w:r>
        <w:t>rd format, including content common to all such specifications,</w:t>
      </w:r>
    </w:p>
    <w:p w14:paraId="25EF7FA1" w14:textId="77777777" w:rsidR="00D93469" w:rsidRPr="0047072F" w:rsidRDefault="00D93469" w:rsidP="00D93469">
      <w:pPr>
        <w:pStyle w:val="IPPBullet2"/>
        <w:spacing w:after="180"/>
      </w:pPr>
      <w:r w:rsidRPr="0047072F">
        <w:t>the option of omitting a second consultation on draft commodity standards to be allowed if no substantive comments are received in response to the first consultation (</w:t>
      </w:r>
      <w:r>
        <w:t xml:space="preserve">following the same procedure as phytosanitary treatments; </w:t>
      </w:r>
      <w:r w:rsidRPr="0047072F">
        <w:t>although it is not anticipated that this would be done for the first annex to ISPM 46).</w:t>
      </w:r>
    </w:p>
    <w:p w14:paraId="7000159B" w14:textId="77777777" w:rsidR="00A34DAA" w:rsidRPr="006A273E" w:rsidRDefault="00F6395D" w:rsidP="00A34DAA">
      <w:pPr>
        <w:pStyle w:val="IPPHeading1"/>
      </w:pPr>
      <w:r>
        <w:lastRenderedPageBreak/>
        <w:t>4</w:t>
      </w:r>
      <w:r w:rsidR="00A34DAA">
        <w:t>. Highlights of the work</w:t>
      </w:r>
    </w:p>
    <w:p w14:paraId="4E49DE82" w14:textId="77777777" w:rsidR="00F6395D" w:rsidRPr="00424065" w:rsidRDefault="007343CC" w:rsidP="0038431D">
      <w:pPr>
        <w:pStyle w:val="IPPParagraphnumbering"/>
        <w:rPr>
          <w:lang w:val="en-GB"/>
        </w:rPr>
      </w:pPr>
      <w:r w:rsidRPr="007343CC">
        <w:rPr>
          <w:b/>
          <w:u w:val="single"/>
          <w:lang w:val="en-GB"/>
        </w:rPr>
        <w:t>Meetings.</w:t>
      </w:r>
      <w:r>
        <w:rPr>
          <w:lang w:val="en-GB"/>
        </w:rPr>
        <w:t xml:space="preserve"> </w:t>
      </w:r>
      <w:r w:rsidR="00F6395D">
        <w:rPr>
          <w:lang w:val="en-GB"/>
        </w:rPr>
        <w:t>Since July 2022 the</w:t>
      </w:r>
      <w:r w:rsidR="00A34DAA" w:rsidRPr="0038431D">
        <w:rPr>
          <w:lang w:val="en-GB"/>
        </w:rPr>
        <w:t xml:space="preserve"> T</w:t>
      </w:r>
      <w:r w:rsidR="0038431D" w:rsidRPr="0038431D">
        <w:rPr>
          <w:lang w:val="en-GB"/>
        </w:rPr>
        <w:t>PCS</w:t>
      </w:r>
      <w:r w:rsidR="00A34DAA" w:rsidRPr="0038431D">
        <w:rPr>
          <w:lang w:val="en-GB"/>
        </w:rPr>
        <w:t xml:space="preserve"> had </w:t>
      </w:r>
      <w:r w:rsidR="00F6395D">
        <w:rPr>
          <w:lang w:val="en-GB"/>
        </w:rPr>
        <w:t>three</w:t>
      </w:r>
      <w:r w:rsidR="00A34DAA" w:rsidRPr="0038431D">
        <w:rPr>
          <w:lang w:val="en-GB"/>
        </w:rPr>
        <w:t xml:space="preserve"> virtual meeting</w:t>
      </w:r>
      <w:r w:rsidR="00F6395D">
        <w:rPr>
          <w:lang w:val="en-GB"/>
        </w:rPr>
        <w:t>s</w:t>
      </w:r>
      <w:r w:rsidR="00A34DAA" w:rsidRPr="0038431D">
        <w:rPr>
          <w:lang w:val="en-GB"/>
        </w:rPr>
        <w:t xml:space="preserve"> </w:t>
      </w:r>
      <w:r w:rsidR="00F6395D">
        <w:rPr>
          <w:lang w:val="en-GB"/>
        </w:rPr>
        <w:t xml:space="preserve">and one face to face meeting. The meeting reports are </w:t>
      </w:r>
      <w:r w:rsidR="00A34DAA" w:rsidRPr="0038431D">
        <w:rPr>
          <w:lang w:val="en-GB"/>
        </w:rPr>
        <w:t xml:space="preserve">available at </w:t>
      </w:r>
      <w:r w:rsidR="00F6395D">
        <w:rPr>
          <w:lang w:val="en-GB"/>
        </w:rPr>
        <w:t xml:space="preserve">the </w:t>
      </w:r>
      <w:hyperlink r:id="rId21" w:history="1">
        <w:r w:rsidR="00F6395D" w:rsidRPr="00F6395D">
          <w:rPr>
            <w:rStyle w:val="Hyperlink"/>
            <w:lang w:val="en-GB"/>
          </w:rPr>
          <w:t>TPCS page on IPP</w:t>
        </w:r>
      </w:hyperlink>
      <w:r w:rsidR="00F6395D">
        <w:rPr>
          <w:lang w:val="en-GB"/>
        </w:rPr>
        <w:t xml:space="preserve">. </w:t>
      </w:r>
      <w:r w:rsidR="00C60E96">
        <w:rPr>
          <w:lang w:val="en-GB"/>
        </w:rPr>
        <w:t>(</w:t>
      </w:r>
      <w:r w:rsidR="00C60E96" w:rsidRPr="00424065">
        <w:rPr>
          <w:lang w:val="en-GB"/>
        </w:rPr>
        <w:t>Decision points 14 and 15).</w:t>
      </w:r>
    </w:p>
    <w:p w14:paraId="02E9FD2B" w14:textId="3908DE70" w:rsidR="00C60E96" w:rsidRPr="00C60E96" w:rsidRDefault="00C60E96" w:rsidP="00311376">
      <w:pPr>
        <w:pStyle w:val="IPPParagraphnumbering"/>
        <w:rPr>
          <w:lang w:val="en-GB"/>
        </w:rPr>
      </w:pPr>
      <w:r w:rsidRPr="00C60E96">
        <w:rPr>
          <w:b/>
          <w:lang w:val="en-GB"/>
        </w:rPr>
        <w:t>December 2022 virtual meeting:</w:t>
      </w:r>
      <w:r w:rsidRPr="00C60E96">
        <w:rPr>
          <w:lang w:val="en-GB"/>
        </w:rPr>
        <w:t xml:space="preserve"> The main objective</w:t>
      </w:r>
      <w:r w:rsidR="00E81ADC">
        <w:rPr>
          <w:lang w:val="en-GB"/>
        </w:rPr>
        <w:t>s</w:t>
      </w:r>
      <w:r w:rsidRPr="00C60E96">
        <w:rPr>
          <w:lang w:val="en-GB"/>
        </w:rPr>
        <w:t xml:space="preserve"> of this meeting were to have an overview of the then recent approved Specification 73: Annex International movement of mango (</w:t>
      </w:r>
      <w:r w:rsidRPr="00C60E96">
        <w:rPr>
          <w:i/>
          <w:lang w:val="en-GB"/>
        </w:rPr>
        <w:t>Mangifera indica</w:t>
      </w:r>
      <w:r w:rsidRPr="00C60E96">
        <w:rPr>
          <w:lang w:val="en-GB"/>
        </w:rPr>
        <w:t xml:space="preserve">) fruit to ISPM 46 (2021-011), to start the review of papers and studies submitted in response to the call for information material for mango fruits and, </w:t>
      </w:r>
      <w:r>
        <w:rPr>
          <w:lang w:val="en-GB"/>
        </w:rPr>
        <w:t xml:space="preserve">to start the </w:t>
      </w:r>
      <w:r w:rsidRPr="00C60E96">
        <w:rPr>
          <w:lang w:val="en-GB"/>
        </w:rPr>
        <w:t>preparation</w:t>
      </w:r>
      <w:r>
        <w:rPr>
          <w:lang w:val="en-GB"/>
        </w:rPr>
        <w:t>s</w:t>
      </w:r>
      <w:r w:rsidRPr="00C60E96">
        <w:rPr>
          <w:lang w:val="en-GB"/>
        </w:rPr>
        <w:t xml:space="preserve"> for the January 2023 </w:t>
      </w:r>
      <w:r>
        <w:rPr>
          <w:lang w:val="en-GB"/>
        </w:rPr>
        <w:t xml:space="preserve">face to face </w:t>
      </w:r>
      <w:r w:rsidRPr="00C60E96">
        <w:rPr>
          <w:lang w:val="en-GB"/>
        </w:rPr>
        <w:t>meeting</w:t>
      </w:r>
      <w:r>
        <w:rPr>
          <w:lang w:val="en-GB"/>
        </w:rPr>
        <w:t xml:space="preserve">. </w:t>
      </w:r>
    </w:p>
    <w:p w14:paraId="65A20939" w14:textId="77777777" w:rsidR="00C60E96" w:rsidRPr="000734CE" w:rsidRDefault="002565DA" w:rsidP="000734CE">
      <w:pPr>
        <w:pStyle w:val="IPPParagraphnumbering"/>
        <w:rPr>
          <w:lang w:val="en-GB"/>
        </w:rPr>
      </w:pPr>
      <w:r>
        <w:rPr>
          <w:b/>
          <w:lang w:val="en-GB"/>
        </w:rPr>
        <w:t>January 2023 face-</w:t>
      </w:r>
      <w:r w:rsidR="00C60E96" w:rsidRPr="000734CE">
        <w:rPr>
          <w:b/>
          <w:lang w:val="en-GB"/>
        </w:rPr>
        <w:t>to</w:t>
      </w:r>
      <w:r>
        <w:rPr>
          <w:b/>
          <w:lang w:val="en-GB"/>
        </w:rPr>
        <w:t>-</w:t>
      </w:r>
      <w:r w:rsidR="00C60E96" w:rsidRPr="000734CE">
        <w:rPr>
          <w:b/>
          <w:lang w:val="en-GB"/>
        </w:rPr>
        <w:t>face meeting – Tokyo, Japan:</w:t>
      </w:r>
      <w:r w:rsidR="00C60E96" w:rsidRPr="000734CE">
        <w:rPr>
          <w:lang w:val="en-GB"/>
        </w:rPr>
        <w:t xml:space="preserve"> The meeting was the third meeting of the TPCS but the first to be held in person.</w:t>
      </w:r>
      <w:r w:rsidR="000734CE" w:rsidRPr="000734CE">
        <w:rPr>
          <w:lang w:val="en-GB"/>
        </w:rPr>
        <w:t xml:space="preserve"> The panel selected Ms Lihong ZHU as the chairperson of the meeting and Mr Douglas KERRUISH</w:t>
      </w:r>
      <w:r w:rsidR="000734CE">
        <w:rPr>
          <w:lang w:val="en-GB"/>
        </w:rPr>
        <w:t xml:space="preserve"> as rapporteur. Two members of the TPCS could not attend the meeting. </w:t>
      </w:r>
    </w:p>
    <w:p w14:paraId="1448CF2A" w14:textId="77777777" w:rsidR="00C60E96" w:rsidRPr="00C60E96" w:rsidRDefault="00C60E96" w:rsidP="00C60E96">
      <w:pPr>
        <w:pStyle w:val="IPPParagraphnumbering"/>
        <w:rPr>
          <w:lang w:val="en-GB"/>
        </w:rPr>
      </w:pPr>
      <w:r w:rsidRPr="00C60E96">
        <w:rPr>
          <w:lang w:val="en-GB"/>
        </w:rPr>
        <w:t xml:space="preserve">The main task for the panel was to draft the annex International movement of fresh </w:t>
      </w:r>
      <w:r w:rsidRPr="00C60E96">
        <w:rPr>
          <w:i/>
          <w:lang w:val="en-GB"/>
        </w:rPr>
        <w:t>Mangifera indica</w:t>
      </w:r>
      <w:r w:rsidRPr="00C60E96">
        <w:rPr>
          <w:lang w:val="en-GB"/>
        </w:rPr>
        <w:t xml:space="preserve"> fruit to ISPM 46 (Commodity-specific standards for phytosanitary measures). This is the first of the so-called “commodity standards” to be developed, which list pests associated with a particular commodity and corresponding options for phytosanitary measures. The panel discussed material received in response to an IPPC call for information and drafted the text of the annex. The panel agreed to consider the draft again, following further checks by the steward and editing, at their next planned (virtual) meeting. The panel aim</w:t>
      </w:r>
      <w:r>
        <w:rPr>
          <w:lang w:val="en-GB"/>
        </w:rPr>
        <w:t>ed to finalize the draft</w:t>
      </w:r>
      <w:r w:rsidRPr="00C60E96">
        <w:rPr>
          <w:lang w:val="en-GB"/>
        </w:rPr>
        <w:t xml:space="preserve"> to submit </w:t>
      </w:r>
      <w:r>
        <w:rPr>
          <w:lang w:val="en-GB"/>
        </w:rPr>
        <w:t>it</w:t>
      </w:r>
      <w:r w:rsidRPr="00C60E96">
        <w:rPr>
          <w:lang w:val="en-GB"/>
        </w:rPr>
        <w:t xml:space="preserve"> to the May 2023 </w:t>
      </w:r>
      <w:r>
        <w:rPr>
          <w:lang w:val="en-GB"/>
        </w:rPr>
        <w:t>SC</w:t>
      </w:r>
      <w:r w:rsidRPr="00C60E96">
        <w:rPr>
          <w:lang w:val="en-GB"/>
        </w:rPr>
        <w:t xml:space="preserve"> meeting for approval for first consultation.</w:t>
      </w:r>
    </w:p>
    <w:p w14:paraId="4840479D" w14:textId="77777777" w:rsidR="00C60E96" w:rsidRPr="00C60E96" w:rsidRDefault="00C60E96" w:rsidP="00C60E96">
      <w:pPr>
        <w:pStyle w:val="IPPParagraphnumbering"/>
        <w:rPr>
          <w:lang w:val="en-GB"/>
        </w:rPr>
      </w:pPr>
      <w:r w:rsidRPr="00C60E96">
        <w:rPr>
          <w:lang w:val="en-GB"/>
        </w:rPr>
        <w:t xml:space="preserve">The </w:t>
      </w:r>
      <w:r>
        <w:rPr>
          <w:lang w:val="en-GB"/>
        </w:rPr>
        <w:t>TPCS</w:t>
      </w:r>
      <w:r w:rsidRPr="00C60E96">
        <w:rPr>
          <w:lang w:val="en-GB"/>
        </w:rPr>
        <w:t xml:space="preserve"> considered the criteria that it would use when selecting pests and measures for inclusion in commodity standards, based on the criteria set out in ISPM 46. It considered the call for transparency made by a contracting party to the </w:t>
      </w:r>
      <w:r>
        <w:rPr>
          <w:lang w:val="en-GB"/>
        </w:rPr>
        <w:t>CPM</w:t>
      </w:r>
      <w:r w:rsidRPr="00C60E96">
        <w:rPr>
          <w:lang w:val="en-GB"/>
        </w:rPr>
        <w:t xml:space="preserve"> in 2022 and agreed that transparency would be achieved by publishing its working procedures in the IPPC procedure manual for standard setting and by maintaining a record of the rationale for including and excluding pests and measures in particular annexes. The panel drafted some working procedures and agreed to continue work on this at their next (virtual) meeting to be presented to the </w:t>
      </w:r>
      <w:r>
        <w:rPr>
          <w:lang w:val="en-GB"/>
        </w:rPr>
        <w:t>SC</w:t>
      </w:r>
      <w:r w:rsidRPr="00C60E96">
        <w:rPr>
          <w:lang w:val="en-GB"/>
        </w:rPr>
        <w:t>.</w:t>
      </w:r>
    </w:p>
    <w:p w14:paraId="65082534" w14:textId="77777777" w:rsidR="00C60E96" w:rsidRPr="00C60E96" w:rsidRDefault="00C60E96" w:rsidP="00C60E96">
      <w:pPr>
        <w:pStyle w:val="IPPParagraphnumbering"/>
        <w:rPr>
          <w:lang w:val="en-GB"/>
        </w:rPr>
      </w:pPr>
      <w:r w:rsidRPr="00C60E96">
        <w:rPr>
          <w:lang w:val="en-GB"/>
        </w:rPr>
        <w:t xml:space="preserve">The </w:t>
      </w:r>
      <w:r>
        <w:rPr>
          <w:lang w:val="en-GB"/>
        </w:rPr>
        <w:t>TPCS</w:t>
      </w:r>
      <w:r w:rsidRPr="00C60E96">
        <w:rPr>
          <w:lang w:val="en-GB"/>
        </w:rPr>
        <w:t xml:space="preserve"> recommended that an online, searchable database be developed for commodity standards, listing pests, commodities, measures and supplementary information, as well as the rationale for including and excluding pests and measures in particular annexes.</w:t>
      </w:r>
    </w:p>
    <w:p w14:paraId="04882D90" w14:textId="77777777" w:rsidR="00C60E96" w:rsidRPr="00C60E96" w:rsidRDefault="00C60E96" w:rsidP="00311376">
      <w:pPr>
        <w:pStyle w:val="IPPParagraphnumbering"/>
        <w:rPr>
          <w:lang w:val="en-GB"/>
        </w:rPr>
      </w:pPr>
      <w:r w:rsidRPr="00C60E96">
        <w:rPr>
          <w:lang w:val="en-GB"/>
        </w:rPr>
        <w:t xml:space="preserve">The TPCS recommended some changes to the Standard Setting Procedure to speed up the development of commodity standards. </w:t>
      </w:r>
      <w:r w:rsidR="000734CE">
        <w:rPr>
          <w:lang w:val="en-GB"/>
        </w:rPr>
        <w:t>Also, t</w:t>
      </w:r>
      <w:r w:rsidRPr="00C60E96">
        <w:rPr>
          <w:lang w:val="en-GB"/>
        </w:rPr>
        <w:t>he panel d</w:t>
      </w:r>
      <w:r w:rsidR="000734CE">
        <w:rPr>
          <w:lang w:val="en-GB"/>
        </w:rPr>
        <w:t>rafted a workplan for 2023–2024</w:t>
      </w:r>
      <w:r w:rsidRPr="00C60E96">
        <w:rPr>
          <w:lang w:val="en-GB"/>
        </w:rPr>
        <w:t>.</w:t>
      </w:r>
    </w:p>
    <w:p w14:paraId="77488F7A" w14:textId="77777777" w:rsidR="0044458C" w:rsidRPr="0044458C" w:rsidRDefault="00C60E96" w:rsidP="00311376">
      <w:pPr>
        <w:pStyle w:val="IPPParagraphnumbering"/>
        <w:rPr>
          <w:lang w:val="en-GB"/>
        </w:rPr>
      </w:pPr>
      <w:r w:rsidRPr="0044458C">
        <w:rPr>
          <w:b/>
          <w:lang w:val="en-GB"/>
        </w:rPr>
        <w:t>February 2023 virtual meeting</w:t>
      </w:r>
      <w:r w:rsidR="0044458C" w:rsidRPr="0044458C">
        <w:rPr>
          <w:b/>
          <w:lang w:val="en-GB"/>
        </w:rPr>
        <w:t xml:space="preserve">: </w:t>
      </w:r>
      <w:r w:rsidR="0044458C" w:rsidRPr="0044458C">
        <w:rPr>
          <w:lang w:val="en-GB"/>
        </w:rPr>
        <w:t xml:space="preserve">The TPCS met in February to finalize the draft annex International movement of fresh </w:t>
      </w:r>
      <w:r w:rsidR="0044458C" w:rsidRPr="0044458C">
        <w:rPr>
          <w:i/>
          <w:lang w:val="en-GB"/>
        </w:rPr>
        <w:t>Mangifera indica</w:t>
      </w:r>
      <w:r w:rsidR="0044458C" w:rsidRPr="0044458C">
        <w:rPr>
          <w:lang w:val="en-GB"/>
        </w:rPr>
        <w:t xml:space="preserve"> fruit (2021-011). The TPCS also reviewed and approved the draft template form for submitting information on pests and measure, which it is now being presented to the SC (see attachment 1 of this document). At this meeting, the TPCS </w:t>
      </w:r>
      <w:r w:rsidR="0044458C" w:rsidRPr="0044458C">
        <w:rPr>
          <w:iCs/>
          <w:lang w:val="en-GB"/>
        </w:rPr>
        <w:t>agreed</w:t>
      </w:r>
      <w:r w:rsidR="0044458C" w:rsidRPr="0044458C">
        <w:rPr>
          <w:rFonts w:eastAsia="MS Mincho"/>
          <w:lang w:val="en-GB"/>
        </w:rPr>
        <w:t xml:space="preserve"> the following aspects of style for commodity standards:</w:t>
      </w:r>
    </w:p>
    <w:p w14:paraId="35B534EE" w14:textId="77777777" w:rsidR="0044458C" w:rsidRPr="00425D54" w:rsidRDefault="0044458C" w:rsidP="0044458C">
      <w:pPr>
        <w:pStyle w:val="IPPBullet2"/>
        <w:spacing w:line="259" w:lineRule="auto"/>
        <w:ind w:left="927" w:hanging="360"/>
        <w:jc w:val="left"/>
      </w:pPr>
      <w:r w:rsidRPr="00425D54">
        <w:t>the authority should not be given for the species name of the commodity,</w:t>
      </w:r>
    </w:p>
    <w:p w14:paraId="03BC60D0" w14:textId="77777777" w:rsidR="0044458C" w:rsidRPr="00425D54" w:rsidRDefault="0044458C" w:rsidP="0044458C">
      <w:pPr>
        <w:pStyle w:val="IPPBullet2"/>
        <w:spacing w:line="259" w:lineRule="auto"/>
        <w:ind w:left="927" w:hanging="360"/>
        <w:jc w:val="left"/>
      </w:pPr>
      <w:r w:rsidRPr="00425D54">
        <w:t xml:space="preserve">in the table of pests, the pest groups within each high-level group (e.g. insects) should be listed alphabetically by the scientific name of the Order; </w:t>
      </w:r>
    </w:p>
    <w:p w14:paraId="6CDAB093" w14:textId="77777777" w:rsidR="00C60E96" w:rsidRPr="00311376" w:rsidRDefault="00C60E96" w:rsidP="0044458C">
      <w:pPr>
        <w:pStyle w:val="IPPParagraphnumbering"/>
        <w:spacing w:before="120"/>
        <w:ind w:hanging="475"/>
        <w:rPr>
          <w:b/>
          <w:lang w:val="en-GB"/>
        </w:rPr>
      </w:pPr>
      <w:r w:rsidRPr="00C60E96">
        <w:rPr>
          <w:b/>
          <w:lang w:val="en-GB"/>
        </w:rPr>
        <w:t>April 2023 virtual meeting</w:t>
      </w:r>
      <w:r w:rsidR="0044458C">
        <w:rPr>
          <w:b/>
          <w:lang w:val="en-GB"/>
        </w:rPr>
        <w:t xml:space="preserve">: </w:t>
      </w:r>
      <w:r w:rsidR="0044458C">
        <w:rPr>
          <w:lang w:val="en-GB"/>
        </w:rPr>
        <w:t xml:space="preserve">The main objective of this meeting was to finalize the TPCS working procedures and approve the document to be presented to the SC. </w:t>
      </w:r>
      <w:r w:rsidR="00311376">
        <w:rPr>
          <w:lang w:val="en-GB"/>
        </w:rPr>
        <w:t xml:space="preserve">Also, the TPCS </w:t>
      </w:r>
      <w:r w:rsidR="00311376">
        <w:t>r</w:t>
      </w:r>
      <w:r w:rsidR="00311376" w:rsidRPr="008F7D73">
        <w:t>evisit</w:t>
      </w:r>
      <w:r w:rsidR="00311376">
        <w:t>ed</w:t>
      </w:r>
      <w:r w:rsidR="00311376" w:rsidRPr="008F7D73">
        <w:t xml:space="preserve"> the purpose of the template form for submitting information on pests and measures</w:t>
      </w:r>
      <w:r w:rsidR="00311376">
        <w:t xml:space="preserve">. </w:t>
      </w:r>
    </w:p>
    <w:p w14:paraId="1CB4ED44" w14:textId="77777777" w:rsidR="00311376" w:rsidRPr="00424065" w:rsidRDefault="00311376" w:rsidP="00311376">
      <w:pPr>
        <w:pStyle w:val="IPPParagraphnumbering"/>
        <w:rPr>
          <w:lang w:val="en-GB"/>
        </w:rPr>
      </w:pPr>
      <w:r>
        <w:rPr>
          <w:lang w:val="en-GB"/>
        </w:rPr>
        <w:t xml:space="preserve">The TPCS also revised a paper developed by the assistant steward for the panel, and the chairperson of all the meetings the TPCS had, Ms Joanne WILSON and Ms Lihong ZHU, respectively. The paper summarized the main points that the TPCS had agreed so far, that was intended to be presented to the SC. </w:t>
      </w:r>
      <w:r w:rsidR="00BC3D0D">
        <w:rPr>
          <w:lang w:val="en-GB"/>
        </w:rPr>
        <w:t>The TPCS</w:t>
      </w:r>
      <w:r w:rsidRPr="008F7D73">
        <w:rPr>
          <w:lang w:val="en-GB"/>
        </w:rPr>
        <w:t xml:space="preserve"> supported the paper and agreed that it should be submitted to</w:t>
      </w:r>
      <w:r>
        <w:rPr>
          <w:lang w:val="en-GB"/>
        </w:rPr>
        <w:t xml:space="preserve"> the SC on behalf of the </w:t>
      </w:r>
      <w:r>
        <w:rPr>
          <w:lang w:val="en-GB"/>
        </w:rPr>
        <w:lastRenderedPageBreak/>
        <w:t>TPCS.</w:t>
      </w:r>
      <w:r w:rsidRPr="008F7D73">
        <w:rPr>
          <w:lang w:val="en-GB"/>
        </w:rPr>
        <w:t xml:space="preserve"> </w:t>
      </w:r>
      <w:r>
        <w:rPr>
          <w:lang w:val="en-GB"/>
        </w:rPr>
        <w:t xml:space="preserve">The </w:t>
      </w:r>
      <w:r w:rsidR="00BC3D0D">
        <w:rPr>
          <w:lang w:val="en-GB"/>
        </w:rPr>
        <w:t xml:space="preserve">summary update </w:t>
      </w:r>
      <w:r>
        <w:rPr>
          <w:lang w:val="en-GB"/>
        </w:rPr>
        <w:t xml:space="preserve">TPCS paper is presented as </w:t>
      </w:r>
      <w:r w:rsidRPr="00BC3D0D">
        <w:rPr>
          <w:b/>
          <w:lang w:val="en-GB"/>
        </w:rPr>
        <w:t>Attachment 3</w:t>
      </w:r>
      <w:r>
        <w:rPr>
          <w:lang w:val="en-GB"/>
        </w:rPr>
        <w:t xml:space="preserve"> of this document. </w:t>
      </w:r>
      <w:r w:rsidRPr="00424065">
        <w:rPr>
          <w:lang w:val="en-GB"/>
        </w:rPr>
        <w:t>(Decision point 16).</w:t>
      </w:r>
    </w:p>
    <w:p w14:paraId="63FF18E7" w14:textId="2F9714FD" w:rsidR="00A34DAA" w:rsidRDefault="00F6395D" w:rsidP="00A34DAA">
      <w:pPr>
        <w:pStyle w:val="IPPHeading1"/>
      </w:pPr>
      <w:r>
        <w:t>5</w:t>
      </w:r>
      <w:r w:rsidR="00A34DAA" w:rsidRPr="00204D54">
        <w:t xml:space="preserve">. </w:t>
      </w:r>
      <w:r w:rsidR="00A34DAA" w:rsidRPr="00FA5089">
        <w:t>Tentative work plan for the period 202</w:t>
      </w:r>
      <w:r w:rsidR="003E6310">
        <w:t>3</w:t>
      </w:r>
      <w:r w:rsidR="00A34DAA" w:rsidRPr="00FA5089">
        <w:t xml:space="preserve"> - </w:t>
      </w:r>
      <w:r w:rsidR="00E81ADC" w:rsidRPr="00FA5089">
        <w:t>202</w:t>
      </w:r>
      <w:r w:rsidR="00E81ADC">
        <w:t>5</w:t>
      </w:r>
    </w:p>
    <w:p w14:paraId="4C6B2F88" w14:textId="77777777" w:rsidR="00A34DAA" w:rsidRPr="002E63B8" w:rsidRDefault="00A34DAA" w:rsidP="002E63B8">
      <w:pPr>
        <w:pStyle w:val="IPPParagraphnumbering"/>
        <w:spacing w:before="240"/>
        <w:rPr>
          <w:lang w:val="en-GB"/>
        </w:rPr>
      </w:pPr>
      <w:r w:rsidRPr="002E63B8">
        <w:rPr>
          <w:lang w:val="en-GB"/>
        </w:rPr>
        <w:t xml:space="preserve">The </w:t>
      </w:r>
      <w:r w:rsidR="007343CC" w:rsidRPr="002E63B8">
        <w:rPr>
          <w:lang w:val="en-GB"/>
        </w:rPr>
        <w:t>TPCS</w:t>
      </w:r>
      <w:r w:rsidRPr="002E63B8">
        <w:rPr>
          <w:lang w:val="en-GB"/>
        </w:rPr>
        <w:t xml:space="preserve"> will progress its work through virtual meeting</w:t>
      </w:r>
      <w:r w:rsidR="007343CC" w:rsidRPr="002E63B8">
        <w:rPr>
          <w:lang w:val="en-GB"/>
        </w:rPr>
        <w:t>s</w:t>
      </w:r>
      <w:r w:rsidRPr="002E63B8">
        <w:rPr>
          <w:lang w:val="en-GB"/>
        </w:rPr>
        <w:t>.</w:t>
      </w:r>
      <w:r w:rsidR="003E6310">
        <w:rPr>
          <w:lang w:val="en-GB"/>
        </w:rPr>
        <w:t xml:space="preserve"> As indicated above, </w:t>
      </w:r>
      <w:r w:rsidR="003E6310">
        <w:rPr>
          <w:szCs w:val="22"/>
        </w:rPr>
        <w:t xml:space="preserve">currently, there is only one topic under the work programme of the TPCS: </w:t>
      </w:r>
      <w:r w:rsidR="003E6310" w:rsidRPr="004D1D6A">
        <w:t xml:space="preserve">Annex to ISPM 46 </w:t>
      </w:r>
      <w:r w:rsidR="003E6310">
        <w:t xml:space="preserve">- </w:t>
      </w:r>
      <w:r w:rsidR="003E6310" w:rsidRPr="004D1D6A">
        <w:t xml:space="preserve">International movement of </w:t>
      </w:r>
      <w:r w:rsidR="003E6310" w:rsidRPr="004D1D6A">
        <w:rPr>
          <w:i/>
        </w:rPr>
        <w:t>Mangifera indica</w:t>
      </w:r>
      <w:r w:rsidR="003E6310" w:rsidRPr="004D1D6A">
        <w:t xml:space="preserve"> fruit </w:t>
      </w:r>
      <w:r w:rsidR="003E6310">
        <w:t>(</w:t>
      </w:r>
      <w:r w:rsidR="003E6310" w:rsidRPr="004D1D6A">
        <w:t>2021-011</w:t>
      </w:r>
      <w:r w:rsidR="003E6310">
        <w:t>)</w:t>
      </w:r>
      <w:r w:rsidR="003E6310">
        <w:rPr>
          <w:lang w:val="en-GB"/>
        </w:rPr>
        <w:t>, in which it is expected to be adopted in 2025 by CPM-19.</w:t>
      </w:r>
    </w:p>
    <w:p w14:paraId="470B5789" w14:textId="5925BFF7" w:rsidR="00A34DAA" w:rsidRDefault="00A34DAA" w:rsidP="00A34DAA">
      <w:pPr>
        <w:pStyle w:val="IPPPargraphnumbering"/>
        <w:numPr>
          <w:ilvl w:val="0"/>
          <w:numId w:val="2"/>
        </w:numPr>
        <w:rPr>
          <w:lang w:val="en-GB"/>
        </w:rPr>
      </w:pPr>
      <w:r w:rsidRPr="0082559E">
        <w:rPr>
          <w:lang w:val="en-GB"/>
        </w:rPr>
        <w:t xml:space="preserve">The </w:t>
      </w:r>
      <w:r w:rsidR="009F49F7">
        <w:rPr>
          <w:lang w:val="en-GB"/>
        </w:rPr>
        <w:t>TPCS</w:t>
      </w:r>
      <w:r w:rsidRPr="0082559E">
        <w:rPr>
          <w:lang w:val="en-GB"/>
        </w:rPr>
        <w:t xml:space="preserve"> tentative </w:t>
      </w:r>
      <w:r w:rsidRPr="00BF66F6">
        <w:rPr>
          <w:lang w:val="en-GB"/>
        </w:rPr>
        <w:t xml:space="preserve">work plan for </w:t>
      </w:r>
      <w:r w:rsidR="00140EE4">
        <w:rPr>
          <w:lang w:val="en-GB"/>
        </w:rPr>
        <w:t>April</w:t>
      </w:r>
      <w:r w:rsidRPr="00BF66F6">
        <w:rPr>
          <w:lang w:val="en-GB"/>
        </w:rPr>
        <w:t xml:space="preserve"> 202</w:t>
      </w:r>
      <w:r>
        <w:rPr>
          <w:lang w:val="en-GB"/>
        </w:rPr>
        <w:t>3</w:t>
      </w:r>
      <w:r w:rsidR="003E6310">
        <w:rPr>
          <w:lang w:val="en-GB"/>
        </w:rPr>
        <w:t xml:space="preserve">-May </w:t>
      </w:r>
      <w:r w:rsidR="00E81ADC">
        <w:rPr>
          <w:lang w:val="en-GB"/>
        </w:rPr>
        <w:t>2025</w:t>
      </w:r>
      <w:r w:rsidR="00E81ADC" w:rsidRPr="00BF66F6">
        <w:rPr>
          <w:lang w:val="en-GB"/>
        </w:rPr>
        <w:t xml:space="preserve"> </w:t>
      </w:r>
      <w:r w:rsidRPr="00BF66F6">
        <w:rPr>
          <w:lang w:val="en-GB"/>
        </w:rPr>
        <w:t xml:space="preserve">is summarized in </w:t>
      </w:r>
      <w:r w:rsidR="009F49F7" w:rsidRPr="00957901">
        <w:rPr>
          <w:lang w:val="en-GB"/>
        </w:rPr>
        <w:t xml:space="preserve">Figure </w:t>
      </w:r>
      <w:r w:rsidR="003E6310">
        <w:rPr>
          <w:lang w:val="en-GB"/>
        </w:rPr>
        <w:t>2 below.</w:t>
      </w:r>
      <w:r w:rsidRPr="00957901">
        <w:rPr>
          <w:lang w:val="en-GB"/>
        </w:rPr>
        <w:t xml:space="preserve"> </w:t>
      </w:r>
      <w:r w:rsidRPr="00957901" w:rsidDel="00563A81">
        <w:rPr>
          <w:lang w:val="en-GB"/>
        </w:rPr>
        <w:t>(</w:t>
      </w:r>
      <w:r w:rsidR="003E6310" w:rsidRPr="00F6395D">
        <w:rPr>
          <w:lang w:val="en-GB"/>
        </w:rPr>
        <w:t>D</w:t>
      </w:r>
      <w:r w:rsidRPr="00F6395D" w:rsidDel="00563A81">
        <w:rPr>
          <w:lang w:val="en-GB"/>
        </w:rPr>
        <w:t>ecision point</w:t>
      </w:r>
      <w:r w:rsidRPr="00F6395D">
        <w:rPr>
          <w:lang w:val="en-GB"/>
        </w:rPr>
        <w:t xml:space="preserve"> </w:t>
      </w:r>
      <w:r w:rsidR="00A80248" w:rsidRPr="00F6395D">
        <w:rPr>
          <w:lang w:val="en-GB"/>
        </w:rPr>
        <w:t>2</w:t>
      </w:r>
      <w:r w:rsidRPr="00957901" w:rsidDel="00563A81">
        <w:rPr>
          <w:lang w:val="en-GB"/>
        </w:rPr>
        <w:t>).</w:t>
      </w:r>
      <w:r>
        <w:rPr>
          <w:lang w:val="en-GB"/>
        </w:rPr>
        <w:t xml:space="preserve"> </w:t>
      </w:r>
    </w:p>
    <w:tbl>
      <w:tblPr>
        <w:tblStyle w:val="TableGrid"/>
        <w:tblpPr w:leftFromText="180" w:rightFromText="180" w:vertAnchor="text" w:horzAnchor="margin" w:tblpXSpec="center" w:tblpY="266"/>
        <w:tblW w:w="8277" w:type="dxa"/>
        <w:tblLayout w:type="fixed"/>
        <w:tblLook w:val="04A0" w:firstRow="1" w:lastRow="0" w:firstColumn="1" w:lastColumn="0" w:noHBand="0" w:noVBand="1"/>
      </w:tblPr>
      <w:tblGrid>
        <w:gridCol w:w="1165"/>
        <w:gridCol w:w="7112"/>
      </w:tblGrid>
      <w:tr w:rsidR="003E6310" w14:paraId="219161EE" w14:textId="77777777" w:rsidTr="00BC3D0D">
        <w:trPr>
          <w:trHeight w:val="10160"/>
        </w:trPr>
        <w:tc>
          <w:tcPr>
            <w:tcW w:w="1165" w:type="dxa"/>
            <w:shd w:val="clear" w:color="auto" w:fill="FBD4B4" w:themeFill="accent6" w:themeFillTint="66"/>
          </w:tcPr>
          <w:p w14:paraId="192A0886" w14:textId="77777777" w:rsidR="003E6310" w:rsidRDefault="003E6310" w:rsidP="00140EE4">
            <w:pPr>
              <w:pStyle w:val="IPPReferences"/>
              <w:spacing w:after="0"/>
              <w:ind w:left="0" w:firstLine="0"/>
            </w:pPr>
          </w:p>
          <w:p w14:paraId="7C95C9C7" w14:textId="77777777" w:rsidR="003E6310" w:rsidRDefault="003E6310" w:rsidP="00140EE4">
            <w:pPr>
              <w:pStyle w:val="IPPReferences"/>
              <w:spacing w:after="0"/>
              <w:ind w:left="0" w:firstLine="0"/>
              <w:rPr>
                <w:b/>
                <w:sz w:val="22"/>
              </w:rPr>
            </w:pPr>
          </w:p>
          <w:p w14:paraId="196AD3FA" w14:textId="77777777" w:rsidR="003E6310" w:rsidRDefault="003E6310" w:rsidP="00140EE4">
            <w:pPr>
              <w:pStyle w:val="IPPReferences"/>
              <w:spacing w:after="0"/>
              <w:ind w:left="0" w:firstLine="0"/>
              <w:rPr>
                <w:b/>
                <w:sz w:val="22"/>
              </w:rPr>
            </w:pPr>
            <w:r w:rsidRPr="00F13AA1">
              <w:rPr>
                <w:noProof/>
                <w:color w:val="FFFFFF" w:themeColor="background1"/>
                <w:lang w:val="en-US"/>
              </w:rPr>
              <w:drawing>
                <wp:anchor distT="0" distB="0" distL="114300" distR="114300" simplePos="0" relativeHeight="251659264" behindDoc="0" locked="0" layoutInCell="1" allowOverlap="1" wp14:anchorId="2CAED083" wp14:editId="49820EF3">
                  <wp:simplePos x="0" y="0"/>
                  <wp:positionH relativeFrom="column">
                    <wp:posOffset>-65405</wp:posOffset>
                  </wp:positionH>
                  <wp:positionV relativeFrom="paragraph">
                    <wp:posOffset>242570</wp:posOffset>
                  </wp:positionV>
                  <wp:extent cx="694055" cy="744220"/>
                  <wp:effectExtent l="0" t="0" r="0" b="0"/>
                  <wp:wrapTight wrapText="bothSides">
                    <wp:wrapPolygon edited="0">
                      <wp:start x="2371" y="553"/>
                      <wp:lineTo x="2371" y="20457"/>
                      <wp:lineTo x="18379" y="20457"/>
                      <wp:lineTo x="18379" y="553"/>
                      <wp:lineTo x="2371" y="553"/>
                    </wp:wrapPolygon>
                  </wp:wrapTight>
                  <wp:docPr id="29" name="Graphic 10" descr="Checklis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Graphic 10" descr="Checklist"/>
                          <pic:cNvPicPr>
                            <a:picLocks/>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94055" cy="744220"/>
                          </a:xfrm>
                          <a:prstGeom prst="rect">
                            <a:avLst/>
                          </a:prstGeom>
                        </pic:spPr>
                      </pic:pic>
                    </a:graphicData>
                  </a:graphic>
                  <wp14:sizeRelH relativeFrom="margin">
                    <wp14:pctWidth>0</wp14:pctWidth>
                  </wp14:sizeRelH>
                  <wp14:sizeRelV relativeFrom="margin">
                    <wp14:pctHeight>0</wp14:pctHeight>
                  </wp14:sizeRelV>
                </wp:anchor>
              </w:drawing>
            </w:r>
          </w:p>
          <w:p w14:paraId="3252DAE3" w14:textId="77777777" w:rsidR="003E6310" w:rsidRDefault="003E6310" w:rsidP="00140EE4">
            <w:pPr>
              <w:pStyle w:val="IPPReferences"/>
              <w:spacing w:after="0"/>
              <w:ind w:left="0" w:firstLine="0"/>
              <w:rPr>
                <w:b/>
                <w:sz w:val="22"/>
              </w:rPr>
            </w:pPr>
          </w:p>
          <w:p w14:paraId="2FA411BB" w14:textId="77777777" w:rsidR="003E6310" w:rsidRPr="00F13AA1" w:rsidRDefault="003E6310" w:rsidP="00140EE4">
            <w:pPr>
              <w:pStyle w:val="IPPReferences"/>
              <w:spacing w:after="0"/>
              <w:ind w:left="0" w:firstLine="0"/>
              <w:rPr>
                <w:b/>
                <w:color w:val="FFFFFF" w:themeColor="background1"/>
                <w:sz w:val="22"/>
              </w:rPr>
            </w:pPr>
          </w:p>
          <w:p w14:paraId="4448EF8D" w14:textId="77777777" w:rsidR="003E6310" w:rsidRDefault="003E6310" w:rsidP="00140EE4">
            <w:pPr>
              <w:pStyle w:val="IPPReferences"/>
              <w:spacing w:after="0"/>
              <w:ind w:left="0" w:firstLine="0"/>
              <w:rPr>
                <w:b/>
                <w:sz w:val="22"/>
              </w:rPr>
            </w:pPr>
          </w:p>
          <w:p w14:paraId="3D1ACC0A" w14:textId="77777777" w:rsidR="003E6310" w:rsidRDefault="003E6310" w:rsidP="00140EE4">
            <w:pPr>
              <w:pStyle w:val="IPPReferences"/>
              <w:spacing w:after="0"/>
              <w:ind w:left="0" w:firstLine="0"/>
              <w:rPr>
                <w:b/>
                <w:sz w:val="22"/>
              </w:rPr>
            </w:pPr>
          </w:p>
          <w:p w14:paraId="481270FA" w14:textId="77777777" w:rsidR="003E6310" w:rsidRDefault="003E6310" w:rsidP="00140EE4">
            <w:pPr>
              <w:pStyle w:val="IPPReferences"/>
              <w:spacing w:after="0"/>
              <w:ind w:left="0" w:firstLine="0"/>
              <w:rPr>
                <w:b/>
                <w:sz w:val="22"/>
              </w:rPr>
            </w:pPr>
          </w:p>
          <w:p w14:paraId="0684FC64" w14:textId="77777777" w:rsidR="003E6310" w:rsidRDefault="003E6310" w:rsidP="00140EE4">
            <w:pPr>
              <w:pStyle w:val="IPPReferences"/>
              <w:spacing w:after="0"/>
              <w:ind w:left="0" w:firstLine="0"/>
              <w:rPr>
                <w:b/>
                <w:sz w:val="22"/>
              </w:rPr>
            </w:pPr>
          </w:p>
          <w:p w14:paraId="36D34C70" w14:textId="77777777" w:rsidR="003E6310" w:rsidRDefault="003E6310" w:rsidP="00140EE4">
            <w:pPr>
              <w:pStyle w:val="IPPReferences"/>
              <w:spacing w:after="0"/>
              <w:ind w:left="0" w:firstLine="0"/>
              <w:rPr>
                <w:b/>
                <w:sz w:val="22"/>
              </w:rPr>
            </w:pPr>
          </w:p>
          <w:p w14:paraId="632842CC" w14:textId="77777777" w:rsidR="003E6310" w:rsidRPr="00140EE4" w:rsidRDefault="003E6310" w:rsidP="00140EE4">
            <w:pPr>
              <w:pStyle w:val="IPPReferences"/>
              <w:spacing w:after="0"/>
              <w:ind w:left="0" w:firstLine="0"/>
              <w:rPr>
                <w:rFonts w:ascii="Arial" w:hAnsi="Arial" w:cs="Arial"/>
                <w:b/>
              </w:rPr>
            </w:pPr>
            <w:r w:rsidRPr="00140EE4">
              <w:rPr>
                <w:rFonts w:ascii="Arial" w:hAnsi="Arial" w:cs="Arial"/>
                <w:b/>
              </w:rPr>
              <w:t>TPCS tentative work plan for 2023–2024</w:t>
            </w:r>
          </w:p>
          <w:p w14:paraId="1A976B59" w14:textId="77777777" w:rsidR="003E6310" w:rsidRDefault="003E6310" w:rsidP="00140EE4">
            <w:pPr>
              <w:pStyle w:val="IPPReferences"/>
              <w:spacing w:after="0"/>
              <w:ind w:left="0" w:firstLine="0"/>
            </w:pPr>
          </w:p>
          <w:p w14:paraId="3DFDE3A3" w14:textId="77777777" w:rsidR="003E6310" w:rsidRDefault="003E6310" w:rsidP="00140EE4">
            <w:pPr>
              <w:pStyle w:val="IPPReferences"/>
              <w:spacing w:after="0"/>
              <w:ind w:left="0" w:firstLine="0"/>
            </w:pPr>
          </w:p>
          <w:p w14:paraId="5012C7CB" w14:textId="77777777" w:rsidR="003E6310" w:rsidRDefault="003E6310" w:rsidP="00140EE4">
            <w:pPr>
              <w:pStyle w:val="IPPReferences"/>
              <w:spacing w:after="0"/>
              <w:ind w:left="0" w:firstLine="0"/>
            </w:pPr>
          </w:p>
          <w:p w14:paraId="7B879FF1" w14:textId="77777777" w:rsidR="003E6310" w:rsidRDefault="003E6310" w:rsidP="00140EE4">
            <w:pPr>
              <w:pStyle w:val="IPPReferences"/>
              <w:spacing w:after="0"/>
              <w:ind w:left="0" w:firstLine="0"/>
            </w:pPr>
          </w:p>
          <w:p w14:paraId="1D0FE1A8" w14:textId="77777777" w:rsidR="003E6310" w:rsidRDefault="003E6310" w:rsidP="00140EE4">
            <w:pPr>
              <w:pStyle w:val="IPPReferences"/>
              <w:spacing w:after="0"/>
              <w:ind w:left="0" w:firstLine="0"/>
            </w:pPr>
          </w:p>
          <w:p w14:paraId="05509C50" w14:textId="77777777" w:rsidR="003E6310" w:rsidRPr="00F13AA1" w:rsidRDefault="00BC3D0D" w:rsidP="00140EE4">
            <w:pPr>
              <w:pStyle w:val="IPPReferences"/>
              <w:spacing w:after="0"/>
              <w:ind w:left="0" w:firstLine="0"/>
              <w:rPr>
                <w:color w:val="4F81BD" w:themeColor="accent1"/>
              </w:rPr>
            </w:pPr>
            <w:r w:rsidRPr="00F13AA1">
              <w:rPr>
                <w:noProof/>
                <w:color w:val="4F81BD" w:themeColor="accent1"/>
                <w:lang w:val="en-US"/>
              </w:rPr>
              <mc:AlternateContent>
                <mc:Choice Requires="wps">
                  <w:drawing>
                    <wp:anchor distT="0" distB="0" distL="114300" distR="114300" simplePos="0" relativeHeight="251661312" behindDoc="0" locked="0" layoutInCell="1" allowOverlap="1" wp14:anchorId="1D84668F" wp14:editId="7B5F2D19">
                      <wp:simplePos x="0" y="0"/>
                      <wp:positionH relativeFrom="column">
                        <wp:posOffset>295910</wp:posOffset>
                      </wp:positionH>
                      <wp:positionV relativeFrom="paragraph">
                        <wp:posOffset>706120</wp:posOffset>
                      </wp:positionV>
                      <wp:extent cx="227965" cy="241935"/>
                      <wp:effectExtent l="19050" t="0" r="19685" b="24765"/>
                      <wp:wrapNone/>
                      <wp:docPr id="51" name="Freeform 50">
                        <a:extLst xmlns:a="http://schemas.openxmlformats.org/drawingml/2006/main">
                          <a:ext uri="{FF2B5EF4-FFF2-40B4-BE49-F238E27FC236}">
                            <a16:creationId xmlns:a16="http://schemas.microsoft.com/office/drawing/2014/main" id="{5FD22C16-F016-5847-A923-22C43CC93EF5}"/>
                          </a:ext>
                        </a:extLst>
                      </wp:docPr>
                      <wp:cNvGraphicFramePr/>
                      <a:graphic xmlns:a="http://schemas.openxmlformats.org/drawingml/2006/main">
                        <a:graphicData uri="http://schemas.microsoft.com/office/word/2010/wordprocessingShape">
                          <wps:wsp>
                            <wps:cNvSpPr/>
                            <wps:spPr>
                              <a:xfrm>
                                <a:off x="0" y="0"/>
                                <a:ext cx="227965" cy="241935"/>
                              </a:xfrm>
                              <a:custGeom>
                                <a:avLst/>
                                <a:gdLst/>
                                <a:ahLst/>
                                <a:cxnLst>
                                  <a:cxn ang="3cd4">
                                    <a:pos x="hc" y="t"/>
                                  </a:cxn>
                                  <a:cxn ang="cd2">
                                    <a:pos x="l" y="vc"/>
                                  </a:cxn>
                                  <a:cxn ang="cd4">
                                    <a:pos x="hc" y="b"/>
                                  </a:cxn>
                                  <a:cxn ang="0">
                                    <a:pos x="r" y="vc"/>
                                  </a:cxn>
                                </a:cxnLst>
                                <a:rect l="l" t="t" r="r" b="b"/>
                                <a:pathLst>
                                  <a:path w="562" h="558">
                                    <a:moveTo>
                                      <a:pt x="406" y="221"/>
                                    </a:moveTo>
                                    <a:lnTo>
                                      <a:pt x="344" y="159"/>
                                    </a:lnTo>
                                    <a:lnTo>
                                      <a:pt x="398" y="105"/>
                                    </a:lnTo>
                                    <a:lnTo>
                                      <a:pt x="459" y="168"/>
                                    </a:lnTo>
                                    <a:close/>
                                    <a:moveTo>
                                      <a:pt x="190" y="440"/>
                                    </a:moveTo>
                                    <a:lnTo>
                                      <a:pt x="103" y="459"/>
                                    </a:lnTo>
                                    <a:lnTo>
                                      <a:pt x="125" y="377"/>
                                    </a:lnTo>
                                    <a:lnTo>
                                      <a:pt x="283" y="220"/>
                                    </a:lnTo>
                                    <a:lnTo>
                                      <a:pt x="346" y="282"/>
                                    </a:lnTo>
                                    <a:close/>
                                    <a:moveTo>
                                      <a:pt x="550" y="139"/>
                                    </a:moveTo>
                                    <a:lnTo>
                                      <a:pt x="430" y="14"/>
                                    </a:lnTo>
                                    <a:cubicBezTo>
                                      <a:pt x="422" y="5"/>
                                      <a:pt x="411" y="0"/>
                                      <a:pt x="400" y="0"/>
                                    </a:cubicBezTo>
                                    <a:cubicBezTo>
                                      <a:pt x="388" y="0"/>
                                      <a:pt x="377" y="5"/>
                                      <a:pt x="369" y="13"/>
                                    </a:cubicBezTo>
                                    <a:lnTo>
                                      <a:pt x="56" y="325"/>
                                    </a:lnTo>
                                    <a:cubicBezTo>
                                      <a:pt x="51" y="330"/>
                                      <a:pt x="47" y="336"/>
                                      <a:pt x="45" y="344"/>
                                    </a:cubicBezTo>
                                    <a:lnTo>
                                      <a:pt x="1" y="504"/>
                                    </a:lnTo>
                                    <a:cubicBezTo>
                                      <a:pt x="-2" y="518"/>
                                      <a:pt x="1" y="534"/>
                                      <a:pt x="12" y="545"/>
                                    </a:cubicBezTo>
                                    <a:cubicBezTo>
                                      <a:pt x="20" y="553"/>
                                      <a:pt x="31" y="558"/>
                                      <a:pt x="43" y="558"/>
                                    </a:cubicBezTo>
                                    <a:cubicBezTo>
                                      <a:pt x="46" y="558"/>
                                      <a:pt x="49" y="558"/>
                                      <a:pt x="52" y="557"/>
                                    </a:cubicBezTo>
                                    <a:lnTo>
                                      <a:pt x="220" y="522"/>
                                    </a:lnTo>
                                    <a:cubicBezTo>
                                      <a:pt x="228" y="520"/>
                                      <a:pt x="236" y="516"/>
                                      <a:pt x="242" y="510"/>
                                    </a:cubicBezTo>
                                    <a:lnTo>
                                      <a:pt x="549" y="199"/>
                                    </a:lnTo>
                                    <a:cubicBezTo>
                                      <a:pt x="566" y="182"/>
                                      <a:pt x="566" y="156"/>
                                      <a:pt x="550" y="139"/>
                                    </a:cubicBezTo>
                                    <a:close/>
                                  </a:path>
                                </a:pathLst>
                              </a:custGeom>
                              <a:solidFill>
                                <a:schemeClr val="accent1">
                                  <a:lumMod val="50000"/>
                                </a:schemeClr>
                              </a:solidFill>
                              <a:ln cap="flat">
                                <a:solidFill>
                                  <a:schemeClr val="accent1"/>
                                </a:solidFill>
                                <a:prstDash val="solid"/>
                              </a:ln>
                            </wps:spPr>
                            <wps:bodyPr vert="horz" wrap="none" lIns="90000" tIns="45000" rIns="90000" bIns="45000" anchor="ctr" anchorCtr="1" compatLnSpc="0"/>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7335D8A" id="Freeform 50" o:spid="_x0000_s1026" style="position:absolute;margin-left:23.3pt;margin-top:55.6pt;width:17.95pt;height:19.0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coordsize="562,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" path="m406,221l344,159r54,-54l459,168r-53,53xm190,440r-87,19l125,377,283,220r63,62l190,440xm550,139l430,14c422,5,411,,400,,388,,377,5,369,13l56,325v-5,5,-9,11,-11,19l1,504v-3,14,,30,11,41c20,553,31,558,43,558v3,,6,,9,-1l220,522v8,-2,16,-6,22,-12l549,199v17,-17,17,-43,1,-60xe" fillcolor="#243f60 [1604]" strokecolor="#4f81bd [3204]">
                      <v:path arrowok="t" o:connecttype="custom" o:connectlocs="113983,0;0,120968;113983,241935;227965,120968" o:connectangles="270,180,90,0"/>
                    </v:shape>
                  </w:pict>
                </mc:Fallback>
              </mc:AlternateContent>
            </w:r>
            <w:r w:rsidRPr="00F13AA1">
              <w:rPr>
                <w:noProof/>
                <w:color w:val="4F81BD" w:themeColor="accent1"/>
                <w:lang w:val="en-US"/>
              </w:rPr>
              <mc:AlternateContent>
                <mc:Choice Requires="wps">
                  <w:drawing>
                    <wp:anchor distT="0" distB="0" distL="114300" distR="114300" simplePos="0" relativeHeight="251660288" behindDoc="0" locked="0" layoutInCell="1" allowOverlap="1" wp14:anchorId="0D521E48" wp14:editId="22606FEC">
                      <wp:simplePos x="0" y="0"/>
                      <wp:positionH relativeFrom="column">
                        <wp:posOffset>73233</wp:posOffset>
                      </wp:positionH>
                      <wp:positionV relativeFrom="paragraph">
                        <wp:posOffset>810010</wp:posOffset>
                      </wp:positionV>
                      <wp:extent cx="411157" cy="440315"/>
                      <wp:effectExtent l="0" t="0" r="27305" b="17145"/>
                      <wp:wrapNone/>
                      <wp:docPr id="50" name="Freeform 49">
                        <a:extLst xmlns:a="http://schemas.openxmlformats.org/drawingml/2006/main">
                          <a:ext uri="{FF2B5EF4-FFF2-40B4-BE49-F238E27FC236}">
                            <a16:creationId xmlns:a16="http://schemas.microsoft.com/office/drawing/2014/main" id="{AA295B2A-44C2-784E-8B0F-F9C9864377F8}"/>
                          </a:ext>
                        </a:extLst>
                      </wp:docPr>
                      <wp:cNvGraphicFramePr/>
                      <a:graphic xmlns:a="http://schemas.openxmlformats.org/drawingml/2006/main">
                        <a:graphicData uri="http://schemas.microsoft.com/office/word/2010/wordprocessingShape">
                          <wps:wsp>
                            <wps:cNvSpPr/>
                            <wps:spPr>
                              <a:xfrm>
                                <a:off x="0" y="0"/>
                                <a:ext cx="411157" cy="440315"/>
                              </a:xfrm>
                              <a:custGeom>
                                <a:avLst/>
                                <a:gdLst/>
                                <a:ahLst/>
                                <a:cxnLst>
                                  <a:cxn ang="3cd4">
                                    <a:pos x="hc" y="t"/>
                                  </a:cxn>
                                  <a:cxn ang="cd2">
                                    <a:pos x="l" y="vc"/>
                                  </a:cxn>
                                  <a:cxn ang="cd4">
                                    <a:pos x="hc" y="b"/>
                                  </a:cxn>
                                  <a:cxn ang="0">
                                    <a:pos x="r" y="vc"/>
                                  </a:cxn>
                                </a:cxnLst>
                                <a:rect l="l" t="t" r="r" b="b"/>
                                <a:pathLst>
                                  <a:path w="1013" h="1013">
                                    <a:moveTo>
                                      <a:pt x="970" y="463"/>
                                    </a:moveTo>
                                    <a:cubicBezTo>
                                      <a:pt x="946" y="463"/>
                                      <a:pt x="927" y="483"/>
                                      <a:pt x="927" y="506"/>
                                    </a:cubicBezTo>
                                    <a:lnTo>
                                      <a:pt x="927" y="927"/>
                                    </a:lnTo>
                                    <a:lnTo>
                                      <a:pt x="86" y="927"/>
                                    </a:lnTo>
                                    <a:lnTo>
                                      <a:pt x="86" y="86"/>
                                    </a:lnTo>
                                    <a:lnTo>
                                      <a:pt x="507" y="86"/>
                                    </a:lnTo>
                                    <a:cubicBezTo>
                                      <a:pt x="531" y="86"/>
                                      <a:pt x="550" y="67"/>
                                      <a:pt x="550" y="43"/>
                                    </a:cubicBezTo>
                                    <a:cubicBezTo>
                                      <a:pt x="550" y="19"/>
                                      <a:pt x="531" y="0"/>
                                      <a:pt x="507" y="0"/>
                                    </a:cubicBezTo>
                                    <a:lnTo>
                                      <a:pt x="60" y="0"/>
                                    </a:lnTo>
                                    <a:cubicBezTo>
                                      <a:pt x="27" y="0"/>
                                      <a:pt x="0" y="27"/>
                                      <a:pt x="0" y="60"/>
                                    </a:cubicBezTo>
                                    <a:lnTo>
                                      <a:pt x="0" y="952"/>
                                    </a:lnTo>
                                    <a:cubicBezTo>
                                      <a:pt x="0" y="986"/>
                                      <a:pt x="27" y="1013"/>
                                      <a:pt x="60" y="1013"/>
                                    </a:cubicBezTo>
                                    <a:lnTo>
                                      <a:pt x="952" y="1013"/>
                                    </a:lnTo>
                                    <a:cubicBezTo>
                                      <a:pt x="986" y="1013"/>
                                      <a:pt x="1013" y="986"/>
                                      <a:pt x="1013" y="952"/>
                                    </a:cubicBezTo>
                                    <a:lnTo>
                                      <a:pt x="1013" y="506"/>
                                    </a:lnTo>
                                    <a:cubicBezTo>
                                      <a:pt x="1013" y="483"/>
                                      <a:pt x="993" y="463"/>
                                      <a:pt x="970" y="463"/>
                                    </a:cubicBezTo>
                                    <a:close/>
                                  </a:path>
                                </a:pathLst>
                              </a:custGeom>
                              <a:solidFill>
                                <a:schemeClr val="accent1">
                                  <a:lumMod val="50000"/>
                                </a:schemeClr>
                              </a:solidFill>
                              <a:ln cap="flat">
                                <a:solidFill>
                                  <a:schemeClr val="accent1"/>
                                </a:solidFill>
                                <a:prstDash val="solid"/>
                              </a:ln>
                            </wps:spPr>
                            <wps:bodyPr vert="horz" wrap="none" lIns="90000" tIns="45000" rIns="90000" bIns="45000" anchor="ctr" anchorCtr="1" compatLnSpc="0"/>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F449535" id="Freeform 49" o:spid="_x0000_s1026" style="position:absolute;margin-left:5.75pt;margin-top:63.8pt;width:32.35pt;height:34.6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center" coordsize="1013,1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" path="m970,463v-24,,-43,20,-43,43l927,927r-841,l86,86r421,c531,86,550,67,550,43,550,19,531,,507,l60,c27,,,27,,60l,952v,34,27,61,60,61l952,1013v34,,61,-27,61,-61l1013,506v,-23,-20,-43,-43,-43xe" fillcolor="#243f60 [1604]" strokecolor="#4f81bd [3204]">
                      <v:path arrowok="t" o:connecttype="custom" o:connectlocs="205579,0;0,220158;205579,440315;411157,220158" o:connectangles="270,180,90,0"/>
                    </v:shape>
                  </w:pict>
                </mc:Fallback>
              </mc:AlternateContent>
            </w:r>
          </w:p>
        </w:tc>
        <w:tc>
          <w:tcPr>
            <w:tcW w:w="7112" w:type="dxa"/>
            <w:shd w:val="clear" w:color="auto" w:fill="FFFFFF" w:themeFill="background1"/>
          </w:tcPr>
          <w:p w14:paraId="008957F9" w14:textId="77777777" w:rsidR="003E6310" w:rsidRPr="00096328" w:rsidRDefault="003E6310" w:rsidP="00140EE4">
            <w:pPr>
              <w:rPr>
                <w:rFonts w:cs="Arial"/>
                <w:b/>
                <w:bCs/>
                <w:sz w:val="24"/>
                <w:szCs w:val="18"/>
                <w:u w:val="single"/>
              </w:rPr>
            </w:pPr>
            <w:r w:rsidRPr="00096328">
              <w:rPr>
                <w:rFonts w:cs="Arial"/>
                <w:b/>
                <w:bCs/>
                <w:sz w:val="24"/>
                <w:u w:val="single"/>
              </w:rPr>
              <w:t>D</w:t>
            </w:r>
            <w:r w:rsidRPr="00096328">
              <w:rPr>
                <w:rFonts w:cs="Arial"/>
                <w:b/>
                <w:bCs/>
                <w:sz w:val="24"/>
                <w:u w:val="single"/>
                <w:lang w:val="en-US"/>
              </w:rPr>
              <w:t xml:space="preserve">raft annex to ISPM 46: </w:t>
            </w:r>
            <w:r w:rsidRPr="00096328">
              <w:rPr>
                <w:rFonts w:cs="Arial"/>
                <w:b/>
                <w:bCs/>
                <w:sz w:val="24"/>
                <w:szCs w:val="18"/>
                <w:u w:val="single"/>
              </w:rPr>
              <w:t>International movement of mango fresh fruit (</w:t>
            </w:r>
            <w:r w:rsidRPr="00096328">
              <w:rPr>
                <w:rFonts w:cs="Arial"/>
                <w:b/>
                <w:bCs/>
                <w:i/>
                <w:sz w:val="24"/>
                <w:szCs w:val="18"/>
                <w:u w:val="single"/>
              </w:rPr>
              <w:t>Mangifera indica</w:t>
            </w:r>
            <w:r w:rsidRPr="00096328">
              <w:rPr>
                <w:rFonts w:cs="Arial"/>
                <w:b/>
                <w:bCs/>
                <w:sz w:val="24"/>
                <w:szCs w:val="18"/>
                <w:u w:val="single"/>
              </w:rPr>
              <w:t>)</w:t>
            </w:r>
          </w:p>
          <w:p w14:paraId="300093B2" w14:textId="77777777" w:rsidR="003E6310" w:rsidRDefault="003E6310" w:rsidP="00311376">
            <w:pPr>
              <w:jc w:val="center"/>
            </w:pPr>
            <w:r>
              <w:rPr>
                <w:noProof/>
                <w:lang w:val="en-US"/>
              </w:rPr>
              <w:drawing>
                <wp:inline distT="0" distB="0" distL="0" distR="0" wp14:anchorId="68B27A50" wp14:editId="220B3724">
                  <wp:extent cx="3451590" cy="16592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PCS_WorkPlan1_DraftMangoFruits_2023-02-27.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488232" cy="1676870"/>
                          </a:xfrm>
                          <a:prstGeom prst="rect">
                            <a:avLst/>
                          </a:prstGeom>
                        </pic:spPr>
                      </pic:pic>
                    </a:graphicData>
                  </a:graphic>
                </wp:inline>
              </w:drawing>
            </w:r>
          </w:p>
          <w:p w14:paraId="212EDBE6" w14:textId="77777777" w:rsidR="003E6310" w:rsidRDefault="003E6310" w:rsidP="00140EE4">
            <w:pPr>
              <w:rPr>
                <w:rStyle w:val="Strong"/>
                <w:sz w:val="28"/>
                <w:u w:val="single"/>
              </w:rPr>
            </w:pPr>
          </w:p>
          <w:p w14:paraId="1DB6C96E" w14:textId="77777777" w:rsidR="003E6310" w:rsidRPr="00096328" w:rsidRDefault="003E6310" w:rsidP="00140EE4">
            <w:pPr>
              <w:rPr>
                <w:sz w:val="28"/>
                <w:u w:val="single"/>
              </w:rPr>
            </w:pPr>
            <w:r w:rsidRPr="00096328">
              <w:rPr>
                <w:rStyle w:val="Strong"/>
                <w:sz w:val="28"/>
                <w:u w:val="single"/>
              </w:rPr>
              <w:t xml:space="preserve">Tentative meetings and agenda </w:t>
            </w:r>
          </w:p>
          <w:p w14:paraId="085A4C01" w14:textId="77777777" w:rsidR="003E6310" w:rsidRPr="00096328" w:rsidRDefault="003E6310" w:rsidP="000D5927">
            <w:pPr>
              <w:numPr>
                <w:ilvl w:val="0"/>
                <w:numId w:val="14"/>
              </w:numPr>
              <w:spacing w:before="120" w:after="120"/>
              <w:jc w:val="left"/>
            </w:pPr>
            <w:r w:rsidRPr="00096328">
              <w:t xml:space="preserve">28 </w:t>
            </w:r>
            <w:r w:rsidRPr="00096328">
              <w:rPr>
                <w:b/>
                <w:bCs/>
              </w:rPr>
              <w:t xml:space="preserve">February 2023 </w:t>
            </w:r>
            <w:r w:rsidRPr="00096328">
              <w:t>(prior SC May): 10:00-12:00 Rome time (GMT+1)</w:t>
            </w:r>
          </w:p>
          <w:p w14:paraId="0B2285B1" w14:textId="77777777" w:rsidR="003E6310" w:rsidRPr="00096328" w:rsidRDefault="003E6310" w:rsidP="000D5927">
            <w:pPr>
              <w:numPr>
                <w:ilvl w:val="1"/>
                <w:numId w:val="14"/>
              </w:numPr>
              <w:spacing w:before="120" w:after="120"/>
              <w:jc w:val="left"/>
            </w:pPr>
            <w:r w:rsidRPr="00096328">
              <w:t>Finalize draft ISPM</w:t>
            </w:r>
          </w:p>
          <w:p w14:paraId="466F7F6D" w14:textId="77777777" w:rsidR="003E6310" w:rsidRPr="00096328" w:rsidRDefault="003E6310" w:rsidP="000D5927">
            <w:pPr>
              <w:numPr>
                <w:ilvl w:val="1"/>
                <w:numId w:val="14"/>
              </w:numPr>
              <w:spacing w:before="120" w:after="120"/>
              <w:jc w:val="left"/>
            </w:pPr>
            <w:r w:rsidRPr="00096328">
              <w:t>Finalize TPCS working procedures (</w:t>
            </w:r>
            <w:r>
              <w:t xml:space="preserve">and/or </w:t>
            </w:r>
            <w:r w:rsidRPr="00096328">
              <w:t>e-decision)</w:t>
            </w:r>
          </w:p>
          <w:p w14:paraId="3E78498F" w14:textId="77777777" w:rsidR="003E6310" w:rsidRPr="00096328" w:rsidRDefault="003E6310" w:rsidP="000D5927">
            <w:pPr>
              <w:numPr>
                <w:ilvl w:val="1"/>
                <w:numId w:val="14"/>
              </w:numPr>
              <w:spacing w:before="120" w:after="120"/>
              <w:jc w:val="left"/>
            </w:pPr>
            <w:r w:rsidRPr="00096328">
              <w:t>Form for information material</w:t>
            </w:r>
            <w:r>
              <w:t>: pests and phytosanitary measures</w:t>
            </w:r>
          </w:p>
          <w:p w14:paraId="27AAC3B9" w14:textId="77777777" w:rsidR="003E6310" w:rsidRPr="00096328" w:rsidRDefault="003E6310" w:rsidP="000D5927">
            <w:pPr>
              <w:numPr>
                <w:ilvl w:val="0"/>
                <w:numId w:val="14"/>
              </w:numPr>
              <w:spacing w:before="120" w:after="120"/>
              <w:jc w:val="left"/>
            </w:pPr>
            <w:r w:rsidRPr="00096328">
              <w:t xml:space="preserve">13 </w:t>
            </w:r>
            <w:r w:rsidRPr="00096328">
              <w:rPr>
                <w:b/>
                <w:bCs/>
              </w:rPr>
              <w:t xml:space="preserve">April 2023 </w:t>
            </w:r>
            <w:r w:rsidRPr="00096328">
              <w:t>(prior SC May): 10:00-12:00 Rome time (GMT+1)</w:t>
            </w:r>
          </w:p>
          <w:p w14:paraId="5D2362B4" w14:textId="77777777" w:rsidR="003E6310" w:rsidRPr="00096328" w:rsidRDefault="003E6310" w:rsidP="000D5927">
            <w:pPr>
              <w:numPr>
                <w:ilvl w:val="1"/>
                <w:numId w:val="14"/>
              </w:numPr>
              <w:spacing w:before="120" w:after="120"/>
              <w:jc w:val="left"/>
            </w:pPr>
            <w:r w:rsidRPr="00096328">
              <w:t>Potential topics proposals for IPPC call for topics (to be developed by the panel)</w:t>
            </w:r>
          </w:p>
          <w:p w14:paraId="318E6CB5" w14:textId="77777777" w:rsidR="003E6310" w:rsidRPr="00096328" w:rsidRDefault="003E6310" w:rsidP="000D5927">
            <w:pPr>
              <w:numPr>
                <w:ilvl w:val="0"/>
                <w:numId w:val="14"/>
              </w:numPr>
              <w:spacing w:before="120" w:after="120"/>
              <w:jc w:val="left"/>
            </w:pPr>
            <w:r w:rsidRPr="00096328">
              <w:t xml:space="preserve">30/31 </w:t>
            </w:r>
            <w:r w:rsidRPr="00096328">
              <w:rPr>
                <w:b/>
                <w:bCs/>
              </w:rPr>
              <w:t xml:space="preserve">May 2023 </w:t>
            </w:r>
            <w:r w:rsidRPr="00096328">
              <w:t>(after SC May):</w:t>
            </w:r>
            <w:r>
              <w:t xml:space="preserve"> 12:00-14:00 </w:t>
            </w:r>
            <w:r w:rsidRPr="00096328">
              <w:t xml:space="preserve"> Rome time (GMT+1)</w:t>
            </w:r>
          </w:p>
          <w:p w14:paraId="3FED2303" w14:textId="77777777" w:rsidR="003E6310" w:rsidRPr="00096328" w:rsidRDefault="003E6310" w:rsidP="000D5927">
            <w:pPr>
              <w:numPr>
                <w:ilvl w:val="1"/>
                <w:numId w:val="14"/>
              </w:numPr>
              <w:spacing w:before="120" w:after="120"/>
              <w:jc w:val="left"/>
            </w:pPr>
            <w:r w:rsidRPr="00096328">
              <w:t>Update from SC May meeting</w:t>
            </w:r>
          </w:p>
          <w:p w14:paraId="0764F9F8" w14:textId="77777777" w:rsidR="003E6310" w:rsidRDefault="003E6310" w:rsidP="000D5927">
            <w:pPr>
              <w:numPr>
                <w:ilvl w:val="1"/>
                <w:numId w:val="14"/>
              </w:numPr>
              <w:spacing w:before="120" w:after="120"/>
              <w:jc w:val="left"/>
            </w:pPr>
            <w:r w:rsidRPr="00096328">
              <w:t>Potential topics proposals for IPPC call for topics</w:t>
            </w:r>
          </w:p>
          <w:p w14:paraId="47D64455" w14:textId="77777777" w:rsidR="003E6310" w:rsidRDefault="003E6310" w:rsidP="00140EE4">
            <w:pPr>
              <w:pStyle w:val="IPPReferences"/>
              <w:spacing w:after="0"/>
              <w:ind w:left="0" w:firstLine="0"/>
              <w:rPr>
                <w:rStyle w:val="Strong"/>
                <w:sz w:val="28"/>
                <w:u w:val="single"/>
              </w:rPr>
            </w:pPr>
            <w:r>
              <w:rPr>
                <w:rStyle w:val="Strong"/>
                <w:sz w:val="28"/>
                <w:u w:val="single"/>
              </w:rPr>
              <w:t>TPCS volume of work: work</w:t>
            </w:r>
            <w:r w:rsidRPr="00096328">
              <w:rPr>
                <w:rStyle w:val="Strong"/>
                <w:sz w:val="28"/>
                <w:u w:val="single"/>
              </w:rPr>
              <w:t xml:space="preserve"> programme</w:t>
            </w:r>
          </w:p>
          <w:p w14:paraId="02085549" w14:textId="77777777" w:rsidR="003E6310" w:rsidRDefault="003E6310" w:rsidP="00311376">
            <w:pPr>
              <w:pStyle w:val="IPPReferences"/>
              <w:spacing w:after="0"/>
              <w:ind w:left="0" w:firstLine="0"/>
              <w:jc w:val="center"/>
              <w:rPr>
                <w:rStyle w:val="Strong"/>
                <w:sz w:val="28"/>
                <w:u w:val="single"/>
              </w:rPr>
            </w:pPr>
            <w:r>
              <w:rPr>
                <w:b/>
                <w:bCs/>
                <w:noProof/>
                <w:sz w:val="28"/>
                <w:u w:val="single"/>
                <w:lang w:val="en-US"/>
              </w:rPr>
              <w:drawing>
                <wp:inline distT="0" distB="0" distL="0" distR="0" wp14:anchorId="234F1F05" wp14:editId="2D65CC79">
                  <wp:extent cx="3356162" cy="152720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TPCS volume of work1.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381088" cy="1538548"/>
                          </a:xfrm>
                          <a:prstGeom prst="rect">
                            <a:avLst/>
                          </a:prstGeom>
                        </pic:spPr>
                      </pic:pic>
                    </a:graphicData>
                  </a:graphic>
                </wp:inline>
              </w:drawing>
            </w:r>
          </w:p>
          <w:p w14:paraId="14BC9449" w14:textId="77777777" w:rsidR="003E6310" w:rsidRDefault="003E6310" w:rsidP="00140EE4">
            <w:pPr>
              <w:pStyle w:val="IPPReferences"/>
              <w:spacing w:after="0"/>
              <w:ind w:left="0" w:firstLine="0"/>
            </w:pPr>
            <w:r w:rsidRPr="00096328">
              <w:rPr>
                <w:rStyle w:val="Strong"/>
                <w:sz w:val="28"/>
                <w:u w:val="single"/>
              </w:rPr>
              <w:t xml:space="preserve"> </w:t>
            </w:r>
          </w:p>
        </w:tc>
      </w:tr>
    </w:tbl>
    <w:p w14:paraId="6166B4C9" w14:textId="77777777" w:rsidR="009F49F7" w:rsidRDefault="009F49F7" w:rsidP="0092676B">
      <w:pPr>
        <w:pStyle w:val="IPPPargraphnumbering"/>
        <w:tabs>
          <w:tab w:val="clear" w:pos="0"/>
        </w:tabs>
        <w:ind w:firstLine="0"/>
        <w:rPr>
          <w:lang w:val="en-GB"/>
        </w:rPr>
      </w:pPr>
    </w:p>
    <w:p w14:paraId="3C326E3E" w14:textId="77777777" w:rsidR="00256B4B" w:rsidRDefault="00256B4B" w:rsidP="00957901">
      <w:pPr>
        <w:pStyle w:val="IPPPargraphnumbering"/>
        <w:tabs>
          <w:tab w:val="clear" w:pos="0"/>
        </w:tabs>
        <w:ind w:firstLine="0"/>
        <w:rPr>
          <w:lang w:val="en-GB"/>
        </w:rPr>
      </w:pPr>
      <w:r w:rsidRPr="00256B4B">
        <w:rPr>
          <w:b/>
          <w:lang w:val="en-GB"/>
        </w:rPr>
        <w:t xml:space="preserve">Figure </w:t>
      </w:r>
      <w:r w:rsidR="003E6310">
        <w:rPr>
          <w:b/>
          <w:lang w:val="en-GB"/>
        </w:rPr>
        <w:t>2</w:t>
      </w:r>
      <w:r w:rsidRPr="00256B4B">
        <w:rPr>
          <w:b/>
          <w:lang w:val="en-GB"/>
        </w:rPr>
        <w:t>.</w:t>
      </w:r>
      <w:r>
        <w:rPr>
          <w:lang w:val="en-GB"/>
        </w:rPr>
        <w:t xml:space="preserve"> </w:t>
      </w:r>
      <w:r w:rsidR="0092676B">
        <w:rPr>
          <w:lang w:val="en-GB"/>
        </w:rPr>
        <w:t>TPCS</w:t>
      </w:r>
      <w:r w:rsidR="0092676B" w:rsidRPr="0082559E">
        <w:rPr>
          <w:lang w:val="en-GB"/>
        </w:rPr>
        <w:t xml:space="preserve"> tentative </w:t>
      </w:r>
      <w:r w:rsidR="0092676B" w:rsidRPr="00BF66F6">
        <w:rPr>
          <w:lang w:val="en-GB"/>
        </w:rPr>
        <w:t>work plan for May 202</w:t>
      </w:r>
      <w:r w:rsidR="0092676B">
        <w:rPr>
          <w:lang w:val="en-GB"/>
        </w:rPr>
        <w:t>3</w:t>
      </w:r>
      <w:r w:rsidR="003E6310">
        <w:rPr>
          <w:lang w:val="en-GB"/>
        </w:rPr>
        <w:t xml:space="preserve"> to May 2024</w:t>
      </w:r>
      <w:r w:rsidR="0092676B">
        <w:rPr>
          <w:lang w:val="en-GB"/>
        </w:rPr>
        <w:t>.</w:t>
      </w:r>
    </w:p>
    <w:p w14:paraId="75BC1796" w14:textId="77777777" w:rsidR="004019AD" w:rsidRDefault="00311376" w:rsidP="008A25AF">
      <w:pPr>
        <w:pStyle w:val="IPPHeading1"/>
        <w:spacing w:before="120"/>
        <w:contextualSpacing/>
      </w:pPr>
      <w:r w:rsidRPr="0019586B">
        <w:lastRenderedPageBreak/>
        <w:t>6</w:t>
      </w:r>
      <w:r w:rsidR="004019AD" w:rsidRPr="0019586B">
        <w:t>. Recommendations to the SC</w:t>
      </w:r>
    </w:p>
    <w:p w14:paraId="4BE1D83E" w14:textId="77777777" w:rsidR="00E920F3" w:rsidRPr="00316E50" w:rsidRDefault="0006615C" w:rsidP="008A25AF">
      <w:pPr>
        <w:pStyle w:val="IPPPargraphnumbering"/>
        <w:numPr>
          <w:ilvl w:val="0"/>
          <w:numId w:val="2"/>
        </w:numPr>
        <w:spacing w:before="120" w:after="120"/>
        <w:contextualSpacing/>
        <w:rPr>
          <w:lang w:val="en-GB"/>
        </w:rPr>
      </w:pPr>
      <w:r w:rsidRPr="00316E50">
        <w:rPr>
          <w:lang w:val="en-GB"/>
        </w:rPr>
        <w:t>The SC is invited to:</w:t>
      </w:r>
    </w:p>
    <w:p w14:paraId="32319B04" w14:textId="77777777" w:rsidR="0019586B" w:rsidRDefault="0019586B" w:rsidP="0019586B">
      <w:pPr>
        <w:pStyle w:val="IPPNumberedList"/>
        <w:tabs>
          <w:tab w:val="num" w:pos="657"/>
        </w:tabs>
        <w:spacing w:before="120" w:after="120"/>
        <w:ind w:left="562" w:hanging="562"/>
      </w:pPr>
      <w:r>
        <w:rPr>
          <w:i/>
        </w:rPr>
        <w:t xml:space="preserve">note </w:t>
      </w:r>
      <w:r w:rsidRPr="00065B9F">
        <w:t xml:space="preserve">the </w:t>
      </w:r>
      <w:r>
        <w:t>TPCS update and the work accomplished from July 2022 to April 2023;</w:t>
      </w:r>
    </w:p>
    <w:p w14:paraId="3414AFC9" w14:textId="77777777" w:rsidR="0019586B" w:rsidRDefault="0019586B" w:rsidP="0019586B">
      <w:pPr>
        <w:pStyle w:val="IPPNumberedList"/>
      </w:pPr>
      <w:r>
        <w:rPr>
          <w:i/>
        </w:rPr>
        <w:t xml:space="preserve">note </w:t>
      </w:r>
      <w:r w:rsidRPr="00065B9F">
        <w:t xml:space="preserve">the </w:t>
      </w:r>
      <w:r>
        <w:t>TPCS tentative work programme for 2023-2025, if no topics are submitted during the 2023 call for topics, and if there is a need for consultation period of draft specification for specific commodity standards;</w:t>
      </w:r>
    </w:p>
    <w:p w14:paraId="18A888DD" w14:textId="77777777" w:rsidR="0019586B" w:rsidRDefault="0019586B" w:rsidP="0019586B">
      <w:pPr>
        <w:pStyle w:val="IPPNumberedList"/>
      </w:pPr>
      <w:r w:rsidRPr="00E85432">
        <w:rPr>
          <w:i/>
        </w:rPr>
        <w:t>agree</w:t>
      </w:r>
      <w:r>
        <w:t xml:space="preserve"> that any new topics proposed for commodity standards during the 2023 IPPC call for topic be revised by the SC and the TPCS, without the need for a consultation period of the draft Specification; </w:t>
      </w:r>
    </w:p>
    <w:p w14:paraId="14974DC5" w14:textId="77777777" w:rsidR="0019586B" w:rsidRDefault="0019586B" w:rsidP="0019586B">
      <w:pPr>
        <w:pStyle w:val="IPPNumberedList"/>
      </w:pPr>
      <w:r w:rsidRPr="00E85432">
        <w:rPr>
          <w:i/>
        </w:rPr>
        <w:t>consider</w:t>
      </w:r>
      <w:r>
        <w:t xml:space="preserve"> in having commodity standards as “subjects” in the hierarchy of terms, like DPs, PTs and Glossary terms, instated of “topics” (this may require CPM’s approval); </w:t>
      </w:r>
    </w:p>
    <w:p w14:paraId="0B8F3CFC" w14:textId="77777777" w:rsidR="0019586B" w:rsidRDefault="0019586B" w:rsidP="0019586B">
      <w:pPr>
        <w:pStyle w:val="IPPNumberedList"/>
      </w:pPr>
      <w:r w:rsidRPr="00E85432">
        <w:rPr>
          <w:i/>
        </w:rPr>
        <w:t>invite</w:t>
      </w:r>
      <w:r>
        <w:t xml:space="preserve"> the TPCS to develop an annotated template for draft commodity standards once the first commodity standard has been adopted and requested that the secretariat archive this decision for future action by the TPCS;</w:t>
      </w:r>
    </w:p>
    <w:p w14:paraId="11234ECA" w14:textId="77777777" w:rsidR="0019586B" w:rsidRDefault="0019586B" w:rsidP="0019586B">
      <w:pPr>
        <w:pStyle w:val="IPPNumberedList"/>
      </w:pPr>
      <w:r w:rsidRPr="0019586B">
        <w:rPr>
          <w:i/>
          <w:lang w:val="en-GB"/>
        </w:rPr>
        <w:t>approve</w:t>
      </w:r>
      <w:r w:rsidRPr="00E85432">
        <w:rPr>
          <w:lang w:val="en-GB"/>
        </w:rPr>
        <w:t xml:space="preserve"> the form for submitting information on pests and measures as presented in </w:t>
      </w:r>
      <w:r w:rsidRPr="00424065">
        <w:rPr>
          <w:b/>
          <w:lang w:val="en-GB"/>
        </w:rPr>
        <w:t>Attachment 1</w:t>
      </w:r>
      <w:r w:rsidRPr="00E85432">
        <w:rPr>
          <w:lang w:val="en-GB"/>
        </w:rPr>
        <w:t xml:space="preserve"> of this document; </w:t>
      </w:r>
    </w:p>
    <w:p w14:paraId="12925A8D" w14:textId="77777777" w:rsidR="0019586B" w:rsidRPr="00E85432" w:rsidRDefault="0019586B" w:rsidP="0019586B">
      <w:pPr>
        <w:pStyle w:val="IPPNumberedList"/>
      </w:pPr>
      <w:r w:rsidRPr="00E85432">
        <w:rPr>
          <w:i/>
          <w:iCs/>
          <w:lang w:val="en-GB"/>
        </w:rPr>
        <w:t xml:space="preserve"> recommended</w:t>
      </w:r>
      <w:r w:rsidRPr="00E85432">
        <w:rPr>
          <w:lang w:val="en-GB"/>
        </w:rPr>
        <w:t xml:space="preserve"> to the SC that the form for submitting information on pests and measures be used in the following circumstances:</w:t>
      </w:r>
    </w:p>
    <w:p w14:paraId="13A88B6C" w14:textId="77777777" w:rsidR="0019586B" w:rsidRPr="00425D54" w:rsidRDefault="0019586B" w:rsidP="0019586B">
      <w:pPr>
        <w:pStyle w:val="IPPBullet2"/>
        <w:spacing w:line="259" w:lineRule="auto"/>
        <w:ind w:left="927" w:hanging="360"/>
        <w:jc w:val="left"/>
      </w:pPr>
      <w:r w:rsidRPr="00425D54">
        <w:t xml:space="preserve">when submitting a proposal for a commodity standard in response to a </w:t>
      </w:r>
      <w:r>
        <w:t>call for topics</w:t>
      </w:r>
      <w:r w:rsidRPr="00425D54">
        <w:t>,</w:t>
      </w:r>
      <w:r>
        <w:t xml:space="preserve"> and</w:t>
      </w:r>
      <w:r w:rsidRPr="002057BA">
        <w:rPr>
          <w:i/>
          <w:iCs/>
        </w:rPr>
        <w:t xml:space="preserve"> </w:t>
      </w:r>
      <w:r w:rsidRPr="008F7D73">
        <w:t xml:space="preserve">to </w:t>
      </w:r>
      <w:r w:rsidRPr="002057BA">
        <w:rPr>
          <w:i/>
        </w:rPr>
        <w:t xml:space="preserve">encourage </w:t>
      </w:r>
      <w:r w:rsidRPr="008F7D73">
        <w:t>contracting parties to submit the form when proposing a topic for a commodity standard in a call for topics.</w:t>
      </w:r>
    </w:p>
    <w:p w14:paraId="43F96A8D" w14:textId="77777777" w:rsidR="0019586B" w:rsidRPr="00425D54" w:rsidRDefault="0019586B" w:rsidP="0019586B">
      <w:pPr>
        <w:pStyle w:val="IPPBullet2"/>
        <w:spacing w:line="259" w:lineRule="auto"/>
        <w:ind w:left="927" w:hanging="360"/>
        <w:jc w:val="left"/>
      </w:pPr>
      <w:r w:rsidRPr="00425D54">
        <w:t>when responding to a call for information for a topic that has been accepted onto the work programme, and</w:t>
      </w:r>
    </w:p>
    <w:p w14:paraId="52798587" w14:textId="77777777" w:rsidR="0019586B" w:rsidRPr="008F7D73" w:rsidRDefault="0019586B" w:rsidP="0019586B">
      <w:pPr>
        <w:pStyle w:val="IPPBullet2"/>
        <w:spacing w:after="180" w:line="259" w:lineRule="auto"/>
        <w:ind w:left="927" w:hanging="360"/>
        <w:jc w:val="left"/>
      </w:pPr>
      <w:r w:rsidRPr="00425D54">
        <w:t>when submitting a consultation comment on a draft commodity standard, suggesting the addition of a pest or measure to the draft standard.</w:t>
      </w:r>
    </w:p>
    <w:p w14:paraId="1B0471E0" w14:textId="77777777" w:rsidR="0019586B" w:rsidRPr="0044605D" w:rsidRDefault="0019586B" w:rsidP="0019586B">
      <w:pPr>
        <w:pStyle w:val="IPPNumberedList"/>
        <w:rPr>
          <w:lang w:val="en-GB"/>
        </w:rPr>
      </w:pPr>
      <w:r w:rsidRPr="0044605D">
        <w:rPr>
          <w:rFonts w:ascii="TimesNewRomanPS-ItalicMT" w:eastAsia="MS Mincho" w:hAnsi="TimesNewRomanPS-ItalicMT"/>
          <w:i/>
          <w:iCs/>
          <w:lang w:val="en-GB"/>
        </w:rPr>
        <w:t xml:space="preserve">invited </w:t>
      </w:r>
      <w:r w:rsidRPr="0044605D">
        <w:rPr>
          <w:lang w:val="en-GB"/>
        </w:rPr>
        <w:t>the SC to note the following conclusions of the TPCS regarding the categorization of options for phytosanitary measures according to confidence:</w:t>
      </w:r>
    </w:p>
    <w:p w14:paraId="14914C16" w14:textId="77777777" w:rsidR="0019586B" w:rsidRPr="0047072F" w:rsidRDefault="0019586B" w:rsidP="0019586B">
      <w:pPr>
        <w:pStyle w:val="IPPBullet2"/>
      </w:pPr>
      <w:r w:rsidRPr="0047072F">
        <w:t xml:space="preserve">the criteria listed in section 3 of ISPM 46 are used by the TPCS to identify candidate measures for inclusion and the criteria listed in section 4 are used to select which of these </w:t>
      </w:r>
      <w:r>
        <w:t xml:space="preserve">candidate measures </w:t>
      </w:r>
      <w:r w:rsidRPr="0047072F">
        <w:t>to actually include</w:t>
      </w:r>
      <w:r>
        <w:t>,</w:t>
      </w:r>
    </w:p>
    <w:p w14:paraId="252093D4" w14:textId="77777777" w:rsidR="0019586B" w:rsidRPr="0047072F" w:rsidRDefault="0019586B" w:rsidP="0019586B">
      <w:pPr>
        <w:pStyle w:val="IPPBullet2"/>
      </w:pPr>
      <w:r w:rsidRPr="0047072F">
        <w:t>the confidence categories are not included in commodity standard</w:t>
      </w:r>
      <w:r>
        <w:t>s,</w:t>
      </w:r>
    </w:p>
    <w:p w14:paraId="6DD3E974" w14:textId="77777777" w:rsidR="0019586B" w:rsidRDefault="0019586B" w:rsidP="0019586B">
      <w:pPr>
        <w:pStyle w:val="IPPBullet2"/>
      </w:pPr>
      <w:r w:rsidRPr="0047072F">
        <w:t>there is no need for the TPCS to develop the criteria in section 4 of ISPM 46 any further</w:t>
      </w:r>
      <w:r>
        <w:t>,</w:t>
      </w:r>
      <w:r w:rsidRPr="0047072F">
        <w:t xml:space="preserve"> and</w:t>
      </w:r>
    </w:p>
    <w:p w14:paraId="75B0053E" w14:textId="77777777" w:rsidR="0019586B" w:rsidRPr="00D96986" w:rsidRDefault="0019586B" w:rsidP="0019586B">
      <w:pPr>
        <w:pStyle w:val="IPPBullet2"/>
      </w:pPr>
      <w:r w:rsidRPr="0047072F">
        <w:t>transparency regarding the selection of measures will be achieved by the publication of working procedures for the panel and the recording of the rationale for including or excluding pests and measures.</w:t>
      </w:r>
    </w:p>
    <w:p w14:paraId="7CC61055" w14:textId="77777777" w:rsidR="0019586B" w:rsidRDefault="0019586B" w:rsidP="0019586B">
      <w:pPr>
        <w:pStyle w:val="IPPNumberedList"/>
      </w:pPr>
      <w:r w:rsidRPr="00E85432">
        <w:rPr>
          <w:i/>
        </w:rPr>
        <w:t>approve</w:t>
      </w:r>
      <w:r w:rsidRPr="00E85432">
        <w:t xml:space="preserve"> the TPCS working procedures as provided in </w:t>
      </w:r>
      <w:r w:rsidRPr="00424065">
        <w:rPr>
          <w:b/>
        </w:rPr>
        <w:t>Attachment 2</w:t>
      </w:r>
      <w:r w:rsidRPr="00E85432">
        <w:t xml:space="preserve"> of this document, and </w:t>
      </w:r>
      <w:r w:rsidRPr="00E85432">
        <w:rPr>
          <w:i/>
        </w:rPr>
        <w:t xml:space="preserve">request </w:t>
      </w:r>
      <w:r w:rsidRPr="00E85432">
        <w:t>the secretariat to include in the Procedure Manual for IPPC Standards, pending those parts that require CPM approval in the Standard Setting Procedure</w:t>
      </w:r>
      <w:r>
        <w:t>;</w:t>
      </w:r>
    </w:p>
    <w:p w14:paraId="556D93F9" w14:textId="77777777" w:rsidR="0019586B" w:rsidRDefault="0019586B" w:rsidP="0019586B">
      <w:pPr>
        <w:pStyle w:val="IPPNumberedList"/>
      </w:pPr>
      <w:r w:rsidRPr="0014760E">
        <w:rPr>
          <w:i/>
        </w:rPr>
        <w:t>approve</w:t>
      </w:r>
      <w:r>
        <w:t xml:space="preserve"> that for  inclusion of a pest in a specific commodity standard, at least one of the following sub criteria should be met: </w:t>
      </w:r>
    </w:p>
    <w:p w14:paraId="67D2A47A" w14:textId="77777777" w:rsidR="0019586B" w:rsidRDefault="0019586B" w:rsidP="000D5927">
      <w:pPr>
        <w:pStyle w:val="IPPBullet2"/>
        <w:numPr>
          <w:ilvl w:val="0"/>
          <w:numId w:val="18"/>
        </w:numPr>
      </w:pPr>
      <w:r>
        <w:t>The commercially produced commodity is a host.</w:t>
      </w:r>
    </w:p>
    <w:p w14:paraId="16FCC12D" w14:textId="77777777" w:rsidR="0019586B" w:rsidRDefault="0019586B" w:rsidP="000D5927">
      <w:pPr>
        <w:pStyle w:val="IPPBullet2"/>
        <w:numPr>
          <w:ilvl w:val="0"/>
          <w:numId w:val="18"/>
        </w:numPr>
      </w:pPr>
      <w:r>
        <w:t xml:space="preserve">There are existing phytosanitary measures options available (and there is sufficient confidence for </w:t>
      </w:r>
      <w:r w:rsidRPr="0047072F">
        <w:t>option</w:t>
      </w:r>
      <w:r>
        <w:t>(</w:t>
      </w:r>
      <w:r w:rsidRPr="0047072F">
        <w:t>s</w:t>
      </w:r>
      <w:r>
        <w:t>)</w:t>
      </w:r>
      <w:r w:rsidRPr="0047072F">
        <w:t xml:space="preserve"> to be included in the commodity standard</w:t>
      </w:r>
      <w:r w:rsidDel="00C45A0D">
        <w:t xml:space="preserve"> </w:t>
      </w:r>
      <w:r>
        <w:t>– see section below).</w:t>
      </w:r>
    </w:p>
    <w:p w14:paraId="798BA18D" w14:textId="77777777" w:rsidR="0019586B" w:rsidRDefault="0019586B" w:rsidP="000D5927">
      <w:pPr>
        <w:pStyle w:val="IPPBullet2"/>
        <w:numPr>
          <w:ilvl w:val="0"/>
          <w:numId w:val="18"/>
        </w:numPr>
      </w:pPr>
      <w:r>
        <w:t xml:space="preserve">There is evidence of establishment of the pest after entry, via the </w:t>
      </w:r>
      <w:r w:rsidRPr="00245E9B">
        <w:t>commodity.</w:t>
      </w:r>
    </w:p>
    <w:p w14:paraId="7CC1A5FD" w14:textId="77777777" w:rsidR="0019586B" w:rsidRDefault="0019586B" w:rsidP="000D5927">
      <w:pPr>
        <w:pStyle w:val="IPPBullet2"/>
        <w:numPr>
          <w:ilvl w:val="0"/>
          <w:numId w:val="18"/>
        </w:numPr>
      </w:pPr>
      <w:r>
        <w:t>Major or minor pest for the crop.</w:t>
      </w:r>
    </w:p>
    <w:p w14:paraId="2C09E036" w14:textId="77777777" w:rsidR="0019586B" w:rsidRDefault="0019586B" w:rsidP="000D5927">
      <w:pPr>
        <w:pStyle w:val="IPPBullet2"/>
        <w:numPr>
          <w:ilvl w:val="0"/>
          <w:numId w:val="18"/>
        </w:numPr>
      </w:pPr>
      <w:r w:rsidRPr="0047072F">
        <w:t xml:space="preserve">There have been </w:t>
      </w:r>
      <w:r>
        <w:t>repeated interceptions of the pest on the commodity.</w:t>
      </w:r>
    </w:p>
    <w:p w14:paraId="11EB307E" w14:textId="77777777" w:rsidR="0019586B" w:rsidRDefault="0019586B" w:rsidP="0019586B">
      <w:pPr>
        <w:pStyle w:val="IPPNumberedList"/>
      </w:pPr>
      <w:r>
        <w:rPr>
          <w:i/>
        </w:rPr>
        <w:lastRenderedPageBreak/>
        <w:t xml:space="preserve">approve </w:t>
      </w:r>
      <w:r>
        <w:t xml:space="preserve">that in case for revision of commodity standards when there is evidence that a phytosanitary measure may no longer be effective, </w:t>
      </w:r>
      <w:r w:rsidRPr="0014760E">
        <w:t>or when there is a taxonomy change of the pest, a footnote to this effect be added to the annex as a variati</w:t>
      </w:r>
      <w:r>
        <w:t xml:space="preserve">on to the ink amendment process, as an </w:t>
      </w:r>
      <w:r w:rsidRPr="0014760E">
        <w:t>interim solution until the commodity standard was revised</w:t>
      </w:r>
      <w:r>
        <w:t>;</w:t>
      </w:r>
    </w:p>
    <w:p w14:paraId="06B00015" w14:textId="77777777" w:rsidR="0019586B" w:rsidRDefault="0019586B" w:rsidP="0019586B">
      <w:pPr>
        <w:pStyle w:val="IPPNumberedList"/>
      </w:pPr>
      <w:r>
        <w:rPr>
          <w:i/>
        </w:rPr>
        <w:t xml:space="preserve">invite </w:t>
      </w:r>
      <w:r>
        <w:t>the secretariat and the TPCS to explore options on how to build this database, and present it back to the SC at a future meeting;</w:t>
      </w:r>
    </w:p>
    <w:p w14:paraId="28FFE2D9" w14:textId="77777777" w:rsidR="0019586B" w:rsidRDefault="0019586B" w:rsidP="0019586B">
      <w:pPr>
        <w:pStyle w:val="IPPNumberedList"/>
      </w:pPr>
      <w:r w:rsidRPr="00F6395D">
        <w:rPr>
          <w:i/>
        </w:rPr>
        <w:t>consider</w:t>
      </w:r>
      <w:r>
        <w:t xml:space="preserve"> the following potential further adjustments to the IPPC Standard Setting Procedure: </w:t>
      </w:r>
    </w:p>
    <w:p w14:paraId="7BAE61AA" w14:textId="77777777" w:rsidR="0019586B" w:rsidRPr="00E85432" w:rsidRDefault="0019586B" w:rsidP="000D5927">
      <w:pPr>
        <w:pStyle w:val="CommentText"/>
        <w:numPr>
          <w:ilvl w:val="0"/>
          <w:numId w:val="19"/>
        </w:numPr>
        <w:rPr>
          <w:sz w:val="22"/>
        </w:rPr>
      </w:pPr>
      <w:r w:rsidRPr="00E85432">
        <w:rPr>
          <w:sz w:val="22"/>
        </w:rPr>
        <w:t>draft specifications for commodity standards to follow a standard format, including content common to all such specifications,</w:t>
      </w:r>
    </w:p>
    <w:p w14:paraId="6BE5B7DB" w14:textId="77777777" w:rsidR="0019586B" w:rsidRPr="00E85432" w:rsidRDefault="0019586B" w:rsidP="000D5927">
      <w:pPr>
        <w:pStyle w:val="CommentText"/>
        <w:numPr>
          <w:ilvl w:val="0"/>
          <w:numId w:val="19"/>
        </w:numPr>
        <w:rPr>
          <w:sz w:val="22"/>
        </w:rPr>
      </w:pPr>
      <w:r w:rsidRPr="00E85432">
        <w:rPr>
          <w:sz w:val="22"/>
        </w:rPr>
        <w:t>the option of omitting a second consultation on draft commodity standards to be allowed if no substantive comments are received in response to the first consultation (following the same procedure as phytosanitary treatments; although it is not anticipated that this would be done for the first annex to ISPM 46).</w:t>
      </w:r>
    </w:p>
    <w:p w14:paraId="66CB4B8F" w14:textId="77777777" w:rsidR="0019586B" w:rsidRDefault="0019586B" w:rsidP="0019586B">
      <w:pPr>
        <w:pStyle w:val="IPPNumberedList"/>
      </w:pPr>
      <w:r>
        <w:rPr>
          <w:i/>
        </w:rPr>
        <w:t>n</w:t>
      </w:r>
      <w:r w:rsidRPr="00C60E96">
        <w:rPr>
          <w:i/>
        </w:rPr>
        <w:t>ote</w:t>
      </w:r>
      <w:r>
        <w:t xml:space="preserve"> the following TPCS meeting reports:</w:t>
      </w:r>
    </w:p>
    <w:p w14:paraId="201EA8A8" w14:textId="77777777" w:rsidR="0019586B" w:rsidRPr="0019586B" w:rsidRDefault="0019586B" w:rsidP="000D5927">
      <w:pPr>
        <w:pStyle w:val="CommentText"/>
        <w:numPr>
          <w:ilvl w:val="0"/>
          <w:numId w:val="20"/>
        </w:numPr>
        <w:rPr>
          <w:sz w:val="22"/>
        </w:rPr>
      </w:pPr>
      <w:r w:rsidRPr="0019586B">
        <w:rPr>
          <w:sz w:val="22"/>
        </w:rPr>
        <w:t>December 2022 virtual meeting</w:t>
      </w:r>
    </w:p>
    <w:p w14:paraId="53390A99" w14:textId="77777777" w:rsidR="0019586B" w:rsidRPr="0019586B" w:rsidRDefault="0019586B" w:rsidP="000D5927">
      <w:pPr>
        <w:pStyle w:val="CommentText"/>
        <w:numPr>
          <w:ilvl w:val="0"/>
          <w:numId w:val="20"/>
        </w:numPr>
        <w:rPr>
          <w:sz w:val="22"/>
        </w:rPr>
      </w:pPr>
      <w:r w:rsidRPr="0019586B">
        <w:rPr>
          <w:sz w:val="22"/>
        </w:rPr>
        <w:t>January 2023 face to face meeting</w:t>
      </w:r>
    </w:p>
    <w:p w14:paraId="4E587A0E" w14:textId="77777777" w:rsidR="0019586B" w:rsidRPr="0019586B" w:rsidRDefault="0019586B" w:rsidP="000D5927">
      <w:pPr>
        <w:pStyle w:val="CommentText"/>
        <w:numPr>
          <w:ilvl w:val="0"/>
          <w:numId w:val="20"/>
        </w:numPr>
        <w:rPr>
          <w:sz w:val="22"/>
        </w:rPr>
      </w:pPr>
      <w:r w:rsidRPr="0019586B">
        <w:rPr>
          <w:sz w:val="22"/>
        </w:rPr>
        <w:t>February 2023 virtual meeting</w:t>
      </w:r>
    </w:p>
    <w:p w14:paraId="334F4932" w14:textId="77777777" w:rsidR="0019586B" w:rsidRPr="0019586B" w:rsidRDefault="0019586B" w:rsidP="000D5927">
      <w:pPr>
        <w:pStyle w:val="CommentText"/>
        <w:numPr>
          <w:ilvl w:val="0"/>
          <w:numId w:val="20"/>
        </w:numPr>
        <w:rPr>
          <w:sz w:val="22"/>
        </w:rPr>
      </w:pPr>
      <w:r w:rsidRPr="0019586B">
        <w:rPr>
          <w:sz w:val="22"/>
        </w:rPr>
        <w:t>April 2023 virtual meeting</w:t>
      </w:r>
    </w:p>
    <w:p w14:paraId="03B7E267" w14:textId="77777777" w:rsidR="0019586B" w:rsidRDefault="0019586B" w:rsidP="0019586B">
      <w:pPr>
        <w:pStyle w:val="CommentText"/>
      </w:pPr>
    </w:p>
    <w:p w14:paraId="407537B9" w14:textId="37042457" w:rsidR="0019586B" w:rsidRDefault="0019586B" w:rsidP="00673899">
      <w:pPr>
        <w:pStyle w:val="IPPNumberedList"/>
        <w:spacing w:after="120"/>
        <w:ind w:left="562" w:hanging="562"/>
      </w:pPr>
      <w:r>
        <w:t xml:space="preserve"> </w:t>
      </w:r>
      <w:r>
        <w:rPr>
          <w:i/>
        </w:rPr>
        <w:t>t</w:t>
      </w:r>
      <w:r w:rsidRPr="00C60E96">
        <w:rPr>
          <w:i/>
        </w:rPr>
        <w:t>hank</w:t>
      </w:r>
      <w:r>
        <w:t xml:space="preserve"> Japan for hosting the first face-to-face meeting of the TPCS</w:t>
      </w:r>
      <w:r w:rsidR="00673899">
        <w:t xml:space="preserve"> in January 2023</w:t>
      </w:r>
      <w:r>
        <w:t>.</w:t>
      </w:r>
    </w:p>
    <w:p w14:paraId="6BE797C9" w14:textId="77777777" w:rsidR="0019586B" w:rsidRDefault="0019586B" w:rsidP="0019586B">
      <w:pPr>
        <w:pStyle w:val="IPPNumberedList"/>
        <w:rPr>
          <w:i/>
        </w:rPr>
      </w:pPr>
      <w:r>
        <w:rPr>
          <w:i/>
        </w:rPr>
        <w:t xml:space="preserve">note </w:t>
      </w:r>
      <w:r w:rsidRPr="00BC3D0D">
        <w:t xml:space="preserve">the summary update paper from the TPCS as provided in </w:t>
      </w:r>
      <w:r w:rsidRPr="00424065">
        <w:rPr>
          <w:b/>
        </w:rPr>
        <w:t>Attachment 3</w:t>
      </w:r>
      <w:r w:rsidRPr="00BC3D0D">
        <w:t>; and</w:t>
      </w:r>
    </w:p>
    <w:p w14:paraId="2EB6E338" w14:textId="77777777" w:rsidR="0019586B" w:rsidRPr="00E85432" w:rsidRDefault="0019586B" w:rsidP="0019586B">
      <w:pPr>
        <w:pStyle w:val="IPPBullet2"/>
        <w:rPr>
          <w:i/>
          <w:iCs/>
        </w:rPr>
      </w:pPr>
      <w:r>
        <w:rPr>
          <w:i/>
          <w:iCs/>
        </w:rPr>
        <w:t>c</w:t>
      </w:r>
      <w:r w:rsidRPr="00406DE3">
        <w:rPr>
          <w:i/>
          <w:iCs/>
        </w:rPr>
        <w:t>onsider</w:t>
      </w:r>
      <w:r>
        <w:t xml:space="preserve"> the concerns of the TPCS regarding the specification for the panel (TP-6) and the standard setting procedure relating to ISPM 46 annexes development; </w:t>
      </w:r>
    </w:p>
    <w:p w14:paraId="3937B615" w14:textId="77777777" w:rsidR="0019586B" w:rsidRPr="00E85432" w:rsidRDefault="0019586B" w:rsidP="000D5927">
      <w:pPr>
        <w:pStyle w:val="IPPBullet2"/>
        <w:rPr>
          <w:i/>
          <w:iCs/>
        </w:rPr>
      </w:pPr>
      <w:r w:rsidRPr="00E85432">
        <w:rPr>
          <w:i/>
          <w:iCs/>
        </w:rPr>
        <w:t xml:space="preserve">agree </w:t>
      </w:r>
      <w:r>
        <w:t xml:space="preserve">and </w:t>
      </w:r>
      <w:r w:rsidRPr="00E85432">
        <w:rPr>
          <w:i/>
          <w:iCs/>
        </w:rPr>
        <w:t>implement changes</w:t>
      </w:r>
      <w:r>
        <w:t xml:space="preserve"> needed to TP-6 and the IPPC standard setting procedure to deliver ISPM 46 annexes against the IPPC Strategic Framework 2020-2030.</w:t>
      </w:r>
    </w:p>
    <w:p w14:paraId="29511C32" w14:textId="77777777" w:rsidR="00F45B25" w:rsidRDefault="00F45B25" w:rsidP="00F45B25">
      <w:pPr>
        <w:pStyle w:val="IPPNumberedList"/>
        <w:numPr>
          <w:ilvl w:val="0"/>
          <w:numId w:val="0"/>
        </w:numPr>
        <w:spacing w:before="120" w:after="120"/>
        <w:ind w:left="567" w:hanging="567"/>
        <w:contextualSpacing/>
      </w:pPr>
    </w:p>
    <w:p w14:paraId="27B37877" w14:textId="77777777" w:rsidR="00140EE4" w:rsidRDefault="00140EE4" w:rsidP="00F45B25">
      <w:pPr>
        <w:pStyle w:val="IPPNumberedList"/>
        <w:numPr>
          <w:ilvl w:val="0"/>
          <w:numId w:val="0"/>
        </w:numPr>
        <w:spacing w:before="120" w:after="120"/>
        <w:ind w:left="567" w:hanging="567"/>
        <w:contextualSpacing/>
        <w:sectPr w:rsidR="00140EE4" w:rsidSect="00BB763A">
          <w:headerReference w:type="even" r:id="rId25"/>
          <w:headerReference w:type="default" r:id="rId26"/>
          <w:footerReference w:type="even" r:id="rId27"/>
          <w:footerReference w:type="default" r:id="rId28"/>
          <w:headerReference w:type="first" r:id="rId29"/>
          <w:footerReference w:type="first" r:id="rId30"/>
          <w:pgSz w:w="11906" w:h="16838" w:code="9"/>
          <w:pgMar w:top="1440" w:right="1440" w:bottom="1440" w:left="1440" w:header="720" w:footer="720" w:gutter="0"/>
          <w:cols w:space="720"/>
          <w:titlePg/>
          <w:docGrid w:linePitch="360"/>
        </w:sectPr>
      </w:pPr>
    </w:p>
    <w:p w14:paraId="2B213FF4" w14:textId="77777777" w:rsidR="00140EE4" w:rsidRDefault="00140EE4" w:rsidP="00140EE4">
      <w:pPr>
        <w:pStyle w:val="IPPNumberedList"/>
        <w:numPr>
          <w:ilvl w:val="0"/>
          <w:numId w:val="0"/>
        </w:numPr>
        <w:spacing w:before="120" w:after="120"/>
        <w:ind w:left="567" w:hanging="567"/>
        <w:contextualSpacing/>
      </w:pPr>
      <w:r w:rsidRPr="00140EE4">
        <w:rPr>
          <w:b/>
        </w:rPr>
        <w:lastRenderedPageBreak/>
        <w:t>ATTACHMENT 1</w:t>
      </w:r>
      <w:r>
        <w:t xml:space="preserve"> </w:t>
      </w:r>
      <w:r w:rsidRPr="00B7145C">
        <w:rPr>
          <w:b/>
        </w:rPr>
        <w:t>- Submission Template Form: Information Materials for Commodity Standards</w:t>
      </w:r>
    </w:p>
    <w:p w14:paraId="359F3B7F" w14:textId="77777777" w:rsidR="00140EE4" w:rsidRDefault="00140EE4" w:rsidP="00140EE4">
      <w:pPr>
        <w:pStyle w:val="IPPNumberedList"/>
        <w:numPr>
          <w:ilvl w:val="0"/>
          <w:numId w:val="0"/>
        </w:numPr>
        <w:spacing w:before="120" w:after="120"/>
        <w:ind w:left="567" w:hanging="567"/>
        <w:contextualSpacing/>
      </w:pPr>
    </w:p>
    <w:p w14:paraId="38BA5865" w14:textId="77777777" w:rsidR="00140EE4" w:rsidRDefault="00140EE4" w:rsidP="00140EE4">
      <w:pPr>
        <w:pStyle w:val="IPPHeading1"/>
        <w:jc w:val="center"/>
      </w:pPr>
      <w:r w:rsidRPr="00140EE4">
        <w:t>Submission Template Form: Information Materials for Commodity Standards</w:t>
      </w:r>
    </w:p>
    <w:p w14:paraId="5FDDEBB0" w14:textId="77777777" w:rsidR="00140EE4" w:rsidRPr="00140EE4" w:rsidRDefault="00140EE4" w:rsidP="00140EE4">
      <w:pPr>
        <w:pStyle w:val="IPPNormal"/>
        <w:jc w:val="center"/>
        <w:rPr>
          <w:i/>
        </w:rPr>
      </w:pPr>
      <w:r w:rsidRPr="00140EE4">
        <w:rPr>
          <w:i/>
        </w:rPr>
        <w:t>(Developed by TPCS</w:t>
      </w:r>
      <w:r>
        <w:rPr>
          <w:i/>
        </w:rPr>
        <w:t xml:space="preserve"> and approved by the SC on </w:t>
      </w:r>
      <w:r w:rsidRPr="00424065">
        <w:rPr>
          <w:i/>
        </w:rPr>
        <w:t>XXXX-XX</w:t>
      </w:r>
      <w:r w:rsidRPr="00140EE4">
        <w:rPr>
          <w:i/>
        </w:rPr>
        <w:t>)</w:t>
      </w:r>
    </w:p>
    <w:p w14:paraId="5FA7A656" w14:textId="77777777" w:rsidR="00140EE4" w:rsidRPr="000A38EA" w:rsidRDefault="00140EE4" w:rsidP="00140EE4">
      <w:pPr>
        <w:tabs>
          <w:tab w:val="left" w:pos="9360"/>
        </w:tabs>
        <w:spacing w:before="600" w:after="240"/>
        <w:ind w:right="43"/>
      </w:pPr>
      <w:r w:rsidRPr="000A38EA">
        <w:rPr>
          <w:u w:val="single"/>
        </w:rPr>
        <w:t>Name of Country:_________________________________________________</w:t>
      </w:r>
      <w:r w:rsidRPr="000A38EA">
        <w:t>___________</w:t>
      </w:r>
    </w:p>
    <w:p w14:paraId="3DA5248F" w14:textId="77777777" w:rsidR="00140EE4" w:rsidRPr="000A38EA" w:rsidRDefault="00AF5542" w:rsidP="00140EE4">
      <w:pPr>
        <w:spacing w:after="180"/>
        <w:rPr>
          <w:rFonts w:eastAsia="Times"/>
        </w:rPr>
      </w:pPr>
      <w:hyperlink r:id="rId31" w:history="1">
        <w:r w:rsidR="00140EE4" w:rsidRPr="000A38EA">
          <w:rPr>
            <w:rStyle w:val="Hyperlink"/>
            <w:rFonts w:eastAsia="Times"/>
            <w:color w:val="3366FF"/>
          </w:rPr>
          <w:t>Click here</w:t>
        </w:r>
      </w:hyperlink>
      <w:r w:rsidR="00140EE4" w:rsidRPr="000A38EA">
        <w:rPr>
          <w:rFonts w:eastAsia="Times"/>
        </w:rPr>
        <w:t xml:space="preserve"> to find the IPPC Procedure Manual for Standard Setting on the IPP (</w:t>
      </w:r>
      <w:hyperlink r:id="rId32" w:history="1">
        <w:r w:rsidR="00140EE4" w:rsidRPr="000A38EA">
          <w:rPr>
            <w:rStyle w:val="Hyperlink"/>
            <w:rFonts w:eastAsia="Times"/>
            <w:color w:val="3366FF"/>
          </w:rPr>
          <w:t>www.ippc.int</w:t>
        </w:r>
      </w:hyperlink>
      <w:r w:rsidR="00140EE4" w:rsidRPr="000A38EA">
        <w:rPr>
          <w:rFonts w:eastAsia="Times"/>
        </w:rPr>
        <w:t>), where you can download this form.</w:t>
      </w:r>
    </w:p>
    <w:p w14:paraId="03784A55" w14:textId="77777777" w:rsidR="00140EE4" w:rsidRPr="000A38EA" w:rsidRDefault="00140EE4" w:rsidP="00140EE4">
      <w:pPr>
        <w:rPr>
          <w:b/>
          <w:u w:val="single"/>
          <w:lang w:eastAsia="ja-JP"/>
        </w:rPr>
      </w:pPr>
      <w:r w:rsidRPr="000A38EA">
        <w:rPr>
          <w:b/>
          <w:u w:val="single"/>
          <w:lang w:eastAsia="ja-JP"/>
        </w:rPr>
        <w:t xml:space="preserve">Submission number (Secretariat Use Only): </w:t>
      </w:r>
    </w:p>
    <w:p w14:paraId="38C86430" w14:textId="77777777" w:rsidR="00140EE4" w:rsidRPr="000A38EA" w:rsidRDefault="00140EE4" w:rsidP="00140EE4">
      <w:pPr>
        <w:spacing w:before="120" w:after="180"/>
        <w:rPr>
          <w:rFonts w:eastAsia="Times"/>
        </w:rPr>
      </w:pPr>
      <w:r w:rsidRPr="000A38EA">
        <w:rPr>
          <w:rFonts w:eastAsia="Times"/>
        </w:rPr>
        <w:t>Complete the following form, preferably in electronic format, and submit by e-mail to the IPPC Secretariat (</w:t>
      </w:r>
      <w:hyperlink r:id="rId33" w:history="1">
        <w:r w:rsidRPr="000A38EA">
          <w:rPr>
            <w:rStyle w:val="Hyperlink"/>
            <w:rFonts w:eastAsia="Times"/>
            <w:color w:val="3366FF"/>
          </w:rPr>
          <w:t>ippc@fao.org</w:t>
        </w:r>
      </w:hyperlink>
      <w:r w:rsidRPr="000A38EA">
        <w:rPr>
          <w:rFonts w:eastAsia="Times"/>
        </w:rPr>
        <w:t>).</w:t>
      </w:r>
    </w:p>
    <w:p w14:paraId="7AB85FF3" w14:textId="77777777" w:rsidR="00140EE4" w:rsidRPr="000A38EA" w:rsidRDefault="00140EE4" w:rsidP="00140EE4">
      <w:pPr>
        <w:spacing w:after="180"/>
        <w:rPr>
          <w:rFonts w:eastAsia="Times"/>
        </w:rPr>
      </w:pPr>
      <w:r w:rsidRPr="000A38EA">
        <w:rPr>
          <w:rFonts w:eastAsia="Times"/>
        </w:rPr>
        <w:t xml:space="preserve">Please use one form per commodity. An electronic version of this form is available on the International Phytosanitary Portal (IPP) at </w:t>
      </w:r>
      <w:r w:rsidRPr="00687E55">
        <w:rPr>
          <w:rFonts w:eastAsia="Times"/>
          <w:color w:val="4F81BD" w:themeColor="accent1"/>
          <w:highlight w:val="yellow"/>
        </w:rPr>
        <w:t>xxxx</w:t>
      </w:r>
      <w:r w:rsidRPr="000A38EA">
        <w:rPr>
          <w:rFonts w:eastAsia="Times"/>
        </w:rPr>
        <w:t>. Incomplete submissions will be returned. Please save the completed submission form with the following file name: COUNTRY or RPPO NAME –Title of commodity.doc, prior to submitting to the IPPC Secretariat via e-mail.</w:t>
      </w:r>
    </w:p>
    <w:p w14:paraId="0E45D74E" w14:textId="77777777" w:rsidR="00140EE4" w:rsidRPr="000A38EA" w:rsidRDefault="00140EE4" w:rsidP="00140EE4">
      <w:pPr>
        <w:spacing w:after="180"/>
        <w:rPr>
          <w:rFonts w:eastAsia="Times"/>
        </w:rPr>
      </w:pPr>
      <w:r w:rsidRPr="000A38E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400"/>
        <w:gridCol w:w="6616"/>
      </w:tblGrid>
      <w:tr w:rsidR="00140EE4" w:rsidRPr="000A38EA" w14:paraId="5D7DA4DF" w14:textId="77777777" w:rsidTr="00140EE4">
        <w:tc>
          <w:tcPr>
            <w:tcW w:w="0" w:type="auto"/>
            <w:tcBorders>
              <w:top w:val="single" w:sz="4" w:space="0" w:color="auto"/>
              <w:left w:val="single" w:sz="4" w:space="0" w:color="auto"/>
              <w:bottom w:val="single" w:sz="4" w:space="0" w:color="auto"/>
              <w:right w:val="single" w:sz="4" w:space="0" w:color="auto"/>
            </w:tcBorders>
            <w:hideMark/>
          </w:tcPr>
          <w:p w14:paraId="28617FB6" w14:textId="77777777" w:rsidR="00140EE4" w:rsidRPr="000A38EA" w:rsidRDefault="00140EE4" w:rsidP="00140EE4">
            <w:pPr>
              <w:rPr>
                <w:b/>
                <w:lang w:val="en-US"/>
              </w:rPr>
            </w:pPr>
            <w:r w:rsidRPr="000A38EA">
              <w:rPr>
                <w:b/>
                <w:lang w:val="en-US"/>
              </w:rPr>
              <w:t>Name and description of Commodity</w:t>
            </w:r>
          </w:p>
        </w:tc>
        <w:tc>
          <w:tcPr>
            <w:tcW w:w="0" w:type="auto"/>
            <w:tcBorders>
              <w:top w:val="single" w:sz="4" w:space="0" w:color="auto"/>
              <w:left w:val="single" w:sz="4" w:space="0" w:color="auto"/>
              <w:bottom w:val="single" w:sz="4" w:space="0" w:color="auto"/>
              <w:right w:val="single" w:sz="4" w:space="0" w:color="auto"/>
            </w:tcBorders>
            <w:hideMark/>
          </w:tcPr>
          <w:p w14:paraId="3F6D41AF" w14:textId="77777777" w:rsidR="00140EE4" w:rsidRPr="000A38EA" w:rsidRDefault="00140EE4" w:rsidP="00140EE4">
            <w:pPr>
              <w:rPr>
                <w:i/>
                <w:lang w:val="en-US"/>
              </w:rPr>
            </w:pPr>
            <w:r w:rsidRPr="000A38EA">
              <w:rPr>
                <w:i/>
                <w:lang w:val="en-US"/>
              </w:rPr>
              <w:t>(Provide enough detail to identify the commodity including the botanical name, authority, part of the plant for trade and its intended use)</w:t>
            </w:r>
          </w:p>
        </w:tc>
      </w:tr>
    </w:tbl>
    <w:p w14:paraId="382AF819" w14:textId="77777777" w:rsidR="00140EE4" w:rsidRPr="000A38EA" w:rsidRDefault="00140EE4" w:rsidP="00140EE4">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016"/>
      </w:tblGrid>
      <w:tr w:rsidR="00140EE4" w:rsidRPr="000A38EA" w14:paraId="3B6A6C6A" w14:textId="77777777" w:rsidTr="00140EE4">
        <w:trPr>
          <w:jc w:val="center"/>
        </w:trPr>
        <w:tc>
          <w:tcPr>
            <w:tcW w:w="5000" w:type="pct"/>
            <w:tcBorders>
              <w:top w:val="single" w:sz="4" w:space="0" w:color="auto"/>
              <w:left w:val="single" w:sz="4" w:space="0" w:color="auto"/>
              <w:bottom w:val="single" w:sz="4" w:space="0" w:color="auto"/>
              <w:right w:val="single" w:sz="4" w:space="0" w:color="auto"/>
            </w:tcBorders>
          </w:tcPr>
          <w:p w14:paraId="637C9EF0" w14:textId="77777777" w:rsidR="00140EE4" w:rsidRPr="000A38EA" w:rsidRDefault="00140EE4" w:rsidP="00140EE4">
            <w:pPr>
              <w:rPr>
                <w:i/>
                <w:iCs/>
                <w:lang w:val="en-US"/>
              </w:rPr>
            </w:pPr>
            <w:r w:rsidRPr="000A38EA">
              <w:rPr>
                <w:b/>
                <w:u w:val="single"/>
                <w:lang w:val="en-US"/>
              </w:rPr>
              <w:t>Submitted by:</w:t>
            </w:r>
            <w:r w:rsidRPr="000A38EA">
              <w:rPr>
                <w:lang w:val="en-US"/>
              </w:rPr>
              <w:t xml:space="preserve"> </w:t>
            </w:r>
            <w:r w:rsidRPr="000A38EA">
              <w:rPr>
                <w:i/>
                <w:iCs/>
                <w:lang w:val="en-US"/>
              </w:rPr>
              <w:t>(Name of national or regional plant protection organization)</w:t>
            </w:r>
          </w:p>
          <w:p w14:paraId="3EEA3E72" w14:textId="77777777" w:rsidR="00140EE4" w:rsidRPr="000A38EA" w:rsidRDefault="00140EE4" w:rsidP="00140EE4">
            <w:pPr>
              <w:rPr>
                <w:lang w:val="en-US"/>
              </w:rPr>
            </w:pPr>
          </w:p>
        </w:tc>
      </w:tr>
      <w:tr w:rsidR="00140EE4" w:rsidRPr="000A38EA" w14:paraId="47B6A017" w14:textId="77777777" w:rsidTr="00140EE4">
        <w:trPr>
          <w:jc w:val="center"/>
        </w:trPr>
        <w:tc>
          <w:tcPr>
            <w:tcW w:w="5000" w:type="pct"/>
            <w:tcBorders>
              <w:top w:val="single" w:sz="4" w:space="0" w:color="auto"/>
              <w:left w:val="single" w:sz="4" w:space="0" w:color="auto"/>
              <w:bottom w:val="single" w:sz="4" w:space="0" w:color="auto"/>
              <w:right w:val="single" w:sz="4" w:space="0" w:color="auto"/>
            </w:tcBorders>
            <w:hideMark/>
          </w:tcPr>
          <w:p w14:paraId="7CCDDF8B" w14:textId="77777777" w:rsidR="00140EE4" w:rsidRPr="000A38EA" w:rsidRDefault="00140EE4" w:rsidP="00140EE4">
            <w:pPr>
              <w:rPr>
                <w:i/>
                <w:iCs/>
                <w:lang w:val="en-US"/>
              </w:rPr>
            </w:pPr>
            <w:r w:rsidRPr="000A38EA">
              <w:rPr>
                <w:b/>
                <w:u w:val="single"/>
                <w:lang w:val="en-US"/>
              </w:rPr>
              <w:t>Contact:</w:t>
            </w:r>
            <w:r w:rsidRPr="000A38EA">
              <w:rPr>
                <w:lang w:val="en-US"/>
              </w:rPr>
              <w:t xml:space="preserve"> </w:t>
            </w:r>
            <w:r w:rsidRPr="000A38EA">
              <w:rPr>
                <w:i/>
                <w:iCs/>
                <w:lang w:val="en-US"/>
              </w:rPr>
              <w:t>(Contact information of an individual able to clarify issues relating to this submission, including pest risk assessment, phytosanitary measures, interception data related to measure etc.)</w:t>
            </w:r>
          </w:p>
          <w:p w14:paraId="0105CAD1" w14:textId="77777777" w:rsidR="00140EE4" w:rsidRPr="000A38EA" w:rsidRDefault="00140EE4" w:rsidP="00140EE4">
            <w:pPr>
              <w:tabs>
                <w:tab w:val="right" w:leader="dot" w:pos="9500"/>
              </w:tabs>
              <w:spacing w:before="60" w:after="60"/>
              <w:rPr>
                <w:lang w:val="en-US"/>
              </w:rPr>
            </w:pPr>
            <w:r w:rsidRPr="000A38EA">
              <w:rPr>
                <w:lang w:val="en-US"/>
              </w:rPr>
              <w:t>Name:</w:t>
            </w:r>
            <w:r w:rsidRPr="000A38EA">
              <w:rPr>
                <w:lang w:val="en-US"/>
              </w:rPr>
              <w:tab/>
            </w:r>
          </w:p>
          <w:p w14:paraId="56425604" w14:textId="77777777" w:rsidR="00140EE4" w:rsidRPr="000A38EA" w:rsidRDefault="00140EE4" w:rsidP="00140EE4">
            <w:pPr>
              <w:tabs>
                <w:tab w:val="right" w:leader="dot" w:pos="9500"/>
              </w:tabs>
              <w:spacing w:before="60" w:after="60"/>
              <w:rPr>
                <w:lang w:val="en-US"/>
              </w:rPr>
            </w:pPr>
            <w:r w:rsidRPr="000A38EA">
              <w:rPr>
                <w:lang w:val="en-US"/>
              </w:rPr>
              <w:t>Position and organization:</w:t>
            </w:r>
            <w:r w:rsidRPr="000A38EA">
              <w:rPr>
                <w:lang w:val="en-US"/>
              </w:rPr>
              <w:tab/>
            </w:r>
          </w:p>
          <w:p w14:paraId="49EACA18" w14:textId="77777777" w:rsidR="00140EE4" w:rsidRPr="000A38EA" w:rsidRDefault="00140EE4" w:rsidP="00140EE4">
            <w:pPr>
              <w:tabs>
                <w:tab w:val="right" w:leader="dot" w:pos="9500"/>
              </w:tabs>
              <w:spacing w:before="60" w:after="60"/>
              <w:rPr>
                <w:lang w:val="en-US"/>
              </w:rPr>
            </w:pPr>
            <w:r w:rsidRPr="000A38EA">
              <w:rPr>
                <w:lang w:val="en-US"/>
              </w:rPr>
              <w:t>Mailing address:</w:t>
            </w:r>
            <w:r w:rsidRPr="000A38EA">
              <w:rPr>
                <w:lang w:val="en-US"/>
              </w:rPr>
              <w:tab/>
            </w:r>
          </w:p>
          <w:p w14:paraId="4F57DC93" w14:textId="77777777" w:rsidR="00140EE4" w:rsidRPr="000A38EA" w:rsidRDefault="00140EE4" w:rsidP="00140EE4">
            <w:pPr>
              <w:tabs>
                <w:tab w:val="right" w:leader="dot" w:pos="9500"/>
              </w:tabs>
              <w:spacing w:before="60" w:after="60"/>
              <w:rPr>
                <w:lang w:val="en-US"/>
              </w:rPr>
            </w:pPr>
            <w:r w:rsidRPr="000A38EA">
              <w:rPr>
                <w:lang w:val="en-US"/>
              </w:rPr>
              <w:tab/>
            </w:r>
          </w:p>
          <w:p w14:paraId="78B5D5C8" w14:textId="77777777" w:rsidR="00140EE4" w:rsidRPr="000A38EA" w:rsidRDefault="00140EE4" w:rsidP="00140EE4">
            <w:pPr>
              <w:tabs>
                <w:tab w:val="right" w:leader="dot" w:pos="4500"/>
                <w:tab w:val="left" w:pos="4800"/>
                <w:tab w:val="right" w:leader="dot" w:pos="9500"/>
              </w:tabs>
              <w:spacing w:before="60" w:after="60"/>
              <w:rPr>
                <w:lang w:val="en-US"/>
              </w:rPr>
            </w:pPr>
            <w:r w:rsidRPr="000A38EA">
              <w:rPr>
                <w:lang w:val="en-US"/>
              </w:rPr>
              <w:t>Phone:</w:t>
            </w:r>
            <w:r w:rsidRPr="000A38EA">
              <w:rPr>
                <w:lang w:val="en-US"/>
              </w:rPr>
              <w:tab/>
            </w:r>
            <w:r w:rsidRPr="000A38EA">
              <w:rPr>
                <w:lang w:val="en-US"/>
              </w:rPr>
              <w:tab/>
              <w:t>Fax:</w:t>
            </w:r>
            <w:r w:rsidRPr="000A38EA">
              <w:rPr>
                <w:lang w:val="en-US"/>
              </w:rPr>
              <w:tab/>
            </w:r>
          </w:p>
          <w:p w14:paraId="72D74673" w14:textId="77777777" w:rsidR="00140EE4" w:rsidRPr="000A38EA" w:rsidRDefault="00140EE4" w:rsidP="00140EE4">
            <w:pPr>
              <w:tabs>
                <w:tab w:val="right" w:leader="dot" w:pos="9525"/>
              </w:tabs>
              <w:rPr>
                <w:lang w:val="en-US"/>
              </w:rPr>
            </w:pPr>
            <w:r w:rsidRPr="000A38EA">
              <w:rPr>
                <w:lang w:val="en-US"/>
              </w:rPr>
              <w:t>E-mail:</w:t>
            </w:r>
            <w:r w:rsidRPr="000A38EA">
              <w:rPr>
                <w:lang w:val="en-US"/>
              </w:rPr>
              <w:tab/>
            </w:r>
          </w:p>
        </w:tc>
      </w:tr>
    </w:tbl>
    <w:p w14:paraId="44286500" w14:textId="77777777" w:rsidR="00140EE4" w:rsidRPr="000A38EA" w:rsidRDefault="00140EE4" w:rsidP="00140EE4"/>
    <w:p w14:paraId="5CB79840" w14:textId="77777777" w:rsidR="00140EE4" w:rsidRPr="000A38EA" w:rsidRDefault="00140EE4" w:rsidP="00140EE4">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0A38EA">
        <w:rPr>
          <w:b/>
        </w:rPr>
        <w:t>List of regulated pests associated with the commodity for trade</w:t>
      </w:r>
    </w:p>
    <w:p w14:paraId="0A58B4A2" w14:textId="3105DE76" w:rsidR="00140EE4" w:rsidRDefault="00140EE4" w:rsidP="00140EE4">
      <w:pPr>
        <w:outlineLvl w:val="0"/>
        <w:rPr>
          <w:i/>
          <w:iCs/>
          <w:lang w:val="en-US"/>
        </w:rPr>
      </w:pPr>
      <w:r w:rsidRPr="000A38EA">
        <w:rPr>
          <w:bCs/>
          <w:i/>
          <w:iCs/>
        </w:rPr>
        <w:t xml:space="preserve">(Only include pests that are regulated by your </w:t>
      </w:r>
      <w:r w:rsidRPr="000A38EA">
        <w:rPr>
          <w:i/>
          <w:iCs/>
          <w:lang w:val="en-US"/>
        </w:rPr>
        <w:t xml:space="preserve">national </w:t>
      </w:r>
      <w:r w:rsidR="00F6201D" w:rsidRPr="00EF4D67">
        <w:rPr>
          <w:i/>
          <w:iCs/>
          <w:lang w:val="en-US"/>
        </w:rPr>
        <w:t xml:space="preserve">plant protection </w:t>
      </w:r>
      <w:r w:rsidR="00EF4D67" w:rsidRPr="00EF4D67">
        <w:rPr>
          <w:i/>
          <w:iCs/>
          <w:lang w:val="en-US"/>
        </w:rPr>
        <w:t>organization</w:t>
      </w:r>
      <w:r w:rsidR="00F6201D" w:rsidRPr="00EF4D67">
        <w:rPr>
          <w:i/>
          <w:iCs/>
          <w:lang w:val="en-US"/>
        </w:rPr>
        <w:t xml:space="preserve"> </w:t>
      </w:r>
      <w:r w:rsidRPr="000A38EA">
        <w:rPr>
          <w:bCs/>
          <w:i/>
          <w:iCs/>
        </w:rPr>
        <w:t xml:space="preserve">and are associated with the plant or plant part traded (e.g. </w:t>
      </w:r>
      <w:r w:rsidRPr="000A38EA">
        <w:rPr>
          <w:i/>
          <w:iCs/>
          <w:lang w:val="en-US"/>
        </w:rPr>
        <w:t xml:space="preserve">if </w:t>
      </w:r>
      <w:r>
        <w:rPr>
          <w:i/>
          <w:iCs/>
          <w:lang w:val="en-US"/>
        </w:rPr>
        <w:t xml:space="preserve">only </w:t>
      </w:r>
      <w:r w:rsidRPr="000A38EA">
        <w:rPr>
          <w:i/>
          <w:iCs/>
          <w:lang w:val="en-US"/>
        </w:rPr>
        <w:t>fruit is traded then do not include pests that are only associated with leaves)).</w:t>
      </w:r>
      <w:r w:rsidR="00EF4D67">
        <w:rPr>
          <w:i/>
          <w:iCs/>
          <w:lang w:val="en-US"/>
        </w:rPr>
        <w:t xml:space="preserve"> Also consider including </w:t>
      </w:r>
      <w:r w:rsidR="00EF4D67" w:rsidRPr="00EF4D67">
        <w:rPr>
          <w:i/>
          <w:iCs/>
          <w:lang w:val="en-US"/>
        </w:rPr>
        <w:t>pests regulated by other countries</w:t>
      </w:r>
      <w:r w:rsidR="00EF4D67">
        <w:rPr>
          <w:i/>
          <w:iCs/>
          <w:lang w:val="en-US"/>
        </w:rPr>
        <w:t xml:space="preserve">, especially for those instances in which your NPPO export the commodity.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3"/>
        <w:gridCol w:w="1843"/>
        <w:gridCol w:w="1985"/>
        <w:gridCol w:w="2976"/>
      </w:tblGrid>
      <w:tr w:rsidR="00140EE4" w:rsidRPr="000A38EA" w14:paraId="5FC3A2E3" w14:textId="77777777" w:rsidTr="00140EE4">
        <w:trPr>
          <w:tblHeader/>
          <w:jc w:val="center"/>
        </w:trPr>
        <w:tc>
          <w:tcPr>
            <w:tcW w:w="2263" w:type="dxa"/>
            <w:tcBorders>
              <w:top w:val="single" w:sz="4" w:space="0" w:color="auto"/>
              <w:left w:val="single" w:sz="4" w:space="0" w:color="auto"/>
              <w:bottom w:val="single" w:sz="4" w:space="0" w:color="auto"/>
              <w:right w:val="single" w:sz="4" w:space="0" w:color="auto"/>
            </w:tcBorders>
          </w:tcPr>
          <w:p w14:paraId="0816551D" w14:textId="77777777" w:rsidR="00140EE4" w:rsidRPr="000A38EA" w:rsidRDefault="00140EE4" w:rsidP="00140EE4">
            <w:pPr>
              <w:spacing w:before="60" w:after="60"/>
              <w:rPr>
                <w:rFonts w:eastAsia="Times"/>
                <w:b/>
                <w:bCs/>
                <w:lang w:val="en-US"/>
              </w:rPr>
            </w:pPr>
            <w:r w:rsidRPr="000A38EA">
              <w:rPr>
                <w:rFonts w:eastAsia="Times"/>
                <w:b/>
                <w:bCs/>
                <w:lang w:val="en-US"/>
              </w:rPr>
              <w:t>Pest type</w:t>
            </w:r>
          </w:p>
        </w:tc>
        <w:tc>
          <w:tcPr>
            <w:tcW w:w="1843" w:type="dxa"/>
            <w:tcBorders>
              <w:top w:val="single" w:sz="4" w:space="0" w:color="auto"/>
              <w:left w:val="single" w:sz="4" w:space="0" w:color="auto"/>
              <w:bottom w:val="single" w:sz="4" w:space="0" w:color="auto"/>
              <w:right w:val="single" w:sz="4" w:space="0" w:color="auto"/>
            </w:tcBorders>
          </w:tcPr>
          <w:p w14:paraId="5BCBFE18" w14:textId="77777777" w:rsidR="00140EE4" w:rsidRPr="000A38EA" w:rsidRDefault="00140EE4" w:rsidP="00140EE4">
            <w:pPr>
              <w:spacing w:before="60" w:after="60"/>
              <w:rPr>
                <w:rFonts w:eastAsia="Times"/>
                <w:b/>
                <w:bCs/>
                <w:lang w:val="en-US"/>
              </w:rPr>
            </w:pPr>
            <w:r w:rsidRPr="000A38EA">
              <w:rPr>
                <w:rFonts w:eastAsia="Times"/>
                <w:b/>
                <w:bCs/>
                <w:lang w:val="en-US"/>
              </w:rPr>
              <w:t>Family</w:t>
            </w:r>
          </w:p>
        </w:tc>
        <w:tc>
          <w:tcPr>
            <w:tcW w:w="1985" w:type="dxa"/>
            <w:tcBorders>
              <w:top w:val="single" w:sz="4" w:space="0" w:color="auto"/>
              <w:left w:val="single" w:sz="4" w:space="0" w:color="auto"/>
              <w:bottom w:val="single" w:sz="4" w:space="0" w:color="auto"/>
              <w:right w:val="single" w:sz="4" w:space="0" w:color="auto"/>
            </w:tcBorders>
          </w:tcPr>
          <w:p w14:paraId="3BDFC047" w14:textId="77777777" w:rsidR="00140EE4" w:rsidRPr="000A38EA" w:rsidRDefault="00140EE4" w:rsidP="00140EE4">
            <w:pPr>
              <w:spacing w:before="60" w:after="60"/>
              <w:rPr>
                <w:rFonts w:eastAsia="Times"/>
                <w:b/>
                <w:bCs/>
                <w:lang w:val="en-US"/>
              </w:rPr>
            </w:pPr>
            <w:r w:rsidRPr="000A38EA">
              <w:rPr>
                <w:rFonts w:eastAsia="Times"/>
                <w:b/>
                <w:bCs/>
                <w:lang w:val="en-US"/>
              </w:rPr>
              <w:t>Species (include authority)</w:t>
            </w:r>
          </w:p>
        </w:tc>
        <w:tc>
          <w:tcPr>
            <w:tcW w:w="2976" w:type="dxa"/>
            <w:tcBorders>
              <w:top w:val="single" w:sz="4" w:space="0" w:color="auto"/>
              <w:left w:val="single" w:sz="4" w:space="0" w:color="auto"/>
              <w:bottom w:val="single" w:sz="4" w:space="0" w:color="auto"/>
              <w:right w:val="single" w:sz="4" w:space="0" w:color="auto"/>
            </w:tcBorders>
          </w:tcPr>
          <w:p w14:paraId="11E02A4E" w14:textId="77777777" w:rsidR="00140EE4" w:rsidRPr="000A38EA" w:rsidRDefault="00140EE4" w:rsidP="00140EE4">
            <w:pPr>
              <w:spacing w:before="60" w:after="60"/>
              <w:rPr>
                <w:rFonts w:eastAsia="Times"/>
                <w:b/>
                <w:bCs/>
                <w:lang w:val="en-US"/>
              </w:rPr>
            </w:pPr>
            <w:r w:rsidRPr="000A38EA">
              <w:rPr>
                <w:rFonts w:eastAsia="Times"/>
                <w:b/>
                <w:bCs/>
                <w:lang w:val="en-US"/>
              </w:rPr>
              <w:t>Link to pest risk assessment (if available)</w:t>
            </w:r>
          </w:p>
        </w:tc>
      </w:tr>
      <w:tr w:rsidR="00140EE4" w:rsidRPr="000A38EA" w14:paraId="0B9CB8F2" w14:textId="77777777" w:rsidTr="00140EE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4CD347" w14:textId="77777777" w:rsidR="00140EE4" w:rsidRPr="000A38EA" w:rsidRDefault="00140EE4" w:rsidP="00140EE4">
            <w:pPr>
              <w:spacing w:before="60" w:after="60"/>
              <w:rPr>
                <w:rFonts w:eastAsia="Times"/>
                <w:lang w:val="en-US"/>
              </w:rPr>
            </w:pPr>
            <w:r w:rsidRPr="000A38EA">
              <w:rPr>
                <w:rFonts w:eastAsia="Times"/>
                <w:lang w:val="en-US"/>
              </w:rPr>
              <w:t>e.g. fruit flies, moths, thrips, fungi, bacteria, fungi, virus</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1522B73" w14:textId="77777777" w:rsidR="00140EE4" w:rsidRPr="000A38EA" w:rsidRDefault="00140EE4" w:rsidP="00140EE4">
            <w:pPr>
              <w:spacing w:before="60" w:after="60"/>
              <w:rPr>
                <w:rFonts w:eastAsia="Times"/>
                <w:lang w:val="en-US"/>
              </w:rPr>
            </w:pPr>
          </w:p>
        </w:tc>
        <w:tc>
          <w:tcPr>
            <w:tcW w:w="1985" w:type="dxa"/>
            <w:tcBorders>
              <w:top w:val="single" w:sz="4" w:space="0" w:color="auto"/>
              <w:left w:val="single" w:sz="4" w:space="0" w:color="auto"/>
              <w:bottom w:val="single" w:sz="4" w:space="0" w:color="auto"/>
              <w:right w:val="single" w:sz="4" w:space="0" w:color="auto"/>
            </w:tcBorders>
          </w:tcPr>
          <w:p w14:paraId="7859C0E7" w14:textId="77777777" w:rsidR="00140EE4" w:rsidRPr="000A38EA" w:rsidRDefault="00140EE4" w:rsidP="00140EE4">
            <w:pPr>
              <w:spacing w:before="60" w:after="60"/>
              <w:rPr>
                <w:rFonts w:eastAsia="Times"/>
                <w:lang w:val="en-US"/>
              </w:rPr>
            </w:pPr>
          </w:p>
        </w:tc>
        <w:tc>
          <w:tcPr>
            <w:tcW w:w="2976" w:type="dxa"/>
            <w:tcBorders>
              <w:top w:val="single" w:sz="4" w:space="0" w:color="auto"/>
              <w:left w:val="single" w:sz="4" w:space="0" w:color="auto"/>
              <w:bottom w:val="single" w:sz="4" w:space="0" w:color="auto"/>
              <w:right w:val="single" w:sz="4" w:space="0" w:color="auto"/>
            </w:tcBorders>
          </w:tcPr>
          <w:p w14:paraId="264A4DF0" w14:textId="77777777" w:rsidR="00140EE4" w:rsidRPr="000A38EA" w:rsidRDefault="00140EE4" w:rsidP="00140EE4">
            <w:pPr>
              <w:spacing w:before="60" w:after="60"/>
              <w:rPr>
                <w:rFonts w:eastAsia="Times"/>
                <w:lang w:val="en-US"/>
              </w:rPr>
            </w:pPr>
          </w:p>
        </w:tc>
      </w:tr>
    </w:tbl>
    <w:bookmarkEnd w:id="1"/>
    <w:bookmarkEnd w:id="2"/>
    <w:bookmarkEnd w:id="3"/>
    <w:bookmarkEnd w:id="4"/>
    <w:bookmarkEnd w:id="5"/>
    <w:bookmarkEnd w:id="6"/>
    <w:bookmarkEnd w:id="7"/>
    <w:p w14:paraId="166FDDB4" w14:textId="77777777" w:rsidR="00140EE4" w:rsidRPr="00240BE6" w:rsidRDefault="00140EE4" w:rsidP="00140EE4">
      <w:pPr>
        <w:keepNext/>
        <w:spacing w:after="180"/>
        <w:rPr>
          <w:rFonts w:eastAsia="Times"/>
          <w:b/>
          <w:bCs/>
          <w:i/>
          <w:iCs/>
        </w:rPr>
      </w:pPr>
      <w:r w:rsidRPr="00B12E27">
        <w:rPr>
          <w:rFonts w:eastAsia="Times"/>
          <w:b/>
          <w:bCs/>
        </w:rPr>
        <w:lastRenderedPageBreak/>
        <w:t>List of Measures</w:t>
      </w:r>
      <w:r>
        <w:rPr>
          <w:rFonts w:eastAsia="Times"/>
          <w:b/>
          <w:bCs/>
        </w:rPr>
        <w:t xml:space="preserve"> </w:t>
      </w:r>
      <w:r w:rsidRPr="00240BE6">
        <w:rPr>
          <w:rFonts w:eastAsia="Times"/>
          <w:i/>
          <w:iCs/>
        </w:rPr>
        <w:t>(</w:t>
      </w:r>
      <w:r>
        <w:rPr>
          <w:rFonts w:eastAsia="Times"/>
          <w:i/>
          <w:iCs/>
        </w:rPr>
        <w:t>Please repeat this part for each measure proposed)</w:t>
      </w:r>
    </w:p>
    <w:tbl>
      <w:tblPr>
        <w:tblStyle w:val="TableGrid"/>
        <w:tblW w:w="9067" w:type="dxa"/>
        <w:tblLook w:val="04A0" w:firstRow="1" w:lastRow="0" w:firstColumn="1" w:lastColumn="0" w:noHBand="0" w:noVBand="1"/>
      </w:tblPr>
      <w:tblGrid>
        <w:gridCol w:w="2122"/>
        <w:gridCol w:w="6945"/>
      </w:tblGrid>
      <w:tr w:rsidR="00140EE4" w14:paraId="75E03781" w14:textId="77777777" w:rsidTr="00140EE4">
        <w:tc>
          <w:tcPr>
            <w:tcW w:w="9067" w:type="dxa"/>
            <w:gridSpan w:val="2"/>
            <w:shd w:val="clear" w:color="auto" w:fill="244061" w:themeFill="accent1" w:themeFillShade="80"/>
          </w:tcPr>
          <w:p w14:paraId="5C99084C" w14:textId="77777777" w:rsidR="00140EE4" w:rsidRDefault="00140EE4" w:rsidP="00140EE4">
            <w:pPr>
              <w:keepNext/>
              <w:spacing w:after="180"/>
              <w:rPr>
                <w:rFonts w:eastAsia="Times"/>
                <w:b/>
                <w:bCs/>
              </w:rPr>
            </w:pPr>
            <w:r>
              <w:rPr>
                <w:rFonts w:eastAsia="Times"/>
                <w:b/>
                <w:bCs/>
              </w:rPr>
              <w:t xml:space="preserve">Name and Description of Measure </w:t>
            </w:r>
          </w:p>
        </w:tc>
      </w:tr>
      <w:tr w:rsidR="00140EE4" w14:paraId="1D732F96" w14:textId="77777777" w:rsidTr="00140EE4">
        <w:tc>
          <w:tcPr>
            <w:tcW w:w="2122" w:type="dxa"/>
          </w:tcPr>
          <w:p w14:paraId="35BE3F48" w14:textId="77777777" w:rsidR="00140EE4" w:rsidRDefault="00140EE4" w:rsidP="00140EE4">
            <w:pPr>
              <w:keepNext/>
              <w:spacing w:after="180"/>
              <w:rPr>
                <w:rFonts w:eastAsia="Times"/>
                <w:b/>
                <w:bCs/>
              </w:rPr>
            </w:pPr>
            <w:r>
              <w:rPr>
                <w:rFonts w:eastAsia="Times"/>
                <w:b/>
                <w:bCs/>
              </w:rPr>
              <w:t>Name of Measure</w:t>
            </w:r>
          </w:p>
        </w:tc>
        <w:tc>
          <w:tcPr>
            <w:tcW w:w="6945" w:type="dxa"/>
          </w:tcPr>
          <w:p w14:paraId="5E8E8AE4" w14:textId="77777777" w:rsidR="00140EE4" w:rsidRPr="00F119A3" w:rsidRDefault="00140EE4" w:rsidP="00140EE4">
            <w:pPr>
              <w:keepNext/>
              <w:spacing w:after="180"/>
              <w:rPr>
                <w:rFonts w:eastAsia="Times"/>
                <w:i/>
                <w:iCs/>
              </w:rPr>
            </w:pPr>
            <w:r w:rsidRPr="00F119A3">
              <w:rPr>
                <w:rFonts w:eastAsia="Times"/>
                <w:i/>
                <w:iCs/>
              </w:rPr>
              <w:t>e.g. vapour heat treatment, cold treatment, irradiation, systems approach, PFA, PFPP, PFPS</w:t>
            </w:r>
            <w:r>
              <w:rPr>
                <w:rFonts w:eastAsia="Times"/>
                <w:i/>
                <w:iCs/>
              </w:rPr>
              <w:t>, pesticide</w:t>
            </w:r>
          </w:p>
        </w:tc>
      </w:tr>
      <w:tr w:rsidR="00140EE4" w14:paraId="4B0CDD12" w14:textId="77777777" w:rsidTr="00140EE4">
        <w:tc>
          <w:tcPr>
            <w:tcW w:w="2122" w:type="dxa"/>
          </w:tcPr>
          <w:p w14:paraId="66F55067" w14:textId="77777777" w:rsidR="00140EE4" w:rsidRDefault="00140EE4" w:rsidP="00140EE4">
            <w:pPr>
              <w:keepNext/>
              <w:spacing w:after="180"/>
              <w:rPr>
                <w:rFonts w:eastAsia="Times"/>
                <w:b/>
                <w:bCs/>
              </w:rPr>
            </w:pPr>
            <w:r>
              <w:rPr>
                <w:rFonts w:eastAsia="Times"/>
                <w:b/>
                <w:bCs/>
              </w:rPr>
              <w:t>Measure Type</w:t>
            </w:r>
          </w:p>
        </w:tc>
        <w:tc>
          <w:tcPr>
            <w:tcW w:w="6945" w:type="dxa"/>
          </w:tcPr>
          <w:p w14:paraId="6C1A611F" w14:textId="77777777" w:rsidR="00140EE4" w:rsidRPr="00B869D5" w:rsidRDefault="00140EE4" w:rsidP="00140EE4">
            <w:pPr>
              <w:keepNext/>
              <w:spacing w:after="180"/>
              <w:rPr>
                <w:rFonts w:eastAsia="Times"/>
                <w:i/>
                <w:iCs/>
              </w:rPr>
            </w:pPr>
            <w:r w:rsidRPr="00B869D5">
              <w:rPr>
                <w:rFonts w:eastAsia="Times"/>
                <w:i/>
                <w:iCs/>
              </w:rPr>
              <w:t>e.g. physical, chemical, biological</w:t>
            </w:r>
          </w:p>
        </w:tc>
      </w:tr>
      <w:tr w:rsidR="00140EE4" w14:paraId="1B3F7B38" w14:textId="77777777" w:rsidTr="00140EE4">
        <w:tc>
          <w:tcPr>
            <w:tcW w:w="2122" w:type="dxa"/>
          </w:tcPr>
          <w:p w14:paraId="4789CA4A" w14:textId="77777777" w:rsidR="00140EE4" w:rsidRDefault="00140EE4" w:rsidP="00140EE4">
            <w:pPr>
              <w:keepNext/>
              <w:spacing w:after="180"/>
              <w:rPr>
                <w:rFonts w:eastAsia="Times"/>
                <w:b/>
                <w:bCs/>
              </w:rPr>
            </w:pPr>
            <w:r>
              <w:rPr>
                <w:rFonts w:eastAsia="Times"/>
                <w:b/>
                <w:bCs/>
              </w:rPr>
              <w:t>Active Ingredient</w:t>
            </w:r>
          </w:p>
        </w:tc>
        <w:tc>
          <w:tcPr>
            <w:tcW w:w="6945" w:type="dxa"/>
          </w:tcPr>
          <w:p w14:paraId="0C224F0E" w14:textId="77777777" w:rsidR="00140EE4" w:rsidRPr="00F119A3" w:rsidRDefault="00140EE4" w:rsidP="00140EE4">
            <w:pPr>
              <w:keepNext/>
              <w:spacing w:after="180"/>
              <w:rPr>
                <w:rFonts w:eastAsia="Times"/>
                <w:i/>
                <w:iCs/>
              </w:rPr>
            </w:pPr>
            <w:r w:rsidRPr="00F119A3">
              <w:rPr>
                <w:rFonts w:eastAsia="Times"/>
                <w:i/>
                <w:iCs/>
              </w:rPr>
              <w:t>For chemical treatments only</w:t>
            </w:r>
          </w:p>
        </w:tc>
      </w:tr>
      <w:tr w:rsidR="00140EE4" w14:paraId="251077BB" w14:textId="77777777" w:rsidTr="00140EE4">
        <w:tc>
          <w:tcPr>
            <w:tcW w:w="2122" w:type="dxa"/>
          </w:tcPr>
          <w:p w14:paraId="6D66D07C" w14:textId="77777777" w:rsidR="00140EE4" w:rsidRDefault="00140EE4" w:rsidP="00140EE4">
            <w:pPr>
              <w:keepNext/>
              <w:spacing w:after="180"/>
              <w:rPr>
                <w:rFonts w:eastAsia="Times"/>
                <w:b/>
                <w:bCs/>
              </w:rPr>
            </w:pPr>
            <w:r>
              <w:rPr>
                <w:rFonts w:eastAsia="Times"/>
                <w:b/>
                <w:bCs/>
              </w:rPr>
              <w:t>Schedule</w:t>
            </w:r>
          </w:p>
        </w:tc>
        <w:tc>
          <w:tcPr>
            <w:tcW w:w="6945" w:type="dxa"/>
          </w:tcPr>
          <w:p w14:paraId="1C590748" w14:textId="77777777" w:rsidR="00140EE4" w:rsidRDefault="00140EE4" w:rsidP="00140EE4">
            <w:pPr>
              <w:keepNext/>
              <w:spacing w:after="180"/>
              <w:rPr>
                <w:i/>
                <w:lang w:val="en-US"/>
              </w:rPr>
            </w:pPr>
            <w:r>
              <w:rPr>
                <w:rFonts w:eastAsia="Times"/>
                <w:i/>
                <w:iCs/>
              </w:rPr>
              <w:t xml:space="preserve">For treatments, the schedule should include details such as </w:t>
            </w:r>
            <w:r>
              <w:rPr>
                <w:i/>
                <w:lang w:val="en-US"/>
              </w:rPr>
              <w:t xml:space="preserve">dose, concentration, time, temperature, relative humidity, where applicable, efficacy and confidence if known. </w:t>
            </w:r>
          </w:p>
          <w:p w14:paraId="1E790DBB" w14:textId="77777777" w:rsidR="00140EE4" w:rsidRPr="00F119A3" w:rsidRDefault="00140EE4" w:rsidP="00140EE4">
            <w:pPr>
              <w:keepNext/>
              <w:spacing w:after="180"/>
              <w:rPr>
                <w:rFonts w:eastAsia="Times"/>
                <w:i/>
                <w:iCs/>
              </w:rPr>
            </w:pPr>
            <w:r>
              <w:rPr>
                <w:rFonts w:eastAsia="Times"/>
                <w:i/>
                <w:iCs/>
              </w:rPr>
              <w:t>For systems approaches, please include a description of the independent measures.</w:t>
            </w:r>
          </w:p>
        </w:tc>
      </w:tr>
      <w:tr w:rsidR="00140EE4" w14:paraId="0B96BE0D" w14:textId="77777777" w:rsidTr="00140EE4">
        <w:tc>
          <w:tcPr>
            <w:tcW w:w="2122" w:type="dxa"/>
          </w:tcPr>
          <w:p w14:paraId="03CE0EA3" w14:textId="77777777" w:rsidR="00140EE4" w:rsidRDefault="00140EE4" w:rsidP="00140EE4">
            <w:pPr>
              <w:keepNext/>
              <w:spacing w:after="180"/>
              <w:rPr>
                <w:rFonts w:eastAsia="Times"/>
                <w:b/>
                <w:bCs/>
              </w:rPr>
            </w:pPr>
            <w:r>
              <w:rPr>
                <w:rFonts w:eastAsia="Times"/>
                <w:b/>
                <w:bCs/>
              </w:rPr>
              <w:t xml:space="preserve">Target Pest </w:t>
            </w:r>
          </w:p>
        </w:tc>
        <w:tc>
          <w:tcPr>
            <w:tcW w:w="6945" w:type="dxa"/>
          </w:tcPr>
          <w:p w14:paraId="1314448E" w14:textId="77777777" w:rsidR="00140EE4" w:rsidRPr="00F119A3" w:rsidRDefault="00140EE4" w:rsidP="00140EE4">
            <w:pPr>
              <w:keepNext/>
              <w:spacing w:after="180"/>
              <w:rPr>
                <w:rFonts w:eastAsia="Times"/>
                <w:i/>
                <w:iCs/>
              </w:rPr>
            </w:pPr>
            <w:r>
              <w:rPr>
                <w:rFonts w:eastAsia="Times"/>
                <w:i/>
                <w:iCs/>
              </w:rPr>
              <w:t>Include the regulated pests and life stages that the measure manages. Pests should be included in the lis</w:t>
            </w:r>
            <w:r w:rsidRPr="00F119A3">
              <w:rPr>
                <w:rFonts w:eastAsia="Times"/>
                <w:i/>
                <w:iCs/>
              </w:rPr>
              <w:t>t of pests (above)</w:t>
            </w:r>
          </w:p>
        </w:tc>
      </w:tr>
      <w:tr w:rsidR="00140EE4" w14:paraId="66B1CF77" w14:textId="77777777" w:rsidTr="00140EE4">
        <w:tc>
          <w:tcPr>
            <w:tcW w:w="2122" w:type="dxa"/>
          </w:tcPr>
          <w:p w14:paraId="3105B09F" w14:textId="77777777" w:rsidR="00140EE4" w:rsidRDefault="00140EE4" w:rsidP="00140EE4">
            <w:pPr>
              <w:keepNext/>
              <w:spacing w:after="180"/>
              <w:rPr>
                <w:rFonts w:eastAsia="Times"/>
                <w:b/>
                <w:bCs/>
              </w:rPr>
            </w:pPr>
            <w:r>
              <w:rPr>
                <w:rFonts w:eastAsia="Times"/>
                <w:b/>
                <w:bCs/>
              </w:rPr>
              <w:t>Reference</w:t>
            </w:r>
          </w:p>
        </w:tc>
        <w:tc>
          <w:tcPr>
            <w:tcW w:w="6945" w:type="dxa"/>
          </w:tcPr>
          <w:p w14:paraId="42558A92" w14:textId="77777777" w:rsidR="00140EE4" w:rsidRDefault="00140EE4" w:rsidP="00140EE4">
            <w:pPr>
              <w:keepNext/>
              <w:spacing w:after="180"/>
              <w:rPr>
                <w:rFonts w:eastAsia="Times"/>
                <w:i/>
                <w:iCs/>
              </w:rPr>
            </w:pPr>
            <w:r>
              <w:rPr>
                <w:rFonts w:eastAsia="Times"/>
                <w:i/>
                <w:iCs/>
              </w:rPr>
              <w:t>Include any available reference or website link</w:t>
            </w:r>
          </w:p>
        </w:tc>
      </w:tr>
    </w:tbl>
    <w:p w14:paraId="7FD69137" w14:textId="77777777" w:rsidR="00EF4D67" w:rsidRDefault="00EF4D67" w:rsidP="00EF4D67">
      <w:pPr>
        <w:keepNext/>
        <w:rPr>
          <w:rFonts w:eastAsia="Times"/>
          <w:b/>
          <w:bCs/>
        </w:rPr>
      </w:pPr>
    </w:p>
    <w:tbl>
      <w:tblPr>
        <w:tblStyle w:val="TableGrid"/>
        <w:tblW w:w="9067" w:type="dxa"/>
        <w:tblLook w:val="04A0" w:firstRow="1" w:lastRow="0" w:firstColumn="1" w:lastColumn="0" w:noHBand="0" w:noVBand="1"/>
      </w:tblPr>
      <w:tblGrid>
        <w:gridCol w:w="9067"/>
      </w:tblGrid>
      <w:tr w:rsidR="00EF4D67" w14:paraId="0E313685" w14:textId="77777777" w:rsidTr="00EF4D67">
        <w:tc>
          <w:tcPr>
            <w:tcW w:w="9067" w:type="dxa"/>
            <w:shd w:val="clear" w:color="auto" w:fill="244061" w:themeFill="accent1" w:themeFillShade="80"/>
          </w:tcPr>
          <w:p w14:paraId="658DDBAC" w14:textId="77777777" w:rsidR="00EF4D67" w:rsidRPr="00AA29C5" w:rsidRDefault="00EF4D67" w:rsidP="00EF4D67">
            <w:pPr>
              <w:keepNext/>
              <w:spacing w:after="180"/>
              <w:rPr>
                <w:rFonts w:eastAsia="Times"/>
                <w:i/>
                <w:iCs/>
              </w:rPr>
            </w:pPr>
            <w:r w:rsidRPr="005E0389">
              <w:rPr>
                <w:rFonts w:eastAsia="Times"/>
                <w:b/>
                <w:bCs/>
              </w:rPr>
              <w:t>Other information</w:t>
            </w:r>
            <w:r>
              <w:rPr>
                <w:rFonts w:eastAsia="Times"/>
                <w:b/>
                <w:bCs/>
              </w:rPr>
              <w:t xml:space="preserve"> </w:t>
            </w:r>
            <w:r>
              <w:rPr>
                <w:rFonts w:eastAsia="Times"/>
                <w:i/>
                <w:iCs/>
              </w:rPr>
              <w:t xml:space="preserve">(Please complete as many fields as possible)  </w:t>
            </w:r>
          </w:p>
        </w:tc>
      </w:tr>
      <w:tr w:rsidR="00EF4D67" w14:paraId="12B7B18C" w14:textId="77777777" w:rsidTr="00EF4D67">
        <w:tc>
          <w:tcPr>
            <w:tcW w:w="9067" w:type="dxa"/>
            <w:shd w:val="clear" w:color="auto" w:fill="DBE5F1" w:themeFill="accent1" w:themeFillTint="33"/>
          </w:tcPr>
          <w:p w14:paraId="11054869" w14:textId="77777777" w:rsidR="00EF4D67" w:rsidRPr="005E0389" w:rsidRDefault="00EF4D67" w:rsidP="00EF4D67">
            <w:pPr>
              <w:keepNext/>
              <w:spacing w:after="180"/>
              <w:rPr>
                <w:rFonts w:eastAsia="Times"/>
                <w:b/>
                <w:bCs/>
              </w:rPr>
            </w:pPr>
            <w:r w:rsidRPr="00697DFC">
              <w:rPr>
                <w:rFonts w:eastAsia="Times"/>
                <w:b/>
                <w:bCs/>
                <w:lang w:val="en-US"/>
              </w:rPr>
              <w:t xml:space="preserve">Is there </w:t>
            </w:r>
            <w:r>
              <w:rPr>
                <w:rFonts w:eastAsia="Times"/>
                <w:b/>
                <w:bCs/>
                <w:lang w:val="en-US"/>
              </w:rPr>
              <w:t xml:space="preserve">quantitative or qualitative </w:t>
            </w:r>
            <w:r w:rsidRPr="00697DFC">
              <w:rPr>
                <w:rFonts w:eastAsia="Times"/>
                <w:b/>
                <w:bCs/>
                <w:lang w:val="en-US"/>
              </w:rPr>
              <w:t>evidence to indicate the measure is effective?</w:t>
            </w:r>
          </w:p>
        </w:tc>
      </w:tr>
      <w:tr w:rsidR="00EF4D67" w:rsidRPr="00697DFC" w14:paraId="58B719E2" w14:textId="77777777" w:rsidTr="00EF4D67">
        <w:tc>
          <w:tcPr>
            <w:tcW w:w="9067" w:type="dxa"/>
          </w:tcPr>
          <w:p w14:paraId="2C2313B0" w14:textId="77777777" w:rsidR="00EF4D67" w:rsidRPr="00697DFC" w:rsidRDefault="00EF4D67" w:rsidP="00EF4D67">
            <w:pPr>
              <w:keepNext/>
              <w:spacing w:after="180"/>
              <w:rPr>
                <w:rFonts w:eastAsia="Times"/>
                <w:b/>
                <w:bCs/>
                <w:lang w:val="en-US"/>
              </w:rPr>
            </w:pPr>
            <w:r w:rsidRPr="00697DFC">
              <w:rPr>
                <w:rFonts w:eastAsia="Times"/>
                <w:i/>
                <w:iCs/>
                <w:lang w:val="en-US"/>
              </w:rPr>
              <w:t xml:space="preserve">Where possible, provide </w:t>
            </w:r>
            <w:r>
              <w:rPr>
                <w:rFonts w:eastAsia="Times"/>
                <w:i/>
                <w:iCs/>
                <w:lang w:val="en-US"/>
              </w:rPr>
              <w:t>published references or experimental data to support the measure.</w:t>
            </w:r>
          </w:p>
        </w:tc>
      </w:tr>
      <w:tr w:rsidR="00EF4D67" w14:paraId="66FB262D" w14:textId="77777777" w:rsidTr="00EF4D67">
        <w:tc>
          <w:tcPr>
            <w:tcW w:w="9067" w:type="dxa"/>
            <w:shd w:val="clear" w:color="auto" w:fill="DBE5F1" w:themeFill="accent1" w:themeFillTint="33"/>
          </w:tcPr>
          <w:p w14:paraId="0368CFDE" w14:textId="77777777" w:rsidR="00EF4D67" w:rsidRPr="00697DFC" w:rsidRDefault="00EF4D67" w:rsidP="00EF4D67">
            <w:pPr>
              <w:keepNext/>
              <w:spacing w:after="180"/>
              <w:rPr>
                <w:rFonts w:eastAsia="Times"/>
                <w:i/>
                <w:iCs/>
                <w:lang w:val="en-US"/>
              </w:rPr>
            </w:pPr>
            <w:r>
              <w:rPr>
                <w:rFonts w:eastAsia="Times"/>
                <w:b/>
                <w:bCs/>
                <w:lang w:val="en-US"/>
              </w:rPr>
              <w:t>Does experience from use in</w:t>
            </w:r>
            <w:r w:rsidRPr="00697DFC">
              <w:rPr>
                <w:rFonts w:eastAsia="Times"/>
                <w:b/>
                <w:bCs/>
                <w:lang w:val="en-US"/>
              </w:rPr>
              <w:t xml:space="preserve"> international trade</w:t>
            </w:r>
            <w:r>
              <w:rPr>
                <w:rFonts w:eastAsia="Times"/>
                <w:b/>
                <w:bCs/>
                <w:lang w:val="en-US"/>
              </w:rPr>
              <w:t xml:space="preserve"> indicate that the measure is effective?</w:t>
            </w:r>
          </w:p>
        </w:tc>
      </w:tr>
      <w:tr w:rsidR="00EF4D67" w:rsidRPr="00697DFC" w14:paraId="447965D8" w14:textId="77777777" w:rsidTr="00EF4D67">
        <w:tc>
          <w:tcPr>
            <w:tcW w:w="9067" w:type="dxa"/>
          </w:tcPr>
          <w:p w14:paraId="4BF484D5" w14:textId="77777777" w:rsidR="00EF4D67" w:rsidRDefault="00EF4D67" w:rsidP="00EF4D67">
            <w:pPr>
              <w:keepNext/>
              <w:rPr>
                <w:rFonts w:eastAsia="Times"/>
                <w:i/>
                <w:iCs/>
              </w:rPr>
            </w:pPr>
            <w:r>
              <w:rPr>
                <w:rFonts w:eastAsia="Times"/>
                <w:i/>
                <w:iCs/>
              </w:rPr>
              <w:t>Describe the countries that use the measure in trade (e.g. importing country – exporting country)</w:t>
            </w:r>
          </w:p>
          <w:p w14:paraId="7E98BC36" w14:textId="77777777" w:rsidR="00EF4D67" w:rsidRPr="00697DFC" w:rsidRDefault="00EF4D67" w:rsidP="00EF4D67">
            <w:pPr>
              <w:keepNext/>
              <w:spacing w:after="180"/>
              <w:rPr>
                <w:rFonts w:eastAsia="Times"/>
                <w:b/>
                <w:bCs/>
                <w:i/>
                <w:iCs/>
              </w:rPr>
            </w:pPr>
            <w:r>
              <w:rPr>
                <w:rFonts w:eastAsia="Times"/>
                <w:i/>
                <w:iCs/>
                <w:lang w:val="en-US"/>
              </w:rPr>
              <w:t>and the number of years the measure has been used (e.g. year regulations were set). Include information on volume of trade and relevant pest interception data where possible.</w:t>
            </w:r>
          </w:p>
        </w:tc>
      </w:tr>
      <w:tr w:rsidR="00EF4D67" w14:paraId="6CF6E18B" w14:textId="77777777" w:rsidTr="00EF4D67">
        <w:tc>
          <w:tcPr>
            <w:tcW w:w="9067" w:type="dxa"/>
            <w:shd w:val="clear" w:color="auto" w:fill="DBE5F1" w:themeFill="accent1" w:themeFillTint="33"/>
          </w:tcPr>
          <w:p w14:paraId="0044DDA0" w14:textId="77777777" w:rsidR="00EF4D67" w:rsidRDefault="00EF4D67" w:rsidP="00EF4D67">
            <w:pPr>
              <w:keepNext/>
              <w:spacing w:after="180"/>
              <w:rPr>
                <w:rFonts w:eastAsia="Times"/>
                <w:i/>
                <w:iCs/>
              </w:rPr>
            </w:pPr>
            <w:r>
              <w:rPr>
                <w:rFonts w:eastAsia="Times"/>
                <w:b/>
                <w:bCs/>
              </w:rPr>
              <w:t>Has the measure been successfully used to manage non-compliant consignments?</w:t>
            </w:r>
          </w:p>
        </w:tc>
      </w:tr>
      <w:tr w:rsidR="00EF4D67" w14:paraId="2B67B0F9" w14:textId="77777777" w:rsidTr="00EF4D67">
        <w:tc>
          <w:tcPr>
            <w:tcW w:w="9067" w:type="dxa"/>
          </w:tcPr>
          <w:p w14:paraId="563787F5" w14:textId="77777777" w:rsidR="00EF4D67" w:rsidRDefault="00EF4D67" w:rsidP="00EF4D67">
            <w:pPr>
              <w:keepNext/>
              <w:spacing w:after="180"/>
              <w:rPr>
                <w:rFonts w:eastAsia="Times"/>
                <w:i/>
                <w:iCs/>
              </w:rPr>
            </w:pPr>
            <w:r w:rsidRPr="009D1DD6">
              <w:rPr>
                <w:rFonts w:eastAsia="Times"/>
                <w:i/>
                <w:iCs/>
              </w:rPr>
              <w:t xml:space="preserve">Describe </w:t>
            </w:r>
            <w:r>
              <w:rPr>
                <w:rFonts w:eastAsia="Times"/>
                <w:i/>
                <w:iCs/>
              </w:rPr>
              <w:t>the circumstances for use and how often the measure is used to manage non-compliant consignments.</w:t>
            </w:r>
          </w:p>
        </w:tc>
      </w:tr>
      <w:tr w:rsidR="00EF4D67" w14:paraId="5FF506A2" w14:textId="77777777" w:rsidTr="00EF4D67">
        <w:tc>
          <w:tcPr>
            <w:tcW w:w="9067" w:type="dxa"/>
            <w:shd w:val="clear" w:color="auto" w:fill="DBE5F1" w:themeFill="accent1" w:themeFillTint="33"/>
          </w:tcPr>
          <w:p w14:paraId="43FD1AAC" w14:textId="77777777" w:rsidR="00EF4D67" w:rsidRPr="00904DC2" w:rsidRDefault="00EF4D67" w:rsidP="00EF4D67">
            <w:pPr>
              <w:keepNext/>
              <w:spacing w:after="180"/>
              <w:rPr>
                <w:rFonts w:eastAsia="Times"/>
                <w:b/>
                <w:bCs/>
              </w:rPr>
            </w:pPr>
            <w:r>
              <w:rPr>
                <w:rFonts w:eastAsia="Times"/>
                <w:b/>
                <w:bCs/>
              </w:rPr>
              <w:t>Has the measure been successfully used to effectively manage pest risk domestically?</w:t>
            </w:r>
          </w:p>
        </w:tc>
      </w:tr>
      <w:tr w:rsidR="00EF4D67" w14:paraId="33CBB019" w14:textId="77777777" w:rsidTr="00EF4D67">
        <w:tc>
          <w:tcPr>
            <w:tcW w:w="9067" w:type="dxa"/>
          </w:tcPr>
          <w:p w14:paraId="560C5FFF" w14:textId="77777777" w:rsidR="00EF4D67" w:rsidRPr="00904DC2" w:rsidRDefault="00EF4D67" w:rsidP="00EF4D67">
            <w:pPr>
              <w:keepNext/>
              <w:spacing w:after="180"/>
              <w:rPr>
                <w:rFonts w:eastAsia="Times"/>
                <w:i/>
                <w:iCs/>
              </w:rPr>
            </w:pPr>
            <w:r>
              <w:rPr>
                <w:rFonts w:eastAsia="Times"/>
                <w:i/>
                <w:iCs/>
              </w:rPr>
              <w:t xml:space="preserve">Describe the circumstances for domestic use of the measure </w:t>
            </w:r>
            <w:r w:rsidRPr="00904DC2">
              <w:rPr>
                <w:rFonts w:eastAsia="Times"/>
                <w:i/>
                <w:iCs/>
              </w:rPr>
              <w:t xml:space="preserve">e.g. </w:t>
            </w:r>
            <w:r w:rsidRPr="00904DC2">
              <w:rPr>
                <w:i/>
                <w:iCs/>
              </w:rPr>
              <w:t>the measure has been used extensively in relation to domestic movement of commodities; the measure has been used successfully in outbreak management and eradication programmes; information from domestic plant certification schemes indicates that the measure is effective; best management practices for the measure are available</w:t>
            </w:r>
            <w:r>
              <w:rPr>
                <w:i/>
                <w:iCs/>
              </w:rPr>
              <w:t>.</w:t>
            </w:r>
          </w:p>
        </w:tc>
      </w:tr>
      <w:tr w:rsidR="00EF4D67" w14:paraId="43A46BE5" w14:textId="77777777" w:rsidTr="00EF4D67">
        <w:tc>
          <w:tcPr>
            <w:tcW w:w="9067" w:type="dxa"/>
            <w:shd w:val="clear" w:color="auto" w:fill="DBE5F1" w:themeFill="accent1" w:themeFillTint="33"/>
          </w:tcPr>
          <w:p w14:paraId="282F8F97" w14:textId="77777777" w:rsidR="00EF4D67" w:rsidRPr="00CD29E7" w:rsidRDefault="00EF4D67" w:rsidP="00EF4D67">
            <w:pPr>
              <w:keepNext/>
              <w:spacing w:after="180"/>
              <w:rPr>
                <w:rFonts w:eastAsia="Times"/>
                <w:b/>
                <w:bCs/>
              </w:rPr>
            </w:pPr>
            <w:r>
              <w:rPr>
                <w:rFonts w:eastAsia="Times"/>
                <w:b/>
                <w:bCs/>
              </w:rPr>
              <w:t>Has the measure been used successfully by the private sector or authorized entities?</w:t>
            </w:r>
          </w:p>
        </w:tc>
      </w:tr>
      <w:tr w:rsidR="00EF4D67" w14:paraId="521F2A41" w14:textId="77777777" w:rsidTr="00EF4D67">
        <w:tc>
          <w:tcPr>
            <w:tcW w:w="9067" w:type="dxa"/>
            <w:shd w:val="clear" w:color="auto" w:fill="FFFFFF" w:themeFill="background1"/>
          </w:tcPr>
          <w:p w14:paraId="15CC1A71" w14:textId="77777777" w:rsidR="00EF4D67" w:rsidRPr="00CD29E7" w:rsidRDefault="00EF4D67" w:rsidP="00EF4D67">
            <w:pPr>
              <w:keepNext/>
              <w:spacing w:after="180"/>
              <w:rPr>
                <w:rFonts w:eastAsia="Times"/>
                <w:b/>
                <w:bCs/>
              </w:rPr>
            </w:pPr>
          </w:p>
        </w:tc>
      </w:tr>
      <w:tr w:rsidR="00EF4D67" w14:paraId="21E04A2A" w14:textId="77777777" w:rsidTr="00EF4D67">
        <w:tc>
          <w:tcPr>
            <w:tcW w:w="9067" w:type="dxa"/>
            <w:shd w:val="clear" w:color="auto" w:fill="DBE5F1" w:themeFill="accent1" w:themeFillTint="33"/>
          </w:tcPr>
          <w:p w14:paraId="10A4EB37" w14:textId="77777777" w:rsidR="00EF4D67" w:rsidRPr="009D1DD6" w:rsidRDefault="00EF4D67" w:rsidP="00EF4D67">
            <w:pPr>
              <w:keepNext/>
              <w:spacing w:after="180"/>
              <w:rPr>
                <w:rFonts w:eastAsia="Times"/>
                <w:b/>
                <w:bCs/>
              </w:rPr>
            </w:pPr>
            <w:r w:rsidRPr="00CD29E7">
              <w:rPr>
                <w:rFonts w:eastAsia="Times"/>
                <w:b/>
                <w:bCs/>
              </w:rPr>
              <w:t>Has the measure has been identified as a</w:t>
            </w:r>
            <w:r>
              <w:rPr>
                <w:rFonts w:eastAsia="Times"/>
                <w:b/>
                <w:bCs/>
              </w:rPr>
              <w:t>n effective</w:t>
            </w:r>
            <w:r w:rsidRPr="00CD29E7">
              <w:rPr>
                <w:rFonts w:eastAsia="Times"/>
                <w:b/>
                <w:bCs/>
              </w:rPr>
              <w:t xml:space="preserve"> pest risk management option based on a PRA</w:t>
            </w:r>
            <w:r>
              <w:rPr>
                <w:rFonts w:eastAsia="Times"/>
                <w:b/>
                <w:bCs/>
              </w:rPr>
              <w:t xml:space="preserve"> or comparable technical evaluation?</w:t>
            </w:r>
          </w:p>
        </w:tc>
      </w:tr>
      <w:tr w:rsidR="00EF4D67" w14:paraId="2B8A5AEC" w14:textId="77777777" w:rsidTr="00EF4D67">
        <w:tc>
          <w:tcPr>
            <w:tcW w:w="9067" w:type="dxa"/>
          </w:tcPr>
          <w:p w14:paraId="3489F50A" w14:textId="77777777" w:rsidR="00EF4D67" w:rsidRPr="00CD29E7" w:rsidRDefault="00EF4D67" w:rsidP="00EF4D67">
            <w:pPr>
              <w:keepNext/>
              <w:spacing w:after="180"/>
              <w:rPr>
                <w:rFonts w:eastAsia="Times"/>
                <w:i/>
                <w:iCs/>
              </w:rPr>
            </w:pPr>
            <w:r w:rsidRPr="00CD29E7">
              <w:rPr>
                <w:rFonts w:eastAsia="Times"/>
                <w:i/>
                <w:iCs/>
              </w:rPr>
              <w:t>Please provide</w:t>
            </w:r>
            <w:r>
              <w:rPr>
                <w:rFonts w:eastAsia="Times"/>
                <w:i/>
                <w:iCs/>
              </w:rPr>
              <w:t xml:space="preserve"> PRAs or comparable evaluations that identify the measure as being effective.</w:t>
            </w:r>
          </w:p>
        </w:tc>
      </w:tr>
      <w:tr w:rsidR="00EF4D67" w14:paraId="1D2E6639" w14:textId="77777777" w:rsidTr="00EF4D67">
        <w:tc>
          <w:tcPr>
            <w:tcW w:w="9067" w:type="dxa"/>
            <w:shd w:val="clear" w:color="auto" w:fill="DBE5F1" w:themeFill="accent1" w:themeFillTint="33"/>
          </w:tcPr>
          <w:p w14:paraId="75CEE4DA" w14:textId="77777777" w:rsidR="00EF4D67" w:rsidRPr="009D1DD6" w:rsidRDefault="00EF4D67" w:rsidP="00EF4D67">
            <w:pPr>
              <w:keepNext/>
              <w:spacing w:after="180"/>
              <w:rPr>
                <w:rFonts w:eastAsia="Times"/>
                <w:b/>
                <w:bCs/>
              </w:rPr>
            </w:pPr>
            <w:r>
              <w:rPr>
                <w:rFonts w:eastAsia="Times"/>
                <w:b/>
                <w:bCs/>
              </w:rPr>
              <w:t>Is the measure, relevant to the pest, adopted in an ISPM or regional standard?</w:t>
            </w:r>
          </w:p>
        </w:tc>
      </w:tr>
      <w:tr w:rsidR="00EF4D67" w14:paraId="6216C691" w14:textId="77777777" w:rsidTr="00EF4D67">
        <w:tc>
          <w:tcPr>
            <w:tcW w:w="9067" w:type="dxa"/>
          </w:tcPr>
          <w:p w14:paraId="18146942" w14:textId="77777777" w:rsidR="00EF4D67" w:rsidRPr="00F119A3" w:rsidRDefault="00EF4D67" w:rsidP="00EF4D67">
            <w:pPr>
              <w:keepNext/>
              <w:spacing w:after="180"/>
              <w:rPr>
                <w:rFonts w:eastAsia="Times"/>
                <w:i/>
                <w:iCs/>
              </w:rPr>
            </w:pPr>
            <w:r>
              <w:rPr>
                <w:rFonts w:eastAsia="Times"/>
                <w:i/>
                <w:iCs/>
              </w:rPr>
              <w:t>Please provide reference to ISPM or a regional standard</w:t>
            </w:r>
          </w:p>
        </w:tc>
      </w:tr>
    </w:tbl>
    <w:p w14:paraId="1ECC8E5B" w14:textId="77777777" w:rsidR="00EF4D67" w:rsidRDefault="00EF4D67" w:rsidP="00EF4D67">
      <w:pPr>
        <w:tabs>
          <w:tab w:val="left" w:pos="2040"/>
          <w:tab w:val="left" w:pos="4920"/>
        </w:tabs>
        <w:outlineLvl w:val="0"/>
        <w:rPr>
          <w:b/>
          <w:u w:val="single"/>
        </w:rPr>
      </w:pPr>
    </w:p>
    <w:p w14:paraId="5D300C1B" w14:textId="77777777" w:rsidR="00140EE4" w:rsidRPr="000A38EA" w:rsidRDefault="00140EE4" w:rsidP="00140EE4">
      <w:pPr>
        <w:tabs>
          <w:tab w:val="left" w:pos="2040"/>
          <w:tab w:val="left" w:pos="4920"/>
        </w:tabs>
        <w:outlineLvl w:val="0"/>
        <w:rPr>
          <w:b/>
          <w:u w:val="single"/>
        </w:rPr>
      </w:pPr>
      <w:r w:rsidRPr="000A38EA">
        <w:rPr>
          <w:b/>
          <w:u w:val="single"/>
        </w:rPr>
        <w:t>Send submissions to:</w:t>
      </w:r>
    </w:p>
    <w:p w14:paraId="174D3FB4" w14:textId="77777777" w:rsidR="00140EE4" w:rsidRPr="000A38EA" w:rsidRDefault="00140EE4" w:rsidP="00140EE4">
      <w:pPr>
        <w:tabs>
          <w:tab w:val="left" w:pos="2600"/>
          <w:tab w:val="left" w:pos="5500"/>
        </w:tabs>
      </w:pPr>
      <w:r w:rsidRPr="000A38EA">
        <w:rPr>
          <w:b/>
        </w:rPr>
        <w:t>E-mail:</w:t>
      </w:r>
      <w:r w:rsidRPr="000A38EA">
        <w:t xml:space="preserve"> </w:t>
      </w:r>
      <w:hyperlink r:id="rId34" w:history="1">
        <w:r w:rsidRPr="000A38EA">
          <w:rPr>
            <w:rStyle w:val="Hyperlink"/>
            <w:color w:val="3366FF"/>
          </w:rPr>
          <w:t>ippc@fao.org</w:t>
        </w:r>
      </w:hyperlink>
      <w:r w:rsidRPr="000A38EA">
        <w:tab/>
      </w:r>
      <w:r w:rsidRPr="000A38EA">
        <w:tab/>
      </w:r>
      <w:r w:rsidRPr="000A38EA">
        <w:rPr>
          <w:b/>
        </w:rPr>
        <w:t>Mail:</w:t>
      </w:r>
      <w:r w:rsidRPr="000A38EA">
        <w:t xml:space="preserve"> IPPC Secretariat (AGPP)</w:t>
      </w:r>
    </w:p>
    <w:p w14:paraId="09919258" w14:textId="77777777" w:rsidR="00140EE4" w:rsidRPr="000A38EA" w:rsidRDefault="00140EE4" w:rsidP="00140EE4">
      <w:pPr>
        <w:tabs>
          <w:tab w:val="left" w:pos="2600"/>
          <w:tab w:val="left" w:pos="5500"/>
        </w:tabs>
        <w:ind w:right="-688"/>
      </w:pPr>
      <w:r w:rsidRPr="000A38EA">
        <w:rPr>
          <w:b/>
        </w:rPr>
        <w:t>(preferred)</w:t>
      </w:r>
      <w:r w:rsidRPr="000A38EA">
        <w:tab/>
      </w:r>
      <w:r w:rsidRPr="000A38EA">
        <w:tab/>
        <w:t>Food and Agriculture Organization of the UN</w:t>
      </w:r>
    </w:p>
    <w:p w14:paraId="273AD1A1" w14:textId="2A038CE5" w:rsidR="00140EE4" w:rsidRDefault="00140EE4" w:rsidP="00EF4D67">
      <w:pPr>
        <w:tabs>
          <w:tab w:val="left" w:pos="2600"/>
          <w:tab w:val="left" w:pos="5500"/>
        </w:tabs>
      </w:pPr>
      <w:r w:rsidRPr="000A38EA">
        <w:tab/>
      </w:r>
      <w:r w:rsidRPr="000A38EA">
        <w:tab/>
      </w:r>
      <w:r w:rsidRPr="000A38EA">
        <w:rPr>
          <w:lang w:val="it-IT"/>
        </w:rPr>
        <w:t xml:space="preserve">Viale delle Terme di Caracalla, </w:t>
      </w:r>
      <w:r w:rsidRPr="000A38EA">
        <w:rPr>
          <w:lang w:val="it-IT"/>
        </w:rPr>
        <w:tab/>
      </w:r>
      <w:r w:rsidRPr="000A38EA">
        <w:rPr>
          <w:lang w:val="it-IT"/>
        </w:rPr>
        <w:tab/>
      </w:r>
      <w:r w:rsidRPr="000A38EA">
        <w:rPr>
          <w:lang w:val="it-IT"/>
        </w:rPr>
        <w:tab/>
        <w:t>00153 Rome, Italy</w:t>
      </w:r>
    </w:p>
    <w:p w14:paraId="1688D81F" w14:textId="77777777" w:rsidR="00140EE4" w:rsidRDefault="00140EE4" w:rsidP="00140EE4">
      <w:pPr>
        <w:pStyle w:val="IPPNumberedList"/>
        <w:numPr>
          <w:ilvl w:val="0"/>
          <w:numId w:val="0"/>
        </w:numPr>
        <w:spacing w:before="120" w:after="120"/>
        <w:ind w:left="567" w:hanging="567"/>
        <w:contextualSpacing/>
        <w:sectPr w:rsidR="00140EE4" w:rsidSect="00BB763A">
          <w:headerReference w:type="default" r:id="rId35"/>
          <w:headerReference w:type="first" r:id="rId36"/>
          <w:pgSz w:w="11906" w:h="16838" w:code="9"/>
          <w:pgMar w:top="1440" w:right="1440" w:bottom="1440" w:left="1440" w:header="720" w:footer="720" w:gutter="0"/>
          <w:cols w:space="720"/>
          <w:titlePg/>
          <w:docGrid w:linePitch="360"/>
        </w:sectPr>
      </w:pPr>
    </w:p>
    <w:p w14:paraId="1AD7CD71" w14:textId="77777777" w:rsidR="00140EE4" w:rsidRDefault="00140EE4" w:rsidP="00140EE4">
      <w:pPr>
        <w:pStyle w:val="IPPNumberedList"/>
        <w:numPr>
          <w:ilvl w:val="0"/>
          <w:numId w:val="0"/>
        </w:numPr>
        <w:spacing w:before="120" w:after="120"/>
        <w:ind w:left="567" w:hanging="567"/>
        <w:contextualSpacing/>
        <w:rPr>
          <w:b/>
        </w:rPr>
      </w:pPr>
      <w:r w:rsidRPr="00140EE4">
        <w:rPr>
          <w:b/>
        </w:rPr>
        <w:lastRenderedPageBreak/>
        <w:t xml:space="preserve">ATTACHMENT 2 </w:t>
      </w:r>
      <w:r w:rsidR="00A80248">
        <w:rPr>
          <w:b/>
        </w:rPr>
        <w:t>–</w:t>
      </w:r>
      <w:r w:rsidRPr="00140EE4">
        <w:rPr>
          <w:b/>
        </w:rPr>
        <w:t xml:space="preserve"> </w:t>
      </w:r>
      <w:r w:rsidR="00A80248">
        <w:rPr>
          <w:b/>
        </w:rPr>
        <w:t>TPCS draft working procedures</w:t>
      </w:r>
    </w:p>
    <w:p w14:paraId="63F13A05" w14:textId="77777777" w:rsidR="00A80248" w:rsidRPr="00C23311" w:rsidRDefault="00A80248" w:rsidP="00A80248">
      <w:pPr>
        <w:pStyle w:val="IPPHeading1"/>
        <w:jc w:val="center"/>
      </w:pPr>
      <w:r w:rsidRPr="00C23311">
        <w:t>Technical Panel on Commodity Standards (TPCS)</w:t>
      </w:r>
    </w:p>
    <w:p w14:paraId="384BC714" w14:textId="77777777" w:rsidR="00A80248" w:rsidRPr="00A80248" w:rsidRDefault="00A80248" w:rsidP="00A80248">
      <w:pPr>
        <w:pStyle w:val="IPPHeading1"/>
        <w:jc w:val="center"/>
      </w:pPr>
      <w:r w:rsidRPr="00A80248">
        <w:t>Draft working procedures</w:t>
      </w:r>
    </w:p>
    <w:p w14:paraId="4E212E5F" w14:textId="77777777" w:rsidR="00A80248" w:rsidRPr="00A80248" w:rsidRDefault="00A80248" w:rsidP="00A80248">
      <w:pPr>
        <w:jc w:val="center"/>
        <w:rPr>
          <w:i/>
          <w:sz w:val="20"/>
        </w:rPr>
      </w:pPr>
      <w:r w:rsidRPr="00A80248">
        <w:rPr>
          <w:i/>
          <w:sz w:val="20"/>
        </w:rPr>
        <w:t>(Developed by the TPCS in 2023.</w:t>
      </w:r>
    </w:p>
    <w:p w14:paraId="69FCBFC3" w14:textId="77777777" w:rsidR="00A80248" w:rsidRPr="00A80248" w:rsidRDefault="00A80248" w:rsidP="00A80248">
      <w:pPr>
        <w:jc w:val="center"/>
        <w:rPr>
          <w:i/>
          <w:sz w:val="20"/>
        </w:rPr>
      </w:pPr>
      <w:r w:rsidRPr="00A80248">
        <w:rPr>
          <w:i/>
          <w:sz w:val="20"/>
        </w:rPr>
        <w:t>To be presented for approval to the Standards Committee May 2023)</w:t>
      </w:r>
    </w:p>
    <w:p w14:paraId="20558019" w14:textId="77777777" w:rsidR="00A80248" w:rsidRPr="00AA7A6D" w:rsidRDefault="00A80248" w:rsidP="00A80248">
      <w:pPr>
        <w:pStyle w:val="IPPHeading1"/>
      </w:pPr>
      <w:bookmarkStart w:id="8" w:name="TPDP"/>
      <w:r>
        <w:t xml:space="preserve">1. </w:t>
      </w:r>
      <w:r w:rsidRPr="003C7A18">
        <w:t>Technical Panel on Commodity Standards (TPCS)</w:t>
      </w:r>
    </w:p>
    <w:p w14:paraId="0B1FF3E9" w14:textId="77777777" w:rsidR="00A80248" w:rsidRDefault="00A80248" w:rsidP="000D5927">
      <w:pPr>
        <w:pStyle w:val="IPPParagraphnumberingclose"/>
        <w:numPr>
          <w:ilvl w:val="0"/>
          <w:numId w:val="16"/>
        </w:numPr>
      </w:pPr>
      <w:bookmarkStart w:id="9" w:name="_Toc275348410"/>
      <w:bookmarkStart w:id="10" w:name="_Toc275350198"/>
      <w:bookmarkStart w:id="11" w:name="_Toc340153656"/>
      <w:bookmarkStart w:id="12" w:name="_Toc340153959"/>
      <w:bookmarkStart w:id="13" w:name="_Toc340154027"/>
      <w:bookmarkStart w:id="14" w:name="_Toc340154086"/>
      <w:bookmarkStart w:id="15" w:name="_Toc343683987"/>
      <w:bookmarkStart w:id="16" w:name="_Toc343684082"/>
      <w:bookmarkStart w:id="17" w:name="_Toc343684143"/>
      <w:bookmarkStart w:id="18" w:name="_Toc343684205"/>
      <w:bookmarkStart w:id="19" w:name="_Toc458157995"/>
      <w:bookmarkStart w:id="20" w:name="_Toc462834895"/>
      <w:bookmarkStart w:id="21" w:name="_Toc463019646"/>
      <w:bookmarkStart w:id="22" w:name="_Toc463019799"/>
      <w:bookmarkStart w:id="23" w:name="_Toc463019869"/>
      <w:bookmarkStart w:id="24" w:name="_Toc463363354"/>
      <w:bookmarkEnd w:id="8"/>
      <w:r>
        <w:t>P</w:t>
      </w:r>
      <w:r w:rsidRPr="00BC7C96">
        <w:t>rinciples in relation to commodity standards</w:t>
      </w:r>
      <w:r>
        <w:t xml:space="preserve"> are described in </w:t>
      </w:r>
      <w:hyperlink r:id="rId37" w:history="1">
        <w:r w:rsidRPr="00A9515A">
          <w:rPr>
            <w:rStyle w:val="Hyperlink"/>
          </w:rPr>
          <w:t>ISPM 46 (</w:t>
        </w:r>
        <w:r w:rsidRPr="00A5449B">
          <w:rPr>
            <w:rStyle w:val="Hyperlink"/>
            <w:i/>
          </w:rPr>
          <w:t>Commodity-specific standards for phytosanitary measures</w:t>
        </w:r>
        <w:r w:rsidRPr="00A9515A">
          <w:rPr>
            <w:rStyle w:val="Hyperlink"/>
          </w:rPr>
          <w:t>)</w:t>
        </w:r>
      </w:hyperlink>
      <w:r>
        <w:t xml:space="preserve">. </w:t>
      </w:r>
    </w:p>
    <w:p w14:paraId="63DCE74B" w14:textId="77777777" w:rsidR="00A80248" w:rsidRDefault="00A80248" w:rsidP="000D5927">
      <w:pPr>
        <w:pStyle w:val="IPPParagraphnumbering"/>
        <w:numPr>
          <w:ilvl w:val="0"/>
          <w:numId w:val="16"/>
        </w:numPr>
      </w:pPr>
      <w:r w:rsidRPr="001A0F18">
        <w:t>The lists of options for phytosanitary measures presented in commodity standards are not intended to be exhaustive; other measures may be required by contracting parties, if technically justified (Article VII.2(g) of the IPPC), and may be proposed for inclusion in revisions of commodity standards.</w:t>
      </w:r>
      <w:r w:rsidRPr="00384998">
        <w:rPr>
          <w:rStyle w:val="IPPFootnoteRedChar"/>
          <w:rFonts w:eastAsia="Times"/>
        </w:rPr>
        <w:footnoteReference w:id="10"/>
      </w:r>
    </w:p>
    <w:p w14:paraId="2CA2042F" w14:textId="77777777" w:rsidR="00A80248" w:rsidRPr="00AA7A6D" w:rsidRDefault="00A80248" w:rsidP="000D5927">
      <w:pPr>
        <w:pStyle w:val="IPPParagraphnumberingclose"/>
        <w:numPr>
          <w:ilvl w:val="0"/>
          <w:numId w:val="16"/>
        </w:numPr>
      </w:pPr>
      <w:r w:rsidRPr="006A75B5">
        <w:rPr>
          <w:i/>
        </w:rPr>
        <w:t>Inclusion of a pest in a commodity standard does not constitute technical justification for its regulation. When determining whether to regulate a pest listed in a commodity standard, an importing country should base its decision on technical justification using either a PRA or, where applicable, another comparable examination and evaluation of available scientific information. The list of pests is not intended to be exhaustive.</w:t>
      </w:r>
      <w:r w:rsidRPr="00A5449B">
        <w:rPr>
          <w:rStyle w:val="IPPFootnoteRedChar"/>
          <w:rFonts w:eastAsia="Times"/>
        </w:rPr>
        <w:t xml:space="preserve"> 1</w:t>
      </w:r>
    </w:p>
    <w:p w14:paraId="5E87540B" w14:textId="77777777" w:rsidR="00A80248" w:rsidRPr="00AA7A6D" w:rsidRDefault="00A80248" w:rsidP="00A80248">
      <w:pPr>
        <w:pStyle w:val="IPPHeading1"/>
      </w:pPr>
      <w:r>
        <w:t xml:space="preserve">2. </w:t>
      </w:r>
      <w:r w:rsidRPr="006A75B5">
        <w:t>Current</w:t>
      </w:r>
      <w:r w:rsidRPr="00AA7A6D">
        <w:t xml:space="preserve"> </w:t>
      </w:r>
      <w:r>
        <w:t>t</w:t>
      </w:r>
      <w:r w:rsidRPr="00AA7A6D">
        <w:t>asks of the TP</w:t>
      </w:r>
      <w:r>
        <w:t>CS</w:t>
      </w:r>
    </w:p>
    <w:p w14:paraId="08B00317" w14:textId="77777777" w:rsidR="00A80248" w:rsidRPr="00AA7A6D" w:rsidRDefault="00A80248" w:rsidP="000D5927">
      <w:pPr>
        <w:pStyle w:val="IPPParagraphnumbering"/>
        <w:numPr>
          <w:ilvl w:val="0"/>
          <w:numId w:val="16"/>
        </w:numPr>
      </w:pPr>
      <w:r w:rsidRPr="00AA7A6D">
        <w:t>The tasks of the TP</w:t>
      </w:r>
      <w:r>
        <w:t>CS</w:t>
      </w:r>
      <w:r w:rsidRPr="00AA7A6D">
        <w:t xml:space="preserve"> are described in </w:t>
      </w:r>
      <w:hyperlink r:id="rId38" w:history="1">
        <w:r w:rsidRPr="009A2F1B">
          <w:rPr>
            <w:rStyle w:val="Hyperlink"/>
          </w:rPr>
          <w:t xml:space="preserve">Specification TP 6 - </w:t>
        </w:r>
        <w:r w:rsidRPr="009A2F1B">
          <w:rPr>
            <w:rStyle w:val="Hyperlink"/>
            <w:i/>
          </w:rPr>
          <w:t>Technical Panel on Commodity Standards</w:t>
        </w:r>
      </w:hyperlink>
      <w:r w:rsidRPr="005E4326">
        <w:rPr>
          <w:rStyle w:val="IPPFootnoteRedChar"/>
          <w:rFonts w:eastAsia="Times"/>
        </w:rPr>
        <w:footnoteReference w:id="11"/>
      </w:r>
      <w:r w:rsidRPr="00AA7A6D">
        <w:t>.</w:t>
      </w:r>
    </w:p>
    <w:p w14:paraId="63733BB5" w14:textId="77777777" w:rsidR="00A80248" w:rsidRPr="009020C5" w:rsidRDefault="00A80248" w:rsidP="000D5927">
      <w:pPr>
        <w:pStyle w:val="IPPParagraphnumbering"/>
        <w:numPr>
          <w:ilvl w:val="0"/>
          <w:numId w:val="16"/>
        </w:numPr>
      </w:pPr>
      <w:r w:rsidRPr="009020C5">
        <w:t xml:space="preserve">The TPCS develops and updates commodity standards within the framework of </w:t>
      </w:r>
      <w:hyperlink r:id="rId39" w:history="1">
        <w:r w:rsidRPr="009020C5">
          <w:rPr>
            <w:rStyle w:val="Hyperlink"/>
          </w:rPr>
          <w:t>ISPM 46 (</w:t>
        </w:r>
        <w:r w:rsidRPr="009020C5">
          <w:rPr>
            <w:rStyle w:val="Hyperlink"/>
            <w:i/>
          </w:rPr>
          <w:t>Commodity-specific standards for phytosanitary measures</w:t>
        </w:r>
        <w:r w:rsidRPr="009020C5">
          <w:rPr>
            <w:rStyle w:val="Hyperlink"/>
          </w:rPr>
          <w:t>)</w:t>
        </w:r>
      </w:hyperlink>
      <w:r w:rsidRPr="009020C5">
        <w:rPr>
          <w:rStyle w:val="Hyperlink"/>
        </w:rPr>
        <w:t>, provides advice to the Standards Committee on related aspects</w:t>
      </w:r>
      <w:r w:rsidRPr="009020C5">
        <w:t xml:space="preserve"> and identifies potential implementation needs on related aspects.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C66AFD" w14:textId="77777777" w:rsidR="00A80248" w:rsidRDefault="00A80248" w:rsidP="00A80248">
      <w:pPr>
        <w:pStyle w:val="IPPHeading1"/>
      </w:pPr>
      <w:r>
        <w:t>3. T</w:t>
      </w:r>
      <w:r w:rsidRPr="006A75B5">
        <w:t>emplate form for submitting information on pests and measure</w:t>
      </w:r>
    </w:p>
    <w:p w14:paraId="15035CC1" w14:textId="77777777" w:rsidR="00A80248" w:rsidRPr="006A75B5" w:rsidRDefault="00A80248" w:rsidP="00A80248">
      <w:pPr>
        <w:pStyle w:val="IPPHeading1"/>
      </w:pPr>
      <w:r>
        <w:t xml:space="preserve">IPPC </w:t>
      </w:r>
      <w:r w:rsidRPr="00BE34DD">
        <w:t>Call for topics</w:t>
      </w:r>
    </w:p>
    <w:p w14:paraId="3D0A20B8" w14:textId="77777777" w:rsidR="00A80248" w:rsidRDefault="00A80248" w:rsidP="000D5927">
      <w:pPr>
        <w:pStyle w:val="IPPParagraphnumbering"/>
        <w:numPr>
          <w:ilvl w:val="0"/>
          <w:numId w:val="16"/>
        </w:numPr>
      </w:pPr>
      <w:r w:rsidRPr="007664AF">
        <w:t xml:space="preserve">The TPCS developed a </w:t>
      </w:r>
      <w:r>
        <w:t xml:space="preserve">template </w:t>
      </w:r>
      <w:r w:rsidRPr="007664AF">
        <w:t xml:space="preserve">form </w:t>
      </w:r>
      <w:r>
        <w:t xml:space="preserve">(see attachment </w:t>
      </w:r>
      <w:r w:rsidRPr="006A75B5">
        <w:rPr>
          <w:highlight w:val="yellow"/>
        </w:rPr>
        <w:t>XX</w:t>
      </w:r>
      <w:r>
        <w:t xml:space="preserve">) </w:t>
      </w:r>
      <w:r w:rsidRPr="007664AF">
        <w:t xml:space="preserve">to be considered and submitted by contracting parties and </w:t>
      </w:r>
      <w:r>
        <w:t>Regional Plant protection Organizations (</w:t>
      </w:r>
      <w:r w:rsidRPr="007664AF">
        <w:t>RPPOs</w:t>
      </w:r>
      <w:r>
        <w:t>)</w:t>
      </w:r>
      <w:r w:rsidRPr="007664AF">
        <w:t xml:space="preserve"> during the </w:t>
      </w:r>
      <w:r>
        <w:t xml:space="preserve">IPPC </w:t>
      </w:r>
      <w:r w:rsidRPr="007664AF">
        <w:t>call for topics</w:t>
      </w:r>
      <w:r>
        <w:t>: standards and implementation. It is intended</w:t>
      </w:r>
      <w:r w:rsidRPr="007664AF">
        <w:t xml:space="preserve"> for providing information on pests known to be associated to the commodity and effective phytosanitary measures. Considerations to be taken</w:t>
      </w:r>
      <w:r>
        <w:t xml:space="preserve"> are</w:t>
      </w:r>
      <w:r w:rsidRPr="007664AF">
        <w:t>:</w:t>
      </w:r>
    </w:p>
    <w:p w14:paraId="48960D0F" w14:textId="7CC2F8EC" w:rsidR="00A80248" w:rsidRPr="00862EB2" w:rsidRDefault="00A80248" w:rsidP="00A80248">
      <w:pPr>
        <w:pStyle w:val="IPPBullet1Last"/>
        <w:numPr>
          <w:ilvl w:val="2"/>
          <w:numId w:val="4"/>
        </w:numPr>
        <w:ind w:left="567" w:hanging="567"/>
      </w:pPr>
      <w:r w:rsidRPr="00862EB2">
        <w:t>Availability of information: public</w:t>
      </w:r>
      <w:r w:rsidR="00466134">
        <w:t>ly</w:t>
      </w:r>
      <w:r w:rsidRPr="00862EB2">
        <w:t xml:space="preserve"> available or available upon request</w:t>
      </w:r>
      <w:r>
        <w:t>.</w:t>
      </w:r>
      <w:r w:rsidRPr="00862EB2">
        <w:t xml:space="preserve"> </w:t>
      </w:r>
    </w:p>
    <w:p w14:paraId="3F7FC69A" w14:textId="77777777" w:rsidR="00A80248" w:rsidRPr="00862EB2" w:rsidRDefault="00A80248" w:rsidP="00A80248">
      <w:pPr>
        <w:pStyle w:val="IPPBullet1Last"/>
        <w:numPr>
          <w:ilvl w:val="2"/>
          <w:numId w:val="4"/>
        </w:numPr>
        <w:ind w:left="567" w:hanging="567"/>
      </w:pPr>
      <w:r w:rsidRPr="00862EB2">
        <w:t xml:space="preserve">The TPCS recommended that specifications received from call for topics be revised by the SC and TPCS, without the need to go for the full cycle of the Standard Setting Procedure, i.e. for consultation period on draft specifications for the specific commodity standards. </w:t>
      </w:r>
    </w:p>
    <w:p w14:paraId="23F2C6BB" w14:textId="77777777" w:rsidR="00A80248" w:rsidRPr="006A75B5" w:rsidRDefault="00A80248" w:rsidP="00A80248">
      <w:pPr>
        <w:pStyle w:val="IPPHeading1"/>
      </w:pPr>
      <w:r w:rsidRPr="00D640F1">
        <w:t xml:space="preserve">Consultation period on draft ISPMs: </w:t>
      </w:r>
    </w:p>
    <w:p w14:paraId="33BEC408" w14:textId="77777777" w:rsidR="00A80248" w:rsidRPr="00D640F1" w:rsidRDefault="00A80248" w:rsidP="00A80248">
      <w:pPr>
        <w:pStyle w:val="IPPBullet1Last"/>
        <w:numPr>
          <w:ilvl w:val="2"/>
          <w:numId w:val="4"/>
        </w:numPr>
        <w:ind w:left="567" w:hanging="567"/>
        <w:rPr>
          <w:i/>
        </w:rPr>
      </w:pPr>
      <w:r w:rsidRPr="00D640F1">
        <w:t xml:space="preserve">The same form developed by the TPCS for the call for topics, it would also be submitted to contracting parties during consultation period for providing information on </w:t>
      </w:r>
      <w:r>
        <w:t xml:space="preserve">regulated </w:t>
      </w:r>
      <w:r w:rsidRPr="00D640F1">
        <w:t xml:space="preserve">pests known to be associated to the commodity and effective phytosanitary measures. </w:t>
      </w:r>
    </w:p>
    <w:p w14:paraId="3873476A" w14:textId="77777777" w:rsidR="00A80248" w:rsidRPr="00D640F1" w:rsidRDefault="00A80248" w:rsidP="00A80248">
      <w:pPr>
        <w:pStyle w:val="IPPBullet1Last"/>
        <w:numPr>
          <w:ilvl w:val="2"/>
          <w:numId w:val="4"/>
        </w:numPr>
        <w:ind w:left="567" w:hanging="567"/>
        <w:rPr>
          <w:i/>
        </w:rPr>
      </w:pPr>
      <w:r w:rsidRPr="00D640F1">
        <w:t xml:space="preserve">Like for draft </w:t>
      </w:r>
      <w:r>
        <w:t>phytosanitary treatments (</w:t>
      </w:r>
      <w:r w:rsidRPr="00D640F1">
        <w:t>PTs</w:t>
      </w:r>
      <w:r>
        <w:t>)</w:t>
      </w:r>
      <w:r w:rsidRPr="00D640F1">
        <w:t xml:space="preserve"> annexes to ISPM 28</w:t>
      </w:r>
      <w:r>
        <w:t xml:space="preserve"> (</w:t>
      </w:r>
      <w:r w:rsidRPr="00F26669">
        <w:rPr>
          <w:i/>
        </w:rPr>
        <w:t>Phytosanitary treatments for regulated pests</w:t>
      </w:r>
      <w:r w:rsidRPr="00F26669">
        <w:t>)</w:t>
      </w:r>
      <w:r w:rsidRPr="00D640F1">
        <w:t xml:space="preserve">, the TPCS </w:t>
      </w:r>
      <w:r w:rsidRPr="00BB6F8C">
        <w:t>recommends</w:t>
      </w:r>
      <w:r w:rsidRPr="00D640F1">
        <w:t xml:space="preserve"> that</w:t>
      </w:r>
      <w:r>
        <w:t>,</w:t>
      </w:r>
      <w:r w:rsidRPr="00D640F1">
        <w:t xml:space="preserve"> if no substantive comments during first </w:t>
      </w:r>
      <w:r w:rsidRPr="00D640F1">
        <w:lastRenderedPageBreak/>
        <w:t xml:space="preserve">consultation period, the TPCS could propose </w:t>
      </w:r>
      <w:r>
        <w:t xml:space="preserve">the draft annex </w:t>
      </w:r>
      <w:r w:rsidRPr="00D640F1">
        <w:t xml:space="preserve">to the SC for recommendation for adoption, without the need for a second round of consultation period. </w:t>
      </w:r>
    </w:p>
    <w:p w14:paraId="3987858D" w14:textId="77777777" w:rsidR="00A80248" w:rsidRDefault="00A80248" w:rsidP="00A80248">
      <w:pPr>
        <w:pStyle w:val="IPPHeading1"/>
      </w:pPr>
      <w:r>
        <w:t>4. Specifications</w:t>
      </w:r>
    </w:p>
    <w:p w14:paraId="1F1B361C" w14:textId="77777777" w:rsidR="00A80248" w:rsidRDefault="00A80248" w:rsidP="000D5927">
      <w:pPr>
        <w:pStyle w:val="IPPParagraphnumbering"/>
        <w:numPr>
          <w:ilvl w:val="0"/>
          <w:numId w:val="16"/>
        </w:numPr>
      </w:pPr>
      <w:r>
        <w:t>The TPCS agreed that:</w:t>
      </w:r>
    </w:p>
    <w:p w14:paraId="71F79960" w14:textId="77777777" w:rsidR="00A80248" w:rsidRDefault="00A80248" w:rsidP="00A80248">
      <w:pPr>
        <w:pStyle w:val="IPPBullet1Last"/>
        <w:numPr>
          <w:ilvl w:val="2"/>
          <w:numId w:val="4"/>
        </w:numPr>
        <w:ind w:left="567" w:hanging="567"/>
      </w:pPr>
      <w:r>
        <w:t>D</w:t>
      </w:r>
      <w:r w:rsidRPr="0047072F">
        <w:t>raft specifications for</w:t>
      </w:r>
      <w:r>
        <w:t xml:space="preserve"> specific</w:t>
      </w:r>
      <w:r w:rsidRPr="0047072F">
        <w:t xml:space="preserve"> commodity standards</w:t>
      </w:r>
      <w:r>
        <w:t xml:space="preserve"> should follow a standard format, including content common to all such specifications.</w:t>
      </w:r>
    </w:p>
    <w:p w14:paraId="42C3E379" w14:textId="77777777" w:rsidR="00A80248" w:rsidRPr="00862EB2" w:rsidRDefault="00A80248" w:rsidP="00A80248">
      <w:pPr>
        <w:pStyle w:val="IPPBullet1Last"/>
        <w:numPr>
          <w:ilvl w:val="2"/>
          <w:numId w:val="4"/>
        </w:numPr>
        <w:ind w:left="567" w:hanging="567"/>
      </w:pPr>
      <w:r>
        <w:t>D</w:t>
      </w:r>
      <w:r w:rsidRPr="0047072F">
        <w:t xml:space="preserve">raft specifications for </w:t>
      </w:r>
      <w:r>
        <w:t>specific</w:t>
      </w:r>
      <w:r w:rsidRPr="0047072F">
        <w:t xml:space="preserve"> commodity standards received in response to calls for topics </w:t>
      </w:r>
      <w:r>
        <w:t xml:space="preserve">could </w:t>
      </w:r>
      <w:r w:rsidRPr="0047072F">
        <w:t>be revised by the TPCS and SC without the need to be submitted for consultatio</w:t>
      </w:r>
      <w:r>
        <w:t>n period.</w:t>
      </w:r>
    </w:p>
    <w:p w14:paraId="6FFA6C80" w14:textId="16295542" w:rsidR="00A80248" w:rsidRPr="0047072F" w:rsidRDefault="00A80248" w:rsidP="000D5927">
      <w:pPr>
        <w:pStyle w:val="IPPParagraphnumbering"/>
        <w:numPr>
          <w:ilvl w:val="0"/>
          <w:numId w:val="16"/>
        </w:numPr>
        <w:rPr>
          <w:lang w:val="en-GB"/>
        </w:rPr>
      </w:pPr>
      <w:r>
        <w:rPr>
          <w:lang w:val="en-GB"/>
        </w:rPr>
        <w:t xml:space="preserve">The TPCS acknowledged </w:t>
      </w:r>
      <w:r w:rsidRPr="0047072F">
        <w:rPr>
          <w:lang w:val="en-GB"/>
        </w:rPr>
        <w:t xml:space="preserve">that PTs and </w:t>
      </w:r>
      <w:r>
        <w:rPr>
          <w:lang w:val="en-GB"/>
        </w:rPr>
        <w:t>diagnostic protocols (</w:t>
      </w:r>
      <w:r w:rsidRPr="0047072F">
        <w:rPr>
          <w:lang w:val="en-GB"/>
        </w:rPr>
        <w:t>DPs</w:t>
      </w:r>
      <w:r>
        <w:rPr>
          <w:lang w:val="en-GB"/>
        </w:rPr>
        <w:t>)</w:t>
      </w:r>
      <w:r>
        <w:rPr>
          <w:rStyle w:val="FootnoteReference"/>
          <w:lang w:val="en-GB"/>
        </w:rPr>
        <w:footnoteReference w:id="12"/>
      </w:r>
      <w:r w:rsidRPr="0047072F">
        <w:rPr>
          <w:lang w:val="en-GB"/>
        </w:rPr>
        <w:t xml:space="preserve"> are developed without specifications</w:t>
      </w:r>
      <w:r>
        <w:rPr>
          <w:lang w:val="en-GB"/>
        </w:rPr>
        <w:t xml:space="preserve"> or without consultation period</w:t>
      </w:r>
      <w:r w:rsidRPr="0047072F">
        <w:rPr>
          <w:lang w:val="en-GB"/>
        </w:rPr>
        <w:t xml:space="preserve">, </w:t>
      </w:r>
      <w:r>
        <w:rPr>
          <w:lang w:val="en-GB"/>
        </w:rPr>
        <w:t>and that this does not compromise the relevance, transparency and quality of these standards.</w:t>
      </w:r>
      <w:r w:rsidRPr="0047072F">
        <w:rPr>
          <w:lang w:val="en-GB"/>
        </w:rPr>
        <w:t xml:space="preserve"> This would avoid unnecessary repetition and speed up the development of</w:t>
      </w:r>
      <w:r>
        <w:rPr>
          <w:lang w:val="en-GB"/>
        </w:rPr>
        <w:t xml:space="preserve"> </w:t>
      </w:r>
      <w:r w:rsidRPr="0047072F">
        <w:rPr>
          <w:lang w:val="en-GB"/>
        </w:rPr>
        <w:t xml:space="preserve">such annexes. </w:t>
      </w:r>
      <w:r>
        <w:rPr>
          <w:lang w:val="en-GB"/>
        </w:rPr>
        <w:t>It was acknowledged that t</w:t>
      </w:r>
      <w:r w:rsidRPr="0047072F">
        <w:rPr>
          <w:lang w:val="en-GB"/>
        </w:rPr>
        <w:t xml:space="preserve">he TPCS </w:t>
      </w:r>
      <w:r>
        <w:rPr>
          <w:lang w:val="en-GB"/>
        </w:rPr>
        <w:t>would</w:t>
      </w:r>
      <w:r w:rsidRPr="0047072F">
        <w:rPr>
          <w:lang w:val="en-GB"/>
        </w:rPr>
        <w:t xml:space="preserve"> review proposals and make recommendations to the SC</w:t>
      </w:r>
      <w:r>
        <w:rPr>
          <w:lang w:val="en-GB"/>
        </w:rPr>
        <w:t xml:space="preserve"> for the inclusion of a subject in the work programme, in which ultimately the Commission on Phytosanitary Measures (CPM), each year, adopts the SC work programme.</w:t>
      </w:r>
    </w:p>
    <w:p w14:paraId="752158A4" w14:textId="77777777" w:rsidR="00A80248" w:rsidRPr="006A75B5" w:rsidRDefault="00A80248" w:rsidP="00A80248">
      <w:pPr>
        <w:pStyle w:val="IPPHeading1"/>
      </w:pPr>
      <w:r>
        <w:t xml:space="preserve">5. </w:t>
      </w:r>
      <w:r w:rsidRPr="0014528B">
        <w:t xml:space="preserve">Criteria for inclusion of a pest </w:t>
      </w:r>
    </w:p>
    <w:p w14:paraId="1B528C62" w14:textId="77777777" w:rsidR="00A80248" w:rsidRDefault="00A80248" w:rsidP="000D5927">
      <w:pPr>
        <w:pStyle w:val="IPPParagraphnumbering"/>
        <w:numPr>
          <w:ilvl w:val="0"/>
          <w:numId w:val="16"/>
        </w:numPr>
      </w:pPr>
      <w:r w:rsidRPr="0014528B">
        <w:t>According to ISPM 46, the inclusion of a pest in a commodity standard</w:t>
      </w:r>
      <w:r>
        <w:t xml:space="preserve"> is that it is regulated by at least one contracting party, and based on technical justification, for that specific commodity. </w:t>
      </w:r>
    </w:p>
    <w:p w14:paraId="48E0485E" w14:textId="77777777" w:rsidR="00A80248" w:rsidRDefault="00A80248" w:rsidP="000D5927">
      <w:pPr>
        <w:pStyle w:val="IPPParagraphnumbering"/>
        <w:numPr>
          <w:ilvl w:val="0"/>
          <w:numId w:val="16"/>
        </w:numPr>
      </w:pPr>
      <w:r>
        <w:t xml:space="preserve">Furthermore, the TPCS agreed that the pest should additionally meet at least one of the following sub </w:t>
      </w:r>
      <w:r w:rsidRPr="00AD2E9B">
        <w:t>criteria:</w:t>
      </w:r>
    </w:p>
    <w:p w14:paraId="5F4523E6" w14:textId="77777777" w:rsidR="00A80248" w:rsidRDefault="00A80248" w:rsidP="000D5927">
      <w:pPr>
        <w:pStyle w:val="IPPNormal"/>
        <w:numPr>
          <w:ilvl w:val="0"/>
          <w:numId w:val="15"/>
        </w:numPr>
      </w:pPr>
      <w:r>
        <w:t>The commercially produced commodity is a host.</w:t>
      </w:r>
    </w:p>
    <w:p w14:paraId="7A7F2204" w14:textId="77777777" w:rsidR="00A80248" w:rsidRDefault="00A80248" w:rsidP="000D5927">
      <w:pPr>
        <w:pStyle w:val="IPPNormal"/>
        <w:numPr>
          <w:ilvl w:val="0"/>
          <w:numId w:val="15"/>
        </w:numPr>
      </w:pPr>
      <w:r>
        <w:t xml:space="preserve">There are existing phytosanitary measures options available (and there is sufficient confidence for </w:t>
      </w:r>
      <w:r w:rsidRPr="0047072F">
        <w:t>option</w:t>
      </w:r>
      <w:r>
        <w:t>(</w:t>
      </w:r>
      <w:r w:rsidRPr="0047072F">
        <w:t>s</w:t>
      </w:r>
      <w:r>
        <w:t>)</w:t>
      </w:r>
      <w:r w:rsidRPr="0047072F">
        <w:t xml:space="preserve"> to be included in the commodity standard</w:t>
      </w:r>
      <w:r w:rsidDel="00C45A0D">
        <w:t xml:space="preserve"> </w:t>
      </w:r>
      <w:r>
        <w:t>– see section below).</w:t>
      </w:r>
    </w:p>
    <w:p w14:paraId="7A48F021" w14:textId="77777777" w:rsidR="00A80248" w:rsidRDefault="00A80248" w:rsidP="000D5927">
      <w:pPr>
        <w:pStyle w:val="IPPNormal"/>
        <w:numPr>
          <w:ilvl w:val="0"/>
          <w:numId w:val="15"/>
        </w:numPr>
      </w:pPr>
      <w:r>
        <w:t xml:space="preserve">There is evidence of establishment of the pest after entry, via the </w:t>
      </w:r>
      <w:r w:rsidRPr="00245E9B">
        <w:t>commodity.</w:t>
      </w:r>
    </w:p>
    <w:p w14:paraId="5B312BC8" w14:textId="77777777" w:rsidR="00A80248" w:rsidRDefault="00A80248" w:rsidP="000D5927">
      <w:pPr>
        <w:pStyle w:val="IPPNormal"/>
        <w:numPr>
          <w:ilvl w:val="0"/>
          <w:numId w:val="15"/>
        </w:numPr>
      </w:pPr>
      <w:r>
        <w:t>Major or minor pest for the crop.</w:t>
      </w:r>
    </w:p>
    <w:p w14:paraId="086972FF" w14:textId="77777777" w:rsidR="00A80248" w:rsidRDefault="00A80248" w:rsidP="000D5927">
      <w:pPr>
        <w:pStyle w:val="IPPNormal"/>
        <w:numPr>
          <w:ilvl w:val="0"/>
          <w:numId w:val="15"/>
        </w:numPr>
      </w:pPr>
      <w:r w:rsidRPr="0047072F">
        <w:t xml:space="preserve">There have been </w:t>
      </w:r>
      <w:r>
        <w:t>repeated interceptions of the pest on the commodity.</w:t>
      </w:r>
    </w:p>
    <w:p w14:paraId="506D6439" w14:textId="77777777" w:rsidR="00A80248" w:rsidRDefault="00A80248" w:rsidP="000D5927">
      <w:pPr>
        <w:pStyle w:val="IPPParagraphnumbering"/>
        <w:numPr>
          <w:ilvl w:val="0"/>
          <w:numId w:val="16"/>
        </w:numPr>
      </w:pPr>
      <w:r w:rsidRPr="00D640F1">
        <w:t>When referring to family or genus level, the TPCS agreed that a note be included to indicate that not necessarily all the species in the family or genus level are regulated. This was rather because of grouping the phytosanitary measures.</w:t>
      </w:r>
      <w:r>
        <w:t xml:space="preserve">  </w:t>
      </w:r>
    </w:p>
    <w:p w14:paraId="0FAAB268" w14:textId="77777777" w:rsidR="00A80248" w:rsidRPr="006A75B5" w:rsidRDefault="00A80248" w:rsidP="00A80248">
      <w:pPr>
        <w:pStyle w:val="IPPHeading1"/>
      </w:pPr>
      <w:r>
        <w:t xml:space="preserve">6. </w:t>
      </w:r>
      <w:r w:rsidRPr="0014528B">
        <w:t xml:space="preserve">Criteria </w:t>
      </w:r>
      <w:r>
        <w:t xml:space="preserve">and confidence </w:t>
      </w:r>
      <w:r w:rsidRPr="0014528B">
        <w:t xml:space="preserve">for inclusion of a </w:t>
      </w:r>
      <w:r>
        <w:t>phytosanitary measure</w:t>
      </w:r>
      <w:r w:rsidRPr="0014528B">
        <w:t xml:space="preserve"> </w:t>
      </w:r>
    </w:p>
    <w:p w14:paraId="228AEF23" w14:textId="77777777" w:rsidR="00A80248" w:rsidRPr="00BB6F8C" w:rsidRDefault="00A80248" w:rsidP="000D5927">
      <w:pPr>
        <w:pStyle w:val="IPPParagraphnumbering"/>
        <w:numPr>
          <w:ilvl w:val="0"/>
          <w:numId w:val="16"/>
        </w:numPr>
        <w:spacing w:before="120" w:after="120"/>
        <w:ind w:left="561" w:hanging="475"/>
        <w:rPr>
          <w:sz w:val="24"/>
        </w:rPr>
      </w:pPr>
      <w:r w:rsidRPr="00BB6F8C">
        <w:rPr>
          <w:szCs w:val="20"/>
        </w:rPr>
        <w:t>The TPCS determine which measures to include in a commodity standard according to ISPM 46 (sections 3 and 4). The TPCS concluded that the criteria listed in section 3 of ISPM 46 are used to identify candidate measures for inclusion and the criteria listed in section 4, which relate to confidence in the effectiveness of measures, are used to select which of these candidate measures to actually include. The TPCS also agreed that the confidence categories referred to in section 4 of ISPM 46 are not included in the commodity standard itself.</w:t>
      </w:r>
    </w:p>
    <w:p w14:paraId="4704E3C3" w14:textId="77777777" w:rsidR="00A80248" w:rsidRPr="00BB6F8C" w:rsidRDefault="00A80248" w:rsidP="000D5927">
      <w:pPr>
        <w:pStyle w:val="IPPParagraphnumbering"/>
        <w:numPr>
          <w:ilvl w:val="0"/>
          <w:numId w:val="16"/>
        </w:numPr>
        <w:spacing w:before="120" w:after="120"/>
        <w:ind w:left="561" w:hanging="475"/>
        <w:rPr>
          <w:sz w:val="24"/>
        </w:rPr>
      </w:pPr>
      <w:r w:rsidRPr="00BB6F8C">
        <w:rPr>
          <w:szCs w:val="20"/>
        </w:rPr>
        <w:t>Furthermore, the TPCS agreed:</w:t>
      </w:r>
    </w:p>
    <w:p w14:paraId="21A285B6" w14:textId="77777777" w:rsidR="00A80248" w:rsidRPr="00BB6F8C" w:rsidRDefault="00A80248" w:rsidP="000D5927">
      <w:pPr>
        <w:pStyle w:val="IPPParagraphnumbering"/>
        <w:numPr>
          <w:ilvl w:val="0"/>
          <w:numId w:val="15"/>
        </w:numPr>
        <w:spacing w:before="120" w:after="120"/>
        <w:rPr>
          <w:sz w:val="24"/>
        </w:rPr>
      </w:pPr>
      <w:r w:rsidRPr="00BB6F8C">
        <w:rPr>
          <w:szCs w:val="20"/>
        </w:rPr>
        <w:t>A further consideration for the inclusion of a phytosanitary measure is that the information or data supporting the measure (e.g. PRA information) should be publicly available with free access or be available upon request.</w:t>
      </w:r>
    </w:p>
    <w:p w14:paraId="72F050BC" w14:textId="77777777" w:rsidR="00A80248" w:rsidRDefault="00A80248" w:rsidP="000D5927">
      <w:pPr>
        <w:pStyle w:val="IPPNormal"/>
        <w:numPr>
          <w:ilvl w:val="0"/>
          <w:numId w:val="15"/>
        </w:numPr>
      </w:pPr>
      <w:r w:rsidRPr="00BB6F8C">
        <w:lastRenderedPageBreak/>
        <w:t>Being used successfully in trade (e.g. reports of success or failure of the measure, compliance or non-compliance data from contracting parties, and years being applied in trade)</w:t>
      </w:r>
    </w:p>
    <w:p w14:paraId="0856304A" w14:textId="77777777" w:rsidR="00A80248" w:rsidRPr="00A80248" w:rsidRDefault="00A80248" w:rsidP="000D5927">
      <w:pPr>
        <w:pStyle w:val="IPPNormal"/>
        <w:numPr>
          <w:ilvl w:val="0"/>
          <w:numId w:val="15"/>
        </w:numPr>
      </w:pPr>
      <w:r w:rsidRPr="00A80248">
        <w:rPr>
          <w:szCs w:val="20"/>
        </w:rPr>
        <w:t>For phytosanitary treatments, the TPCS highlighted that commodity standards are not intended to be as descriptive as the treatment schedules in ISPM 28 (</w:t>
      </w:r>
      <w:r w:rsidRPr="00A80248">
        <w:rPr>
          <w:i/>
          <w:iCs/>
          <w:szCs w:val="20"/>
        </w:rPr>
        <w:t>Phytosanitary treatments for regulated pests</w:t>
      </w:r>
      <w:r w:rsidRPr="00A80248">
        <w:rPr>
          <w:szCs w:val="20"/>
        </w:rPr>
        <w:t>).</w:t>
      </w:r>
    </w:p>
    <w:p w14:paraId="6D874140" w14:textId="77777777" w:rsidR="00A80248" w:rsidRDefault="00A80248" w:rsidP="00A80248">
      <w:pPr>
        <w:pStyle w:val="IPPHeading1"/>
      </w:pPr>
      <w:r w:rsidRPr="0081378D">
        <w:t>7. Revision of commodity standards</w:t>
      </w:r>
    </w:p>
    <w:p w14:paraId="78DF2131" w14:textId="77777777" w:rsidR="00A80248" w:rsidRPr="00BB6F8C" w:rsidRDefault="00A80248" w:rsidP="00A80248">
      <w:pPr>
        <w:pStyle w:val="IPPHeading1"/>
      </w:pPr>
      <w:r>
        <w:t>7.1 When a phytosanitary measure is no longer effective:</w:t>
      </w:r>
    </w:p>
    <w:p w14:paraId="23095933" w14:textId="77777777" w:rsidR="00A80248" w:rsidRPr="00AD2E9B" w:rsidRDefault="00A80248" w:rsidP="000D5927">
      <w:pPr>
        <w:pStyle w:val="IPPParagraphnumbering"/>
        <w:numPr>
          <w:ilvl w:val="0"/>
          <w:numId w:val="16"/>
        </w:numPr>
        <w:rPr>
          <w:lang w:val="en-GB"/>
        </w:rPr>
      </w:pPr>
      <w:r w:rsidRPr="00BB6F8C">
        <w:rPr>
          <w:lang w:val="en-GB"/>
        </w:rPr>
        <w:t xml:space="preserve">The TPCS suggests that, where there is evidence that a particular measure in a commodity standard may </w:t>
      </w:r>
      <w:r w:rsidRPr="00AD2E9B">
        <w:rPr>
          <w:lang w:val="en-GB"/>
        </w:rPr>
        <w:t>no longer be effective, a footnote to this effect may be added to the annex as a variation to the ink amendment process. This would then provide a useful interim solution until the commodity standard was revised.</w:t>
      </w:r>
    </w:p>
    <w:p w14:paraId="38AFD1DE" w14:textId="77777777" w:rsidR="00A80248" w:rsidRPr="00BB6F8C" w:rsidRDefault="00A80248" w:rsidP="00A80248">
      <w:pPr>
        <w:pStyle w:val="IPPParagraphnumbering"/>
        <w:numPr>
          <w:ilvl w:val="0"/>
          <w:numId w:val="0"/>
        </w:numPr>
        <w:rPr>
          <w:b/>
          <w:lang w:val="en-GB"/>
        </w:rPr>
      </w:pPr>
      <w:r w:rsidRPr="00BB6F8C">
        <w:rPr>
          <w:b/>
          <w:lang w:val="en-GB"/>
        </w:rPr>
        <w:t xml:space="preserve">7.2 </w:t>
      </w:r>
      <w:r w:rsidRPr="00BB6F8C">
        <w:rPr>
          <w:b/>
          <w:sz w:val="24"/>
          <w:lang w:val="en-GB"/>
        </w:rPr>
        <w:t xml:space="preserve">When there is pest taxonomy change: </w:t>
      </w:r>
    </w:p>
    <w:p w14:paraId="4C131168" w14:textId="77777777" w:rsidR="00A80248" w:rsidRPr="00BB6F8C" w:rsidRDefault="00A80248" w:rsidP="000D5927">
      <w:pPr>
        <w:pStyle w:val="IPPParagraphnumbering"/>
        <w:numPr>
          <w:ilvl w:val="0"/>
          <w:numId w:val="16"/>
        </w:numPr>
        <w:rPr>
          <w:lang w:val="en-GB"/>
        </w:rPr>
      </w:pPr>
      <w:r w:rsidRPr="00BB6F8C">
        <w:rPr>
          <w:lang w:val="en-GB"/>
        </w:rPr>
        <w:t>The TPCS suggests that, when there is pest taxonomy change that would not affect the phytosanitary measure option(s), a footnote to this effect may be added to the annex as a variation to the ink amendment process. This would then provide a useful interim solution until the commodity standard was revised.</w:t>
      </w:r>
    </w:p>
    <w:p w14:paraId="128FA1DE" w14:textId="77777777" w:rsidR="00A80248" w:rsidRDefault="00A80248" w:rsidP="00A80248">
      <w:pPr>
        <w:pStyle w:val="IPPHeading1"/>
      </w:pPr>
      <w:r>
        <w:t>8. S</w:t>
      </w:r>
      <w:r w:rsidRPr="00A70C86">
        <w:t xml:space="preserve">earchable </w:t>
      </w:r>
      <w:r>
        <w:t xml:space="preserve">online </w:t>
      </w:r>
      <w:r w:rsidRPr="00A70C86">
        <w:t>database</w:t>
      </w:r>
      <w:r>
        <w:t xml:space="preserve"> of pests and measures</w:t>
      </w:r>
    </w:p>
    <w:p w14:paraId="2B418862" w14:textId="247E4E75" w:rsidR="00A80248" w:rsidRDefault="00A80248" w:rsidP="000D5927">
      <w:pPr>
        <w:pStyle w:val="IPPParagraphnumbering"/>
        <w:numPr>
          <w:ilvl w:val="0"/>
          <w:numId w:val="16"/>
        </w:numPr>
      </w:pPr>
      <w:r>
        <w:t>F</w:t>
      </w:r>
      <w:r w:rsidRPr="009636EC">
        <w:t xml:space="preserve">or </w:t>
      </w:r>
      <w:r w:rsidR="002B29F9">
        <w:t xml:space="preserve">the purpose of </w:t>
      </w:r>
      <w:r w:rsidRPr="009636EC">
        <w:t xml:space="preserve">transparency </w:t>
      </w:r>
      <w:r>
        <w:t xml:space="preserve">the TPCS agreed to recommend that a database be developed listing the </w:t>
      </w:r>
      <w:r w:rsidRPr="009636EC">
        <w:rPr>
          <w:lang w:val="en-GB"/>
        </w:rPr>
        <w:t xml:space="preserve">target pest, commodity and </w:t>
      </w:r>
      <w:r>
        <w:t xml:space="preserve">phytosanitary </w:t>
      </w:r>
      <w:r w:rsidRPr="009636EC">
        <w:rPr>
          <w:lang w:val="en-GB"/>
        </w:rPr>
        <w:t>measure, cross-referenced to relevant sources of information</w:t>
      </w:r>
      <w:r>
        <w:t xml:space="preserve">. It was agreed that all information received, i.e. the pests and phytosanitary measures included and excluded in each specific commodity standard should be populated in the database. </w:t>
      </w:r>
    </w:p>
    <w:p w14:paraId="0C19DD10" w14:textId="77777777" w:rsidR="00A80248" w:rsidRPr="0081378D" w:rsidRDefault="00A80248" w:rsidP="000D5927">
      <w:pPr>
        <w:pStyle w:val="IPPParagraphnumbering"/>
        <w:numPr>
          <w:ilvl w:val="0"/>
          <w:numId w:val="16"/>
        </w:numPr>
      </w:pPr>
      <w:r>
        <w:t>Meantime, the TPCS agreed that for the pests and phytosanitary measures, included and excluded in the annex for mango (</w:t>
      </w:r>
      <w:r w:rsidRPr="00F26669">
        <w:rPr>
          <w:i/>
        </w:rPr>
        <w:t>Mangifera indica</w:t>
      </w:r>
      <w:r>
        <w:t>) fresh fruits, will be archived in a spreadsheet for future inclusion of this information in a database for commodity standards.</w:t>
      </w:r>
    </w:p>
    <w:p w14:paraId="574270E6" w14:textId="77777777" w:rsidR="00BC3D0D" w:rsidRDefault="00BC3D0D" w:rsidP="00140EE4">
      <w:pPr>
        <w:pStyle w:val="IPPNumberedList"/>
        <w:numPr>
          <w:ilvl w:val="0"/>
          <w:numId w:val="0"/>
        </w:numPr>
        <w:spacing w:before="120" w:after="120"/>
        <w:ind w:left="567" w:hanging="567"/>
        <w:contextualSpacing/>
        <w:rPr>
          <w:b/>
        </w:rPr>
        <w:sectPr w:rsidR="00BC3D0D" w:rsidSect="00BB763A">
          <w:headerReference w:type="even" r:id="rId40"/>
          <w:headerReference w:type="default" r:id="rId41"/>
          <w:headerReference w:type="first" r:id="rId42"/>
          <w:pgSz w:w="11906" w:h="16838" w:code="9"/>
          <w:pgMar w:top="1440" w:right="1440" w:bottom="1440" w:left="1440" w:header="720" w:footer="720" w:gutter="0"/>
          <w:cols w:space="720"/>
          <w:titlePg/>
          <w:docGrid w:linePitch="360"/>
        </w:sectPr>
      </w:pPr>
    </w:p>
    <w:p w14:paraId="2AF20956" w14:textId="77777777" w:rsidR="00C35B88" w:rsidRDefault="00C35B88" w:rsidP="00C35B88">
      <w:pPr>
        <w:pStyle w:val="IPPHeading1"/>
      </w:pPr>
      <w:bookmarkStart w:id="25" w:name="_Hlk65840155"/>
      <w:r>
        <w:lastRenderedPageBreak/>
        <w:t>ATTACHMENT 3 – Summary u</w:t>
      </w:r>
      <w:r w:rsidRPr="00C35B88">
        <w:t>pdate from the TPCS to the Standards Committee</w:t>
      </w:r>
    </w:p>
    <w:p w14:paraId="225D03A8" w14:textId="77777777" w:rsidR="00C35B88" w:rsidRDefault="00C35B88" w:rsidP="00BC3D0D">
      <w:pPr>
        <w:jc w:val="center"/>
        <w:rPr>
          <w:b/>
          <w:bCs/>
          <w:sz w:val="24"/>
        </w:rPr>
      </w:pPr>
    </w:p>
    <w:p w14:paraId="65620E95" w14:textId="77777777" w:rsidR="00BC3D0D" w:rsidRPr="009B7ADC" w:rsidRDefault="00BC3D0D" w:rsidP="00BC3D0D">
      <w:pPr>
        <w:jc w:val="center"/>
        <w:rPr>
          <w:b/>
          <w:bCs/>
          <w:sz w:val="24"/>
        </w:rPr>
      </w:pPr>
      <w:r w:rsidRPr="009B7ADC">
        <w:rPr>
          <w:b/>
          <w:bCs/>
          <w:sz w:val="24"/>
        </w:rPr>
        <w:t>Update from the TPCS to the Standards Committee</w:t>
      </w:r>
    </w:p>
    <w:p w14:paraId="7DD66010" w14:textId="77777777" w:rsidR="00BC3D0D" w:rsidRDefault="00BC3D0D" w:rsidP="00BC3D0D">
      <w:pPr>
        <w:jc w:val="center"/>
        <w:rPr>
          <w:i/>
          <w:iCs/>
          <w:highlight w:val="yellow"/>
        </w:rPr>
      </w:pPr>
    </w:p>
    <w:p w14:paraId="24304245" w14:textId="64B0AD6C" w:rsidR="00BC3D0D" w:rsidRPr="001D197E" w:rsidRDefault="00BC3D0D" w:rsidP="00BC3D0D">
      <w:pPr>
        <w:jc w:val="center"/>
        <w:rPr>
          <w:i/>
          <w:iCs/>
        </w:rPr>
      </w:pPr>
      <w:r w:rsidRPr="00C35B88">
        <w:rPr>
          <w:i/>
          <w:iCs/>
        </w:rPr>
        <w:t>(</w:t>
      </w:r>
      <w:r w:rsidR="000B40DF">
        <w:rPr>
          <w:i/>
          <w:iCs/>
        </w:rPr>
        <w:t>A</w:t>
      </w:r>
      <w:r w:rsidRPr="00C35B88">
        <w:rPr>
          <w:i/>
          <w:iCs/>
        </w:rPr>
        <w:t xml:space="preserve">pproved by the </w:t>
      </w:r>
      <w:r w:rsidR="00D75BB4">
        <w:rPr>
          <w:i/>
          <w:iCs/>
        </w:rPr>
        <w:t xml:space="preserve">IPPC </w:t>
      </w:r>
      <w:r w:rsidRPr="00C35B88">
        <w:rPr>
          <w:i/>
          <w:iCs/>
        </w:rPr>
        <w:t>Technical Panel on Commodity Standards in April 2023)</w:t>
      </w:r>
    </w:p>
    <w:bookmarkEnd w:id="25"/>
    <w:p w14:paraId="6A6B1FAA" w14:textId="77777777" w:rsidR="00BC3D0D" w:rsidRDefault="00BC3D0D" w:rsidP="00BC3D0D"/>
    <w:p w14:paraId="2AAAAB5B" w14:textId="77777777" w:rsidR="00BC3D0D" w:rsidRPr="00990C05" w:rsidRDefault="00BC3D0D" w:rsidP="00BC3D0D">
      <w:pPr>
        <w:pStyle w:val="IPPHeading1"/>
      </w:pPr>
      <w:r w:rsidRPr="00990C05">
        <w:t>Introduction</w:t>
      </w:r>
    </w:p>
    <w:p w14:paraId="707C796E" w14:textId="77777777" w:rsidR="00BC3D0D" w:rsidRPr="00406DE3" w:rsidRDefault="00BC3D0D" w:rsidP="000D5927">
      <w:pPr>
        <w:pStyle w:val="IPPParagraphnumbering"/>
        <w:numPr>
          <w:ilvl w:val="0"/>
          <w:numId w:val="24"/>
        </w:numPr>
      </w:pPr>
      <w:r w:rsidRPr="00406DE3">
        <w:t xml:space="preserve">The development of commodity standards received broad support from contracting parties (CPs) at </w:t>
      </w:r>
      <w:r>
        <w:t xml:space="preserve">the </w:t>
      </w:r>
      <w:r w:rsidRPr="00A97F2C">
        <w:t>seventeenth session of the Commission on Phytosanitary Measures 2023 (CPM-17)</w:t>
      </w:r>
      <w:r w:rsidRPr="00406DE3">
        <w:t xml:space="preserve">. However, </w:t>
      </w:r>
      <w:r>
        <w:t>to date there is</w:t>
      </w:r>
      <w:r w:rsidRPr="00406DE3">
        <w:t xml:space="preserve"> only one commodity</w:t>
      </w:r>
      <w:r>
        <w:t>-specific</w:t>
      </w:r>
      <w:r w:rsidRPr="00406DE3">
        <w:t xml:space="preserve"> standard proposal was received</w:t>
      </w:r>
      <w:r>
        <w:t xml:space="preserve"> and commodity annex drafted</w:t>
      </w:r>
      <w:r w:rsidRPr="00406DE3">
        <w:t>, and a call was made by CPs to speed up the development</w:t>
      </w:r>
      <w:r>
        <w:t xml:space="preserve"> of commodity standards</w:t>
      </w:r>
      <w:r w:rsidRPr="00406DE3">
        <w:t xml:space="preserve">. </w:t>
      </w:r>
    </w:p>
    <w:p w14:paraId="724B53B7" w14:textId="77777777" w:rsidR="00BC3D0D" w:rsidRPr="00406DE3" w:rsidRDefault="00BC3D0D" w:rsidP="000D5927">
      <w:pPr>
        <w:pStyle w:val="IPPParagraphnumbering"/>
        <w:numPr>
          <w:ilvl w:val="0"/>
          <w:numId w:val="24"/>
        </w:numPr>
      </w:pPr>
      <w:r w:rsidRPr="00406DE3">
        <w:t>At CPM-17, 2023, the Chairperson of the Standards Committee (SC) encouraged contracting parties and regional plant protection organisations to submit proposals for topics for commodity standards in the forthcoming call for topics</w:t>
      </w:r>
      <w:r>
        <w:rPr>
          <w:rStyle w:val="FootnoteReference"/>
        </w:rPr>
        <w:footnoteReference w:id="13"/>
      </w:r>
      <w:r w:rsidRPr="00406DE3">
        <w:t>.</w:t>
      </w:r>
    </w:p>
    <w:p w14:paraId="4ED77CE7" w14:textId="77777777" w:rsidR="00BC3D0D" w:rsidRPr="00406DE3" w:rsidRDefault="00BC3D0D" w:rsidP="000D5927">
      <w:pPr>
        <w:pStyle w:val="IPPParagraphnumbering"/>
        <w:numPr>
          <w:ilvl w:val="0"/>
          <w:numId w:val="24"/>
        </w:numPr>
      </w:pPr>
      <w:r w:rsidRPr="00406DE3">
        <w:t>The TPCS is optimistic that one or more proposals will be received and added to their work programme to deliver on the development agenda item (DAIs) related to commodity standards specified in the IPPC Strategic Framework 2020-2030.</w:t>
      </w:r>
    </w:p>
    <w:p w14:paraId="3BDF99A3" w14:textId="77777777" w:rsidR="00BC3D0D" w:rsidRPr="005D3775" w:rsidRDefault="00BC3D0D" w:rsidP="00BC3D0D">
      <w:pPr>
        <w:pStyle w:val="IPPHeading1"/>
      </w:pPr>
      <w:r>
        <w:t>TPCS concerns</w:t>
      </w:r>
    </w:p>
    <w:p w14:paraId="0C15D564" w14:textId="77777777" w:rsidR="00BC3D0D" w:rsidRPr="00406DE3" w:rsidRDefault="00BC3D0D" w:rsidP="000D5927">
      <w:pPr>
        <w:pStyle w:val="IPPParagraphnumbering"/>
        <w:numPr>
          <w:ilvl w:val="0"/>
          <w:numId w:val="24"/>
        </w:numPr>
      </w:pPr>
      <w:r w:rsidRPr="00406DE3">
        <w:t xml:space="preserve">The TPCS is concerned that if the current technical panel specification (TP-6) and, standard setting procedure is applied to commodity standard annexes </w:t>
      </w:r>
      <w:r>
        <w:t xml:space="preserve">development </w:t>
      </w:r>
      <w:r w:rsidRPr="00406DE3">
        <w:t xml:space="preserve">following this year’s call for topics (that is, the biennial call for topics, review of proposals by the Taskforce for Topics and the SC, approval of the topic by the CPM and, consultation of </w:t>
      </w:r>
      <w:r>
        <w:t xml:space="preserve">ISPM 46 annex </w:t>
      </w:r>
      <w:r w:rsidRPr="00406DE3">
        <w:t>specifications) then the TPCS will have no annexes to develop until the end of 2024 at the earliest.</w:t>
      </w:r>
    </w:p>
    <w:p w14:paraId="3CA80245" w14:textId="77777777" w:rsidR="00BC3D0D" w:rsidRPr="00406DE3" w:rsidRDefault="00BC3D0D" w:rsidP="000D5927">
      <w:pPr>
        <w:pStyle w:val="IPPParagraphnumbering"/>
        <w:numPr>
          <w:ilvl w:val="0"/>
          <w:numId w:val="24"/>
        </w:numPr>
      </w:pPr>
      <w:r w:rsidRPr="00406DE3">
        <w:t xml:space="preserve">The TPCS do not currently have any ISPM 46 annexes, other than mango fruit, on their work programme, and the remainder of the work on the mango annex will mostly be managed by the SC steward unless specific comments need to be addressed by the TPCS.  If consultation on the mango annex is successful, then the earliest the annex could be adopted by CPM is 2025. </w:t>
      </w:r>
    </w:p>
    <w:p w14:paraId="146BD99A" w14:textId="77777777" w:rsidR="00BC3D0D" w:rsidRPr="005D3775" w:rsidRDefault="00BC3D0D" w:rsidP="00BC3D0D">
      <w:pPr>
        <w:pStyle w:val="IPPHeading1"/>
      </w:pPr>
      <w:r w:rsidRPr="005D3775">
        <w:t>TPCS invites the SC to consider the following request</w:t>
      </w:r>
      <w:r>
        <w:t>s</w:t>
      </w:r>
      <w:r w:rsidRPr="005D3775">
        <w:t>:</w:t>
      </w:r>
    </w:p>
    <w:p w14:paraId="088795D5" w14:textId="77777777" w:rsidR="00BC3D0D" w:rsidRPr="00BC3D0D" w:rsidRDefault="00BC3D0D" w:rsidP="00BC3D0D">
      <w:pPr>
        <w:pStyle w:val="IPPHdg1Num"/>
      </w:pPr>
      <w:r w:rsidRPr="00BC3D0D">
        <w:t>Changes to the TPCS specification (TP-6)</w:t>
      </w:r>
    </w:p>
    <w:p w14:paraId="548BB849" w14:textId="77777777" w:rsidR="00BC3D0D" w:rsidRPr="00BC3D0D" w:rsidRDefault="00BC3D0D" w:rsidP="00BC3D0D">
      <w:pPr>
        <w:pStyle w:val="IPPHdg2Num"/>
      </w:pPr>
      <w:r w:rsidRPr="00BC3D0D">
        <w:t xml:space="preserve">Adding an additional task for TPCS </w:t>
      </w:r>
    </w:p>
    <w:p w14:paraId="0F29B34C" w14:textId="77777777" w:rsidR="00BC3D0D" w:rsidRPr="00406DE3" w:rsidRDefault="00BC3D0D" w:rsidP="000D5927">
      <w:pPr>
        <w:pStyle w:val="IPPParagraphnumbering"/>
        <w:numPr>
          <w:ilvl w:val="0"/>
          <w:numId w:val="24"/>
        </w:numPr>
      </w:pPr>
      <w:r w:rsidRPr="00406DE3">
        <w:t>To ensure that the TPCS has sufficient work to do in the near future, we respectfully request that the SC considers revising the specification for TPCS (Spec TP_6_TPCS)</w:t>
      </w:r>
      <w:r>
        <w:rPr>
          <w:rStyle w:val="FootnoteReference"/>
        </w:rPr>
        <w:footnoteReference w:id="14"/>
      </w:r>
      <w:r w:rsidRPr="00406DE3">
        <w:t xml:space="preserve"> </w:t>
      </w:r>
      <w:r>
        <w:t xml:space="preserve">by adding a task </w:t>
      </w:r>
      <w:r w:rsidRPr="00406DE3">
        <w:t>to allow the TPCS to review and prioritize ISPM 46 annex proposals for inclusion in its work programme. Subject to approval by the SC, the TPCS could accept or reject a proposal based on certain criteria for justification and prioritization. This is built on the TPCS’ first-hand knowledge and experience of developing the first commodity annex for mango fruit, and in-depth understanding of what information is essential, feasible and practical to develop a commodity annex. The TPCS believes it is best placed to review and prioritise the commodity annex topics, as is the practice of Technical Panel on Phytosanitary Treatments (TPPT) (Spec TP_3_TPPT)</w:t>
      </w:r>
      <w:r>
        <w:rPr>
          <w:rStyle w:val="FootnoteReference"/>
        </w:rPr>
        <w:footnoteReference w:id="15"/>
      </w:r>
      <w:r>
        <w:t>.</w:t>
      </w:r>
    </w:p>
    <w:p w14:paraId="4DD017DE" w14:textId="77777777" w:rsidR="00BC3D0D" w:rsidRPr="00BC3D0D" w:rsidRDefault="00BC3D0D" w:rsidP="00BC3D0D">
      <w:pPr>
        <w:pStyle w:val="IPPHdg2Num"/>
      </w:pPr>
      <w:r w:rsidRPr="00BC3D0D">
        <w:lastRenderedPageBreak/>
        <w:t xml:space="preserve">Revising current Task (1) of Spec TP_6_TPCS </w:t>
      </w:r>
    </w:p>
    <w:p w14:paraId="43306E66" w14:textId="77777777" w:rsidR="00BC3D0D" w:rsidRPr="00C35B88" w:rsidRDefault="00BC3D0D" w:rsidP="00C35B88">
      <w:pPr>
        <w:pStyle w:val="IPPParagraphnumbering"/>
      </w:pPr>
      <w:r w:rsidRPr="00BC3D0D">
        <w:t>The TPCS requests that the SC considers revising Task (1) ‘Draft commodity standards as prioritized by the Commission on phytosanitary Measures’ by deleting ‘as prioritized by the Commission on Phytosanitary Measures’. The TPCS does not believe it should be the CPM’s role to prioritize draft ISPM 46 annexes, but rather for the CPM to adopt them.</w:t>
      </w:r>
    </w:p>
    <w:p w14:paraId="34081539" w14:textId="77777777" w:rsidR="00BC3D0D" w:rsidRPr="00BC3D0D" w:rsidRDefault="00BC3D0D" w:rsidP="00BC3D0D">
      <w:pPr>
        <w:pStyle w:val="IPPHdg1Num"/>
      </w:pPr>
      <w:r w:rsidRPr="00BC3D0D">
        <w:t>Changes to the standard setting procedure</w:t>
      </w:r>
    </w:p>
    <w:p w14:paraId="35230134" w14:textId="77777777" w:rsidR="00BC3D0D" w:rsidRPr="00BC3D0D" w:rsidRDefault="00BC3D0D" w:rsidP="000D5927">
      <w:pPr>
        <w:pStyle w:val="IPPHdg2Num"/>
        <w:numPr>
          <w:ilvl w:val="1"/>
          <w:numId w:val="9"/>
        </w:numPr>
      </w:pPr>
      <w:r w:rsidRPr="00BC3D0D">
        <w:t>Ongoing call for ISPM 46 annex topics</w:t>
      </w:r>
    </w:p>
    <w:p w14:paraId="1AF1E509" w14:textId="77777777" w:rsidR="00BC3D0D" w:rsidRPr="00406DE3" w:rsidRDefault="00BC3D0D" w:rsidP="00C35B88">
      <w:pPr>
        <w:pStyle w:val="IPPParagraphnumbering"/>
      </w:pPr>
      <w:r w:rsidRPr="00406DE3">
        <w:t>The TPCS requests that the SC considers revising the standard setting procedure to allow for an ongoing call for topics for ISPM 46 annexes. This will ensure the TPCS always has a list of new annexes to develop rather than waiting for the biennial call for topics and various approvals. Also, it would allow for adopted annexes to be updated or revised more easily so information remains current and useable.</w:t>
      </w:r>
    </w:p>
    <w:p w14:paraId="4CEC4623" w14:textId="77777777" w:rsidR="00BC3D0D" w:rsidRPr="00BC3D0D" w:rsidRDefault="00BC3D0D" w:rsidP="000D5927">
      <w:pPr>
        <w:pStyle w:val="IPPHeading2"/>
        <w:numPr>
          <w:ilvl w:val="1"/>
          <w:numId w:val="9"/>
        </w:numPr>
      </w:pPr>
      <w:r w:rsidRPr="00BC3D0D">
        <w:t>Review of proposed topics by TPCS</w:t>
      </w:r>
    </w:p>
    <w:p w14:paraId="1F4B8B94" w14:textId="77777777" w:rsidR="00BC3D0D" w:rsidRPr="00406DE3" w:rsidRDefault="00BC3D0D" w:rsidP="00C35B88">
      <w:pPr>
        <w:pStyle w:val="IPPParagraphnumbering"/>
      </w:pPr>
      <w:r w:rsidRPr="00406DE3">
        <w:t>The TPCS suggests that the procedure for the submission of topics could be the same as that used by the TPPT but with a submission form tailored for information require</w:t>
      </w:r>
      <w:r>
        <w:t>ment for</w:t>
      </w:r>
      <w:r w:rsidRPr="00406DE3">
        <w:t xml:space="preserve"> ISPM 46 annexes. A draft form based on ISPM 46 criteria has already been developed by the TPCS. </w:t>
      </w:r>
    </w:p>
    <w:p w14:paraId="30365E98" w14:textId="77777777" w:rsidR="00BC3D0D" w:rsidRPr="00290601" w:rsidRDefault="00BC3D0D" w:rsidP="000D5927">
      <w:pPr>
        <w:pStyle w:val="IPPHdg1Num"/>
        <w:numPr>
          <w:ilvl w:val="1"/>
          <w:numId w:val="9"/>
        </w:numPr>
      </w:pPr>
      <w:r>
        <w:t>No consultation on ISPM 46 annex specifications</w:t>
      </w:r>
    </w:p>
    <w:p w14:paraId="30D7BF0B" w14:textId="77777777" w:rsidR="00BC3D0D" w:rsidRDefault="00BC3D0D" w:rsidP="00C35B88">
      <w:pPr>
        <w:pStyle w:val="IPPParagraphnumbering"/>
      </w:pPr>
      <w:r>
        <w:t>T</w:t>
      </w:r>
      <w:r w:rsidRPr="00406DE3">
        <w:t>he TPCS requests the SC to revise the standard setting procedure by removing the step of consultation of specifications for ISPM 46 annexes. The TPCS considers specifications for annexes are unnecessary, nor would they need to be consulted, as the tasks of the TPCS are likely to be the same for all commodities</w:t>
      </w:r>
      <w:r>
        <w:t xml:space="preserve"> as specified in ISPM 46 and Spec TP_6_TPCS</w:t>
      </w:r>
      <w:r w:rsidRPr="00406DE3">
        <w:t xml:space="preserve">. The consultation process for draft ISPM 46 annexes would remain the same or could be reviewed later depending on whether substantive comments are received on the mango fruit and subsequent annexes. </w:t>
      </w:r>
    </w:p>
    <w:p w14:paraId="5FC8C9F5" w14:textId="77777777" w:rsidR="00BC3D0D" w:rsidRPr="00406DE3" w:rsidRDefault="00BC3D0D" w:rsidP="00C35B88">
      <w:pPr>
        <w:pStyle w:val="IPPParagraphnumbering"/>
      </w:pPr>
      <w:r>
        <w:t>None of the above proposed changes compromise the rigor of commodity standards as the draft annexes will still go through the due consultation and adoption process.</w:t>
      </w:r>
    </w:p>
    <w:p w14:paraId="34F8A85A" w14:textId="77777777" w:rsidR="00BC3D0D" w:rsidRPr="00290601" w:rsidRDefault="00BC3D0D" w:rsidP="00C35B88">
      <w:pPr>
        <w:pStyle w:val="IPPHdg1Num"/>
      </w:pPr>
      <w:r>
        <w:t>Potential obstacles to proposed changes</w:t>
      </w:r>
    </w:p>
    <w:p w14:paraId="425F5133" w14:textId="77777777" w:rsidR="00BC3D0D" w:rsidRPr="00406DE3" w:rsidRDefault="00BC3D0D" w:rsidP="00C35B88">
      <w:pPr>
        <w:pStyle w:val="IPPParagraphnumbering"/>
      </w:pPr>
      <w:r w:rsidRPr="00406DE3">
        <w:t>The TPCS understands that the request for a change to procedure may depend on the SC’s approval to consult on the annex for mango fruit that was developed in January 2023. The TPCS worked through several issues to produce the draft annex and, if approved by SC, the draft will be a template for annexes to ISPM 46 going forward. Although the development of commodity standards received broad support from contracting parties at CPM-17, we note there may be caution and sensitivities around the first annex that may delay its adoption, but this should not stall the work of the TPCS to continue to develop other annexes.</w:t>
      </w:r>
    </w:p>
    <w:p w14:paraId="5DBAD676" w14:textId="77777777" w:rsidR="00BC3D0D" w:rsidRPr="00406DE3" w:rsidRDefault="00BC3D0D" w:rsidP="00C35B88">
      <w:pPr>
        <w:pStyle w:val="IPPParagraphnumbering"/>
      </w:pPr>
      <w:r w:rsidRPr="00406DE3">
        <w:t xml:space="preserve">The TPCS acknowledges that </w:t>
      </w:r>
      <w:bookmarkStart w:id="26" w:name="_Hlk132206868"/>
      <w:r w:rsidRPr="00406DE3">
        <w:t>CPM-17</w:t>
      </w:r>
      <w:r w:rsidRPr="00A97F2C">
        <w:t xml:space="preserve"> </w:t>
      </w:r>
      <w:r>
        <w:t xml:space="preserve">agreed to the implementation plan for IPPC Strategic Framework </w:t>
      </w:r>
      <w:r w:rsidRPr="00A97F2C">
        <w:t xml:space="preserve">development agenda items </w:t>
      </w:r>
      <w:r>
        <w:t xml:space="preserve">(DAIs), </w:t>
      </w:r>
      <w:bookmarkEnd w:id="26"/>
      <w:r>
        <w:t xml:space="preserve">which </w:t>
      </w:r>
      <w:r w:rsidRPr="00406DE3">
        <w:t>recommended that ‘</w:t>
      </w:r>
      <w:r w:rsidRPr="00406DE3">
        <w:rPr>
          <w:i/>
          <w:iCs/>
        </w:rPr>
        <w:t>The development of commodity standards should continue in delivery phase until at least two ISPM 46 annexes have been adopted by CPM. This will enable lessons to be learnt and the standard setting process to be adjusted, if necessary, to support prioritization of commodity specific topics and development of commodity-specific annexes to ISPM 46’</w:t>
      </w:r>
      <w:r>
        <w:rPr>
          <w:rStyle w:val="FootnoteReference"/>
          <w:i/>
          <w:iCs/>
        </w:rPr>
        <w:footnoteReference w:id="16"/>
      </w:r>
      <w:r w:rsidRPr="00406DE3">
        <w:rPr>
          <w:i/>
          <w:iCs/>
        </w:rPr>
        <w:t xml:space="preserve">. </w:t>
      </w:r>
      <w:r w:rsidRPr="00406DE3">
        <w:t>However, the TPCS believe</w:t>
      </w:r>
      <w:r>
        <w:t>s</w:t>
      </w:r>
      <w:r w:rsidRPr="00406DE3">
        <w:t xml:space="preserve"> that lessons have been learn</w:t>
      </w:r>
      <w:r>
        <w:t>t</w:t>
      </w:r>
      <w:r w:rsidRPr="00406DE3">
        <w:t xml:space="preserve"> during the development of the current mango fruit annex which was supported by the development of the APPPC regional standard for the same commodity. </w:t>
      </w:r>
    </w:p>
    <w:p w14:paraId="63C24AE6" w14:textId="77777777" w:rsidR="00BC3D0D" w:rsidRPr="00406DE3" w:rsidRDefault="00BC3D0D" w:rsidP="00C35B88">
      <w:pPr>
        <w:pStyle w:val="IPPParagraphnumbering"/>
      </w:pPr>
      <w:r w:rsidRPr="00406DE3">
        <w:lastRenderedPageBreak/>
        <w:t>Commodity-specific standards are one of the eight DAIs specified in the IPPC Strategic Framework 2020-2030</w:t>
      </w:r>
      <w:r>
        <w:rPr>
          <w:rStyle w:val="FootnoteReference"/>
        </w:rPr>
        <w:footnoteReference w:id="17"/>
      </w:r>
      <w:r w:rsidRPr="00406DE3">
        <w:t xml:space="preserve">. If the TPCS is going to deliver against this DAI, then </w:t>
      </w:r>
      <w:r>
        <w:t>p</w:t>
      </w:r>
      <w:r w:rsidRPr="00406DE3">
        <w:t>rocedures need to be adjusted sooner rather than waiting until two annexes have been adopted</w:t>
      </w:r>
      <w:r>
        <w:t>,</w:t>
      </w:r>
      <w:r w:rsidRPr="00406DE3">
        <w:t xml:space="preserve"> as the earliest a second annex could be adopted will be 2027. </w:t>
      </w:r>
    </w:p>
    <w:p w14:paraId="2FC0582F" w14:textId="77777777" w:rsidR="00BC3D0D" w:rsidRPr="005D3775" w:rsidRDefault="00BC3D0D" w:rsidP="00C35B88">
      <w:pPr>
        <w:pStyle w:val="IPPHdg1Num"/>
      </w:pPr>
      <w:r w:rsidRPr="005D3775">
        <w:t>Risks if changes to procedures are not implemented</w:t>
      </w:r>
    </w:p>
    <w:p w14:paraId="0103DBDE" w14:textId="77777777" w:rsidR="00BC3D0D" w:rsidRPr="00406DE3" w:rsidRDefault="00BC3D0D" w:rsidP="00C35B88">
      <w:pPr>
        <w:pStyle w:val="IPPParagraphnumbering"/>
      </w:pPr>
      <w:r w:rsidRPr="00406DE3">
        <w:t xml:space="preserve">The most significant risks identified by the TPCS if no immediate changes are made to the TPCS Specification (TP-6) and </w:t>
      </w:r>
      <w:r>
        <w:t xml:space="preserve">IPPC </w:t>
      </w:r>
      <w:r w:rsidRPr="00406DE3">
        <w:t xml:space="preserve">standard setting procedure </w:t>
      </w:r>
      <w:r>
        <w:t xml:space="preserve">for ISPM 46 annexes </w:t>
      </w:r>
      <w:r w:rsidRPr="00406DE3">
        <w:t xml:space="preserve">are: </w:t>
      </w:r>
    </w:p>
    <w:p w14:paraId="0C16907E" w14:textId="77777777" w:rsidR="00BC3D0D" w:rsidRPr="00C35B88" w:rsidRDefault="00BC3D0D" w:rsidP="000D5927">
      <w:pPr>
        <w:pStyle w:val="ListParagraph"/>
        <w:numPr>
          <w:ilvl w:val="1"/>
          <w:numId w:val="21"/>
        </w:numPr>
        <w:spacing w:after="160" w:line="259" w:lineRule="auto"/>
        <w:ind w:leftChars="0" w:left="1134" w:hanging="567"/>
        <w:contextualSpacing/>
        <w:jc w:val="left"/>
        <w:rPr>
          <w:rFonts w:ascii="Times New Roman" w:hAnsi="Times New Roman"/>
          <w:sz w:val="22"/>
        </w:rPr>
      </w:pPr>
      <w:r w:rsidRPr="00C35B88">
        <w:rPr>
          <w:rFonts w:ascii="Times New Roman" w:hAnsi="Times New Roman"/>
          <w:sz w:val="22"/>
        </w:rPr>
        <w:t>the TPCS will be unable to deliver on the development agenda item for commodity-specific standards outlined in the IPPC Strategic Framework 2020-2030; and</w:t>
      </w:r>
    </w:p>
    <w:p w14:paraId="58B1F822" w14:textId="77777777" w:rsidR="00BC3D0D" w:rsidRPr="00C35B88" w:rsidRDefault="00BC3D0D" w:rsidP="000D5927">
      <w:pPr>
        <w:pStyle w:val="ListParagraph"/>
        <w:numPr>
          <w:ilvl w:val="1"/>
          <w:numId w:val="21"/>
        </w:numPr>
        <w:spacing w:after="160" w:line="259" w:lineRule="auto"/>
        <w:ind w:leftChars="0" w:left="1134" w:hanging="567"/>
        <w:contextualSpacing/>
        <w:jc w:val="left"/>
        <w:rPr>
          <w:rFonts w:ascii="Times New Roman" w:hAnsi="Times New Roman"/>
          <w:sz w:val="22"/>
        </w:rPr>
      </w:pPr>
      <w:r w:rsidRPr="00C35B88">
        <w:rPr>
          <w:rFonts w:ascii="Times New Roman" w:hAnsi="Times New Roman"/>
          <w:sz w:val="22"/>
        </w:rPr>
        <w:t xml:space="preserve">the TPCS will lose momentum to develop ISPM 46 annexes; or </w:t>
      </w:r>
    </w:p>
    <w:p w14:paraId="3E8904D5" w14:textId="77777777" w:rsidR="00BC3D0D" w:rsidRPr="00C35B88" w:rsidRDefault="00BC3D0D" w:rsidP="000D5927">
      <w:pPr>
        <w:pStyle w:val="ListParagraph"/>
        <w:numPr>
          <w:ilvl w:val="1"/>
          <w:numId w:val="21"/>
        </w:numPr>
        <w:spacing w:after="160" w:line="259" w:lineRule="auto"/>
        <w:ind w:leftChars="0" w:left="1134" w:hanging="567"/>
        <w:contextualSpacing/>
        <w:jc w:val="left"/>
        <w:rPr>
          <w:rFonts w:ascii="Times New Roman" w:hAnsi="Times New Roman"/>
          <w:sz w:val="22"/>
        </w:rPr>
      </w:pPr>
      <w:r w:rsidRPr="00C35B88">
        <w:rPr>
          <w:rFonts w:ascii="Times New Roman" w:hAnsi="Times New Roman"/>
          <w:sz w:val="22"/>
        </w:rPr>
        <w:t>members of the TPCS may leave the panel due to insufficient work.</w:t>
      </w:r>
    </w:p>
    <w:p w14:paraId="298B44AF" w14:textId="77777777" w:rsidR="00BC3D0D" w:rsidRPr="00B71D80" w:rsidRDefault="00BC3D0D" w:rsidP="00BC3D0D">
      <w:pPr>
        <w:rPr>
          <w:b/>
          <w:bCs/>
        </w:rPr>
      </w:pPr>
      <w:r w:rsidRPr="00B71D80">
        <w:rPr>
          <w:b/>
          <w:bCs/>
        </w:rPr>
        <w:t>Recommendation</w:t>
      </w:r>
      <w:r>
        <w:rPr>
          <w:b/>
          <w:bCs/>
        </w:rPr>
        <w:t>s</w:t>
      </w:r>
    </w:p>
    <w:p w14:paraId="5ED6B73A" w14:textId="77777777" w:rsidR="00BC3D0D" w:rsidRDefault="00BC3D0D" w:rsidP="00C35B88">
      <w:pPr>
        <w:pStyle w:val="IPPParagraphnumbering"/>
        <w:spacing w:before="240"/>
        <w:ind w:hanging="475"/>
      </w:pPr>
      <w:r>
        <w:t>The SC is invited to:</w:t>
      </w:r>
    </w:p>
    <w:p w14:paraId="6E401B1D" w14:textId="77777777" w:rsidR="00BC3D0D" w:rsidRPr="00C35B88" w:rsidRDefault="00C35B88" w:rsidP="000D5927">
      <w:pPr>
        <w:pStyle w:val="IPPNumberedList"/>
        <w:numPr>
          <w:ilvl w:val="0"/>
          <w:numId w:val="23"/>
        </w:numPr>
        <w:rPr>
          <w:i/>
          <w:iCs/>
        </w:rPr>
      </w:pPr>
      <w:r>
        <w:rPr>
          <w:i/>
          <w:iCs/>
        </w:rPr>
        <w:t>c</w:t>
      </w:r>
      <w:r w:rsidR="00BC3D0D" w:rsidRPr="00C35B88">
        <w:rPr>
          <w:i/>
          <w:iCs/>
        </w:rPr>
        <w:t>onsider</w:t>
      </w:r>
      <w:r w:rsidR="00BC3D0D" w:rsidRPr="00C35B88">
        <w:t xml:space="preserve"> the concerns of the TPCS regarding the specification for the panel (TP-6) and the standard setting procedure relating to ISPM 46 annexes development.</w:t>
      </w:r>
    </w:p>
    <w:p w14:paraId="2C5D08B8" w14:textId="77777777" w:rsidR="00BC3D0D" w:rsidRPr="00C35B88" w:rsidRDefault="00C35B88" w:rsidP="00C35B88">
      <w:pPr>
        <w:pStyle w:val="IPPNumberedList"/>
        <w:rPr>
          <w:i/>
          <w:iCs/>
        </w:rPr>
      </w:pPr>
      <w:r>
        <w:rPr>
          <w:i/>
          <w:iCs/>
        </w:rPr>
        <w:t>a</w:t>
      </w:r>
      <w:r w:rsidR="00BC3D0D" w:rsidRPr="00C35B88">
        <w:rPr>
          <w:i/>
          <w:iCs/>
        </w:rPr>
        <w:t xml:space="preserve">gree </w:t>
      </w:r>
      <w:r w:rsidR="00BC3D0D" w:rsidRPr="00C35B88">
        <w:t xml:space="preserve">and </w:t>
      </w:r>
      <w:r w:rsidR="00BC3D0D" w:rsidRPr="00C35B88">
        <w:rPr>
          <w:i/>
          <w:iCs/>
        </w:rPr>
        <w:t>implement changes</w:t>
      </w:r>
      <w:r w:rsidR="00BC3D0D" w:rsidRPr="00C35B88">
        <w:t xml:space="preserve"> needed to TP-6 and the IPPC standard setting procedure to deliver ISPM 46 annexes against the IPPC Strategic Framework 2020-2030.</w:t>
      </w:r>
    </w:p>
    <w:p w14:paraId="082444F4" w14:textId="77777777" w:rsidR="00A80248" w:rsidRPr="00140EE4" w:rsidRDefault="00A80248" w:rsidP="00140EE4">
      <w:pPr>
        <w:pStyle w:val="IPPNumberedList"/>
        <w:numPr>
          <w:ilvl w:val="0"/>
          <w:numId w:val="0"/>
        </w:numPr>
        <w:spacing w:before="120" w:after="120"/>
        <w:ind w:left="567" w:hanging="567"/>
        <w:contextualSpacing/>
        <w:rPr>
          <w:b/>
        </w:rPr>
      </w:pPr>
    </w:p>
    <w:sectPr w:rsidR="00A80248" w:rsidRPr="00140EE4" w:rsidSect="00F072DB">
      <w:headerReference w:type="even" r:id="rId43"/>
      <w:headerReference w:type="default" r:id="rId44"/>
      <w:footerReference w:type="even" r:id="rId45"/>
      <w:footerReference w:type="default" r:id="rId46"/>
      <w:headerReference w:type="first" r:id="rId47"/>
      <w:footerReference w:type="first" r:id="rId48"/>
      <w:pgSz w:w="11906" w:h="16838"/>
      <w:pgMar w:top="1440" w:right="1440" w:bottom="1440" w:left="144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CA0D7" w16cex:dateUtc="2023-05-03T07:59:00Z"/>
  <w16cex:commentExtensible w16cex:durableId="27FCA036" w16cex:dateUtc="2023-05-03T07:56:00Z"/>
  <w16cex:commentExtensible w16cex:durableId="27FCDE57" w16cex:dateUtc="2023-05-03T01:21:00Z"/>
  <w16cex:commentExtensible w16cex:durableId="27FCA191" w16cex:dateUtc="2023-05-03T08:02:00Z"/>
  <w16cex:commentExtensible w16cex:durableId="27FCDF00" w16cex:dateUtc="2023-05-03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A21F15" w16cid:durableId="27FCB312"/>
  <w16cid:commentId w16cid:paraId="3D8F5427" w16cid:durableId="27FCB313"/>
  <w16cid:commentId w16cid:paraId="692937CB" w16cid:durableId="27FCB314"/>
  <w16cid:commentId w16cid:paraId="3D3093C3" w16cid:durableId="27FCB315"/>
  <w16cid:commentId w16cid:paraId="3C1865A1" w16cid:durableId="27FCA0D7"/>
  <w16cid:commentId w16cid:paraId="789C3A0C" w16cid:durableId="27FCB316"/>
  <w16cid:commentId w16cid:paraId="1C6BDC78" w16cid:durableId="27FCB317"/>
  <w16cid:commentId w16cid:paraId="34A364CA" w16cid:durableId="27FCB318"/>
  <w16cid:commentId w16cid:paraId="39C8BF75" w16cid:durableId="27FCA036"/>
  <w16cid:commentId w16cid:paraId="7B5E7A09" w16cid:durableId="27FCB319"/>
  <w16cid:commentId w16cid:paraId="727CB79C" w16cid:durableId="27FCB31A"/>
  <w16cid:commentId w16cid:paraId="7DE22792" w16cid:durableId="27FCB31B"/>
  <w16cid:commentId w16cid:paraId="4A7EC2A4" w16cid:durableId="27FCB31C"/>
  <w16cid:commentId w16cid:paraId="6C1029AF" w16cid:durableId="27FCB31D"/>
  <w16cid:commentId w16cid:paraId="474ED279" w16cid:durableId="27FCDE57"/>
  <w16cid:commentId w16cid:paraId="3A7E7DC0" w16cid:durableId="27FCA191"/>
  <w16cid:commentId w16cid:paraId="5A1C58AA" w16cid:durableId="27FCDF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3813D" w14:textId="77777777" w:rsidR="00AF5542" w:rsidRDefault="00AF5542" w:rsidP="00E4346B">
      <w:r>
        <w:separator/>
      </w:r>
    </w:p>
  </w:endnote>
  <w:endnote w:type="continuationSeparator" w:id="0">
    <w:p w14:paraId="5D6B0FCD" w14:textId="77777777" w:rsidR="00AF5542" w:rsidRDefault="00AF5542" w:rsidP="00E4346B">
      <w:r>
        <w:continuationSeparator/>
      </w:r>
    </w:p>
  </w:endnote>
  <w:endnote w:type="continuationNotice" w:id="1">
    <w:p w14:paraId="08EDDAE1" w14:textId="77777777" w:rsidR="00AF5542" w:rsidRDefault="00AF5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03DFA" w14:textId="25E3E068" w:rsidR="00EF4D67" w:rsidRPr="00ED536F" w:rsidRDefault="00EF4D67" w:rsidP="00BB763A">
    <w:pPr>
      <w:pStyle w:val="IPPFooter"/>
      <w:rPr>
        <w:rFonts w:cs="Arial"/>
        <w:szCs w:val="18"/>
      </w:rPr>
    </w:pPr>
    <w:r w:rsidRPr="00316E50">
      <w:rPr>
        <w:rFonts w:cs="Arial"/>
        <w:szCs w:val="18"/>
      </w:rPr>
      <w:t xml:space="preserve">Page </w:t>
    </w:r>
    <w:r w:rsidRPr="00316E50">
      <w:rPr>
        <w:rFonts w:cs="Arial"/>
        <w:szCs w:val="18"/>
      </w:rPr>
      <w:fldChar w:fldCharType="begin"/>
    </w:r>
    <w:r w:rsidRPr="00316E50">
      <w:rPr>
        <w:rFonts w:cs="Arial"/>
        <w:szCs w:val="18"/>
      </w:rPr>
      <w:instrText xml:space="preserve"> PAGE </w:instrText>
    </w:r>
    <w:r w:rsidRPr="00316E50">
      <w:rPr>
        <w:rFonts w:cs="Arial"/>
        <w:szCs w:val="18"/>
      </w:rPr>
      <w:fldChar w:fldCharType="separate"/>
    </w:r>
    <w:r w:rsidR="00B5032E">
      <w:rPr>
        <w:rFonts w:cs="Arial"/>
        <w:noProof/>
        <w:szCs w:val="18"/>
      </w:rPr>
      <w:t>12</w:t>
    </w:r>
    <w:r w:rsidRPr="00316E50">
      <w:rPr>
        <w:rFonts w:cs="Arial"/>
        <w:szCs w:val="18"/>
      </w:rPr>
      <w:fldChar w:fldCharType="end"/>
    </w:r>
    <w:r w:rsidRPr="00316E50">
      <w:rPr>
        <w:rFonts w:cs="Arial"/>
        <w:szCs w:val="18"/>
      </w:rPr>
      <w:t xml:space="preserve"> of </w:t>
    </w:r>
    <w:r w:rsidRPr="00316E50">
      <w:rPr>
        <w:rFonts w:cs="Arial"/>
        <w:szCs w:val="18"/>
      </w:rPr>
      <w:fldChar w:fldCharType="begin"/>
    </w:r>
    <w:r w:rsidRPr="00316E50">
      <w:rPr>
        <w:rFonts w:cs="Arial"/>
        <w:szCs w:val="18"/>
      </w:rPr>
      <w:instrText xml:space="preserve"> NUMPAGES  </w:instrText>
    </w:r>
    <w:r w:rsidRPr="00316E50">
      <w:rPr>
        <w:rFonts w:cs="Arial"/>
        <w:szCs w:val="18"/>
      </w:rPr>
      <w:fldChar w:fldCharType="separate"/>
    </w:r>
    <w:r w:rsidR="00B5032E">
      <w:rPr>
        <w:rFonts w:cs="Arial"/>
        <w:noProof/>
        <w:szCs w:val="18"/>
      </w:rPr>
      <w:t>16</w:t>
    </w:r>
    <w:r w:rsidRPr="00316E50">
      <w:rPr>
        <w:rFonts w:cs="Arial"/>
        <w:szCs w:val="18"/>
      </w:rPr>
      <w:fldChar w:fldCharType="end"/>
    </w:r>
    <w:r w:rsidRPr="00316E50">
      <w:rPr>
        <w:rFonts w:cs="Arial"/>
        <w:szCs w:val="18"/>
      </w:rPr>
      <w:tab/>
    </w:r>
    <w:r w:rsidRPr="00316E50">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F5B6B" w14:textId="7EF2875C" w:rsidR="00EF4D67" w:rsidRPr="00BB763A" w:rsidRDefault="00EF4D67" w:rsidP="00BB763A">
    <w:pPr>
      <w:pStyle w:val="IPPFooter"/>
    </w:pPr>
    <w:r w:rsidRPr="00BB763A">
      <w:rPr>
        <w:rStyle w:val="PageNumber"/>
        <w:b/>
      </w:rPr>
      <w:t>International Plant Protection Convention</w:t>
    </w:r>
    <w:r w:rsidRPr="00BB763A">
      <w:rPr>
        <w:rStyle w:val="PageNumber"/>
        <w:b/>
      </w:rPr>
      <w:tab/>
      <w:t xml:space="preserve">Page </w:t>
    </w:r>
    <w:r w:rsidRPr="00BB763A">
      <w:rPr>
        <w:rStyle w:val="PageNumber"/>
        <w:b/>
      </w:rPr>
      <w:fldChar w:fldCharType="begin"/>
    </w:r>
    <w:r w:rsidRPr="00BB763A">
      <w:rPr>
        <w:rStyle w:val="PageNumber"/>
        <w:b/>
      </w:rPr>
      <w:instrText xml:space="preserve"> PAGE </w:instrText>
    </w:r>
    <w:r w:rsidRPr="00BB763A">
      <w:rPr>
        <w:rStyle w:val="PageNumber"/>
        <w:b/>
      </w:rPr>
      <w:fldChar w:fldCharType="separate"/>
    </w:r>
    <w:r w:rsidR="00B5032E">
      <w:rPr>
        <w:rStyle w:val="PageNumber"/>
        <w:b/>
        <w:noProof/>
      </w:rPr>
      <w:t>13</w:t>
    </w:r>
    <w:r w:rsidRPr="00BB763A">
      <w:rPr>
        <w:rStyle w:val="PageNumber"/>
        <w:b/>
      </w:rPr>
      <w:fldChar w:fldCharType="end"/>
    </w:r>
    <w:r w:rsidRPr="00BB763A">
      <w:rPr>
        <w:rStyle w:val="PageNumber"/>
        <w:b/>
      </w:rPr>
      <w:t xml:space="preserve"> of </w:t>
    </w:r>
    <w:r w:rsidRPr="00BB763A">
      <w:rPr>
        <w:rStyle w:val="PageNumber"/>
        <w:b/>
      </w:rPr>
      <w:fldChar w:fldCharType="begin"/>
    </w:r>
    <w:r w:rsidRPr="00BB763A">
      <w:rPr>
        <w:rStyle w:val="PageNumber"/>
        <w:b/>
      </w:rPr>
      <w:instrText xml:space="preserve"> NUMPAGES </w:instrText>
    </w:r>
    <w:r w:rsidRPr="00BB763A">
      <w:rPr>
        <w:rStyle w:val="PageNumber"/>
        <w:b/>
      </w:rPr>
      <w:fldChar w:fldCharType="separate"/>
    </w:r>
    <w:r w:rsidR="00B5032E">
      <w:rPr>
        <w:rStyle w:val="PageNumber"/>
        <w:b/>
        <w:noProof/>
      </w:rPr>
      <w:t>16</w:t>
    </w:r>
    <w:r w:rsidRPr="00BB763A">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CA34A" w14:textId="16FA8D78" w:rsidR="00EF4D67" w:rsidRPr="00BB763A" w:rsidRDefault="00EF4D67" w:rsidP="00BB763A">
    <w:pPr>
      <w:pStyle w:val="IPPFooter"/>
    </w:pPr>
    <w:r w:rsidRPr="00BB763A">
      <w:rPr>
        <w:rStyle w:val="PageNumber"/>
        <w:b/>
      </w:rPr>
      <w:t>International Plant Protection Convention</w:t>
    </w:r>
    <w:r w:rsidRPr="00BB763A">
      <w:rPr>
        <w:rStyle w:val="PageNumber"/>
        <w:b/>
      </w:rPr>
      <w:tab/>
      <w:t xml:space="preserve">Page </w:t>
    </w:r>
    <w:r w:rsidRPr="00BB763A">
      <w:rPr>
        <w:rStyle w:val="PageNumber"/>
        <w:b/>
      </w:rPr>
      <w:fldChar w:fldCharType="begin"/>
    </w:r>
    <w:r w:rsidRPr="00BB763A">
      <w:rPr>
        <w:rStyle w:val="PageNumber"/>
        <w:b/>
      </w:rPr>
      <w:instrText xml:space="preserve"> PAGE </w:instrText>
    </w:r>
    <w:r w:rsidRPr="00BB763A">
      <w:rPr>
        <w:rStyle w:val="PageNumber"/>
        <w:b/>
      </w:rPr>
      <w:fldChar w:fldCharType="separate"/>
    </w:r>
    <w:r w:rsidR="00B5032E">
      <w:rPr>
        <w:rStyle w:val="PageNumber"/>
        <w:b/>
        <w:noProof/>
      </w:rPr>
      <w:t>1</w:t>
    </w:r>
    <w:r w:rsidRPr="00BB763A">
      <w:rPr>
        <w:rStyle w:val="PageNumber"/>
        <w:b/>
      </w:rPr>
      <w:fldChar w:fldCharType="end"/>
    </w:r>
    <w:r w:rsidRPr="00BB763A">
      <w:rPr>
        <w:rStyle w:val="PageNumber"/>
        <w:b/>
      </w:rPr>
      <w:t xml:space="preserve"> of </w:t>
    </w:r>
    <w:r w:rsidRPr="00BB763A">
      <w:rPr>
        <w:rStyle w:val="PageNumber"/>
        <w:b/>
      </w:rPr>
      <w:fldChar w:fldCharType="begin"/>
    </w:r>
    <w:r w:rsidRPr="00BB763A">
      <w:rPr>
        <w:rStyle w:val="PageNumber"/>
        <w:b/>
      </w:rPr>
      <w:instrText xml:space="preserve"> NUMPAGES </w:instrText>
    </w:r>
    <w:r w:rsidRPr="00BB763A">
      <w:rPr>
        <w:rStyle w:val="PageNumber"/>
        <w:b/>
      </w:rPr>
      <w:fldChar w:fldCharType="separate"/>
    </w:r>
    <w:r w:rsidR="00B5032E">
      <w:rPr>
        <w:rStyle w:val="PageNumber"/>
        <w:b/>
        <w:noProof/>
      </w:rPr>
      <w:t>16</w:t>
    </w:r>
    <w:r w:rsidRPr="00BB763A">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846E1" w14:textId="08744BAC" w:rsidR="00EF4D67" w:rsidRDefault="00EF4D67" w:rsidP="00F072DB">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B5032E">
      <w:rPr>
        <w:rStyle w:val="PageNumber"/>
        <w:bCs/>
        <w:noProof/>
      </w:rPr>
      <w:t>16</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B5032E">
      <w:rPr>
        <w:rStyle w:val="PageNumber"/>
        <w:bCs/>
        <w:noProof/>
      </w:rPr>
      <w:t>16</w:t>
    </w:r>
    <w:r w:rsidRPr="007D640A">
      <w:rPr>
        <w:rStyle w:val="PageNumber"/>
        <w:b/>
        <w:bCs/>
      </w:rPr>
      <w:fldChar w:fldCharType="end"/>
    </w:r>
    <w:r>
      <w:rPr>
        <w:rStyle w:val="PageNumber"/>
        <w:bCs/>
      </w:rPr>
      <w:tab/>
    </w:r>
    <w:r>
      <w:rPr>
        <w:rStyle w:val="PageNumber"/>
      </w:rPr>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7C283" w14:textId="775B08BF" w:rsidR="00EF4D67" w:rsidRDefault="00EF4D67" w:rsidP="00F072D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B5032E">
      <w:rPr>
        <w:rStyle w:val="PageNumber"/>
        <w:bCs/>
        <w:noProof/>
      </w:rPr>
      <w:t>15</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B5032E">
      <w:rPr>
        <w:rStyle w:val="PageNumber"/>
        <w:bCs/>
        <w:noProof/>
      </w:rPr>
      <w:t>16</w:t>
    </w:r>
    <w:r w:rsidRPr="007D640A">
      <w:rPr>
        <w:rStyle w:val="PageNumber"/>
        <w:b/>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AC622" w14:textId="0E6948B0" w:rsidR="00EF4D67" w:rsidRDefault="00EF4D67" w:rsidP="00F072DB">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B5032E">
      <w:rPr>
        <w:rStyle w:val="PageNumber"/>
        <w:bCs/>
        <w:noProof/>
      </w:rPr>
      <w:t>14</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B5032E">
      <w:rPr>
        <w:rStyle w:val="PageNumber"/>
        <w:bCs/>
        <w:noProof/>
      </w:rPr>
      <w:t>16</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44015" w14:textId="77777777" w:rsidR="00AF5542" w:rsidRDefault="00AF5542" w:rsidP="00E4346B">
      <w:r>
        <w:separator/>
      </w:r>
    </w:p>
  </w:footnote>
  <w:footnote w:type="continuationSeparator" w:id="0">
    <w:p w14:paraId="2C46C733" w14:textId="77777777" w:rsidR="00AF5542" w:rsidRDefault="00AF5542" w:rsidP="00E4346B">
      <w:r>
        <w:continuationSeparator/>
      </w:r>
    </w:p>
  </w:footnote>
  <w:footnote w:type="continuationNotice" w:id="1">
    <w:p w14:paraId="75B03B81" w14:textId="77777777" w:rsidR="00AF5542" w:rsidRDefault="00AF5542"/>
  </w:footnote>
  <w:footnote w:id="2">
    <w:p w14:paraId="70C4DE9A" w14:textId="77777777" w:rsidR="00EF4D67" w:rsidRDefault="00EF4D67">
      <w:pPr>
        <w:pStyle w:val="FootnoteText"/>
      </w:pPr>
      <w:r>
        <w:rPr>
          <w:rStyle w:val="FootnoteReference"/>
        </w:rPr>
        <w:footnoteRef/>
      </w:r>
      <w:r>
        <w:t xml:space="preserve"> CPM-14 Report: </w:t>
      </w:r>
      <w:hyperlink r:id="rId1" w:history="1">
        <w:r w:rsidRPr="00A24E59">
          <w:rPr>
            <w:rStyle w:val="Hyperlink"/>
          </w:rPr>
          <w:t>https://assets.ippc.int/static/media/files/publication/en/2019/07/CPM-14_Report_withISPMs-2019-07-31.pdf</w:t>
        </w:r>
      </w:hyperlink>
    </w:p>
  </w:footnote>
  <w:footnote w:id="3">
    <w:p w14:paraId="4B9C9E93" w14:textId="77777777" w:rsidR="00EF4D67" w:rsidRPr="003E5987" w:rsidRDefault="00EF4D67" w:rsidP="0046268E">
      <w:pPr>
        <w:pStyle w:val="FootnoteText"/>
      </w:pPr>
      <w:r>
        <w:rPr>
          <w:rStyle w:val="FootnoteReference"/>
        </w:rPr>
        <w:footnoteRef/>
      </w:r>
      <w:r>
        <w:t xml:space="preserve"> </w:t>
      </w:r>
      <w:r w:rsidRPr="003E5987">
        <w:t>IPPC Procedure Manual for Standard Setting</w:t>
      </w:r>
      <w:r>
        <w:t xml:space="preserve">: </w:t>
      </w:r>
      <w:hyperlink r:id="rId2" w:history="1">
        <w:r w:rsidRPr="00B27361">
          <w:rPr>
            <w:rStyle w:val="Hyperlink"/>
          </w:rPr>
          <w:t>https://www.ippc.int/en/publications/85024/</w:t>
        </w:r>
      </w:hyperlink>
      <w:r>
        <w:t xml:space="preserve"> </w:t>
      </w:r>
    </w:p>
  </w:footnote>
  <w:footnote w:id="4">
    <w:p w14:paraId="527C4524" w14:textId="77777777" w:rsidR="00EF4D67" w:rsidRPr="001347C2" w:rsidRDefault="00EF4D67" w:rsidP="0046268E">
      <w:pPr>
        <w:pStyle w:val="FootnoteText"/>
      </w:pPr>
      <w:r>
        <w:rPr>
          <w:rStyle w:val="FootnoteReference"/>
        </w:rPr>
        <w:footnoteRef/>
      </w:r>
      <w:r>
        <w:t xml:space="preserve"> Specification TP 6 - Technical Panel on Commodity Standards: </w:t>
      </w:r>
      <w:hyperlink r:id="rId3" w:history="1">
        <w:r w:rsidRPr="003F6573">
          <w:rPr>
            <w:rStyle w:val="Hyperlink"/>
          </w:rPr>
          <w:t>https://www.ippc.int/en/publications/89276/</w:t>
        </w:r>
      </w:hyperlink>
      <w:r>
        <w:t xml:space="preserve">  </w:t>
      </w:r>
    </w:p>
  </w:footnote>
  <w:footnote w:id="5">
    <w:p w14:paraId="04756AD2" w14:textId="77777777" w:rsidR="00EF4D67" w:rsidRPr="00C71BF8" w:rsidRDefault="00EF4D67" w:rsidP="004B5534">
      <w:pPr>
        <w:pStyle w:val="IPPFootnote"/>
      </w:pPr>
      <w:r>
        <w:rPr>
          <w:rStyle w:val="FootnoteReference"/>
        </w:rPr>
        <w:footnoteRef/>
      </w:r>
      <w:r>
        <w:t xml:space="preserve"> TPCS main page on IPP: </w:t>
      </w:r>
      <w:hyperlink r:id="rId4" w:history="1">
        <w:r w:rsidRPr="00E37560">
          <w:rPr>
            <w:rStyle w:val="Hyperlink"/>
          </w:rPr>
          <w:t>https://www.ippc.int/en/core-activities/standards-setting/expert-drafting-groups/technical-panels/technical-panel-on-commodity-standards/</w:t>
        </w:r>
      </w:hyperlink>
      <w:r>
        <w:t xml:space="preserve"> </w:t>
      </w:r>
    </w:p>
  </w:footnote>
  <w:footnote w:id="6">
    <w:p w14:paraId="278FAD9E" w14:textId="77777777" w:rsidR="00EF4D67" w:rsidRPr="009A52AA" w:rsidRDefault="00EF4D67" w:rsidP="0038431D">
      <w:pPr>
        <w:pStyle w:val="FootnoteText"/>
        <w:rPr>
          <w:szCs w:val="20"/>
        </w:rPr>
      </w:pPr>
      <w:r w:rsidRPr="009A52AA">
        <w:rPr>
          <w:rStyle w:val="FootnoteReference"/>
          <w:szCs w:val="20"/>
        </w:rPr>
        <w:footnoteRef/>
      </w:r>
      <w:r w:rsidRPr="009A52AA">
        <w:rPr>
          <w:szCs w:val="20"/>
        </w:rPr>
        <w:t xml:space="preserve"> </w:t>
      </w:r>
      <w:r>
        <w:rPr>
          <w:szCs w:val="20"/>
        </w:rPr>
        <w:t xml:space="preserve">IPPC </w:t>
      </w:r>
      <w:r w:rsidRPr="009A52AA">
        <w:rPr>
          <w:szCs w:val="20"/>
        </w:rPr>
        <w:t xml:space="preserve">2021 </w:t>
      </w:r>
      <w:r>
        <w:rPr>
          <w:szCs w:val="20"/>
        </w:rPr>
        <w:t>c</w:t>
      </w:r>
      <w:r w:rsidRPr="009A52AA">
        <w:rPr>
          <w:szCs w:val="20"/>
        </w:rPr>
        <w:t xml:space="preserve">all for </w:t>
      </w:r>
      <w:r>
        <w:rPr>
          <w:szCs w:val="20"/>
        </w:rPr>
        <w:t>t</w:t>
      </w:r>
      <w:r w:rsidRPr="009A52AA">
        <w:rPr>
          <w:szCs w:val="20"/>
        </w:rPr>
        <w:t xml:space="preserve">opics: </w:t>
      </w:r>
      <w:hyperlink r:id="rId5" w:history="1">
        <w:r w:rsidRPr="009A52AA">
          <w:rPr>
            <w:rStyle w:val="Hyperlink"/>
            <w:szCs w:val="20"/>
          </w:rPr>
          <w:t>https://www.ippc.int/en/core-activities/standards-and-implementation/call-for-topics-standards-and-implementation/</w:t>
        </w:r>
      </w:hyperlink>
    </w:p>
  </w:footnote>
  <w:footnote w:id="7">
    <w:p w14:paraId="4E044A22" w14:textId="77777777" w:rsidR="00EF4D67" w:rsidRDefault="00EF4D67">
      <w:pPr>
        <w:pStyle w:val="FootnoteText"/>
      </w:pPr>
      <w:r>
        <w:rPr>
          <w:rStyle w:val="FootnoteReference"/>
        </w:rPr>
        <w:footnoteRef/>
      </w:r>
      <w:r>
        <w:t xml:space="preserve"> Specification 73: </w:t>
      </w:r>
      <w:hyperlink r:id="rId6" w:history="1">
        <w:r w:rsidRPr="003F6573">
          <w:rPr>
            <w:rStyle w:val="Hyperlink"/>
          </w:rPr>
          <w:t>https://www.ippc.int/en/publications/91861/</w:t>
        </w:r>
      </w:hyperlink>
      <w:r>
        <w:t xml:space="preserve"> </w:t>
      </w:r>
    </w:p>
  </w:footnote>
  <w:footnote w:id="8">
    <w:p w14:paraId="159CDBFC" w14:textId="77777777" w:rsidR="00EF4D67" w:rsidRDefault="00EF4D67">
      <w:pPr>
        <w:pStyle w:val="FootnoteText"/>
      </w:pPr>
      <w:r>
        <w:rPr>
          <w:rStyle w:val="FootnoteReference"/>
        </w:rPr>
        <w:footnoteRef/>
      </w:r>
      <w:r>
        <w:t xml:space="preserve"> 2023-01 TPCS meeting report: </w:t>
      </w:r>
      <w:hyperlink r:id="rId7" w:history="1">
        <w:r w:rsidRPr="003F6573">
          <w:rPr>
            <w:rStyle w:val="Hyperlink"/>
          </w:rPr>
          <w:t>https://www.ippc.int/en/publications/91938/</w:t>
        </w:r>
      </w:hyperlink>
      <w:r>
        <w:t xml:space="preserve"> </w:t>
      </w:r>
    </w:p>
  </w:footnote>
  <w:footnote w:id="9">
    <w:p w14:paraId="3DB02006" w14:textId="77777777" w:rsidR="00EF4D67" w:rsidRDefault="00EF4D67" w:rsidP="00094EEF">
      <w:pPr>
        <w:pStyle w:val="IPPFootnote"/>
      </w:pPr>
      <w:r>
        <w:rPr>
          <w:rStyle w:val="FootnoteReference"/>
        </w:rPr>
        <w:footnoteRef/>
      </w:r>
      <w:r>
        <w:t xml:space="preserve"> CPM-16 (2022), agenda item 9.2; CPM 2022/INF/16.</w:t>
      </w:r>
    </w:p>
  </w:footnote>
  <w:footnote w:id="10">
    <w:p w14:paraId="28C958FA" w14:textId="77777777" w:rsidR="00EF4D67" w:rsidRPr="0016016D" w:rsidRDefault="00EF4D67" w:rsidP="00A80248">
      <w:pPr>
        <w:pStyle w:val="IPPFootnote"/>
      </w:pPr>
      <w:r w:rsidRPr="00555B18">
        <w:rPr>
          <w:rStyle w:val="IPPFootnoteRedChar"/>
        </w:rPr>
        <w:footnoteRef/>
      </w:r>
      <w:r>
        <w:t xml:space="preserve"> As text adopted</w:t>
      </w:r>
      <w:r w:rsidRPr="00384998">
        <w:t xml:space="preserve"> in </w:t>
      </w:r>
      <w:r>
        <w:t>ISPM 46 (</w:t>
      </w:r>
      <w:r w:rsidRPr="00C70C96">
        <w:rPr>
          <w:i/>
        </w:rPr>
        <w:t>Commodity-specific standards for phytosanitary measures</w:t>
      </w:r>
      <w:r>
        <w:t>).</w:t>
      </w:r>
      <w:r w:rsidRPr="00384998">
        <w:t xml:space="preserve"> </w:t>
      </w:r>
    </w:p>
  </w:footnote>
  <w:footnote w:id="11">
    <w:p w14:paraId="4F673DA5" w14:textId="77777777" w:rsidR="00EF4D67" w:rsidRPr="00C27C9D" w:rsidRDefault="00EF4D67" w:rsidP="00A80248">
      <w:pPr>
        <w:pStyle w:val="IPPFootnote"/>
      </w:pPr>
      <w:r w:rsidRPr="00D94978">
        <w:rPr>
          <w:rStyle w:val="IPPFootnoteRedChar"/>
        </w:rPr>
        <w:footnoteRef/>
      </w:r>
      <w:r w:rsidRPr="00D94978">
        <w:rPr>
          <w:rStyle w:val="IPPFootnoteRedChar"/>
        </w:rPr>
        <w:t xml:space="preserve"> </w:t>
      </w:r>
      <w:r w:rsidRPr="00C77C19">
        <w:t>Spec</w:t>
      </w:r>
      <w:r>
        <w:t>ification approved by the SC 2020</w:t>
      </w:r>
      <w:r>
        <w:rPr>
          <w:lang w:val="en-US"/>
        </w:rPr>
        <w:t>-11</w:t>
      </w:r>
      <w:r w:rsidRPr="00C77C19">
        <w:t>.</w:t>
      </w:r>
    </w:p>
  </w:footnote>
  <w:footnote w:id="12">
    <w:p w14:paraId="46B4C014" w14:textId="77777777" w:rsidR="00EF4D67" w:rsidRPr="0081378D" w:rsidRDefault="00EF4D67" w:rsidP="00A80248">
      <w:pPr>
        <w:pStyle w:val="FootnoteText"/>
      </w:pPr>
      <w:r w:rsidRPr="0081378D">
        <w:rPr>
          <w:rStyle w:val="FootnoteReference"/>
        </w:rPr>
        <w:footnoteRef/>
      </w:r>
      <w:r w:rsidRPr="0081378D">
        <w:t xml:space="preserve"> Diagnostic protocols developed as annexes to ISPM 27 (</w:t>
      </w:r>
      <w:r w:rsidRPr="0081378D">
        <w:rPr>
          <w:i/>
        </w:rPr>
        <w:t>Diagnostic protocols for regulated pests</w:t>
      </w:r>
      <w:r w:rsidRPr="0081378D">
        <w:t>)</w:t>
      </w:r>
      <w:r>
        <w:t>.</w:t>
      </w:r>
    </w:p>
  </w:footnote>
  <w:footnote w:id="13">
    <w:p w14:paraId="1F3990A4" w14:textId="77777777" w:rsidR="00EF4D67" w:rsidRPr="009B7ADC" w:rsidRDefault="00EF4D67" w:rsidP="00BC3D0D">
      <w:pPr>
        <w:pStyle w:val="FootnoteText"/>
      </w:pPr>
      <w:r w:rsidRPr="009B7ADC">
        <w:rPr>
          <w:rStyle w:val="FootnoteReference"/>
        </w:rPr>
        <w:footnoteRef/>
      </w:r>
      <w:r w:rsidRPr="009B7ADC">
        <w:t xml:space="preserve"> CPM-17 </w:t>
      </w:r>
      <w:hyperlink r:id="rId8" w:history="1">
        <w:r w:rsidRPr="009B7ADC">
          <w:rPr>
            <w:rStyle w:val="Hyperlink"/>
          </w:rPr>
          <w:t>meeting report</w:t>
        </w:r>
      </w:hyperlink>
      <w:r w:rsidRPr="009B7ADC">
        <w:t>.</w:t>
      </w:r>
    </w:p>
  </w:footnote>
  <w:footnote w:id="14">
    <w:p w14:paraId="7E6EA117" w14:textId="77777777" w:rsidR="00EF4D67" w:rsidRDefault="00EF4D67" w:rsidP="00BC3D0D">
      <w:pPr>
        <w:pStyle w:val="FootnoteText"/>
      </w:pPr>
      <w:r w:rsidRPr="009B7ADC">
        <w:rPr>
          <w:rStyle w:val="FootnoteReference"/>
        </w:rPr>
        <w:footnoteRef/>
      </w:r>
      <w:r w:rsidRPr="009B7ADC">
        <w:t xml:space="preserve"> Spec TP-6 </w:t>
      </w:r>
      <w:hyperlink r:id="rId9" w:history="1">
        <w:r w:rsidRPr="009B7ADC">
          <w:rPr>
            <w:rStyle w:val="Hyperlink"/>
          </w:rPr>
          <w:t>Specification Technical Panel on Commodity Standards</w:t>
        </w:r>
      </w:hyperlink>
      <w:r>
        <w:t xml:space="preserve"> </w:t>
      </w:r>
    </w:p>
  </w:footnote>
  <w:footnote w:id="15">
    <w:p w14:paraId="7526F46D" w14:textId="77777777" w:rsidR="00EF4D67" w:rsidRPr="009B7ADC" w:rsidRDefault="00EF4D67" w:rsidP="00BC3D0D">
      <w:pPr>
        <w:pStyle w:val="FootnoteText"/>
      </w:pPr>
      <w:r w:rsidRPr="009B7ADC">
        <w:rPr>
          <w:rStyle w:val="FootnoteReference"/>
        </w:rPr>
        <w:footnoteRef/>
      </w:r>
      <w:r w:rsidRPr="009B7ADC">
        <w:t xml:space="preserve"> Spec TP_3_</w:t>
      </w:r>
      <w:hyperlink r:id="rId10" w:history="1">
        <w:r w:rsidRPr="009B7ADC">
          <w:rPr>
            <w:rStyle w:val="Hyperlink"/>
          </w:rPr>
          <w:t>TPPT Specification Technical Panel on Phytosanitary Treatments</w:t>
        </w:r>
      </w:hyperlink>
    </w:p>
  </w:footnote>
  <w:footnote w:id="16">
    <w:p w14:paraId="727BEA36" w14:textId="77777777" w:rsidR="00EF4D67" w:rsidRPr="009B7ADC" w:rsidRDefault="00EF4D67" w:rsidP="00BC3D0D">
      <w:pPr>
        <w:pStyle w:val="FootnoteText"/>
      </w:pPr>
      <w:r w:rsidRPr="009B7ADC">
        <w:rPr>
          <w:rStyle w:val="FootnoteReference"/>
        </w:rPr>
        <w:footnoteRef/>
      </w:r>
      <w:r w:rsidRPr="009B7ADC">
        <w:t xml:space="preserve"> CPM 2023/14 </w:t>
      </w:r>
      <w:hyperlink r:id="rId11" w:history="1">
        <w:r w:rsidRPr="009B7ADC">
          <w:rPr>
            <w:rStyle w:val="Hyperlink"/>
          </w:rPr>
          <w:t>Overarching report on Implementation of the IPPC Strategic Framework</w:t>
        </w:r>
      </w:hyperlink>
    </w:p>
  </w:footnote>
  <w:footnote w:id="17">
    <w:p w14:paraId="16D51A1F" w14:textId="77777777" w:rsidR="00EF4D67" w:rsidRDefault="00EF4D67" w:rsidP="00BC3D0D">
      <w:pPr>
        <w:pStyle w:val="FootnoteText"/>
      </w:pPr>
      <w:r w:rsidRPr="009B7ADC">
        <w:rPr>
          <w:rStyle w:val="FootnoteReference"/>
        </w:rPr>
        <w:footnoteRef/>
      </w:r>
      <w:r w:rsidRPr="009B7ADC">
        <w:t xml:space="preserve"> </w:t>
      </w:r>
      <w:hyperlink r:id="rId12" w:history="1">
        <w:r w:rsidRPr="009B7ADC">
          <w:rPr>
            <w:rStyle w:val="Hyperlink"/>
          </w:rPr>
          <w:t>IPPC Strategic Framework 2020-2030</w:t>
        </w:r>
      </w:hyperlink>
      <w:r w:rsidRPr="009B7ADC">
        <w:t>. Note ‘commodity- and pathway-specific ISPMs’, are now known as ‘commodity-specific ISPMs’.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8FF82" w14:textId="5250B540" w:rsidR="00EF4D67" w:rsidRPr="00BB763A" w:rsidRDefault="00B5032E" w:rsidP="00BB763A">
    <w:pPr>
      <w:pStyle w:val="IPPHeader"/>
    </w:pPr>
    <w:r w:rsidRPr="00B5032E">
      <w:t>02_TPCS_Tel_2023_Jun</w:t>
    </w:r>
    <w:r w:rsidR="00EF4D67">
      <w:tab/>
    </w:r>
    <w:r w:rsidR="00EF4D67" w:rsidRPr="00BB763A">
      <w:t>Update on activities of the TP</w:t>
    </w:r>
    <w:r w:rsidR="00EF4D67">
      <w:t>CS</w:t>
    </w:r>
    <w:r>
      <w:t xml:space="preserve"> to the SC</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B7285" w14:textId="7C9862A1" w:rsidR="00EF4D67" w:rsidRDefault="00EF4D67" w:rsidP="00C35B88">
    <w:pPr>
      <w:pStyle w:val="IPPHeader"/>
    </w:pPr>
    <w:r w:rsidRPr="00BB763A">
      <w:t>Update on activities of the TP</w:t>
    </w:r>
    <w:r>
      <w:t>CS</w:t>
    </w:r>
    <w:r w:rsidRPr="00A54E22">
      <w:t xml:space="preserve"> </w:t>
    </w:r>
    <w:r>
      <w:t>– Attachment 3</w:t>
    </w:r>
    <w:r>
      <w:tab/>
    </w:r>
    <w:r w:rsidR="00B5032E" w:rsidRPr="00B5032E">
      <w:t>02_TPCS_Tel_2023_Jun</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0E6F3" w14:textId="17802315" w:rsidR="00EF4D67" w:rsidRPr="00A54E22" w:rsidRDefault="00EF4D67" w:rsidP="00BC3D0D">
    <w:pPr>
      <w:pStyle w:val="IPPHeader"/>
    </w:pPr>
    <w:r w:rsidRPr="00BB763A">
      <w:t>Update on activities of the TP</w:t>
    </w:r>
    <w:r>
      <w:t>CS</w:t>
    </w:r>
    <w:r w:rsidRPr="00A54E22">
      <w:t xml:space="preserve"> </w:t>
    </w:r>
    <w:r>
      <w:t>– Attachment 3</w:t>
    </w:r>
    <w:r>
      <w:tab/>
    </w:r>
    <w:r w:rsidR="00B5032E" w:rsidRPr="00B5032E">
      <w:t>02_TPCS_Tel_2023_Jun</w:t>
    </w:r>
  </w:p>
  <w:p w14:paraId="7C78B2CB" w14:textId="77777777" w:rsidR="00EF4D67" w:rsidRPr="00BC3D0D" w:rsidRDefault="00EF4D67" w:rsidP="00BC3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F4A57" w14:textId="64F3B556" w:rsidR="00EF4D67" w:rsidRPr="00A54E22" w:rsidRDefault="00EF4D67" w:rsidP="00A54E22">
    <w:pPr>
      <w:pStyle w:val="IPPHeader"/>
    </w:pPr>
    <w:r w:rsidRPr="00BB763A">
      <w:t>Update on activities of the TP</w:t>
    </w:r>
    <w:r>
      <w:t>CS</w:t>
    </w:r>
    <w:r w:rsidRPr="00A54E22">
      <w:t xml:space="preserve"> </w:t>
    </w:r>
    <w:r w:rsidR="00B5032E">
      <w:t>to the SC</w:t>
    </w:r>
    <w:r>
      <w:tab/>
    </w:r>
    <w:r w:rsidR="00B5032E" w:rsidRPr="00B5032E">
      <w:t>02_TPCS_Tel_2023_Jun</w:t>
    </w:r>
    <w:r w:rsidR="00B5032E">
      <w:t xml:space="preserve"> </w:t>
    </w:r>
    <w:r>
      <w:t>(</w:t>
    </w:r>
    <w:r w:rsidR="00B5032E">
      <w:t>4.1</w:t>
    </w:r>
    <w: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3F4" w14:textId="15EC1EB4" w:rsidR="00EF4D67" w:rsidRPr="00BB763A" w:rsidRDefault="00EF4D67" w:rsidP="00BB763A">
    <w:pPr>
      <w:pBdr>
        <w:bottom w:val="single" w:sz="4" w:space="4" w:color="auto"/>
      </w:pBdr>
      <w:tabs>
        <w:tab w:val="left" w:pos="1134"/>
        <w:tab w:val="right" w:pos="9072"/>
      </w:tabs>
      <w:spacing w:after="120"/>
      <w:jc w:val="left"/>
      <w:rPr>
        <w:rFonts w:ascii="Arial" w:hAnsi="Arial"/>
        <w:sz w:val="18"/>
        <w:lang w:val="en-US"/>
      </w:rPr>
    </w:pPr>
    <w:r w:rsidRPr="00BB763A">
      <w:rPr>
        <w:rFonts w:ascii="Arial" w:hAnsi="Arial"/>
        <w:noProof/>
        <w:sz w:val="18"/>
        <w:lang w:val="en-US"/>
      </w:rPr>
      <w:drawing>
        <wp:anchor distT="0" distB="0" distL="114300" distR="114300" simplePos="0" relativeHeight="251658241" behindDoc="0" locked="0" layoutInCell="1" allowOverlap="1" wp14:anchorId="0AEF43E4" wp14:editId="180C2C9D">
          <wp:simplePos x="0" y="0"/>
          <wp:positionH relativeFrom="margin">
            <wp:posOffset>-912007</wp:posOffset>
          </wp:positionH>
          <wp:positionV relativeFrom="paragraph">
            <wp:posOffset>-527539</wp:posOffset>
          </wp:positionV>
          <wp:extent cx="7572375" cy="462915"/>
          <wp:effectExtent l="0" t="0" r="9525"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462915"/>
                  </a:xfrm>
                  <a:prstGeom prst="rect">
                    <a:avLst/>
                  </a:prstGeom>
                  <a:noFill/>
                </pic:spPr>
              </pic:pic>
            </a:graphicData>
          </a:graphic>
        </wp:anchor>
      </w:drawing>
    </w:r>
    <w:r w:rsidRPr="00BB763A">
      <w:rPr>
        <w:rFonts w:ascii="Arial" w:hAnsi="Arial"/>
        <w:noProof/>
        <w:sz w:val="18"/>
        <w:lang w:val="en-US"/>
      </w:rPr>
      <w:drawing>
        <wp:anchor distT="0" distB="0" distL="114300" distR="114300" simplePos="0" relativeHeight="251658240" behindDoc="0" locked="0" layoutInCell="1" allowOverlap="1" wp14:anchorId="26185203" wp14:editId="0E0F01CD">
          <wp:simplePos x="0" y="0"/>
          <wp:positionH relativeFrom="leftMargin">
            <wp:posOffset>886196</wp:posOffset>
          </wp:positionH>
          <wp:positionV relativeFrom="paragraph">
            <wp:posOffset>-15875</wp:posOffset>
          </wp:positionV>
          <wp:extent cx="632460" cy="321310"/>
          <wp:effectExtent l="0" t="0" r="0" b="2540"/>
          <wp:wrapSquare wrapText="bothSides"/>
          <wp:docPr id="9"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pic:spPr>
              </pic:pic>
            </a:graphicData>
          </a:graphic>
        </wp:anchor>
      </w:drawing>
    </w:r>
    <w:r w:rsidRPr="00BB763A">
      <w:rPr>
        <w:rFonts w:ascii="Arial" w:hAnsi="Arial"/>
        <w:sz w:val="18"/>
        <w:lang w:val="en-US"/>
      </w:rPr>
      <w:t>International Plant Protection Convention</w:t>
    </w:r>
    <w:r w:rsidRPr="00BB763A">
      <w:rPr>
        <w:rFonts w:ascii="Arial" w:hAnsi="Arial"/>
        <w:sz w:val="18"/>
        <w:lang w:val="en-US"/>
      </w:rPr>
      <w:tab/>
    </w:r>
    <w:r w:rsidR="00B5032E" w:rsidRPr="00B5032E">
      <w:rPr>
        <w:rFonts w:ascii="Arial" w:hAnsi="Arial"/>
        <w:sz w:val="18"/>
        <w:lang w:val="en-US"/>
      </w:rPr>
      <w:t>02_TPCS_Tel_2023_Jun</w:t>
    </w:r>
    <w:r w:rsidRPr="00BB763A">
      <w:rPr>
        <w:rFonts w:ascii="Arial" w:hAnsi="Arial"/>
        <w:sz w:val="18"/>
        <w:lang w:val="en-US"/>
      </w:rPr>
      <w:br/>
    </w:r>
    <w:r w:rsidRPr="00BB763A">
      <w:rPr>
        <w:rFonts w:ascii="Arial" w:hAnsi="Arial"/>
        <w:i/>
        <w:iCs/>
        <w:sz w:val="18"/>
        <w:lang w:val="en-US"/>
      </w:rPr>
      <w:t>Update on activities of the TP</w:t>
    </w:r>
    <w:r>
      <w:rPr>
        <w:rFonts w:ascii="Arial" w:hAnsi="Arial"/>
        <w:i/>
        <w:iCs/>
        <w:sz w:val="18"/>
        <w:lang w:val="en-US"/>
      </w:rPr>
      <w:t>CS</w:t>
    </w:r>
    <w:r w:rsidRPr="00BB763A">
      <w:rPr>
        <w:rFonts w:ascii="Arial" w:hAnsi="Arial"/>
        <w:i/>
        <w:iCs/>
        <w:sz w:val="18"/>
        <w:lang w:val="en-US"/>
      </w:rPr>
      <w:tab/>
      <w:t xml:space="preserve">Agenda item: </w:t>
    </w:r>
    <w:r w:rsidR="00B5032E">
      <w:rPr>
        <w:rFonts w:ascii="Arial" w:hAnsi="Arial"/>
        <w:i/>
        <w:iCs/>
        <w:sz w:val="18"/>
        <w:lang w:val="en-US"/>
      </w:rPr>
      <w:t>4.1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6660B" w14:textId="77777777" w:rsidR="00EF4D67" w:rsidRPr="00A54E22" w:rsidRDefault="00EF4D67" w:rsidP="00A54E22">
    <w:pPr>
      <w:pStyle w:val="IPPHeader"/>
    </w:pPr>
    <w:r w:rsidRPr="00BB763A">
      <w:t>Update on activities of the TP</w:t>
    </w:r>
    <w:r>
      <w:t>CS</w:t>
    </w:r>
    <w:r w:rsidRPr="00A54E22">
      <w:t xml:space="preserve"> </w:t>
    </w:r>
    <w:r>
      <w:t>– Attachment 1</w:t>
    </w:r>
    <w:r>
      <w:tab/>
      <w:t>XX</w:t>
    </w:r>
    <w:r w:rsidRPr="00BB763A">
      <w:t>_SC_</w:t>
    </w:r>
    <w:r>
      <w:t>2023_May (6.4)</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360DF" w14:textId="039DEBDA" w:rsidR="00EF4D67" w:rsidRPr="00140EE4" w:rsidRDefault="00B5032E" w:rsidP="00140EE4">
    <w:pPr>
      <w:pStyle w:val="IPPHeader"/>
    </w:pPr>
    <w:r w:rsidRPr="00B5032E">
      <w:t>02_TPCS_Tel_2023_Jun</w:t>
    </w:r>
    <w:r w:rsidR="00EF4D67">
      <w:tab/>
    </w:r>
    <w:r w:rsidR="00EF4D67" w:rsidRPr="00BB763A">
      <w:t>Update on activities of the TP</w:t>
    </w:r>
    <w:r w:rsidR="00EF4D67">
      <w:t>CS – Attachment 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8EBF8" w14:textId="530D88A0" w:rsidR="00EF4D67" w:rsidRPr="00BB763A" w:rsidRDefault="00B5032E" w:rsidP="00BB763A">
    <w:pPr>
      <w:pStyle w:val="IPPHeader"/>
    </w:pPr>
    <w:r w:rsidRPr="00B5032E">
      <w:t>02_TPCS_Tel_2023_Jun</w:t>
    </w:r>
    <w:r w:rsidR="00EF4D67">
      <w:tab/>
    </w:r>
    <w:r w:rsidR="00EF4D67" w:rsidRPr="00BB763A">
      <w:t>Update on activities of the TP</w:t>
    </w:r>
    <w:r w:rsidR="00EF4D67">
      <w:t xml:space="preserve">CS </w:t>
    </w:r>
    <w:r w:rsidR="00EF4D67" w:rsidRPr="00BB763A">
      <w:t>Update on activities of the TP</w:t>
    </w:r>
    <w:r w:rsidR="00EF4D67">
      <w:t>CS</w:t>
    </w:r>
    <w:r w:rsidR="00EF4D67" w:rsidRPr="00A54E22">
      <w:t xml:space="preserve"> </w:t>
    </w:r>
    <w:r w:rsidR="00EF4D67">
      <w:t>– Attachment 2</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31733" w14:textId="12520D96" w:rsidR="00EF4D67" w:rsidRPr="00A54E22" w:rsidRDefault="00EF4D67" w:rsidP="00A54E22">
    <w:pPr>
      <w:pStyle w:val="IPPHeader"/>
    </w:pPr>
    <w:r w:rsidRPr="00BB763A">
      <w:t>Update on activities of the TP</w:t>
    </w:r>
    <w:r>
      <w:t>CS</w:t>
    </w:r>
    <w:r w:rsidRPr="00A54E22">
      <w:t xml:space="preserve"> </w:t>
    </w:r>
    <w:r>
      <w:t>– Attachment 2</w:t>
    </w:r>
    <w:r>
      <w:tab/>
    </w:r>
    <w:r w:rsidR="00B5032E" w:rsidRPr="00B5032E">
      <w:t>02_TPCS_Tel_2023_Jun</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4BA95" w14:textId="367ED2EE" w:rsidR="00EF4D67" w:rsidRPr="00140EE4" w:rsidRDefault="00B5032E" w:rsidP="00140EE4">
    <w:pPr>
      <w:pStyle w:val="IPPHeader"/>
    </w:pPr>
    <w:r w:rsidRPr="00B5032E">
      <w:t>02_TPCS_Tel_2023_Jun</w:t>
    </w:r>
    <w:r w:rsidR="00EF4D67">
      <w:tab/>
    </w:r>
    <w:r w:rsidR="00EF4D67" w:rsidRPr="00BB763A">
      <w:t>Update on activities of the TP</w:t>
    </w:r>
    <w:r w:rsidR="00EF4D67">
      <w:t>CS – Attachment 2</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5A7EA" w14:textId="7DFB228F" w:rsidR="00EF4D67" w:rsidRPr="00C35B88" w:rsidRDefault="00B5032E" w:rsidP="000E780A">
    <w:pPr>
      <w:pStyle w:val="IPPHeader"/>
    </w:pPr>
    <w:r w:rsidRPr="00B5032E">
      <w:t>02_TPCS_Tel_2023_Jun</w:t>
    </w:r>
    <w:r w:rsidR="00EF4D67">
      <w:tab/>
    </w:r>
    <w:r w:rsidR="00EF4D67" w:rsidRPr="00BB763A">
      <w:t>Update on activities of the TP</w:t>
    </w:r>
    <w:r w:rsidR="00EF4D67">
      <w:t>CS</w:t>
    </w:r>
    <w:r w:rsidR="00EF4D67" w:rsidRPr="00A54E22">
      <w:t xml:space="preserve"> </w:t>
    </w:r>
    <w:r w:rsidR="00EF4D67">
      <w:t>– Attachment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6A6661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311C"/>
    <w:multiLevelType w:val="hybridMultilevel"/>
    <w:tmpl w:val="8F46F5BA"/>
    <w:lvl w:ilvl="0" w:tplc="03AE9B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616C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multilevel"/>
    <w:tmpl w:val="078CE124"/>
    <w:lvl w:ilvl="0">
      <w:start w:val="1"/>
      <w:numFmt w:val="decimal"/>
      <w:pStyle w:val="IPPHdg1Num"/>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DE1740"/>
    <w:multiLevelType w:val="hybridMultilevel"/>
    <w:tmpl w:val="DB20E1DA"/>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75E26"/>
    <w:multiLevelType w:val="hybridMultilevel"/>
    <w:tmpl w:val="4588C3DC"/>
    <w:lvl w:ilvl="0" w:tplc="14090001">
      <w:start w:val="1"/>
      <w:numFmt w:val="bullet"/>
      <w:lvlText w:val=""/>
      <w:lvlJc w:val="left"/>
      <w:pPr>
        <w:ind w:left="720" w:hanging="360"/>
      </w:pPr>
      <w:rPr>
        <w:rFonts w:ascii="Symbol" w:hAnsi="Symbol" w:hint="default"/>
      </w:rPr>
    </w:lvl>
    <w:lvl w:ilvl="1" w:tplc="14090011">
      <w:start w:val="1"/>
      <w:numFmt w:val="decimal"/>
      <w:lvlText w:val="%2)"/>
      <w:lvlJc w:val="left"/>
      <w:pPr>
        <w:ind w:left="1440" w:hanging="360"/>
      </w:pPr>
      <w:rPr>
        <w:rFonts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6B67B41"/>
    <w:multiLevelType w:val="hybridMultilevel"/>
    <w:tmpl w:val="FD986DAE"/>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5DD44AF"/>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5C0E47BA"/>
    <w:multiLevelType w:val="hybridMultilevel"/>
    <w:tmpl w:val="B31CEB24"/>
    <w:lvl w:ilvl="0" w:tplc="A904A2FE">
      <w:start w:val="1"/>
      <w:numFmt w:val="bullet"/>
      <w:pStyle w:val="IPSBullet1Last"/>
      <w:lvlText w:val=""/>
      <w:lvlJc w:val="left"/>
      <w:pPr>
        <w:ind w:left="720" w:hanging="360"/>
      </w:pPr>
      <w:rPr>
        <w:rFonts w:ascii="Symbol" w:hAnsi="Symbol" w:hint="default"/>
      </w:rPr>
    </w:lvl>
    <w:lvl w:ilvl="1" w:tplc="4B6E0E2A">
      <w:start w:val="1"/>
      <w:numFmt w:val="bullet"/>
      <w:pStyle w:val="IPSBullet2Las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567251"/>
    <w:multiLevelType w:val="hybridMultilevel"/>
    <w:tmpl w:val="EF8ED69C"/>
    <w:lvl w:ilvl="0" w:tplc="4C7243BC">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FA4880"/>
    <w:multiLevelType w:val="multilevel"/>
    <w:tmpl w:val="91F6142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6" w15:restartNumberingAfterBreak="0">
    <w:nsid w:val="64845B23"/>
    <w:multiLevelType w:val="hybridMultilevel"/>
    <w:tmpl w:val="378AF15E"/>
    <w:lvl w:ilvl="0" w:tplc="436E212A">
      <w:start w:val="1"/>
      <w:numFmt w:val="bullet"/>
      <w:lvlText w:val="-"/>
      <w:lvlJc w:val="left"/>
      <w:pPr>
        <w:tabs>
          <w:tab w:val="num" w:pos="720"/>
        </w:tabs>
        <w:ind w:left="720" w:hanging="360"/>
      </w:pPr>
      <w:rPr>
        <w:rFonts w:ascii="Times New Roman" w:hAnsi="Times New Roman" w:hint="default"/>
      </w:rPr>
    </w:lvl>
    <w:lvl w:ilvl="1" w:tplc="96CC9BF0">
      <w:start w:val="122"/>
      <w:numFmt w:val="bullet"/>
      <w:lvlText w:val="•"/>
      <w:lvlJc w:val="left"/>
      <w:pPr>
        <w:tabs>
          <w:tab w:val="num" w:pos="1440"/>
        </w:tabs>
        <w:ind w:left="1440" w:hanging="360"/>
      </w:pPr>
      <w:rPr>
        <w:rFonts w:ascii="Arial" w:hAnsi="Arial" w:hint="default"/>
      </w:rPr>
    </w:lvl>
    <w:lvl w:ilvl="2" w:tplc="D432417C" w:tentative="1">
      <w:start w:val="1"/>
      <w:numFmt w:val="bullet"/>
      <w:lvlText w:val="-"/>
      <w:lvlJc w:val="left"/>
      <w:pPr>
        <w:tabs>
          <w:tab w:val="num" w:pos="2160"/>
        </w:tabs>
        <w:ind w:left="2160" w:hanging="360"/>
      </w:pPr>
      <w:rPr>
        <w:rFonts w:ascii="Times New Roman" w:hAnsi="Times New Roman" w:hint="default"/>
      </w:rPr>
    </w:lvl>
    <w:lvl w:ilvl="3" w:tplc="A1D0397C" w:tentative="1">
      <w:start w:val="1"/>
      <w:numFmt w:val="bullet"/>
      <w:lvlText w:val="-"/>
      <w:lvlJc w:val="left"/>
      <w:pPr>
        <w:tabs>
          <w:tab w:val="num" w:pos="2880"/>
        </w:tabs>
        <w:ind w:left="2880" w:hanging="360"/>
      </w:pPr>
      <w:rPr>
        <w:rFonts w:ascii="Times New Roman" w:hAnsi="Times New Roman" w:hint="default"/>
      </w:rPr>
    </w:lvl>
    <w:lvl w:ilvl="4" w:tplc="C324DE5C" w:tentative="1">
      <w:start w:val="1"/>
      <w:numFmt w:val="bullet"/>
      <w:lvlText w:val="-"/>
      <w:lvlJc w:val="left"/>
      <w:pPr>
        <w:tabs>
          <w:tab w:val="num" w:pos="3600"/>
        </w:tabs>
        <w:ind w:left="3600" w:hanging="360"/>
      </w:pPr>
      <w:rPr>
        <w:rFonts w:ascii="Times New Roman" w:hAnsi="Times New Roman" w:hint="default"/>
      </w:rPr>
    </w:lvl>
    <w:lvl w:ilvl="5" w:tplc="10803C36" w:tentative="1">
      <w:start w:val="1"/>
      <w:numFmt w:val="bullet"/>
      <w:lvlText w:val="-"/>
      <w:lvlJc w:val="left"/>
      <w:pPr>
        <w:tabs>
          <w:tab w:val="num" w:pos="4320"/>
        </w:tabs>
        <w:ind w:left="4320" w:hanging="360"/>
      </w:pPr>
      <w:rPr>
        <w:rFonts w:ascii="Times New Roman" w:hAnsi="Times New Roman" w:hint="default"/>
      </w:rPr>
    </w:lvl>
    <w:lvl w:ilvl="6" w:tplc="543CEBD4" w:tentative="1">
      <w:start w:val="1"/>
      <w:numFmt w:val="bullet"/>
      <w:lvlText w:val="-"/>
      <w:lvlJc w:val="left"/>
      <w:pPr>
        <w:tabs>
          <w:tab w:val="num" w:pos="5040"/>
        </w:tabs>
        <w:ind w:left="5040" w:hanging="360"/>
      </w:pPr>
      <w:rPr>
        <w:rFonts w:ascii="Times New Roman" w:hAnsi="Times New Roman" w:hint="default"/>
      </w:rPr>
    </w:lvl>
    <w:lvl w:ilvl="7" w:tplc="E92A6F8C" w:tentative="1">
      <w:start w:val="1"/>
      <w:numFmt w:val="bullet"/>
      <w:lvlText w:val="-"/>
      <w:lvlJc w:val="left"/>
      <w:pPr>
        <w:tabs>
          <w:tab w:val="num" w:pos="5760"/>
        </w:tabs>
        <w:ind w:left="5760" w:hanging="360"/>
      </w:pPr>
      <w:rPr>
        <w:rFonts w:ascii="Times New Roman" w:hAnsi="Times New Roman" w:hint="default"/>
      </w:rPr>
    </w:lvl>
    <w:lvl w:ilvl="8" w:tplc="C67C054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80CA3"/>
    <w:multiLevelType w:val="hybridMultilevel"/>
    <w:tmpl w:val="F3BE4634"/>
    <w:lvl w:ilvl="0" w:tplc="03AE9B9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E4A40"/>
    <w:multiLevelType w:val="hybridMultilevel"/>
    <w:tmpl w:val="BD948C16"/>
    <w:lvl w:ilvl="0" w:tplc="BF58292A">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7504A326"/>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
  </w:num>
  <w:num w:numId="4">
    <w:abstractNumId w:val="18"/>
  </w:num>
  <w:num w:numId="5">
    <w:abstractNumId w:val="17"/>
  </w:num>
  <w:num w:numId="6">
    <w:abstractNumId w:val="4"/>
  </w:num>
  <w:num w:numId="7">
    <w:abstractNumId w:val="21"/>
  </w:num>
  <w:num w:numId="8">
    <w:abstractNumId w:val="11"/>
  </w:num>
  <w:num w:numId="9">
    <w:abstractNumId w:val="7"/>
  </w:num>
  <w:num w:numId="10">
    <w:abstractNumId w:val="0"/>
  </w:num>
  <w:num w:numId="11">
    <w:abstractNumId w:val="15"/>
  </w:num>
  <w:num w:numId="12">
    <w:abstractNumId w:val="13"/>
  </w:num>
  <w:num w:numId="13">
    <w:abstractNumId w:val="10"/>
  </w:num>
  <w:num w:numId="14">
    <w:abstractNumId w:val="16"/>
  </w:num>
  <w:num w:numId="15">
    <w:abstractNumId w:val="20"/>
  </w:num>
  <w:num w:numId="16">
    <w:abstractNumId w:val="5"/>
  </w:num>
  <w:num w:numId="17">
    <w:abstractNumId w:val="8"/>
  </w:num>
  <w:num w:numId="18">
    <w:abstractNumId w:val="19"/>
  </w:num>
  <w:num w:numId="19">
    <w:abstractNumId w:val="2"/>
  </w:num>
  <w:num w:numId="20">
    <w:abstractNumId w:val="14"/>
  </w:num>
  <w:num w:numId="21">
    <w:abstractNumId w:val="9"/>
  </w:num>
  <w:num w:numId="22">
    <w:abstractNumId w:val="22"/>
  </w:num>
  <w:num w:numId="23">
    <w:abstractNumId w:val="1"/>
    <w:lvlOverride w:ilvl="0">
      <w:startOverride w:val="1"/>
    </w:lvlOverride>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s-A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NZ"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NZ" w:vendorID="64" w:dllVersion="131078" w:nlCheck="1" w:checkStyle="1"/>
  <w:activeWritingStyle w:appName="MSWord" w:lang="fr-BE" w:vendorID="64" w:dllVersion="131078" w:nlCheck="1" w:checkStyle="0"/>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WxMDYzMje3NDSyNDVR0lEKTi0uzszPAykwrQUAXH4e9ywAAAA="/>
  </w:docVars>
  <w:rsids>
    <w:rsidRoot w:val="002A2984"/>
    <w:rsid w:val="00002D08"/>
    <w:rsid w:val="00003627"/>
    <w:rsid w:val="00004DF3"/>
    <w:rsid w:val="0002236F"/>
    <w:rsid w:val="00023FE2"/>
    <w:rsid w:val="00026FDE"/>
    <w:rsid w:val="0003016D"/>
    <w:rsid w:val="00030B52"/>
    <w:rsid w:val="000317D8"/>
    <w:rsid w:val="000319F9"/>
    <w:rsid w:val="00033FF6"/>
    <w:rsid w:val="00055AB8"/>
    <w:rsid w:val="000605E4"/>
    <w:rsid w:val="00063AA8"/>
    <w:rsid w:val="00064436"/>
    <w:rsid w:val="0006615C"/>
    <w:rsid w:val="000664E6"/>
    <w:rsid w:val="00066C05"/>
    <w:rsid w:val="00071FBF"/>
    <w:rsid w:val="000734CE"/>
    <w:rsid w:val="00082855"/>
    <w:rsid w:val="00087CCB"/>
    <w:rsid w:val="00093CFF"/>
    <w:rsid w:val="00094EEF"/>
    <w:rsid w:val="0009506D"/>
    <w:rsid w:val="00096E82"/>
    <w:rsid w:val="000A0013"/>
    <w:rsid w:val="000A3B3A"/>
    <w:rsid w:val="000A7FCA"/>
    <w:rsid w:val="000B06FD"/>
    <w:rsid w:val="000B0B4B"/>
    <w:rsid w:val="000B2DB0"/>
    <w:rsid w:val="000B40DF"/>
    <w:rsid w:val="000C312B"/>
    <w:rsid w:val="000C675B"/>
    <w:rsid w:val="000C7DEE"/>
    <w:rsid w:val="000D0A35"/>
    <w:rsid w:val="000D33D3"/>
    <w:rsid w:val="000D5308"/>
    <w:rsid w:val="000D5927"/>
    <w:rsid w:val="000E0AD0"/>
    <w:rsid w:val="000E780A"/>
    <w:rsid w:val="000E7ECB"/>
    <w:rsid w:val="000F01C1"/>
    <w:rsid w:val="000F5287"/>
    <w:rsid w:val="00102A2B"/>
    <w:rsid w:val="00115257"/>
    <w:rsid w:val="001161D0"/>
    <w:rsid w:val="0012294A"/>
    <w:rsid w:val="00136402"/>
    <w:rsid w:val="00140EE4"/>
    <w:rsid w:val="0014760E"/>
    <w:rsid w:val="00153636"/>
    <w:rsid w:val="00153991"/>
    <w:rsid w:val="0016032B"/>
    <w:rsid w:val="001644A4"/>
    <w:rsid w:val="001657BB"/>
    <w:rsid w:val="0017448F"/>
    <w:rsid w:val="0017619D"/>
    <w:rsid w:val="00176739"/>
    <w:rsid w:val="00183847"/>
    <w:rsid w:val="00184A71"/>
    <w:rsid w:val="001862D2"/>
    <w:rsid w:val="00186519"/>
    <w:rsid w:val="001902E9"/>
    <w:rsid w:val="00192379"/>
    <w:rsid w:val="0019586B"/>
    <w:rsid w:val="001965CE"/>
    <w:rsid w:val="0019754E"/>
    <w:rsid w:val="001A28E9"/>
    <w:rsid w:val="001A2DB9"/>
    <w:rsid w:val="001A51D4"/>
    <w:rsid w:val="001A5E8F"/>
    <w:rsid w:val="001B02E3"/>
    <w:rsid w:val="001B3060"/>
    <w:rsid w:val="001B7B34"/>
    <w:rsid w:val="001D3A7D"/>
    <w:rsid w:val="001D4400"/>
    <w:rsid w:val="001E2494"/>
    <w:rsid w:val="001E6492"/>
    <w:rsid w:val="001F0F52"/>
    <w:rsid w:val="001F2B1D"/>
    <w:rsid w:val="001F5557"/>
    <w:rsid w:val="002005B8"/>
    <w:rsid w:val="00202707"/>
    <w:rsid w:val="00204D54"/>
    <w:rsid w:val="002057BA"/>
    <w:rsid w:val="0021646E"/>
    <w:rsid w:val="00221BB6"/>
    <w:rsid w:val="00222E2E"/>
    <w:rsid w:val="0022317E"/>
    <w:rsid w:val="00223AD2"/>
    <w:rsid w:val="00224117"/>
    <w:rsid w:val="00224346"/>
    <w:rsid w:val="00237193"/>
    <w:rsid w:val="00242238"/>
    <w:rsid w:val="00243545"/>
    <w:rsid w:val="0024594C"/>
    <w:rsid w:val="00250168"/>
    <w:rsid w:val="002540E3"/>
    <w:rsid w:val="002565DA"/>
    <w:rsid w:val="002569EB"/>
    <w:rsid w:val="00256B4B"/>
    <w:rsid w:val="002634B9"/>
    <w:rsid w:val="00267647"/>
    <w:rsid w:val="0027049E"/>
    <w:rsid w:val="00287754"/>
    <w:rsid w:val="0029343A"/>
    <w:rsid w:val="002A0E12"/>
    <w:rsid w:val="002A2984"/>
    <w:rsid w:val="002A742E"/>
    <w:rsid w:val="002A758D"/>
    <w:rsid w:val="002B29F9"/>
    <w:rsid w:val="002B47F8"/>
    <w:rsid w:val="002B5C6D"/>
    <w:rsid w:val="002C0890"/>
    <w:rsid w:val="002C12FB"/>
    <w:rsid w:val="002C1CFE"/>
    <w:rsid w:val="002D22B4"/>
    <w:rsid w:val="002D4E8D"/>
    <w:rsid w:val="002E63B8"/>
    <w:rsid w:val="002E6786"/>
    <w:rsid w:val="002E7E23"/>
    <w:rsid w:val="002F304D"/>
    <w:rsid w:val="002F4581"/>
    <w:rsid w:val="00311376"/>
    <w:rsid w:val="0031362A"/>
    <w:rsid w:val="00316E50"/>
    <w:rsid w:val="0031733B"/>
    <w:rsid w:val="00325787"/>
    <w:rsid w:val="003265F0"/>
    <w:rsid w:val="00326639"/>
    <w:rsid w:val="003439CF"/>
    <w:rsid w:val="003476F3"/>
    <w:rsid w:val="00347BC6"/>
    <w:rsid w:val="00347D5C"/>
    <w:rsid w:val="00367E1D"/>
    <w:rsid w:val="00380192"/>
    <w:rsid w:val="0038431D"/>
    <w:rsid w:val="003903B9"/>
    <w:rsid w:val="00394878"/>
    <w:rsid w:val="003A0DC8"/>
    <w:rsid w:val="003A189A"/>
    <w:rsid w:val="003A2C81"/>
    <w:rsid w:val="003A63C7"/>
    <w:rsid w:val="003A7FB0"/>
    <w:rsid w:val="003B0AED"/>
    <w:rsid w:val="003B4451"/>
    <w:rsid w:val="003C0CE8"/>
    <w:rsid w:val="003C27F5"/>
    <w:rsid w:val="003D07AF"/>
    <w:rsid w:val="003D3312"/>
    <w:rsid w:val="003E6310"/>
    <w:rsid w:val="004019AD"/>
    <w:rsid w:val="00402E1A"/>
    <w:rsid w:val="004032C1"/>
    <w:rsid w:val="0040450A"/>
    <w:rsid w:val="004069C3"/>
    <w:rsid w:val="00413CDE"/>
    <w:rsid w:val="004178D9"/>
    <w:rsid w:val="0042107D"/>
    <w:rsid w:val="00424065"/>
    <w:rsid w:val="004341B2"/>
    <w:rsid w:val="0044084D"/>
    <w:rsid w:val="00443468"/>
    <w:rsid w:val="0044423D"/>
    <w:rsid w:val="0044458C"/>
    <w:rsid w:val="0044605D"/>
    <w:rsid w:val="0045163A"/>
    <w:rsid w:val="0045244A"/>
    <w:rsid w:val="004553D0"/>
    <w:rsid w:val="0046268E"/>
    <w:rsid w:val="00466134"/>
    <w:rsid w:val="00470AE1"/>
    <w:rsid w:val="00471B0F"/>
    <w:rsid w:val="00480C48"/>
    <w:rsid w:val="004822F5"/>
    <w:rsid w:val="00482929"/>
    <w:rsid w:val="00485AA6"/>
    <w:rsid w:val="00490679"/>
    <w:rsid w:val="004965B8"/>
    <w:rsid w:val="004A02B6"/>
    <w:rsid w:val="004A14DD"/>
    <w:rsid w:val="004A302E"/>
    <w:rsid w:val="004A50E3"/>
    <w:rsid w:val="004B3DD8"/>
    <w:rsid w:val="004B5534"/>
    <w:rsid w:val="004B7A30"/>
    <w:rsid w:val="004D1D6A"/>
    <w:rsid w:val="004D3252"/>
    <w:rsid w:val="004D4918"/>
    <w:rsid w:val="004E48F4"/>
    <w:rsid w:val="004E523C"/>
    <w:rsid w:val="004E6E8F"/>
    <w:rsid w:val="004F0950"/>
    <w:rsid w:val="004F338A"/>
    <w:rsid w:val="005024F1"/>
    <w:rsid w:val="005035A4"/>
    <w:rsid w:val="00514EFC"/>
    <w:rsid w:val="00515F75"/>
    <w:rsid w:val="00523E47"/>
    <w:rsid w:val="005267A3"/>
    <w:rsid w:val="00530803"/>
    <w:rsid w:val="00534FFB"/>
    <w:rsid w:val="0054460B"/>
    <w:rsid w:val="005461D0"/>
    <w:rsid w:val="005532DC"/>
    <w:rsid w:val="00553737"/>
    <w:rsid w:val="00553B81"/>
    <w:rsid w:val="00563A69"/>
    <w:rsid w:val="00564804"/>
    <w:rsid w:val="00570768"/>
    <w:rsid w:val="00573EAF"/>
    <w:rsid w:val="00577321"/>
    <w:rsid w:val="005857C2"/>
    <w:rsid w:val="00587EE2"/>
    <w:rsid w:val="00591C9C"/>
    <w:rsid w:val="00593C72"/>
    <w:rsid w:val="005B0F2F"/>
    <w:rsid w:val="005B2576"/>
    <w:rsid w:val="005C33D9"/>
    <w:rsid w:val="005D101C"/>
    <w:rsid w:val="005D16F1"/>
    <w:rsid w:val="005E0F11"/>
    <w:rsid w:val="005E2749"/>
    <w:rsid w:val="005E304E"/>
    <w:rsid w:val="005F301E"/>
    <w:rsid w:val="005F3E68"/>
    <w:rsid w:val="005F46EB"/>
    <w:rsid w:val="005F6868"/>
    <w:rsid w:val="00605FF4"/>
    <w:rsid w:val="0061278C"/>
    <w:rsid w:val="006152BA"/>
    <w:rsid w:val="00616DBA"/>
    <w:rsid w:val="006314F0"/>
    <w:rsid w:val="006326BC"/>
    <w:rsid w:val="00651402"/>
    <w:rsid w:val="0065336B"/>
    <w:rsid w:val="00654A39"/>
    <w:rsid w:val="006558DF"/>
    <w:rsid w:val="00656409"/>
    <w:rsid w:val="00656EC9"/>
    <w:rsid w:val="006618E9"/>
    <w:rsid w:val="00666D56"/>
    <w:rsid w:val="00670AD5"/>
    <w:rsid w:val="00673899"/>
    <w:rsid w:val="00687FEB"/>
    <w:rsid w:val="00693722"/>
    <w:rsid w:val="00696C68"/>
    <w:rsid w:val="006A2FC2"/>
    <w:rsid w:val="006A644C"/>
    <w:rsid w:val="006B5506"/>
    <w:rsid w:val="006B615A"/>
    <w:rsid w:val="006B77C0"/>
    <w:rsid w:val="006B7EB4"/>
    <w:rsid w:val="006C4BB1"/>
    <w:rsid w:val="006C6394"/>
    <w:rsid w:val="006D455D"/>
    <w:rsid w:val="006D5700"/>
    <w:rsid w:val="006D59E8"/>
    <w:rsid w:val="006D7814"/>
    <w:rsid w:val="006E580B"/>
    <w:rsid w:val="006E5FA4"/>
    <w:rsid w:val="006F0A85"/>
    <w:rsid w:val="006F678A"/>
    <w:rsid w:val="007061ED"/>
    <w:rsid w:val="00710212"/>
    <w:rsid w:val="00721B4C"/>
    <w:rsid w:val="00723F58"/>
    <w:rsid w:val="00726D05"/>
    <w:rsid w:val="00727AF9"/>
    <w:rsid w:val="00731A48"/>
    <w:rsid w:val="007343CC"/>
    <w:rsid w:val="00735B27"/>
    <w:rsid w:val="00736986"/>
    <w:rsid w:val="0073699B"/>
    <w:rsid w:val="00743C86"/>
    <w:rsid w:val="00745908"/>
    <w:rsid w:val="00752DA0"/>
    <w:rsid w:val="007628BF"/>
    <w:rsid w:val="00770D89"/>
    <w:rsid w:val="00783981"/>
    <w:rsid w:val="00786250"/>
    <w:rsid w:val="0079284A"/>
    <w:rsid w:val="00792A65"/>
    <w:rsid w:val="00794AB7"/>
    <w:rsid w:val="00797333"/>
    <w:rsid w:val="007A17AC"/>
    <w:rsid w:val="007B534E"/>
    <w:rsid w:val="007C6D41"/>
    <w:rsid w:val="007C797F"/>
    <w:rsid w:val="007D4FA7"/>
    <w:rsid w:val="007D7754"/>
    <w:rsid w:val="007E056F"/>
    <w:rsid w:val="007F0B3E"/>
    <w:rsid w:val="007F3DED"/>
    <w:rsid w:val="007F5029"/>
    <w:rsid w:val="00806928"/>
    <w:rsid w:val="00811122"/>
    <w:rsid w:val="0081237E"/>
    <w:rsid w:val="0082054E"/>
    <w:rsid w:val="00821971"/>
    <w:rsid w:val="00822300"/>
    <w:rsid w:val="00824D61"/>
    <w:rsid w:val="00825CFD"/>
    <w:rsid w:val="00833F83"/>
    <w:rsid w:val="008372D4"/>
    <w:rsid w:val="00847059"/>
    <w:rsid w:val="00852A2B"/>
    <w:rsid w:val="00856A79"/>
    <w:rsid w:val="00857B88"/>
    <w:rsid w:val="00863BFC"/>
    <w:rsid w:val="00872A23"/>
    <w:rsid w:val="00884597"/>
    <w:rsid w:val="00890FEB"/>
    <w:rsid w:val="00891AF2"/>
    <w:rsid w:val="008969A4"/>
    <w:rsid w:val="008A00C3"/>
    <w:rsid w:val="008A25AF"/>
    <w:rsid w:val="008A2CF6"/>
    <w:rsid w:val="008A3A06"/>
    <w:rsid w:val="008A5227"/>
    <w:rsid w:val="008C2F58"/>
    <w:rsid w:val="008C677B"/>
    <w:rsid w:val="008C753A"/>
    <w:rsid w:val="008D13AF"/>
    <w:rsid w:val="008D5037"/>
    <w:rsid w:val="008D5442"/>
    <w:rsid w:val="008D665E"/>
    <w:rsid w:val="008D7AA7"/>
    <w:rsid w:val="008E000F"/>
    <w:rsid w:val="008E0CCA"/>
    <w:rsid w:val="008E11B9"/>
    <w:rsid w:val="008E2B9C"/>
    <w:rsid w:val="008E360A"/>
    <w:rsid w:val="008E747B"/>
    <w:rsid w:val="008F0F0F"/>
    <w:rsid w:val="008F47B4"/>
    <w:rsid w:val="008F5BA0"/>
    <w:rsid w:val="00900A15"/>
    <w:rsid w:val="0091433A"/>
    <w:rsid w:val="00915248"/>
    <w:rsid w:val="0091663D"/>
    <w:rsid w:val="009176AB"/>
    <w:rsid w:val="0092255F"/>
    <w:rsid w:val="00923B7A"/>
    <w:rsid w:val="00924209"/>
    <w:rsid w:val="0092676B"/>
    <w:rsid w:val="00930359"/>
    <w:rsid w:val="009311DF"/>
    <w:rsid w:val="009314F9"/>
    <w:rsid w:val="00932431"/>
    <w:rsid w:val="009336A2"/>
    <w:rsid w:val="00936EC7"/>
    <w:rsid w:val="0094245A"/>
    <w:rsid w:val="00942FA3"/>
    <w:rsid w:val="00943EDF"/>
    <w:rsid w:val="0095171E"/>
    <w:rsid w:val="009519CC"/>
    <w:rsid w:val="00956423"/>
    <w:rsid w:val="00957901"/>
    <w:rsid w:val="009638CC"/>
    <w:rsid w:val="0096615A"/>
    <w:rsid w:val="00972F7E"/>
    <w:rsid w:val="00976A28"/>
    <w:rsid w:val="009879D2"/>
    <w:rsid w:val="00991F09"/>
    <w:rsid w:val="00992768"/>
    <w:rsid w:val="009A1562"/>
    <w:rsid w:val="009A4ECB"/>
    <w:rsid w:val="009A52AA"/>
    <w:rsid w:val="009B1A64"/>
    <w:rsid w:val="009C087B"/>
    <w:rsid w:val="009D1BFC"/>
    <w:rsid w:val="009E0451"/>
    <w:rsid w:val="009E2393"/>
    <w:rsid w:val="009E2FCF"/>
    <w:rsid w:val="009E4BA2"/>
    <w:rsid w:val="009F3FCB"/>
    <w:rsid w:val="009F49F7"/>
    <w:rsid w:val="00A1072D"/>
    <w:rsid w:val="00A154E0"/>
    <w:rsid w:val="00A25F05"/>
    <w:rsid w:val="00A2735B"/>
    <w:rsid w:val="00A31077"/>
    <w:rsid w:val="00A34DAA"/>
    <w:rsid w:val="00A441B2"/>
    <w:rsid w:val="00A45508"/>
    <w:rsid w:val="00A46999"/>
    <w:rsid w:val="00A54E22"/>
    <w:rsid w:val="00A677D7"/>
    <w:rsid w:val="00A7164F"/>
    <w:rsid w:val="00A75503"/>
    <w:rsid w:val="00A76441"/>
    <w:rsid w:val="00A80248"/>
    <w:rsid w:val="00A87D09"/>
    <w:rsid w:val="00A901DA"/>
    <w:rsid w:val="00AA09F5"/>
    <w:rsid w:val="00AA440F"/>
    <w:rsid w:val="00AB38FD"/>
    <w:rsid w:val="00AB5457"/>
    <w:rsid w:val="00AB658D"/>
    <w:rsid w:val="00AC05F5"/>
    <w:rsid w:val="00AD3807"/>
    <w:rsid w:val="00AD6555"/>
    <w:rsid w:val="00AE3F0A"/>
    <w:rsid w:val="00AE783E"/>
    <w:rsid w:val="00AF5542"/>
    <w:rsid w:val="00B05BE1"/>
    <w:rsid w:val="00B06CCA"/>
    <w:rsid w:val="00B1059C"/>
    <w:rsid w:val="00B143E2"/>
    <w:rsid w:val="00B203A0"/>
    <w:rsid w:val="00B2521B"/>
    <w:rsid w:val="00B3050C"/>
    <w:rsid w:val="00B3535B"/>
    <w:rsid w:val="00B444AE"/>
    <w:rsid w:val="00B5032E"/>
    <w:rsid w:val="00B511C0"/>
    <w:rsid w:val="00B575F6"/>
    <w:rsid w:val="00B5766D"/>
    <w:rsid w:val="00B62363"/>
    <w:rsid w:val="00B63A68"/>
    <w:rsid w:val="00B6620D"/>
    <w:rsid w:val="00B7145C"/>
    <w:rsid w:val="00B73D81"/>
    <w:rsid w:val="00B774EC"/>
    <w:rsid w:val="00B77C1F"/>
    <w:rsid w:val="00B81E35"/>
    <w:rsid w:val="00B82B48"/>
    <w:rsid w:val="00B84098"/>
    <w:rsid w:val="00B93FF8"/>
    <w:rsid w:val="00B97DB3"/>
    <w:rsid w:val="00BA1B38"/>
    <w:rsid w:val="00BA7674"/>
    <w:rsid w:val="00BA7DFD"/>
    <w:rsid w:val="00BB1B48"/>
    <w:rsid w:val="00BB4CAF"/>
    <w:rsid w:val="00BB5E8C"/>
    <w:rsid w:val="00BB763A"/>
    <w:rsid w:val="00BB76BF"/>
    <w:rsid w:val="00BC3D0D"/>
    <w:rsid w:val="00BC656D"/>
    <w:rsid w:val="00BD7133"/>
    <w:rsid w:val="00BE52BA"/>
    <w:rsid w:val="00BF5D6E"/>
    <w:rsid w:val="00C03AD2"/>
    <w:rsid w:val="00C1408C"/>
    <w:rsid w:val="00C1419D"/>
    <w:rsid w:val="00C16124"/>
    <w:rsid w:val="00C16862"/>
    <w:rsid w:val="00C2243A"/>
    <w:rsid w:val="00C242B7"/>
    <w:rsid w:val="00C304A4"/>
    <w:rsid w:val="00C30C93"/>
    <w:rsid w:val="00C32103"/>
    <w:rsid w:val="00C34EF6"/>
    <w:rsid w:val="00C35B88"/>
    <w:rsid w:val="00C40AE5"/>
    <w:rsid w:val="00C4318D"/>
    <w:rsid w:val="00C46510"/>
    <w:rsid w:val="00C54DD2"/>
    <w:rsid w:val="00C57A82"/>
    <w:rsid w:val="00C60E96"/>
    <w:rsid w:val="00C63034"/>
    <w:rsid w:val="00C65060"/>
    <w:rsid w:val="00C718AA"/>
    <w:rsid w:val="00C71BF8"/>
    <w:rsid w:val="00C745D1"/>
    <w:rsid w:val="00C764E1"/>
    <w:rsid w:val="00C80122"/>
    <w:rsid w:val="00C80340"/>
    <w:rsid w:val="00C81AF0"/>
    <w:rsid w:val="00C87CD5"/>
    <w:rsid w:val="00C91056"/>
    <w:rsid w:val="00C92A21"/>
    <w:rsid w:val="00CA09F0"/>
    <w:rsid w:val="00CA23F2"/>
    <w:rsid w:val="00CA4C9E"/>
    <w:rsid w:val="00CA7F28"/>
    <w:rsid w:val="00CB368C"/>
    <w:rsid w:val="00CB4A3C"/>
    <w:rsid w:val="00CB4B25"/>
    <w:rsid w:val="00CB5BE8"/>
    <w:rsid w:val="00CC6836"/>
    <w:rsid w:val="00CC6E0F"/>
    <w:rsid w:val="00CE439D"/>
    <w:rsid w:val="00CF2B73"/>
    <w:rsid w:val="00CF7F44"/>
    <w:rsid w:val="00D03856"/>
    <w:rsid w:val="00D14B7B"/>
    <w:rsid w:val="00D20DAB"/>
    <w:rsid w:val="00D20E91"/>
    <w:rsid w:val="00D3434D"/>
    <w:rsid w:val="00D34947"/>
    <w:rsid w:val="00D410D0"/>
    <w:rsid w:val="00D420D2"/>
    <w:rsid w:val="00D43F05"/>
    <w:rsid w:val="00D44F83"/>
    <w:rsid w:val="00D474E4"/>
    <w:rsid w:val="00D475A2"/>
    <w:rsid w:val="00D50445"/>
    <w:rsid w:val="00D53031"/>
    <w:rsid w:val="00D575CE"/>
    <w:rsid w:val="00D7085E"/>
    <w:rsid w:val="00D74FCF"/>
    <w:rsid w:val="00D75BB4"/>
    <w:rsid w:val="00D77E2A"/>
    <w:rsid w:val="00D80330"/>
    <w:rsid w:val="00D80E83"/>
    <w:rsid w:val="00D81B09"/>
    <w:rsid w:val="00D83362"/>
    <w:rsid w:val="00D93469"/>
    <w:rsid w:val="00D94B54"/>
    <w:rsid w:val="00D96986"/>
    <w:rsid w:val="00DA085B"/>
    <w:rsid w:val="00DA11CB"/>
    <w:rsid w:val="00DA426B"/>
    <w:rsid w:val="00DA60CA"/>
    <w:rsid w:val="00DA768F"/>
    <w:rsid w:val="00DB6453"/>
    <w:rsid w:val="00DB6F1D"/>
    <w:rsid w:val="00DC3FF5"/>
    <w:rsid w:val="00DD2D02"/>
    <w:rsid w:val="00DD3004"/>
    <w:rsid w:val="00DE4175"/>
    <w:rsid w:val="00DF37E9"/>
    <w:rsid w:val="00DF7A8E"/>
    <w:rsid w:val="00E00D0D"/>
    <w:rsid w:val="00E07B59"/>
    <w:rsid w:val="00E23670"/>
    <w:rsid w:val="00E24E0F"/>
    <w:rsid w:val="00E27073"/>
    <w:rsid w:val="00E27547"/>
    <w:rsid w:val="00E308AB"/>
    <w:rsid w:val="00E3219C"/>
    <w:rsid w:val="00E36E20"/>
    <w:rsid w:val="00E401FB"/>
    <w:rsid w:val="00E4346B"/>
    <w:rsid w:val="00E50813"/>
    <w:rsid w:val="00E5160B"/>
    <w:rsid w:val="00E51BB8"/>
    <w:rsid w:val="00E52828"/>
    <w:rsid w:val="00E575DD"/>
    <w:rsid w:val="00E653A5"/>
    <w:rsid w:val="00E676E8"/>
    <w:rsid w:val="00E7548F"/>
    <w:rsid w:val="00E81ADC"/>
    <w:rsid w:val="00E81E67"/>
    <w:rsid w:val="00E85CB5"/>
    <w:rsid w:val="00E906C8"/>
    <w:rsid w:val="00E92026"/>
    <w:rsid w:val="00E920F3"/>
    <w:rsid w:val="00E93746"/>
    <w:rsid w:val="00E94B92"/>
    <w:rsid w:val="00EA43E1"/>
    <w:rsid w:val="00EA564D"/>
    <w:rsid w:val="00EA7754"/>
    <w:rsid w:val="00EB0DC6"/>
    <w:rsid w:val="00EB0EF6"/>
    <w:rsid w:val="00EB3299"/>
    <w:rsid w:val="00EB44F3"/>
    <w:rsid w:val="00EC47D6"/>
    <w:rsid w:val="00ED063C"/>
    <w:rsid w:val="00ED536F"/>
    <w:rsid w:val="00EE73B1"/>
    <w:rsid w:val="00EF1268"/>
    <w:rsid w:val="00EF4D67"/>
    <w:rsid w:val="00EF5978"/>
    <w:rsid w:val="00F00E5D"/>
    <w:rsid w:val="00F02711"/>
    <w:rsid w:val="00F04D5C"/>
    <w:rsid w:val="00F05D60"/>
    <w:rsid w:val="00F072DB"/>
    <w:rsid w:val="00F23C9B"/>
    <w:rsid w:val="00F32A6A"/>
    <w:rsid w:val="00F35F23"/>
    <w:rsid w:val="00F425FE"/>
    <w:rsid w:val="00F426A7"/>
    <w:rsid w:val="00F45B25"/>
    <w:rsid w:val="00F502A2"/>
    <w:rsid w:val="00F528C6"/>
    <w:rsid w:val="00F52C52"/>
    <w:rsid w:val="00F54D02"/>
    <w:rsid w:val="00F552E6"/>
    <w:rsid w:val="00F6201D"/>
    <w:rsid w:val="00F623E1"/>
    <w:rsid w:val="00F6395D"/>
    <w:rsid w:val="00F6445C"/>
    <w:rsid w:val="00F65958"/>
    <w:rsid w:val="00F75620"/>
    <w:rsid w:val="00F84051"/>
    <w:rsid w:val="00F84069"/>
    <w:rsid w:val="00F8561C"/>
    <w:rsid w:val="00F950B1"/>
    <w:rsid w:val="00FA140D"/>
    <w:rsid w:val="00FA25EF"/>
    <w:rsid w:val="00FA7024"/>
    <w:rsid w:val="00FC3099"/>
    <w:rsid w:val="00FC6200"/>
    <w:rsid w:val="00FC78A8"/>
    <w:rsid w:val="00FD42B8"/>
    <w:rsid w:val="00FD61A3"/>
    <w:rsid w:val="00FD61C0"/>
    <w:rsid w:val="00FD70A3"/>
    <w:rsid w:val="00FD7CAE"/>
    <w:rsid w:val="00FE413A"/>
    <w:rsid w:val="00FE581D"/>
    <w:rsid w:val="00FE60B9"/>
    <w:rsid w:val="00FF0E3A"/>
    <w:rsid w:val="00FF56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E48C4"/>
  <w15:docId w15:val="{A335311E-717E-46CD-9DB3-C75DE9E6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519"/>
    <w:pPr>
      <w:spacing w:after="0" w:line="240" w:lineRule="auto"/>
      <w:jc w:val="both"/>
    </w:pPr>
    <w:rPr>
      <w:rFonts w:ascii="Times New Roman" w:eastAsia="MS Mincho" w:hAnsi="Times New Roman" w:cs="Times New Roman"/>
      <w:szCs w:val="24"/>
      <w:lang w:val="en-GB"/>
    </w:rPr>
  </w:style>
  <w:style w:type="paragraph" w:styleId="Heading1">
    <w:name w:val="heading 1"/>
    <w:aliases w:val="IPPC Headsection"/>
    <w:basedOn w:val="Normal"/>
    <w:next w:val="Normal"/>
    <w:link w:val="Heading1Char"/>
    <w:qFormat/>
    <w:rsid w:val="0018651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8651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8651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6519"/>
    <w:pPr>
      <w:tabs>
        <w:tab w:val="center" w:pos="4680"/>
        <w:tab w:val="right" w:pos="9360"/>
      </w:tabs>
    </w:pPr>
  </w:style>
  <w:style w:type="character" w:customStyle="1" w:styleId="HeaderChar">
    <w:name w:val="Header Char"/>
    <w:basedOn w:val="DefaultParagraphFont"/>
    <w:link w:val="Header"/>
    <w:rsid w:val="00186519"/>
    <w:rPr>
      <w:rFonts w:ascii="Times New Roman" w:eastAsia="MS Mincho" w:hAnsi="Times New Roman" w:cs="Times New Roman"/>
      <w:szCs w:val="24"/>
      <w:lang w:val="en-GB"/>
    </w:rPr>
  </w:style>
  <w:style w:type="paragraph" w:styleId="Footer">
    <w:name w:val="footer"/>
    <w:basedOn w:val="Normal"/>
    <w:link w:val="FooterChar"/>
    <w:rsid w:val="00186519"/>
    <w:pPr>
      <w:tabs>
        <w:tab w:val="center" w:pos="4680"/>
        <w:tab w:val="right" w:pos="9360"/>
      </w:tabs>
    </w:pPr>
  </w:style>
  <w:style w:type="character" w:customStyle="1" w:styleId="FooterChar">
    <w:name w:val="Footer Char"/>
    <w:basedOn w:val="DefaultParagraphFont"/>
    <w:link w:val="Footer"/>
    <w:rsid w:val="00186519"/>
    <w:rPr>
      <w:rFonts w:ascii="Times New Roman" w:eastAsia="MS Mincho" w:hAnsi="Times New Roman" w:cs="Times New Roman"/>
      <w:szCs w:val="24"/>
      <w:lang w:val="en-GB"/>
    </w:rPr>
  </w:style>
  <w:style w:type="paragraph" w:customStyle="1" w:styleId="IPPParagraphnumbering">
    <w:name w:val="IPP Paragraph numbering"/>
    <w:basedOn w:val="IPPNormal"/>
    <w:qFormat/>
    <w:rsid w:val="00186519"/>
    <w:pPr>
      <w:numPr>
        <w:numId w:val="2"/>
      </w:numPr>
    </w:pPr>
    <w:rPr>
      <w:lang w:val="en-US"/>
    </w:rPr>
  </w:style>
  <w:style w:type="numbering" w:customStyle="1" w:styleId="IPPParagraphnumberedlist">
    <w:name w:val="IPP Paragraph numbered list"/>
    <w:rsid w:val="00186519"/>
    <w:pPr>
      <w:numPr>
        <w:numId w:val="1"/>
      </w:numPr>
    </w:pPr>
  </w:style>
  <w:style w:type="paragraph" w:customStyle="1" w:styleId="IPPNumberedList">
    <w:name w:val="IPP NumberedList"/>
    <w:basedOn w:val="IPPBullet1"/>
    <w:qFormat/>
    <w:rsid w:val="00186519"/>
    <w:pPr>
      <w:numPr>
        <w:numId w:val="3"/>
      </w:numPr>
    </w:pPr>
  </w:style>
  <w:style w:type="paragraph" w:customStyle="1" w:styleId="IPPBullet1">
    <w:name w:val="IPP Bullet1"/>
    <w:basedOn w:val="IPPBullet1Last"/>
    <w:qFormat/>
    <w:rsid w:val="00186519"/>
    <w:pPr>
      <w:numPr>
        <w:numId w:val="4"/>
      </w:numPr>
      <w:spacing w:after="60"/>
      <w:ind w:left="567" w:hanging="567"/>
    </w:pPr>
    <w:rPr>
      <w:lang w:val="en-US"/>
    </w:rPr>
  </w:style>
  <w:style w:type="table" w:styleId="TableGrid">
    <w:name w:val="Table Grid"/>
    <w:basedOn w:val="TableNormal"/>
    <w:uiPriority w:val="39"/>
    <w:rsid w:val="00186519"/>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6519"/>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Normal"/>
    <w:qFormat/>
    <w:rsid w:val="0091663D"/>
    <w:pPr>
      <w:tabs>
        <w:tab w:val="num" w:pos="0"/>
      </w:tabs>
      <w:spacing w:after="180"/>
      <w:ind w:hanging="482"/>
    </w:pPr>
    <w:rPr>
      <w:rFonts w:eastAsia="Times"/>
      <w:lang w:val="en-US"/>
    </w:rPr>
  </w:style>
  <w:style w:type="paragraph" w:styleId="BalloonText">
    <w:name w:val="Balloon Text"/>
    <w:basedOn w:val="Normal"/>
    <w:link w:val="BalloonTextChar"/>
    <w:rsid w:val="00186519"/>
    <w:rPr>
      <w:rFonts w:ascii="Tahoma" w:hAnsi="Tahoma" w:cs="Tahoma"/>
      <w:sz w:val="16"/>
      <w:szCs w:val="16"/>
    </w:rPr>
  </w:style>
  <w:style w:type="character" w:customStyle="1" w:styleId="BalloonTextChar">
    <w:name w:val="Balloon Text Char"/>
    <w:basedOn w:val="DefaultParagraphFont"/>
    <w:link w:val="BalloonText"/>
    <w:rsid w:val="00186519"/>
    <w:rPr>
      <w:rFonts w:ascii="Tahoma" w:eastAsia="MS Mincho" w:hAnsi="Tahoma" w:cs="Tahoma"/>
      <w:sz w:val="16"/>
      <w:szCs w:val="16"/>
      <w:lang w:val="en-GB"/>
    </w:rPr>
  </w:style>
  <w:style w:type="character" w:customStyle="1" w:styleId="Heading1Char">
    <w:name w:val="Heading 1 Char"/>
    <w:aliases w:val="IPPC Headsection Char"/>
    <w:basedOn w:val="DefaultParagraphFont"/>
    <w:link w:val="Heading1"/>
    <w:rsid w:val="0018651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8651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86519"/>
    <w:rPr>
      <w:rFonts w:ascii="Calibri" w:eastAsia="MS Mincho" w:hAnsi="Calibri" w:cs="Times New Roman"/>
      <w:b/>
      <w:bCs/>
      <w:sz w:val="26"/>
      <w:szCs w:val="26"/>
      <w:lang w:val="en-GB"/>
    </w:rPr>
  </w:style>
  <w:style w:type="paragraph" w:styleId="FootnoteText">
    <w:name w:val="footnote text"/>
    <w:aliases w:val="FOOTNOTES,fn,single space,Footnote text"/>
    <w:basedOn w:val="Normal"/>
    <w:link w:val="FootnoteTextChar"/>
    <w:uiPriority w:val="99"/>
    <w:rsid w:val="00186519"/>
    <w:pPr>
      <w:spacing w:before="60"/>
    </w:pPr>
    <w:rPr>
      <w:sz w:val="20"/>
    </w:rPr>
  </w:style>
  <w:style w:type="character" w:customStyle="1" w:styleId="FootnoteTextChar">
    <w:name w:val="Footnote Text Char"/>
    <w:aliases w:val="FOOTNOTES Char,fn Char,single space Char,Footnote text Char"/>
    <w:basedOn w:val="DefaultParagraphFont"/>
    <w:link w:val="FootnoteText"/>
    <w:uiPriority w:val="99"/>
    <w:rsid w:val="00186519"/>
    <w:rPr>
      <w:rFonts w:ascii="Times New Roman" w:eastAsia="MS Mincho" w:hAnsi="Times New Roman" w:cs="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link w:val="BVIfnrCarattereCharCharCharCarattereCharCharCharCharCharChar1CharCharCharCarattereChar"/>
    <w:uiPriority w:val="99"/>
    <w:rsid w:val="00186519"/>
    <w:rPr>
      <w:vertAlign w:val="superscript"/>
    </w:rPr>
  </w:style>
  <w:style w:type="paragraph" w:customStyle="1" w:styleId="Style">
    <w:name w:val="Style"/>
    <w:basedOn w:val="Footer"/>
    <w:autoRedefine/>
    <w:qFormat/>
    <w:rsid w:val="0018651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86519"/>
    <w:rPr>
      <w:rFonts w:ascii="Arial" w:hAnsi="Arial"/>
      <w:b/>
      <w:sz w:val="18"/>
    </w:rPr>
  </w:style>
  <w:style w:type="paragraph" w:customStyle="1" w:styleId="IPPArialFootnote">
    <w:name w:val="IPP Arial Footnote"/>
    <w:basedOn w:val="IPPArialTable"/>
    <w:qFormat/>
    <w:rsid w:val="00186519"/>
    <w:pPr>
      <w:tabs>
        <w:tab w:val="left" w:pos="28"/>
      </w:tabs>
      <w:ind w:left="284" w:hanging="284"/>
    </w:pPr>
    <w:rPr>
      <w:sz w:val="16"/>
    </w:rPr>
  </w:style>
  <w:style w:type="paragraph" w:customStyle="1" w:styleId="IPPContentsHead">
    <w:name w:val="IPP ContentsHead"/>
    <w:basedOn w:val="IPPSubhead"/>
    <w:next w:val="IPPNormal"/>
    <w:qFormat/>
    <w:rsid w:val="00186519"/>
    <w:pPr>
      <w:spacing w:after="240"/>
    </w:pPr>
    <w:rPr>
      <w:sz w:val="24"/>
    </w:rPr>
  </w:style>
  <w:style w:type="paragraph" w:customStyle="1" w:styleId="IPPBullet2">
    <w:name w:val="IPP Bullet2"/>
    <w:basedOn w:val="IPPNormal"/>
    <w:next w:val="IPPBullet1"/>
    <w:qFormat/>
    <w:rsid w:val="00186519"/>
    <w:pPr>
      <w:numPr>
        <w:numId w:val="7"/>
      </w:numPr>
      <w:tabs>
        <w:tab w:val="left" w:pos="1134"/>
      </w:tabs>
      <w:spacing w:after="60"/>
      <w:ind w:left="1134" w:hanging="567"/>
    </w:pPr>
  </w:style>
  <w:style w:type="paragraph" w:customStyle="1" w:styleId="IPPQuote">
    <w:name w:val="IPP Quote"/>
    <w:basedOn w:val="IPPNormal"/>
    <w:qFormat/>
    <w:rsid w:val="00186519"/>
    <w:pPr>
      <w:ind w:left="851" w:right="851"/>
    </w:pPr>
    <w:rPr>
      <w:sz w:val="18"/>
    </w:rPr>
  </w:style>
  <w:style w:type="paragraph" w:customStyle="1" w:styleId="IPPNormal">
    <w:name w:val="IPP Normal"/>
    <w:basedOn w:val="Normal"/>
    <w:link w:val="IPPNormalChar"/>
    <w:qFormat/>
    <w:rsid w:val="00186519"/>
    <w:pPr>
      <w:spacing w:after="180"/>
    </w:pPr>
    <w:rPr>
      <w:rFonts w:eastAsia="Times"/>
    </w:rPr>
  </w:style>
  <w:style w:type="paragraph" w:customStyle="1" w:styleId="IPPIndentClose">
    <w:name w:val="IPP Indent Close"/>
    <w:basedOn w:val="IPPNormal"/>
    <w:qFormat/>
    <w:rsid w:val="00186519"/>
    <w:pPr>
      <w:tabs>
        <w:tab w:val="left" w:pos="2835"/>
      </w:tabs>
      <w:spacing w:after="60"/>
      <w:ind w:left="567"/>
    </w:pPr>
  </w:style>
  <w:style w:type="paragraph" w:customStyle="1" w:styleId="IPPIndent">
    <w:name w:val="IPP Indent"/>
    <w:basedOn w:val="IPPIndentClose"/>
    <w:qFormat/>
    <w:rsid w:val="00186519"/>
    <w:pPr>
      <w:spacing w:after="180"/>
    </w:pPr>
  </w:style>
  <w:style w:type="paragraph" w:customStyle="1" w:styleId="IPPFootnote">
    <w:name w:val="IPP Footnote"/>
    <w:basedOn w:val="IPPArialFootnote"/>
    <w:qFormat/>
    <w:rsid w:val="0018651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86519"/>
    <w:pPr>
      <w:keepNext/>
      <w:tabs>
        <w:tab w:val="left" w:pos="567"/>
      </w:tabs>
      <w:spacing w:before="120" w:after="120"/>
      <w:ind w:left="567" w:hanging="567"/>
    </w:pPr>
    <w:rPr>
      <w:b/>
      <w:i/>
    </w:rPr>
  </w:style>
  <w:style w:type="character" w:customStyle="1" w:styleId="IPPnormalitalics">
    <w:name w:val="IPP normal italics"/>
    <w:basedOn w:val="DefaultParagraphFont"/>
    <w:rsid w:val="00186519"/>
    <w:rPr>
      <w:rFonts w:ascii="Times New Roman" w:hAnsi="Times New Roman"/>
      <w:i/>
      <w:sz w:val="22"/>
      <w:lang w:val="en-US"/>
    </w:rPr>
  </w:style>
  <w:style w:type="character" w:customStyle="1" w:styleId="IPPNormalbold">
    <w:name w:val="IPP Normal bold"/>
    <w:basedOn w:val="PlainTextChar"/>
    <w:rsid w:val="0018651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18651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link w:val="IPPHeading1Char"/>
    <w:qFormat/>
    <w:rsid w:val="0018651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86519"/>
    <w:pPr>
      <w:keepNext/>
      <w:ind w:left="567" w:hanging="567"/>
      <w:jc w:val="left"/>
    </w:pPr>
    <w:rPr>
      <w:b/>
      <w:bCs/>
      <w:iCs/>
      <w:szCs w:val="22"/>
    </w:rPr>
  </w:style>
  <w:style w:type="character" w:customStyle="1" w:styleId="IPPNormalunderlined">
    <w:name w:val="IPP Normal underlined"/>
    <w:basedOn w:val="DefaultParagraphFont"/>
    <w:rsid w:val="00186519"/>
    <w:rPr>
      <w:rFonts w:ascii="Times New Roman" w:hAnsi="Times New Roman"/>
      <w:sz w:val="22"/>
      <w:u w:val="single"/>
      <w:lang w:val="en-US"/>
    </w:rPr>
  </w:style>
  <w:style w:type="paragraph" w:customStyle="1" w:styleId="IPPBullet1Last">
    <w:name w:val="IPP Bullet1Last"/>
    <w:basedOn w:val="IPPNormal"/>
    <w:next w:val="IPPNormal"/>
    <w:link w:val="IPPBullet1LastChar"/>
    <w:autoRedefine/>
    <w:qFormat/>
    <w:rsid w:val="00186519"/>
    <w:pPr>
      <w:numPr>
        <w:numId w:val="8"/>
      </w:numPr>
    </w:pPr>
  </w:style>
  <w:style w:type="character" w:customStyle="1" w:styleId="IPPNormalstrikethrough">
    <w:name w:val="IPP Normal strikethrough"/>
    <w:rsid w:val="00186519"/>
    <w:rPr>
      <w:rFonts w:ascii="Times New Roman" w:hAnsi="Times New Roman"/>
      <w:strike/>
      <w:dstrike w:val="0"/>
      <w:sz w:val="22"/>
    </w:rPr>
  </w:style>
  <w:style w:type="paragraph" w:customStyle="1" w:styleId="IPPTitle16pt">
    <w:name w:val="IPP Title16pt"/>
    <w:basedOn w:val="Normal"/>
    <w:qFormat/>
    <w:rsid w:val="0018651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86519"/>
    <w:pPr>
      <w:spacing w:after="360"/>
      <w:jc w:val="center"/>
    </w:pPr>
    <w:rPr>
      <w:rFonts w:ascii="Arial" w:hAnsi="Arial" w:cs="Arial"/>
      <w:b/>
      <w:bCs/>
      <w:sz w:val="36"/>
      <w:szCs w:val="36"/>
    </w:rPr>
  </w:style>
  <w:style w:type="paragraph" w:customStyle="1" w:styleId="IPPHeader">
    <w:name w:val="IPP Header"/>
    <w:basedOn w:val="Normal"/>
    <w:qFormat/>
    <w:rsid w:val="0018651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86519"/>
    <w:pPr>
      <w:keepNext/>
      <w:tabs>
        <w:tab w:val="left" w:pos="567"/>
      </w:tabs>
      <w:spacing w:before="120"/>
      <w:jc w:val="left"/>
      <w:outlineLvl w:val="1"/>
    </w:pPr>
    <w:rPr>
      <w:b/>
      <w:sz w:val="24"/>
    </w:rPr>
  </w:style>
  <w:style w:type="paragraph" w:customStyle="1" w:styleId="IPPNormalCloseSpace">
    <w:name w:val="IPP NormalCloseSpace"/>
    <w:basedOn w:val="Normal"/>
    <w:qFormat/>
    <w:rsid w:val="00186519"/>
    <w:pPr>
      <w:keepNext/>
      <w:spacing w:after="60"/>
    </w:pPr>
  </w:style>
  <w:style w:type="paragraph" w:customStyle="1" w:styleId="IPPHeading2">
    <w:name w:val="IPP Heading2"/>
    <w:basedOn w:val="IPPNormal"/>
    <w:next w:val="IPPNormal"/>
    <w:qFormat/>
    <w:rsid w:val="0018651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8651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86519"/>
    <w:pPr>
      <w:tabs>
        <w:tab w:val="right" w:leader="dot" w:pos="9072"/>
      </w:tabs>
      <w:spacing w:before="240"/>
      <w:ind w:left="567" w:hanging="567"/>
    </w:pPr>
  </w:style>
  <w:style w:type="paragraph" w:styleId="TOC2">
    <w:name w:val="toc 2"/>
    <w:basedOn w:val="TOC1"/>
    <w:next w:val="Normal"/>
    <w:autoRedefine/>
    <w:uiPriority w:val="39"/>
    <w:rsid w:val="00186519"/>
    <w:pPr>
      <w:keepNext w:val="0"/>
      <w:tabs>
        <w:tab w:val="left" w:pos="425"/>
      </w:tabs>
      <w:spacing w:before="120" w:after="0"/>
      <w:ind w:left="425" w:right="284" w:hanging="425"/>
    </w:pPr>
  </w:style>
  <w:style w:type="paragraph" w:styleId="TOC3">
    <w:name w:val="toc 3"/>
    <w:basedOn w:val="TOC2"/>
    <w:next w:val="Normal"/>
    <w:autoRedefine/>
    <w:uiPriority w:val="39"/>
    <w:rsid w:val="00186519"/>
    <w:pPr>
      <w:tabs>
        <w:tab w:val="left" w:pos="1276"/>
      </w:tabs>
      <w:spacing w:before="60"/>
      <w:ind w:left="1276" w:hanging="851"/>
    </w:pPr>
    <w:rPr>
      <w:rFonts w:eastAsia="Times"/>
    </w:rPr>
  </w:style>
  <w:style w:type="paragraph" w:styleId="TOC4">
    <w:name w:val="toc 4"/>
    <w:basedOn w:val="Normal"/>
    <w:next w:val="Normal"/>
    <w:autoRedefine/>
    <w:uiPriority w:val="39"/>
    <w:rsid w:val="00186519"/>
    <w:pPr>
      <w:spacing w:after="120"/>
      <w:ind w:left="660"/>
    </w:pPr>
    <w:rPr>
      <w:rFonts w:eastAsia="Times"/>
      <w:lang w:val="en-AU"/>
    </w:rPr>
  </w:style>
  <w:style w:type="paragraph" w:styleId="TOC5">
    <w:name w:val="toc 5"/>
    <w:basedOn w:val="Normal"/>
    <w:next w:val="Normal"/>
    <w:autoRedefine/>
    <w:uiPriority w:val="39"/>
    <w:rsid w:val="00186519"/>
    <w:pPr>
      <w:spacing w:after="120"/>
      <w:ind w:left="880"/>
    </w:pPr>
    <w:rPr>
      <w:rFonts w:eastAsia="Times"/>
      <w:lang w:val="en-AU"/>
    </w:rPr>
  </w:style>
  <w:style w:type="paragraph" w:styleId="TOC6">
    <w:name w:val="toc 6"/>
    <w:basedOn w:val="Normal"/>
    <w:next w:val="Normal"/>
    <w:autoRedefine/>
    <w:uiPriority w:val="39"/>
    <w:rsid w:val="00186519"/>
    <w:pPr>
      <w:spacing w:after="120"/>
      <w:ind w:left="1100"/>
    </w:pPr>
    <w:rPr>
      <w:rFonts w:eastAsia="Times"/>
      <w:lang w:val="en-AU"/>
    </w:rPr>
  </w:style>
  <w:style w:type="paragraph" w:styleId="TOC7">
    <w:name w:val="toc 7"/>
    <w:basedOn w:val="Normal"/>
    <w:next w:val="Normal"/>
    <w:autoRedefine/>
    <w:uiPriority w:val="39"/>
    <w:rsid w:val="00186519"/>
    <w:pPr>
      <w:spacing w:after="120"/>
      <w:ind w:left="1320"/>
    </w:pPr>
    <w:rPr>
      <w:rFonts w:eastAsia="Times"/>
      <w:lang w:val="en-AU"/>
    </w:rPr>
  </w:style>
  <w:style w:type="paragraph" w:styleId="TOC8">
    <w:name w:val="toc 8"/>
    <w:basedOn w:val="Normal"/>
    <w:next w:val="Normal"/>
    <w:autoRedefine/>
    <w:uiPriority w:val="39"/>
    <w:rsid w:val="00186519"/>
    <w:pPr>
      <w:spacing w:after="120"/>
      <w:ind w:left="1540"/>
    </w:pPr>
    <w:rPr>
      <w:rFonts w:eastAsia="Times"/>
      <w:lang w:val="en-AU"/>
    </w:rPr>
  </w:style>
  <w:style w:type="paragraph" w:styleId="TOC9">
    <w:name w:val="toc 9"/>
    <w:basedOn w:val="Normal"/>
    <w:next w:val="Normal"/>
    <w:autoRedefine/>
    <w:uiPriority w:val="39"/>
    <w:rsid w:val="00186519"/>
    <w:pPr>
      <w:spacing w:after="120"/>
      <w:ind w:left="1760"/>
    </w:pPr>
    <w:rPr>
      <w:rFonts w:eastAsia="Times"/>
      <w:lang w:val="en-AU"/>
    </w:rPr>
  </w:style>
  <w:style w:type="paragraph" w:customStyle="1" w:styleId="IPPReferences">
    <w:name w:val="IPP References"/>
    <w:basedOn w:val="IPPNormal"/>
    <w:qFormat/>
    <w:rsid w:val="00186519"/>
    <w:pPr>
      <w:spacing w:after="60"/>
      <w:ind w:left="567" w:hanging="567"/>
    </w:pPr>
  </w:style>
  <w:style w:type="paragraph" w:customStyle="1" w:styleId="IPPArial">
    <w:name w:val="IPP Arial"/>
    <w:basedOn w:val="IPPNormal"/>
    <w:qFormat/>
    <w:rsid w:val="00186519"/>
    <w:pPr>
      <w:spacing w:after="0"/>
    </w:pPr>
    <w:rPr>
      <w:rFonts w:ascii="Arial" w:hAnsi="Arial"/>
      <w:sz w:val="18"/>
    </w:rPr>
  </w:style>
  <w:style w:type="paragraph" w:customStyle="1" w:styleId="IPPArialTable">
    <w:name w:val="IPP Arial Table"/>
    <w:basedOn w:val="IPPArial"/>
    <w:qFormat/>
    <w:rsid w:val="00186519"/>
    <w:pPr>
      <w:spacing w:before="60" w:after="60"/>
      <w:jc w:val="left"/>
    </w:pPr>
  </w:style>
  <w:style w:type="paragraph" w:customStyle="1" w:styleId="IPPHeaderlandscape">
    <w:name w:val="IPP Header landscape"/>
    <w:basedOn w:val="IPPHeader"/>
    <w:qFormat/>
    <w:rsid w:val="0018651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8651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86519"/>
    <w:rPr>
      <w:rFonts w:ascii="Courier" w:eastAsia="Times" w:hAnsi="Courier" w:cs="Times New Roman"/>
      <w:sz w:val="21"/>
      <w:szCs w:val="21"/>
      <w:lang w:val="en-AU"/>
    </w:rPr>
  </w:style>
  <w:style w:type="paragraph" w:customStyle="1" w:styleId="IPPLetterList">
    <w:name w:val="IPP LetterList"/>
    <w:basedOn w:val="IPPBullet2"/>
    <w:qFormat/>
    <w:rsid w:val="00186519"/>
    <w:pPr>
      <w:numPr>
        <w:numId w:val="5"/>
      </w:numPr>
      <w:jc w:val="left"/>
    </w:pPr>
  </w:style>
  <w:style w:type="paragraph" w:customStyle="1" w:styleId="IPPLetterListIndent">
    <w:name w:val="IPP LetterList Indent"/>
    <w:basedOn w:val="IPPLetterList"/>
    <w:qFormat/>
    <w:rsid w:val="00186519"/>
    <w:pPr>
      <w:numPr>
        <w:numId w:val="6"/>
      </w:numPr>
    </w:pPr>
  </w:style>
  <w:style w:type="paragraph" w:customStyle="1" w:styleId="IPPFooterLandscape">
    <w:name w:val="IPP Footer Landscape"/>
    <w:basedOn w:val="IPPHeaderlandscape"/>
    <w:qFormat/>
    <w:rsid w:val="00186519"/>
    <w:pPr>
      <w:pBdr>
        <w:top w:val="single" w:sz="4" w:space="1" w:color="auto"/>
        <w:bottom w:val="none" w:sz="0" w:space="0" w:color="auto"/>
      </w:pBdr>
      <w:jc w:val="right"/>
    </w:pPr>
    <w:rPr>
      <w:b/>
    </w:rPr>
  </w:style>
  <w:style w:type="paragraph" w:customStyle="1" w:styleId="IPPSubheadSpace">
    <w:name w:val="IPP Subhead Space"/>
    <w:basedOn w:val="IPPSubhead"/>
    <w:qFormat/>
    <w:rsid w:val="00186519"/>
    <w:pPr>
      <w:tabs>
        <w:tab w:val="left" w:pos="567"/>
      </w:tabs>
      <w:spacing w:before="60" w:after="60"/>
    </w:pPr>
  </w:style>
  <w:style w:type="paragraph" w:customStyle="1" w:styleId="IPPSubheadSpaceAfter">
    <w:name w:val="IPP Subhead SpaceAfter"/>
    <w:basedOn w:val="IPPSubhead"/>
    <w:qFormat/>
    <w:rsid w:val="00186519"/>
    <w:pPr>
      <w:spacing w:after="60"/>
    </w:pPr>
  </w:style>
  <w:style w:type="paragraph" w:customStyle="1" w:styleId="IPPHdg1Num">
    <w:name w:val="IPP Hdg1Num"/>
    <w:basedOn w:val="IPPHeading1"/>
    <w:next w:val="IPPNormal"/>
    <w:qFormat/>
    <w:rsid w:val="00186519"/>
    <w:pPr>
      <w:numPr>
        <w:numId w:val="9"/>
      </w:numPr>
    </w:pPr>
  </w:style>
  <w:style w:type="paragraph" w:customStyle="1" w:styleId="IPPHdg2Num">
    <w:name w:val="IPP Hdg2Num"/>
    <w:basedOn w:val="IPPHeading2"/>
    <w:next w:val="IPPNormal"/>
    <w:qFormat/>
    <w:rsid w:val="00186519"/>
    <w:pPr>
      <w:numPr>
        <w:ilvl w:val="1"/>
        <w:numId w:val="22"/>
      </w:numPr>
    </w:pPr>
  </w:style>
  <w:style w:type="character" w:styleId="Strong">
    <w:name w:val="Strong"/>
    <w:basedOn w:val="DefaultParagraphFont"/>
    <w:uiPriority w:val="22"/>
    <w:qFormat/>
    <w:rsid w:val="00186519"/>
    <w:rPr>
      <w:b/>
      <w:bCs/>
    </w:rPr>
  </w:style>
  <w:style w:type="paragraph" w:customStyle="1" w:styleId="IPPParagraphnumberingclose">
    <w:name w:val="IPP Paragraph numbering close"/>
    <w:basedOn w:val="IPPParagraphnumbering"/>
    <w:qFormat/>
    <w:rsid w:val="00186519"/>
    <w:pPr>
      <w:keepNext/>
      <w:spacing w:after="60"/>
    </w:pPr>
  </w:style>
  <w:style w:type="paragraph" w:customStyle="1" w:styleId="IPPNumberedListLast">
    <w:name w:val="IPP NumberedListLast"/>
    <w:basedOn w:val="IPPNumberedList"/>
    <w:qFormat/>
    <w:rsid w:val="00186519"/>
    <w:pPr>
      <w:spacing w:after="180"/>
    </w:pPr>
  </w:style>
  <w:style w:type="character" w:styleId="Hyperlink">
    <w:name w:val="Hyperlink"/>
    <w:basedOn w:val="DefaultParagraphFont"/>
    <w:uiPriority w:val="99"/>
    <w:unhideWhenUsed/>
    <w:rsid w:val="00C16124"/>
    <w:rPr>
      <w:color w:val="0000FF" w:themeColor="hyperlink"/>
      <w:u w:val="single"/>
    </w:rPr>
  </w:style>
  <w:style w:type="character" w:styleId="CommentReference">
    <w:name w:val="annotation reference"/>
    <w:basedOn w:val="DefaultParagraphFont"/>
    <w:uiPriority w:val="99"/>
    <w:semiHidden/>
    <w:unhideWhenUsed/>
    <w:rsid w:val="00E27073"/>
    <w:rPr>
      <w:sz w:val="16"/>
      <w:szCs w:val="16"/>
    </w:rPr>
  </w:style>
  <w:style w:type="paragraph" w:styleId="CommentText">
    <w:name w:val="annotation text"/>
    <w:basedOn w:val="Normal"/>
    <w:link w:val="CommentTextChar"/>
    <w:uiPriority w:val="99"/>
    <w:unhideWhenUsed/>
    <w:rsid w:val="00E27073"/>
    <w:rPr>
      <w:sz w:val="20"/>
      <w:szCs w:val="20"/>
    </w:rPr>
  </w:style>
  <w:style w:type="character" w:customStyle="1" w:styleId="CommentTextChar">
    <w:name w:val="Comment Text Char"/>
    <w:basedOn w:val="DefaultParagraphFont"/>
    <w:link w:val="CommentText"/>
    <w:uiPriority w:val="99"/>
    <w:rsid w:val="00E27073"/>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27073"/>
    <w:rPr>
      <w:b/>
      <w:bCs/>
    </w:rPr>
  </w:style>
  <w:style w:type="character" w:customStyle="1" w:styleId="CommentSubjectChar">
    <w:name w:val="Comment Subject Char"/>
    <w:basedOn w:val="CommentTextChar"/>
    <w:link w:val="CommentSubject"/>
    <w:uiPriority w:val="99"/>
    <w:semiHidden/>
    <w:rsid w:val="00E27073"/>
    <w:rPr>
      <w:rFonts w:ascii="Times New Roman" w:eastAsia="MS Mincho" w:hAnsi="Times New Roman" w:cs="Times New Roman"/>
      <w:b/>
      <w:bCs/>
      <w:sz w:val="20"/>
      <w:szCs w:val="20"/>
      <w:lang w:val="en-GB"/>
    </w:rPr>
  </w:style>
  <w:style w:type="paragraph" w:customStyle="1" w:styleId="Default">
    <w:name w:val="Default"/>
    <w:rsid w:val="00B774EC"/>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IPPNormalChar">
    <w:name w:val="IPP Normal Char"/>
    <w:link w:val="IPPNormal"/>
    <w:rsid w:val="0012294A"/>
    <w:rPr>
      <w:rFonts w:ascii="Times New Roman" w:eastAsia="Times" w:hAnsi="Times New Roman" w:cs="Times New Roman"/>
      <w:szCs w:val="24"/>
      <w:lang w:val="en-GB"/>
    </w:rPr>
  </w:style>
  <w:style w:type="paragraph" w:customStyle="1" w:styleId="NewPara">
    <w:name w:val="NewPara"/>
    <w:basedOn w:val="ListParagraph"/>
    <w:link w:val="NewParaChar"/>
    <w:qFormat/>
    <w:rsid w:val="00564804"/>
    <w:pPr>
      <w:numPr>
        <w:numId w:val="11"/>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564804"/>
    <w:rPr>
      <w:rFonts w:ascii="Times New Roman" w:hAnsi="Times New Roman" w:cs="Akhbar MT"/>
      <w:szCs w:val="30"/>
      <w:lang w:val="en-GB"/>
    </w:rPr>
  </w:style>
  <w:style w:type="character" w:styleId="Emphasis">
    <w:name w:val="Emphasis"/>
    <w:basedOn w:val="DefaultParagraphFont"/>
    <w:qFormat/>
    <w:rsid w:val="0096615A"/>
    <w:rPr>
      <w:i/>
      <w:iCs/>
    </w:rPr>
  </w:style>
  <w:style w:type="paragraph" w:customStyle="1" w:styleId="IPSBullet1Last">
    <w:name w:val="IPS Bullet 1 Last"/>
    <w:basedOn w:val="Normal"/>
    <w:qFormat/>
    <w:rsid w:val="006C4BB1"/>
    <w:pPr>
      <w:numPr>
        <w:numId w:val="12"/>
      </w:numPr>
      <w:spacing w:after="180"/>
    </w:pPr>
    <w:rPr>
      <w:rFonts w:ascii="Arial" w:eastAsia="Times New Roman" w:hAnsi="Arial" w:cs="Arial"/>
      <w:szCs w:val="20"/>
      <w:lang w:val="en-US"/>
    </w:rPr>
  </w:style>
  <w:style w:type="paragraph" w:customStyle="1" w:styleId="IPSBullet2Last">
    <w:name w:val="IPS Bullet 2 Last"/>
    <w:basedOn w:val="Normal"/>
    <w:qFormat/>
    <w:rsid w:val="006C4BB1"/>
    <w:pPr>
      <w:numPr>
        <w:ilvl w:val="1"/>
        <w:numId w:val="12"/>
      </w:numPr>
      <w:spacing w:after="180"/>
    </w:pPr>
    <w:rPr>
      <w:rFonts w:ascii="Arial" w:eastAsia="Times New Roman" w:hAnsi="Arial"/>
      <w:szCs w:val="20"/>
      <w:lang w:val="en-US"/>
    </w:rPr>
  </w:style>
  <w:style w:type="paragraph" w:styleId="NormalWeb">
    <w:name w:val="Normal (Web)"/>
    <w:basedOn w:val="Normal"/>
    <w:uiPriority w:val="99"/>
    <w:semiHidden/>
    <w:unhideWhenUsed/>
    <w:rsid w:val="002C1CFE"/>
    <w:pPr>
      <w:spacing w:before="100" w:beforeAutospacing="1" w:after="100" w:afterAutospacing="1"/>
      <w:jc w:val="left"/>
    </w:pPr>
    <w:rPr>
      <w:rFonts w:eastAsiaTheme="minorEastAsia"/>
      <w:sz w:val="24"/>
      <w:lang w:val="en-US"/>
    </w:rPr>
  </w:style>
  <w:style w:type="paragraph" w:styleId="Revision">
    <w:name w:val="Revision"/>
    <w:hidden/>
    <w:uiPriority w:val="99"/>
    <w:semiHidden/>
    <w:rsid w:val="00482929"/>
    <w:pPr>
      <w:spacing w:after="0" w:line="240" w:lineRule="auto"/>
    </w:pPr>
    <w:rPr>
      <w:rFonts w:ascii="Times New Roman" w:eastAsia="MS Mincho" w:hAnsi="Times New Roman" w:cs="Times New Roman"/>
      <w:szCs w:val="24"/>
      <w:lang w:val="en-GB"/>
    </w:rPr>
  </w:style>
  <w:style w:type="character" w:styleId="FollowedHyperlink">
    <w:name w:val="FollowedHyperlink"/>
    <w:basedOn w:val="DefaultParagraphFont"/>
    <w:uiPriority w:val="99"/>
    <w:semiHidden/>
    <w:unhideWhenUsed/>
    <w:rsid w:val="006B7EB4"/>
    <w:rPr>
      <w:color w:val="800080" w:themeColor="followedHyperlink"/>
      <w:u w:val="single"/>
    </w:rPr>
  </w:style>
  <w:style w:type="paragraph" w:styleId="ListBullet">
    <w:name w:val="List Bullet"/>
    <w:basedOn w:val="Normal"/>
    <w:uiPriority w:val="99"/>
    <w:unhideWhenUsed/>
    <w:rsid w:val="0021646E"/>
    <w:pPr>
      <w:numPr>
        <w:numId w:val="10"/>
      </w:numPr>
      <w:contextualSpacing/>
    </w:pPr>
  </w:style>
  <w:style w:type="paragraph" w:customStyle="1" w:styleId="PleaseReviewReport">
    <w:name w:val="PleaseReview_Report"/>
    <w:rsid w:val="00FE60B9"/>
    <w:pPr>
      <w:spacing w:before="5" w:after="5" w:line="259" w:lineRule="auto"/>
    </w:pPr>
    <w:rPr>
      <w:rFonts w:ascii="Verdana" w:eastAsia="SimSun" w:hAnsi="Verdana" w:cs="Verdana"/>
      <w:noProof/>
      <w:sz w:val="16"/>
      <w:szCs w:val="16"/>
      <w:lang w:val="en-GB"/>
    </w:rPr>
  </w:style>
  <w:style w:type="character" w:customStyle="1" w:styleId="normaltextrun">
    <w:name w:val="normaltextrun"/>
    <w:basedOn w:val="DefaultParagraphFont"/>
    <w:rsid w:val="003A2C81"/>
  </w:style>
  <w:style w:type="character" w:customStyle="1" w:styleId="eop">
    <w:name w:val="eop"/>
    <w:basedOn w:val="DefaultParagraphFont"/>
    <w:rsid w:val="003A2C81"/>
  </w:style>
  <w:style w:type="paragraph" w:customStyle="1" w:styleId="IPPFootnoteRed">
    <w:name w:val="IPP Footnote Red"/>
    <w:basedOn w:val="IPPFootnote"/>
    <w:link w:val="IPPFootnoteRedChar"/>
    <w:qFormat/>
    <w:rsid w:val="00A80248"/>
    <w:rPr>
      <w:b/>
      <w:bCs/>
      <w:color w:val="FF0000"/>
      <w:sz w:val="22"/>
      <w:vertAlign w:val="superscript"/>
    </w:rPr>
  </w:style>
  <w:style w:type="character" w:customStyle="1" w:styleId="IPPFootnoteRedChar">
    <w:name w:val="IPP Footnote Red Char"/>
    <w:link w:val="IPPFootnoteRed"/>
    <w:rsid w:val="00A80248"/>
    <w:rPr>
      <w:rFonts w:ascii="Times New Roman" w:eastAsia="Times New Roman" w:hAnsi="Times New Roman" w:cs="Times New Roman"/>
      <w:b/>
      <w:bCs/>
      <w:color w:val="FF0000"/>
      <w:szCs w:val="24"/>
      <w:vertAlign w:val="superscript"/>
      <w:lang w:val="en-GB"/>
    </w:rPr>
  </w:style>
  <w:style w:type="character" w:customStyle="1" w:styleId="IPPHeading1Char">
    <w:name w:val="IPP Heading1 Char"/>
    <w:link w:val="IPPHeading1"/>
    <w:rsid w:val="00A80248"/>
    <w:rPr>
      <w:rFonts w:ascii="Times New Roman" w:eastAsia="Times" w:hAnsi="Times New Roman" w:cs="Times New Roman"/>
      <w:b/>
      <w:sz w:val="24"/>
      <w:lang w:val="en-GB"/>
    </w:rPr>
  </w:style>
  <w:style w:type="character" w:customStyle="1" w:styleId="IPPBullet1LastChar">
    <w:name w:val="IPP Bullet1Last Char"/>
    <w:link w:val="IPPBullet1Last"/>
    <w:rsid w:val="00A80248"/>
    <w:rPr>
      <w:rFonts w:ascii="Times New Roman" w:eastAsia="Times" w:hAnsi="Times New Roman" w:cs="Times New Roman"/>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094EEF"/>
    <w:pPr>
      <w:spacing w:after="160" w:line="240" w:lineRule="exact"/>
    </w:pPr>
    <w:rPr>
      <w:rFonts w:asciiTheme="minorHAnsi" w:eastAsiaTheme="minorHAnsi" w:hAnsiTheme="minorHAnsi" w:cstheme="minorBidi"/>
      <w:szCs w:val="22"/>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3592">
      <w:bodyDiv w:val="1"/>
      <w:marLeft w:val="0"/>
      <w:marRight w:val="0"/>
      <w:marTop w:val="0"/>
      <w:marBottom w:val="0"/>
      <w:divBdr>
        <w:top w:val="none" w:sz="0" w:space="0" w:color="auto"/>
        <w:left w:val="none" w:sz="0" w:space="0" w:color="auto"/>
        <w:bottom w:val="none" w:sz="0" w:space="0" w:color="auto"/>
        <w:right w:val="none" w:sz="0" w:space="0" w:color="auto"/>
      </w:divBdr>
    </w:div>
    <w:div w:id="62653875">
      <w:bodyDiv w:val="1"/>
      <w:marLeft w:val="0"/>
      <w:marRight w:val="0"/>
      <w:marTop w:val="0"/>
      <w:marBottom w:val="0"/>
      <w:divBdr>
        <w:top w:val="none" w:sz="0" w:space="0" w:color="auto"/>
        <w:left w:val="none" w:sz="0" w:space="0" w:color="auto"/>
        <w:bottom w:val="none" w:sz="0" w:space="0" w:color="auto"/>
        <w:right w:val="none" w:sz="0" w:space="0" w:color="auto"/>
      </w:divBdr>
      <w:divsChild>
        <w:div w:id="2134245653">
          <w:marLeft w:val="0"/>
          <w:marRight w:val="0"/>
          <w:marTop w:val="0"/>
          <w:marBottom w:val="0"/>
          <w:divBdr>
            <w:top w:val="none" w:sz="0" w:space="0" w:color="auto"/>
            <w:left w:val="none" w:sz="0" w:space="0" w:color="auto"/>
            <w:bottom w:val="none" w:sz="0" w:space="0" w:color="auto"/>
            <w:right w:val="none" w:sz="0" w:space="0" w:color="auto"/>
          </w:divBdr>
          <w:divsChild>
            <w:div w:id="478810110">
              <w:marLeft w:val="0"/>
              <w:marRight w:val="0"/>
              <w:marTop w:val="0"/>
              <w:marBottom w:val="0"/>
              <w:divBdr>
                <w:top w:val="none" w:sz="0" w:space="0" w:color="auto"/>
                <w:left w:val="none" w:sz="0" w:space="0" w:color="auto"/>
                <w:bottom w:val="none" w:sz="0" w:space="0" w:color="auto"/>
                <w:right w:val="none" w:sz="0" w:space="0" w:color="auto"/>
              </w:divBdr>
            </w:div>
          </w:divsChild>
        </w:div>
        <w:div w:id="295648896">
          <w:marLeft w:val="0"/>
          <w:marRight w:val="0"/>
          <w:marTop w:val="0"/>
          <w:marBottom w:val="0"/>
          <w:divBdr>
            <w:top w:val="none" w:sz="0" w:space="0" w:color="auto"/>
            <w:left w:val="none" w:sz="0" w:space="0" w:color="auto"/>
            <w:bottom w:val="none" w:sz="0" w:space="0" w:color="auto"/>
            <w:right w:val="none" w:sz="0" w:space="0" w:color="auto"/>
          </w:divBdr>
          <w:divsChild>
            <w:div w:id="473715181">
              <w:marLeft w:val="0"/>
              <w:marRight w:val="0"/>
              <w:marTop w:val="0"/>
              <w:marBottom w:val="0"/>
              <w:divBdr>
                <w:top w:val="none" w:sz="0" w:space="0" w:color="auto"/>
                <w:left w:val="none" w:sz="0" w:space="0" w:color="auto"/>
                <w:bottom w:val="none" w:sz="0" w:space="0" w:color="auto"/>
                <w:right w:val="none" w:sz="0" w:space="0" w:color="auto"/>
              </w:divBdr>
            </w:div>
          </w:divsChild>
        </w:div>
        <w:div w:id="1722290861">
          <w:marLeft w:val="0"/>
          <w:marRight w:val="0"/>
          <w:marTop w:val="0"/>
          <w:marBottom w:val="0"/>
          <w:divBdr>
            <w:top w:val="none" w:sz="0" w:space="0" w:color="auto"/>
            <w:left w:val="none" w:sz="0" w:space="0" w:color="auto"/>
            <w:bottom w:val="none" w:sz="0" w:space="0" w:color="auto"/>
            <w:right w:val="none" w:sz="0" w:space="0" w:color="auto"/>
          </w:divBdr>
          <w:divsChild>
            <w:div w:id="1009912922">
              <w:marLeft w:val="0"/>
              <w:marRight w:val="0"/>
              <w:marTop w:val="0"/>
              <w:marBottom w:val="0"/>
              <w:divBdr>
                <w:top w:val="none" w:sz="0" w:space="0" w:color="auto"/>
                <w:left w:val="none" w:sz="0" w:space="0" w:color="auto"/>
                <w:bottom w:val="none" w:sz="0" w:space="0" w:color="auto"/>
                <w:right w:val="none" w:sz="0" w:space="0" w:color="auto"/>
              </w:divBdr>
            </w:div>
          </w:divsChild>
        </w:div>
        <w:div w:id="1454905554">
          <w:marLeft w:val="0"/>
          <w:marRight w:val="0"/>
          <w:marTop w:val="0"/>
          <w:marBottom w:val="0"/>
          <w:divBdr>
            <w:top w:val="none" w:sz="0" w:space="0" w:color="auto"/>
            <w:left w:val="none" w:sz="0" w:space="0" w:color="auto"/>
            <w:bottom w:val="none" w:sz="0" w:space="0" w:color="auto"/>
            <w:right w:val="none" w:sz="0" w:space="0" w:color="auto"/>
          </w:divBdr>
          <w:divsChild>
            <w:div w:id="266162277">
              <w:marLeft w:val="0"/>
              <w:marRight w:val="0"/>
              <w:marTop w:val="0"/>
              <w:marBottom w:val="0"/>
              <w:divBdr>
                <w:top w:val="none" w:sz="0" w:space="0" w:color="auto"/>
                <w:left w:val="none" w:sz="0" w:space="0" w:color="auto"/>
                <w:bottom w:val="none" w:sz="0" w:space="0" w:color="auto"/>
                <w:right w:val="none" w:sz="0" w:space="0" w:color="auto"/>
              </w:divBdr>
            </w:div>
          </w:divsChild>
        </w:div>
        <w:div w:id="621814217">
          <w:marLeft w:val="0"/>
          <w:marRight w:val="0"/>
          <w:marTop w:val="0"/>
          <w:marBottom w:val="0"/>
          <w:divBdr>
            <w:top w:val="none" w:sz="0" w:space="0" w:color="auto"/>
            <w:left w:val="none" w:sz="0" w:space="0" w:color="auto"/>
            <w:bottom w:val="none" w:sz="0" w:space="0" w:color="auto"/>
            <w:right w:val="none" w:sz="0" w:space="0" w:color="auto"/>
          </w:divBdr>
          <w:divsChild>
            <w:div w:id="1266770201">
              <w:marLeft w:val="0"/>
              <w:marRight w:val="0"/>
              <w:marTop w:val="0"/>
              <w:marBottom w:val="0"/>
              <w:divBdr>
                <w:top w:val="none" w:sz="0" w:space="0" w:color="auto"/>
                <w:left w:val="none" w:sz="0" w:space="0" w:color="auto"/>
                <w:bottom w:val="none" w:sz="0" w:space="0" w:color="auto"/>
                <w:right w:val="none" w:sz="0" w:space="0" w:color="auto"/>
              </w:divBdr>
            </w:div>
          </w:divsChild>
        </w:div>
        <w:div w:id="805701459">
          <w:marLeft w:val="0"/>
          <w:marRight w:val="0"/>
          <w:marTop w:val="0"/>
          <w:marBottom w:val="0"/>
          <w:divBdr>
            <w:top w:val="none" w:sz="0" w:space="0" w:color="auto"/>
            <w:left w:val="none" w:sz="0" w:space="0" w:color="auto"/>
            <w:bottom w:val="none" w:sz="0" w:space="0" w:color="auto"/>
            <w:right w:val="none" w:sz="0" w:space="0" w:color="auto"/>
          </w:divBdr>
          <w:divsChild>
            <w:div w:id="800004573">
              <w:marLeft w:val="0"/>
              <w:marRight w:val="0"/>
              <w:marTop w:val="0"/>
              <w:marBottom w:val="0"/>
              <w:divBdr>
                <w:top w:val="none" w:sz="0" w:space="0" w:color="auto"/>
                <w:left w:val="none" w:sz="0" w:space="0" w:color="auto"/>
                <w:bottom w:val="none" w:sz="0" w:space="0" w:color="auto"/>
                <w:right w:val="none" w:sz="0" w:space="0" w:color="auto"/>
              </w:divBdr>
            </w:div>
          </w:divsChild>
        </w:div>
        <w:div w:id="828718749">
          <w:marLeft w:val="0"/>
          <w:marRight w:val="0"/>
          <w:marTop w:val="0"/>
          <w:marBottom w:val="0"/>
          <w:divBdr>
            <w:top w:val="none" w:sz="0" w:space="0" w:color="auto"/>
            <w:left w:val="none" w:sz="0" w:space="0" w:color="auto"/>
            <w:bottom w:val="none" w:sz="0" w:space="0" w:color="auto"/>
            <w:right w:val="none" w:sz="0" w:space="0" w:color="auto"/>
          </w:divBdr>
          <w:divsChild>
            <w:div w:id="1935937840">
              <w:marLeft w:val="0"/>
              <w:marRight w:val="0"/>
              <w:marTop w:val="0"/>
              <w:marBottom w:val="0"/>
              <w:divBdr>
                <w:top w:val="none" w:sz="0" w:space="0" w:color="auto"/>
                <w:left w:val="none" w:sz="0" w:space="0" w:color="auto"/>
                <w:bottom w:val="none" w:sz="0" w:space="0" w:color="auto"/>
                <w:right w:val="none" w:sz="0" w:space="0" w:color="auto"/>
              </w:divBdr>
            </w:div>
            <w:div w:id="1971983072">
              <w:marLeft w:val="0"/>
              <w:marRight w:val="0"/>
              <w:marTop w:val="0"/>
              <w:marBottom w:val="0"/>
              <w:divBdr>
                <w:top w:val="none" w:sz="0" w:space="0" w:color="auto"/>
                <w:left w:val="none" w:sz="0" w:space="0" w:color="auto"/>
                <w:bottom w:val="none" w:sz="0" w:space="0" w:color="auto"/>
                <w:right w:val="none" w:sz="0" w:space="0" w:color="auto"/>
              </w:divBdr>
            </w:div>
            <w:div w:id="477915612">
              <w:marLeft w:val="0"/>
              <w:marRight w:val="0"/>
              <w:marTop w:val="0"/>
              <w:marBottom w:val="0"/>
              <w:divBdr>
                <w:top w:val="none" w:sz="0" w:space="0" w:color="auto"/>
                <w:left w:val="none" w:sz="0" w:space="0" w:color="auto"/>
                <w:bottom w:val="none" w:sz="0" w:space="0" w:color="auto"/>
                <w:right w:val="none" w:sz="0" w:space="0" w:color="auto"/>
              </w:divBdr>
            </w:div>
          </w:divsChild>
        </w:div>
        <w:div w:id="677737333">
          <w:marLeft w:val="0"/>
          <w:marRight w:val="0"/>
          <w:marTop w:val="0"/>
          <w:marBottom w:val="0"/>
          <w:divBdr>
            <w:top w:val="none" w:sz="0" w:space="0" w:color="auto"/>
            <w:left w:val="none" w:sz="0" w:space="0" w:color="auto"/>
            <w:bottom w:val="none" w:sz="0" w:space="0" w:color="auto"/>
            <w:right w:val="none" w:sz="0" w:space="0" w:color="auto"/>
          </w:divBdr>
          <w:divsChild>
            <w:div w:id="740252558">
              <w:marLeft w:val="0"/>
              <w:marRight w:val="0"/>
              <w:marTop w:val="0"/>
              <w:marBottom w:val="0"/>
              <w:divBdr>
                <w:top w:val="none" w:sz="0" w:space="0" w:color="auto"/>
                <w:left w:val="none" w:sz="0" w:space="0" w:color="auto"/>
                <w:bottom w:val="none" w:sz="0" w:space="0" w:color="auto"/>
                <w:right w:val="none" w:sz="0" w:space="0" w:color="auto"/>
              </w:divBdr>
            </w:div>
            <w:div w:id="2069955772">
              <w:marLeft w:val="0"/>
              <w:marRight w:val="0"/>
              <w:marTop w:val="0"/>
              <w:marBottom w:val="0"/>
              <w:divBdr>
                <w:top w:val="none" w:sz="0" w:space="0" w:color="auto"/>
                <w:left w:val="none" w:sz="0" w:space="0" w:color="auto"/>
                <w:bottom w:val="none" w:sz="0" w:space="0" w:color="auto"/>
                <w:right w:val="none" w:sz="0" w:space="0" w:color="auto"/>
              </w:divBdr>
            </w:div>
          </w:divsChild>
        </w:div>
        <w:div w:id="1641112069">
          <w:marLeft w:val="0"/>
          <w:marRight w:val="0"/>
          <w:marTop w:val="0"/>
          <w:marBottom w:val="0"/>
          <w:divBdr>
            <w:top w:val="none" w:sz="0" w:space="0" w:color="auto"/>
            <w:left w:val="none" w:sz="0" w:space="0" w:color="auto"/>
            <w:bottom w:val="none" w:sz="0" w:space="0" w:color="auto"/>
            <w:right w:val="none" w:sz="0" w:space="0" w:color="auto"/>
          </w:divBdr>
          <w:divsChild>
            <w:div w:id="16929867">
              <w:marLeft w:val="0"/>
              <w:marRight w:val="0"/>
              <w:marTop w:val="0"/>
              <w:marBottom w:val="0"/>
              <w:divBdr>
                <w:top w:val="none" w:sz="0" w:space="0" w:color="auto"/>
                <w:left w:val="none" w:sz="0" w:space="0" w:color="auto"/>
                <w:bottom w:val="none" w:sz="0" w:space="0" w:color="auto"/>
                <w:right w:val="none" w:sz="0" w:space="0" w:color="auto"/>
              </w:divBdr>
            </w:div>
          </w:divsChild>
        </w:div>
        <w:div w:id="571547145">
          <w:marLeft w:val="0"/>
          <w:marRight w:val="0"/>
          <w:marTop w:val="0"/>
          <w:marBottom w:val="0"/>
          <w:divBdr>
            <w:top w:val="none" w:sz="0" w:space="0" w:color="auto"/>
            <w:left w:val="none" w:sz="0" w:space="0" w:color="auto"/>
            <w:bottom w:val="none" w:sz="0" w:space="0" w:color="auto"/>
            <w:right w:val="none" w:sz="0" w:space="0" w:color="auto"/>
          </w:divBdr>
          <w:divsChild>
            <w:div w:id="250704748">
              <w:marLeft w:val="0"/>
              <w:marRight w:val="0"/>
              <w:marTop w:val="0"/>
              <w:marBottom w:val="0"/>
              <w:divBdr>
                <w:top w:val="none" w:sz="0" w:space="0" w:color="auto"/>
                <w:left w:val="none" w:sz="0" w:space="0" w:color="auto"/>
                <w:bottom w:val="none" w:sz="0" w:space="0" w:color="auto"/>
                <w:right w:val="none" w:sz="0" w:space="0" w:color="auto"/>
              </w:divBdr>
            </w:div>
          </w:divsChild>
        </w:div>
        <w:div w:id="485124247">
          <w:marLeft w:val="0"/>
          <w:marRight w:val="0"/>
          <w:marTop w:val="0"/>
          <w:marBottom w:val="0"/>
          <w:divBdr>
            <w:top w:val="none" w:sz="0" w:space="0" w:color="auto"/>
            <w:left w:val="none" w:sz="0" w:space="0" w:color="auto"/>
            <w:bottom w:val="none" w:sz="0" w:space="0" w:color="auto"/>
            <w:right w:val="none" w:sz="0" w:space="0" w:color="auto"/>
          </w:divBdr>
          <w:divsChild>
            <w:div w:id="1316564252">
              <w:marLeft w:val="0"/>
              <w:marRight w:val="0"/>
              <w:marTop w:val="0"/>
              <w:marBottom w:val="0"/>
              <w:divBdr>
                <w:top w:val="none" w:sz="0" w:space="0" w:color="auto"/>
                <w:left w:val="none" w:sz="0" w:space="0" w:color="auto"/>
                <w:bottom w:val="none" w:sz="0" w:space="0" w:color="auto"/>
                <w:right w:val="none" w:sz="0" w:space="0" w:color="auto"/>
              </w:divBdr>
            </w:div>
          </w:divsChild>
        </w:div>
        <w:div w:id="1405953456">
          <w:marLeft w:val="0"/>
          <w:marRight w:val="0"/>
          <w:marTop w:val="0"/>
          <w:marBottom w:val="0"/>
          <w:divBdr>
            <w:top w:val="none" w:sz="0" w:space="0" w:color="auto"/>
            <w:left w:val="none" w:sz="0" w:space="0" w:color="auto"/>
            <w:bottom w:val="none" w:sz="0" w:space="0" w:color="auto"/>
            <w:right w:val="none" w:sz="0" w:space="0" w:color="auto"/>
          </w:divBdr>
          <w:divsChild>
            <w:div w:id="91898611">
              <w:marLeft w:val="0"/>
              <w:marRight w:val="0"/>
              <w:marTop w:val="0"/>
              <w:marBottom w:val="0"/>
              <w:divBdr>
                <w:top w:val="none" w:sz="0" w:space="0" w:color="auto"/>
                <w:left w:val="none" w:sz="0" w:space="0" w:color="auto"/>
                <w:bottom w:val="none" w:sz="0" w:space="0" w:color="auto"/>
                <w:right w:val="none" w:sz="0" w:space="0" w:color="auto"/>
              </w:divBdr>
            </w:div>
            <w:div w:id="2124492982">
              <w:marLeft w:val="0"/>
              <w:marRight w:val="0"/>
              <w:marTop w:val="0"/>
              <w:marBottom w:val="0"/>
              <w:divBdr>
                <w:top w:val="none" w:sz="0" w:space="0" w:color="auto"/>
                <w:left w:val="none" w:sz="0" w:space="0" w:color="auto"/>
                <w:bottom w:val="none" w:sz="0" w:space="0" w:color="auto"/>
                <w:right w:val="none" w:sz="0" w:space="0" w:color="auto"/>
              </w:divBdr>
            </w:div>
          </w:divsChild>
        </w:div>
        <w:div w:id="248541157">
          <w:marLeft w:val="0"/>
          <w:marRight w:val="0"/>
          <w:marTop w:val="0"/>
          <w:marBottom w:val="0"/>
          <w:divBdr>
            <w:top w:val="none" w:sz="0" w:space="0" w:color="auto"/>
            <w:left w:val="none" w:sz="0" w:space="0" w:color="auto"/>
            <w:bottom w:val="none" w:sz="0" w:space="0" w:color="auto"/>
            <w:right w:val="none" w:sz="0" w:space="0" w:color="auto"/>
          </w:divBdr>
          <w:divsChild>
            <w:div w:id="1554343081">
              <w:marLeft w:val="0"/>
              <w:marRight w:val="0"/>
              <w:marTop w:val="0"/>
              <w:marBottom w:val="0"/>
              <w:divBdr>
                <w:top w:val="none" w:sz="0" w:space="0" w:color="auto"/>
                <w:left w:val="none" w:sz="0" w:space="0" w:color="auto"/>
                <w:bottom w:val="none" w:sz="0" w:space="0" w:color="auto"/>
                <w:right w:val="none" w:sz="0" w:space="0" w:color="auto"/>
              </w:divBdr>
            </w:div>
            <w:div w:id="1576622186">
              <w:marLeft w:val="0"/>
              <w:marRight w:val="0"/>
              <w:marTop w:val="0"/>
              <w:marBottom w:val="0"/>
              <w:divBdr>
                <w:top w:val="none" w:sz="0" w:space="0" w:color="auto"/>
                <w:left w:val="none" w:sz="0" w:space="0" w:color="auto"/>
                <w:bottom w:val="none" w:sz="0" w:space="0" w:color="auto"/>
                <w:right w:val="none" w:sz="0" w:space="0" w:color="auto"/>
              </w:divBdr>
            </w:div>
          </w:divsChild>
        </w:div>
        <w:div w:id="771559220">
          <w:marLeft w:val="0"/>
          <w:marRight w:val="0"/>
          <w:marTop w:val="0"/>
          <w:marBottom w:val="0"/>
          <w:divBdr>
            <w:top w:val="none" w:sz="0" w:space="0" w:color="auto"/>
            <w:left w:val="none" w:sz="0" w:space="0" w:color="auto"/>
            <w:bottom w:val="none" w:sz="0" w:space="0" w:color="auto"/>
            <w:right w:val="none" w:sz="0" w:space="0" w:color="auto"/>
          </w:divBdr>
          <w:divsChild>
            <w:div w:id="1502234150">
              <w:marLeft w:val="0"/>
              <w:marRight w:val="0"/>
              <w:marTop w:val="0"/>
              <w:marBottom w:val="0"/>
              <w:divBdr>
                <w:top w:val="none" w:sz="0" w:space="0" w:color="auto"/>
                <w:left w:val="none" w:sz="0" w:space="0" w:color="auto"/>
                <w:bottom w:val="none" w:sz="0" w:space="0" w:color="auto"/>
                <w:right w:val="none" w:sz="0" w:space="0" w:color="auto"/>
              </w:divBdr>
            </w:div>
          </w:divsChild>
        </w:div>
        <w:div w:id="1268662993">
          <w:marLeft w:val="0"/>
          <w:marRight w:val="0"/>
          <w:marTop w:val="0"/>
          <w:marBottom w:val="0"/>
          <w:divBdr>
            <w:top w:val="none" w:sz="0" w:space="0" w:color="auto"/>
            <w:left w:val="none" w:sz="0" w:space="0" w:color="auto"/>
            <w:bottom w:val="none" w:sz="0" w:space="0" w:color="auto"/>
            <w:right w:val="none" w:sz="0" w:space="0" w:color="auto"/>
          </w:divBdr>
          <w:divsChild>
            <w:div w:id="977994013">
              <w:marLeft w:val="0"/>
              <w:marRight w:val="0"/>
              <w:marTop w:val="0"/>
              <w:marBottom w:val="0"/>
              <w:divBdr>
                <w:top w:val="none" w:sz="0" w:space="0" w:color="auto"/>
                <w:left w:val="none" w:sz="0" w:space="0" w:color="auto"/>
                <w:bottom w:val="none" w:sz="0" w:space="0" w:color="auto"/>
                <w:right w:val="none" w:sz="0" w:space="0" w:color="auto"/>
              </w:divBdr>
            </w:div>
          </w:divsChild>
        </w:div>
        <w:div w:id="748120778">
          <w:marLeft w:val="0"/>
          <w:marRight w:val="0"/>
          <w:marTop w:val="0"/>
          <w:marBottom w:val="0"/>
          <w:divBdr>
            <w:top w:val="none" w:sz="0" w:space="0" w:color="auto"/>
            <w:left w:val="none" w:sz="0" w:space="0" w:color="auto"/>
            <w:bottom w:val="none" w:sz="0" w:space="0" w:color="auto"/>
            <w:right w:val="none" w:sz="0" w:space="0" w:color="auto"/>
          </w:divBdr>
          <w:divsChild>
            <w:div w:id="1909686262">
              <w:marLeft w:val="0"/>
              <w:marRight w:val="0"/>
              <w:marTop w:val="0"/>
              <w:marBottom w:val="0"/>
              <w:divBdr>
                <w:top w:val="none" w:sz="0" w:space="0" w:color="auto"/>
                <w:left w:val="none" w:sz="0" w:space="0" w:color="auto"/>
                <w:bottom w:val="none" w:sz="0" w:space="0" w:color="auto"/>
                <w:right w:val="none" w:sz="0" w:space="0" w:color="auto"/>
              </w:divBdr>
            </w:div>
          </w:divsChild>
        </w:div>
        <w:div w:id="753430058">
          <w:marLeft w:val="0"/>
          <w:marRight w:val="0"/>
          <w:marTop w:val="0"/>
          <w:marBottom w:val="0"/>
          <w:divBdr>
            <w:top w:val="none" w:sz="0" w:space="0" w:color="auto"/>
            <w:left w:val="none" w:sz="0" w:space="0" w:color="auto"/>
            <w:bottom w:val="none" w:sz="0" w:space="0" w:color="auto"/>
            <w:right w:val="none" w:sz="0" w:space="0" w:color="auto"/>
          </w:divBdr>
          <w:divsChild>
            <w:div w:id="1553887301">
              <w:marLeft w:val="0"/>
              <w:marRight w:val="0"/>
              <w:marTop w:val="0"/>
              <w:marBottom w:val="0"/>
              <w:divBdr>
                <w:top w:val="none" w:sz="0" w:space="0" w:color="auto"/>
                <w:left w:val="none" w:sz="0" w:space="0" w:color="auto"/>
                <w:bottom w:val="none" w:sz="0" w:space="0" w:color="auto"/>
                <w:right w:val="none" w:sz="0" w:space="0" w:color="auto"/>
              </w:divBdr>
            </w:div>
            <w:div w:id="607198954">
              <w:marLeft w:val="0"/>
              <w:marRight w:val="0"/>
              <w:marTop w:val="0"/>
              <w:marBottom w:val="0"/>
              <w:divBdr>
                <w:top w:val="none" w:sz="0" w:space="0" w:color="auto"/>
                <w:left w:val="none" w:sz="0" w:space="0" w:color="auto"/>
                <w:bottom w:val="none" w:sz="0" w:space="0" w:color="auto"/>
                <w:right w:val="none" w:sz="0" w:space="0" w:color="auto"/>
              </w:divBdr>
            </w:div>
            <w:div w:id="79257234">
              <w:marLeft w:val="0"/>
              <w:marRight w:val="0"/>
              <w:marTop w:val="0"/>
              <w:marBottom w:val="0"/>
              <w:divBdr>
                <w:top w:val="none" w:sz="0" w:space="0" w:color="auto"/>
                <w:left w:val="none" w:sz="0" w:space="0" w:color="auto"/>
                <w:bottom w:val="none" w:sz="0" w:space="0" w:color="auto"/>
                <w:right w:val="none" w:sz="0" w:space="0" w:color="auto"/>
              </w:divBdr>
            </w:div>
          </w:divsChild>
        </w:div>
        <w:div w:id="1646357016">
          <w:marLeft w:val="0"/>
          <w:marRight w:val="0"/>
          <w:marTop w:val="0"/>
          <w:marBottom w:val="0"/>
          <w:divBdr>
            <w:top w:val="none" w:sz="0" w:space="0" w:color="auto"/>
            <w:left w:val="none" w:sz="0" w:space="0" w:color="auto"/>
            <w:bottom w:val="none" w:sz="0" w:space="0" w:color="auto"/>
            <w:right w:val="none" w:sz="0" w:space="0" w:color="auto"/>
          </w:divBdr>
          <w:divsChild>
            <w:div w:id="1780023630">
              <w:marLeft w:val="0"/>
              <w:marRight w:val="0"/>
              <w:marTop w:val="0"/>
              <w:marBottom w:val="0"/>
              <w:divBdr>
                <w:top w:val="none" w:sz="0" w:space="0" w:color="auto"/>
                <w:left w:val="none" w:sz="0" w:space="0" w:color="auto"/>
                <w:bottom w:val="none" w:sz="0" w:space="0" w:color="auto"/>
                <w:right w:val="none" w:sz="0" w:space="0" w:color="auto"/>
              </w:divBdr>
            </w:div>
            <w:div w:id="550504564">
              <w:marLeft w:val="0"/>
              <w:marRight w:val="0"/>
              <w:marTop w:val="0"/>
              <w:marBottom w:val="0"/>
              <w:divBdr>
                <w:top w:val="none" w:sz="0" w:space="0" w:color="auto"/>
                <w:left w:val="none" w:sz="0" w:space="0" w:color="auto"/>
                <w:bottom w:val="none" w:sz="0" w:space="0" w:color="auto"/>
                <w:right w:val="none" w:sz="0" w:space="0" w:color="auto"/>
              </w:divBdr>
            </w:div>
          </w:divsChild>
        </w:div>
        <w:div w:id="949238308">
          <w:marLeft w:val="0"/>
          <w:marRight w:val="0"/>
          <w:marTop w:val="0"/>
          <w:marBottom w:val="0"/>
          <w:divBdr>
            <w:top w:val="none" w:sz="0" w:space="0" w:color="auto"/>
            <w:left w:val="none" w:sz="0" w:space="0" w:color="auto"/>
            <w:bottom w:val="none" w:sz="0" w:space="0" w:color="auto"/>
            <w:right w:val="none" w:sz="0" w:space="0" w:color="auto"/>
          </w:divBdr>
          <w:divsChild>
            <w:div w:id="878787136">
              <w:marLeft w:val="0"/>
              <w:marRight w:val="0"/>
              <w:marTop w:val="0"/>
              <w:marBottom w:val="0"/>
              <w:divBdr>
                <w:top w:val="none" w:sz="0" w:space="0" w:color="auto"/>
                <w:left w:val="none" w:sz="0" w:space="0" w:color="auto"/>
                <w:bottom w:val="none" w:sz="0" w:space="0" w:color="auto"/>
                <w:right w:val="none" w:sz="0" w:space="0" w:color="auto"/>
              </w:divBdr>
            </w:div>
          </w:divsChild>
        </w:div>
        <w:div w:id="70590962">
          <w:marLeft w:val="0"/>
          <w:marRight w:val="0"/>
          <w:marTop w:val="0"/>
          <w:marBottom w:val="0"/>
          <w:divBdr>
            <w:top w:val="none" w:sz="0" w:space="0" w:color="auto"/>
            <w:left w:val="none" w:sz="0" w:space="0" w:color="auto"/>
            <w:bottom w:val="none" w:sz="0" w:space="0" w:color="auto"/>
            <w:right w:val="none" w:sz="0" w:space="0" w:color="auto"/>
          </w:divBdr>
          <w:divsChild>
            <w:div w:id="182138717">
              <w:marLeft w:val="0"/>
              <w:marRight w:val="0"/>
              <w:marTop w:val="0"/>
              <w:marBottom w:val="0"/>
              <w:divBdr>
                <w:top w:val="none" w:sz="0" w:space="0" w:color="auto"/>
                <w:left w:val="none" w:sz="0" w:space="0" w:color="auto"/>
                <w:bottom w:val="none" w:sz="0" w:space="0" w:color="auto"/>
                <w:right w:val="none" w:sz="0" w:space="0" w:color="auto"/>
              </w:divBdr>
            </w:div>
          </w:divsChild>
        </w:div>
        <w:div w:id="616567236">
          <w:marLeft w:val="0"/>
          <w:marRight w:val="0"/>
          <w:marTop w:val="0"/>
          <w:marBottom w:val="0"/>
          <w:divBdr>
            <w:top w:val="none" w:sz="0" w:space="0" w:color="auto"/>
            <w:left w:val="none" w:sz="0" w:space="0" w:color="auto"/>
            <w:bottom w:val="none" w:sz="0" w:space="0" w:color="auto"/>
            <w:right w:val="none" w:sz="0" w:space="0" w:color="auto"/>
          </w:divBdr>
          <w:divsChild>
            <w:div w:id="1519932331">
              <w:marLeft w:val="0"/>
              <w:marRight w:val="0"/>
              <w:marTop w:val="0"/>
              <w:marBottom w:val="0"/>
              <w:divBdr>
                <w:top w:val="none" w:sz="0" w:space="0" w:color="auto"/>
                <w:left w:val="none" w:sz="0" w:space="0" w:color="auto"/>
                <w:bottom w:val="none" w:sz="0" w:space="0" w:color="auto"/>
                <w:right w:val="none" w:sz="0" w:space="0" w:color="auto"/>
              </w:divBdr>
            </w:div>
            <w:div w:id="1942948445">
              <w:marLeft w:val="0"/>
              <w:marRight w:val="0"/>
              <w:marTop w:val="0"/>
              <w:marBottom w:val="0"/>
              <w:divBdr>
                <w:top w:val="none" w:sz="0" w:space="0" w:color="auto"/>
                <w:left w:val="none" w:sz="0" w:space="0" w:color="auto"/>
                <w:bottom w:val="none" w:sz="0" w:space="0" w:color="auto"/>
                <w:right w:val="none" w:sz="0" w:space="0" w:color="auto"/>
              </w:divBdr>
            </w:div>
          </w:divsChild>
        </w:div>
        <w:div w:id="1561398880">
          <w:marLeft w:val="0"/>
          <w:marRight w:val="0"/>
          <w:marTop w:val="0"/>
          <w:marBottom w:val="0"/>
          <w:divBdr>
            <w:top w:val="none" w:sz="0" w:space="0" w:color="auto"/>
            <w:left w:val="none" w:sz="0" w:space="0" w:color="auto"/>
            <w:bottom w:val="none" w:sz="0" w:space="0" w:color="auto"/>
            <w:right w:val="none" w:sz="0" w:space="0" w:color="auto"/>
          </w:divBdr>
          <w:divsChild>
            <w:div w:id="253168812">
              <w:marLeft w:val="0"/>
              <w:marRight w:val="0"/>
              <w:marTop w:val="0"/>
              <w:marBottom w:val="0"/>
              <w:divBdr>
                <w:top w:val="none" w:sz="0" w:space="0" w:color="auto"/>
                <w:left w:val="none" w:sz="0" w:space="0" w:color="auto"/>
                <w:bottom w:val="none" w:sz="0" w:space="0" w:color="auto"/>
                <w:right w:val="none" w:sz="0" w:space="0" w:color="auto"/>
              </w:divBdr>
            </w:div>
            <w:div w:id="1076132220">
              <w:marLeft w:val="0"/>
              <w:marRight w:val="0"/>
              <w:marTop w:val="0"/>
              <w:marBottom w:val="0"/>
              <w:divBdr>
                <w:top w:val="none" w:sz="0" w:space="0" w:color="auto"/>
                <w:left w:val="none" w:sz="0" w:space="0" w:color="auto"/>
                <w:bottom w:val="none" w:sz="0" w:space="0" w:color="auto"/>
                <w:right w:val="none" w:sz="0" w:space="0" w:color="auto"/>
              </w:divBdr>
            </w:div>
            <w:div w:id="972103159">
              <w:marLeft w:val="0"/>
              <w:marRight w:val="0"/>
              <w:marTop w:val="0"/>
              <w:marBottom w:val="0"/>
              <w:divBdr>
                <w:top w:val="none" w:sz="0" w:space="0" w:color="auto"/>
                <w:left w:val="none" w:sz="0" w:space="0" w:color="auto"/>
                <w:bottom w:val="none" w:sz="0" w:space="0" w:color="auto"/>
                <w:right w:val="none" w:sz="0" w:space="0" w:color="auto"/>
              </w:divBdr>
            </w:div>
            <w:div w:id="684288303">
              <w:marLeft w:val="0"/>
              <w:marRight w:val="0"/>
              <w:marTop w:val="0"/>
              <w:marBottom w:val="0"/>
              <w:divBdr>
                <w:top w:val="none" w:sz="0" w:space="0" w:color="auto"/>
                <w:left w:val="none" w:sz="0" w:space="0" w:color="auto"/>
                <w:bottom w:val="none" w:sz="0" w:space="0" w:color="auto"/>
                <w:right w:val="none" w:sz="0" w:space="0" w:color="auto"/>
              </w:divBdr>
            </w:div>
            <w:div w:id="1194270004">
              <w:marLeft w:val="0"/>
              <w:marRight w:val="0"/>
              <w:marTop w:val="0"/>
              <w:marBottom w:val="0"/>
              <w:divBdr>
                <w:top w:val="none" w:sz="0" w:space="0" w:color="auto"/>
                <w:left w:val="none" w:sz="0" w:space="0" w:color="auto"/>
                <w:bottom w:val="none" w:sz="0" w:space="0" w:color="auto"/>
                <w:right w:val="none" w:sz="0" w:space="0" w:color="auto"/>
              </w:divBdr>
            </w:div>
          </w:divsChild>
        </w:div>
        <w:div w:id="857737138">
          <w:marLeft w:val="0"/>
          <w:marRight w:val="0"/>
          <w:marTop w:val="0"/>
          <w:marBottom w:val="0"/>
          <w:divBdr>
            <w:top w:val="none" w:sz="0" w:space="0" w:color="auto"/>
            <w:left w:val="none" w:sz="0" w:space="0" w:color="auto"/>
            <w:bottom w:val="none" w:sz="0" w:space="0" w:color="auto"/>
            <w:right w:val="none" w:sz="0" w:space="0" w:color="auto"/>
          </w:divBdr>
          <w:divsChild>
            <w:div w:id="35739545">
              <w:marLeft w:val="0"/>
              <w:marRight w:val="0"/>
              <w:marTop w:val="0"/>
              <w:marBottom w:val="0"/>
              <w:divBdr>
                <w:top w:val="none" w:sz="0" w:space="0" w:color="auto"/>
                <w:left w:val="none" w:sz="0" w:space="0" w:color="auto"/>
                <w:bottom w:val="none" w:sz="0" w:space="0" w:color="auto"/>
                <w:right w:val="none" w:sz="0" w:space="0" w:color="auto"/>
              </w:divBdr>
            </w:div>
            <w:div w:id="840773506">
              <w:marLeft w:val="0"/>
              <w:marRight w:val="0"/>
              <w:marTop w:val="0"/>
              <w:marBottom w:val="0"/>
              <w:divBdr>
                <w:top w:val="none" w:sz="0" w:space="0" w:color="auto"/>
                <w:left w:val="none" w:sz="0" w:space="0" w:color="auto"/>
                <w:bottom w:val="none" w:sz="0" w:space="0" w:color="auto"/>
                <w:right w:val="none" w:sz="0" w:space="0" w:color="auto"/>
              </w:divBdr>
            </w:div>
          </w:divsChild>
        </w:div>
        <w:div w:id="1567688472">
          <w:marLeft w:val="0"/>
          <w:marRight w:val="0"/>
          <w:marTop w:val="0"/>
          <w:marBottom w:val="0"/>
          <w:divBdr>
            <w:top w:val="none" w:sz="0" w:space="0" w:color="auto"/>
            <w:left w:val="none" w:sz="0" w:space="0" w:color="auto"/>
            <w:bottom w:val="none" w:sz="0" w:space="0" w:color="auto"/>
            <w:right w:val="none" w:sz="0" w:space="0" w:color="auto"/>
          </w:divBdr>
          <w:divsChild>
            <w:div w:id="1199783129">
              <w:marLeft w:val="0"/>
              <w:marRight w:val="0"/>
              <w:marTop w:val="0"/>
              <w:marBottom w:val="0"/>
              <w:divBdr>
                <w:top w:val="none" w:sz="0" w:space="0" w:color="auto"/>
                <w:left w:val="none" w:sz="0" w:space="0" w:color="auto"/>
                <w:bottom w:val="none" w:sz="0" w:space="0" w:color="auto"/>
                <w:right w:val="none" w:sz="0" w:space="0" w:color="auto"/>
              </w:divBdr>
            </w:div>
          </w:divsChild>
        </w:div>
        <w:div w:id="565997213">
          <w:marLeft w:val="0"/>
          <w:marRight w:val="0"/>
          <w:marTop w:val="0"/>
          <w:marBottom w:val="0"/>
          <w:divBdr>
            <w:top w:val="none" w:sz="0" w:space="0" w:color="auto"/>
            <w:left w:val="none" w:sz="0" w:space="0" w:color="auto"/>
            <w:bottom w:val="none" w:sz="0" w:space="0" w:color="auto"/>
            <w:right w:val="none" w:sz="0" w:space="0" w:color="auto"/>
          </w:divBdr>
          <w:divsChild>
            <w:div w:id="588732168">
              <w:marLeft w:val="0"/>
              <w:marRight w:val="0"/>
              <w:marTop w:val="0"/>
              <w:marBottom w:val="0"/>
              <w:divBdr>
                <w:top w:val="none" w:sz="0" w:space="0" w:color="auto"/>
                <w:left w:val="none" w:sz="0" w:space="0" w:color="auto"/>
                <w:bottom w:val="none" w:sz="0" w:space="0" w:color="auto"/>
                <w:right w:val="none" w:sz="0" w:space="0" w:color="auto"/>
              </w:divBdr>
            </w:div>
            <w:div w:id="1714309600">
              <w:marLeft w:val="0"/>
              <w:marRight w:val="0"/>
              <w:marTop w:val="0"/>
              <w:marBottom w:val="0"/>
              <w:divBdr>
                <w:top w:val="none" w:sz="0" w:space="0" w:color="auto"/>
                <w:left w:val="none" w:sz="0" w:space="0" w:color="auto"/>
                <w:bottom w:val="none" w:sz="0" w:space="0" w:color="auto"/>
                <w:right w:val="none" w:sz="0" w:space="0" w:color="auto"/>
              </w:divBdr>
            </w:div>
          </w:divsChild>
        </w:div>
        <w:div w:id="382099857">
          <w:marLeft w:val="0"/>
          <w:marRight w:val="0"/>
          <w:marTop w:val="0"/>
          <w:marBottom w:val="0"/>
          <w:divBdr>
            <w:top w:val="none" w:sz="0" w:space="0" w:color="auto"/>
            <w:left w:val="none" w:sz="0" w:space="0" w:color="auto"/>
            <w:bottom w:val="none" w:sz="0" w:space="0" w:color="auto"/>
            <w:right w:val="none" w:sz="0" w:space="0" w:color="auto"/>
          </w:divBdr>
          <w:divsChild>
            <w:div w:id="587155354">
              <w:marLeft w:val="0"/>
              <w:marRight w:val="0"/>
              <w:marTop w:val="0"/>
              <w:marBottom w:val="0"/>
              <w:divBdr>
                <w:top w:val="none" w:sz="0" w:space="0" w:color="auto"/>
                <w:left w:val="none" w:sz="0" w:space="0" w:color="auto"/>
                <w:bottom w:val="none" w:sz="0" w:space="0" w:color="auto"/>
                <w:right w:val="none" w:sz="0" w:space="0" w:color="auto"/>
              </w:divBdr>
            </w:div>
            <w:div w:id="1822967610">
              <w:marLeft w:val="0"/>
              <w:marRight w:val="0"/>
              <w:marTop w:val="0"/>
              <w:marBottom w:val="0"/>
              <w:divBdr>
                <w:top w:val="none" w:sz="0" w:space="0" w:color="auto"/>
                <w:left w:val="none" w:sz="0" w:space="0" w:color="auto"/>
                <w:bottom w:val="none" w:sz="0" w:space="0" w:color="auto"/>
                <w:right w:val="none" w:sz="0" w:space="0" w:color="auto"/>
              </w:divBdr>
            </w:div>
          </w:divsChild>
        </w:div>
        <w:div w:id="439878272">
          <w:marLeft w:val="0"/>
          <w:marRight w:val="0"/>
          <w:marTop w:val="0"/>
          <w:marBottom w:val="0"/>
          <w:divBdr>
            <w:top w:val="none" w:sz="0" w:space="0" w:color="auto"/>
            <w:left w:val="none" w:sz="0" w:space="0" w:color="auto"/>
            <w:bottom w:val="none" w:sz="0" w:space="0" w:color="auto"/>
            <w:right w:val="none" w:sz="0" w:space="0" w:color="auto"/>
          </w:divBdr>
          <w:divsChild>
            <w:div w:id="758408160">
              <w:marLeft w:val="0"/>
              <w:marRight w:val="0"/>
              <w:marTop w:val="0"/>
              <w:marBottom w:val="0"/>
              <w:divBdr>
                <w:top w:val="none" w:sz="0" w:space="0" w:color="auto"/>
                <w:left w:val="none" w:sz="0" w:space="0" w:color="auto"/>
                <w:bottom w:val="none" w:sz="0" w:space="0" w:color="auto"/>
                <w:right w:val="none" w:sz="0" w:space="0" w:color="auto"/>
              </w:divBdr>
            </w:div>
            <w:div w:id="1015770690">
              <w:marLeft w:val="0"/>
              <w:marRight w:val="0"/>
              <w:marTop w:val="0"/>
              <w:marBottom w:val="0"/>
              <w:divBdr>
                <w:top w:val="none" w:sz="0" w:space="0" w:color="auto"/>
                <w:left w:val="none" w:sz="0" w:space="0" w:color="auto"/>
                <w:bottom w:val="none" w:sz="0" w:space="0" w:color="auto"/>
                <w:right w:val="none" w:sz="0" w:space="0" w:color="auto"/>
              </w:divBdr>
            </w:div>
            <w:div w:id="93525225">
              <w:marLeft w:val="0"/>
              <w:marRight w:val="0"/>
              <w:marTop w:val="0"/>
              <w:marBottom w:val="0"/>
              <w:divBdr>
                <w:top w:val="none" w:sz="0" w:space="0" w:color="auto"/>
                <w:left w:val="none" w:sz="0" w:space="0" w:color="auto"/>
                <w:bottom w:val="none" w:sz="0" w:space="0" w:color="auto"/>
                <w:right w:val="none" w:sz="0" w:space="0" w:color="auto"/>
              </w:divBdr>
            </w:div>
            <w:div w:id="1102341164">
              <w:marLeft w:val="0"/>
              <w:marRight w:val="0"/>
              <w:marTop w:val="0"/>
              <w:marBottom w:val="0"/>
              <w:divBdr>
                <w:top w:val="none" w:sz="0" w:space="0" w:color="auto"/>
                <w:left w:val="none" w:sz="0" w:space="0" w:color="auto"/>
                <w:bottom w:val="none" w:sz="0" w:space="0" w:color="auto"/>
                <w:right w:val="none" w:sz="0" w:space="0" w:color="auto"/>
              </w:divBdr>
            </w:div>
            <w:div w:id="16276861">
              <w:marLeft w:val="0"/>
              <w:marRight w:val="0"/>
              <w:marTop w:val="0"/>
              <w:marBottom w:val="0"/>
              <w:divBdr>
                <w:top w:val="none" w:sz="0" w:space="0" w:color="auto"/>
                <w:left w:val="none" w:sz="0" w:space="0" w:color="auto"/>
                <w:bottom w:val="none" w:sz="0" w:space="0" w:color="auto"/>
                <w:right w:val="none" w:sz="0" w:space="0" w:color="auto"/>
              </w:divBdr>
            </w:div>
          </w:divsChild>
        </w:div>
        <w:div w:id="2062316104">
          <w:marLeft w:val="0"/>
          <w:marRight w:val="0"/>
          <w:marTop w:val="0"/>
          <w:marBottom w:val="0"/>
          <w:divBdr>
            <w:top w:val="none" w:sz="0" w:space="0" w:color="auto"/>
            <w:left w:val="none" w:sz="0" w:space="0" w:color="auto"/>
            <w:bottom w:val="none" w:sz="0" w:space="0" w:color="auto"/>
            <w:right w:val="none" w:sz="0" w:space="0" w:color="auto"/>
          </w:divBdr>
          <w:divsChild>
            <w:div w:id="2077509313">
              <w:marLeft w:val="0"/>
              <w:marRight w:val="0"/>
              <w:marTop w:val="0"/>
              <w:marBottom w:val="0"/>
              <w:divBdr>
                <w:top w:val="none" w:sz="0" w:space="0" w:color="auto"/>
                <w:left w:val="none" w:sz="0" w:space="0" w:color="auto"/>
                <w:bottom w:val="none" w:sz="0" w:space="0" w:color="auto"/>
                <w:right w:val="none" w:sz="0" w:space="0" w:color="auto"/>
              </w:divBdr>
            </w:div>
          </w:divsChild>
        </w:div>
        <w:div w:id="674310614">
          <w:marLeft w:val="0"/>
          <w:marRight w:val="0"/>
          <w:marTop w:val="0"/>
          <w:marBottom w:val="0"/>
          <w:divBdr>
            <w:top w:val="none" w:sz="0" w:space="0" w:color="auto"/>
            <w:left w:val="none" w:sz="0" w:space="0" w:color="auto"/>
            <w:bottom w:val="none" w:sz="0" w:space="0" w:color="auto"/>
            <w:right w:val="none" w:sz="0" w:space="0" w:color="auto"/>
          </w:divBdr>
          <w:divsChild>
            <w:div w:id="1791361272">
              <w:marLeft w:val="0"/>
              <w:marRight w:val="0"/>
              <w:marTop w:val="0"/>
              <w:marBottom w:val="0"/>
              <w:divBdr>
                <w:top w:val="none" w:sz="0" w:space="0" w:color="auto"/>
                <w:left w:val="none" w:sz="0" w:space="0" w:color="auto"/>
                <w:bottom w:val="none" w:sz="0" w:space="0" w:color="auto"/>
                <w:right w:val="none" w:sz="0" w:space="0" w:color="auto"/>
              </w:divBdr>
            </w:div>
          </w:divsChild>
        </w:div>
        <w:div w:id="1939363637">
          <w:marLeft w:val="0"/>
          <w:marRight w:val="0"/>
          <w:marTop w:val="0"/>
          <w:marBottom w:val="0"/>
          <w:divBdr>
            <w:top w:val="none" w:sz="0" w:space="0" w:color="auto"/>
            <w:left w:val="none" w:sz="0" w:space="0" w:color="auto"/>
            <w:bottom w:val="none" w:sz="0" w:space="0" w:color="auto"/>
            <w:right w:val="none" w:sz="0" w:space="0" w:color="auto"/>
          </w:divBdr>
          <w:divsChild>
            <w:div w:id="347603060">
              <w:marLeft w:val="0"/>
              <w:marRight w:val="0"/>
              <w:marTop w:val="0"/>
              <w:marBottom w:val="0"/>
              <w:divBdr>
                <w:top w:val="none" w:sz="0" w:space="0" w:color="auto"/>
                <w:left w:val="none" w:sz="0" w:space="0" w:color="auto"/>
                <w:bottom w:val="none" w:sz="0" w:space="0" w:color="auto"/>
                <w:right w:val="none" w:sz="0" w:space="0" w:color="auto"/>
              </w:divBdr>
            </w:div>
          </w:divsChild>
        </w:div>
        <w:div w:id="1079789211">
          <w:marLeft w:val="0"/>
          <w:marRight w:val="0"/>
          <w:marTop w:val="0"/>
          <w:marBottom w:val="0"/>
          <w:divBdr>
            <w:top w:val="none" w:sz="0" w:space="0" w:color="auto"/>
            <w:left w:val="none" w:sz="0" w:space="0" w:color="auto"/>
            <w:bottom w:val="none" w:sz="0" w:space="0" w:color="auto"/>
            <w:right w:val="none" w:sz="0" w:space="0" w:color="auto"/>
          </w:divBdr>
          <w:divsChild>
            <w:div w:id="742488032">
              <w:marLeft w:val="0"/>
              <w:marRight w:val="0"/>
              <w:marTop w:val="0"/>
              <w:marBottom w:val="0"/>
              <w:divBdr>
                <w:top w:val="none" w:sz="0" w:space="0" w:color="auto"/>
                <w:left w:val="none" w:sz="0" w:space="0" w:color="auto"/>
                <w:bottom w:val="none" w:sz="0" w:space="0" w:color="auto"/>
                <w:right w:val="none" w:sz="0" w:space="0" w:color="auto"/>
              </w:divBdr>
            </w:div>
            <w:div w:id="2019965330">
              <w:marLeft w:val="0"/>
              <w:marRight w:val="0"/>
              <w:marTop w:val="0"/>
              <w:marBottom w:val="0"/>
              <w:divBdr>
                <w:top w:val="none" w:sz="0" w:space="0" w:color="auto"/>
                <w:left w:val="none" w:sz="0" w:space="0" w:color="auto"/>
                <w:bottom w:val="none" w:sz="0" w:space="0" w:color="auto"/>
                <w:right w:val="none" w:sz="0" w:space="0" w:color="auto"/>
              </w:divBdr>
            </w:div>
          </w:divsChild>
        </w:div>
        <w:div w:id="274558697">
          <w:marLeft w:val="0"/>
          <w:marRight w:val="0"/>
          <w:marTop w:val="0"/>
          <w:marBottom w:val="0"/>
          <w:divBdr>
            <w:top w:val="none" w:sz="0" w:space="0" w:color="auto"/>
            <w:left w:val="none" w:sz="0" w:space="0" w:color="auto"/>
            <w:bottom w:val="none" w:sz="0" w:space="0" w:color="auto"/>
            <w:right w:val="none" w:sz="0" w:space="0" w:color="auto"/>
          </w:divBdr>
          <w:divsChild>
            <w:div w:id="1234005957">
              <w:marLeft w:val="0"/>
              <w:marRight w:val="0"/>
              <w:marTop w:val="0"/>
              <w:marBottom w:val="0"/>
              <w:divBdr>
                <w:top w:val="none" w:sz="0" w:space="0" w:color="auto"/>
                <w:left w:val="none" w:sz="0" w:space="0" w:color="auto"/>
                <w:bottom w:val="none" w:sz="0" w:space="0" w:color="auto"/>
                <w:right w:val="none" w:sz="0" w:space="0" w:color="auto"/>
              </w:divBdr>
            </w:div>
            <w:div w:id="158038916">
              <w:marLeft w:val="0"/>
              <w:marRight w:val="0"/>
              <w:marTop w:val="0"/>
              <w:marBottom w:val="0"/>
              <w:divBdr>
                <w:top w:val="none" w:sz="0" w:space="0" w:color="auto"/>
                <w:left w:val="none" w:sz="0" w:space="0" w:color="auto"/>
                <w:bottom w:val="none" w:sz="0" w:space="0" w:color="auto"/>
                <w:right w:val="none" w:sz="0" w:space="0" w:color="auto"/>
              </w:divBdr>
            </w:div>
            <w:div w:id="621694000">
              <w:marLeft w:val="0"/>
              <w:marRight w:val="0"/>
              <w:marTop w:val="0"/>
              <w:marBottom w:val="0"/>
              <w:divBdr>
                <w:top w:val="none" w:sz="0" w:space="0" w:color="auto"/>
                <w:left w:val="none" w:sz="0" w:space="0" w:color="auto"/>
                <w:bottom w:val="none" w:sz="0" w:space="0" w:color="auto"/>
                <w:right w:val="none" w:sz="0" w:space="0" w:color="auto"/>
              </w:divBdr>
            </w:div>
            <w:div w:id="1625774431">
              <w:marLeft w:val="0"/>
              <w:marRight w:val="0"/>
              <w:marTop w:val="0"/>
              <w:marBottom w:val="0"/>
              <w:divBdr>
                <w:top w:val="none" w:sz="0" w:space="0" w:color="auto"/>
                <w:left w:val="none" w:sz="0" w:space="0" w:color="auto"/>
                <w:bottom w:val="none" w:sz="0" w:space="0" w:color="auto"/>
                <w:right w:val="none" w:sz="0" w:space="0" w:color="auto"/>
              </w:divBdr>
            </w:div>
            <w:div w:id="569539786">
              <w:marLeft w:val="0"/>
              <w:marRight w:val="0"/>
              <w:marTop w:val="0"/>
              <w:marBottom w:val="0"/>
              <w:divBdr>
                <w:top w:val="none" w:sz="0" w:space="0" w:color="auto"/>
                <w:left w:val="none" w:sz="0" w:space="0" w:color="auto"/>
                <w:bottom w:val="none" w:sz="0" w:space="0" w:color="auto"/>
                <w:right w:val="none" w:sz="0" w:space="0" w:color="auto"/>
              </w:divBdr>
            </w:div>
            <w:div w:id="1990553838">
              <w:marLeft w:val="0"/>
              <w:marRight w:val="0"/>
              <w:marTop w:val="0"/>
              <w:marBottom w:val="0"/>
              <w:divBdr>
                <w:top w:val="none" w:sz="0" w:space="0" w:color="auto"/>
                <w:left w:val="none" w:sz="0" w:space="0" w:color="auto"/>
                <w:bottom w:val="none" w:sz="0" w:space="0" w:color="auto"/>
                <w:right w:val="none" w:sz="0" w:space="0" w:color="auto"/>
              </w:divBdr>
            </w:div>
          </w:divsChild>
        </w:div>
        <w:div w:id="449588120">
          <w:marLeft w:val="0"/>
          <w:marRight w:val="0"/>
          <w:marTop w:val="0"/>
          <w:marBottom w:val="0"/>
          <w:divBdr>
            <w:top w:val="none" w:sz="0" w:space="0" w:color="auto"/>
            <w:left w:val="none" w:sz="0" w:space="0" w:color="auto"/>
            <w:bottom w:val="none" w:sz="0" w:space="0" w:color="auto"/>
            <w:right w:val="none" w:sz="0" w:space="0" w:color="auto"/>
          </w:divBdr>
          <w:divsChild>
            <w:div w:id="68162902">
              <w:marLeft w:val="0"/>
              <w:marRight w:val="0"/>
              <w:marTop w:val="0"/>
              <w:marBottom w:val="0"/>
              <w:divBdr>
                <w:top w:val="none" w:sz="0" w:space="0" w:color="auto"/>
                <w:left w:val="none" w:sz="0" w:space="0" w:color="auto"/>
                <w:bottom w:val="none" w:sz="0" w:space="0" w:color="auto"/>
                <w:right w:val="none" w:sz="0" w:space="0" w:color="auto"/>
              </w:divBdr>
            </w:div>
            <w:div w:id="7298085">
              <w:marLeft w:val="0"/>
              <w:marRight w:val="0"/>
              <w:marTop w:val="0"/>
              <w:marBottom w:val="0"/>
              <w:divBdr>
                <w:top w:val="none" w:sz="0" w:space="0" w:color="auto"/>
                <w:left w:val="none" w:sz="0" w:space="0" w:color="auto"/>
                <w:bottom w:val="none" w:sz="0" w:space="0" w:color="auto"/>
                <w:right w:val="none" w:sz="0" w:space="0" w:color="auto"/>
              </w:divBdr>
            </w:div>
          </w:divsChild>
        </w:div>
        <w:div w:id="647518693">
          <w:marLeft w:val="0"/>
          <w:marRight w:val="0"/>
          <w:marTop w:val="0"/>
          <w:marBottom w:val="0"/>
          <w:divBdr>
            <w:top w:val="none" w:sz="0" w:space="0" w:color="auto"/>
            <w:left w:val="none" w:sz="0" w:space="0" w:color="auto"/>
            <w:bottom w:val="none" w:sz="0" w:space="0" w:color="auto"/>
            <w:right w:val="none" w:sz="0" w:space="0" w:color="auto"/>
          </w:divBdr>
          <w:divsChild>
            <w:div w:id="25982972">
              <w:marLeft w:val="0"/>
              <w:marRight w:val="0"/>
              <w:marTop w:val="0"/>
              <w:marBottom w:val="0"/>
              <w:divBdr>
                <w:top w:val="none" w:sz="0" w:space="0" w:color="auto"/>
                <w:left w:val="none" w:sz="0" w:space="0" w:color="auto"/>
                <w:bottom w:val="none" w:sz="0" w:space="0" w:color="auto"/>
                <w:right w:val="none" w:sz="0" w:space="0" w:color="auto"/>
              </w:divBdr>
            </w:div>
          </w:divsChild>
        </w:div>
        <w:div w:id="890531384">
          <w:marLeft w:val="0"/>
          <w:marRight w:val="0"/>
          <w:marTop w:val="0"/>
          <w:marBottom w:val="0"/>
          <w:divBdr>
            <w:top w:val="none" w:sz="0" w:space="0" w:color="auto"/>
            <w:left w:val="none" w:sz="0" w:space="0" w:color="auto"/>
            <w:bottom w:val="none" w:sz="0" w:space="0" w:color="auto"/>
            <w:right w:val="none" w:sz="0" w:space="0" w:color="auto"/>
          </w:divBdr>
          <w:divsChild>
            <w:div w:id="1512253938">
              <w:marLeft w:val="0"/>
              <w:marRight w:val="0"/>
              <w:marTop w:val="0"/>
              <w:marBottom w:val="0"/>
              <w:divBdr>
                <w:top w:val="none" w:sz="0" w:space="0" w:color="auto"/>
                <w:left w:val="none" w:sz="0" w:space="0" w:color="auto"/>
                <w:bottom w:val="none" w:sz="0" w:space="0" w:color="auto"/>
                <w:right w:val="none" w:sz="0" w:space="0" w:color="auto"/>
              </w:divBdr>
            </w:div>
          </w:divsChild>
        </w:div>
        <w:div w:id="1668248994">
          <w:marLeft w:val="0"/>
          <w:marRight w:val="0"/>
          <w:marTop w:val="0"/>
          <w:marBottom w:val="0"/>
          <w:divBdr>
            <w:top w:val="none" w:sz="0" w:space="0" w:color="auto"/>
            <w:left w:val="none" w:sz="0" w:space="0" w:color="auto"/>
            <w:bottom w:val="none" w:sz="0" w:space="0" w:color="auto"/>
            <w:right w:val="none" w:sz="0" w:space="0" w:color="auto"/>
          </w:divBdr>
          <w:divsChild>
            <w:div w:id="83040473">
              <w:marLeft w:val="0"/>
              <w:marRight w:val="0"/>
              <w:marTop w:val="0"/>
              <w:marBottom w:val="0"/>
              <w:divBdr>
                <w:top w:val="none" w:sz="0" w:space="0" w:color="auto"/>
                <w:left w:val="none" w:sz="0" w:space="0" w:color="auto"/>
                <w:bottom w:val="none" w:sz="0" w:space="0" w:color="auto"/>
                <w:right w:val="none" w:sz="0" w:space="0" w:color="auto"/>
              </w:divBdr>
            </w:div>
            <w:div w:id="1414548174">
              <w:marLeft w:val="0"/>
              <w:marRight w:val="0"/>
              <w:marTop w:val="0"/>
              <w:marBottom w:val="0"/>
              <w:divBdr>
                <w:top w:val="none" w:sz="0" w:space="0" w:color="auto"/>
                <w:left w:val="none" w:sz="0" w:space="0" w:color="auto"/>
                <w:bottom w:val="none" w:sz="0" w:space="0" w:color="auto"/>
                <w:right w:val="none" w:sz="0" w:space="0" w:color="auto"/>
              </w:divBdr>
            </w:div>
          </w:divsChild>
        </w:div>
        <w:div w:id="751241765">
          <w:marLeft w:val="0"/>
          <w:marRight w:val="0"/>
          <w:marTop w:val="0"/>
          <w:marBottom w:val="0"/>
          <w:divBdr>
            <w:top w:val="none" w:sz="0" w:space="0" w:color="auto"/>
            <w:left w:val="none" w:sz="0" w:space="0" w:color="auto"/>
            <w:bottom w:val="none" w:sz="0" w:space="0" w:color="auto"/>
            <w:right w:val="none" w:sz="0" w:space="0" w:color="auto"/>
          </w:divBdr>
          <w:divsChild>
            <w:div w:id="1613513546">
              <w:marLeft w:val="0"/>
              <w:marRight w:val="0"/>
              <w:marTop w:val="0"/>
              <w:marBottom w:val="0"/>
              <w:divBdr>
                <w:top w:val="none" w:sz="0" w:space="0" w:color="auto"/>
                <w:left w:val="none" w:sz="0" w:space="0" w:color="auto"/>
                <w:bottom w:val="none" w:sz="0" w:space="0" w:color="auto"/>
                <w:right w:val="none" w:sz="0" w:space="0" w:color="auto"/>
              </w:divBdr>
            </w:div>
            <w:div w:id="2000114906">
              <w:marLeft w:val="0"/>
              <w:marRight w:val="0"/>
              <w:marTop w:val="0"/>
              <w:marBottom w:val="0"/>
              <w:divBdr>
                <w:top w:val="none" w:sz="0" w:space="0" w:color="auto"/>
                <w:left w:val="none" w:sz="0" w:space="0" w:color="auto"/>
                <w:bottom w:val="none" w:sz="0" w:space="0" w:color="auto"/>
                <w:right w:val="none" w:sz="0" w:space="0" w:color="auto"/>
              </w:divBdr>
            </w:div>
            <w:div w:id="1204632953">
              <w:marLeft w:val="0"/>
              <w:marRight w:val="0"/>
              <w:marTop w:val="0"/>
              <w:marBottom w:val="0"/>
              <w:divBdr>
                <w:top w:val="none" w:sz="0" w:space="0" w:color="auto"/>
                <w:left w:val="none" w:sz="0" w:space="0" w:color="auto"/>
                <w:bottom w:val="none" w:sz="0" w:space="0" w:color="auto"/>
                <w:right w:val="none" w:sz="0" w:space="0" w:color="auto"/>
              </w:divBdr>
            </w:div>
            <w:div w:id="1996758033">
              <w:marLeft w:val="0"/>
              <w:marRight w:val="0"/>
              <w:marTop w:val="0"/>
              <w:marBottom w:val="0"/>
              <w:divBdr>
                <w:top w:val="none" w:sz="0" w:space="0" w:color="auto"/>
                <w:left w:val="none" w:sz="0" w:space="0" w:color="auto"/>
                <w:bottom w:val="none" w:sz="0" w:space="0" w:color="auto"/>
                <w:right w:val="none" w:sz="0" w:space="0" w:color="auto"/>
              </w:divBdr>
            </w:div>
            <w:div w:id="1476295386">
              <w:marLeft w:val="0"/>
              <w:marRight w:val="0"/>
              <w:marTop w:val="0"/>
              <w:marBottom w:val="0"/>
              <w:divBdr>
                <w:top w:val="none" w:sz="0" w:space="0" w:color="auto"/>
                <w:left w:val="none" w:sz="0" w:space="0" w:color="auto"/>
                <w:bottom w:val="none" w:sz="0" w:space="0" w:color="auto"/>
                <w:right w:val="none" w:sz="0" w:space="0" w:color="auto"/>
              </w:divBdr>
            </w:div>
          </w:divsChild>
        </w:div>
        <w:div w:id="38168347">
          <w:marLeft w:val="0"/>
          <w:marRight w:val="0"/>
          <w:marTop w:val="0"/>
          <w:marBottom w:val="0"/>
          <w:divBdr>
            <w:top w:val="none" w:sz="0" w:space="0" w:color="auto"/>
            <w:left w:val="none" w:sz="0" w:space="0" w:color="auto"/>
            <w:bottom w:val="none" w:sz="0" w:space="0" w:color="auto"/>
            <w:right w:val="none" w:sz="0" w:space="0" w:color="auto"/>
          </w:divBdr>
          <w:divsChild>
            <w:div w:id="1252271875">
              <w:marLeft w:val="0"/>
              <w:marRight w:val="0"/>
              <w:marTop w:val="0"/>
              <w:marBottom w:val="0"/>
              <w:divBdr>
                <w:top w:val="none" w:sz="0" w:space="0" w:color="auto"/>
                <w:left w:val="none" w:sz="0" w:space="0" w:color="auto"/>
                <w:bottom w:val="none" w:sz="0" w:space="0" w:color="auto"/>
                <w:right w:val="none" w:sz="0" w:space="0" w:color="auto"/>
              </w:divBdr>
            </w:div>
            <w:div w:id="1076635280">
              <w:marLeft w:val="0"/>
              <w:marRight w:val="0"/>
              <w:marTop w:val="0"/>
              <w:marBottom w:val="0"/>
              <w:divBdr>
                <w:top w:val="none" w:sz="0" w:space="0" w:color="auto"/>
                <w:left w:val="none" w:sz="0" w:space="0" w:color="auto"/>
                <w:bottom w:val="none" w:sz="0" w:space="0" w:color="auto"/>
                <w:right w:val="none" w:sz="0" w:space="0" w:color="auto"/>
              </w:divBdr>
            </w:div>
          </w:divsChild>
        </w:div>
        <w:div w:id="1447389786">
          <w:marLeft w:val="0"/>
          <w:marRight w:val="0"/>
          <w:marTop w:val="0"/>
          <w:marBottom w:val="0"/>
          <w:divBdr>
            <w:top w:val="none" w:sz="0" w:space="0" w:color="auto"/>
            <w:left w:val="none" w:sz="0" w:space="0" w:color="auto"/>
            <w:bottom w:val="none" w:sz="0" w:space="0" w:color="auto"/>
            <w:right w:val="none" w:sz="0" w:space="0" w:color="auto"/>
          </w:divBdr>
          <w:divsChild>
            <w:div w:id="610941131">
              <w:marLeft w:val="0"/>
              <w:marRight w:val="0"/>
              <w:marTop w:val="0"/>
              <w:marBottom w:val="0"/>
              <w:divBdr>
                <w:top w:val="none" w:sz="0" w:space="0" w:color="auto"/>
                <w:left w:val="none" w:sz="0" w:space="0" w:color="auto"/>
                <w:bottom w:val="none" w:sz="0" w:space="0" w:color="auto"/>
                <w:right w:val="none" w:sz="0" w:space="0" w:color="auto"/>
              </w:divBdr>
            </w:div>
            <w:div w:id="1323198427">
              <w:marLeft w:val="0"/>
              <w:marRight w:val="0"/>
              <w:marTop w:val="0"/>
              <w:marBottom w:val="0"/>
              <w:divBdr>
                <w:top w:val="none" w:sz="0" w:space="0" w:color="auto"/>
                <w:left w:val="none" w:sz="0" w:space="0" w:color="auto"/>
                <w:bottom w:val="none" w:sz="0" w:space="0" w:color="auto"/>
                <w:right w:val="none" w:sz="0" w:space="0" w:color="auto"/>
              </w:divBdr>
            </w:div>
          </w:divsChild>
        </w:div>
        <w:div w:id="1130703911">
          <w:marLeft w:val="0"/>
          <w:marRight w:val="0"/>
          <w:marTop w:val="0"/>
          <w:marBottom w:val="0"/>
          <w:divBdr>
            <w:top w:val="none" w:sz="0" w:space="0" w:color="auto"/>
            <w:left w:val="none" w:sz="0" w:space="0" w:color="auto"/>
            <w:bottom w:val="none" w:sz="0" w:space="0" w:color="auto"/>
            <w:right w:val="none" w:sz="0" w:space="0" w:color="auto"/>
          </w:divBdr>
          <w:divsChild>
            <w:div w:id="920523365">
              <w:marLeft w:val="0"/>
              <w:marRight w:val="0"/>
              <w:marTop w:val="0"/>
              <w:marBottom w:val="0"/>
              <w:divBdr>
                <w:top w:val="none" w:sz="0" w:space="0" w:color="auto"/>
                <w:left w:val="none" w:sz="0" w:space="0" w:color="auto"/>
                <w:bottom w:val="none" w:sz="0" w:space="0" w:color="auto"/>
                <w:right w:val="none" w:sz="0" w:space="0" w:color="auto"/>
              </w:divBdr>
            </w:div>
          </w:divsChild>
        </w:div>
        <w:div w:id="296183186">
          <w:marLeft w:val="0"/>
          <w:marRight w:val="0"/>
          <w:marTop w:val="0"/>
          <w:marBottom w:val="0"/>
          <w:divBdr>
            <w:top w:val="none" w:sz="0" w:space="0" w:color="auto"/>
            <w:left w:val="none" w:sz="0" w:space="0" w:color="auto"/>
            <w:bottom w:val="none" w:sz="0" w:space="0" w:color="auto"/>
            <w:right w:val="none" w:sz="0" w:space="0" w:color="auto"/>
          </w:divBdr>
          <w:divsChild>
            <w:div w:id="1764522344">
              <w:marLeft w:val="0"/>
              <w:marRight w:val="0"/>
              <w:marTop w:val="0"/>
              <w:marBottom w:val="0"/>
              <w:divBdr>
                <w:top w:val="none" w:sz="0" w:space="0" w:color="auto"/>
                <w:left w:val="none" w:sz="0" w:space="0" w:color="auto"/>
                <w:bottom w:val="none" w:sz="0" w:space="0" w:color="auto"/>
                <w:right w:val="none" w:sz="0" w:space="0" w:color="auto"/>
              </w:divBdr>
            </w:div>
            <w:div w:id="603927683">
              <w:marLeft w:val="0"/>
              <w:marRight w:val="0"/>
              <w:marTop w:val="0"/>
              <w:marBottom w:val="0"/>
              <w:divBdr>
                <w:top w:val="none" w:sz="0" w:space="0" w:color="auto"/>
                <w:left w:val="none" w:sz="0" w:space="0" w:color="auto"/>
                <w:bottom w:val="none" w:sz="0" w:space="0" w:color="auto"/>
                <w:right w:val="none" w:sz="0" w:space="0" w:color="auto"/>
              </w:divBdr>
            </w:div>
          </w:divsChild>
        </w:div>
        <w:div w:id="1744638019">
          <w:marLeft w:val="0"/>
          <w:marRight w:val="0"/>
          <w:marTop w:val="0"/>
          <w:marBottom w:val="0"/>
          <w:divBdr>
            <w:top w:val="none" w:sz="0" w:space="0" w:color="auto"/>
            <w:left w:val="none" w:sz="0" w:space="0" w:color="auto"/>
            <w:bottom w:val="none" w:sz="0" w:space="0" w:color="auto"/>
            <w:right w:val="none" w:sz="0" w:space="0" w:color="auto"/>
          </w:divBdr>
          <w:divsChild>
            <w:div w:id="823208050">
              <w:marLeft w:val="0"/>
              <w:marRight w:val="0"/>
              <w:marTop w:val="0"/>
              <w:marBottom w:val="0"/>
              <w:divBdr>
                <w:top w:val="none" w:sz="0" w:space="0" w:color="auto"/>
                <w:left w:val="none" w:sz="0" w:space="0" w:color="auto"/>
                <w:bottom w:val="none" w:sz="0" w:space="0" w:color="auto"/>
                <w:right w:val="none" w:sz="0" w:space="0" w:color="auto"/>
              </w:divBdr>
            </w:div>
            <w:div w:id="834877014">
              <w:marLeft w:val="0"/>
              <w:marRight w:val="0"/>
              <w:marTop w:val="0"/>
              <w:marBottom w:val="0"/>
              <w:divBdr>
                <w:top w:val="none" w:sz="0" w:space="0" w:color="auto"/>
                <w:left w:val="none" w:sz="0" w:space="0" w:color="auto"/>
                <w:bottom w:val="none" w:sz="0" w:space="0" w:color="auto"/>
                <w:right w:val="none" w:sz="0" w:space="0" w:color="auto"/>
              </w:divBdr>
            </w:div>
            <w:div w:id="365910970">
              <w:marLeft w:val="0"/>
              <w:marRight w:val="0"/>
              <w:marTop w:val="0"/>
              <w:marBottom w:val="0"/>
              <w:divBdr>
                <w:top w:val="none" w:sz="0" w:space="0" w:color="auto"/>
                <w:left w:val="none" w:sz="0" w:space="0" w:color="auto"/>
                <w:bottom w:val="none" w:sz="0" w:space="0" w:color="auto"/>
                <w:right w:val="none" w:sz="0" w:space="0" w:color="auto"/>
              </w:divBdr>
            </w:div>
            <w:div w:id="611132841">
              <w:marLeft w:val="0"/>
              <w:marRight w:val="0"/>
              <w:marTop w:val="0"/>
              <w:marBottom w:val="0"/>
              <w:divBdr>
                <w:top w:val="none" w:sz="0" w:space="0" w:color="auto"/>
                <w:left w:val="none" w:sz="0" w:space="0" w:color="auto"/>
                <w:bottom w:val="none" w:sz="0" w:space="0" w:color="auto"/>
                <w:right w:val="none" w:sz="0" w:space="0" w:color="auto"/>
              </w:divBdr>
            </w:div>
          </w:divsChild>
        </w:div>
        <w:div w:id="874315932">
          <w:marLeft w:val="0"/>
          <w:marRight w:val="0"/>
          <w:marTop w:val="0"/>
          <w:marBottom w:val="0"/>
          <w:divBdr>
            <w:top w:val="none" w:sz="0" w:space="0" w:color="auto"/>
            <w:left w:val="none" w:sz="0" w:space="0" w:color="auto"/>
            <w:bottom w:val="none" w:sz="0" w:space="0" w:color="auto"/>
            <w:right w:val="none" w:sz="0" w:space="0" w:color="auto"/>
          </w:divBdr>
          <w:divsChild>
            <w:div w:id="1990590892">
              <w:marLeft w:val="0"/>
              <w:marRight w:val="0"/>
              <w:marTop w:val="0"/>
              <w:marBottom w:val="0"/>
              <w:divBdr>
                <w:top w:val="none" w:sz="0" w:space="0" w:color="auto"/>
                <w:left w:val="none" w:sz="0" w:space="0" w:color="auto"/>
                <w:bottom w:val="none" w:sz="0" w:space="0" w:color="auto"/>
                <w:right w:val="none" w:sz="0" w:space="0" w:color="auto"/>
              </w:divBdr>
            </w:div>
            <w:div w:id="665286819">
              <w:marLeft w:val="0"/>
              <w:marRight w:val="0"/>
              <w:marTop w:val="0"/>
              <w:marBottom w:val="0"/>
              <w:divBdr>
                <w:top w:val="none" w:sz="0" w:space="0" w:color="auto"/>
                <w:left w:val="none" w:sz="0" w:space="0" w:color="auto"/>
                <w:bottom w:val="none" w:sz="0" w:space="0" w:color="auto"/>
                <w:right w:val="none" w:sz="0" w:space="0" w:color="auto"/>
              </w:divBdr>
            </w:div>
          </w:divsChild>
        </w:div>
        <w:div w:id="1851603646">
          <w:marLeft w:val="0"/>
          <w:marRight w:val="0"/>
          <w:marTop w:val="0"/>
          <w:marBottom w:val="0"/>
          <w:divBdr>
            <w:top w:val="none" w:sz="0" w:space="0" w:color="auto"/>
            <w:left w:val="none" w:sz="0" w:space="0" w:color="auto"/>
            <w:bottom w:val="none" w:sz="0" w:space="0" w:color="auto"/>
            <w:right w:val="none" w:sz="0" w:space="0" w:color="auto"/>
          </w:divBdr>
          <w:divsChild>
            <w:div w:id="1663846728">
              <w:marLeft w:val="0"/>
              <w:marRight w:val="0"/>
              <w:marTop w:val="0"/>
              <w:marBottom w:val="0"/>
              <w:divBdr>
                <w:top w:val="none" w:sz="0" w:space="0" w:color="auto"/>
                <w:left w:val="none" w:sz="0" w:space="0" w:color="auto"/>
                <w:bottom w:val="none" w:sz="0" w:space="0" w:color="auto"/>
                <w:right w:val="none" w:sz="0" w:space="0" w:color="auto"/>
              </w:divBdr>
            </w:div>
            <w:div w:id="1918632065">
              <w:marLeft w:val="0"/>
              <w:marRight w:val="0"/>
              <w:marTop w:val="0"/>
              <w:marBottom w:val="0"/>
              <w:divBdr>
                <w:top w:val="none" w:sz="0" w:space="0" w:color="auto"/>
                <w:left w:val="none" w:sz="0" w:space="0" w:color="auto"/>
                <w:bottom w:val="none" w:sz="0" w:space="0" w:color="auto"/>
                <w:right w:val="none" w:sz="0" w:space="0" w:color="auto"/>
              </w:divBdr>
            </w:div>
          </w:divsChild>
        </w:div>
        <w:div w:id="1047140957">
          <w:marLeft w:val="0"/>
          <w:marRight w:val="0"/>
          <w:marTop w:val="0"/>
          <w:marBottom w:val="0"/>
          <w:divBdr>
            <w:top w:val="none" w:sz="0" w:space="0" w:color="auto"/>
            <w:left w:val="none" w:sz="0" w:space="0" w:color="auto"/>
            <w:bottom w:val="none" w:sz="0" w:space="0" w:color="auto"/>
            <w:right w:val="none" w:sz="0" w:space="0" w:color="auto"/>
          </w:divBdr>
          <w:divsChild>
            <w:div w:id="463549611">
              <w:marLeft w:val="0"/>
              <w:marRight w:val="0"/>
              <w:marTop w:val="0"/>
              <w:marBottom w:val="0"/>
              <w:divBdr>
                <w:top w:val="none" w:sz="0" w:space="0" w:color="auto"/>
                <w:left w:val="none" w:sz="0" w:space="0" w:color="auto"/>
                <w:bottom w:val="none" w:sz="0" w:space="0" w:color="auto"/>
                <w:right w:val="none" w:sz="0" w:space="0" w:color="auto"/>
              </w:divBdr>
            </w:div>
            <w:div w:id="54159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2028">
      <w:bodyDiv w:val="1"/>
      <w:marLeft w:val="0"/>
      <w:marRight w:val="0"/>
      <w:marTop w:val="0"/>
      <w:marBottom w:val="0"/>
      <w:divBdr>
        <w:top w:val="none" w:sz="0" w:space="0" w:color="auto"/>
        <w:left w:val="none" w:sz="0" w:space="0" w:color="auto"/>
        <w:bottom w:val="none" w:sz="0" w:space="0" w:color="auto"/>
        <w:right w:val="none" w:sz="0" w:space="0" w:color="auto"/>
      </w:divBdr>
    </w:div>
    <w:div w:id="300699083">
      <w:bodyDiv w:val="1"/>
      <w:marLeft w:val="0"/>
      <w:marRight w:val="0"/>
      <w:marTop w:val="0"/>
      <w:marBottom w:val="0"/>
      <w:divBdr>
        <w:top w:val="none" w:sz="0" w:space="0" w:color="auto"/>
        <w:left w:val="none" w:sz="0" w:space="0" w:color="auto"/>
        <w:bottom w:val="none" w:sz="0" w:space="0" w:color="auto"/>
        <w:right w:val="none" w:sz="0" w:space="0" w:color="auto"/>
      </w:divBdr>
    </w:div>
    <w:div w:id="423262078">
      <w:bodyDiv w:val="1"/>
      <w:marLeft w:val="0"/>
      <w:marRight w:val="0"/>
      <w:marTop w:val="0"/>
      <w:marBottom w:val="0"/>
      <w:divBdr>
        <w:top w:val="none" w:sz="0" w:space="0" w:color="auto"/>
        <w:left w:val="none" w:sz="0" w:space="0" w:color="auto"/>
        <w:bottom w:val="none" w:sz="0" w:space="0" w:color="auto"/>
        <w:right w:val="none" w:sz="0" w:space="0" w:color="auto"/>
      </w:divBdr>
    </w:div>
    <w:div w:id="536938796">
      <w:bodyDiv w:val="1"/>
      <w:marLeft w:val="0"/>
      <w:marRight w:val="0"/>
      <w:marTop w:val="0"/>
      <w:marBottom w:val="0"/>
      <w:divBdr>
        <w:top w:val="none" w:sz="0" w:space="0" w:color="auto"/>
        <w:left w:val="none" w:sz="0" w:space="0" w:color="auto"/>
        <w:bottom w:val="none" w:sz="0" w:space="0" w:color="auto"/>
        <w:right w:val="none" w:sz="0" w:space="0" w:color="auto"/>
      </w:divBdr>
    </w:div>
    <w:div w:id="729381067">
      <w:bodyDiv w:val="1"/>
      <w:marLeft w:val="0"/>
      <w:marRight w:val="0"/>
      <w:marTop w:val="0"/>
      <w:marBottom w:val="0"/>
      <w:divBdr>
        <w:top w:val="none" w:sz="0" w:space="0" w:color="auto"/>
        <w:left w:val="none" w:sz="0" w:space="0" w:color="auto"/>
        <w:bottom w:val="none" w:sz="0" w:space="0" w:color="auto"/>
        <w:right w:val="none" w:sz="0" w:space="0" w:color="auto"/>
      </w:divBdr>
    </w:div>
    <w:div w:id="878278028">
      <w:bodyDiv w:val="1"/>
      <w:marLeft w:val="0"/>
      <w:marRight w:val="0"/>
      <w:marTop w:val="0"/>
      <w:marBottom w:val="0"/>
      <w:divBdr>
        <w:top w:val="none" w:sz="0" w:space="0" w:color="auto"/>
        <w:left w:val="none" w:sz="0" w:space="0" w:color="auto"/>
        <w:bottom w:val="none" w:sz="0" w:space="0" w:color="auto"/>
        <w:right w:val="none" w:sz="0" w:space="0" w:color="auto"/>
      </w:divBdr>
    </w:div>
    <w:div w:id="1006861210">
      <w:bodyDiv w:val="1"/>
      <w:marLeft w:val="0"/>
      <w:marRight w:val="0"/>
      <w:marTop w:val="0"/>
      <w:marBottom w:val="0"/>
      <w:divBdr>
        <w:top w:val="none" w:sz="0" w:space="0" w:color="auto"/>
        <w:left w:val="none" w:sz="0" w:space="0" w:color="auto"/>
        <w:bottom w:val="none" w:sz="0" w:space="0" w:color="auto"/>
        <w:right w:val="none" w:sz="0" w:space="0" w:color="auto"/>
      </w:divBdr>
    </w:div>
    <w:div w:id="1051270280">
      <w:bodyDiv w:val="1"/>
      <w:marLeft w:val="0"/>
      <w:marRight w:val="0"/>
      <w:marTop w:val="0"/>
      <w:marBottom w:val="0"/>
      <w:divBdr>
        <w:top w:val="none" w:sz="0" w:space="0" w:color="auto"/>
        <w:left w:val="none" w:sz="0" w:space="0" w:color="auto"/>
        <w:bottom w:val="none" w:sz="0" w:space="0" w:color="auto"/>
        <w:right w:val="none" w:sz="0" w:space="0" w:color="auto"/>
      </w:divBdr>
    </w:div>
    <w:div w:id="1062413880">
      <w:bodyDiv w:val="1"/>
      <w:marLeft w:val="0"/>
      <w:marRight w:val="0"/>
      <w:marTop w:val="0"/>
      <w:marBottom w:val="0"/>
      <w:divBdr>
        <w:top w:val="none" w:sz="0" w:space="0" w:color="auto"/>
        <w:left w:val="none" w:sz="0" w:space="0" w:color="auto"/>
        <w:bottom w:val="none" w:sz="0" w:space="0" w:color="auto"/>
        <w:right w:val="none" w:sz="0" w:space="0" w:color="auto"/>
      </w:divBdr>
    </w:div>
    <w:div w:id="1087383639">
      <w:bodyDiv w:val="1"/>
      <w:marLeft w:val="0"/>
      <w:marRight w:val="0"/>
      <w:marTop w:val="0"/>
      <w:marBottom w:val="0"/>
      <w:divBdr>
        <w:top w:val="none" w:sz="0" w:space="0" w:color="auto"/>
        <w:left w:val="none" w:sz="0" w:space="0" w:color="auto"/>
        <w:bottom w:val="none" w:sz="0" w:space="0" w:color="auto"/>
        <w:right w:val="none" w:sz="0" w:space="0" w:color="auto"/>
      </w:divBdr>
    </w:div>
    <w:div w:id="1088501431">
      <w:bodyDiv w:val="1"/>
      <w:marLeft w:val="0"/>
      <w:marRight w:val="0"/>
      <w:marTop w:val="0"/>
      <w:marBottom w:val="0"/>
      <w:divBdr>
        <w:top w:val="none" w:sz="0" w:space="0" w:color="auto"/>
        <w:left w:val="none" w:sz="0" w:space="0" w:color="auto"/>
        <w:bottom w:val="none" w:sz="0" w:space="0" w:color="auto"/>
        <w:right w:val="none" w:sz="0" w:space="0" w:color="auto"/>
      </w:divBdr>
    </w:div>
    <w:div w:id="1094548670">
      <w:bodyDiv w:val="1"/>
      <w:marLeft w:val="0"/>
      <w:marRight w:val="0"/>
      <w:marTop w:val="0"/>
      <w:marBottom w:val="0"/>
      <w:divBdr>
        <w:top w:val="none" w:sz="0" w:space="0" w:color="auto"/>
        <w:left w:val="none" w:sz="0" w:space="0" w:color="auto"/>
        <w:bottom w:val="none" w:sz="0" w:space="0" w:color="auto"/>
        <w:right w:val="none" w:sz="0" w:space="0" w:color="auto"/>
      </w:divBdr>
    </w:div>
    <w:div w:id="1117026229">
      <w:bodyDiv w:val="1"/>
      <w:marLeft w:val="0"/>
      <w:marRight w:val="0"/>
      <w:marTop w:val="0"/>
      <w:marBottom w:val="0"/>
      <w:divBdr>
        <w:top w:val="none" w:sz="0" w:space="0" w:color="auto"/>
        <w:left w:val="none" w:sz="0" w:space="0" w:color="auto"/>
        <w:bottom w:val="none" w:sz="0" w:space="0" w:color="auto"/>
        <w:right w:val="none" w:sz="0" w:space="0" w:color="auto"/>
      </w:divBdr>
    </w:div>
    <w:div w:id="1161968113">
      <w:bodyDiv w:val="1"/>
      <w:marLeft w:val="0"/>
      <w:marRight w:val="0"/>
      <w:marTop w:val="0"/>
      <w:marBottom w:val="0"/>
      <w:divBdr>
        <w:top w:val="none" w:sz="0" w:space="0" w:color="auto"/>
        <w:left w:val="none" w:sz="0" w:space="0" w:color="auto"/>
        <w:bottom w:val="none" w:sz="0" w:space="0" w:color="auto"/>
        <w:right w:val="none" w:sz="0" w:space="0" w:color="auto"/>
      </w:divBdr>
    </w:div>
    <w:div w:id="1194341435">
      <w:bodyDiv w:val="1"/>
      <w:marLeft w:val="0"/>
      <w:marRight w:val="0"/>
      <w:marTop w:val="0"/>
      <w:marBottom w:val="0"/>
      <w:divBdr>
        <w:top w:val="none" w:sz="0" w:space="0" w:color="auto"/>
        <w:left w:val="none" w:sz="0" w:space="0" w:color="auto"/>
        <w:bottom w:val="none" w:sz="0" w:space="0" w:color="auto"/>
        <w:right w:val="none" w:sz="0" w:space="0" w:color="auto"/>
      </w:divBdr>
    </w:div>
    <w:div w:id="1223979828">
      <w:bodyDiv w:val="1"/>
      <w:marLeft w:val="0"/>
      <w:marRight w:val="0"/>
      <w:marTop w:val="0"/>
      <w:marBottom w:val="0"/>
      <w:divBdr>
        <w:top w:val="none" w:sz="0" w:space="0" w:color="auto"/>
        <w:left w:val="none" w:sz="0" w:space="0" w:color="auto"/>
        <w:bottom w:val="none" w:sz="0" w:space="0" w:color="auto"/>
        <w:right w:val="none" w:sz="0" w:space="0" w:color="auto"/>
      </w:divBdr>
    </w:div>
    <w:div w:id="1262254303">
      <w:bodyDiv w:val="1"/>
      <w:marLeft w:val="0"/>
      <w:marRight w:val="0"/>
      <w:marTop w:val="0"/>
      <w:marBottom w:val="0"/>
      <w:divBdr>
        <w:top w:val="none" w:sz="0" w:space="0" w:color="auto"/>
        <w:left w:val="none" w:sz="0" w:space="0" w:color="auto"/>
        <w:bottom w:val="none" w:sz="0" w:space="0" w:color="auto"/>
        <w:right w:val="none" w:sz="0" w:space="0" w:color="auto"/>
      </w:divBdr>
    </w:div>
    <w:div w:id="1323897297">
      <w:bodyDiv w:val="1"/>
      <w:marLeft w:val="0"/>
      <w:marRight w:val="0"/>
      <w:marTop w:val="0"/>
      <w:marBottom w:val="0"/>
      <w:divBdr>
        <w:top w:val="none" w:sz="0" w:space="0" w:color="auto"/>
        <w:left w:val="none" w:sz="0" w:space="0" w:color="auto"/>
        <w:bottom w:val="none" w:sz="0" w:space="0" w:color="auto"/>
        <w:right w:val="none" w:sz="0" w:space="0" w:color="auto"/>
      </w:divBdr>
    </w:div>
    <w:div w:id="1446465105">
      <w:bodyDiv w:val="1"/>
      <w:marLeft w:val="0"/>
      <w:marRight w:val="0"/>
      <w:marTop w:val="0"/>
      <w:marBottom w:val="0"/>
      <w:divBdr>
        <w:top w:val="none" w:sz="0" w:space="0" w:color="auto"/>
        <w:left w:val="none" w:sz="0" w:space="0" w:color="auto"/>
        <w:bottom w:val="none" w:sz="0" w:space="0" w:color="auto"/>
        <w:right w:val="none" w:sz="0" w:space="0" w:color="auto"/>
      </w:divBdr>
    </w:div>
    <w:div w:id="1586186437">
      <w:bodyDiv w:val="1"/>
      <w:marLeft w:val="0"/>
      <w:marRight w:val="0"/>
      <w:marTop w:val="0"/>
      <w:marBottom w:val="0"/>
      <w:divBdr>
        <w:top w:val="none" w:sz="0" w:space="0" w:color="auto"/>
        <w:left w:val="none" w:sz="0" w:space="0" w:color="auto"/>
        <w:bottom w:val="none" w:sz="0" w:space="0" w:color="auto"/>
        <w:right w:val="none" w:sz="0" w:space="0" w:color="auto"/>
      </w:divBdr>
    </w:div>
    <w:div w:id="1598903003">
      <w:bodyDiv w:val="1"/>
      <w:marLeft w:val="0"/>
      <w:marRight w:val="0"/>
      <w:marTop w:val="0"/>
      <w:marBottom w:val="0"/>
      <w:divBdr>
        <w:top w:val="none" w:sz="0" w:space="0" w:color="auto"/>
        <w:left w:val="none" w:sz="0" w:space="0" w:color="auto"/>
        <w:bottom w:val="none" w:sz="0" w:space="0" w:color="auto"/>
        <w:right w:val="none" w:sz="0" w:space="0" w:color="auto"/>
      </w:divBdr>
    </w:div>
    <w:div w:id="1834101867">
      <w:bodyDiv w:val="1"/>
      <w:marLeft w:val="0"/>
      <w:marRight w:val="0"/>
      <w:marTop w:val="0"/>
      <w:marBottom w:val="0"/>
      <w:divBdr>
        <w:top w:val="none" w:sz="0" w:space="0" w:color="auto"/>
        <w:left w:val="none" w:sz="0" w:space="0" w:color="auto"/>
        <w:bottom w:val="none" w:sz="0" w:space="0" w:color="auto"/>
        <w:right w:val="none" w:sz="0" w:space="0" w:color="auto"/>
      </w:divBdr>
    </w:div>
    <w:div w:id="1878543816">
      <w:bodyDiv w:val="1"/>
      <w:marLeft w:val="0"/>
      <w:marRight w:val="0"/>
      <w:marTop w:val="0"/>
      <w:marBottom w:val="0"/>
      <w:divBdr>
        <w:top w:val="none" w:sz="0" w:space="0" w:color="auto"/>
        <w:left w:val="none" w:sz="0" w:space="0" w:color="auto"/>
        <w:bottom w:val="none" w:sz="0" w:space="0" w:color="auto"/>
        <w:right w:val="none" w:sz="0" w:space="0" w:color="auto"/>
      </w:divBdr>
    </w:div>
    <w:div w:id="1969047833">
      <w:bodyDiv w:val="1"/>
      <w:marLeft w:val="0"/>
      <w:marRight w:val="0"/>
      <w:marTop w:val="0"/>
      <w:marBottom w:val="0"/>
      <w:divBdr>
        <w:top w:val="none" w:sz="0" w:space="0" w:color="auto"/>
        <w:left w:val="none" w:sz="0" w:space="0" w:color="auto"/>
        <w:bottom w:val="none" w:sz="0" w:space="0" w:color="auto"/>
        <w:right w:val="none" w:sz="0" w:space="0" w:color="auto"/>
      </w:divBdr>
    </w:div>
    <w:div w:id="205877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pc.int/en/core-activities/standards-setting/expert-drafting-groups/technical-panels/technical-panel-on-commodity-standards/" TargetMode="External"/><Relationship Id="rId18" Type="http://schemas.openxmlformats.org/officeDocument/2006/relationships/diagramColors" Target="diagrams/colors1.xml"/><Relationship Id="rId26" Type="http://schemas.openxmlformats.org/officeDocument/2006/relationships/header" Target="header2.xml"/><Relationship Id="rId39" Type="http://schemas.openxmlformats.org/officeDocument/2006/relationships/hyperlink" Target="https://www.ippc.int/en/publications/91184/" TargetMode="External"/><Relationship Id="rId3" Type="http://schemas.openxmlformats.org/officeDocument/2006/relationships/customXml" Target="../customXml/item3.xml"/><Relationship Id="rId21" Type="http://schemas.openxmlformats.org/officeDocument/2006/relationships/hyperlink" Target="https://www.ippc.int/en/core-activities/standards-setting/expert-drafting-groups/technical-panels/technical-panel-on-commodity-standards/" TargetMode="External"/><Relationship Id="rId34" Type="http://schemas.openxmlformats.org/officeDocument/2006/relationships/hyperlink" Target="mailto:ippc@fao.org" TargetMode="External"/><Relationship Id="rId42" Type="http://schemas.openxmlformats.org/officeDocument/2006/relationships/header" Target="header8.xml"/><Relationship Id="rId47" Type="http://schemas.openxmlformats.org/officeDocument/2006/relationships/header" Target="header11.xml"/><Relationship Id="rId50" Type="http://schemas.openxmlformats.org/officeDocument/2006/relationships/theme" Target="theme/theme1.xml"/><Relationship Id="rId55"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www.ippc.int/en/publications/91184/" TargetMode="External"/><Relationship Id="rId17" Type="http://schemas.openxmlformats.org/officeDocument/2006/relationships/diagramQuickStyle" Target="diagrams/quickStyle1.xml"/><Relationship Id="rId25" Type="http://schemas.openxmlformats.org/officeDocument/2006/relationships/header" Target="header1.xml"/><Relationship Id="rId33" Type="http://schemas.openxmlformats.org/officeDocument/2006/relationships/hyperlink" Target="mailto:ippc@fao.org" TargetMode="External"/><Relationship Id="rId38" Type="http://schemas.openxmlformats.org/officeDocument/2006/relationships/hyperlink" Target="https://www.ippc.int/en/publications/89276/" TargetMode="External"/><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yperlink" Target="https://www.ippc.int/en/publications/91861/" TargetMode="External"/><Relationship Id="rId29" Type="http://schemas.openxmlformats.org/officeDocument/2006/relationships/header" Target="header3.xml"/><Relationship Id="rId41" Type="http://schemas.openxmlformats.org/officeDocument/2006/relationships/header" Target="header7.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hyperlink" Target="http://www.ippc.int" TargetMode="External"/><Relationship Id="rId37" Type="http://schemas.openxmlformats.org/officeDocument/2006/relationships/hyperlink" Target="https://www.ippc.int/en/publications/91184/" TargetMode="External"/><Relationship Id="rId40" Type="http://schemas.openxmlformats.org/officeDocument/2006/relationships/header" Target="header6.xml"/><Relationship Id="rId45"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diagramData" Target="diagrams/data1.xml"/><Relationship Id="rId23" Type="http://schemas.openxmlformats.org/officeDocument/2006/relationships/image" Target="media/image2.jpeg"/><Relationship Id="rId28" Type="http://schemas.openxmlformats.org/officeDocument/2006/relationships/footer" Target="footer2.xml"/><Relationship Id="rId36" Type="http://schemas.openxmlformats.org/officeDocument/2006/relationships/header" Target="header5.xml"/><Relationship Id="rId49" Type="http://schemas.openxmlformats.org/officeDocument/2006/relationships/fontTable" Target="fontTable.xml"/><Relationship Id="rId10" Type="http://schemas.openxmlformats.org/officeDocument/2006/relationships/footnotes" Target="footnotes.xml"/><Relationship Id="rId19" Type="http://schemas.microsoft.com/office/2007/relationships/diagramDrawing" Target="diagrams/drawing1.xml"/><Relationship Id="rId31" Type="http://schemas.openxmlformats.org/officeDocument/2006/relationships/hyperlink" Target="https://www.ippc.int/core-activities/ippc-standard-setting-procedure-manual" TargetMode="External"/><Relationship Id="rId44"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ppc.int/en/publications/91212/" TargetMode="External"/><Relationship Id="rId22" Type="http://schemas.openxmlformats.org/officeDocument/2006/relationships/image" Target="media/image1.png"/><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4.xml"/><Relationship Id="rId43" Type="http://schemas.openxmlformats.org/officeDocument/2006/relationships/header" Target="header9.xml"/><Relationship Id="rId48" Type="http://schemas.openxmlformats.org/officeDocument/2006/relationships/footer" Target="footer6.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ippc.int/en/publications/92067/" TargetMode="External"/><Relationship Id="rId3" Type="http://schemas.openxmlformats.org/officeDocument/2006/relationships/hyperlink" Target="https://www.ippc.int/en/publications/89276/" TargetMode="External"/><Relationship Id="rId7" Type="http://schemas.openxmlformats.org/officeDocument/2006/relationships/hyperlink" Target="https://www.ippc.int/en/publications/91938/" TargetMode="External"/><Relationship Id="rId12" Type="http://schemas.openxmlformats.org/officeDocument/2006/relationships/hyperlink" Target="https://www.ippc.int/en/core-activities/governance/ippc-strategic-framework/" TargetMode="External"/><Relationship Id="rId2" Type="http://schemas.openxmlformats.org/officeDocument/2006/relationships/hyperlink" Target="https://www.ippc.int/en/publications/85024/" TargetMode="External"/><Relationship Id="rId1" Type="http://schemas.openxmlformats.org/officeDocument/2006/relationships/hyperlink" Target="https://assets.ippc.int/static/media/files/publication/en/2019/07/CPM-14_Report_withISPMs-2019-07-31.pdf" TargetMode="External"/><Relationship Id="rId6" Type="http://schemas.openxmlformats.org/officeDocument/2006/relationships/hyperlink" Target="https://www.ippc.int/en/publications/91861/" TargetMode="External"/><Relationship Id="rId11" Type="http://schemas.openxmlformats.org/officeDocument/2006/relationships/hyperlink" Target="https://assets.ippc.int/static/media/files/publication/en/2023/01/13_CPM_2023_SFDAI_2023-01-12.pdf" TargetMode="External"/><Relationship Id="rId5" Type="http://schemas.openxmlformats.org/officeDocument/2006/relationships/hyperlink" Target="https://www.ippc.int/en/core-activities/standards-and-implementation/call-for-topics-standards-and-implementation/" TargetMode="External"/><Relationship Id="rId10" Type="http://schemas.openxmlformats.org/officeDocument/2006/relationships/hyperlink" Target="https://www.ippc.int/en/publications/1308/" TargetMode="External"/><Relationship Id="rId4" Type="http://schemas.openxmlformats.org/officeDocument/2006/relationships/hyperlink" Target="https://www.ippc.int/en/core-activities/standards-setting/expert-drafting-groups/technical-panels/technical-panel-on-commodity-standards/" TargetMode="External"/><Relationship Id="rId9" Type="http://schemas.openxmlformats.org/officeDocument/2006/relationships/hyperlink" Target="https://www.ippc.int/en/publications/89276/"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3714CB-9023-4AA4-836B-EEF97D27F690}" type="doc">
      <dgm:prSet loTypeId="urn:microsoft.com/office/officeart/2011/layout/CircleProcess" loCatId="process" qsTypeId="urn:microsoft.com/office/officeart/2005/8/quickstyle/simple1" qsCatId="simple" csTypeId="urn:microsoft.com/office/officeart/2005/8/colors/accent1_2" csCatId="accent1" phldr="1"/>
      <dgm:spPr/>
      <dgm:t>
        <a:bodyPr/>
        <a:lstStyle/>
        <a:p>
          <a:endParaRPr lang="en-US"/>
        </a:p>
      </dgm:t>
    </dgm:pt>
    <dgm:pt modelId="{19FBD120-5964-4492-90CF-023AED4EF0A5}">
      <dgm:prSet phldrT="[Text]"/>
      <dgm:spPr/>
      <dgm:t>
        <a:bodyPr/>
        <a:lstStyle/>
        <a:p>
          <a:pPr algn="ctr"/>
          <a:r>
            <a:rPr lang="en-GB" dirty="0">
              <a:solidFill>
                <a:sysClr val="windowText" lastClr="000000">
                  <a:hueOff val="0"/>
                  <a:satOff val="0"/>
                  <a:lumOff val="0"/>
                  <a:alphaOff val="0"/>
                </a:sysClr>
              </a:solidFill>
              <a:latin typeface="Calibri" panose="020F0502020204030204"/>
              <a:ea typeface="+mn-ea"/>
              <a:cs typeface="+mn-cs"/>
            </a:rPr>
            <a:t>Draft annex to ISPM 46: mango fruits to the SC May 2023 </a:t>
          </a:r>
          <a:endParaRPr lang="en-US" dirty="0"/>
        </a:p>
      </dgm:t>
    </dgm:pt>
    <dgm:pt modelId="{E8246481-95D8-4BE6-91FB-0BC10524C38F}" type="parTrans" cxnId="{160DE485-4593-440B-AF47-355BADCBF894}">
      <dgm:prSet/>
      <dgm:spPr/>
      <dgm:t>
        <a:bodyPr/>
        <a:lstStyle/>
        <a:p>
          <a:pPr algn="ctr"/>
          <a:endParaRPr lang="en-US"/>
        </a:p>
      </dgm:t>
    </dgm:pt>
    <dgm:pt modelId="{6D20A8B2-8F56-4DB7-8DA0-30E25435069E}" type="sibTrans" cxnId="{160DE485-4593-440B-AF47-355BADCBF894}">
      <dgm:prSet/>
      <dgm:spPr/>
      <dgm:t>
        <a:bodyPr/>
        <a:lstStyle/>
        <a:p>
          <a:pPr algn="ctr"/>
          <a:endParaRPr lang="en-US"/>
        </a:p>
      </dgm:t>
    </dgm:pt>
    <dgm:pt modelId="{07D83912-D5FC-4BEA-AA9C-702F4C43A944}">
      <dgm:prSet phldrT="[Text]"/>
      <dgm:spPr/>
      <dgm:t>
        <a:bodyPr/>
        <a:lstStyle/>
        <a:p>
          <a:pPr algn="ctr"/>
          <a:r>
            <a:rPr lang="en-GB" dirty="0">
              <a:solidFill>
                <a:sysClr val="windowText" lastClr="000000">
                  <a:hueOff val="0"/>
                  <a:satOff val="0"/>
                  <a:lumOff val="0"/>
                  <a:alphaOff val="0"/>
                </a:sysClr>
              </a:solidFill>
              <a:latin typeface="Calibri" panose="020F0502020204030204"/>
              <a:ea typeface="+mn-ea"/>
              <a:cs typeface="+mn-cs"/>
            </a:rPr>
            <a:t>1</a:t>
          </a:r>
          <a:r>
            <a:rPr lang="en-GB" baseline="30000" dirty="0">
              <a:solidFill>
                <a:sysClr val="windowText" lastClr="000000">
                  <a:hueOff val="0"/>
                  <a:satOff val="0"/>
                  <a:lumOff val="0"/>
                  <a:alphaOff val="0"/>
                </a:sysClr>
              </a:solidFill>
              <a:latin typeface="Calibri" panose="020F0502020204030204"/>
              <a:ea typeface="+mn-ea"/>
              <a:cs typeface="+mn-cs"/>
            </a:rPr>
            <a:t>st</a:t>
          </a:r>
          <a:r>
            <a:rPr lang="en-GB" dirty="0">
              <a:solidFill>
                <a:sysClr val="windowText" lastClr="000000">
                  <a:hueOff val="0"/>
                  <a:satOff val="0"/>
                  <a:lumOff val="0"/>
                  <a:alphaOff val="0"/>
                </a:sysClr>
              </a:solidFill>
              <a:latin typeface="Calibri" panose="020F0502020204030204"/>
              <a:ea typeface="+mn-ea"/>
              <a:cs typeface="+mn-cs"/>
            </a:rPr>
            <a:t> consultation</a:t>
          </a:r>
        </a:p>
        <a:p>
          <a:pPr algn="ctr"/>
          <a:r>
            <a:rPr lang="en-GB" dirty="0">
              <a:solidFill>
                <a:sysClr val="windowText" lastClr="000000">
                  <a:hueOff val="0"/>
                  <a:satOff val="0"/>
                  <a:lumOff val="0"/>
                  <a:alphaOff val="0"/>
                </a:sysClr>
              </a:solidFill>
              <a:latin typeface="Calibri" panose="020F0502020204030204"/>
              <a:ea typeface="+mn-ea"/>
              <a:cs typeface="+mn-cs"/>
            </a:rPr>
            <a:t>July 2023</a:t>
          </a:r>
        </a:p>
        <a:p>
          <a:pPr algn="ctr"/>
          <a:r>
            <a:rPr lang="en-GB" dirty="0">
              <a:solidFill>
                <a:sysClr val="windowText" lastClr="000000">
                  <a:hueOff val="0"/>
                  <a:satOff val="0"/>
                  <a:lumOff val="0"/>
                  <a:alphaOff val="0"/>
                </a:sysClr>
              </a:solidFill>
              <a:latin typeface="Calibri" panose="020F0502020204030204"/>
              <a:ea typeface="+mn-ea"/>
              <a:cs typeface="+mn-cs"/>
            </a:rPr>
            <a:t>Draft annex to ISPM 46: mango fruits </a:t>
          </a:r>
          <a:endParaRPr lang="en-US" dirty="0"/>
        </a:p>
      </dgm:t>
    </dgm:pt>
    <dgm:pt modelId="{92DC1494-2DA1-4F39-A37E-2C318D416DAF}" type="parTrans" cxnId="{C0AF809F-6C22-4F65-8151-6D722273554D}">
      <dgm:prSet/>
      <dgm:spPr/>
      <dgm:t>
        <a:bodyPr/>
        <a:lstStyle/>
        <a:p>
          <a:pPr algn="ctr"/>
          <a:endParaRPr lang="en-US"/>
        </a:p>
      </dgm:t>
    </dgm:pt>
    <dgm:pt modelId="{B50A7F48-4150-43FF-BD06-00285BD96EA0}" type="sibTrans" cxnId="{C0AF809F-6C22-4F65-8151-6D722273554D}">
      <dgm:prSet/>
      <dgm:spPr/>
      <dgm:t>
        <a:bodyPr/>
        <a:lstStyle/>
        <a:p>
          <a:pPr algn="ctr"/>
          <a:endParaRPr lang="en-US"/>
        </a:p>
      </dgm:t>
    </dgm:pt>
    <dgm:pt modelId="{178C2E58-615F-4CF9-AABD-8A5F8B533450}">
      <dgm:prSet phldrT="[Text]"/>
      <dgm:spPr/>
      <dgm:t>
        <a:bodyPr/>
        <a:lstStyle/>
        <a:p>
          <a:pPr algn="ctr"/>
          <a:r>
            <a:rPr lang="en-GB" dirty="0"/>
            <a:t>Recommendation </a:t>
          </a:r>
          <a:r>
            <a:rPr lang="en-GB"/>
            <a:t>for adoption by CPM-19 (2025)</a:t>
          </a:r>
          <a:endParaRPr lang="en-US"/>
        </a:p>
      </dgm:t>
    </dgm:pt>
    <dgm:pt modelId="{9A1C361B-DAF5-443A-853D-214D93CB1667}" type="parTrans" cxnId="{361FB0CC-C12B-4F86-98A8-5B7BA48575C7}">
      <dgm:prSet/>
      <dgm:spPr/>
      <dgm:t>
        <a:bodyPr/>
        <a:lstStyle/>
        <a:p>
          <a:pPr algn="ctr"/>
          <a:endParaRPr lang="en-US"/>
        </a:p>
      </dgm:t>
    </dgm:pt>
    <dgm:pt modelId="{648C9537-5338-43C4-B772-5B0EC36ED828}" type="sibTrans" cxnId="{361FB0CC-C12B-4F86-98A8-5B7BA48575C7}">
      <dgm:prSet/>
      <dgm:spPr/>
      <dgm:t>
        <a:bodyPr/>
        <a:lstStyle/>
        <a:p>
          <a:pPr algn="ctr"/>
          <a:endParaRPr lang="en-US"/>
        </a:p>
      </dgm:t>
    </dgm:pt>
    <dgm:pt modelId="{46FCDA20-62C7-4F8C-8D48-BD20F812DFEF}">
      <dgm:prSet phldrT="[Text]"/>
      <dgm:spPr/>
      <dgm:t>
        <a:bodyPr/>
        <a:lstStyle/>
        <a:p>
          <a:pPr algn="ctr"/>
          <a:r>
            <a:rPr lang="en-GB" dirty="0">
              <a:solidFill>
                <a:sysClr val="windowText" lastClr="000000">
                  <a:hueOff val="0"/>
                  <a:satOff val="0"/>
                  <a:lumOff val="0"/>
                  <a:alphaOff val="0"/>
                </a:sysClr>
              </a:solidFill>
              <a:latin typeface="Calibri" panose="020F0502020204030204"/>
              <a:ea typeface="+mn-ea"/>
              <a:cs typeface="+mn-cs"/>
            </a:rPr>
            <a:t>2</a:t>
          </a:r>
          <a:r>
            <a:rPr lang="en-GB" baseline="30000" dirty="0">
              <a:solidFill>
                <a:sysClr val="windowText" lastClr="000000">
                  <a:hueOff val="0"/>
                  <a:satOff val="0"/>
                  <a:lumOff val="0"/>
                  <a:alphaOff val="0"/>
                </a:sysClr>
              </a:solidFill>
              <a:latin typeface="Calibri" panose="020F0502020204030204"/>
              <a:ea typeface="+mn-ea"/>
              <a:cs typeface="+mn-cs"/>
            </a:rPr>
            <a:t>nd</a:t>
          </a:r>
          <a:r>
            <a:rPr lang="en-GB" dirty="0">
              <a:solidFill>
                <a:sysClr val="windowText" lastClr="000000">
                  <a:hueOff val="0"/>
                  <a:satOff val="0"/>
                  <a:lumOff val="0"/>
                  <a:alphaOff val="0"/>
                </a:sysClr>
              </a:solidFill>
              <a:latin typeface="Calibri" panose="020F0502020204030204"/>
              <a:ea typeface="+mn-ea"/>
              <a:cs typeface="+mn-cs"/>
            </a:rPr>
            <a:t> Consultation</a:t>
          </a:r>
        </a:p>
        <a:p>
          <a:pPr algn="ctr"/>
          <a:r>
            <a:rPr lang="en-GB" dirty="0">
              <a:solidFill>
                <a:sysClr val="windowText" lastClr="000000">
                  <a:hueOff val="0"/>
                  <a:satOff val="0"/>
                  <a:lumOff val="0"/>
                  <a:alphaOff val="0"/>
                </a:sysClr>
              </a:solidFill>
              <a:latin typeface="Calibri" panose="020F0502020204030204"/>
              <a:ea typeface="+mn-ea"/>
              <a:cs typeface="+mn-cs"/>
            </a:rPr>
            <a:t>July 2024</a:t>
          </a:r>
        </a:p>
        <a:p>
          <a:pPr algn="ctr"/>
          <a:r>
            <a:rPr lang="en-GB" dirty="0">
              <a:solidFill>
                <a:sysClr val="windowText" lastClr="000000">
                  <a:hueOff val="0"/>
                  <a:satOff val="0"/>
                  <a:lumOff val="0"/>
                  <a:alphaOff val="0"/>
                </a:sysClr>
              </a:solidFill>
              <a:latin typeface="Calibri" panose="020F0502020204030204"/>
              <a:ea typeface="+mn-ea"/>
              <a:cs typeface="+mn-cs"/>
            </a:rPr>
            <a:t>Draft annex to ISPM 46: mango fruits (SC-7, 2024)</a:t>
          </a:r>
          <a:endParaRPr lang="en-US" dirty="0"/>
        </a:p>
      </dgm:t>
    </dgm:pt>
    <dgm:pt modelId="{3AD13621-5854-4B54-9B0C-4B9E73F3C83D}" type="parTrans" cxnId="{F1844171-43AC-4D33-88BA-805208261060}">
      <dgm:prSet/>
      <dgm:spPr/>
      <dgm:t>
        <a:bodyPr/>
        <a:lstStyle/>
        <a:p>
          <a:pPr algn="ctr"/>
          <a:endParaRPr lang="en-US"/>
        </a:p>
      </dgm:t>
    </dgm:pt>
    <dgm:pt modelId="{B6A881E4-7A7D-4E33-BF41-F46128E8451D}" type="sibTrans" cxnId="{F1844171-43AC-4D33-88BA-805208261060}">
      <dgm:prSet/>
      <dgm:spPr/>
      <dgm:t>
        <a:bodyPr/>
        <a:lstStyle/>
        <a:p>
          <a:pPr algn="ctr"/>
          <a:endParaRPr lang="en-US"/>
        </a:p>
      </dgm:t>
    </dgm:pt>
    <dgm:pt modelId="{68F138B2-0612-4959-B526-45CBD63E0F25}">
      <dgm:prSet phldrT="[Text]"/>
      <dgm:spPr/>
      <dgm:t>
        <a:bodyPr/>
        <a:lstStyle/>
        <a:p>
          <a:pPr algn="ctr"/>
          <a:r>
            <a:rPr lang="en-GB" dirty="0">
              <a:solidFill>
                <a:sysClr val="windowText" lastClr="000000">
                  <a:hueOff val="0"/>
                  <a:satOff val="0"/>
                  <a:lumOff val="0"/>
                  <a:alphaOff val="0"/>
                </a:sysClr>
              </a:solidFill>
              <a:latin typeface="Calibri" panose="020F0502020204030204"/>
              <a:ea typeface="+mn-ea"/>
              <a:cs typeface="+mn-cs"/>
            </a:rPr>
            <a:t>Draft annex to ISPM 46: mango fruits to the SC November 2024 </a:t>
          </a:r>
          <a:endParaRPr lang="en-US" dirty="0"/>
        </a:p>
      </dgm:t>
    </dgm:pt>
    <dgm:pt modelId="{C04C5368-3290-4C72-99C3-B8FA14620D05}" type="parTrans" cxnId="{ECC004CE-8810-4EE9-A7BF-9977299B6E9F}">
      <dgm:prSet/>
      <dgm:spPr/>
      <dgm:t>
        <a:bodyPr/>
        <a:lstStyle/>
        <a:p>
          <a:pPr algn="ctr"/>
          <a:endParaRPr lang="en-US"/>
        </a:p>
      </dgm:t>
    </dgm:pt>
    <dgm:pt modelId="{261765AE-9FA7-418D-95FE-28546FE063AD}" type="sibTrans" cxnId="{ECC004CE-8810-4EE9-A7BF-9977299B6E9F}">
      <dgm:prSet/>
      <dgm:spPr/>
      <dgm:t>
        <a:bodyPr/>
        <a:lstStyle/>
        <a:p>
          <a:pPr algn="ctr"/>
          <a:endParaRPr lang="en-US"/>
        </a:p>
      </dgm:t>
    </dgm:pt>
    <dgm:pt modelId="{A1666EBF-1D17-4A19-A9C4-BB88A9EE0438}" type="pres">
      <dgm:prSet presAssocID="{323714CB-9023-4AA4-836B-EEF97D27F690}" presName="Name0" presStyleCnt="0">
        <dgm:presLayoutVars>
          <dgm:chMax val="11"/>
          <dgm:chPref val="11"/>
          <dgm:dir/>
          <dgm:resizeHandles/>
        </dgm:presLayoutVars>
      </dgm:prSet>
      <dgm:spPr/>
      <dgm:t>
        <a:bodyPr/>
        <a:lstStyle/>
        <a:p>
          <a:endParaRPr lang="en-US"/>
        </a:p>
      </dgm:t>
    </dgm:pt>
    <dgm:pt modelId="{AE3CBA24-4D39-432C-9D68-AD0500052F11}" type="pres">
      <dgm:prSet presAssocID="{178C2E58-615F-4CF9-AABD-8A5F8B533450}" presName="Accent5" presStyleCnt="0"/>
      <dgm:spPr/>
    </dgm:pt>
    <dgm:pt modelId="{7C5A2AA7-CC35-4665-BAE7-B2E5CBC92CCF}" type="pres">
      <dgm:prSet presAssocID="{178C2E58-615F-4CF9-AABD-8A5F8B533450}" presName="Accent" presStyleLbl="node1" presStyleIdx="0" presStyleCnt="5"/>
      <dgm:spPr/>
    </dgm:pt>
    <dgm:pt modelId="{15FAF4DF-6D4E-42CA-B0FC-47C47D67CEFD}" type="pres">
      <dgm:prSet presAssocID="{178C2E58-615F-4CF9-AABD-8A5F8B533450}" presName="ParentBackground5" presStyleCnt="0"/>
      <dgm:spPr/>
    </dgm:pt>
    <dgm:pt modelId="{08D10D9C-4679-40F2-AFA9-E9D455380E11}" type="pres">
      <dgm:prSet presAssocID="{178C2E58-615F-4CF9-AABD-8A5F8B533450}" presName="ParentBackground" presStyleLbl="fgAcc1" presStyleIdx="0" presStyleCnt="5"/>
      <dgm:spPr/>
      <dgm:t>
        <a:bodyPr/>
        <a:lstStyle/>
        <a:p>
          <a:endParaRPr lang="en-US"/>
        </a:p>
      </dgm:t>
    </dgm:pt>
    <dgm:pt modelId="{F7409494-E5AF-43F7-8394-2C02D9034467}" type="pres">
      <dgm:prSet presAssocID="{178C2E58-615F-4CF9-AABD-8A5F8B533450}" presName="Parent5" presStyleLbl="revTx" presStyleIdx="0" presStyleCnt="0">
        <dgm:presLayoutVars>
          <dgm:chMax val="1"/>
          <dgm:chPref val="1"/>
          <dgm:bulletEnabled val="1"/>
        </dgm:presLayoutVars>
      </dgm:prSet>
      <dgm:spPr/>
      <dgm:t>
        <a:bodyPr/>
        <a:lstStyle/>
        <a:p>
          <a:endParaRPr lang="en-US"/>
        </a:p>
      </dgm:t>
    </dgm:pt>
    <dgm:pt modelId="{57A88B4B-BAF1-4EF3-A6DA-FE69C1E2BC37}" type="pres">
      <dgm:prSet presAssocID="{68F138B2-0612-4959-B526-45CBD63E0F25}" presName="Accent4" presStyleCnt="0"/>
      <dgm:spPr/>
    </dgm:pt>
    <dgm:pt modelId="{D628127D-10BA-4CF5-9B9A-06862BE522E3}" type="pres">
      <dgm:prSet presAssocID="{68F138B2-0612-4959-B526-45CBD63E0F25}" presName="Accent" presStyleLbl="node1" presStyleIdx="1" presStyleCnt="5"/>
      <dgm:spPr/>
    </dgm:pt>
    <dgm:pt modelId="{06DA3452-95F0-437D-A83B-0C028E5AF45F}" type="pres">
      <dgm:prSet presAssocID="{68F138B2-0612-4959-B526-45CBD63E0F25}" presName="ParentBackground4" presStyleCnt="0"/>
      <dgm:spPr/>
    </dgm:pt>
    <dgm:pt modelId="{DD1D2785-0682-4F8A-B701-DD041349B0C1}" type="pres">
      <dgm:prSet presAssocID="{68F138B2-0612-4959-B526-45CBD63E0F25}" presName="ParentBackground" presStyleLbl="fgAcc1" presStyleIdx="1" presStyleCnt="5"/>
      <dgm:spPr/>
      <dgm:t>
        <a:bodyPr/>
        <a:lstStyle/>
        <a:p>
          <a:endParaRPr lang="en-US"/>
        </a:p>
      </dgm:t>
    </dgm:pt>
    <dgm:pt modelId="{157B8DCB-DE4A-45AB-9B39-F5EDF1A32244}" type="pres">
      <dgm:prSet presAssocID="{68F138B2-0612-4959-B526-45CBD63E0F25}" presName="Parent4" presStyleLbl="revTx" presStyleIdx="0" presStyleCnt="0">
        <dgm:presLayoutVars>
          <dgm:chMax val="1"/>
          <dgm:chPref val="1"/>
          <dgm:bulletEnabled val="1"/>
        </dgm:presLayoutVars>
      </dgm:prSet>
      <dgm:spPr/>
      <dgm:t>
        <a:bodyPr/>
        <a:lstStyle/>
        <a:p>
          <a:endParaRPr lang="en-US"/>
        </a:p>
      </dgm:t>
    </dgm:pt>
    <dgm:pt modelId="{5D244D53-374E-4DA3-85CF-A86465BEF861}" type="pres">
      <dgm:prSet presAssocID="{46FCDA20-62C7-4F8C-8D48-BD20F812DFEF}" presName="Accent3" presStyleCnt="0"/>
      <dgm:spPr/>
    </dgm:pt>
    <dgm:pt modelId="{1E10BA17-4E4A-4C0F-8149-CB0F0C6A9B0A}" type="pres">
      <dgm:prSet presAssocID="{46FCDA20-62C7-4F8C-8D48-BD20F812DFEF}" presName="Accent" presStyleLbl="node1" presStyleIdx="2" presStyleCnt="5"/>
      <dgm:spPr/>
    </dgm:pt>
    <dgm:pt modelId="{9F892037-3A90-4216-AF86-0B107330B251}" type="pres">
      <dgm:prSet presAssocID="{46FCDA20-62C7-4F8C-8D48-BD20F812DFEF}" presName="ParentBackground3" presStyleCnt="0"/>
      <dgm:spPr/>
    </dgm:pt>
    <dgm:pt modelId="{9B922ED1-D987-4BA5-9346-0D2AE10E2B2E}" type="pres">
      <dgm:prSet presAssocID="{46FCDA20-62C7-4F8C-8D48-BD20F812DFEF}" presName="ParentBackground" presStyleLbl="fgAcc1" presStyleIdx="2" presStyleCnt="5"/>
      <dgm:spPr/>
      <dgm:t>
        <a:bodyPr/>
        <a:lstStyle/>
        <a:p>
          <a:endParaRPr lang="en-US"/>
        </a:p>
      </dgm:t>
    </dgm:pt>
    <dgm:pt modelId="{6D3644F9-662F-4783-9CB3-3C0A26C1EF46}" type="pres">
      <dgm:prSet presAssocID="{46FCDA20-62C7-4F8C-8D48-BD20F812DFEF}" presName="Parent3" presStyleLbl="revTx" presStyleIdx="0" presStyleCnt="0">
        <dgm:presLayoutVars>
          <dgm:chMax val="1"/>
          <dgm:chPref val="1"/>
          <dgm:bulletEnabled val="1"/>
        </dgm:presLayoutVars>
      </dgm:prSet>
      <dgm:spPr/>
      <dgm:t>
        <a:bodyPr/>
        <a:lstStyle/>
        <a:p>
          <a:endParaRPr lang="en-US"/>
        </a:p>
      </dgm:t>
    </dgm:pt>
    <dgm:pt modelId="{85B1D5ED-0344-4C66-83D3-5E8D636A36FD}" type="pres">
      <dgm:prSet presAssocID="{07D83912-D5FC-4BEA-AA9C-702F4C43A944}" presName="Accent2" presStyleCnt="0"/>
      <dgm:spPr/>
    </dgm:pt>
    <dgm:pt modelId="{7A271FFF-45DA-42DD-80D7-82B98DD746EC}" type="pres">
      <dgm:prSet presAssocID="{07D83912-D5FC-4BEA-AA9C-702F4C43A944}" presName="Accent" presStyleLbl="node1" presStyleIdx="3" presStyleCnt="5"/>
      <dgm:spPr/>
    </dgm:pt>
    <dgm:pt modelId="{B0EA9E8E-CDFC-4649-8673-6BA02168E4A4}" type="pres">
      <dgm:prSet presAssocID="{07D83912-D5FC-4BEA-AA9C-702F4C43A944}" presName="ParentBackground2" presStyleCnt="0"/>
      <dgm:spPr/>
    </dgm:pt>
    <dgm:pt modelId="{7B657304-1521-47A5-B99B-93BD00404FE8}" type="pres">
      <dgm:prSet presAssocID="{07D83912-D5FC-4BEA-AA9C-702F4C43A944}" presName="ParentBackground" presStyleLbl="fgAcc1" presStyleIdx="3" presStyleCnt="5"/>
      <dgm:spPr/>
      <dgm:t>
        <a:bodyPr/>
        <a:lstStyle/>
        <a:p>
          <a:endParaRPr lang="en-US"/>
        </a:p>
      </dgm:t>
    </dgm:pt>
    <dgm:pt modelId="{88BD9174-EB1E-4889-AC22-47671FE53B4A}" type="pres">
      <dgm:prSet presAssocID="{07D83912-D5FC-4BEA-AA9C-702F4C43A944}" presName="Parent2" presStyleLbl="revTx" presStyleIdx="0" presStyleCnt="0">
        <dgm:presLayoutVars>
          <dgm:chMax val="1"/>
          <dgm:chPref val="1"/>
          <dgm:bulletEnabled val="1"/>
        </dgm:presLayoutVars>
      </dgm:prSet>
      <dgm:spPr/>
      <dgm:t>
        <a:bodyPr/>
        <a:lstStyle/>
        <a:p>
          <a:endParaRPr lang="en-US"/>
        </a:p>
      </dgm:t>
    </dgm:pt>
    <dgm:pt modelId="{8231CE5A-74B9-4AA8-B1A8-53DBE13E7612}" type="pres">
      <dgm:prSet presAssocID="{19FBD120-5964-4492-90CF-023AED4EF0A5}" presName="Accent1" presStyleCnt="0"/>
      <dgm:spPr/>
    </dgm:pt>
    <dgm:pt modelId="{0B19808D-C64B-406C-92F9-776032D8B11E}" type="pres">
      <dgm:prSet presAssocID="{19FBD120-5964-4492-90CF-023AED4EF0A5}" presName="Accent" presStyleLbl="node1" presStyleIdx="4" presStyleCnt="5"/>
      <dgm:spPr/>
    </dgm:pt>
    <dgm:pt modelId="{CCD72391-3467-49DD-9DDB-187103AE0D5C}" type="pres">
      <dgm:prSet presAssocID="{19FBD120-5964-4492-90CF-023AED4EF0A5}" presName="ParentBackground1" presStyleCnt="0"/>
      <dgm:spPr/>
    </dgm:pt>
    <dgm:pt modelId="{2BE57AC5-7FBB-4386-8E8E-D41C485B05A0}" type="pres">
      <dgm:prSet presAssocID="{19FBD120-5964-4492-90CF-023AED4EF0A5}" presName="ParentBackground" presStyleLbl="fgAcc1" presStyleIdx="4" presStyleCnt="5"/>
      <dgm:spPr/>
      <dgm:t>
        <a:bodyPr/>
        <a:lstStyle/>
        <a:p>
          <a:endParaRPr lang="en-US"/>
        </a:p>
      </dgm:t>
    </dgm:pt>
    <dgm:pt modelId="{881D1846-8447-4BA4-8BC6-3240962D29A8}" type="pres">
      <dgm:prSet presAssocID="{19FBD120-5964-4492-90CF-023AED4EF0A5}" presName="Parent1" presStyleLbl="revTx" presStyleIdx="0" presStyleCnt="0">
        <dgm:presLayoutVars>
          <dgm:chMax val="1"/>
          <dgm:chPref val="1"/>
          <dgm:bulletEnabled val="1"/>
        </dgm:presLayoutVars>
      </dgm:prSet>
      <dgm:spPr/>
      <dgm:t>
        <a:bodyPr/>
        <a:lstStyle/>
        <a:p>
          <a:endParaRPr lang="en-US"/>
        </a:p>
      </dgm:t>
    </dgm:pt>
  </dgm:ptLst>
  <dgm:cxnLst>
    <dgm:cxn modelId="{F1844171-43AC-4D33-88BA-805208261060}" srcId="{323714CB-9023-4AA4-836B-EEF97D27F690}" destId="{46FCDA20-62C7-4F8C-8D48-BD20F812DFEF}" srcOrd="2" destOrd="0" parTransId="{3AD13621-5854-4B54-9B0C-4B9E73F3C83D}" sibTransId="{B6A881E4-7A7D-4E33-BF41-F46128E8451D}"/>
    <dgm:cxn modelId="{C463B475-A173-4FFC-A862-244BB48E3C53}" type="presOf" srcId="{19FBD120-5964-4492-90CF-023AED4EF0A5}" destId="{2BE57AC5-7FBB-4386-8E8E-D41C485B05A0}" srcOrd="0" destOrd="0" presId="urn:microsoft.com/office/officeart/2011/layout/CircleProcess"/>
    <dgm:cxn modelId="{5F166FD2-68BF-4233-9C78-4BA1FF8260E7}" type="presOf" srcId="{178C2E58-615F-4CF9-AABD-8A5F8B533450}" destId="{F7409494-E5AF-43F7-8394-2C02D9034467}" srcOrd="1" destOrd="0" presId="urn:microsoft.com/office/officeart/2011/layout/CircleProcess"/>
    <dgm:cxn modelId="{C7EC4CCC-6614-4C84-BAEC-6D9A855BE073}" type="presOf" srcId="{178C2E58-615F-4CF9-AABD-8A5F8B533450}" destId="{08D10D9C-4679-40F2-AFA9-E9D455380E11}" srcOrd="0" destOrd="0" presId="urn:microsoft.com/office/officeart/2011/layout/CircleProcess"/>
    <dgm:cxn modelId="{C7E2247B-81B5-484D-9F24-5AAD111121A4}" type="presOf" srcId="{46FCDA20-62C7-4F8C-8D48-BD20F812DFEF}" destId="{9B922ED1-D987-4BA5-9346-0D2AE10E2B2E}" srcOrd="0" destOrd="0" presId="urn:microsoft.com/office/officeart/2011/layout/CircleProcess"/>
    <dgm:cxn modelId="{C0AF809F-6C22-4F65-8151-6D722273554D}" srcId="{323714CB-9023-4AA4-836B-EEF97D27F690}" destId="{07D83912-D5FC-4BEA-AA9C-702F4C43A944}" srcOrd="1" destOrd="0" parTransId="{92DC1494-2DA1-4F39-A37E-2C318D416DAF}" sibTransId="{B50A7F48-4150-43FF-BD06-00285BD96EA0}"/>
    <dgm:cxn modelId="{4EB10C27-9BF5-43A3-BD2B-ECB666C0E9A0}" type="presOf" srcId="{68F138B2-0612-4959-B526-45CBD63E0F25}" destId="{DD1D2785-0682-4F8A-B701-DD041349B0C1}" srcOrd="0" destOrd="0" presId="urn:microsoft.com/office/officeart/2011/layout/CircleProcess"/>
    <dgm:cxn modelId="{361FB0CC-C12B-4F86-98A8-5B7BA48575C7}" srcId="{323714CB-9023-4AA4-836B-EEF97D27F690}" destId="{178C2E58-615F-4CF9-AABD-8A5F8B533450}" srcOrd="4" destOrd="0" parTransId="{9A1C361B-DAF5-443A-853D-214D93CB1667}" sibTransId="{648C9537-5338-43C4-B772-5B0EC36ED828}"/>
    <dgm:cxn modelId="{A11F29E8-CDEA-4188-8E36-A1BACE753983}" type="presOf" srcId="{07D83912-D5FC-4BEA-AA9C-702F4C43A944}" destId="{88BD9174-EB1E-4889-AC22-47671FE53B4A}" srcOrd="1" destOrd="0" presId="urn:microsoft.com/office/officeart/2011/layout/CircleProcess"/>
    <dgm:cxn modelId="{B49A4BB4-85DB-4AE6-9127-CEEE4FD07243}" type="presOf" srcId="{46FCDA20-62C7-4F8C-8D48-BD20F812DFEF}" destId="{6D3644F9-662F-4783-9CB3-3C0A26C1EF46}" srcOrd="1" destOrd="0" presId="urn:microsoft.com/office/officeart/2011/layout/CircleProcess"/>
    <dgm:cxn modelId="{DA1B1F01-3E7E-4A15-8E98-6950FBB008D6}" type="presOf" srcId="{68F138B2-0612-4959-B526-45CBD63E0F25}" destId="{157B8DCB-DE4A-45AB-9B39-F5EDF1A32244}" srcOrd="1" destOrd="0" presId="urn:microsoft.com/office/officeart/2011/layout/CircleProcess"/>
    <dgm:cxn modelId="{ECC004CE-8810-4EE9-A7BF-9977299B6E9F}" srcId="{323714CB-9023-4AA4-836B-EEF97D27F690}" destId="{68F138B2-0612-4959-B526-45CBD63E0F25}" srcOrd="3" destOrd="0" parTransId="{C04C5368-3290-4C72-99C3-B8FA14620D05}" sibTransId="{261765AE-9FA7-418D-95FE-28546FE063AD}"/>
    <dgm:cxn modelId="{160DE485-4593-440B-AF47-355BADCBF894}" srcId="{323714CB-9023-4AA4-836B-EEF97D27F690}" destId="{19FBD120-5964-4492-90CF-023AED4EF0A5}" srcOrd="0" destOrd="0" parTransId="{E8246481-95D8-4BE6-91FB-0BC10524C38F}" sibTransId="{6D20A8B2-8F56-4DB7-8DA0-30E25435069E}"/>
    <dgm:cxn modelId="{F3A7C190-C942-41B3-BAE4-F45DCAA21948}" type="presOf" srcId="{19FBD120-5964-4492-90CF-023AED4EF0A5}" destId="{881D1846-8447-4BA4-8BC6-3240962D29A8}" srcOrd="1" destOrd="0" presId="urn:microsoft.com/office/officeart/2011/layout/CircleProcess"/>
    <dgm:cxn modelId="{14B8C99D-B06B-468B-9BA8-A2EC575E60A6}" type="presOf" srcId="{07D83912-D5FC-4BEA-AA9C-702F4C43A944}" destId="{7B657304-1521-47A5-B99B-93BD00404FE8}" srcOrd="0" destOrd="0" presId="urn:microsoft.com/office/officeart/2011/layout/CircleProcess"/>
    <dgm:cxn modelId="{A5901381-5AA4-47CD-8DCA-B2039EF7BC99}" type="presOf" srcId="{323714CB-9023-4AA4-836B-EEF97D27F690}" destId="{A1666EBF-1D17-4A19-A9C4-BB88A9EE0438}" srcOrd="0" destOrd="0" presId="urn:microsoft.com/office/officeart/2011/layout/CircleProcess"/>
    <dgm:cxn modelId="{9B671951-3795-4138-A0B1-1C1537B8F83E}" type="presParOf" srcId="{A1666EBF-1D17-4A19-A9C4-BB88A9EE0438}" destId="{AE3CBA24-4D39-432C-9D68-AD0500052F11}" srcOrd="0" destOrd="0" presId="urn:microsoft.com/office/officeart/2011/layout/CircleProcess"/>
    <dgm:cxn modelId="{0D6A8E77-94AB-46A8-BE1A-60AD3E441B0F}" type="presParOf" srcId="{AE3CBA24-4D39-432C-9D68-AD0500052F11}" destId="{7C5A2AA7-CC35-4665-BAE7-B2E5CBC92CCF}" srcOrd="0" destOrd="0" presId="urn:microsoft.com/office/officeart/2011/layout/CircleProcess"/>
    <dgm:cxn modelId="{9B5582F6-6061-4B27-AC1F-9F579C743ACA}" type="presParOf" srcId="{A1666EBF-1D17-4A19-A9C4-BB88A9EE0438}" destId="{15FAF4DF-6D4E-42CA-B0FC-47C47D67CEFD}" srcOrd="1" destOrd="0" presId="urn:microsoft.com/office/officeart/2011/layout/CircleProcess"/>
    <dgm:cxn modelId="{AB435B9F-D4B9-4F65-9323-BDC5596E1413}" type="presParOf" srcId="{15FAF4DF-6D4E-42CA-B0FC-47C47D67CEFD}" destId="{08D10D9C-4679-40F2-AFA9-E9D455380E11}" srcOrd="0" destOrd="0" presId="urn:microsoft.com/office/officeart/2011/layout/CircleProcess"/>
    <dgm:cxn modelId="{09504FE2-F427-431D-8770-7CA437DFDB30}" type="presParOf" srcId="{A1666EBF-1D17-4A19-A9C4-BB88A9EE0438}" destId="{F7409494-E5AF-43F7-8394-2C02D9034467}" srcOrd="2" destOrd="0" presId="urn:microsoft.com/office/officeart/2011/layout/CircleProcess"/>
    <dgm:cxn modelId="{7742D5A8-CF34-4790-B66C-B37FBDF1874A}" type="presParOf" srcId="{A1666EBF-1D17-4A19-A9C4-BB88A9EE0438}" destId="{57A88B4B-BAF1-4EF3-A6DA-FE69C1E2BC37}" srcOrd="3" destOrd="0" presId="urn:microsoft.com/office/officeart/2011/layout/CircleProcess"/>
    <dgm:cxn modelId="{A55063F4-84B0-41E0-9DC1-7335089C7874}" type="presParOf" srcId="{57A88B4B-BAF1-4EF3-A6DA-FE69C1E2BC37}" destId="{D628127D-10BA-4CF5-9B9A-06862BE522E3}" srcOrd="0" destOrd="0" presId="urn:microsoft.com/office/officeart/2011/layout/CircleProcess"/>
    <dgm:cxn modelId="{67546A6D-681D-4227-AF49-CABC34400057}" type="presParOf" srcId="{A1666EBF-1D17-4A19-A9C4-BB88A9EE0438}" destId="{06DA3452-95F0-437D-A83B-0C028E5AF45F}" srcOrd="4" destOrd="0" presId="urn:microsoft.com/office/officeart/2011/layout/CircleProcess"/>
    <dgm:cxn modelId="{9AAC4DF2-2EC8-4F14-B596-C5DA8B8DC6A9}" type="presParOf" srcId="{06DA3452-95F0-437D-A83B-0C028E5AF45F}" destId="{DD1D2785-0682-4F8A-B701-DD041349B0C1}" srcOrd="0" destOrd="0" presId="urn:microsoft.com/office/officeart/2011/layout/CircleProcess"/>
    <dgm:cxn modelId="{B9CAF93D-F512-44A9-A70A-2676B887CB5F}" type="presParOf" srcId="{A1666EBF-1D17-4A19-A9C4-BB88A9EE0438}" destId="{157B8DCB-DE4A-45AB-9B39-F5EDF1A32244}" srcOrd="5" destOrd="0" presId="urn:microsoft.com/office/officeart/2011/layout/CircleProcess"/>
    <dgm:cxn modelId="{52531E9F-7829-4320-9935-BD5B1D41B3E1}" type="presParOf" srcId="{A1666EBF-1D17-4A19-A9C4-BB88A9EE0438}" destId="{5D244D53-374E-4DA3-85CF-A86465BEF861}" srcOrd="6" destOrd="0" presId="urn:microsoft.com/office/officeart/2011/layout/CircleProcess"/>
    <dgm:cxn modelId="{8E8BC4B4-B268-43D3-9B7D-73A2E50DA4F5}" type="presParOf" srcId="{5D244D53-374E-4DA3-85CF-A86465BEF861}" destId="{1E10BA17-4E4A-4C0F-8149-CB0F0C6A9B0A}" srcOrd="0" destOrd="0" presId="urn:microsoft.com/office/officeart/2011/layout/CircleProcess"/>
    <dgm:cxn modelId="{2A68928F-D17D-46D6-9939-607DFF6B1E6C}" type="presParOf" srcId="{A1666EBF-1D17-4A19-A9C4-BB88A9EE0438}" destId="{9F892037-3A90-4216-AF86-0B107330B251}" srcOrd="7" destOrd="0" presId="urn:microsoft.com/office/officeart/2011/layout/CircleProcess"/>
    <dgm:cxn modelId="{F3D26EE0-0DB2-4F25-B26F-1F502F8E02D6}" type="presParOf" srcId="{9F892037-3A90-4216-AF86-0B107330B251}" destId="{9B922ED1-D987-4BA5-9346-0D2AE10E2B2E}" srcOrd="0" destOrd="0" presId="urn:microsoft.com/office/officeart/2011/layout/CircleProcess"/>
    <dgm:cxn modelId="{343B6691-BD37-40EE-848F-6CB0BDEDE404}" type="presParOf" srcId="{A1666EBF-1D17-4A19-A9C4-BB88A9EE0438}" destId="{6D3644F9-662F-4783-9CB3-3C0A26C1EF46}" srcOrd="8" destOrd="0" presId="urn:microsoft.com/office/officeart/2011/layout/CircleProcess"/>
    <dgm:cxn modelId="{B6B0BC02-E25C-4449-BC2A-EEA37DED7A6A}" type="presParOf" srcId="{A1666EBF-1D17-4A19-A9C4-BB88A9EE0438}" destId="{85B1D5ED-0344-4C66-83D3-5E8D636A36FD}" srcOrd="9" destOrd="0" presId="urn:microsoft.com/office/officeart/2011/layout/CircleProcess"/>
    <dgm:cxn modelId="{C2A7ECF5-7B50-4D1D-8ECC-751A3DA7F972}" type="presParOf" srcId="{85B1D5ED-0344-4C66-83D3-5E8D636A36FD}" destId="{7A271FFF-45DA-42DD-80D7-82B98DD746EC}" srcOrd="0" destOrd="0" presId="urn:microsoft.com/office/officeart/2011/layout/CircleProcess"/>
    <dgm:cxn modelId="{16A08F09-8338-4852-B995-3249DDC3AB88}" type="presParOf" srcId="{A1666EBF-1D17-4A19-A9C4-BB88A9EE0438}" destId="{B0EA9E8E-CDFC-4649-8673-6BA02168E4A4}" srcOrd="10" destOrd="0" presId="urn:microsoft.com/office/officeart/2011/layout/CircleProcess"/>
    <dgm:cxn modelId="{0321251B-6688-432E-BA9D-BE125E0AE77D}" type="presParOf" srcId="{B0EA9E8E-CDFC-4649-8673-6BA02168E4A4}" destId="{7B657304-1521-47A5-B99B-93BD00404FE8}" srcOrd="0" destOrd="0" presId="urn:microsoft.com/office/officeart/2011/layout/CircleProcess"/>
    <dgm:cxn modelId="{153ABF86-06B4-4FC7-880E-6A027AEAEA12}" type="presParOf" srcId="{A1666EBF-1D17-4A19-A9C4-BB88A9EE0438}" destId="{88BD9174-EB1E-4889-AC22-47671FE53B4A}" srcOrd="11" destOrd="0" presId="urn:microsoft.com/office/officeart/2011/layout/CircleProcess"/>
    <dgm:cxn modelId="{2BD40D34-85C8-467A-BB97-DC8036F34DDA}" type="presParOf" srcId="{A1666EBF-1D17-4A19-A9C4-BB88A9EE0438}" destId="{8231CE5A-74B9-4AA8-B1A8-53DBE13E7612}" srcOrd="12" destOrd="0" presId="urn:microsoft.com/office/officeart/2011/layout/CircleProcess"/>
    <dgm:cxn modelId="{BAB9871B-3045-4907-8C8B-E5825A68D067}" type="presParOf" srcId="{8231CE5A-74B9-4AA8-B1A8-53DBE13E7612}" destId="{0B19808D-C64B-406C-92F9-776032D8B11E}" srcOrd="0" destOrd="0" presId="urn:microsoft.com/office/officeart/2011/layout/CircleProcess"/>
    <dgm:cxn modelId="{45598643-63C6-490B-AE00-316711342833}" type="presParOf" srcId="{A1666EBF-1D17-4A19-A9C4-BB88A9EE0438}" destId="{CCD72391-3467-49DD-9DDB-187103AE0D5C}" srcOrd="13" destOrd="0" presId="urn:microsoft.com/office/officeart/2011/layout/CircleProcess"/>
    <dgm:cxn modelId="{DB695E46-088C-4B9A-8889-6C7596341C36}" type="presParOf" srcId="{CCD72391-3467-49DD-9DDB-187103AE0D5C}" destId="{2BE57AC5-7FBB-4386-8E8E-D41C485B05A0}" srcOrd="0" destOrd="0" presId="urn:microsoft.com/office/officeart/2011/layout/CircleProcess"/>
    <dgm:cxn modelId="{87A79E8B-2C97-48EA-9F53-0DF6D61E9C9D}" type="presParOf" srcId="{A1666EBF-1D17-4A19-A9C4-BB88A9EE0438}" destId="{881D1846-8447-4BA4-8BC6-3240962D29A8}" srcOrd="14" destOrd="0" presId="urn:microsoft.com/office/officeart/2011/layout/CircleProcess"/>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C5A2AA7-CC35-4665-BAE7-B2E5CBC92CCF}">
      <dsp:nvSpPr>
        <dsp:cNvPr id="0" name=""/>
        <dsp:cNvSpPr/>
      </dsp:nvSpPr>
      <dsp:spPr>
        <a:xfrm>
          <a:off x="4683834" y="394399"/>
          <a:ext cx="1044776" cy="10449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D10D9C-4679-40F2-AFA9-E9D455380E11}">
      <dsp:nvSpPr>
        <dsp:cNvPr id="0" name=""/>
        <dsp:cNvSpPr/>
      </dsp:nvSpPr>
      <dsp:spPr>
        <a:xfrm>
          <a:off x="4718308" y="429237"/>
          <a:ext cx="975273" cy="975272"/>
        </a:xfrm>
        <a:prstGeom prst="ellipse">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GB" sz="700" kern="1200" dirty="0"/>
            <a:t>Recommendation </a:t>
          </a:r>
          <a:r>
            <a:rPr lang="en-GB" sz="700" kern="1200"/>
            <a:t>for adoption by CPM-19 (2025)</a:t>
          </a:r>
          <a:endParaRPr lang="en-US" sz="700" kern="1200"/>
        </a:p>
      </dsp:txBody>
      <dsp:txXfrm>
        <a:off x="4857871" y="568587"/>
        <a:ext cx="696703" cy="696570"/>
      </dsp:txXfrm>
    </dsp:sp>
    <dsp:sp modelId="{D628127D-10BA-4CF5-9B9A-06862BE522E3}">
      <dsp:nvSpPr>
        <dsp:cNvPr id="0" name=""/>
        <dsp:cNvSpPr/>
      </dsp:nvSpPr>
      <dsp:spPr>
        <a:xfrm rot="2700000">
          <a:off x="3603532" y="394453"/>
          <a:ext cx="1044655" cy="1044655"/>
        </a:xfrm>
        <a:prstGeom prst="teardrop">
          <a:avLst>
            <a:gd name="adj" fmla="val 1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D1D2785-0682-4F8A-B701-DD041349B0C1}">
      <dsp:nvSpPr>
        <dsp:cNvPr id="0" name=""/>
        <dsp:cNvSpPr/>
      </dsp:nvSpPr>
      <dsp:spPr>
        <a:xfrm>
          <a:off x="3639057" y="429237"/>
          <a:ext cx="975273" cy="975272"/>
        </a:xfrm>
        <a:prstGeom prst="ellipse">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Draft annex to ISPM 46: mango fruits to the SC November 2024 </a:t>
          </a:r>
          <a:endParaRPr lang="en-US" sz="700" kern="1200" dirty="0"/>
        </a:p>
      </dsp:txBody>
      <dsp:txXfrm>
        <a:off x="3778064" y="568587"/>
        <a:ext cx="696703" cy="696570"/>
      </dsp:txXfrm>
    </dsp:sp>
    <dsp:sp modelId="{1E10BA17-4E4A-4C0F-8149-CB0F0C6A9B0A}">
      <dsp:nvSpPr>
        <dsp:cNvPr id="0" name=""/>
        <dsp:cNvSpPr/>
      </dsp:nvSpPr>
      <dsp:spPr>
        <a:xfrm rot="2700000">
          <a:off x="2524282" y="394453"/>
          <a:ext cx="1044655" cy="1044655"/>
        </a:xfrm>
        <a:prstGeom prst="teardrop">
          <a:avLst>
            <a:gd name="adj" fmla="val 1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B922ED1-D987-4BA5-9346-0D2AE10E2B2E}">
      <dsp:nvSpPr>
        <dsp:cNvPr id="0" name=""/>
        <dsp:cNvSpPr/>
      </dsp:nvSpPr>
      <dsp:spPr>
        <a:xfrm>
          <a:off x="2559251" y="429237"/>
          <a:ext cx="975273" cy="975272"/>
        </a:xfrm>
        <a:prstGeom prst="ellipse">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2</a:t>
          </a:r>
          <a:r>
            <a:rPr lang="en-GB" sz="700" kern="1200" baseline="30000" dirty="0">
              <a:solidFill>
                <a:sysClr val="windowText" lastClr="000000">
                  <a:hueOff val="0"/>
                  <a:satOff val="0"/>
                  <a:lumOff val="0"/>
                  <a:alphaOff val="0"/>
                </a:sysClr>
              </a:solidFill>
              <a:latin typeface="Calibri" panose="020F0502020204030204"/>
              <a:ea typeface="+mn-ea"/>
              <a:cs typeface="+mn-cs"/>
            </a:rPr>
            <a:t>nd</a:t>
          </a:r>
          <a:r>
            <a:rPr lang="en-GB" sz="700" kern="1200" dirty="0">
              <a:solidFill>
                <a:sysClr val="windowText" lastClr="000000">
                  <a:hueOff val="0"/>
                  <a:satOff val="0"/>
                  <a:lumOff val="0"/>
                  <a:alphaOff val="0"/>
                </a:sysClr>
              </a:solidFill>
              <a:latin typeface="Calibri" panose="020F0502020204030204"/>
              <a:ea typeface="+mn-ea"/>
              <a:cs typeface="+mn-cs"/>
            </a:rPr>
            <a:t> Consultation</a:t>
          </a:r>
        </a:p>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July 2024</a:t>
          </a:r>
        </a:p>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Draft annex to ISPM 46: mango fruits (SC-7, 2024)</a:t>
          </a:r>
          <a:endParaRPr lang="en-US" sz="700" kern="1200" dirty="0"/>
        </a:p>
      </dsp:txBody>
      <dsp:txXfrm>
        <a:off x="2698258" y="568587"/>
        <a:ext cx="696703" cy="696570"/>
      </dsp:txXfrm>
    </dsp:sp>
    <dsp:sp modelId="{7A271FFF-45DA-42DD-80D7-82B98DD746EC}">
      <dsp:nvSpPr>
        <dsp:cNvPr id="0" name=""/>
        <dsp:cNvSpPr/>
      </dsp:nvSpPr>
      <dsp:spPr>
        <a:xfrm rot="2700000">
          <a:off x="1444475" y="394453"/>
          <a:ext cx="1044655" cy="1044655"/>
        </a:xfrm>
        <a:prstGeom prst="teardrop">
          <a:avLst>
            <a:gd name="adj" fmla="val 1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B657304-1521-47A5-B99B-93BD00404FE8}">
      <dsp:nvSpPr>
        <dsp:cNvPr id="0" name=""/>
        <dsp:cNvSpPr/>
      </dsp:nvSpPr>
      <dsp:spPr>
        <a:xfrm>
          <a:off x="1479445" y="429237"/>
          <a:ext cx="975273" cy="975272"/>
        </a:xfrm>
        <a:prstGeom prst="ellipse">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1</a:t>
          </a:r>
          <a:r>
            <a:rPr lang="en-GB" sz="700" kern="1200" baseline="30000" dirty="0">
              <a:solidFill>
                <a:sysClr val="windowText" lastClr="000000">
                  <a:hueOff val="0"/>
                  <a:satOff val="0"/>
                  <a:lumOff val="0"/>
                  <a:alphaOff val="0"/>
                </a:sysClr>
              </a:solidFill>
              <a:latin typeface="Calibri" panose="020F0502020204030204"/>
              <a:ea typeface="+mn-ea"/>
              <a:cs typeface="+mn-cs"/>
            </a:rPr>
            <a:t>st</a:t>
          </a:r>
          <a:r>
            <a:rPr lang="en-GB" sz="700" kern="1200" dirty="0">
              <a:solidFill>
                <a:sysClr val="windowText" lastClr="000000">
                  <a:hueOff val="0"/>
                  <a:satOff val="0"/>
                  <a:lumOff val="0"/>
                  <a:alphaOff val="0"/>
                </a:sysClr>
              </a:solidFill>
              <a:latin typeface="Calibri" panose="020F0502020204030204"/>
              <a:ea typeface="+mn-ea"/>
              <a:cs typeface="+mn-cs"/>
            </a:rPr>
            <a:t> consultation</a:t>
          </a:r>
        </a:p>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July 2023</a:t>
          </a:r>
        </a:p>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Draft annex to ISPM 46: mango fruits </a:t>
          </a:r>
          <a:endParaRPr lang="en-US" sz="700" kern="1200" dirty="0"/>
        </a:p>
      </dsp:txBody>
      <dsp:txXfrm>
        <a:off x="1619008" y="568587"/>
        <a:ext cx="696703" cy="696570"/>
      </dsp:txXfrm>
    </dsp:sp>
    <dsp:sp modelId="{0B19808D-C64B-406C-92F9-776032D8B11E}">
      <dsp:nvSpPr>
        <dsp:cNvPr id="0" name=""/>
        <dsp:cNvSpPr/>
      </dsp:nvSpPr>
      <dsp:spPr>
        <a:xfrm rot="2700000">
          <a:off x="364669" y="394453"/>
          <a:ext cx="1044655" cy="1044655"/>
        </a:xfrm>
        <a:prstGeom prst="teardrop">
          <a:avLst>
            <a:gd name="adj" fmla="val 10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BE57AC5-7FBB-4386-8E8E-D41C485B05A0}">
      <dsp:nvSpPr>
        <dsp:cNvPr id="0" name=""/>
        <dsp:cNvSpPr/>
      </dsp:nvSpPr>
      <dsp:spPr>
        <a:xfrm>
          <a:off x="399638" y="429237"/>
          <a:ext cx="975273" cy="975272"/>
        </a:xfrm>
        <a:prstGeom prst="ellipse">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en-GB" sz="700" kern="1200" dirty="0">
              <a:solidFill>
                <a:sysClr val="windowText" lastClr="000000">
                  <a:hueOff val="0"/>
                  <a:satOff val="0"/>
                  <a:lumOff val="0"/>
                  <a:alphaOff val="0"/>
                </a:sysClr>
              </a:solidFill>
              <a:latin typeface="Calibri" panose="020F0502020204030204"/>
              <a:ea typeface="+mn-ea"/>
              <a:cs typeface="+mn-cs"/>
            </a:rPr>
            <a:t>Draft annex to ISPM 46: mango fruits to the SC May 2023 </a:t>
          </a:r>
          <a:endParaRPr lang="en-US" sz="700" kern="1200" dirty="0"/>
        </a:p>
      </dsp:txBody>
      <dsp:txXfrm>
        <a:off x="539201" y="568587"/>
        <a:ext cx="696703" cy="696570"/>
      </dsp:txXfrm>
    </dsp:sp>
  </dsp:spTree>
</dsp:drawing>
</file>

<file path=word/diagrams/layout1.xml><?xml version="1.0" encoding="utf-8"?>
<dgm:layoutDef xmlns:dgm="http://schemas.openxmlformats.org/drawingml/2006/diagram" xmlns:a="http://schemas.openxmlformats.org/drawingml/2006/main" uniqueId="urn:microsoft.com/office/officeart/2011/layout/CircleProcess">
  <dgm:title val="Circle Process"/>
  <dgm:desc val="Use to show sequential steps in a process. Limited to eleven Level 1 shapes with an unlimited number of Level 2 shapes. Works best with small amounts of text. Unused text does not appear, but remains available if you switch layouts."/>
  <dgm:catLst>
    <dgm:cat type="process" pri="8500"/>
    <dgm:cat type="officeonline" pri="85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11"/>
      <dgm:chPref val="11"/>
      <dgm:dir/>
      <dgm:resizeHandles/>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0.6383"/>
            </dgm:alg>
            <dgm:constrLst>
              <dgm:constr type="primFontSz" for="des" forName="Child1" val="65"/>
              <dgm:constr type="primFontSz" for="des" forName="Parent1" val="65"/>
              <dgm:constr type="primFontSz" for="des" forName="Child1" refType="primFontSz" refFor="des" refForName="Parent1" op="lte"/>
              <dgm:constr type="l" for="ch" forName="Parent1" refType="w" fact="0.1667"/>
              <dgm:constr type="t" for="ch" forName="Parent1" refType="h" fact="0.1064"/>
              <dgm:constr type="w" for="ch" forName="Parent1" refType="w" fact="0.6667"/>
              <dgm:constr type="h" for="ch" forName="Parent1" refType="h" fact="0.4255"/>
              <dgm:constr type="l" for="ch" forName="Accent1" refType="w" fact="0"/>
              <dgm:constr type="t" for="ch" forName="Accent1" refType="h" fact="0"/>
              <dgm:constr type="w" for="ch" forName="Accent1" refType="w"/>
              <dgm:constr type="h" for="ch" forName="Accent1" refType="h" fact="0.6383"/>
              <dgm:constr type="l" for="ch" forName="ParentBackground1" refType="w" fact="0.0333"/>
              <dgm:constr type="t" for="ch" forName="ParentBackground1" refType="h" fact="0.0213"/>
              <dgm:constr type="w" for="ch" forName="ParentBackground1" refType="w" fact="0.9333"/>
              <dgm:constr type="h" for="ch" forName="ParentBackground1" refType="h" fact="0.5957"/>
              <dgm:constr type="l" for="ch" forName="Child1" refType="w" fact="0.0333"/>
              <dgm:constr type="t" for="ch" forName="Child1" refType="h" fact="0.6574"/>
              <dgm:constr type="w" for="ch" forName="Child1" refType="w" fact="0.9333"/>
              <dgm:constr type="h" for="ch" forName="Child1" refType="h" fact="0.3426"/>
            </dgm:constrLst>
          </dgm:if>
          <dgm:if name="Name5" axis="ch" ptType="node" func="cnt" op="equ" val="2">
            <dgm:alg type="composite">
              <dgm:param type="ar" val="1.265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Parent2" refType="w" fact="0.6249"/>
              <dgm:constr type="t" for="ch" forName="Parent2" refType="h" fact="0.2022"/>
              <dgm:constr type="w" for="ch" forName="Parent2" refType="w" fact="0.3001"/>
              <dgm:constr type="h" for="ch" forName="Parent2" refType="h" fact="0.3799"/>
              <dgm:constr type="l" for="ch" forName="Parent1" refType="w" fact="0.1597"/>
              <dgm:constr type="t" for="ch" forName="Parent1" refType="h" fact="0.2022"/>
              <dgm:constr type="w" for="ch" forName="Parent1" refType="w" fact="0.3001"/>
              <dgm:constr type="h" for="ch" forName="Parent1" refType="h" fact="0.3799"/>
              <dgm:constr type="l" for="ch" forName="Accent2" refType="w" fact="0.5498"/>
              <dgm:constr type="t" for="ch" forName="Accent2" refType="h" fact="0.1072"/>
              <dgm:constr type="w" for="ch" forName="Accent2" refType="w" fact="0.4502"/>
              <dgm:constr type="h" for="ch" forName="Accent2" refType="h" fact="0.5699"/>
              <dgm:constr type="l" for="ch" forName="ParentBackground2" refType="w" fact="0.5648"/>
              <dgm:constr type="t" for="ch" forName="ParentBackground2" refType="h" fact="0.1262"/>
              <dgm:constr type="w" for="ch" forName="ParentBackground2" refType="w" fact="0.4201"/>
              <dgm:constr type="h" for="ch" forName="ParentBackground2" refType="h" fact="0.5319"/>
              <dgm:constr type="l" for="ch" forName="Child2" refType="w" fact="0.5648"/>
              <dgm:constr type="t" for="ch" forName="Child2" refType="h" fact="0.6876"/>
              <dgm:constr type="w" for="ch" forName="Child2" refType="w" fact="0.4201"/>
              <dgm:constr type="h" for="ch" forName="Child2" refType="h" fact="0.3124"/>
              <dgm:constr type="l" for="ch" forName="Accent1" refType="w" fact="-0.0086"/>
              <dgm:constr type="t" for="ch" forName="Accent1" refType="h" fact="-0.0109"/>
              <dgm:constr type="w" for="ch" forName="Accent1" refType="w" fact="0.6367"/>
              <dgm:constr type="h" for="ch" forName="Accent1" refType="h" fact="0.806"/>
              <dgm:constr type="l" for="ch" forName="ParentBackground1" refType="w" fact="0.0997"/>
              <dgm:constr type="t" for="ch" forName="ParentBackground1" refType="h" fact="0.1262"/>
              <dgm:constr type="w" for="ch" forName="ParentBackground1" refType="w" fact="0.4201"/>
              <dgm:constr type="h" for="ch" forName="ParentBackground1" refType="h" fact="0.5319"/>
              <dgm:constr type="l" for="ch" forName="Child1" refType="w" fact="0.0997"/>
              <dgm:constr type="t" for="ch" forName="Child1" refType="h" fact="0.6876"/>
              <dgm:constr type="w" for="ch" forName="Child1" refType="w" fact="0.4201"/>
              <dgm:constr type="h" for="ch" forName="Child1" refType="h" fact="0.3124"/>
            </dgm:constrLst>
          </dgm:if>
          <dgm:if name="Name6" axis="ch" ptType="node" func="cnt" op="equ" val="3">
            <dgm:alg type="composite">
              <dgm:param type="ar" val="1.854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Parent3" refType="w" fact="0.744"/>
              <dgm:constr type="t" for="ch" forName="Parent3" refType="h" fact="0.2022"/>
              <dgm:constr type="w" for="ch" forName="Parent3" refType="w" fact="0.2048"/>
              <dgm:constr type="h" for="ch" forName="Parent3" refType="h" fact="0.3799"/>
              <dgm:constr type="l" for="ch" forName="Parent2" refType="w" fact="0.4265"/>
              <dgm:constr type="t" for="ch" forName="Parent2" refType="h" fact="0.2022"/>
              <dgm:constr type="w" for="ch" forName="Parent2" refType="w" fact="0.2048"/>
              <dgm:constr type="h" for="ch" forName="Parent2" refType="h" fact="0.3799"/>
              <dgm:constr type="l" for="ch" forName="Parent1" refType="w" fact="0.109"/>
              <dgm:constr type="t" for="ch" forName="Parent1" refType="h" fact="0.2022"/>
              <dgm:constr type="w" for="ch" forName="Parent1" refType="w" fact="0.2048"/>
              <dgm:constr type="h" for="ch" forName="Parent1" refType="h" fact="0.3799"/>
              <dgm:constr type="l" for="ch" forName="Accent3" refType="w" fact="0.6928"/>
              <dgm:constr type="t" for="ch" forName="Accent3" refType="h" fact="0.1072"/>
              <dgm:constr type="w" for="ch" forName="Accent3" refType="w" fact="0.3072"/>
              <dgm:constr type="h" for="ch" forName="Accent3" refType="h" fact="0.5699"/>
              <dgm:constr type="l" for="ch" forName="ParentBackground3" refType="w" fact="0.703"/>
              <dgm:constr type="t" for="ch" forName="ParentBackground3" refType="h" fact="0.1262"/>
              <dgm:constr type="w" for="ch" forName="ParentBackground3" refType="w" fact="0.2868"/>
              <dgm:constr type="h" for="ch" forName="ParentBackground3" refType="h" fact="0.5319"/>
              <dgm:constr type="l" for="ch" forName="Child3" refType="w" fact="0.703"/>
              <dgm:constr type="t" for="ch" forName="Child3" refType="h" fact="0.6876"/>
              <dgm:constr type="w" for="ch" forName="Child3" refType="w" fact="0.2868"/>
              <dgm:constr type="h" for="ch" forName="Child3" refType="h" fact="0.3124"/>
              <dgm:constr type="l" for="ch" forName="Accent2" refType="w" fact="0.3122"/>
              <dgm:constr type="t" for="ch" forName="Accent2" refType="h" fact="-0.0109"/>
              <dgm:constr type="w" for="ch" forName="Accent2" refType="w" fact="0.4334"/>
              <dgm:constr type="h" for="ch" forName="Accent2" refType="h" fact="0.806"/>
              <dgm:constr type="l" for="ch" forName="ParentBackground2" refType="w" fact="0.3855"/>
              <dgm:constr type="t" for="ch" forName="ParentBackground2" refType="h" fact="0.1262"/>
              <dgm:constr type="w" for="ch" forName="ParentBackground2" refType="w" fact="0.2868"/>
              <dgm:constr type="h" for="ch" forName="ParentBackground2" refType="h" fact="0.5319"/>
              <dgm:constr type="l" for="ch" forName="Child2" refType="w" fact="0.3855"/>
              <dgm:constr type="t" for="ch" forName="Child2" refType="h" fact="0.6876"/>
              <dgm:constr type="w" for="ch" forName="Child2" refType="w" fact="0.2868"/>
              <dgm:constr type="h" for="ch" forName="Child2" refType="h" fact="0.3124"/>
              <dgm:constr type="l" for="ch" forName="Accent1" refType="w" fact="-0.0053"/>
              <dgm:constr type="t" for="ch" forName="Accent1" refType="h" fact="-0.0109"/>
              <dgm:constr type="w" for="ch" forName="Accent1" refType="w" fact="0.4334"/>
              <dgm:constr type="h" for="ch" forName="Accent1" refType="h" fact="0.806"/>
              <dgm:constr type="l" for="ch" forName="ParentBackground1" refType="w" fact="0.068"/>
              <dgm:constr type="t" for="ch" forName="ParentBackground1" refType="h" fact="0.1262"/>
              <dgm:constr type="w" for="ch" forName="ParentBackground1" refType="w" fact="0.2868"/>
              <dgm:constr type="h" for="ch" forName="ParentBackground1" refType="h" fact="0.5319"/>
              <dgm:constr type="l" for="ch" forName="Child1" refType="w" fact="0.068"/>
              <dgm:constr type="t" for="ch" forName="Child1" refType="h" fact="0.6876"/>
              <dgm:constr type="w" for="ch" forName="Child1" refType="w" fact="0.2868"/>
              <dgm:constr type="h" for="ch" forName="Child1" refType="h" fact="0.3124"/>
            </dgm:constrLst>
          </dgm:if>
          <dgm:if name="Name7" axis="ch" ptType="node" func="cnt" op="equ" val="4">
            <dgm:alg type="composite">
              <dgm:param type="ar" val="2.4437"/>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Parent4" refType="w" fact="0.8057"/>
              <dgm:constr type="t" for="ch" forName="Parent4" refType="h" fact="0.2022"/>
              <dgm:constr type="w" for="ch" forName="Parent4" refType="w" fact="0.1555"/>
              <dgm:constr type="h" for="ch" forName="Parent4" refType="h" fact="0.3799"/>
              <dgm:constr type="l" for="ch" forName="Parent3" refType="w" fact="0.5647"/>
              <dgm:constr type="t" for="ch" forName="Parent3" refType="h" fact="0.2022"/>
              <dgm:constr type="w" for="ch" forName="Parent3" refType="w" fact="0.1555"/>
              <dgm:constr type="h" for="ch" forName="Parent3" refType="h" fact="0.3799"/>
              <dgm:constr type="l" for="ch" forName="Parent2" refType="w" fact="0.3237"/>
              <dgm:constr type="t" for="ch" forName="Parent2" refType="h" fact="0.2022"/>
              <dgm:constr type="w" for="ch" forName="Parent2" refType="w" fact="0.1555"/>
              <dgm:constr type="h" for="ch" forName="Parent2" refType="h" fact="0.3799"/>
              <dgm:constr type="l" for="ch" forName="Parent1" refType="w" fact="0.0827"/>
              <dgm:constr type="t" for="ch" forName="Parent1" refType="h" fact="0.2022"/>
              <dgm:constr type="w" for="ch" forName="Parent1" refType="w" fact="0.1555"/>
              <dgm:constr type="h" for="ch" forName="Parent1" refType="h" fact="0.3799"/>
              <dgm:constr type="l" for="ch" forName="Accent4" refType="w" fact="0.7668"/>
              <dgm:constr type="t" for="ch" forName="Accent4" refType="h" fact="0.1072"/>
              <dgm:constr type="w" for="ch" forName="Accent4" refType="w" fact="0.2332"/>
              <dgm:constr type="h" for="ch" forName="Accent4" refType="h" fact="0.5699"/>
              <dgm:constr type="l" for="ch" forName="ParentBackground4" refType="w" fact="0.7746"/>
              <dgm:constr type="t" for="ch" forName="ParentBackground4" refType="h" fact="0.1262"/>
              <dgm:constr type="w" for="ch" forName="ParentBackground4" refType="w" fact="0.2177"/>
              <dgm:constr type="h" for="ch" forName="ParentBackground4" refType="h" fact="0.5319"/>
              <dgm:constr type="l" for="ch" forName="Child4" refType="w" fact="0.7746"/>
              <dgm:constr type="t" for="ch" forName="Child4" refType="h" fact="0.6876"/>
              <dgm:constr type="w" for="ch" forName="Child4" refType="w" fact="0.2177"/>
              <dgm:constr type="h" for="ch" forName="Child4" refType="h" fact="0.3124"/>
              <dgm:constr type="l" for="ch" forName="Accent3" refType="w" fact="0.4765"/>
              <dgm:constr type="t" for="ch" forName="Accent3" refType="h" fact="-0.0109"/>
              <dgm:constr type="w" for="ch" forName="Accent3" refType="w" fact="0.3298"/>
              <dgm:constr type="h" for="ch" forName="Accent3" refType="h" fact="0.806"/>
              <dgm:constr type="l" for="ch" forName="ParentBackground3" refType="w" fact="0.5336"/>
              <dgm:constr type="t" for="ch" forName="ParentBackground3" refType="h" fact="0.1262"/>
              <dgm:constr type="w" for="ch" forName="ParentBackground3" refType="w" fact="0.2177"/>
              <dgm:constr type="h" for="ch" forName="ParentBackground3" refType="h" fact="0.5319"/>
              <dgm:constr type="l" for="ch" forName="Child3" refType="w" fact="0.5336"/>
              <dgm:constr type="t" for="ch" forName="Child3" refType="h" fact="0.6876"/>
              <dgm:constr type="w" for="ch" forName="Child3" refType="w" fact="0.2177"/>
              <dgm:constr type="h" for="ch" forName="Child3" refType="h" fact="0.3124"/>
              <dgm:constr type="l" for="ch" forName="Accent2" refType="w" fact="0.2365"/>
              <dgm:constr type="t" for="ch" forName="Accent2" refType="h" fact="-0.0109"/>
              <dgm:constr type="w" for="ch" forName="Accent2" refType="w" fact="0.3298"/>
              <dgm:constr type="h" for="ch" forName="Accent2" refType="h" fact="0.806"/>
              <dgm:constr type="l" for="ch" forName="ParentBackground2" refType="w" fact="0.2926"/>
              <dgm:constr type="t" for="ch" forName="ParentBackground2" refType="h" fact="0.1262"/>
              <dgm:constr type="w" for="ch" forName="ParentBackground2" refType="w" fact="0.2177"/>
              <dgm:constr type="h" for="ch" forName="ParentBackground2" refType="h" fact="0.5319"/>
              <dgm:constr type="l" for="ch" forName="Child2" refType="w" fact="0.2926"/>
              <dgm:constr type="t" for="ch" forName="Child2" refType="h" fact="0.6876"/>
              <dgm:constr type="w" for="ch" forName="Child2" refType="w" fact="0.2177"/>
              <dgm:constr type="h" for="ch" forName="Child2" refType="h" fact="0.3124"/>
              <dgm:constr type="l" for="ch" forName="Accent1" refType="w" fact="-0.0045"/>
              <dgm:constr type="t" for="ch" forName="Accent1" refType="h" fact="-0.0109"/>
              <dgm:constr type="w" for="ch" forName="Accent1" refType="w" fact="0.3298"/>
              <dgm:constr type="h" for="ch" forName="Accent1" refType="h" fact="0.806"/>
              <dgm:constr type="l" for="ch" forName="ParentBackground1" refType="w" fact="0.0516"/>
              <dgm:constr type="t" for="ch" forName="ParentBackground1" refType="h" fact="0.1262"/>
              <dgm:constr type="w" for="ch" forName="ParentBackground1" refType="w" fact="0.2177"/>
              <dgm:constr type="h" for="ch" forName="ParentBackground1" refType="h" fact="0.5319"/>
              <dgm:constr type="l" for="ch" forName="Child1" refType="w" fact="0.0516"/>
              <dgm:constr type="t" for="ch" forName="Child1" refType="h" fact="0.6876"/>
              <dgm:constr type="w" for="ch" forName="Child1" refType="w" fact="0.2177"/>
              <dgm:constr type="h" for="ch" forName="Child1" refType="h" fact="0.3124"/>
            </dgm:constrLst>
          </dgm:if>
          <dgm:if name="Name8" axis="ch" ptType="node" func="cnt" op="equ" val="5">
            <dgm:alg type="composite">
              <dgm:param type="ar" val="3.0325"/>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Parent5" refType="w" fact="0.8434"/>
              <dgm:constr type="t" for="ch" forName="Parent5" refType="h" fact="0.2022"/>
              <dgm:constr type="w" for="ch" forName="Parent5" refType="w" fact="0.1253"/>
              <dgm:constr type="h" for="ch" forName="Parent5" refType="h" fact="0.3799"/>
              <dgm:constr type="l" for="ch" forName="Parent4" refType="w" fact="0.6492"/>
              <dgm:constr type="t" for="ch" forName="Parent4" refType="h" fact="0.2022"/>
              <dgm:constr type="w" for="ch" forName="Parent4" refType="w" fact="0.1253"/>
              <dgm:constr type="h" for="ch" forName="Parent4" refType="h" fact="0.3799"/>
              <dgm:constr type="l" for="ch" forName="Parent3" refType="w" fact="0.455"/>
              <dgm:constr type="t" for="ch" forName="Parent3" refType="h" fact="0.2022"/>
              <dgm:constr type="w" for="ch" forName="Parent3" refType="w" fact="0.1253"/>
              <dgm:constr type="h" for="ch" forName="Parent3" refType="h" fact="0.3799"/>
              <dgm:constr type="l" for="ch" forName="Parent2" refType="w" fact="0.2609"/>
              <dgm:constr type="t" for="ch" forName="Parent2" refType="h" fact="0.2022"/>
              <dgm:constr type="w" for="ch" forName="Parent2" refType="w" fact="0.1253"/>
              <dgm:constr type="h" for="ch" forName="Parent2" refType="h" fact="0.3799"/>
              <dgm:constr type="l" for="ch" forName="Parent1" refType="w" fact="0.0667"/>
              <dgm:constr type="t" for="ch" forName="Parent1" refType="h" fact="0.2022"/>
              <dgm:constr type="w" for="ch" forName="Parent1" refType="w" fact="0.1253"/>
              <dgm:constr type="h" for="ch" forName="Parent1" refType="h" fact="0.3799"/>
              <dgm:constr type="l" for="ch" forName="Accent5" refType="w" fact="0.8121"/>
              <dgm:constr type="t" for="ch" forName="Accent5" refType="h" fact="0.1072"/>
              <dgm:constr type="w" for="ch" forName="Accent5" refType="w" fact="0.1879"/>
              <dgm:constr type="h" for="ch" forName="Accent5" refType="h" fact="0.5699"/>
              <dgm:constr type="l" for="ch" forName="ParentBackground5" refType="w" fact="0.8183"/>
              <dgm:constr type="t" for="ch" forName="ParentBackground5" refType="h" fact="0.1262"/>
              <dgm:constr type="w" for="ch" forName="ParentBackground5" refType="w" fact="0.1754"/>
              <dgm:constr type="h" for="ch" forName="ParentBackground5" refType="h" fact="0.5319"/>
              <dgm:constr type="l" for="ch" forName="Child5" refType="w" fact="0.8183"/>
              <dgm:constr type="t" for="ch" forName="Child5" refType="h" fact="0.6876"/>
              <dgm:constr type="w" for="ch" forName="Child5" refType="w" fact="0.1754"/>
              <dgm:constr type="h" for="ch" forName="Child5" refType="h" fact="0.3124"/>
              <dgm:constr type="l" for="ch" forName="Accent4" refType="w" fact="0.5789"/>
              <dgm:constr type="t" for="ch" forName="Accent4" refType="h" fact="-0.0109"/>
              <dgm:constr type="w" for="ch" forName="Accent4" refType="w" fact="0.2657"/>
              <dgm:constr type="h" for="ch" forName="Accent4" refType="h" fact="0.806"/>
              <dgm:constr type="l" for="ch" forName="ParentBackground4" refType="w" fact="0.6242"/>
              <dgm:constr type="t" for="ch" forName="ParentBackground4" refType="h" fact="0.1262"/>
              <dgm:constr type="w" for="ch" forName="ParentBackground4" refType="w" fact="0.1754"/>
              <dgm:constr type="h" for="ch" forName="ParentBackground4" refType="h" fact="0.5319"/>
              <dgm:constr type="l" for="ch" forName="Child4" refType="w" fact="0.6242"/>
              <dgm:constr type="t" for="ch" forName="Child4" refType="h" fact="0.6876"/>
              <dgm:constr type="w" for="ch" forName="Child4" refType="w" fact="0.1754"/>
              <dgm:constr type="h" for="ch" forName="Child4" refType="h" fact="0.3124"/>
              <dgm:constr type="l" for="ch" forName="Accent3" refType="w" fact="0.3848"/>
              <dgm:constr type="t" for="ch" forName="Accent3" refType="h" fact="-0.0109"/>
              <dgm:constr type="w" for="ch" forName="Accent3" refType="w" fact="0.2657"/>
              <dgm:constr type="h" for="ch" forName="Accent3" refType="h" fact="0.806"/>
              <dgm:constr type="l" for="ch" forName="ParentBackground3" refType="w" fact="0.43"/>
              <dgm:constr type="t" for="ch" forName="ParentBackground3" refType="h" fact="0.1262"/>
              <dgm:constr type="w" for="ch" forName="ParentBackground3" refType="w" fact="0.1754"/>
              <dgm:constr type="h" for="ch" forName="ParentBackground3" refType="h" fact="0.5319"/>
              <dgm:constr type="l" for="ch" forName="Child3" refType="w" fact="0.43"/>
              <dgm:constr type="t" for="ch" forName="Child3" refType="h" fact="0.6876"/>
              <dgm:constr type="w" for="ch" forName="Child3" refType="w" fact="0.1754"/>
              <dgm:constr type="h" for="ch" forName="Child3" refType="h" fact="0.3124"/>
              <dgm:constr type="l" for="ch" forName="Accent2" refType="w" fact="0.1906"/>
              <dgm:constr type="t" for="ch" forName="Accent2" refType="h" fact="-0.0109"/>
              <dgm:constr type="w" for="ch" forName="Accent2" refType="w" fact="0.2657"/>
              <dgm:constr type="h" for="ch" forName="Accent2" refType="h" fact="0.806"/>
              <dgm:constr type="l" for="ch" forName="ParentBackground2" refType="w" fact="0.2358"/>
              <dgm:constr type="t" for="ch" forName="ParentBackground2" refType="h" fact="0.1262"/>
              <dgm:constr type="w" for="ch" forName="ParentBackground2" refType="w" fact="0.1754"/>
              <dgm:constr type="h" for="ch" forName="ParentBackground2" refType="h" fact="0.5319"/>
              <dgm:constr type="l" for="ch" forName="Child2" refType="w" fact="0.2358"/>
              <dgm:constr type="t" for="ch" forName="Child2" refType="h" fact="0.6876"/>
              <dgm:constr type="w" for="ch" forName="Child2" refType="w" fact="0.1754"/>
              <dgm:constr type="h" for="ch" forName="Child2" refType="h" fact="0.3124"/>
              <dgm:constr type="l" for="ch" forName="Accent1" refType="w" fact="-0.0036"/>
              <dgm:constr type="t" for="ch" forName="Accent1" refType="h" fact="-0.0109"/>
              <dgm:constr type="w" for="ch" forName="Accent1" refType="w" fact="0.2657"/>
              <dgm:constr type="h" for="ch" forName="Accent1" refType="h" fact="0.806"/>
              <dgm:constr type="l" for="ch" forName="ParentBackground1" refType="w" fact="0.0416"/>
              <dgm:constr type="t" for="ch" forName="ParentBackground1" refType="h" fact="0.1262"/>
              <dgm:constr type="w" for="ch" forName="ParentBackground1" refType="w" fact="0.1754"/>
              <dgm:constr type="h" for="ch" forName="ParentBackground1" refType="h" fact="0.5319"/>
              <dgm:constr type="l" for="ch" forName="Child1" refType="w" fact="0.0416"/>
              <dgm:constr type="t" for="ch" forName="Child1" refType="h" fact="0.6876"/>
              <dgm:constr type="w" for="ch" forName="Child1" refType="w" fact="0.1754"/>
              <dgm:constr type="h" for="ch" forName="Child1" refType="h" fact="0.3124"/>
            </dgm:constrLst>
          </dgm:if>
          <dgm:if name="Name9" axis="ch" ptType="node" func="cnt" op="equ" val="6">
            <dgm:alg type="composite">
              <dgm:param type="ar" val="3.621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Parent6" refType="w" fact="0.8689"/>
              <dgm:constr type="t" for="ch" forName="Parent6" refType="h" fact="0.2022"/>
              <dgm:constr type="w" for="ch" forName="Parent6" refType="w" fact="0.1049"/>
              <dgm:constr type="h" for="ch" forName="Parent6" refType="h" fact="0.3799"/>
              <dgm:constr type="l" for="ch" forName="Parent5" refType="w" fact="0.7063"/>
              <dgm:constr type="t" for="ch" forName="Parent5" refType="h" fact="0.2022"/>
              <dgm:constr type="w" for="ch" forName="Parent5" refType="w" fact="0.1049"/>
              <dgm:constr type="h" for="ch" forName="Parent5" refType="h" fact="0.3799"/>
              <dgm:constr type="l" for="ch" forName="Parent4" refType="w" fact="0.5437"/>
              <dgm:constr type="t" for="ch" forName="Parent4" refType="h" fact="0.2022"/>
              <dgm:constr type="w" for="ch" forName="Parent4" refType="w" fact="0.1049"/>
              <dgm:constr type="h" for="ch" forName="Parent4" refType="h" fact="0.3799"/>
              <dgm:constr type="l" for="ch" forName="Parent3" refType="w" fact="0.381"/>
              <dgm:constr type="t" for="ch" forName="Parent3" refType="h" fact="0.2022"/>
              <dgm:constr type="w" for="ch" forName="Parent3" refType="w" fact="0.1049"/>
              <dgm:constr type="h" for="ch" forName="Parent3" refType="h" fact="0.3799"/>
              <dgm:constr type="l" for="ch" forName="Parent2" refType="w" fact="0.2184"/>
              <dgm:constr type="t" for="ch" forName="Parent2" refType="h" fact="0.2022"/>
              <dgm:constr type="w" for="ch" forName="Parent2" refType="w" fact="0.1049"/>
              <dgm:constr type="h" for="ch" forName="Parent2" refType="h" fact="0.3799"/>
              <dgm:constr type="l" for="ch" forName="Parent1" refType="w" fact="0.0558"/>
              <dgm:constr type="t" for="ch" forName="Parent1" refType="h" fact="0.2022"/>
              <dgm:constr type="w" for="ch" forName="Parent1" refType="w" fact="0.1049"/>
              <dgm:constr type="h" for="ch" forName="Parent1" refType="h" fact="0.3799"/>
              <dgm:constr type="l" for="ch" forName="Accent6" refType="w" fact="0.8426"/>
              <dgm:constr type="t" for="ch" forName="Accent6" refType="h" fact="0.1072"/>
              <dgm:constr type="w" for="ch" forName="Accent6" refType="w" fact="0.1574"/>
              <dgm:constr type="h" for="ch" forName="Accent6" refType="h" fact="0.5699"/>
              <dgm:constr type="l" for="ch" forName="ParentBackground6" refType="w" fact="0.8479"/>
              <dgm:constr type="t" for="ch" forName="ParentBackground6" refType="h" fact="0.1262"/>
              <dgm:constr type="w" for="ch" forName="ParentBackground6" refType="w" fact="0.1469"/>
              <dgm:constr type="h" for="ch" forName="ParentBackground6" refType="h" fact="0.5319"/>
              <dgm:constr type="l" for="ch" forName="Child6" refType="w" fact="0.8479"/>
              <dgm:constr type="t" for="ch" forName="Child6" refType="h" fact="0.6876"/>
              <dgm:constr type="w" for="ch" forName="Child6" refType="w" fact="0.1469"/>
              <dgm:constr type="h" for="ch" forName="Child6" refType="h" fact="0.3124"/>
              <dgm:constr type="l" for="ch" forName="Accent5" refType="w" fact="0.6474"/>
              <dgm:constr type="t" for="ch" forName="Accent5" refType="h" fact="-0.0109"/>
              <dgm:constr type="w" for="ch" forName="Accent5" refType="w" fact="0.2226"/>
              <dgm:constr type="h" for="ch" forName="Accent5" refType="h" fact="0.806"/>
              <dgm:constr type="l" for="ch" forName="ParentBackground5" refType="w" fact="0.6853"/>
              <dgm:constr type="t" for="ch" forName="ParentBackground5" refType="h" fact="0.1262"/>
              <dgm:constr type="w" for="ch" forName="ParentBackground5" refType="w" fact="0.1469"/>
              <dgm:constr type="h" for="ch" forName="ParentBackground5" refType="h" fact="0.5319"/>
              <dgm:constr type="l" for="ch" forName="Child5" refType="w" fact="0.6853"/>
              <dgm:constr type="t" for="ch" forName="Child5" refType="h" fact="0.6876"/>
              <dgm:constr type="w" for="ch" forName="Child5" refType="w" fact="0.1469"/>
              <dgm:constr type="h" for="ch" forName="Child5" refType="h" fact="0.3124"/>
              <dgm:constr type="l" for="ch" forName="Accent4" refType="w" fact="0.4848"/>
              <dgm:constr type="t" for="ch" forName="Accent4" refType="h" fact="-0.0109"/>
              <dgm:constr type="w" for="ch" forName="Accent4" refType="w" fact="0.2226"/>
              <dgm:constr type="h" for="ch" forName="Accent4" refType="h" fact="0.806"/>
              <dgm:constr type="l" for="ch" forName="ParentBackground4" refType="w" fact="0.5227"/>
              <dgm:constr type="t" for="ch" forName="ParentBackground4" refType="h" fact="0.1262"/>
              <dgm:constr type="w" for="ch" forName="ParentBackground4" refType="w" fact="0.1469"/>
              <dgm:constr type="h" for="ch" forName="ParentBackground4" refType="h" fact="0.5319"/>
              <dgm:constr type="l" for="ch" forName="Child4" refType="w" fact="0.5227"/>
              <dgm:constr type="t" for="ch" forName="Child4" refType="h" fact="0.6876"/>
              <dgm:constr type="w" for="ch" forName="Child4" refType="w" fact="0.1469"/>
              <dgm:constr type="h" for="ch" forName="Child4" refType="h" fact="0.3124"/>
              <dgm:constr type="l" for="ch" forName="Accent3" refType="w" fact="0.3222"/>
              <dgm:constr type="t" for="ch" forName="Accent3" refType="h" fact="-0.0109"/>
              <dgm:constr type="w" for="ch" forName="Accent3" refType="w" fact="0.2226"/>
              <dgm:constr type="h" for="ch" forName="Accent3" refType="h" fact="0.806"/>
              <dgm:constr type="l" for="ch" forName="ParentBackground3" refType="w" fact="0.3601"/>
              <dgm:constr type="t" for="ch" forName="ParentBackground3" refType="h" fact="0.1262"/>
              <dgm:constr type="w" for="ch" forName="ParentBackground3" refType="w" fact="0.1469"/>
              <dgm:constr type="h" for="ch" forName="ParentBackground3" refType="h" fact="0.5319"/>
              <dgm:constr type="l" for="ch" forName="Child3" refType="w" fact="0.3601"/>
              <dgm:constr type="t" for="ch" forName="Child3" refType="h" fact="0.6876"/>
              <dgm:constr type="w" for="ch" forName="Child3" refType="w" fact="0.1469"/>
              <dgm:constr type="h" for="ch" forName="Child3" refType="h" fact="0.3124"/>
              <dgm:constr type="l" for="ch" forName="Accent2" refType="w" fact="0.1596"/>
              <dgm:constr type="t" for="ch" forName="Accent2" refType="h" fact="-0.0109"/>
              <dgm:constr type="w" for="ch" forName="Accent2" refType="w" fact="0.2226"/>
              <dgm:constr type="h" for="ch" forName="Accent2" refType="h" fact="0.806"/>
              <dgm:constr type="l" for="ch" forName="ParentBackground2" refType="w" fact="0.1975"/>
              <dgm:constr type="t" for="ch" forName="ParentBackground2" refType="h" fact="0.1262"/>
              <dgm:constr type="w" for="ch" forName="ParentBackground2" refType="w" fact="0.1469"/>
              <dgm:constr type="h" for="ch" forName="ParentBackground2" refType="h" fact="0.5319"/>
              <dgm:constr type="l" for="ch" forName="Child2" refType="w" fact="0.1975"/>
              <dgm:constr type="t" for="ch" forName="Child2" refType="h" fact="0.6876"/>
              <dgm:constr type="w" for="ch" forName="Child2" refType="w" fact="0.1469"/>
              <dgm:constr type="h" for="ch" forName="Child2" refType="h" fact="0.3124"/>
              <dgm:constr type="l" for="ch" forName="Accent1" refType="w" fact="-0.003"/>
              <dgm:constr type="t" for="ch" forName="Accent1" refType="h" fact="-0.0109"/>
              <dgm:constr type="w" for="ch" forName="Accent1" refType="w" fact="0.2226"/>
              <dgm:constr type="h" for="ch" forName="Accent1" refType="h" fact="0.806"/>
              <dgm:constr type="l" for="ch" forName="ParentBackground1" refType="w" fact="0.0348"/>
              <dgm:constr type="t" for="ch" forName="ParentBackground1" refType="h" fact="0.1262"/>
              <dgm:constr type="w" for="ch" forName="ParentBackground1" refType="w" fact="0.1469"/>
              <dgm:constr type="h" for="ch" forName="ParentBackground1" refType="h" fact="0.5319"/>
              <dgm:constr type="l" for="ch" forName="Child1" refType="w" fact="0.0348"/>
              <dgm:constr type="t" for="ch" forName="Child1" refType="h" fact="0.6876"/>
              <dgm:constr type="w" for="ch" forName="Child1" refType="w" fact="0.1469"/>
              <dgm:constr type="h" for="ch" forName="Child1" refType="h" fact="0.3124"/>
            </dgm:constrLst>
          </dgm:if>
          <dgm:if name="Name10" axis="ch" ptType="node" func="cnt" op="equ" val="7">
            <dgm:alg type="composite">
              <dgm:param type="ar" val="4.210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Parent7" refType="w" fact="0.8872"/>
              <dgm:constr type="t" for="ch" forName="Parent7" refType="h" fact="0.2022"/>
              <dgm:constr type="w" for="ch" forName="Parent7" refType="w" fact="0.0902"/>
              <dgm:constr type="h" for="ch" forName="Parent7" refType="h" fact="0.3799"/>
              <dgm:constr type="l" for="ch" forName="Parent6" refType="w" fact="0.7473"/>
              <dgm:constr type="t" for="ch" forName="Parent6" refType="h" fact="0.2022"/>
              <dgm:constr type="w" for="ch" forName="Parent6" refType="w" fact="0.0902"/>
              <dgm:constr type="h" for="ch" forName="Parent6" refType="h" fact="0.3799"/>
              <dgm:constr type="l" for="ch" forName="Parent5" refType="w" fact="0.6075"/>
              <dgm:constr type="t" for="ch" forName="Parent5" refType="h" fact="0.2022"/>
              <dgm:constr type="w" for="ch" forName="Parent5" refType="w" fact="0.0902"/>
              <dgm:constr type="h" for="ch" forName="Parent5" refType="h" fact="0.3799"/>
              <dgm:constr type="l" for="ch" forName="Parent4" refType="w" fact="0.4676"/>
              <dgm:constr type="t" for="ch" forName="Parent4" refType="h" fact="0.2022"/>
              <dgm:constr type="w" for="ch" forName="Parent4" refType="w" fact="0.0902"/>
              <dgm:constr type="h" for="ch" forName="Parent4" refType="h" fact="0.3799"/>
              <dgm:constr type="l" for="ch" forName="Parent3" refType="w" fact="0.3277"/>
              <dgm:constr type="t" for="ch" forName="Parent3" refType="h" fact="0.2022"/>
              <dgm:constr type="w" for="ch" forName="Parent3" refType="w" fact="0.0902"/>
              <dgm:constr type="h" for="ch" forName="Parent3" refType="h" fact="0.3799"/>
              <dgm:constr type="l" for="ch" forName="Parent2" refType="w" fact="0.1879"/>
              <dgm:constr type="t" for="ch" forName="Parent2" refType="h" fact="0.2022"/>
              <dgm:constr type="w" for="ch" forName="Parent2" refType="w" fact="0.0902"/>
              <dgm:constr type="h" for="ch" forName="Parent2" refType="h" fact="0.3799"/>
              <dgm:constr type="l" for="ch" forName="Parent1" refType="w" fact="0.048"/>
              <dgm:constr type="t" for="ch" forName="Parent1" refType="h" fact="0.2022"/>
              <dgm:constr type="w" for="ch" forName="Parent1" refType="w" fact="0.0902"/>
              <dgm:constr type="h" for="ch" forName="Parent1" refType="h" fact="0.3799"/>
              <dgm:constr type="l" for="ch" forName="Accent7" refType="w" fact="0.8646"/>
              <dgm:constr type="t" for="ch" forName="Accent7" refType="h" fact="0.1072"/>
              <dgm:constr type="w" for="ch" forName="Accent7" refType="w" fact="0.1354"/>
              <dgm:constr type="h" for="ch" forName="Accent7" refType="h" fact="0.5699"/>
              <dgm:constr type="l" for="ch" forName="ParentBackground7" refType="w" fact="0.8692"/>
              <dgm:constr type="t" for="ch" forName="ParentBackground7" refType="h" fact="0.1262"/>
              <dgm:constr type="w" for="ch" forName="ParentBackground7" refType="w" fact="0.1263"/>
              <dgm:constr type="h" for="ch" forName="ParentBackground7" refType="h" fact="0.5319"/>
              <dgm:constr type="l" for="ch" forName="Child7" refType="w" fact="0.8692"/>
              <dgm:constr type="t" for="ch" forName="Child7" refType="h" fact="0.6876"/>
              <dgm:constr type="w" for="ch" forName="Child7" refType="w" fact="0.1263"/>
              <dgm:constr type="h" for="ch" forName="Child7" refType="h" fact="0.3124"/>
              <dgm:constr type="l" for="ch" forName="Accent6" refType="w" fact="0.6967"/>
              <dgm:constr type="t" for="ch" forName="Accent6" refType="h" fact="-0.0109"/>
              <dgm:constr type="w" for="ch" forName="Accent6" refType="w" fact="0.1915"/>
              <dgm:constr type="h" for="ch" forName="Accent6" refType="h" fact="0.806"/>
              <dgm:constr type="l" for="ch" forName="ParentBackground6" refType="w" fact="0.7293"/>
              <dgm:constr type="t" for="ch" forName="ParentBackground6" refType="h" fact="0.1262"/>
              <dgm:constr type="w" for="ch" forName="ParentBackground6" refType="w" fact="0.1263"/>
              <dgm:constr type="h" for="ch" forName="ParentBackground6" refType="h" fact="0.5319"/>
              <dgm:constr type="l" for="ch" forName="Child6" refType="w" fact="0.7293"/>
              <dgm:constr type="t" for="ch" forName="Child6" refType="h" fact="0.6876"/>
              <dgm:constr type="w" for="ch" forName="Child6" refType="w" fact="0.1263"/>
              <dgm:constr type="h" for="ch" forName="Child6" refType="h" fact="0.3124"/>
              <dgm:constr type="l" for="ch" forName="Accent5" refType="w" fact="0.5569"/>
              <dgm:constr type="t" for="ch" forName="Accent5" refType="h" fact="-0.0109"/>
              <dgm:constr type="w" for="ch" forName="Accent5" refType="w" fact="0.1915"/>
              <dgm:constr type="h" for="ch" forName="Accent5" refType="h" fact="0.806"/>
              <dgm:constr type="l" for="ch" forName="ParentBackground5" refType="w" fact="0.5894"/>
              <dgm:constr type="t" for="ch" forName="ParentBackground5" refType="h" fact="0.1262"/>
              <dgm:constr type="w" for="ch" forName="ParentBackground5" refType="w" fact="0.1263"/>
              <dgm:constr type="h" for="ch" forName="ParentBackground5" refType="h" fact="0.5319"/>
              <dgm:constr type="l" for="ch" forName="Child5" refType="w" fact="0.5894"/>
              <dgm:constr type="t" for="ch" forName="Child5" refType="h" fact="0.6876"/>
              <dgm:constr type="w" for="ch" forName="Child5" refType="w" fact="0.1263"/>
              <dgm:constr type="h" for="ch" forName="Child5" refType="h" fact="0.3124"/>
              <dgm:constr type="l" for="ch" forName="Accent4" refType="w" fact="0.417"/>
              <dgm:constr type="t" for="ch" forName="Accent4" refType="h" fact="-0.0109"/>
              <dgm:constr type="w" for="ch" forName="Accent4" refType="w" fact="0.1915"/>
              <dgm:constr type="h" for="ch" forName="Accent4" refType="h" fact="0.806"/>
              <dgm:constr type="l" for="ch" forName="ParentBackground4" refType="w" fact="0.4496"/>
              <dgm:constr type="t" for="ch" forName="ParentBackground4" refType="h" fact="0.1262"/>
              <dgm:constr type="w" for="ch" forName="ParentBackground4" refType="w" fact="0.1263"/>
              <dgm:constr type="h" for="ch" forName="ParentBackground4" refType="h" fact="0.5319"/>
              <dgm:constr type="l" for="ch" forName="Child4" refType="w" fact="0.4496"/>
              <dgm:constr type="t" for="ch" forName="Child4" refType="h" fact="0.6876"/>
              <dgm:constr type="w" for="ch" forName="Child4" refType="w" fact="0.1263"/>
              <dgm:constr type="h" for="ch" forName="Child4" refType="h" fact="0.3124"/>
              <dgm:constr type="l" for="ch" forName="Accent3" refType="w" fact="0.2771"/>
              <dgm:constr type="t" for="ch" forName="Accent3" refType="h" fact="-0.0109"/>
              <dgm:constr type="w" for="ch" forName="Accent3" refType="w" fact="0.1915"/>
              <dgm:constr type="h" for="ch" forName="Accent3" refType="h" fact="0.806"/>
              <dgm:constr type="l" for="ch" forName="ParentBackground3" refType="w" fact="0.3097"/>
              <dgm:constr type="t" for="ch" forName="ParentBackground3" refType="h" fact="0.1262"/>
              <dgm:constr type="w" for="ch" forName="ParentBackground3" refType="w" fact="0.1263"/>
              <dgm:constr type="h" for="ch" forName="ParentBackground3" refType="h" fact="0.5319"/>
              <dgm:constr type="l" for="ch" forName="Child3" refType="w" fact="0.3097"/>
              <dgm:constr type="t" for="ch" forName="Child3" refType="h" fact="0.6876"/>
              <dgm:constr type="w" for="ch" forName="Child3" refType="w" fact="0.1263"/>
              <dgm:constr type="h" for="ch" forName="Child3" refType="h" fact="0.3124"/>
              <dgm:constr type="l" for="ch" forName="Accent2" refType="w" fact="0.1373"/>
              <dgm:constr type="t" for="ch" forName="Accent2" refType="h" fact="-0.0109"/>
              <dgm:constr type="w" for="ch" forName="Accent2" refType="w" fact="0.1915"/>
              <dgm:constr type="h" for="ch" forName="Accent2" refType="h" fact="0.806"/>
              <dgm:constr type="l" for="ch" forName="ParentBackground2" refType="w" fact="0.1698"/>
              <dgm:constr type="t" for="ch" forName="ParentBackground2" refType="h" fact="0.1262"/>
              <dgm:constr type="w" for="ch" forName="ParentBackground2" refType="w" fact="0.1263"/>
              <dgm:constr type="h" for="ch" forName="ParentBackground2" refType="h" fact="0.5319"/>
              <dgm:constr type="l" for="ch" forName="Child2" refType="w" fact="0.1698"/>
              <dgm:constr type="t" for="ch" forName="Child2" refType="h" fact="0.6876"/>
              <dgm:constr type="w" for="ch" forName="Child2" refType="w" fact="0.1263"/>
              <dgm:constr type="h" for="ch" forName="Child2" refType="h" fact="0.3124"/>
              <dgm:constr type="l" for="ch" forName="Accent1" refType="w" fact="-0.0026"/>
              <dgm:constr type="t" for="ch" forName="Accent1" refType="h" fact="-0.0109"/>
              <dgm:constr type="w" for="ch" forName="Accent1" refType="w" fact="0.1915"/>
              <dgm:constr type="h" for="ch" forName="Accent1" refType="h" fact="0.806"/>
              <dgm:constr type="l" for="ch" forName="ParentBackground1" refType="w" fact="0.03"/>
              <dgm:constr type="t" for="ch" forName="ParentBackground1" refType="h" fact="0.1262"/>
              <dgm:constr type="w" for="ch" forName="ParentBackground1" refType="w" fact="0.1263"/>
              <dgm:constr type="h" for="ch" forName="ParentBackground1" refType="h" fact="0.5319"/>
              <dgm:constr type="l" for="ch" forName="Child1" refType="w" fact="0.03"/>
              <dgm:constr type="t" for="ch" forName="Child1" refType="h" fact="0.6876"/>
              <dgm:constr type="w" for="ch" forName="Child1" refType="w" fact="0.1263"/>
              <dgm:constr type="h" for="ch" forName="Child1" refType="h" fact="0.3124"/>
            </dgm:constrLst>
          </dgm:if>
          <dgm:if name="Name11" axis="ch" ptType="node" func="cnt" op="equ" val="8">
            <dgm:alg type="composite">
              <dgm:param type="ar" val="4.799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l" for="ch" forName="Parent8" refType="w" fact="0.901"/>
              <dgm:constr type="t" for="ch" forName="Parent8" refType="h" fact="0.2022"/>
              <dgm:constr type="w" for="ch" forName="Parent8" refType="w" fact="0.0792"/>
              <dgm:constr type="h" for="ch" forName="Parent8" refType="h" fact="0.3799"/>
              <dgm:constr type="l" for="ch" forName="Parent7" refType="w" fact="0.7783"/>
              <dgm:constr type="t" for="ch" forName="Parent7" refType="h" fact="0.2022"/>
              <dgm:constr type="w" for="ch" forName="Parent7" refType="w" fact="0.0792"/>
              <dgm:constr type="h" for="ch" forName="Parent7" refType="h" fact="0.3799"/>
              <dgm:constr type="l" for="ch" forName="Parent6" refType="w" fact="0.6556"/>
              <dgm:constr type="t" for="ch" forName="Parent6" refType="h" fact="0.2022"/>
              <dgm:constr type="w" for="ch" forName="Parent6" refType="w" fact="0.0792"/>
              <dgm:constr type="h" for="ch" forName="Parent6" refType="h" fact="0.3799"/>
              <dgm:constr type="l" for="ch" forName="Parent5" refType="w" fact="0.5329"/>
              <dgm:constr type="t" for="ch" forName="Parent5" refType="h" fact="0.2022"/>
              <dgm:constr type="w" for="ch" forName="Parent5" refType="w" fact="0.0792"/>
              <dgm:constr type="h" for="ch" forName="Parent5" refType="h" fact="0.3799"/>
              <dgm:constr type="l" for="ch" forName="Parent4" refType="w" fact="0.4102"/>
              <dgm:constr type="t" for="ch" forName="Parent4" refType="h" fact="0.2022"/>
              <dgm:constr type="w" for="ch" forName="Parent4" refType="w" fact="0.0792"/>
              <dgm:constr type="h" for="ch" forName="Parent4" refType="h" fact="0.3799"/>
              <dgm:constr type="l" for="ch" forName="Parent3" refType="w" fact="0.2875"/>
              <dgm:constr type="t" for="ch" forName="Parent3" refType="h" fact="0.2022"/>
              <dgm:constr type="w" for="ch" forName="Parent3" refType="w" fact="0.0792"/>
              <dgm:constr type="h" for="ch" forName="Parent3" refType="h" fact="0.3799"/>
              <dgm:constr type="l" for="ch" forName="Parent2" refType="w" fact="0.1648"/>
              <dgm:constr type="t" for="ch" forName="Parent2" refType="h" fact="0.2022"/>
              <dgm:constr type="w" for="ch" forName="Parent2" refType="w" fact="0.0792"/>
              <dgm:constr type="h" for="ch" forName="Parent2" refType="h" fact="0.3799"/>
              <dgm:constr type="l" for="ch" forName="Parent1" refType="w" fact="0.0421"/>
              <dgm:constr type="t" for="ch" forName="Parent1" refType="h" fact="0.2022"/>
              <dgm:constr type="w" for="ch" forName="Parent1" refType="w" fact="0.0792"/>
              <dgm:constr type="h" for="ch" forName="Parent1" refType="h" fact="0.3799"/>
              <dgm:constr type="l" for="ch" forName="Accent8" refType="w" fact="0.8813"/>
              <dgm:constr type="t" for="ch" forName="Accent8" refType="h" fact="0.1072"/>
              <dgm:constr type="w" for="ch" forName="Accent8" refType="w" fact="0.1187"/>
              <dgm:constr type="h" for="ch" forName="Accent8" refType="h" fact="0.5699"/>
              <dgm:constr type="l" for="ch" forName="ParentBackground8" refType="w" fact="0.8852"/>
              <dgm:constr type="t" for="ch" forName="ParentBackground8" refType="h" fact="0.1262"/>
              <dgm:constr type="w" for="ch" forName="ParentBackground8" refType="w" fact="0.1108"/>
              <dgm:constr type="h" for="ch" forName="ParentBackground8" refType="h" fact="0.5319"/>
              <dgm:constr type="l" for="ch" forName="Child8" refType="w" fact="0.8852"/>
              <dgm:constr type="t" for="ch" forName="Child8" refType="h" fact="0.6876"/>
              <dgm:constr type="w" for="ch" forName="Child8" refType="w" fact="0.1108"/>
              <dgm:constr type="h" for="ch" forName="Child8" refType="h" fact="0.3124"/>
              <dgm:constr type="l" for="ch" forName="Accent7" refType="w" fact="0.7339"/>
              <dgm:constr type="t" for="ch" forName="Accent7" refType="h" fact="-0.0109"/>
              <dgm:constr type="w" for="ch" forName="Accent7" refType="w" fact="0.1679"/>
              <dgm:constr type="h" for="ch" forName="Accent7" refType="h" fact="0.806"/>
              <dgm:constr type="l" for="ch" forName="ParentBackground7" refType="w" fact="0.7625"/>
              <dgm:constr type="t" for="ch" forName="ParentBackground7" refType="h" fact="0.1262"/>
              <dgm:constr type="w" for="ch" forName="ParentBackground7" refType="w" fact="0.1108"/>
              <dgm:constr type="h" for="ch" forName="ParentBackground7" refType="h" fact="0.5319"/>
              <dgm:constr type="l" for="ch" forName="Child7" refType="w" fact="0.7625"/>
              <dgm:constr type="t" for="ch" forName="Child7" refType="h" fact="0.6876"/>
              <dgm:constr type="w" for="ch" forName="Child7" refType="w" fact="0.1108"/>
              <dgm:constr type="h" for="ch" forName="Child7" refType="h" fact="0.3124"/>
              <dgm:constr type="l" for="ch" forName="Accent6" refType="w" fact="0.6112"/>
              <dgm:constr type="t" for="ch" forName="Accent6" refType="h" fact="-0.0109"/>
              <dgm:constr type="w" for="ch" forName="Accent6" refType="w" fact="0.1679"/>
              <dgm:constr type="h" for="ch" forName="Accent6" refType="h" fact="0.806"/>
              <dgm:constr type="l" for="ch" forName="ParentBackground6" refType="w" fact="0.6398"/>
              <dgm:constr type="t" for="ch" forName="ParentBackground6" refType="h" fact="0.1262"/>
              <dgm:constr type="w" for="ch" forName="ParentBackground6" refType="w" fact="0.1108"/>
              <dgm:constr type="h" for="ch" forName="ParentBackground6" refType="h" fact="0.5319"/>
              <dgm:constr type="l" for="ch" forName="Child6" refType="w" fact="0.6398"/>
              <dgm:constr type="t" for="ch" forName="Child6" refType="h" fact="0.6876"/>
              <dgm:constr type="w" for="ch" forName="Child6" refType="w" fact="0.1108"/>
              <dgm:constr type="h" for="ch" forName="Child6" refType="h" fact="0.3124"/>
              <dgm:constr type="l" for="ch" forName="Accent5" refType="w" fact="0.4885"/>
              <dgm:constr type="t" for="ch" forName="Accent5" refType="h" fact="-0.0109"/>
              <dgm:constr type="w" for="ch" forName="Accent5" refType="w" fact="0.1679"/>
              <dgm:constr type="h" for="ch" forName="Accent5" refType="h" fact="0.806"/>
              <dgm:constr type="l" for="ch" forName="ParentBackground5" refType="w" fact="0.5171"/>
              <dgm:constr type="t" for="ch" forName="ParentBackground5" refType="h" fact="0.1262"/>
              <dgm:constr type="w" for="ch" forName="ParentBackground5" refType="w" fact="0.1108"/>
              <dgm:constr type="h" for="ch" forName="ParentBackground5" refType="h" fact="0.5319"/>
              <dgm:constr type="l" for="ch" forName="Child5" refType="w" fact="0.5171"/>
              <dgm:constr type="t" for="ch" forName="Child5" refType="h" fact="0.6876"/>
              <dgm:constr type="w" for="ch" forName="Child5" refType="w" fact="0.1108"/>
              <dgm:constr type="h" for="ch" forName="Child5" refType="h" fact="0.3124"/>
              <dgm:constr type="l" for="ch" forName="Accent4" refType="w" fact="0.3658"/>
              <dgm:constr type="t" for="ch" forName="Accent4" refType="h" fact="-0.0109"/>
              <dgm:constr type="w" for="ch" forName="Accent4" refType="w" fact="0.1679"/>
              <dgm:constr type="h" for="ch" forName="Accent4" refType="h" fact="0.806"/>
              <dgm:constr type="l" for="ch" forName="ParentBackground4" refType="w" fact="0.3944"/>
              <dgm:constr type="t" for="ch" forName="ParentBackground4" refType="h" fact="0.1262"/>
              <dgm:constr type="w" for="ch" forName="ParentBackground4" refType="w" fact="0.1108"/>
              <dgm:constr type="h" for="ch" forName="ParentBackground4" refType="h" fact="0.5319"/>
              <dgm:constr type="l" for="ch" forName="Child4" refType="w" fact="0.3944"/>
              <dgm:constr type="t" for="ch" forName="Child4" refType="h" fact="0.6876"/>
              <dgm:constr type="w" for="ch" forName="Child4" refType="w" fact="0.1108"/>
              <dgm:constr type="h" for="ch" forName="Child4" refType="h" fact="0.3124"/>
              <dgm:constr type="l" for="ch" forName="Accent3" refType="w" fact="0.2431"/>
              <dgm:constr type="t" for="ch" forName="Accent3" refType="h" fact="-0.0109"/>
              <dgm:constr type="w" for="ch" forName="Accent3" refType="w" fact="0.1679"/>
              <dgm:constr type="h" for="ch" forName="Accent3" refType="h" fact="0.806"/>
              <dgm:constr type="l" for="ch" forName="ParentBackground3" refType="w" fact="0.2717"/>
              <dgm:constr type="t" for="ch" forName="ParentBackground3" refType="h" fact="0.1262"/>
              <dgm:constr type="w" for="ch" forName="ParentBackground3" refType="w" fact="0.1108"/>
              <dgm:constr type="h" for="ch" forName="ParentBackground3" refType="h" fact="0.5319"/>
              <dgm:constr type="l" for="ch" forName="Child3" refType="w" fact="0.2717"/>
              <dgm:constr type="t" for="ch" forName="Child3" refType="h" fact="0.6876"/>
              <dgm:constr type="w" for="ch" forName="Child3" refType="w" fact="0.1108"/>
              <dgm:constr type="h" for="ch" forName="Child3" refType="h" fact="0.3124"/>
              <dgm:constr type="l" for="ch" forName="Accent2" refType="w" fact="0.1204"/>
              <dgm:constr type="t" for="ch" forName="Accent2" refType="h" fact="-0.0109"/>
              <dgm:constr type="w" for="ch" forName="Accent2" refType="w" fact="0.1679"/>
              <dgm:constr type="h" for="ch" forName="Accent2" refType="h" fact="0.806"/>
              <dgm:constr type="l" for="ch" forName="ParentBackground2" refType="w" fact="0.149"/>
              <dgm:constr type="t" for="ch" forName="ParentBackground2" refType="h" fact="0.1262"/>
              <dgm:constr type="w" for="ch" forName="ParentBackground2" refType="w" fact="0.1108"/>
              <dgm:constr type="h" for="ch" forName="ParentBackground2" refType="h" fact="0.5319"/>
              <dgm:constr type="l" for="ch" forName="Child2" refType="w" fact="0.149"/>
              <dgm:constr type="t" for="ch" forName="Child2" refType="h" fact="0.6876"/>
              <dgm:constr type="w" for="ch" forName="Child2" refType="w" fact="0.1108"/>
              <dgm:constr type="h" for="ch" forName="Child2" refType="h" fact="0.3124"/>
              <dgm:constr type="l" for="ch" forName="Accent1" refType="w" fact="-0.0023"/>
              <dgm:constr type="t" for="ch" forName="Accent1" refType="h" fact="-0.0109"/>
              <dgm:constr type="w" for="ch" forName="Accent1" refType="w" fact="0.1679"/>
              <dgm:constr type="h" for="ch" forName="Accent1" refType="h" fact="0.806"/>
              <dgm:constr type="l" for="ch" forName="ParentBackground1" refType="w" fact="0.0263"/>
              <dgm:constr type="t" for="ch" forName="ParentBackground1" refType="h" fact="0.1262"/>
              <dgm:constr type="w" for="ch" forName="ParentBackground1" refType="w" fact="0.1108"/>
              <dgm:constr type="h" for="ch" forName="ParentBackground1" refType="h" fact="0.5319"/>
              <dgm:constr type="l" for="ch" forName="Child1" refType="w" fact="0.0263"/>
              <dgm:constr type="t" for="ch" forName="Child1" refType="h" fact="0.6876"/>
              <dgm:constr type="w" for="ch" forName="Child1" refType="w" fact="0.1108"/>
              <dgm:constr type="h" for="ch" forName="Child1" refType="h" fact="0.3124"/>
            </dgm:constrLst>
          </dgm:if>
          <dgm:if name="Name12" axis="ch" ptType="node" func="cnt" op="equ" val="9">
            <dgm:alg type="composite">
              <dgm:param type="ar" val="5.38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l" for="ch" forName="Parent9" refType="w" fact="0.9119"/>
              <dgm:constr type="t" for="ch" forName="Parent9" refType="h" fact="0.2022"/>
              <dgm:constr type="w" for="ch" forName="Parent9" refType="w" fact="0.0705"/>
              <dgm:constr type="h" for="ch" forName="Parent9" refType="h" fact="0.3799"/>
              <dgm:constr type="l" for="ch" forName="Parent8" refType="w" fact="0.8026"/>
              <dgm:constr type="t" for="ch" forName="Parent8" refType="h" fact="0.2022"/>
              <dgm:constr type="w" for="ch" forName="Parent8" refType="w" fact="0.0705"/>
              <dgm:constr type="h" for="ch" forName="Parent8" refType="h" fact="0.3799"/>
              <dgm:constr type="l" for="ch" forName="Parent7" refType="w" fact="0.6933"/>
              <dgm:constr type="t" for="ch" forName="Parent7" refType="h" fact="0.2022"/>
              <dgm:constr type="w" for="ch" forName="Parent7" refType="w" fact="0.0705"/>
              <dgm:constr type="h" for="ch" forName="Parent7" refType="h" fact="0.3799"/>
              <dgm:constr type="l" for="ch" forName="Parent6" refType="w" fact="0.584"/>
              <dgm:constr type="t" for="ch" forName="Parent6" refType="h" fact="0.2022"/>
              <dgm:constr type="w" for="ch" forName="Parent6" refType="w" fact="0.0705"/>
              <dgm:constr type="h" for="ch" forName="Parent6" refType="h" fact="0.3799"/>
              <dgm:constr type="l" for="ch" forName="Parent5" refType="w" fact="0.4747"/>
              <dgm:constr type="t" for="ch" forName="Parent5" refType="h" fact="0.2022"/>
              <dgm:constr type="w" for="ch" forName="Parent5" refType="w" fact="0.0705"/>
              <dgm:constr type="h" for="ch" forName="Parent5" refType="h" fact="0.3799"/>
              <dgm:constr type="l" for="ch" forName="Parent4" refType="w" fact="0.3654"/>
              <dgm:constr type="t" for="ch" forName="Parent4" refType="h" fact="0.2022"/>
              <dgm:constr type="w" for="ch" forName="Parent4" refType="w" fact="0.0705"/>
              <dgm:constr type="h" for="ch" forName="Parent4" refType="h" fact="0.3799"/>
              <dgm:constr type="l" for="ch" forName="Parent3" refType="w" fact="0.2561"/>
              <dgm:constr type="t" for="ch" forName="Parent3" refType="h" fact="0.2022"/>
              <dgm:constr type="w" for="ch" forName="Parent3" refType="w" fact="0.0705"/>
              <dgm:constr type="h" for="ch" forName="Parent3" refType="h" fact="0.3799"/>
              <dgm:constr type="l" for="ch" forName="Parent2" refType="w" fact="0.1468"/>
              <dgm:constr type="t" for="ch" forName="Parent2" refType="h" fact="0.2022"/>
              <dgm:constr type="w" for="ch" forName="Parent2" refType="w" fact="0.0705"/>
              <dgm:constr type="h" for="ch" forName="Parent2" refType="h" fact="0.3799"/>
              <dgm:constr type="l" for="ch" forName="Parent1" refType="w" fact="0.0375"/>
              <dgm:constr type="t" for="ch" forName="Parent1" refType="h" fact="0.2022"/>
              <dgm:constr type="w" for="ch" forName="Parent1" refType="w" fact="0.0705"/>
              <dgm:constr type="h" for="ch" forName="Parent1" refType="h" fact="0.3799"/>
              <dgm:constr type="l" for="ch" forName="Accent9" refType="w" fact="0.8942"/>
              <dgm:constr type="t" for="ch" forName="Accent9" refType="h" fact="0.1072"/>
              <dgm:constr type="w" for="ch" forName="Accent9" refType="w" fact="0.1058"/>
              <dgm:constr type="h" for="ch" forName="Accent9" refType="h" fact="0.5699"/>
              <dgm:constr type="l" for="ch" forName="ParentBackground9" refType="w" fact="0.8978"/>
              <dgm:constr type="t" for="ch" forName="ParentBackground9" refType="h" fact="0.1262"/>
              <dgm:constr type="w" for="ch" forName="ParentBackground9" refType="w" fact="0.0987"/>
              <dgm:constr type="h" for="ch" forName="ParentBackground9" refType="h" fact="0.5319"/>
              <dgm:constr type="l" for="ch" forName="Child9" refType="w" fact="0.8978"/>
              <dgm:constr type="t" for="ch" forName="Child9" refType="h" fact="0.6876"/>
              <dgm:constr type="w" for="ch" forName="Child9" refType="w" fact="0.0987"/>
              <dgm:constr type="h" for="ch" forName="Child9" refType="h" fact="0.3124"/>
              <dgm:constr type="l" for="ch" forName="Accent8" refType="w" fact="0.763"/>
              <dgm:constr type="t" for="ch" forName="Accent8" refType="h" fact="-0.0109"/>
              <dgm:constr type="w" for="ch" forName="Accent8" refType="w" fact="0.1496"/>
              <dgm:constr type="h" for="ch" forName="Accent8" refType="h" fact="0.806"/>
              <dgm:constr type="l" for="ch" forName="ParentBackground8" refType="w" fact="0.7885"/>
              <dgm:constr type="t" for="ch" forName="ParentBackground8" refType="h" fact="0.1262"/>
              <dgm:constr type="w" for="ch" forName="ParentBackground8" refType="w" fact="0.0987"/>
              <dgm:constr type="h" for="ch" forName="ParentBackground8" refType="h" fact="0.5319"/>
              <dgm:constr type="l" for="ch" forName="Child8" refType="w" fact="0.7885"/>
              <dgm:constr type="t" for="ch" forName="Child8" refType="h" fact="0.6876"/>
              <dgm:constr type="w" for="ch" forName="Child8" refType="w" fact="0.0987"/>
              <dgm:constr type="h" for="ch" forName="Child8" refType="h" fact="0.3124"/>
              <dgm:constr type="l" for="ch" forName="Accent7" refType="w" fact="0.6538"/>
              <dgm:constr type="t" for="ch" forName="Accent7" refType="h" fact="-0.0109"/>
              <dgm:constr type="w" for="ch" forName="Accent7" refType="w" fact="0.1496"/>
              <dgm:constr type="h" for="ch" forName="Accent7" refType="h" fact="0.806"/>
              <dgm:constr type="l" for="ch" forName="ParentBackground7" refType="w" fact="0.6792"/>
              <dgm:constr type="t" for="ch" forName="ParentBackground7" refType="h" fact="0.1262"/>
              <dgm:constr type="w" for="ch" forName="ParentBackground7" refType="w" fact="0.0987"/>
              <dgm:constr type="h" for="ch" forName="ParentBackground7" refType="h" fact="0.5319"/>
              <dgm:constr type="l" for="ch" forName="Child7" refType="w" fact="0.6792"/>
              <dgm:constr type="t" for="ch" forName="Child7" refType="h" fact="0.6876"/>
              <dgm:constr type="w" for="ch" forName="Child7" refType="w" fact="0.0987"/>
              <dgm:constr type="h" for="ch" forName="Child7" refType="h" fact="0.3124"/>
              <dgm:constr type="l" for="ch" forName="Accent6" refType="w" fact="0.5445"/>
              <dgm:constr type="t" for="ch" forName="Accent6" refType="h" fact="-0.0109"/>
              <dgm:constr type="w" for="ch" forName="Accent6" refType="w" fact="0.1496"/>
              <dgm:constr type="h" for="ch" forName="Accent6" refType="h" fact="0.806"/>
              <dgm:constr type="l" for="ch" forName="ParentBackground6" refType="w" fact="0.5699"/>
              <dgm:constr type="t" for="ch" forName="ParentBackground6" refType="h" fact="0.1262"/>
              <dgm:constr type="w" for="ch" forName="ParentBackground6" refType="w" fact="0.0987"/>
              <dgm:constr type="h" for="ch" forName="ParentBackground6" refType="h" fact="0.5319"/>
              <dgm:constr type="l" for="ch" forName="Child6" refType="w" fact="0.5699"/>
              <dgm:constr type="t" for="ch" forName="Child6" refType="h" fact="0.6876"/>
              <dgm:constr type="w" for="ch" forName="Child6" refType="w" fact="0.0987"/>
              <dgm:constr type="h" for="ch" forName="Child6" refType="h" fact="0.3124"/>
              <dgm:constr type="l" for="ch" forName="Accent5" refType="w" fact="0.4352"/>
              <dgm:constr type="t" for="ch" forName="Accent5" refType="h" fact="-0.0109"/>
              <dgm:constr type="w" for="ch" forName="Accent5" refType="w" fact="0.1496"/>
              <dgm:constr type="h" for="ch" forName="Accent5" refType="h" fact="0.806"/>
              <dgm:constr type="l" for="ch" forName="ParentBackground5" refType="w" fact="0.4606"/>
              <dgm:constr type="t" for="ch" forName="ParentBackground5" refType="h" fact="0.1262"/>
              <dgm:constr type="w" for="ch" forName="ParentBackground5" refType="w" fact="0.0987"/>
              <dgm:constr type="h" for="ch" forName="ParentBackground5" refType="h" fact="0.5319"/>
              <dgm:constr type="l" for="ch" forName="Child5" refType="w" fact="0.4606"/>
              <dgm:constr type="t" for="ch" forName="Child5" refType="h" fact="0.6876"/>
              <dgm:constr type="w" for="ch" forName="Child5" refType="w" fact="0.0987"/>
              <dgm:constr type="h" for="ch" forName="Child5" refType="h" fact="0.3124"/>
              <dgm:constr type="l" for="ch" forName="Accent4" refType="w" fact="0.3259"/>
              <dgm:constr type="t" for="ch" forName="Accent4" refType="h" fact="-0.0109"/>
              <dgm:constr type="w" for="ch" forName="Accent4" refType="w" fact="0.1496"/>
              <dgm:constr type="h" for="ch" forName="Accent4" refType="h" fact="0.806"/>
              <dgm:constr type="l" for="ch" forName="ParentBackground4" refType="w" fact="0.3513"/>
              <dgm:constr type="t" for="ch" forName="ParentBackground4" refType="h" fact="0.1262"/>
              <dgm:constr type="w" for="ch" forName="ParentBackground4" refType="w" fact="0.0987"/>
              <dgm:constr type="h" for="ch" forName="ParentBackground4" refType="h" fact="0.5319"/>
              <dgm:constr type="l" for="ch" forName="Child4" refType="w" fact="0.3513"/>
              <dgm:constr type="t" for="ch" forName="Child4" refType="h" fact="0.6876"/>
              <dgm:constr type="w" for="ch" forName="Child4" refType="w" fact="0.0987"/>
              <dgm:constr type="h" for="ch" forName="Child4" refType="h" fact="0.3124"/>
              <dgm:constr type="l" for="ch" forName="Accent3" refType="w" fact="0.2166"/>
              <dgm:constr type="t" for="ch" forName="Accent3" refType="h" fact="-0.0109"/>
              <dgm:constr type="w" for="ch" forName="Accent3" refType="w" fact="0.1496"/>
              <dgm:constr type="h" for="ch" forName="Accent3" refType="h" fact="0.806"/>
              <dgm:constr type="l" for="ch" forName="ParentBackground3" refType="w" fact="0.242"/>
              <dgm:constr type="t" for="ch" forName="ParentBackground3" refType="h" fact="0.1262"/>
              <dgm:constr type="w" for="ch" forName="ParentBackground3" refType="w" fact="0.0987"/>
              <dgm:constr type="h" for="ch" forName="ParentBackground3" refType="h" fact="0.5319"/>
              <dgm:constr type="l" for="ch" forName="Child3" refType="w" fact="0.242"/>
              <dgm:constr type="t" for="ch" forName="Child3" refType="h" fact="0.6876"/>
              <dgm:constr type="w" for="ch" forName="Child3" refType="w" fact="0.0987"/>
              <dgm:constr type="h" for="ch" forName="Child3" refType="h" fact="0.3124"/>
              <dgm:constr type="l" for="ch" forName="Accent2" refType="w" fact="0.1073"/>
              <dgm:constr type="t" for="ch" forName="Accent2" refType="h" fact="-0.0109"/>
              <dgm:constr type="w" for="ch" forName="Accent2" refType="w" fact="0.1496"/>
              <dgm:constr type="h" for="ch" forName="Accent2" refType="h" fact="0.806"/>
              <dgm:constr type="l" for="ch" forName="ParentBackground2" refType="w" fact="0.1327"/>
              <dgm:constr type="t" for="ch" forName="ParentBackground2" refType="h" fact="0.1262"/>
              <dgm:constr type="w" for="ch" forName="ParentBackground2" refType="w" fact="0.0987"/>
              <dgm:constr type="h" for="ch" forName="ParentBackground2" refType="h" fact="0.5319"/>
              <dgm:constr type="l" for="ch" forName="Child2" refType="w" fact="0.1327"/>
              <dgm:constr type="t" for="ch" forName="Child2" refType="h" fact="0.6876"/>
              <dgm:constr type="w" for="ch" forName="Child2" refType="w" fact="0.0987"/>
              <dgm:constr type="h" for="ch" forName="Child2" refType="h" fact="0.3124"/>
              <dgm:constr type="l" for="ch" forName="Accent1" refType="w" fact="-0.002"/>
              <dgm:constr type="t" for="ch" forName="Accent1" refType="h" fact="-0.0109"/>
              <dgm:constr type="w" for="ch" forName="Accent1" refType="w" fact="0.1496"/>
              <dgm:constr type="h" for="ch" forName="Accent1" refType="h" fact="0.806"/>
              <dgm:constr type="l" for="ch" forName="ParentBackground1" refType="w" fact="0.0234"/>
              <dgm:constr type="t" for="ch" forName="ParentBackground1" refType="h" fact="0.1262"/>
              <dgm:constr type="w" for="ch" forName="ParentBackground1" refType="w" fact="0.0987"/>
              <dgm:constr type="h" for="ch" forName="ParentBackground1" refType="h" fact="0.5319"/>
              <dgm:constr type="l" for="ch" forName="Child1" refType="w" fact="0.0234"/>
              <dgm:constr type="t" for="ch" forName="Child1" refType="h" fact="0.6876"/>
              <dgm:constr type="w" for="ch" forName="Child1" refType="w" fact="0.0987"/>
              <dgm:constr type="h" for="ch" forName="Child1" refType="h" fact="0.3124"/>
            </dgm:constrLst>
          </dgm:if>
          <dgm:if name="Name13" axis="ch" ptType="node" func="cnt" op="equ" val="10">
            <dgm:alg type="composite">
              <dgm:param type="ar" val="5.976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7"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l" for="ch" forName="Parent10" refType="w" fact="0.9205"/>
              <dgm:constr type="t" for="ch" forName="Parent10" refType="h" fact="0.2022"/>
              <dgm:constr type="w" for="ch" forName="Parent10" refType="w" fact="0.0636"/>
              <dgm:constr type="h" for="ch" forName="Parent10" refType="h" fact="0.3799"/>
              <dgm:constr type="l" for="ch" forName="Parent9" refType="w" fact="0.822"/>
              <dgm:constr type="t" for="ch" forName="Parent9" refType="h" fact="0.2022"/>
              <dgm:constr type="w" for="ch" forName="Parent9" refType="w" fact="0.0636"/>
              <dgm:constr type="h" for="ch" forName="Parent9" refType="h" fact="0.3799"/>
              <dgm:constr type="l" for="ch" forName="Parent8" refType="w" fact="0.7235"/>
              <dgm:constr type="t" for="ch" forName="Parent8" refType="h" fact="0.2022"/>
              <dgm:constr type="w" for="ch" forName="Parent8" refType="w" fact="0.0636"/>
              <dgm:constr type="h" for="ch" forName="Parent8" refType="h" fact="0.3799"/>
              <dgm:constr type="l" for="ch" forName="Parent7" refType="w" fact="0.625"/>
              <dgm:constr type="t" for="ch" forName="Parent7" refType="h" fact="0.2022"/>
              <dgm:constr type="w" for="ch" forName="Parent7" refType="w" fact="0.0636"/>
              <dgm:constr type="h" for="ch" forName="Parent7" refType="h" fact="0.3799"/>
              <dgm:constr type="l" for="ch" forName="Parent6" refType="w" fact="0.5264"/>
              <dgm:constr type="t" for="ch" forName="Parent6" refType="h" fact="0.2022"/>
              <dgm:constr type="w" for="ch" forName="Parent6" refType="w" fact="0.0636"/>
              <dgm:constr type="h" for="ch" forName="Parent6" refType="h" fact="0.3799"/>
              <dgm:constr type="l" for="ch" forName="Parent5" refType="w" fact="0.4279"/>
              <dgm:constr type="t" for="ch" forName="Parent5" refType="h" fact="0.2022"/>
              <dgm:constr type="w" for="ch" forName="Parent5" refType="w" fact="0.0636"/>
              <dgm:constr type="h" for="ch" forName="Parent5" refType="h" fact="0.3799"/>
              <dgm:constr type="l" for="ch" forName="Parent4" refType="w" fact="0.3294"/>
              <dgm:constr type="t" for="ch" forName="Parent4" refType="h" fact="0.2022"/>
              <dgm:constr type="w" for="ch" forName="Parent4" refType="w" fact="0.0636"/>
              <dgm:constr type="h" for="ch" forName="Parent4" refType="h" fact="0.3799"/>
              <dgm:constr type="l" for="ch" forName="Parent3" refType="w" fact="0.2309"/>
              <dgm:constr type="t" for="ch" forName="Parent3" refType="h" fact="0.2022"/>
              <dgm:constr type="w" for="ch" forName="Parent3" refType="w" fact="0.0636"/>
              <dgm:constr type="h" for="ch" forName="Parent3" refType="h" fact="0.3799"/>
              <dgm:constr type="l" for="ch" forName="Parent2" refType="w" fact="0.1324"/>
              <dgm:constr type="t" for="ch" forName="Parent2" refType="h" fact="0.2022"/>
              <dgm:constr type="w" for="ch" forName="Parent2" refType="w" fact="0.0636"/>
              <dgm:constr type="h" for="ch" forName="Parent2" refType="h" fact="0.3799"/>
              <dgm:constr type="l" for="ch" forName="Parent1" refType="w" fact="0.0338"/>
              <dgm:constr type="t" for="ch" forName="Parent1" refType="h" fact="0.2022"/>
              <dgm:constr type="w" for="ch" forName="Parent1" refType="w" fact="0.0636"/>
              <dgm:constr type="h" for="ch" forName="Parent1" refType="h" fact="0.3799"/>
              <dgm:constr type="l" for="ch" forName="Accent10" refType="w" fact="0.9047"/>
              <dgm:constr type="t" for="ch" forName="Accent10" refType="h" fact="0.1072"/>
              <dgm:constr type="w" for="ch" forName="Accent10" refType="w" fact="0.0953"/>
              <dgm:constr type="h" for="ch" forName="Accent10" refType="h" fact="0.5699"/>
              <dgm:constr type="l" for="ch" forName="ParentBackground10" refType="w" fact="0.9078"/>
              <dgm:constr type="t" for="ch" forName="ParentBackground10" refType="h" fact="0.1262"/>
              <dgm:constr type="w" for="ch" forName="ParentBackground10" refType="w" fact="0.089"/>
              <dgm:constr type="h" for="ch" forName="ParentBackground10" refType="h" fact="0.5319"/>
              <dgm:constr type="l" for="ch" forName="Child10" refType="w" fact="0.9078"/>
              <dgm:constr type="t" for="ch" forName="Child10" refType="h" fact="0.6876"/>
              <dgm:constr type="w" for="ch" forName="Child10" refType="w" fact="0.089"/>
              <dgm:constr type="h" for="ch" forName="Child10" refType="h" fact="0.3124"/>
              <dgm:constr type="l" for="ch" forName="Accent9" refType="w" fact="0.7864"/>
              <dgm:constr type="t" for="ch" forName="Accent9" refType="h" fact="-0.0109"/>
              <dgm:constr type="w" for="ch" forName="Accent9" refType="w" fact="0.1348"/>
              <dgm:constr type="h" for="ch" forName="Accent9" refType="h" fact="0.806"/>
              <dgm:constr type="l" for="ch" forName="ParentBackground9" refType="w" fact="0.8093"/>
              <dgm:constr type="t" for="ch" forName="ParentBackground9" refType="h" fact="0.1262"/>
              <dgm:constr type="w" for="ch" forName="ParentBackground9" refType="w" fact="0.089"/>
              <dgm:constr type="h" for="ch" forName="ParentBackground9" refType="h" fact="0.5319"/>
              <dgm:constr type="l" for="ch" forName="Child9" refType="w" fact="0.8093"/>
              <dgm:constr type="t" for="ch" forName="Child9" refType="h" fact="0.6876"/>
              <dgm:constr type="w" for="ch" forName="Child9" refType="w" fact="0.089"/>
              <dgm:constr type="h" for="ch" forName="Child9" refType="h" fact="0.3124"/>
              <dgm:constr type="l" for="ch" forName="Accent8" refType="w" fact="0.6879"/>
              <dgm:constr type="t" for="ch" forName="Accent8" refType="h" fact="-0.0109"/>
              <dgm:constr type="w" for="ch" forName="Accent8" refType="w" fact="0.1348"/>
              <dgm:constr type="h" for="ch" forName="Accent8" refType="h" fact="0.806"/>
              <dgm:constr type="l" for="ch" forName="ParentBackground8" refType="w" fact="0.7108"/>
              <dgm:constr type="t" for="ch" forName="ParentBackground8" refType="h" fact="0.1262"/>
              <dgm:constr type="w" for="ch" forName="ParentBackground8" refType="w" fact="0.089"/>
              <dgm:constr type="h" for="ch" forName="ParentBackground8" refType="h" fact="0.5319"/>
              <dgm:constr type="l" for="ch" forName="Child8" refType="w" fact="0.7108"/>
              <dgm:constr type="t" for="ch" forName="Child8" refType="h" fact="0.6876"/>
              <dgm:constr type="w" for="ch" forName="Child8" refType="w" fact="0.089"/>
              <dgm:constr type="h" for="ch" forName="Child8" refType="h" fact="0.3124"/>
              <dgm:constr type="l" for="ch" forName="Accent7" refType="w" fact="0.5893"/>
              <dgm:constr type="t" for="ch" forName="Accent7" refType="h" fact="-0.0109"/>
              <dgm:constr type="w" for="ch" forName="Accent7" refType="w" fact="0.1348"/>
              <dgm:constr type="h" for="ch" forName="Accent7" refType="h" fact="0.806"/>
              <dgm:constr type="l" for="ch" forName="ParentBackground7" refType="w" fact="0.6123"/>
              <dgm:constr type="t" for="ch" forName="ParentBackground7" refType="h" fact="0.1262"/>
              <dgm:constr type="w" for="ch" forName="ParentBackground7" refType="w" fact="0.089"/>
              <dgm:constr type="h" for="ch" forName="ParentBackground7" refType="h" fact="0.5319"/>
              <dgm:constr type="l" for="ch" forName="Child7" refType="w" fact="0.6123"/>
              <dgm:constr type="t" for="ch" forName="Child7" refType="h" fact="0.6876"/>
              <dgm:constr type="w" for="ch" forName="Child7" refType="w" fact="0.089"/>
              <dgm:constr type="h" for="ch" forName="Child7" refType="h" fact="0.3124"/>
              <dgm:constr type="l" for="ch" forName="Accent6" refType="w" fact="0.4908"/>
              <dgm:constr type="t" for="ch" forName="Accent6" refType="h" fact="-0.0109"/>
              <dgm:constr type="w" for="ch" forName="Accent6" refType="w" fact="0.1348"/>
              <dgm:constr type="h" for="ch" forName="Accent6" refType="h" fact="0.806"/>
              <dgm:constr type="l" for="ch" forName="ParentBackground6" refType="w" fact="0.5137"/>
              <dgm:constr type="t" for="ch" forName="ParentBackground6" refType="h" fact="0.1262"/>
              <dgm:constr type="w" for="ch" forName="ParentBackground6" refType="w" fact="0.089"/>
              <dgm:constr type="h" for="ch" forName="ParentBackground6" refType="h" fact="0.5319"/>
              <dgm:constr type="l" for="ch" forName="Child6" refType="w" fact="0.5137"/>
              <dgm:constr type="t" for="ch" forName="Child6" refType="h" fact="0.6876"/>
              <dgm:constr type="w" for="ch" forName="Child6" refType="w" fact="0.089"/>
              <dgm:constr type="h" for="ch" forName="Child6" refType="h" fact="0.3124"/>
              <dgm:constr type="l" for="ch" forName="Accent5" refType="w" fact="0.3923"/>
              <dgm:constr type="t" for="ch" forName="Accent5" refType="h" fact="-0.0109"/>
              <dgm:constr type="w" for="ch" forName="Accent5" refType="w" fact="0.1348"/>
              <dgm:constr type="h" for="ch" forName="Accent5" refType="h" fact="0.806"/>
              <dgm:constr type="l" for="ch" forName="ParentBackground5" refType="w" fact="0.4152"/>
              <dgm:constr type="t" for="ch" forName="ParentBackground5" refType="h" fact="0.1262"/>
              <dgm:constr type="w" for="ch" forName="ParentBackground5" refType="w" fact="0.089"/>
              <dgm:constr type="h" for="ch" forName="ParentBackground5" refType="h" fact="0.5319"/>
              <dgm:constr type="l" for="ch" forName="Child5" refType="w" fact="0.4152"/>
              <dgm:constr type="t" for="ch" forName="Child5" refType="h" fact="0.6876"/>
              <dgm:constr type="w" for="ch" forName="Child5" refType="w" fact="0.089"/>
              <dgm:constr type="h" for="ch" forName="Child5" refType="h" fact="0.3124"/>
              <dgm:constr type="l" for="ch" forName="Accent4" refType="w" fact="0.2938"/>
              <dgm:constr type="t" for="ch" forName="Accent4" refType="h" fact="-0.0109"/>
              <dgm:constr type="w" for="ch" forName="Accent4" refType="w" fact="0.1348"/>
              <dgm:constr type="h" for="ch" forName="Accent4" refType="h" fact="0.806"/>
              <dgm:constr type="l" for="ch" forName="ParentBackground4" refType="w" fact="0.3167"/>
              <dgm:constr type="t" for="ch" forName="ParentBackground4" refType="h" fact="0.1262"/>
              <dgm:constr type="w" for="ch" forName="ParentBackground4" refType="w" fact="0.089"/>
              <dgm:constr type="h" for="ch" forName="ParentBackground4" refType="h" fact="0.5319"/>
              <dgm:constr type="l" for="ch" forName="Child4" refType="w" fact="0.3167"/>
              <dgm:constr type="t" for="ch" forName="Child4" refType="h" fact="0.6876"/>
              <dgm:constr type="w" for="ch" forName="Child4" refType="w" fact="0.089"/>
              <dgm:constr type="h" for="ch" forName="Child4" refType="h" fact="0.3124"/>
              <dgm:constr type="l" for="ch" forName="Accent3" refType="w" fact="0.1952"/>
              <dgm:constr type="t" for="ch" forName="Accent3" refType="h" fact="-0.0109"/>
              <dgm:constr type="w" for="ch" forName="Accent3" refType="w" fact="0.1348"/>
              <dgm:constr type="h" for="ch" forName="Accent3" refType="h" fact="0.806"/>
              <dgm:constr type="l" for="ch" forName="ParentBackground3" refType="w" fact="0.2182"/>
              <dgm:constr type="t" for="ch" forName="ParentBackground3" refType="h" fact="0.1262"/>
              <dgm:constr type="w" for="ch" forName="ParentBackground3" refType="w" fact="0.089"/>
              <dgm:constr type="h" for="ch" forName="ParentBackground3" refType="h" fact="0.5319"/>
              <dgm:constr type="l" for="ch" forName="Child3" refType="w" fact="0.2182"/>
              <dgm:constr type="t" for="ch" forName="Child3" refType="h" fact="0.6876"/>
              <dgm:constr type="w" for="ch" forName="Child3" refType="w" fact="0.089"/>
              <dgm:constr type="h" for="ch" forName="Child3" refType="h" fact="0.3124"/>
              <dgm:constr type="l" for="ch" forName="Accent2" refType="w" fact="0.0967"/>
              <dgm:constr type="t" for="ch" forName="Accent2" refType="h" fact="-0.0109"/>
              <dgm:constr type="w" for="ch" forName="Accent2" refType="w" fact="0.1348"/>
              <dgm:constr type="h" for="ch" forName="Accent2" refType="h" fact="0.806"/>
              <dgm:constr type="l" for="ch" forName="ParentBackground2" refType="w" fact="0.1196"/>
              <dgm:constr type="t" for="ch" forName="ParentBackground2" refType="h" fact="0.1262"/>
              <dgm:constr type="w" for="ch" forName="ParentBackground2" refType="w" fact="0.089"/>
              <dgm:constr type="h" for="ch" forName="ParentBackground2" refType="h" fact="0.5319"/>
              <dgm:constr type="l" for="ch" forName="Child2" refType="w" fact="0.1196"/>
              <dgm:constr type="t" for="ch" forName="Child2" refType="h" fact="0.6876"/>
              <dgm:constr type="w" for="ch" forName="Child2" refType="w" fact="0.089"/>
              <dgm:constr type="h" for="ch" forName="Child2" refType="h" fact="0.3124"/>
              <dgm:constr type="l" for="ch" forName="Accent1" refType="w" fact="-0.0018"/>
              <dgm:constr type="t" for="ch" forName="Accent1" refType="h" fact="-0.0109"/>
              <dgm:constr type="w" for="ch" forName="Accent1" refType="w" fact="0.1348"/>
              <dgm:constr type="h" for="ch" forName="Accent1" refType="h" fact="0.806"/>
              <dgm:constr type="l" for="ch" forName="ParentBackground1" refType="w" fact="0.0211"/>
              <dgm:constr type="t" for="ch" forName="ParentBackground1" refType="h" fact="0.1262"/>
              <dgm:constr type="w" for="ch" forName="ParentBackground1" refType="w" fact="0.089"/>
              <dgm:constr type="h" for="ch" forName="ParentBackground1" refType="h" fact="0.5319"/>
              <dgm:constr type="l" for="ch" forName="Child1" refType="w" fact="0.0211"/>
              <dgm:constr type="t" for="ch" forName="Child1" refType="h" fact="0.6876"/>
              <dgm:constr type="w" for="ch" forName="Child1" refType="w" fact="0.089"/>
              <dgm:constr type="h" for="ch" forName="Child1" refType="h" fact="0.3124"/>
            </dgm:constrLst>
          </dgm:if>
          <dgm:else name="Name14">
            <dgm:alg type="composite">
              <dgm:param type="ar" val="6.565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1"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1"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1"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1"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1"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6" op="lte"/>
              <dgm:constr type="primFontSz" for="des" forName="Child11"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1"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1"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1"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Child11" refType="primFontSz" refFor="des" refForName="Parent10" op="lte"/>
              <dgm:constr type="primFontSz" for="des" forName="Child1" refType="primFontSz" refFor="des" refForName="Parent11" op="lte"/>
              <dgm:constr type="primFontSz" for="des" forName="Child2" refType="primFontSz" refFor="des" refForName="Parent11" op="lte"/>
              <dgm:constr type="primFontSz" for="des" forName="Child3" refType="primFontSz" refFor="des" refForName="Parent11" op="lte"/>
              <dgm:constr type="primFontSz" for="des" forName="Child4" refType="primFontSz" refFor="des" refForName="Parent11" op="lte"/>
              <dgm:constr type="primFontSz" for="des" forName="Child5" refType="primFontSz" refFor="des" refForName="Parent11" op="lte"/>
              <dgm:constr type="primFontSz" for="des" forName="Child6" refType="primFontSz" refFor="des" refForName="Parent11" op="lte"/>
              <dgm:constr type="primFontSz" for="des" forName="Child7" refType="primFontSz" refFor="des" refForName="Parent11" op="lte"/>
              <dgm:constr type="primFontSz" for="des" forName="Child8" refType="primFontSz" refFor="des" refForName="Parent11" op="lte"/>
              <dgm:constr type="primFontSz" for="des" forName="Child9" refType="primFontSz" refFor="des" refForName="Parent11" op="lte"/>
              <dgm:constr type="primFontSz" for="des" forName="Child10" refType="primFontSz" refFor="des" refForName="Parent11" op="lte"/>
              <dgm:constr type="primFontSz" for="des" forName="Child11" refType="primFontSz" refFor="des" refForName="Parent11"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Parent11"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primFontSz" for="des" forName="Child11" refType="primFontSz" refFor="des" refForName="Child1" op="equ"/>
              <dgm:constr type="l" for="ch" forName="Parent11" refType="w" fact="0.9277"/>
              <dgm:constr type="t" for="ch" forName="Parent11" refType="h" fact="0.2022"/>
              <dgm:constr type="w" for="ch" forName="Parent11" refType="w" fact="0.0579"/>
              <dgm:constr type="h" for="ch" forName="Parent11" refType="h" fact="0.3799"/>
              <dgm:constr type="l" for="ch" forName="Parent10" refType="w" fact="0.838"/>
              <dgm:constr type="t" for="ch" forName="Parent10" refType="h" fact="0.2022"/>
              <dgm:constr type="w" for="ch" forName="Parent10" refType="w" fact="0.0579"/>
              <dgm:constr type="h" for="ch" forName="Parent10" refType="h" fact="0.3799"/>
              <dgm:constr type="l" for="ch" forName="Parent9" refType="w" fact="0.7483"/>
              <dgm:constr type="t" for="ch" forName="Parent9" refType="h" fact="0.2022"/>
              <dgm:constr type="w" for="ch" forName="Parent9" refType="w" fact="0.0579"/>
              <dgm:constr type="h" for="ch" forName="Parent9" refType="h" fact="0.3799"/>
              <dgm:constr type="l" for="ch" forName="Parent8" refType="w" fact="0.6586"/>
              <dgm:constr type="t" for="ch" forName="Parent8" refType="h" fact="0.2022"/>
              <dgm:constr type="w" for="ch" forName="Parent8" refType="w" fact="0.0579"/>
              <dgm:constr type="h" for="ch" forName="Parent8" refType="h" fact="0.3799"/>
              <dgm:constr type="l" for="ch" forName="Parent7" refType="w" fact="0.5689"/>
              <dgm:constr type="t" for="ch" forName="Parent7" refType="h" fact="0.2022"/>
              <dgm:constr type="w" for="ch" forName="Parent7" refType="w" fact="0.0579"/>
              <dgm:constr type="h" for="ch" forName="Parent7" refType="h" fact="0.3799"/>
              <dgm:constr type="l" for="ch" forName="Parent6" refType="w" fact="0.4792"/>
              <dgm:constr type="t" for="ch" forName="Parent6" refType="h" fact="0.2022"/>
              <dgm:constr type="w" for="ch" forName="Parent6" refType="w" fact="0.0579"/>
              <dgm:constr type="h" for="ch" forName="Parent6" refType="h" fact="0.3799"/>
              <dgm:constr type="l" for="ch" forName="Parent5" refType="w" fact="0.3895"/>
              <dgm:constr type="t" for="ch" forName="Parent5" refType="h" fact="0.2022"/>
              <dgm:constr type="w" for="ch" forName="Parent5" refType="w" fact="0.0579"/>
              <dgm:constr type="h" for="ch" forName="Parent5" refType="h" fact="0.3799"/>
              <dgm:constr type="l" for="ch" forName="Parent4" refType="w" fact="0.2999"/>
              <dgm:constr type="t" for="ch" forName="Parent4" refType="h" fact="0.2022"/>
              <dgm:constr type="w" for="ch" forName="Parent4" refType="w" fact="0.0579"/>
              <dgm:constr type="h" for="ch" forName="Parent4" refType="h" fact="0.3799"/>
              <dgm:constr type="l" for="ch" forName="Parent3" refType="w" fact="0.2102"/>
              <dgm:constr type="t" for="ch" forName="Parent3" refType="h" fact="0.2022"/>
              <dgm:constr type="w" for="ch" forName="Parent3" refType="w" fact="0.0579"/>
              <dgm:constr type="h" for="ch" forName="Parent3" refType="h" fact="0.3799"/>
              <dgm:constr type="l" for="ch" forName="Parent2" refType="w" fact="0.1205"/>
              <dgm:constr type="t" for="ch" forName="Parent2" refType="h" fact="0.2022"/>
              <dgm:constr type="w" for="ch" forName="Parent2" refType="w" fact="0.0579"/>
              <dgm:constr type="h" for="ch" forName="Parent2" refType="h" fact="0.3799"/>
              <dgm:constr type="l" for="ch" forName="Parent1" refType="w" fact="0.0308"/>
              <dgm:constr type="t" for="ch" forName="Parent1" refType="h" fact="0.2022"/>
              <dgm:constr type="w" for="ch" forName="Parent1" refType="w" fact="0.0579"/>
              <dgm:constr type="h" for="ch" forName="Parent1" refType="h" fact="0.3799"/>
              <dgm:constr type="l" for="ch" forName="Accent11" refType="w" fact="0.9132"/>
              <dgm:constr type="t" for="ch" forName="Accent11" refType="h" fact="0.1072"/>
              <dgm:constr type="w" for="ch" forName="Accent11" refType="w" fact="0.0868"/>
              <dgm:constr type="h" for="ch" forName="Accent11" refType="h" fact="0.5699"/>
              <dgm:constr type="l" for="ch" forName="ParentBackground11" refType="w" fact="0.9161"/>
              <dgm:constr type="t" for="ch" forName="ParentBackground11" refType="h" fact="0.1262"/>
              <dgm:constr type="w" for="ch" forName="ParentBackground11" refType="w" fact="0.081"/>
              <dgm:constr type="h" for="ch" forName="ParentBackground11" refType="h" fact="0.5319"/>
              <dgm:constr type="l" for="ch" forName="Child11" refType="w" fact="0.9161"/>
              <dgm:constr type="t" for="ch" forName="Child11" refType="h" fact="0.6876"/>
              <dgm:constr type="w" for="ch" forName="Child11" refType="w" fact="0.081"/>
              <dgm:constr type="h" for="ch" forName="Child11" refType="h" fact="0.3124"/>
              <dgm:constr type="l" for="ch" forName="Accent10" refType="w" fact="0.8055"/>
              <dgm:constr type="t" for="ch" forName="Accent10" refType="h" fact="-0.0109"/>
              <dgm:constr type="w" for="ch" forName="Accent10" refType="w" fact="0.1228"/>
              <dgm:constr type="h" for="ch" forName="Accent10" refType="h" fact="0.806"/>
              <dgm:constr type="l" for="ch" forName="ParentBackground10" refType="w" fact="0.8264"/>
              <dgm:constr type="t" for="ch" forName="ParentBackground10" refType="h" fact="0.1262"/>
              <dgm:constr type="w" for="ch" forName="ParentBackground10" refType="w" fact="0.081"/>
              <dgm:constr type="h" for="ch" forName="ParentBackground10" refType="h" fact="0.5319"/>
              <dgm:constr type="l" for="ch" forName="Child10" refType="w" fact="0.8264"/>
              <dgm:constr type="t" for="ch" forName="Child10" refType="h" fact="0.6876"/>
              <dgm:constr type="w" for="ch" forName="Child10" refType="w" fact="0.081"/>
              <dgm:constr type="h" for="ch" forName="Child10" refType="h" fact="0.3124"/>
              <dgm:constr type="l" for="ch" forName="Accent9" refType="w" fact="0.7158"/>
              <dgm:constr type="t" for="ch" forName="Accent9" refType="h" fact="-0.0109"/>
              <dgm:constr type="w" for="ch" forName="Accent9" refType="w" fact="0.1228"/>
              <dgm:constr type="h" for="ch" forName="Accent9" refType="h" fact="0.806"/>
              <dgm:constr type="l" for="ch" forName="ParentBackground9" refType="w" fact="0.7367"/>
              <dgm:constr type="t" for="ch" forName="ParentBackground9" refType="h" fact="0.1262"/>
              <dgm:constr type="w" for="ch" forName="ParentBackground9" refType="w" fact="0.081"/>
              <dgm:constr type="h" for="ch" forName="ParentBackground9" refType="h" fact="0.5319"/>
              <dgm:constr type="l" for="ch" forName="Child9" refType="w" fact="0.7367"/>
              <dgm:constr type="t" for="ch" forName="Child9" refType="h" fact="0.6876"/>
              <dgm:constr type="w" for="ch" forName="Child9" refType="w" fact="0.081"/>
              <dgm:constr type="h" for="ch" forName="Child9" refType="h" fact="0.3124"/>
              <dgm:constr type="l" for="ch" forName="Accent8" refType="w" fact="0.6261"/>
              <dgm:constr type="t" for="ch" forName="Accent8" refType="h" fact="-0.0109"/>
              <dgm:constr type="w" for="ch" forName="Accent8" refType="w" fact="0.1228"/>
              <dgm:constr type="h" for="ch" forName="Accent8" refType="h" fact="0.806"/>
              <dgm:constr type="l" for="ch" forName="ParentBackground8" refType="w" fact="0.647"/>
              <dgm:constr type="t" for="ch" forName="ParentBackground8" refType="h" fact="0.1262"/>
              <dgm:constr type="w" for="ch" forName="ParentBackground8" refType="w" fact="0.081"/>
              <dgm:constr type="h" for="ch" forName="ParentBackground8" refType="h" fact="0.5319"/>
              <dgm:constr type="l" for="ch" forName="Child8" refType="w" fact="0.647"/>
              <dgm:constr type="t" for="ch" forName="Child8" refType="h" fact="0.6876"/>
              <dgm:constr type="w" for="ch" forName="Child8" refType="w" fact="0.081"/>
              <dgm:constr type="h" for="ch" forName="Child8" refType="h" fact="0.3124"/>
              <dgm:constr type="l" for="ch" forName="Accent7" refType="w" fact="0.5364"/>
              <dgm:constr type="t" for="ch" forName="Accent7" refType="h" fact="-0.0109"/>
              <dgm:constr type="w" for="ch" forName="Accent7" refType="w" fact="0.1228"/>
              <dgm:constr type="h" for="ch" forName="Accent7" refType="h" fact="0.806"/>
              <dgm:constr type="l" for="ch" forName="ParentBackground7" refType="w" fact="0.5573"/>
              <dgm:constr type="t" for="ch" forName="ParentBackground7" refType="h" fact="0.1262"/>
              <dgm:constr type="w" for="ch" forName="ParentBackground7" refType="w" fact="0.081"/>
              <dgm:constr type="h" for="ch" forName="ParentBackground7" refType="h" fact="0.5319"/>
              <dgm:constr type="l" for="ch" forName="Child7" refType="w" fact="0.5573"/>
              <dgm:constr type="t" for="ch" forName="Child7" refType="h" fact="0.6876"/>
              <dgm:constr type="w" for="ch" forName="Child7" refType="w" fact="0.081"/>
              <dgm:constr type="h" for="ch" forName="Child7" refType="h" fact="0.3124"/>
              <dgm:constr type="l" for="ch" forName="Accent6" refType="w" fact="0.4467"/>
              <dgm:constr type="t" for="ch" forName="Accent6" refType="h" fact="-0.0109"/>
              <dgm:constr type="w" for="ch" forName="Accent6" refType="w" fact="0.1228"/>
              <dgm:constr type="h" for="ch" forName="Accent6" refType="h" fact="0.806"/>
              <dgm:constr type="l" for="ch" forName="ParentBackground6" refType="w" fact="0.4677"/>
              <dgm:constr type="t" for="ch" forName="ParentBackground6" refType="h" fact="0.1262"/>
              <dgm:constr type="w" for="ch" forName="ParentBackground6" refType="w" fact="0.081"/>
              <dgm:constr type="h" for="ch" forName="ParentBackground6" refType="h" fact="0.5319"/>
              <dgm:constr type="l" for="ch" forName="Child6" refType="w" fact="0.4677"/>
              <dgm:constr type="t" for="ch" forName="Child6" refType="h" fact="0.6876"/>
              <dgm:constr type="w" for="ch" forName="Child6" refType="w" fact="0.081"/>
              <dgm:constr type="h" for="ch" forName="Child6" refType="h" fact="0.3124"/>
              <dgm:constr type="l" for="ch" forName="Accent5" refType="w" fact="0.3571"/>
              <dgm:constr type="t" for="ch" forName="Accent5" refType="h" fact="-0.0109"/>
              <dgm:constr type="w" for="ch" forName="Accent5" refType="w" fact="0.1228"/>
              <dgm:constr type="h" for="ch" forName="Accent5" refType="h" fact="0.806"/>
              <dgm:constr type="l" for="ch" forName="ParentBackground5" refType="w" fact="0.378"/>
              <dgm:constr type="t" for="ch" forName="ParentBackground5" refType="h" fact="0.1262"/>
              <dgm:constr type="w" for="ch" forName="ParentBackground5" refType="w" fact="0.081"/>
              <dgm:constr type="h" for="ch" forName="ParentBackground5" refType="h" fact="0.5319"/>
              <dgm:constr type="l" for="ch" forName="Child5" refType="w" fact="0.378"/>
              <dgm:constr type="t" for="ch" forName="Child5" refType="h" fact="0.6876"/>
              <dgm:constr type="w" for="ch" forName="Child5" refType="w" fact="0.081"/>
              <dgm:constr type="h" for="ch" forName="Child5" refType="h" fact="0.3124"/>
              <dgm:constr type="l" for="ch" forName="Accent4" refType="w" fact="0.2674"/>
              <dgm:constr type="t" for="ch" forName="Accent4" refType="h" fact="-0.0109"/>
              <dgm:constr type="w" for="ch" forName="Accent4" refType="w" fact="0.1228"/>
              <dgm:constr type="h" for="ch" forName="Accent4" refType="h" fact="0.806"/>
              <dgm:constr type="l" for="ch" forName="ParentBackground4" refType="w" fact="0.2883"/>
              <dgm:constr type="t" for="ch" forName="ParentBackground4" refType="h" fact="0.1262"/>
              <dgm:constr type="w" for="ch" forName="ParentBackground4" refType="w" fact="0.081"/>
              <dgm:constr type="h" for="ch" forName="ParentBackground4" refType="h" fact="0.5319"/>
              <dgm:constr type="l" for="ch" forName="Child4" refType="w" fact="0.2883"/>
              <dgm:constr type="t" for="ch" forName="Child4" refType="h" fact="0.6876"/>
              <dgm:constr type="w" for="ch" forName="Child4" refType="w" fact="0.081"/>
              <dgm:constr type="h" for="ch" forName="Child4" refType="h" fact="0.3124"/>
              <dgm:constr type="l" for="ch" forName="Accent3" refType="w" fact="0.1777"/>
              <dgm:constr type="t" for="ch" forName="Accent3" refType="h" fact="-0.0109"/>
              <dgm:constr type="w" for="ch" forName="Accent3" refType="w" fact="0.1228"/>
              <dgm:constr type="h" for="ch" forName="Accent3" refType="h" fact="0.806"/>
              <dgm:constr type="l" for="ch" forName="ParentBackground3" refType="w" fact="0.1986"/>
              <dgm:constr type="t" for="ch" forName="ParentBackground3" refType="h" fact="0.1262"/>
              <dgm:constr type="w" for="ch" forName="ParentBackground3" refType="w" fact="0.081"/>
              <dgm:constr type="h" for="ch" forName="ParentBackground3" refType="h" fact="0.5319"/>
              <dgm:constr type="l" for="ch" forName="Child3" refType="w" fact="0.1986"/>
              <dgm:constr type="t" for="ch" forName="Child3" refType="h" fact="0.6876"/>
              <dgm:constr type="w" for="ch" forName="Child3" refType="w" fact="0.081"/>
              <dgm:constr type="h" for="ch" forName="Child3" refType="h" fact="0.3124"/>
              <dgm:constr type="l" for="ch" forName="Accent2" refType="w" fact="0.088"/>
              <dgm:constr type="t" for="ch" forName="Accent2" refType="h" fact="-0.0109"/>
              <dgm:constr type="w" for="ch" forName="Accent2" refType="w" fact="0.1228"/>
              <dgm:constr type="h" for="ch" forName="Accent2" refType="h" fact="0.806"/>
              <dgm:constr type="l" for="ch" forName="ParentBackground2" refType="w" fact="0.1089"/>
              <dgm:constr type="t" for="ch" forName="ParentBackground2" refType="h" fact="0.1262"/>
              <dgm:constr type="w" for="ch" forName="ParentBackground2" refType="w" fact="0.081"/>
              <dgm:constr type="h" for="ch" forName="ParentBackground2" refType="h" fact="0.5319"/>
              <dgm:constr type="l" for="ch" forName="Child2" refType="w" fact="0.1089"/>
              <dgm:constr type="t" for="ch" forName="Child2" refType="h" fact="0.6876"/>
              <dgm:constr type="w" for="ch" forName="Child2" refType="w" fact="0.081"/>
              <dgm:constr type="h" for="ch" forName="Child2" refType="h" fact="0.3124"/>
              <dgm:constr type="l" for="ch" forName="Accent1" refType="w" fact="-0.0017"/>
              <dgm:constr type="t" for="ch" forName="Accent1" refType="h" fact="-0.0109"/>
              <dgm:constr type="w" for="ch" forName="Accent1" refType="w" fact="0.1228"/>
              <dgm:constr type="h" for="ch" forName="Accent1" refType="h" fact="0.806"/>
              <dgm:constr type="l" for="ch" forName="ParentBackground1" refType="w" fact="0.0192"/>
              <dgm:constr type="t" for="ch" forName="ParentBackground1" refType="h" fact="0.1262"/>
              <dgm:constr type="w" for="ch" forName="ParentBackground1" refType="w" fact="0.081"/>
              <dgm:constr type="h" for="ch" forName="ParentBackground1" refType="h" fact="0.5319"/>
              <dgm:constr type="l" for="ch" forName="Child1" refType="w" fact="0.0192"/>
              <dgm:constr type="t" for="ch" forName="Child1" refType="h" fact="0.6876"/>
              <dgm:constr type="w" for="ch" forName="Child1" refType="w" fact="0.081"/>
              <dgm:constr type="h" for="ch" forName="Child1" refType="h" fact="0.3124"/>
            </dgm:constrLst>
          </dgm:else>
        </dgm:choose>
      </dgm:if>
      <dgm:else name="Name15">
        <dgm:choose name="Name16">
          <dgm:if name="Name17" axis="ch" ptType="node" func="cnt" op="equ" val="1">
            <dgm:alg type="composite">
              <dgm:param type="ar" val="0.6383"/>
            </dgm:alg>
            <dgm:constrLst>
              <dgm:constr type="primFontSz" for="des" forName="Child1" val="65"/>
              <dgm:constr type="primFontSz" for="des" forName="Parent1" val="65"/>
              <dgm:constr type="primFontSz" for="des" forName="Child1" refType="primFontSz" refFor="des" refForName="Parent1" op="lte"/>
              <dgm:constr type="l" for="ch" forName="Parent1" refType="w" fact="0.1667"/>
              <dgm:constr type="t" for="ch" forName="Parent1" refType="h" fact="0.1064"/>
              <dgm:constr type="w" for="ch" forName="Parent1" refType="w" fact="0.6667"/>
              <dgm:constr type="h" for="ch" forName="Parent1" refType="h" fact="0.4255"/>
              <dgm:constr type="l" for="ch" forName="Accent1" refType="w" fact="0"/>
              <dgm:constr type="t" for="ch" forName="Accent1" refType="h" fact="0"/>
              <dgm:constr type="w" for="ch" forName="Accent1" refType="w"/>
              <dgm:constr type="h" for="ch" forName="Accent1" refType="h" fact="0.6383"/>
              <dgm:constr type="l" for="ch" forName="ParentBackground1" refType="w" fact="0.0333"/>
              <dgm:constr type="t" for="ch" forName="ParentBackground1" refType="h" fact="0.0213"/>
              <dgm:constr type="w" for="ch" forName="ParentBackground1" refType="w" fact="0.9333"/>
              <dgm:constr type="h" for="ch" forName="ParentBackground1" refType="h" fact="0.5957"/>
              <dgm:constr type="l" for="ch" forName="Child1" refType="w" fact="0.0333"/>
              <dgm:constr type="t" for="ch" forName="Child1" refType="h" fact="0.6574"/>
              <dgm:constr type="w" for="ch" forName="Child1" refType="w" fact="0.9333"/>
              <dgm:constr type="h" for="ch" forName="Child1" refType="h" fact="0.3426"/>
            </dgm:constrLst>
          </dgm:if>
          <dgm:if name="Name18" axis="ch" ptType="node" func="cnt" op="equ" val="2">
            <dgm:alg type="composite">
              <dgm:param type="ar" val="1.265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r" for="ch" forName="Parent2" refType="w" fact="0.3751"/>
              <dgm:constr type="t" for="ch" forName="Parent2" refType="h" fact="0.2022"/>
              <dgm:constr type="w" for="ch" forName="Parent2" refType="w" fact="0.3001"/>
              <dgm:constr type="h" for="ch" forName="Parent2" refType="h" fact="0.3799"/>
              <dgm:constr type="r" for="ch" forName="Parent1" refType="w" fact="0.8403"/>
              <dgm:constr type="t" for="ch" forName="Parent1" refType="h" fact="0.2022"/>
              <dgm:constr type="w" for="ch" forName="Parent1" refType="w" fact="0.3001"/>
              <dgm:constr type="h" for="ch" forName="Parent1" refType="h" fact="0.3799"/>
              <dgm:constr type="r" for="ch" forName="Accent2" refType="w" fact="0.4502"/>
              <dgm:constr type="t" for="ch" forName="Accent2" refType="h" fact="0.1072"/>
              <dgm:constr type="w" for="ch" forName="Accent2" refType="w" fact="0.4502"/>
              <dgm:constr type="h" for="ch" forName="Accent2" refType="h" fact="0.5699"/>
              <dgm:constr type="r" for="ch" forName="ParentBackground2" refType="w" fact="0.4352"/>
              <dgm:constr type="t" for="ch" forName="ParentBackground2" refType="h" fact="0.1262"/>
              <dgm:constr type="w" for="ch" forName="ParentBackground2" refType="w" fact="0.4201"/>
              <dgm:constr type="h" for="ch" forName="ParentBackground2" refType="h" fact="0.5319"/>
              <dgm:constr type="r" for="ch" forName="Child2" refType="w" fact="0.4352"/>
              <dgm:constr type="t" for="ch" forName="Child2" refType="h" fact="0.6876"/>
              <dgm:constr type="w" for="ch" forName="Child2" refType="w" fact="0.4201"/>
              <dgm:constr type="h" for="ch" forName="Child2" refType="h" fact="0.3124"/>
              <dgm:constr type="r" for="ch" forName="Accent1" refType="w" fact="1.0086"/>
              <dgm:constr type="t" for="ch" forName="Accent1" refType="h" fact="-0.0109"/>
              <dgm:constr type="w" for="ch" forName="Accent1" refType="w" fact="0.6367"/>
              <dgm:constr type="h" for="ch" forName="Accent1" refType="h" fact="0.806"/>
              <dgm:constr type="r" for="ch" forName="ParentBackground1" refType="w" fact="0.9003"/>
              <dgm:constr type="t" for="ch" forName="ParentBackground1" refType="h" fact="0.1262"/>
              <dgm:constr type="w" for="ch" forName="ParentBackground1" refType="w" fact="0.4201"/>
              <dgm:constr type="h" for="ch" forName="ParentBackground1" refType="h" fact="0.5319"/>
              <dgm:constr type="r" for="ch" forName="Child1" refType="w" fact="0.9003"/>
              <dgm:constr type="t" for="ch" forName="Child1" refType="h" fact="0.6876"/>
              <dgm:constr type="w" for="ch" forName="Child1" refType="w" fact="0.4201"/>
              <dgm:constr type="h" for="ch" forName="Child1" refType="h" fact="0.3124"/>
            </dgm:constrLst>
          </dgm:if>
          <dgm:if name="Name19" axis="ch" ptType="node" func="cnt" op="equ" val="3">
            <dgm:alg type="composite">
              <dgm:param type="ar" val="1.854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r" for="ch" forName="Parent3" refType="w" fact="0.256"/>
              <dgm:constr type="t" for="ch" forName="Parent3" refType="h" fact="0.2022"/>
              <dgm:constr type="w" for="ch" forName="Parent3" refType="w" fact="0.2048"/>
              <dgm:constr type="h" for="ch" forName="Parent3" refType="h" fact="0.3799"/>
              <dgm:constr type="r" for="ch" forName="Parent2" refType="w" fact="0.5735"/>
              <dgm:constr type="t" for="ch" forName="Parent2" refType="h" fact="0.2022"/>
              <dgm:constr type="w" for="ch" forName="Parent2" refType="w" fact="0.2048"/>
              <dgm:constr type="h" for="ch" forName="Parent2" refType="h" fact="0.3799"/>
              <dgm:constr type="r" for="ch" forName="Parent1" refType="w" fact="0.891"/>
              <dgm:constr type="t" for="ch" forName="Parent1" refType="h" fact="0.2022"/>
              <dgm:constr type="w" for="ch" forName="Parent1" refType="w" fact="0.2048"/>
              <dgm:constr type="h" for="ch" forName="Parent1" refType="h" fact="0.3799"/>
              <dgm:constr type="r" for="ch" forName="Accent3" refType="w" fact="0.3072"/>
              <dgm:constr type="t" for="ch" forName="Accent3" refType="h" fact="0.1072"/>
              <dgm:constr type="w" for="ch" forName="Accent3" refType="w" fact="0.3072"/>
              <dgm:constr type="h" for="ch" forName="Accent3" refType="h" fact="0.5699"/>
              <dgm:constr type="r" for="ch" forName="ParentBackground3" refType="w" fact="0.297"/>
              <dgm:constr type="t" for="ch" forName="ParentBackground3" refType="h" fact="0.1262"/>
              <dgm:constr type="w" for="ch" forName="ParentBackground3" refType="w" fact="0.2868"/>
              <dgm:constr type="h" for="ch" forName="ParentBackground3" refType="h" fact="0.5319"/>
              <dgm:constr type="r" for="ch" forName="Child3" refType="w" fact="0.297"/>
              <dgm:constr type="t" for="ch" forName="Child3" refType="h" fact="0.6876"/>
              <dgm:constr type="w" for="ch" forName="Child3" refType="w" fact="0.2868"/>
              <dgm:constr type="h" for="ch" forName="Child3" refType="h" fact="0.3124"/>
              <dgm:constr type="r" for="ch" forName="Accent2" refType="w" fact="0.6878"/>
              <dgm:constr type="t" for="ch" forName="Accent2" refType="h" fact="-0.0109"/>
              <dgm:constr type="w" for="ch" forName="Accent2" refType="w" fact="0.4334"/>
              <dgm:constr type="h" for="ch" forName="Accent2" refType="h" fact="0.806"/>
              <dgm:constr type="r" for="ch" forName="ParentBackground2" refType="w" fact="0.6145"/>
              <dgm:constr type="t" for="ch" forName="ParentBackground2" refType="h" fact="0.1262"/>
              <dgm:constr type="w" for="ch" forName="ParentBackground2" refType="w" fact="0.2868"/>
              <dgm:constr type="h" for="ch" forName="ParentBackground2" refType="h" fact="0.5319"/>
              <dgm:constr type="r" for="ch" forName="Child2" refType="w" fact="0.6145"/>
              <dgm:constr type="t" for="ch" forName="Child2" refType="h" fact="0.6876"/>
              <dgm:constr type="w" for="ch" forName="Child2" refType="w" fact="0.2868"/>
              <dgm:constr type="h" for="ch" forName="Child2" refType="h" fact="0.3124"/>
              <dgm:constr type="r" for="ch" forName="Accent1" refType="w" fact="1.0053"/>
              <dgm:constr type="t" for="ch" forName="Accent1" refType="h" fact="-0.0109"/>
              <dgm:constr type="w" for="ch" forName="Accent1" refType="w" fact="0.4334"/>
              <dgm:constr type="h" for="ch" forName="Accent1" refType="h" fact="0.806"/>
              <dgm:constr type="r" for="ch" forName="ParentBackground1" refType="w" fact="0.932"/>
              <dgm:constr type="t" for="ch" forName="ParentBackground1" refType="h" fact="0.1262"/>
              <dgm:constr type="w" for="ch" forName="ParentBackground1" refType="w" fact="0.2868"/>
              <dgm:constr type="h" for="ch" forName="ParentBackground1" refType="h" fact="0.5319"/>
              <dgm:constr type="r" for="ch" forName="Child1" refType="w" fact="0.932"/>
              <dgm:constr type="t" for="ch" forName="Child1" refType="h" fact="0.6876"/>
              <dgm:constr type="w" for="ch" forName="Child1" refType="w" fact="0.2868"/>
              <dgm:constr type="h" for="ch" forName="Child1" refType="h" fact="0.3124"/>
            </dgm:constrLst>
          </dgm:if>
          <dgm:if name="Name20" axis="ch" ptType="node" func="cnt" op="equ" val="4">
            <dgm:alg type="composite">
              <dgm:param type="ar" val="2.4437"/>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Parent4" refType="w" fact="0.1943"/>
              <dgm:constr type="t" for="ch" forName="Parent4" refType="h" fact="0.2022"/>
              <dgm:constr type="w" for="ch" forName="Parent4" refType="w" fact="0.1555"/>
              <dgm:constr type="h" for="ch" forName="Parent4" refType="h" fact="0.3799"/>
              <dgm:constr type="r" for="ch" forName="Parent3" refType="w" fact="0.4353"/>
              <dgm:constr type="t" for="ch" forName="Parent3" refType="h" fact="0.2022"/>
              <dgm:constr type="w" for="ch" forName="Parent3" refType="w" fact="0.1555"/>
              <dgm:constr type="h" for="ch" forName="Parent3" refType="h" fact="0.3799"/>
              <dgm:constr type="r" for="ch" forName="Parent2" refType="w" fact="0.6763"/>
              <dgm:constr type="t" for="ch" forName="Parent2" refType="h" fact="0.2022"/>
              <dgm:constr type="w" for="ch" forName="Parent2" refType="w" fact="0.1555"/>
              <dgm:constr type="h" for="ch" forName="Parent2" refType="h" fact="0.3799"/>
              <dgm:constr type="r" for="ch" forName="Parent1" refType="w" fact="0.9173"/>
              <dgm:constr type="t" for="ch" forName="Parent1" refType="h" fact="0.2022"/>
              <dgm:constr type="w" for="ch" forName="Parent1" refType="w" fact="0.1555"/>
              <dgm:constr type="h" for="ch" forName="Parent1" refType="h" fact="0.3799"/>
              <dgm:constr type="r" for="ch" forName="Accent4" refType="w" fact="0.2332"/>
              <dgm:constr type="t" for="ch" forName="Accent4" refType="h" fact="0.1072"/>
              <dgm:constr type="w" for="ch" forName="Accent4" refType="w" fact="0.2332"/>
              <dgm:constr type="h" for="ch" forName="Accent4" refType="h" fact="0.5699"/>
              <dgm:constr type="r" for="ch" forName="ParentBackground4" refType="w" fact="0.2254"/>
              <dgm:constr type="t" for="ch" forName="ParentBackground4" refType="h" fact="0.1262"/>
              <dgm:constr type="w" for="ch" forName="ParentBackground4" refType="w" fact="0.2177"/>
              <dgm:constr type="h" for="ch" forName="ParentBackground4" refType="h" fact="0.5319"/>
              <dgm:constr type="r" for="ch" forName="Child4" refType="w" fact="0.2254"/>
              <dgm:constr type="t" for="ch" forName="Child4" refType="h" fact="0.6876"/>
              <dgm:constr type="w" for="ch" forName="Child4" refType="w" fact="0.2177"/>
              <dgm:constr type="h" for="ch" forName="Child4" refType="h" fact="0.3124"/>
              <dgm:constr type="r" for="ch" forName="Accent3" refType="w" fact="0.5235"/>
              <dgm:constr type="t" for="ch" forName="Accent3" refType="h" fact="-0.0109"/>
              <dgm:constr type="w" for="ch" forName="Accent3" refType="w" fact="0.3298"/>
              <dgm:constr type="h" for="ch" forName="Accent3" refType="h" fact="0.806"/>
              <dgm:constr type="r" for="ch" forName="ParentBackground3" refType="w" fact="0.4664"/>
              <dgm:constr type="t" for="ch" forName="ParentBackground3" refType="h" fact="0.1262"/>
              <dgm:constr type="w" for="ch" forName="ParentBackground3" refType="w" fact="0.2177"/>
              <dgm:constr type="h" for="ch" forName="ParentBackground3" refType="h" fact="0.5319"/>
              <dgm:constr type="r" for="ch" forName="Child3" refType="w" fact="0.4664"/>
              <dgm:constr type="t" for="ch" forName="Child3" refType="h" fact="0.6876"/>
              <dgm:constr type="w" for="ch" forName="Child3" refType="w" fact="0.2177"/>
              <dgm:constr type="h" for="ch" forName="Child3" refType="h" fact="0.3124"/>
              <dgm:constr type="r" for="ch" forName="Accent2" refType="w" fact="0.7635"/>
              <dgm:constr type="t" for="ch" forName="Accent2" refType="h" fact="-0.0109"/>
              <dgm:constr type="w" for="ch" forName="Accent2" refType="w" fact="0.3298"/>
              <dgm:constr type="h" for="ch" forName="Accent2" refType="h" fact="0.806"/>
              <dgm:constr type="r" for="ch" forName="ParentBackground2" refType="w" fact="0.7074"/>
              <dgm:constr type="t" for="ch" forName="ParentBackground2" refType="h" fact="0.1262"/>
              <dgm:constr type="w" for="ch" forName="ParentBackground2" refType="w" fact="0.2177"/>
              <dgm:constr type="h" for="ch" forName="ParentBackground2" refType="h" fact="0.5319"/>
              <dgm:constr type="r" for="ch" forName="Child2" refType="w" fact="0.7074"/>
              <dgm:constr type="t" for="ch" forName="Child2" refType="h" fact="0.6876"/>
              <dgm:constr type="w" for="ch" forName="Child2" refType="w" fact="0.2177"/>
              <dgm:constr type="h" for="ch" forName="Child2" refType="h" fact="0.3124"/>
              <dgm:constr type="r" for="ch" forName="Accent1" refType="w" fact="1.0045"/>
              <dgm:constr type="t" for="ch" forName="Accent1" refType="h" fact="-0.0109"/>
              <dgm:constr type="w" for="ch" forName="Accent1" refType="w" fact="0.3298"/>
              <dgm:constr type="h" for="ch" forName="Accent1" refType="h" fact="0.806"/>
              <dgm:constr type="r" for="ch" forName="ParentBackground1" refType="w" fact="0.9484"/>
              <dgm:constr type="t" for="ch" forName="ParentBackground1" refType="h" fact="0.1262"/>
              <dgm:constr type="w" for="ch" forName="ParentBackground1" refType="w" fact="0.2177"/>
              <dgm:constr type="h" for="ch" forName="ParentBackground1" refType="h" fact="0.5319"/>
              <dgm:constr type="r" for="ch" forName="Child1" refType="w" fact="0.9484"/>
              <dgm:constr type="t" for="ch" forName="Child1" refType="h" fact="0.6876"/>
              <dgm:constr type="w" for="ch" forName="Child1" refType="w" fact="0.2177"/>
              <dgm:constr type="h" for="ch" forName="Child1" refType="h" fact="0.3124"/>
            </dgm:constrLst>
          </dgm:if>
          <dgm:if name="Name21" axis="ch" ptType="node" func="cnt" op="equ" val="5">
            <dgm:alg type="composite">
              <dgm:param type="ar" val="3.0325"/>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Parent5" refType="w" fact="0.1566"/>
              <dgm:constr type="t" for="ch" forName="Parent5" refType="h" fact="0.2022"/>
              <dgm:constr type="w" for="ch" forName="Parent5" refType="w" fact="0.1253"/>
              <dgm:constr type="h" for="ch" forName="Parent5" refType="h" fact="0.3799"/>
              <dgm:constr type="r" for="ch" forName="Parent4" refType="w" fact="0.3508"/>
              <dgm:constr type="t" for="ch" forName="Parent4" refType="h" fact="0.2022"/>
              <dgm:constr type="w" for="ch" forName="Parent4" refType="w" fact="0.1253"/>
              <dgm:constr type="h" for="ch" forName="Parent4" refType="h" fact="0.3799"/>
              <dgm:constr type="r" for="ch" forName="Parent3" refType="w" fact="0.545"/>
              <dgm:constr type="t" for="ch" forName="Parent3" refType="h" fact="0.2022"/>
              <dgm:constr type="w" for="ch" forName="Parent3" refType="w" fact="0.1253"/>
              <dgm:constr type="h" for="ch" forName="Parent3" refType="h" fact="0.3799"/>
              <dgm:constr type="r" for="ch" forName="Parent2" refType="w" fact="0.7391"/>
              <dgm:constr type="t" for="ch" forName="Parent2" refType="h" fact="0.2022"/>
              <dgm:constr type="w" for="ch" forName="Parent2" refType="w" fact="0.1253"/>
              <dgm:constr type="h" for="ch" forName="Parent2" refType="h" fact="0.3799"/>
              <dgm:constr type="r" for="ch" forName="Parent1" refType="w" fact="0.9333"/>
              <dgm:constr type="t" for="ch" forName="Parent1" refType="h" fact="0.2022"/>
              <dgm:constr type="w" for="ch" forName="Parent1" refType="w" fact="0.1253"/>
              <dgm:constr type="h" for="ch" forName="Parent1" refType="h" fact="0.3799"/>
              <dgm:constr type="r" for="ch" forName="Accent5" refType="w" fact="0.1879"/>
              <dgm:constr type="t" for="ch" forName="Accent5" refType="h" fact="0.1072"/>
              <dgm:constr type="w" for="ch" forName="Accent5" refType="w" fact="0.1879"/>
              <dgm:constr type="h" for="ch" forName="Accent5" refType="h" fact="0.5699"/>
              <dgm:constr type="r" for="ch" forName="ParentBackground5" refType="w" fact="0.1817"/>
              <dgm:constr type="t" for="ch" forName="ParentBackground5" refType="h" fact="0.1262"/>
              <dgm:constr type="w" for="ch" forName="ParentBackground5" refType="w" fact="0.1754"/>
              <dgm:constr type="h" for="ch" forName="ParentBackground5" refType="h" fact="0.5319"/>
              <dgm:constr type="r" for="ch" forName="Child5" refType="w" fact="0.1817"/>
              <dgm:constr type="t" for="ch" forName="Child5" refType="h" fact="0.6876"/>
              <dgm:constr type="w" for="ch" forName="Child5" refType="w" fact="0.1754"/>
              <dgm:constr type="h" for="ch" forName="Child5" refType="h" fact="0.3124"/>
              <dgm:constr type="r" for="ch" forName="Accent4" refType="w" fact="0.4211"/>
              <dgm:constr type="t" for="ch" forName="Accent4" refType="h" fact="-0.0109"/>
              <dgm:constr type="w" for="ch" forName="Accent4" refType="w" fact="0.2657"/>
              <dgm:constr type="h" for="ch" forName="Accent4" refType="h" fact="0.806"/>
              <dgm:constr type="r" for="ch" forName="ParentBackground4" refType="w" fact="0.3758"/>
              <dgm:constr type="t" for="ch" forName="ParentBackground4" refType="h" fact="0.1262"/>
              <dgm:constr type="w" for="ch" forName="ParentBackground4" refType="w" fact="0.1754"/>
              <dgm:constr type="h" for="ch" forName="ParentBackground4" refType="h" fact="0.5319"/>
              <dgm:constr type="r" for="ch" forName="Child4" refType="w" fact="0.3758"/>
              <dgm:constr type="t" for="ch" forName="Child4" refType="h" fact="0.6876"/>
              <dgm:constr type="w" for="ch" forName="Child4" refType="w" fact="0.1754"/>
              <dgm:constr type="h" for="ch" forName="Child4" refType="h" fact="0.3124"/>
              <dgm:constr type="r" for="ch" forName="Accent3" refType="w" fact="0.6152"/>
              <dgm:constr type="t" for="ch" forName="Accent3" refType="h" fact="-0.0109"/>
              <dgm:constr type="w" for="ch" forName="Accent3" refType="w" fact="0.2657"/>
              <dgm:constr type="h" for="ch" forName="Accent3" refType="h" fact="0.806"/>
              <dgm:constr type="r" for="ch" forName="ParentBackground3" refType="w" fact="0.57"/>
              <dgm:constr type="t" for="ch" forName="ParentBackground3" refType="h" fact="0.1262"/>
              <dgm:constr type="w" for="ch" forName="ParentBackground3" refType="w" fact="0.1754"/>
              <dgm:constr type="h" for="ch" forName="ParentBackground3" refType="h" fact="0.5319"/>
              <dgm:constr type="r" for="ch" forName="Child3" refType="w" fact="0.57"/>
              <dgm:constr type="t" for="ch" forName="Child3" refType="h" fact="0.6876"/>
              <dgm:constr type="w" for="ch" forName="Child3" refType="w" fact="0.1754"/>
              <dgm:constr type="h" for="ch" forName="Child3" refType="h" fact="0.3124"/>
              <dgm:constr type="r" for="ch" forName="Accent2" refType="w" fact="0.8094"/>
              <dgm:constr type="t" for="ch" forName="Accent2" refType="h" fact="-0.0109"/>
              <dgm:constr type="w" for="ch" forName="Accent2" refType="w" fact="0.2657"/>
              <dgm:constr type="h" for="ch" forName="Accent2" refType="h" fact="0.806"/>
              <dgm:constr type="r" for="ch" forName="ParentBackground2" refType="w" fact="0.7642"/>
              <dgm:constr type="t" for="ch" forName="ParentBackground2" refType="h" fact="0.1262"/>
              <dgm:constr type="w" for="ch" forName="ParentBackground2" refType="w" fact="0.1754"/>
              <dgm:constr type="h" for="ch" forName="ParentBackground2" refType="h" fact="0.5319"/>
              <dgm:constr type="r" for="ch" forName="Child2" refType="w" fact="0.7642"/>
              <dgm:constr type="t" for="ch" forName="Child2" refType="h" fact="0.6876"/>
              <dgm:constr type="w" for="ch" forName="Child2" refType="w" fact="0.1754"/>
              <dgm:constr type="h" for="ch" forName="Child2" refType="h" fact="0.3124"/>
              <dgm:constr type="r" for="ch" forName="Accent1" refType="w" fact="1.0036"/>
              <dgm:constr type="t" for="ch" forName="Accent1" refType="h" fact="-0.0109"/>
              <dgm:constr type="w" for="ch" forName="Accent1" refType="w" fact="0.2657"/>
              <dgm:constr type="h" for="ch" forName="Accent1" refType="h" fact="0.806"/>
              <dgm:constr type="r" for="ch" forName="ParentBackground1" refType="w" fact="0.9584"/>
              <dgm:constr type="t" for="ch" forName="ParentBackground1" refType="h" fact="0.1262"/>
              <dgm:constr type="w" for="ch" forName="ParentBackground1" refType="w" fact="0.1754"/>
              <dgm:constr type="h" for="ch" forName="ParentBackground1" refType="h" fact="0.5319"/>
              <dgm:constr type="r" for="ch" forName="Child1" refType="w" fact="0.9584"/>
              <dgm:constr type="t" for="ch" forName="Child1" refType="h" fact="0.6876"/>
              <dgm:constr type="w" for="ch" forName="Child1" refType="w" fact="0.1754"/>
              <dgm:constr type="h" for="ch" forName="Child1" refType="h" fact="0.3124"/>
            </dgm:constrLst>
          </dgm:if>
          <dgm:if name="Name22" axis="ch" ptType="node" func="cnt" op="equ" val="6">
            <dgm:alg type="composite">
              <dgm:param type="ar" val="3.621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r" for="ch" forName="Parent6" refType="w" fact="0.1311"/>
              <dgm:constr type="t" for="ch" forName="Parent6" refType="h" fact="0.2022"/>
              <dgm:constr type="w" for="ch" forName="Parent6" refType="w" fact="0.1049"/>
              <dgm:constr type="h" for="ch" forName="Parent6" refType="h" fact="0.3799"/>
              <dgm:constr type="r" for="ch" forName="Parent5" refType="w" fact="0.2937"/>
              <dgm:constr type="t" for="ch" forName="Parent5" refType="h" fact="0.2022"/>
              <dgm:constr type="w" for="ch" forName="Parent5" refType="w" fact="0.1049"/>
              <dgm:constr type="h" for="ch" forName="Parent5" refType="h" fact="0.3799"/>
              <dgm:constr type="r" for="ch" forName="Parent4" refType="w" fact="0.4563"/>
              <dgm:constr type="t" for="ch" forName="Parent4" refType="h" fact="0.2022"/>
              <dgm:constr type="w" for="ch" forName="Parent4" refType="w" fact="0.1049"/>
              <dgm:constr type="h" for="ch" forName="Parent4" refType="h" fact="0.3799"/>
              <dgm:constr type="r" for="ch" forName="Parent3" refType="w" fact="0.619"/>
              <dgm:constr type="t" for="ch" forName="Parent3" refType="h" fact="0.2022"/>
              <dgm:constr type="w" for="ch" forName="Parent3" refType="w" fact="0.1049"/>
              <dgm:constr type="h" for="ch" forName="Parent3" refType="h" fact="0.3799"/>
              <dgm:constr type="r" for="ch" forName="Parent2" refType="w" fact="0.7816"/>
              <dgm:constr type="t" for="ch" forName="Parent2" refType="h" fact="0.2022"/>
              <dgm:constr type="w" for="ch" forName="Parent2" refType="w" fact="0.1049"/>
              <dgm:constr type="h" for="ch" forName="Parent2" refType="h" fact="0.3799"/>
              <dgm:constr type="r" for="ch" forName="Parent1" refType="w" fact="0.9442"/>
              <dgm:constr type="t" for="ch" forName="Parent1" refType="h" fact="0.2022"/>
              <dgm:constr type="w" for="ch" forName="Parent1" refType="w" fact="0.1049"/>
              <dgm:constr type="h" for="ch" forName="Parent1" refType="h" fact="0.3799"/>
              <dgm:constr type="r" for="ch" forName="Accent6" refType="w" fact="0.1574"/>
              <dgm:constr type="t" for="ch" forName="Accent6" refType="h" fact="0.1072"/>
              <dgm:constr type="w" for="ch" forName="Accent6" refType="w" fact="0.1574"/>
              <dgm:constr type="h" for="ch" forName="Accent6" refType="h" fact="0.5699"/>
              <dgm:constr type="r" for="ch" forName="ParentBackground6" refType="w" fact="0.1521"/>
              <dgm:constr type="t" for="ch" forName="ParentBackground6" refType="h" fact="0.1262"/>
              <dgm:constr type="w" for="ch" forName="ParentBackground6" refType="w" fact="0.1469"/>
              <dgm:constr type="h" for="ch" forName="ParentBackground6" refType="h" fact="0.5319"/>
              <dgm:constr type="r" for="ch" forName="Child6" refType="w" fact="0.1521"/>
              <dgm:constr type="t" for="ch" forName="Child6" refType="h" fact="0.6876"/>
              <dgm:constr type="w" for="ch" forName="Child6" refType="w" fact="0.1469"/>
              <dgm:constr type="h" for="ch" forName="Child6" refType="h" fact="0.3124"/>
              <dgm:constr type="r" for="ch" forName="Accent5" refType="w" fact="0.3526"/>
              <dgm:constr type="t" for="ch" forName="Accent5" refType="h" fact="-0.0109"/>
              <dgm:constr type="w" for="ch" forName="Accent5" refType="w" fact="0.2226"/>
              <dgm:constr type="h" for="ch" forName="Accent5" refType="h" fact="0.806"/>
              <dgm:constr type="r" for="ch" forName="ParentBackground5" refType="w" fact="0.3147"/>
              <dgm:constr type="t" for="ch" forName="ParentBackground5" refType="h" fact="0.1262"/>
              <dgm:constr type="w" for="ch" forName="ParentBackground5" refType="w" fact="0.1469"/>
              <dgm:constr type="h" for="ch" forName="ParentBackground5" refType="h" fact="0.5319"/>
              <dgm:constr type="r" for="ch" forName="Child5" refType="w" fact="0.3147"/>
              <dgm:constr type="t" for="ch" forName="Child5" refType="h" fact="0.6876"/>
              <dgm:constr type="w" for="ch" forName="Child5" refType="w" fact="0.1469"/>
              <dgm:constr type="h" for="ch" forName="Child5" refType="h" fact="0.3124"/>
              <dgm:constr type="r" for="ch" forName="Accent4" refType="w" fact="0.5152"/>
              <dgm:constr type="t" for="ch" forName="Accent4" refType="h" fact="-0.0109"/>
              <dgm:constr type="w" for="ch" forName="Accent4" refType="w" fact="0.2226"/>
              <dgm:constr type="h" for="ch" forName="Accent4" refType="h" fact="0.806"/>
              <dgm:constr type="r" for="ch" forName="ParentBackground4" refType="w" fact="0.4773"/>
              <dgm:constr type="t" for="ch" forName="ParentBackground4" refType="h" fact="0.1262"/>
              <dgm:constr type="w" for="ch" forName="ParentBackground4" refType="w" fact="0.1469"/>
              <dgm:constr type="h" for="ch" forName="ParentBackground4" refType="h" fact="0.5319"/>
              <dgm:constr type="r" for="ch" forName="Child4" refType="w" fact="0.4773"/>
              <dgm:constr type="t" for="ch" forName="Child4" refType="h" fact="0.6876"/>
              <dgm:constr type="w" for="ch" forName="Child4" refType="w" fact="0.1469"/>
              <dgm:constr type="h" for="ch" forName="Child4" refType="h" fact="0.3124"/>
              <dgm:constr type="r" for="ch" forName="Accent3" refType="w" fact="0.6778"/>
              <dgm:constr type="t" for="ch" forName="Accent3" refType="h" fact="-0.0109"/>
              <dgm:constr type="w" for="ch" forName="Accent3" refType="w" fact="0.2226"/>
              <dgm:constr type="h" for="ch" forName="Accent3" refType="h" fact="0.806"/>
              <dgm:constr type="r" for="ch" forName="ParentBackground3" refType="w" fact="0.6399"/>
              <dgm:constr type="t" for="ch" forName="ParentBackground3" refType="h" fact="0.1262"/>
              <dgm:constr type="w" for="ch" forName="ParentBackground3" refType="w" fact="0.1469"/>
              <dgm:constr type="h" for="ch" forName="ParentBackground3" refType="h" fact="0.5319"/>
              <dgm:constr type="r" for="ch" forName="Child3" refType="w" fact="0.6399"/>
              <dgm:constr type="t" for="ch" forName="Child3" refType="h" fact="0.6876"/>
              <dgm:constr type="w" for="ch" forName="Child3" refType="w" fact="0.1469"/>
              <dgm:constr type="h" for="ch" forName="Child3" refType="h" fact="0.3124"/>
              <dgm:constr type="r" for="ch" forName="Accent2" refType="w" fact="0.8404"/>
              <dgm:constr type="t" for="ch" forName="Accent2" refType="h" fact="-0.0109"/>
              <dgm:constr type="w" for="ch" forName="Accent2" refType="w" fact="0.2226"/>
              <dgm:constr type="h" for="ch" forName="Accent2" refType="h" fact="0.806"/>
              <dgm:constr type="r" for="ch" forName="ParentBackground2" refType="w" fact="0.8025"/>
              <dgm:constr type="t" for="ch" forName="ParentBackground2" refType="h" fact="0.1262"/>
              <dgm:constr type="w" for="ch" forName="ParentBackground2" refType="w" fact="0.1469"/>
              <dgm:constr type="h" for="ch" forName="ParentBackground2" refType="h" fact="0.5319"/>
              <dgm:constr type="r" for="ch" forName="Child2" refType="w" fact="0.8025"/>
              <dgm:constr type="t" for="ch" forName="Child2" refType="h" fact="0.6876"/>
              <dgm:constr type="w" for="ch" forName="Child2" refType="w" fact="0.1469"/>
              <dgm:constr type="h" for="ch" forName="Child2" refType="h" fact="0.3124"/>
              <dgm:constr type="r" for="ch" forName="Accent1" refType="w" fact="1.003"/>
              <dgm:constr type="t" for="ch" forName="Accent1" refType="h" fact="-0.0109"/>
              <dgm:constr type="w" for="ch" forName="Accent1" refType="w" fact="0.2226"/>
              <dgm:constr type="h" for="ch" forName="Accent1" refType="h" fact="0.806"/>
              <dgm:constr type="r" for="ch" forName="ParentBackground1" refType="w" fact="0.9652"/>
              <dgm:constr type="t" for="ch" forName="ParentBackground1" refType="h" fact="0.1262"/>
              <dgm:constr type="w" for="ch" forName="ParentBackground1" refType="w" fact="0.1469"/>
              <dgm:constr type="h" for="ch" forName="ParentBackground1" refType="h" fact="0.5319"/>
              <dgm:constr type="r" for="ch" forName="Child1" refType="w" fact="0.9652"/>
              <dgm:constr type="t" for="ch" forName="Child1" refType="h" fact="0.6876"/>
              <dgm:constr type="w" for="ch" forName="Child1" refType="w" fact="0.1469"/>
              <dgm:constr type="h" for="ch" forName="Child1" refType="h" fact="0.3124"/>
            </dgm:constrLst>
          </dgm:if>
          <dgm:if name="Name23" axis="ch" ptType="node" func="cnt" op="equ" val="7">
            <dgm:alg type="composite">
              <dgm:param type="ar" val="4.210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r" for="ch" forName="Parent7" refType="w" fact="0.1128"/>
              <dgm:constr type="t" for="ch" forName="Parent7" refType="h" fact="0.2022"/>
              <dgm:constr type="w" for="ch" forName="Parent7" refType="w" fact="0.0902"/>
              <dgm:constr type="h" for="ch" forName="Parent7" refType="h" fact="0.3799"/>
              <dgm:constr type="r" for="ch" forName="Parent6" refType="w" fact="0.2527"/>
              <dgm:constr type="t" for="ch" forName="Parent6" refType="h" fact="0.2022"/>
              <dgm:constr type="w" for="ch" forName="Parent6" refType="w" fact="0.0902"/>
              <dgm:constr type="h" for="ch" forName="Parent6" refType="h" fact="0.3799"/>
              <dgm:constr type="r" for="ch" forName="Parent5" refType="w" fact="0.3925"/>
              <dgm:constr type="t" for="ch" forName="Parent5" refType="h" fact="0.2022"/>
              <dgm:constr type="w" for="ch" forName="Parent5" refType="w" fact="0.0902"/>
              <dgm:constr type="h" for="ch" forName="Parent5" refType="h" fact="0.3799"/>
              <dgm:constr type="r" for="ch" forName="Parent4" refType="w" fact="0.5324"/>
              <dgm:constr type="t" for="ch" forName="Parent4" refType="h" fact="0.2022"/>
              <dgm:constr type="w" for="ch" forName="Parent4" refType="w" fact="0.0902"/>
              <dgm:constr type="h" for="ch" forName="Parent4" refType="h" fact="0.3799"/>
              <dgm:constr type="r" for="ch" forName="Parent3" refType="w" fact="0.6723"/>
              <dgm:constr type="t" for="ch" forName="Parent3" refType="h" fact="0.2022"/>
              <dgm:constr type="w" for="ch" forName="Parent3" refType="w" fact="0.0902"/>
              <dgm:constr type="h" for="ch" forName="Parent3" refType="h" fact="0.3799"/>
              <dgm:constr type="r" for="ch" forName="Parent2" refType="w" fact="0.8121"/>
              <dgm:constr type="t" for="ch" forName="Parent2" refType="h" fact="0.2022"/>
              <dgm:constr type="w" for="ch" forName="Parent2" refType="w" fact="0.0902"/>
              <dgm:constr type="h" for="ch" forName="Parent2" refType="h" fact="0.3799"/>
              <dgm:constr type="r" for="ch" forName="Parent1" refType="w" fact="0.952"/>
              <dgm:constr type="t" for="ch" forName="Parent1" refType="h" fact="0.2022"/>
              <dgm:constr type="w" for="ch" forName="Parent1" refType="w" fact="0.0902"/>
              <dgm:constr type="h" for="ch" forName="Parent1" refType="h" fact="0.3799"/>
              <dgm:constr type="r" for="ch" forName="Accent7" refType="w" fact="0.1354"/>
              <dgm:constr type="t" for="ch" forName="Accent7" refType="h" fact="0.1072"/>
              <dgm:constr type="w" for="ch" forName="Accent7" refType="w" fact="0.1354"/>
              <dgm:constr type="h" for="ch" forName="Accent7" refType="h" fact="0.5699"/>
              <dgm:constr type="r" for="ch" forName="ParentBackground7" refType="w" fact="0.1308"/>
              <dgm:constr type="t" for="ch" forName="ParentBackground7" refType="h" fact="0.1262"/>
              <dgm:constr type="w" for="ch" forName="ParentBackground7" refType="w" fact="0.1263"/>
              <dgm:constr type="h" for="ch" forName="ParentBackground7" refType="h" fact="0.5319"/>
              <dgm:constr type="r" for="ch" forName="Child7" refType="w" fact="0.1308"/>
              <dgm:constr type="t" for="ch" forName="Child7" refType="h" fact="0.6876"/>
              <dgm:constr type="w" for="ch" forName="Child7" refType="w" fact="0.1263"/>
              <dgm:constr type="h" for="ch" forName="Child7" refType="h" fact="0.3124"/>
              <dgm:constr type="r" for="ch" forName="Accent6" refType="w" fact="0.3033"/>
              <dgm:constr type="t" for="ch" forName="Accent6" refType="h" fact="-0.0109"/>
              <dgm:constr type="w" for="ch" forName="Accent6" refType="w" fact="0.1915"/>
              <dgm:constr type="h" for="ch" forName="Accent6" refType="h" fact="0.806"/>
              <dgm:constr type="r" for="ch" forName="ParentBackground6" refType="w" fact="0.2707"/>
              <dgm:constr type="t" for="ch" forName="ParentBackground6" refType="h" fact="0.1262"/>
              <dgm:constr type="w" for="ch" forName="ParentBackground6" refType="w" fact="0.1263"/>
              <dgm:constr type="h" for="ch" forName="ParentBackground6" refType="h" fact="0.5319"/>
              <dgm:constr type="r" for="ch" forName="Child6" refType="w" fact="0.2707"/>
              <dgm:constr type="t" for="ch" forName="Child6" refType="h" fact="0.6876"/>
              <dgm:constr type="w" for="ch" forName="Child6" refType="w" fact="0.1263"/>
              <dgm:constr type="h" for="ch" forName="Child6" refType="h" fact="0.3124"/>
              <dgm:constr type="r" for="ch" forName="Accent5" refType="w" fact="0.4431"/>
              <dgm:constr type="t" for="ch" forName="Accent5" refType="h" fact="-0.0109"/>
              <dgm:constr type="w" for="ch" forName="Accent5" refType="w" fact="0.1915"/>
              <dgm:constr type="h" for="ch" forName="Accent5" refType="h" fact="0.806"/>
              <dgm:constr type="r" for="ch" forName="ParentBackground5" refType="w" fact="0.4106"/>
              <dgm:constr type="t" for="ch" forName="ParentBackground5" refType="h" fact="0.1262"/>
              <dgm:constr type="w" for="ch" forName="ParentBackground5" refType="w" fact="0.1263"/>
              <dgm:constr type="h" for="ch" forName="ParentBackground5" refType="h" fact="0.5319"/>
              <dgm:constr type="r" for="ch" forName="Child5" refType="w" fact="0.4106"/>
              <dgm:constr type="t" for="ch" forName="Child5" refType="h" fact="0.6876"/>
              <dgm:constr type="w" for="ch" forName="Child5" refType="w" fact="0.1263"/>
              <dgm:constr type="h" for="ch" forName="Child5" refType="h" fact="0.3124"/>
              <dgm:constr type="r" for="ch" forName="Accent4" refType="w" fact="0.583"/>
              <dgm:constr type="t" for="ch" forName="Accent4" refType="h" fact="-0.0109"/>
              <dgm:constr type="w" for="ch" forName="Accent4" refType="w" fact="0.1915"/>
              <dgm:constr type="h" for="ch" forName="Accent4" refType="h" fact="0.806"/>
              <dgm:constr type="r" for="ch" forName="ParentBackground4" refType="w" fact="0.5504"/>
              <dgm:constr type="t" for="ch" forName="ParentBackground4" refType="h" fact="0.1262"/>
              <dgm:constr type="w" for="ch" forName="ParentBackground4" refType="w" fact="0.1263"/>
              <dgm:constr type="h" for="ch" forName="ParentBackground4" refType="h" fact="0.5319"/>
              <dgm:constr type="r" for="ch" forName="Child4" refType="w" fact="0.5504"/>
              <dgm:constr type="t" for="ch" forName="Child4" refType="h" fact="0.6876"/>
              <dgm:constr type="w" for="ch" forName="Child4" refType="w" fact="0.1263"/>
              <dgm:constr type="h" for="ch" forName="Child4" refType="h" fact="0.3124"/>
              <dgm:constr type="r" for="ch" forName="Accent3" refType="w" fact="0.7229"/>
              <dgm:constr type="t" for="ch" forName="Accent3" refType="h" fact="-0.0109"/>
              <dgm:constr type="w" for="ch" forName="Accent3" refType="w" fact="0.1915"/>
              <dgm:constr type="h" for="ch" forName="Accent3" refType="h" fact="0.806"/>
              <dgm:constr type="r" for="ch" forName="ParentBackground3" refType="w" fact="0.6903"/>
              <dgm:constr type="t" for="ch" forName="ParentBackground3" refType="h" fact="0.1262"/>
              <dgm:constr type="w" for="ch" forName="ParentBackground3" refType="w" fact="0.1263"/>
              <dgm:constr type="h" for="ch" forName="ParentBackground3" refType="h" fact="0.5319"/>
              <dgm:constr type="r" for="ch" forName="Child3" refType="w" fact="0.6903"/>
              <dgm:constr type="t" for="ch" forName="Child3" refType="h" fact="0.6876"/>
              <dgm:constr type="w" for="ch" forName="Child3" refType="w" fact="0.1263"/>
              <dgm:constr type="h" for="ch" forName="Child3" refType="h" fact="0.3124"/>
              <dgm:constr type="r" for="ch" forName="Accent2" refType="w" fact="0.8627"/>
              <dgm:constr type="t" for="ch" forName="Accent2" refType="h" fact="-0.0109"/>
              <dgm:constr type="w" for="ch" forName="Accent2" refType="w" fact="0.1915"/>
              <dgm:constr type="h" for="ch" forName="Accent2" refType="h" fact="0.806"/>
              <dgm:constr type="r" for="ch" forName="ParentBackground2" refType="w" fact="0.8302"/>
              <dgm:constr type="t" for="ch" forName="ParentBackground2" refType="h" fact="0.1262"/>
              <dgm:constr type="w" for="ch" forName="ParentBackground2" refType="w" fact="0.1263"/>
              <dgm:constr type="h" for="ch" forName="ParentBackground2" refType="h" fact="0.5319"/>
              <dgm:constr type="r" for="ch" forName="Child2" refType="w" fact="0.8302"/>
              <dgm:constr type="t" for="ch" forName="Child2" refType="h" fact="0.6876"/>
              <dgm:constr type="w" for="ch" forName="Child2" refType="w" fact="0.1263"/>
              <dgm:constr type="h" for="ch" forName="Child2" refType="h" fact="0.3124"/>
              <dgm:constr type="r" for="ch" forName="Accent1" refType="w" fact="1.0026"/>
              <dgm:constr type="t" for="ch" forName="Accent1" refType="h" fact="-0.0109"/>
              <dgm:constr type="w" for="ch" forName="Accent1" refType="w" fact="0.1915"/>
              <dgm:constr type="h" for="ch" forName="Accent1" refType="h" fact="0.806"/>
              <dgm:constr type="r" for="ch" forName="ParentBackground1" refType="w" fact="0.97"/>
              <dgm:constr type="t" for="ch" forName="ParentBackground1" refType="h" fact="0.1262"/>
              <dgm:constr type="w" for="ch" forName="ParentBackground1" refType="w" fact="0.1263"/>
              <dgm:constr type="h" for="ch" forName="ParentBackground1" refType="h" fact="0.5319"/>
              <dgm:constr type="r" for="ch" forName="Child1" refType="w" fact="0.97"/>
              <dgm:constr type="t" for="ch" forName="Child1" refType="h" fact="0.6876"/>
              <dgm:constr type="w" for="ch" forName="Child1" refType="w" fact="0.1263"/>
              <dgm:constr type="h" for="ch" forName="Child1" refType="h" fact="0.3124"/>
            </dgm:constrLst>
          </dgm:if>
          <dgm:if name="Name24" axis="ch" ptType="node" func="cnt" op="equ" val="8">
            <dgm:alg type="composite">
              <dgm:param type="ar" val="4.799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r" for="ch" forName="Parent8" refType="w" fact="0.099"/>
              <dgm:constr type="t" for="ch" forName="Parent8" refType="h" fact="0.2022"/>
              <dgm:constr type="w" for="ch" forName="Parent8" refType="w" fact="0.0792"/>
              <dgm:constr type="h" for="ch" forName="Parent8" refType="h" fact="0.3799"/>
              <dgm:constr type="r" for="ch" forName="Parent7" refType="w" fact="0.2217"/>
              <dgm:constr type="t" for="ch" forName="Parent7" refType="h" fact="0.2022"/>
              <dgm:constr type="w" for="ch" forName="Parent7" refType="w" fact="0.0792"/>
              <dgm:constr type="h" for="ch" forName="Parent7" refType="h" fact="0.3799"/>
              <dgm:constr type="r" for="ch" forName="Parent6" refType="w" fact="0.3444"/>
              <dgm:constr type="t" for="ch" forName="Parent6" refType="h" fact="0.2022"/>
              <dgm:constr type="w" for="ch" forName="Parent6" refType="w" fact="0.0792"/>
              <dgm:constr type="h" for="ch" forName="Parent6" refType="h" fact="0.3799"/>
              <dgm:constr type="r" for="ch" forName="Parent5" refType="w" fact="0.4671"/>
              <dgm:constr type="t" for="ch" forName="Parent5" refType="h" fact="0.2022"/>
              <dgm:constr type="w" for="ch" forName="Parent5" refType="w" fact="0.0792"/>
              <dgm:constr type="h" for="ch" forName="Parent5" refType="h" fact="0.3799"/>
              <dgm:constr type="r" for="ch" forName="Parent4" refType="w" fact="0.5898"/>
              <dgm:constr type="t" for="ch" forName="Parent4" refType="h" fact="0.2022"/>
              <dgm:constr type="w" for="ch" forName="Parent4" refType="w" fact="0.0792"/>
              <dgm:constr type="h" for="ch" forName="Parent4" refType="h" fact="0.3799"/>
              <dgm:constr type="r" for="ch" forName="Parent3" refType="w" fact="0.7125"/>
              <dgm:constr type="t" for="ch" forName="Parent3" refType="h" fact="0.2022"/>
              <dgm:constr type="w" for="ch" forName="Parent3" refType="w" fact="0.0792"/>
              <dgm:constr type="h" for="ch" forName="Parent3" refType="h" fact="0.3799"/>
              <dgm:constr type="r" for="ch" forName="Parent2" refType="w" fact="0.8352"/>
              <dgm:constr type="t" for="ch" forName="Parent2" refType="h" fact="0.2022"/>
              <dgm:constr type="w" for="ch" forName="Parent2" refType="w" fact="0.0792"/>
              <dgm:constr type="h" for="ch" forName="Parent2" refType="h" fact="0.3799"/>
              <dgm:constr type="r" for="ch" forName="Parent1" refType="w" fact="0.9579"/>
              <dgm:constr type="t" for="ch" forName="Parent1" refType="h" fact="0.2022"/>
              <dgm:constr type="w" for="ch" forName="Parent1" refType="w" fact="0.0792"/>
              <dgm:constr type="h" for="ch" forName="Parent1" refType="h" fact="0.3799"/>
              <dgm:constr type="r" for="ch" forName="Accent8" refType="w" fact="0.1187"/>
              <dgm:constr type="t" for="ch" forName="Accent8" refType="h" fact="0.1072"/>
              <dgm:constr type="w" for="ch" forName="Accent8" refType="w" fact="0.1187"/>
              <dgm:constr type="h" for="ch" forName="Accent8" refType="h" fact="0.5699"/>
              <dgm:constr type="r" for="ch" forName="ParentBackground8" refType="w" fact="0.1148"/>
              <dgm:constr type="t" for="ch" forName="ParentBackground8" refType="h" fact="0.1262"/>
              <dgm:constr type="w" for="ch" forName="ParentBackground8" refType="w" fact="0.1108"/>
              <dgm:constr type="h" for="ch" forName="ParentBackground8" refType="h" fact="0.5319"/>
              <dgm:constr type="r" for="ch" forName="Child8" refType="w" fact="0.1148"/>
              <dgm:constr type="t" for="ch" forName="Child8" refType="h" fact="0.6876"/>
              <dgm:constr type="w" for="ch" forName="Child8" refType="w" fact="0.1108"/>
              <dgm:constr type="h" for="ch" forName="Child8" refType="h" fact="0.3124"/>
              <dgm:constr type="r" for="ch" forName="Accent7" refType="w" fact="0.2661"/>
              <dgm:constr type="t" for="ch" forName="Accent7" refType="h" fact="-0.0109"/>
              <dgm:constr type="w" for="ch" forName="Accent7" refType="w" fact="0.1679"/>
              <dgm:constr type="h" for="ch" forName="Accent7" refType="h" fact="0.806"/>
              <dgm:constr type="r" for="ch" forName="ParentBackground7" refType="w" fact="0.2375"/>
              <dgm:constr type="t" for="ch" forName="ParentBackground7" refType="h" fact="0.1262"/>
              <dgm:constr type="w" for="ch" forName="ParentBackground7" refType="w" fact="0.1108"/>
              <dgm:constr type="h" for="ch" forName="ParentBackground7" refType="h" fact="0.5319"/>
              <dgm:constr type="r" for="ch" forName="Child7" refType="w" fact="0.2375"/>
              <dgm:constr type="t" for="ch" forName="Child7" refType="h" fact="0.6876"/>
              <dgm:constr type="w" for="ch" forName="Child7" refType="w" fact="0.1108"/>
              <dgm:constr type="h" for="ch" forName="Child7" refType="h" fact="0.3124"/>
              <dgm:constr type="r" for="ch" forName="Accent6" refType="w" fact="0.3888"/>
              <dgm:constr type="t" for="ch" forName="Accent6" refType="h" fact="-0.0109"/>
              <dgm:constr type="w" for="ch" forName="Accent6" refType="w" fact="0.1679"/>
              <dgm:constr type="h" for="ch" forName="Accent6" refType="h" fact="0.806"/>
              <dgm:constr type="r" for="ch" forName="ParentBackground6" refType="w" fact="0.3602"/>
              <dgm:constr type="t" for="ch" forName="ParentBackground6" refType="h" fact="0.1262"/>
              <dgm:constr type="w" for="ch" forName="ParentBackground6" refType="w" fact="0.1108"/>
              <dgm:constr type="h" for="ch" forName="ParentBackground6" refType="h" fact="0.5319"/>
              <dgm:constr type="r" for="ch" forName="Child6" refType="w" fact="0.3602"/>
              <dgm:constr type="t" for="ch" forName="Child6" refType="h" fact="0.6876"/>
              <dgm:constr type="w" for="ch" forName="Child6" refType="w" fact="0.1108"/>
              <dgm:constr type="h" for="ch" forName="Child6" refType="h" fact="0.3124"/>
              <dgm:constr type="r" for="ch" forName="Accent5" refType="w" fact="0.5115"/>
              <dgm:constr type="t" for="ch" forName="Accent5" refType="h" fact="-0.0109"/>
              <dgm:constr type="w" for="ch" forName="Accent5" refType="w" fact="0.1679"/>
              <dgm:constr type="h" for="ch" forName="Accent5" refType="h" fact="0.806"/>
              <dgm:constr type="r" for="ch" forName="ParentBackground5" refType="w" fact="0.4829"/>
              <dgm:constr type="t" for="ch" forName="ParentBackground5" refType="h" fact="0.1262"/>
              <dgm:constr type="w" for="ch" forName="ParentBackground5" refType="w" fact="0.1108"/>
              <dgm:constr type="h" for="ch" forName="ParentBackground5" refType="h" fact="0.5319"/>
              <dgm:constr type="r" for="ch" forName="Child5" refType="w" fact="0.4829"/>
              <dgm:constr type="t" for="ch" forName="Child5" refType="h" fact="0.6876"/>
              <dgm:constr type="w" for="ch" forName="Child5" refType="w" fact="0.1108"/>
              <dgm:constr type="h" for="ch" forName="Child5" refType="h" fact="0.3124"/>
              <dgm:constr type="r" for="ch" forName="Accent4" refType="w" fact="0.6342"/>
              <dgm:constr type="t" for="ch" forName="Accent4" refType="h" fact="-0.0109"/>
              <dgm:constr type="w" for="ch" forName="Accent4" refType="w" fact="0.1679"/>
              <dgm:constr type="h" for="ch" forName="Accent4" refType="h" fact="0.806"/>
              <dgm:constr type="r" for="ch" forName="ParentBackground4" refType="w" fact="0.6056"/>
              <dgm:constr type="t" for="ch" forName="ParentBackground4" refType="h" fact="0.1262"/>
              <dgm:constr type="w" for="ch" forName="ParentBackground4" refType="w" fact="0.1108"/>
              <dgm:constr type="h" for="ch" forName="ParentBackground4" refType="h" fact="0.5319"/>
              <dgm:constr type="r" for="ch" forName="Child4" refType="w" fact="0.6056"/>
              <dgm:constr type="t" for="ch" forName="Child4" refType="h" fact="0.6876"/>
              <dgm:constr type="w" for="ch" forName="Child4" refType="w" fact="0.1108"/>
              <dgm:constr type="h" for="ch" forName="Child4" refType="h" fact="0.3124"/>
              <dgm:constr type="r" for="ch" forName="Accent3" refType="w" fact="0.7569"/>
              <dgm:constr type="t" for="ch" forName="Accent3" refType="h" fact="-0.0109"/>
              <dgm:constr type="w" for="ch" forName="Accent3" refType="w" fact="0.1679"/>
              <dgm:constr type="h" for="ch" forName="Accent3" refType="h" fact="0.806"/>
              <dgm:constr type="r" for="ch" forName="ParentBackground3" refType="w" fact="0.7283"/>
              <dgm:constr type="t" for="ch" forName="ParentBackground3" refType="h" fact="0.1262"/>
              <dgm:constr type="w" for="ch" forName="ParentBackground3" refType="w" fact="0.1108"/>
              <dgm:constr type="h" for="ch" forName="ParentBackground3" refType="h" fact="0.5319"/>
              <dgm:constr type="r" for="ch" forName="Child3" refType="w" fact="0.7283"/>
              <dgm:constr type="t" for="ch" forName="Child3" refType="h" fact="0.6876"/>
              <dgm:constr type="w" for="ch" forName="Child3" refType="w" fact="0.1108"/>
              <dgm:constr type="h" for="ch" forName="Child3" refType="h" fact="0.3124"/>
              <dgm:constr type="r" for="ch" forName="Accent2" refType="w" fact="0.8796"/>
              <dgm:constr type="t" for="ch" forName="Accent2" refType="h" fact="-0.0109"/>
              <dgm:constr type="w" for="ch" forName="Accent2" refType="w" fact="0.1679"/>
              <dgm:constr type="h" for="ch" forName="Accent2" refType="h" fact="0.806"/>
              <dgm:constr type="r" for="ch" forName="ParentBackground2" refType="w" fact="0.851"/>
              <dgm:constr type="t" for="ch" forName="ParentBackground2" refType="h" fact="0.1262"/>
              <dgm:constr type="w" for="ch" forName="ParentBackground2" refType="w" fact="0.1108"/>
              <dgm:constr type="h" for="ch" forName="ParentBackground2" refType="h" fact="0.5319"/>
              <dgm:constr type="r" for="ch" forName="Child2" refType="w" fact="0.851"/>
              <dgm:constr type="t" for="ch" forName="Child2" refType="h" fact="0.6876"/>
              <dgm:constr type="w" for="ch" forName="Child2" refType="w" fact="0.1108"/>
              <dgm:constr type="h" for="ch" forName="Child2" refType="h" fact="0.3124"/>
              <dgm:constr type="r" for="ch" forName="Accent1" refType="w" fact="1.0023"/>
              <dgm:constr type="t" for="ch" forName="Accent1" refType="h" fact="-0.0109"/>
              <dgm:constr type="w" for="ch" forName="Accent1" refType="w" fact="0.1679"/>
              <dgm:constr type="h" for="ch" forName="Accent1" refType="h" fact="0.806"/>
              <dgm:constr type="r" for="ch" forName="ParentBackground1" refType="w" fact="0.9737"/>
              <dgm:constr type="t" for="ch" forName="ParentBackground1" refType="h" fact="0.1262"/>
              <dgm:constr type="w" for="ch" forName="ParentBackground1" refType="w" fact="0.1108"/>
              <dgm:constr type="h" for="ch" forName="ParentBackground1" refType="h" fact="0.5319"/>
              <dgm:constr type="r" for="ch" forName="Child1" refType="w" fact="0.9737"/>
              <dgm:constr type="t" for="ch" forName="Child1" refType="h" fact="0.6876"/>
              <dgm:constr type="w" for="ch" forName="Child1" refType="w" fact="0.1108"/>
              <dgm:constr type="h" for="ch" forName="Child1" refType="h" fact="0.3124"/>
            </dgm:constrLst>
          </dgm:if>
          <dgm:if name="Name25" axis="ch" ptType="node" func="cnt" op="equ" val="9">
            <dgm:alg type="composite">
              <dgm:param type="ar" val="5.38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r" for="ch" forName="Parent9" refType="w" fact="0.0881"/>
              <dgm:constr type="t" for="ch" forName="Parent9" refType="h" fact="0.2022"/>
              <dgm:constr type="w" for="ch" forName="Parent9" refType="w" fact="0.0705"/>
              <dgm:constr type="h" for="ch" forName="Parent9" refType="h" fact="0.3799"/>
              <dgm:constr type="r" for="ch" forName="Parent8" refType="w" fact="0.1974"/>
              <dgm:constr type="t" for="ch" forName="Parent8" refType="h" fact="0.2022"/>
              <dgm:constr type="w" for="ch" forName="Parent8" refType="w" fact="0.0705"/>
              <dgm:constr type="h" for="ch" forName="Parent8" refType="h" fact="0.3799"/>
              <dgm:constr type="r" for="ch" forName="Parent7" refType="w" fact="0.3067"/>
              <dgm:constr type="t" for="ch" forName="Parent7" refType="h" fact="0.2022"/>
              <dgm:constr type="w" for="ch" forName="Parent7" refType="w" fact="0.0705"/>
              <dgm:constr type="h" for="ch" forName="Parent7" refType="h" fact="0.3799"/>
              <dgm:constr type="r" for="ch" forName="Parent6" refType="w" fact="0.416"/>
              <dgm:constr type="t" for="ch" forName="Parent6" refType="h" fact="0.2022"/>
              <dgm:constr type="w" for="ch" forName="Parent6" refType="w" fact="0.0705"/>
              <dgm:constr type="h" for="ch" forName="Parent6" refType="h" fact="0.3799"/>
              <dgm:constr type="r" for="ch" forName="Parent5" refType="w" fact="0.5253"/>
              <dgm:constr type="t" for="ch" forName="Parent5" refType="h" fact="0.2022"/>
              <dgm:constr type="w" for="ch" forName="Parent5" refType="w" fact="0.0705"/>
              <dgm:constr type="h" for="ch" forName="Parent5" refType="h" fact="0.3799"/>
              <dgm:constr type="r" for="ch" forName="Parent4" refType="w" fact="0.6346"/>
              <dgm:constr type="t" for="ch" forName="Parent4" refType="h" fact="0.2022"/>
              <dgm:constr type="w" for="ch" forName="Parent4" refType="w" fact="0.0705"/>
              <dgm:constr type="h" for="ch" forName="Parent4" refType="h" fact="0.3799"/>
              <dgm:constr type="r" for="ch" forName="Parent3" refType="w" fact="0.7439"/>
              <dgm:constr type="t" for="ch" forName="Parent3" refType="h" fact="0.2022"/>
              <dgm:constr type="w" for="ch" forName="Parent3" refType="w" fact="0.0705"/>
              <dgm:constr type="h" for="ch" forName="Parent3" refType="h" fact="0.3799"/>
              <dgm:constr type="r" for="ch" forName="Parent2" refType="w" fact="0.8532"/>
              <dgm:constr type="t" for="ch" forName="Parent2" refType="h" fact="0.2022"/>
              <dgm:constr type="w" for="ch" forName="Parent2" refType="w" fact="0.0705"/>
              <dgm:constr type="h" for="ch" forName="Parent2" refType="h" fact="0.3799"/>
              <dgm:constr type="r" for="ch" forName="Parent1" refType="w" fact="0.9625"/>
              <dgm:constr type="t" for="ch" forName="Parent1" refType="h" fact="0.2022"/>
              <dgm:constr type="w" for="ch" forName="Parent1" refType="w" fact="0.0705"/>
              <dgm:constr type="h" for="ch" forName="Parent1" refType="h" fact="0.3799"/>
              <dgm:constr type="r" for="ch" forName="Accent9" refType="w" fact="0.1058"/>
              <dgm:constr type="t" for="ch" forName="Accent9" refType="h" fact="0.1072"/>
              <dgm:constr type="w" for="ch" forName="Accent9" refType="w" fact="0.1058"/>
              <dgm:constr type="h" for="ch" forName="Accent9" refType="h" fact="0.5699"/>
              <dgm:constr type="r" for="ch" forName="ParentBackground9" refType="w" fact="0.1022"/>
              <dgm:constr type="t" for="ch" forName="ParentBackground9" refType="h" fact="0.1262"/>
              <dgm:constr type="w" for="ch" forName="ParentBackground9" refType="w" fact="0.0987"/>
              <dgm:constr type="h" for="ch" forName="ParentBackground9" refType="h" fact="0.5319"/>
              <dgm:constr type="r" for="ch" forName="Child9" refType="w" fact="0.1022"/>
              <dgm:constr type="t" for="ch" forName="Child9" refType="h" fact="0.6876"/>
              <dgm:constr type="w" for="ch" forName="Child9" refType="w" fact="0.0987"/>
              <dgm:constr type="h" for="ch" forName="Child9" refType="h" fact="0.3124"/>
              <dgm:constr type="r" for="ch" forName="Accent8" refType="w" fact="0.237"/>
              <dgm:constr type="t" for="ch" forName="Accent8" refType="h" fact="-0.0109"/>
              <dgm:constr type="w" for="ch" forName="Accent8" refType="w" fact="0.1496"/>
              <dgm:constr type="h" for="ch" forName="Accent8" refType="h" fact="0.806"/>
              <dgm:constr type="r" for="ch" forName="ParentBackground8" refType="w" fact="0.2115"/>
              <dgm:constr type="t" for="ch" forName="ParentBackground8" refType="h" fact="0.1262"/>
              <dgm:constr type="w" for="ch" forName="ParentBackground8" refType="w" fact="0.0987"/>
              <dgm:constr type="h" for="ch" forName="ParentBackground8" refType="h" fact="0.5319"/>
              <dgm:constr type="r" for="ch" forName="Child8" refType="w" fact="0.2115"/>
              <dgm:constr type="t" for="ch" forName="Child8" refType="h" fact="0.6876"/>
              <dgm:constr type="w" for="ch" forName="Child8" refType="w" fact="0.0987"/>
              <dgm:constr type="h" for="ch" forName="Child8" refType="h" fact="0.3124"/>
              <dgm:constr type="r" for="ch" forName="Accent7" refType="w" fact="0.3462"/>
              <dgm:constr type="t" for="ch" forName="Accent7" refType="h" fact="-0.0109"/>
              <dgm:constr type="w" for="ch" forName="Accent7" refType="w" fact="0.1496"/>
              <dgm:constr type="h" for="ch" forName="Accent7" refType="h" fact="0.806"/>
              <dgm:constr type="r" for="ch" forName="ParentBackground7" refType="w" fact="0.3208"/>
              <dgm:constr type="t" for="ch" forName="ParentBackground7" refType="h" fact="0.1262"/>
              <dgm:constr type="w" for="ch" forName="ParentBackground7" refType="w" fact="0.0987"/>
              <dgm:constr type="h" for="ch" forName="ParentBackground7" refType="h" fact="0.5319"/>
              <dgm:constr type="r" for="ch" forName="Child7" refType="w" fact="0.3208"/>
              <dgm:constr type="t" for="ch" forName="Child7" refType="h" fact="0.6876"/>
              <dgm:constr type="w" for="ch" forName="Child7" refType="w" fact="0.0987"/>
              <dgm:constr type="h" for="ch" forName="Child7" refType="h" fact="0.3124"/>
              <dgm:constr type="r" for="ch" forName="Accent6" refType="w" fact="0.4555"/>
              <dgm:constr type="t" for="ch" forName="Accent6" refType="h" fact="-0.0109"/>
              <dgm:constr type="w" for="ch" forName="Accent6" refType="w" fact="0.1496"/>
              <dgm:constr type="h" for="ch" forName="Accent6" refType="h" fact="0.806"/>
              <dgm:constr type="r" for="ch" forName="ParentBackground6" refType="w" fact="0.4301"/>
              <dgm:constr type="t" for="ch" forName="ParentBackground6" refType="h" fact="0.1262"/>
              <dgm:constr type="w" for="ch" forName="ParentBackground6" refType="w" fact="0.0987"/>
              <dgm:constr type="h" for="ch" forName="ParentBackground6" refType="h" fact="0.5319"/>
              <dgm:constr type="r" for="ch" forName="Child6" refType="w" fact="0.4301"/>
              <dgm:constr type="t" for="ch" forName="Child6" refType="h" fact="0.6876"/>
              <dgm:constr type="w" for="ch" forName="Child6" refType="w" fact="0.0987"/>
              <dgm:constr type="h" for="ch" forName="Child6" refType="h" fact="0.3124"/>
              <dgm:constr type="r" for="ch" forName="Accent5" refType="w" fact="0.5648"/>
              <dgm:constr type="t" for="ch" forName="Accent5" refType="h" fact="-0.0109"/>
              <dgm:constr type="w" for="ch" forName="Accent5" refType="w" fact="0.1496"/>
              <dgm:constr type="h" for="ch" forName="Accent5" refType="h" fact="0.806"/>
              <dgm:constr type="r" for="ch" forName="ParentBackground5" refType="w" fact="0.5394"/>
              <dgm:constr type="t" for="ch" forName="ParentBackground5" refType="h" fact="0.1262"/>
              <dgm:constr type="w" for="ch" forName="ParentBackground5" refType="w" fact="0.0987"/>
              <dgm:constr type="h" for="ch" forName="ParentBackground5" refType="h" fact="0.5319"/>
              <dgm:constr type="r" for="ch" forName="Child5" refType="w" fact="0.5394"/>
              <dgm:constr type="t" for="ch" forName="Child5" refType="h" fact="0.6876"/>
              <dgm:constr type="w" for="ch" forName="Child5" refType="w" fact="0.0987"/>
              <dgm:constr type="h" for="ch" forName="Child5" refType="h" fact="0.3124"/>
              <dgm:constr type="r" for="ch" forName="Accent4" refType="w" fact="0.6741"/>
              <dgm:constr type="t" for="ch" forName="Accent4" refType="h" fact="-0.0109"/>
              <dgm:constr type="w" for="ch" forName="Accent4" refType="w" fact="0.1496"/>
              <dgm:constr type="h" for="ch" forName="Accent4" refType="h" fact="0.806"/>
              <dgm:constr type="r" for="ch" forName="ParentBackground4" refType="w" fact="0.6487"/>
              <dgm:constr type="t" for="ch" forName="ParentBackground4" refType="h" fact="0.1262"/>
              <dgm:constr type="w" for="ch" forName="ParentBackground4" refType="w" fact="0.0987"/>
              <dgm:constr type="h" for="ch" forName="ParentBackground4" refType="h" fact="0.5319"/>
              <dgm:constr type="r" for="ch" forName="Child4" refType="w" fact="0.6487"/>
              <dgm:constr type="t" for="ch" forName="Child4" refType="h" fact="0.6876"/>
              <dgm:constr type="w" for="ch" forName="Child4" refType="w" fact="0.0987"/>
              <dgm:constr type="h" for="ch" forName="Child4" refType="h" fact="0.3124"/>
              <dgm:constr type="r" for="ch" forName="Accent3" refType="w" fact="0.7834"/>
              <dgm:constr type="t" for="ch" forName="Accent3" refType="h" fact="-0.0109"/>
              <dgm:constr type="w" for="ch" forName="Accent3" refType="w" fact="0.1496"/>
              <dgm:constr type="h" for="ch" forName="Accent3" refType="h" fact="0.806"/>
              <dgm:constr type="r" for="ch" forName="ParentBackground3" refType="w" fact="0.758"/>
              <dgm:constr type="t" for="ch" forName="ParentBackground3" refType="h" fact="0.1262"/>
              <dgm:constr type="w" for="ch" forName="ParentBackground3" refType="w" fact="0.0987"/>
              <dgm:constr type="h" for="ch" forName="ParentBackground3" refType="h" fact="0.5319"/>
              <dgm:constr type="r" for="ch" forName="Child3" refType="w" fact="0.758"/>
              <dgm:constr type="t" for="ch" forName="Child3" refType="h" fact="0.6876"/>
              <dgm:constr type="w" for="ch" forName="Child3" refType="w" fact="0.0987"/>
              <dgm:constr type="h" for="ch" forName="Child3" refType="h" fact="0.3124"/>
              <dgm:constr type="r" for="ch" forName="Accent2" refType="w" fact="0.8927"/>
              <dgm:constr type="t" for="ch" forName="Accent2" refType="h" fact="-0.0109"/>
              <dgm:constr type="w" for="ch" forName="Accent2" refType="w" fact="0.1496"/>
              <dgm:constr type="h" for="ch" forName="Accent2" refType="h" fact="0.806"/>
              <dgm:constr type="r" for="ch" forName="ParentBackground2" refType="w" fact="0.8673"/>
              <dgm:constr type="t" for="ch" forName="ParentBackground2" refType="h" fact="0.1262"/>
              <dgm:constr type="w" for="ch" forName="ParentBackground2" refType="w" fact="0.0987"/>
              <dgm:constr type="h" for="ch" forName="ParentBackground2" refType="h" fact="0.5319"/>
              <dgm:constr type="r" for="ch" forName="Child2" refType="w" fact="0.8673"/>
              <dgm:constr type="t" for="ch" forName="Child2" refType="h" fact="0.6876"/>
              <dgm:constr type="w" for="ch" forName="Child2" refType="w" fact="0.0987"/>
              <dgm:constr type="h" for="ch" forName="Child2" refType="h" fact="0.3124"/>
              <dgm:constr type="r" for="ch" forName="Accent1" refType="w" fact="1.002"/>
              <dgm:constr type="t" for="ch" forName="Accent1" refType="h" fact="-0.0109"/>
              <dgm:constr type="w" for="ch" forName="Accent1" refType="w" fact="0.1496"/>
              <dgm:constr type="h" for="ch" forName="Accent1" refType="h" fact="0.806"/>
              <dgm:constr type="r" for="ch" forName="ParentBackground1" refType="w" fact="0.9765"/>
              <dgm:constr type="t" for="ch" forName="ParentBackground1" refType="h" fact="0.1262"/>
              <dgm:constr type="w" for="ch" forName="ParentBackground1" refType="w" fact="0.0987"/>
              <dgm:constr type="h" for="ch" forName="ParentBackground1" refType="h" fact="0.5319"/>
              <dgm:constr type="r" for="ch" forName="Child1" refType="w" fact="0.9765"/>
              <dgm:constr type="t" for="ch" forName="Child1" refType="h" fact="0.6876"/>
              <dgm:constr type="w" for="ch" forName="Child1" refType="w" fact="0.0987"/>
              <dgm:constr type="h" for="ch" forName="Child1" refType="h" fact="0.3124"/>
            </dgm:constrLst>
          </dgm:if>
          <dgm:if name="Name26" axis="ch" ptType="node" func="cnt" op="equ" val="10">
            <dgm:alg type="composite">
              <dgm:param type="ar" val="5.9769"/>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7"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r" for="ch" forName="Parent10" refType="w" fact="0.0795"/>
              <dgm:constr type="t" for="ch" forName="Parent10" refType="h" fact="0.2022"/>
              <dgm:constr type="w" for="ch" forName="Parent10" refType="w" fact="0.0636"/>
              <dgm:constr type="h" for="ch" forName="Parent10" refType="h" fact="0.3799"/>
              <dgm:constr type="r" for="ch" forName="Parent9" refType="w" fact="0.178"/>
              <dgm:constr type="t" for="ch" forName="Parent9" refType="h" fact="0.2022"/>
              <dgm:constr type="w" for="ch" forName="Parent9" refType="w" fact="0.0636"/>
              <dgm:constr type="h" for="ch" forName="Parent9" refType="h" fact="0.3799"/>
              <dgm:constr type="r" for="ch" forName="Parent8" refType="w" fact="0.2765"/>
              <dgm:constr type="t" for="ch" forName="Parent8" refType="h" fact="0.2022"/>
              <dgm:constr type="w" for="ch" forName="Parent8" refType="w" fact="0.0636"/>
              <dgm:constr type="h" for="ch" forName="Parent8" refType="h" fact="0.3799"/>
              <dgm:constr type="r" for="ch" forName="Parent7" refType="w" fact="0.375"/>
              <dgm:constr type="t" for="ch" forName="Parent7" refType="h" fact="0.2022"/>
              <dgm:constr type="w" for="ch" forName="Parent7" refType="w" fact="0.0636"/>
              <dgm:constr type="h" for="ch" forName="Parent7" refType="h" fact="0.3799"/>
              <dgm:constr type="r" for="ch" forName="Parent6" refType="w" fact="0.4736"/>
              <dgm:constr type="t" for="ch" forName="Parent6" refType="h" fact="0.2022"/>
              <dgm:constr type="w" for="ch" forName="Parent6" refType="w" fact="0.0636"/>
              <dgm:constr type="h" for="ch" forName="Parent6" refType="h" fact="0.3799"/>
              <dgm:constr type="r" for="ch" forName="Parent5" refType="w" fact="0.5721"/>
              <dgm:constr type="t" for="ch" forName="Parent5" refType="h" fact="0.2022"/>
              <dgm:constr type="w" for="ch" forName="Parent5" refType="w" fact="0.0636"/>
              <dgm:constr type="h" for="ch" forName="Parent5" refType="h" fact="0.3799"/>
              <dgm:constr type="r" for="ch" forName="Parent4" refType="w" fact="0.6706"/>
              <dgm:constr type="t" for="ch" forName="Parent4" refType="h" fact="0.2022"/>
              <dgm:constr type="w" for="ch" forName="Parent4" refType="w" fact="0.0636"/>
              <dgm:constr type="h" for="ch" forName="Parent4" refType="h" fact="0.3799"/>
              <dgm:constr type="r" for="ch" forName="Parent3" refType="w" fact="0.7691"/>
              <dgm:constr type="t" for="ch" forName="Parent3" refType="h" fact="0.2022"/>
              <dgm:constr type="w" for="ch" forName="Parent3" refType="w" fact="0.0636"/>
              <dgm:constr type="h" for="ch" forName="Parent3" refType="h" fact="0.3799"/>
              <dgm:constr type="r" for="ch" forName="Parent2" refType="w" fact="0.8676"/>
              <dgm:constr type="t" for="ch" forName="Parent2" refType="h" fact="0.2022"/>
              <dgm:constr type="w" for="ch" forName="Parent2" refType="w" fact="0.0636"/>
              <dgm:constr type="h" for="ch" forName="Parent2" refType="h" fact="0.3799"/>
              <dgm:constr type="r" for="ch" forName="Parent1" refType="w" fact="0.9662"/>
              <dgm:constr type="t" for="ch" forName="Parent1" refType="h" fact="0.2022"/>
              <dgm:constr type="w" for="ch" forName="Parent1" refType="w" fact="0.0636"/>
              <dgm:constr type="h" for="ch" forName="Parent1" refType="h" fact="0.3799"/>
              <dgm:constr type="r" for="ch" forName="Accent10" refType="w" fact="0.0953"/>
              <dgm:constr type="t" for="ch" forName="Accent10" refType="h" fact="0.1072"/>
              <dgm:constr type="w" for="ch" forName="Accent10" refType="w" fact="0.0953"/>
              <dgm:constr type="h" for="ch" forName="Accent10" refType="h" fact="0.5699"/>
              <dgm:constr type="r" for="ch" forName="ParentBackground10" refType="w" fact="0.0922"/>
              <dgm:constr type="t" for="ch" forName="ParentBackground10" refType="h" fact="0.1262"/>
              <dgm:constr type="w" for="ch" forName="ParentBackground10" refType="w" fact="0.089"/>
              <dgm:constr type="h" for="ch" forName="ParentBackground10" refType="h" fact="0.5319"/>
              <dgm:constr type="r" for="ch" forName="Child10" refType="w" fact="0.0922"/>
              <dgm:constr type="t" for="ch" forName="Child10" refType="h" fact="0.6876"/>
              <dgm:constr type="w" for="ch" forName="Child10" refType="w" fact="0.089"/>
              <dgm:constr type="h" for="ch" forName="Child10" refType="h" fact="0.3124"/>
              <dgm:constr type="r" for="ch" forName="Accent9" refType="w" fact="0.2136"/>
              <dgm:constr type="t" for="ch" forName="Accent9" refType="h" fact="-0.0109"/>
              <dgm:constr type="w" for="ch" forName="Accent9" refType="w" fact="0.1348"/>
              <dgm:constr type="h" for="ch" forName="Accent9" refType="h" fact="0.806"/>
              <dgm:constr type="r" for="ch" forName="ParentBackground9" refType="w" fact="0.1907"/>
              <dgm:constr type="t" for="ch" forName="ParentBackground9" refType="h" fact="0.1262"/>
              <dgm:constr type="w" for="ch" forName="ParentBackground9" refType="w" fact="0.089"/>
              <dgm:constr type="h" for="ch" forName="ParentBackground9" refType="h" fact="0.5319"/>
              <dgm:constr type="r" for="ch" forName="Child9" refType="w" fact="0.1907"/>
              <dgm:constr type="t" for="ch" forName="Child9" refType="h" fact="0.6876"/>
              <dgm:constr type="w" for="ch" forName="Child9" refType="w" fact="0.089"/>
              <dgm:constr type="h" for="ch" forName="Child9" refType="h" fact="0.3124"/>
              <dgm:constr type="r" for="ch" forName="Accent8" refType="w" fact="0.3121"/>
              <dgm:constr type="t" for="ch" forName="Accent8" refType="h" fact="-0.0109"/>
              <dgm:constr type="w" for="ch" forName="Accent8" refType="w" fact="0.1348"/>
              <dgm:constr type="h" for="ch" forName="Accent8" refType="h" fact="0.806"/>
              <dgm:constr type="r" for="ch" forName="ParentBackground8" refType="w" fact="0.2892"/>
              <dgm:constr type="t" for="ch" forName="ParentBackground8" refType="h" fact="0.1262"/>
              <dgm:constr type="w" for="ch" forName="ParentBackground8" refType="w" fact="0.089"/>
              <dgm:constr type="h" for="ch" forName="ParentBackground8" refType="h" fact="0.5319"/>
              <dgm:constr type="r" for="ch" forName="Child8" refType="w" fact="0.2892"/>
              <dgm:constr type="t" for="ch" forName="Child8" refType="h" fact="0.6876"/>
              <dgm:constr type="w" for="ch" forName="Child8" refType="w" fact="0.089"/>
              <dgm:constr type="h" for="ch" forName="Child8" refType="h" fact="0.3124"/>
              <dgm:constr type="r" for="ch" forName="Accent7" refType="w" fact="0.4107"/>
              <dgm:constr type="t" for="ch" forName="Accent7" refType="h" fact="-0.0109"/>
              <dgm:constr type="w" for="ch" forName="Accent7" refType="w" fact="0.1348"/>
              <dgm:constr type="h" for="ch" forName="Accent7" refType="h" fact="0.806"/>
              <dgm:constr type="r" for="ch" forName="ParentBackground7" refType="w" fact="0.3877"/>
              <dgm:constr type="t" for="ch" forName="ParentBackground7" refType="h" fact="0.1262"/>
              <dgm:constr type="w" for="ch" forName="ParentBackground7" refType="w" fact="0.089"/>
              <dgm:constr type="h" for="ch" forName="ParentBackground7" refType="h" fact="0.5319"/>
              <dgm:constr type="r" for="ch" forName="Child7" refType="w" fact="0.3877"/>
              <dgm:constr type="t" for="ch" forName="Child7" refType="h" fact="0.6876"/>
              <dgm:constr type="w" for="ch" forName="Child7" refType="w" fact="0.089"/>
              <dgm:constr type="h" for="ch" forName="Child7" refType="h" fact="0.3124"/>
              <dgm:constr type="r" for="ch" forName="Accent6" refType="w" fact="0.5092"/>
              <dgm:constr type="t" for="ch" forName="Accent6" refType="h" fact="-0.0109"/>
              <dgm:constr type="w" for="ch" forName="Accent6" refType="w" fact="0.1348"/>
              <dgm:constr type="h" for="ch" forName="Accent6" refType="h" fact="0.806"/>
              <dgm:constr type="r" for="ch" forName="ParentBackground6" refType="w" fact="0.4863"/>
              <dgm:constr type="t" for="ch" forName="ParentBackground6" refType="h" fact="0.1262"/>
              <dgm:constr type="w" for="ch" forName="ParentBackground6" refType="w" fact="0.089"/>
              <dgm:constr type="h" for="ch" forName="ParentBackground6" refType="h" fact="0.5319"/>
              <dgm:constr type="r" for="ch" forName="Child6" refType="w" fact="0.4863"/>
              <dgm:constr type="t" for="ch" forName="Child6" refType="h" fact="0.6876"/>
              <dgm:constr type="w" for="ch" forName="Child6" refType="w" fact="0.089"/>
              <dgm:constr type="h" for="ch" forName="Child6" refType="h" fact="0.3124"/>
              <dgm:constr type="r" for="ch" forName="Accent5" refType="w" fact="0.6077"/>
              <dgm:constr type="t" for="ch" forName="Accent5" refType="h" fact="-0.0109"/>
              <dgm:constr type="w" for="ch" forName="Accent5" refType="w" fact="0.1348"/>
              <dgm:constr type="h" for="ch" forName="Accent5" refType="h" fact="0.806"/>
              <dgm:constr type="r" for="ch" forName="ParentBackground5" refType="w" fact="0.5848"/>
              <dgm:constr type="t" for="ch" forName="ParentBackground5" refType="h" fact="0.1262"/>
              <dgm:constr type="w" for="ch" forName="ParentBackground5" refType="w" fact="0.089"/>
              <dgm:constr type="h" for="ch" forName="ParentBackground5" refType="h" fact="0.5319"/>
              <dgm:constr type="r" for="ch" forName="Child5" refType="w" fact="0.5848"/>
              <dgm:constr type="t" for="ch" forName="Child5" refType="h" fact="0.6876"/>
              <dgm:constr type="w" for="ch" forName="Child5" refType="w" fact="0.089"/>
              <dgm:constr type="h" for="ch" forName="Child5" refType="h" fact="0.3124"/>
              <dgm:constr type="r" for="ch" forName="Accent4" refType="w" fact="0.7062"/>
              <dgm:constr type="t" for="ch" forName="Accent4" refType="h" fact="-0.0109"/>
              <dgm:constr type="w" for="ch" forName="Accent4" refType="w" fact="0.1348"/>
              <dgm:constr type="h" for="ch" forName="Accent4" refType="h" fact="0.806"/>
              <dgm:constr type="r" for="ch" forName="ParentBackground4" refType="w" fact="0.6833"/>
              <dgm:constr type="t" for="ch" forName="ParentBackground4" refType="h" fact="0.1262"/>
              <dgm:constr type="w" for="ch" forName="ParentBackground4" refType="w" fact="0.089"/>
              <dgm:constr type="h" for="ch" forName="ParentBackground4" refType="h" fact="0.5319"/>
              <dgm:constr type="r" for="ch" forName="Child4" refType="w" fact="0.6833"/>
              <dgm:constr type="t" for="ch" forName="Child4" refType="h" fact="0.6876"/>
              <dgm:constr type="w" for="ch" forName="Child4" refType="w" fact="0.089"/>
              <dgm:constr type="h" for="ch" forName="Child4" refType="h" fact="0.3124"/>
              <dgm:constr type="r" for="ch" forName="Accent3" refType="w" fact="0.8048"/>
              <dgm:constr type="t" for="ch" forName="Accent3" refType="h" fact="-0.0109"/>
              <dgm:constr type="w" for="ch" forName="Accent3" refType="w" fact="0.1348"/>
              <dgm:constr type="h" for="ch" forName="Accent3" refType="h" fact="0.806"/>
              <dgm:constr type="r" for="ch" forName="ParentBackground3" refType="w" fact="0.7818"/>
              <dgm:constr type="t" for="ch" forName="ParentBackground3" refType="h" fact="0.1262"/>
              <dgm:constr type="w" for="ch" forName="ParentBackground3" refType="w" fact="0.089"/>
              <dgm:constr type="h" for="ch" forName="ParentBackground3" refType="h" fact="0.5319"/>
              <dgm:constr type="r" for="ch" forName="Child3" refType="w" fact="0.7818"/>
              <dgm:constr type="t" for="ch" forName="Child3" refType="h" fact="0.6876"/>
              <dgm:constr type="w" for="ch" forName="Child3" refType="w" fact="0.089"/>
              <dgm:constr type="h" for="ch" forName="Child3" refType="h" fact="0.3124"/>
              <dgm:constr type="r" for="ch" forName="Accent2" refType="w" fact="0.9033"/>
              <dgm:constr type="t" for="ch" forName="Accent2" refType="h" fact="-0.0109"/>
              <dgm:constr type="w" for="ch" forName="Accent2" refType="w" fact="0.1348"/>
              <dgm:constr type="h" for="ch" forName="Accent2" refType="h" fact="0.806"/>
              <dgm:constr type="r" for="ch" forName="ParentBackground2" refType="w" fact="0.8804"/>
              <dgm:constr type="t" for="ch" forName="ParentBackground2" refType="h" fact="0.1262"/>
              <dgm:constr type="w" for="ch" forName="ParentBackground2" refType="w" fact="0.089"/>
              <dgm:constr type="h" for="ch" forName="ParentBackground2" refType="h" fact="0.5319"/>
              <dgm:constr type="r" for="ch" forName="Child2" refType="w" fact="0.8804"/>
              <dgm:constr type="t" for="ch" forName="Child2" refType="h" fact="0.6876"/>
              <dgm:constr type="w" for="ch" forName="Child2" refType="w" fact="0.089"/>
              <dgm:constr type="h" for="ch" forName="Child2" refType="h" fact="0.3124"/>
              <dgm:constr type="r" for="ch" forName="Accent1" refType="w" fact="1.0018"/>
              <dgm:constr type="t" for="ch" forName="Accent1" refType="h" fact="-0.0109"/>
              <dgm:constr type="w" for="ch" forName="Accent1" refType="w" fact="0.1348"/>
              <dgm:constr type="h" for="ch" forName="Accent1" refType="h" fact="0.806"/>
              <dgm:constr type="r" for="ch" forName="ParentBackground1" refType="w" fact="0.9789"/>
              <dgm:constr type="t" for="ch" forName="ParentBackground1" refType="h" fact="0.1262"/>
              <dgm:constr type="w" for="ch" forName="ParentBackground1" refType="w" fact="0.089"/>
              <dgm:constr type="h" for="ch" forName="ParentBackground1" refType="h" fact="0.5319"/>
              <dgm:constr type="r" for="ch" forName="Child1" refType="w" fact="0.9789"/>
              <dgm:constr type="t" for="ch" forName="Child1" refType="h" fact="0.6876"/>
              <dgm:constr type="w" for="ch" forName="Child1" refType="w" fact="0.089"/>
              <dgm:constr type="h" for="ch" forName="Child1" refType="h" fact="0.3124"/>
            </dgm:constrLst>
          </dgm:if>
          <dgm:else name="Name27">
            <dgm:alg type="composite">
              <dgm:param type="ar" val="6.5658"/>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8" refType="primFontSz" refFor="des" refForName="Parent1" op="lte"/>
              <dgm:constr type="primFontSz" for="des" forName="Child9" refType="primFontSz" refFor="des" refForName="Parent1" op="lte"/>
              <dgm:constr type="primFontSz" for="des" forName="Child10" refType="primFontSz" refFor="des" refForName="Parent1" op="lte"/>
              <dgm:constr type="primFontSz" for="des" forName="Child11"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8" refType="primFontSz" refFor="des" refForName="Parent2" op="lte"/>
              <dgm:constr type="primFontSz" for="des" forName="Child9" refType="primFontSz" refFor="des" refForName="Parent2" op="lte"/>
              <dgm:constr type="primFontSz" for="des" forName="Child10" refType="primFontSz" refFor="des" refForName="Parent2" op="lte"/>
              <dgm:constr type="primFontSz" for="des" forName="Child11"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8" refType="primFontSz" refFor="des" refForName="Parent3" op="lte"/>
              <dgm:constr type="primFontSz" for="des" forName="Child9" refType="primFontSz" refFor="des" refForName="Parent3" op="lte"/>
              <dgm:constr type="primFontSz" for="des" forName="Child10" refType="primFontSz" refFor="des" refForName="Parent3" op="lte"/>
              <dgm:constr type="primFontSz" for="des" forName="Child11"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8" refType="primFontSz" refFor="des" refForName="Parent4" op="lte"/>
              <dgm:constr type="primFontSz" for="des" forName="Child9" refType="primFontSz" refFor="des" refForName="Parent4" op="lte"/>
              <dgm:constr type="primFontSz" for="des" forName="Child10" refType="primFontSz" refFor="des" refForName="Parent4" op="lte"/>
              <dgm:constr type="primFontSz" for="des" forName="Child11"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8" refType="primFontSz" refFor="des" refForName="Parent5" op="lte"/>
              <dgm:constr type="primFontSz" for="des" forName="Child9" refType="primFontSz" refFor="des" refForName="Parent5" op="lte"/>
              <dgm:constr type="primFontSz" for="des" forName="Child10" refType="primFontSz" refFor="des" refForName="Parent5" op="lte"/>
              <dgm:constr type="primFontSz" for="des" forName="Child11"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8" refType="primFontSz" refFor="des" refForName="Parent6" op="lte"/>
              <dgm:constr type="primFontSz" for="des" forName="Child9" refType="primFontSz" refFor="des" refForName="Parent6" op="lte"/>
              <dgm:constr type="primFontSz" for="des" forName="Child10" refType="primFontSz" refFor="des" refForName="Parent6" op="lte"/>
              <dgm:constr type="primFontSz" for="des" forName="Child11"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Child8" refType="primFontSz" refFor="des" refForName="Parent7" op="lte"/>
              <dgm:constr type="primFontSz" for="des" forName="Child9" refType="primFontSz" refFor="des" refForName="Parent7" op="lte"/>
              <dgm:constr type="primFontSz" for="des" forName="Child10" refType="primFontSz" refFor="des" refForName="Parent7" op="lte"/>
              <dgm:constr type="primFontSz" for="des" forName="Child11" refType="primFontSz" refFor="des" refForName="Parent7" op="lte"/>
              <dgm:constr type="primFontSz" for="des" forName="Child1" refType="primFontSz" refFor="des" refForName="Parent8" op="lte"/>
              <dgm:constr type="primFontSz" for="des" forName="Child2" refType="primFontSz" refFor="des" refForName="Parent8" op="lte"/>
              <dgm:constr type="primFontSz" for="des" forName="Child3" refType="primFontSz" refFor="des" refForName="Parent8" op="lte"/>
              <dgm:constr type="primFontSz" for="des" forName="Child4" refType="primFontSz" refFor="des" refForName="Parent8" op="lte"/>
              <dgm:constr type="primFontSz" for="des" forName="Child5" refType="primFontSz" refFor="des" refForName="Parent8" op="lte"/>
              <dgm:constr type="primFontSz" for="des" forName="Child6" refType="primFontSz" refFor="des" refForName="Parent8" op="lte"/>
              <dgm:constr type="primFontSz" for="des" forName="Child7" refType="primFontSz" refFor="des" refForName="Parent8" op="lte"/>
              <dgm:constr type="primFontSz" for="des" forName="Child8" refType="primFontSz" refFor="des" refForName="Parent8" op="lte"/>
              <dgm:constr type="primFontSz" for="des" forName="Child9" refType="primFontSz" refFor="des" refForName="Parent8" op="lte"/>
              <dgm:constr type="primFontSz" for="des" forName="Child10" refType="primFontSz" refFor="des" refForName="Parent8" op="lte"/>
              <dgm:constr type="primFontSz" for="des" forName="Child11" refType="primFontSz" refFor="des" refForName="Parent8" op="lte"/>
              <dgm:constr type="primFontSz" for="des" forName="Child1" refType="primFontSz" refFor="des" refForName="Parent9" op="lte"/>
              <dgm:constr type="primFontSz" for="des" forName="Child2" refType="primFontSz" refFor="des" refForName="Parent9" op="lte"/>
              <dgm:constr type="primFontSz" for="des" forName="Child3" refType="primFontSz" refFor="des" refForName="Parent9" op="lte"/>
              <dgm:constr type="primFontSz" for="des" forName="Child4" refType="primFontSz" refFor="des" refForName="Parent9" op="lte"/>
              <dgm:constr type="primFontSz" for="des" forName="Child5" refType="primFontSz" refFor="des" refForName="Parent9" op="lte"/>
              <dgm:constr type="primFontSz" for="des" forName="Child6" refType="primFontSz" refFor="des" refForName="Parent9" op="lte"/>
              <dgm:constr type="primFontSz" for="des" forName="Child7" refType="primFontSz" refFor="des" refForName="Parent9" op="lte"/>
              <dgm:constr type="primFontSz" for="des" forName="Child8" refType="primFontSz" refFor="des" refForName="Parent9" op="lte"/>
              <dgm:constr type="primFontSz" for="des" forName="Child9" refType="primFontSz" refFor="des" refForName="Parent9" op="lte"/>
              <dgm:constr type="primFontSz" for="des" forName="Child10" refType="primFontSz" refFor="des" refForName="Parent9" op="lte"/>
              <dgm:constr type="primFontSz" for="des" forName="Child11" refType="primFontSz" refFor="des" refForName="Parent9" op="lte"/>
              <dgm:constr type="primFontSz" for="des" forName="Child1" refType="primFontSz" refFor="des" refForName="Parent10" op="lte"/>
              <dgm:constr type="primFontSz" for="des" forName="Child2" refType="primFontSz" refFor="des" refForName="Parent10" op="lte"/>
              <dgm:constr type="primFontSz" for="des" forName="Child3" refType="primFontSz" refFor="des" refForName="Parent10" op="lte"/>
              <dgm:constr type="primFontSz" for="des" forName="Child4" refType="primFontSz" refFor="des" refForName="Parent10" op="lte"/>
              <dgm:constr type="primFontSz" for="des" forName="Child5" refType="primFontSz" refFor="des" refForName="Parent10" op="lte"/>
              <dgm:constr type="primFontSz" for="des" forName="Child6" refType="primFontSz" refFor="des" refForName="Parent10" op="lte"/>
              <dgm:constr type="primFontSz" for="des" forName="Child7" refType="primFontSz" refFor="des" refForName="Parent10" op="lte"/>
              <dgm:constr type="primFontSz" for="des" forName="Child8" refType="primFontSz" refFor="des" refForName="Parent10" op="lte"/>
              <dgm:constr type="primFontSz" for="des" forName="Child9" refType="primFontSz" refFor="des" refForName="Parent10" op="lte"/>
              <dgm:constr type="primFontSz" for="des" forName="Child10" refType="primFontSz" refFor="des" refForName="Parent10" op="lte"/>
              <dgm:constr type="primFontSz" for="des" forName="Child11" refType="primFontSz" refFor="des" refForName="Parent10" op="lte"/>
              <dgm:constr type="primFontSz" for="des" forName="Child1" refType="primFontSz" refFor="des" refForName="Parent11" op="lte"/>
              <dgm:constr type="primFontSz" for="des" forName="Child2" refType="primFontSz" refFor="des" refForName="Parent11" op="lte"/>
              <dgm:constr type="primFontSz" for="des" forName="Child3" refType="primFontSz" refFor="des" refForName="Parent11" op="lte"/>
              <dgm:constr type="primFontSz" for="des" forName="Child4" refType="primFontSz" refFor="des" refForName="Parent11" op="lte"/>
              <dgm:constr type="primFontSz" for="des" forName="Child5" refType="primFontSz" refFor="des" refForName="Parent11" op="lte"/>
              <dgm:constr type="primFontSz" for="des" forName="Child6" refType="primFontSz" refFor="des" refForName="Parent11" op="lte"/>
              <dgm:constr type="primFontSz" for="des" forName="Child7" refType="primFontSz" refFor="des" refForName="Parent11" op="lte"/>
              <dgm:constr type="primFontSz" for="des" forName="Child8" refType="primFontSz" refFor="des" refForName="Parent11" op="lte"/>
              <dgm:constr type="primFontSz" for="des" forName="Child9" refType="primFontSz" refFor="des" refForName="Parent11" op="lte"/>
              <dgm:constr type="primFontSz" for="des" forName="Child10" refType="primFontSz" refFor="des" refForName="Parent11" op="lte"/>
              <dgm:constr type="primFontSz" for="des" forName="Child11" refType="primFontSz" refFor="des" refForName="Parent11"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Parent8" refType="primFontSz" refFor="des" refForName="Parent1" op="equ"/>
              <dgm:constr type="primFontSz" for="des" forName="Parent9" refType="primFontSz" refFor="des" refForName="Parent1" op="equ"/>
              <dgm:constr type="primFontSz" for="des" forName="Parent10" refType="primFontSz" refFor="des" refForName="Parent1" op="equ"/>
              <dgm:constr type="primFontSz" for="des" forName="Parent11"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forName="Child8" refType="primFontSz" refFor="des" refForName="Child1" op="equ"/>
              <dgm:constr type="primFontSz" for="des" forName="Child9" refType="primFontSz" refFor="des" refForName="Child1" op="equ"/>
              <dgm:constr type="primFontSz" for="des" forName="Child10" refType="primFontSz" refFor="des" refForName="Child1" op="equ"/>
              <dgm:constr type="primFontSz" for="des" forName="Child11" refType="primFontSz" refFor="des" refForName="Child1" op="equ"/>
              <dgm:constr type="r" for="ch" forName="Parent11" refType="w" fact="0.0723"/>
              <dgm:constr type="t" for="ch" forName="Parent11" refType="h" fact="0.2022"/>
              <dgm:constr type="w" for="ch" forName="Parent11" refType="w" fact="0.0579"/>
              <dgm:constr type="h" for="ch" forName="Parent11" refType="h" fact="0.3799"/>
              <dgm:constr type="r" for="ch" forName="Parent10" refType="w" fact="0.162"/>
              <dgm:constr type="t" for="ch" forName="Parent10" refType="h" fact="0.2022"/>
              <dgm:constr type="w" for="ch" forName="Parent10" refType="w" fact="0.0579"/>
              <dgm:constr type="h" for="ch" forName="Parent10" refType="h" fact="0.3799"/>
              <dgm:constr type="r" for="ch" forName="Parent9" refType="w" fact="0.2517"/>
              <dgm:constr type="t" for="ch" forName="Parent9" refType="h" fact="0.2022"/>
              <dgm:constr type="w" for="ch" forName="Parent9" refType="w" fact="0.0579"/>
              <dgm:constr type="h" for="ch" forName="Parent9" refType="h" fact="0.3799"/>
              <dgm:constr type="r" for="ch" forName="Parent8" refType="w" fact="0.3414"/>
              <dgm:constr type="t" for="ch" forName="Parent8" refType="h" fact="0.2022"/>
              <dgm:constr type="w" for="ch" forName="Parent8" refType="w" fact="0.0579"/>
              <dgm:constr type="h" for="ch" forName="Parent8" refType="h" fact="0.3799"/>
              <dgm:constr type="r" for="ch" forName="Parent7" refType="w" fact="0.4311"/>
              <dgm:constr type="t" for="ch" forName="Parent7" refType="h" fact="0.2022"/>
              <dgm:constr type="w" for="ch" forName="Parent7" refType="w" fact="0.0579"/>
              <dgm:constr type="h" for="ch" forName="Parent7" refType="h" fact="0.3799"/>
              <dgm:constr type="r" for="ch" forName="Parent6" refType="w" fact="0.5208"/>
              <dgm:constr type="t" for="ch" forName="Parent6" refType="h" fact="0.2022"/>
              <dgm:constr type="w" for="ch" forName="Parent6" refType="w" fact="0.0579"/>
              <dgm:constr type="h" for="ch" forName="Parent6" refType="h" fact="0.3799"/>
              <dgm:constr type="r" for="ch" forName="Parent5" refType="w" fact="0.6105"/>
              <dgm:constr type="t" for="ch" forName="Parent5" refType="h" fact="0.2022"/>
              <dgm:constr type="w" for="ch" forName="Parent5" refType="w" fact="0.0579"/>
              <dgm:constr type="h" for="ch" forName="Parent5" refType="h" fact="0.3799"/>
              <dgm:constr type="r" for="ch" forName="Parent4" refType="w" fact="0.7001"/>
              <dgm:constr type="t" for="ch" forName="Parent4" refType="h" fact="0.2022"/>
              <dgm:constr type="w" for="ch" forName="Parent4" refType="w" fact="0.0579"/>
              <dgm:constr type="h" for="ch" forName="Parent4" refType="h" fact="0.3799"/>
              <dgm:constr type="r" for="ch" forName="Parent3" refType="w" fact="0.7898"/>
              <dgm:constr type="t" for="ch" forName="Parent3" refType="h" fact="0.2022"/>
              <dgm:constr type="w" for="ch" forName="Parent3" refType="w" fact="0.0579"/>
              <dgm:constr type="h" for="ch" forName="Parent3" refType="h" fact="0.3799"/>
              <dgm:constr type="r" for="ch" forName="Parent2" refType="w" fact="0.8795"/>
              <dgm:constr type="t" for="ch" forName="Parent2" refType="h" fact="0.2022"/>
              <dgm:constr type="w" for="ch" forName="Parent2" refType="w" fact="0.0579"/>
              <dgm:constr type="h" for="ch" forName="Parent2" refType="h" fact="0.3799"/>
              <dgm:constr type="r" for="ch" forName="Parent1" refType="w" fact="0.9692"/>
              <dgm:constr type="t" for="ch" forName="Parent1" refType="h" fact="0.2022"/>
              <dgm:constr type="w" for="ch" forName="Parent1" refType="w" fact="0.0579"/>
              <dgm:constr type="h" for="ch" forName="Parent1" refType="h" fact="0.3799"/>
              <dgm:constr type="r" for="ch" forName="Accent11" refType="w" fact="0.0868"/>
              <dgm:constr type="t" for="ch" forName="Accent11" refType="h" fact="0.1072"/>
              <dgm:constr type="w" for="ch" forName="Accent11" refType="w" fact="0.0868"/>
              <dgm:constr type="h" for="ch" forName="Accent11" refType="h" fact="0.5699"/>
              <dgm:constr type="r" for="ch" forName="ParentBackground11" refType="w" fact="0.0839"/>
              <dgm:constr type="t" for="ch" forName="ParentBackground11" refType="h" fact="0.1262"/>
              <dgm:constr type="w" for="ch" forName="ParentBackground11" refType="w" fact="0.081"/>
              <dgm:constr type="h" for="ch" forName="ParentBackground11" refType="h" fact="0.5319"/>
              <dgm:constr type="r" for="ch" forName="Child11" refType="w" fact="0.0839"/>
              <dgm:constr type="t" for="ch" forName="Child11" refType="h" fact="0.6876"/>
              <dgm:constr type="w" for="ch" forName="Child11" refType="w" fact="0.081"/>
              <dgm:constr type="h" for="ch" forName="Child11" refType="h" fact="0.3124"/>
              <dgm:constr type="r" for="ch" forName="Accent10" refType="w" fact="0.1945"/>
              <dgm:constr type="t" for="ch" forName="Accent10" refType="h" fact="-0.0109"/>
              <dgm:constr type="w" for="ch" forName="Accent10" refType="w" fact="0.1228"/>
              <dgm:constr type="h" for="ch" forName="Accent10" refType="h" fact="0.806"/>
              <dgm:constr type="r" for="ch" forName="ParentBackground10" refType="w" fact="0.1736"/>
              <dgm:constr type="t" for="ch" forName="ParentBackground10" refType="h" fact="0.1262"/>
              <dgm:constr type="w" for="ch" forName="ParentBackground10" refType="w" fact="0.081"/>
              <dgm:constr type="h" for="ch" forName="ParentBackground10" refType="h" fact="0.5319"/>
              <dgm:constr type="r" for="ch" forName="Child10" refType="w" fact="0.1736"/>
              <dgm:constr type="t" for="ch" forName="Child10" refType="h" fact="0.6876"/>
              <dgm:constr type="w" for="ch" forName="Child10" refType="w" fact="0.081"/>
              <dgm:constr type="h" for="ch" forName="Child10" refType="h" fact="0.3124"/>
              <dgm:constr type="r" for="ch" forName="Accent9" refType="w" fact="0.2842"/>
              <dgm:constr type="t" for="ch" forName="Accent9" refType="h" fact="-0.0109"/>
              <dgm:constr type="w" for="ch" forName="Accent9" refType="w" fact="0.1228"/>
              <dgm:constr type="h" for="ch" forName="Accent9" refType="h" fact="0.806"/>
              <dgm:constr type="r" for="ch" forName="ParentBackground9" refType="w" fact="0.2633"/>
              <dgm:constr type="t" for="ch" forName="ParentBackground9" refType="h" fact="0.1262"/>
              <dgm:constr type="w" for="ch" forName="ParentBackground9" refType="w" fact="0.081"/>
              <dgm:constr type="h" for="ch" forName="ParentBackground9" refType="h" fact="0.5319"/>
              <dgm:constr type="r" for="ch" forName="Child9" refType="w" fact="0.2633"/>
              <dgm:constr type="t" for="ch" forName="Child9" refType="h" fact="0.6876"/>
              <dgm:constr type="w" for="ch" forName="Child9" refType="w" fact="0.081"/>
              <dgm:constr type="h" for="ch" forName="Child9" refType="h" fact="0.3124"/>
              <dgm:constr type="r" for="ch" forName="Accent8" refType="w" fact="0.3739"/>
              <dgm:constr type="t" for="ch" forName="Accent8" refType="h" fact="-0.0109"/>
              <dgm:constr type="w" for="ch" forName="Accent8" refType="w" fact="0.1228"/>
              <dgm:constr type="h" for="ch" forName="Accent8" refType="h" fact="0.806"/>
              <dgm:constr type="r" for="ch" forName="ParentBackground8" refType="w" fact="0.353"/>
              <dgm:constr type="t" for="ch" forName="ParentBackground8" refType="h" fact="0.1262"/>
              <dgm:constr type="w" for="ch" forName="ParentBackground8" refType="w" fact="0.081"/>
              <dgm:constr type="h" for="ch" forName="ParentBackground8" refType="h" fact="0.5319"/>
              <dgm:constr type="r" for="ch" forName="Child8" refType="w" fact="0.353"/>
              <dgm:constr type="t" for="ch" forName="Child8" refType="h" fact="0.6876"/>
              <dgm:constr type="w" for="ch" forName="Child8" refType="w" fact="0.081"/>
              <dgm:constr type="h" for="ch" forName="Child8" refType="h" fact="0.3124"/>
              <dgm:constr type="r" for="ch" forName="Accent7" refType="w" fact="0.4636"/>
              <dgm:constr type="t" for="ch" forName="Accent7" refType="h" fact="-0.0109"/>
              <dgm:constr type="w" for="ch" forName="Accent7" refType="w" fact="0.1228"/>
              <dgm:constr type="h" for="ch" forName="Accent7" refType="h" fact="0.806"/>
              <dgm:constr type="r" for="ch" forName="ParentBackground7" refType="w" fact="0.4427"/>
              <dgm:constr type="t" for="ch" forName="ParentBackground7" refType="h" fact="0.1262"/>
              <dgm:constr type="w" for="ch" forName="ParentBackground7" refType="w" fact="0.081"/>
              <dgm:constr type="h" for="ch" forName="ParentBackground7" refType="h" fact="0.5319"/>
              <dgm:constr type="r" for="ch" forName="Child7" refType="w" fact="0.4427"/>
              <dgm:constr type="t" for="ch" forName="Child7" refType="h" fact="0.6876"/>
              <dgm:constr type="w" for="ch" forName="Child7" refType="w" fact="0.081"/>
              <dgm:constr type="h" for="ch" forName="Child7" refType="h" fact="0.3124"/>
              <dgm:constr type="r" for="ch" forName="Accent6" refType="w" fact="0.5533"/>
              <dgm:constr type="t" for="ch" forName="Accent6" refType="h" fact="-0.0109"/>
              <dgm:constr type="w" for="ch" forName="Accent6" refType="w" fact="0.1228"/>
              <dgm:constr type="h" for="ch" forName="Accent6" refType="h" fact="0.806"/>
              <dgm:constr type="r" for="ch" forName="ParentBackground6" refType="w" fact="0.5323"/>
              <dgm:constr type="t" for="ch" forName="ParentBackground6" refType="h" fact="0.1262"/>
              <dgm:constr type="w" for="ch" forName="ParentBackground6" refType="w" fact="0.081"/>
              <dgm:constr type="h" for="ch" forName="ParentBackground6" refType="h" fact="0.5319"/>
              <dgm:constr type="r" for="ch" forName="Child6" refType="w" fact="0.5323"/>
              <dgm:constr type="t" for="ch" forName="Child6" refType="h" fact="0.6876"/>
              <dgm:constr type="w" for="ch" forName="Child6" refType="w" fact="0.081"/>
              <dgm:constr type="h" for="ch" forName="Child6" refType="h" fact="0.3124"/>
              <dgm:constr type="r" for="ch" forName="Accent5" refType="w" fact="0.6429"/>
              <dgm:constr type="t" for="ch" forName="Accent5" refType="h" fact="-0.0109"/>
              <dgm:constr type="w" for="ch" forName="Accent5" refType="w" fact="0.1228"/>
              <dgm:constr type="h" for="ch" forName="Accent5" refType="h" fact="0.806"/>
              <dgm:constr type="r" for="ch" forName="ParentBackground5" refType="w" fact="0.622"/>
              <dgm:constr type="t" for="ch" forName="ParentBackground5" refType="h" fact="0.1262"/>
              <dgm:constr type="w" for="ch" forName="ParentBackground5" refType="w" fact="0.081"/>
              <dgm:constr type="h" for="ch" forName="ParentBackground5" refType="h" fact="0.5319"/>
              <dgm:constr type="r" for="ch" forName="Child5" refType="w" fact="0.622"/>
              <dgm:constr type="t" for="ch" forName="Child5" refType="h" fact="0.6876"/>
              <dgm:constr type="w" for="ch" forName="Child5" refType="w" fact="0.081"/>
              <dgm:constr type="h" for="ch" forName="Child5" refType="h" fact="0.3124"/>
              <dgm:constr type="r" for="ch" forName="Accent4" refType="w" fact="0.7326"/>
              <dgm:constr type="t" for="ch" forName="Accent4" refType="h" fact="-0.0109"/>
              <dgm:constr type="w" for="ch" forName="Accent4" refType="w" fact="0.1228"/>
              <dgm:constr type="h" for="ch" forName="Accent4" refType="h" fact="0.806"/>
              <dgm:constr type="r" for="ch" forName="ParentBackground4" refType="w" fact="0.7117"/>
              <dgm:constr type="t" for="ch" forName="ParentBackground4" refType="h" fact="0.1262"/>
              <dgm:constr type="w" for="ch" forName="ParentBackground4" refType="w" fact="0.081"/>
              <dgm:constr type="h" for="ch" forName="ParentBackground4" refType="h" fact="0.5319"/>
              <dgm:constr type="r" for="ch" forName="Child4" refType="w" fact="0.7117"/>
              <dgm:constr type="t" for="ch" forName="Child4" refType="h" fact="0.6876"/>
              <dgm:constr type="w" for="ch" forName="Child4" refType="w" fact="0.081"/>
              <dgm:constr type="h" for="ch" forName="Child4" refType="h" fact="0.3124"/>
              <dgm:constr type="r" for="ch" forName="Accent3" refType="w" fact="0.8223"/>
              <dgm:constr type="t" for="ch" forName="Accent3" refType="h" fact="-0.0109"/>
              <dgm:constr type="w" for="ch" forName="Accent3" refType="w" fact="0.1228"/>
              <dgm:constr type="h" for="ch" forName="Accent3" refType="h" fact="0.806"/>
              <dgm:constr type="r" for="ch" forName="ParentBackground3" refType="w" fact="0.8014"/>
              <dgm:constr type="t" for="ch" forName="ParentBackground3" refType="h" fact="0.1262"/>
              <dgm:constr type="w" for="ch" forName="ParentBackground3" refType="w" fact="0.081"/>
              <dgm:constr type="h" for="ch" forName="ParentBackground3" refType="h" fact="0.5319"/>
              <dgm:constr type="r" for="ch" forName="Child3" refType="w" fact="0.8014"/>
              <dgm:constr type="t" for="ch" forName="Child3" refType="h" fact="0.6876"/>
              <dgm:constr type="w" for="ch" forName="Child3" refType="w" fact="0.081"/>
              <dgm:constr type="h" for="ch" forName="Child3" refType="h" fact="0.3124"/>
              <dgm:constr type="r" for="ch" forName="Accent2" refType="w" fact="0.912"/>
              <dgm:constr type="t" for="ch" forName="Accent2" refType="h" fact="-0.0109"/>
              <dgm:constr type="w" for="ch" forName="Accent2" refType="w" fact="0.1228"/>
              <dgm:constr type="h" for="ch" forName="Accent2" refType="h" fact="0.806"/>
              <dgm:constr type="r" for="ch" forName="ParentBackground2" refType="w" fact="0.8911"/>
              <dgm:constr type="t" for="ch" forName="ParentBackground2" refType="h" fact="0.1262"/>
              <dgm:constr type="w" for="ch" forName="ParentBackground2" refType="w" fact="0.081"/>
              <dgm:constr type="h" for="ch" forName="ParentBackground2" refType="h" fact="0.5319"/>
              <dgm:constr type="r" for="ch" forName="Child2" refType="w" fact="0.8911"/>
              <dgm:constr type="t" for="ch" forName="Child2" refType="h" fact="0.6876"/>
              <dgm:constr type="w" for="ch" forName="Child2" refType="w" fact="0.081"/>
              <dgm:constr type="h" for="ch" forName="Child2" refType="h" fact="0.3124"/>
              <dgm:constr type="r" for="ch" forName="Accent1" refType="w" fact="1.0017"/>
              <dgm:constr type="t" for="ch" forName="Accent1" refType="h" fact="-0.0109"/>
              <dgm:constr type="w" for="ch" forName="Accent1" refType="w" fact="0.1228"/>
              <dgm:constr type="h" for="ch" forName="Accent1" refType="h" fact="0.806"/>
              <dgm:constr type="r" for="ch" forName="ParentBackground1" refType="w" fact="0.9808"/>
              <dgm:constr type="t" for="ch" forName="ParentBackground1" refType="h" fact="0.1262"/>
              <dgm:constr type="w" for="ch" forName="ParentBackground1" refType="w" fact="0.081"/>
              <dgm:constr type="h" for="ch" forName="ParentBackground1" refType="h" fact="0.5319"/>
              <dgm:constr type="r" for="ch" forName="Child1" refType="w" fact="0.9808"/>
              <dgm:constr type="t" for="ch" forName="Child1" refType="h" fact="0.6876"/>
              <dgm:constr type="w" for="ch" forName="Child1" refType="w" fact="0.081"/>
              <dgm:constr type="h" for="ch" forName="Child1" refType="h" fact="0.3124"/>
            </dgm:constrLst>
          </dgm:else>
        </dgm:choose>
      </dgm:else>
    </dgm:choose>
    <dgm:forEach name="wrapper" axis="self" ptType="parTrans">
      <dgm:forEach name="accentRepeat" axis="self">
        <dgm:layoutNode name="Accent" styleLbl="node1">
          <dgm:alg type="sp"/>
          <dgm:choose name="Name28">
            <dgm:if name="Name29" axis="followSib" ptType="node" func="cnt" op="equ" val="0">
              <dgm:shape xmlns:r="http://schemas.openxmlformats.org/officeDocument/2006/relationships" type="ellipse" r:blip="">
                <dgm:adjLst/>
              </dgm:shape>
            </dgm:if>
            <dgm:else name="Name30">
              <dgm:choose name="Name31">
                <dgm:if name="Name32" axis="precedSib" ptType="node" func="cnt" op="equ" val="10">
                  <dgm:shape xmlns:r="http://schemas.openxmlformats.org/officeDocument/2006/relationships" type="ellipse" r:blip="">
                    <dgm:adjLst/>
                  </dgm:shape>
                </dgm:if>
                <dgm:else name="Name33">
                  <dgm:choose name="Name34">
                    <dgm:if name="Name35" func="var" arg="dir" op="equ" val="norm">
                      <dgm:shape xmlns:r="http://schemas.openxmlformats.org/officeDocument/2006/relationships" rot="45" type="teardrop" r:blip="">
                        <dgm:adjLst>
                          <dgm:adj idx="1" val="1"/>
                        </dgm:adjLst>
                      </dgm:shape>
                    </dgm:if>
                    <dgm:else name="Name36">
                      <dgm:shape xmlns:r="http://schemas.openxmlformats.org/officeDocument/2006/relationships" rot="225" type="teardrop" r:blip="">
                        <dgm:adjLst>
                          <dgm:adj idx="1" val="1"/>
                        </dgm:adjLst>
                      </dgm:shape>
                    </dgm:else>
                  </dgm:choose>
                </dgm:else>
              </dgm:choose>
            </dgm:else>
          </dgm:choose>
          <dgm:presOf/>
        </dgm:layoutNode>
      </dgm:forEach>
      <dgm:forEach name="parentBackgroundRepeat" axis="self">
        <dgm:layoutNode name="ParentBackground" styleLbl="fgAcc1">
          <dgm:alg type="sp"/>
          <dgm:shape xmlns:r="http://schemas.openxmlformats.org/officeDocument/2006/relationships" type="ellipse" r:blip="">
            <dgm:adjLst/>
          </dgm:shape>
          <dgm:presOf axis="self" ptType="node"/>
        </dgm:layoutNode>
      </dgm:forEach>
    </dgm:forEach>
    <dgm:forEach name="Name37" axis="ch" ptType="node" st="11" cnt="1">
      <dgm:layoutNode name="Accent11">
        <dgm:alg type="sp"/>
        <dgm:shape xmlns:r="http://schemas.openxmlformats.org/officeDocument/2006/relationships" r:blip="">
          <dgm:adjLst/>
        </dgm:shape>
        <dgm:presOf/>
        <dgm:constrLst/>
        <dgm:forEach name="Name38" ref="accentRepeat"/>
      </dgm:layoutNode>
      <dgm:layoutNode name="ParentBackground11">
        <dgm:alg type="sp"/>
        <dgm:shape xmlns:r="http://schemas.openxmlformats.org/officeDocument/2006/relationships" r:blip="">
          <dgm:adjLst/>
        </dgm:shape>
        <dgm:presOf/>
        <dgm:forEach name="Name39" ref="parentBackgroundRepeat"/>
      </dgm:layoutNode>
      <dgm:choose name="Name40">
        <dgm:if name="Name41" axis="ch" ptType="node" func="cnt" op="gte" val="1">
          <dgm:layoutNode name="Child11"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2"/>
      </dgm:choose>
      <dgm:layoutNode name="Parent11"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43" axis="ch" ptType="node" st="10" cnt="1">
      <dgm:layoutNode name="Accent10">
        <dgm:alg type="sp"/>
        <dgm:shape xmlns:r="http://schemas.openxmlformats.org/officeDocument/2006/relationships" r:blip="">
          <dgm:adjLst/>
        </dgm:shape>
        <dgm:presOf/>
        <dgm:constrLst/>
        <dgm:forEach name="Name44" ref="accentRepeat"/>
      </dgm:layoutNode>
      <dgm:layoutNode name="ParentBackground10">
        <dgm:alg type="sp"/>
        <dgm:shape xmlns:r="http://schemas.openxmlformats.org/officeDocument/2006/relationships" r:blip="">
          <dgm:adjLst/>
        </dgm:shape>
        <dgm:presOf/>
        <dgm:forEach name="Name45" ref="parentBackgroundRepeat"/>
      </dgm:layoutNode>
      <dgm:choose name="Name46">
        <dgm:if name="Name47" axis="ch" ptType="node" func="cnt" op="gte" val="1">
          <dgm:layoutNode name="Child10"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8"/>
      </dgm:choose>
      <dgm:layoutNode name="Parent10"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49" axis="ch" ptType="node" st="9" cnt="1">
      <dgm:layoutNode name="Accent9">
        <dgm:alg type="sp"/>
        <dgm:shape xmlns:r="http://schemas.openxmlformats.org/officeDocument/2006/relationships" r:blip="">
          <dgm:adjLst/>
        </dgm:shape>
        <dgm:presOf/>
        <dgm:constrLst/>
        <dgm:forEach name="Name50" ref="accentRepeat"/>
      </dgm:layoutNode>
      <dgm:layoutNode name="ParentBackground9">
        <dgm:alg type="sp"/>
        <dgm:shape xmlns:r="http://schemas.openxmlformats.org/officeDocument/2006/relationships" r:blip="">
          <dgm:adjLst/>
        </dgm:shape>
        <dgm:presOf/>
        <dgm:forEach name="Name51" ref="parentBackgroundRepeat"/>
      </dgm:layoutNode>
      <dgm:choose name="Name52">
        <dgm:if name="Name53" axis="ch" ptType="node" func="cnt" op="gte" val="1">
          <dgm:layoutNode name="Child9"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4"/>
      </dgm:choose>
      <dgm:layoutNode name="Parent9"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55" axis="ch" ptType="node" st="8" cnt="1">
      <dgm:layoutNode name="Accent8">
        <dgm:alg type="sp"/>
        <dgm:shape xmlns:r="http://schemas.openxmlformats.org/officeDocument/2006/relationships" r:blip="">
          <dgm:adjLst/>
        </dgm:shape>
        <dgm:presOf/>
        <dgm:constrLst/>
        <dgm:forEach name="Name56" ref="accentRepeat"/>
      </dgm:layoutNode>
      <dgm:layoutNode name="ParentBackground8">
        <dgm:alg type="sp"/>
        <dgm:shape xmlns:r="http://schemas.openxmlformats.org/officeDocument/2006/relationships" r:blip="">
          <dgm:adjLst/>
        </dgm:shape>
        <dgm:presOf/>
        <dgm:forEach name="Name57" ref="parentBackgroundRepeat"/>
      </dgm:layoutNode>
      <dgm:choose name="Name58">
        <dgm:if name="Name59" axis="ch" ptType="node" func="cnt" op="gte" val="1">
          <dgm:layoutNode name="Child8"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0"/>
      </dgm:choose>
      <dgm:layoutNode name="Parent8"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61" axis="ch" ptType="node" st="7" cnt="1">
      <dgm:layoutNode name="Accent7">
        <dgm:alg type="sp"/>
        <dgm:shape xmlns:r="http://schemas.openxmlformats.org/officeDocument/2006/relationships" r:blip="">
          <dgm:adjLst/>
        </dgm:shape>
        <dgm:presOf/>
        <dgm:constrLst/>
        <dgm:forEach name="Name62" ref="accentRepeat"/>
      </dgm:layoutNode>
      <dgm:layoutNode name="ParentBackground7">
        <dgm:alg type="sp"/>
        <dgm:shape xmlns:r="http://schemas.openxmlformats.org/officeDocument/2006/relationships" r:blip="">
          <dgm:adjLst/>
        </dgm:shape>
        <dgm:presOf/>
        <dgm:forEach name="Name63" ref="parentBackgroundRepeat"/>
      </dgm:layoutNode>
      <dgm:choose name="Name64">
        <dgm:if name="Name65" axis="ch" ptType="node" func="cnt" op="gte" val="1">
          <dgm:layoutNode name="Child7"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6"/>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67" axis="ch" ptType="node" st="6" cnt="1">
      <dgm:layoutNode name="Accent6">
        <dgm:alg type="sp"/>
        <dgm:shape xmlns:r="http://schemas.openxmlformats.org/officeDocument/2006/relationships" r:blip="">
          <dgm:adjLst/>
        </dgm:shape>
        <dgm:presOf/>
        <dgm:constrLst/>
        <dgm:forEach name="Name68" ref="accentRepeat"/>
      </dgm:layoutNode>
      <dgm:layoutNode name="ParentBackground6">
        <dgm:alg type="sp"/>
        <dgm:shape xmlns:r="http://schemas.openxmlformats.org/officeDocument/2006/relationships" r:blip="">
          <dgm:adjLst/>
        </dgm:shape>
        <dgm:presOf/>
        <dgm:forEach name="Name69" ref="parentBackgroundRepeat"/>
      </dgm:layoutNode>
      <dgm:choose name="Name70">
        <dgm:if name="Name71" axis="ch" ptType="node" func="cnt" op="gte" val="1">
          <dgm:layoutNode name="Child6"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73" axis="ch" ptType="node" st="5" cnt="1">
      <dgm:layoutNode name="Accent5">
        <dgm:alg type="sp"/>
        <dgm:shape xmlns:r="http://schemas.openxmlformats.org/officeDocument/2006/relationships" r:blip="">
          <dgm:adjLst/>
        </dgm:shape>
        <dgm:presOf/>
        <dgm:constrLst/>
        <dgm:forEach name="Name74" ref="accentRepeat"/>
      </dgm:layoutNode>
      <dgm:layoutNode name="ParentBackground5">
        <dgm:alg type="sp"/>
        <dgm:shape xmlns:r="http://schemas.openxmlformats.org/officeDocument/2006/relationships" r:blip="">
          <dgm:adjLst/>
        </dgm:shape>
        <dgm:presOf/>
        <dgm:forEach name="Name75" ref="parentBackgroundRepeat"/>
      </dgm:layoutNode>
      <dgm:choose name="Name76">
        <dgm:if name="Name77" axis="ch" ptType="node" func="cnt" op="gte" val="1">
          <dgm:layoutNode name="Child5"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8"/>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79" axis="ch" ptType="node" st="4" cnt="1">
      <dgm:layoutNode name="Accent4">
        <dgm:alg type="sp"/>
        <dgm:shape xmlns:r="http://schemas.openxmlformats.org/officeDocument/2006/relationships" r:blip="">
          <dgm:adjLst/>
        </dgm:shape>
        <dgm:presOf/>
        <dgm:constrLst/>
        <dgm:forEach name="Name80" ref="accentRepeat"/>
      </dgm:layoutNode>
      <dgm:layoutNode name="ParentBackground4">
        <dgm:alg type="sp"/>
        <dgm:shape xmlns:r="http://schemas.openxmlformats.org/officeDocument/2006/relationships" r:blip="">
          <dgm:adjLst/>
        </dgm:shape>
        <dgm:presOf/>
        <dgm:forEach name="Name81" ref="parentBackgroundRepeat"/>
      </dgm:layoutNode>
      <dgm:choose name="Name82">
        <dgm:if name="Name83" axis="ch" ptType="node" func="cnt" op="gte" val="1">
          <dgm:layoutNode name="Child4"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layoutNode name="ParentBackground3">
        <dgm:alg type="sp"/>
        <dgm:shape xmlns:r="http://schemas.openxmlformats.org/officeDocument/2006/relationships" r:blip="">
          <dgm:adjLst/>
        </dgm:shape>
        <dgm:presOf/>
        <dgm:forEach name="Name87" ref="parentBackgroundRepeat"/>
      </dgm:layoutNode>
      <dgm:choose name="Name88">
        <dgm:if name="Name89" axis="ch" ptType="node" func="cnt" op="gte" val="1">
          <dgm:layoutNode name="Child3"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0"/>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91" axis="ch" ptType="node" st="2" cnt="1">
      <dgm:layoutNode name="Accent2">
        <dgm:alg type="sp"/>
        <dgm:shape xmlns:r="http://schemas.openxmlformats.org/officeDocument/2006/relationships" r:blip="">
          <dgm:adjLst/>
        </dgm:shape>
        <dgm:presOf/>
        <dgm:constrLst/>
        <dgm:forEach name="Name92" ref="accentRepeat"/>
      </dgm:layoutNode>
      <dgm:layoutNode name="ParentBackground2" styleLbl="fgAcc1">
        <dgm:alg type="sp"/>
        <dgm:shape xmlns:r="http://schemas.openxmlformats.org/officeDocument/2006/relationships" r:blip="">
          <dgm:adjLst/>
        </dgm:shape>
        <dgm:presOf/>
        <dgm:forEach name="Name93" ref="parentBackgroundRepeat"/>
      </dgm:layoutNode>
      <dgm:choose name="Name94">
        <dgm:if name="Name95" axis="ch" ptType="node" func="cnt" op="gte" val="1">
          <dgm:layoutNode name="Child2"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6"/>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97" axis="ch" ptType="node" cnt="1">
      <dgm:layoutNode name="Accent1">
        <dgm:alg type="sp"/>
        <dgm:shape xmlns:r="http://schemas.openxmlformats.org/officeDocument/2006/relationships" r:blip="">
          <dgm:adjLst/>
        </dgm:shape>
        <dgm:presOf/>
        <dgm:constrLst/>
        <dgm:forEach name="Name98" ref="accentRepeat"/>
      </dgm:layoutNode>
      <dgm:layoutNode name="ParentBackground1">
        <dgm:alg type="sp"/>
        <dgm:shape xmlns:r="http://schemas.openxmlformats.org/officeDocument/2006/relationships" r:blip="">
          <dgm:adjLst/>
        </dgm:shape>
        <dgm:presOf/>
        <dgm:forEach name="Name99" ref="parentBackgroundRepeat"/>
      </dgm:layoutNode>
      <dgm:choose name="Name100">
        <dgm:if name="Name101" axis="ch" ptType="node" func="cnt" op="gte" val="1">
          <dgm:layoutNode name="Child1" styleLbl="revTx">
            <dgm:varLst>
              <dgm:chMax val="0"/>
              <dgm:chPref val="0"/>
              <dgm:bulletEnabled val="1"/>
            </dgm:varLst>
            <dgm:alg type="tx">
              <dgm:param type="stBulletLvl" val="1"/>
              <dgm:param type="parTxLTRAlign" val="l"/>
              <dgm:param type="txAnchorVert" val="t"/>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2"/>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hideGeom="1">
          <dgm:adjLst/>
        </dgm:shape>
        <dgm:presOf axis="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2015-10-19T00:00:00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AE188F-FE76-484B-B1A1-C45A9E169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4FF81-ADE9-4D78-A857-390109871112}">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4.xml><?xml version="1.0" encoding="utf-8"?>
<ds:datastoreItem xmlns:ds="http://schemas.openxmlformats.org/officeDocument/2006/customXml" ds:itemID="{E63C0C35-89A0-4253-BA54-C71F953CB4F8}">
  <ds:schemaRefs>
    <ds:schemaRef ds:uri="http://schemas.microsoft.com/sharepoint/v3/contenttype/forms"/>
  </ds:schemaRefs>
</ds:datastoreItem>
</file>

<file path=customXml/itemProps5.xml><?xml version="1.0" encoding="utf-8"?>
<ds:datastoreItem xmlns:ds="http://schemas.openxmlformats.org/officeDocument/2006/customXml" ds:itemID="{F87CF9D2-0FEE-4F1C-B482-3AC56327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16</Pages>
  <Words>6402</Words>
  <Characters>36498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Farren (AGDI)</dc:creator>
  <cp:lastModifiedBy>Adriana Moreira</cp:lastModifiedBy>
  <cp:revision>2</cp:revision>
  <cp:lastPrinted>2018-04-25T12:33:00Z</cp:lastPrinted>
  <dcterms:created xsi:type="dcterms:W3CDTF">2023-06-06T14:39:00Z</dcterms:created>
  <dcterms:modified xsi:type="dcterms:W3CDTF">2023-06-06T14:39:00Z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