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96DD0" w14:textId="70164538" w:rsidR="006E5317" w:rsidRDefault="006D2CFA" w:rsidP="006E5317">
      <w:pPr>
        <w:pStyle w:val="IPPHeadSection"/>
        <w:jc w:val="center"/>
        <w:rPr>
          <w:rStyle w:val="IPPnormalitalics"/>
          <w:b w:val="0"/>
          <w:bCs w:val="0"/>
          <w:i w:val="0"/>
          <w:iCs/>
          <w:sz w:val="24"/>
          <w:lang w:val="en-GB"/>
        </w:rPr>
      </w:pPr>
      <w:r>
        <w:t xml:space="preserve">Preliminary TFT </w:t>
      </w:r>
      <w:r w:rsidR="00DE4409">
        <w:t>ASSESSMENT ON tOPICS ON COMMODITY STANDARDS</w:t>
      </w:r>
    </w:p>
    <w:p w14:paraId="4AE7D3FD" w14:textId="55C8DE6A" w:rsidR="00E459FD" w:rsidRDefault="001B06D1" w:rsidP="006E5317">
      <w:pPr>
        <w:jc w:val="center"/>
        <w:rPr>
          <w:rStyle w:val="IPPnormalitalics"/>
        </w:rPr>
      </w:pPr>
      <w:r w:rsidRPr="001B06D1">
        <w:rPr>
          <w:rStyle w:val="IPPnormalitalics"/>
        </w:rPr>
        <w:t>(Prepared by the</w:t>
      </w:r>
      <w:r w:rsidR="009943FC">
        <w:rPr>
          <w:rStyle w:val="IPPnormalitalics"/>
        </w:rPr>
        <w:t xml:space="preserve"> IPPC</w:t>
      </w:r>
      <w:r w:rsidRPr="001B06D1">
        <w:rPr>
          <w:rStyle w:val="IPPnormalitalics"/>
        </w:rPr>
        <w:t xml:space="preserve"> Secretariat)</w:t>
      </w:r>
    </w:p>
    <w:p w14:paraId="43EB3029" w14:textId="53B38F1E" w:rsidR="00557CF5" w:rsidRDefault="00557CF5" w:rsidP="3CB4FD35">
      <w:pPr>
        <w:pStyle w:val="IPPHeading1"/>
        <w:jc w:val="both"/>
      </w:pPr>
      <w:r w:rsidRPr="00B163E4">
        <w:t>Background</w:t>
      </w:r>
    </w:p>
    <w:p w14:paraId="04E1DA39" w14:textId="75160709" w:rsidR="00DC60E1" w:rsidRDefault="00DC60E1" w:rsidP="00424724">
      <w:pPr>
        <w:pStyle w:val="IPPParagraphnumbering"/>
      </w:pPr>
      <w:r>
        <w:t>As per request from the SC</w:t>
      </w:r>
      <w:r w:rsidR="73138BB5">
        <w:t xml:space="preserve"> in</w:t>
      </w:r>
      <w:r>
        <w:t xml:space="preserve"> May 2023, </w:t>
      </w:r>
      <w:r w:rsidR="00053052">
        <w:t>this paper has been prepared by the IPPC Secretariat to provide the Technical Panel on Commodity S</w:t>
      </w:r>
      <w:r w:rsidR="00E60557">
        <w:t>tandard</w:t>
      </w:r>
      <w:r w:rsidR="000F45EA">
        <w:t>s</w:t>
      </w:r>
      <w:r w:rsidR="4CBEBF26">
        <w:t xml:space="preserve"> with</w:t>
      </w:r>
      <w:r w:rsidR="008F68D2">
        <w:t xml:space="preserve"> a preliminary assessment </w:t>
      </w:r>
      <w:r w:rsidR="00536B8C">
        <w:t>from the T</w:t>
      </w:r>
      <w:r w:rsidR="0042108D">
        <w:t>ask Force on Topic (TFT)</w:t>
      </w:r>
      <w:r w:rsidR="002F67AB">
        <w:t xml:space="preserve"> of commodity standards topics proposals </w:t>
      </w:r>
      <w:bookmarkStart w:id="0" w:name="_Hlk147414660"/>
      <w:r w:rsidR="002F67AB">
        <w:t>that came from the 2023 call for topics</w:t>
      </w:r>
      <w:bookmarkEnd w:id="0"/>
      <w:r w:rsidR="002F67AB">
        <w:t xml:space="preserve">. </w:t>
      </w:r>
    </w:p>
    <w:p w14:paraId="53901DDF" w14:textId="724F0A2E" w:rsidR="00DC60E1" w:rsidRDefault="00D6154B" w:rsidP="00424724">
      <w:pPr>
        <w:pStyle w:val="IPPParagraphnumbering"/>
      </w:pPr>
      <w:r>
        <w:t>During the 2023 IPPC call for topics, the Sec</w:t>
      </w:r>
      <w:r w:rsidR="008253ED">
        <w:t xml:space="preserve">retariat received eight </w:t>
      </w:r>
      <w:r w:rsidR="00C839A8">
        <w:t>commodity standards topic proposals.</w:t>
      </w:r>
      <w:r w:rsidR="00E52FDF">
        <w:rPr>
          <w:rStyle w:val="FootnoteReference"/>
        </w:rPr>
        <w:footnoteReference w:id="2"/>
      </w:r>
      <w:r w:rsidR="00C839A8">
        <w:t xml:space="preserve"> </w:t>
      </w:r>
      <w:r w:rsidR="00CB21B3">
        <w:t xml:space="preserve">These proposals </w:t>
      </w:r>
      <w:r w:rsidR="00D27EF3">
        <w:t>have been</w:t>
      </w:r>
      <w:r w:rsidR="00CB21B3">
        <w:t xml:space="preserve"> </w:t>
      </w:r>
      <w:r w:rsidR="5F9B2787">
        <w:t xml:space="preserve">preliminary </w:t>
      </w:r>
      <w:r w:rsidR="00CB21B3">
        <w:t xml:space="preserve">evaluated </w:t>
      </w:r>
      <w:r w:rsidR="00994471">
        <w:t>by the</w:t>
      </w:r>
      <w:r w:rsidR="00D27EF3">
        <w:t xml:space="preserve"> TFT</w:t>
      </w:r>
      <w:r w:rsidR="635C85C0">
        <w:t>,</w:t>
      </w:r>
      <w:r w:rsidR="00664199">
        <w:t xml:space="preserve"> and a full evaluation and recommendation will be provided to the SC and IC after the TFT October</w:t>
      </w:r>
      <w:r w:rsidR="00756660">
        <w:t xml:space="preserve"> 2023 meeting.</w:t>
      </w:r>
      <w:r w:rsidR="00FC5D51">
        <w:rPr>
          <w:rStyle w:val="FootnoteReference"/>
        </w:rPr>
        <w:footnoteReference w:id="3"/>
      </w:r>
      <w:r w:rsidR="00756660">
        <w:t xml:space="preserve"> </w:t>
      </w:r>
    </w:p>
    <w:p w14:paraId="2666020C" w14:textId="26C630BF" w:rsidR="007C30BC" w:rsidRDefault="008F0000" w:rsidP="0040605F">
      <w:pPr>
        <w:pStyle w:val="IPPHdg1Num"/>
        <w:ind w:left="270" w:hanging="270"/>
      </w:pPr>
      <w:r w:rsidRPr="008F0000">
        <w:t>2023-008</w:t>
      </w:r>
      <w:r>
        <w:t xml:space="preserve">: </w:t>
      </w:r>
      <w:r w:rsidRPr="008F0000">
        <w:t>Annex to ISPM 46: Commodity Standard Seeds of Phaseolus vulgaris</w:t>
      </w:r>
      <w:r w:rsidR="00C915CE">
        <w:t xml:space="preserve">- </w:t>
      </w:r>
      <w:r w:rsidRPr="008F0000">
        <w:t>Netherlands</w:t>
      </w:r>
    </w:p>
    <w:p w14:paraId="04CB827C" w14:textId="3FB0A864" w:rsidR="00E05EC0" w:rsidRDefault="00E05EC0" w:rsidP="00B239E5">
      <w:pPr>
        <w:pStyle w:val="IPPParagraphnumbering"/>
      </w:pPr>
      <w:r>
        <w:t>The majority of TFT members agreed that the proposed topic is relevant from an IPPC perspective and within the IPPC mandate. TFT members added that the proposed topic facilitates safe trade and harmonizes phytosanitary measures for seeds of Phaseolus vulgaris. Also, members stated that the proposal is relevant to IPPC because it aims directly at one of the eight DAIs of the IPPC SF 2020–2030.</w:t>
      </w:r>
    </w:p>
    <w:p w14:paraId="0FC575FF" w14:textId="77777777" w:rsidR="00C602C7" w:rsidRPr="00C602C7" w:rsidRDefault="00C602C7" w:rsidP="00C602C7">
      <w:pPr>
        <w:pStyle w:val="IPPParagraphnumbering"/>
      </w:pPr>
      <w:r>
        <w:t>TFT members agreed that the topic is relevant from a global perspective and reflects a global challenge. Members added that Phaseolus vulgaris is cultivated globally and is a relevant crop in the world, playing an important role in human feeding, so the trade of bean seeds is so relevant in seeking phytosanitary security.</w:t>
      </w:r>
    </w:p>
    <w:p w14:paraId="62FDEFC4" w14:textId="7CAE03FC" w:rsidR="00B239E5" w:rsidRDefault="002876D0" w:rsidP="00145856">
      <w:pPr>
        <w:pStyle w:val="IPPParagraphnumbering"/>
      </w:pPr>
      <w:r>
        <w:t>The recommended score given by the TFT to this proposal was</w:t>
      </w:r>
      <w:r w:rsidR="00B92E7B">
        <w:t xml:space="preserve"> 4.40 out of 5.0</w:t>
      </w:r>
      <w:r w:rsidR="00193488">
        <w:t>,</w:t>
      </w:r>
      <w:r w:rsidR="00145856">
        <w:t xml:space="preserve"> and the recommended priority was 1.60</w:t>
      </w:r>
      <w:r w:rsidR="002D1CB3">
        <w:t>.</w:t>
      </w:r>
    </w:p>
    <w:p w14:paraId="5F8BB735" w14:textId="77777777" w:rsidR="001C61FB" w:rsidRPr="001C61FB" w:rsidRDefault="001C61FB" w:rsidP="001C61FB">
      <w:pPr>
        <w:pStyle w:val="IPPParagraphnumbering"/>
      </w:pPr>
      <w:r>
        <w:t>TFT members assessed that the submission contributes to filling gaps in the Framework for Standards and Implementation and added that it is very strategic for the IPPC community to move forward with these kinds of commodity standards.</w:t>
      </w:r>
    </w:p>
    <w:p w14:paraId="36384A54" w14:textId="77777777" w:rsidR="005B165B" w:rsidRPr="005B165B" w:rsidRDefault="005B165B" w:rsidP="005B165B">
      <w:pPr>
        <w:pStyle w:val="IPPParagraphnumbering"/>
        <w:spacing w:before="100" w:beforeAutospacing="1" w:after="100" w:afterAutospacing="1"/>
        <w:rPr>
          <w:rFonts w:eastAsia="Times New Roman" w:cs="Times New Roman"/>
          <w:color w:val="252525"/>
          <w:szCs w:val="22"/>
          <w:lang w:eastAsia="en-US"/>
        </w:rPr>
      </w:pPr>
      <w:r w:rsidRPr="1FC8575D">
        <w:rPr>
          <w:rFonts w:eastAsia="Times New Roman" w:cs="Times New Roman"/>
          <w:color w:val="252525"/>
          <w:lang w:eastAsia="en-US"/>
        </w:rPr>
        <w:t>Members made it clear that this proposal is feasible, and one member added that this kind of commodity standard needs effective implementation and support in the initial steps.</w:t>
      </w:r>
    </w:p>
    <w:p w14:paraId="4EC5AA6C" w14:textId="6C902A6A" w:rsidR="00B239E5" w:rsidRDefault="00C915CE" w:rsidP="0040605F">
      <w:pPr>
        <w:pStyle w:val="IPPHdg1Num"/>
        <w:ind w:left="270" w:hanging="270"/>
      </w:pPr>
      <w:r w:rsidRPr="00C915CE">
        <w:t>2023-018</w:t>
      </w:r>
      <w:r>
        <w:t xml:space="preserve">: </w:t>
      </w:r>
      <w:r w:rsidRPr="00C915CE">
        <w:t>ISPM 46 Commodity-Based Standards for Phytosanitary Measures, Annex X International Movement of Vitus vinifera fruit</w:t>
      </w:r>
      <w:r>
        <w:t xml:space="preserve">- </w:t>
      </w:r>
      <w:r w:rsidRPr="00C915CE">
        <w:t>New Zealand</w:t>
      </w:r>
    </w:p>
    <w:p w14:paraId="364E49C2" w14:textId="77777777" w:rsidR="00A816BB" w:rsidRPr="00A816BB" w:rsidRDefault="00A816BB" w:rsidP="00A816BB">
      <w:pPr>
        <w:pStyle w:val="IPPParagraphnumbering"/>
      </w:pPr>
      <w:r>
        <w:t>This proposed topic was assessed by TFT members, and members agreed that this annex meets the purpose of the IPPC by providing guidance to NPPOs on phytosanitary measures suitable for managing major pests of grapes to prevent their spread and introduction. Members also added that this proposal is on the core development agenda of the IPPC SF.</w:t>
      </w:r>
    </w:p>
    <w:p w14:paraId="32C900CB" w14:textId="77777777" w:rsidR="00777AAC" w:rsidRPr="00777AAC" w:rsidRDefault="00777AAC" w:rsidP="00777AAC">
      <w:pPr>
        <w:pStyle w:val="IPPParagraphnumbering"/>
      </w:pPr>
      <w:r>
        <w:t>TFT members agreed that the topic is relevant from a global perspective because table grape fresh fruit is globally produced and is a globally traded commodity.</w:t>
      </w:r>
    </w:p>
    <w:p w14:paraId="24971182" w14:textId="61ECC32E" w:rsidR="00E104F2" w:rsidRDefault="00E104F2" w:rsidP="006D4013">
      <w:pPr>
        <w:pStyle w:val="IPPParagraphnumbering"/>
      </w:pPr>
      <w:r>
        <w:t>The recommended score given by the TFT to this proposal was 4.75 out of 5.0</w:t>
      </w:r>
      <w:r w:rsidR="00165CE7">
        <w:t>,</w:t>
      </w:r>
      <w:r>
        <w:t xml:space="preserve"> and the recommended priority was 1.25.</w:t>
      </w:r>
    </w:p>
    <w:p w14:paraId="0E48A3D1" w14:textId="77777777" w:rsidR="00A12C42" w:rsidRPr="00A12C42" w:rsidRDefault="00A12C42" w:rsidP="00A12C42">
      <w:pPr>
        <w:pStyle w:val="IPPParagraphnumbering"/>
      </w:pPr>
      <w:r>
        <w:t xml:space="preserve">Members added that the submission contributes to filling gaps in the Framework for Standards and Implementation; practically, economically, environmentally, and strategically, supporting criteria are </w:t>
      </w:r>
      <w:r>
        <w:lastRenderedPageBreak/>
        <w:t>appropriately addressed. It was assessed that the proposal directly aligns with one of the DAI of the IPPC Strategic Framework.</w:t>
      </w:r>
    </w:p>
    <w:p w14:paraId="59D729BE" w14:textId="44761016" w:rsidR="00717442" w:rsidRDefault="000222B4" w:rsidP="00717442">
      <w:pPr>
        <w:pStyle w:val="IPPParagraphnumbering"/>
      </w:pPr>
      <w:r>
        <w:t xml:space="preserve">The TPCS should note this comment </w:t>
      </w:r>
      <w:r w:rsidR="00D3756B">
        <w:t>made</w:t>
      </w:r>
      <w:r>
        <w:t xml:space="preserve"> by one TFT member</w:t>
      </w:r>
      <w:r w:rsidR="00EC21A7">
        <w:t>.</w:t>
      </w:r>
    </w:p>
    <w:p w14:paraId="22A0638D" w14:textId="4F91A1D9" w:rsidR="00DF0161" w:rsidRDefault="00717442" w:rsidP="00717442">
      <w:pPr>
        <w:pStyle w:val="IPPQuote"/>
      </w:pPr>
      <w:r w:rsidRPr="003E3E40">
        <w:t>“</w:t>
      </w:r>
      <w:r w:rsidR="000925DE" w:rsidRPr="003E3E40">
        <w:t>The list of pests included in the proposal will need further discussion since, in our understanding, several of them should not be required for pathways as fruit for consumption. Criteria for inclusion of pests in the list of pest certainly need to be precise and should not allow any doubts as the pest could finally be regulated by countries once included in an ISPM. Furthermore, there are pests whose bibliographic quotation is described as "no available" or "no longer available". Under</w:t>
      </w:r>
      <w:r w:rsidR="00AD2F17" w:rsidRPr="003E3E40">
        <w:t xml:space="preserve"> </w:t>
      </w:r>
      <w:r w:rsidR="000925DE" w:rsidRPr="003E3E40">
        <w:t>this</w:t>
      </w:r>
      <w:r w:rsidR="00AD2F17" w:rsidRPr="003E3E40">
        <w:t xml:space="preserve"> </w:t>
      </w:r>
      <w:r w:rsidR="000925DE" w:rsidRPr="003E3E40">
        <w:t xml:space="preserve">circumstances, the pests shouldn't be included in the list or at least be </w:t>
      </w:r>
      <w:r w:rsidRPr="003E3E40">
        <w:t>discussed</w:t>
      </w:r>
      <w:r w:rsidR="000925DE" w:rsidRPr="003E3E40">
        <w:t xml:space="preserve"> by the TPCS.</w:t>
      </w:r>
      <w:r w:rsidRPr="003E3E40">
        <w:t>”</w:t>
      </w:r>
    </w:p>
    <w:p w14:paraId="25F58EC8" w14:textId="6D1B4CEF" w:rsidR="001D4E6B" w:rsidRDefault="001D4E6B" w:rsidP="00717442">
      <w:pPr>
        <w:pStyle w:val="IPPParagraphnumbering"/>
      </w:pPr>
      <w:r w:rsidRPr="1FC8575D">
        <w:rPr>
          <w:lang w:val="en-GB"/>
        </w:rPr>
        <w:t>Members made it clear that this proposal is feasible to develop.</w:t>
      </w:r>
    </w:p>
    <w:p w14:paraId="31B13148" w14:textId="2FE995FB" w:rsidR="00253383" w:rsidRDefault="002B4E1A" w:rsidP="0040605F">
      <w:pPr>
        <w:pStyle w:val="IPPHdg1Num"/>
        <w:ind w:left="270" w:hanging="270"/>
      </w:pPr>
      <w:r w:rsidRPr="002B4E1A">
        <w:t>2023-019</w:t>
      </w:r>
      <w:r>
        <w:t xml:space="preserve">: </w:t>
      </w:r>
      <w:r w:rsidRPr="002B4E1A">
        <w:t>ISPM 46 Commodity-Based Standards for Phytosanitary Measures, Annex X International Movement of Citrus Fruit</w:t>
      </w:r>
      <w:r>
        <w:t>-</w:t>
      </w:r>
      <w:r w:rsidRPr="002B4E1A">
        <w:t>New Zealand</w:t>
      </w:r>
    </w:p>
    <w:p w14:paraId="5148F87C" w14:textId="45512BF6" w:rsidR="00AD2F17" w:rsidRDefault="00237BFD" w:rsidP="00AD2F17">
      <w:pPr>
        <w:pStyle w:val="IPPParagraphnumbering"/>
      </w:pPr>
      <w:r>
        <w:t xml:space="preserve">TFT members agreed that </w:t>
      </w:r>
      <w:r w:rsidR="00FE3FEA">
        <w:t>t</w:t>
      </w:r>
      <w:r>
        <w:t>his annex meets the purpose of IPPC by providing guidance to NPPOs on phytosanitary measures suitable for managing major pests to prevent their spread and introduction</w:t>
      </w:r>
      <w:r w:rsidR="00457375">
        <w:t>,</w:t>
      </w:r>
      <w:r w:rsidR="00667AC2">
        <w:t xml:space="preserve"> and this proposal is a core development agenda of the IPPC SF.</w:t>
      </w:r>
    </w:p>
    <w:p w14:paraId="078FBBB7" w14:textId="77777777" w:rsidR="00E63B1F" w:rsidRPr="00E63B1F" w:rsidRDefault="00E63B1F" w:rsidP="00E63B1F">
      <w:pPr>
        <w:pStyle w:val="IPPParagraphnumbering"/>
      </w:pPr>
      <w:r>
        <w:t>Members agreed that this topic is relevant from a global perspective and reflects a global challenge because citrus fresh fruits are a globally traded commodity.</w:t>
      </w:r>
    </w:p>
    <w:p w14:paraId="0300BF0C" w14:textId="08A4F6F8" w:rsidR="006D3B9F" w:rsidRDefault="006D3B9F" w:rsidP="006D3B9F">
      <w:pPr>
        <w:pStyle w:val="IPPParagraphnumbering"/>
      </w:pPr>
      <w:r>
        <w:t>The recommended score given by the TFT to this proposal was 4.25 out of 5.0</w:t>
      </w:r>
      <w:r w:rsidR="00E63B1F">
        <w:t>,</w:t>
      </w:r>
      <w:r>
        <w:t xml:space="preserve"> and the recommended priority was 1.75.</w:t>
      </w:r>
    </w:p>
    <w:p w14:paraId="1665349D" w14:textId="51637F4F" w:rsidR="00E70104" w:rsidRPr="00E70104" w:rsidRDefault="00E70104" w:rsidP="00E70104">
      <w:pPr>
        <w:pStyle w:val="IPPParagraphnumbering"/>
      </w:pPr>
      <w:r>
        <w:t>TFT members added that the proposed annex will provide options for measures currently used in trade and harmonize pest risk management options for major pests, but it may be difficult to harmonize measures to all citrus fruits. Also, this proposal has a clear link with the Strategic objectives, relevance for more than one region, and identification of the problem and its solution.</w:t>
      </w:r>
    </w:p>
    <w:p w14:paraId="2829477E" w14:textId="44465A7E" w:rsidR="000D6AB6" w:rsidRDefault="000D6AB6" w:rsidP="000D6AB6">
      <w:pPr>
        <w:pStyle w:val="IPPParagraphnumbering"/>
      </w:pPr>
      <w:r>
        <w:t xml:space="preserve">The TPCS should note </w:t>
      </w:r>
      <w:r w:rsidR="00456EA8">
        <w:t>these</w:t>
      </w:r>
      <w:r>
        <w:t xml:space="preserve"> comment</w:t>
      </w:r>
      <w:r w:rsidR="00456EA8">
        <w:t>s</w:t>
      </w:r>
      <w:r>
        <w:t xml:space="preserve"> </w:t>
      </w:r>
      <w:r w:rsidR="00A91EEB">
        <w:t>made</w:t>
      </w:r>
      <w:r>
        <w:t xml:space="preserve"> by TFT member</w:t>
      </w:r>
      <w:r w:rsidR="00456EA8">
        <w:t>s</w:t>
      </w:r>
      <w:r>
        <w:t>.</w:t>
      </w:r>
    </w:p>
    <w:p w14:paraId="6F133B55" w14:textId="4494D1AD" w:rsidR="00456EA8" w:rsidRPr="003E3E40" w:rsidRDefault="00456EA8" w:rsidP="00456EA8">
      <w:pPr>
        <w:pStyle w:val="IPPQuote"/>
      </w:pPr>
      <w:r w:rsidRPr="003E3E40">
        <w:t>“It seems to me that it will be difficult for all CPs to agree with the harmonized phytosanitary measures for all citrus fruits.”</w:t>
      </w:r>
    </w:p>
    <w:p w14:paraId="5E2A0F7D" w14:textId="267A4E37" w:rsidR="00145E44" w:rsidRPr="003E3E40" w:rsidRDefault="00145E44" w:rsidP="00456EA8">
      <w:pPr>
        <w:pStyle w:val="IPPQuote"/>
      </w:pPr>
      <w:r w:rsidRPr="003E3E40">
        <w:t>“This proposal seeks to address all citrus at once, as this is how NZ's Import Health Standards are structured. The pests and measures of this group are very similar and so it would be interesting to see of the TPCS were able to accommodate this broad grouping (given the similarity)”</w:t>
      </w:r>
    </w:p>
    <w:p w14:paraId="7A9D67AA" w14:textId="2D17E621" w:rsidR="00145E44" w:rsidRDefault="00145E44" w:rsidP="00456EA8">
      <w:pPr>
        <w:pStyle w:val="IPPQuote"/>
      </w:pPr>
      <w:r w:rsidRPr="003E3E40">
        <w:t xml:space="preserve">“The list of pests included in the proposal will need further discussion since, in our understanding, several of them should not be required for pathways as fruit for consumption. Criteria for inclusion of pests in the list of pest certainly need to be precise and should not allow any doubts as the pest could finally be regulated by countries once included in an ISPM. Furthermore, there are pests whose bibliographic quotation is described as "no available" or "no longer available". Under this circumstances, the pests shouldn't be included in the list or at least be </w:t>
      </w:r>
      <w:r w:rsidR="00472AEF" w:rsidRPr="003E3E40">
        <w:t>discussed</w:t>
      </w:r>
      <w:r w:rsidRPr="003E3E40">
        <w:t xml:space="preserve"> by the TPCS.”</w:t>
      </w:r>
    </w:p>
    <w:p w14:paraId="4676EAF4" w14:textId="77777777" w:rsidR="001434A8" w:rsidRPr="001434A8" w:rsidRDefault="001434A8" w:rsidP="001434A8">
      <w:pPr>
        <w:pStyle w:val="IPPParagraphnumbering"/>
      </w:pPr>
      <w:r>
        <w:t>Members stated that this proposal is linked to the commodity standards submission made by COSAVE (2023-027). It should be noted that this proposal from New Zealand is more thorough, and it considers that the pests listed in the COSAVE submission should be added to this one.</w:t>
      </w:r>
    </w:p>
    <w:p w14:paraId="630631DC" w14:textId="539525E1" w:rsidR="003F586B" w:rsidRDefault="003F586B" w:rsidP="0094552E">
      <w:pPr>
        <w:pStyle w:val="IPPParagraphnumbering"/>
      </w:pPr>
      <w:r w:rsidRPr="1FC8575D">
        <w:rPr>
          <w:lang w:val="en-GB"/>
        </w:rPr>
        <w:t>Members made it clear that this proposal is feasible to develop.</w:t>
      </w:r>
    </w:p>
    <w:p w14:paraId="59064969" w14:textId="7E7376D3" w:rsidR="009D72CD" w:rsidRDefault="009D72CD" w:rsidP="00E46CD5">
      <w:pPr>
        <w:pStyle w:val="IPPHdg1Num"/>
        <w:ind w:left="270" w:hanging="270"/>
        <w:jc w:val="both"/>
      </w:pPr>
      <w:r w:rsidRPr="009D72CD">
        <w:t>2023-021</w:t>
      </w:r>
      <w:r>
        <w:t xml:space="preserve">: </w:t>
      </w:r>
      <w:r w:rsidRPr="009D72CD">
        <w:t>ISPM 46 Commodity-Based Standards for Phytosanitary Measures, Annex outlining commodities of lower pest risk complexity</w:t>
      </w:r>
      <w:r>
        <w:t>-</w:t>
      </w:r>
      <w:r w:rsidRPr="009D72CD">
        <w:t>Australia</w:t>
      </w:r>
    </w:p>
    <w:p w14:paraId="6C64979C" w14:textId="77777777" w:rsidR="00767708" w:rsidRPr="00767708" w:rsidRDefault="00767708" w:rsidP="00767708">
      <w:pPr>
        <w:pStyle w:val="IPPParagraphnumbering"/>
      </w:pPr>
      <w:r>
        <w:t>TFT members assessed this proposal to be relevant from an IPPC perspective and within the IPPC mandate because the proposal is an Annex of ISPM 46 and it impacts directly to protect global plant resources and facilitate safe trade. It was added that the scope of the proposal is quite broad and that it requires further preliminary analysis.</w:t>
      </w:r>
    </w:p>
    <w:p w14:paraId="57674814" w14:textId="7E9D134C" w:rsidR="005319B3" w:rsidRPr="00895089" w:rsidRDefault="005319B3" w:rsidP="005319B3">
      <w:pPr>
        <w:pStyle w:val="IPPParagraphnumbering"/>
      </w:pPr>
      <w:r>
        <w:t>The recommended score given by the TFT to this proposal was 3.2</w:t>
      </w:r>
      <w:r w:rsidR="001C3652">
        <w:t>0</w:t>
      </w:r>
      <w:r>
        <w:t xml:space="preserve"> out of </w:t>
      </w:r>
      <w:r w:rsidR="001C3652">
        <w:t xml:space="preserve">5.0, </w:t>
      </w:r>
      <w:r>
        <w:t xml:space="preserve">and the recommended priority was </w:t>
      </w:r>
      <w:r w:rsidR="00426520">
        <w:t>2.80</w:t>
      </w:r>
      <w:r>
        <w:t>.</w:t>
      </w:r>
    </w:p>
    <w:p w14:paraId="532F5E55" w14:textId="77777777" w:rsidR="006F1E49" w:rsidRPr="006F1E49" w:rsidRDefault="006F1E49" w:rsidP="006F1E49">
      <w:pPr>
        <w:pStyle w:val="IPPParagraphnumbering"/>
      </w:pPr>
      <w:r>
        <w:lastRenderedPageBreak/>
        <w:t>TFT members added that there is a lack of relevant information in the initial list of commodities that can be included, or the most important and measurable criteria to let the TPCS work on that.</w:t>
      </w:r>
    </w:p>
    <w:p w14:paraId="2B61F5F7" w14:textId="02E8ACC0" w:rsidR="00A1037F" w:rsidRDefault="00A1037F" w:rsidP="00A1037F">
      <w:pPr>
        <w:pStyle w:val="IPPParagraphnumbering"/>
      </w:pPr>
      <w:r>
        <w:t>Members added that this proposal requires preliminary work to contribute to filling gaps in the Framework for Standards and Implementation.</w:t>
      </w:r>
    </w:p>
    <w:p w14:paraId="76D8BE68" w14:textId="029A628F" w:rsidR="00BD223F" w:rsidRDefault="00BD223F" w:rsidP="00BD223F">
      <w:pPr>
        <w:pStyle w:val="IPPParagraphnumbering"/>
      </w:pPr>
      <w:r>
        <w:t xml:space="preserve">The TPCS should note this comment </w:t>
      </w:r>
      <w:r w:rsidR="00FB2D39">
        <w:t>made</w:t>
      </w:r>
      <w:r>
        <w:t xml:space="preserve"> by one TFT member.</w:t>
      </w:r>
    </w:p>
    <w:p w14:paraId="4C5DE1EC" w14:textId="506445BB" w:rsidR="00BD223F" w:rsidRDefault="00BD223F" w:rsidP="00BD223F">
      <w:pPr>
        <w:pStyle w:val="IPPQuote"/>
      </w:pPr>
      <w:r w:rsidRPr="003E3E40">
        <w:t xml:space="preserve">“This proposal is to trigger consideration of how to address commodities that may not warrant a </w:t>
      </w:r>
      <w:proofErr w:type="spellStart"/>
      <w:r w:rsidRPr="003E3E40">
        <w:t>stand alone</w:t>
      </w:r>
      <w:proofErr w:type="spellEnd"/>
      <w:r w:rsidRPr="003E3E40">
        <w:t xml:space="preserve"> Annex to ISPM 46 because of their "simplicity". Conversely, those commodities that are "too complex" will not have an Annex developed either. The SW Pacific wanted an Annex for coconut but were advised that insufficient pests and measures exist. As such, a commodity standard was considered the incorrect path. The purpose is to have a place for "safer/easily mitigated" commodities and risks (that do not fit in ISPM 32) so that it is not thought that they are too complex to trade and so facilitate market access and trade of these "safer" products.”</w:t>
      </w:r>
    </w:p>
    <w:p w14:paraId="7BA2748E" w14:textId="77777777" w:rsidR="00295B8C" w:rsidRPr="00295B8C" w:rsidRDefault="00295B8C" w:rsidP="00295B8C">
      <w:pPr>
        <w:pStyle w:val="IPPParagraphnumbering"/>
      </w:pPr>
      <w:r>
        <w:t>One member added that the problem has been partially outlined, and if more examples of obstacles to trade and different commodities affected by that or in similar conditions than coconut, as mentioned, were included, it would have been very useful to better define the problem and the impact of the proposal.</w:t>
      </w:r>
    </w:p>
    <w:p w14:paraId="309C5DF9" w14:textId="0C0FCE4F" w:rsidR="00451C5B" w:rsidRDefault="00451C5B" w:rsidP="00451C5B">
      <w:pPr>
        <w:pStyle w:val="IPPParagraphnumbering"/>
      </w:pPr>
      <w:r>
        <w:t>Regarding the feasibility of the proposal, members agreed that the proposal will need consideration by the TPCS as to whether this is a viable approach is the purpose of this proposal and prior work must be done before approving it as a topic.</w:t>
      </w:r>
    </w:p>
    <w:p w14:paraId="32014CBE" w14:textId="3287F713" w:rsidR="00934C39" w:rsidRDefault="00934C39" w:rsidP="00E46CD5">
      <w:pPr>
        <w:pStyle w:val="IPPHdg1Num"/>
        <w:ind w:left="270" w:hanging="270"/>
        <w:jc w:val="both"/>
      </w:pPr>
      <w:r w:rsidRPr="00934C39">
        <w:t>2023-023</w:t>
      </w:r>
      <w:r>
        <w:t xml:space="preserve">: </w:t>
      </w:r>
      <w:r w:rsidRPr="00934C39">
        <w:t>ISPM 46 Commodity-Based Standards for Phytosanitary Measures, Annex on the International Movement of fresh taro (Colocasia esculenta) corm for consumption</w:t>
      </w:r>
      <w:r>
        <w:t>-</w:t>
      </w:r>
      <w:r w:rsidRPr="00934C39">
        <w:t>PPPO</w:t>
      </w:r>
    </w:p>
    <w:p w14:paraId="0FE9B1B8" w14:textId="77777777" w:rsidR="009903D8" w:rsidRPr="009903D8" w:rsidRDefault="009903D8" w:rsidP="009903D8">
      <w:pPr>
        <w:pStyle w:val="IPPParagraphnumbering"/>
      </w:pPr>
      <w:r>
        <w:t>TFT members assessed this proposal to be relevant from an IPPC perspective and within the IPPC mandate because it helps prevent the spread and introduction of plant pests. Members also added that the proposal is relevant from a global perspective and reflects a global challenge because it is a staple food crop across many regions.</w:t>
      </w:r>
    </w:p>
    <w:p w14:paraId="3D305DF1" w14:textId="6B72975F" w:rsidR="00D535D3" w:rsidRPr="005319B3" w:rsidRDefault="00D535D3" w:rsidP="00D535D3">
      <w:pPr>
        <w:pStyle w:val="IPPParagraphnumbering"/>
      </w:pPr>
      <w:r>
        <w:t>The recommended score given by the TFT to this proposal was 4.</w:t>
      </w:r>
      <w:r w:rsidR="001255BE">
        <w:t>67</w:t>
      </w:r>
      <w:r>
        <w:t xml:space="preserve"> out of </w:t>
      </w:r>
      <w:r w:rsidR="001255BE">
        <w:t>5.50</w:t>
      </w:r>
      <w:r>
        <w:t xml:space="preserve"> and the recommended priority was 1.</w:t>
      </w:r>
      <w:r w:rsidR="001255BE">
        <w:t>33</w:t>
      </w:r>
      <w:r>
        <w:t>.</w:t>
      </w:r>
    </w:p>
    <w:p w14:paraId="2AFCBECC" w14:textId="4972A5D1" w:rsidR="00D535D3" w:rsidRDefault="00C5688F" w:rsidP="00934C39">
      <w:pPr>
        <w:pStyle w:val="IPPParagraphnumbering"/>
      </w:pPr>
      <w:r>
        <w:t>One mem</w:t>
      </w:r>
      <w:r w:rsidR="00003A86">
        <w:t xml:space="preserve">ber stated that the proposal requires some </w:t>
      </w:r>
      <w:r w:rsidR="00987971">
        <w:t>preliminary work (</w:t>
      </w:r>
      <w:r w:rsidR="00E40A80">
        <w:t xml:space="preserve">a </w:t>
      </w:r>
      <w:r w:rsidR="00987971">
        <w:t>literature review).</w:t>
      </w:r>
    </w:p>
    <w:p w14:paraId="6884C1E4" w14:textId="618165D0" w:rsidR="00E21C56" w:rsidRDefault="00E21C56" w:rsidP="00E21C56">
      <w:pPr>
        <w:pStyle w:val="IPPParagraphnumbering"/>
      </w:pPr>
      <w:r>
        <w:t>Members made it clear that this proposal is feasible to develop.</w:t>
      </w:r>
    </w:p>
    <w:p w14:paraId="7921E6BD" w14:textId="28F6AD49" w:rsidR="00C528B5" w:rsidRPr="00C528B5" w:rsidRDefault="00C528B5" w:rsidP="00E46CD5">
      <w:pPr>
        <w:pStyle w:val="IPPHdg1Num"/>
        <w:ind w:left="270" w:hanging="270"/>
        <w:jc w:val="both"/>
      </w:pPr>
      <w:r w:rsidRPr="00C528B5">
        <w:t>2023-024</w:t>
      </w:r>
      <w:r>
        <w:t xml:space="preserve">: </w:t>
      </w:r>
      <w:r w:rsidR="00B04C7C" w:rsidRPr="00B04C7C">
        <w:t>ISPM 46</w:t>
      </w:r>
      <w:r>
        <w:t xml:space="preserve"> </w:t>
      </w:r>
      <w:r w:rsidR="00B04C7C" w:rsidRPr="00B04C7C">
        <w:t>Commodity-Based Standards for Phytosanitary Measures, Annex X, International Movement of Malus domestica fruit for consumption</w:t>
      </w:r>
      <w:r w:rsidR="00B04C7C">
        <w:t xml:space="preserve">- </w:t>
      </w:r>
      <w:r w:rsidR="00B04C7C" w:rsidRPr="00B04C7C">
        <w:t>UK</w:t>
      </w:r>
    </w:p>
    <w:p w14:paraId="1BB9A306" w14:textId="77777777" w:rsidR="00B103F3" w:rsidRPr="00B103F3" w:rsidRDefault="00B103F3" w:rsidP="00B103F3">
      <w:pPr>
        <w:pStyle w:val="IPPParagraphnumbering"/>
      </w:pPr>
      <w:r>
        <w:t>TFT members assessed that this proposed annex meets the purpose of IPPC by providing guidance to NPPOs on phytosanitary measures suitable for managing major pests of Malus domestica to prevent their spread and introduction, and it clearly focuses on protecting the global environment and safe trade.</w:t>
      </w:r>
    </w:p>
    <w:p w14:paraId="33BCDF45" w14:textId="77777777" w:rsidR="008432A2" w:rsidRPr="008432A2" w:rsidRDefault="008432A2" w:rsidP="008432A2">
      <w:pPr>
        <w:pStyle w:val="IPPParagraphnumbering"/>
      </w:pPr>
      <w:r>
        <w:t>Regarding the relevant from a global perspective and reflects a global challenge, members agreed that apple fruits are a globally traded commodity and one of the eight DAIs of the IPPC SF.</w:t>
      </w:r>
    </w:p>
    <w:p w14:paraId="233A8F6C" w14:textId="40B705F7" w:rsidR="00F00372" w:rsidRPr="00F00372" w:rsidRDefault="00F00372" w:rsidP="00F00372">
      <w:pPr>
        <w:pStyle w:val="IPPParagraphnumbering"/>
      </w:pPr>
      <w:r>
        <w:t>The recommended score given by the TFT to this proposal was 4.</w:t>
      </w:r>
      <w:r w:rsidR="00621CAF">
        <w:t>60</w:t>
      </w:r>
      <w:r>
        <w:t xml:space="preserve"> out of </w:t>
      </w:r>
      <w:r w:rsidR="00621CAF">
        <w:t>5.0</w:t>
      </w:r>
      <w:r>
        <w:t xml:space="preserve"> and the recommended priority was 1.</w:t>
      </w:r>
      <w:r w:rsidR="00621CAF">
        <w:t>20</w:t>
      </w:r>
      <w:r>
        <w:t>.</w:t>
      </w:r>
    </w:p>
    <w:p w14:paraId="459A92AC" w14:textId="77777777" w:rsidR="00EE763F" w:rsidRPr="00EE763F" w:rsidRDefault="00EE763F" w:rsidP="00EE763F">
      <w:pPr>
        <w:pStyle w:val="IPPParagraphnumbering"/>
      </w:pPr>
      <w:r>
        <w:t>Members added that the proposed annex will provide options for measures currently used in trade and harmonize pest risk management options for major pests, but it may be difficult to harmonize measures for apple fruits for consumption.</w:t>
      </w:r>
    </w:p>
    <w:p w14:paraId="2F8F4908" w14:textId="77777777" w:rsidR="00165610" w:rsidRPr="00165610" w:rsidRDefault="00165610" w:rsidP="00165610">
      <w:pPr>
        <w:pStyle w:val="IPPParagraphnumbering"/>
      </w:pPr>
      <w:r>
        <w:t>TFT members agreed that this proposal will need effective implementation or support because it will be the first commodity standard to be developed.</w:t>
      </w:r>
    </w:p>
    <w:p w14:paraId="740F9250" w14:textId="1F5FB4F4" w:rsidR="00165610" w:rsidRDefault="00165610" w:rsidP="00367E65">
      <w:pPr>
        <w:pStyle w:val="IPPParagraphnumbering"/>
      </w:pPr>
      <w:r>
        <w:t>Members made it clear that this proposal is feasible to develop.</w:t>
      </w:r>
    </w:p>
    <w:p w14:paraId="277292FB" w14:textId="3F63AFFC" w:rsidR="0040605F" w:rsidRDefault="002C7B91" w:rsidP="00E46CD5">
      <w:pPr>
        <w:pStyle w:val="IPPHdg1Num"/>
        <w:ind w:left="270" w:hanging="270"/>
        <w:jc w:val="both"/>
      </w:pPr>
      <w:r w:rsidRPr="002C7B91">
        <w:lastRenderedPageBreak/>
        <w:t>2023-027</w:t>
      </w:r>
      <w:r>
        <w:t xml:space="preserve">: </w:t>
      </w:r>
      <w:r w:rsidRPr="002C7B91">
        <w:t>Annex International movement of fresh orange (Citrus sinensis) fruit to ISPM 46</w:t>
      </w:r>
      <w:r>
        <w:t xml:space="preserve">- </w:t>
      </w:r>
      <w:r w:rsidRPr="002C7B91">
        <w:t>COSAVE</w:t>
      </w:r>
    </w:p>
    <w:p w14:paraId="6BAA8FE0" w14:textId="77777777" w:rsidR="00746CD0" w:rsidRPr="00746CD0" w:rsidRDefault="00746CD0" w:rsidP="00746CD0">
      <w:pPr>
        <w:pStyle w:val="IPPParagraphnumbering"/>
      </w:pPr>
      <w:r>
        <w:t>TFT members assessed that this proposed annex meets the purpose of IPPC by providing guidance to NPPOs on phytosanitary measures suitable for managing major pests of fresh orange to prevent their spread and introduction, and that the development of commodity standards is a strategic issue for the IPPC.</w:t>
      </w:r>
    </w:p>
    <w:p w14:paraId="4431A4A4" w14:textId="77777777" w:rsidR="00026966" w:rsidRPr="00026966" w:rsidRDefault="00026966" w:rsidP="00026966">
      <w:pPr>
        <w:pStyle w:val="IPPParagraphnumbering"/>
      </w:pPr>
      <w:r>
        <w:t>Members stated that orange fresh fruit is a globally traded commodity, and it is an opportunity to encourage the development of this standard.</w:t>
      </w:r>
    </w:p>
    <w:p w14:paraId="1BFE2764" w14:textId="15A96ABF" w:rsidR="004E623E" w:rsidRDefault="00E16E8F" w:rsidP="004E623E">
      <w:pPr>
        <w:pStyle w:val="IPPParagraphnumbering"/>
      </w:pPr>
      <w:r>
        <w:t>The recommended score given by the TFT to this proposal was 4.</w:t>
      </w:r>
      <w:r w:rsidR="0047247B">
        <w:t>40</w:t>
      </w:r>
      <w:r>
        <w:t xml:space="preserve"> out of </w:t>
      </w:r>
      <w:r w:rsidR="00C30F79">
        <w:t>5.0</w:t>
      </w:r>
      <w:r>
        <w:t xml:space="preserve"> and the recommended priority was 1.</w:t>
      </w:r>
      <w:r w:rsidR="00C30F79">
        <w:t>20</w:t>
      </w:r>
      <w:r>
        <w:t>.</w:t>
      </w:r>
    </w:p>
    <w:p w14:paraId="72F39828" w14:textId="77777777" w:rsidR="003C439F" w:rsidRPr="003C439F" w:rsidRDefault="003C439F" w:rsidP="003C439F">
      <w:pPr>
        <w:pStyle w:val="IPPParagraphnumbering"/>
      </w:pPr>
      <w:r>
        <w:t>TFT members added that the proposed annex will provide options for measures currently used in trade and harmonize pest risk management options for major pests, but it may be difficult to harmonize measures for apple fruits for consumption. But the information about the measures should be more detailed. Also, the proposed annex clearly identifies the contribution to the purpose of the IPPC (Article I.1) and the linkage to Strategic Objectives. It was emphasized that the submission highlights the relevance of providing options for phytosanitary measures currently used in international trade.</w:t>
      </w:r>
    </w:p>
    <w:p w14:paraId="10EFBC46" w14:textId="3BA93DEF" w:rsidR="00386211" w:rsidRDefault="002A5481" w:rsidP="004E623E">
      <w:pPr>
        <w:pStyle w:val="IPPParagraphnumbering"/>
      </w:pPr>
      <w:r>
        <w:t>TFT members highlighted that this</w:t>
      </w:r>
      <w:r w:rsidR="00A7118F">
        <w:t xml:space="preserve"> proposal</w:t>
      </w:r>
      <w:r w:rsidR="009C7B52">
        <w:t xml:space="preserve"> is linked with the proposal made by New Zealand (2023-019)</w:t>
      </w:r>
      <w:r w:rsidR="00D02DE0">
        <w:t>.</w:t>
      </w:r>
    </w:p>
    <w:p w14:paraId="14850A5F" w14:textId="78DB95D8" w:rsidR="008B13A0" w:rsidRDefault="008B13A0" w:rsidP="008B13A0">
      <w:pPr>
        <w:pStyle w:val="IPPParagraphnumbering"/>
      </w:pPr>
      <w:r>
        <w:t>Members made it clear that this proposal is feasible to develop.</w:t>
      </w:r>
    </w:p>
    <w:p w14:paraId="48B2730B" w14:textId="06C9D1FA" w:rsidR="00E46CD5" w:rsidRDefault="00E46CD5" w:rsidP="00E46CD5">
      <w:pPr>
        <w:pStyle w:val="IPPHdg1Num"/>
        <w:ind w:left="270" w:hanging="270"/>
        <w:jc w:val="both"/>
      </w:pPr>
      <w:r w:rsidRPr="00E46CD5">
        <w:t>2023-028</w:t>
      </w:r>
      <w:r>
        <w:t xml:space="preserve">: </w:t>
      </w:r>
      <w:r w:rsidRPr="00E46CD5">
        <w:t>Annex International movement of fresh banana (Musa paradisiaca) fruit to ISPM 46 (Commodity specific standards for phytosanitary measures)</w:t>
      </w:r>
      <w:r>
        <w:t xml:space="preserve">- </w:t>
      </w:r>
      <w:r w:rsidRPr="00E46CD5">
        <w:t>COSAVE</w:t>
      </w:r>
    </w:p>
    <w:p w14:paraId="6669ADE7" w14:textId="4B9A86E9" w:rsidR="00B16EAE" w:rsidRPr="00B16EAE" w:rsidRDefault="00B16EAE" w:rsidP="00B16EAE">
      <w:pPr>
        <w:pStyle w:val="IPPParagraphnumbering"/>
      </w:pPr>
      <w:r>
        <w:t xml:space="preserve">TFT members assessed that this proposed annex meets the purpose of IPPC by providing guidance to NPPOs on phytosanitary measures suitable for managing major pests of </w:t>
      </w:r>
      <w:r w:rsidR="002809B0">
        <w:t xml:space="preserve">fresh banana fruit </w:t>
      </w:r>
      <w:r>
        <w:t>to prevent their spread and introduction, and that the development of commodity standards is a strategic issue for the IPPC.</w:t>
      </w:r>
    </w:p>
    <w:p w14:paraId="3FB85582" w14:textId="77777777" w:rsidR="00440AF5" w:rsidRPr="00440AF5" w:rsidRDefault="00440AF5" w:rsidP="00440AF5">
      <w:pPr>
        <w:pStyle w:val="IPPParagraphnumbering"/>
      </w:pPr>
      <w:r>
        <w:t>TFT members assessed that this topic is relevant from a global perspective and reflects a global challenge because bananas are one of the most widely traded fruits internationally and have the potential to be a host of well-known pests.</w:t>
      </w:r>
    </w:p>
    <w:p w14:paraId="6C94F052" w14:textId="6B4739C2" w:rsidR="00A2548E" w:rsidRPr="00A2548E" w:rsidRDefault="00A2548E" w:rsidP="00A2548E">
      <w:pPr>
        <w:pStyle w:val="IPPParagraphnumbering"/>
      </w:pPr>
      <w:r>
        <w:t>The recommended score given by the TFT to this proposal was 4.</w:t>
      </w:r>
      <w:r w:rsidR="00B92B68">
        <w:t>60</w:t>
      </w:r>
      <w:r>
        <w:t xml:space="preserve"> out of </w:t>
      </w:r>
      <w:r w:rsidR="00B92B68">
        <w:t>5.0</w:t>
      </w:r>
      <w:r>
        <w:t xml:space="preserve"> and the recommended priority was 1.</w:t>
      </w:r>
      <w:r w:rsidR="00B92B68">
        <w:t>20</w:t>
      </w:r>
      <w:r>
        <w:t>.</w:t>
      </w:r>
    </w:p>
    <w:p w14:paraId="629864E3" w14:textId="77777777" w:rsidR="00511524" w:rsidRPr="00511524" w:rsidRDefault="00511524" w:rsidP="00511524">
      <w:pPr>
        <w:pStyle w:val="IPPParagraphnumbering"/>
      </w:pPr>
      <w:r>
        <w:t>TFT members added that the proposed annex will provide options for measures currently used in trade and harmonize pest risk management options for major pests. Also, the proposal clearly identifies the contribution to the purpose of the IPPC (Article I.1) and the linkage to Strategic Objectives.</w:t>
      </w:r>
    </w:p>
    <w:p w14:paraId="1F12064E" w14:textId="6E59CDCB" w:rsidR="0088255D" w:rsidRDefault="0088255D" w:rsidP="0088255D">
      <w:pPr>
        <w:pStyle w:val="IPPParagraphnumbering"/>
      </w:pPr>
      <w:r>
        <w:t xml:space="preserve">The TPCS should note this comment </w:t>
      </w:r>
      <w:r w:rsidR="00511524">
        <w:t>made</w:t>
      </w:r>
      <w:r>
        <w:t xml:space="preserve"> by one TFT member.</w:t>
      </w:r>
    </w:p>
    <w:p w14:paraId="5550FD4B" w14:textId="5D6DD5E5" w:rsidR="0088255D" w:rsidRDefault="0088255D" w:rsidP="00804C88">
      <w:pPr>
        <w:pStyle w:val="IPPQuote"/>
      </w:pPr>
      <w:r w:rsidRPr="00511524">
        <w:t>“</w:t>
      </w:r>
      <w:r w:rsidR="00804C88" w:rsidRPr="00511524">
        <w:t>I am unsure the information is sufficient or in a format the TPCS can easily use. Perhaps further information (like for all commodities submitted for a standard) will be able to be gathered from a call for information. Perhaps too, to support contracting parties understand the form, some more guidance could be provided (perhaps a workshop or webinar?) prior to the next call about the type of information and level of detail the TPCS hope to receive.”</w:t>
      </w:r>
    </w:p>
    <w:p w14:paraId="1F8B30A5" w14:textId="230D21FE" w:rsidR="003E3E40" w:rsidRPr="00AD2F17" w:rsidRDefault="003E3E40" w:rsidP="003E3E40">
      <w:pPr>
        <w:pStyle w:val="IPPParagraphnumbering"/>
      </w:pPr>
      <w:r>
        <w:t>Members made it clear that this proposal is feasible to develop.</w:t>
      </w:r>
    </w:p>
    <w:p w14:paraId="0DCEDB4A" w14:textId="203C4317" w:rsidR="00FB41A3" w:rsidRPr="00331A82" w:rsidRDefault="00FB41A3" w:rsidP="00A16EAB">
      <w:pPr>
        <w:pStyle w:val="IPPHeading1"/>
        <w:spacing w:before="0" w:after="0"/>
        <w:jc w:val="both"/>
        <w:rPr>
          <w:rStyle w:val="IPPnormalitalics"/>
          <w:i w:val="0"/>
          <w:sz w:val="24"/>
          <w:lang w:val="en-GB"/>
        </w:rPr>
      </w:pPr>
      <w:r w:rsidRPr="00331A82">
        <w:rPr>
          <w:rStyle w:val="IPPnormalitalics"/>
          <w:i w:val="0"/>
          <w:sz w:val="24"/>
          <w:lang w:val="en-GB"/>
        </w:rPr>
        <w:t>Recommendations</w:t>
      </w:r>
    </w:p>
    <w:p w14:paraId="53BF61C0" w14:textId="2AF0E850" w:rsidR="00FB41A3" w:rsidRPr="00331A82" w:rsidRDefault="6358766C" w:rsidP="00A16EAB">
      <w:pPr>
        <w:pStyle w:val="IPPParagraphnumbering"/>
        <w:spacing w:after="0"/>
      </w:pPr>
      <w:r>
        <w:t xml:space="preserve">The </w:t>
      </w:r>
      <w:r w:rsidR="002E45E4">
        <w:t>TPCS</w:t>
      </w:r>
      <w:r>
        <w:t xml:space="preserve"> is invited to:</w:t>
      </w:r>
    </w:p>
    <w:p w14:paraId="1596A5CE" w14:textId="14891C1D" w:rsidR="00E33E4D" w:rsidRDefault="00FB41A3" w:rsidP="00A16EAB">
      <w:pPr>
        <w:pStyle w:val="IPPNumberedList"/>
        <w:numPr>
          <w:ilvl w:val="0"/>
          <w:numId w:val="11"/>
        </w:numPr>
        <w:spacing w:after="0"/>
      </w:pPr>
      <w:r w:rsidRPr="00331A82">
        <w:rPr>
          <w:i/>
          <w:iCs/>
        </w:rPr>
        <w:t>note</w:t>
      </w:r>
      <w:r w:rsidR="00DA76BD" w:rsidRPr="00331A82">
        <w:t xml:space="preserve"> the</w:t>
      </w:r>
      <w:r w:rsidR="00722633">
        <w:t xml:space="preserve"> </w:t>
      </w:r>
      <w:r w:rsidR="002E45E4">
        <w:t>preli</w:t>
      </w:r>
      <w:r w:rsidR="00AF12D9">
        <w:t xml:space="preserve">minary assessment </w:t>
      </w:r>
      <w:r w:rsidR="00722633" w:rsidRPr="00722633">
        <w:t>from the Task Force on Topics (TFT)</w:t>
      </w:r>
      <w:r w:rsidR="00722633">
        <w:t xml:space="preserve"> </w:t>
      </w:r>
      <w:r w:rsidR="00AF12D9" w:rsidRPr="00AF12D9">
        <w:t>of commodity standards topic proposals</w:t>
      </w:r>
      <w:r w:rsidR="00722633">
        <w:t>;</w:t>
      </w:r>
    </w:p>
    <w:p w14:paraId="531FA3F1" w14:textId="702C0F64" w:rsidR="00546A6B" w:rsidRDefault="00546A6B" w:rsidP="00A16EAB">
      <w:pPr>
        <w:pStyle w:val="IPPNumberedList"/>
        <w:numPr>
          <w:ilvl w:val="0"/>
          <w:numId w:val="11"/>
        </w:numPr>
        <w:spacing w:after="0"/>
      </w:pPr>
      <w:r>
        <w:rPr>
          <w:i/>
          <w:iCs/>
        </w:rPr>
        <w:t xml:space="preserve">note </w:t>
      </w:r>
      <w:r w:rsidR="00BF1968">
        <w:t>the comments from the TFT;</w:t>
      </w:r>
    </w:p>
    <w:p w14:paraId="59E9E6D6" w14:textId="7B01F811" w:rsidR="005F654C" w:rsidRDefault="00A21A5B" w:rsidP="00A16EAB">
      <w:pPr>
        <w:pStyle w:val="IPPNumberedList"/>
        <w:numPr>
          <w:ilvl w:val="0"/>
          <w:numId w:val="11"/>
        </w:numPr>
        <w:spacing w:after="0"/>
      </w:pPr>
      <w:r w:rsidRPr="00E33E4D">
        <w:rPr>
          <w:i/>
          <w:iCs/>
        </w:rPr>
        <w:t xml:space="preserve">provide </w:t>
      </w:r>
      <w:r>
        <w:t>comments, if any.</w:t>
      </w:r>
    </w:p>
    <w:p w14:paraId="7BFAEE6E" w14:textId="77777777" w:rsidR="00DE4409" w:rsidRPr="00E33E4D" w:rsidRDefault="00DE4409" w:rsidP="00A16EAB">
      <w:pPr>
        <w:pStyle w:val="IPPNumberedList"/>
        <w:numPr>
          <w:ilvl w:val="0"/>
          <w:numId w:val="0"/>
        </w:numPr>
        <w:spacing w:after="0"/>
        <w:rPr>
          <w:rStyle w:val="IPPNormalbold"/>
          <w:b w:val="0"/>
          <w:szCs w:val="24"/>
          <w:lang w:val="en-US"/>
        </w:rPr>
      </w:pPr>
    </w:p>
    <w:sectPr w:rsidR="00DE4409" w:rsidRPr="00E33E4D" w:rsidSect="00C656A7">
      <w:headerReference w:type="even" r:id="rId11"/>
      <w:headerReference w:type="default" r:id="rId12"/>
      <w:footerReference w:type="even" r:id="rId13"/>
      <w:footerReference w:type="default" r:id="rId14"/>
      <w:headerReference w:type="first" r:id="rId15"/>
      <w:footerReference w:type="first" r:id="rId16"/>
      <w:pgSz w:w="11906" w:h="16838" w:code="9"/>
      <w:pgMar w:top="900" w:right="1440" w:bottom="360" w:left="1440" w:header="850" w:footer="85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6016D" w14:textId="77777777" w:rsidR="006105FB" w:rsidRDefault="006105FB" w:rsidP="005E32D1">
      <w:r>
        <w:separator/>
      </w:r>
    </w:p>
  </w:endnote>
  <w:endnote w:type="continuationSeparator" w:id="0">
    <w:p w14:paraId="7730A325" w14:textId="77777777" w:rsidR="006105FB" w:rsidRDefault="006105FB" w:rsidP="005E32D1">
      <w:r>
        <w:continuationSeparator/>
      </w:r>
    </w:p>
  </w:endnote>
  <w:endnote w:type="continuationNotice" w:id="1">
    <w:p w14:paraId="4BFCA669" w14:textId="77777777" w:rsidR="006105FB" w:rsidRDefault="006105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D3C6" w14:textId="4A9F5210" w:rsidR="005F04FD" w:rsidRPr="0079797C" w:rsidRDefault="005F04FD" w:rsidP="00C5672A">
    <w:pPr>
      <w:pStyle w:val="IPPFooter"/>
      <w:tabs>
        <w:tab w:val="clear" w:pos="9072"/>
        <w:tab w:val="right" w:pos="9360"/>
      </w:tabs>
      <w:jc w:val="both"/>
      <w:rPr>
        <w:b w:val="0"/>
      </w:rPr>
    </w:pPr>
    <w:r w:rsidRPr="0079797C">
      <w:rPr>
        <w:rStyle w:val="PageNumber"/>
        <w:b/>
      </w:rPr>
      <w:t xml:space="preserve">Page </w:t>
    </w:r>
    <w:r w:rsidRPr="0079797C">
      <w:rPr>
        <w:rStyle w:val="PageNumber"/>
        <w:b/>
      </w:rPr>
      <w:fldChar w:fldCharType="begin"/>
    </w:r>
    <w:r w:rsidRPr="0079797C">
      <w:rPr>
        <w:rStyle w:val="PageNumber"/>
        <w:b/>
      </w:rPr>
      <w:instrText xml:space="preserve"> PAGE </w:instrText>
    </w:r>
    <w:r w:rsidRPr="0079797C">
      <w:rPr>
        <w:rStyle w:val="PageNumber"/>
        <w:b/>
      </w:rPr>
      <w:fldChar w:fldCharType="separate"/>
    </w:r>
    <w:r w:rsidR="00A54A09">
      <w:rPr>
        <w:rStyle w:val="PageNumber"/>
        <w:b/>
        <w:noProof/>
      </w:rPr>
      <w:t>4</w:t>
    </w:r>
    <w:r w:rsidRPr="0079797C">
      <w:rPr>
        <w:rStyle w:val="PageNumber"/>
        <w:b/>
      </w:rPr>
      <w:fldChar w:fldCharType="end"/>
    </w:r>
    <w:r w:rsidRPr="0079797C">
      <w:rPr>
        <w:rStyle w:val="PageNumber"/>
        <w:b/>
      </w:rPr>
      <w:t xml:space="preserve"> of </w:t>
    </w:r>
    <w:r w:rsidRPr="0079797C">
      <w:rPr>
        <w:rStyle w:val="PageNumber"/>
        <w:b/>
      </w:rPr>
      <w:fldChar w:fldCharType="begin"/>
    </w:r>
    <w:r w:rsidRPr="0079797C">
      <w:rPr>
        <w:rStyle w:val="PageNumber"/>
        <w:b/>
      </w:rPr>
      <w:instrText xml:space="preserve"> NUMPAGES </w:instrText>
    </w:r>
    <w:r w:rsidRPr="0079797C">
      <w:rPr>
        <w:rStyle w:val="PageNumber"/>
        <w:b/>
      </w:rPr>
      <w:fldChar w:fldCharType="separate"/>
    </w:r>
    <w:r w:rsidR="00A54A09">
      <w:rPr>
        <w:rStyle w:val="PageNumber"/>
        <w:b/>
        <w:noProof/>
      </w:rPr>
      <w:t>7</w:t>
    </w:r>
    <w:r w:rsidRPr="0079797C">
      <w:rPr>
        <w:rStyle w:val="PageNumber"/>
        <w:b/>
      </w:rPr>
      <w:fldChar w:fldCharType="end"/>
    </w:r>
    <w:r w:rsidRPr="0079797C">
      <w:rPr>
        <w:rStyle w:val="PageNumber"/>
        <w:b/>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C873" w14:textId="09810B2B" w:rsidR="005F04FD" w:rsidRPr="0079797C" w:rsidRDefault="005F04FD" w:rsidP="00C5672A">
    <w:pPr>
      <w:pStyle w:val="IPPFooter"/>
      <w:tabs>
        <w:tab w:val="clear" w:pos="9072"/>
        <w:tab w:val="right" w:pos="9360"/>
      </w:tabs>
      <w:jc w:val="both"/>
      <w:rPr>
        <w:b w:val="0"/>
      </w:rPr>
    </w:pPr>
    <w:r w:rsidRPr="0079797C">
      <w:rPr>
        <w:rStyle w:val="PageNumber"/>
        <w:b/>
      </w:rPr>
      <w:t>International Plant Protection Convention</w:t>
    </w:r>
    <w:r w:rsidRPr="0079797C">
      <w:rPr>
        <w:rStyle w:val="PageNumber"/>
        <w:b/>
      </w:rPr>
      <w:tab/>
      <w:t xml:space="preserve">Page </w:t>
    </w:r>
    <w:r w:rsidRPr="0079797C">
      <w:rPr>
        <w:rStyle w:val="PageNumber"/>
        <w:b/>
      </w:rPr>
      <w:fldChar w:fldCharType="begin"/>
    </w:r>
    <w:r w:rsidRPr="0079797C">
      <w:rPr>
        <w:rStyle w:val="PageNumber"/>
        <w:b/>
      </w:rPr>
      <w:instrText xml:space="preserve"> PAGE </w:instrText>
    </w:r>
    <w:r w:rsidRPr="0079797C">
      <w:rPr>
        <w:rStyle w:val="PageNumber"/>
        <w:b/>
      </w:rPr>
      <w:fldChar w:fldCharType="separate"/>
    </w:r>
    <w:r w:rsidR="00A54A09">
      <w:rPr>
        <w:rStyle w:val="PageNumber"/>
        <w:b/>
        <w:noProof/>
      </w:rPr>
      <w:t>7</w:t>
    </w:r>
    <w:r w:rsidRPr="0079797C">
      <w:rPr>
        <w:rStyle w:val="PageNumber"/>
        <w:b/>
      </w:rPr>
      <w:fldChar w:fldCharType="end"/>
    </w:r>
    <w:r w:rsidRPr="0079797C">
      <w:rPr>
        <w:rStyle w:val="PageNumber"/>
        <w:b/>
      </w:rPr>
      <w:t xml:space="preserve"> of </w:t>
    </w:r>
    <w:r w:rsidRPr="0079797C">
      <w:rPr>
        <w:rStyle w:val="PageNumber"/>
        <w:b/>
      </w:rPr>
      <w:fldChar w:fldCharType="begin"/>
    </w:r>
    <w:r w:rsidRPr="0079797C">
      <w:rPr>
        <w:rStyle w:val="PageNumber"/>
        <w:b/>
      </w:rPr>
      <w:instrText xml:space="preserve"> NUMPAGES </w:instrText>
    </w:r>
    <w:r w:rsidRPr="0079797C">
      <w:rPr>
        <w:rStyle w:val="PageNumber"/>
        <w:b/>
      </w:rPr>
      <w:fldChar w:fldCharType="separate"/>
    </w:r>
    <w:r w:rsidR="00A54A09">
      <w:rPr>
        <w:rStyle w:val="PageNumber"/>
        <w:b/>
        <w:noProof/>
      </w:rPr>
      <w:t>7</w:t>
    </w:r>
    <w:r w:rsidRPr="0079797C">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3843" w14:textId="5369A280" w:rsidR="005F04FD" w:rsidRPr="0079797C" w:rsidRDefault="005F04FD" w:rsidP="00C5672A">
    <w:pPr>
      <w:pStyle w:val="IPPFooter"/>
      <w:tabs>
        <w:tab w:val="clear" w:pos="9072"/>
        <w:tab w:val="right" w:pos="9360"/>
      </w:tabs>
      <w:jc w:val="both"/>
      <w:rPr>
        <w:b w:val="0"/>
      </w:rPr>
    </w:pPr>
    <w:r w:rsidRPr="0079797C">
      <w:rPr>
        <w:rStyle w:val="PageNumber"/>
        <w:b/>
      </w:rPr>
      <w:t>International Plant Protection Convention</w:t>
    </w:r>
    <w:r w:rsidRPr="0079797C">
      <w:rPr>
        <w:rStyle w:val="PageNumber"/>
        <w:b/>
      </w:rPr>
      <w:tab/>
      <w:t xml:space="preserve">Page </w:t>
    </w:r>
    <w:r w:rsidRPr="0079797C">
      <w:rPr>
        <w:rStyle w:val="PageNumber"/>
        <w:b/>
      </w:rPr>
      <w:fldChar w:fldCharType="begin"/>
    </w:r>
    <w:r w:rsidRPr="0079797C">
      <w:rPr>
        <w:rStyle w:val="PageNumber"/>
        <w:b/>
      </w:rPr>
      <w:instrText xml:space="preserve"> PAGE </w:instrText>
    </w:r>
    <w:r w:rsidRPr="0079797C">
      <w:rPr>
        <w:rStyle w:val="PageNumber"/>
        <w:b/>
      </w:rPr>
      <w:fldChar w:fldCharType="separate"/>
    </w:r>
    <w:r w:rsidR="008C5343">
      <w:rPr>
        <w:rStyle w:val="PageNumber"/>
        <w:b/>
        <w:noProof/>
      </w:rPr>
      <w:t>1</w:t>
    </w:r>
    <w:r w:rsidRPr="0079797C">
      <w:rPr>
        <w:rStyle w:val="PageNumber"/>
        <w:b/>
      </w:rPr>
      <w:fldChar w:fldCharType="end"/>
    </w:r>
    <w:r w:rsidRPr="0079797C">
      <w:rPr>
        <w:rStyle w:val="PageNumber"/>
        <w:b/>
      </w:rPr>
      <w:t xml:space="preserve"> of </w:t>
    </w:r>
    <w:r w:rsidRPr="0079797C">
      <w:rPr>
        <w:rStyle w:val="PageNumber"/>
        <w:b/>
      </w:rPr>
      <w:fldChar w:fldCharType="begin"/>
    </w:r>
    <w:r w:rsidRPr="0079797C">
      <w:rPr>
        <w:rStyle w:val="PageNumber"/>
        <w:b/>
      </w:rPr>
      <w:instrText xml:space="preserve"> NUMPAGES </w:instrText>
    </w:r>
    <w:r w:rsidRPr="0079797C">
      <w:rPr>
        <w:rStyle w:val="PageNumber"/>
        <w:b/>
      </w:rPr>
      <w:fldChar w:fldCharType="separate"/>
    </w:r>
    <w:r w:rsidR="008C5343">
      <w:rPr>
        <w:rStyle w:val="PageNumber"/>
        <w:b/>
        <w:noProof/>
      </w:rPr>
      <w:t>7</w:t>
    </w:r>
    <w:r w:rsidRPr="0079797C">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E47D4" w14:textId="77777777" w:rsidR="006105FB" w:rsidRDefault="006105FB" w:rsidP="005E32D1">
      <w:r>
        <w:separator/>
      </w:r>
    </w:p>
  </w:footnote>
  <w:footnote w:type="continuationSeparator" w:id="0">
    <w:p w14:paraId="18B16CE8" w14:textId="77777777" w:rsidR="006105FB" w:rsidRDefault="006105FB" w:rsidP="005E32D1">
      <w:r>
        <w:continuationSeparator/>
      </w:r>
    </w:p>
  </w:footnote>
  <w:footnote w:type="continuationNotice" w:id="1">
    <w:p w14:paraId="7B470935" w14:textId="77777777" w:rsidR="006105FB" w:rsidRDefault="006105FB"/>
  </w:footnote>
  <w:footnote w:id="2">
    <w:p w14:paraId="555E9283" w14:textId="18F599CE" w:rsidR="00E52FDF" w:rsidRDefault="00E52FDF">
      <w:pPr>
        <w:pStyle w:val="FootnoteText"/>
      </w:pPr>
      <w:r>
        <w:rPr>
          <w:rStyle w:val="FootnoteReference"/>
        </w:rPr>
        <w:footnoteRef/>
      </w:r>
      <w:r>
        <w:t xml:space="preserve"> </w:t>
      </w:r>
      <w:r w:rsidR="00713CE9" w:rsidRPr="00713CE9">
        <w:t>2023 Call for Topics Submissions</w:t>
      </w:r>
      <w:r w:rsidR="00713CE9">
        <w:t xml:space="preserve">: </w:t>
      </w:r>
      <w:hyperlink r:id="rId1" w:history="1">
        <w:r w:rsidR="00713CE9" w:rsidRPr="002B301C">
          <w:rPr>
            <w:rStyle w:val="Hyperlink"/>
          </w:rPr>
          <w:t>https://www.ippc.int/en/publications/92580/</w:t>
        </w:r>
      </w:hyperlink>
      <w:r>
        <w:t xml:space="preserve"> </w:t>
      </w:r>
    </w:p>
  </w:footnote>
  <w:footnote w:id="3">
    <w:p w14:paraId="77447216" w14:textId="6C6F64FA" w:rsidR="00FC5D51" w:rsidRDefault="00FC5D51">
      <w:pPr>
        <w:pStyle w:val="FootnoteText"/>
      </w:pPr>
      <w:r>
        <w:rPr>
          <w:rStyle w:val="FootnoteReference"/>
        </w:rPr>
        <w:footnoteRef/>
      </w:r>
      <w:r>
        <w:t xml:space="preserve"> TFT October 2023 meeting: </w:t>
      </w:r>
      <w:hyperlink r:id="rId2" w:history="1">
        <w:r w:rsidRPr="002B301C">
          <w:rPr>
            <w:rStyle w:val="Hyperlink"/>
          </w:rPr>
          <w:t>https://www.ippc.int/en/events/event/1330/</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F1B9" w14:textId="0199D2D5" w:rsidR="005F04FD" w:rsidRPr="000C219B" w:rsidRDefault="001B0C68" w:rsidP="000C219B">
    <w:pPr>
      <w:pStyle w:val="IPPHeader"/>
      <w:spacing w:after="0"/>
    </w:pPr>
    <w:r>
      <w:rPr>
        <w:rFonts w:cs="Arial"/>
        <w:szCs w:val="18"/>
      </w:rPr>
      <w:t>02_TPCS_Tel_2023_Nov</w:t>
    </w:r>
    <w:r w:rsidRPr="000C219B">
      <w:t xml:space="preserve"> </w:t>
    </w:r>
    <w:r>
      <w:tab/>
    </w:r>
    <w:r w:rsidR="000C219B" w:rsidRPr="000C219B">
      <w:t>Preliminary TFT assessment on topics on commodity standards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9C18" w14:textId="7E2DDD2D" w:rsidR="005F04FD" w:rsidRPr="000C219B" w:rsidRDefault="000C219B" w:rsidP="000C219B">
    <w:pPr>
      <w:pStyle w:val="IPPHeader"/>
      <w:spacing w:after="0"/>
    </w:pPr>
    <w:r w:rsidRPr="000C219B">
      <w:t>Preliminary TFT assessment on topics on commodity standards</w:t>
    </w:r>
    <w:r w:rsidR="00D0032F">
      <w:tab/>
    </w:r>
    <w:r w:rsidR="00D0032F">
      <w:rPr>
        <w:rFonts w:cs="Arial"/>
        <w:szCs w:val="18"/>
      </w:rPr>
      <w:t>02_TPCS_Tel_2023_Nov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24EF5" w14:textId="3CE647DD" w:rsidR="005F04FD" w:rsidRPr="00EA07BC" w:rsidRDefault="001B0FD5" w:rsidP="00C90BF0">
    <w:pPr>
      <w:pStyle w:val="IPPHeader"/>
    </w:pPr>
    <w:r>
      <w:rPr>
        <w:noProof/>
      </w:rPr>
      <w:drawing>
        <wp:anchor distT="0" distB="0" distL="114300" distR="114300" simplePos="0" relativeHeight="251658241" behindDoc="0" locked="0" layoutInCell="1" allowOverlap="0" wp14:anchorId="52FC39CD" wp14:editId="4C49699C">
          <wp:simplePos x="0" y="0"/>
          <wp:positionH relativeFrom="page">
            <wp:posOffset>-58522</wp:posOffset>
          </wp:positionH>
          <wp:positionV relativeFrom="paragraph">
            <wp:posOffset>-598272</wp:posOffset>
          </wp:positionV>
          <wp:extent cx="7620000" cy="462915"/>
          <wp:effectExtent l="0" t="0" r="0" b="0"/>
          <wp:wrapNone/>
          <wp:docPr id="1457423539" name="Picture 1457423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644642" cy="464412"/>
                  </a:xfrm>
                  <a:prstGeom prst="rect">
                    <a:avLst/>
                  </a:prstGeom>
                </pic:spPr>
              </pic:pic>
            </a:graphicData>
          </a:graphic>
          <wp14:sizeRelH relativeFrom="margin">
            <wp14:pctWidth>0</wp14:pctWidth>
          </wp14:sizeRelH>
          <wp14:sizeRelV relativeFrom="margin">
            <wp14:pctHeight>0</wp14:pctHeight>
          </wp14:sizeRelV>
        </wp:anchor>
      </w:drawing>
    </w:r>
    <w:r w:rsidR="00B25812">
      <w:rPr>
        <w:noProof/>
      </w:rPr>
      <w:drawing>
        <wp:anchor distT="0" distB="0" distL="114300" distR="114300" simplePos="0" relativeHeight="251658240" behindDoc="0" locked="0" layoutInCell="1" allowOverlap="1" wp14:anchorId="5A3D3120" wp14:editId="3A7DBD18">
          <wp:simplePos x="0" y="0"/>
          <wp:positionH relativeFrom="column">
            <wp:posOffset>-399923</wp:posOffset>
          </wp:positionH>
          <wp:positionV relativeFrom="paragraph">
            <wp:posOffset>-41910</wp:posOffset>
          </wp:positionV>
          <wp:extent cx="632460" cy="321310"/>
          <wp:effectExtent l="0" t="0" r="0" b="2540"/>
          <wp:wrapSquare wrapText="bothSides"/>
          <wp:docPr id="956889805" name="Picture 95688980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srcRect/>
                  <a:stretch>
                    <a:fillRect/>
                  </a:stretch>
                </pic:blipFill>
                <pic:spPr bwMode="auto">
                  <a:xfrm>
                    <a:off x="0" y="0"/>
                    <a:ext cx="632460" cy="321310"/>
                  </a:xfrm>
                  <a:prstGeom prst="rect">
                    <a:avLst/>
                  </a:prstGeom>
                  <a:noFill/>
                  <a:ln w="9525">
                    <a:noFill/>
                    <a:miter lim="800000"/>
                    <a:headEnd/>
                    <a:tailEnd/>
                  </a:ln>
                </pic:spPr>
              </pic:pic>
            </a:graphicData>
          </a:graphic>
        </wp:anchor>
      </w:drawing>
    </w:r>
    <w:r w:rsidR="005F04FD" w:rsidRPr="0029695F">
      <w:t>Internatio</w:t>
    </w:r>
    <w:r w:rsidR="005F04FD">
      <w:t>nal Plant Protection Convention</w:t>
    </w:r>
    <w:r w:rsidR="005F04FD">
      <w:tab/>
    </w:r>
    <w:r w:rsidR="00A16EAB">
      <w:rPr>
        <w:rFonts w:cs="Arial"/>
        <w:szCs w:val="18"/>
      </w:rPr>
      <w:t>02_TPCS</w:t>
    </w:r>
    <w:r w:rsidR="00D0032F">
      <w:rPr>
        <w:rFonts w:cs="Arial"/>
        <w:szCs w:val="18"/>
      </w:rPr>
      <w:t>_</w:t>
    </w:r>
    <w:r w:rsidR="00A16EAB">
      <w:rPr>
        <w:rFonts w:cs="Arial"/>
        <w:szCs w:val="18"/>
      </w:rPr>
      <w:t>Tel_2023_Nov</w:t>
    </w:r>
    <w:r w:rsidR="005F04FD">
      <w:br/>
    </w:r>
    <w:r w:rsidR="000C219B" w:rsidRPr="000C219B">
      <w:rPr>
        <w:i/>
        <w:iCs/>
      </w:rPr>
      <w:t>Preliminary TFT assessment on topics on commodity standards</w:t>
    </w:r>
    <w:r w:rsidR="005F04FD">
      <w:rPr>
        <w:i/>
        <w:iCs/>
      </w:rPr>
      <w:tab/>
    </w:r>
    <w:r w:rsidR="00A16EAB">
      <w:rPr>
        <w:i/>
        <w:iCs/>
      </w:rPr>
      <w:t>4.2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5403838"/>
    <w:multiLevelType w:val="hybridMultilevel"/>
    <w:tmpl w:val="DC74D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390516"/>
    <w:multiLevelType w:val="hybridMultilevel"/>
    <w:tmpl w:val="AF24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30927880">
    <w:abstractNumId w:val="5"/>
  </w:num>
  <w:num w:numId="2" w16cid:durableId="1787650389">
    <w:abstractNumId w:val="9"/>
  </w:num>
  <w:num w:numId="3" w16cid:durableId="530801796">
    <w:abstractNumId w:val="2"/>
  </w:num>
  <w:num w:numId="4" w16cid:durableId="252395867">
    <w:abstractNumId w:val="11"/>
  </w:num>
  <w:num w:numId="5" w16cid:durableId="1176726415">
    <w:abstractNumId w:val="8"/>
  </w:num>
  <w:num w:numId="6" w16cid:durableId="182328374">
    <w:abstractNumId w:val="6"/>
  </w:num>
  <w:num w:numId="7" w16cid:durableId="295988976">
    <w:abstractNumId w:val="13"/>
  </w:num>
  <w:num w:numId="8" w16cid:durableId="535318433">
    <w:abstractNumId w:val="0"/>
  </w:num>
  <w:num w:numId="9" w16cid:durableId="1260869612">
    <w:abstractNumId w:val="10"/>
  </w:num>
  <w:num w:numId="10" w16cid:durableId="2112313501">
    <w:abstractNumId w:val="1"/>
    <w:lvlOverride w:ilvl="0">
      <w:lvl w:ilvl="0">
        <w:numFmt w:val="decimal"/>
        <w:pStyle w:val="IPPParagraphnumbering"/>
        <w:lvlText w:val="[%1]"/>
        <w:lvlJc w:val="left"/>
        <w:pPr>
          <w:tabs>
            <w:tab w:val="num" w:pos="0"/>
          </w:tabs>
          <w:ind w:left="0" w:hanging="482"/>
        </w:pPr>
        <w:rPr>
          <w:rFonts w:ascii="Arial" w:hAnsi="Arial" w:hint="default"/>
          <w:b w:val="0"/>
          <w:i/>
          <w:color w:val="0000FF"/>
          <w:sz w:val="16"/>
          <w:lang w:val="en-GB"/>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1576354265">
    <w:abstractNumId w:val="0"/>
    <w:lvlOverride w:ilvl="0">
      <w:startOverride w:val="1"/>
    </w:lvlOverride>
  </w:num>
  <w:num w:numId="12" w16cid:durableId="5588565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1446265630">
    <w:abstractNumId w:val="4"/>
  </w:num>
  <w:num w:numId="14" w16cid:durableId="144662671">
    <w:abstractNumId w:val="12"/>
  </w:num>
  <w:num w:numId="15" w16cid:durableId="671225818">
    <w:abstractNumId w:val="1"/>
  </w:num>
  <w:num w:numId="16" w16cid:durableId="722171281">
    <w:abstractNumId w:val="3"/>
  </w:num>
  <w:num w:numId="17" w16cid:durableId="138564066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3965169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12225940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49742730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89138507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4938822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1935551505">
    <w:abstractNumId w:val="7"/>
  </w:num>
  <w:num w:numId="24" w16cid:durableId="140123224">
    <w:abstractNumId w:val="6"/>
  </w:num>
  <w:num w:numId="25" w16cid:durableId="86579448">
    <w:abstractNumId w:val="6"/>
  </w:num>
  <w:num w:numId="26" w16cid:durableId="1264190597">
    <w:abstractNumId w:val="6"/>
  </w:num>
  <w:num w:numId="27" w16cid:durableId="182403358">
    <w:abstractNumId w:val="6"/>
  </w:num>
  <w:num w:numId="28" w16cid:durableId="2143032524">
    <w:abstractNumId w:val="6"/>
  </w:num>
  <w:num w:numId="29" w16cid:durableId="237129427">
    <w:abstractNumId w:val="6"/>
  </w:num>
  <w:num w:numId="30" w16cid:durableId="144992729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US" w:vendorID="64" w:dllVersion="0" w:nlCheck="1" w:checkStyle="0"/>
  <w:proofState w:spelling="clean"/>
  <w:attachedTemplate r:id="rId1"/>
  <w:linkStyles/>
  <w:defaultTabStop w:val="720"/>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2D1"/>
    <w:rsid w:val="00000381"/>
    <w:rsid w:val="00003A86"/>
    <w:rsid w:val="00007CBE"/>
    <w:rsid w:val="00011786"/>
    <w:rsid w:val="000119DC"/>
    <w:rsid w:val="00012CF3"/>
    <w:rsid w:val="000153DA"/>
    <w:rsid w:val="0002054F"/>
    <w:rsid w:val="0002099E"/>
    <w:rsid w:val="00020B8D"/>
    <w:rsid w:val="000222B4"/>
    <w:rsid w:val="0002521B"/>
    <w:rsid w:val="00026966"/>
    <w:rsid w:val="00026AB9"/>
    <w:rsid w:val="000309D5"/>
    <w:rsid w:val="00030DF8"/>
    <w:rsid w:val="000325DF"/>
    <w:rsid w:val="00032E7F"/>
    <w:rsid w:val="00034D33"/>
    <w:rsid w:val="0003594A"/>
    <w:rsid w:val="000368FB"/>
    <w:rsid w:val="00036A2F"/>
    <w:rsid w:val="0003783D"/>
    <w:rsid w:val="00041A03"/>
    <w:rsid w:val="0004595F"/>
    <w:rsid w:val="00051373"/>
    <w:rsid w:val="00053052"/>
    <w:rsid w:val="0005363E"/>
    <w:rsid w:val="00054D0A"/>
    <w:rsid w:val="000570E4"/>
    <w:rsid w:val="0006458F"/>
    <w:rsid w:val="00067F32"/>
    <w:rsid w:val="00071127"/>
    <w:rsid w:val="00076A1F"/>
    <w:rsid w:val="0008394B"/>
    <w:rsid w:val="00083F46"/>
    <w:rsid w:val="00091270"/>
    <w:rsid w:val="000925DE"/>
    <w:rsid w:val="00093E8F"/>
    <w:rsid w:val="00095ABE"/>
    <w:rsid w:val="00095C8F"/>
    <w:rsid w:val="00096410"/>
    <w:rsid w:val="000969B2"/>
    <w:rsid w:val="00096BFC"/>
    <w:rsid w:val="00097851"/>
    <w:rsid w:val="000A137F"/>
    <w:rsid w:val="000A5650"/>
    <w:rsid w:val="000A6167"/>
    <w:rsid w:val="000B0E80"/>
    <w:rsid w:val="000B1DDD"/>
    <w:rsid w:val="000B493E"/>
    <w:rsid w:val="000C0B57"/>
    <w:rsid w:val="000C11D8"/>
    <w:rsid w:val="000C125B"/>
    <w:rsid w:val="000C219B"/>
    <w:rsid w:val="000C2DBF"/>
    <w:rsid w:val="000C5441"/>
    <w:rsid w:val="000C6689"/>
    <w:rsid w:val="000C7CF6"/>
    <w:rsid w:val="000D3242"/>
    <w:rsid w:val="000D42EE"/>
    <w:rsid w:val="000D6AB6"/>
    <w:rsid w:val="000E02E9"/>
    <w:rsid w:val="000E07A4"/>
    <w:rsid w:val="000E626E"/>
    <w:rsid w:val="000E6F54"/>
    <w:rsid w:val="000E79A9"/>
    <w:rsid w:val="000F40D1"/>
    <w:rsid w:val="000F45EA"/>
    <w:rsid w:val="000F64EE"/>
    <w:rsid w:val="000F7EE4"/>
    <w:rsid w:val="001000BD"/>
    <w:rsid w:val="00100D46"/>
    <w:rsid w:val="00103EAC"/>
    <w:rsid w:val="00104B6C"/>
    <w:rsid w:val="001052ED"/>
    <w:rsid w:val="00105458"/>
    <w:rsid w:val="00105699"/>
    <w:rsid w:val="00110F0E"/>
    <w:rsid w:val="00116758"/>
    <w:rsid w:val="001208DC"/>
    <w:rsid w:val="001216EF"/>
    <w:rsid w:val="001255BE"/>
    <w:rsid w:val="00127EB6"/>
    <w:rsid w:val="00130356"/>
    <w:rsid w:val="00132AD2"/>
    <w:rsid w:val="00133508"/>
    <w:rsid w:val="00133DA1"/>
    <w:rsid w:val="00141134"/>
    <w:rsid w:val="00141846"/>
    <w:rsid w:val="001425C7"/>
    <w:rsid w:val="001428DC"/>
    <w:rsid w:val="001434A8"/>
    <w:rsid w:val="00145856"/>
    <w:rsid w:val="00145E44"/>
    <w:rsid w:val="001479EF"/>
    <w:rsid w:val="001501C6"/>
    <w:rsid w:val="00153024"/>
    <w:rsid w:val="00156BB2"/>
    <w:rsid w:val="00160264"/>
    <w:rsid w:val="00162799"/>
    <w:rsid w:val="00165610"/>
    <w:rsid w:val="00165CE7"/>
    <w:rsid w:val="00166E5D"/>
    <w:rsid w:val="00167832"/>
    <w:rsid w:val="0017125A"/>
    <w:rsid w:val="0017139A"/>
    <w:rsid w:val="00172C6B"/>
    <w:rsid w:val="001731F6"/>
    <w:rsid w:val="0017401D"/>
    <w:rsid w:val="001770A6"/>
    <w:rsid w:val="00177E3C"/>
    <w:rsid w:val="00180270"/>
    <w:rsid w:val="001805E5"/>
    <w:rsid w:val="00180BB6"/>
    <w:rsid w:val="001842CE"/>
    <w:rsid w:val="00185918"/>
    <w:rsid w:val="00192F53"/>
    <w:rsid w:val="00193488"/>
    <w:rsid w:val="00195820"/>
    <w:rsid w:val="00196868"/>
    <w:rsid w:val="001A0684"/>
    <w:rsid w:val="001A325C"/>
    <w:rsid w:val="001A4968"/>
    <w:rsid w:val="001A63E1"/>
    <w:rsid w:val="001B06D1"/>
    <w:rsid w:val="001B0BC4"/>
    <w:rsid w:val="001B0C68"/>
    <w:rsid w:val="001B0FD5"/>
    <w:rsid w:val="001B10BD"/>
    <w:rsid w:val="001B135D"/>
    <w:rsid w:val="001B4B63"/>
    <w:rsid w:val="001B6372"/>
    <w:rsid w:val="001B7AEF"/>
    <w:rsid w:val="001C0885"/>
    <w:rsid w:val="001C1F55"/>
    <w:rsid w:val="001C3087"/>
    <w:rsid w:val="001C3652"/>
    <w:rsid w:val="001C61FB"/>
    <w:rsid w:val="001C62F0"/>
    <w:rsid w:val="001C6DC7"/>
    <w:rsid w:val="001C7BD7"/>
    <w:rsid w:val="001D0ACB"/>
    <w:rsid w:val="001D3BF9"/>
    <w:rsid w:val="001D4E6B"/>
    <w:rsid w:val="001D74EF"/>
    <w:rsid w:val="001D76B4"/>
    <w:rsid w:val="001E133D"/>
    <w:rsid w:val="001E19A5"/>
    <w:rsid w:val="001F0AFE"/>
    <w:rsid w:val="001F1F90"/>
    <w:rsid w:val="001F28B3"/>
    <w:rsid w:val="001F54DA"/>
    <w:rsid w:val="001F7CFC"/>
    <w:rsid w:val="00200C67"/>
    <w:rsid w:val="002028E2"/>
    <w:rsid w:val="00202D0D"/>
    <w:rsid w:val="00211666"/>
    <w:rsid w:val="00211A80"/>
    <w:rsid w:val="0021648F"/>
    <w:rsid w:val="00220F98"/>
    <w:rsid w:val="002261DF"/>
    <w:rsid w:val="00227F8D"/>
    <w:rsid w:val="00230AEE"/>
    <w:rsid w:val="002314A3"/>
    <w:rsid w:val="002325C1"/>
    <w:rsid w:val="00232708"/>
    <w:rsid w:val="00233F8D"/>
    <w:rsid w:val="0023615E"/>
    <w:rsid w:val="00236451"/>
    <w:rsid w:val="00237775"/>
    <w:rsid w:val="00237BFD"/>
    <w:rsid w:val="00246224"/>
    <w:rsid w:val="0024762C"/>
    <w:rsid w:val="00247799"/>
    <w:rsid w:val="0025033D"/>
    <w:rsid w:val="00251729"/>
    <w:rsid w:val="00253383"/>
    <w:rsid w:val="00255388"/>
    <w:rsid w:val="0025635E"/>
    <w:rsid w:val="00266AFE"/>
    <w:rsid w:val="00267488"/>
    <w:rsid w:val="002717BF"/>
    <w:rsid w:val="00271813"/>
    <w:rsid w:val="0027226C"/>
    <w:rsid w:val="002732B0"/>
    <w:rsid w:val="00273438"/>
    <w:rsid w:val="00275DAD"/>
    <w:rsid w:val="00280812"/>
    <w:rsid w:val="002809B0"/>
    <w:rsid w:val="002816B2"/>
    <w:rsid w:val="00282143"/>
    <w:rsid w:val="002876D0"/>
    <w:rsid w:val="002906F9"/>
    <w:rsid w:val="00293A26"/>
    <w:rsid w:val="00293C43"/>
    <w:rsid w:val="00295B8C"/>
    <w:rsid w:val="002971BE"/>
    <w:rsid w:val="00297D08"/>
    <w:rsid w:val="002A22A2"/>
    <w:rsid w:val="002A5481"/>
    <w:rsid w:val="002A5E47"/>
    <w:rsid w:val="002A6251"/>
    <w:rsid w:val="002A7081"/>
    <w:rsid w:val="002B0D67"/>
    <w:rsid w:val="002B4E1A"/>
    <w:rsid w:val="002B7FD7"/>
    <w:rsid w:val="002C012D"/>
    <w:rsid w:val="002C025B"/>
    <w:rsid w:val="002C386E"/>
    <w:rsid w:val="002C7276"/>
    <w:rsid w:val="002C77EF"/>
    <w:rsid w:val="002C7B91"/>
    <w:rsid w:val="002C7F60"/>
    <w:rsid w:val="002D1410"/>
    <w:rsid w:val="002D1CB3"/>
    <w:rsid w:val="002D42FA"/>
    <w:rsid w:val="002D6F57"/>
    <w:rsid w:val="002D74F7"/>
    <w:rsid w:val="002E12DF"/>
    <w:rsid w:val="002E38B1"/>
    <w:rsid w:val="002E3FAD"/>
    <w:rsid w:val="002E45E4"/>
    <w:rsid w:val="002E6B72"/>
    <w:rsid w:val="002E75B5"/>
    <w:rsid w:val="002F03A7"/>
    <w:rsid w:val="002F1354"/>
    <w:rsid w:val="002F392B"/>
    <w:rsid w:val="002F67AB"/>
    <w:rsid w:val="003003BD"/>
    <w:rsid w:val="0030096A"/>
    <w:rsid w:val="0030168D"/>
    <w:rsid w:val="00303985"/>
    <w:rsid w:val="003049BD"/>
    <w:rsid w:val="00305043"/>
    <w:rsid w:val="0030795E"/>
    <w:rsid w:val="00311BA7"/>
    <w:rsid w:val="00326037"/>
    <w:rsid w:val="00327897"/>
    <w:rsid w:val="0033005C"/>
    <w:rsid w:val="00331A82"/>
    <w:rsid w:val="00333D37"/>
    <w:rsid w:val="00334FCC"/>
    <w:rsid w:val="00337B62"/>
    <w:rsid w:val="00340E81"/>
    <w:rsid w:val="00344185"/>
    <w:rsid w:val="0035505F"/>
    <w:rsid w:val="0035608D"/>
    <w:rsid w:val="00360243"/>
    <w:rsid w:val="00360727"/>
    <w:rsid w:val="00360A7F"/>
    <w:rsid w:val="00360C65"/>
    <w:rsid w:val="00363531"/>
    <w:rsid w:val="00366698"/>
    <w:rsid w:val="00367E65"/>
    <w:rsid w:val="00370F6B"/>
    <w:rsid w:val="00372776"/>
    <w:rsid w:val="00375AE6"/>
    <w:rsid w:val="00380613"/>
    <w:rsid w:val="003806A2"/>
    <w:rsid w:val="00381460"/>
    <w:rsid w:val="00381F4B"/>
    <w:rsid w:val="0038281B"/>
    <w:rsid w:val="00386211"/>
    <w:rsid w:val="003875CC"/>
    <w:rsid w:val="00387B7F"/>
    <w:rsid w:val="00390B85"/>
    <w:rsid w:val="00390F59"/>
    <w:rsid w:val="00392566"/>
    <w:rsid w:val="00396278"/>
    <w:rsid w:val="00396780"/>
    <w:rsid w:val="003A3CC1"/>
    <w:rsid w:val="003A4038"/>
    <w:rsid w:val="003A7A8C"/>
    <w:rsid w:val="003B1096"/>
    <w:rsid w:val="003B2E0E"/>
    <w:rsid w:val="003B2F95"/>
    <w:rsid w:val="003B320A"/>
    <w:rsid w:val="003B640B"/>
    <w:rsid w:val="003C0690"/>
    <w:rsid w:val="003C26EC"/>
    <w:rsid w:val="003C439F"/>
    <w:rsid w:val="003C4983"/>
    <w:rsid w:val="003C67FE"/>
    <w:rsid w:val="003D1C96"/>
    <w:rsid w:val="003D2B80"/>
    <w:rsid w:val="003D30CD"/>
    <w:rsid w:val="003D390B"/>
    <w:rsid w:val="003D4C78"/>
    <w:rsid w:val="003E1E54"/>
    <w:rsid w:val="003E1EC7"/>
    <w:rsid w:val="003E3E40"/>
    <w:rsid w:val="003E6F5F"/>
    <w:rsid w:val="003F302E"/>
    <w:rsid w:val="003F35B1"/>
    <w:rsid w:val="003F586B"/>
    <w:rsid w:val="003F691B"/>
    <w:rsid w:val="003F7B4E"/>
    <w:rsid w:val="004015A6"/>
    <w:rsid w:val="00403881"/>
    <w:rsid w:val="00403AF3"/>
    <w:rsid w:val="0040605F"/>
    <w:rsid w:val="00410352"/>
    <w:rsid w:val="00410B52"/>
    <w:rsid w:val="00410C65"/>
    <w:rsid w:val="00410C83"/>
    <w:rsid w:val="004124A0"/>
    <w:rsid w:val="00414FAC"/>
    <w:rsid w:val="00415254"/>
    <w:rsid w:val="00417994"/>
    <w:rsid w:val="0042108D"/>
    <w:rsid w:val="00421608"/>
    <w:rsid w:val="0042216F"/>
    <w:rsid w:val="00424724"/>
    <w:rsid w:val="00426520"/>
    <w:rsid w:val="00430D05"/>
    <w:rsid w:val="004313C2"/>
    <w:rsid w:val="00435D3D"/>
    <w:rsid w:val="00435E1A"/>
    <w:rsid w:val="00440AF5"/>
    <w:rsid w:val="00441744"/>
    <w:rsid w:val="00443F7B"/>
    <w:rsid w:val="004441A0"/>
    <w:rsid w:val="004444BC"/>
    <w:rsid w:val="00445450"/>
    <w:rsid w:val="00446495"/>
    <w:rsid w:val="0045029F"/>
    <w:rsid w:val="00451C5B"/>
    <w:rsid w:val="00451C89"/>
    <w:rsid w:val="00456EA8"/>
    <w:rsid w:val="00457375"/>
    <w:rsid w:val="004577F9"/>
    <w:rsid w:val="00460811"/>
    <w:rsid w:val="004622CE"/>
    <w:rsid w:val="004624D0"/>
    <w:rsid w:val="00464FB2"/>
    <w:rsid w:val="0047247B"/>
    <w:rsid w:val="00472631"/>
    <w:rsid w:val="00472AEF"/>
    <w:rsid w:val="004734A7"/>
    <w:rsid w:val="004763CC"/>
    <w:rsid w:val="0048085A"/>
    <w:rsid w:val="00481F41"/>
    <w:rsid w:val="00481F5A"/>
    <w:rsid w:val="00483876"/>
    <w:rsid w:val="00485F48"/>
    <w:rsid w:val="004903AB"/>
    <w:rsid w:val="00491816"/>
    <w:rsid w:val="0049486A"/>
    <w:rsid w:val="00495ECD"/>
    <w:rsid w:val="0049637D"/>
    <w:rsid w:val="00496959"/>
    <w:rsid w:val="004A0DD1"/>
    <w:rsid w:val="004A340D"/>
    <w:rsid w:val="004B1F9C"/>
    <w:rsid w:val="004C5CB9"/>
    <w:rsid w:val="004D1931"/>
    <w:rsid w:val="004D5E9B"/>
    <w:rsid w:val="004E1DF1"/>
    <w:rsid w:val="004E4693"/>
    <w:rsid w:val="004E5BAA"/>
    <w:rsid w:val="004E623E"/>
    <w:rsid w:val="004F0502"/>
    <w:rsid w:val="00501035"/>
    <w:rsid w:val="0050740D"/>
    <w:rsid w:val="00511524"/>
    <w:rsid w:val="0051421C"/>
    <w:rsid w:val="00514A6D"/>
    <w:rsid w:val="00516D77"/>
    <w:rsid w:val="00517F02"/>
    <w:rsid w:val="00525BA7"/>
    <w:rsid w:val="00527F2D"/>
    <w:rsid w:val="00530E17"/>
    <w:rsid w:val="005319B3"/>
    <w:rsid w:val="0053275E"/>
    <w:rsid w:val="005340FA"/>
    <w:rsid w:val="00535DAE"/>
    <w:rsid w:val="00536B23"/>
    <w:rsid w:val="00536B8C"/>
    <w:rsid w:val="00541277"/>
    <w:rsid w:val="00544836"/>
    <w:rsid w:val="00545BB3"/>
    <w:rsid w:val="00546A6B"/>
    <w:rsid w:val="0054736F"/>
    <w:rsid w:val="00547BD6"/>
    <w:rsid w:val="005513C4"/>
    <w:rsid w:val="0055201E"/>
    <w:rsid w:val="0055284E"/>
    <w:rsid w:val="00553EBF"/>
    <w:rsid w:val="00555895"/>
    <w:rsid w:val="00557CF5"/>
    <w:rsid w:val="00562116"/>
    <w:rsid w:val="005631AA"/>
    <w:rsid w:val="00563A0B"/>
    <w:rsid w:val="00564D6C"/>
    <w:rsid w:val="0057033E"/>
    <w:rsid w:val="00571671"/>
    <w:rsid w:val="00571E91"/>
    <w:rsid w:val="005765D9"/>
    <w:rsid w:val="005815F4"/>
    <w:rsid w:val="00582355"/>
    <w:rsid w:val="00582DB8"/>
    <w:rsid w:val="005856EB"/>
    <w:rsid w:val="0058574E"/>
    <w:rsid w:val="005857BA"/>
    <w:rsid w:val="00586169"/>
    <w:rsid w:val="0059293C"/>
    <w:rsid w:val="00594C0B"/>
    <w:rsid w:val="00595B4B"/>
    <w:rsid w:val="00596426"/>
    <w:rsid w:val="005A1300"/>
    <w:rsid w:val="005A18DA"/>
    <w:rsid w:val="005A1DFC"/>
    <w:rsid w:val="005A7742"/>
    <w:rsid w:val="005B03CE"/>
    <w:rsid w:val="005B0B05"/>
    <w:rsid w:val="005B165B"/>
    <w:rsid w:val="005B45D4"/>
    <w:rsid w:val="005B59E9"/>
    <w:rsid w:val="005B6AB0"/>
    <w:rsid w:val="005C03BD"/>
    <w:rsid w:val="005C3592"/>
    <w:rsid w:val="005C57BC"/>
    <w:rsid w:val="005C627F"/>
    <w:rsid w:val="005C78FC"/>
    <w:rsid w:val="005D441A"/>
    <w:rsid w:val="005D6F35"/>
    <w:rsid w:val="005D71FF"/>
    <w:rsid w:val="005E0E9A"/>
    <w:rsid w:val="005E2513"/>
    <w:rsid w:val="005E2C00"/>
    <w:rsid w:val="005E32D1"/>
    <w:rsid w:val="005E6E6A"/>
    <w:rsid w:val="005F04FD"/>
    <w:rsid w:val="005F0601"/>
    <w:rsid w:val="005F10AD"/>
    <w:rsid w:val="005F170D"/>
    <w:rsid w:val="005F46AA"/>
    <w:rsid w:val="005F5322"/>
    <w:rsid w:val="005F58F9"/>
    <w:rsid w:val="005F654C"/>
    <w:rsid w:val="005F74F4"/>
    <w:rsid w:val="0060502C"/>
    <w:rsid w:val="0060647B"/>
    <w:rsid w:val="00606A7F"/>
    <w:rsid w:val="00607358"/>
    <w:rsid w:val="006105FB"/>
    <w:rsid w:val="00610793"/>
    <w:rsid w:val="006124DA"/>
    <w:rsid w:val="0061260F"/>
    <w:rsid w:val="00613116"/>
    <w:rsid w:val="0061552C"/>
    <w:rsid w:val="00615CDC"/>
    <w:rsid w:val="00615D40"/>
    <w:rsid w:val="006162EF"/>
    <w:rsid w:val="00617C31"/>
    <w:rsid w:val="00621CAF"/>
    <w:rsid w:val="00622C09"/>
    <w:rsid w:val="0062321B"/>
    <w:rsid w:val="00624444"/>
    <w:rsid w:val="00626ECB"/>
    <w:rsid w:val="006303C7"/>
    <w:rsid w:val="00631D87"/>
    <w:rsid w:val="006341BF"/>
    <w:rsid w:val="00641A7B"/>
    <w:rsid w:val="00647A86"/>
    <w:rsid w:val="0065012E"/>
    <w:rsid w:val="00650C56"/>
    <w:rsid w:val="00651A0D"/>
    <w:rsid w:val="00662612"/>
    <w:rsid w:val="0066372D"/>
    <w:rsid w:val="00664199"/>
    <w:rsid w:val="00664B3B"/>
    <w:rsid w:val="00665FEE"/>
    <w:rsid w:val="00667AC2"/>
    <w:rsid w:val="006754D3"/>
    <w:rsid w:val="00681761"/>
    <w:rsid w:val="00682CFD"/>
    <w:rsid w:val="0068331A"/>
    <w:rsid w:val="00685B88"/>
    <w:rsid w:val="00686F87"/>
    <w:rsid w:val="00687075"/>
    <w:rsid w:val="0069087E"/>
    <w:rsid w:val="00692891"/>
    <w:rsid w:val="006A003A"/>
    <w:rsid w:val="006A0D55"/>
    <w:rsid w:val="006A10B6"/>
    <w:rsid w:val="006A18BB"/>
    <w:rsid w:val="006A295B"/>
    <w:rsid w:val="006A3F60"/>
    <w:rsid w:val="006A5326"/>
    <w:rsid w:val="006A7B2F"/>
    <w:rsid w:val="006B1A4D"/>
    <w:rsid w:val="006B3E03"/>
    <w:rsid w:val="006B46D7"/>
    <w:rsid w:val="006B6C0A"/>
    <w:rsid w:val="006B7D65"/>
    <w:rsid w:val="006C01F4"/>
    <w:rsid w:val="006C2188"/>
    <w:rsid w:val="006C358E"/>
    <w:rsid w:val="006C6D07"/>
    <w:rsid w:val="006D05AA"/>
    <w:rsid w:val="006D0B23"/>
    <w:rsid w:val="006D24EC"/>
    <w:rsid w:val="006D2A13"/>
    <w:rsid w:val="006D2CFA"/>
    <w:rsid w:val="006D3B9F"/>
    <w:rsid w:val="006D4013"/>
    <w:rsid w:val="006D4C47"/>
    <w:rsid w:val="006D6184"/>
    <w:rsid w:val="006E2EC4"/>
    <w:rsid w:val="006E377A"/>
    <w:rsid w:val="006E5317"/>
    <w:rsid w:val="006E63D9"/>
    <w:rsid w:val="006E7BED"/>
    <w:rsid w:val="006F1E49"/>
    <w:rsid w:val="006F632B"/>
    <w:rsid w:val="00701033"/>
    <w:rsid w:val="0070211C"/>
    <w:rsid w:val="00705A09"/>
    <w:rsid w:val="00711219"/>
    <w:rsid w:val="00712243"/>
    <w:rsid w:val="00713CE9"/>
    <w:rsid w:val="007141E0"/>
    <w:rsid w:val="007161E0"/>
    <w:rsid w:val="007164E7"/>
    <w:rsid w:val="00717442"/>
    <w:rsid w:val="00717D37"/>
    <w:rsid w:val="00720512"/>
    <w:rsid w:val="00722633"/>
    <w:rsid w:val="007226A6"/>
    <w:rsid w:val="00723348"/>
    <w:rsid w:val="00723FC2"/>
    <w:rsid w:val="007253F8"/>
    <w:rsid w:val="00725999"/>
    <w:rsid w:val="0072678D"/>
    <w:rsid w:val="0072715E"/>
    <w:rsid w:val="00730F7A"/>
    <w:rsid w:val="007315AF"/>
    <w:rsid w:val="00731EE4"/>
    <w:rsid w:val="00731FE4"/>
    <w:rsid w:val="007321A8"/>
    <w:rsid w:val="00733B7E"/>
    <w:rsid w:val="00734A86"/>
    <w:rsid w:val="00735222"/>
    <w:rsid w:val="00736576"/>
    <w:rsid w:val="0073784B"/>
    <w:rsid w:val="007401CA"/>
    <w:rsid w:val="00740516"/>
    <w:rsid w:val="00740CB8"/>
    <w:rsid w:val="0074386B"/>
    <w:rsid w:val="00746CD0"/>
    <w:rsid w:val="0074748D"/>
    <w:rsid w:val="00754AA4"/>
    <w:rsid w:val="00756660"/>
    <w:rsid w:val="00762211"/>
    <w:rsid w:val="0076274F"/>
    <w:rsid w:val="00765575"/>
    <w:rsid w:val="00766CFB"/>
    <w:rsid w:val="00767708"/>
    <w:rsid w:val="0077118F"/>
    <w:rsid w:val="00776A99"/>
    <w:rsid w:val="00777AAC"/>
    <w:rsid w:val="00777DF1"/>
    <w:rsid w:val="00781447"/>
    <w:rsid w:val="00781B44"/>
    <w:rsid w:val="007831D0"/>
    <w:rsid w:val="00783559"/>
    <w:rsid w:val="007873F8"/>
    <w:rsid w:val="00787E8F"/>
    <w:rsid w:val="007906E1"/>
    <w:rsid w:val="00790769"/>
    <w:rsid w:val="007923E9"/>
    <w:rsid w:val="00794CE6"/>
    <w:rsid w:val="0079678E"/>
    <w:rsid w:val="00796C19"/>
    <w:rsid w:val="0079797C"/>
    <w:rsid w:val="007A4113"/>
    <w:rsid w:val="007A4E5B"/>
    <w:rsid w:val="007A4ECE"/>
    <w:rsid w:val="007B0043"/>
    <w:rsid w:val="007B129E"/>
    <w:rsid w:val="007B17B8"/>
    <w:rsid w:val="007B38DC"/>
    <w:rsid w:val="007C30BC"/>
    <w:rsid w:val="007C3DA0"/>
    <w:rsid w:val="007C4DA3"/>
    <w:rsid w:val="007C7F21"/>
    <w:rsid w:val="007D5E12"/>
    <w:rsid w:val="007D6669"/>
    <w:rsid w:val="007D68F9"/>
    <w:rsid w:val="007D6D36"/>
    <w:rsid w:val="007D7EB0"/>
    <w:rsid w:val="007E41AA"/>
    <w:rsid w:val="007E484E"/>
    <w:rsid w:val="007E5EF4"/>
    <w:rsid w:val="007F37FC"/>
    <w:rsid w:val="007F5D7E"/>
    <w:rsid w:val="008011CA"/>
    <w:rsid w:val="00804746"/>
    <w:rsid w:val="00804C88"/>
    <w:rsid w:val="00804FBF"/>
    <w:rsid w:val="00805455"/>
    <w:rsid w:val="0081371C"/>
    <w:rsid w:val="0081439F"/>
    <w:rsid w:val="008162A4"/>
    <w:rsid w:val="0082059D"/>
    <w:rsid w:val="0082193D"/>
    <w:rsid w:val="008253ED"/>
    <w:rsid w:val="00827FC7"/>
    <w:rsid w:val="00830FF0"/>
    <w:rsid w:val="008337D3"/>
    <w:rsid w:val="0083409D"/>
    <w:rsid w:val="00835EEA"/>
    <w:rsid w:val="008403BE"/>
    <w:rsid w:val="008432A2"/>
    <w:rsid w:val="008513AD"/>
    <w:rsid w:val="00852F7C"/>
    <w:rsid w:val="008532C0"/>
    <w:rsid w:val="0085417F"/>
    <w:rsid w:val="008605F4"/>
    <w:rsid w:val="00863050"/>
    <w:rsid w:val="008633F5"/>
    <w:rsid w:val="00863818"/>
    <w:rsid w:val="0086443B"/>
    <w:rsid w:val="00865BD4"/>
    <w:rsid w:val="008700AA"/>
    <w:rsid w:val="00870504"/>
    <w:rsid w:val="00872EAC"/>
    <w:rsid w:val="0088255D"/>
    <w:rsid w:val="00882598"/>
    <w:rsid w:val="00887A9B"/>
    <w:rsid w:val="008904ED"/>
    <w:rsid w:val="0089169C"/>
    <w:rsid w:val="008919D1"/>
    <w:rsid w:val="00891A0E"/>
    <w:rsid w:val="00894CF8"/>
    <w:rsid w:val="00895089"/>
    <w:rsid w:val="008A1A6B"/>
    <w:rsid w:val="008A206E"/>
    <w:rsid w:val="008B08CC"/>
    <w:rsid w:val="008B13A0"/>
    <w:rsid w:val="008B1A3C"/>
    <w:rsid w:val="008B49F3"/>
    <w:rsid w:val="008B5146"/>
    <w:rsid w:val="008B5415"/>
    <w:rsid w:val="008C004C"/>
    <w:rsid w:val="008C061A"/>
    <w:rsid w:val="008C0D27"/>
    <w:rsid w:val="008C2280"/>
    <w:rsid w:val="008C4122"/>
    <w:rsid w:val="008C46D5"/>
    <w:rsid w:val="008C5343"/>
    <w:rsid w:val="008C6C2B"/>
    <w:rsid w:val="008D0B0C"/>
    <w:rsid w:val="008D2916"/>
    <w:rsid w:val="008D526F"/>
    <w:rsid w:val="008E3DB2"/>
    <w:rsid w:val="008E46B0"/>
    <w:rsid w:val="008E684A"/>
    <w:rsid w:val="008E6A82"/>
    <w:rsid w:val="008E7CEF"/>
    <w:rsid w:val="008F0000"/>
    <w:rsid w:val="008F10A2"/>
    <w:rsid w:val="008F45FF"/>
    <w:rsid w:val="008F68D2"/>
    <w:rsid w:val="008F6A57"/>
    <w:rsid w:val="008F6BDA"/>
    <w:rsid w:val="009000D8"/>
    <w:rsid w:val="009001AA"/>
    <w:rsid w:val="00902CCC"/>
    <w:rsid w:val="009107BA"/>
    <w:rsid w:val="00910D20"/>
    <w:rsid w:val="00912030"/>
    <w:rsid w:val="00912612"/>
    <w:rsid w:val="00912EA6"/>
    <w:rsid w:val="009135FE"/>
    <w:rsid w:val="009149CF"/>
    <w:rsid w:val="009152A0"/>
    <w:rsid w:val="009168AF"/>
    <w:rsid w:val="00916CF2"/>
    <w:rsid w:val="009201E5"/>
    <w:rsid w:val="00920A69"/>
    <w:rsid w:val="00922E6C"/>
    <w:rsid w:val="009248C2"/>
    <w:rsid w:val="00925880"/>
    <w:rsid w:val="009266CE"/>
    <w:rsid w:val="009276D3"/>
    <w:rsid w:val="0093111C"/>
    <w:rsid w:val="009316EC"/>
    <w:rsid w:val="0093269F"/>
    <w:rsid w:val="00934C39"/>
    <w:rsid w:val="00940573"/>
    <w:rsid w:val="00941060"/>
    <w:rsid w:val="00941142"/>
    <w:rsid w:val="0094250A"/>
    <w:rsid w:val="0094444A"/>
    <w:rsid w:val="0094552E"/>
    <w:rsid w:val="00945B75"/>
    <w:rsid w:val="009506FB"/>
    <w:rsid w:val="00956E03"/>
    <w:rsid w:val="0095759B"/>
    <w:rsid w:val="009648B3"/>
    <w:rsid w:val="00965242"/>
    <w:rsid w:val="00966A01"/>
    <w:rsid w:val="00966F7E"/>
    <w:rsid w:val="00970191"/>
    <w:rsid w:val="00970CE1"/>
    <w:rsid w:val="009719B2"/>
    <w:rsid w:val="00972404"/>
    <w:rsid w:val="00972C6E"/>
    <w:rsid w:val="00973322"/>
    <w:rsid w:val="009759FA"/>
    <w:rsid w:val="0098362D"/>
    <w:rsid w:val="00983D8C"/>
    <w:rsid w:val="00987971"/>
    <w:rsid w:val="00987AF0"/>
    <w:rsid w:val="009903D8"/>
    <w:rsid w:val="00990B0D"/>
    <w:rsid w:val="00990D3D"/>
    <w:rsid w:val="00991A6E"/>
    <w:rsid w:val="009935AE"/>
    <w:rsid w:val="009943FC"/>
    <w:rsid w:val="00994471"/>
    <w:rsid w:val="009967FC"/>
    <w:rsid w:val="00996CA8"/>
    <w:rsid w:val="009A0073"/>
    <w:rsid w:val="009A0DA3"/>
    <w:rsid w:val="009A10EE"/>
    <w:rsid w:val="009A2CF1"/>
    <w:rsid w:val="009A31A8"/>
    <w:rsid w:val="009A4DE5"/>
    <w:rsid w:val="009A7F88"/>
    <w:rsid w:val="009B3FF4"/>
    <w:rsid w:val="009C37B3"/>
    <w:rsid w:val="009C66A0"/>
    <w:rsid w:val="009C7B52"/>
    <w:rsid w:val="009C7CFA"/>
    <w:rsid w:val="009D17F5"/>
    <w:rsid w:val="009D26B1"/>
    <w:rsid w:val="009D510E"/>
    <w:rsid w:val="009D72CD"/>
    <w:rsid w:val="009E1688"/>
    <w:rsid w:val="009E2642"/>
    <w:rsid w:val="009E4F16"/>
    <w:rsid w:val="009E50AB"/>
    <w:rsid w:val="009E566E"/>
    <w:rsid w:val="009E70DB"/>
    <w:rsid w:val="009F03FA"/>
    <w:rsid w:val="009F2B2D"/>
    <w:rsid w:val="009F5089"/>
    <w:rsid w:val="009F6848"/>
    <w:rsid w:val="009F6B09"/>
    <w:rsid w:val="009F796C"/>
    <w:rsid w:val="00A0090B"/>
    <w:rsid w:val="00A00F34"/>
    <w:rsid w:val="00A015AD"/>
    <w:rsid w:val="00A03451"/>
    <w:rsid w:val="00A04456"/>
    <w:rsid w:val="00A0723C"/>
    <w:rsid w:val="00A1037F"/>
    <w:rsid w:val="00A10A5F"/>
    <w:rsid w:val="00A11C5A"/>
    <w:rsid w:val="00A12C42"/>
    <w:rsid w:val="00A155F9"/>
    <w:rsid w:val="00A16EAB"/>
    <w:rsid w:val="00A201BD"/>
    <w:rsid w:val="00A211D9"/>
    <w:rsid w:val="00A21A5B"/>
    <w:rsid w:val="00A230E1"/>
    <w:rsid w:val="00A2548E"/>
    <w:rsid w:val="00A25499"/>
    <w:rsid w:val="00A26491"/>
    <w:rsid w:val="00A272E8"/>
    <w:rsid w:val="00A3314B"/>
    <w:rsid w:val="00A34941"/>
    <w:rsid w:val="00A35B75"/>
    <w:rsid w:val="00A35D97"/>
    <w:rsid w:val="00A36DCE"/>
    <w:rsid w:val="00A44CA8"/>
    <w:rsid w:val="00A47169"/>
    <w:rsid w:val="00A478AE"/>
    <w:rsid w:val="00A479E1"/>
    <w:rsid w:val="00A503B0"/>
    <w:rsid w:val="00A5083B"/>
    <w:rsid w:val="00A519B3"/>
    <w:rsid w:val="00A523F3"/>
    <w:rsid w:val="00A54A09"/>
    <w:rsid w:val="00A54FF4"/>
    <w:rsid w:val="00A55602"/>
    <w:rsid w:val="00A5571E"/>
    <w:rsid w:val="00A55C28"/>
    <w:rsid w:val="00A57374"/>
    <w:rsid w:val="00A57E5C"/>
    <w:rsid w:val="00A618D8"/>
    <w:rsid w:val="00A62752"/>
    <w:rsid w:val="00A62821"/>
    <w:rsid w:val="00A629A4"/>
    <w:rsid w:val="00A6532E"/>
    <w:rsid w:val="00A65DD7"/>
    <w:rsid w:val="00A708FB"/>
    <w:rsid w:val="00A7118F"/>
    <w:rsid w:val="00A71A6C"/>
    <w:rsid w:val="00A739A3"/>
    <w:rsid w:val="00A76748"/>
    <w:rsid w:val="00A77AE4"/>
    <w:rsid w:val="00A8116E"/>
    <w:rsid w:val="00A816BB"/>
    <w:rsid w:val="00A8191B"/>
    <w:rsid w:val="00A82A07"/>
    <w:rsid w:val="00A82A79"/>
    <w:rsid w:val="00A82C2D"/>
    <w:rsid w:val="00A82ED6"/>
    <w:rsid w:val="00A85441"/>
    <w:rsid w:val="00A91EEB"/>
    <w:rsid w:val="00A926D0"/>
    <w:rsid w:val="00A92A6D"/>
    <w:rsid w:val="00A92C5D"/>
    <w:rsid w:val="00A95454"/>
    <w:rsid w:val="00A96C51"/>
    <w:rsid w:val="00A97B24"/>
    <w:rsid w:val="00AA083E"/>
    <w:rsid w:val="00AA0C14"/>
    <w:rsid w:val="00AA2EA6"/>
    <w:rsid w:val="00AA31CF"/>
    <w:rsid w:val="00AA3628"/>
    <w:rsid w:val="00AA5547"/>
    <w:rsid w:val="00AA6847"/>
    <w:rsid w:val="00AB1F5D"/>
    <w:rsid w:val="00AB36DF"/>
    <w:rsid w:val="00AC46BA"/>
    <w:rsid w:val="00AC4A36"/>
    <w:rsid w:val="00AD2F17"/>
    <w:rsid w:val="00AD2F31"/>
    <w:rsid w:val="00AD49C8"/>
    <w:rsid w:val="00AD5DCB"/>
    <w:rsid w:val="00AD60A6"/>
    <w:rsid w:val="00AD7994"/>
    <w:rsid w:val="00AE1699"/>
    <w:rsid w:val="00AE1A73"/>
    <w:rsid w:val="00AE4350"/>
    <w:rsid w:val="00AE4D93"/>
    <w:rsid w:val="00AE6362"/>
    <w:rsid w:val="00AF12D9"/>
    <w:rsid w:val="00AF2587"/>
    <w:rsid w:val="00AF4513"/>
    <w:rsid w:val="00AF607E"/>
    <w:rsid w:val="00AF6329"/>
    <w:rsid w:val="00B00BE8"/>
    <w:rsid w:val="00B02DA0"/>
    <w:rsid w:val="00B04C7C"/>
    <w:rsid w:val="00B06AAC"/>
    <w:rsid w:val="00B103F3"/>
    <w:rsid w:val="00B10445"/>
    <w:rsid w:val="00B1391E"/>
    <w:rsid w:val="00B14A73"/>
    <w:rsid w:val="00B163E4"/>
    <w:rsid w:val="00B16EAE"/>
    <w:rsid w:val="00B2045A"/>
    <w:rsid w:val="00B239E5"/>
    <w:rsid w:val="00B23A03"/>
    <w:rsid w:val="00B25812"/>
    <w:rsid w:val="00B33ED4"/>
    <w:rsid w:val="00B41B3A"/>
    <w:rsid w:val="00B42C41"/>
    <w:rsid w:val="00B4418E"/>
    <w:rsid w:val="00B442E5"/>
    <w:rsid w:val="00B461E2"/>
    <w:rsid w:val="00B46204"/>
    <w:rsid w:val="00B472B9"/>
    <w:rsid w:val="00B56B47"/>
    <w:rsid w:val="00B62B28"/>
    <w:rsid w:val="00B64DE7"/>
    <w:rsid w:val="00B64FA4"/>
    <w:rsid w:val="00B654C5"/>
    <w:rsid w:val="00B65BFF"/>
    <w:rsid w:val="00B66BAB"/>
    <w:rsid w:val="00B66E34"/>
    <w:rsid w:val="00B67531"/>
    <w:rsid w:val="00B71F95"/>
    <w:rsid w:val="00B7240D"/>
    <w:rsid w:val="00B74942"/>
    <w:rsid w:val="00B80784"/>
    <w:rsid w:val="00B80BA1"/>
    <w:rsid w:val="00B81755"/>
    <w:rsid w:val="00B82CBF"/>
    <w:rsid w:val="00B852B4"/>
    <w:rsid w:val="00B87F36"/>
    <w:rsid w:val="00B92B68"/>
    <w:rsid w:val="00B92E7B"/>
    <w:rsid w:val="00BA0477"/>
    <w:rsid w:val="00BA162B"/>
    <w:rsid w:val="00BA5680"/>
    <w:rsid w:val="00BB08DD"/>
    <w:rsid w:val="00BB1508"/>
    <w:rsid w:val="00BB1AB2"/>
    <w:rsid w:val="00BB30B0"/>
    <w:rsid w:val="00BB4E8B"/>
    <w:rsid w:val="00BC1E8D"/>
    <w:rsid w:val="00BC2D82"/>
    <w:rsid w:val="00BD0BDA"/>
    <w:rsid w:val="00BD1826"/>
    <w:rsid w:val="00BD223F"/>
    <w:rsid w:val="00BD4115"/>
    <w:rsid w:val="00BD42D7"/>
    <w:rsid w:val="00BD4390"/>
    <w:rsid w:val="00BD4FF5"/>
    <w:rsid w:val="00BE079F"/>
    <w:rsid w:val="00BE398B"/>
    <w:rsid w:val="00BE4D9F"/>
    <w:rsid w:val="00BE6E18"/>
    <w:rsid w:val="00BF1968"/>
    <w:rsid w:val="00BF787E"/>
    <w:rsid w:val="00C0232C"/>
    <w:rsid w:val="00C05BDA"/>
    <w:rsid w:val="00C06ECB"/>
    <w:rsid w:val="00C07C7F"/>
    <w:rsid w:val="00C07D04"/>
    <w:rsid w:val="00C1001A"/>
    <w:rsid w:val="00C12AF7"/>
    <w:rsid w:val="00C14B49"/>
    <w:rsid w:val="00C16657"/>
    <w:rsid w:val="00C227F1"/>
    <w:rsid w:val="00C2347A"/>
    <w:rsid w:val="00C2370B"/>
    <w:rsid w:val="00C23EB6"/>
    <w:rsid w:val="00C2647B"/>
    <w:rsid w:val="00C27563"/>
    <w:rsid w:val="00C304BF"/>
    <w:rsid w:val="00C30F79"/>
    <w:rsid w:val="00C310ED"/>
    <w:rsid w:val="00C31ABD"/>
    <w:rsid w:val="00C31B9D"/>
    <w:rsid w:val="00C32DD2"/>
    <w:rsid w:val="00C36A20"/>
    <w:rsid w:val="00C4177E"/>
    <w:rsid w:val="00C43DE6"/>
    <w:rsid w:val="00C43F04"/>
    <w:rsid w:val="00C512FE"/>
    <w:rsid w:val="00C528B5"/>
    <w:rsid w:val="00C56449"/>
    <w:rsid w:val="00C5672A"/>
    <w:rsid w:val="00C567A5"/>
    <w:rsid w:val="00C5688F"/>
    <w:rsid w:val="00C602C7"/>
    <w:rsid w:val="00C604F6"/>
    <w:rsid w:val="00C60FE5"/>
    <w:rsid w:val="00C63F52"/>
    <w:rsid w:val="00C63F5E"/>
    <w:rsid w:val="00C654B5"/>
    <w:rsid w:val="00C656A7"/>
    <w:rsid w:val="00C65AC1"/>
    <w:rsid w:val="00C66461"/>
    <w:rsid w:val="00C756B1"/>
    <w:rsid w:val="00C75ADD"/>
    <w:rsid w:val="00C75E39"/>
    <w:rsid w:val="00C76526"/>
    <w:rsid w:val="00C77366"/>
    <w:rsid w:val="00C776F5"/>
    <w:rsid w:val="00C77F10"/>
    <w:rsid w:val="00C80E0D"/>
    <w:rsid w:val="00C8104C"/>
    <w:rsid w:val="00C839A8"/>
    <w:rsid w:val="00C90BF0"/>
    <w:rsid w:val="00C915CE"/>
    <w:rsid w:val="00C97A67"/>
    <w:rsid w:val="00CA2E5E"/>
    <w:rsid w:val="00CA3060"/>
    <w:rsid w:val="00CA4EDC"/>
    <w:rsid w:val="00CA7D9A"/>
    <w:rsid w:val="00CB21B3"/>
    <w:rsid w:val="00CB2C77"/>
    <w:rsid w:val="00CB2CDA"/>
    <w:rsid w:val="00CB2DE8"/>
    <w:rsid w:val="00CB35BC"/>
    <w:rsid w:val="00CB3D3D"/>
    <w:rsid w:val="00CB5095"/>
    <w:rsid w:val="00CC072B"/>
    <w:rsid w:val="00CC2C6B"/>
    <w:rsid w:val="00CC475A"/>
    <w:rsid w:val="00CC5589"/>
    <w:rsid w:val="00CC573C"/>
    <w:rsid w:val="00CD1329"/>
    <w:rsid w:val="00CD5448"/>
    <w:rsid w:val="00CE163F"/>
    <w:rsid w:val="00CE388F"/>
    <w:rsid w:val="00CE3C99"/>
    <w:rsid w:val="00CE4173"/>
    <w:rsid w:val="00CE56F8"/>
    <w:rsid w:val="00CF0BB6"/>
    <w:rsid w:val="00CF0F76"/>
    <w:rsid w:val="00CF39A6"/>
    <w:rsid w:val="00CF5C19"/>
    <w:rsid w:val="00CF5EF7"/>
    <w:rsid w:val="00CF6CA0"/>
    <w:rsid w:val="00D0032F"/>
    <w:rsid w:val="00D02752"/>
    <w:rsid w:val="00D02DE0"/>
    <w:rsid w:val="00D04B10"/>
    <w:rsid w:val="00D05FA5"/>
    <w:rsid w:val="00D1091F"/>
    <w:rsid w:val="00D10A96"/>
    <w:rsid w:val="00D12444"/>
    <w:rsid w:val="00D173A2"/>
    <w:rsid w:val="00D21C43"/>
    <w:rsid w:val="00D22B62"/>
    <w:rsid w:val="00D27303"/>
    <w:rsid w:val="00D27EF3"/>
    <w:rsid w:val="00D31FA7"/>
    <w:rsid w:val="00D32954"/>
    <w:rsid w:val="00D33450"/>
    <w:rsid w:val="00D3756B"/>
    <w:rsid w:val="00D41985"/>
    <w:rsid w:val="00D440A5"/>
    <w:rsid w:val="00D46709"/>
    <w:rsid w:val="00D4792E"/>
    <w:rsid w:val="00D529D6"/>
    <w:rsid w:val="00D535D3"/>
    <w:rsid w:val="00D55AB7"/>
    <w:rsid w:val="00D60D31"/>
    <w:rsid w:val="00D61187"/>
    <w:rsid w:val="00D6154B"/>
    <w:rsid w:val="00D630BB"/>
    <w:rsid w:val="00D65ADE"/>
    <w:rsid w:val="00D66B27"/>
    <w:rsid w:val="00D724A5"/>
    <w:rsid w:val="00D730C8"/>
    <w:rsid w:val="00D800F9"/>
    <w:rsid w:val="00D8227A"/>
    <w:rsid w:val="00D82667"/>
    <w:rsid w:val="00D84412"/>
    <w:rsid w:val="00D9017D"/>
    <w:rsid w:val="00D9039E"/>
    <w:rsid w:val="00D9079A"/>
    <w:rsid w:val="00D94F36"/>
    <w:rsid w:val="00D97A7A"/>
    <w:rsid w:val="00DA2D26"/>
    <w:rsid w:val="00DA31D6"/>
    <w:rsid w:val="00DA4FFA"/>
    <w:rsid w:val="00DA7101"/>
    <w:rsid w:val="00DA76BD"/>
    <w:rsid w:val="00DB1315"/>
    <w:rsid w:val="00DB1EAF"/>
    <w:rsid w:val="00DB3A97"/>
    <w:rsid w:val="00DB4B1E"/>
    <w:rsid w:val="00DB515D"/>
    <w:rsid w:val="00DC344C"/>
    <w:rsid w:val="00DC4579"/>
    <w:rsid w:val="00DC60E1"/>
    <w:rsid w:val="00DC7385"/>
    <w:rsid w:val="00DD11AD"/>
    <w:rsid w:val="00DD1CC9"/>
    <w:rsid w:val="00DD1F89"/>
    <w:rsid w:val="00DD66E9"/>
    <w:rsid w:val="00DD6CF1"/>
    <w:rsid w:val="00DD7AFF"/>
    <w:rsid w:val="00DE14A5"/>
    <w:rsid w:val="00DE3C82"/>
    <w:rsid w:val="00DE4409"/>
    <w:rsid w:val="00DE60F5"/>
    <w:rsid w:val="00DF0161"/>
    <w:rsid w:val="00DF56B2"/>
    <w:rsid w:val="00E02721"/>
    <w:rsid w:val="00E03C97"/>
    <w:rsid w:val="00E05EC0"/>
    <w:rsid w:val="00E063B6"/>
    <w:rsid w:val="00E06D3C"/>
    <w:rsid w:val="00E104F2"/>
    <w:rsid w:val="00E118E7"/>
    <w:rsid w:val="00E11D92"/>
    <w:rsid w:val="00E12024"/>
    <w:rsid w:val="00E125B9"/>
    <w:rsid w:val="00E13D54"/>
    <w:rsid w:val="00E1519F"/>
    <w:rsid w:val="00E15E2D"/>
    <w:rsid w:val="00E167B3"/>
    <w:rsid w:val="00E16E8F"/>
    <w:rsid w:val="00E21C56"/>
    <w:rsid w:val="00E22E92"/>
    <w:rsid w:val="00E23DD5"/>
    <w:rsid w:val="00E248DB"/>
    <w:rsid w:val="00E26473"/>
    <w:rsid w:val="00E304F8"/>
    <w:rsid w:val="00E31415"/>
    <w:rsid w:val="00E316D6"/>
    <w:rsid w:val="00E32136"/>
    <w:rsid w:val="00E33256"/>
    <w:rsid w:val="00E33E4D"/>
    <w:rsid w:val="00E33FAA"/>
    <w:rsid w:val="00E360CD"/>
    <w:rsid w:val="00E36B70"/>
    <w:rsid w:val="00E40288"/>
    <w:rsid w:val="00E40A80"/>
    <w:rsid w:val="00E41DF9"/>
    <w:rsid w:val="00E44A9A"/>
    <w:rsid w:val="00E459FD"/>
    <w:rsid w:val="00E4612B"/>
    <w:rsid w:val="00E46412"/>
    <w:rsid w:val="00E46CD5"/>
    <w:rsid w:val="00E51B85"/>
    <w:rsid w:val="00E52BE4"/>
    <w:rsid w:val="00E52FDF"/>
    <w:rsid w:val="00E54B44"/>
    <w:rsid w:val="00E55136"/>
    <w:rsid w:val="00E56360"/>
    <w:rsid w:val="00E60557"/>
    <w:rsid w:val="00E62F22"/>
    <w:rsid w:val="00E63B1F"/>
    <w:rsid w:val="00E66864"/>
    <w:rsid w:val="00E70104"/>
    <w:rsid w:val="00E711EF"/>
    <w:rsid w:val="00E75D9B"/>
    <w:rsid w:val="00E75EB8"/>
    <w:rsid w:val="00E768E1"/>
    <w:rsid w:val="00E7779B"/>
    <w:rsid w:val="00E77BE6"/>
    <w:rsid w:val="00E805D1"/>
    <w:rsid w:val="00E807BB"/>
    <w:rsid w:val="00E953DA"/>
    <w:rsid w:val="00E96B8F"/>
    <w:rsid w:val="00E97EFE"/>
    <w:rsid w:val="00EA07BC"/>
    <w:rsid w:val="00EA281F"/>
    <w:rsid w:val="00EA375A"/>
    <w:rsid w:val="00EA60D3"/>
    <w:rsid w:val="00EA633E"/>
    <w:rsid w:val="00EB0748"/>
    <w:rsid w:val="00EB08AD"/>
    <w:rsid w:val="00EB2663"/>
    <w:rsid w:val="00EB3356"/>
    <w:rsid w:val="00EB3B8B"/>
    <w:rsid w:val="00EB4476"/>
    <w:rsid w:val="00EB4780"/>
    <w:rsid w:val="00EB4BF4"/>
    <w:rsid w:val="00EB6CAE"/>
    <w:rsid w:val="00EC21A7"/>
    <w:rsid w:val="00EC3CFA"/>
    <w:rsid w:val="00EC3E3A"/>
    <w:rsid w:val="00EC69FE"/>
    <w:rsid w:val="00ED1F45"/>
    <w:rsid w:val="00EE1E97"/>
    <w:rsid w:val="00EE4EE7"/>
    <w:rsid w:val="00EE763F"/>
    <w:rsid w:val="00EF0B18"/>
    <w:rsid w:val="00EF261C"/>
    <w:rsid w:val="00EF5F30"/>
    <w:rsid w:val="00EF7265"/>
    <w:rsid w:val="00F000EA"/>
    <w:rsid w:val="00F00372"/>
    <w:rsid w:val="00F0045D"/>
    <w:rsid w:val="00F00C21"/>
    <w:rsid w:val="00F01C20"/>
    <w:rsid w:val="00F044D7"/>
    <w:rsid w:val="00F047DB"/>
    <w:rsid w:val="00F13221"/>
    <w:rsid w:val="00F21871"/>
    <w:rsid w:val="00F22029"/>
    <w:rsid w:val="00F23A58"/>
    <w:rsid w:val="00F259E0"/>
    <w:rsid w:val="00F319DB"/>
    <w:rsid w:val="00F31FAB"/>
    <w:rsid w:val="00F343E6"/>
    <w:rsid w:val="00F348E4"/>
    <w:rsid w:val="00F37E6E"/>
    <w:rsid w:val="00F42B6A"/>
    <w:rsid w:val="00F43516"/>
    <w:rsid w:val="00F44347"/>
    <w:rsid w:val="00F451BF"/>
    <w:rsid w:val="00F453A4"/>
    <w:rsid w:val="00F524C3"/>
    <w:rsid w:val="00F53908"/>
    <w:rsid w:val="00F5731F"/>
    <w:rsid w:val="00F67754"/>
    <w:rsid w:val="00F701CC"/>
    <w:rsid w:val="00F71013"/>
    <w:rsid w:val="00F7496F"/>
    <w:rsid w:val="00F767BF"/>
    <w:rsid w:val="00F77257"/>
    <w:rsid w:val="00F82DA1"/>
    <w:rsid w:val="00F85352"/>
    <w:rsid w:val="00F86E69"/>
    <w:rsid w:val="00F9213D"/>
    <w:rsid w:val="00F935E4"/>
    <w:rsid w:val="00FA2106"/>
    <w:rsid w:val="00FA257C"/>
    <w:rsid w:val="00FA2844"/>
    <w:rsid w:val="00FA5F4F"/>
    <w:rsid w:val="00FA66B7"/>
    <w:rsid w:val="00FB0657"/>
    <w:rsid w:val="00FB2D39"/>
    <w:rsid w:val="00FB41A3"/>
    <w:rsid w:val="00FB6E69"/>
    <w:rsid w:val="00FB759D"/>
    <w:rsid w:val="00FC0282"/>
    <w:rsid w:val="00FC0615"/>
    <w:rsid w:val="00FC399C"/>
    <w:rsid w:val="00FC5D51"/>
    <w:rsid w:val="00FD0A4A"/>
    <w:rsid w:val="00FD3CEE"/>
    <w:rsid w:val="00FD72EF"/>
    <w:rsid w:val="00FE05DE"/>
    <w:rsid w:val="00FE253A"/>
    <w:rsid w:val="00FE3FEA"/>
    <w:rsid w:val="00FE4AF2"/>
    <w:rsid w:val="00FE5031"/>
    <w:rsid w:val="00FE7194"/>
    <w:rsid w:val="00FE71D8"/>
    <w:rsid w:val="00FE7BC5"/>
    <w:rsid w:val="00FE7E86"/>
    <w:rsid w:val="00FE7F69"/>
    <w:rsid w:val="00FF1A28"/>
    <w:rsid w:val="00FF36F8"/>
    <w:rsid w:val="00FF53B5"/>
    <w:rsid w:val="00FF6583"/>
    <w:rsid w:val="00FF72BF"/>
    <w:rsid w:val="00FF7A34"/>
    <w:rsid w:val="01462AAE"/>
    <w:rsid w:val="0214B3A7"/>
    <w:rsid w:val="02570403"/>
    <w:rsid w:val="0289C728"/>
    <w:rsid w:val="02D470CB"/>
    <w:rsid w:val="0388CF0E"/>
    <w:rsid w:val="03B74890"/>
    <w:rsid w:val="051B4F18"/>
    <w:rsid w:val="0543CE8B"/>
    <w:rsid w:val="05A85C0B"/>
    <w:rsid w:val="05CCD133"/>
    <w:rsid w:val="0655CE67"/>
    <w:rsid w:val="0707E19B"/>
    <w:rsid w:val="07154452"/>
    <w:rsid w:val="071EF1B8"/>
    <w:rsid w:val="07437234"/>
    <w:rsid w:val="07EAC00E"/>
    <w:rsid w:val="07F19EC8"/>
    <w:rsid w:val="0822BA1A"/>
    <w:rsid w:val="0922DD85"/>
    <w:rsid w:val="09259DFA"/>
    <w:rsid w:val="092E841D"/>
    <w:rsid w:val="0A22BAA5"/>
    <w:rsid w:val="0A56927A"/>
    <w:rsid w:val="0A74717C"/>
    <w:rsid w:val="0AF83433"/>
    <w:rsid w:val="0B8A909C"/>
    <w:rsid w:val="0BDA0C35"/>
    <w:rsid w:val="0C7DBB7B"/>
    <w:rsid w:val="0C86A61B"/>
    <w:rsid w:val="0C90690F"/>
    <w:rsid w:val="0CC50FEB"/>
    <w:rsid w:val="0D1B8DFA"/>
    <w:rsid w:val="0D21374D"/>
    <w:rsid w:val="0F876757"/>
    <w:rsid w:val="10688626"/>
    <w:rsid w:val="106A0BE5"/>
    <w:rsid w:val="1163DA32"/>
    <w:rsid w:val="11B36982"/>
    <w:rsid w:val="12FFAA93"/>
    <w:rsid w:val="13379228"/>
    <w:rsid w:val="13AA6A4F"/>
    <w:rsid w:val="13CF824A"/>
    <w:rsid w:val="14193EE2"/>
    <w:rsid w:val="14896574"/>
    <w:rsid w:val="156B52AB"/>
    <w:rsid w:val="1594BC32"/>
    <w:rsid w:val="15F45E9D"/>
    <w:rsid w:val="16261669"/>
    <w:rsid w:val="1692D95F"/>
    <w:rsid w:val="16CB8471"/>
    <w:rsid w:val="179287A0"/>
    <w:rsid w:val="18A5FF6B"/>
    <w:rsid w:val="18ACD393"/>
    <w:rsid w:val="19AB8079"/>
    <w:rsid w:val="1A838ABD"/>
    <w:rsid w:val="1ABD9708"/>
    <w:rsid w:val="1B2F14B6"/>
    <w:rsid w:val="1B80E2EB"/>
    <w:rsid w:val="1D5D3C33"/>
    <w:rsid w:val="1EBB56C1"/>
    <w:rsid w:val="1FA2FE24"/>
    <w:rsid w:val="1FC8575D"/>
    <w:rsid w:val="1FF02CF3"/>
    <w:rsid w:val="1FFE984A"/>
    <w:rsid w:val="202F616B"/>
    <w:rsid w:val="2123F267"/>
    <w:rsid w:val="213917DC"/>
    <w:rsid w:val="21A3400B"/>
    <w:rsid w:val="22618680"/>
    <w:rsid w:val="22D14F63"/>
    <w:rsid w:val="23438A55"/>
    <w:rsid w:val="241E6294"/>
    <w:rsid w:val="249B1A44"/>
    <w:rsid w:val="25DBC8A4"/>
    <w:rsid w:val="25FCD471"/>
    <w:rsid w:val="261A11E4"/>
    <w:rsid w:val="27779905"/>
    <w:rsid w:val="27BE01A3"/>
    <w:rsid w:val="27C6E76C"/>
    <w:rsid w:val="27FE5E27"/>
    <w:rsid w:val="28498F4C"/>
    <w:rsid w:val="287AB2A7"/>
    <w:rsid w:val="28E53F6B"/>
    <w:rsid w:val="29136966"/>
    <w:rsid w:val="29915C35"/>
    <w:rsid w:val="29BD1B54"/>
    <w:rsid w:val="29F9C111"/>
    <w:rsid w:val="2A4D94F7"/>
    <w:rsid w:val="2A589CD2"/>
    <w:rsid w:val="2A9C3ED9"/>
    <w:rsid w:val="2AA748A7"/>
    <w:rsid w:val="2C969A58"/>
    <w:rsid w:val="2CFDFCAE"/>
    <w:rsid w:val="2D735281"/>
    <w:rsid w:val="2DADB52C"/>
    <w:rsid w:val="2E1E1F3A"/>
    <w:rsid w:val="2F0AFDC2"/>
    <w:rsid w:val="2FF41986"/>
    <w:rsid w:val="30CDF3F9"/>
    <w:rsid w:val="32012F75"/>
    <w:rsid w:val="3204D2F6"/>
    <w:rsid w:val="3645792E"/>
    <w:rsid w:val="377AC1E1"/>
    <w:rsid w:val="37C86F08"/>
    <w:rsid w:val="37D89B9B"/>
    <w:rsid w:val="39B0D6A2"/>
    <w:rsid w:val="39E9F527"/>
    <w:rsid w:val="3A1729BF"/>
    <w:rsid w:val="3A467FC4"/>
    <w:rsid w:val="3A5D0FA3"/>
    <w:rsid w:val="3A87CD99"/>
    <w:rsid w:val="3A9F1F5E"/>
    <w:rsid w:val="3AABB568"/>
    <w:rsid w:val="3B13B3B5"/>
    <w:rsid w:val="3CB4FD35"/>
    <w:rsid w:val="3CC97525"/>
    <w:rsid w:val="3D3BC888"/>
    <w:rsid w:val="3D4A515E"/>
    <w:rsid w:val="3F65CCAF"/>
    <w:rsid w:val="3F7070B1"/>
    <w:rsid w:val="3FE07BBA"/>
    <w:rsid w:val="406108E7"/>
    <w:rsid w:val="4080049F"/>
    <w:rsid w:val="40C18FC5"/>
    <w:rsid w:val="40F60F91"/>
    <w:rsid w:val="410996D6"/>
    <w:rsid w:val="41E63E89"/>
    <w:rsid w:val="420E08FC"/>
    <w:rsid w:val="421A4821"/>
    <w:rsid w:val="428570C9"/>
    <w:rsid w:val="42940BC0"/>
    <w:rsid w:val="42ABD967"/>
    <w:rsid w:val="43D944F5"/>
    <w:rsid w:val="4514DDBB"/>
    <w:rsid w:val="4561F5F3"/>
    <w:rsid w:val="45C66B65"/>
    <w:rsid w:val="462D3218"/>
    <w:rsid w:val="46B9AFAC"/>
    <w:rsid w:val="46BBD552"/>
    <w:rsid w:val="46C06EED"/>
    <w:rsid w:val="46E8B0BD"/>
    <w:rsid w:val="4713C1EE"/>
    <w:rsid w:val="47C90279"/>
    <w:rsid w:val="480F3678"/>
    <w:rsid w:val="48DEB4FD"/>
    <w:rsid w:val="495FAA64"/>
    <w:rsid w:val="49F749DE"/>
    <w:rsid w:val="4BC48FFC"/>
    <w:rsid w:val="4BF90DA7"/>
    <w:rsid w:val="4CBEBF26"/>
    <w:rsid w:val="4E76F2AF"/>
    <w:rsid w:val="4EE27EAF"/>
    <w:rsid w:val="4F1E98F9"/>
    <w:rsid w:val="4F671D72"/>
    <w:rsid w:val="502DDC9C"/>
    <w:rsid w:val="50D7E338"/>
    <w:rsid w:val="515D11F1"/>
    <w:rsid w:val="526CA0BC"/>
    <w:rsid w:val="527FEF14"/>
    <w:rsid w:val="53644698"/>
    <w:rsid w:val="53B570CD"/>
    <w:rsid w:val="548FD362"/>
    <w:rsid w:val="549D65C2"/>
    <w:rsid w:val="54E2E87F"/>
    <w:rsid w:val="5543560E"/>
    <w:rsid w:val="55933F1A"/>
    <w:rsid w:val="5617713C"/>
    <w:rsid w:val="56C33ADF"/>
    <w:rsid w:val="57705900"/>
    <w:rsid w:val="57E4383E"/>
    <w:rsid w:val="57E49890"/>
    <w:rsid w:val="57E78CED"/>
    <w:rsid w:val="581D503E"/>
    <w:rsid w:val="58290477"/>
    <w:rsid w:val="5869F6A6"/>
    <w:rsid w:val="58CDA6D9"/>
    <w:rsid w:val="58D4C303"/>
    <w:rsid w:val="59019699"/>
    <w:rsid w:val="5909853A"/>
    <w:rsid w:val="5A804C9D"/>
    <w:rsid w:val="5AABF2D3"/>
    <w:rsid w:val="5B1BB4B0"/>
    <w:rsid w:val="5B6F1119"/>
    <w:rsid w:val="5BBB04E4"/>
    <w:rsid w:val="5BC13253"/>
    <w:rsid w:val="5BDB14F4"/>
    <w:rsid w:val="5BF9D57E"/>
    <w:rsid w:val="5C27C50D"/>
    <w:rsid w:val="5D71AD86"/>
    <w:rsid w:val="5D7D2A50"/>
    <w:rsid w:val="5D8D31FC"/>
    <w:rsid w:val="5DD625C7"/>
    <w:rsid w:val="5DE267A9"/>
    <w:rsid w:val="5DE9580F"/>
    <w:rsid w:val="5E7288B2"/>
    <w:rsid w:val="5E864E57"/>
    <w:rsid w:val="5F0707AB"/>
    <w:rsid w:val="5F9B2787"/>
    <w:rsid w:val="60221FE0"/>
    <w:rsid w:val="60500F88"/>
    <w:rsid w:val="61725279"/>
    <w:rsid w:val="61DAB718"/>
    <w:rsid w:val="62174B7A"/>
    <w:rsid w:val="6220D405"/>
    <w:rsid w:val="62DCF678"/>
    <w:rsid w:val="62F0FE01"/>
    <w:rsid w:val="6358766C"/>
    <w:rsid w:val="635C85C0"/>
    <w:rsid w:val="64EE5F22"/>
    <w:rsid w:val="654EEC3C"/>
    <w:rsid w:val="655A4FE0"/>
    <w:rsid w:val="659843E1"/>
    <w:rsid w:val="65BA15C3"/>
    <w:rsid w:val="66185875"/>
    <w:rsid w:val="67E94970"/>
    <w:rsid w:val="6860628F"/>
    <w:rsid w:val="688A070D"/>
    <w:rsid w:val="69E20A53"/>
    <w:rsid w:val="6A1CDA53"/>
    <w:rsid w:val="6A225D5F"/>
    <w:rsid w:val="6A737F06"/>
    <w:rsid w:val="6AC0ECCB"/>
    <w:rsid w:val="6B34E422"/>
    <w:rsid w:val="6B7B26AD"/>
    <w:rsid w:val="6C5748AB"/>
    <w:rsid w:val="6C5F4D9A"/>
    <w:rsid w:val="6D2FDDA7"/>
    <w:rsid w:val="6F05ABA6"/>
    <w:rsid w:val="6F1F603F"/>
    <w:rsid w:val="6F3398CA"/>
    <w:rsid w:val="6F399681"/>
    <w:rsid w:val="6FC1BA11"/>
    <w:rsid w:val="6FD142CE"/>
    <w:rsid w:val="6FDAF6B4"/>
    <w:rsid w:val="6FFDFF12"/>
    <w:rsid w:val="7023DC53"/>
    <w:rsid w:val="705BA023"/>
    <w:rsid w:val="706709D9"/>
    <w:rsid w:val="70E0486C"/>
    <w:rsid w:val="70F707A9"/>
    <w:rsid w:val="7193DFAE"/>
    <w:rsid w:val="720B65C8"/>
    <w:rsid w:val="73138BB5"/>
    <w:rsid w:val="738245A4"/>
    <w:rsid w:val="7436CC32"/>
    <w:rsid w:val="74F21C52"/>
    <w:rsid w:val="750FBD06"/>
    <w:rsid w:val="75979020"/>
    <w:rsid w:val="761C47F2"/>
    <w:rsid w:val="76A61939"/>
    <w:rsid w:val="7700E067"/>
    <w:rsid w:val="77157FD5"/>
    <w:rsid w:val="77522592"/>
    <w:rsid w:val="7835514A"/>
    <w:rsid w:val="789CB0C8"/>
    <w:rsid w:val="792BE4AD"/>
    <w:rsid w:val="793E5281"/>
    <w:rsid w:val="79847138"/>
    <w:rsid w:val="7A20CFD8"/>
    <w:rsid w:val="7A26FDE3"/>
    <w:rsid w:val="7A5B9BD3"/>
    <w:rsid w:val="7A6A324B"/>
    <w:rsid w:val="7A9CF6EB"/>
    <w:rsid w:val="7AB873B7"/>
    <w:rsid w:val="7B494B6F"/>
    <w:rsid w:val="7BD32D48"/>
    <w:rsid w:val="7C2596B5"/>
    <w:rsid w:val="7C87C425"/>
    <w:rsid w:val="7D29658F"/>
    <w:rsid w:val="7D8A0598"/>
    <w:rsid w:val="7E6183DA"/>
    <w:rsid w:val="7F9273C0"/>
    <w:rsid w:val="7FA9F880"/>
    <w:rsid w:val="7FD53D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9D088"/>
  <w15:chartTrackingRefBased/>
  <w15:docId w15:val="{7A0D0ECF-FF84-483B-8B67-EFB129C77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9D"/>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82059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2059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2059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2059D"/>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2059D"/>
    <w:rPr>
      <w:color w:val="0563C1" w:themeColor="hyperlink"/>
      <w:u w:val="single"/>
    </w:rPr>
  </w:style>
  <w:style w:type="paragraph" w:customStyle="1" w:styleId="IPPArialTable">
    <w:name w:val="IPP Arial Table"/>
    <w:basedOn w:val="IPPArial"/>
    <w:qFormat/>
    <w:rsid w:val="0082059D"/>
    <w:pPr>
      <w:spacing w:before="60" w:after="60"/>
      <w:jc w:val="left"/>
    </w:pPr>
  </w:style>
  <w:style w:type="paragraph" w:styleId="FootnoteText">
    <w:name w:val="footnote text"/>
    <w:basedOn w:val="Normal"/>
    <w:link w:val="FootnoteTextChar"/>
    <w:semiHidden/>
    <w:rsid w:val="0082059D"/>
    <w:pPr>
      <w:spacing w:before="60"/>
    </w:pPr>
    <w:rPr>
      <w:sz w:val="20"/>
    </w:rPr>
  </w:style>
  <w:style w:type="character" w:customStyle="1" w:styleId="FootnoteTextChar">
    <w:name w:val="Footnote Text Char"/>
    <w:basedOn w:val="DefaultParagraphFont"/>
    <w:link w:val="FootnoteText"/>
    <w:semiHidden/>
    <w:rsid w:val="0082059D"/>
    <w:rPr>
      <w:rFonts w:ascii="Times New Roman" w:eastAsia="MS Mincho" w:hAnsi="Times New Roman"/>
      <w:sz w:val="20"/>
      <w:szCs w:val="24"/>
      <w:lang w:val="en-GB" w:eastAsia="zh-CN"/>
    </w:rPr>
  </w:style>
  <w:style w:type="character" w:styleId="FootnoteReference">
    <w:name w:val="footnote reference"/>
    <w:basedOn w:val="DefaultParagraphFont"/>
    <w:semiHidden/>
    <w:rsid w:val="0082059D"/>
    <w:rPr>
      <w:vertAlign w:val="superscript"/>
    </w:rPr>
  </w:style>
  <w:style w:type="paragraph" w:styleId="ListParagraph">
    <w:name w:val="List Paragraph"/>
    <w:basedOn w:val="Normal"/>
    <w:uiPriority w:val="34"/>
    <w:qFormat/>
    <w:rsid w:val="0082059D"/>
    <w:pPr>
      <w:spacing w:line="240" w:lineRule="atLeast"/>
      <w:ind w:leftChars="400" w:left="800"/>
    </w:pPr>
    <w:rPr>
      <w:rFonts w:ascii="Verdana" w:eastAsia="Times New Roman" w:hAnsi="Verdana"/>
      <w:sz w:val="20"/>
      <w:lang w:val="nl-NL" w:eastAsia="nl-NL"/>
    </w:rPr>
  </w:style>
  <w:style w:type="paragraph" w:customStyle="1" w:styleId="IPPNormal">
    <w:name w:val="IPP Normal"/>
    <w:basedOn w:val="Normal"/>
    <w:link w:val="IPPNormalChar"/>
    <w:qFormat/>
    <w:rsid w:val="0082059D"/>
    <w:pPr>
      <w:spacing w:after="180"/>
    </w:pPr>
    <w:rPr>
      <w:rFonts w:eastAsia="Times"/>
    </w:rPr>
  </w:style>
  <w:style w:type="paragraph" w:customStyle="1" w:styleId="IPPHeading3">
    <w:name w:val="IPP Heading3"/>
    <w:basedOn w:val="IPPNormal"/>
    <w:qFormat/>
    <w:rsid w:val="0082059D"/>
    <w:pPr>
      <w:keepNext/>
      <w:tabs>
        <w:tab w:val="left" w:pos="567"/>
      </w:tabs>
      <w:spacing w:before="120" w:after="120"/>
      <w:ind w:left="567" w:hanging="567"/>
    </w:pPr>
    <w:rPr>
      <w:b/>
      <w:i/>
    </w:rPr>
  </w:style>
  <w:style w:type="numbering" w:customStyle="1" w:styleId="IPPParagraphnumberedlist">
    <w:name w:val="IPP Paragraph numbered list"/>
    <w:rsid w:val="0082059D"/>
    <w:pPr>
      <w:numPr>
        <w:numId w:val="1"/>
      </w:numPr>
    </w:pPr>
  </w:style>
  <w:style w:type="paragraph" w:customStyle="1" w:styleId="IPPParagraphnumbering">
    <w:name w:val="IPP Paragraph numbering"/>
    <w:basedOn w:val="IPPNormal"/>
    <w:qFormat/>
    <w:rsid w:val="0082059D"/>
    <w:pPr>
      <w:numPr>
        <w:numId w:val="12"/>
      </w:numPr>
    </w:pPr>
    <w:rPr>
      <w:lang w:val="en-US"/>
    </w:rPr>
  </w:style>
  <w:style w:type="character" w:customStyle="1" w:styleId="IPPNormalChar">
    <w:name w:val="IPP Normal Char"/>
    <w:link w:val="IPPNormal"/>
    <w:rsid w:val="0082059D"/>
    <w:rPr>
      <w:rFonts w:ascii="Times New Roman" w:eastAsia="Times" w:hAnsi="Times New Roman"/>
      <w:szCs w:val="24"/>
      <w:lang w:val="en-GB" w:eastAsia="zh-CN"/>
    </w:rPr>
  </w:style>
  <w:style w:type="paragraph" w:styleId="BalloonText">
    <w:name w:val="Balloon Text"/>
    <w:basedOn w:val="Normal"/>
    <w:link w:val="BalloonTextChar"/>
    <w:rsid w:val="0082059D"/>
    <w:rPr>
      <w:rFonts w:ascii="Tahoma" w:hAnsi="Tahoma" w:cs="Tahoma"/>
      <w:sz w:val="16"/>
      <w:szCs w:val="16"/>
    </w:rPr>
  </w:style>
  <w:style w:type="character" w:customStyle="1" w:styleId="BalloonTextChar">
    <w:name w:val="Balloon Text Char"/>
    <w:basedOn w:val="DefaultParagraphFont"/>
    <w:link w:val="BalloonText"/>
    <w:rsid w:val="0082059D"/>
    <w:rPr>
      <w:rFonts w:ascii="Tahoma" w:eastAsia="MS Mincho" w:hAnsi="Tahoma" w:cs="Tahoma"/>
      <w:sz w:val="16"/>
      <w:szCs w:val="16"/>
      <w:lang w:val="en-GB" w:eastAsia="zh-CN"/>
    </w:rPr>
  </w:style>
  <w:style w:type="paragraph" w:styleId="Header">
    <w:name w:val="header"/>
    <w:basedOn w:val="Normal"/>
    <w:link w:val="HeaderChar"/>
    <w:rsid w:val="0082059D"/>
    <w:pPr>
      <w:tabs>
        <w:tab w:val="center" w:pos="4680"/>
        <w:tab w:val="right" w:pos="9360"/>
      </w:tabs>
    </w:pPr>
  </w:style>
  <w:style w:type="character" w:customStyle="1" w:styleId="HeaderChar">
    <w:name w:val="Header Char"/>
    <w:basedOn w:val="DefaultParagraphFont"/>
    <w:link w:val="Header"/>
    <w:rsid w:val="0082059D"/>
    <w:rPr>
      <w:rFonts w:ascii="Times New Roman" w:eastAsia="MS Mincho" w:hAnsi="Times New Roman"/>
      <w:szCs w:val="24"/>
      <w:lang w:val="en-GB" w:eastAsia="zh-CN"/>
    </w:rPr>
  </w:style>
  <w:style w:type="paragraph" w:styleId="Footer">
    <w:name w:val="footer"/>
    <w:basedOn w:val="Normal"/>
    <w:link w:val="FooterChar"/>
    <w:rsid w:val="0082059D"/>
    <w:pPr>
      <w:tabs>
        <w:tab w:val="center" w:pos="4680"/>
        <w:tab w:val="right" w:pos="9360"/>
      </w:tabs>
    </w:pPr>
  </w:style>
  <w:style w:type="character" w:customStyle="1" w:styleId="FooterChar">
    <w:name w:val="Footer Char"/>
    <w:basedOn w:val="DefaultParagraphFont"/>
    <w:link w:val="Footer"/>
    <w:rsid w:val="0082059D"/>
    <w:rPr>
      <w:rFonts w:ascii="Times New Roman" w:eastAsia="MS Mincho" w:hAnsi="Times New Roman"/>
      <w:szCs w:val="24"/>
      <w:lang w:val="en-GB" w:eastAsia="zh-CN"/>
    </w:rPr>
  </w:style>
  <w:style w:type="paragraph" w:customStyle="1" w:styleId="IPPHeader">
    <w:name w:val="IPP Header"/>
    <w:basedOn w:val="Normal"/>
    <w:qFormat/>
    <w:rsid w:val="0082059D"/>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82059D"/>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82059D"/>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82059D"/>
    <w:rPr>
      <w:rFonts w:ascii="Calibri" w:eastAsia="MS Mincho" w:hAnsi="Calibri"/>
      <w:b/>
      <w:bCs/>
      <w:sz w:val="26"/>
      <w:szCs w:val="26"/>
      <w:lang w:val="en-GB" w:eastAsia="zh-CN"/>
    </w:rPr>
  </w:style>
  <w:style w:type="paragraph" w:customStyle="1" w:styleId="Style">
    <w:name w:val="Style"/>
    <w:basedOn w:val="Footer"/>
    <w:autoRedefine/>
    <w:qFormat/>
    <w:rsid w:val="0082059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82059D"/>
    <w:rPr>
      <w:rFonts w:ascii="Arial" w:hAnsi="Arial"/>
      <w:b/>
      <w:sz w:val="18"/>
    </w:rPr>
  </w:style>
  <w:style w:type="paragraph" w:customStyle="1" w:styleId="IPPArialFootnote">
    <w:name w:val="IPP Arial Footnote"/>
    <w:basedOn w:val="IPPArialTable"/>
    <w:qFormat/>
    <w:rsid w:val="0082059D"/>
    <w:pPr>
      <w:tabs>
        <w:tab w:val="left" w:pos="28"/>
      </w:tabs>
      <w:ind w:left="284" w:hanging="284"/>
    </w:pPr>
    <w:rPr>
      <w:sz w:val="16"/>
    </w:rPr>
  </w:style>
  <w:style w:type="paragraph" w:customStyle="1" w:styleId="IPPContentsHead">
    <w:name w:val="IPP ContentsHead"/>
    <w:basedOn w:val="IPPSubhead"/>
    <w:next w:val="IPPNormal"/>
    <w:qFormat/>
    <w:rsid w:val="0082059D"/>
    <w:pPr>
      <w:spacing w:after="240"/>
    </w:pPr>
    <w:rPr>
      <w:sz w:val="24"/>
    </w:rPr>
  </w:style>
  <w:style w:type="paragraph" w:customStyle="1" w:styleId="IPPBullet2">
    <w:name w:val="IPP Bullet2"/>
    <w:basedOn w:val="IPPNormal"/>
    <w:next w:val="IPPBullet1"/>
    <w:qFormat/>
    <w:rsid w:val="0082059D"/>
    <w:pPr>
      <w:numPr>
        <w:numId w:val="4"/>
      </w:numPr>
      <w:tabs>
        <w:tab w:val="left" w:pos="1134"/>
      </w:tabs>
      <w:spacing w:after="60"/>
    </w:pPr>
  </w:style>
  <w:style w:type="paragraph" w:customStyle="1" w:styleId="IPPQuote">
    <w:name w:val="IPP Quote"/>
    <w:basedOn w:val="IPPNormal"/>
    <w:qFormat/>
    <w:rsid w:val="0082059D"/>
    <w:pPr>
      <w:ind w:left="851" w:right="851"/>
    </w:pPr>
    <w:rPr>
      <w:sz w:val="18"/>
    </w:rPr>
  </w:style>
  <w:style w:type="paragraph" w:customStyle="1" w:styleId="IPPIndentClose">
    <w:name w:val="IPP Indent Close"/>
    <w:basedOn w:val="IPPNormal"/>
    <w:qFormat/>
    <w:rsid w:val="0082059D"/>
    <w:pPr>
      <w:tabs>
        <w:tab w:val="left" w:pos="2835"/>
      </w:tabs>
      <w:spacing w:after="60"/>
      <w:ind w:left="567"/>
    </w:pPr>
  </w:style>
  <w:style w:type="paragraph" w:customStyle="1" w:styleId="IPPIndent">
    <w:name w:val="IPP Indent"/>
    <w:basedOn w:val="IPPIndentClose"/>
    <w:qFormat/>
    <w:rsid w:val="0082059D"/>
    <w:pPr>
      <w:spacing w:after="180"/>
    </w:pPr>
  </w:style>
  <w:style w:type="paragraph" w:customStyle="1" w:styleId="IPPFootnote">
    <w:name w:val="IPP Footnote"/>
    <w:basedOn w:val="IPPArialFootnote"/>
    <w:qFormat/>
    <w:rsid w:val="0082059D"/>
    <w:pPr>
      <w:tabs>
        <w:tab w:val="left" w:pos="0"/>
      </w:tabs>
      <w:spacing w:before="0"/>
      <w:ind w:left="0" w:firstLine="0"/>
      <w:jc w:val="both"/>
    </w:pPr>
    <w:rPr>
      <w:rFonts w:ascii="Times New Roman" w:eastAsia="Times New Roman" w:hAnsi="Times New Roman"/>
      <w:sz w:val="20"/>
    </w:rPr>
  </w:style>
  <w:style w:type="character" w:customStyle="1" w:styleId="IPPnormalitalics">
    <w:name w:val="IPP normal italics"/>
    <w:basedOn w:val="DefaultParagraphFont"/>
    <w:rsid w:val="0082059D"/>
    <w:rPr>
      <w:rFonts w:ascii="Times New Roman" w:hAnsi="Times New Roman"/>
      <w:i/>
      <w:sz w:val="22"/>
      <w:lang w:val="en-US"/>
    </w:rPr>
  </w:style>
  <w:style w:type="character" w:customStyle="1" w:styleId="IPPNormalbold">
    <w:name w:val="IPP Normal bold"/>
    <w:basedOn w:val="PlainTextChar"/>
    <w:rsid w:val="0082059D"/>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82059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2059D"/>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2059D"/>
    <w:pPr>
      <w:keepNext/>
      <w:ind w:left="567" w:hanging="567"/>
      <w:jc w:val="left"/>
    </w:pPr>
    <w:rPr>
      <w:b/>
      <w:bCs/>
      <w:iCs/>
      <w:szCs w:val="22"/>
    </w:rPr>
  </w:style>
  <w:style w:type="character" w:customStyle="1" w:styleId="IPPNormalunderlined">
    <w:name w:val="IPP Normal underlined"/>
    <w:basedOn w:val="DefaultParagraphFont"/>
    <w:rsid w:val="0082059D"/>
    <w:rPr>
      <w:rFonts w:ascii="Times New Roman" w:hAnsi="Times New Roman"/>
      <w:sz w:val="22"/>
      <w:u w:val="single"/>
      <w:lang w:val="en-US"/>
    </w:rPr>
  </w:style>
  <w:style w:type="paragraph" w:customStyle="1" w:styleId="IPPBullet1">
    <w:name w:val="IPP Bullet1"/>
    <w:basedOn w:val="IPPBullet1Last"/>
    <w:qFormat/>
    <w:rsid w:val="0082059D"/>
    <w:pPr>
      <w:numPr>
        <w:numId w:val="9"/>
      </w:numPr>
      <w:spacing w:after="60"/>
    </w:pPr>
    <w:rPr>
      <w:lang w:val="en-US"/>
    </w:rPr>
  </w:style>
  <w:style w:type="paragraph" w:customStyle="1" w:styleId="IPPBullet1Last">
    <w:name w:val="IPP Bullet1Last"/>
    <w:basedOn w:val="IPPNormal"/>
    <w:next w:val="IPPNormal"/>
    <w:autoRedefine/>
    <w:qFormat/>
    <w:rsid w:val="0082059D"/>
    <w:pPr>
      <w:numPr>
        <w:numId w:val="5"/>
      </w:numPr>
    </w:pPr>
  </w:style>
  <w:style w:type="character" w:customStyle="1" w:styleId="IPPNormalstrikethrough">
    <w:name w:val="IPP Normal strikethrough"/>
    <w:rsid w:val="0082059D"/>
    <w:rPr>
      <w:rFonts w:ascii="Times New Roman" w:hAnsi="Times New Roman"/>
      <w:strike/>
      <w:dstrike w:val="0"/>
      <w:sz w:val="22"/>
    </w:rPr>
  </w:style>
  <w:style w:type="paragraph" w:customStyle="1" w:styleId="IPPTitle16pt">
    <w:name w:val="IPP Title16pt"/>
    <w:basedOn w:val="Normal"/>
    <w:qFormat/>
    <w:rsid w:val="0082059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2059D"/>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82059D"/>
    <w:pPr>
      <w:keepNext/>
      <w:tabs>
        <w:tab w:val="left" w:pos="567"/>
      </w:tabs>
      <w:spacing w:before="120"/>
      <w:jc w:val="left"/>
      <w:outlineLvl w:val="1"/>
    </w:pPr>
    <w:rPr>
      <w:b/>
      <w:sz w:val="24"/>
    </w:rPr>
  </w:style>
  <w:style w:type="paragraph" w:customStyle="1" w:styleId="IPPNormalCloseSpace">
    <w:name w:val="IPP NormalCloseSpace"/>
    <w:basedOn w:val="Normal"/>
    <w:qFormat/>
    <w:rsid w:val="0082059D"/>
    <w:pPr>
      <w:keepNext/>
      <w:spacing w:after="60"/>
    </w:pPr>
  </w:style>
  <w:style w:type="paragraph" w:customStyle="1" w:styleId="IPPHeading2">
    <w:name w:val="IPP Heading2"/>
    <w:basedOn w:val="IPPNormal"/>
    <w:next w:val="IPPNormal"/>
    <w:qFormat/>
    <w:rsid w:val="0082059D"/>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2059D"/>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2059D"/>
    <w:pPr>
      <w:tabs>
        <w:tab w:val="right" w:leader="dot" w:pos="9072"/>
      </w:tabs>
      <w:spacing w:before="240"/>
      <w:ind w:left="567" w:hanging="567"/>
    </w:pPr>
  </w:style>
  <w:style w:type="paragraph" w:styleId="TOC2">
    <w:name w:val="toc 2"/>
    <w:basedOn w:val="TOC1"/>
    <w:next w:val="Normal"/>
    <w:autoRedefine/>
    <w:uiPriority w:val="39"/>
    <w:rsid w:val="0082059D"/>
    <w:pPr>
      <w:keepNext w:val="0"/>
      <w:tabs>
        <w:tab w:val="left" w:pos="425"/>
      </w:tabs>
      <w:spacing w:before="120" w:after="0"/>
      <w:ind w:left="425" w:right="284" w:hanging="425"/>
    </w:pPr>
  </w:style>
  <w:style w:type="paragraph" w:styleId="TOC3">
    <w:name w:val="toc 3"/>
    <w:basedOn w:val="TOC2"/>
    <w:next w:val="Normal"/>
    <w:autoRedefine/>
    <w:uiPriority w:val="39"/>
    <w:rsid w:val="0082059D"/>
    <w:pPr>
      <w:tabs>
        <w:tab w:val="left" w:pos="1276"/>
      </w:tabs>
      <w:spacing w:before="60"/>
      <w:ind w:left="1276" w:hanging="851"/>
    </w:pPr>
    <w:rPr>
      <w:rFonts w:eastAsia="Times"/>
    </w:rPr>
  </w:style>
  <w:style w:type="paragraph" w:styleId="TOC4">
    <w:name w:val="toc 4"/>
    <w:basedOn w:val="Normal"/>
    <w:next w:val="Normal"/>
    <w:autoRedefine/>
    <w:uiPriority w:val="39"/>
    <w:rsid w:val="0082059D"/>
    <w:pPr>
      <w:spacing w:after="120"/>
      <w:ind w:left="660"/>
    </w:pPr>
    <w:rPr>
      <w:rFonts w:eastAsia="Times"/>
      <w:lang w:val="en-AU"/>
    </w:rPr>
  </w:style>
  <w:style w:type="paragraph" w:styleId="TOC5">
    <w:name w:val="toc 5"/>
    <w:basedOn w:val="Normal"/>
    <w:next w:val="Normal"/>
    <w:autoRedefine/>
    <w:uiPriority w:val="39"/>
    <w:rsid w:val="0082059D"/>
    <w:pPr>
      <w:spacing w:after="120"/>
      <w:ind w:left="880"/>
    </w:pPr>
    <w:rPr>
      <w:rFonts w:eastAsia="Times"/>
      <w:lang w:val="en-AU"/>
    </w:rPr>
  </w:style>
  <w:style w:type="paragraph" w:styleId="TOC6">
    <w:name w:val="toc 6"/>
    <w:basedOn w:val="Normal"/>
    <w:next w:val="Normal"/>
    <w:autoRedefine/>
    <w:uiPriority w:val="39"/>
    <w:rsid w:val="0082059D"/>
    <w:pPr>
      <w:spacing w:after="120"/>
      <w:ind w:left="1100"/>
    </w:pPr>
    <w:rPr>
      <w:rFonts w:eastAsia="Times"/>
      <w:lang w:val="en-AU"/>
    </w:rPr>
  </w:style>
  <w:style w:type="paragraph" w:styleId="TOC7">
    <w:name w:val="toc 7"/>
    <w:basedOn w:val="Normal"/>
    <w:next w:val="Normal"/>
    <w:autoRedefine/>
    <w:uiPriority w:val="39"/>
    <w:rsid w:val="0082059D"/>
    <w:pPr>
      <w:spacing w:after="120"/>
      <w:ind w:left="1320"/>
    </w:pPr>
    <w:rPr>
      <w:rFonts w:eastAsia="Times"/>
      <w:lang w:val="en-AU"/>
    </w:rPr>
  </w:style>
  <w:style w:type="paragraph" w:styleId="TOC8">
    <w:name w:val="toc 8"/>
    <w:basedOn w:val="Normal"/>
    <w:next w:val="Normal"/>
    <w:autoRedefine/>
    <w:uiPriority w:val="39"/>
    <w:rsid w:val="0082059D"/>
    <w:pPr>
      <w:spacing w:after="120"/>
      <w:ind w:left="1540"/>
    </w:pPr>
    <w:rPr>
      <w:rFonts w:eastAsia="Times"/>
      <w:lang w:val="en-AU"/>
    </w:rPr>
  </w:style>
  <w:style w:type="paragraph" w:styleId="TOC9">
    <w:name w:val="toc 9"/>
    <w:basedOn w:val="Normal"/>
    <w:next w:val="Normal"/>
    <w:autoRedefine/>
    <w:uiPriority w:val="39"/>
    <w:rsid w:val="0082059D"/>
    <w:pPr>
      <w:spacing w:after="120"/>
      <w:ind w:left="1760"/>
    </w:pPr>
    <w:rPr>
      <w:rFonts w:eastAsia="Times"/>
      <w:lang w:val="en-AU"/>
    </w:rPr>
  </w:style>
  <w:style w:type="paragraph" w:customStyle="1" w:styleId="IPPReferences">
    <w:name w:val="IPP References"/>
    <w:basedOn w:val="IPPNormal"/>
    <w:qFormat/>
    <w:rsid w:val="0082059D"/>
    <w:pPr>
      <w:spacing w:after="60"/>
      <w:ind w:left="567" w:hanging="567"/>
    </w:pPr>
  </w:style>
  <w:style w:type="paragraph" w:customStyle="1" w:styleId="IPPArial">
    <w:name w:val="IPP Arial"/>
    <w:basedOn w:val="IPPNormal"/>
    <w:qFormat/>
    <w:rsid w:val="0082059D"/>
    <w:pPr>
      <w:spacing w:after="0"/>
    </w:pPr>
    <w:rPr>
      <w:rFonts w:ascii="Arial" w:hAnsi="Arial"/>
      <w:sz w:val="18"/>
    </w:rPr>
  </w:style>
  <w:style w:type="paragraph" w:customStyle="1" w:styleId="IPPHeaderlandscape">
    <w:name w:val="IPP Header landscape"/>
    <w:basedOn w:val="IPPHeader"/>
    <w:qFormat/>
    <w:rsid w:val="0082059D"/>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2059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2059D"/>
    <w:rPr>
      <w:rFonts w:ascii="Courier" w:eastAsia="Times" w:hAnsi="Courier"/>
      <w:sz w:val="21"/>
      <w:szCs w:val="21"/>
      <w:lang w:val="en-AU" w:eastAsia="zh-CN"/>
    </w:rPr>
  </w:style>
  <w:style w:type="paragraph" w:customStyle="1" w:styleId="IPPLetterList">
    <w:name w:val="IPP LetterList"/>
    <w:basedOn w:val="IPPBullet2"/>
    <w:qFormat/>
    <w:rsid w:val="0082059D"/>
    <w:pPr>
      <w:numPr>
        <w:numId w:val="2"/>
      </w:numPr>
      <w:jc w:val="left"/>
    </w:pPr>
  </w:style>
  <w:style w:type="paragraph" w:customStyle="1" w:styleId="IPPLetterListIndent">
    <w:name w:val="IPP LetterList Indent"/>
    <w:basedOn w:val="IPPLetterList"/>
    <w:qFormat/>
    <w:rsid w:val="0082059D"/>
    <w:pPr>
      <w:numPr>
        <w:numId w:val="3"/>
      </w:numPr>
    </w:pPr>
  </w:style>
  <w:style w:type="paragraph" w:customStyle="1" w:styleId="IPPFooterLandscape">
    <w:name w:val="IPP Footer Landscape"/>
    <w:basedOn w:val="IPPHeaderlandscape"/>
    <w:qFormat/>
    <w:rsid w:val="0082059D"/>
    <w:pPr>
      <w:pBdr>
        <w:top w:val="single" w:sz="4" w:space="1" w:color="auto"/>
        <w:bottom w:val="none" w:sz="0" w:space="0" w:color="auto"/>
      </w:pBdr>
      <w:jc w:val="right"/>
    </w:pPr>
    <w:rPr>
      <w:b/>
    </w:rPr>
  </w:style>
  <w:style w:type="paragraph" w:customStyle="1" w:styleId="IPPSubheadSpace">
    <w:name w:val="IPP Subhead Space"/>
    <w:basedOn w:val="IPPSubhead"/>
    <w:qFormat/>
    <w:rsid w:val="0082059D"/>
    <w:pPr>
      <w:tabs>
        <w:tab w:val="left" w:pos="567"/>
      </w:tabs>
      <w:spacing w:before="60" w:after="60"/>
    </w:pPr>
  </w:style>
  <w:style w:type="paragraph" w:customStyle="1" w:styleId="IPPSubheadSpaceAfter">
    <w:name w:val="IPP Subhead SpaceAfter"/>
    <w:basedOn w:val="IPPSubhead"/>
    <w:qFormat/>
    <w:rsid w:val="0082059D"/>
    <w:pPr>
      <w:spacing w:after="60"/>
    </w:pPr>
  </w:style>
  <w:style w:type="paragraph" w:customStyle="1" w:styleId="IPPHdg1Num">
    <w:name w:val="IPP Hdg1Num"/>
    <w:basedOn w:val="IPPHeading1"/>
    <w:next w:val="IPPNormal"/>
    <w:qFormat/>
    <w:rsid w:val="0082059D"/>
    <w:pPr>
      <w:numPr>
        <w:numId w:val="6"/>
      </w:numPr>
    </w:pPr>
  </w:style>
  <w:style w:type="paragraph" w:customStyle="1" w:styleId="IPPHdg2Num">
    <w:name w:val="IPP Hdg2Num"/>
    <w:basedOn w:val="IPPHeading2"/>
    <w:next w:val="IPPNormal"/>
    <w:qFormat/>
    <w:rsid w:val="0082059D"/>
    <w:pPr>
      <w:numPr>
        <w:ilvl w:val="1"/>
        <w:numId w:val="7"/>
      </w:numPr>
    </w:pPr>
  </w:style>
  <w:style w:type="paragraph" w:customStyle="1" w:styleId="IPPNumberedList">
    <w:name w:val="IPP NumberedList"/>
    <w:basedOn w:val="IPPBullet1"/>
    <w:qFormat/>
    <w:rsid w:val="0082059D"/>
    <w:pPr>
      <w:numPr>
        <w:numId w:val="8"/>
      </w:numPr>
    </w:pPr>
  </w:style>
  <w:style w:type="character" w:styleId="Strong">
    <w:name w:val="Strong"/>
    <w:basedOn w:val="DefaultParagraphFont"/>
    <w:qFormat/>
    <w:rsid w:val="0082059D"/>
    <w:rPr>
      <w:b/>
      <w:bCs/>
    </w:rPr>
  </w:style>
  <w:style w:type="paragraph" w:customStyle="1" w:styleId="IPPParagraphnumberingclose">
    <w:name w:val="IPP Paragraph numbering close"/>
    <w:basedOn w:val="IPPParagraphnumbering"/>
    <w:qFormat/>
    <w:rsid w:val="0082059D"/>
    <w:pPr>
      <w:keepNext/>
      <w:numPr>
        <w:numId w:val="0"/>
      </w:numPr>
      <w:spacing w:after="60"/>
    </w:pPr>
  </w:style>
  <w:style w:type="paragraph" w:customStyle="1" w:styleId="IPPNumberedListLast">
    <w:name w:val="IPP NumberedListLast"/>
    <w:basedOn w:val="IPPNumberedList"/>
    <w:qFormat/>
    <w:rsid w:val="0082059D"/>
    <w:pPr>
      <w:numPr>
        <w:numId w:val="0"/>
      </w:numPr>
      <w:spacing w:after="180"/>
    </w:pPr>
  </w:style>
  <w:style w:type="paragraph" w:styleId="NormalWeb">
    <w:name w:val="Normal (Web)"/>
    <w:basedOn w:val="Normal"/>
    <w:uiPriority w:val="99"/>
    <w:semiHidden/>
    <w:unhideWhenUsed/>
    <w:rsid w:val="00970191"/>
    <w:pPr>
      <w:spacing w:before="100" w:beforeAutospacing="1" w:after="100" w:afterAutospacing="1"/>
    </w:pPr>
    <w:rPr>
      <w:rFonts w:eastAsia="Times New Roman"/>
      <w:sz w:val="24"/>
    </w:rPr>
  </w:style>
  <w:style w:type="character" w:styleId="CommentReference">
    <w:name w:val="annotation reference"/>
    <w:basedOn w:val="DefaultParagraphFont"/>
    <w:uiPriority w:val="99"/>
    <w:semiHidden/>
    <w:unhideWhenUsed/>
    <w:rsid w:val="0082059D"/>
    <w:rPr>
      <w:sz w:val="16"/>
      <w:szCs w:val="16"/>
    </w:rPr>
  </w:style>
  <w:style w:type="paragraph" w:styleId="CommentText">
    <w:name w:val="annotation text"/>
    <w:basedOn w:val="Normal"/>
    <w:link w:val="CommentTextChar"/>
    <w:uiPriority w:val="99"/>
    <w:unhideWhenUsed/>
    <w:rsid w:val="0082059D"/>
    <w:rPr>
      <w:sz w:val="20"/>
      <w:szCs w:val="20"/>
    </w:rPr>
  </w:style>
  <w:style w:type="character" w:customStyle="1" w:styleId="CommentTextChar">
    <w:name w:val="Comment Text Char"/>
    <w:basedOn w:val="DefaultParagraphFont"/>
    <w:link w:val="CommentText"/>
    <w:uiPriority w:val="99"/>
    <w:rsid w:val="0082059D"/>
    <w:rPr>
      <w:rFonts w:ascii="Times New Roman" w:eastAsia="MS Mincho" w:hAnsi="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82059D"/>
    <w:rPr>
      <w:b/>
      <w:bCs/>
    </w:rPr>
  </w:style>
  <w:style w:type="character" w:customStyle="1" w:styleId="CommentSubjectChar">
    <w:name w:val="Comment Subject Char"/>
    <w:basedOn w:val="CommentTextChar"/>
    <w:link w:val="CommentSubject"/>
    <w:uiPriority w:val="99"/>
    <w:semiHidden/>
    <w:rsid w:val="0082059D"/>
    <w:rPr>
      <w:rFonts w:ascii="Times New Roman" w:eastAsia="MS Mincho" w:hAnsi="Times New Roman"/>
      <w:b/>
      <w:bCs/>
      <w:sz w:val="20"/>
      <w:szCs w:val="20"/>
      <w:lang w:val="en-GB" w:eastAsia="zh-CN"/>
    </w:rPr>
  </w:style>
  <w:style w:type="character" w:styleId="FollowedHyperlink">
    <w:name w:val="FollowedHyperlink"/>
    <w:basedOn w:val="DefaultParagraphFont"/>
    <w:uiPriority w:val="99"/>
    <w:semiHidden/>
    <w:unhideWhenUsed/>
    <w:rsid w:val="0082059D"/>
    <w:rPr>
      <w:color w:val="954F72" w:themeColor="followedHyperlink"/>
      <w:u w:val="single"/>
    </w:rPr>
  </w:style>
  <w:style w:type="paragraph" w:styleId="Revision">
    <w:name w:val="Revision"/>
    <w:hidden/>
    <w:uiPriority w:val="99"/>
    <w:semiHidden/>
    <w:rsid w:val="0082059D"/>
    <w:pPr>
      <w:spacing w:after="0" w:line="240" w:lineRule="auto"/>
    </w:pPr>
  </w:style>
  <w:style w:type="character" w:customStyle="1" w:styleId="1">
    <w:name w:val="Неразрешенное упоминание1"/>
    <w:basedOn w:val="DefaultParagraphFont"/>
    <w:uiPriority w:val="99"/>
    <w:semiHidden/>
    <w:unhideWhenUsed/>
    <w:rsid w:val="001F28B3"/>
    <w:rPr>
      <w:color w:val="605E5C"/>
      <w:shd w:val="clear" w:color="auto" w:fill="E1DFDD"/>
    </w:rPr>
  </w:style>
  <w:style w:type="character" w:customStyle="1" w:styleId="UnresolvedMention1">
    <w:name w:val="Unresolved Mention1"/>
    <w:basedOn w:val="DefaultParagraphFont"/>
    <w:uiPriority w:val="99"/>
    <w:semiHidden/>
    <w:unhideWhenUsed/>
    <w:rsid w:val="0082059D"/>
    <w:rPr>
      <w:color w:val="605E5C"/>
      <w:shd w:val="clear" w:color="auto" w:fill="E1DFDD"/>
    </w:rPr>
  </w:style>
  <w:style w:type="character" w:customStyle="1" w:styleId="UnresolvedMention2">
    <w:name w:val="Unresolved Mention2"/>
    <w:basedOn w:val="DefaultParagraphFont"/>
    <w:uiPriority w:val="99"/>
    <w:semiHidden/>
    <w:unhideWhenUsed/>
    <w:rsid w:val="000E02E9"/>
    <w:rPr>
      <w:color w:val="605E5C"/>
      <w:shd w:val="clear" w:color="auto" w:fill="E1DFDD"/>
    </w:rPr>
  </w:style>
  <w:style w:type="character" w:customStyle="1" w:styleId="UnresolvedMention3">
    <w:name w:val="Unresolved Mention3"/>
    <w:basedOn w:val="DefaultParagraphFont"/>
    <w:uiPriority w:val="99"/>
    <w:semiHidden/>
    <w:unhideWhenUsed/>
    <w:rsid w:val="00FE7E86"/>
    <w:rPr>
      <w:color w:val="605E5C"/>
      <w:shd w:val="clear" w:color="auto" w:fill="E1DFDD"/>
    </w:rPr>
  </w:style>
  <w:style w:type="numbering" w:customStyle="1" w:styleId="IPPParagraphnumberedlist1">
    <w:name w:val="IPP Paragraph numbered list1"/>
    <w:rsid w:val="000153DA"/>
  </w:style>
  <w:style w:type="character" w:customStyle="1" w:styleId="UnresolvedMention4">
    <w:name w:val="Unresolved Mention4"/>
    <w:basedOn w:val="DefaultParagraphFont"/>
    <w:uiPriority w:val="99"/>
    <w:semiHidden/>
    <w:unhideWhenUsed/>
    <w:rsid w:val="00B41B3A"/>
    <w:rPr>
      <w:color w:val="605E5C"/>
      <w:shd w:val="clear" w:color="auto" w:fill="E1DFDD"/>
    </w:rPr>
  </w:style>
  <w:style w:type="character" w:styleId="Emphasis">
    <w:name w:val="Emphasis"/>
    <w:basedOn w:val="DefaultParagraphFont"/>
    <w:uiPriority w:val="20"/>
    <w:qFormat/>
    <w:rsid w:val="00B67531"/>
    <w:rPr>
      <w:i/>
      <w:iCs/>
    </w:rPr>
  </w:style>
  <w:style w:type="paragraph" w:customStyle="1" w:styleId="paragraph">
    <w:name w:val="paragraph"/>
    <w:basedOn w:val="Normal"/>
    <w:rsid w:val="00F524C3"/>
    <w:pPr>
      <w:spacing w:before="100" w:beforeAutospacing="1" w:after="100" w:afterAutospacing="1"/>
      <w:jc w:val="left"/>
    </w:pPr>
    <w:rPr>
      <w:rFonts w:eastAsia="Times New Roman"/>
      <w:sz w:val="24"/>
      <w:lang w:val="en-US"/>
    </w:rPr>
  </w:style>
  <w:style w:type="character" w:customStyle="1" w:styleId="normaltextrun">
    <w:name w:val="normaltextrun"/>
    <w:basedOn w:val="DefaultParagraphFont"/>
    <w:rsid w:val="00F524C3"/>
  </w:style>
  <w:style w:type="character" w:customStyle="1" w:styleId="eop">
    <w:name w:val="eop"/>
    <w:basedOn w:val="DefaultParagraphFont"/>
    <w:rsid w:val="00F524C3"/>
  </w:style>
  <w:style w:type="character" w:styleId="UnresolvedMention">
    <w:name w:val="Unresolved Mention"/>
    <w:basedOn w:val="DefaultParagraphFont"/>
    <w:uiPriority w:val="99"/>
    <w:semiHidden/>
    <w:unhideWhenUsed/>
    <w:rsid w:val="00F259E0"/>
    <w:rPr>
      <w:color w:val="605E5C"/>
      <w:shd w:val="clear" w:color="auto" w:fill="E1DFDD"/>
    </w:rPr>
  </w:style>
  <w:style w:type="character" w:styleId="Mention">
    <w:name w:val="Mention"/>
    <w:basedOn w:val="DefaultParagraphFont"/>
    <w:uiPriority w:val="99"/>
    <w:unhideWhenUsed/>
    <w:rsid w:val="00E06D3C"/>
    <w:rPr>
      <w:color w:val="2B579A"/>
      <w:shd w:val="clear" w:color="auto" w:fill="E1DFDD"/>
    </w:rPr>
  </w:style>
  <w:style w:type="paragraph" w:customStyle="1" w:styleId="IPPPargraphnumbering">
    <w:name w:val="IPP Pargraph numbering"/>
    <w:basedOn w:val="IPPNormal"/>
    <w:qFormat/>
    <w:rsid w:val="0082059D"/>
    <w:pPr>
      <w:tabs>
        <w:tab w:val="num" w:pos="360"/>
      </w:tabs>
    </w:pPr>
    <w:rPr>
      <w:rFonts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6564">
      <w:bodyDiv w:val="1"/>
      <w:marLeft w:val="0"/>
      <w:marRight w:val="0"/>
      <w:marTop w:val="0"/>
      <w:marBottom w:val="0"/>
      <w:divBdr>
        <w:top w:val="none" w:sz="0" w:space="0" w:color="auto"/>
        <w:left w:val="none" w:sz="0" w:space="0" w:color="auto"/>
        <w:bottom w:val="none" w:sz="0" w:space="0" w:color="auto"/>
        <w:right w:val="none" w:sz="0" w:space="0" w:color="auto"/>
      </w:divBdr>
    </w:div>
    <w:div w:id="37706781">
      <w:bodyDiv w:val="1"/>
      <w:marLeft w:val="0"/>
      <w:marRight w:val="0"/>
      <w:marTop w:val="0"/>
      <w:marBottom w:val="0"/>
      <w:divBdr>
        <w:top w:val="none" w:sz="0" w:space="0" w:color="auto"/>
        <w:left w:val="none" w:sz="0" w:space="0" w:color="auto"/>
        <w:bottom w:val="none" w:sz="0" w:space="0" w:color="auto"/>
        <w:right w:val="none" w:sz="0" w:space="0" w:color="auto"/>
      </w:divBdr>
    </w:div>
    <w:div w:id="63070300">
      <w:bodyDiv w:val="1"/>
      <w:marLeft w:val="0"/>
      <w:marRight w:val="0"/>
      <w:marTop w:val="0"/>
      <w:marBottom w:val="0"/>
      <w:divBdr>
        <w:top w:val="none" w:sz="0" w:space="0" w:color="auto"/>
        <w:left w:val="none" w:sz="0" w:space="0" w:color="auto"/>
        <w:bottom w:val="none" w:sz="0" w:space="0" w:color="auto"/>
        <w:right w:val="none" w:sz="0" w:space="0" w:color="auto"/>
      </w:divBdr>
    </w:div>
    <w:div w:id="87510622">
      <w:bodyDiv w:val="1"/>
      <w:marLeft w:val="0"/>
      <w:marRight w:val="0"/>
      <w:marTop w:val="0"/>
      <w:marBottom w:val="0"/>
      <w:divBdr>
        <w:top w:val="none" w:sz="0" w:space="0" w:color="auto"/>
        <w:left w:val="none" w:sz="0" w:space="0" w:color="auto"/>
        <w:bottom w:val="none" w:sz="0" w:space="0" w:color="auto"/>
        <w:right w:val="none" w:sz="0" w:space="0" w:color="auto"/>
      </w:divBdr>
    </w:div>
    <w:div w:id="156384672">
      <w:bodyDiv w:val="1"/>
      <w:marLeft w:val="0"/>
      <w:marRight w:val="0"/>
      <w:marTop w:val="0"/>
      <w:marBottom w:val="0"/>
      <w:divBdr>
        <w:top w:val="none" w:sz="0" w:space="0" w:color="auto"/>
        <w:left w:val="none" w:sz="0" w:space="0" w:color="auto"/>
        <w:bottom w:val="none" w:sz="0" w:space="0" w:color="auto"/>
        <w:right w:val="none" w:sz="0" w:space="0" w:color="auto"/>
      </w:divBdr>
    </w:div>
    <w:div w:id="267545840">
      <w:bodyDiv w:val="1"/>
      <w:marLeft w:val="0"/>
      <w:marRight w:val="0"/>
      <w:marTop w:val="0"/>
      <w:marBottom w:val="0"/>
      <w:divBdr>
        <w:top w:val="none" w:sz="0" w:space="0" w:color="auto"/>
        <w:left w:val="none" w:sz="0" w:space="0" w:color="auto"/>
        <w:bottom w:val="none" w:sz="0" w:space="0" w:color="auto"/>
        <w:right w:val="none" w:sz="0" w:space="0" w:color="auto"/>
      </w:divBdr>
    </w:div>
    <w:div w:id="340857297">
      <w:bodyDiv w:val="1"/>
      <w:marLeft w:val="0"/>
      <w:marRight w:val="0"/>
      <w:marTop w:val="0"/>
      <w:marBottom w:val="0"/>
      <w:divBdr>
        <w:top w:val="none" w:sz="0" w:space="0" w:color="auto"/>
        <w:left w:val="none" w:sz="0" w:space="0" w:color="auto"/>
        <w:bottom w:val="none" w:sz="0" w:space="0" w:color="auto"/>
        <w:right w:val="none" w:sz="0" w:space="0" w:color="auto"/>
      </w:divBdr>
    </w:div>
    <w:div w:id="429200742">
      <w:bodyDiv w:val="1"/>
      <w:marLeft w:val="0"/>
      <w:marRight w:val="0"/>
      <w:marTop w:val="0"/>
      <w:marBottom w:val="0"/>
      <w:divBdr>
        <w:top w:val="none" w:sz="0" w:space="0" w:color="auto"/>
        <w:left w:val="none" w:sz="0" w:space="0" w:color="auto"/>
        <w:bottom w:val="none" w:sz="0" w:space="0" w:color="auto"/>
        <w:right w:val="none" w:sz="0" w:space="0" w:color="auto"/>
      </w:divBdr>
    </w:div>
    <w:div w:id="448820594">
      <w:bodyDiv w:val="1"/>
      <w:marLeft w:val="0"/>
      <w:marRight w:val="0"/>
      <w:marTop w:val="0"/>
      <w:marBottom w:val="0"/>
      <w:divBdr>
        <w:top w:val="none" w:sz="0" w:space="0" w:color="auto"/>
        <w:left w:val="none" w:sz="0" w:space="0" w:color="auto"/>
        <w:bottom w:val="none" w:sz="0" w:space="0" w:color="auto"/>
        <w:right w:val="none" w:sz="0" w:space="0" w:color="auto"/>
      </w:divBdr>
    </w:div>
    <w:div w:id="464158226">
      <w:bodyDiv w:val="1"/>
      <w:marLeft w:val="0"/>
      <w:marRight w:val="0"/>
      <w:marTop w:val="0"/>
      <w:marBottom w:val="0"/>
      <w:divBdr>
        <w:top w:val="none" w:sz="0" w:space="0" w:color="auto"/>
        <w:left w:val="none" w:sz="0" w:space="0" w:color="auto"/>
        <w:bottom w:val="none" w:sz="0" w:space="0" w:color="auto"/>
        <w:right w:val="none" w:sz="0" w:space="0" w:color="auto"/>
      </w:divBdr>
    </w:div>
    <w:div w:id="484054103">
      <w:bodyDiv w:val="1"/>
      <w:marLeft w:val="0"/>
      <w:marRight w:val="0"/>
      <w:marTop w:val="0"/>
      <w:marBottom w:val="0"/>
      <w:divBdr>
        <w:top w:val="none" w:sz="0" w:space="0" w:color="auto"/>
        <w:left w:val="none" w:sz="0" w:space="0" w:color="auto"/>
        <w:bottom w:val="none" w:sz="0" w:space="0" w:color="auto"/>
        <w:right w:val="none" w:sz="0" w:space="0" w:color="auto"/>
      </w:divBdr>
    </w:div>
    <w:div w:id="488324137">
      <w:bodyDiv w:val="1"/>
      <w:marLeft w:val="0"/>
      <w:marRight w:val="0"/>
      <w:marTop w:val="0"/>
      <w:marBottom w:val="0"/>
      <w:divBdr>
        <w:top w:val="none" w:sz="0" w:space="0" w:color="auto"/>
        <w:left w:val="none" w:sz="0" w:space="0" w:color="auto"/>
        <w:bottom w:val="none" w:sz="0" w:space="0" w:color="auto"/>
        <w:right w:val="none" w:sz="0" w:space="0" w:color="auto"/>
      </w:divBdr>
    </w:div>
    <w:div w:id="558521434">
      <w:bodyDiv w:val="1"/>
      <w:marLeft w:val="0"/>
      <w:marRight w:val="0"/>
      <w:marTop w:val="0"/>
      <w:marBottom w:val="0"/>
      <w:divBdr>
        <w:top w:val="none" w:sz="0" w:space="0" w:color="auto"/>
        <w:left w:val="none" w:sz="0" w:space="0" w:color="auto"/>
        <w:bottom w:val="none" w:sz="0" w:space="0" w:color="auto"/>
        <w:right w:val="none" w:sz="0" w:space="0" w:color="auto"/>
      </w:divBdr>
    </w:div>
    <w:div w:id="569778620">
      <w:bodyDiv w:val="1"/>
      <w:marLeft w:val="0"/>
      <w:marRight w:val="0"/>
      <w:marTop w:val="0"/>
      <w:marBottom w:val="0"/>
      <w:divBdr>
        <w:top w:val="none" w:sz="0" w:space="0" w:color="auto"/>
        <w:left w:val="none" w:sz="0" w:space="0" w:color="auto"/>
        <w:bottom w:val="none" w:sz="0" w:space="0" w:color="auto"/>
        <w:right w:val="none" w:sz="0" w:space="0" w:color="auto"/>
      </w:divBdr>
    </w:div>
    <w:div w:id="586302813">
      <w:bodyDiv w:val="1"/>
      <w:marLeft w:val="0"/>
      <w:marRight w:val="0"/>
      <w:marTop w:val="0"/>
      <w:marBottom w:val="0"/>
      <w:divBdr>
        <w:top w:val="none" w:sz="0" w:space="0" w:color="auto"/>
        <w:left w:val="none" w:sz="0" w:space="0" w:color="auto"/>
        <w:bottom w:val="none" w:sz="0" w:space="0" w:color="auto"/>
        <w:right w:val="none" w:sz="0" w:space="0" w:color="auto"/>
      </w:divBdr>
    </w:div>
    <w:div w:id="616257574">
      <w:bodyDiv w:val="1"/>
      <w:marLeft w:val="0"/>
      <w:marRight w:val="0"/>
      <w:marTop w:val="0"/>
      <w:marBottom w:val="0"/>
      <w:divBdr>
        <w:top w:val="none" w:sz="0" w:space="0" w:color="auto"/>
        <w:left w:val="none" w:sz="0" w:space="0" w:color="auto"/>
        <w:bottom w:val="none" w:sz="0" w:space="0" w:color="auto"/>
        <w:right w:val="none" w:sz="0" w:space="0" w:color="auto"/>
      </w:divBdr>
    </w:div>
    <w:div w:id="690305089">
      <w:bodyDiv w:val="1"/>
      <w:marLeft w:val="0"/>
      <w:marRight w:val="0"/>
      <w:marTop w:val="0"/>
      <w:marBottom w:val="0"/>
      <w:divBdr>
        <w:top w:val="none" w:sz="0" w:space="0" w:color="auto"/>
        <w:left w:val="none" w:sz="0" w:space="0" w:color="auto"/>
        <w:bottom w:val="none" w:sz="0" w:space="0" w:color="auto"/>
        <w:right w:val="none" w:sz="0" w:space="0" w:color="auto"/>
      </w:divBdr>
    </w:div>
    <w:div w:id="714740739">
      <w:bodyDiv w:val="1"/>
      <w:marLeft w:val="0"/>
      <w:marRight w:val="0"/>
      <w:marTop w:val="0"/>
      <w:marBottom w:val="0"/>
      <w:divBdr>
        <w:top w:val="none" w:sz="0" w:space="0" w:color="auto"/>
        <w:left w:val="none" w:sz="0" w:space="0" w:color="auto"/>
        <w:bottom w:val="none" w:sz="0" w:space="0" w:color="auto"/>
        <w:right w:val="none" w:sz="0" w:space="0" w:color="auto"/>
      </w:divBdr>
    </w:div>
    <w:div w:id="738021948">
      <w:bodyDiv w:val="1"/>
      <w:marLeft w:val="0"/>
      <w:marRight w:val="0"/>
      <w:marTop w:val="0"/>
      <w:marBottom w:val="0"/>
      <w:divBdr>
        <w:top w:val="none" w:sz="0" w:space="0" w:color="auto"/>
        <w:left w:val="none" w:sz="0" w:space="0" w:color="auto"/>
        <w:bottom w:val="none" w:sz="0" w:space="0" w:color="auto"/>
        <w:right w:val="none" w:sz="0" w:space="0" w:color="auto"/>
      </w:divBdr>
    </w:div>
    <w:div w:id="857693107">
      <w:bodyDiv w:val="1"/>
      <w:marLeft w:val="0"/>
      <w:marRight w:val="0"/>
      <w:marTop w:val="0"/>
      <w:marBottom w:val="0"/>
      <w:divBdr>
        <w:top w:val="none" w:sz="0" w:space="0" w:color="auto"/>
        <w:left w:val="none" w:sz="0" w:space="0" w:color="auto"/>
        <w:bottom w:val="none" w:sz="0" w:space="0" w:color="auto"/>
        <w:right w:val="none" w:sz="0" w:space="0" w:color="auto"/>
      </w:divBdr>
    </w:div>
    <w:div w:id="932009073">
      <w:bodyDiv w:val="1"/>
      <w:marLeft w:val="0"/>
      <w:marRight w:val="0"/>
      <w:marTop w:val="0"/>
      <w:marBottom w:val="0"/>
      <w:divBdr>
        <w:top w:val="none" w:sz="0" w:space="0" w:color="auto"/>
        <w:left w:val="none" w:sz="0" w:space="0" w:color="auto"/>
        <w:bottom w:val="none" w:sz="0" w:space="0" w:color="auto"/>
        <w:right w:val="none" w:sz="0" w:space="0" w:color="auto"/>
      </w:divBdr>
    </w:div>
    <w:div w:id="965550573">
      <w:bodyDiv w:val="1"/>
      <w:marLeft w:val="0"/>
      <w:marRight w:val="0"/>
      <w:marTop w:val="0"/>
      <w:marBottom w:val="0"/>
      <w:divBdr>
        <w:top w:val="none" w:sz="0" w:space="0" w:color="auto"/>
        <w:left w:val="none" w:sz="0" w:space="0" w:color="auto"/>
        <w:bottom w:val="none" w:sz="0" w:space="0" w:color="auto"/>
        <w:right w:val="none" w:sz="0" w:space="0" w:color="auto"/>
      </w:divBdr>
      <w:divsChild>
        <w:div w:id="695346593">
          <w:marLeft w:val="0"/>
          <w:marRight w:val="0"/>
          <w:marTop w:val="0"/>
          <w:marBottom w:val="0"/>
          <w:divBdr>
            <w:top w:val="none" w:sz="0" w:space="0" w:color="auto"/>
            <w:left w:val="none" w:sz="0" w:space="0" w:color="auto"/>
            <w:bottom w:val="none" w:sz="0" w:space="0" w:color="auto"/>
            <w:right w:val="none" w:sz="0" w:space="0" w:color="auto"/>
          </w:divBdr>
        </w:div>
        <w:div w:id="447548766">
          <w:marLeft w:val="0"/>
          <w:marRight w:val="0"/>
          <w:marTop w:val="0"/>
          <w:marBottom w:val="0"/>
          <w:divBdr>
            <w:top w:val="none" w:sz="0" w:space="0" w:color="auto"/>
            <w:left w:val="none" w:sz="0" w:space="0" w:color="auto"/>
            <w:bottom w:val="none" w:sz="0" w:space="0" w:color="auto"/>
            <w:right w:val="none" w:sz="0" w:space="0" w:color="auto"/>
          </w:divBdr>
        </w:div>
        <w:div w:id="1557086371">
          <w:marLeft w:val="0"/>
          <w:marRight w:val="0"/>
          <w:marTop w:val="0"/>
          <w:marBottom w:val="0"/>
          <w:divBdr>
            <w:top w:val="none" w:sz="0" w:space="0" w:color="auto"/>
            <w:left w:val="none" w:sz="0" w:space="0" w:color="auto"/>
            <w:bottom w:val="none" w:sz="0" w:space="0" w:color="auto"/>
            <w:right w:val="none" w:sz="0" w:space="0" w:color="auto"/>
          </w:divBdr>
        </w:div>
        <w:div w:id="974212086">
          <w:marLeft w:val="0"/>
          <w:marRight w:val="0"/>
          <w:marTop w:val="0"/>
          <w:marBottom w:val="0"/>
          <w:divBdr>
            <w:top w:val="none" w:sz="0" w:space="0" w:color="auto"/>
            <w:left w:val="none" w:sz="0" w:space="0" w:color="auto"/>
            <w:bottom w:val="none" w:sz="0" w:space="0" w:color="auto"/>
            <w:right w:val="none" w:sz="0" w:space="0" w:color="auto"/>
          </w:divBdr>
        </w:div>
      </w:divsChild>
    </w:div>
    <w:div w:id="1036586691">
      <w:bodyDiv w:val="1"/>
      <w:marLeft w:val="0"/>
      <w:marRight w:val="0"/>
      <w:marTop w:val="0"/>
      <w:marBottom w:val="0"/>
      <w:divBdr>
        <w:top w:val="none" w:sz="0" w:space="0" w:color="auto"/>
        <w:left w:val="none" w:sz="0" w:space="0" w:color="auto"/>
        <w:bottom w:val="none" w:sz="0" w:space="0" w:color="auto"/>
        <w:right w:val="none" w:sz="0" w:space="0" w:color="auto"/>
      </w:divBdr>
    </w:div>
    <w:div w:id="1107652621">
      <w:bodyDiv w:val="1"/>
      <w:marLeft w:val="0"/>
      <w:marRight w:val="0"/>
      <w:marTop w:val="0"/>
      <w:marBottom w:val="0"/>
      <w:divBdr>
        <w:top w:val="none" w:sz="0" w:space="0" w:color="auto"/>
        <w:left w:val="none" w:sz="0" w:space="0" w:color="auto"/>
        <w:bottom w:val="none" w:sz="0" w:space="0" w:color="auto"/>
        <w:right w:val="none" w:sz="0" w:space="0" w:color="auto"/>
      </w:divBdr>
    </w:div>
    <w:div w:id="1127435938">
      <w:bodyDiv w:val="1"/>
      <w:marLeft w:val="0"/>
      <w:marRight w:val="0"/>
      <w:marTop w:val="0"/>
      <w:marBottom w:val="0"/>
      <w:divBdr>
        <w:top w:val="none" w:sz="0" w:space="0" w:color="auto"/>
        <w:left w:val="none" w:sz="0" w:space="0" w:color="auto"/>
        <w:bottom w:val="none" w:sz="0" w:space="0" w:color="auto"/>
        <w:right w:val="none" w:sz="0" w:space="0" w:color="auto"/>
      </w:divBdr>
    </w:div>
    <w:div w:id="1177773335">
      <w:bodyDiv w:val="1"/>
      <w:marLeft w:val="0"/>
      <w:marRight w:val="0"/>
      <w:marTop w:val="0"/>
      <w:marBottom w:val="0"/>
      <w:divBdr>
        <w:top w:val="none" w:sz="0" w:space="0" w:color="auto"/>
        <w:left w:val="none" w:sz="0" w:space="0" w:color="auto"/>
        <w:bottom w:val="none" w:sz="0" w:space="0" w:color="auto"/>
        <w:right w:val="none" w:sz="0" w:space="0" w:color="auto"/>
      </w:divBdr>
    </w:div>
    <w:div w:id="1185560382">
      <w:bodyDiv w:val="1"/>
      <w:marLeft w:val="0"/>
      <w:marRight w:val="0"/>
      <w:marTop w:val="0"/>
      <w:marBottom w:val="0"/>
      <w:divBdr>
        <w:top w:val="none" w:sz="0" w:space="0" w:color="auto"/>
        <w:left w:val="none" w:sz="0" w:space="0" w:color="auto"/>
        <w:bottom w:val="none" w:sz="0" w:space="0" w:color="auto"/>
        <w:right w:val="none" w:sz="0" w:space="0" w:color="auto"/>
      </w:divBdr>
    </w:div>
    <w:div w:id="1214850521">
      <w:bodyDiv w:val="1"/>
      <w:marLeft w:val="0"/>
      <w:marRight w:val="0"/>
      <w:marTop w:val="0"/>
      <w:marBottom w:val="0"/>
      <w:divBdr>
        <w:top w:val="none" w:sz="0" w:space="0" w:color="auto"/>
        <w:left w:val="none" w:sz="0" w:space="0" w:color="auto"/>
        <w:bottom w:val="none" w:sz="0" w:space="0" w:color="auto"/>
        <w:right w:val="none" w:sz="0" w:space="0" w:color="auto"/>
      </w:divBdr>
    </w:div>
    <w:div w:id="1220554667">
      <w:bodyDiv w:val="1"/>
      <w:marLeft w:val="0"/>
      <w:marRight w:val="0"/>
      <w:marTop w:val="0"/>
      <w:marBottom w:val="0"/>
      <w:divBdr>
        <w:top w:val="none" w:sz="0" w:space="0" w:color="auto"/>
        <w:left w:val="none" w:sz="0" w:space="0" w:color="auto"/>
        <w:bottom w:val="none" w:sz="0" w:space="0" w:color="auto"/>
        <w:right w:val="none" w:sz="0" w:space="0" w:color="auto"/>
      </w:divBdr>
    </w:div>
    <w:div w:id="1281960150">
      <w:bodyDiv w:val="1"/>
      <w:marLeft w:val="0"/>
      <w:marRight w:val="0"/>
      <w:marTop w:val="0"/>
      <w:marBottom w:val="0"/>
      <w:divBdr>
        <w:top w:val="none" w:sz="0" w:space="0" w:color="auto"/>
        <w:left w:val="none" w:sz="0" w:space="0" w:color="auto"/>
        <w:bottom w:val="none" w:sz="0" w:space="0" w:color="auto"/>
        <w:right w:val="none" w:sz="0" w:space="0" w:color="auto"/>
      </w:divBdr>
    </w:div>
    <w:div w:id="1303462859">
      <w:bodyDiv w:val="1"/>
      <w:marLeft w:val="0"/>
      <w:marRight w:val="0"/>
      <w:marTop w:val="0"/>
      <w:marBottom w:val="0"/>
      <w:divBdr>
        <w:top w:val="none" w:sz="0" w:space="0" w:color="auto"/>
        <w:left w:val="none" w:sz="0" w:space="0" w:color="auto"/>
        <w:bottom w:val="none" w:sz="0" w:space="0" w:color="auto"/>
        <w:right w:val="none" w:sz="0" w:space="0" w:color="auto"/>
      </w:divBdr>
    </w:div>
    <w:div w:id="1332219766">
      <w:bodyDiv w:val="1"/>
      <w:marLeft w:val="0"/>
      <w:marRight w:val="0"/>
      <w:marTop w:val="0"/>
      <w:marBottom w:val="0"/>
      <w:divBdr>
        <w:top w:val="none" w:sz="0" w:space="0" w:color="auto"/>
        <w:left w:val="none" w:sz="0" w:space="0" w:color="auto"/>
        <w:bottom w:val="none" w:sz="0" w:space="0" w:color="auto"/>
        <w:right w:val="none" w:sz="0" w:space="0" w:color="auto"/>
      </w:divBdr>
    </w:div>
    <w:div w:id="1347832015">
      <w:bodyDiv w:val="1"/>
      <w:marLeft w:val="0"/>
      <w:marRight w:val="0"/>
      <w:marTop w:val="0"/>
      <w:marBottom w:val="0"/>
      <w:divBdr>
        <w:top w:val="none" w:sz="0" w:space="0" w:color="auto"/>
        <w:left w:val="none" w:sz="0" w:space="0" w:color="auto"/>
        <w:bottom w:val="none" w:sz="0" w:space="0" w:color="auto"/>
        <w:right w:val="none" w:sz="0" w:space="0" w:color="auto"/>
      </w:divBdr>
    </w:div>
    <w:div w:id="1356617135">
      <w:bodyDiv w:val="1"/>
      <w:marLeft w:val="0"/>
      <w:marRight w:val="0"/>
      <w:marTop w:val="0"/>
      <w:marBottom w:val="0"/>
      <w:divBdr>
        <w:top w:val="none" w:sz="0" w:space="0" w:color="auto"/>
        <w:left w:val="none" w:sz="0" w:space="0" w:color="auto"/>
        <w:bottom w:val="none" w:sz="0" w:space="0" w:color="auto"/>
        <w:right w:val="none" w:sz="0" w:space="0" w:color="auto"/>
      </w:divBdr>
    </w:div>
    <w:div w:id="1372269760">
      <w:bodyDiv w:val="1"/>
      <w:marLeft w:val="0"/>
      <w:marRight w:val="0"/>
      <w:marTop w:val="0"/>
      <w:marBottom w:val="0"/>
      <w:divBdr>
        <w:top w:val="none" w:sz="0" w:space="0" w:color="auto"/>
        <w:left w:val="none" w:sz="0" w:space="0" w:color="auto"/>
        <w:bottom w:val="none" w:sz="0" w:space="0" w:color="auto"/>
        <w:right w:val="none" w:sz="0" w:space="0" w:color="auto"/>
      </w:divBdr>
    </w:div>
    <w:div w:id="1374766194">
      <w:bodyDiv w:val="1"/>
      <w:marLeft w:val="0"/>
      <w:marRight w:val="0"/>
      <w:marTop w:val="0"/>
      <w:marBottom w:val="0"/>
      <w:divBdr>
        <w:top w:val="none" w:sz="0" w:space="0" w:color="auto"/>
        <w:left w:val="none" w:sz="0" w:space="0" w:color="auto"/>
        <w:bottom w:val="none" w:sz="0" w:space="0" w:color="auto"/>
        <w:right w:val="none" w:sz="0" w:space="0" w:color="auto"/>
      </w:divBdr>
    </w:div>
    <w:div w:id="1391349225">
      <w:bodyDiv w:val="1"/>
      <w:marLeft w:val="0"/>
      <w:marRight w:val="0"/>
      <w:marTop w:val="0"/>
      <w:marBottom w:val="0"/>
      <w:divBdr>
        <w:top w:val="none" w:sz="0" w:space="0" w:color="auto"/>
        <w:left w:val="none" w:sz="0" w:space="0" w:color="auto"/>
        <w:bottom w:val="none" w:sz="0" w:space="0" w:color="auto"/>
        <w:right w:val="none" w:sz="0" w:space="0" w:color="auto"/>
      </w:divBdr>
    </w:div>
    <w:div w:id="1430421135">
      <w:bodyDiv w:val="1"/>
      <w:marLeft w:val="0"/>
      <w:marRight w:val="0"/>
      <w:marTop w:val="0"/>
      <w:marBottom w:val="0"/>
      <w:divBdr>
        <w:top w:val="none" w:sz="0" w:space="0" w:color="auto"/>
        <w:left w:val="none" w:sz="0" w:space="0" w:color="auto"/>
        <w:bottom w:val="none" w:sz="0" w:space="0" w:color="auto"/>
        <w:right w:val="none" w:sz="0" w:space="0" w:color="auto"/>
      </w:divBdr>
    </w:div>
    <w:div w:id="1438600583">
      <w:bodyDiv w:val="1"/>
      <w:marLeft w:val="0"/>
      <w:marRight w:val="0"/>
      <w:marTop w:val="0"/>
      <w:marBottom w:val="0"/>
      <w:divBdr>
        <w:top w:val="none" w:sz="0" w:space="0" w:color="auto"/>
        <w:left w:val="none" w:sz="0" w:space="0" w:color="auto"/>
        <w:bottom w:val="none" w:sz="0" w:space="0" w:color="auto"/>
        <w:right w:val="none" w:sz="0" w:space="0" w:color="auto"/>
      </w:divBdr>
    </w:div>
    <w:div w:id="1463842040">
      <w:bodyDiv w:val="1"/>
      <w:marLeft w:val="0"/>
      <w:marRight w:val="0"/>
      <w:marTop w:val="0"/>
      <w:marBottom w:val="0"/>
      <w:divBdr>
        <w:top w:val="none" w:sz="0" w:space="0" w:color="auto"/>
        <w:left w:val="none" w:sz="0" w:space="0" w:color="auto"/>
        <w:bottom w:val="none" w:sz="0" w:space="0" w:color="auto"/>
        <w:right w:val="none" w:sz="0" w:space="0" w:color="auto"/>
      </w:divBdr>
    </w:div>
    <w:div w:id="1529641395">
      <w:bodyDiv w:val="1"/>
      <w:marLeft w:val="0"/>
      <w:marRight w:val="0"/>
      <w:marTop w:val="0"/>
      <w:marBottom w:val="0"/>
      <w:divBdr>
        <w:top w:val="none" w:sz="0" w:space="0" w:color="auto"/>
        <w:left w:val="none" w:sz="0" w:space="0" w:color="auto"/>
        <w:bottom w:val="none" w:sz="0" w:space="0" w:color="auto"/>
        <w:right w:val="none" w:sz="0" w:space="0" w:color="auto"/>
      </w:divBdr>
    </w:div>
    <w:div w:id="1539009411">
      <w:bodyDiv w:val="1"/>
      <w:marLeft w:val="0"/>
      <w:marRight w:val="0"/>
      <w:marTop w:val="0"/>
      <w:marBottom w:val="0"/>
      <w:divBdr>
        <w:top w:val="none" w:sz="0" w:space="0" w:color="auto"/>
        <w:left w:val="none" w:sz="0" w:space="0" w:color="auto"/>
        <w:bottom w:val="none" w:sz="0" w:space="0" w:color="auto"/>
        <w:right w:val="none" w:sz="0" w:space="0" w:color="auto"/>
      </w:divBdr>
    </w:div>
    <w:div w:id="1563785331">
      <w:bodyDiv w:val="1"/>
      <w:marLeft w:val="0"/>
      <w:marRight w:val="0"/>
      <w:marTop w:val="0"/>
      <w:marBottom w:val="0"/>
      <w:divBdr>
        <w:top w:val="none" w:sz="0" w:space="0" w:color="auto"/>
        <w:left w:val="none" w:sz="0" w:space="0" w:color="auto"/>
        <w:bottom w:val="none" w:sz="0" w:space="0" w:color="auto"/>
        <w:right w:val="none" w:sz="0" w:space="0" w:color="auto"/>
      </w:divBdr>
    </w:div>
    <w:div w:id="1578855927">
      <w:bodyDiv w:val="1"/>
      <w:marLeft w:val="0"/>
      <w:marRight w:val="0"/>
      <w:marTop w:val="0"/>
      <w:marBottom w:val="0"/>
      <w:divBdr>
        <w:top w:val="none" w:sz="0" w:space="0" w:color="auto"/>
        <w:left w:val="none" w:sz="0" w:space="0" w:color="auto"/>
        <w:bottom w:val="none" w:sz="0" w:space="0" w:color="auto"/>
        <w:right w:val="none" w:sz="0" w:space="0" w:color="auto"/>
      </w:divBdr>
    </w:div>
    <w:div w:id="1587955692">
      <w:bodyDiv w:val="1"/>
      <w:marLeft w:val="0"/>
      <w:marRight w:val="0"/>
      <w:marTop w:val="0"/>
      <w:marBottom w:val="0"/>
      <w:divBdr>
        <w:top w:val="none" w:sz="0" w:space="0" w:color="auto"/>
        <w:left w:val="none" w:sz="0" w:space="0" w:color="auto"/>
        <w:bottom w:val="none" w:sz="0" w:space="0" w:color="auto"/>
        <w:right w:val="none" w:sz="0" w:space="0" w:color="auto"/>
      </w:divBdr>
      <w:divsChild>
        <w:div w:id="708922221">
          <w:marLeft w:val="0"/>
          <w:marRight w:val="0"/>
          <w:marTop w:val="0"/>
          <w:marBottom w:val="0"/>
          <w:divBdr>
            <w:top w:val="none" w:sz="0" w:space="0" w:color="auto"/>
            <w:left w:val="none" w:sz="0" w:space="0" w:color="auto"/>
            <w:bottom w:val="none" w:sz="0" w:space="0" w:color="auto"/>
            <w:right w:val="none" w:sz="0" w:space="0" w:color="auto"/>
          </w:divBdr>
        </w:div>
        <w:div w:id="567767574">
          <w:marLeft w:val="0"/>
          <w:marRight w:val="0"/>
          <w:marTop w:val="0"/>
          <w:marBottom w:val="0"/>
          <w:divBdr>
            <w:top w:val="none" w:sz="0" w:space="0" w:color="auto"/>
            <w:left w:val="none" w:sz="0" w:space="0" w:color="auto"/>
            <w:bottom w:val="none" w:sz="0" w:space="0" w:color="auto"/>
            <w:right w:val="none" w:sz="0" w:space="0" w:color="auto"/>
          </w:divBdr>
        </w:div>
      </w:divsChild>
    </w:div>
    <w:div w:id="1627538029">
      <w:bodyDiv w:val="1"/>
      <w:marLeft w:val="0"/>
      <w:marRight w:val="0"/>
      <w:marTop w:val="0"/>
      <w:marBottom w:val="0"/>
      <w:divBdr>
        <w:top w:val="none" w:sz="0" w:space="0" w:color="auto"/>
        <w:left w:val="none" w:sz="0" w:space="0" w:color="auto"/>
        <w:bottom w:val="none" w:sz="0" w:space="0" w:color="auto"/>
        <w:right w:val="none" w:sz="0" w:space="0" w:color="auto"/>
      </w:divBdr>
      <w:divsChild>
        <w:div w:id="1915316137">
          <w:marLeft w:val="0"/>
          <w:marRight w:val="0"/>
          <w:marTop w:val="0"/>
          <w:marBottom w:val="0"/>
          <w:divBdr>
            <w:top w:val="none" w:sz="0" w:space="0" w:color="auto"/>
            <w:left w:val="none" w:sz="0" w:space="0" w:color="auto"/>
            <w:bottom w:val="none" w:sz="0" w:space="0" w:color="auto"/>
            <w:right w:val="none" w:sz="0" w:space="0" w:color="auto"/>
          </w:divBdr>
          <w:divsChild>
            <w:div w:id="1215193404">
              <w:marLeft w:val="0"/>
              <w:marRight w:val="0"/>
              <w:marTop w:val="0"/>
              <w:marBottom w:val="0"/>
              <w:divBdr>
                <w:top w:val="none" w:sz="0" w:space="0" w:color="auto"/>
                <w:left w:val="none" w:sz="0" w:space="0" w:color="auto"/>
                <w:bottom w:val="none" w:sz="0" w:space="0" w:color="auto"/>
                <w:right w:val="none" w:sz="0" w:space="0" w:color="auto"/>
              </w:divBdr>
              <w:divsChild>
                <w:div w:id="2109735384">
                  <w:marLeft w:val="0"/>
                  <w:marRight w:val="0"/>
                  <w:marTop w:val="0"/>
                  <w:marBottom w:val="0"/>
                  <w:divBdr>
                    <w:top w:val="none" w:sz="0" w:space="0" w:color="auto"/>
                    <w:left w:val="none" w:sz="0" w:space="0" w:color="auto"/>
                    <w:bottom w:val="none" w:sz="0" w:space="0" w:color="auto"/>
                    <w:right w:val="none" w:sz="0" w:space="0" w:color="auto"/>
                  </w:divBdr>
                  <w:divsChild>
                    <w:div w:id="1024552677">
                      <w:marLeft w:val="0"/>
                      <w:marRight w:val="0"/>
                      <w:marTop w:val="0"/>
                      <w:marBottom w:val="0"/>
                      <w:divBdr>
                        <w:top w:val="none" w:sz="0" w:space="0" w:color="auto"/>
                        <w:left w:val="none" w:sz="0" w:space="0" w:color="auto"/>
                        <w:bottom w:val="none" w:sz="0" w:space="0" w:color="auto"/>
                        <w:right w:val="none" w:sz="0" w:space="0" w:color="auto"/>
                      </w:divBdr>
                      <w:divsChild>
                        <w:div w:id="1914118685">
                          <w:marLeft w:val="0"/>
                          <w:marRight w:val="0"/>
                          <w:marTop w:val="1067"/>
                          <w:marBottom w:val="1067"/>
                          <w:divBdr>
                            <w:top w:val="none" w:sz="0" w:space="0" w:color="auto"/>
                            <w:left w:val="none" w:sz="0" w:space="0" w:color="auto"/>
                            <w:bottom w:val="none" w:sz="0" w:space="0" w:color="auto"/>
                            <w:right w:val="none" w:sz="0" w:space="0" w:color="auto"/>
                          </w:divBdr>
                          <w:divsChild>
                            <w:div w:id="526063247">
                              <w:marLeft w:val="0"/>
                              <w:marRight w:val="0"/>
                              <w:marTop w:val="0"/>
                              <w:marBottom w:val="0"/>
                              <w:divBdr>
                                <w:top w:val="none" w:sz="0" w:space="0" w:color="auto"/>
                                <w:left w:val="none" w:sz="0" w:space="0" w:color="auto"/>
                                <w:bottom w:val="none" w:sz="0" w:space="0" w:color="auto"/>
                                <w:right w:val="none" w:sz="0" w:space="0" w:color="auto"/>
                              </w:divBdr>
                              <w:divsChild>
                                <w:div w:id="580679946">
                                  <w:marLeft w:val="0"/>
                                  <w:marRight w:val="0"/>
                                  <w:marTop w:val="0"/>
                                  <w:marBottom w:val="0"/>
                                  <w:divBdr>
                                    <w:top w:val="none" w:sz="0" w:space="0" w:color="auto"/>
                                    <w:left w:val="none" w:sz="0" w:space="0" w:color="auto"/>
                                    <w:bottom w:val="none" w:sz="0" w:space="0" w:color="auto"/>
                                    <w:right w:val="none" w:sz="0" w:space="0" w:color="auto"/>
                                  </w:divBdr>
                                  <w:divsChild>
                                    <w:div w:id="1433816454">
                                      <w:marLeft w:val="0"/>
                                      <w:marRight w:val="0"/>
                                      <w:marTop w:val="0"/>
                                      <w:marBottom w:val="0"/>
                                      <w:divBdr>
                                        <w:top w:val="none" w:sz="0" w:space="0" w:color="auto"/>
                                        <w:left w:val="none" w:sz="0" w:space="0" w:color="auto"/>
                                        <w:bottom w:val="none" w:sz="0" w:space="0" w:color="auto"/>
                                        <w:right w:val="none" w:sz="0" w:space="0" w:color="auto"/>
                                      </w:divBdr>
                                      <w:divsChild>
                                        <w:div w:id="2088108955">
                                          <w:marLeft w:val="0"/>
                                          <w:marRight w:val="0"/>
                                          <w:marTop w:val="0"/>
                                          <w:marBottom w:val="0"/>
                                          <w:divBdr>
                                            <w:top w:val="none" w:sz="0" w:space="0" w:color="auto"/>
                                            <w:left w:val="none" w:sz="0" w:space="0" w:color="auto"/>
                                            <w:bottom w:val="none" w:sz="0" w:space="0" w:color="auto"/>
                                            <w:right w:val="none" w:sz="0" w:space="0" w:color="auto"/>
                                          </w:divBdr>
                                          <w:divsChild>
                                            <w:div w:id="609896720">
                                              <w:marLeft w:val="0"/>
                                              <w:marRight w:val="0"/>
                                              <w:marTop w:val="0"/>
                                              <w:marBottom w:val="0"/>
                                              <w:divBdr>
                                                <w:top w:val="none" w:sz="0" w:space="0" w:color="auto"/>
                                                <w:left w:val="none" w:sz="0" w:space="0" w:color="auto"/>
                                                <w:bottom w:val="none" w:sz="0" w:space="0" w:color="auto"/>
                                                <w:right w:val="none" w:sz="0" w:space="0" w:color="auto"/>
                                              </w:divBdr>
                                              <w:divsChild>
                                                <w:div w:id="1334916794">
                                                  <w:marLeft w:val="0"/>
                                                  <w:marRight w:val="0"/>
                                                  <w:marTop w:val="0"/>
                                                  <w:marBottom w:val="0"/>
                                                  <w:divBdr>
                                                    <w:top w:val="none" w:sz="0" w:space="0" w:color="auto"/>
                                                    <w:left w:val="none" w:sz="0" w:space="0" w:color="auto"/>
                                                    <w:bottom w:val="none" w:sz="0" w:space="0" w:color="auto"/>
                                                    <w:right w:val="none" w:sz="0" w:space="0" w:color="auto"/>
                                                  </w:divBdr>
                                                  <w:divsChild>
                                                    <w:div w:id="565146591">
                                                      <w:marLeft w:val="750"/>
                                                      <w:marRight w:val="7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5715529">
      <w:bodyDiv w:val="1"/>
      <w:marLeft w:val="0"/>
      <w:marRight w:val="0"/>
      <w:marTop w:val="0"/>
      <w:marBottom w:val="0"/>
      <w:divBdr>
        <w:top w:val="none" w:sz="0" w:space="0" w:color="auto"/>
        <w:left w:val="none" w:sz="0" w:space="0" w:color="auto"/>
        <w:bottom w:val="none" w:sz="0" w:space="0" w:color="auto"/>
        <w:right w:val="none" w:sz="0" w:space="0" w:color="auto"/>
      </w:divBdr>
    </w:div>
    <w:div w:id="1722288170">
      <w:bodyDiv w:val="1"/>
      <w:marLeft w:val="0"/>
      <w:marRight w:val="0"/>
      <w:marTop w:val="0"/>
      <w:marBottom w:val="0"/>
      <w:divBdr>
        <w:top w:val="none" w:sz="0" w:space="0" w:color="auto"/>
        <w:left w:val="none" w:sz="0" w:space="0" w:color="auto"/>
        <w:bottom w:val="none" w:sz="0" w:space="0" w:color="auto"/>
        <w:right w:val="none" w:sz="0" w:space="0" w:color="auto"/>
      </w:divBdr>
    </w:div>
    <w:div w:id="1788888868">
      <w:bodyDiv w:val="1"/>
      <w:marLeft w:val="0"/>
      <w:marRight w:val="0"/>
      <w:marTop w:val="0"/>
      <w:marBottom w:val="0"/>
      <w:divBdr>
        <w:top w:val="none" w:sz="0" w:space="0" w:color="auto"/>
        <w:left w:val="none" w:sz="0" w:space="0" w:color="auto"/>
        <w:bottom w:val="none" w:sz="0" w:space="0" w:color="auto"/>
        <w:right w:val="none" w:sz="0" w:space="0" w:color="auto"/>
      </w:divBdr>
    </w:div>
    <w:div w:id="1837109618">
      <w:bodyDiv w:val="1"/>
      <w:marLeft w:val="0"/>
      <w:marRight w:val="0"/>
      <w:marTop w:val="0"/>
      <w:marBottom w:val="0"/>
      <w:divBdr>
        <w:top w:val="none" w:sz="0" w:space="0" w:color="auto"/>
        <w:left w:val="none" w:sz="0" w:space="0" w:color="auto"/>
        <w:bottom w:val="none" w:sz="0" w:space="0" w:color="auto"/>
        <w:right w:val="none" w:sz="0" w:space="0" w:color="auto"/>
      </w:divBdr>
    </w:div>
    <w:div w:id="1914199660">
      <w:bodyDiv w:val="1"/>
      <w:marLeft w:val="0"/>
      <w:marRight w:val="0"/>
      <w:marTop w:val="0"/>
      <w:marBottom w:val="0"/>
      <w:divBdr>
        <w:top w:val="none" w:sz="0" w:space="0" w:color="auto"/>
        <w:left w:val="none" w:sz="0" w:space="0" w:color="auto"/>
        <w:bottom w:val="none" w:sz="0" w:space="0" w:color="auto"/>
        <w:right w:val="none" w:sz="0" w:space="0" w:color="auto"/>
      </w:divBdr>
    </w:div>
    <w:div w:id="1921599876">
      <w:bodyDiv w:val="1"/>
      <w:marLeft w:val="0"/>
      <w:marRight w:val="0"/>
      <w:marTop w:val="0"/>
      <w:marBottom w:val="0"/>
      <w:divBdr>
        <w:top w:val="none" w:sz="0" w:space="0" w:color="auto"/>
        <w:left w:val="none" w:sz="0" w:space="0" w:color="auto"/>
        <w:bottom w:val="none" w:sz="0" w:space="0" w:color="auto"/>
        <w:right w:val="none" w:sz="0" w:space="0" w:color="auto"/>
      </w:divBdr>
    </w:div>
    <w:div w:id="1933200723">
      <w:bodyDiv w:val="1"/>
      <w:marLeft w:val="0"/>
      <w:marRight w:val="0"/>
      <w:marTop w:val="0"/>
      <w:marBottom w:val="0"/>
      <w:divBdr>
        <w:top w:val="none" w:sz="0" w:space="0" w:color="auto"/>
        <w:left w:val="none" w:sz="0" w:space="0" w:color="auto"/>
        <w:bottom w:val="none" w:sz="0" w:space="0" w:color="auto"/>
        <w:right w:val="none" w:sz="0" w:space="0" w:color="auto"/>
      </w:divBdr>
    </w:div>
    <w:div w:id="1998338426">
      <w:bodyDiv w:val="1"/>
      <w:marLeft w:val="0"/>
      <w:marRight w:val="0"/>
      <w:marTop w:val="0"/>
      <w:marBottom w:val="0"/>
      <w:divBdr>
        <w:top w:val="none" w:sz="0" w:space="0" w:color="auto"/>
        <w:left w:val="none" w:sz="0" w:space="0" w:color="auto"/>
        <w:bottom w:val="none" w:sz="0" w:space="0" w:color="auto"/>
        <w:right w:val="none" w:sz="0" w:space="0" w:color="auto"/>
      </w:divBdr>
    </w:div>
    <w:div w:id="2022510987">
      <w:bodyDiv w:val="1"/>
      <w:marLeft w:val="0"/>
      <w:marRight w:val="0"/>
      <w:marTop w:val="0"/>
      <w:marBottom w:val="0"/>
      <w:divBdr>
        <w:top w:val="none" w:sz="0" w:space="0" w:color="auto"/>
        <w:left w:val="none" w:sz="0" w:space="0" w:color="auto"/>
        <w:bottom w:val="none" w:sz="0" w:space="0" w:color="auto"/>
        <w:right w:val="none" w:sz="0" w:space="0" w:color="auto"/>
      </w:divBdr>
      <w:divsChild>
        <w:div w:id="2047637553">
          <w:marLeft w:val="0"/>
          <w:marRight w:val="0"/>
          <w:marTop w:val="0"/>
          <w:marBottom w:val="0"/>
          <w:divBdr>
            <w:top w:val="none" w:sz="0" w:space="0" w:color="auto"/>
            <w:left w:val="none" w:sz="0" w:space="0" w:color="auto"/>
            <w:bottom w:val="none" w:sz="0" w:space="0" w:color="auto"/>
            <w:right w:val="none" w:sz="0" w:space="0" w:color="auto"/>
          </w:divBdr>
        </w:div>
        <w:div w:id="210270390">
          <w:marLeft w:val="0"/>
          <w:marRight w:val="0"/>
          <w:marTop w:val="0"/>
          <w:marBottom w:val="0"/>
          <w:divBdr>
            <w:top w:val="none" w:sz="0" w:space="0" w:color="auto"/>
            <w:left w:val="none" w:sz="0" w:space="0" w:color="auto"/>
            <w:bottom w:val="none" w:sz="0" w:space="0" w:color="auto"/>
            <w:right w:val="none" w:sz="0" w:space="0" w:color="auto"/>
          </w:divBdr>
        </w:div>
      </w:divsChild>
    </w:div>
    <w:div w:id="2129737428">
      <w:bodyDiv w:val="1"/>
      <w:marLeft w:val="0"/>
      <w:marRight w:val="0"/>
      <w:marTop w:val="0"/>
      <w:marBottom w:val="0"/>
      <w:divBdr>
        <w:top w:val="none" w:sz="0" w:space="0" w:color="auto"/>
        <w:left w:val="none" w:sz="0" w:space="0" w:color="auto"/>
        <w:bottom w:val="none" w:sz="0" w:space="0" w:color="auto"/>
        <w:right w:val="none" w:sz="0" w:space="0" w:color="auto"/>
      </w:divBdr>
    </w:div>
    <w:div w:id="213510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events/event/1330/" TargetMode="External"/><Relationship Id="rId1" Type="http://schemas.openxmlformats.org/officeDocument/2006/relationships/hyperlink" Target="https://www.ippc.int/en/publications/92580/"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H\Downloads\05_TPG_2023_Phytosanitary_Terminology_2023-02-17.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90EF7D-606A-419A-983C-7D54BE60046A}">
  <ds:schemaRefs>
    <ds:schemaRef ds:uri="http://schemas.openxmlformats.org/officeDocument/2006/bibliography"/>
  </ds:schemaRefs>
</ds:datastoreItem>
</file>

<file path=customXml/itemProps2.xml><?xml version="1.0" encoding="utf-8"?>
<ds:datastoreItem xmlns:ds="http://schemas.openxmlformats.org/officeDocument/2006/customXml" ds:itemID="{636254FA-FDCE-4A34-BE8E-3018ED17FAB8}">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8616E8A8-8F2E-4119-B1D3-929DEEA19FE6}">
  <ds:schemaRefs>
    <ds:schemaRef ds:uri="http://schemas.microsoft.com/sharepoint/v3/contenttype/forms"/>
  </ds:schemaRefs>
</ds:datastoreItem>
</file>

<file path=customXml/itemProps4.xml><?xml version="1.0" encoding="utf-8"?>
<ds:datastoreItem xmlns:ds="http://schemas.openxmlformats.org/officeDocument/2006/customXml" ds:itemID="{930D38AE-D640-4302-9DF6-52B778056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05_TPG_2023_Phytosanitary_Terminology_2023-02-17</Template>
  <TotalTime>3</TotalTime>
  <Pages>4</Pages>
  <Words>2058</Words>
  <Characters>11734</Characters>
  <Application>Microsoft Office Word</Application>
  <DocSecurity>0</DocSecurity>
  <Lines>97</Lines>
  <Paragraphs>27</Paragraphs>
  <ScaleCrop>false</ScaleCrop>
  <Company>FAO of the UN</Company>
  <LinksUpToDate>false</LinksUpToDate>
  <CharactersWithSpaces>13765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Arop Deng (AGDD)</dc:creator>
  <cp:keywords/>
  <dc:description/>
  <cp:lastModifiedBy>Monterosa, Lorenzo (NSPD)</cp:lastModifiedBy>
  <cp:revision>421</cp:revision>
  <cp:lastPrinted>2022-10-26T13:59:00Z</cp:lastPrinted>
  <dcterms:created xsi:type="dcterms:W3CDTF">2022-10-28T12:06:00Z</dcterms:created>
  <dcterms:modified xsi:type="dcterms:W3CDTF">2023-10-31T09:16:00Z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