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490AA" w14:textId="77777777" w:rsidR="004D1C8A" w:rsidRDefault="004D1C8A">
      <w:bookmarkStart w:id="0" w:name="_Hlk150682826"/>
      <w:bookmarkEnd w:id="0"/>
    </w:p>
    <w:p w14:paraId="3F69AD36" w14:textId="5C6DAA9B" w:rsidR="004D1C8A" w:rsidRDefault="004D1C8A" w:rsidP="004D1C8A">
      <w:pPr>
        <w:pStyle w:val="IPPHeading1"/>
        <w:tabs>
          <w:tab w:val="clear" w:pos="567"/>
          <w:tab w:val="left" w:pos="0"/>
        </w:tabs>
        <w:ind w:left="0" w:firstLine="0"/>
        <w:jc w:val="center"/>
      </w:pPr>
      <w:r>
        <w:t xml:space="preserve">DISCUSSION DOCUMENT ON </w:t>
      </w:r>
      <w:r w:rsidR="00D86738">
        <w:t>DETERMING THE NUMBER OF TREATED PESTS</w:t>
      </w:r>
    </w:p>
    <w:p w14:paraId="5426CC1B" w14:textId="77777777" w:rsidR="004D1C8A" w:rsidRPr="00422B66" w:rsidRDefault="004D1C8A" w:rsidP="004D1C8A">
      <w:pPr>
        <w:pStyle w:val="Default"/>
        <w:jc w:val="center"/>
        <w:rPr>
          <w:i/>
          <w:sz w:val="22"/>
        </w:rPr>
      </w:pPr>
      <w:r w:rsidRPr="005F4CBC">
        <w:rPr>
          <w:rStyle w:val="IPPnormalitalics"/>
        </w:rPr>
        <w:t xml:space="preserve">(Prepared by </w:t>
      </w:r>
      <w:proofErr w:type="spellStart"/>
      <w:r w:rsidRPr="005F4CBC">
        <w:rPr>
          <w:rStyle w:val="IPPnormalitalics"/>
        </w:rPr>
        <w:t>Mr</w:t>
      </w:r>
      <w:proofErr w:type="spellEnd"/>
      <w:r w:rsidRPr="005F4CBC">
        <w:rPr>
          <w:rStyle w:val="IPPnormalitalics"/>
        </w:rPr>
        <w:t xml:space="preserve"> </w:t>
      </w:r>
      <w:r>
        <w:rPr>
          <w:rStyle w:val="IPPnormalitalics"/>
        </w:rPr>
        <w:t>Michael ORMSBY</w:t>
      </w:r>
      <w:r w:rsidRPr="005F4CBC">
        <w:rPr>
          <w:rStyle w:val="IPPnormalitalics"/>
        </w:rPr>
        <w:t>)</w:t>
      </w:r>
    </w:p>
    <w:p w14:paraId="2AD2AD45" w14:textId="6F7104CB" w:rsidR="004E2AAF" w:rsidRDefault="004E2AAF" w:rsidP="004D1C8A">
      <w:pPr>
        <w:jc w:val="center"/>
      </w:pPr>
    </w:p>
    <w:p w14:paraId="1E68559E" w14:textId="10273FC9" w:rsidR="00095FDF" w:rsidRDefault="00095FDF" w:rsidP="004D1C8A">
      <w:pPr>
        <w:pStyle w:val="IPPHeading1"/>
      </w:pPr>
      <w:r>
        <w:t>Summary and Conclusions</w:t>
      </w:r>
    </w:p>
    <w:p w14:paraId="346A10D6" w14:textId="103C1A24" w:rsidR="00095FDF" w:rsidRDefault="009A0E15" w:rsidP="00A65166">
      <w:pPr>
        <w:pStyle w:val="IPPParagraphnumbering"/>
        <w:numPr>
          <w:ilvl w:val="0"/>
          <w:numId w:val="1"/>
        </w:numPr>
      </w:pPr>
      <w:r>
        <w:t>When determining the number of individuals treated by a proposed treatment schedule, the TPPT needs to consider the following factors when applicable to the design of the research:</w:t>
      </w:r>
    </w:p>
    <w:p w14:paraId="6CC38F59" w14:textId="53E568EC" w:rsidR="009A0E15" w:rsidRDefault="009A0E15" w:rsidP="00A65166">
      <w:pPr>
        <w:pStyle w:val="IPPParagraphnumbering"/>
        <w:numPr>
          <w:ilvl w:val="0"/>
          <w:numId w:val="1"/>
        </w:numPr>
        <w:tabs>
          <w:tab w:val="clear" w:pos="0"/>
          <w:tab w:val="num" w:pos="142"/>
        </w:tabs>
        <w:ind w:left="426" w:hanging="908"/>
      </w:pPr>
      <w:r w:rsidRPr="009A0E15">
        <w:rPr>
          <w:b/>
          <w:bCs/>
        </w:rPr>
        <w:t>1.</w:t>
      </w:r>
      <w:r>
        <w:tab/>
      </w:r>
      <w:r w:rsidR="00362A08">
        <w:t>R</w:t>
      </w:r>
      <w:r>
        <w:t>emove the proportion of control mortality or unviable adult egg layers from within the first generation (F</w:t>
      </w:r>
      <w:r w:rsidRPr="009A0E15">
        <w:rPr>
          <w:vertAlign w:val="subscript"/>
        </w:rPr>
        <w:t>0</w:t>
      </w:r>
      <w:r>
        <w:t>) from the total number of treated individuals</w:t>
      </w:r>
      <w:r w:rsidR="00362A08">
        <w:t xml:space="preserve"> (Abbott’s principle)</w:t>
      </w:r>
      <w:r>
        <w:t>.</w:t>
      </w:r>
    </w:p>
    <w:p w14:paraId="627805BD" w14:textId="5AE1BD4C" w:rsidR="00836773" w:rsidRDefault="009A0E15" w:rsidP="00A65166">
      <w:pPr>
        <w:pStyle w:val="IPPParagraphnumbering"/>
        <w:numPr>
          <w:ilvl w:val="0"/>
          <w:numId w:val="1"/>
        </w:numPr>
        <w:tabs>
          <w:tab w:val="clear" w:pos="0"/>
          <w:tab w:val="num" w:pos="142"/>
        </w:tabs>
        <w:ind w:left="426" w:hanging="908"/>
      </w:pPr>
      <w:r w:rsidRPr="009A0E15">
        <w:rPr>
          <w:b/>
          <w:bCs/>
        </w:rPr>
        <w:t>2.</w:t>
      </w:r>
      <w:r w:rsidRPr="009A0E15">
        <w:rPr>
          <w:b/>
          <w:bCs/>
        </w:rPr>
        <w:tab/>
      </w:r>
      <w:r w:rsidR="00362A08">
        <w:t>E</w:t>
      </w:r>
      <w:r w:rsidR="00836773">
        <w:t>nsure any treated numbers estimated from control samples achieve the required level of confidence (e.g., 95%).</w:t>
      </w:r>
    </w:p>
    <w:p w14:paraId="681F5ADA" w14:textId="565D8196" w:rsidR="00836773" w:rsidRPr="00836773" w:rsidRDefault="00836773" w:rsidP="00A65166">
      <w:pPr>
        <w:pStyle w:val="IPPParagraphnumbering"/>
        <w:numPr>
          <w:ilvl w:val="0"/>
          <w:numId w:val="1"/>
        </w:numPr>
        <w:tabs>
          <w:tab w:val="clear" w:pos="0"/>
          <w:tab w:val="num" w:pos="142"/>
        </w:tabs>
        <w:ind w:left="426" w:hanging="908"/>
        <w:jc w:val="left"/>
      </w:pPr>
      <w:r>
        <w:rPr>
          <w:b/>
          <w:bCs/>
        </w:rPr>
        <w:t>3.</w:t>
      </w:r>
      <w:r>
        <w:tab/>
      </w:r>
      <w:r w:rsidR="00362A08">
        <w:t>Consider if the pest s</w:t>
      </w:r>
      <w:r>
        <w:t>ample</w:t>
      </w:r>
      <w:r w:rsidR="00362A08">
        <w:t xml:space="preserve"> used in the confirmatory trials were viable.  </w:t>
      </w:r>
      <w:r>
        <w:t>Levels of mortality that would result in the population of pests declining from generatio</w:t>
      </w:r>
      <w:r w:rsidR="00C231B5">
        <w:t>n</w:t>
      </w:r>
      <w:r>
        <w:t xml:space="preserve"> to generation </w:t>
      </w:r>
      <w:r w:rsidR="00362A08">
        <w:t xml:space="preserve">(e.g., suffer significant levels of mortality above those experienced in natural populations) </w:t>
      </w:r>
      <w:r w:rsidR="00D86738">
        <w:t>sh</w:t>
      </w:r>
      <w:r>
        <w:t>ould n</w:t>
      </w:r>
      <w:r w:rsidR="00C231B5">
        <w:t>o</w:t>
      </w:r>
      <w:r>
        <w:t>t be considered viable.</w:t>
      </w:r>
    </w:p>
    <w:p w14:paraId="464FA941" w14:textId="23A963E5" w:rsidR="004D1C8A" w:rsidRPr="00AA3B7B" w:rsidRDefault="004D1C8A" w:rsidP="004D1C8A">
      <w:pPr>
        <w:pStyle w:val="IPPHeading1"/>
      </w:pPr>
      <w:r w:rsidRPr="00AA3B7B">
        <w:t>Background information</w:t>
      </w:r>
    </w:p>
    <w:p w14:paraId="09C84496" w14:textId="7CA28A16" w:rsidR="00F75CDE" w:rsidRDefault="00F75CDE" w:rsidP="00A65166">
      <w:pPr>
        <w:pStyle w:val="IPPParagraphnumbering"/>
        <w:numPr>
          <w:ilvl w:val="0"/>
          <w:numId w:val="1"/>
        </w:numPr>
      </w:pPr>
      <w:r>
        <w:t xml:space="preserve">There are currently three areas that TPPT consider when </w:t>
      </w:r>
      <w:r w:rsidR="00DF7BDB">
        <w:t>determining the number of individuals treated by a proposed treatment schedule:</w:t>
      </w:r>
    </w:p>
    <w:p w14:paraId="5558FD3C" w14:textId="03757115" w:rsidR="00243C08" w:rsidRPr="00B30C4D" w:rsidRDefault="00B30C4D" w:rsidP="00A65166">
      <w:pPr>
        <w:pStyle w:val="IPPParagraphnumbering"/>
        <w:numPr>
          <w:ilvl w:val="0"/>
          <w:numId w:val="1"/>
        </w:numPr>
        <w:tabs>
          <w:tab w:val="clear" w:pos="0"/>
          <w:tab w:val="num" w:pos="709"/>
        </w:tabs>
        <w:ind w:left="284" w:hanging="766"/>
        <w:rPr>
          <w:b/>
          <w:bCs/>
        </w:rPr>
      </w:pPr>
      <w:r>
        <w:rPr>
          <w:b/>
          <w:bCs/>
        </w:rPr>
        <w:t>1.</w:t>
      </w:r>
      <w:r>
        <w:rPr>
          <w:b/>
          <w:bCs/>
        </w:rPr>
        <w:tab/>
      </w:r>
      <w:r w:rsidR="00243C08" w:rsidRPr="00B30C4D">
        <w:rPr>
          <w:b/>
          <w:bCs/>
        </w:rPr>
        <w:t>Is the t</w:t>
      </w:r>
      <w:r w:rsidR="00324FF3" w:rsidRPr="00B30C4D">
        <w:rPr>
          <w:b/>
          <w:bCs/>
        </w:rPr>
        <w:t>reatment outcome achieved naturally</w:t>
      </w:r>
      <w:r w:rsidR="00243C08" w:rsidRPr="00B30C4D">
        <w:rPr>
          <w:b/>
          <w:bCs/>
        </w:rPr>
        <w:t>?</w:t>
      </w:r>
    </w:p>
    <w:p w14:paraId="5BBA41F4" w14:textId="4F0F8872" w:rsidR="00243C08" w:rsidRPr="00B30C4D" w:rsidRDefault="00243C08" w:rsidP="00243C08">
      <w:pPr>
        <w:pStyle w:val="ListParagraph"/>
        <w:rPr>
          <w:rFonts w:ascii="Times New Roman" w:hAnsi="Times New Roman" w:cs="Times New Roman"/>
        </w:rPr>
      </w:pPr>
      <w:r w:rsidRPr="00B30C4D">
        <w:rPr>
          <w:rFonts w:ascii="Times New Roman" w:hAnsi="Times New Roman" w:cs="Times New Roman"/>
        </w:rPr>
        <w:t>W</w:t>
      </w:r>
      <w:r w:rsidR="00324FF3" w:rsidRPr="00B30C4D">
        <w:rPr>
          <w:rFonts w:ascii="Times New Roman" w:hAnsi="Times New Roman" w:cs="Times New Roman"/>
        </w:rPr>
        <w:t xml:space="preserve">hen the treatment effect occurs in a proportion of a population of pests without the treatment being applied, then this </w:t>
      </w:r>
      <w:r w:rsidRPr="00B30C4D">
        <w:rPr>
          <w:rFonts w:ascii="Times New Roman" w:hAnsi="Times New Roman" w:cs="Times New Roman"/>
        </w:rPr>
        <w:t>natural effect should not be attributed to the treatment.  Abbott (1925) noted that it was common practice at that time to subtract the level of control morality from the treated mortality, as “</w:t>
      </w:r>
      <w:r w:rsidRPr="00B30C4D">
        <w:rPr>
          <w:rFonts w:ascii="Times New Roman" w:hAnsi="Times New Roman" w:cs="Times New Roman"/>
          <w:i/>
          <w:iCs/>
        </w:rPr>
        <w:t>when a certain number of [the target pest], as for example 20 percent, is found to have died from natural causes, it logically follows that only 80 percent of the original infestation was living and could have been killed by the treatment applied</w:t>
      </w:r>
      <w:r w:rsidRPr="00B30C4D">
        <w:rPr>
          <w:rFonts w:ascii="Times New Roman" w:hAnsi="Times New Roman" w:cs="Times New Roman"/>
        </w:rPr>
        <w:t>”.</w:t>
      </w:r>
    </w:p>
    <w:p w14:paraId="72AAD793" w14:textId="030F52D3" w:rsidR="009D61C0" w:rsidRPr="00B30C4D" w:rsidRDefault="00B30C4D" w:rsidP="00A65166">
      <w:pPr>
        <w:pStyle w:val="IPPParagraphnumbering"/>
        <w:numPr>
          <w:ilvl w:val="0"/>
          <w:numId w:val="1"/>
        </w:numPr>
        <w:tabs>
          <w:tab w:val="clear" w:pos="0"/>
          <w:tab w:val="num" w:pos="284"/>
        </w:tabs>
        <w:ind w:left="709" w:hanging="1191"/>
        <w:rPr>
          <w:b/>
          <w:bCs/>
        </w:rPr>
      </w:pPr>
      <w:r w:rsidRPr="00B30C4D">
        <w:rPr>
          <w:b/>
          <w:bCs/>
        </w:rPr>
        <w:t>2.</w:t>
      </w:r>
      <w:r w:rsidRPr="00B30C4D">
        <w:rPr>
          <w:b/>
          <w:bCs/>
        </w:rPr>
        <w:tab/>
      </w:r>
      <w:r w:rsidR="00243C08" w:rsidRPr="00B30C4D">
        <w:rPr>
          <w:b/>
          <w:bCs/>
        </w:rPr>
        <w:t>If the treated numbers are estimated not counted directly, what is the estimate at a suitable level of confidence?</w:t>
      </w:r>
    </w:p>
    <w:p w14:paraId="3DAC147F" w14:textId="56CE55DF" w:rsidR="00243C08" w:rsidRPr="00B30C4D" w:rsidRDefault="00243C08" w:rsidP="00243C08">
      <w:pPr>
        <w:pStyle w:val="ListParagraph"/>
        <w:rPr>
          <w:rFonts w:ascii="Times New Roman" w:hAnsi="Times New Roman" w:cs="Times New Roman"/>
        </w:rPr>
      </w:pPr>
      <w:r w:rsidRPr="00B30C4D">
        <w:rPr>
          <w:rFonts w:ascii="Times New Roman" w:hAnsi="Times New Roman" w:cs="Times New Roman"/>
        </w:rPr>
        <w:t>When estimating the number of treated pests in a treated sample from the number of pests in a control sample, the estimated number should be treated statistically to ensure the level of required confidence (e.g., 95%) is maintained.</w:t>
      </w:r>
    </w:p>
    <w:p w14:paraId="3FADDB30" w14:textId="4719B26B" w:rsidR="00B30C4D" w:rsidRPr="00B30C4D" w:rsidRDefault="00B30C4D" w:rsidP="00A65166">
      <w:pPr>
        <w:pStyle w:val="IPPParagraphnumbering"/>
        <w:numPr>
          <w:ilvl w:val="0"/>
          <w:numId w:val="1"/>
        </w:numPr>
        <w:tabs>
          <w:tab w:val="clear" w:pos="0"/>
          <w:tab w:val="num" w:pos="284"/>
        </w:tabs>
        <w:ind w:left="709" w:hanging="1191"/>
        <w:rPr>
          <w:b/>
          <w:bCs/>
        </w:rPr>
      </w:pPr>
      <w:r w:rsidRPr="00B30C4D">
        <w:rPr>
          <w:b/>
          <w:bCs/>
        </w:rPr>
        <w:t>3.</w:t>
      </w:r>
      <w:r w:rsidRPr="00B30C4D">
        <w:rPr>
          <w:b/>
          <w:bCs/>
        </w:rPr>
        <w:tab/>
        <w:t>Is the fitness of the treated sample affecting the results?</w:t>
      </w:r>
    </w:p>
    <w:p w14:paraId="0BBE9C4E" w14:textId="77777777" w:rsidR="00B30C4D" w:rsidRPr="00B30C4D" w:rsidRDefault="00B30C4D" w:rsidP="00B30C4D">
      <w:pPr>
        <w:pStyle w:val="ListParagraph"/>
        <w:rPr>
          <w:rFonts w:ascii="Times New Roman" w:hAnsi="Times New Roman" w:cs="Times New Roman"/>
        </w:rPr>
      </w:pPr>
      <w:r w:rsidRPr="00B30C4D">
        <w:rPr>
          <w:rFonts w:ascii="Times New Roman" w:hAnsi="Times New Roman" w:cs="Times New Roman"/>
        </w:rPr>
        <w:t>A sample that is under significant stress may be more susceptible to the desired treatment outcome than a normal population.  Levels of mortality in the control that are significantly higher than normal could suggest the results would not reflect a natural population.</w:t>
      </w:r>
    </w:p>
    <w:p w14:paraId="44C11E22" w14:textId="0F3254DF" w:rsidR="00B30C4D" w:rsidRDefault="00B30C4D" w:rsidP="00B30C4D">
      <w:pPr>
        <w:pStyle w:val="IPPHeading1"/>
        <w:tabs>
          <w:tab w:val="clear" w:pos="567"/>
          <w:tab w:val="left" w:pos="0"/>
        </w:tabs>
        <w:ind w:left="0" w:firstLine="0"/>
      </w:pPr>
      <w:r w:rsidRPr="00B30C4D">
        <w:t>Is the treatment outcome achieved naturally?</w:t>
      </w:r>
    </w:p>
    <w:p w14:paraId="5459B0C5" w14:textId="6AF129BE" w:rsidR="004D1C8A" w:rsidRDefault="004D1C8A" w:rsidP="00A65166">
      <w:pPr>
        <w:pStyle w:val="IPPParagraphnumbering"/>
        <w:numPr>
          <w:ilvl w:val="0"/>
          <w:numId w:val="1"/>
        </w:numPr>
      </w:pPr>
      <w:r>
        <w:t xml:space="preserve">At </w:t>
      </w:r>
      <w:r w:rsidRPr="00B30C4D">
        <w:rPr>
          <w:szCs w:val="22"/>
        </w:rPr>
        <w:t>an</w:t>
      </w:r>
      <w:r>
        <w:t xml:space="preserve"> </w:t>
      </w:r>
      <w:proofErr w:type="spellStart"/>
      <w:r>
        <w:t>eForum</w:t>
      </w:r>
      <w:proofErr w:type="spellEnd"/>
      <w:r>
        <w:t xml:space="preserve"> in 2016 the TPPT agreed to apply Abbott’s principle (</w:t>
      </w:r>
      <w:r w:rsidRPr="00D80C15">
        <w:t xml:space="preserve">Abbott 1925) </w:t>
      </w:r>
      <w:r>
        <w:t xml:space="preserve">to </w:t>
      </w:r>
      <w:r w:rsidR="003A2E28">
        <w:t xml:space="preserve">treated numbers determined through direct counts, </w:t>
      </w:r>
      <w:r>
        <w:t xml:space="preserve">and </w:t>
      </w:r>
      <w:r w:rsidR="003A2E28">
        <w:t xml:space="preserve">this decision </w:t>
      </w:r>
      <w:r>
        <w:t>was included in the 2016 version of the IPPC Procedures Manual.</w:t>
      </w:r>
    </w:p>
    <w:p w14:paraId="52DF7CBB" w14:textId="32815AED" w:rsidR="00CA79C4" w:rsidRDefault="00CA79C4" w:rsidP="00A65166">
      <w:pPr>
        <w:pStyle w:val="IPPParagraphnumbering"/>
        <w:numPr>
          <w:ilvl w:val="0"/>
          <w:numId w:val="1"/>
        </w:numPr>
      </w:pPr>
      <w:r>
        <w:t xml:space="preserve">The </w:t>
      </w:r>
      <w:r w:rsidRPr="00B30C4D">
        <w:rPr>
          <w:szCs w:val="22"/>
        </w:rPr>
        <w:t>IPPC</w:t>
      </w:r>
      <w:r>
        <w:t xml:space="preserve"> Procedures Manual contains the following text:</w:t>
      </w:r>
    </w:p>
    <w:p w14:paraId="278A16E8" w14:textId="18EE9F0B" w:rsidR="00CA79C4" w:rsidRDefault="00CA79C4" w:rsidP="00A65166">
      <w:pPr>
        <w:pStyle w:val="IPPParagraphnumbering"/>
        <w:numPr>
          <w:ilvl w:val="0"/>
          <w:numId w:val="1"/>
        </w:numPr>
      </w:pPr>
      <w:r>
        <w:lastRenderedPageBreak/>
        <w:t>“</w:t>
      </w:r>
      <w:r w:rsidR="00C2300C" w:rsidRPr="00C2300C">
        <w:rPr>
          <w:i/>
          <w:iCs/>
        </w:rPr>
        <w:t>Percentage mortality of treated target pests should be adjusted for mortality in the control by the following formula: Y</w:t>
      </w:r>
      <w:r w:rsidR="00C2300C" w:rsidRPr="00C2300C">
        <w:rPr>
          <w:i/>
          <w:iCs/>
          <w:vertAlign w:val="subscript"/>
        </w:rPr>
        <w:t>a</w:t>
      </w:r>
      <w:r w:rsidR="00C2300C" w:rsidRPr="00C2300C">
        <w:rPr>
          <w:i/>
          <w:iCs/>
        </w:rPr>
        <w:t xml:space="preserve"> = 100% - [(X – Y)/</w:t>
      </w:r>
      <w:proofErr w:type="gramStart"/>
      <w:r w:rsidR="00C2300C" w:rsidRPr="00C2300C">
        <w:rPr>
          <w:i/>
          <w:iCs/>
        </w:rPr>
        <w:t>X](</w:t>
      </w:r>
      <w:proofErr w:type="gramEnd"/>
      <w:r w:rsidR="00C2300C" w:rsidRPr="00C2300C">
        <w:rPr>
          <w:i/>
          <w:iCs/>
        </w:rPr>
        <w:t>100%), where Y</w:t>
      </w:r>
      <w:r w:rsidR="00C2300C" w:rsidRPr="00C2300C">
        <w:rPr>
          <w:i/>
          <w:iCs/>
          <w:vertAlign w:val="subscript"/>
        </w:rPr>
        <w:t>a</w:t>
      </w:r>
      <w:r w:rsidR="00C2300C" w:rsidRPr="00C2300C">
        <w:rPr>
          <w:i/>
          <w:iCs/>
        </w:rPr>
        <w:t xml:space="preserve"> is the adjusted percentage surviving in the treated cohort, X is the percentage surviving in the control and Y is the percentage surviving in the treated cohort</w:t>
      </w:r>
      <w:r w:rsidR="005230FE">
        <w:t>”</w:t>
      </w:r>
      <w:r w:rsidR="00C2300C" w:rsidRPr="00C2300C">
        <w:rPr>
          <w:i/>
          <w:iCs/>
        </w:rPr>
        <w:t xml:space="preserve"> </w:t>
      </w:r>
      <w:r w:rsidR="00C2300C" w:rsidRPr="005230FE">
        <w:t>(Abbott 1925).</w:t>
      </w:r>
    </w:p>
    <w:p w14:paraId="1F15403D" w14:textId="1E9173A1" w:rsidR="00D86738" w:rsidRDefault="00D86738" w:rsidP="00A65166">
      <w:pPr>
        <w:pStyle w:val="IPPParagraphnumbering"/>
        <w:numPr>
          <w:ilvl w:val="0"/>
          <w:numId w:val="1"/>
        </w:numPr>
        <w:rPr>
          <w:szCs w:val="22"/>
        </w:rPr>
      </w:pPr>
      <w:r w:rsidRPr="00D86738">
        <w:rPr>
          <w:szCs w:val="22"/>
        </w:rPr>
        <w:t xml:space="preserve">A set of more practical formulae </w:t>
      </w:r>
      <w:r w:rsidR="001814A8">
        <w:rPr>
          <w:szCs w:val="22"/>
        </w:rPr>
        <w:t xml:space="preserve">(1, 2 and 3) </w:t>
      </w:r>
      <w:r w:rsidRPr="00D86738">
        <w:rPr>
          <w:szCs w:val="22"/>
        </w:rPr>
        <w:t>for applying Abbott’s principle in the context of phytosanitary treatments would look as follows:</w:t>
      </w:r>
    </w:p>
    <w:p w14:paraId="52C2925D" w14:textId="55C39880" w:rsidR="001814A8" w:rsidRPr="001814A8" w:rsidRDefault="00D86738" w:rsidP="00A65166">
      <w:pPr>
        <w:pStyle w:val="IPPParagraphnumbering"/>
        <w:numPr>
          <w:ilvl w:val="0"/>
          <w:numId w:val="1"/>
        </w:numPr>
        <w:tabs>
          <w:tab w:val="clear" w:pos="0"/>
          <w:tab w:val="num" w:pos="709"/>
        </w:tabs>
        <w:ind w:left="709" w:hanging="1191"/>
        <w:rPr>
          <w:b/>
          <w:bCs/>
          <w:szCs w:val="22"/>
        </w:rPr>
      </w:pPr>
      <w:proofErr w:type="spellStart"/>
      <w:r w:rsidRPr="001814A8">
        <w:rPr>
          <w:b/>
          <w:bCs/>
          <w:szCs w:val="22"/>
        </w:rPr>
        <w:t>Y</w:t>
      </w:r>
      <w:r w:rsidRPr="00A52E31">
        <w:rPr>
          <w:b/>
          <w:bCs/>
          <w:szCs w:val="22"/>
          <w:vertAlign w:val="subscript"/>
        </w:rPr>
        <w:t>t</w:t>
      </w:r>
      <w:proofErr w:type="spellEnd"/>
      <w:r w:rsidRPr="001814A8">
        <w:rPr>
          <w:b/>
          <w:bCs/>
          <w:szCs w:val="22"/>
        </w:rPr>
        <w:t xml:space="preserve"> = Y</w:t>
      </w:r>
      <w:r w:rsidRPr="00A52E31">
        <w:rPr>
          <w:b/>
          <w:bCs/>
          <w:szCs w:val="22"/>
          <w:vertAlign w:val="subscript"/>
        </w:rPr>
        <w:t>n</w:t>
      </w:r>
      <w:r w:rsidRPr="001814A8">
        <w:rPr>
          <w:b/>
          <w:bCs/>
          <w:szCs w:val="22"/>
        </w:rPr>
        <w:t xml:space="preserve"> </w:t>
      </w:r>
      <m:oMath>
        <m:r>
          <m:rPr>
            <m:sty m:val="b"/>
          </m:rPr>
          <w:rPr>
            <w:rFonts w:ascii="Cambria Math" w:hAnsi="Cambria Math" w:cstheme="minorHAnsi"/>
            <w:szCs w:val="22"/>
          </w:rPr>
          <m:t>×</m:t>
        </m:r>
      </m:oMath>
      <w:r w:rsidRPr="001814A8">
        <w:rPr>
          <w:b/>
          <w:bCs/>
          <w:szCs w:val="22"/>
        </w:rPr>
        <w:t xml:space="preserve"> X</w:t>
      </w:r>
      <w:r w:rsidRPr="00A52E31">
        <w:rPr>
          <w:b/>
          <w:bCs/>
          <w:szCs w:val="22"/>
          <w:vertAlign w:val="subscript"/>
        </w:rPr>
        <w:t>p</w:t>
      </w:r>
      <w:r w:rsidR="001814A8" w:rsidRPr="001814A8">
        <w:rPr>
          <w:b/>
          <w:bCs/>
          <w:szCs w:val="22"/>
        </w:rPr>
        <w:tab/>
      </w:r>
      <w:r w:rsidR="001814A8" w:rsidRPr="001814A8">
        <w:rPr>
          <w:b/>
          <w:bCs/>
          <w:szCs w:val="22"/>
        </w:rPr>
        <w:tab/>
      </w:r>
      <w:r w:rsidR="001814A8" w:rsidRPr="001814A8">
        <w:rPr>
          <w:b/>
          <w:bCs/>
          <w:szCs w:val="22"/>
        </w:rPr>
        <w:tab/>
      </w:r>
      <w:r w:rsidR="001814A8" w:rsidRPr="001814A8">
        <w:rPr>
          <w:b/>
          <w:bCs/>
          <w:szCs w:val="22"/>
        </w:rPr>
        <w:tab/>
      </w:r>
      <w:r w:rsidR="001814A8" w:rsidRPr="001814A8">
        <w:rPr>
          <w:b/>
          <w:bCs/>
          <w:szCs w:val="22"/>
        </w:rPr>
        <w:tab/>
      </w:r>
      <w:r w:rsidR="001814A8">
        <w:rPr>
          <w:b/>
          <w:bCs/>
          <w:szCs w:val="22"/>
        </w:rPr>
        <w:tab/>
      </w:r>
      <w:r w:rsidR="001814A8">
        <w:rPr>
          <w:b/>
          <w:bCs/>
          <w:szCs w:val="22"/>
        </w:rPr>
        <w:tab/>
      </w:r>
      <w:r w:rsidR="001814A8" w:rsidRPr="001814A8">
        <w:rPr>
          <w:b/>
          <w:bCs/>
          <w:szCs w:val="22"/>
        </w:rPr>
        <w:tab/>
        <w:t>(1)</w:t>
      </w:r>
    </w:p>
    <w:p w14:paraId="5C9462F6" w14:textId="509DDA0A" w:rsidR="00D86738" w:rsidRDefault="00D86738" w:rsidP="00A65166">
      <w:pPr>
        <w:pStyle w:val="IPPParagraphnumbering"/>
        <w:numPr>
          <w:ilvl w:val="0"/>
          <w:numId w:val="1"/>
        </w:numPr>
        <w:rPr>
          <w:szCs w:val="22"/>
        </w:rPr>
      </w:pPr>
      <w:r w:rsidRPr="00D86738">
        <w:rPr>
          <w:szCs w:val="22"/>
        </w:rPr>
        <w:t xml:space="preserve">where </w:t>
      </w:r>
      <w:proofErr w:type="spellStart"/>
      <w:r w:rsidRPr="00D86738">
        <w:rPr>
          <w:szCs w:val="22"/>
        </w:rPr>
        <w:t>Y</w:t>
      </w:r>
      <w:r w:rsidRPr="00A52E31">
        <w:rPr>
          <w:szCs w:val="22"/>
          <w:vertAlign w:val="subscript"/>
        </w:rPr>
        <w:t>t</w:t>
      </w:r>
      <w:proofErr w:type="spellEnd"/>
      <w:r w:rsidRPr="00D86738">
        <w:rPr>
          <w:szCs w:val="22"/>
        </w:rPr>
        <w:t xml:space="preserve"> is the adjusted number of treated pests, Y</w:t>
      </w:r>
      <w:r w:rsidRPr="00A52E31">
        <w:rPr>
          <w:szCs w:val="22"/>
          <w:vertAlign w:val="subscript"/>
        </w:rPr>
        <w:t>n</w:t>
      </w:r>
      <w:r w:rsidRPr="00D86738">
        <w:rPr>
          <w:szCs w:val="22"/>
        </w:rPr>
        <w:t xml:space="preserve"> is the recorded number of treated pests, and </w:t>
      </w:r>
      <w:proofErr w:type="spellStart"/>
      <w:r w:rsidRPr="00D86738">
        <w:rPr>
          <w:szCs w:val="22"/>
        </w:rPr>
        <w:t>X</w:t>
      </w:r>
      <w:r w:rsidRPr="00A52E31">
        <w:rPr>
          <w:szCs w:val="22"/>
          <w:vertAlign w:val="subscript"/>
        </w:rPr>
        <w:t>p</w:t>
      </w:r>
      <w:proofErr w:type="spellEnd"/>
      <w:r w:rsidRPr="00D86738">
        <w:rPr>
          <w:szCs w:val="22"/>
        </w:rPr>
        <w:t xml:space="preserve"> is the proportion of pests surviving in the controls.</w:t>
      </w:r>
    </w:p>
    <w:p w14:paraId="593FC526" w14:textId="538DFD0B" w:rsidR="001814A8" w:rsidRDefault="00D86738" w:rsidP="00A65166">
      <w:pPr>
        <w:pStyle w:val="IPPParagraphnumbering"/>
        <w:numPr>
          <w:ilvl w:val="0"/>
          <w:numId w:val="1"/>
        </w:numPr>
        <w:rPr>
          <w:szCs w:val="22"/>
        </w:rPr>
      </w:pPr>
      <w:r w:rsidRPr="00D86738">
        <w:rPr>
          <w:szCs w:val="22"/>
        </w:rPr>
        <w:t xml:space="preserve">If </w:t>
      </w:r>
      <w:proofErr w:type="spellStart"/>
      <w:r w:rsidRPr="00D86738">
        <w:rPr>
          <w:szCs w:val="22"/>
        </w:rPr>
        <w:t>X</w:t>
      </w:r>
      <w:r w:rsidRPr="00A52E31">
        <w:rPr>
          <w:szCs w:val="22"/>
          <w:vertAlign w:val="subscript"/>
        </w:rPr>
        <w:t>p</w:t>
      </w:r>
      <w:proofErr w:type="spellEnd"/>
      <w:r w:rsidRPr="00D86738">
        <w:rPr>
          <w:szCs w:val="22"/>
        </w:rPr>
        <w:t xml:space="preserve"> is provided as a percentage (</w:t>
      </w:r>
      <w:proofErr w:type="spellStart"/>
      <w:r w:rsidRPr="00D86738">
        <w:rPr>
          <w:szCs w:val="22"/>
        </w:rPr>
        <w:t>X</w:t>
      </w:r>
      <w:r w:rsidRPr="00A52E31">
        <w:rPr>
          <w:szCs w:val="22"/>
          <w:vertAlign w:val="subscript"/>
        </w:rPr>
        <w:t>p</w:t>
      </w:r>
      <w:proofErr w:type="spellEnd"/>
      <w:r w:rsidRPr="00A52E31">
        <w:rPr>
          <w:szCs w:val="22"/>
          <w:vertAlign w:val="subscript"/>
        </w:rPr>
        <w:t>%</w:t>
      </w:r>
      <w:r w:rsidRPr="00D86738">
        <w:rPr>
          <w:szCs w:val="22"/>
        </w:rPr>
        <w:t>), just divide by 100.</w:t>
      </w:r>
    </w:p>
    <w:p w14:paraId="09317C05" w14:textId="6BDA8F46" w:rsidR="001814A8" w:rsidRPr="001814A8" w:rsidRDefault="001814A8" w:rsidP="00A65166">
      <w:pPr>
        <w:pStyle w:val="IPPParagraphnumbering"/>
        <w:numPr>
          <w:ilvl w:val="0"/>
          <w:numId w:val="1"/>
        </w:numPr>
        <w:tabs>
          <w:tab w:val="clear" w:pos="0"/>
          <w:tab w:val="num" w:pos="709"/>
        </w:tabs>
        <w:ind w:left="709" w:hanging="1191"/>
        <w:rPr>
          <w:b/>
          <w:bCs/>
          <w:szCs w:val="22"/>
        </w:rPr>
      </w:pPr>
      <w:proofErr w:type="spellStart"/>
      <w:r w:rsidRPr="001814A8">
        <w:rPr>
          <w:b/>
          <w:bCs/>
          <w:szCs w:val="22"/>
        </w:rPr>
        <w:t>Y</w:t>
      </w:r>
      <w:r w:rsidRPr="00A52E31">
        <w:rPr>
          <w:b/>
          <w:bCs/>
          <w:szCs w:val="22"/>
          <w:vertAlign w:val="subscript"/>
        </w:rPr>
        <w:t>t</w:t>
      </w:r>
      <w:proofErr w:type="spellEnd"/>
      <w:r w:rsidRPr="001814A8">
        <w:rPr>
          <w:b/>
          <w:bCs/>
          <w:szCs w:val="22"/>
        </w:rPr>
        <w:t xml:space="preserve"> = Y</w:t>
      </w:r>
      <w:r w:rsidRPr="00A52E31">
        <w:rPr>
          <w:b/>
          <w:bCs/>
          <w:szCs w:val="22"/>
          <w:vertAlign w:val="subscript"/>
        </w:rPr>
        <w:t>n</w:t>
      </w:r>
      <w:r w:rsidRPr="001814A8">
        <w:rPr>
          <w:b/>
          <w:bCs/>
          <w:szCs w:val="22"/>
        </w:rPr>
        <w:t xml:space="preserve"> </w:t>
      </w:r>
      <m:oMath>
        <m:r>
          <m:rPr>
            <m:sty m:val="b"/>
          </m:rPr>
          <w:rPr>
            <w:rFonts w:ascii="Cambria Math" w:hAnsi="Cambria Math" w:cstheme="minorHAnsi"/>
            <w:szCs w:val="22"/>
          </w:rPr>
          <m:t>×</m:t>
        </m:r>
      </m:oMath>
      <w:r w:rsidRPr="001814A8">
        <w:rPr>
          <w:b/>
          <w:bCs/>
          <w:szCs w:val="22"/>
        </w:rPr>
        <w:t xml:space="preserve"> (X</w:t>
      </w:r>
      <w:r w:rsidRPr="00A52E31">
        <w:rPr>
          <w:b/>
          <w:bCs/>
          <w:szCs w:val="22"/>
          <w:vertAlign w:val="subscript"/>
        </w:rPr>
        <w:t>p%</w:t>
      </w:r>
      <w:r w:rsidR="00A52E31">
        <w:rPr>
          <w:b/>
          <w:bCs/>
          <w:szCs w:val="22"/>
        </w:rPr>
        <w:t xml:space="preserve"> </w:t>
      </w:r>
      <w:r w:rsidRPr="001814A8">
        <w:rPr>
          <w:b/>
          <w:bCs/>
          <w:szCs w:val="22"/>
        </w:rPr>
        <w:t>/</w:t>
      </w:r>
      <w:r w:rsidR="00A52E31">
        <w:rPr>
          <w:b/>
          <w:bCs/>
          <w:szCs w:val="22"/>
        </w:rPr>
        <w:t xml:space="preserve"> </w:t>
      </w:r>
      <w:r w:rsidRPr="001814A8">
        <w:rPr>
          <w:b/>
          <w:bCs/>
          <w:szCs w:val="22"/>
        </w:rPr>
        <w:t>100)</w:t>
      </w:r>
      <w:r w:rsidRPr="001814A8">
        <w:rPr>
          <w:b/>
          <w:bCs/>
          <w:szCs w:val="22"/>
        </w:rPr>
        <w:tab/>
      </w:r>
      <w:r w:rsidRPr="001814A8">
        <w:rPr>
          <w:b/>
          <w:bCs/>
          <w:szCs w:val="22"/>
        </w:rPr>
        <w:tab/>
      </w:r>
      <w:r w:rsidRPr="001814A8">
        <w:rPr>
          <w:b/>
          <w:bCs/>
          <w:szCs w:val="22"/>
        </w:rPr>
        <w:tab/>
      </w:r>
      <w:r w:rsidRPr="001814A8">
        <w:rPr>
          <w:b/>
          <w:bCs/>
          <w:szCs w:val="22"/>
        </w:rPr>
        <w:tab/>
      </w:r>
      <w:r w:rsidRPr="001814A8">
        <w:rPr>
          <w:b/>
          <w:bCs/>
          <w:szCs w:val="22"/>
        </w:rPr>
        <w:tab/>
      </w:r>
      <w:r w:rsidRPr="001814A8">
        <w:rPr>
          <w:b/>
          <w:bCs/>
          <w:szCs w:val="22"/>
        </w:rPr>
        <w:tab/>
      </w:r>
      <w:r w:rsidRPr="001814A8">
        <w:rPr>
          <w:b/>
          <w:bCs/>
          <w:szCs w:val="22"/>
        </w:rPr>
        <w:tab/>
        <w:t>(2)</w:t>
      </w:r>
    </w:p>
    <w:p w14:paraId="1CB313C5" w14:textId="277D6A3A" w:rsidR="00D86738" w:rsidRPr="00D86738" w:rsidRDefault="00D86738" w:rsidP="00A65166">
      <w:pPr>
        <w:pStyle w:val="IPPParagraphnumbering"/>
        <w:numPr>
          <w:ilvl w:val="0"/>
          <w:numId w:val="1"/>
        </w:numPr>
        <w:rPr>
          <w:szCs w:val="22"/>
        </w:rPr>
      </w:pPr>
      <w:r w:rsidRPr="00D86738">
        <w:rPr>
          <w:szCs w:val="22"/>
        </w:rPr>
        <w:t xml:space="preserve">If </w:t>
      </w:r>
      <w:proofErr w:type="spellStart"/>
      <w:r w:rsidRPr="00D86738">
        <w:rPr>
          <w:szCs w:val="22"/>
        </w:rPr>
        <w:t>X</w:t>
      </w:r>
      <w:r w:rsidRPr="00A52E31">
        <w:rPr>
          <w:szCs w:val="22"/>
          <w:vertAlign w:val="subscript"/>
        </w:rPr>
        <w:t>p</w:t>
      </w:r>
      <w:proofErr w:type="spellEnd"/>
      <w:r w:rsidRPr="00D86738">
        <w:rPr>
          <w:szCs w:val="22"/>
        </w:rPr>
        <w:t xml:space="preserve"> is provided as percentage mortality (</w:t>
      </w:r>
      <w:proofErr w:type="spellStart"/>
      <w:r w:rsidRPr="00D86738">
        <w:rPr>
          <w:szCs w:val="22"/>
        </w:rPr>
        <w:t>X</w:t>
      </w:r>
      <w:r w:rsidRPr="00A52E31">
        <w:rPr>
          <w:szCs w:val="22"/>
          <w:vertAlign w:val="subscript"/>
        </w:rPr>
        <w:t>pm</w:t>
      </w:r>
      <w:proofErr w:type="spellEnd"/>
      <w:r w:rsidRPr="00A52E31">
        <w:rPr>
          <w:szCs w:val="22"/>
          <w:vertAlign w:val="subscript"/>
        </w:rPr>
        <w:t>%</w:t>
      </w:r>
      <w:r w:rsidRPr="00D86738">
        <w:rPr>
          <w:szCs w:val="22"/>
        </w:rPr>
        <w:t>), divide by 100 and then subtract from 1.</w:t>
      </w:r>
    </w:p>
    <w:p w14:paraId="15582D09" w14:textId="4E0BF3EF" w:rsidR="00D86738" w:rsidRPr="001814A8" w:rsidRDefault="001814A8" w:rsidP="00A65166">
      <w:pPr>
        <w:pStyle w:val="IPPParagraphnumbering"/>
        <w:numPr>
          <w:ilvl w:val="0"/>
          <w:numId w:val="1"/>
        </w:numPr>
        <w:tabs>
          <w:tab w:val="clear" w:pos="0"/>
          <w:tab w:val="num" w:pos="709"/>
        </w:tabs>
        <w:ind w:left="709" w:hanging="1191"/>
        <w:rPr>
          <w:b/>
          <w:bCs/>
        </w:rPr>
      </w:pPr>
      <w:proofErr w:type="spellStart"/>
      <w:r w:rsidRPr="001814A8">
        <w:rPr>
          <w:b/>
          <w:bCs/>
          <w:szCs w:val="22"/>
        </w:rPr>
        <w:t>Y</w:t>
      </w:r>
      <w:r w:rsidRPr="00A52E31">
        <w:rPr>
          <w:b/>
          <w:bCs/>
          <w:szCs w:val="22"/>
          <w:vertAlign w:val="subscript"/>
        </w:rPr>
        <w:t>t</w:t>
      </w:r>
      <w:proofErr w:type="spellEnd"/>
      <w:r w:rsidRPr="001814A8">
        <w:rPr>
          <w:b/>
          <w:bCs/>
          <w:szCs w:val="22"/>
        </w:rPr>
        <w:t xml:space="preserve"> = Y</w:t>
      </w:r>
      <w:r w:rsidRPr="00A52E31">
        <w:rPr>
          <w:b/>
          <w:bCs/>
          <w:szCs w:val="22"/>
          <w:vertAlign w:val="subscript"/>
        </w:rPr>
        <w:t>n</w:t>
      </w:r>
      <w:r w:rsidRPr="001814A8">
        <w:rPr>
          <w:b/>
          <w:bCs/>
          <w:szCs w:val="22"/>
        </w:rPr>
        <w:t xml:space="preserve"> </w:t>
      </w:r>
      <m:oMath>
        <m:r>
          <m:rPr>
            <m:sty m:val="b"/>
          </m:rPr>
          <w:rPr>
            <w:rFonts w:ascii="Cambria Math" w:hAnsi="Cambria Math" w:cstheme="minorHAnsi"/>
            <w:szCs w:val="22"/>
          </w:rPr>
          <m:t>×</m:t>
        </m:r>
      </m:oMath>
      <w:r w:rsidRPr="001814A8">
        <w:rPr>
          <w:b/>
          <w:bCs/>
          <w:szCs w:val="22"/>
        </w:rPr>
        <w:t xml:space="preserve"> (1-(X</w:t>
      </w:r>
      <w:r w:rsidRPr="00A52E31">
        <w:rPr>
          <w:b/>
          <w:bCs/>
          <w:szCs w:val="22"/>
          <w:vertAlign w:val="subscript"/>
        </w:rPr>
        <w:t>pm%</w:t>
      </w:r>
      <w:r w:rsidR="00A52E31">
        <w:rPr>
          <w:b/>
          <w:bCs/>
          <w:szCs w:val="22"/>
        </w:rPr>
        <w:t xml:space="preserve"> </w:t>
      </w:r>
      <w:r w:rsidRPr="001814A8">
        <w:rPr>
          <w:b/>
          <w:bCs/>
          <w:szCs w:val="22"/>
        </w:rPr>
        <w:t>/</w:t>
      </w:r>
      <w:r w:rsidR="00A52E31">
        <w:rPr>
          <w:b/>
          <w:bCs/>
          <w:szCs w:val="22"/>
        </w:rPr>
        <w:t xml:space="preserve"> </w:t>
      </w:r>
      <w:r w:rsidRPr="001814A8">
        <w:rPr>
          <w:b/>
          <w:bCs/>
          <w:szCs w:val="22"/>
        </w:rPr>
        <w:t>100))</w:t>
      </w:r>
      <w:r w:rsidRPr="001814A8">
        <w:rPr>
          <w:b/>
          <w:bCs/>
          <w:szCs w:val="22"/>
        </w:rPr>
        <w:tab/>
      </w:r>
      <w:r w:rsidRPr="001814A8">
        <w:rPr>
          <w:b/>
          <w:bCs/>
          <w:szCs w:val="22"/>
        </w:rPr>
        <w:tab/>
      </w:r>
      <w:r w:rsidRPr="001814A8">
        <w:rPr>
          <w:b/>
          <w:bCs/>
          <w:szCs w:val="22"/>
        </w:rPr>
        <w:tab/>
      </w:r>
      <w:r w:rsidRPr="001814A8">
        <w:rPr>
          <w:b/>
          <w:bCs/>
          <w:szCs w:val="22"/>
        </w:rPr>
        <w:tab/>
      </w:r>
      <w:r w:rsidRPr="001814A8">
        <w:rPr>
          <w:b/>
          <w:bCs/>
          <w:szCs w:val="22"/>
        </w:rPr>
        <w:tab/>
      </w:r>
      <w:r w:rsidRPr="001814A8">
        <w:rPr>
          <w:b/>
          <w:bCs/>
          <w:szCs w:val="22"/>
        </w:rPr>
        <w:tab/>
        <w:t>(3)</w:t>
      </w:r>
    </w:p>
    <w:p w14:paraId="0DD5B55F" w14:textId="6A52589E" w:rsidR="00D86738" w:rsidRDefault="00D86738" w:rsidP="00A65166">
      <w:pPr>
        <w:pStyle w:val="IPPParagraphnumbering"/>
        <w:numPr>
          <w:ilvl w:val="0"/>
          <w:numId w:val="1"/>
        </w:numPr>
      </w:pPr>
      <w:r>
        <w:t xml:space="preserve">It is recommended that the text of the </w:t>
      </w:r>
      <w:r w:rsidRPr="00B30C4D">
        <w:rPr>
          <w:szCs w:val="22"/>
        </w:rPr>
        <w:t>IPPC</w:t>
      </w:r>
      <w:r>
        <w:t xml:space="preserve"> Procedures Manual be revised to include these alternative formulae.</w:t>
      </w:r>
    </w:p>
    <w:p w14:paraId="21F1F8AE" w14:textId="23C9CB53" w:rsidR="00B30C4D" w:rsidRPr="00B30C4D" w:rsidRDefault="00B30C4D" w:rsidP="00B30C4D">
      <w:pPr>
        <w:pStyle w:val="IPPHeading1"/>
        <w:tabs>
          <w:tab w:val="clear" w:pos="567"/>
          <w:tab w:val="left" w:pos="0"/>
        </w:tabs>
        <w:ind w:left="0" w:firstLine="0"/>
      </w:pPr>
      <w:r w:rsidRPr="00B30C4D">
        <w:t>If the treated numbers are estimated not counted directly, what is the estimate at a suitable level of confidence?</w:t>
      </w:r>
    </w:p>
    <w:p w14:paraId="5B6C3004" w14:textId="77777777" w:rsidR="00B30C4D" w:rsidRPr="00EF4D04" w:rsidRDefault="00B30C4D" w:rsidP="00A65166">
      <w:pPr>
        <w:pStyle w:val="IPPParagraphnumbering"/>
        <w:numPr>
          <w:ilvl w:val="0"/>
          <w:numId w:val="1"/>
        </w:numPr>
        <w:rPr>
          <w:szCs w:val="22"/>
        </w:rPr>
      </w:pPr>
      <w:r w:rsidRPr="00EF4D04">
        <w:rPr>
          <w:szCs w:val="22"/>
        </w:rPr>
        <w:t>At the 2010 meeting of the TPPT in Kyoto, Japan, members identified the need to develop a statistical method to provide sufficient confidence in the number of treated pests when estimated from control numbers.</w:t>
      </w:r>
    </w:p>
    <w:p w14:paraId="607AF280" w14:textId="2A8ED462" w:rsidR="00B30C4D" w:rsidRPr="00EF4D04" w:rsidRDefault="00B30C4D" w:rsidP="00A65166">
      <w:pPr>
        <w:pStyle w:val="IPPPargraphnumbering"/>
        <w:numPr>
          <w:ilvl w:val="0"/>
          <w:numId w:val="1"/>
        </w:numPr>
        <w:jc w:val="left"/>
        <w:rPr>
          <w:szCs w:val="22"/>
        </w:rPr>
      </w:pPr>
      <w:r w:rsidRPr="00EF4D04">
        <w:rPr>
          <w:szCs w:val="22"/>
        </w:rPr>
        <w:t xml:space="preserve">On advice from statisticians, the TPPT developed </w:t>
      </w:r>
      <w:r>
        <w:rPr>
          <w:szCs w:val="22"/>
        </w:rPr>
        <w:t>a</w:t>
      </w:r>
      <w:r w:rsidRPr="00EF4D04">
        <w:rPr>
          <w:szCs w:val="22"/>
        </w:rPr>
        <w:t xml:space="preserve"> formula </w:t>
      </w:r>
      <w:r w:rsidR="00F54550">
        <w:rPr>
          <w:szCs w:val="22"/>
        </w:rPr>
        <w:t xml:space="preserve">to </w:t>
      </w:r>
      <w:r w:rsidRPr="00EF4D04">
        <w:rPr>
          <w:szCs w:val="22"/>
        </w:rPr>
        <w:t xml:space="preserve">be used to estimate treatment efficacy when using control numbers.  More recent advice from statisticians and biometricians </w:t>
      </w:r>
      <w:r>
        <w:rPr>
          <w:szCs w:val="22"/>
        </w:rPr>
        <w:t>is to treat the problem as one of cluster sampling and use a single formula for every occasion the treatment numbers are estimated from control data.</w:t>
      </w:r>
    </w:p>
    <w:p w14:paraId="122F652B" w14:textId="722BBA49" w:rsidR="00F54550" w:rsidRDefault="00F54550" w:rsidP="00A65166">
      <w:pPr>
        <w:pStyle w:val="IPPParagraphnumbering"/>
        <w:numPr>
          <w:ilvl w:val="0"/>
          <w:numId w:val="1"/>
        </w:numPr>
        <w:rPr>
          <w:rFonts w:cstheme="minorHAnsi"/>
          <w:szCs w:val="22"/>
        </w:rPr>
      </w:pPr>
      <w:r>
        <w:rPr>
          <w:rFonts w:cstheme="minorHAnsi"/>
          <w:szCs w:val="22"/>
        </w:rPr>
        <w:t>The TPPT has recently agreed to use the following f</w:t>
      </w:r>
      <w:r w:rsidRPr="00EF4D04">
        <w:rPr>
          <w:rFonts w:cstheme="minorHAnsi"/>
          <w:szCs w:val="22"/>
        </w:rPr>
        <w:t>ormula (</w:t>
      </w:r>
      <w:r w:rsidR="001814A8">
        <w:rPr>
          <w:rFonts w:cstheme="minorHAnsi"/>
          <w:szCs w:val="22"/>
        </w:rPr>
        <w:t>4</w:t>
      </w:r>
      <w:r w:rsidRPr="00EF4D04">
        <w:rPr>
          <w:rFonts w:cstheme="minorHAnsi"/>
          <w:szCs w:val="22"/>
        </w:rPr>
        <w:t>) for all examples when the treatment numbers are estimated from the controls:</w:t>
      </w:r>
    </w:p>
    <w:p w14:paraId="3F48CEAE" w14:textId="19E7D026" w:rsidR="00F54550" w:rsidRPr="001814A8" w:rsidRDefault="001814A8" w:rsidP="00A65166">
      <w:pPr>
        <w:pStyle w:val="IPPParagraphnumbering"/>
        <w:numPr>
          <w:ilvl w:val="0"/>
          <w:numId w:val="1"/>
        </w:numPr>
        <w:ind w:left="709" w:hanging="1191"/>
        <w:rPr>
          <w:rFonts w:cstheme="minorHAnsi"/>
          <w:szCs w:val="22"/>
        </w:rPr>
      </w:pPr>
      <w:r w:rsidRPr="001814A8">
        <w:rPr>
          <w:b/>
          <w:bCs/>
          <w:szCs w:val="22"/>
        </w:rPr>
        <w:t xml:space="preserve">            </w:t>
      </w:r>
      <m:oMath>
        <m:acc>
          <m:accPr>
            <m:chr m:val="̅"/>
            <m:ctrlPr>
              <w:rPr>
                <w:rFonts w:ascii="Cambria Math" w:hAnsi="Cambria Math"/>
                <w:b/>
                <w:szCs w:val="22"/>
              </w:rPr>
            </m:ctrlPr>
          </m:accPr>
          <m:e>
            <m:sSub>
              <m:sSubPr>
                <m:ctrlPr>
                  <w:rPr>
                    <w:rFonts w:ascii="Cambria Math" w:hAnsi="Cambria Math"/>
                    <w:b/>
                    <w:szCs w:val="22"/>
                  </w:rPr>
                </m:ctrlPr>
              </m:sSubPr>
              <m:e>
                <m:r>
                  <m:rPr>
                    <m:sty m:val="b"/>
                  </m:rPr>
                  <w:rPr>
                    <w:rFonts w:ascii="Cambria Math" w:hAnsi="Cambria Math"/>
                    <w:szCs w:val="22"/>
                  </w:rPr>
                  <m:t>x</m:t>
                </m:r>
              </m:e>
              <m:sub>
                <m:r>
                  <m:rPr>
                    <m:sty m:val="bi"/>
                  </m:rPr>
                  <w:rPr>
                    <w:rFonts w:ascii="Cambria Math" w:hAnsi="Cambria Math"/>
                    <w:szCs w:val="22"/>
                  </w:rPr>
                  <m:t>t</m:t>
                </m:r>
              </m:sub>
            </m:sSub>
          </m:e>
        </m:acc>
        <m:r>
          <m:rPr>
            <m:sty m:val="bi"/>
          </m:rPr>
          <w:rPr>
            <w:rFonts w:ascii="Cambria Math" w:hAnsi="Cambria Math" w:cstheme="minorHAnsi"/>
            <w:szCs w:val="22"/>
          </w:rPr>
          <m:t>=</m:t>
        </m:r>
        <m:acc>
          <m:accPr>
            <m:chr m:val="̅"/>
            <m:ctrlPr>
              <w:rPr>
                <w:rFonts w:ascii="Cambria Math" w:hAnsi="Cambria Math"/>
                <w:b/>
                <w:szCs w:val="22"/>
              </w:rPr>
            </m:ctrlPr>
          </m:accPr>
          <m:e>
            <m:sSub>
              <m:sSubPr>
                <m:ctrlPr>
                  <w:rPr>
                    <w:rFonts w:ascii="Cambria Math" w:hAnsi="Cambria Math"/>
                    <w:b/>
                    <w:szCs w:val="22"/>
                  </w:rPr>
                </m:ctrlPr>
              </m:sSubPr>
              <m:e>
                <m:r>
                  <m:rPr>
                    <m:sty m:val="b"/>
                  </m:rPr>
                  <w:rPr>
                    <w:rFonts w:ascii="Cambria Math" w:hAnsi="Cambria Math"/>
                    <w:szCs w:val="22"/>
                  </w:rPr>
                  <m:t>x</m:t>
                </m:r>
              </m:e>
              <m:sub>
                <m:r>
                  <m:rPr>
                    <m:sty m:val="bi"/>
                  </m:rPr>
                  <w:rPr>
                    <w:rFonts w:ascii="Cambria Math" w:hAnsi="Cambria Math"/>
                    <w:szCs w:val="22"/>
                  </w:rPr>
                  <m:t>c</m:t>
                </m:r>
              </m:sub>
            </m:sSub>
          </m:e>
        </m:acc>
        <m:r>
          <m:rPr>
            <m:sty m:val="bi"/>
          </m:rPr>
          <w:rPr>
            <w:rFonts w:ascii="Cambria Math" w:hAnsi="Cambria Math" w:cstheme="minorHAnsi"/>
            <w:szCs w:val="22"/>
          </w:rPr>
          <m:t>-</m:t>
        </m:r>
        <m:r>
          <m:rPr>
            <m:sty m:val="b"/>
          </m:rPr>
          <w:rPr>
            <w:rFonts w:ascii="Cambria Math" w:hAnsi="Cambria Math" w:cstheme="minorHAnsi"/>
            <w:szCs w:val="22"/>
          </w:rPr>
          <m:t>(</m:t>
        </m:r>
        <m:f>
          <m:fPr>
            <m:ctrlPr>
              <w:rPr>
                <w:rFonts w:ascii="Cambria Math" w:hAnsi="Cambria Math" w:cstheme="minorHAnsi"/>
                <w:b/>
                <w:szCs w:val="22"/>
              </w:rPr>
            </m:ctrlPr>
          </m:fPr>
          <m:num>
            <m:r>
              <m:rPr>
                <m:sty m:val="b"/>
              </m:rPr>
              <w:rPr>
                <w:rFonts w:ascii="Cambria Math" w:hAnsi="Cambria Math" w:cstheme="minorHAnsi"/>
                <w:szCs w:val="22"/>
              </w:rPr>
              <m:t>STD</m:t>
            </m:r>
          </m:num>
          <m:den>
            <m:rad>
              <m:radPr>
                <m:degHide m:val="1"/>
                <m:ctrlPr>
                  <w:rPr>
                    <w:rFonts w:ascii="Cambria Math" w:hAnsi="Cambria Math" w:cstheme="minorHAnsi"/>
                    <w:b/>
                    <w:i/>
                    <w:szCs w:val="22"/>
                  </w:rPr>
                </m:ctrlPr>
              </m:radPr>
              <m:deg/>
              <m:e>
                <m:r>
                  <m:rPr>
                    <m:sty m:val="bi"/>
                  </m:rPr>
                  <w:rPr>
                    <w:rFonts w:ascii="Cambria Math" w:hAnsi="Cambria Math" w:cstheme="minorHAnsi"/>
                    <w:szCs w:val="22"/>
                  </w:rPr>
                  <m:t>r</m:t>
                </m:r>
              </m:e>
            </m:rad>
          </m:den>
        </m:f>
        <m:r>
          <m:rPr>
            <m:sty m:val="b"/>
          </m:rPr>
          <w:rPr>
            <w:rFonts w:ascii="Cambria Math" w:hAnsi="Cambria Math" w:cstheme="minorHAnsi"/>
            <w:szCs w:val="22"/>
          </w:rPr>
          <m:t xml:space="preserve">× </m:t>
        </m:r>
        <m:sSub>
          <m:sSubPr>
            <m:ctrlPr>
              <w:rPr>
                <w:rFonts w:ascii="Cambria Math" w:hAnsi="Cambria Math" w:cstheme="minorHAnsi"/>
                <w:b/>
                <w:szCs w:val="22"/>
              </w:rPr>
            </m:ctrlPr>
          </m:sSubPr>
          <m:e>
            <m:r>
              <m:rPr>
                <m:sty m:val="bi"/>
              </m:rPr>
              <w:rPr>
                <w:rFonts w:ascii="Cambria Math" w:hAnsi="Cambria Math" w:cstheme="minorHAnsi"/>
                <w:szCs w:val="22"/>
              </w:rPr>
              <m:t>t</m:t>
            </m:r>
          </m:e>
          <m:sub>
            <m:r>
              <m:rPr>
                <m:sty m:val="bi"/>
              </m:rPr>
              <w:rPr>
                <w:rFonts w:ascii="Cambria Math" w:hAnsi="Cambria Math"/>
                <w:szCs w:val="22"/>
              </w:rPr>
              <m:t>r-1</m:t>
            </m:r>
            <m:d>
              <m:dPr>
                <m:ctrlPr>
                  <w:rPr>
                    <w:rFonts w:ascii="Cambria Math" w:hAnsi="Cambria Math" w:cstheme="minorHAnsi"/>
                    <w:b/>
                    <w:i/>
                    <w:szCs w:val="22"/>
                  </w:rPr>
                </m:ctrlPr>
              </m:dPr>
              <m:e>
                <m:r>
                  <m:rPr>
                    <m:sty m:val="bi"/>
                  </m:rPr>
                  <w:rPr>
                    <w:rFonts w:ascii="Cambria Math" w:hAnsi="Cambria Math" w:cstheme="minorHAnsi"/>
                    <w:szCs w:val="22"/>
                  </w:rPr>
                  <m:t>0.05</m:t>
                </m:r>
              </m:e>
            </m:d>
          </m:sub>
        </m:sSub>
        <m:r>
          <m:rPr>
            <m:sty m:val="bi"/>
          </m:rPr>
          <w:rPr>
            <w:rFonts w:ascii="Cambria Math" w:hAnsi="Cambria Math" w:cstheme="minorHAnsi"/>
            <w:szCs w:val="22"/>
          </w:rPr>
          <m:t>)</m:t>
        </m:r>
      </m:oMath>
      <w:r w:rsidR="00F54550" w:rsidRPr="001814A8">
        <w:rPr>
          <w:rFonts w:cstheme="minorHAnsi"/>
          <w:b/>
          <w:szCs w:val="22"/>
        </w:rPr>
        <w:tab/>
      </w:r>
      <w:r w:rsidR="00F54550" w:rsidRPr="001814A8">
        <w:rPr>
          <w:rFonts w:cstheme="minorHAnsi"/>
          <w:b/>
          <w:szCs w:val="22"/>
        </w:rPr>
        <w:tab/>
      </w:r>
      <w:r w:rsidR="00F54550" w:rsidRPr="001814A8">
        <w:rPr>
          <w:rFonts w:cstheme="minorHAnsi"/>
          <w:b/>
          <w:szCs w:val="22"/>
        </w:rPr>
        <w:tab/>
      </w:r>
      <w:r w:rsidR="00F54550" w:rsidRPr="001814A8">
        <w:rPr>
          <w:rFonts w:cstheme="minorHAnsi"/>
          <w:b/>
          <w:szCs w:val="22"/>
        </w:rPr>
        <w:tab/>
      </w:r>
      <w:r w:rsidR="00F54550" w:rsidRPr="001814A8">
        <w:rPr>
          <w:rFonts w:cstheme="minorHAnsi"/>
          <w:b/>
          <w:szCs w:val="22"/>
        </w:rPr>
        <w:tab/>
      </w:r>
      <w:r w:rsidR="00F54550" w:rsidRPr="001814A8">
        <w:rPr>
          <w:rFonts w:cstheme="minorHAnsi"/>
          <w:b/>
          <w:szCs w:val="22"/>
        </w:rPr>
        <w:tab/>
        <w:t>(</w:t>
      </w:r>
      <w:r w:rsidRPr="001814A8">
        <w:rPr>
          <w:rFonts w:cstheme="minorHAnsi"/>
          <w:b/>
          <w:szCs w:val="22"/>
        </w:rPr>
        <w:t>4</w:t>
      </w:r>
      <w:r w:rsidR="00F54550" w:rsidRPr="001814A8">
        <w:rPr>
          <w:rFonts w:cstheme="minorHAnsi"/>
          <w:b/>
          <w:szCs w:val="22"/>
        </w:rPr>
        <w:t>)</w:t>
      </w:r>
    </w:p>
    <w:p w14:paraId="788DF42B" w14:textId="282F821D" w:rsidR="00A52E31" w:rsidRDefault="00A52E31" w:rsidP="00A52E31">
      <w:pPr>
        <w:pStyle w:val="IPPHeading1"/>
        <w:tabs>
          <w:tab w:val="clear" w:pos="567"/>
          <w:tab w:val="left" w:pos="0"/>
        </w:tabs>
        <w:ind w:left="0" w:firstLine="0"/>
      </w:pPr>
      <w:r w:rsidRPr="00A52E31">
        <w:t>Is the fitness of the treated sample affecting the results?</w:t>
      </w:r>
    </w:p>
    <w:p w14:paraId="53D4BA66" w14:textId="1DF602F7" w:rsidR="00A52E31" w:rsidRDefault="00095DA6" w:rsidP="00A65166">
      <w:pPr>
        <w:pStyle w:val="IPPParagraphnumbering"/>
        <w:numPr>
          <w:ilvl w:val="0"/>
          <w:numId w:val="1"/>
        </w:numPr>
      </w:pPr>
      <w:r>
        <w:t xml:space="preserve">In Figure 1 is provided </w:t>
      </w:r>
      <w:proofErr w:type="gramStart"/>
      <w:r>
        <w:t>a number of</w:t>
      </w:r>
      <w:proofErr w:type="gramEnd"/>
      <w:r>
        <w:t xml:space="preserve"> life-cycle scenarios with differing levels of life-stage mortality and fecundity.  </w:t>
      </w:r>
      <w:r w:rsidR="00D4338B">
        <w:t>In the first example a p</w:t>
      </w:r>
      <w:r>
        <w:t>opulation ‘A’ has a relatively low level of mortality over a life cycle and a comparatively high level of fecundity</w:t>
      </w:r>
      <w:r w:rsidR="00D4338B">
        <w:t xml:space="preserve"> (solid blue line)</w:t>
      </w:r>
      <w:r>
        <w:t xml:space="preserve">.  As a </w:t>
      </w:r>
      <w:r w:rsidR="00D4338B">
        <w:t>result,</w:t>
      </w:r>
      <w:r>
        <w:t xml:space="preserve"> the number of individuals in population ‘A’ increases from generation to generation, in this example up from the starting 10,000 individuals to just over 12,000 at the end of the second generation.</w:t>
      </w:r>
    </w:p>
    <w:p w14:paraId="3B7E119A" w14:textId="7D861ABF" w:rsidR="00095DA6" w:rsidRDefault="00095DA6" w:rsidP="00A65166">
      <w:pPr>
        <w:pStyle w:val="IPPParagraphnumbering"/>
        <w:numPr>
          <w:ilvl w:val="0"/>
          <w:numId w:val="1"/>
        </w:numPr>
      </w:pPr>
      <w:r>
        <w:t xml:space="preserve">An </w:t>
      </w:r>
      <w:r w:rsidR="00D4338B">
        <w:t>alternative</w:t>
      </w:r>
      <w:r>
        <w:t xml:space="preserve"> population ‘A’ is provided that has the same </w:t>
      </w:r>
      <w:r w:rsidR="00D4338B">
        <w:t xml:space="preserve">low </w:t>
      </w:r>
      <w:r>
        <w:t xml:space="preserve">level of </w:t>
      </w:r>
      <w:r w:rsidR="00D4338B">
        <w:t>mortality but also has a very low level of fecundity (broken blue line).  In this example the number of individuals in population ‘A’ decreases from generation to generation, down from the starting 10,000 individuals to just over 8,000 at the end of the second generation.</w:t>
      </w:r>
    </w:p>
    <w:p w14:paraId="1A6A35D9" w14:textId="16170625" w:rsidR="00D4338B" w:rsidRDefault="0034269D" w:rsidP="00A65166">
      <w:pPr>
        <w:pStyle w:val="IPPParagraphnumbering"/>
        <w:numPr>
          <w:ilvl w:val="0"/>
          <w:numId w:val="1"/>
        </w:numPr>
      </w:pPr>
      <w:r>
        <w:t>The population ‘B’ examples demonstrate the same high and low levels of fecundity with relatively high levels of life-stage mortality</w:t>
      </w:r>
      <w:r w:rsidR="0099253D">
        <w:t xml:space="preserve"> resulting in higher (~12,000) or lower (~3,500) final population levels respectively</w:t>
      </w:r>
      <w:r>
        <w:t xml:space="preserve">. Whereas the population ‘C’ example has a relatively high levels of life-stage mortality </w:t>
      </w:r>
      <w:r>
        <w:lastRenderedPageBreak/>
        <w:t>with a level of fecundity between high and low (a ‘medium’ level)</w:t>
      </w:r>
      <w:r w:rsidR="0099253D">
        <w:t>, resulting in final a population of around 5,000 individuals</w:t>
      </w:r>
      <w:r>
        <w:t>.</w:t>
      </w:r>
    </w:p>
    <w:p w14:paraId="4E67B6FA" w14:textId="495E5F88" w:rsidR="005C1E74" w:rsidRDefault="0034269D" w:rsidP="005C1E74">
      <w:pPr>
        <w:pStyle w:val="IPPParagraphnumbering"/>
        <w:numPr>
          <w:ilvl w:val="0"/>
          <w:numId w:val="0"/>
        </w:numPr>
      </w:pPr>
      <w:r>
        <w:rPr>
          <w:noProof/>
        </w:rPr>
        <w:drawing>
          <wp:inline distT="0" distB="0" distL="0" distR="0" wp14:anchorId="4CFC3870" wp14:editId="69C5A480">
            <wp:extent cx="5732145" cy="2844800"/>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2145" cy="2844800"/>
                    </a:xfrm>
                    <a:prstGeom prst="rect">
                      <a:avLst/>
                    </a:prstGeom>
                    <a:noFill/>
                    <a:ln>
                      <a:noFill/>
                    </a:ln>
                  </pic:spPr>
                </pic:pic>
              </a:graphicData>
            </a:graphic>
          </wp:inline>
        </w:drawing>
      </w:r>
    </w:p>
    <w:p w14:paraId="60E7E63E" w14:textId="54825A35" w:rsidR="005C1E74" w:rsidRPr="0034269D" w:rsidRDefault="0034269D" w:rsidP="005C1E74">
      <w:pPr>
        <w:pStyle w:val="IPPParagraphnumbering"/>
        <w:numPr>
          <w:ilvl w:val="0"/>
          <w:numId w:val="0"/>
        </w:numPr>
        <w:rPr>
          <w:b/>
          <w:bCs/>
          <w:sz w:val="20"/>
          <w:szCs w:val="20"/>
        </w:rPr>
      </w:pPr>
      <w:r w:rsidRPr="0034269D">
        <w:rPr>
          <w:b/>
          <w:bCs/>
          <w:sz w:val="20"/>
          <w:szCs w:val="20"/>
        </w:rPr>
        <w:t>Figure 1: Example population numbers indicating combinations of high and low rates of life-stage mortality and fecundity.</w:t>
      </w:r>
    </w:p>
    <w:p w14:paraId="7031A365" w14:textId="71FFD2ED" w:rsidR="0034269D" w:rsidRDefault="0099253D" w:rsidP="00A65166">
      <w:pPr>
        <w:pStyle w:val="IPPParagraphnumbering"/>
        <w:numPr>
          <w:ilvl w:val="0"/>
          <w:numId w:val="1"/>
        </w:numPr>
      </w:pPr>
      <w:r>
        <w:t xml:space="preserve">What these population examples indicate is that a viable population cannot be determined only by the level of life-stage mortality. The level of fecundity is an equally important factor to be considered.  The only two population scenarios that </w:t>
      </w:r>
      <w:r w:rsidR="00AD18BC">
        <w:t>indicated a viable population both had relatively high levels of fecundity, more than twice the level of life-stage mortality.  This indicates two important principles to be considered when determining the level of treatment efficacy:</w:t>
      </w:r>
    </w:p>
    <w:p w14:paraId="69E27D31" w14:textId="77777777" w:rsidR="0028704A" w:rsidRDefault="00AD18BC" w:rsidP="00A65166">
      <w:pPr>
        <w:pStyle w:val="IPPParagraphnumbering"/>
        <w:numPr>
          <w:ilvl w:val="0"/>
          <w:numId w:val="1"/>
        </w:numPr>
        <w:tabs>
          <w:tab w:val="clear" w:pos="0"/>
          <w:tab w:val="num" w:pos="142"/>
        </w:tabs>
        <w:ind w:left="567" w:hanging="1049"/>
      </w:pPr>
      <w:r w:rsidRPr="0028704A">
        <w:rPr>
          <w:b/>
          <w:bCs/>
        </w:rPr>
        <w:t>1)</w:t>
      </w:r>
      <w:r>
        <w:tab/>
        <w:t xml:space="preserve">Experimental conditions that result in significantly higher-than-natural life-stage morality or (when the experimental endpoint is in the second generation) lower than normal levels of fecundity </w:t>
      </w:r>
      <w:r w:rsidR="0028704A">
        <w:t>may indicate the experimental population is not viable.</w:t>
      </w:r>
    </w:p>
    <w:p w14:paraId="0FAECE00" w14:textId="5856D966" w:rsidR="00AD18BC" w:rsidRDefault="0028704A" w:rsidP="00A65166">
      <w:pPr>
        <w:pStyle w:val="IPPParagraphnumbering"/>
        <w:numPr>
          <w:ilvl w:val="0"/>
          <w:numId w:val="1"/>
        </w:numPr>
        <w:tabs>
          <w:tab w:val="clear" w:pos="0"/>
          <w:tab w:val="num" w:pos="142"/>
        </w:tabs>
        <w:ind w:left="567" w:hanging="1049"/>
      </w:pPr>
      <w:r w:rsidRPr="0028704A">
        <w:rPr>
          <w:b/>
          <w:bCs/>
        </w:rPr>
        <w:t>2)</w:t>
      </w:r>
      <w:r>
        <w:tab/>
        <w:t>When calculating levels of treatment efficacy, life-stage mortality rates should only be accounted for from the first generation (the treated generation).  Subsequent generational mortality rates are only relevant to determining the viability of the treated population (e.g., if the population is recovering in later generations the treatment should be considered a failure).</w:t>
      </w:r>
    </w:p>
    <w:p w14:paraId="6B85F7CB" w14:textId="6187B5C6" w:rsidR="009E43C2" w:rsidRPr="00AA3B7B" w:rsidRDefault="009E43C2" w:rsidP="00A65166">
      <w:pPr>
        <w:pStyle w:val="IPPHeading1"/>
        <w:numPr>
          <w:ilvl w:val="0"/>
          <w:numId w:val="1"/>
        </w:numPr>
      </w:pPr>
      <w:r>
        <w:t>Adjusting the IPPC Procedures Manual</w:t>
      </w:r>
    </w:p>
    <w:p w14:paraId="583CF59C" w14:textId="77777777" w:rsidR="009E43C2" w:rsidRDefault="009E43C2" w:rsidP="00A65166">
      <w:pPr>
        <w:pStyle w:val="IPPParagraphnumbering"/>
        <w:numPr>
          <w:ilvl w:val="0"/>
          <w:numId w:val="1"/>
        </w:numPr>
      </w:pPr>
      <w:r>
        <w:t xml:space="preserve">The working procedures of the TPPT are described in section 7.6 of the Standard Setting Procedure Manual, which is available here: </w:t>
      </w:r>
      <w:hyperlink r:id="rId11" w:history="1">
        <w:r w:rsidRPr="00FC14FF">
          <w:rPr>
            <w:rStyle w:val="Hyperlink"/>
          </w:rPr>
          <w:t>https://www.ippc.int/en/publications/85024/</w:t>
        </w:r>
      </w:hyperlink>
    </w:p>
    <w:p w14:paraId="35A75177" w14:textId="2D95A41C" w:rsidR="009E43C2" w:rsidRDefault="009E43C2" w:rsidP="00A65166">
      <w:pPr>
        <w:pStyle w:val="IPPParagraphnumbering"/>
        <w:numPr>
          <w:ilvl w:val="0"/>
          <w:numId w:val="1"/>
        </w:numPr>
      </w:pPr>
      <w:r>
        <w:t>The section regarding efficacy calculation needs to be adjusted based on TPPT decisions on the method of calculating efficacy. The proposal is presented below.</w:t>
      </w:r>
    </w:p>
    <w:p w14:paraId="6EED1C5E" w14:textId="77777777" w:rsidR="009E43C2" w:rsidRPr="00AA7A6D" w:rsidRDefault="009E43C2" w:rsidP="009E43C2">
      <w:pPr>
        <w:pStyle w:val="IPPHeading1"/>
        <w:tabs>
          <w:tab w:val="clear" w:pos="567"/>
        </w:tabs>
        <w:ind w:left="0" w:firstLine="0"/>
        <w:jc w:val="both"/>
      </w:pPr>
      <w:bookmarkStart w:id="1" w:name="_Toc363656290"/>
      <w:bookmarkStart w:id="2" w:name="_Toc462308560"/>
      <w:bookmarkStart w:id="3" w:name="_Toc462833857"/>
      <w:bookmarkStart w:id="4" w:name="_Toc462834735"/>
      <w:bookmarkStart w:id="5" w:name="_Toc462834924"/>
      <w:bookmarkStart w:id="6" w:name="_Toc463019676"/>
      <w:bookmarkStart w:id="7" w:name="_Toc463019825"/>
      <w:bookmarkStart w:id="8" w:name="_Toc463019895"/>
      <w:bookmarkStart w:id="9" w:name="_Toc463362771"/>
      <w:bookmarkStart w:id="10" w:name="_Toc463363207"/>
      <w:bookmarkStart w:id="11" w:name="_Toc463363379"/>
      <w:bookmarkStart w:id="12" w:name="_Toc463363568"/>
      <w:bookmarkStart w:id="13" w:name="_Toc463527532"/>
      <w:bookmarkStart w:id="14" w:name="_Toc463527886"/>
      <w:r w:rsidRPr="00AA7A6D">
        <w:t>General Considerations when Calculating the Level of Efficacy Achieved by a Treatment Schedule</w:t>
      </w:r>
      <w:bookmarkEnd w:id="1"/>
      <w:bookmarkEnd w:id="2"/>
      <w:bookmarkEnd w:id="3"/>
      <w:bookmarkEnd w:id="4"/>
      <w:bookmarkEnd w:id="5"/>
      <w:bookmarkEnd w:id="6"/>
      <w:bookmarkEnd w:id="7"/>
      <w:bookmarkEnd w:id="8"/>
      <w:bookmarkEnd w:id="9"/>
      <w:bookmarkEnd w:id="10"/>
      <w:bookmarkEnd w:id="11"/>
      <w:bookmarkEnd w:id="12"/>
      <w:bookmarkEnd w:id="13"/>
      <w:bookmarkEnd w:id="14"/>
    </w:p>
    <w:p w14:paraId="19662FB2" w14:textId="77777777" w:rsidR="009E43C2" w:rsidRPr="00AA7A6D" w:rsidRDefault="009E43C2" w:rsidP="00A65166">
      <w:pPr>
        <w:pStyle w:val="IPPParagraphnumbering"/>
        <w:numPr>
          <w:ilvl w:val="0"/>
          <w:numId w:val="1"/>
        </w:numPr>
      </w:pPr>
      <w:r w:rsidRPr="00AA7A6D">
        <w:t xml:space="preserve">The panel has recommended </w:t>
      </w:r>
      <w:proofErr w:type="gramStart"/>
      <w:r w:rsidRPr="00AA7A6D">
        <w:t>a number of</w:t>
      </w:r>
      <w:proofErr w:type="gramEnd"/>
      <w:r w:rsidRPr="00AA7A6D">
        <w:t xml:space="preserve"> principles that they should apply when calculating the level of efficacy achieved by a treatment schedule at the 95% confidence level, based on the total number of target pests treated. Further information on the calculation of the level of efficacy is provided in a publication by Couey and Chew (1986). These agreed principles include:</w:t>
      </w:r>
    </w:p>
    <w:p w14:paraId="37C52FE4" w14:textId="77777777" w:rsidR="00984B59" w:rsidRDefault="009F0E46" w:rsidP="00A65166">
      <w:pPr>
        <w:pStyle w:val="IPPParagraphnumbering"/>
        <w:numPr>
          <w:ilvl w:val="0"/>
          <w:numId w:val="1"/>
        </w:numPr>
        <w:ind w:left="567" w:hanging="1049"/>
      </w:pPr>
      <w:r w:rsidRPr="0095623E">
        <w:rPr>
          <w:b/>
          <w:bCs/>
        </w:rPr>
        <w:t>1)</w:t>
      </w:r>
      <w:r>
        <w:tab/>
      </w:r>
      <w:r w:rsidRPr="009F0E46">
        <w:rPr>
          <w:b/>
          <w:bCs/>
        </w:rPr>
        <w:t>Abbott’s Principle:</w:t>
      </w:r>
      <w:r>
        <w:t xml:space="preserve"> </w:t>
      </w:r>
      <w:r w:rsidR="009E43C2" w:rsidRPr="00AA7A6D">
        <w:t xml:space="preserve">The level of mortality in the controls </w:t>
      </w:r>
      <w:r w:rsidRPr="009F0E46">
        <w:rPr>
          <w:color w:val="FF0000"/>
        </w:rPr>
        <w:t xml:space="preserve">in the treated generation </w:t>
      </w:r>
      <w:r w:rsidR="009E43C2" w:rsidRPr="00AA7A6D">
        <w:t xml:space="preserve">must be accounted for when calculating treatment efficacy from counts of dead treated pests. The recorded </w:t>
      </w:r>
      <w:r w:rsidR="009E43C2" w:rsidRPr="00AA7A6D">
        <w:lastRenderedPageBreak/>
        <w:t>mortality of treated target pests should be adjusted for natural mortality recorded in controls e.g., if there is a 10% level of mortality in the control sample, 10% of the deaths in the treated sample should be attributed to causes other than the treatment.</w:t>
      </w:r>
      <w:r>
        <w:t xml:space="preserve">  The formulae for this calculation are</w:t>
      </w:r>
      <w:r w:rsidR="00984B59">
        <w:t xml:space="preserve"> as follows:</w:t>
      </w:r>
    </w:p>
    <w:p w14:paraId="004088B9" w14:textId="54984748" w:rsidR="009E43C2" w:rsidRDefault="00984B59" w:rsidP="00A65166">
      <w:pPr>
        <w:pStyle w:val="IPPParagraphnumbering"/>
        <w:numPr>
          <w:ilvl w:val="0"/>
          <w:numId w:val="1"/>
        </w:numPr>
        <w:tabs>
          <w:tab w:val="clear" w:pos="0"/>
          <w:tab w:val="num" w:pos="567"/>
        </w:tabs>
        <w:ind w:left="567" w:hanging="1049"/>
      </w:pPr>
      <w:r>
        <w:t>W</w:t>
      </w:r>
      <w:r w:rsidR="009F0E46">
        <w:t>here</w:t>
      </w:r>
      <w:r w:rsidRPr="00984B59">
        <w:rPr>
          <w:szCs w:val="22"/>
        </w:rPr>
        <w:t xml:space="preserve"> </w:t>
      </w:r>
      <w:proofErr w:type="spellStart"/>
      <w:r w:rsidRPr="00D86738">
        <w:rPr>
          <w:szCs w:val="22"/>
        </w:rPr>
        <w:t>Y</w:t>
      </w:r>
      <w:r w:rsidRPr="00A52E31">
        <w:rPr>
          <w:szCs w:val="22"/>
          <w:vertAlign w:val="subscript"/>
        </w:rPr>
        <w:t>t</w:t>
      </w:r>
      <w:proofErr w:type="spellEnd"/>
      <w:r w:rsidRPr="00D86738">
        <w:rPr>
          <w:szCs w:val="22"/>
        </w:rPr>
        <w:t xml:space="preserve"> is the adjusted number of treated pests, Y</w:t>
      </w:r>
      <w:r w:rsidRPr="00A52E31">
        <w:rPr>
          <w:szCs w:val="22"/>
          <w:vertAlign w:val="subscript"/>
        </w:rPr>
        <w:t>n</w:t>
      </w:r>
      <w:r w:rsidRPr="00D86738">
        <w:rPr>
          <w:szCs w:val="22"/>
        </w:rPr>
        <w:t xml:space="preserve"> is the recorded number of treated pests, and </w:t>
      </w:r>
      <w:proofErr w:type="spellStart"/>
      <w:r w:rsidRPr="00D86738">
        <w:rPr>
          <w:szCs w:val="22"/>
        </w:rPr>
        <w:t>X</w:t>
      </w:r>
      <w:r w:rsidRPr="00A52E31">
        <w:rPr>
          <w:szCs w:val="22"/>
          <w:vertAlign w:val="subscript"/>
        </w:rPr>
        <w:t>p</w:t>
      </w:r>
      <w:proofErr w:type="spellEnd"/>
      <w:r w:rsidRPr="00D86738">
        <w:rPr>
          <w:szCs w:val="22"/>
        </w:rPr>
        <w:t xml:space="preserve"> is the proportion of pests surviving in the controls.</w:t>
      </w:r>
    </w:p>
    <w:p w14:paraId="303BBCAD" w14:textId="19CB53AE" w:rsidR="009F0E46" w:rsidRPr="001814A8" w:rsidRDefault="009F0E46" w:rsidP="00A65166">
      <w:pPr>
        <w:pStyle w:val="IPPParagraphnumbering"/>
        <w:numPr>
          <w:ilvl w:val="0"/>
          <w:numId w:val="1"/>
        </w:numPr>
        <w:tabs>
          <w:tab w:val="clear" w:pos="0"/>
          <w:tab w:val="num" w:pos="1134"/>
        </w:tabs>
        <w:ind w:left="1134" w:hanging="1616"/>
        <w:rPr>
          <w:b/>
          <w:bCs/>
          <w:szCs w:val="22"/>
        </w:rPr>
      </w:pPr>
      <w:proofErr w:type="spellStart"/>
      <w:r w:rsidRPr="001814A8">
        <w:rPr>
          <w:b/>
          <w:bCs/>
          <w:szCs w:val="22"/>
        </w:rPr>
        <w:t>Y</w:t>
      </w:r>
      <w:r w:rsidRPr="00A52E31">
        <w:rPr>
          <w:b/>
          <w:bCs/>
          <w:szCs w:val="22"/>
          <w:vertAlign w:val="subscript"/>
        </w:rPr>
        <w:t>t</w:t>
      </w:r>
      <w:proofErr w:type="spellEnd"/>
      <w:r w:rsidRPr="001814A8">
        <w:rPr>
          <w:b/>
          <w:bCs/>
          <w:szCs w:val="22"/>
        </w:rPr>
        <w:t xml:space="preserve"> = Y</w:t>
      </w:r>
      <w:r w:rsidRPr="00A52E31">
        <w:rPr>
          <w:b/>
          <w:bCs/>
          <w:szCs w:val="22"/>
          <w:vertAlign w:val="subscript"/>
        </w:rPr>
        <w:t>n</w:t>
      </w:r>
      <w:r w:rsidRPr="001814A8">
        <w:rPr>
          <w:b/>
          <w:bCs/>
          <w:szCs w:val="22"/>
        </w:rPr>
        <w:t xml:space="preserve"> </w:t>
      </w:r>
      <m:oMath>
        <m:r>
          <m:rPr>
            <m:sty m:val="b"/>
          </m:rPr>
          <w:rPr>
            <w:rFonts w:ascii="Cambria Math" w:hAnsi="Cambria Math" w:cstheme="minorHAnsi"/>
            <w:szCs w:val="22"/>
          </w:rPr>
          <m:t>×</m:t>
        </m:r>
      </m:oMath>
      <w:r w:rsidRPr="001814A8">
        <w:rPr>
          <w:b/>
          <w:bCs/>
          <w:szCs w:val="22"/>
        </w:rPr>
        <w:t xml:space="preserve"> X</w:t>
      </w:r>
      <w:r w:rsidRPr="00A52E31">
        <w:rPr>
          <w:b/>
          <w:bCs/>
          <w:szCs w:val="22"/>
          <w:vertAlign w:val="subscript"/>
        </w:rPr>
        <w:t>p</w:t>
      </w:r>
      <w:r w:rsidRPr="001814A8">
        <w:rPr>
          <w:b/>
          <w:bCs/>
          <w:szCs w:val="22"/>
        </w:rPr>
        <w:tab/>
      </w:r>
      <w:r w:rsidRPr="001814A8">
        <w:rPr>
          <w:b/>
          <w:bCs/>
          <w:szCs w:val="22"/>
        </w:rPr>
        <w:tab/>
      </w:r>
      <w:r w:rsidRPr="001814A8">
        <w:rPr>
          <w:b/>
          <w:bCs/>
          <w:szCs w:val="22"/>
        </w:rPr>
        <w:tab/>
      </w:r>
      <w:r w:rsidRPr="001814A8">
        <w:rPr>
          <w:b/>
          <w:bCs/>
          <w:szCs w:val="22"/>
        </w:rPr>
        <w:tab/>
      </w:r>
      <w:r w:rsidRPr="001814A8">
        <w:rPr>
          <w:b/>
          <w:bCs/>
          <w:szCs w:val="22"/>
        </w:rPr>
        <w:tab/>
      </w:r>
      <w:r>
        <w:rPr>
          <w:b/>
          <w:bCs/>
          <w:szCs w:val="22"/>
        </w:rPr>
        <w:tab/>
      </w:r>
      <w:r w:rsidRPr="001814A8">
        <w:rPr>
          <w:b/>
          <w:bCs/>
          <w:szCs w:val="22"/>
        </w:rPr>
        <w:tab/>
        <w:t>(1)</w:t>
      </w:r>
    </w:p>
    <w:p w14:paraId="7EC1F8E8" w14:textId="3E356EEA" w:rsidR="009F0E46" w:rsidRDefault="00984B59" w:rsidP="00A65166">
      <w:pPr>
        <w:pStyle w:val="IPPParagraphnumbering"/>
        <w:numPr>
          <w:ilvl w:val="0"/>
          <w:numId w:val="1"/>
        </w:numPr>
        <w:tabs>
          <w:tab w:val="clear" w:pos="0"/>
          <w:tab w:val="num" w:pos="567"/>
        </w:tabs>
        <w:ind w:left="567" w:hanging="1049"/>
        <w:rPr>
          <w:szCs w:val="22"/>
        </w:rPr>
      </w:pPr>
      <w:r>
        <w:rPr>
          <w:szCs w:val="22"/>
        </w:rPr>
        <w:t>W</w:t>
      </w:r>
      <w:r w:rsidR="009F0E46" w:rsidRPr="00D86738">
        <w:rPr>
          <w:szCs w:val="22"/>
        </w:rPr>
        <w:t xml:space="preserve">here </w:t>
      </w:r>
      <w:proofErr w:type="spellStart"/>
      <w:r w:rsidRPr="00D86738">
        <w:rPr>
          <w:szCs w:val="22"/>
        </w:rPr>
        <w:t>Y</w:t>
      </w:r>
      <w:r w:rsidRPr="00A52E31">
        <w:rPr>
          <w:szCs w:val="22"/>
          <w:vertAlign w:val="subscript"/>
        </w:rPr>
        <w:t>t</w:t>
      </w:r>
      <w:proofErr w:type="spellEnd"/>
      <w:r w:rsidRPr="00D86738">
        <w:rPr>
          <w:szCs w:val="22"/>
        </w:rPr>
        <w:t xml:space="preserve"> is the adjusted number of treated pests, Y</w:t>
      </w:r>
      <w:r w:rsidRPr="00A52E31">
        <w:rPr>
          <w:szCs w:val="22"/>
          <w:vertAlign w:val="subscript"/>
        </w:rPr>
        <w:t>n</w:t>
      </w:r>
      <w:r w:rsidRPr="00D86738">
        <w:rPr>
          <w:szCs w:val="22"/>
        </w:rPr>
        <w:t xml:space="preserve"> is the recorded number of treated pests, and </w:t>
      </w:r>
      <w:proofErr w:type="spellStart"/>
      <w:r w:rsidRPr="00D86738">
        <w:rPr>
          <w:szCs w:val="22"/>
        </w:rPr>
        <w:t>X</w:t>
      </w:r>
      <w:r w:rsidRPr="00A52E31">
        <w:rPr>
          <w:szCs w:val="22"/>
          <w:vertAlign w:val="subscript"/>
        </w:rPr>
        <w:t>p</w:t>
      </w:r>
      <w:proofErr w:type="spellEnd"/>
      <w:r w:rsidRPr="00A52E31">
        <w:rPr>
          <w:szCs w:val="22"/>
          <w:vertAlign w:val="subscript"/>
        </w:rPr>
        <w:t>%</w:t>
      </w:r>
      <w:r w:rsidRPr="00D86738">
        <w:rPr>
          <w:szCs w:val="22"/>
        </w:rPr>
        <w:t xml:space="preserve"> is the percentage of pests surviving in the controls.</w:t>
      </w:r>
    </w:p>
    <w:p w14:paraId="56B2DED2" w14:textId="652D66BD" w:rsidR="009F0E46" w:rsidRPr="001814A8" w:rsidRDefault="009F0E46" w:rsidP="00A65166">
      <w:pPr>
        <w:pStyle w:val="IPPParagraphnumbering"/>
        <w:numPr>
          <w:ilvl w:val="0"/>
          <w:numId w:val="1"/>
        </w:numPr>
        <w:tabs>
          <w:tab w:val="clear" w:pos="0"/>
          <w:tab w:val="num" w:pos="1134"/>
        </w:tabs>
        <w:ind w:left="1134" w:hanging="1616"/>
        <w:rPr>
          <w:b/>
          <w:bCs/>
          <w:szCs w:val="22"/>
        </w:rPr>
      </w:pPr>
      <w:proofErr w:type="spellStart"/>
      <w:r w:rsidRPr="001814A8">
        <w:rPr>
          <w:b/>
          <w:bCs/>
          <w:szCs w:val="22"/>
        </w:rPr>
        <w:t>Y</w:t>
      </w:r>
      <w:r w:rsidRPr="00A52E31">
        <w:rPr>
          <w:b/>
          <w:bCs/>
          <w:szCs w:val="22"/>
          <w:vertAlign w:val="subscript"/>
        </w:rPr>
        <w:t>t</w:t>
      </w:r>
      <w:proofErr w:type="spellEnd"/>
      <w:r w:rsidRPr="001814A8">
        <w:rPr>
          <w:b/>
          <w:bCs/>
          <w:szCs w:val="22"/>
        </w:rPr>
        <w:t xml:space="preserve"> = Y</w:t>
      </w:r>
      <w:r w:rsidRPr="00A52E31">
        <w:rPr>
          <w:b/>
          <w:bCs/>
          <w:szCs w:val="22"/>
          <w:vertAlign w:val="subscript"/>
        </w:rPr>
        <w:t>n</w:t>
      </w:r>
      <w:r w:rsidRPr="001814A8">
        <w:rPr>
          <w:b/>
          <w:bCs/>
          <w:szCs w:val="22"/>
        </w:rPr>
        <w:t xml:space="preserve"> </w:t>
      </w:r>
      <m:oMath>
        <m:r>
          <m:rPr>
            <m:sty m:val="b"/>
          </m:rPr>
          <w:rPr>
            <w:rFonts w:ascii="Cambria Math" w:hAnsi="Cambria Math" w:cstheme="minorHAnsi"/>
            <w:szCs w:val="22"/>
          </w:rPr>
          <m:t>×</m:t>
        </m:r>
      </m:oMath>
      <w:r w:rsidRPr="001814A8">
        <w:rPr>
          <w:b/>
          <w:bCs/>
          <w:szCs w:val="22"/>
        </w:rPr>
        <w:t xml:space="preserve"> (X</w:t>
      </w:r>
      <w:r w:rsidRPr="00A52E31">
        <w:rPr>
          <w:b/>
          <w:bCs/>
          <w:szCs w:val="22"/>
          <w:vertAlign w:val="subscript"/>
        </w:rPr>
        <w:t>p%</w:t>
      </w:r>
      <w:r>
        <w:rPr>
          <w:b/>
          <w:bCs/>
          <w:szCs w:val="22"/>
        </w:rPr>
        <w:t xml:space="preserve"> </w:t>
      </w:r>
      <w:r w:rsidRPr="001814A8">
        <w:rPr>
          <w:b/>
          <w:bCs/>
          <w:szCs w:val="22"/>
        </w:rPr>
        <w:t>/</w:t>
      </w:r>
      <w:r>
        <w:rPr>
          <w:b/>
          <w:bCs/>
          <w:szCs w:val="22"/>
        </w:rPr>
        <w:t xml:space="preserve"> </w:t>
      </w:r>
      <w:r w:rsidRPr="001814A8">
        <w:rPr>
          <w:b/>
          <w:bCs/>
          <w:szCs w:val="22"/>
        </w:rPr>
        <w:t>100)</w:t>
      </w:r>
      <w:r w:rsidRPr="001814A8">
        <w:rPr>
          <w:b/>
          <w:bCs/>
          <w:szCs w:val="22"/>
        </w:rPr>
        <w:tab/>
      </w:r>
      <w:r w:rsidRPr="001814A8">
        <w:rPr>
          <w:b/>
          <w:bCs/>
          <w:szCs w:val="22"/>
        </w:rPr>
        <w:tab/>
      </w:r>
      <w:r w:rsidRPr="001814A8">
        <w:rPr>
          <w:b/>
          <w:bCs/>
          <w:szCs w:val="22"/>
        </w:rPr>
        <w:tab/>
      </w:r>
      <w:r w:rsidRPr="001814A8">
        <w:rPr>
          <w:b/>
          <w:bCs/>
          <w:szCs w:val="22"/>
        </w:rPr>
        <w:tab/>
      </w:r>
      <w:r w:rsidRPr="001814A8">
        <w:rPr>
          <w:b/>
          <w:bCs/>
          <w:szCs w:val="22"/>
        </w:rPr>
        <w:tab/>
      </w:r>
      <w:r w:rsidRPr="001814A8">
        <w:rPr>
          <w:b/>
          <w:bCs/>
          <w:szCs w:val="22"/>
        </w:rPr>
        <w:tab/>
        <w:t>(2)</w:t>
      </w:r>
    </w:p>
    <w:p w14:paraId="271B131B" w14:textId="490A0665" w:rsidR="009F0E46" w:rsidRPr="00D86738" w:rsidRDefault="00984B59" w:rsidP="00A65166">
      <w:pPr>
        <w:pStyle w:val="IPPParagraphnumbering"/>
        <w:numPr>
          <w:ilvl w:val="0"/>
          <w:numId w:val="1"/>
        </w:numPr>
        <w:tabs>
          <w:tab w:val="clear" w:pos="0"/>
          <w:tab w:val="num" w:pos="567"/>
        </w:tabs>
        <w:ind w:left="567" w:hanging="1049"/>
        <w:rPr>
          <w:szCs w:val="22"/>
        </w:rPr>
      </w:pPr>
      <w:r>
        <w:rPr>
          <w:szCs w:val="22"/>
        </w:rPr>
        <w:t>W</w:t>
      </w:r>
      <w:r w:rsidRPr="00D86738">
        <w:rPr>
          <w:szCs w:val="22"/>
        </w:rPr>
        <w:t xml:space="preserve">here </w:t>
      </w:r>
      <w:proofErr w:type="spellStart"/>
      <w:r w:rsidRPr="00D86738">
        <w:rPr>
          <w:szCs w:val="22"/>
        </w:rPr>
        <w:t>Y</w:t>
      </w:r>
      <w:r w:rsidRPr="00A52E31">
        <w:rPr>
          <w:szCs w:val="22"/>
          <w:vertAlign w:val="subscript"/>
        </w:rPr>
        <w:t>t</w:t>
      </w:r>
      <w:proofErr w:type="spellEnd"/>
      <w:r w:rsidRPr="00D86738">
        <w:rPr>
          <w:szCs w:val="22"/>
        </w:rPr>
        <w:t xml:space="preserve"> is the adjusted number of treated pests, Y</w:t>
      </w:r>
      <w:r w:rsidRPr="00A52E31">
        <w:rPr>
          <w:szCs w:val="22"/>
          <w:vertAlign w:val="subscript"/>
        </w:rPr>
        <w:t>n</w:t>
      </w:r>
      <w:r w:rsidRPr="00D86738">
        <w:rPr>
          <w:szCs w:val="22"/>
        </w:rPr>
        <w:t xml:space="preserve"> is the recorded number of treated pests, and </w:t>
      </w:r>
      <w:r w:rsidR="009F0E46" w:rsidRPr="00D86738">
        <w:rPr>
          <w:szCs w:val="22"/>
        </w:rPr>
        <w:t>(</w:t>
      </w:r>
      <w:proofErr w:type="spellStart"/>
      <w:r w:rsidR="009F0E46" w:rsidRPr="00D86738">
        <w:rPr>
          <w:szCs w:val="22"/>
        </w:rPr>
        <w:t>X</w:t>
      </w:r>
      <w:r w:rsidR="009F0E46" w:rsidRPr="00A52E31">
        <w:rPr>
          <w:szCs w:val="22"/>
          <w:vertAlign w:val="subscript"/>
        </w:rPr>
        <w:t>pm</w:t>
      </w:r>
      <w:proofErr w:type="spellEnd"/>
      <w:r w:rsidR="009F0E46" w:rsidRPr="00A52E31">
        <w:rPr>
          <w:szCs w:val="22"/>
          <w:vertAlign w:val="subscript"/>
        </w:rPr>
        <w:t>%</w:t>
      </w:r>
      <w:r w:rsidR="009F0E46" w:rsidRPr="00D86738">
        <w:rPr>
          <w:szCs w:val="22"/>
        </w:rPr>
        <w:t>)</w:t>
      </w:r>
      <w:r>
        <w:rPr>
          <w:szCs w:val="22"/>
        </w:rPr>
        <w:t xml:space="preserve"> is the </w:t>
      </w:r>
      <w:r w:rsidRPr="00D86738">
        <w:rPr>
          <w:szCs w:val="22"/>
        </w:rPr>
        <w:t>percentage mortality</w:t>
      </w:r>
      <w:r w:rsidRPr="00984B59">
        <w:rPr>
          <w:szCs w:val="22"/>
        </w:rPr>
        <w:t xml:space="preserve"> </w:t>
      </w:r>
      <w:r w:rsidRPr="00D86738">
        <w:rPr>
          <w:szCs w:val="22"/>
        </w:rPr>
        <w:t>in the controls</w:t>
      </w:r>
      <w:r>
        <w:rPr>
          <w:szCs w:val="22"/>
        </w:rPr>
        <w:t>:</w:t>
      </w:r>
    </w:p>
    <w:p w14:paraId="54B8AD1A" w14:textId="77777777" w:rsidR="009F0E46" w:rsidRPr="001814A8" w:rsidRDefault="009F0E46" w:rsidP="00A65166">
      <w:pPr>
        <w:pStyle w:val="IPPParagraphnumbering"/>
        <w:numPr>
          <w:ilvl w:val="0"/>
          <w:numId w:val="1"/>
        </w:numPr>
        <w:tabs>
          <w:tab w:val="clear" w:pos="0"/>
          <w:tab w:val="num" w:pos="1134"/>
        </w:tabs>
        <w:ind w:left="1134" w:hanging="1616"/>
        <w:rPr>
          <w:b/>
          <w:bCs/>
        </w:rPr>
      </w:pPr>
      <w:proofErr w:type="spellStart"/>
      <w:r w:rsidRPr="001814A8">
        <w:rPr>
          <w:b/>
          <w:bCs/>
          <w:szCs w:val="22"/>
        </w:rPr>
        <w:t>Y</w:t>
      </w:r>
      <w:r w:rsidRPr="00A52E31">
        <w:rPr>
          <w:b/>
          <w:bCs/>
          <w:szCs w:val="22"/>
          <w:vertAlign w:val="subscript"/>
        </w:rPr>
        <w:t>t</w:t>
      </w:r>
      <w:proofErr w:type="spellEnd"/>
      <w:r w:rsidRPr="001814A8">
        <w:rPr>
          <w:b/>
          <w:bCs/>
          <w:szCs w:val="22"/>
        </w:rPr>
        <w:t xml:space="preserve"> = Y</w:t>
      </w:r>
      <w:r w:rsidRPr="00A52E31">
        <w:rPr>
          <w:b/>
          <w:bCs/>
          <w:szCs w:val="22"/>
          <w:vertAlign w:val="subscript"/>
        </w:rPr>
        <w:t>n</w:t>
      </w:r>
      <w:r w:rsidRPr="001814A8">
        <w:rPr>
          <w:b/>
          <w:bCs/>
          <w:szCs w:val="22"/>
        </w:rPr>
        <w:t xml:space="preserve"> </w:t>
      </w:r>
      <m:oMath>
        <m:r>
          <m:rPr>
            <m:sty m:val="b"/>
          </m:rPr>
          <w:rPr>
            <w:rFonts w:ascii="Cambria Math" w:hAnsi="Cambria Math" w:cstheme="minorHAnsi"/>
            <w:szCs w:val="22"/>
          </w:rPr>
          <m:t>×</m:t>
        </m:r>
      </m:oMath>
      <w:r w:rsidRPr="001814A8">
        <w:rPr>
          <w:b/>
          <w:bCs/>
          <w:szCs w:val="22"/>
        </w:rPr>
        <w:t xml:space="preserve"> (1-(X</w:t>
      </w:r>
      <w:r w:rsidRPr="00A52E31">
        <w:rPr>
          <w:b/>
          <w:bCs/>
          <w:szCs w:val="22"/>
          <w:vertAlign w:val="subscript"/>
        </w:rPr>
        <w:t>pm%</w:t>
      </w:r>
      <w:r>
        <w:rPr>
          <w:b/>
          <w:bCs/>
          <w:szCs w:val="22"/>
        </w:rPr>
        <w:t xml:space="preserve"> </w:t>
      </w:r>
      <w:r w:rsidRPr="001814A8">
        <w:rPr>
          <w:b/>
          <w:bCs/>
          <w:szCs w:val="22"/>
        </w:rPr>
        <w:t>/</w:t>
      </w:r>
      <w:r>
        <w:rPr>
          <w:b/>
          <w:bCs/>
          <w:szCs w:val="22"/>
        </w:rPr>
        <w:t xml:space="preserve"> </w:t>
      </w:r>
      <w:r w:rsidRPr="001814A8">
        <w:rPr>
          <w:b/>
          <w:bCs/>
          <w:szCs w:val="22"/>
        </w:rPr>
        <w:t>100))</w:t>
      </w:r>
      <w:r w:rsidRPr="001814A8">
        <w:rPr>
          <w:b/>
          <w:bCs/>
          <w:szCs w:val="22"/>
        </w:rPr>
        <w:tab/>
      </w:r>
      <w:r w:rsidRPr="001814A8">
        <w:rPr>
          <w:b/>
          <w:bCs/>
          <w:szCs w:val="22"/>
        </w:rPr>
        <w:tab/>
      </w:r>
      <w:r w:rsidRPr="001814A8">
        <w:rPr>
          <w:b/>
          <w:bCs/>
          <w:szCs w:val="22"/>
        </w:rPr>
        <w:tab/>
      </w:r>
      <w:r w:rsidRPr="001814A8">
        <w:rPr>
          <w:b/>
          <w:bCs/>
          <w:szCs w:val="22"/>
        </w:rPr>
        <w:tab/>
      </w:r>
      <w:r w:rsidRPr="001814A8">
        <w:rPr>
          <w:b/>
          <w:bCs/>
          <w:szCs w:val="22"/>
        </w:rPr>
        <w:tab/>
      </w:r>
      <w:r w:rsidRPr="001814A8">
        <w:rPr>
          <w:b/>
          <w:bCs/>
          <w:szCs w:val="22"/>
        </w:rPr>
        <w:tab/>
        <w:t>(3)</w:t>
      </w:r>
    </w:p>
    <w:p w14:paraId="6BE123FD" w14:textId="77777777" w:rsidR="00582225" w:rsidRPr="00AA7A6D" w:rsidRDefault="009F0E46" w:rsidP="00A65166">
      <w:pPr>
        <w:pStyle w:val="IPPParagraphnumbering"/>
        <w:numPr>
          <w:ilvl w:val="0"/>
          <w:numId w:val="1"/>
        </w:numPr>
        <w:ind w:left="567" w:hanging="1049"/>
      </w:pPr>
      <w:r w:rsidRPr="0095623E">
        <w:rPr>
          <w:b/>
          <w:bCs/>
        </w:rPr>
        <w:t>2)</w:t>
      </w:r>
      <w:r>
        <w:tab/>
      </w:r>
      <w:r w:rsidR="00582225" w:rsidRPr="00AA7A6D">
        <w:t xml:space="preserve">Sample sizes and repetitions should be sufficient to account both for natural variation and achieve significant regressions when extrapolating treatment efficacy. A small number of treatment repetitions can, on analysis, result in statistical errors giving meaningless conclusions (if the SD at 95% is greater than the mean, the lower (worst case) result may be a negative dose e.g. 10 ± 12 gives a range from -2 to 22). </w:t>
      </w:r>
    </w:p>
    <w:p w14:paraId="372E8E88" w14:textId="77777777" w:rsidR="00582225" w:rsidRDefault="00582225" w:rsidP="00A65166">
      <w:pPr>
        <w:pStyle w:val="IPPParagraphnumbering"/>
        <w:numPr>
          <w:ilvl w:val="0"/>
          <w:numId w:val="1"/>
        </w:numPr>
        <w:tabs>
          <w:tab w:val="clear" w:pos="0"/>
          <w:tab w:val="num" w:pos="567"/>
        </w:tabs>
        <w:ind w:left="567" w:hanging="1049"/>
      </w:pPr>
      <w:r w:rsidRPr="00AA7A6D">
        <w:t>When the population of treated pests is estimated from control pest populations, the estimation must be based on a statistical analysis of the controls. Where possible, control data should not be grouped together, but should be recorded for each individual test commodity or target pest. Pseudo-replication</w:t>
      </w:r>
      <w:r w:rsidRPr="00AA7A6D">
        <w:rPr>
          <w:rStyle w:val="IPPFootnoteRedChar"/>
          <w:rFonts w:eastAsia="Times"/>
        </w:rPr>
        <w:footnoteReference w:id="1"/>
      </w:r>
      <w:r w:rsidRPr="00AA7A6D">
        <w:rPr>
          <w:rStyle w:val="IPPFootnoteRedChar"/>
          <w:rFonts w:eastAsia="Times"/>
        </w:rPr>
        <w:t xml:space="preserve"> </w:t>
      </w:r>
      <w:r w:rsidRPr="00AA7A6D">
        <w:t>should be avoided or minimized, as much as possible.</w:t>
      </w:r>
    </w:p>
    <w:p w14:paraId="101EC75C" w14:textId="551DBF0E" w:rsidR="00582225" w:rsidRPr="00AA7A6D" w:rsidRDefault="00582225" w:rsidP="00A65166">
      <w:pPr>
        <w:pStyle w:val="IPPParagraphnumbering"/>
        <w:numPr>
          <w:ilvl w:val="0"/>
          <w:numId w:val="1"/>
        </w:numPr>
        <w:tabs>
          <w:tab w:val="clear" w:pos="0"/>
          <w:tab w:val="num" w:pos="567"/>
        </w:tabs>
        <w:ind w:left="567" w:hanging="1049"/>
      </w:pPr>
      <w:r w:rsidRPr="00AA7A6D">
        <w:t xml:space="preserve">Researchers need to apply the same statistical </w:t>
      </w:r>
      <w:proofErr w:type="spellStart"/>
      <w:r w:rsidRPr="00AA7A6D">
        <w:t>rigour</w:t>
      </w:r>
      <w:proofErr w:type="spellEnd"/>
      <w:r w:rsidRPr="00AA7A6D">
        <w:t xml:space="preserve"> to control data as they do to treatment data. Where the infestation rate for each </w:t>
      </w:r>
      <w:r>
        <w:t xml:space="preserve">treated </w:t>
      </w:r>
      <w:r w:rsidRPr="00AA7A6D">
        <w:t xml:space="preserve">regulated article </w:t>
      </w:r>
      <w:r>
        <w:t>is estimated from the infestation rate of the</w:t>
      </w:r>
      <w:r w:rsidRPr="00AA7A6D">
        <w:t xml:space="preserve"> control</w:t>
      </w:r>
      <w:r>
        <w:t xml:space="preserve">s, the </w:t>
      </w:r>
      <w:proofErr w:type="spellStart"/>
      <w:r w:rsidRPr="00582225">
        <w:rPr>
          <w:szCs w:val="22"/>
        </w:rPr>
        <w:t>ean</w:t>
      </w:r>
      <w:proofErr w:type="spellEnd"/>
      <w:r w:rsidRPr="00582225">
        <w:t xml:space="preserve"> </w:t>
      </w:r>
      <w:r>
        <w:t>infestation rate</w:t>
      </w:r>
      <w:r w:rsidRPr="00AA7A6D">
        <w:t xml:space="preserve"> per treated regulated article </w:t>
      </w:r>
      <m:oMath>
        <m:d>
          <m:dPr>
            <m:ctrlPr>
              <w:rPr>
                <w:rFonts w:ascii="Cambria Math" w:hAnsi="Cambria Math"/>
                <w:i/>
              </w:rPr>
            </m:ctrlPr>
          </m:dPr>
          <m:e>
            <m:acc>
              <m:accPr>
                <m:chr m:val="̅"/>
                <m:ctrlPr>
                  <w:rPr>
                    <w:rFonts w:ascii="Cambria Math" w:hAnsi="Cambria Math"/>
                    <w:b/>
                    <w:szCs w:val="22"/>
                  </w:rPr>
                </m:ctrlPr>
              </m:accPr>
              <m:e>
                <m:sSub>
                  <m:sSubPr>
                    <m:ctrlPr>
                      <w:rPr>
                        <w:rFonts w:ascii="Cambria Math" w:hAnsi="Cambria Math"/>
                        <w:b/>
                        <w:szCs w:val="22"/>
                      </w:rPr>
                    </m:ctrlPr>
                  </m:sSubPr>
                  <m:e>
                    <m:r>
                      <m:rPr>
                        <m:sty m:val="b"/>
                      </m:rPr>
                      <w:rPr>
                        <w:rFonts w:ascii="Cambria Math" w:hAnsi="Cambria Math"/>
                        <w:szCs w:val="22"/>
                      </w:rPr>
                      <m:t>x</m:t>
                    </m:r>
                  </m:e>
                  <m:sub>
                    <m:r>
                      <m:rPr>
                        <m:sty m:val="bi"/>
                      </m:rPr>
                      <w:rPr>
                        <w:rFonts w:ascii="Cambria Math" w:hAnsi="Cambria Math"/>
                        <w:szCs w:val="22"/>
                      </w:rPr>
                      <m:t>t</m:t>
                    </m:r>
                  </m:sub>
                </m:sSub>
              </m:e>
            </m:acc>
            <m:ctrlPr>
              <w:rPr>
                <w:rFonts w:ascii="Cambria Math" w:hAnsi="Cambria Math" w:cstheme="minorHAnsi"/>
                <w:b/>
                <w:i/>
                <w:szCs w:val="22"/>
              </w:rPr>
            </m:ctrlPr>
          </m:e>
        </m:d>
      </m:oMath>
      <w:r w:rsidR="0095623E">
        <w:rPr>
          <w:b/>
          <w:szCs w:val="22"/>
        </w:rPr>
        <w:t xml:space="preserve"> </w:t>
      </w:r>
      <w:r w:rsidRPr="00AA7A6D">
        <w:t>would be:</w:t>
      </w:r>
    </w:p>
    <w:p w14:paraId="07D2C0A2" w14:textId="17E16D14" w:rsidR="00582225" w:rsidRPr="00AA7A6D" w:rsidRDefault="00582225" w:rsidP="00A65166">
      <w:pPr>
        <w:pStyle w:val="IPPParagraphnumbering"/>
        <w:numPr>
          <w:ilvl w:val="0"/>
          <w:numId w:val="1"/>
        </w:numPr>
        <w:tabs>
          <w:tab w:val="clear" w:pos="0"/>
          <w:tab w:val="num" w:pos="1134"/>
        </w:tabs>
        <w:ind w:left="1134" w:hanging="1616"/>
        <w:rPr>
          <w:b/>
        </w:rPr>
      </w:pPr>
      <m:oMath>
        <m:r>
          <w:rPr>
            <w:rFonts w:ascii="Cambria Math" w:hAnsi="Cambria Math"/>
          </w:rPr>
          <m:t>(</m:t>
        </m:r>
        <m:acc>
          <m:accPr>
            <m:chr m:val="̅"/>
            <m:ctrlPr>
              <w:rPr>
                <w:rFonts w:ascii="Cambria Math" w:hAnsi="Cambria Math"/>
                <w:b/>
                <w:szCs w:val="22"/>
              </w:rPr>
            </m:ctrlPr>
          </m:accPr>
          <m:e>
            <m:sSub>
              <m:sSubPr>
                <m:ctrlPr>
                  <w:rPr>
                    <w:rFonts w:ascii="Cambria Math" w:hAnsi="Cambria Math"/>
                    <w:b/>
                    <w:szCs w:val="22"/>
                  </w:rPr>
                </m:ctrlPr>
              </m:sSubPr>
              <m:e>
                <m:r>
                  <m:rPr>
                    <m:sty m:val="b"/>
                  </m:rPr>
                  <w:rPr>
                    <w:rFonts w:ascii="Cambria Math" w:hAnsi="Cambria Math"/>
                    <w:szCs w:val="22"/>
                  </w:rPr>
                  <m:t>x</m:t>
                </m:r>
              </m:e>
              <m:sub>
                <m:r>
                  <m:rPr>
                    <m:sty m:val="bi"/>
                  </m:rPr>
                  <w:rPr>
                    <w:rFonts w:ascii="Cambria Math" w:hAnsi="Cambria Math"/>
                    <w:szCs w:val="22"/>
                  </w:rPr>
                  <m:t>t</m:t>
                </m:r>
              </m:sub>
            </m:sSub>
          </m:e>
        </m:acc>
        <m:r>
          <m:rPr>
            <m:sty m:val="bi"/>
          </m:rPr>
          <w:rPr>
            <w:rFonts w:ascii="Cambria Math" w:hAnsi="Cambria Math" w:cstheme="minorHAnsi"/>
            <w:szCs w:val="22"/>
          </w:rPr>
          <m:t>)=</m:t>
        </m:r>
        <m:acc>
          <m:accPr>
            <m:chr m:val="̅"/>
            <m:ctrlPr>
              <w:rPr>
                <w:rFonts w:ascii="Cambria Math" w:hAnsi="Cambria Math"/>
                <w:b/>
                <w:szCs w:val="22"/>
              </w:rPr>
            </m:ctrlPr>
          </m:accPr>
          <m:e>
            <m:sSub>
              <m:sSubPr>
                <m:ctrlPr>
                  <w:rPr>
                    <w:rFonts w:ascii="Cambria Math" w:hAnsi="Cambria Math"/>
                    <w:b/>
                    <w:szCs w:val="22"/>
                  </w:rPr>
                </m:ctrlPr>
              </m:sSubPr>
              <m:e>
                <m:r>
                  <m:rPr>
                    <m:sty m:val="b"/>
                  </m:rPr>
                  <w:rPr>
                    <w:rFonts w:ascii="Cambria Math" w:hAnsi="Cambria Math"/>
                    <w:szCs w:val="22"/>
                  </w:rPr>
                  <m:t>x</m:t>
                </m:r>
              </m:e>
              <m:sub>
                <m:r>
                  <m:rPr>
                    <m:sty m:val="bi"/>
                  </m:rPr>
                  <w:rPr>
                    <w:rFonts w:ascii="Cambria Math" w:hAnsi="Cambria Math"/>
                    <w:szCs w:val="22"/>
                  </w:rPr>
                  <m:t>c</m:t>
                </m:r>
              </m:sub>
            </m:sSub>
          </m:e>
        </m:acc>
        <m:r>
          <m:rPr>
            <m:sty m:val="bi"/>
          </m:rPr>
          <w:rPr>
            <w:rFonts w:ascii="Cambria Math" w:hAnsi="Cambria Math" w:cstheme="minorHAnsi"/>
            <w:szCs w:val="22"/>
          </w:rPr>
          <m:t>-</m:t>
        </m:r>
        <m:r>
          <m:rPr>
            <m:sty m:val="b"/>
          </m:rPr>
          <w:rPr>
            <w:rFonts w:ascii="Cambria Math" w:hAnsi="Cambria Math" w:cstheme="minorHAnsi"/>
            <w:szCs w:val="22"/>
          </w:rPr>
          <m:t>(</m:t>
        </m:r>
        <m:f>
          <m:fPr>
            <m:ctrlPr>
              <w:rPr>
                <w:rFonts w:ascii="Cambria Math" w:hAnsi="Cambria Math" w:cstheme="minorHAnsi"/>
                <w:b/>
                <w:szCs w:val="22"/>
              </w:rPr>
            </m:ctrlPr>
          </m:fPr>
          <m:num>
            <m:r>
              <m:rPr>
                <m:sty m:val="b"/>
              </m:rPr>
              <w:rPr>
                <w:rFonts w:ascii="Cambria Math" w:hAnsi="Cambria Math" w:cstheme="minorHAnsi"/>
                <w:szCs w:val="22"/>
              </w:rPr>
              <m:t>STD</m:t>
            </m:r>
          </m:num>
          <m:den>
            <m:rad>
              <m:radPr>
                <m:degHide m:val="1"/>
                <m:ctrlPr>
                  <w:rPr>
                    <w:rFonts w:ascii="Cambria Math" w:hAnsi="Cambria Math" w:cstheme="minorHAnsi"/>
                    <w:b/>
                    <w:i/>
                    <w:szCs w:val="22"/>
                  </w:rPr>
                </m:ctrlPr>
              </m:radPr>
              <m:deg/>
              <m:e>
                <m:r>
                  <m:rPr>
                    <m:sty m:val="bi"/>
                  </m:rPr>
                  <w:rPr>
                    <w:rFonts w:ascii="Cambria Math" w:hAnsi="Cambria Math" w:cstheme="minorHAnsi"/>
                    <w:szCs w:val="22"/>
                  </w:rPr>
                  <m:t>r</m:t>
                </m:r>
              </m:e>
            </m:rad>
          </m:den>
        </m:f>
        <m:r>
          <m:rPr>
            <m:sty m:val="b"/>
          </m:rPr>
          <w:rPr>
            <w:rFonts w:ascii="Cambria Math" w:hAnsi="Cambria Math" w:cstheme="minorHAnsi"/>
            <w:szCs w:val="22"/>
          </w:rPr>
          <m:t xml:space="preserve">× </m:t>
        </m:r>
        <m:sSub>
          <m:sSubPr>
            <m:ctrlPr>
              <w:rPr>
                <w:rFonts w:ascii="Cambria Math" w:hAnsi="Cambria Math" w:cstheme="minorHAnsi"/>
                <w:b/>
                <w:szCs w:val="22"/>
              </w:rPr>
            </m:ctrlPr>
          </m:sSubPr>
          <m:e>
            <m:r>
              <m:rPr>
                <m:sty m:val="bi"/>
              </m:rPr>
              <w:rPr>
                <w:rFonts w:ascii="Cambria Math" w:hAnsi="Cambria Math" w:cstheme="minorHAnsi"/>
                <w:szCs w:val="22"/>
              </w:rPr>
              <m:t>t</m:t>
            </m:r>
          </m:e>
          <m:sub>
            <m:r>
              <m:rPr>
                <m:sty m:val="bi"/>
              </m:rPr>
              <w:rPr>
                <w:rFonts w:ascii="Cambria Math" w:hAnsi="Cambria Math"/>
                <w:szCs w:val="22"/>
              </w:rPr>
              <m:t>r-1</m:t>
            </m:r>
            <m:d>
              <m:dPr>
                <m:ctrlPr>
                  <w:rPr>
                    <w:rFonts w:ascii="Cambria Math" w:hAnsi="Cambria Math" w:cstheme="minorHAnsi"/>
                    <w:b/>
                    <w:i/>
                    <w:szCs w:val="22"/>
                  </w:rPr>
                </m:ctrlPr>
              </m:dPr>
              <m:e>
                <m:r>
                  <m:rPr>
                    <m:sty m:val="bi"/>
                  </m:rPr>
                  <w:rPr>
                    <w:rFonts w:ascii="Cambria Math" w:hAnsi="Cambria Math" w:cstheme="minorHAnsi"/>
                    <w:szCs w:val="22"/>
                  </w:rPr>
                  <m:t>0.05</m:t>
                </m:r>
              </m:e>
            </m:d>
          </m:sub>
        </m:sSub>
        <m:r>
          <m:rPr>
            <m:sty m:val="bi"/>
          </m:rPr>
          <w:rPr>
            <w:rFonts w:ascii="Cambria Math" w:hAnsi="Cambria Math" w:cstheme="minorHAnsi"/>
            <w:szCs w:val="22"/>
          </w:rPr>
          <m:t>)</m:t>
        </m:r>
      </m:oMath>
      <w:r>
        <w:rPr>
          <w:b/>
          <w:szCs w:val="22"/>
        </w:rPr>
        <w:tab/>
      </w:r>
      <w:r w:rsidR="0095623E">
        <w:rPr>
          <w:b/>
          <w:szCs w:val="22"/>
        </w:rPr>
        <w:tab/>
      </w:r>
      <w:r w:rsidR="0095623E">
        <w:rPr>
          <w:b/>
          <w:szCs w:val="22"/>
        </w:rPr>
        <w:tab/>
      </w:r>
      <w:r w:rsidR="0095623E">
        <w:rPr>
          <w:b/>
          <w:szCs w:val="22"/>
        </w:rPr>
        <w:tab/>
      </w:r>
      <w:r w:rsidR="0095623E">
        <w:rPr>
          <w:b/>
          <w:szCs w:val="22"/>
        </w:rPr>
        <w:tab/>
      </w:r>
      <w:r>
        <w:rPr>
          <w:b/>
          <w:szCs w:val="22"/>
        </w:rPr>
        <w:t>(4)</w:t>
      </w:r>
    </w:p>
    <w:p w14:paraId="0280F6A4" w14:textId="3C702A6E" w:rsidR="00984B59" w:rsidRDefault="00582225" w:rsidP="00A65166">
      <w:pPr>
        <w:pStyle w:val="IPPParagraphnumbering"/>
        <w:numPr>
          <w:ilvl w:val="0"/>
          <w:numId w:val="1"/>
        </w:numPr>
        <w:tabs>
          <w:tab w:val="clear" w:pos="0"/>
          <w:tab w:val="num" w:pos="567"/>
        </w:tabs>
        <w:ind w:left="567" w:hanging="1049"/>
      </w:pPr>
      <w:r w:rsidRPr="00AA7A6D">
        <w:t>Note:</w:t>
      </w:r>
      <w:r w:rsidRPr="00AA7A6D">
        <w:rPr>
          <w:b/>
        </w:rPr>
        <w:t xml:space="preserve"> r </w:t>
      </w:r>
      <w:r w:rsidRPr="00AA7A6D">
        <w:t xml:space="preserve">is equal to the number of control replicates used to estimate the </w:t>
      </w:r>
      <w:r>
        <w:t xml:space="preserve">control </w:t>
      </w:r>
      <w:r w:rsidRPr="00AA7A6D">
        <w:t>mean (</w:t>
      </w:r>
      <m:oMath>
        <m:acc>
          <m:accPr>
            <m:chr m:val="̅"/>
            <m:ctrlPr>
              <w:rPr>
                <w:rFonts w:ascii="Cambria Math" w:hAnsi="Cambria Math"/>
                <w:b/>
                <w:szCs w:val="22"/>
              </w:rPr>
            </m:ctrlPr>
          </m:accPr>
          <m:e>
            <m:sSub>
              <m:sSubPr>
                <m:ctrlPr>
                  <w:rPr>
                    <w:rFonts w:ascii="Cambria Math" w:hAnsi="Cambria Math"/>
                    <w:b/>
                    <w:szCs w:val="22"/>
                  </w:rPr>
                </m:ctrlPr>
              </m:sSubPr>
              <m:e>
                <m:r>
                  <m:rPr>
                    <m:sty m:val="b"/>
                  </m:rPr>
                  <w:rPr>
                    <w:rFonts w:ascii="Cambria Math" w:hAnsi="Cambria Math"/>
                    <w:szCs w:val="22"/>
                  </w:rPr>
                  <m:t>x</m:t>
                </m:r>
              </m:e>
              <m:sub>
                <m:r>
                  <m:rPr>
                    <m:sty m:val="bi"/>
                  </m:rPr>
                  <w:rPr>
                    <w:rFonts w:ascii="Cambria Math" w:hAnsi="Cambria Math"/>
                    <w:szCs w:val="22"/>
                  </w:rPr>
                  <m:t>c</m:t>
                </m:r>
              </m:sub>
            </m:sSub>
          </m:e>
        </m:acc>
      </m:oMath>
      <w:r w:rsidRPr="00AA7A6D">
        <w:t xml:space="preserve">) and standard </w:t>
      </w:r>
      <w:r>
        <w:t>error</w:t>
      </w:r>
      <w:r w:rsidRPr="00AA7A6D">
        <w:t xml:space="preserve"> (</w:t>
      </w:r>
      <m:oMath>
        <m:f>
          <m:fPr>
            <m:ctrlPr>
              <w:rPr>
                <w:rFonts w:ascii="Cambria Math" w:hAnsi="Cambria Math" w:cstheme="minorHAnsi"/>
                <w:b/>
                <w:szCs w:val="22"/>
              </w:rPr>
            </m:ctrlPr>
          </m:fPr>
          <m:num>
            <m:r>
              <m:rPr>
                <m:sty m:val="b"/>
              </m:rPr>
              <w:rPr>
                <w:rFonts w:ascii="Cambria Math" w:hAnsi="Cambria Math" w:cstheme="minorHAnsi"/>
                <w:szCs w:val="22"/>
              </w:rPr>
              <m:t>STD</m:t>
            </m:r>
          </m:num>
          <m:den>
            <m:rad>
              <m:radPr>
                <m:degHide m:val="1"/>
                <m:ctrlPr>
                  <w:rPr>
                    <w:rFonts w:ascii="Cambria Math" w:hAnsi="Cambria Math" w:cstheme="minorHAnsi"/>
                    <w:b/>
                    <w:i/>
                    <w:szCs w:val="22"/>
                  </w:rPr>
                </m:ctrlPr>
              </m:radPr>
              <m:deg/>
              <m:e>
                <m:r>
                  <m:rPr>
                    <m:sty m:val="bi"/>
                  </m:rPr>
                  <w:rPr>
                    <w:rFonts w:ascii="Cambria Math" w:hAnsi="Cambria Math" w:cstheme="minorHAnsi"/>
                    <w:szCs w:val="22"/>
                  </w:rPr>
                  <m:t>r</m:t>
                </m:r>
              </m:e>
            </m:rad>
          </m:den>
        </m:f>
      </m:oMath>
      <w:r w:rsidRPr="00AA7A6D">
        <w:t xml:space="preserve">) of the control </w:t>
      </w:r>
      <w:r>
        <w:t>data</w:t>
      </w:r>
      <w:r w:rsidRPr="00AA7A6D">
        <w:t>.</w:t>
      </w:r>
      <w:r>
        <w:t xml:space="preserve">  </w:t>
      </w:r>
      <m:oMath>
        <m:sSub>
          <m:sSubPr>
            <m:ctrlPr>
              <w:rPr>
                <w:rFonts w:ascii="Cambria Math" w:hAnsi="Cambria Math" w:cstheme="minorHAnsi"/>
                <w:b/>
                <w:szCs w:val="22"/>
              </w:rPr>
            </m:ctrlPr>
          </m:sSubPr>
          <m:e>
            <m:r>
              <m:rPr>
                <m:sty m:val="bi"/>
              </m:rPr>
              <w:rPr>
                <w:rFonts w:ascii="Cambria Math" w:hAnsi="Cambria Math" w:cstheme="minorHAnsi"/>
                <w:szCs w:val="22"/>
              </w:rPr>
              <m:t>t</m:t>
            </m:r>
          </m:e>
          <m:sub>
            <m:r>
              <m:rPr>
                <m:sty m:val="bi"/>
              </m:rPr>
              <w:rPr>
                <w:rFonts w:ascii="Cambria Math" w:hAnsi="Cambria Math"/>
                <w:szCs w:val="22"/>
              </w:rPr>
              <m:t>r-1</m:t>
            </m:r>
            <m:d>
              <m:dPr>
                <m:ctrlPr>
                  <w:rPr>
                    <w:rFonts w:ascii="Cambria Math" w:hAnsi="Cambria Math" w:cstheme="minorHAnsi"/>
                    <w:b/>
                    <w:i/>
                    <w:szCs w:val="22"/>
                  </w:rPr>
                </m:ctrlPr>
              </m:dPr>
              <m:e>
                <m:r>
                  <m:rPr>
                    <m:sty m:val="bi"/>
                  </m:rPr>
                  <w:rPr>
                    <w:rFonts w:ascii="Cambria Math" w:hAnsi="Cambria Math" w:cstheme="minorHAnsi"/>
                    <w:szCs w:val="22"/>
                  </w:rPr>
                  <m:t>0.05</m:t>
                </m:r>
              </m:e>
            </m:d>
          </m:sub>
        </m:sSub>
      </m:oMath>
      <w:r>
        <w:t xml:space="preserve"> is the </w:t>
      </w:r>
      <w:r w:rsidRPr="00AA7A6D">
        <w:rPr>
          <w:b/>
        </w:rPr>
        <w:t>r</w:t>
      </w:r>
      <w:r>
        <w:rPr>
          <w:b/>
        </w:rPr>
        <w:t>-1</w:t>
      </w:r>
      <w:r w:rsidRPr="00863D3B">
        <w:rPr>
          <w:bCs/>
        </w:rPr>
        <w:t xml:space="preserve"> </w:t>
      </w:r>
      <w:r w:rsidRPr="00863D3B">
        <w:t xml:space="preserve">value </w:t>
      </w:r>
      <w:r>
        <w:t>from the one-tailed 0.05 probability (95% confidence level) in the t-distribution tables.</w:t>
      </w:r>
    </w:p>
    <w:p w14:paraId="46C9D881" w14:textId="3E855EA6" w:rsidR="009E43C2" w:rsidRPr="00AA7A6D" w:rsidRDefault="00984B59" w:rsidP="00A65166">
      <w:pPr>
        <w:pStyle w:val="IPPParagraphnumbering"/>
        <w:numPr>
          <w:ilvl w:val="0"/>
          <w:numId w:val="1"/>
        </w:numPr>
        <w:ind w:left="567" w:hanging="1049"/>
      </w:pPr>
      <w:r w:rsidRPr="0095623E">
        <w:rPr>
          <w:b/>
          <w:bCs/>
        </w:rPr>
        <w:t>3)</w:t>
      </w:r>
      <w:r>
        <w:tab/>
      </w:r>
      <w:r w:rsidR="009E43C2" w:rsidRPr="00AA7A6D">
        <w:t xml:space="preserve">Greater than expected natural </w:t>
      </w:r>
      <w:r w:rsidR="00582225" w:rsidRPr="00582225">
        <w:rPr>
          <w:color w:val="FF0000"/>
        </w:rPr>
        <w:t xml:space="preserve">life-stage </w:t>
      </w:r>
      <w:r w:rsidR="009E43C2" w:rsidRPr="00AA7A6D">
        <w:t xml:space="preserve">mortality levels </w:t>
      </w:r>
      <w:r w:rsidR="00582225" w:rsidRPr="00582225">
        <w:rPr>
          <w:color w:val="FF0000"/>
        </w:rPr>
        <w:t>or lower than expected levels of fecundity</w:t>
      </w:r>
      <w:r w:rsidR="00582225">
        <w:t xml:space="preserve"> </w:t>
      </w:r>
      <w:r w:rsidR="009E43C2" w:rsidRPr="00AA7A6D">
        <w:t>(in controls) should be treated with care because they may indicate a target pest population under stress. A population under stress may be more susceptible to the treatment than a natural population. If control mortality is high</w:t>
      </w:r>
      <w:r w:rsidR="00582225">
        <w:t xml:space="preserve"> </w:t>
      </w:r>
      <w:r w:rsidR="00582225" w:rsidRPr="00582225">
        <w:rPr>
          <w:color w:val="FF0000"/>
        </w:rPr>
        <w:t>or fecundity is low</w:t>
      </w:r>
      <w:r w:rsidR="009E43C2" w:rsidRPr="00AA7A6D">
        <w:t xml:space="preserve">, evidence should be provided that either </w:t>
      </w:r>
      <w:r w:rsidR="009E43C2" w:rsidRPr="00AA7A6D">
        <w:lastRenderedPageBreak/>
        <w:t>indicates pest susceptibility to the treatment is no greater than normal populations or that high control mortality reflects normal conditions.</w:t>
      </w:r>
    </w:p>
    <w:p w14:paraId="3FA7E79A" w14:textId="77777777" w:rsidR="005C1E74" w:rsidRPr="009E43C2" w:rsidRDefault="005C1E74" w:rsidP="005C1E74">
      <w:pPr>
        <w:pStyle w:val="IPPParagraphnumbering"/>
        <w:numPr>
          <w:ilvl w:val="0"/>
          <w:numId w:val="0"/>
        </w:numPr>
        <w:rPr>
          <w:lang w:val="en-GB"/>
        </w:rPr>
      </w:pPr>
    </w:p>
    <w:p w14:paraId="15806BCC" w14:textId="77777777" w:rsidR="005C1E74" w:rsidRDefault="005C1E74" w:rsidP="005C1E74">
      <w:pPr>
        <w:pStyle w:val="IPPParagraphnumbering"/>
        <w:numPr>
          <w:ilvl w:val="0"/>
          <w:numId w:val="0"/>
        </w:numPr>
      </w:pPr>
    </w:p>
    <w:sectPr w:rsidR="005C1E74" w:rsidSect="00F904ED">
      <w:headerReference w:type="even" r:id="rId12"/>
      <w:headerReference w:type="default" r:id="rId13"/>
      <w:footerReference w:type="even" r:id="rId14"/>
      <w:footerReference w:type="default" r:id="rId15"/>
      <w:headerReference w:type="first" r:id="rId16"/>
      <w:footerReference w:type="first" r:id="rId17"/>
      <w:pgSz w:w="11906" w:h="16838"/>
      <w:pgMar w:top="1531" w:right="1418" w:bottom="1418" w:left="1418" w:header="850"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7A5BB" w14:textId="77777777" w:rsidR="00965646" w:rsidRDefault="00965646" w:rsidP="00E6321A">
      <w:pPr>
        <w:spacing w:after="0" w:line="240" w:lineRule="auto"/>
      </w:pPr>
      <w:r>
        <w:separator/>
      </w:r>
    </w:p>
  </w:endnote>
  <w:endnote w:type="continuationSeparator" w:id="0">
    <w:p w14:paraId="4BD5EB76" w14:textId="77777777" w:rsidR="00965646" w:rsidRDefault="00965646" w:rsidP="00E632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EA961" w14:textId="7B84EB23" w:rsidR="00E6321A" w:rsidRPr="00E6321A" w:rsidRDefault="00E6321A" w:rsidP="00E6321A">
    <w:pPr>
      <w:pBdr>
        <w:top w:val="single" w:sz="4" w:space="4" w:color="auto"/>
      </w:pBdr>
      <w:tabs>
        <w:tab w:val="right" w:pos="9072"/>
      </w:tabs>
      <w:spacing w:after="120"/>
      <w:jc w:val="right"/>
      <w:rPr>
        <w:rFonts w:ascii="Arial" w:hAnsi="Arial" w:cs="Arial"/>
        <w:b/>
        <w:sz w:val="18"/>
        <w:szCs w:val="18"/>
        <w:lang w:val="en-US"/>
      </w:rPr>
    </w:pPr>
    <w:r w:rsidRPr="00720F2E">
      <w:rPr>
        <w:rFonts w:ascii="Arial" w:hAnsi="Arial" w:cs="Arial"/>
        <w:b/>
        <w:sz w:val="18"/>
        <w:szCs w:val="18"/>
        <w:lang w:val="en-US"/>
      </w:rPr>
      <w:t xml:space="preserve">Page </w:t>
    </w:r>
    <w:r w:rsidRPr="00720F2E">
      <w:rPr>
        <w:rFonts w:ascii="Arial" w:hAnsi="Arial" w:cs="Arial"/>
        <w:b/>
        <w:sz w:val="18"/>
        <w:szCs w:val="18"/>
        <w:lang w:val="en-US"/>
      </w:rPr>
      <w:fldChar w:fldCharType="begin"/>
    </w:r>
    <w:r w:rsidRPr="00720F2E">
      <w:rPr>
        <w:rFonts w:ascii="Arial" w:hAnsi="Arial" w:cs="Arial"/>
        <w:b/>
        <w:sz w:val="18"/>
        <w:szCs w:val="18"/>
        <w:lang w:val="en-US"/>
      </w:rPr>
      <w:instrText xml:space="preserve"> PAGE </w:instrText>
    </w:r>
    <w:r w:rsidRPr="00720F2E">
      <w:rPr>
        <w:rFonts w:ascii="Arial" w:hAnsi="Arial" w:cs="Arial"/>
        <w:b/>
        <w:sz w:val="18"/>
        <w:szCs w:val="18"/>
        <w:lang w:val="en-US"/>
      </w:rPr>
      <w:fldChar w:fldCharType="separate"/>
    </w:r>
    <w:r>
      <w:rPr>
        <w:rFonts w:ascii="Arial" w:hAnsi="Arial" w:cs="Arial"/>
        <w:b/>
        <w:sz w:val="18"/>
        <w:szCs w:val="18"/>
        <w:lang w:val="en-US"/>
      </w:rPr>
      <w:t>3</w:t>
    </w:r>
    <w:r w:rsidRPr="00720F2E">
      <w:rPr>
        <w:rFonts w:ascii="Arial" w:hAnsi="Arial" w:cs="Arial"/>
        <w:b/>
        <w:sz w:val="18"/>
        <w:szCs w:val="18"/>
        <w:lang w:val="en-US"/>
      </w:rPr>
      <w:fldChar w:fldCharType="end"/>
    </w:r>
    <w:r w:rsidRPr="00720F2E">
      <w:rPr>
        <w:rFonts w:ascii="Arial" w:hAnsi="Arial" w:cs="Arial"/>
        <w:b/>
        <w:sz w:val="18"/>
        <w:szCs w:val="18"/>
        <w:lang w:val="en-US"/>
      </w:rPr>
      <w:t xml:space="preserve"> of </w:t>
    </w:r>
    <w:r w:rsidRPr="00720F2E">
      <w:rPr>
        <w:rFonts w:ascii="Arial" w:hAnsi="Arial" w:cs="Arial"/>
        <w:b/>
        <w:sz w:val="18"/>
        <w:szCs w:val="18"/>
        <w:lang w:val="en-US"/>
      </w:rPr>
      <w:fldChar w:fldCharType="begin"/>
    </w:r>
    <w:r w:rsidRPr="00720F2E">
      <w:rPr>
        <w:rFonts w:ascii="Arial" w:hAnsi="Arial" w:cs="Arial"/>
        <w:b/>
        <w:sz w:val="18"/>
        <w:szCs w:val="18"/>
        <w:lang w:val="en-US"/>
      </w:rPr>
      <w:instrText xml:space="preserve"> NUMPAGES  </w:instrText>
    </w:r>
    <w:r w:rsidRPr="00720F2E">
      <w:rPr>
        <w:rFonts w:ascii="Arial" w:hAnsi="Arial" w:cs="Arial"/>
        <w:b/>
        <w:sz w:val="18"/>
        <w:szCs w:val="18"/>
        <w:lang w:val="en-US"/>
      </w:rPr>
      <w:fldChar w:fldCharType="separate"/>
    </w:r>
    <w:r>
      <w:rPr>
        <w:rFonts w:ascii="Arial" w:hAnsi="Arial" w:cs="Arial"/>
        <w:b/>
        <w:sz w:val="18"/>
        <w:szCs w:val="18"/>
        <w:lang w:val="en-US"/>
      </w:rPr>
      <w:t>3</w:t>
    </w:r>
    <w:r w:rsidRPr="00720F2E">
      <w:rPr>
        <w:rFonts w:ascii="Arial" w:hAnsi="Arial" w:cs="Arial"/>
        <w:b/>
        <w:sz w:val="18"/>
        <w:szCs w:val="18"/>
        <w:lang w:val="en-US"/>
      </w:rPr>
      <w:fldChar w:fldCharType="end"/>
    </w:r>
    <w:r w:rsidRPr="00720F2E">
      <w:rPr>
        <w:rFonts w:ascii="Arial" w:hAnsi="Arial" w:cs="Arial"/>
        <w:b/>
        <w:sz w:val="18"/>
        <w:szCs w:val="18"/>
        <w:lang w:val="en-US"/>
      </w:rPr>
      <w:tab/>
    </w:r>
    <w:r w:rsidRPr="00720F2E">
      <w:rPr>
        <w:rFonts w:ascii="Arial" w:hAnsi="Arial"/>
        <w:b/>
        <w:sz w:val="18"/>
        <w:lang w:val="en-US"/>
      </w:rP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21577" w14:textId="77777777" w:rsidR="00E6321A" w:rsidRPr="00720F2E" w:rsidRDefault="00E6321A" w:rsidP="00E6321A">
    <w:pPr>
      <w:pStyle w:val="IPPFooter"/>
      <w:rPr>
        <w:rFonts w:cs="Arial"/>
        <w:szCs w:val="18"/>
      </w:rPr>
    </w:pPr>
    <w:r>
      <w:t>International Plant Protection Convention</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szCs w:val="18"/>
      </w:rPr>
      <w:t>3</w:t>
    </w:r>
    <w:r w:rsidRPr="00377B19">
      <w:rPr>
        <w:rFonts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652FB" w14:textId="77777777" w:rsidR="00E6321A" w:rsidRPr="00720F2E" w:rsidRDefault="00E6321A" w:rsidP="00E6321A">
    <w:pPr>
      <w:pStyle w:val="IPPFooter"/>
      <w:rPr>
        <w:rFonts w:cs="Arial"/>
        <w:szCs w:val="18"/>
      </w:rPr>
    </w:pPr>
    <w:r>
      <w:t>International Plant Protection Convention</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szCs w:val="18"/>
      </w:rPr>
      <w:t>8</w:t>
    </w:r>
    <w:r w:rsidRPr="00377B19">
      <w:rPr>
        <w:rFonts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8993C" w14:textId="77777777" w:rsidR="00965646" w:rsidRDefault="00965646" w:rsidP="00E6321A">
      <w:pPr>
        <w:spacing w:after="0" w:line="240" w:lineRule="auto"/>
      </w:pPr>
      <w:r>
        <w:separator/>
      </w:r>
    </w:p>
  </w:footnote>
  <w:footnote w:type="continuationSeparator" w:id="0">
    <w:p w14:paraId="512F2C08" w14:textId="77777777" w:rsidR="00965646" w:rsidRDefault="00965646" w:rsidP="00E6321A">
      <w:pPr>
        <w:spacing w:after="0" w:line="240" w:lineRule="auto"/>
      </w:pPr>
      <w:r>
        <w:continuationSeparator/>
      </w:r>
    </w:p>
  </w:footnote>
  <w:footnote w:id="1">
    <w:p w14:paraId="3BE372F5" w14:textId="77777777" w:rsidR="00582225" w:rsidRPr="00632985" w:rsidRDefault="00582225" w:rsidP="00582225">
      <w:pPr>
        <w:pStyle w:val="IPPFootnote"/>
        <w:rPr>
          <w:lang w:val="en-US"/>
        </w:rPr>
      </w:pPr>
      <w:r w:rsidRPr="00D94978">
        <w:rPr>
          <w:rStyle w:val="IPPFootnoteRedChar"/>
        </w:rPr>
        <w:footnoteRef/>
      </w:r>
      <w:r w:rsidRPr="00D94978">
        <w:rPr>
          <w:rStyle w:val="IPPFootnoteRedChar"/>
        </w:rPr>
        <w:t xml:space="preserve"> </w:t>
      </w:r>
      <w:r w:rsidRPr="00CA4693">
        <w:rPr>
          <w:bCs/>
        </w:rPr>
        <w:t>Pseudoreplication</w:t>
      </w:r>
      <w:r w:rsidRPr="00CA4693">
        <w:t xml:space="preserve"> is used to test for treatment effects with data from experiments where </w:t>
      </w:r>
      <w:r w:rsidRPr="00960046">
        <w:rPr>
          <w:strike/>
          <w:color w:val="FF0000"/>
        </w:rPr>
        <w:t>either</w:t>
      </w:r>
      <w:r w:rsidRPr="00960046">
        <w:rPr>
          <w:color w:val="FF0000"/>
        </w:rPr>
        <w:t xml:space="preserve"> </w:t>
      </w:r>
      <w:r w:rsidRPr="00CA4693">
        <w:t>treatments are not replicated (though samples may be) or replicates are not statistically independent.</w:t>
      </w:r>
      <w:r w:rsidRPr="00B1097F">
        <w:rPr>
          <w:color w:val="0000FF"/>
          <w:u w:val="single"/>
          <w:vertAlign w:val="superscript"/>
        </w:rPr>
        <w:t xml:space="preserve"> </w:t>
      </w:r>
      <w:r w:rsidRPr="00B221F7">
        <w:t>The error described by this term arises when treatments are assigned to units that are subsampled and the treatment F-ratio in an analysis of varian</w:t>
      </w:r>
      <w:r w:rsidRPr="0080685F">
        <w:t>ce (</w:t>
      </w:r>
      <w:r w:rsidRPr="00225AF5">
        <w:rPr>
          <w:rFonts w:eastAsia="MS Mincho"/>
        </w:rPr>
        <w:t>ANOVA</w:t>
      </w:r>
      <w:r w:rsidRPr="0080685F">
        <w:t>) table is formed with respect to the residual mean square rather than with respect to the among unit mean square. The F-ratio relative to the within unit mean square is vulnerable to the confounding of treatment and unit effects, especially when unit number is small (</w:t>
      </w:r>
      <w:r w:rsidRPr="00225AF5">
        <w:t>e.g.</w:t>
      </w:r>
      <w:r w:rsidRPr="0080685F">
        <w:t xml:space="preserve"> four tank units, two tanks treated, two not treated, several subsamples per tank). The error is avoided by forming the F-ratio relative to the among unit mean square in the ANOVA table (tank MS in the example above). Pseudoreplication, as originally defined, is a special case of inadequate specification </w:t>
      </w:r>
      <w:r w:rsidRPr="00147EEB">
        <w:t xml:space="preserve">of random factors where both random and fixed factors are present: </w:t>
      </w:r>
      <w:hyperlink r:id="rId1" w:history="1">
        <w:r w:rsidRPr="00632985">
          <w:t>http://en.wikipedia.org/wiki/Pseudoreplication</w:t>
        </w:r>
      </w:hyperlink>
      <w:r>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46425" w14:textId="621ED890" w:rsidR="004D1C8A" w:rsidRPr="004D1C8A" w:rsidRDefault="004D1C8A" w:rsidP="004D1C8A">
    <w:pPr>
      <w:pStyle w:val="IPPHeader"/>
    </w:pPr>
    <w:r>
      <w:t>XX</w:t>
    </w:r>
    <w:r w:rsidRPr="00875C0D">
      <w:t>_TPPT_202</w:t>
    </w:r>
    <w:r w:rsidR="00960046">
      <w:t>4</w:t>
    </w:r>
    <w:r w:rsidRPr="00875C0D">
      <w:t>_</w:t>
    </w:r>
    <w:r w:rsidR="00960046">
      <w:t>Jun</w:t>
    </w:r>
    <w:r>
      <w:t xml:space="preserve"> (X.X)</w:t>
    </w:r>
    <w:r>
      <w:tab/>
      <w:t xml:space="preserve">Discussion </w:t>
    </w:r>
    <w:r w:rsidR="00960046">
      <w:t xml:space="preserve">document on determining the number of treated </w:t>
    </w:r>
    <w:proofErr w:type="gramStart"/>
    <w:r w:rsidR="00960046">
      <w:t>pests</w:t>
    </w:r>
    <w:proofErr w:type="gram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BA56C" w14:textId="39745E61" w:rsidR="00E6321A" w:rsidRPr="00E6321A" w:rsidRDefault="004D1C8A" w:rsidP="00E6321A">
    <w:pPr>
      <w:pStyle w:val="IPPHeader"/>
    </w:pPr>
    <w:r>
      <w:t xml:space="preserve">Discussion </w:t>
    </w:r>
    <w:r w:rsidR="00960046">
      <w:t>document on determining the number of treated pests</w:t>
    </w:r>
    <w:r w:rsidR="00E6321A">
      <w:tab/>
    </w:r>
    <w:r>
      <w:t>XX</w:t>
    </w:r>
    <w:r w:rsidRPr="00875C0D">
      <w:t>_TPPT_202</w:t>
    </w:r>
    <w:r w:rsidR="00960046">
      <w:t>4</w:t>
    </w:r>
    <w:r w:rsidRPr="00875C0D">
      <w:t>_</w:t>
    </w:r>
    <w:r w:rsidR="00960046">
      <w:t>Jun</w:t>
    </w:r>
    <w:r>
      <w:t xml:space="preserve"> (X.X)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F403B" w14:textId="6D8850ED" w:rsidR="00E6321A" w:rsidRPr="005B631E" w:rsidRDefault="00F904ED" w:rsidP="00A65166">
    <w:pPr>
      <w:pStyle w:val="IPPHeader"/>
      <w:spacing w:after="0"/>
    </w:pPr>
    <w:r w:rsidRPr="005B631E">
      <w:rPr>
        <w:noProof/>
      </w:rPr>
      <w:drawing>
        <wp:anchor distT="0" distB="0" distL="114300" distR="114300" simplePos="0" relativeHeight="251665408" behindDoc="1" locked="0" layoutInCell="1" allowOverlap="1" wp14:anchorId="6D6DF2DC" wp14:editId="25B3EFE0">
          <wp:simplePos x="0" y="0"/>
          <wp:positionH relativeFrom="column">
            <wp:posOffset>-752846</wp:posOffset>
          </wp:positionH>
          <wp:positionV relativeFrom="paragraph">
            <wp:posOffset>-6421</wp:posOffset>
          </wp:positionV>
          <wp:extent cx="647065" cy="333375"/>
          <wp:effectExtent l="0" t="0" r="635" b="9525"/>
          <wp:wrapTight wrapText="bothSides">
            <wp:wrapPolygon edited="0">
              <wp:start x="0" y="0"/>
              <wp:lineTo x="0" y="20983"/>
              <wp:lineTo x="20985" y="20983"/>
              <wp:lineTo x="20985" y="0"/>
              <wp:lineTo x="0" y="0"/>
            </wp:wrapPolygon>
          </wp:wrapTight>
          <wp:docPr id="7" name="Picture 7"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5B631E">
      <w:rPr>
        <w:noProof/>
      </w:rPr>
      <w:drawing>
        <wp:anchor distT="0" distB="0" distL="114300" distR="114300" simplePos="0" relativeHeight="251664384" behindDoc="0" locked="0" layoutInCell="1" allowOverlap="0" wp14:anchorId="71F67E5A" wp14:editId="1C27EAEB">
          <wp:simplePos x="0" y="0"/>
          <wp:positionH relativeFrom="page">
            <wp:posOffset>3175</wp:posOffset>
          </wp:positionH>
          <wp:positionV relativeFrom="paragraph">
            <wp:posOffset>-530596</wp:posOffset>
          </wp:positionV>
          <wp:extent cx="7555865" cy="463550"/>
          <wp:effectExtent l="0" t="0" r="6985"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555865" cy="463550"/>
                  </a:xfrm>
                  <a:prstGeom prst="rect">
                    <a:avLst/>
                  </a:prstGeom>
                </pic:spPr>
              </pic:pic>
            </a:graphicData>
          </a:graphic>
        </wp:anchor>
      </w:drawing>
    </w:r>
    <w:r w:rsidR="00E6321A" w:rsidRPr="005B631E">
      <w:t xml:space="preserve">International Plant Protection Convention </w:t>
    </w:r>
    <w:r w:rsidR="00E6321A" w:rsidRPr="005B631E">
      <w:tab/>
    </w:r>
    <w:r>
      <w:t>19</w:t>
    </w:r>
    <w:r w:rsidR="00E6321A">
      <w:t>_TPPT_202</w:t>
    </w:r>
    <w:r w:rsidR="00960046">
      <w:t>4</w:t>
    </w:r>
    <w:r w:rsidR="00E6321A">
      <w:t>_</w:t>
    </w:r>
    <w:r w:rsidR="00960046">
      <w:t>Jun</w:t>
    </w:r>
  </w:p>
  <w:p w14:paraId="27CFE416" w14:textId="0337BA23" w:rsidR="00E6321A" w:rsidRDefault="004D1C8A" w:rsidP="00E6321A">
    <w:pPr>
      <w:pStyle w:val="IPPHeader"/>
      <w:contextualSpacing/>
    </w:pPr>
    <w:r w:rsidRPr="00A65166">
      <w:rPr>
        <w:i/>
        <w:iCs/>
      </w:rPr>
      <w:t xml:space="preserve">Discussion document on </w:t>
    </w:r>
    <w:r w:rsidR="00836773" w:rsidRPr="00A65166">
      <w:rPr>
        <w:i/>
        <w:iCs/>
      </w:rPr>
      <w:t>determining the number of treated pests</w:t>
    </w:r>
    <w:r w:rsidR="00E6321A">
      <w:tab/>
    </w:r>
    <w:r w:rsidR="00E6321A" w:rsidRPr="0046265B">
      <w:rPr>
        <w:i/>
        <w:iCs/>
        <w:szCs w:val="18"/>
      </w:rPr>
      <w:t>Agenda item:</w:t>
    </w:r>
    <w:r w:rsidR="00E6321A">
      <w:rPr>
        <w:i/>
        <w:iCs/>
        <w:szCs w:val="18"/>
      </w:rPr>
      <w:t xml:space="preserve"> </w:t>
    </w:r>
    <w:proofErr w:type="gramStart"/>
    <w:r w:rsidR="00A65166">
      <w:rPr>
        <w:i/>
        <w:iCs/>
        <w:szCs w:val="18"/>
      </w:rPr>
      <w:t>8.2</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C0A6C"/>
    <w:multiLevelType w:val="multilevel"/>
    <w:tmpl w:val="06E871E4"/>
    <w:numStyleLink w:val="IPPParagraphnumberedlist"/>
  </w:abstractNum>
  <w:abstractNum w:abstractNumId="1"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822989">
    <w:abstractNumId w:val="0"/>
    <w:lvlOverride w:ilvl="0">
      <w:lvl w:ilvl="0">
        <w:start w:val="1"/>
        <w:numFmt w:val="decimal"/>
        <w:lvlText w:val="[%1]"/>
        <w:lvlJc w:val="left"/>
        <w:pPr>
          <w:tabs>
            <w:tab w:val="num" w:pos="0"/>
          </w:tabs>
          <w:ind w:left="0"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left="0" w:hanging="482"/>
        </w:pPr>
      </w:lvl>
    </w:lvlOverride>
    <w:lvlOverride w:ilvl="2">
      <w:lvl w:ilvl="2">
        <w:start w:val="1"/>
        <w:numFmt w:val="none"/>
        <w:lvlRestart w:val="0"/>
        <w:lvlText w:val=""/>
        <w:lvlJc w:val="left"/>
        <w:pPr>
          <w:tabs>
            <w:tab w:val="num" w:pos="0"/>
          </w:tabs>
          <w:ind w:left="0" w:hanging="482"/>
        </w:pPr>
      </w:lvl>
    </w:lvlOverride>
    <w:lvlOverride w:ilvl="3">
      <w:lvl w:ilvl="3">
        <w:start w:val="1"/>
        <w:numFmt w:val="none"/>
        <w:lvlRestart w:val="0"/>
        <w:lvlText w:val=""/>
        <w:lvlJc w:val="left"/>
        <w:pPr>
          <w:tabs>
            <w:tab w:val="num" w:pos="0"/>
          </w:tabs>
          <w:ind w:left="0" w:hanging="482"/>
        </w:pPr>
      </w:lvl>
    </w:lvlOverride>
    <w:lvlOverride w:ilvl="4">
      <w:lvl w:ilvl="4">
        <w:start w:val="1"/>
        <w:numFmt w:val="none"/>
        <w:lvlRestart w:val="0"/>
        <w:lvlText w:val=""/>
        <w:lvlJc w:val="left"/>
        <w:pPr>
          <w:tabs>
            <w:tab w:val="num" w:pos="0"/>
          </w:tabs>
          <w:ind w:left="0" w:hanging="482"/>
        </w:pPr>
      </w:lvl>
    </w:lvlOverride>
    <w:lvlOverride w:ilvl="5">
      <w:lvl w:ilvl="5">
        <w:start w:val="1"/>
        <w:numFmt w:val="none"/>
        <w:lvlRestart w:val="0"/>
        <w:lvlText w:val=""/>
        <w:lvlJc w:val="left"/>
        <w:pPr>
          <w:tabs>
            <w:tab w:val="num" w:pos="0"/>
          </w:tabs>
          <w:ind w:left="0" w:hanging="482"/>
        </w:pPr>
      </w:lvl>
    </w:lvlOverride>
    <w:lvlOverride w:ilvl="6">
      <w:lvl w:ilvl="6">
        <w:start w:val="1"/>
        <w:numFmt w:val="none"/>
        <w:lvlRestart w:val="0"/>
        <w:lvlText w:val=""/>
        <w:lvlJc w:val="left"/>
        <w:pPr>
          <w:tabs>
            <w:tab w:val="num" w:pos="0"/>
          </w:tabs>
          <w:ind w:left="0" w:hanging="482"/>
        </w:pPr>
      </w:lvl>
    </w:lvlOverride>
    <w:lvlOverride w:ilvl="7">
      <w:lvl w:ilvl="7">
        <w:start w:val="1"/>
        <w:numFmt w:val="none"/>
        <w:lvlRestart w:val="0"/>
        <w:lvlText w:val=""/>
        <w:lvlJc w:val="left"/>
        <w:pPr>
          <w:tabs>
            <w:tab w:val="num" w:pos="0"/>
          </w:tabs>
          <w:ind w:left="0" w:hanging="482"/>
        </w:pPr>
      </w:lvl>
    </w:lvlOverride>
    <w:lvlOverride w:ilvl="8">
      <w:lvl w:ilvl="8">
        <w:start w:val="1"/>
        <w:numFmt w:val="none"/>
        <w:lvlRestart w:val="0"/>
        <w:lvlText w:val=""/>
        <w:lvlJc w:val="left"/>
        <w:pPr>
          <w:tabs>
            <w:tab w:val="num" w:pos="0"/>
          </w:tabs>
          <w:ind w:left="0" w:hanging="482"/>
        </w:pPr>
      </w:lvl>
    </w:lvlOverride>
  </w:num>
  <w:num w:numId="2" w16cid:durableId="847140023">
    <w:abstractNumId w:val="1"/>
  </w:num>
  <w:num w:numId="3" w16cid:durableId="58931936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C15"/>
    <w:rsid w:val="00033D1D"/>
    <w:rsid w:val="00067DDF"/>
    <w:rsid w:val="0007655F"/>
    <w:rsid w:val="00095DA6"/>
    <w:rsid w:val="00095FDF"/>
    <w:rsid w:val="00114C16"/>
    <w:rsid w:val="00140F9E"/>
    <w:rsid w:val="001814A8"/>
    <w:rsid w:val="00187E76"/>
    <w:rsid w:val="001B2DD1"/>
    <w:rsid w:val="001C3F03"/>
    <w:rsid w:val="001D507E"/>
    <w:rsid w:val="001E66CE"/>
    <w:rsid w:val="002410B7"/>
    <w:rsid w:val="00243C08"/>
    <w:rsid w:val="0026156A"/>
    <w:rsid w:val="0028704A"/>
    <w:rsid w:val="002B3DEF"/>
    <w:rsid w:val="002C6CBB"/>
    <w:rsid w:val="002D035C"/>
    <w:rsid w:val="00302A01"/>
    <w:rsid w:val="00324FF3"/>
    <w:rsid w:val="0034269D"/>
    <w:rsid w:val="003558C5"/>
    <w:rsid w:val="00362A08"/>
    <w:rsid w:val="003805E9"/>
    <w:rsid w:val="0039252F"/>
    <w:rsid w:val="00393B69"/>
    <w:rsid w:val="003A2E28"/>
    <w:rsid w:val="003C7586"/>
    <w:rsid w:val="00417CE0"/>
    <w:rsid w:val="0048203A"/>
    <w:rsid w:val="00494C3E"/>
    <w:rsid w:val="004A50BF"/>
    <w:rsid w:val="004B152B"/>
    <w:rsid w:val="004D1C8A"/>
    <w:rsid w:val="004E2AAF"/>
    <w:rsid w:val="005230FE"/>
    <w:rsid w:val="005301E6"/>
    <w:rsid w:val="00531A2F"/>
    <w:rsid w:val="00582225"/>
    <w:rsid w:val="005C1E74"/>
    <w:rsid w:val="005D0842"/>
    <w:rsid w:val="00607F0C"/>
    <w:rsid w:val="00620D59"/>
    <w:rsid w:val="00660ACC"/>
    <w:rsid w:val="006F666E"/>
    <w:rsid w:val="006F7904"/>
    <w:rsid w:val="00714D00"/>
    <w:rsid w:val="0072697B"/>
    <w:rsid w:val="0075482F"/>
    <w:rsid w:val="00775E69"/>
    <w:rsid w:val="007B3623"/>
    <w:rsid w:val="007D00F7"/>
    <w:rsid w:val="00836773"/>
    <w:rsid w:val="008A1CE7"/>
    <w:rsid w:val="00906CCC"/>
    <w:rsid w:val="0095623E"/>
    <w:rsid w:val="00960046"/>
    <w:rsid w:val="00965646"/>
    <w:rsid w:val="00984B59"/>
    <w:rsid w:val="00986838"/>
    <w:rsid w:val="0099253D"/>
    <w:rsid w:val="009A0E15"/>
    <w:rsid w:val="009B0D80"/>
    <w:rsid w:val="009D61C0"/>
    <w:rsid w:val="009E43C2"/>
    <w:rsid w:val="009F0E46"/>
    <w:rsid w:val="00A1410E"/>
    <w:rsid w:val="00A216F6"/>
    <w:rsid w:val="00A307E2"/>
    <w:rsid w:val="00A52E31"/>
    <w:rsid w:val="00A65166"/>
    <w:rsid w:val="00A85780"/>
    <w:rsid w:val="00A94C94"/>
    <w:rsid w:val="00AD18BC"/>
    <w:rsid w:val="00AF24F4"/>
    <w:rsid w:val="00B071FE"/>
    <w:rsid w:val="00B30BFB"/>
    <w:rsid w:val="00B30C4D"/>
    <w:rsid w:val="00C2300C"/>
    <w:rsid w:val="00C231B5"/>
    <w:rsid w:val="00C84351"/>
    <w:rsid w:val="00CA79C4"/>
    <w:rsid w:val="00CB529B"/>
    <w:rsid w:val="00CC292B"/>
    <w:rsid w:val="00CD410C"/>
    <w:rsid w:val="00D01750"/>
    <w:rsid w:val="00D1391F"/>
    <w:rsid w:val="00D4338B"/>
    <w:rsid w:val="00D45DDF"/>
    <w:rsid w:val="00D60E1C"/>
    <w:rsid w:val="00D71B6B"/>
    <w:rsid w:val="00D80C15"/>
    <w:rsid w:val="00D85970"/>
    <w:rsid w:val="00D86738"/>
    <w:rsid w:val="00DF7BDB"/>
    <w:rsid w:val="00E0721B"/>
    <w:rsid w:val="00E507F1"/>
    <w:rsid w:val="00E6321A"/>
    <w:rsid w:val="00E76FD1"/>
    <w:rsid w:val="00E82683"/>
    <w:rsid w:val="00F20213"/>
    <w:rsid w:val="00F54550"/>
    <w:rsid w:val="00F61CB4"/>
    <w:rsid w:val="00F75CDE"/>
    <w:rsid w:val="00F85215"/>
    <w:rsid w:val="00F904ED"/>
    <w:rsid w:val="00FA73CE"/>
    <w:rsid w:val="00FF5EDB"/>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1BBAC5"/>
  <w15:chartTrackingRefBased/>
  <w15:docId w15:val="{A0057F98-4F3E-42DD-9ED4-0DE77079C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2300C"/>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E6321A"/>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321A"/>
  </w:style>
  <w:style w:type="paragraph" w:styleId="Footer">
    <w:name w:val="footer"/>
    <w:basedOn w:val="Normal"/>
    <w:link w:val="FooterChar"/>
    <w:uiPriority w:val="99"/>
    <w:unhideWhenUsed/>
    <w:rsid w:val="00E6321A"/>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321A"/>
  </w:style>
  <w:style w:type="paragraph" w:customStyle="1" w:styleId="IPPHeader">
    <w:name w:val="IPP Header"/>
    <w:basedOn w:val="Normal"/>
    <w:qFormat/>
    <w:rsid w:val="00E6321A"/>
    <w:pPr>
      <w:pBdr>
        <w:bottom w:val="single" w:sz="4" w:space="4" w:color="auto"/>
      </w:pBdr>
      <w:tabs>
        <w:tab w:val="left" w:pos="1134"/>
        <w:tab w:val="right" w:pos="9072"/>
      </w:tabs>
      <w:spacing w:after="120" w:line="240" w:lineRule="auto"/>
    </w:pPr>
    <w:rPr>
      <w:rFonts w:ascii="Arial" w:eastAsia="MS Mincho" w:hAnsi="Arial" w:cs="Times New Roman"/>
      <w:sz w:val="18"/>
      <w:szCs w:val="24"/>
      <w:lang w:val="en-US"/>
    </w:rPr>
  </w:style>
  <w:style w:type="paragraph" w:customStyle="1" w:styleId="IPPFooter">
    <w:name w:val="IPP Footer"/>
    <w:basedOn w:val="IPPHeader"/>
    <w:next w:val="PlainText"/>
    <w:qFormat/>
    <w:rsid w:val="00E6321A"/>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semiHidden/>
    <w:unhideWhenUsed/>
    <w:rsid w:val="00E6321A"/>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E6321A"/>
    <w:rPr>
      <w:rFonts w:ascii="Consolas" w:hAnsi="Consolas"/>
      <w:sz w:val="21"/>
      <w:szCs w:val="21"/>
    </w:rPr>
  </w:style>
  <w:style w:type="character" w:customStyle="1" w:styleId="IPPnormalitalics">
    <w:name w:val="IPP normal italics"/>
    <w:basedOn w:val="DefaultParagraphFont"/>
    <w:rsid w:val="004D1C8A"/>
    <w:rPr>
      <w:rFonts w:ascii="Times New Roman" w:hAnsi="Times New Roman"/>
      <w:i/>
      <w:sz w:val="22"/>
      <w:lang w:val="en-US"/>
    </w:rPr>
  </w:style>
  <w:style w:type="paragraph" w:customStyle="1" w:styleId="IPPHeading1">
    <w:name w:val="IPP Heading1"/>
    <w:basedOn w:val="Normal"/>
    <w:next w:val="Normal"/>
    <w:link w:val="IPPHeading1Char"/>
    <w:qFormat/>
    <w:rsid w:val="004D1C8A"/>
    <w:pPr>
      <w:keepNext/>
      <w:tabs>
        <w:tab w:val="left" w:pos="567"/>
      </w:tabs>
      <w:spacing w:before="240" w:after="120" w:line="240" w:lineRule="auto"/>
      <w:ind w:left="567" w:hanging="567"/>
      <w:outlineLvl w:val="1"/>
    </w:pPr>
    <w:rPr>
      <w:rFonts w:ascii="Times New Roman" w:eastAsia="Times" w:hAnsi="Times New Roman" w:cs="Times New Roman"/>
      <w:b/>
      <w:sz w:val="24"/>
      <w:lang w:val="en-GB"/>
    </w:rPr>
  </w:style>
  <w:style w:type="paragraph" w:styleId="ListParagraph">
    <w:name w:val="List Paragraph"/>
    <w:basedOn w:val="Normal"/>
    <w:uiPriority w:val="34"/>
    <w:qFormat/>
    <w:rsid w:val="002C6CBB"/>
    <w:pPr>
      <w:ind w:left="720"/>
      <w:contextualSpacing/>
    </w:pPr>
  </w:style>
  <w:style w:type="paragraph" w:styleId="Revision">
    <w:name w:val="Revision"/>
    <w:hidden/>
    <w:uiPriority w:val="99"/>
    <w:semiHidden/>
    <w:rsid w:val="0039252F"/>
    <w:pPr>
      <w:spacing w:after="0" w:line="240" w:lineRule="auto"/>
    </w:pPr>
  </w:style>
  <w:style w:type="paragraph" w:customStyle="1" w:styleId="IPPPargraphnumbering">
    <w:name w:val="IPP Pargraph numbering"/>
    <w:basedOn w:val="Normal"/>
    <w:uiPriority w:val="99"/>
    <w:rsid w:val="00B30C4D"/>
    <w:pPr>
      <w:spacing w:after="180" w:line="240" w:lineRule="auto"/>
      <w:ind w:hanging="482"/>
      <w:jc w:val="both"/>
    </w:pPr>
    <w:rPr>
      <w:rFonts w:ascii="Times New Roman" w:eastAsia="MS Mincho" w:hAnsi="Times New Roman" w:cs="Times New Roman"/>
      <w:szCs w:val="24"/>
      <w:lang w:val="en-GB" w:eastAsia="en-NZ"/>
    </w:rPr>
  </w:style>
  <w:style w:type="numbering" w:customStyle="1" w:styleId="IPPParagraphnumberedlist">
    <w:name w:val="IPP Paragraph numbered list"/>
    <w:rsid w:val="00B30C4D"/>
    <w:pPr>
      <w:numPr>
        <w:numId w:val="2"/>
      </w:numPr>
    </w:pPr>
  </w:style>
  <w:style w:type="paragraph" w:customStyle="1" w:styleId="IPPParagraphnumbering">
    <w:name w:val="IPP Paragraph numbering"/>
    <w:basedOn w:val="Normal"/>
    <w:qFormat/>
    <w:rsid w:val="00B30C4D"/>
    <w:pPr>
      <w:numPr>
        <w:numId w:val="2"/>
      </w:numPr>
      <w:spacing w:after="180" w:line="240" w:lineRule="auto"/>
      <w:jc w:val="both"/>
    </w:pPr>
    <w:rPr>
      <w:rFonts w:ascii="Times New Roman" w:eastAsia="Times" w:hAnsi="Times New Roman" w:cs="Times New Roman"/>
      <w:szCs w:val="24"/>
      <w:lang w:val="en-US"/>
    </w:rPr>
  </w:style>
  <w:style w:type="character" w:styleId="Hyperlink">
    <w:name w:val="Hyperlink"/>
    <w:basedOn w:val="DefaultParagraphFont"/>
    <w:uiPriority w:val="99"/>
    <w:unhideWhenUsed/>
    <w:rsid w:val="009E43C2"/>
    <w:rPr>
      <w:color w:val="0563C1" w:themeColor="hyperlink"/>
      <w:u w:val="single"/>
    </w:rPr>
  </w:style>
  <w:style w:type="table" w:styleId="TableGrid">
    <w:name w:val="Table Grid"/>
    <w:basedOn w:val="TableNormal"/>
    <w:rsid w:val="009E43C2"/>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1">
    <w:name w:val="IPP Bullet1"/>
    <w:basedOn w:val="Normal"/>
    <w:link w:val="IPPBullet1Char"/>
    <w:qFormat/>
    <w:rsid w:val="009E43C2"/>
    <w:pPr>
      <w:numPr>
        <w:numId w:val="3"/>
      </w:numPr>
      <w:spacing w:after="60" w:line="240" w:lineRule="auto"/>
      <w:jc w:val="both"/>
    </w:pPr>
    <w:rPr>
      <w:rFonts w:ascii="Times New Roman" w:eastAsia="Times" w:hAnsi="Times New Roman"/>
      <w:szCs w:val="24"/>
      <w:lang w:val="en-US" w:eastAsia="zh-CN"/>
    </w:rPr>
  </w:style>
  <w:style w:type="paragraph" w:customStyle="1" w:styleId="IPPNormal">
    <w:name w:val="IPP Normal"/>
    <w:basedOn w:val="Normal"/>
    <w:link w:val="IPPNormalChar"/>
    <w:qFormat/>
    <w:rsid w:val="009E43C2"/>
    <w:pPr>
      <w:spacing w:after="180" w:line="240" w:lineRule="auto"/>
      <w:jc w:val="both"/>
    </w:pPr>
    <w:rPr>
      <w:rFonts w:ascii="Times New Roman" w:eastAsia="Times" w:hAnsi="Times New Roman"/>
      <w:szCs w:val="24"/>
      <w:lang w:val="en-GB" w:eastAsia="zh-CN"/>
    </w:rPr>
  </w:style>
  <w:style w:type="paragraph" w:customStyle="1" w:styleId="IPPFootnoteRed">
    <w:name w:val="IPP Footnote Red"/>
    <w:basedOn w:val="IPPFootnote"/>
    <w:link w:val="IPPFootnoteRedChar"/>
    <w:qFormat/>
    <w:rsid w:val="009E43C2"/>
    <w:rPr>
      <w:b/>
      <w:bCs/>
      <w:color w:val="FF0000"/>
      <w:sz w:val="22"/>
      <w:vertAlign w:val="superscript"/>
    </w:rPr>
  </w:style>
  <w:style w:type="character" w:customStyle="1" w:styleId="IPPFootnoteRedChar">
    <w:name w:val="IPP Footnote Red Char"/>
    <w:link w:val="IPPFootnoteRed"/>
    <w:rsid w:val="009E43C2"/>
    <w:rPr>
      <w:rFonts w:ascii="Times New Roman" w:eastAsia="Times New Roman" w:hAnsi="Times New Roman"/>
      <w:b/>
      <w:bCs/>
      <w:color w:val="FF0000"/>
      <w:szCs w:val="24"/>
      <w:vertAlign w:val="superscript"/>
      <w:lang w:val="en-GB" w:eastAsia="zh-CN"/>
    </w:rPr>
  </w:style>
  <w:style w:type="character" w:customStyle="1" w:styleId="IPPHeading1Char">
    <w:name w:val="IPP Heading1 Char"/>
    <w:link w:val="IPPHeading1"/>
    <w:rsid w:val="009E43C2"/>
    <w:rPr>
      <w:rFonts w:ascii="Times New Roman" w:eastAsia="Times" w:hAnsi="Times New Roman" w:cs="Times New Roman"/>
      <w:b/>
      <w:sz w:val="24"/>
      <w:lang w:val="en-GB"/>
    </w:rPr>
  </w:style>
  <w:style w:type="character" w:customStyle="1" w:styleId="IPPNormalChar">
    <w:name w:val="IPP Normal Char"/>
    <w:link w:val="IPPNormal"/>
    <w:rsid w:val="009E43C2"/>
    <w:rPr>
      <w:rFonts w:ascii="Times New Roman" w:eastAsia="Times" w:hAnsi="Times New Roman"/>
      <w:szCs w:val="24"/>
      <w:lang w:val="en-GB" w:eastAsia="zh-CN"/>
    </w:rPr>
  </w:style>
  <w:style w:type="paragraph" w:customStyle="1" w:styleId="IPPFootnote">
    <w:name w:val="IPP Footnote"/>
    <w:basedOn w:val="Normal"/>
    <w:qFormat/>
    <w:rsid w:val="009E43C2"/>
    <w:pPr>
      <w:tabs>
        <w:tab w:val="left" w:pos="0"/>
        <w:tab w:val="left" w:pos="28"/>
      </w:tabs>
      <w:spacing w:after="60" w:line="240" w:lineRule="auto"/>
      <w:jc w:val="both"/>
    </w:pPr>
    <w:rPr>
      <w:rFonts w:ascii="Times New Roman" w:eastAsia="Times New Roman" w:hAnsi="Times New Roman"/>
      <w:sz w:val="20"/>
      <w:szCs w:val="24"/>
      <w:lang w:val="en-GB" w:eastAsia="zh-CN"/>
    </w:rPr>
  </w:style>
  <w:style w:type="character" w:customStyle="1" w:styleId="IPPBullet1Char">
    <w:name w:val="IPP Bullet1 Char"/>
    <w:link w:val="IPPBullet1"/>
    <w:rsid w:val="009E43C2"/>
    <w:rPr>
      <w:rFonts w:ascii="Times New Roman" w:eastAsia="Times" w:hAnsi="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798">
      <w:bodyDiv w:val="1"/>
      <w:marLeft w:val="0"/>
      <w:marRight w:val="0"/>
      <w:marTop w:val="0"/>
      <w:marBottom w:val="0"/>
      <w:divBdr>
        <w:top w:val="none" w:sz="0" w:space="0" w:color="auto"/>
        <w:left w:val="none" w:sz="0" w:space="0" w:color="auto"/>
        <w:bottom w:val="none" w:sz="0" w:space="0" w:color="auto"/>
        <w:right w:val="none" w:sz="0" w:space="0" w:color="auto"/>
      </w:divBdr>
    </w:div>
    <w:div w:id="65151478">
      <w:bodyDiv w:val="1"/>
      <w:marLeft w:val="0"/>
      <w:marRight w:val="0"/>
      <w:marTop w:val="0"/>
      <w:marBottom w:val="0"/>
      <w:divBdr>
        <w:top w:val="none" w:sz="0" w:space="0" w:color="auto"/>
        <w:left w:val="none" w:sz="0" w:space="0" w:color="auto"/>
        <w:bottom w:val="none" w:sz="0" w:space="0" w:color="auto"/>
        <w:right w:val="none" w:sz="0" w:space="0" w:color="auto"/>
      </w:divBdr>
    </w:div>
    <w:div w:id="467745347">
      <w:bodyDiv w:val="1"/>
      <w:marLeft w:val="0"/>
      <w:marRight w:val="0"/>
      <w:marTop w:val="0"/>
      <w:marBottom w:val="0"/>
      <w:divBdr>
        <w:top w:val="none" w:sz="0" w:space="0" w:color="auto"/>
        <w:left w:val="none" w:sz="0" w:space="0" w:color="auto"/>
        <w:bottom w:val="none" w:sz="0" w:space="0" w:color="auto"/>
        <w:right w:val="none" w:sz="0" w:space="0" w:color="auto"/>
      </w:divBdr>
    </w:div>
    <w:div w:id="1000736437">
      <w:bodyDiv w:val="1"/>
      <w:marLeft w:val="0"/>
      <w:marRight w:val="0"/>
      <w:marTop w:val="0"/>
      <w:marBottom w:val="0"/>
      <w:divBdr>
        <w:top w:val="none" w:sz="0" w:space="0" w:color="auto"/>
        <w:left w:val="none" w:sz="0" w:space="0" w:color="auto"/>
        <w:bottom w:val="none" w:sz="0" w:space="0" w:color="auto"/>
        <w:right w:val="none" w:sz="0" w:space="0" w:color="auto"/>
      </w:divBdr>
    </w:div>
    <w:div w:id="1584102443">
      <w:bodyDiv w:val="1"/>
      <w:marLeft w:val="0"/>
      <w:marRight w:val="0"/>
      <w:marTop w:val="0"/>
      <w:marBottom w:val="0"/>
      <w:divBdr>
        <w:top w:val="none" w:sz="0" w:space="0" w:color="auto"/>
        <w:left w:val="none" w:sz="0" w:space="0" w:color="auto"/>
        <w:bottom w:val="none" w:sz="0" w:space="0" w:color="auto"/>
        <w:right w:val="none" w:sz="0" w:space="0" w:color="auto"/>
      </w:divBdr>
    </w:div>
    <w:div w:id="1818722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ppc.int/en/publications/85024/"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n.wikipedia.org/wiki/Pseudoreplication"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718E6F-D89E-4B44-B56A-8D8292CF4688}">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2.xml><?xml version="1.0" encoding="utf-8"?>
<ds:datastoreItem xmlns:ds="http://schemas.openxmlformats.org/officeDocument/2006/customXml" ds:itemID="{8EE441FC-3697-4E27-A668-5468422A9542}">
  <ds:schemaRefs>
    <ds:schemaRef ds:uri="http://schemas.microsoft.com/sharepoint/v3/contenttype/forms"/>
  </ds:schemaRefs>
</ds:datastoreItem>
</file>

<file path=customXml/itemProps3.xml><?xml version="1.0" encoding="utf-8"?>
<ds:datastoreItem xmlns:ds="http://schemas.openxmlformats.org/officeDocument/2006/customXml" ds:itemID="{79E2EA74-CD1D-47BA-954C-CBC220CC7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5</Pages>
  <Words>1648</Words>
  <Characters>9394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Ministry fo Primary Industries</Company>
  <LinksUpToDate>false</LinksUpToDate>
  <CharactersWithSpaces>11020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Ormsby</dc:creator>
  <cp:keywords/>
  <dc:description/>
  <cp:lastModifiedBy>Stirling, Colleen (NSPD)</cp:lastModifiedBy>
  <cp:revision>10</cp:revision>
  <dcterms:created xsi:type="dcterms:W3CDTF">2023-12-12T02:03:00Z</dcterms:created>
  <dcterms:modified xsi:type="dcterms:W3CDTF">2024-05-27T12:52:00Z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