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5F9F6" w14:textId="43B3862E" w:rsidR="00B01128" w:rsidRPr="00390725" w:rsidRDefault="00390725" w:rsidP="001D07EB">
      <w:pPr>
        <w:pStyle w:val="IPPHeadSection"/>
        <w:ind w:left="0" w:firstLine="0"/>
        <w:jc w:val="center"/>
        <w:rPr>
          <w:rFonts w:asciiTheme="majorBidi" w:eastAsia="DengXian" w:hAnsiTheme="majorBidi" w:cstheme="majorBidi"/>
        </w:rPr>
      </w:pPr>
      <w:bookmarkStart w:id="0" w:name="_Hlk169984811"/>
      <w:r w:rsidRPr="00390725">
        <w:t>Efficacy calculation method – Update on draft amendment to PMRG guidelines</w:t>
      </w:r>
    </w:p>
    <w:bookmarkEnd w:id="0"/>
    <w:p w14:paraId="335A38D1" w14:textId="7CBDF6A8" w:rsidR="00B01128" w:rsidRDefault="00B01128" w:rsidP="00B01128">
      <w:pPr>
        <w:spacing w:after="180"/>
        <w:jc w:val="center"/>
        <w:rPr>
          <w:rFonts w:eastAsia="Times" w:cs="Arial"/>
          <w:i/>
        </w:rPr>
      </w:pPr>
      <w:r w:rsidRPr="009A2ACE">
        <w:rPr>
          <w:rFonts w:eastAsia="Times" w:cs="Arial"/>
          <w:i/>
        </w:rPr>
        <w:t>(Prepared by</w:t>
      </w:r>
      <w:r>
        <w:rPr>
          <w:rFonts w:eastAsia="Times" w:cs="Arial"/>
          <w:i/>
        </w:rPr>
        <w:t xml:space="preserve"> </w:t>
      </w:r>
      <w:r w:rsidR="00DB53B8">
        <w:rPr>
          <w:rFonts w:eastAsia="Times" w:cs="Arial"/>
          <w:i/>
        </w:rPr>
        <w:t>Peter LEACH</w:t>
      </w:r>
      <w:r w:rsidRPr="009A2ACE">
        <w:rPr>
          <w:rFonts w:eastAsia="Times" w:cs="Arial"/>
          <w:i/>
        </w:rPr>
        <w:t>)</w:t>
      </w:r>
    </w:p>
    <w:p w14:paraId="6B139A40" w14:textId="77777777" w:rsidR="001D07EB" w:rsidRDefault="001D07EB" w:rsidP="002C6929">
      <w:pPr>
        <w:spacing w:after="180"/>
        <w:rPr>
          <w:rFonts w:eastAsia="DengXian" w:cs="Arial"/>
        </w:rPr>
      </w:pPr>
    </w:p>
    <w:p w14:paraId="2E0D3654" w14:textId="05984AF5" w:rsidR="002C6929" w:rsidRPr="002C6929" w:rsidRDefault="002C6929" w:rsidP="002C6929">
      <w:pPr>
        <w:pStyle w:val="IPPHeading1"/>
        <w:ind w:left="0" w:firstLine="0"/>
        <w:rPr>
          <w:i/>
          <w:iCs/>
          <w:color w:val="000000"/>
        </w:rPr>
      </w:pPr>
      <w:r>
        <w:t>Background</w:t>
      </w:r>
    </w:p>
    <w:p w14:paraId="03257CBA" w14:textId="68E07F59" w:rsidR="00697AB4" w:rsidRDefault="00DB53B8" w:rsidP="00390725">
      <w:pPr>
        <w:pStyle w:val="IPPParagraphnumbering"/>
        <w:numPr>
          <w:ilvl w:val="0"/>
          <w:numId w:val="30"/>
        </w:numPr>
        <w:rPr>
          <w:szCs w:val="22"/>
        </w:rPr>
      </w:pPr>
      <w:r w:rsidRPr="009A4FD4">
        <w:rPr>
          <w:szCs w:val="22"/>
        </w:rPr>
        <w:t xml:space="preserve">The </w:t>
      </w:r>
      <w:r w:rsidR="00390725" w:rsidRPr="009A4FD4">
        <w:rPr>
          <w:szCs w:val="22"/>
        </w:rPr>
        <w:t>Phytosanitary Measures Research Group (PMRG) was specifically formed to provide</w:t>
      </w:r>
      <w:r w:rsidR="00697AB4" w:rsidRPr="009A4FD4">
        <w:rPr>
          <w:szCs w:val="22"/>
        </w:rPr>
        <w:t xml:space="preserve"> assistance to the researchers to</w:t>
      </w:r>
      <w:r w:rsidR="00697AB4">
        <w:rPr>
          <w:szCs w:val="22"/>
        </w:rPr>
        <w:t xml:space="preserve"> meet the requirements of section 3 of ISPM 28.</w:t>
      </w:r>
    </w:p>
    <w:p w14:paraId="12C4FF09" w14:textId="286E9383" w:rsidR="00982337" w:rsidRPr="00982337" w:rsidRDefault="00697AB4" w:rsidP="00982337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The current guidelines </w:t>
      </w:r>
      <w:r w:rsidR="009A4FD4">
        <w:rPr>
          <w:szCs w:val="22"/>
        </w:rPr>
        <w:t>for heat and cold research classify mortality a</w:t>
      </w:r>
      <w:r w:rsidR="009A4FD4" w:rsidRPr="009A4FD4">
        <w:t>ssessments</w:t>
      </w:r>
      <w:r w:rsidR="00982337">
        <w:t>/treatment objective</w:t>
      </w:r>
      <w:r w:rsidR="00C12903">
        <w:t>s</w:t>
      </w:r>
      <w:r w:rsidR="00982337">
        <w:t xml:space="preserve"> </w:t>
      </w:r>
      <w:r w:rsidR="00982337" w:rsidRPr="009A4FD4">
        <w:t>as</w:t>
      </w:r>
      <w:r w:rsidR="009A4FD4" w:rsidRPr="009A4FD4">
        <w:t xml:space="preserve"> either chronic mortality (lack of successful pupation) or acute mortality (inspection for live/dead larvae and eggs). </w:t>
      </w:r>
    </w:p>
    <w:p w14:paraId="3DD28E2E" w14:textId="0A55AA75" w:rsidR="00982337" w:rsidRDefault="00982337" w:rsidP="00982337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While researchers can use </w:t>
      </w:r>
      <w:r w:rsidR="00255795">
        <w:rPr>
          <w:szCs w:val="22"/>
        </w:rPr>
        <w:t xml:space="preserve">either </w:t>
      </w:r>
      <w:r>
        <w:rPr>
          <w:szCs w:val="22"/>
        </w:rPr>
        <w:t>acute or chronic mortality assessments the calculation of the number of treated insects is very differently for each method.</w:t>
      </w:r>
    </w:p>
    <w:p w14:paraId="699243F0" w14:textId="24D577B5" w:rsidR="0099636A" w:rsidRDefault="00280EF4" w:rsidP="00390725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With recent changes to the IPPC procedure manual (Agenda item 8.2) on the calculation of the </w:t>
      </w:r>
      <w:r w:rsidR="00982337">
        <w:rPr>
          <w:szCs w:val="22"/>
        </w:rPr>
        <w:t>“</w:t>
      </w:r>
      <w:r>
        <w:rPr>
          <w:szCs w:val="22"/>
        </w:rPr>
        <w:t>estimated number of treated insects</w:t>
      </w:r>
      <w:r w:rsidR="00982337">
        <w:rPr>
          <w:szCs w:val="22"/>
        </w:rPr>
        <w:t>”</w:t>
      </w:r>
      <w:r>
        <w:rPr>
          <w:szCs w:val="22"/>
        </w:rPr>
        <w:t xml:space="preserve"> it is important that the PMRG guidelines are updated to provide accurate advice to researchers</w:t>
      </w:r>
      <w:r w:rsidR="00B57B00">
        <w:rPr>
          <w:szCs w:val="22"/>
        </w:rPr>
        <w:t xml:space="preserve"> developing new applications to the TPPT. </w:t>
      </w:r>
      <w:r>
        <w:rPr>
          <w:szCs w:val="22"/>
        </w:rPr>
        <w:t xml:space="preserve"> </w:t>
      </w:r>
    </w:p>
    <w:p w14:paraId="2095912C" w14:textId="1ABF1B20" w:rsidR="00C1641F" w:rsidRPr="00FC34DF" w:rsidRDefault="00982337" w:rsidP="00390725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For chronic mortality assessments </w:t>
      </w:r>
      <w:r w:rsidR="006413E6">
        <w:rPr>
          <w:szCs w:val="22"/>
        </w:rPr>
        <w:t xml:space="preserve">the “estimated number of treated insects” </w:t>
      </w:r>
      <w:r w:rsidR="00C1641F">
        <w:rPr>
          <w:szCs w:val="22"/>
        </w:rPr>
        <w:t>has historically been</w:t>
      </w:r>
      <w:r w:rsidR="006413E6">
        <w:rPr>
          <w:szCs w:val="22"/>
        </w:rPr>
        <w:t xml:space="preserve"> </w:t>
      </w:r>
      <w:r w:rsidR="00F11409">
        <w:rPr>
          <w:szCs w:val="22"/>
        </w:rPr>
        <w:t xml:space="preserve">a very simple calculation based </w:t>
      </w:r>
      <w:r w:rsidR="006413E6">
        <w:rPr>
          <w:szCs w:val="22"/>
        </w:rPr>
        <w:t xml:space="preserve">on the number of pupae recovered from the control fruit. </w:t>
      </w:r>
      <w:r w:rsidR="00C1641F">
        <w:rPr>
          <w:szCs w:val="22"/>
        </w:rPr>
        <w:t>This calculation does comply with Abbotts Principle (e.g. control and treated fruit should have similar levels of natural mortality)</w:t>
      </w:r>
      <w:r w:rsidR="005721A4">
        <w:rPr>
          <w:szCs w:val="22"/>
        </w:rPr>
        <w:t xml:space="preserve"> but may </w:t>
      </w:r>
      <w:r w:rsidR="005721A4" w:rsidRPr="00FC34DF">
        <w:rPr>
          <w:szCs w:val="22"/>
        </w:rPr>
        <w:t>not always be an accurate assessment of infestation rates especially for fruit that has been naturally infested (</w:t>
      </w:r>
      <w:r w:rsidR="00FC34DF" w:rsidRPr="00FC34DF">
        <w:rPr>
          <w:szCs w:val="22"/>
        </w:rPr>
        <w:t xml:space="preserve">i.e. </w:t>
      </w:r>
      <w:r w:rsidR="00B57B00">
        <w:rPr>
          <w:szCs w:val="22"/>
        </w:rPr>
        <w:t xml:space="preserve">may have </w:t>
      </w:r>
      <w:r w:rsidR="005721A4" w:rsidRPr="00FC34DF">
        <w:rPr>
          <w:szCs w:val="22"/>
        </w:rPr>
        <w:t>high</w:t>
      </w:r>
      <w:r w:rsidR="00FC34DF" w:rsidRPr="00FC34DF">
        <w:rPr>
          <w:szCs w:val="22"/>
        </w:rPr>
        <w:t>ly variable infestation rates</w:t>
      </w:r>
      <w:r w:rsidR="005721A4" w:rsidRPr="00FC34DF">
        <w:rPr>
          <w:szCs w:val="22"/>
        </w:rPr>
        <w:t>)</w:t>
      </w:r>
      <w:r w:rsidR="00C1641F" w:rsidRPr="00FC34DF">
        <w:rPr>
          <w:szCs w:val="22"/>
        </w:rPr>
        <w:t xml:space="preserve">. </w:t>
      </w:r>
    </w:p>
    <w:p w14:paraId="0A15FE1F" w14:textId="294317C1" w:rsidR="00BA0325" w:rsidRDefault="00BA0325" w:rsidP="00BA0325">
      <w:pPr>
        <w:pStyle w:val="IPPParagraphnumbering"/>
        <w:numPr>
          <w:ilvl w:val="0"/>
          <w:numId w:val="30"/>
        </w:numPr>
        <w:rPr>
          <w:szCs w:val="22"/>
        </w:rPr>
      </w:pPr>
      <w:r w:rsidRPr="00BA0325">
        <w:rPr>
          <w:szCs w:val="22"/>
        </w:rPr>
        <w:t xml:space="preserve">On advice from statisticians, the TPPT </w:t>
      </w:r>
      <w:r>
        <w:rPr>
          <w:szCs w:val="22"/>
        </w:rPr>
        <w:t xml:space="preserve">has recently agreed to use a new </w:t>
      </w:r>
      <w:r w:rsidRPr="00BA0325">
        <w:rPr>
          <w:szCs w:val="22"/>
        </w:rPr>
        <w:t xml:space="preserve">formula </w:t>
      </w:r>
      <w:r w:rsidR="005721A4">
        <w:rPr>
          <w:szCs w:val="22"/>
        </w:rPr>
        <w:t xml:space="preserve">(Agenda Item 8.2) </w:t>
      </w:r>
      <w:r w:rsidRPr="00BA0325">
        <w:rPr>
          <w:szCs w:val="22"/>
        </w:rPr>
        <w:t xml:space="preserve">to </w:t>
      </w:r>
      <w:r w:rsidR="005721A4">
        <w:rPr>
          <w:szCs w:val="22"/>
        </w:rPr>
        <w:t xml:space="preserve">estimate the number of treated insects. For </w:t>
      </w:r>
      <w:r w:rsidR="00BC180E">
        <w:rPr>
          <w:szCs w:val="22"/>
        </w:rPr>
        <w:t xml:space="preserve">data sets using </w:t>
      </w:r>
      <w:r w:rsidR="005721A4">
        <w:rPr>
          <w:szCs w:val="22"/>
        </w:rPr>
        <w:t xml:space="preserve">artificially infested fruit the new formula </w:t>
      </w:r>
      <w:r w:rsidR="00BC180E">
        <w:rPr>
          <w:szCs w:val="22"/>
        </w:rPr>
        <w:t xml:space="preserve">may have minimal </w:t>
      </w:r>
      <w:r w:rsidR="005721A4">
        <w:rPr>
          <w:szCs w:val="22"/>
        </w:rPr>
        <w:t xml:space="preserve">impact on treatment efficacy rates but can have major impacts </w:t>
      </w:r>
      <w:r w:rsidR="00BC180E">
        <w:rPr>
          <w:szCs w:val="22"/>
        </w:rPr>
        <w:t xml:space="preserve">when </w:t>
      </w:r>
      <w:r w:rsidR="005721A4">
        <w:rPr>
          <w:szCs w:val="22"/>
        </w:rPr>
        <w:t>naturally infested</w:t>
      </w:r>
      <w:r w:rsidR="00BC180E">
        <w:rPr>
          <w:szCs w:val="22"/>
        </w:rPr>
        <w:t xml:space="preserve"> fruit are used.</w:t>
      </w:r>
      <w:r w:rsidR="005721A4">
        <w:rPr>
          <w:szCs w:val="22"/>
        </w:rPr>
        <w:t xml:space="preserve"> </w:t>
      </w:r>
    </w:p>
    <w:p w14:paraId="77D859D3" w14:textId="28528EEC" w:rsidR="00C12903" w:rsidRDefault="002F799B" w:rsidP="00B91488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It is recommended that the PMRG guidelines be updated to conform with new requirements for estimating the number of treated insects when chronic mortality assessments are undertaken. </w:t>
      </w:r>
    </w:p>
    <w:p w14:paraId="6A39E09B" w14:textId="3BFBE44D" w:rsidR="00B57B00" w:rsidRPr="00D0116C" w:rsidRDefault="002F799B" w:rsidP="00BA0325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A second recommendation is that PMRG guidelines be updated to include </w:t>
      </w:r>
      <w:r w:rsidR="007F23EB">
        <w:rPr>
          <w:szCs w:val="22"/>
        </w:rPr>
        <w:t xml:space="preserve">detailed instructions </w:t>
      </w:r>
      <w:r>
        <w:rPr>
          <w:szCs w:val="22"/>
        </w:rPr>
        <w:t xml:space="preserve">and examples </w:t>
      </w:r>
      <w:r w:rsidR="00FC34DF" w:rsidRPr="00D0116C">
        <w:rPr>
          <w:szCs w:val="22"/>
        </w:rPr>
        <w:t>on how to calculate the number of treated insects</w:t>
      </w:r>
      <w:r w:rsidR="00B57B00" w:rsidRPr="00D0116C">
        <w:rPr>
          <w:szCs w:val="22"/>
        </w:rPr>
        <w:t xml:space="preserve"> </w:t>
      </w:r>
      <w:r w:rsidR="00255795" w:rsidRPr="00D0116C">
        <w:rPr>
          <w:szCs w:val="22"/>
        </w:rPr>
        <w:t xml:space="preserve">for large scale confirmatory trials </w:t>
      </w:r>
      <w:r w:rsidR="000C1404" w:rsidRPr="00D0116C">
        <w:rPr>
          <w:szCs w:val="22"/>
        </w:rPr>
        <w:t>using acute mortality assessments</w:t>
      </w:r>
      <w:r w:rsidR="00190E46">
        <w:rPr>
          <w:szCs w:val="22"/>
        </w:rPr>
        <w:t xml:space="preserve"> (n.b</w:t>
      </w:r>
      <w:r w:rsidR="00FC34DF" w:rsidRPr="00D0116C">
        <w:rPr>
          <w:szCs w:val="22"/>
        </w:rPr>
        <w:t>.</w:t>
      </w:r>
      <w:r w:rsidR="00190E46">
        <w:rPr>
          <w:szCs w:val="22"/>
        </w:rPr>
        <w:t xml:space="preserve"> there is currently only examples for chronic mortality asse</w:t>
      </w:r>
      <w:r w:rsidR="00783CDB">
        <w:rPr>
          <w:szCs w:val="22"/>
        </w:rPr>
        <w:t>ss</w:t>
      </w:r>
      <w:r w:rsidR="00190E46">
        <w:rPr>
          <w:szCs w:val="22"/>
        </w:rPr>
        <w:t>m</w:t>
      </w:r>
      <w:r w:rsidR="00783CDB">
        <w:rPr>
          <w:szCs w:val="22"/>
        </w:rPr>
        <w:t>ents).</w:t>
      </w:r>
      <w:r w:rsidR="00FC34DF" w:rsidRPr="00D0116C">
        <w:rPr>
          <w:szCs w:val="22"/>
        </w:rPr>
        <w:t xml:space="preserve"> </w:t>
      </w:r>
    </w:p>
    <w:p w14:paraId="17D6EB12" w14:textId="4AECED47" w:rsidR="00D0116C" w:rsidRDefault="00FC34DF" w:rsidP="000E40B4">
      <w:pPr>
        <w:pStyle w:val="IPPParagraphnumbering"/>
        <w:numPr>
          <w:ilvl w:val="0"/>
          <w:numId w:val="30"/>
        </w:numPr>
        <w:rPr>
          <w:szCs w:val="22"/>
        </w:rPr>
      </w:pPr>
      <w:r w:rsidRPr="00B57B00">
        <w:rPr>
          <w:szCs w:val="22"/>
        </w:rPr>
        <w:t xml:space="preserve">Acute mortality is not an estimate but uses “actual counts” of live and dead larvae in both the control and treated fruit. </w:t>
      </w:r>
      <w:r w:rsidR="00B57B00" w:rsidRPr="00B57B00">
        <w:rPr>
          <w:szCs w:val="22"/>
        </w:rPr>
        <w:t>For the control fruit the number of live and dead larvae are recorded and used to calculate control mortality</w:t>
      </w:r>
      <w:r w:rsidR="007F23EB">
        <w:rPr>
          <w:szCs w:val="22"/>
        </w:rPr>
        <w:t>/proportion of pests surviving in the controls</w:t>
      </w:r>
      <w:r w:rsidR="00B57B00" w:rsidRPr="00B57B00">
        <w:rPr>
          <w:szCs w:val="22"/>
        </w:rPr>
        <w:t xml:space="preserve">. </w:t>
      </w:r>
    </w:p>
    <w:p w14:paraId="058E27E2" w14:textId="0DFBD324" w:rsidR="00B57B00" w:rsidRPr="00B57B00" w:rsidRDefault="00D0116C" w:rsidP="000E40B4">
      <w:pPr>
        <w:pStyle w:val="IPPParagraphnumbering"/>
        <w:numPr>
          <w:ilvl w:val="0"/>
          <w:numId w:val="30"/>
        </w:numPr>
        <w:rPr>
          <w:szCs w:val="22"/>
        </w:rPr>
      </w:pPr>
      <w:r>
        <w:rPr>
          <w:szCs w:val="22"/>
        </w:rPr>
        <w:t xml:space="preserve">In the treated fruit the number of live and dead larvae are recorded, and the number of dead larvae is </w:t>
      </w:r>
      <w:r w:rsidR="002F799B">
        <w:rPr>
          <w:szCs w:val="22"/>
        </w:rPr>
        <w:t xml:space="preserve">adjusted </w:t>
      </w:r>
      <w:r>
        <w:rPr>
          <w:szCs w:val="22"/>
        </w:rPr>
        <w:t>based on the control mortality (</w:t>
      </w:r>
      <w:r w:rsidR="002F799B">
        <w:rPr>
          <w:szCs w:val="22"/>
        </w:rPr>
        <w:t xml:space="preserve">i.e. </w:t>
      </w:r>
      <w:r>
        <w:rPr>
          <w:szCs w:val="22"/>
        </w:rPr>
        <w:t>only mortality associated with the treatment is include</w:t>
      </w:r>
      <w:r w:rsidR="002F799B">
        <w:rPr>
          <w:szCs w:val="22"/>
        </w:rPr>
        <w:t>d</w:t>
      </w:r>
      <w:r>
        <w:rPr>
          <w:szCs w:val="22"/>
        </w:rPr>
        <w:t xml:space="preserve"> and natural mortality is excluded). </w:t>
      </w:r>
    </w:p>
    <w:p w14:paraId="67F75AA5" w14:textId="77777777" w:rsidR="00BC180E" w:rsidRPr="00BC180E" w:rsidRDefault="000C1404" w:rsidP="00BA0325">
      <w:pPr>
        <w:pStyle w:val="IPPParagraphnumbering"/>
        <w:numPr>
          <w:ilvl w:val="0"/>
          <w:numId w:val="30"/>
        </w:numPr>
        <w:rPr>
          <w:szCs w:val="22"/>
        </w:rPr>
      </w:pPr>
      <w:r w:rsidRPr="00BC180E">
        <w:rPr>
          <w:szCs w:val="22"/>
        </w:rPr>
        <w:t xml:space="preserve">Historically researchers have used Abbotts Formula to correct for control </w:t>
      </w:r>
      <w:r w:rsidR="00B57B00" w:rsidRPr="00BC180E">
        <w:rPr>
          <w:szCs w:val="22"/>
        </w:rPr>
        <w:t>mortality</w:t>
      </w:r>
      <w:r w:rsidRPr="00BC180E">
        <w:rPr>
          <w:szCs w:val="22"/>
        </w:rPr>
        <w:t xml:space="preserve"> but for data sets with 100% mortality this formula is not appropriate.</w:t>
      </w:r>
      <w:r w:rsidR="00C5485D" w:rsidRPr="00BC180E">
        <w:rPr>
          <w:szCs w:val="22"/>
        </w:rPr>
        <w:t xml:space="preserve"> To address this issue the TPPT </w:t>
      </w:r>
      <w:r w:rsidR="00D0116C" w:rsidRPr="00BC180E">
        <w:rPr>
          <w:szCs w:val="22"/>
        </w:rPr>
        <w:t xml:space="preserve">follows </w:t>
      </w:r>
      <w:r w:rsidR="00C5485D" w:rsidRPr="00BC180E">
        <w:rPr>
          <w:szCs w:val="22"/>
        </w:rPr>
        <w:t>Abbots Principle</w:t>
      </w:r>
      <w:r w:rsidR="00BC180E" w:rsidRPr="00BC180E">
        <w:rPr>
          <w:szCs w:val="22"/>
        </w:rPr>
        <w:t xml:space="preserve"> using the following formula</w:t>
      </w:r>
      <w:r w:rsidR="00C5485D" w:rsidRPr="00BC180E">
        <w:rPr>
          <w:szCs w:val="22"/>
        </w:rPr>
        <w:t>.</w:t>
      </w:r>
    </w:p>
    <w:p w14:paraId="41034542" w14:textId="746490FD" w:rsidR="00BC180E" w:rsidRPr="001814A8" w:rsidRDefault="00BC180E" w:rsidP="00BC180E">
      <w:pPr>
        <w:pStyle w:val="IPPParagraphnumbering"/>
        <w:numPr>
          <w:ilvl w:val="0"/>
          <w:numId w:val="31"/>
        </w:numPr>
        <w:tabs>
          <w:tab w:val="num" w:pos="1134"/>
        </w:tabs>
        <w:ind w:left="709" w:hanging="1191"/>
        <w:rPr>
          <w:b/>
          <w:bCs/>
          <w:szCs w:val="22"/>
        </w:rPr>
      </w:pPr>
      <w:r w:rsidRPr="001814A8">
        <w:rPr>
          <w:b/>
          <w:bCs/>
          <w:szCs w:val="22"/>
        </w:rPr>
        <w:t>Y</w:t>
      </w:r>
      <w:r w:rsidRPr="00A52E31">
        <w:rPr>
          <w:b/>
          <w:bCs/>
          <w:szCs w:val="22"/>
          <w:vertAlign w:val="subscript"/>
        </w:rPr>
        <w:t>t</w:t>
      </w:r>
      <w:r w:rsidRPr="001814A8">
        <w:rPr>
          <w:b/>
          <w:bCs/>
          <w:szCs w:val="22"/>
        </w:rPr>
        <w:t xml:space="preserve"> = Y</w:t>
      </w:r>
      <w:r w:rsidRPr="00A52E31">
        <w:rPr>
          <w:b/>
          <w:bCs/>
          <w:szCs w:val="22"/>
          <w:vertAlign w:val="subscript"/>
        </w:rPr>
        <w:t>n</w:t>
      </w:r>
      <w:r w:rsidRPr="001814A8">
        <w:rPr>
          <w:b/>
          <w:b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 w:cstheme="minorHAnsi"/>
            <w:szCs w:val="22"/>
          </w:rPr>
          <m:t>×</m:t>
        </m:r>
      </m:oMath>
      <w:r w:rsidRPr="001814A8">
        <w:rPr>
          <w:b/>
          <w:bCs/>
          <w:szCs w:val="22"/>
        </w:rPr>
        <w:t xml:space="preserve"> X</w:t>
      </w:r>
      <w:r w:rsidRPr="00A52E31">
        <w:rPr>
          <w:b/>
          <w:bCs/>
          <w:szCs w:val="22"/>
          <w:vertAlign w:val="subscript"/>
        </w:rPr>
        <w:t>p</w:t>
      </w:r>
      <w:r w:rsidRPr="001814A8">
        <w:rPr>
          <w:b/>
          <w:bCs/>
          <w:szCs w:val="22"/>
        </w:rPr>
        <w:tab/>
      </w:r>
      <w:r w:rsidRPr="001814A8">
        <w:rPr>
          <w:b/>
          <w:bCs/>
          <w:szCs w:val="22"/>
        </w:rPr>
        <w:tab/>
      </w:r>
      <w:r w:rsidRPr="001814A8">
        <w:rPr>
          <w:b/>
          <w:bCs/>
          <w:szCs w:val="22"/>
        </w:rPr>
        <w:tab/>
      </w:r>
      <w:r w:rsidRPr="001814A8">
        <w:rPr>
          <w:b/>
          <w:bCs/>
          <w:szCs w:val="22"/>
        </w:rPr>
        <w:tab/>
      </w:r>
      <w:r w:rsidRPr="001814A8">
        <w:rPr>
          <w:b/>
          <w:bCs/>
          <w:szCs w:val="22"/>
        </w:rPr>
        <w:tab/>
      </w:r>
      <w:r>
        <w:rPr>
          <w:b/>
          <w:bCs/>
          <w:szCs w:val="22"/>
        </w:rPr>
        <w:tab/>
      </w:r>
      <w:r>
        <w:rPr>
          <w:b/>
          <w:bCs/>
          <w:szCs w:val="22"/>
        </w:rPr>
        <w:tab/>
      </w:r>
      <w:r w:rsidRPr="001814A8">
        <w:rPr>
          <w:b/>
          <w:bCs/>
          <w:szCs w:val="22"/>
        </w:rPr>
        <w:tab/>
      </w:r>
    </w:p>
    <w:p w14:paraId="33C2E980" w14:textId="6E444114" w:rsidR="00876DBF" w:rsidRPr="002C6929" w:rsidRDefault="00BC180E" w:rsidP="002C6929">
      <w:pPr>
        <w:pStyle w:val="IPPParagraphnumbering"/>
        <w:numPr>
          <w:ilvl w:val="0"/>
          <w:numId w:val="31"/>
        </w:numPr>
        <w:rPr>
          <w:szCs w:val="22"/>
        </w:rPr>
      </w:pPr>
      <w:r w:rsidRPr="00D86738">
        <w:rPr>
          <w:szCs w:val="22"/>
        </w:rPr>
        <w:t>where Y</w:t>
      </w:r>
      <w:r w:rsidRPr="00A52E31">
        <w:rPr>
          <w:szCs w:val="22"/>
          <w:vertAlign w:val="subscript"/>
        </w:rPr>
        <w:t>t</w:t>
      </w:r>
      <w:r w:rsidRPr="00D86738">
        <w:rPr>
          <w:szCs w:val="22"/>
        </w:rPr>
        <w:t xml:space="preserve"> is the adjusted number of treated pests, Y</w:t>
      </w:r>
      <w:r w:rsidRPr="00A52E31">
        <w:rPr>
          <w:szCs w:val="22"/>
          <w:vertAlign w:val="subscript"/>
        </w:rPr>
        <w:t>n</w:t>
      </w:r>
      <w:r w:rsidRPr="00D86738">
        <w:rPr>
          <w:szCs w:val="22"/>
        </w:rPr>
        <w:t xml:space="preserve"> is the recorded number of treated pests, and X</w:t>
      </w:r>
      <w:r w:rsidRPr="00A52E31">
        <w:rPr>
          <w:szCs w:val="22"/>
          <w:vertAlign w:val="subscript"/>
        </w:rPr>
        <w:t>p</w:t>
      </w:r>
      <w:r w:rsidRPr="00D86738">
        <w:rPr>
          <w:szCs w:val="22"/>
        </w:rPr>
        <w:t xml:space="preserve"> is the proportion of pests surviving in the controls.</w:t>
      </w:r>
    </w:p>
    <w:p w14:paraId="66E915EC" w14:textId="1C442351" w:rsidR="00BC180E" w:rsidRDefault="001D07EB" w:rsidP="00F2498C">
      <w:pPr>
        <w:pStyle w:val="IPPParagraphnumbering"/>
        <w:tabs>
          <w:tab w:val="clear" w:pos="0"/>
        </w:tabs>
        <w:ind w:left="-567" w:firstLine="0"/>
        <w:rPr>
          <w:szCs w:val="22"/>
        </w:rPr>
      </w:pPr>
      <w:r w:rsidRPr="00875DF7">
        <w:rPr>
          <w:szCs w:val="22"/>
        </w:rPr>
        <w:lastRenderedPageBreak/>
        <w:t xml:space="preserve">Table 1 and 2 below are </w:t>
      </w:r>
      <w:r>
        <w:rPr>
          <w:szCs w:val="22"/>
        </w:rPr>
        <w:t xml:space="preserve">examples </w:t>
      </w:r>
      <w:r w:rsidRPr="00875DF7">
        <w:rPr>
          <w:szCs w:val="22"/>
        </w:rPr>
        <w:t>that could be included in future revisions of the guidelines</w:t>
      </w:r>
      <w:r>
        <w:rPr>
          <w:szCs w:val="22"/>
        </w:rPr>
        <w:t>.</w:t>
      </w:r>
    </w:p>
    <w:p w14:paraId="4FB4345A" w14:textId="2A6EC084" w:rsidR="007C1B31" w:rsidRPr="00875DF7" w:rsidRDefault="007C1B31" w:rsidP="00F2498C">
      <w:pPr>
        <w:pStyle w:val="IPPParagraphnumbering"/>
        <w:numPr>
          <w:ilvl w:val="0"/>
          <w:numId w:val="30"/>
        </w:numPr>
        <w:tabs>
          <w:tab w:val="clear" w:pos="0"/>
        </w:tabs>
        <w:ind w:left="-567" w:firstLine="0"/>
        <w:rPr>
          <w:b/>
          <w:bCs/>
          <w:szCs w:val="22"/>
        </w:rPr>
      </w:pPr>
      <w:r w:rsidRPr="00875DF7">
        <w:rPr>
          <w:b/>
          <w:bCs/>
          <w:szCs w:val="22"/>
        </w:rPr>
        <w:t xml:space="preserve">Table </w:t>
      </w:r>
      <w:r w:rsidR="00783CDB" w:rsidRPr="00875DF7">
        <w:rPr>
          <w:b/>
          <w:bCs/>
          <w:szCs w:val="22"/>
        </w:rPr>
        <w:t>1</w:t>
      </w:r>
      <w:r w:rsidRPr="00875DF7">
        <w:rPr>
          <w:b/>
          <w:bCs/>
          <w:szCs w:val="22"/>
        </w:rPr>
        <w:t xml:space="preserve">. </w:t>
      </w:r>
      <w:r w:rsidR="00252C27">
        <w:rPr>
          <w:b/>
          <w:bCs/>
          <w:szCs w:val="22"/>
        </w:rPr>
        <w:t>Calculation of c</w:t>
      </w:r>
      <w:r w:rsidRPr="00875DF7">
        <w:rPr>
          <w:b/>
          <w:bCs/>
          <w:szCs w:val="22"/>
        </w:rPr>
        <w:t xml:space="preserve">ontrol mortality for </w:t>
      </w:r>
      <w:r w:rsidR="00441CA3" w:rsidRPr="00875DF7">
        <w:rPr>
          <w:b/>
          <w:bCs/>
          <w:szCs w:val="22"/>
        </w:rPr>
        <w:t xml:space="preserve">Large Scale </w:t>
      </w:r>
      <w:r w:rsidRPr="00875DF7">
        <w:rPr>
          <w:b/>
          <w:bCs/>
          <w:szCs w:val="22"/>
        </w:rPr>
        <w:t xml:space="preserve">Trials   </w:t>
      </w:r>
    </w:p>
    <w:tbl>
      <w:tblPr>
        <w:tblW w:w="90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097"/>
        <w:gridCol w:w="947"/>
        <w:gridCol w:w="971"/>
        <w:gridCol w:w="1534"/>
        <w:gridCol w:w="1760"/>
        <w:gridCol w:w="1932"/>
      </w:tblGrid>
      <w:tr w:rsidR="00783CDB" w:rsidRPr="007C1B31" w14:paraId="15B5FA53" w14:textId="10353432" w:rsidTr="00875DF7">
        <w:trPr>
          <w:trHeight w:val="677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EEE1" w14:textId="77777777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bookmarkStart w:id="1" w:name="OLE_LINK1"/>
            <w:r w:rsidRPr="007C1B31">
              <w:rPr>
                <w:rFonts w:eastAsia="Times New Roman"/>
                <w:szCs w:val="22"/>
                <w:lang w:eastAsia="en-AU"/>
              </w:rPr>
              <w:t>Trial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088D" w14:textId="77777777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C1B31">
              <w:rPr>
                <w:rFonts w:eastAsia="Times New Roman"/>
                <w:szCs w:val="22"/>
                <w:lang w:eastAsia="en-AU"/>
              </w:rPr>
              <w:t>Number of control fruit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E8C1" w14:textId="5B81B4FD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C1B31">
              <w:rPr>
                <w:rFonts w:eastAsia="Times New Roman"/>
                <w:szCs w:val="22"/>
                <w:lang w:eastAsia="en-AU"/>
              </w:rPr>
              <w:t xml:space="preserve">Number of </w:t>
            </w:r>
            <w:r>
              <w:rPr>
                <w:rFonts w:eastAsia="Times New Roman"/>
                <w:szCs w:val="22"/>
                <w:lang w:eastAsia="en-AU"/>
              </w:rPr>
              <w:t xml:space="preserve">live and dead </w:t>
            </w:r>
            <w:r w:rsidRPr="007C1B31">
              <w:rPr>
                <w:rFonts w:eastAsia="Times New Roman"/>
                <w:szCs w:val="22"/>
                <w:lang w:eastAsia="en-AU"/>
              </w:rPr>
              <w:t>larvae recovered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691" w14:textId="0B11332D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eastAsia="en-AU"/>
              </w:rPr>
            </w:pPr>
            <w:r>
              <w:rPr>
                <w:rFonts w:eastAsia="Times New Roman"/>
                <w:szCs w:val="22"/>
                <w:lang w:eastAsia="en-AU"/>
              </w:rPr>
              <w:t>Total number of larvae recovered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24A9" w14:textId="14B60B87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rFonts w:eastAsia="Times New Roman"/>
                <w:szCs w:val="22"/>
                <w:lang w:eastAsia="en-AU"/>
              </w:rPr>
              <w:t>Proportion of pests surviving in controls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  <w:p w14:paraId="71E91420" w14:textId="3D727E07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4201C3B" w14:textId="19D2C9BE" w:rsidR="00783CDB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eastAsia="en-AU"/>
              </w:rPr>
            </w:pPr>
            <w:r>
              <w:rPr>
                <w:rFonts w:eastAsia="Times New Roman"/>
                <w:szCs w:val="22"/>
                <w:lang w:eastAsia="en-AU"/>
              </w:rPr>
              <w:t xml:space="preserve">Another option is to include a column labelled “Control </w:t>
            </w:r>
            <w:r w:rsidR="008F4885">
              <w:rPr>
                <w:rFonts w:eastAsia="Times New Roman"/>
                <w:szCs w:val="22"/>
                <w:lang w:eastAsia="en-AU"/>
              </w:rPr>
              <w:t>Mortality</w:t>
            </w:r>
            <w:r>
              <w:rPr>
                <w:rFonts w:eastAsia="Times New Roman"/>
                <w:szCs w:val="22"/>
                <w:lang w:eastAsia="en-AU"/>
              </w:rPr>
              <w:t>”</w:t>
            </w:r>
          </w:p>
        </w:tc>
      </w:tr>
      <w:tr w:rsidR="00783CDB" w:rsidRPr="007C1B31" w14:paraId="038E760E" w14:textId="3EE7FADF" w:rsidTr="008F4885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0ECF" w14:textId="77777777" w:rsidR="00783CDB" w:rsidRPr="007C1B31" w:rsidRDefault="00783CDB" w:rsidP="00EE3CD3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C7B6" w14:textId="77777777" w:rsidR="00783CDB" w:rsidRPr="007C1B31" w:rsidRDefault="00783CDB" w:rsidP="00EE3CD3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408C" w14:textId="77777777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C1B31">
              <w:rPr>
                <w:rFonts w:eastAsia="Times New Roman"/>
                <w:szCs w:val="22"/>
                <w:lang w:eastAsia="en-AU"/>
              </w:rPr>
              <w:t>Live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1F5F" w14:textId="77777777" w:rsidR="00783CDB" w:rsidRPr="007C1B31" w:rsidRDefault="00783CDB" w:rsidP="00EE3CD3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C1B31">
              <w:rPr>
                <w:rFonts w:eastAsia="Times New Roman"/>
                <w:szCs w:val="22"/>
                <w:lang w:eastAsia="en-AU"/>
              </w:rPr>
              <w:t>Dead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BA97" w14:textId="77777777" w:rsidR="00783CDB" w:rsidRPr="007C1B31" w:rsidRDefault="00783CDB" w:rsidP="00EE3CD3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863C" w14:textId="2D2D32AC" w:rsidR="00783CDB" w:rsidRPr="007C1B31" w:rsidRDefault="00783CDB" w:rsidP="00EE3CD3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504" w14:textId="7A18F12F" w:rsidR="00783CDB" w:rsidRPr="007C1B31" w:rsidRDefault="008F4885" w:rsidP="008F4885">
            <w:pPr>
              <w:jc w:val="center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rFonts w:eastAsia="Times New Roman"/>
                <w:szCs w:val="22"/>
                <w:lang w:val="en-AU" w:eastAsia="en-AU"/>
              </w:rPr>
              <w:t>Control Mortality (%)</w:t>
            </w:r>
          </w:p>
        </w:tc>
      </w:tr>
      <w:tr w:rsidR="008F4885" w:rsidRPr="007C1B31" w14:paraId="2225650A" w14:textId="041D59A7" w:rsidTr="008F4885">
        <w:trPr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AACA" w14:textId="77777777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C1B31">
              <w:rPr>
                <w:rFonts w:eastAsia="Times New Roman"/>
                <w:szCs w:val="22"/>
                <w:lang w:eastAsia="en-AU"/>
              </w:rPr>
              <w:t>1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C799" w14:textId="134F19CA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510 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059B" w14:textId="40CD3952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3 450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0105" w14:textId="72044DCB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399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1D200" w14:textId="0B90D05A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eastAsia="en-AU"/>
              </w:rPr>
            </w:pPr>
            <w:r>
              <w:rPr>
                <w:color w:val="000000"/>
                <w:szCs w:val="22"/>
              </w:rPr>
              <w:t>3 849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045E" w14:textId="5A68B923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0.896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4FE0F" w14:textId="644583DD" w:rsidR="008F4885" w:rsidRPr="00F2498C" w:rsidRDefault="008F4885" w:rsidP="008F4885">
            <w:pPr>
              <w:jc w:val="center"/>
              <w:textAlignment w:val="baseline"/>
              <w:rPr>
                <w:color w:val="000000"/>
                <w:szCs w:val="22"/>
              </w:rPr>
            </w:pPr>
            <w:r w:rsidRPr="00F2498C">
              <w:rPr>
                <w:color w:val="000000"/>
                <w:szCs w:val="22"/>
              </w:rPr>
              <w:t>10.4</w:t>
            </w:r>
          </w:p>
        </w:tc>
      </w:tr>
      <w:tr w:rsidR="008F4885" w:rsidRPr="007C1B31" w14:paraId="2C4ADE1E" w14:textId="5B936D99" w:rsidTr="008F4885">
        <w:trPr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F0C6" w14:textId="77777777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C1B31">
              <w:rPr>
                <w:rFonts w:eastAsia="Times New Roman"/>
                <w:szCs w:val="22"/>
                <w:lang w:eastAsia="en-AU"/>
              </w:rPr>
              <w:t>2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A1FD" w14:textId="0E8B9538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450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3A62" w14:textId="1C1CE093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2 788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826B" w14:textId="3844C386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410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35F8" w14:textId="4D95D36D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eastAsia="en-AU"/>
              </w:rPr>
            </w:pPr>
            <w:r>
              <w:rPr>
                <w:color w:val="000000"/>
                <w:szCs w:val="22"/>
              </w:rPr>
              <w:t>3 198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FAEC" w14:textId="77772B33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0.872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07301" w14:textId="59E09ABD" w:rsidR="008F4885" w:rsidRPr="00F2498C" w:rsidRDefault="008F4885" w:rsidP="008F4885">
            <w:pPr>
              <w:jc w:val="center"/>
              <w:textAlignment w:val="baseline"/>
              <w:rPr>
                <w:color w:val="000000"/>
                <w:szCs w:val="22"/>
              </w:rPr>
            </w:pPr>
            <w:r w:rsidRPr="00F2498C">
              <w:rPr>
                <w:color w:val="000000"/>
                <w:szCs w:val="22"/>
              </w:rPr>
              <w:t>12.8</w:t>
            </w:r>
          </w:p>
        </w:tc>
      </w:tr>
      <w:tr w:rsidR="008F4885" w:rsidRPr="007C1B31" w14:paraId="394A0E04" w14:textId="5AA8C0D5" w:rsidTr="008F4885">
        <w:trPr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E915" w14:textId="77777777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C1B31">
              <w:rPr>
                <w:rFonts w:eastAsia="Times New Roman"/>
                <w:szCs w:val="22"/>
                <w:lang w:eastAsia="en-AU"/>
              </w:rPr>
              <w:t>3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AFB5" w14:textId="397943B3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480 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8DDE" w14:textId="1AE01C74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2 874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52B1" w14:textId="0564684A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281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99EA" w14:textId="07DCE86C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eastAsia="en-AU"/>
              </w:rPr>
            </w:pPr>
            <w:r>
              <w:rPr>
                <w:color w:val="000000"/>
                <w:szCs w:val="22"/>
              </w:rPr>
              <w:t>3 155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305C" w14:textId="5BB54CAF" w:rsidR="008F4885" w:rsidRPr="007C1B31" w:rsidRDefault="008F4885" w:rsidP="008F4885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color w:val="000000"/>
                <w:szCs w:val="22"/>
              </w:rPr>
              <w:t>0.911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928F" w14:textId="189D1C41" w:rsidR="008F4885" w:rsidRPr="00F2498C" w:rsidRDefault="008F4885" w:rsidP="008F4885">
            <w:pPr>
              <w:jc w:val="center"/>
              <w:textAlignment w:val="baseline"/>
              <w:rPr>
                <w:color w:val="000000"/>
                <w:szCs w:val="22"/>
              </w:rPr>
            </w:pPr>
            <w:r w:rsidRPr="00F2498C">
              <w:rPr>
                <w:color w:val="000000"/>
                <w:szCs w:val="22"/>
              </w:rPr>
              <w:t>8.9</w:t>
            </w:r>
          </w:p>
        </w:tc>
      </w:tr>
      <w:bookmarkEnd w:id="1"/>
    </w:tbl>
    <w:p w14:paraId="2B9A170A" w14:textId="77777777" w:rsidR="00280EF4" w:rsidRDefault="00280EF4" w:rsidP="001D07EB">
      <w:pPr>
        <w:pStyle w:val="IPPParagraphnumbering"/>
        <w:numPr>
          <w:ilvl w:val="0"/>
          <w:numId w:val="0"/>
        </w:numPr>
        <w:rPr>
          <w:szCs w:val="22"/>
        </w:rPr>
      </w:pPr>
    </w:p>
    <w:p w14:paraId="14C74124" w14:textId="3D7D5D17" w:rsidR="00876DBF" w:rsidRPr="001D07EB" w:rsidRDefault="00876DBF" w:rsidP="001D07EB">
      <w:pPr>
        <w:pStyle w:val="IPPParagraphnumbering"/>
        <w:rPr>
          <w:b/>
          <w:bCs/>
          <w:lang w:val="en-AU" w:eastAsia="en-AU"/>
        </w:rPr>
      </w:pPr>
      <w:r w:rsidRPr="001D07EB">
        <w:rPr>
          <w:b/>
          <w:bCs/>
        </w:rPr>
        <w:t>Table</w:t>
      </w:r>
      <w:r w:rsidRPr="001D07EB">
        <w:rPr>
          <w:b/>
          <w:bCs/>
          <w:lang w:val="en-AU" w:eastAsia="en-AU"/>
        </w:rPr>
        <w:t xml:space="preserve"> </w:t>
      </w:r>
      <w:r w:rsidR="00783CDB" w:rsidRPr="001D07EB">
        <w:rPr>
          <w:b/>
          <w:bCs/>
          <w:lang w:val="en-AU" w:eastAsia="en-AU"/>
        </w:rPr>
        <w:t>2</w:t>
      </w:r>
      <w:r w:rsidRPr="001D07EB">
        <w:rPr>
          <w:b/>
          <w:bCs/>
          <w:lang w:val="en-AU" w:eastAsia="en-AU"/>
        </w:rPr>
        <w:t xml:space="preserve">. </w:t>
      </w:r>
      <w:r w:rsidRPr="001D07EB">
        <w:rPr>
          <w:b/>
          <w:bCs/>
        </w:rPr>
        <w:t>Mortality</w:t>
      </w:r>
      <w:r w:rsidRPr="001D07EB">
        <w:rPr>
          <w:b/>
          <w:bCs/>
          <w:lang w:val="en-AU" w:eastAsia="en-AU"/>
        </w:rPr>
        <w:t xml:space="preserve"> of third instar larvae using a treatment schedule of 3.3 °C for 16 consecutive days. </w:t>
      </w:r>
    </w:p>
    <w:tbl>
      <w:tblPr>
        <w:tblW w:w="90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276"/>
        <w:gridCol w:w="1134"/>
        <w:gridCol w:w="1276"/>
        <w:gridCol w:w="1731"/>
        <w:gridCol w:w="1390"/>
        <w:gridCol w:w="1544"/>
      </w:tblGrid>
      <w:tr w:rsidR="00F2498C" w:rsidRPr="00876DBF" w14:paraId="2E329236" w14:textId="77777777" w:rsidTr="00BB142C">
        <w:trPr>
          <w:trHeight w:val="27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BE2C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Trial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6B64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Number of treated fruits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80CB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Number of larvae recovered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1DDE" w14:textId="77777777" w:rsidR="00F2498C" w:rsidRPr="007C1B31" w:rsidRDefault="00F2498C" w:rsidP="00783CDB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>
              <w:rPr>
                <w:rFonts w:eastAsia="Times New Roman"/>
                <w:szCs w:val="22"/>
                <w:lang w:eastAsia="en-AU"/>
              </w:rPr>
              <w:t>Proportion of pests surviving in controls</w:t>
            </w:r>
            <w:r w:rsidRPr="007C1B31">
              <w:rPr>
                <w:rFonts w:eastAsia="Times New Roman"/>
                <w:szCs w:val="22"/>
                <w:lang w:val="en-AU" w:eastAsia="en-AU"/>
              </w:rPr>
              <w:t> </w:t>
            </w:r>
          </w:p>
          <w:p w14:paraId="632F690F" w14:textId="516D65C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5FB5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Number of treated insects adjusted for control mortality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66105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  <w:p w14:paraId="5054CC17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Corrected mortality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  <w:p w14:paraId="6A0A74E0" w14:textId="60266EF0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(lower 95% confidence)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</w:tr>
      <w:tr w:rsidR="00F2498C" w:rsidRPr="00876DBF" w14:paraId="2BCBDD8D" w14:textId="77777777" w:rsidTr="00BB142C">
        <w:trPr>
          <w:trHeight w:val="70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FD7A" w14:textId="77777777" w:rsidR="00F2498C" w:rsidRPr="00876DBF" w:rsidRDefault="00F2498C" w:rsidP="00876DBF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25B0" w14:textId="77777777" w:rsidR="00F2498C" w:rsidRPr="00876DBF" w:rsidRDefault="00F2498C" w:rsidP="00876DBF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87C9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Live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025C" w14:textId="7777777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Dead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632E" w14:textId="77777777" w:rsidR="00F2498C" w:rsidRPr="00876DBF" w:rsidRDefault="00F2498C" w:rsidP="00876DBF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BACC" w14:textId="77777777" w:rsidR="00F2498C" w:rsidRPr="00876DBF" w:rsidRDefault="00F2498C" w:rsidP="00876DBF">
            <w:pPr>
              <w:jc w:val="left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25ED" w14:textId="24C0F727" w:rsidR="00F2498C" w:rsidRPr="00876DBF" w:rsidRDefault="00F2498C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</w:p>
        </w:tc>
      </w:tr>
      <w:tr w:rsidR="000C05E1" w:rsidRPr="00783CDB" w14:paraId="000573F1" w14:textId="77777777" w:rsidTr="00783CDB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25A4" w14:textId="77777777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1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DFFE" w14:textId="074D3907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2 010 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DDD4" w14:textId="3DB94435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DD97" w14:textId="737313AA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11</w:t>
            </w:r>
            <w:r w:rsidR="00783CDB" w:rsidRPr="00783CDB">
              <w:rPr>
                <w:color w:val="000000"/>
                <w:szCs w:val="22"/>
              </w:rPr>
              <w:t xml:space="preserve"> </w:t>
            </w:r>
            <w:r w:rsidRPr="00783CDB">
              <w:rPr>
                <w:color w:val="000000"/>
                <w:szCs w:val="22"/>
              </w:rPr>
              <w:t>420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BFF3" w14:textId="1DA1289A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0.896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9BCE" w14:textId="2E7E12FB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10</w:t>
            </w:r>
            <w:r w:rsidR="00783CDB" w:rsidRPr="00783CDB">
              <w:rPr>
                <w:color w:val="000000"/>
                <w:szCs w:val="22"/>
              </w:rPr>
              <w:t xml:space="preserve"> </w:t>
            </w:r>
            <w:r w:rsidRPr="00783CDB">
              <w:rPr>
                <w:color w:val="000000"/>
                <w:szCs w:val="22"/>
              </w:rPr>
              <w:t>236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EF19" w14:textId="77777777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-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</w:tr>
      <w:tr w:rsidR="000C05E1" w:rsidRPr="00783CDB" w14:paraId="7CCEC6A8" w14:textId="77777777" w:rsidTr="00783CDB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A0B7" w14:textId="77777777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2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8738" w14:textId="6F37B1B9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2 200 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1E9F" w14:textId="7FF09EFE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AB34" w14:textId="20C66888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9</w:t>
            </w:r>
            <w:r w:rsidR="00783CDB" w:rsidRPr="00783CDB">
              <w:rPr>
                <w:color w:val="000000"/>
                <w:szCs w:val="22"/>
              </w:rPr>
              <w:t xml:space="preserve"> </w:t>
            </w:r>
            <w:r w:rsidRPr="00783CDB">
              <w:rPr>
                <w:color w:val="000000"/>
                <w:szCs w:val="22"/>
              </w:rPr>
              <w:t>800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C3E2" w14:textId="3322FEC4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0.872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6E59" w14:textId="35AAF509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8</w:t>
            </w:r>
            <w:r w:rsidR="00783CDB" w:rsidRPr="00783CDB">
              <w:rPr>
                <w:color w:val="000000"/>
                <w:szCs w:val="22"/>
              </w:rPr>
              <w:t xml:space="preserve"> </w:t>
            </w:r>
            <w:r w:rsidRPr="00783CDB">
              <w:rPr>
                <w:color w:val="000000"/>
                <w:szCs w:val="22"/>
              </w:rPr>
              <w:t>544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31D7A" w14:textId="77777777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-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</w:tr>
      <w:tr w:rsidR="000C05E1" w:rsidRPr="00783CDB" w14:paraId="137DEA6B" w14:textId="77777777" w:rsidTr="00783CDB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0641" w14:textId="77777777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szCs w:val="22"/>
                <w:lang w:eastAsia="en-AU"/>
              </w:rPr>
              <w:t>3</w:t>
            </w:r>
            <w:r w:rsidRPr="00876DBF">
              <w:rPr>
                <w:rFonts w:eastAsia="Times New Roman"/>
                <w:szCs w:val="22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C2C2" w14:textId="2531E990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2 200 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4978" w14:textId="75C7803A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54E3" w14:textId="76A4E1F9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12</w:t>
            </w:r>
            <w:r w:rsidR="00783CDB" w:rsidRPr="00783CDB">
              <w:rPr>
                <w:color w:val="000000"/>
                <w:szCs w:val="22"/>
              </w:rPr>
              <w:t xml:space="preserve"> </w:t>
            </w:r>
            <w:r w:rsidRPr="00783CDB">
              <w:rPr>
                <w:color w:val="000000"/>
                <w:szCs w:val="22"/>
              </w:rPr>
              <w:t>427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7D6D" w14:textId="7BD61990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0.911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AD44" w14:textId="7A87298A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783CDB">
              <w:rPr>
                <w:color w:val="000000"/>
                <w:szCs w:val="22"/>
              </w:rPr>
              <w:t>11</w:t>
            </w:r>
            <w:r w:rsidR="00783CDB" w:rsidRPr="00783CDB">
              <w:rPr>
                <w:color w:val="000000"/>
                <w:szCs w:val="22"/>
              </w:rPr>
              <w:t xml:space="preserve"> </w:t>
            </w:r>
            <w:r w:rsidRPr="00783CDB">
              <w:rPr>
                <w:color w:val="000000"/>
                <w:szCs w:val="22"/>
              </w:rPr>
              <w:t>320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3EE69" w14:textId="77777777" w:rsidR="000C05E1" w:rsidRPr="00876DBF" w:rsidRDefault="000C05E1" w:rsidP="000C05E1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color w:val="000000"/>
                <w:szCs w:val="22"/>
                <w:lang w:val="en-AU" w:eastAsia="en-AU"/>
              </w:rPr>
              <w:t>- </w:t>
            </w:r>
          </w:p>
        </w:tc>
      </w:tr>
      <w:tr w:rsidR="00876DBF" w:rsidRPr="00876DBF" w14:paraId="4515961F" w14:textId="77777777" w:rsidTr="00783CDB">
        <w:trPr>
          <w:trHeight w:val="300"/>
        </w:trPr>
        <w:tc>
          <w:tcPr>
            <w:tcW w:w="6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CE28" w14:textId="77777777" w:rsidR="00876DBF" w:rsidRPr="00876DBF" w:rsidRDefault="00876DBF" w:rsidP="00876DBF">
            <w:pPr>
              <w:jc w:val="right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color w:val="000000"/>
                <w:szCs w:val="22"/>
                <w:lang w:val="en-AU" w:eastAsia="en-AU"/>
              </w:rPr>
              <w:t>Cumulative total 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41923" w14:textId="2E519A14" w:rsidR="00783CDB" w:rsidRPr="00783CDB" w:rsidRDefault="00783CDB" w:rsidP="00783CDB">
            <w:pPr>
              <w:jc w:val="center"/>
              <w:rPr>
                <w:rFonts w:eastAsia="Times New Roman"/>
                <w:color w:val="000000"/>
                <w:szCs w:val="22"/>
                <w:lang w:val="en-AU"/>
              </w:rPr>
            </w:pPr>
            <w:r w:rsidRPr="00783CDB">
              <w:rPr>
                <w:color w:val="000000"/>
                <w:szCs w:val="22"/>
              </w:rPr>
              <w:t>30 100</w:t>
            </w:r>
          </w:p>
          <w:p w14:paraId="146FB2B8" w14:textId="39D8AE1F" w:rsidR="00876DBF" w:rsidRPr="00876DBF" w:rsidRDefault="00876DBF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FCAF" w14:textId="6C90CC28" w:rsidR="00876DBF" w:rsidRPr="00876DBF" w:rsidRDefault="00876DBF" w:rsidP="00876DBF">
            <w:pPr>
              <w:jc w:val="center"/>
              <w:textAlignment w:val="baseline"/>
              <w:rPr>
                <w:rFonts w:eastAsia="Times New Roman"/>
                <w:szCs w:val="22"/>
                <w:lang w:val="en-AU" w:eastAsia="en-AU"/>
              </w:rPr>
            </w:pPr>
            <w:r w:rsidRPr="00876DBF">
              <w:rPr>
                <w:rFonts w:eastAsia="Times New Roman"/>
                <w:color w:val="000000" w:themeColor="text1"/>
                <w:szCs w:val="22"/>
                <w:u w:val="single"/>
                <w:lang w:val="en-AU" w:eastAsia="en-AU"/>
              </w:rPr>
              <w:t>99.9</w:t>
            </w:r>
            <w:r w:rsidR="008F4885" w:rsidRPr="008F4885">
              <w:rPr>
                <w:rFonts w:eastAsia="Times New Roman"/>
                <w:color w:val="000000" w:themeColor="text1"/>
                <w:szCs w:val="22"/>
                <w:u w:val="single"/>
                <w:lang w:val="en-AU" w:eastAsia="en-AU"/>
              </w:rPr>
              <w:t>9</w:t>
            </w:r>
          </w:p>
        </w:tc>
      </w:tr>
    </w:tbl>
    <w:p w14:paraId="62AC19F1" w14:textId="77777777" w:rsidR="001D07EB" w:rsidRPr="001D07EB" w:rsidRDefault="001D07EB" w:rsidP="001D07EB">
      <w:pPr>
        <w:pStyle w:val="IPPHeading1"/>
        <w:ind w:left="0" w:firstLine="0"/>
        <w:rPr>
          <w:i/>
          <w:iCs/>
          <w:color w:val="000000"/>
        </w:rPr>
      </w:pPr>
      <w:r>
        <w:t>Recommendation</w:t>
      </w:r>
    </w:p>
    <w:p w14:paraId="4216A9F4" w14:textId="77777777" w:rsidR="005F7337" w:rsidRPr="005F7337" w:rsidRDefault="00B01128" w:rsidP="00695A0D">
      <w:pPr>
        <w:pStyle w:val="IPPParagraphnumbering"/>
        <w:numPr>
          <w:ilvl w:val="0"/>
          <w:numId w:val="30"/>
        </w:numPr>
        <w:rPr>
          <w:i/>
          <w:iCs/>
          <w:color w:val="000000"/>
          <w:szCs w:val="22"/>
        </w:rPr>
      </w:pPr>
      <w:r w:rsidRPr="00F2498C">
        <w:rPr>
          <w:szCs w:val="22"/>
        </w:rPr>
        <w:t xml:space="preserve">The TPPT is invited </w:t>
      </w:r>
      <w:r w:rsidR="00F2498C" w:rsidRPr="00F2498C">
        <w:rPr>
          <w:szCs w:val="22"/>
        </w:rPr>
        <w:t>to</w:t>
      </w:r>
      <w:r w:rsidR="005F7337">
        <w:rPr>
          <w:szCs w:val="22"/>
        </w:rPr>
        <w:t>:</w:t>
      </w:r>
    </w:p>
    <w:p w14:paraId="42A39603" w14:textId="0337D4B2" w:rsidR="00625A55" w:rsidRPr="0038750C" w:rsidRDefault="00F2498C" w:rsidP="0038750C">
      <w:pPr>
        <w:pStyle w:val="IPPNumberedList"/>
        <w:rPr>
          <w:i/>
          <w:iCs/>
          <w:color w:val="000000"/>
        </w:rPr>
      </w:pPr>
      <w:r w:rsidRPr="00F2498C">
        <w:rPr>
          <w:i/>
          <w:iCs/>
        </w:rPr>
        <w:t>Provide</w:t>
      </w:r>
      <w:r w:rsidR="00390725" w:rsidRPr="00F2498C">
        <w:rPr>
          <w:i/>
          <w:iCs/>
        </w:rPr>
        <w:t xml:space="preserve"> feedback</w:t>
      </w:r>
      <w:r w:rsidR="00390725" w:rsidRPr="00F2498C">
        <w:t xml:space="preserve"> o</w:t>
      </w:r>
      <w:r w:rsidRPr="00F2498C">
        <w:t xml:space="preserve">n recommended </w:t>
      </w:r>
      <w:r w:rsidR="00390725" w:rsidRPr="00F2498C">
        <w:t>changes to the PMRG guidelines</w:t>
      </w:r>
      <w:r w:rsidR="00642DAD">
        <w:t xml:space="preserve">. Changes to the guidelines can only be completed after </w:t>
      </w:r>
      <w:r>
        <w:t>Agenda item 8.2 is endorsed</w:t>
      </w:r>
      <w:r w:rsidR="00642DAD">
        <w:t xml:space="preserve"> and text in </w:t>
      </w:r>
      <w:r w:rsidR="00642DAD" w:rsidRPr="00642DAD">
        <w:t xml:space="preserve">the </w:t>
      </w:r>
      <w:r w:rsidR="00642DAD" w:rsidRPr="00642DAD">
        <w:rPr>
          <w:rFonts w:eastAsia="Calibri"/>
          <w:lang w:val="en-NZ"/>
        </w:rPr>
        <w:t xml:space="preserve">IPPC Procedures Manual </w:t>
      </w:r>
      <w:r w:rsidR="00642DAD">
        <w:rPr>
          <w:rFonts w:eastAsia="Calibri"/>
          <w:lang w:val="en-NZ"/>
        </w:rPr>
        <w:t xml:space="preserve">is </w:t>
      </w:r>
      <w:r w:rsidR="007F23EB">
        <w:rPr>
          <w:rFonts w:eastAsia="Calibri"/>
          <w:lang w:val="en-NZ"/>
        </w:rPr>
        <w:t>finalised</w:t>
      </w:r>
      <w:r w:rsidR="00642DAD">
        <w:rPr>
          <w:rFonts w:eastAsia="Calibri"/>
          <w:lang w:val="en-NZ"/>
        </w:rPr>
        <w:t xml:space="preserve">. </w:t>
      </w:r>
    </w:p>
    <w:sectPr w:rsidR="00625A55" w:rsidRPr="0038750C" w:rsidSect="001D07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559" w:right="1418" w:bottom="1418" w:left="1418" w:header="850" w:footer="85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71E3B" w14:textId="77777777" w:rsidR="008525AD" w:rsidRDefault="008525AD" w:rsidP="003D3477">
      <w:r>
        <w:separator/>
      </w:r>
    </w:p>
  </w:endnote>
  <w:endnote w:type="continuationSeparator" w:id="0">
    <w:p w14:paraId="7F33E8FE" w14:textId="77777777" w:rsidR="008525AD" w:rsidRDefault="008525AD" w:rsidP="003D3477">
      <w:r>
        <w:continuationSeparator/>
      </w:r>
    </w:p>
  </w:endnote>
  <w:endnote w:type="continuationNotice" w:id="1">
    <w:p w14:paraId="5B403033" w14:textId="77777777" w:rsidR="008525AD" w:rsidRDefault="008525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A576" w14:textId="77777777" w:rsidR="005E7FCB" w:rsidRDefault="005E7FCB" w:rsidP="005E7FCB">
    <w:pPr>
      <w:pStyle w:val="IPPFooter"/>
    </w:pPr>
    <w:r w:rsidRPr="004F642D">
      <w:t xml:space="preserve">Page </w:t>
    </w:r>
    <w:r w:rsidRPr="004F642D">
      <w:fldChar w:fldCharType="begin"/>
    </w:r>
    <w:r w:rsidRPr="004F642D">
      <w:instrText xml:space="preserve"> PAGE </w:instrText>
    </w:r>
    <w:r w:rsidRPr="004F642D">
      <w:fldChar w:fldCharType="separate"/>
    </w:r>
    <w:r w:rsidR="0067566F">
      <w:rPr>
        <w:noProof/>
      </w:rPr>
      <w:t>2</w:t>
    </w:r>
    <w:r w:rsidRPr="004F642D">
      <w:fldChar w:fldCharType="end"/>
    </w:r>
    <w:r w:rsidRPr="004F642D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67566F">
      <w:rPr>
        <w:noProof/>
      </w:rPr>
      <w:t>2</w:t>
    </w:r>
    <w:r w:rsidR="00E40A4C">
      <w:rPr>
        <w:noProof/>
      </w:rPr>
      <w:fldChar w:fldCharType="end"/>
    </w:r>
    <w:r w:rsidRPr="004F642D">
      <w:tab/>
      <w:t>International Plant Protection Conventio</w:t>
    </w:r>
    <w:r>
      <w:t>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C112" w14:textId="77926409" w:rsidR="00A8423E" w:rsidRDefault="00826ED2" w:rsidP="00A8423E">
    <w:pPr>
      <w:pStyle w:val="IPPFooter"/>
    </w:pPr>
    <w:r w:rsidRPr="004F642D">
      <w:t>International Plant Protection Conventio</w:t>
    </w:r>
    <w:r>
      <w:t>n</w:t>
    </w:r>
    <w:r>
      <w:tab/>
    </w:r>
    <w:r w:rsidRPr="004F642D">
      <w:t xml:space="preserve"> </w:t>
    </w:r>
    <w:r w:rsidR="00A8423E" w:rsidRPr="004F642D">
      <w:t xml:space="preserve">Page </w:t>
    </w:r>
    <w:r w:rsidR="00A8423E" w:rsidRPr="004F642D">
      <w:fldChar w:fldCharType="begin"/>
    </w:r>
    <w:r w:rsidR="00A8423E" w:rsidRPr="004F642D">
      <w:instrText xml:space="preserve"> PAGE </w:instrText>
    </w:r>
    <w:r w:rsidR="00A8423E" w:rsidRPr="004F642D">
      <w:fldChar w:fldCharType="separate"/>
    </w:r>
    <w:r w:rsidR="00E25C44">
      <w:rPr>
        <w:noProof/>
      </w:rPr>
      <w:t>3</w:t>
    </w:r>
    <w:r w:rsidR="00A8423E" w:rsidRPr="004F642D">
      <w:fldChar w:fldCharType="end"/>
    </w:r>
    <w:r w:rsidR="00A8423E" w:rsidRPr="004F642D">
      <w:t xml:space="preserve"> of </w:t>
    </w:r>
    <w:r w:rsidR="00A8423E">
      <w:rPr>
        <w:noProof/>
      </w:rPr>
      <w:fldChar w:fldCharType="begin"/>
    </w:r>
    <w:r w:rsidR="00A8423E">
      <w:rPr>
        <w:noProof/>
      </w:rPr>
      <w:instrText xml:space="preserve"> NUMPAGES  </w:instrText>
    </w:r>
    <w:r w:rsidR="00A8423E">
      <w:rPr>
        <w:noProof/>
      </w:rPr>
      <w:fldChar w:fldCharType="separate"/>
    </w:r>
    <w:r w:rsidR="00E25C44">
      <w:rPr>
        <w:noProof/>
      </w:rPr>
      <w:t>3</w:t>
    </w:r>
    <w:r w:rsidR="00A8423E">
      <w:rPr>
        <w:noProof/>
      </w:rPr>
      <w:fldChar w:fldCharType="end"/>
    </w:r>
  </w:p>
  <w:p w14:paraId="5C9C8782" w14:textId="77777777" w:rsidR="00A8423E" w:rsidRDefault="00A84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47FD" w14:textId="77777777" w:rsidR="005E7FCB" w:rsidRDefault="005E7FCB" w:rsidP="005E7FCB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67566F">
      <w:rPr>
        <w:noProof/>
      </w:rPr>
      <w:t>1</w:t>
    </w:r>
    <w:r w:rsidRPr="0046265B">
      <w:fldChar w:fldCharType="end"/>
    </w:r>
    <w:r w:rsidRPr="0046265B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67566F">
      <w:rPr>
        <w:noProof/>
      </w:rPr>
      <w:t>2</w:t>
    </w:r>
    <w:r w:rsidR="00E40A4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EC0C4" w14:textId="77777777" w:rsidR="008525AD" w:rsidRDefault="008525AD" w:rsidP="003D3477">
      <w:r>
        <w:separator/>
      </w:r>
    </w:p>
  </w:footnote>
  <w:footnote w:type="continuationSeparator" w:id="0">
    <w:p w14:paraId="4E68B7CA" w14:textId="77777777" w:rsidR="008525AD" w:rsidRDefault="008525AD" w:rsidP="003D3477">
      <w:r>
        <w:continuationSeparator/>
      </w:r>
    </w:p>
  </w:footnote>
  <w:footnote w:type="continuationNotice" w:id="1">
    <w:p w14:paraId="49F9BF60" w14:textId="77777777" w:rsidR="008525AD" w:rsidRDefault="008525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0A22" w14:textId="4E199CFA" w:rsidR="005E7FCB" w:rsidRPr="001D07EB" w:rsidRDefault="001D07EB" w:rsidP="001D07EB">
    <w:pPr>
      <w:pStyle w:val="IPPHeader"/>
    </w:pPr>
    <w:r w:rsidRPr="001D07EB">
      <w:t>2</w:t>
    </w:r>
    <w:r w:rsidR="00FF56BF">
      <w:t>5</w:t>
    </w:r>
    <w:r w:rsidR="0008641D" w:rsidRPr="001D07EB">
      <w:t>_TPPT_20</w:t>
    </w:r>
    <w:r w:rsidR="00194A78" w:rsidRPr="001D07EB">
      <w:rPr>
        <w:rFonts w:hint="eastAsia"/>
      </w:rPr>
      <w:t>24</w:t>
    </w:r>
    <w:r w:rsidR="0008641D" w:rsidRPr="001D07EB">
      <w:t>_</w:t>
    </w:r>
    <w:r w:rsidR="00194A78" w:rsidRPr="001D07EB">
      <w:rPr>
        <w:rFonts w:hint="eastAsia"/>
      </w:rPr>
      <w:t>Jun</w:t>
    </w:r>
    <w:r w:rsidR="0008641D" w:rsidRPr="001D07EB">
      <w:t xml:space="preserve"> (</w:t>
    </w:r>
    <w:r w:rsidR="00FD4402">
      <w:t>8.1</w:t>
    </w:r>
    <w:r w:rsidR="0008641D" w:rsidRPr="001D07EB">
      <w:t>)</w:t>
    </w:r>
    <w:r w:rsidR="0008641D" w:rsidRPr="001D07EB">
      <w:tab/>
    </w:r>
    <w:r w:rsidRPr="001D07EB">
      <w:t>Efficacy calculation method – Update on draft amendment to PMRG guidelines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B858" w14:textId="2E2E02DB" w:rsidR="00A8423E" w:rsidRPr="00A8423E" w:rsidRDefault="00A8423E" w:rsidP="00A84181">
    <w:pPr>
      <w:pStyle w:val="IPPHeader"/>
      <w:spacing w:before="60" w:after="60"/>
      <w:rPr>
        <w:lang w:val="fr-FR"/>
      </w:rPr>
    </w:pPr>
    <w:r w:rsidRPr="003A1E87">
      <w:rPr>
        <w:rFonts w:cs="Arial"/>
        <w:szCs w:val="18"/>
      </w:rPr>
      <w:t xml:space="preserve">Treatment leads </w:t>
    </w:r>
    <w:r>
      <w:rPr>
        <w:rFonts w:cs="Arial"/>
        <w:szCs w:val="18"/>
      </w:rPr>
      <w:t>notes</w:t>
    </w:r>
    <w:r w:rsidRPr="003A1E87">
      <w:rPr>
        <w:rFonts w:cs="Arial"/>
        <w:szCs w:val="18"/>
      </w:rPr>
      <w:t>: 2017-01</w:t>
    </w:r>
    <w:r>
      <w:rPr>
        <w:rFonts w:cs="Arial"/>
        <w:szCs w:val="18"/>
      </w:rPr>
      <w:t>9</w:t>
    </w:r>
    <w:r w:rsidR="00826ED2">
      <w:rPr>
        <w:rFonts w:cs="Arial"/>
        <w:szCs w:val="18"/>
      </w:rPr>
      <w:tab/>
    </w:r>
    <w:r w:rsidR="00826ED2">
      <w:rPr>
        <w:szCs w:val="18"/>
      </w:rPr>
      <w:t>03_TPPT_2019_Feb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B6EB" w14:textId="164A01E3" w:rsidR="005E7FCB" w:rsidRPr="00422C43" w:rsidRDefault="00285ADF" w:rsidP="00422C43">
    <w:pPr>
      <w:pStyle w:val="IPPHeader"/>
      <w:spacing w:before="60" w:after="60"/>
      <w:rPr>
        <w:i/>
        <w:szCs w:val="18"/>
        <w:lang w:val="fr-FR"/>
      </w:rPr>
    </w:pPr>
    <w:r>
      <w:rPr>
        <w:noProof/>
        <w:lang w:eastAsia="ja-JP"/>
      </w:rPr>
      <w:drawing>
        <wp:anchor distT="0" distB="0" distL="114300" distR="114300" simplePos="0" relativeHeight="251657216" behindDoc="0" locked="0" layoutInCell="1" allowOverlap="1" wp14:anchorId="4F4C79D2" wp14:editId="7E19DFAD">
          <wp:simplePos x="0" y="0"/>
          <wp:positionH relativeFrom="column">
            <wp:posOffset>-803910</wp:posOffset>
          </wp:positionH>
          <wp:positionV relativeFrom="paragraph">
            <wp:posOffset>24130</wp:posOffset>
          </wp:positionV>
          <wp:extent cx="630555" cy="325755"/>
          <wp:effectExtent l="0" t="0" r="0" b="0"/>
          <wp:wrapSquare wrapText="bothSides"/>
          <wp:docPr id="1110508105" name="Picture 111050810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55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7FCB">
      <w:rPr>
        <w:noProof/>
        <w:lang w:eastAsia="ja-JP"/>
      </w:rPr>
      <w:drawing>
        <wp:anchor distT="0" distB="0" distL="114300" distR="114300" simplePos="0" relativeHeight="251661312" behindDoc="0" locked="0" layoutInCell="1" allowOverlap="0" wp14:anchorId="4194B455" wp14:editId="3FD06A5E">
          <wp:simplePos x="0" y="0"/>
          <wp:positionH relativeFrom="page">
            <wp:posOffset>8255</wp:posOffset>
          </wp:positionH>
          <wp:positionV relativeFrom="margin">
            <wp:posOffset>-990600</wp:posOffset>
          </wp:positionV>
          <wp:extent cx="7572375" cy="462915"/>
          <wp:effectExtent l="0" t="0" r="9525" b="0"/>
          <wp:wrapNone/>
          <wp:docPr id="244027722" name="Picture 2440277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7FCB" w:rsidRPr="00D32D38">
      <w:rPr>
        <w:szCs w:val="18"/>
      </w:rPr>
      <w:t>International Plant Protection Convention</w:t>
    </w:r>
    <w:r w:rsidR="005E7FCB">
      <w:rPr>
        <w:szCs w:val="18"/>
      </w:rPr>
      <w:tab/>
    </w:r>
    <w:r w:rsidR="00700143" w:rsidRPr="00390725">
      <w:rPr>
        <w:szCs w:val="18"/>
      </w:rPr>
      <w:t>2</w:t>
    </w:r>
    <w:r w:rsidR="00FF56BF">
      <w:rPr>
        <w:szCs w:val="18"/>
      </w:rPr>
      <w:t>5</w:t>
    </w:r>
    <w:r w:rsidR="005E7FCB" w:rsidRPr="00390725">
      <w:rPr>
        <w:szCs w:val="18"/>
      </w:rPr>
      <w:t>_TPPT_20</w:t>
    </w:r>
    <w:r w:rsidR="00B27017" w:rsidRPr="00390725">
      <w:rPr>
        <w:rFonts w:hint="eastAsia"/>
        <w:szCs w:val="18"/>
        <w:lang w:eastAsia="ja-JP"/>
      </w:rPr>
      <w:t>24</w:t>
    </w:r>
    <w:r w:rsidR="005E7FCB" w:rsidRPr="00390725">
      <w:rPr>
        <w:szCs w:val="18"/>
      </w:rPr>
      <w:t>_</w:t>
    </w:r>
    <w:r w:rsidR="00B27017" w:rsidRPr="00390725">
      <w:rPr>
        <w:rFonts w:hint="eastAsia"/>
        <w:szCs w:val="18"/>
        <w:lang w:eastAsia="ja-JP"/>
      </w:rPr>
      <w:t>Jun</w:t>
    </w:r>
    <w:r w:rsidR="00E40A25" w:rsidRPr="00390725">
      <w:rPr>
        <w:szCs w:val="18"/>
        <w:lang w:eastAsia="ja-JP"/>
      </w:rPr>
      <w:br/>
    </w:r>
    <w:r w:rsidR="00390725" w:rsidRPr="00390725">
      <w:rPr>
        <w:i/>
        <w:lang w:val="en-GB"/>
      </w:rPr>
      <w:t xml:space="preserve">Efficacy calculation method – Update on draft amendment to PMRG guidelines </w:t>
    </w:r>
    <w:r w:rsidR="00390725" w:rsidRPr="00390725">
      <w:rPr>
        <w:i/>
        <w:lang w:val="en-GB"/>
      </w:rPr>
      <w:tab/>
    </w:r>
    <w:r w:rsidR="005E7FCB" w:rsidRPr="00390725">
      <w:rPr>
        <w:i/>
        <w:iCs/>
        <w:szCs w:val="18"/>
      </w:rPr>
      <w:t>Agenda item:</w:t>
    </w:r>
    <w:r w:rsidR="00390725" w:rsidRPr="00390725">
      <w:rPr>
        <w:i/>
        <w:iCs/>
        <w:szCs w:val="18"/>
      </w:rPr>
      <w:t xml:space="preserve"> 8.1</w:t>
    </w:r>
    <w:r w:rsidR="005E7FCB">
      <w:rPr>
        <w:i/>
        <w:iCs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35899"/>
    <w:multiLevelType w:val="hybridMultilevel"/>
    <w:tmpl w:val="3E084538"/>
    <w:lvl w:ilvl="0" w:tplc="DBEA4C30">
      <w:start w:val="1"/>
      <w:numFmt w:val="decimal"/>
      <w:lvlText w:val="%1)"/>
      <w:lvlJc w:val="left"/>
      <w:pPr>
        <w:ind w:left="720" w:hanging="360"/>
      </w:pPr>
    </w:lvl>
    <w:lvl w:ilvl="1" w:tplc="20D26C0A">
      <w:start w:val="1"/>
      <w:numFmt w:val="decimal"/>
      <w:lvlText w:val="%2)"/>
      <w:lvlJc w:val="left"/>
      <w:pPr>
        <w:ind w:left="720" w:hanging="360"/>
      </w:pPr>
    </w:lvl>
    <w:lvl w:ilvl="2" w:tplc="37F63546">
      <w:start w:val="1"/>
      <w:numFmt w:val="decimal"/>
      <w:lvlText w:val="%3)"/>
      <w:lvlJc w:val="left"/>
      <w:pPr>
        <w:ind w:left="720" w:hanging="360"/>
      </w:pPr>
    </w:lvl>
    <w:lvl w:ilvl="3" w:tplc="1C44E548">
      <w:start w:val="1"/>
      <w:numFmt w:val="decimal"/>
      <w:lvlText w:val="%4)"/>
      <w:lvlJc w:val="left"/>
      <w:pPr>
        <w:ind w:left="720" w:hanging="360"/>
      </w:pPr>
    </w:lvl>
    <w:lvl w:ilvl="4" w:tplc="BED0C552">
      <w:start w:val="1"/>
      <w:numFmt w:val="decimal"/>
      <w:lvlText w:val="%5)"/>
      <w:lvlJc w:val="left"/>
      <w:pPr>
        <w:ind w:left="720" w:hanging="360"/>
      </w:pPr>
    </w:lvl>
    <w:lvl w:ilvl="5" w:tplc="7FE84DFE">
      <w:start w:val="1"/>
      <w:numFmt w:val="decimal"/>
      <w:lvlText w:val="%6)"/>
      <w:lvlJc w:val="left"/>
      <w:pPr>
        <w:ind w:left="720" w:hanging="360"/>
      </w:pPr>
    </w:lvl>
    <w:lvl w:ilvl="6" w:tplc="65CCCE06">
      <w:start w:val="1"/>
      <w:numFmt w:val="decimal"/>
      <w:lvlText w:val="%7)"/>
      <w:lvlJc w:val="left"/>
      <w:pPr>
        <w:ind w:left="720" w:hanging="360"/>
      </w:pPr>
    </w:lvl>
    <w:lvl w:ilvl="7" w:tplc="5C8608B0">
      <w:start w:val="1"/>
      <w:numFmt w:val="decimal"/>
      <w:lvlText w:val="%8)"/>
      <w:lvlJc w:val="left"/>
      <w:pPr>
        <w:ind w:left="720" w:hanging="360"/>
      </w:pPr>
    </w:lvl>
    <w:lvl w:ilvl="8" w:tplc="BE181508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96C03"/>
    <w:multiLevelType w:val="hybridMultilevel"/>
    <w:tmpl w:val="DD140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D70E73"/>
    <w:multiLevelType w:val="hybridMultilevel"/>
    <w:tmpl w:val="1C485EBC"/>
    <w:lvl w:ilvl="0" w:tplc="B3AEC21C">
      <w:start w:val="1"/>
      <w:numFmt w:val="decimal"/>
      <w:lvlText w:val="%1)"/>
      <w:lvlJc w:val="left"/>
      <w:pPr>
        <w:ind w:left="1020" w:hanging="360"/>
      </w:pPr>
    </w:lvl>
    <w:lvl w:ilvl="1" w:tplc="3B8E39E8">
      <w:start w:val="1"/>
      <w:numFmt w:val="decimal"/>
      <w:lvlText w:val="%2)"/>
      <w:lvlJc w:val="left"/>
      <w:pPr>
        <w:ind w:left="1020" w:hanging="360"/>
      </w:pPr>
    </w:lvl>
    <w:lvl w:ilvl="2" w:tplc="01F4251A">
      <w:start w:val="1"/>
      <w:numFmt w:val="decimal"/>
      <w:lvlText w:val="%3)"/>
      <w:lvlJc w:val="left"/>
      <w:pPr>
        <w:ind w:left="1020" w:hanging="360"/>
      </w:pPr>
    </w:lvl>
    <w:lvl w:ilvl="3" w:tplc="99083838">
      <w:start w:val="1"/>
      <w:numFmt w:val="decimal"/>
      <w:lvlText w:val="%4)"/>
      <w:lvlJc w:val="left"/>
      <w:pPr>
        <w:ind w:left="1020" w:hanging="360"/>
      </w:pPr>
    </w:lvl>
    <w:lvl w:ilvl="4" w:tplc="1F2679D2">
      <w:start w:val="1"/>
      <w:numFmt w:val="decimal"/>
      <w:lvlText w:val="%5)"/>
      <w:lvlJc w:val="left"/>
      <w:pPr>
        <w:ind w:left="1020" w:hanging="360"/>
      </w:pPr>
    </w:lvl>
    <w:lvl w:ilvl="5" w:tplc="0874BE6E">
      <w:start w:val="1"/>
      <w:numFmt w:val="decimal"/>
      <w:lvlText w:val="%6)"/>
      <w:lvlJc w:val="left"/>
      <w:pPr>
        <w:ind w:left="1020" w:hanging="360"/>
      </w:pPr>
    </w:lvl>
    <w:lvl w:ilvl="6" w:tplc="0D7C98BE">
      <w:start w:val="1"/>
      <w:numFmt w:val="decimal"/>
      <w:lvlText w:val="%7)"/>
      <w:lvlJc w:val="left"/>
      <w:pPr>
        <w:ind w:left="1020" w:hanging="360"/>
      </w:pPr>
    </w:lvl>
    <w:lvl w:ilvl="7" w:tplc="4662A022">
      <w:start w:val="1"/>
      <w:numFmt w:val="decimal"/>
      <w:lvlText w:val="%8)"/>
      <w:lvlJc w:val="left"/>
      <w:pPr>
        <w:ind w:left="1020" w:hanging="360"/>
      </w:pPr>
    </w:lvl>
    <w:lvl w:ilvl="8" w:tplc="A4BC418C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52F7223A"/>
    <w:multiLevelType w:val="hybridMultilevel"/>
    <w:tmpl w:val="9A7AC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31D9D"/>
    <w:multiLevelType w:val="hybridMultilevel"/>
    <w:tmpl w:val="84DC7FC0"/>
    <w:lvl w:ilvl="0" w:tplc="29AC0BA8">
      <w:start w:val="1"/>
      <w:numFmt w:val="decimal"/>
      <w:lvlText w:val="(%1)"/>
      <w:lvlJc w:val="left"/>
      <w:pPr>
        <w:ind w:left="360" w:hanging="360"/>
      </w:pPr>
      <w:rPr>
        <w:rFonts w:ascii="MS Mincho" w:eastAsia="MS Mincho" w:hAnsi="MS Mincho" w:hint="default"/>
        <w:i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0190310">
    <w:abstractNumId w:val="12"/>
  </w:num>
  <w:num w:numId="2" w16cid:durableId="1418558116">
    <w:abstractNumId w:val="2"/>
  </w:num>
  <w:num w:numId="3" w16cid:durableId="1790662690">
    <w:abstractNumId w:val="1"/>
  </w:num>
  <w:num w:numId="4" w16cid:durableId="1427002545">
    <w:abstractNumId w:val="4"/>
  </w:num>
  <w:num w:numId="5" w16cid:durableId="1178735871">
    <w:abstractNumId w:val="14"/>
  </w:num>
  <w:num w:numId="6" w16cid:durableId="191040918">
    <w:abstractNumId w:val="11"/>
  </w:num>
  <w:num w:numId="7" w16cid:durableId="1466116407">
    <w:abstractNumId w:val="5"/>
  </w:num>
  <w:num w:numId="8" w16cid:durableId="1659772856">
    <w:abstractNumId w:val="16"/>
  </w:num>
  <w:num w:numId="9" w16cid:durableId="1257052478">
    <w:abstractNumId w:val="3"/>
  </w:num>
  <w:num w:numId="10" w16cid:durableId="6452072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 w16cid:durableId="71146315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187648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97572210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78507800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934639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426535072">
    <w:abstractNumId w:val="0"/>
  </w:num>
  <w:num w:numId="17" w16cid:durableId="413362429">
    <w:abstractNumId w:val="7"/>
  </w:num>
  <w:num w:numId="18" w16cid:durableId="831141264">
    <w:abstractNumId w:val="13"/>
  </w:num>
  <w:num w:numId="19" w16cid:durableId="1993868088">
    <w:abstractNumId w:val="0"/>
    <w:lvlOverride w:ilvl="0">
      <w:startOverride w:val="1"/>
    </w:lvlOverride>
  </w:num>
  <w:num w:numId="20" w16cid:durableId="1847859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005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9545446">
    <w:abstractNumId w:val="15"/>
  </w:num>
  <w:num w:numId="23" w16cid:durableId="635910587">
    <w:abstractNumId w:val="8"/>
  </w:num>
  <w:num w:numId="24" w16cid:durableId="850333524">
    <w:abstractNumId w:val="10"/>
  </w:num>
  <w:num w:numId="25" w16cid:durableId="110889038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US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142318767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2">
      <w:lvl w:ilvl="2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3">
      <w:lvl w:ilvl="3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4">
      <w:lvl w:ilvl="4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5">
      <w:lvl w:ilvl="5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6">
      <w:lvl w:ilvl="6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7">
      <w:lvl w:ilvl="7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8">
      <w:lvl w:ilvl="8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</w:num>
  <w:num w:numId="27" w16cid:durableId="12184450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1941256470">
    <w:abstractNumId w:val="9"/>
  </w:num>
  <w:num w:numId="29" w16cid:durableId="314188523">
    <w:abstractNumId w:val="6"/>
  </w:num>
  <w:num w:numId="30" w16cid:durableId="153951505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GB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 w16cid:durableId="208282298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</w:num>
  <w:num w:numId="32" w16cid:durableId="21385973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 w16cid:durableId="170278394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 w16cid:durableId="19196336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 w16cid:durableId="143478095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12019343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72017560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 w16cid:durableId="112711855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 w16cid:durableId="8958909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725509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cumentProtection w:edit="forms" w:enforcement="0"/>
  <w:defaultTabStop w:val="720"/>
  <w:evenAndOddHeaders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A0"/>
    <w:rsid w:val="00002717"/>
    <w:rsid w:val="00005313"/>
    <w:rsid w:val="000165C1"/>
    <w:rsid w:val="00017590"/>
    <w:rsid w:val="00022659"/>
    <w:rsid w:val="000354A5"/>
    <w:rsid w:val="0004222F"/>
    <w:rsid w:val="00043D4F"/>
    <w:rsid w:val="00047DC6"/>
    <w:rsid w:val="00050E2E"/>
    <w:rsid w:val="000510DD"/>
    <w:rsid w:val="00053122"/>
    <w:rsid w:val="0005535A"/>
    <w:rsid w:val="0006377B"/>
    <w:rsid w:val="00067252"/>
    <w:rsid w:val="00067CDF"/>
    <w:rsid w:val="00074597"/>
    <w:rsid w:val="0008641D"/>
    <w:rsid w:val="000A04B9"/>
    <w:rsid w:val="000A31A5"/>
    <w:rsid w:val="000A7B1F"/>
    <w:rsid w:val="000C05E1"/>
    <w:rsid w:val="000C1404"/>
    <w:rsid w:val="000C1FDF"/>
    <w:rsid w:val="000C2A83"/>
    <w:rsid w:val="000C4D2C"/>
    <w:rsid w:val="000C794F"/>
    <w:rsid w:val="000D20CA"/>
    <w:rsid w:val="000D244B"/>
    <w:rsid w:val="000D43DC"/>
    <w:rsid w:val="000E1B95"/>
    <w:rsid w:val="000E4B10"/>
    <w:rsid w:val="000F54F1"/>
    <w:rsid w:val="000F5EE4"/>
    <w:rsid w:val="000F7EB3"/>
    <w:rsid w:val="00101D0F"/>
    <w:rsid w:val="0011686E"/>
    <w:rsid w:val="0012175B"/>
    <w:rsid w:val="001250B9"/>
    <w:rsid w:val="0012577D"/>
    <w:rsid w:val="00133157"/>
    <w:rsid w:val="0014276A"/>
    <w:rsid w:val="001447B6"/>
    <w:rsid w:val="001507DB"/>
    <w:rsid w:val="00171C34"/>
    <w:rsid w:val="0017202E"/>
    <w:rsid w:val="00172665"/>
    <w:rsid w:val="0017289F"/>
    <w:rsid w:val="00190E46"/>
    <w:rsid w:val="00192AA7"/>
    <w:rsid w:val="00194A78"/>
    <w:rsid w:val="001B49D7"/>
    <w:rsid w:val="001B6B64"/>
    <w:rsid w:val="001C1141"/>
    <w:rsid w:val="001C2947"/>
    <w:rsid w:val="001C3FB9"/>
    <w:rsid w:val="001D03B6"/>
    <w:rsid w:val="001D07EB"/>
    <w:rsid w:val="001D3D75"/>
    <w:rsid w:val="001D53C7"/>
    <w:rsid w:val="001D5A76"/>
    <w:rsid w:val="001E0C69"/>
    <w:rsid w:val="001E1173"/>
    <w:rsid w:val="001F1EC0"/>
    <w:rsid w:val="001F231F"/>
    <w:rsid w:val="001F60A4"/>
    <w:rsid w:val="00202246"/>
    <w:rsid w:val="00203156"/>
    <w:rsid w:val="002044AD"/>
    <w:rsid w:val="0021130C"/>
    <w:rsid w:val="00212088"/>
    <w:rsid w:val="002144EB"/>
    <w:rsid w:val="002149FE"/>
    <w:rsid w:val="0021707E"/>
    <w:rsid w:val="00224DF8"/>
    <w:rsid w:val="00227861"/>
    <w:rsid w:val="0023280C"/>
    <w:rsid w:val="0023415D"/>
    <w:rsid w:val="00234B45"/>
    <w:rsid w:val="00236031"/>
    <w:rsid w:val="00237412"/>
    <w:rsid w:val="00243395"/>
    <w:rsid w:val="002444FA"/>
    <w:rsid w:val="002460DC"/>
    <w:rsid w:val="00246A6D"/>
    <w:rsid w:val="002504B3"/>
    <w:rsid w:val="00250E15"/>
    <w:rsid w:val="00250EEC"/>
    <w:rsid w:val="00252C27"/>
    <w:rsid w:val="00255795"/>
    <w:rsid w:val="002564F9"/>
    <w:rsid w:val="00257D6B"/>
    <w:rsid w:val="00260F0F"/>
    <w:rsid w:val="002647BE"/>
    <w:rsid w:val="0027007B"/>
    <w:rsid w:val="00271900"/>
    <w:rsid w:val="00272BA9"/>
    <w:rsid w:val="002744E4"/>
    <w:rsid w:val="0027493B"/>
    <w:rsid w:val="002756BB"/>
    <w:rsid w:val="00280EF4"/>
    <w:rsid w:val="00281291"/>
    <w:rsid w:val="0028364C"/>
    <w:rsid w:val="00284C02"/>
    <w:rsid w:val="00285ADF"/>
    <w:rsid w:val="002A5413"/>
    <w:rsid w:val="002B1CA4"/>
    <w:rsid w:val="002C33D1"/>
    <w:rsid w:val="002C6929"/>
    <w:rsid w:val="002D11A0"/>
    <w:rsid w:val="002D2051"/>
    <w:rsid w:val="002E4927"/>
    <w:rsid w:val="002E5337"/>
    <w:rsid w:val="002E552C"/>
    <w:rsid w:val="002F173A"/>
    <w:rsid w:val="002F4BA0"/>
    <w:rsid w:val="002F799B"/>
    <w:rsid w:val="0030083F"/>
    <w:rsid w:val="00305AFB"/>
    <w:rsid w:val="0031172E"/>
    <w:rsid w:val="003143BD"/>
    <w:rsid w:val="003160FC"/>
    <w:rsid w:val="00321E9A"/>
    <w:rsid w:val="00325CB1"/>
    <w:rsid w:val="00333D38"/>
    <w:rsid w:val="00351696"/>
    <w:rsid w:val="00362DBF"/>
    <w:rsid w:val="00364D7A"/>
    <w:rsid w:val="00374392"/>
    <w:rsid w:val="0038622A"/>
    <w:rsid w:val="0038750C"/>
    <w:rsid w:val="00390725"/>
    <w:rsid w:val="003935CA"/>
    <w:rsid w:val="003A1E87"/>
    <w:rsid w:val="003B02DB"/>
    <w:rsid w:val="003C40EF"/>
    <w:rsid w:val="003C6945"/>
    <w:rsid w:val="003C6A42"/>
    <w:rsid w:val="003D3477"/>
    <w:rsid w:val="003D3AF4"/>
    <w:rsid w:val="003D3C1B"/>
    <w:rsid w:val="003D570B"/>
    <w:rsid w:val="003D6D32"/>
    <w:rsid w:val="003E07CA"/>
    <w:rsid w:val="003E45B8"/>
    <w:rsid w:val="003E56A0"/>
    <w:rsid w:val="00403B80"/>
    <w:rsid w:val="004042AF"/>
    <w:rsid w:val="004073C4"/>
    <w:rsid w:val="00413333"/>
    <w:rsid w:val="00417010"/>
    <w:rsid w:val="00422C43"/>
    <w:rsid w:val="004241A4"/>
    <w:rsid w:val="0042765A"/>
    <w:rsid w:val="00431D6C"/>
    <w:rsid w:val="00441CA3"/>
    <w:rsid w:val="0044366B"/>
    <w:rsid w:val="00450BC1"/>
    <w:rsid w:val="00460F5B"/>
    <w:rsid w:val="00467991"/>
    <w:rsid w:val="0048522F"/>
    <w:rsid w:val="004A501F"/>
    <w:rsid w:val="004B064A"/>
    <w:rsid w:val="004B1E8F"/>
    <w:rsid w:val="004B1EC6"/>
    <w:rsid w:val="004B644C"/>
    <w:rsid w:val="004B6EBD"/>
    <w:rsid w:val="004C6353"/>
    <w:rsid w:val="004C6B49"/>
    <w:rsid w:val="004C77A3"/>
    <w:rsid w:val="004D3B4C"/>
    <w:rsid w:val="004D6594"/>
    <w:rsid w:val="004F06B2"/>
    <w:rsid w:val="004F187E"/>
    <w:rsid w:val="004F1CC7"/>
    <w:rsid w:val="004F1DE8"/>
    <w:rsid w:val="004F2F92"/>
    <w:rsid w:val="005120EA"/>
    <w:rsid w:val="00513C15"/>
    <w:rsid w:val="00513F0D"/>
    <w:rsid w:val="00517789"/>
    <w:rsid w:val="00520E9E"/>
    <w:rsid w:val="00524495"/>
    <w:rsid w:val="00525652"/>
    <w:rsid w:val="00532FE1"/>
    <w:rsid w:val="00540BDB"/>
    <w:rsid w:val="00544490"/>
    <w:rsid w:val="0054543C"/>
    <w:rsid w:val="00546035"/>
    <w:rsid w:val="00547935"/>
    <w:rsid w:val="005524AA"/>
    <w:rsid w:val="0056022D"/>
    <w:rsid w:val="00567BA7"/>
    <w:rsid w:val="005721A4"/>
    <w:rsid w:val="00573A7E"/>
    <w:rsid w:val="0058519F"/>
    <w:rsid w:val="00593D94"/>
    <w:rsid w:val="005B318C"/>
    <w:rsid w:val="005B3D41"/>
    <w:rsid w:val="005B5785"/>
    <w:rsid w:val="005E4F6B"/>
    <w:rsid w:val="005E59BD"/>
    <w:rsid w:val="005E7FCB"/>
    <w:rsid w:val="005F1611"/>
    <w:rsid w:val="005F4CBC"/>
    <w:rsid w:val="005F7337"/>
    <w:rsid w:val="00602EB8"/>
    <w:rsid w:val="00603BFB"/>
    <w:rsid w:val="006078A2"/>
    <w:rsid w:val="006163F2"/>
    <w:rsid w:val="00625A55"/>
    <w:rsid w:val="006274C7"/>
    <w:rsid w:val="006413E6"/>
    <w:rsid w:val="00642DAD"/>
    <w:rsid w:val="00642E1B"/>
    <w:rsid w:val="00645992"/>
    <w:rsid w:val="00645A8F"/>
    <w:rsid w:val="006522DA"/>
    <w:rsid w:val="00674F4D"/>
    <w:rsid w:val="0067566F"/>
    <w:rsid w:val="00691B4B"/>
    <w:rsid w:val="00697AB4"/>
    <w:rsid w:val="006A037E"/>
    <w:rsid w:val="006A333A"/>
    <w:rsid w:val="006A6C2D"/>
    <w:rsid w:val="006B15A3"/>
    <w:rsid w:val="006B69DB"/>
    <w:rsid w:val="006B760E"/>
    <w:rsid w:val="006C0D10"/>
    <w:rsid w:val="006C1E8B"/>
    <w:rsid w:val="006C5FCE"/>
    <w:rsid w:val="006D1305"/>
    <w:rsid w:val="006D1AC7"/>
    <w:rsid w:val="006D1BE9"/>
    <w:rsid w:val="006D2DE7"/>
    <w:rsid w:val="006D5B9F"/>
    <w:rsid w:val="006E1446"/>
    <w:rsid w:val="006E64BF"/>
    <w:rsid w:val="006E6C23"/>
    <w:rsid w:val="006F5260"/>
    <w:rsid w:val="00700143"/>
    <w:rsid w:val="00702049"/>
    <w:rsid w:val="00702998"/>
    <w:rsid w:val="00724EF1"/>
    <w:rsid w:val="00725FEE"/>
    <w:rsid w:val="00731B35"/>
    <w:rsid w:val="007341E0"/>
    <w:rsid w:val="00743FB3"/>
    <w:rsid w:val="00743FDE"/>
    <w:rsid w:val="007700C4"/>
    <w:rsid w:val="00770F6F"/>
    <w:rsid w:val="00775473"/>
    <w:rsid w:val="00775E77"/>
    <w:rsid w:val="007764E1"/>
    <w:rsid w:val="00777B4B"/>
    <w:rsid w:val="00783CDB"/>
    <w:rsid w:val="00792A2E"/>
    <w:rsid w:val="00793CCC"/>
    <w:rsid w:val="007A6659"/>
    <w:rsid w:val="007B0838"/>
    <w:rsid w:val="007C1B31"/>
    <w:rsid w:val="007C258B"/>
    <w:rsid w:val="007C2EDE"/>
    <w:rsid w:val="007E08A8"/>
    <w:rsid w:val="007E1533"/>
    <w:rsid w:val="007E355F"/>
    <w:rsid w:val="007E5DC4"/>
    <w:rsid w:val="007F2394"/>
    <w:rsid w:val="007F23EB"/>
    <w:rsid w:val="007F6FF1"/>
    <w:rsid w:val="00802636"/>
    <w:rsid w:val="00804341"/>
    <w:rsid w:val="008053A1"/>
    <w:rsid w:val="0082261F"/>
    <w:rsid w:val="00826ED2"/>
    <w:rsid w:val="00827DF1"/>
    <w:rsid w:val="00834518"/>
    <w:rsid w:val="0084157C"/>
    <w:rsid w:val="008509AE"/>
    <w:rsid w:val="00852306"/>
    <w:rsid w:val="008525AD"/>
    <w:rsid w:val="00857C11"/>
    <w:rsid w:val="00872017"/>
    <w:rsid w:val="00875DF7"/>
    <w:rsid w:val="00876DBF"/>
    <w:rsid w:val="00887261"/>
    <w:rsid w:val="008934E9"/>
    <w:rsid w:val="008A03EA"/>
    <w:rsid w:val="008A1DF0"/>
    <w:rsid w:val="008A5ECF"/>
    <w:rsid w:val="008B0AE0"/>
    <w:rsid w:val="008B22F3"/>
    <w:rsid w:val="008B2B15"/>
    <w:rsid w:val="008C018B"/>
    <w:rsid w:val="008C1CE3"/>
    <w:rsid w:val="008C59D5"/>
    <w:rsid w:val="008C5EAC"/>
    <w:rsid w:val="008D0E5B"/>
    <w:rsid w:val="008D3AA0"/>
    <w:rsid w:val="008D54B4"/>
    <w:rsid w:val="008F0406"/>
    <w:rsid w:val="008F3986"/>
    <w:rsid w:val="008F44F1"/>
    <w:rsid w:val="008F479B"/>
    <w:rsid w:val="008F4885"/>
    <w:rsid w:val="008F4E0C"/>
    <w:rsid w:val="008F6BA4"/>
    <w:rsid w:val="00907F18"/>
    <w:rsid w:val="00913500"/>
    <w:rsid w:val="00920A78"/>
    <w:rsid w:val="00924743"/>
    <w:rsid w:val="00930F39"/>
    <w:rsid w:val="00934097"/>
    <w:rsid w:val="00941797"/>
    <w:rsid w:val="009642EA"/>
    <w:rsid w:val="00964B8D"/>
    <w:rsid w:val="009653A7"/>
    <w:rsid w:val="009669DA"/>
    <w:rsid w:val="00971C86"/>
    <w:rsid w:val="00982337"/>
    <w:rsid w:val="00992FDC"/>
    <w:rsid w:val="00995ABF"/>
    <w:rsid w:val="0099636A"/>
    <w:rsid w:val="009977C4"/>
    <w:rsid w:val="009A17F2"/>
    <w:rsid w:val="009A4FD4"/>
    <w:rsid w:val="009B6EB3"/>
    <w:rsid w:val="009C07E7"/>
    <w:rsid w:val="009C52BC"/>
    <w:rsid w:val="009D498A"/>
    <w:rsid w:val="009E2BA3"/>
    <w:rsid w:val="009E302B"/>
    <w:rsid w:val="009E5284"/>
    <w:rsid w:val="009F7B7A"/>
    <w:rsid w:val="00A039EB"/>
    <w:rsid w:val="00A04B26"/>
    <w:rsid w:val="00A0751C"/>
    <w:rsid w:val="00A11A0F"/>
    <w:rsid w:val="00A13776"/>
    <w:rsid w:val="00A1537E"/>
    <w:rsid w:val="00A20DC0"/>
    <w:rsid w:val="00A236B0"/>
    <w:rsid w:val="00A2694C"/>
    <w:rsid w:val="00A26CD5"/>
    <w:rsid w:val="00A36B9D"/>
    <w:rsid w:val="00A46A27"/>
    <w:rsid w:val="00A50D03"/>
    <w:rsid w:val="00A53C87"/>
    <w:rsid w:val="00A5490A"/>
    <w:rsid w:val="00A55B77"/>
    <w:rsid w:val="00A61DD1"/>
    <w:rsid w:val="00A63E5B"/>
    <w:rsid w:val="00A66788"/>
    <w:rsid w:val="00A74713"/>
    <w:rsid w:val="00A75EDA"/>
    <w:rsid w:val="00A7797B"/>
    <w:rsid w:val="00A802D6"/>
    <w:rsid w:val="00A81660"/>
    <w:rsid w:val="00A84181"/>
    <w:rsid w:val="00A8423E"/>
    <w:rsid w:val="00A8436E"/>
    <w:rsid w:val="00A8552A"/>
    <w:rsid w:val="00A90AC7"/>
    <w:rsid w:val="00AA0E3A"/>
    <w:rsid w:val="00AA2680"/>
    <w:rsid w:val="00AA2D4E"/>
    <w:rsid w:val="00AA44B8"/>
    <w:rsid w:val="00AA63F0"/>
    <w:rsid w:val="00AA640A"/>
    <w:rsid w:val="00AA6BFA"/>
    <w:rsid w:val="00AB251A"/>
    <w:rsid w:val="00AC1A0E"/>
    <w:rsid w:val="00AC275D"/>
    <w:rsid w:val="00AC2889"/>
    <w:rsid w:val="00AC5A58"/>
    <w:rsid w:val="00AD47C9"/>
    <w:rsid w:val="00AD694F"/>
    <w:rsid w:val="00AD6A96"/>
    <w:rsid w:val="00AD6E37"/>
    <w:rsid w:val="00AD7EC0"/>
    <w:rsid w:val="00AE1278"/>
    <w:rsid w:val="00AE2FB6"/>
    <w:rsid w:val="00AE714A"/>
    <w:rsid w:val="00AF2F8C"/>
    <w:rsid w:val="00B01128"/>
    <w:rsid w:val="00B04660"/>
    <w:rsid w:val="00B063E7"/>
    <w:rsid w:val="00B17CBF"/>
    <w:rsid w:val="00B20432"/>
    <w:rsid w:val="00B23E97"/>
    <w:rsid w:val="00B27017"/>
    <w:rsid w:val="00B41769"/>
    <w:rsid w:val="00B442DF"/>
    <w:rsid w:val="00B45956"/>
    <w:rsid w:val="00B519B5"/>
    <w:rsid w:val="00B531F6"/>
    <w:rsid w:val="00B53A08"/>
    <w:rsid w:val="00B5429C"/>
    <w:rsid w:val="00B54EF7"/>
    <w:rsid w:val="00B56AAE"/>
    <w:rsid w:val="00B57B00"/>
    <w:rsid w:val="00B62262"/>
    <w:rsid w:val="00B63397"/>
    <w:rsid w:val="00B648E1"/>
    <w:rsid w:val="00B65C6C"/>
    <w:rsid w:val="00B71281"/>
    <w:rsid w:val="00B73DC1"/>
    <w:rsid w:val="00B74B70"/>
    <w:rsid w:val="00B74FAA"/>
    <w:rsid w:val="00B8643A"/>
    <w:rsid w:val="00B90462"/>
    <w:rsid w:val="00BA0325"/>
    <w:rsid w:val="00BB4142"/>
    <w:rsid w:val="00BB447B"/>
    <w:rsid w:val="00BC180E"/>
    <w:rsid w:val="00BD2968"/>
    <w:rsid w:val="00BD7804"/>
    <w:rsid w:val="00BE11A0"/>
    <w:rsid w:val="00BE480E"/>
    <w:rsid w:val="00BE5A98"/>
    <w:rsid w:val="00BF55F8"/>
    <w:rsid w:val="00C000DF"/>
    <w:rsid w:val="00C00F35"/>
    <w:rsid w:val="00C03537"/>
    <w:rsid w:val="00C05531"/>
    <w:rsid w:val="00C06DAB"/>
    <w:rsid w:val="00C11EE6"/>
    <w:rsid w:val="00C11FE6"/>
    <w:rsid w:val="00C12903"/>
    <w:rsid w:val="00C15135"/>
    <w:rsid w:val="00C1641F"/>
    <w:rsid w:val="00C16828"/>
    <w:rsid w:val="00C20422"/>
    <w:rsid w:val="00C22169"/>
    <w:rsid w:val="00C227EC"/>
    <w:rsid w:val="00C22C41"/>
    <w:rsid w:val="00C33DE7"/>
    <w:rsid w:val="00C41186"/>
    <w:rsid w:val="00C502C7"/>
    <w:rsid w:val="00C5485D"/>
    <w:rsid w:val="00C60950"/>
    <w:rsid w:val="00C61004"/>
    <w:rsid w:val="00C623D7"/>
    <w:rsid w:val="00C65CBD"/>
    <w:rsid w:val="00C7153B"/>
    <w:rsid w:val="00C94666"/>
    <w:rsid w:val="00C94D06"/>
    <w:rsid w:val="00C9799D"/>
    <w:rsid w:val="00CA1768"/>
    <w:rsid w:val="00CA28F2"/>
    <w:rsid w:val="00CA5483"/>
    <w:rsid w:val="00CB6E12"/>
    <w:rsid w:val="00CC082E"/>
    <w:rsid w:val="00CC11AC"/>
    <w:rsid w:val="00CF33FD"/>
    <w:rsid w:val="00CF3420"/>
    <w:rsid w:val="00D0116C"/>
    <w:rsid w:val="00D02C43"/>
    <w:rsid w:val="00D15923"/>
    <w:rsid w:val="00D15A38"/>
    <w:rsid w:val="00D2315C"/>
    <w:rsid w:val="00D2432D"/>
    <w:rsid w:val="00D260F1"/>
    <w:rsid w:val="00D26A39"/>
    <w:rsid w:val="00D3179D"/>
    <w:rsid w:val="00D360F1"/>
    <w:rsid w:val="00D365F9"/>
    <w:rsid w:val="00D37A3F"/>
    <w:rsid w:val="00D45737"/>
    <w:rsid w:val="00D525C1"/>
    <w:rsid w:val="00D54732"/>
    <w:rsid w:val="00D618B1"/>
    <w:rsid w:val="00D65271"/>
    <w:rsid w:val="00D75927"/>
    <w:rsid w:val="00D7619A"/>
    <w:rsid w:val="00D82534"/>
    <w:rsid w:val="00D90897"/>
    <w:rsid w:val="00D91F10"/>
    <w:rsid w:val="00DA147A"/>
    <w:rsid w:val="00DA3285"/>
    <w:rsid w:val="00DA3553"/>
    <w:rsid w:val="00DA6244"/>
    <w:rsid w:val="00DB53B8"/>
    <w:rsid w:val="00DB7D11"/>
    <w:rsid w:val="00DC50E0"/>
    <w:rsid w:val="00DC610D"/>
    <w:rsid w:val="00DE2681"/>
    <w:rsid w:val="00DE7F57"/>
    <w:rsid w:val="00DF68F6"/>
    <w:rsid w:val="00E13E04"/>
    <w:rsid w:val="00E159FB"/>
    <w:rsid w:val="00E222B9"/>
    <w:rsid w:val="00E228CB"/>
    <w:rsid w:val="00E25C44"/>
    <w:rsid w:val="00E31102"/>
    <w:rsid w:val="00E40A25"/>
    <w:rsid w:val="00E40A4C"/>
    <w:rsid w:val="00E42B77"/>
    <w:rsid w:val="00E43D1D"/>
    <w:rsid w:val="00E47637"/>
    <w:rsid w:val="00E50C3B"/>
    <w:rsid w:val="00E572DB"/>
    <w:rsid w:val="00E605BE"/>
    <w:rsid w:val="00E6700D"/>
    <w:rsid w:val="00E73271"/>
    <w:rsid w:val="00E75866"/>
    <w:rsid w:val="00E7745B"/>
    <w:rsid w:val="00E82355"/>
    <w:rsid w:val="00E86904"/>
    <w:rsid w:val="00E90A93"/>
    <w:rsid w:val="00E9499C"/>
    <w:rsid w:val="00E94FA4"/>
    <w:rsid w:val="00EA0FD6"/>
    <w:rsid w:val="00EA5C12"/>
    <w:rsid w:val="00EB02F2"/>
    <w:rsid w:val="00EB3A99"/>
    <w:rsid w:val="00EC7F94"/>
    <w:rsid w:val="00ED10E0"/>
    <w:rsid w:val="00ED168A"/>
    <w:rsid w:val="00EE0C4D"/>
    <w:rsid w:val="00EE4CDA"/>
    <w:rsid w:val="00EE4E2F"/>
    <w:rsid w:val="00EE5C65"/>
    <w:rsid w:val="00EF22D4"/>
    <w:rsid w:val="00EF4822"/>
    <w:rsid w:val="00F01321"/>
    <w:rsid w:val="00F034EF"/>
    <w:rsid w:val="00F04B56"/>
    <w:rsid w:val="00F06A08"/>
    <w:rsid w:val="00F07164"/>
    <w:rsid w:val="00F11409"/>
    <w:rsid w:val="00F1756A"/>
    <w:rsid w:val="00F2498C"/>
    <w:rsid w:val="00F35BE5"/>
    <w:rsid w:val="00F46B3A"/>
    <w:rsid w:val="00F506AB"/>
    <w:rsid w:val="00F56EEC"/>
    <w:rsid w:val="00F57807"/>
    <w:rsid w:val="00F60CA2"/>
    <w:rsid w:val="00F6216E"/>
    <w:rsid w:val="00F64C4E"/>
    <w:rsid w:val="00F71E63"/>
    <w:rsid w:val="00F74EB2"/>
    <w:rsid w:val="00F76771"/>
    <w:rsid w:val="00F80639"/>
    <w:rsid w:val="00F851E2"/>
    <w:rsid w:val="00F9295E"/>
    <w:rsid w:val="00F9367C"/>
    <w:rsid w:val="00F969EF"/>
    <w:rsid w:val="00FA2DA4"/>
    <w:rsid w:val="00FA3B64"/>
    <w:rsid w:val="00FA7334"/>
    <w:rsid w:val="00FB2B6C"/>
    <w:rsid w:val="00FC172B"/>
    <w:rsid w:val="00FC34DF"/>
    <w:rsid w:val="00FD4402"/>
    <w:rsid w:val="00FE11B1"/>
    <w:rsid w:val="00FE2739"/>
    <w:rsid w:val="00FF2B15"/>
    <w:rsid w:val="00FF4A8E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D6DAA"/>
  <w15:docId w15:val="{B3C7328E-A221-4DBD-9BDF-EA4D9B65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7EB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D07E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D07EB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D07EB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D07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7EB"/>
  </w:style>
  <w:style w:type="paragraph" w:customStyle="1" w:styleId="Default">
    <w:name w:val="Default"/>
    <w:rsid w:val="002F4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095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C60950"/>
  </w:style>
  <w:style w:type="character" w:customStyle="1" w:styleId="CommentTextChar">
    <w:name w:val="Comment Text Char"/>
    <w:basedOn w:val="DefaultParagraphFont"/>
    <w:link w:val="CommentText"/>
    <w:uiPriority w:val="99"/>
    <w:rsid w:val="00C6095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950"/>
    <w:rPr>
      <w:b/>
      <w:bCs/>
    </w:rPr>
  </w:style>
  <w:style w:type="paragraph" w:styleId="BalloonText">
    <w:name w:val="Balloon Text"/>
    <w:basedOn w:val="Normal"/>
    <w:link w:val="BalloonTextChar"/>
    <w:rsid w:val="001D0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7EB"/>
    <w:rPr>
      <w:rFonts w:ascii="Tahoma" w:eastAsia="MS Mincho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00271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02717"/>
    <w:pPr>
      <w:spacing w:before="100" w:beforeAutospacing="1" w:after="100" w:afterAutospacing="1"/>
    </w:pPr>
    <w:rPr>
      <w:rFonts w:ascii="SimSun" w:eastAsia="SimSun" w:hAnsi="SimSun" w:cs="SimSun"/>
      <w:sz w:val="24"/>
    </w:rPr>
  </w:style>
  <w:style w:type="character" w:customStyle="1" w:styleId="apple-converted-space">
    <w:name w:val="apple-converted-space"/>
    <w:basedOn w:val="DefaultParagraphFont"/>
    <w:rsid w:val="00002717"/>
  </w:style>
  <w:style w:type="character" w:customStyle="1" w:styleId="Heading1Char">
    <w:name w:val="Heading 1 Char"/>
    <w:basedOn w:val="DefaultParagraphFont"/>
    <w:link w:val="Heading1"/>
    <w:rsid w:val="001D07EB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D07EB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D07EB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1D07EB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D07EB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rsid w:val="001D07EB"/>
    <w:rPr>
      <w:vertAlign w:val="superscript"/>
    </w:rPr>
  </w:style>
  <w:style w:type="paragraph" w:customStyle="1" w:styleId="Style">
    <w:name w:val="Style"/>
    <w:basedOn w:val="Footer"/>
    <w:autoRedefine/>
    <w:qFormat/>
    <w:rsid w:val="001D07EB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1D07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D07EB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1D07EB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1D07EB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D07EB"/>
    <w:pPr>
      <w:spacing w:after="240"/>
    </w:pPr>
    <w:rPr>
      <w:sz w:val="24"/>
    </w:rPr>
  </w:style>
  <w:style w:type="table" w:styleId="TableGrid">
    <w:name w:val="Table Grid"/>
    <w:basedOn w:val="TableNormal"/>
    <w:rsid w:val="001D07EB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1D07EB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1D07EB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D07EB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D07EB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D07EB"/>
    <w:pPr>
      <w:spacing w:after="180"/>
    </w:pPr>
  </w:style>
  <w:style w:type="paragraph" w:customStyle="1" w:styleId="IPPFootnote">
    <w:name w:val="IPP Footnote"/>
    <w:basedOn w:val="IPPArialFootnote"/>
    <w:qFormat/>
    <w:rsid w:val="001D07EB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D07EB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D07EB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D07EB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1D07EB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D07EB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D07EB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1D07EB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1D07EB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1D07EB"/>
    <w:pPr>
      <w:numPr>
        <w:numId w:val="6"/>
      </w:numPr>
    </w:pPr>
  </w:style>
  <w:style w:type="character" w:customStyle="1" w:styleId="IPPNormalstrikethrough">
    <w:name w:val="IPP Normal strikethrough"/>
    <w:rsid w:val="001D07EB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1D07E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D07EB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1D07EB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1D07EB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1D07EB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1D07EB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D07EB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1D07E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1D07EB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D07EB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D07EB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D07EB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D07EB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D07EB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D07EB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D07EB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D07EB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D07EB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D07EB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D07EB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1D07EB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1D07EB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D07EB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1D07EB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1D07EB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1D07EB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D07EB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D07EB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D07EB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1D07EB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1D07EB"/>
    <w:pPr>
      <w:numPr>
        <w:numId w:val="16"/>
      </w:numPr>
    </w:pPr>
  </w:style>
  <w:style w:type="paragraph" w:styleId="Header">
    <w:name w:val="header"/>
    <w:basedOn w:val="Normal"/>
    <w:link w:val="HeaderChar"/>
    <w:rsid w:val="001D07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07EB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1D07EB"/>
    <w:rPr>
      <w:b/>
      <w:bCs/>
    </w:rPr>
  </w:style>
  <w:style w:type="paragraph" w:styleId="ListParagraph">
    <w:name w:val="List Paragraph"/>
    <w:basedOn w:val="Normal"/>
    <w:uiPriority w:val="34"/>
    <w:qFormat/>
    <w:rsid w:val="001D07EB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link w:val="IPPParagraphnumberingChar"/>
    <w:qFormat/>
    <w:rsid w:val="001D07EB"/>
    <w:pPr>
      <w:numPr>
        <w:numId w:val="3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D07EB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1D07EB"/>
    <w:pPr>
      <w:numPr>
        <w:numId w:val="0"/>
      </w:numPr>
      <w:spacing w:after="180"/>
    </w:pPr>
  </w:style>
  <w:style w:type="character" w:styleId="FollowedHyperlink">
    <w:name w:val="FollowedHyperlink"/>
    <w:basedOn w:val="DefaultParagraphFont"/>
    <w:uiPriority w:val="99"/>
    <w:semiHidden/>
    <w:unhideWhenUsed/>
    <w:rsid w:val="0044366B"/>
    <w:rPr>
      <w:color w:val="954F72" w:themeColor="followedHyperlink"/>
      <w:u w:val="single"/>
    </w:rPr>
  </w:style>
  <w:style w:type="paragraph" w:customStyle="1" w:styleId="IPPPargraphnumbering">
    <w:name w:val="IPP Pargraph numbering"/>
    <w:basedOn w:val="IPPNormal"/>
    <w:qFormat/>
    <w:rsid w:val="001D07EB"/>
    <w:pPr>
      <w:tabs>
        <w:tab w:val="num" w:pos="360"/>
      </w:tabs>
    </w:pPr>
    <w:rPr>
      <w:rFonts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436E"/>
    <w:rPr>
      <w:color w:val="605E5C"/>
      <w:shd w:val="clear" w:color="auto" w:fill="E1DFDD"/>
    </w:rPr>
  </w:style>
  <w:style w:type="numbering" w:customStyle="1" w:styleId="IPPParagraphnumberedlist1">
    <w:name w:val="IPP Paragraph numbered list1"/>
    <w:rsid w:val="008509AE"/>
  </w:style>
  <w:style w:type="paragraph" w:styleId="Revision">
    <w:name w:val="Revision"/>
    <w:hidden/>
    <w:uiPriority w:val="99"/>
    <w:semiHidden/>
    <w:rsid w:val="00EE4CDA"/>
    <w:pPr>
      <w:spacing w:after="0" w:line="240" w:lineRule="auto"/>
    </w:pPr>
    <w:rPr>
      <w:rFonts w:ascii="Times New Roman" w:eastAsia="MS Mincho" w:hAnsi="Times New Roman" w:cs="Times New Roman"/>
      <w:szCs w:val="24"/>
      <w:lang w:val="en-GB"/>
    </w:rPr>
  </w:style>
  <w:style w:type="character" w:customStyle="1" w:styleId="IPPParagraphnumberingChar">
    <w:name w:val="IPP Paragraph numbering Char"/>
    <w:basedOn w:val="DefaultParagraphFont"/>
    <w:link w:val="IPPParagraphnumbering"/>
    <w:rsid w:val="00B01128"/>
    <w:rPr>
      <w:rFonts w:ascii="Times New Roman" w:eastAsia="Times" w:hAnsi="Times New Roman"/>
      <w:szCs w:val="24"/>
      <w:lang w:eastAsia="zh-CN"/>
    </w:rPr>
  </w:style>
  <w:style w:type="numbering" w:customStyle="1" w:styleId="IPPParagraphnumberedlist2">
    <w:name w:val="IPP Paragraph numbered list2"/>
    <w:rsid w:val="009A4FD4"/>
  </w:style>
  <w:style w:type="paragraph" w:customStyle="1" w:styleId="paragraph">
    <w:name w:val="paragraph"/>
    <w:basedOn w:val="Normal"/>
    <w:rsid w:val="007C1B31"/>
    <w:pPr>
      <w:spacing w:before="100" w:beforeAutospacing="1" w:after="100" w:afterAutospacing="1"/>
      <w:jc w:val="left"/>
    </w:pPr>
    <w:rPr>
      <w:rFonts w:eastAsia="Times New Roman"/>
      <w:sz w:val="24"/>
      <w:lang w:val="en-AU" w:eastAsia="en-AU"/>
    </w:rPr>
  </w:style>
  <w:style w:type="character" w:customStyle="1" w:styleId="normaltextrun">
    <w:name w:val="normaltextrun"/>
    <w:basedOn w:val="DefaultParagraphFont"/>
    <w:rsid w:val="007C1B31"/>
  </w:style>
  <w:style w:type="character" w:customStyle="1" w:styleId="eop">
    <w:name w:val="eop"/>
    <w:basedOn w:val="DefaultParagraphFont"/>
    <w:rsid w:val="007C1B31"/>
  </w:style>
  <w:style w:type="character" w:customStyle="1" w:styleId="IPPNormalChar">
    <w:name w:val="IPP Normal Char"/>
    <w:link w:val="IPPNormal"/>
    <w:rsid w:val="001D07EB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9681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95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3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17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0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75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8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2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6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00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40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13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8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33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2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18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6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9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0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1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62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09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32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61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1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17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86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31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37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13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3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9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23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1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571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63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2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65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9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48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77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76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6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4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7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53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0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12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1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9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33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5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57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4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79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43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7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9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3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ella\OneDrive%20-%20Food%20and%20Agriculture%20Organization\Desktop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A2DDC-A728-44E4-A944-C14B3ECB32EB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5EBDE30B-8F38-422A-9357-FB7C133C8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6C919-5994-4941-936D-46550BC77B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8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Follett, Peter</dc:creator>
  <cp:keywords/>
  <cp:lastModifiedBy>Torella, Daniel (NSPD)</cp:lastModifiedBy>
  <cp:revision>8</cp:revision>
  <cp:lastPrinted>2024-06-13T06:03:00Z</cp:lastPrinted>
  <dcterms:created xsi:type="dcterms:W3CDTF">2024-06-24T10:47:00Z</dcterms:created>
  <dcterms:modified xsi:type="dcterms:W3CDTF">2024-06-25T11:14:00Z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