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72F4D" w:rsidP="1B01F3E4" w:rsidRDefault="00A42D1E" w14:paraId="54680D50" w14:textId="5D7DAB3D">
      <w:pPr>
        <w:spacing w:before="360" w:beforeAutospacing="off" w:after="120" w:afterAutospacing="off"/>
        <w:ind w:left="851" w:right="0" w:hanging="851"/>
        <w:jc w:val="center"/>
      </w:pPr>
      <w:r w:rsidRPr="1B01F3E4" w:rsidR="1C7A71B7">
        <w:rPr>
          <w:rFonts w:ascii="Times New Roman" w:hAnsi="Times New Roman" w:eastAsia="Times New Roman" w:cs="Times New Roman"/>
          <w:b w:val="1"/>
          <w:bCs w:val="1"/>
          <w:caps w:val="1"/>
          <w:noProof w:val="0"/>
          <w:sz w:val="24"/>
          <w:szCs w:val="24"/>
          <w:lang w:val="en-GB"/>
        </w:rPr>
        <w:t>Commission on Phytosanitary Measures</w:t>
      </w:r>
      <w:r w:rsidR="1C7A71B7">
        <w:rPr/>
        <w:t xml:space="preserve"> </w:t>
      </w:r>
    </w:p>
    <w:p w:rsidR="00F72F4D" w:rsidP="00F72F4D" w:rsidRDefault="00A42D1E" w14:paraId="0FCC86DD" w14:textId="45E2FBE0">
      <w:pPr>
        <w:pStyle w:val="IPPHeadSection"/>
        <w:jc w:val="center"/>
      </w:pPr>
      <w:r w:rsidR="00A42D1E">
        <w:rPr/>
        <w:t>STRAT</w:t>
      </w:r>
      <w:r w:rsidR="00F72F4D">
        <w:rPr/>
        <w:t>EGIC PLANNING GROUP</w:t>
      </w:r>
    </w:p>
    <w:p w:rsidR="00F72F4D" w:rsidP="00F72F4D" w:rsidRDefault="00F72F4D" w14:paraId="3626F739" w14:textId="43D6501F">
      <w:pPr>
        <w:pStyle w:val="IPPHeadSection"/>
        <w:jc w:val="center"/>
      </w:pPr>
      <w:r>
        <w:t>DISCISSION PAPER</w:t>
      </w:r>
    </w:p>
    <w:p w:rsidRPr="00F72F4D" w:rsidR="002B3281" w:rsidP="00F72F4D" w:rsidRDefault="004B2367" w14:paraId="77F98B43" w14:textId="61B497E1">
      <w:pPr>
        <w:pStyle w:val="IPPHeadSection"/>
        <w:jc w:val="center"/>
      </w:pPr>
      <w:r w:rsidRPr="007D3457">
        <w:t>ANTIMICROBIAL RESISTANCE IN PLANT HEALTH</w:t>
      </w:r>
    </w:p>
    <w:p w:rsidRPr="00992647" w:rsidR="0074515B" w:rsidP="00992647" w:rsidRDefault="00F72F4D" w14:paraId="2E854B1C" w14:textId="05E64650">
      <w:pPr>
        <w:pStyle w:val="IPPHeading1"/>
        <w:jc w:val="center"/>
        <w:rPr>
          <w:b w:val="0"/>
          <w:bCs/>
        </w:rPr>
      </w:pPr>
      <w:r w:rsidRPr="00992647">
        <w:rPr>
          <w:b w:val="0"/>
          <w:bCs/>
        </w:rPr>
        <w:t>(</w:t>
      </w:r>
      <w:r w:rsidRPr="00992647" w:rsidR="002B3281">
        <w:rPr>
          <w:b w:val="0"/>
          <w:bCs/>
          <w:i/>
          <w:iCs/>
        </w:rPr>
        <w:t>Submitted by the United States, United Kingdom, Canada, New Zealand</w:t>
      </w:r>
      <w:r w:rsidRPr="00992647" w:rsidR="00DE5084">
        <w:rPr>
          <w:b w:val="0"/>
          <w:bCs/>
          <w:i/>
          <w:iCs/>
        </w:rPr>
        <w:t>, and Australia</w:t>
      </w:r>
      <w:r w:rsidRPr="00992647">
        <w:rPr>
          <w:b w:val="0"/>
          <w:bCs/>
        </w:rPr>
        <w:t>)</w:t>
      </w:r>
    </w:p>
    <w:p w:rsidRPr="007D3457" w:rsidR="002B3281" w:rsidP="00765180" w:rsidRDefault="002B3281" w14:paraId="54E195AB" w14:textId="77777777">
      <w:pPr>
        <w:rPr>
          <w:sz w:val="24"/>
        </w:rPr>
      </w:pPr>
    </w:p>
    <w:p w:rsidRPr="007D3457" w:rsidR="0074515B" w:rsidP="00992647" w:rsidRDefault="00C87726" w14:paraId="76364E4F" w14:textId="00078703">
      <w:pPr>
        <w:pStyle w:val="IPPHeading1"/>
      </w:pPr>
      <w:r>
        <w:t>Background</w:t>
      </w:r>
    </w:p>
    <w:p w:rsidR="0093283D" w:rsidP="00992647" w:rsidRDefault="00E83288" w14:paraId="10C5AF68" w14:textId="72984E19">
      <w:pPr>
        <w:pStyle w:val="IPPParagraphnumbering"/>
      </w:pPr>
      <w:r w:rsidRPr="007D3457">
        <w:t xml:space="preserve">The IPPC’s mission protects plant health and natural resources against plant pests, which increases agricultural productivity and food security, enhances the production of animal feed, improves environmental protection, and ultimately contributes to One Health. By safeguarding the world’s plant resources, the IPPC community (including the IPPC Secretariat, national plant protection organizations and regional plant protection organizations) </w:t>
      </w:r>
      <w:r w:rsidR="00E96426">
        <w:t>is</w:t>
      </w:r>
      <w:r w:rsidRPr="007D3457">
        <w:t xml:space="preserve"> contributing directly to ensuring global food security, feeding animals, protecting the environment and fostering a safer, healthier planet and society.</w:t>
      </w:r>
    </w:p>
    <w:p w:rsidR="00992647" w:rsidP="00992647" w:rsidRDefault="0093283D" w14:paraId="55373780" w14:textId="77777777">
      <w:pPr>
        <w:pStyle w:val="IPPParagraphnumbering"/>
      </w:pPr>
      <w:bookmarkStart w:name="_Hlk143700277" w:id="0"/>
      <w:r>
        <w:t>The Food and Agriculture Organization of the United Nations (</w:t>
      </w:r>
      <w:r w:rsidRPr="00D86872">
        <w:t>FAO</w:t>
      </w:r>
      <w:r>
        <w:t>)</w:t>
      </w:r>
      <w:r w:rsidRPr="00D86872">
        <w:t xml:space="preserve"> estimates that</w:t>
      </w:r>
      <w:r w:rsidR="00312607">
        <w:t xml:space="preserve"> every year up to</w:t>
      </w:r>
      <w:r w:rsidRPr="00D86872">
        <w:t xml:space="preserve"> 40% of global crop production is lost to pests and disease</w:t>
      </w:r>
      <w:r w:rsidR="00FC4EA2">
        <w:t xml:space="preserve">. </w:t>
      </w:r>
      <w:r w:rsidR="002152B2">
        <w:t xml:space="preserve">These losses cost the global economy more than </w:t>
      </w:r>
      <w:r w:rsidRPr="00D86872">
        <w:t>220 billion USD globally</w:t>
      </w:r>
      <w:r w:rsidR="002152B2">
        <w:t xml:space="preserve"> (</w:t>
      </w:r>
      <w:r w:rsidR="0036732A">
        <w:t>FAO, 2024</w:t>
      </w:r>
      <w:r w:rsidR="004D15F0">
        <w:t>a</w:t>
      </w:r>
      <w:r w:rsidR="002152B2">
        <w:t>)</w:t>
      </w:r>
      <w:r w:rsidR="0066268C">
        <w:t>,</w:t>
      </w:r>
      <w:r w:rsidRPr="00D86872">
        <w:t xml:space="preserve"> whic</w:t>
      </w:r>
      <w:r w:rsidR="00F93A87">
        <w:t>h could lead</w:t>
      </w:r>
      <w:r w:rsidRPr="00D86872">
        <w:t xml:space="preserve"> to an overuse of pesticides.</w:t>
      </w:r>
      <w:bookmarkEnd w:id="0"/>
      <w:r w:rsidRPr="00D86872">
        <w:t xml:space="preserve"> Antibiotic use in agriculture is estimated between </w:t>
      </w:r>
      <w:bookmarkStart w:name="_Hlk143779103" w:id="1"/>
      <w:r w:rsidRPr="00D86872">
        <w:t>63</w:t>
      </w:r>
      <w:r w:rsidR="009E1F35">
        <w:t>–</w:t>
      </w:r>
      <w:r w:rsidRPr="00D86872">
        <w:t>240,000 tons/year</w:t>
      </w:r>
      <w:bookmarkEnd w:id="1"/>
      <w:r>
        <w:t>;</w:t>
      </w:r>
      <w:r w:rsidRPr="00D86872">
        <w:t xml:space="preserve"> however</w:t>
      </w:r>
      <w:r>
        <w:t>,</w:t>
      </w:r>
      <w:r w:rsidRPr="00D86872">
        <w:t xml:space="preserve"> not all usage is properly documented</w:t>
      </w:r>
      <w:r w:rsidR="00063F11">
        <w:t xml:space="preserve"> (Tayler and Reeder, </w:t>
      </w:r>
      <w:r w:rsidR="008C667D">
        <w:t>2020)</w:t>
      </w:r>
      <w:r w:rsidRPr="00D86872">
        <w:t>.</w:t>
      </w:r>
      <w:r>
        <w:t xml:space="preserve"> Antibiotic use has been the focus of research programs likely due to their importance for controlling key public health pathogens, but there is less information available on antimicrobial resistance (AMR) in other </w:t>
      </w:r>
      <w:r w:rsidR="00980B16">
        <w:t xml:space="preserve">antimicrobial </w:t>
      </w:r>
      <w:r>
        <w:t>pesticides, including fungicides, and how this could impact plant pest and disease management in the future.</w:t>
      </w:r>
      <w:r w:rsidR="00ED0B72">
        <w:t xml:space="preserve"> AMRis a problem</w:t>
      </w:r>
      <w:r w:rsidR="00266DF2">
        <w:t xml:space="preserve"> in human and animal populations</w:t>
      </w:r>
      <w:r w:rsidR="00633776">
        <w:t xml:space="preserve">, plants, and the environment, and it can alter the effectiveness of treatments for </w:t>
      </w:r>
      <w:r w:rsidR="009D3E25">
        <w:t xml:space="preserve">human, animal, and plant disease (WOAH, 2024). </w:t>
      </w:r>
    </w:p>
    <w:p w:rsidRPr="007D3457" w:rsidR="00BC3559" w:rsidP="00992647" w:rsidRDefault="008A01C9" w14:paraId="0B6BD4D8" w14:textId="43274963">
      <w:pPr>
        <w:pStyle w:val="IPPParagraphnumbering"/>
      </w:pPr>
      <w:r>
        <w:t>T</w:t>
      </w:r>
      <w:r w:rsidRPr="007D3457">
        <w:t>he</w:t>
      </w:r>
      <w:r>
        <w:t>re is an opportunity</w:t>
      </w:r>
      <w:r w:rsidRPr="007D3457">
        <w:t xml:space="preserve"> for the IPPC community to leverage resources and </w:t>
      </w:r>
      <w:r w:rsidR="00152926">
        <w:t>expertise</w:t>
      </w:r>
      <w:r w:rsidRPr="007D3457" w:rsidR="00152926">
        <w:t xml:space="preserve"> </w:t>
      </w:r>
      <w:r w:rsidRPr="007D3457">
        <w:t xml:space="preserve">from the </w:t>
      </w:r>
      <w:r>
        <w:t>animal and human health</w:t>
      </w:r>
      <w:r w:rsidRPr="007D3457">
        <w:t xml:space="preserve"> disciplines</w:t>
      </w:r>
      <w:r w:rsidR="007C09FE">
        <w:t xml:space="preserve"> to better understand </w:t>
      </w:r>
      <w:r w:rsidR="000665C4">
        <w:t xml:space="preserve">the impacts of </w:t>
      </w:r>
      <w:r w:rsidR="00E319CA">
        <w:t>antimicrobial</w:t>
      </w:r>
      <w:r w:rsidR="000665C4">
        <w:t xml:space="preserve"> use</w:t>
      </w:r>
      <w:r w:rsidR="00A86930">
        <w:t xml:space="preserve"> on the entire plant production environment—both direct and indirect</w:t>
      </w:r>
      <w:r w:rsidR="000F4A5F">
        <w:t xml:space="preserve">—with the goal of </w:t>
      </w:r>
      <w:r w:rsidR="00744A82">
        <w:t>developing sustainable plant pest and disease</w:t>
      </w:r>
      <w:r w:rsidR="00EA7A8B">
        <w:t xml:space="preserve"> management</w:t>
      </w:r>
      <w:r w:rsidR="00152926">
        <w:t xml:space="preserve"> strategies</w:t>
      </w:r>
      <w:r w:rsidR="00EA7A8B">
        <w:t>.</w:t>
      </w:r>
    </w:p>
    <w:p w:rsidRPr="00971A83" w:rsidR="00575686" w:rsidP="00992647" w:rsidRDefault="004168B0" w14:paraId="7B591F3D" w14:textId="646AB912">
      <w:pPr>
        <w:pStyle w:val="IPPHeading1"/>
      </w:pPr>
      <w:r w:rsidRPr="00971A83">
        <w:t>Antimicrobial Resistance</w:t>
      </w:r>
      <w:r w:rsidRPr="00971A83" w:rsidR="00C90F91">
        <w:t xml:space="preserve"> and IPPC Survey Results</w:t>
      </w:r>
    </w:p>
    <w:p w:rsidRPr="007D3457" w:rsidR="008B6E4F" w:rsidP="00694470" w:rsidRDefault="008B6E4F" w14:paraId="75591A86" w14:textId="460E1ED4">
      <w:pPr>
        <w:pStyle w:val="IPPParagraphnumbering"/>
      </w:pPr>
      <w:r w:rsidRPr="007D3457">
        <w:t>AMR is defined as the ability of microorganisms to persist or grow in the presence of products designed to inhibit or kill them</w:t>
      </w:r>
      <w:r w:rsidR="00754825">
        <w:t>.</w:t>
      </w:r>
      <w:r w:rsidR="00A47E3D">
        <w:t xml:space="preserve"> </w:t>
      </w:r>
      <w:r w:rsidRPr="007D3457">
        <w:t>These products, called antimicrobials, are used to treat infectious diseases caused by microorganisms such as bacteria, fungi, viruses and protozoan parasites</w:t>
      </w:r>
      <w:r w:rsidR="00754825">
        <w:t xml:space="preserve"> (FAO, 2024b)</w:t>
      </w:r>
      <w:r w:rsidRPr="007D3457" w:rsidR="00754825">
        <w:t>.</w:t>
      </w:r>
      <w:r w:rsidRPr="007D3457">
        <w:t xml:space="preserve"> Antimicrobials play a critical role in treating diseases of food-producing animals (aquatic and terrestrial) and</w:t>
      </w:r>
      <w:r w:rsidR="00EA3B18">
        <w:t>,</w:t>
      </w:r>
      <w:r w:rsidRPr="007D3457">
        <w:t xml:space="preserve"> to a lesser </w:t>
      </w:r>
      <w:r w:rsidR="00EA3B18">
        <w:t>extent,</w:t>
      </w:r>
      <w:r w:rsidRPr="007D3457">
        <w:t xml:space="preserve"> in plants, helping to ensure food security</w:t>
      </w:r>
      <w:r w:rsidR="005C46D0">
        <w:t xml:space="preserve"> (FAO, 2024b)</w:t>
      </w:r>
      <w:r w:rsidRPr="007D3457">
        <w:t>.</w:t>
      </w:r>
    </w:p>
    <w:p w:rsidRPr="007D3457" w:rsidR="00520429" w:rsidP="00694470" w:rsidRDefault="0020264F" w14:paraId="3F90BDD0" w14:textId="7ADDA2BC">
      <w:pPr>
        <w:pStyle w:val="IPPParagraphnumbering"/>
        <w:rPr>
          <w:color w:val="000000" w:themeColor="text1"/>
          <w:lang w:val="en-GB"/>
        </w:rPr>
      </w:pPr>
      <w:r w:rsidRPr="007D3457">
        <w:t>To understand</w:t>
      </w:r>
      <w:r w:rsidRPr="007D3457" w:rsidR="00BC3559">
        <w:t xml:space="preserve"> the relevance of </w:t>
      </w:r>
      <w:r w:rsidR="0036471B">
        <w:t>AMR</w:t>
      </w:r>
      <w:r w:rsidRPr="007D3457" w:rsidR="00BC3559">
        <w:t xml:space="preserve"> to plant health, the IPPC Secretariat </w:t>
      </w:r>
      <w:r w:rsidR="007748EA">
        <w:t>surveyed IPPC</w:t>
      </w:r>
      <w:r w:rsidRPr="007D3457" w:rsidR="00BC3559">
        <w:t xml:space="preserve"> contracting parties to determine the extent of antibiotic use in plant health</w:t>
      </w:r>
      <w:r w:rsidR="004B22B8">
        <w:t xml:space="preserve">; 66 countries responded to </w:t>
      </w:r>
      <w:r w:rsidR="0040528F">
        <w:t xml:space="preserve">phase one of </w:t>
      </w:r>
      <w:r w:rsidR="004B22B8">
        <w:t>the survey</w:t>
      </w:r>
      <w:r w:rsidRPr="007D3457" w:rsidR="00BC3559">
        <w:t xml:space="preserve">. </w:t>
      </w:r>
      <w:r w:rsidRPr="007D3457" w:rsidR="009873C5">
        <w:rPr>
          <w:color w:val="000000" w:themeColor="text1"/>
          <w:lang w:val="en-GB"/>
        </w:rPr>
        <w:t>The survey results show that the number of countries using antimicrobials in plant production and protection is relatively low</w:t>
      </w:r>
      <w:r w:rsidR="00FE382B">
        <w:rPr>
          <w:color w:val="000000" w:themeColor="text1"/>
          <w:lang w:val="en-GB"/>
        </w:rPr>
        <w:t>. Approximately</w:t>
      </w:r>
      <w:r w:rsidRPr="007D3457" w:rsidR="009873C5">
        <w:rPr>
          <w:color w:val="000000" w:themeColor="text1"/>
          <w:lang w:val="en-GB"/>
        </w:rPr>
        <w:t xml:space="preserve"> 70%</w:t>
      </w:r>
      <w:r w:rsidRPr="007D3457" w:rsidR="009873C5">
        <w:t xml:space="preserve"> of the </w:t>
      </w:r>
      <w:r w:rsidR="00F33824">
        <w:t xml:space="preserve">responding </w:t>
      </w:r>
      <w:r w:rsidRPr="007D3457" w:rsidR="009873C5">
        <w:t xml:space="preserve">countries </w:t>
      </w:r>
      <w:r w:rsidRPr="007D3457" w:rsidR="009873C5">
        <w:rPr>
          <w:color w:val="000000" w:themeColor="text1"/>
          <w:lang w:val="en-GB"/>
        </w:rPr>
        <w:t xml:space="preserve">do not use </w:t>
      </w:r>
      <w:r w:rsidRPr="002B3281" w:rsidR="009873C5">
        <w:rPr>
          <w:lang w:val="en-GB"/>
        </w:rPr>
        <w:t xml:space="preserve">these products for plant protection. </w:t>
      </w:r>
      <w:r w:rsidRPr="002B3281" w:rsidR="00811FC5">
        <w:t>The</w:t>
      </w:r>
      <w:r w:rsidRPr="002B3281" w:rsidR="003258B4">
        <w:t xml:space="preserve"> countries that </w:t>
      </w:r>
      <w:r w:rsidRPr="002B3281" w:rsidR="00F33824">
        <w:t xml:space="preserve">do </w:t>
      </w:r>
      <w:r w:rsidRPr="002B3281" w:rsidR="003258B4">
        <w:t>use these products</w:t>
      </w:r>
      <w:r w:rsidRPr="002B3281" w:rsidR="00811FC5">
        <w:t xml:space="preserve"> most frequently </w:t>
      </w:r>
      <w:r w:rsidRPr="002B3281" w:rsidR="00F33824">
        <w:t xml:space="preserve">reported </w:t>
      </w:r>
      <w:proofErr w:type="spellStart"/>
      <w:r w:rsidRPr="002B3281" w:rsidR="00974B63">
        <w:t>k</w:t>
      </w:r>
      <w:r w:rsidRPr="002B3281" w:rsidR="00595E8A">
        <w:t>asugamycin</w:t>
      </w:r>
      <w:proofErr w:type="spellEnd"/>
      <w:r w:rsidRPr="002B3281" w:rsidR="00595E8A">
        <w:t xml:space="preserve">, </w:t>
      </w:r>
      <w:r w:rsidRPr="002B3281" w:rsidR="00974B63">
        <w:t>s</w:t>
      </w:r>
      <w:r w:rsidRPr="002B3281" w:rsidR="00595E8A">
        <w:t>t</w:t>
      </w:r>
      <w:r w:rsidRPr="002B3281" w:rsidR="001E1DAA">
        <w:t xml:space="preserve">reptomycin, </w:t>
      </w:r>
      <w:r w:rsidRPr="002B3281" w:rsidR="00974B63">
        <w:t>t</w:t>
      </w:r>
      <w:r w:rsidRPr="002B3281" w:rsidR="001E1DAA">
        <w:t xml:space="preserve">etracycline, </w:t>
      </w:r>
      <w:r w:rsidRPr="002B3281" w:rsidR="00974B63">
        <w:t>o</w:t>
      </w:r>
      <w:r w:rsidRPr="002B3281" w:rsidR="001E1DAA">
        <w:t xml:space="preserve">xytetracycline, </w:t>
      </w:r>
      <w:r w:rsidRPr="002B3281" w:rsidR="00974B63">
        <w:t>v</w:t>
      </w:r>
      <w:r w:rsidRPr="002B3281" w:rsidR="001E1DAA">
        <w:t xml:space="preserve">alidamycin, and </w:t>
      </w:r>
      <w:r w:rsidRPr="002B3281" w:rsidR="00974B63">
        <w:t>g</w:t>
      </w:r>
      <w:r w:rsidRPr="002B3281" w:rsidR="001E1DAA">
        <w:t>entamicin</w:t>
      </w:r>
      <w:r w:rsidRPr="007D3457" w:rsidR="001E1DAA">
        <w:t xml:space="preserve">. </w:t>
      </w:r>
      <w:r w:rsidR="0049044A">
        <w:rPr>
          <w:color w:val="000000" w:themeColor="text1"/>
          <w:lang w:val="en-GB"/>
        </w:rPr>
        <w:t>These</w:t>
      </w:r>
      <w:r w:rsidRPr="007D3457" w:rsidR="00520429">
        <w:rPr>
          <w:color w:val="000000" w:themeColor="text1"/>
          <w:lang w:val="en-GB"/>
        </w:rPr>
        <w:t xml:space="preserve"> antimicrobial products are used or registered for use on approximately 35 species of fruits, vegetables </w:t>
      </w:r>
      <w:r w:rsidRPr="007D3457" w:rsidR="00520429">
        <w:rPr>
          <w:color w:val="000000" w:themeColor="text1"/>
          <w:lang w:val="en-GB"/>
        </w:rPr>
        <w:t>and cereal (</w:t>
      </w:r>
      <w:r w:rsidR="00EB6F15">
        <w:rPr>
          <w:color w:val="000000" w:themeColor="text1"/>
          <w:lang w:val="en-GB"/>
        </w:rPr>
        <w:t xml:space="preserve">primarily </w:t>
      </w:r>
      <w:r w:rsidRPr="007D3457" w:rsidR="00520429">
        <w:rPr>
          <w:color w:val="000000" w:themeColor="text1"/>
          <w:lang w:val="en-GB"/>
        </w:rPr>
        <w:t xml:space="preserve">rice). The three most </w:t>
      </w:r>
      <w:r w:rsidR="00EE5F02">
        <w:rPr>
          <w:color w:val="000000" w:themeColor="text1"/>
          <w:lang w:val="en-GB"/>
        </w:rPr>
        <w:t xml:space="preserve">frequently </w:t>
      </w:r>
      <w:r w:rsidRPr="007D3457" w:rsidR="00520429">
        <w:rPr>
          <w:color w:val="000000" w:themeColor="text1"/>
          <w:lang w:val="en-GB"/>
        </w:rPr>
        <w:t>mentioned crops were tomato, potato and rice.</w:t>
      </w:r>
      <w:r w:rsidRPr="007D3457" w:rsidR="00A93681">
        <w:rPr>
          <w:color w:val="000000" w:themeColor="text1"/>
          <w:lang w:val="en-GB"/>
        </w:rPr>
        <w:t xml:space="preserve"> </w:t>
      </w:r>
      <w:r w:rsidRPr="007D3457" w:rsidR="00A93681">
        <w:rPr>
          <w:color w:val="000000" w:themeColor="text1"/>
        </w:rPr>
        <w:t>Except for some countries with very high level</w:t>
      </w:r>
      <w:r w:rsidR="008E592D">
        <w:rPr>
          <w:color w:val="000000" w:themeColor="text1"/>
        </w:rPr>
        <w:t>s</w:t>
      </w:r>
      <w:r w:rsidRPr="007D3457" w:rsidR="00A93681">
        <w:rPr>
          <w:color w:val="000000" w:themeColor="text1"/>
        </w:rPr>
        <w:t xml:space="preserve"> of agricultural production, approximately 35% of </w:t>
      </w:r>
      <w:r w:rsidR="008E592D">
        <w:rPr>
          <w:color w:val="000000" w:themeColor="text1"/>
        </w:rPr>
        <w:t xml:space="preserve">the </w:t>
      </w:r>
      <w:r w:rsidRPr="007D3457" w:rsidR="00A93681">
        <w:rPr>
          <w:color w:val="000000" w:themeColor="text1"/>
        </w:rPr>
        <w:t>positive respondents reported using one or two antibiotics</w:t>
      </w:r>
      <w:r w:rsidR="008E592D">
        <w:rPr>
          <w:color w:val="000000" w:themeColor="text1"/>
        </w:rPr>
        <w:t>, totaling</w:t>
      </w:r>
      <w:r w:rsidRPr="007D3457" w:rsidR="00A93681">
        <w:rPr>
          <w:color w:val="000000" w:themeColor="text1"/>
        </w:rPr>
        <w:t xml:space="preserve"> less than 5 tons </w:t>
      </w:r>
      <w:r w:rsidR="008E592D">
        <w:rPr>
          <w:color w:val="000000" w:themeColor="text1"/>
        </w:rPr>
        <w:t>per</w:t>
      </w:r>
      <w:r w:rsidRPr="007D3457" w:rsidR="00A93681">
        <w:rPr>
          <w:color w:val="000000" w:themeColor="text1"/>
        </w:rPr>
        <w:t xml:space="preserve"> year.</w:t>
      </w:r>
    </w:p>
    <w:p w:rsidRPr="00062CBF" w:rsidR="000D3712" w:rsidP="00694470" w:rsidRDefault="00360A94" w14:paraId="16215AA3" w14:textId="46D227EE">
      <w:pPr>
        <w:pStyle w:val="IPPHeading1"/>
      </w:pPr>
      <w:r w:rsidRPr="00062CBF">
        <w:t>A</w:t>
      </w:r>
      <w:r w:rsidRPr="00062CBF" w:rsidR="00554631">
        <w:t>ntimicrobial Resistance</w:t>
      </w:r>
      <w:r w:rsidRPr="00062CBF">
        <w:t xml:space="preserve"> and Plant Health in the Literature</w:t>
      </w:r>
    </w:p>
    <w:p w:rsidR="00C313AD" w:rsidP="00694470" w:rsidRDefault="00B41A22" w14:paraId="20FED266" w14:textId="63D35813">
      <w:pPr>
        <w:pStyle w:val="IPPParagraphnumbering"/>
      </w:pPr>
      <w:r w:rsidRPr="00D86872">
        <w:t xml:space="preserve">Interestingly, the impact of AMR on plant health is not well-documented despite </w:t>
      </w:r>
      <w:r w:rsidR="00A21C7D">
        <w:t>its</w:t>
      </w:r>
      <w:r w:rsidRPr="00D86872">
        <w:t xml:space="preserve"> significant effects on food </w:t>
      </w:r>
      <w:r w:rsidRPr="00D77BF8">
        <w:t xml:space="preserve">security and the environment. </w:t>
      </w:r>
      <w:r w:rsidRPr="00D77BF8" w:rsidR="00295042">
        <w:t xml:space="preserve">To better understand </w:t>
      </w:r>
      <w:r w:rsidRPr="00D77BF8" w:rsidR="00BE7057">
        <w:t xml:space="preserve">AMR </w:t>
      </w:r>
      <w:r w:rsidR="00A21C7D">
        <w:t>in relation</w:t>
      </w:r>
      <w:r w:rsidRPr="00D77BF8" w:rsidR="00BE7057">
        <w:t xml:space="preserve"> to </w:t>
      </w:r>
      <w:r w:rsidRPr="00D77BF8" w:rsidR="001C4375">
        <w:t xml:space="preserve">plant health, </w:t>
      </w:r>
      <w:r w:rsidRPr="00D77BF8" w:rsidR="009009B7">
        <w:t xml:space="preserve">the Global </w:t>
      </w:r>
      <w:r w:rsidRPr="00D77BF8" w:rsidR="00EE6E84">
        <w:t>Alliance for Plant Health</w:t>
      </w:r>
      <w:r w:rsidRPr="00D77BF8" w:rsidR="00EE2CAF">
        <w:t xml:space="preserve"> tasked a working group with reviewing literature</w:t>
      </w:r>
      <w:r w:rsidR="00A21C7D">
        <w:t xml:space="preserve">, </w:t>
      </w:r>
      <w:r w:rsidRPr="00D77BF8" w:rsidR="00884313">
        <w:t>includ</w:t>
      </w:r>
      <w:r w:rsidR="00A21C7D">
        <w:t>ing</w:t>
      </w:r>
      <w:r w:rsidRPr="00D77BF8" w:rsidR="00884313">
        <w:t xml:space="preserve"> a combination of peer-reviewed scientific publications, national and international reports and formal expert panels. The literature search emphas</w:t>
      </w:r>
      <w:r w:rsidR="00A21C7D">
        <w:t>ized</w:t>
      </w:r>
      <w:r w:rsidRPr="00D77BF8" w:rsidR="00884313">
        <w:t xml:space="preserve"> fungicide </w:t>
      </w:r>
      <w:r w:rsidR="008C6EEA">
        <w:t>use</w:t>
      </w:r>
      <w:r w:rsidRPr="00D77BF8" w:rsidR="00884313">
        <w:t xml:space="preserve"> in plant</w:t>
      </w:r>
      <w:r w:rsidRPr="00D86872" w:rsidR="00884313">
        <w:t xml:space="preserve"> production, </w:t>
      </w:r>
      <w:r w:rsidR="00A21C7D">
        <w:t xml:space="preserve">highlighting </w:t>
      </w:r>
      <w:r w:rsidRPr="00D86872" w:rsidR="00884313">
        <w:t xml:space="preserve">their importance for crop protection and the issue </w:t>
      </w:r>
      <w:r w:rsidR="00A21C7D">
        <w:t>of</w:t>
      </w:r>
      <w:r w:rsidRPr="00D86872" w:rsidR="00884313">
        <w:t xml:space="preserve"> azole resistance across human health and food production systems.</w:t>
      </w:r>
    </w:p>
    <w:p w:rsidRPr="000C671E" w:rsidR="00416837" w:rsidP="00694470" w:rsidRDefault="00E675AD" w14:paraId="7187C52A" w14:textId="2263F53D">
      <w:pPr>
        <w:pStyle w:val="IPPParagraphnumbering"/>
      </w:pPr>
      <w:r w:rsidRPr="00D10B18">
        <w:t xml:space="preserve">International literature indicates that antimicrobials </w:t>
      </w:r>
      <w:r w:rsidR="00900607">
        <w:t>are among</w:t>
      </w:r>
      <w:r w:rsidRPr="00D10B18">
        <w:t xml:space="preserve"> the </w:t>
      </w:r>
      <w:proofErr w:type="gramStart"/>
      <w:r w:rsidRPr="00D10B18">
        <w:t>most common</w:t>
      </w:r>
      <w:r w:rsidR="00900607">
        <w:t>ly used</w:t>
      </w:r>
      <w:proofErr w:type="gramEnd"/>
      <w:r w:rsidRPr="00D10B18">
        <w:t xml:space="preserve"> class of pesticid</w:t>
      </w:r>
      <w:r w:rsidR="00DE2F46">
        <w:t>es (</w:t>
      </w:r>
      <w:r w:rsidR="00491559">
        <w:t>Miller et al., 2022)</w:t>
      </w:r>
      <w:r w:rsidRPr="00D10B18">
        <w:t xml:space="preserve">. </w:t>
      </w:r>
      <w:r>
        <w:t>The h</w:t>
      </w:r>
      <w:r w:rsidRPr="004E2D43">
        <w:t>orticultural sector uses antimicrobials as a prophylactic measure to prevent bacterial infection in plants and fruits</w:t>
      </w:r>
      <w:r w:rsidR="00D846E5">
        <w:t xml:space="preserve"> (</w:t>
      </w:r>
      <w:proofErr w:type="spellStart"/>
      <w:r w:rsidR="00D846E5">
        <w:t>Vidaver</w:t>
      </w:r>
      <w:proofErr w:type="spellEnd"/>
      <w:r w:rsidR="00D846E5">
        <w:t>, 2002)</w:t>
      </w:r>
      <w:r w:rsidRPr="004E2D43">
        <w:t xml:space="preserve">. </w:t>
      </w:r>
      <w:r w:rsidRPr="00D10B18" w:rsidR="00F33FD3">
        <w:t>Streptomycin</w:t>
      </w:r>
      <w:r w:rsidR="00F33FD3">
        <w:t xml:space="preserve">, oxytetracycline, </w:t>
      </w:r>
      <w:proofErr w:type="spellStart"/>
      <w:r w:rsidRPr="00D86872" w:rsidR="00F33FD3">
        <w:t>kasugamycin</w:t>
      </w:r>
      <w:proofErr w:type="spellEnd"/>
      <w:r w:rsidRPr="00D86872" w:rsidR="00F33FD3">
        <w:t xml:space="preserve">, gentamicin and </w:t>
      </w:r>
      <w:proofErr w:type="spellStart"/>
      <w:r w:rsidRPr="00D86872" w:rsidR="00F33FD3">
        <w:t>oxolinic</w:t>
      </w:r>
      <w:proofErr w:type="spellEnd"/>
      <w:r w:rsidRPr="00D86872" w:rsidR="00F33FD3">
        <w:t xml:space="preserve"> acid</w:t>
      </w:r>
      <w:r w:rsidR="00F33FD3">
        <w:t xml:space="preserve"> are the main antibiotics used</w:t>
      </w:r>
      <w:r w:rsidR="004E0B25">
        <w:t xml:space="preserve"> (Haynes et al., 2020)</w:t>
      </w:r>
      <w:r w:rsidR="00F33FD3">
        <w:t xml:space="preserve">, with streptomycin </w:t>
      </w:r>
      <w:r w:rsidR="00A21C7D">
        <w:t xml:space="preserve">being </w:t>
      </w:r>
      <w:r w:rsidRPr="00D10B18" w:rsidR="00F33FD3">
        <w:t>the most frequently</w:t>
      </w:r>
      <w:r w:rsidR="00A21C7D">
        <w:t xml:space="preserve"> used</w:t>
      </w:r>
      <w:r w:rsidR="00366E5A">
        <w:t xml:space="preserve"> (Taylor and Reeder, 2020)</w:t>
      </w:r>
      <w:r w:rsidR="00F33FD3">
        <w:t xml:space="preserve">. These antibiotics are </w:t>
      </w:r>
      <w:r w:rsidR="00A21C7D">
        <w:t>primarily</w:t>
      </w:r>
      <w:r w:rsidR="00F33FD3">
        <w:t xml:space="preserve"> </w:t>
      </w:r>
      <w:r w:rsidR="00A21C7D">
        <w:t>applied to</w:t>
      </w:r>
      <w:r w:rsidR="00F33FD3">
        <w:t xml:space="preserve"> pome</w:t>
      </w:r>
      <w:r w:rsidR="00A21C7D">
        <w:t xml:space="preserve"> fruit</w:t>
      </w:r>
      <w:r w:rsidR="00F33FD3">
        <w:t>, stone fruit and vegetables</w:t>
      </w:r>
      <w:r w:rsidR="004E0B25">
        <w:t xml:space="preserve"> (Haynes et al., 2020)</w:t>
      </w:r>
      <w:r w:rsidR="00F33FD3">
        <w:t>; however,</w:t>
      </w:r>
      <w:r w:rsidRPr="00D10B18" w:rsidR="00F33FD3">
        <w:t xml:space="preserve"> rice is the commodity with the highest amount of antibiotic use</w:t>
      </w:r>
      <w:r w:rsidR="00CE74E9">
        <w:t xml:space="preserve"> </w:t>
      </w:r>
      <w:r w:rsidR="00611F61">
        <w:t>(</w:t>
      </w:r>
      <w:r w:rsidR="006D521F">
        <w:t>Taylor and Reeder, 2020</w:t>
      </w:r>
      <w:r w:rsidR="00611F61">
        <w:t>)</w:t>
      </w:r>
      <w:r w:rsidRPr="00D10B18" w:rsidR="00F33FD3">
        <w:t>.</w:t>
      </w:r>
      <w:r w:rsidR="00F33FD3">
        <w:t xml:space="preserve"> </w:t>
      </w:r>
      <w:r w:rsidRPr="00904F5B" w:rsidR="00F33FD3">
        <w:t xml:space="preserve">There is evidence of misuse of antibiotics for </w:t>
      </w:r>
      <w:r w:rsidR="00A21C7D">
        <w:t xml:space="preserve">controlling </w:t>
      </w:r>
      <w:r w:rsidRPr="00904F5B" w:rsidR="00F33FD3">
        <w:t>mites</w:t>
      </w:r>
      <w:r w:rsidR="00A21C7D">
        <w:t xml:space="preserve">, </w:t>
      </w:r>
      <w:r w:rsidRPr="00904F5B" w:rsidR="00F33FD3">
        <w:t>insects and vir</w:t>
      </w:r>
      <w:r w:rsidR="00A21C7D">
        <w:t>al</w:t>
      </w:r>
      <w:r w:rsidRPr="00904F5B" w:rsidR="00F33FD3">
        <w:t xml:space="preserve"> pathogens</w:t>
      </w:r>
      <w:r w:rsidR="001C2FA9">
        <w:t xml:space="preserve"> (</w:t>
      </w:r>
      <w:r w:rsidR="00366E5A">
        <w:t>Taylor and Reeder, 2020</w:t>
      </w:r>
      <w:r w:rsidR="001C2FA9">
        <w:t>)</w:t>
      </w:r>
      <w:r w:rsidRPr="00904F5B" w:rsidR="00F33FD3">
        <w:t xml:space="preserve">. Antibiotics </w:t>
      </w:r>
      <w:r w:rsidRPr="000C671E" w:rsidR="00F33FD3">
        <w:t xml:space="preserve">have also been used </w:t>
      </w:r>
      <w:r w:rsidR="00A21C7D">
        <w:t>at</w:t>
      </w:r>
      <w:r w:rsidRPr="000C671E" w:rsidR="00F33FD3">
        <w:t xml:space="preserve"> concentrations greater than the recommended </w:t>
      </w:r>
      <w:r w:rsidR="00A21C7D">
        <w:t>levels</w:t>
      </w:r>
      <w:r w:rsidRPr="000C671E" w:rsidR="00F33FD3">
        <w:t xml:space="preserve"> and on non-approved commodities</w:t>
      </w:r>
      <w:r w:rsidRPr="000C671E" w:rsidR="00B313A1">
        <w:t xml:space="preserve"> (</w:t>
      </w:r>
      <w:r w:rsidRPr="000C671E" w:rsidR="00366E5A">
        <w:t>Haynes et al., 2020</w:t>
      </w:r>
      <w:r w:rsidRPr="000C671E" w:rsidR="00B313A1">
        <w:t>)</w:t>
      </w:r>
      <w:r w:rsidRPr="000C671E" w:rsidR="00F33FD3">
        <w:t xml:space="preserve">. </w:t>
      </w:r>
      <w:r w:rsidR="00A21C7D">
        <w:t>Additionally, a</w:t>
      </w:r>
      <w:r w:rsidRPr="000C671E" w:rsidR="00F33FD3">
        <w:t xml:space="preserve">ntibiotics are routinely mixed with agrochemicals, </w:t>
      </w:r>
      <w:r w:rsidR="00A21C7D">
        <w:t>raising</w:t>
      </w:r>
      <w:r w:rsidRPr="000C671E" w:rsidR="00F33FD3">
        <w:t xml:space="preserve"> concerns that this </w:t>
      </w:r>
      <w:r w:rsidR="00A21C7D">
        <w:t xml:space="preserve">practice may </w:t>
      </w:r>
      <w:r w:rsidRPr="000C671E" w:rsidR="00F33FD3">
        <w:t>promote cross-resistance or co-selection for antibiotic resistance</w:t>
      </w:r>
      <w:r w:rsidRPr="000C671E" w:rsidR="00B313A1">
        <w:t xml:space="preserve"> (</w:t>
      </w:r>
      <w:r w:rsidRPr="000C671E" w:rsidR="00366E5A">
        <w:t>Taylor and Reeder, 2020</w:t>
      </w:r>
      <w:r w:rsidRPr="000C671E" w:rsidR="00B313A1">
        <w:t>)</w:t>
      </w:r>
      <w:r w:rsidRPr="000C671E" w:rsidR="00F33FD3">
        <w:t xml:space="preserve">. </w:t>
      </w:r>
    </w:p>
    <w:p w:rsidRPr="000C671E" w:rsidR="007F28E3" w:rsidP="00694470" w:rsidRDefault="00C313AD" w14:paraId="5760E136" w14:textId="311F7109">
      <w:pPr>
        <w:pStyle w:val="IPPParagraphnumbering"/>
        <w:rPr>
          <w:shd w:val="clear" w:color="auto" w:fill="FFFFFF"/>
        </w:rPr>
      </w:pPr>
      <w:r w:rsidRPr="000C671E">
        <w:rPr>
          <w:shd w:val="clear" w:color="auto" w:fill="FFFFFF"/>
        </w:rPr>
        <w:t>Azoles are a class of chemical fungicides widely used in agriculture to protect crops from fungal diseases and prevent post-harvest spoilage. They can improve crop quality and yield, lead</w:t>
      </w:r>
      <w:r w:rsidR="00A21C7D">
        <w:rPr>
          <w:shd w:val="clear" w:color="auto" w:fill="FFFFFF"/>
        </w:rPr>
        <w:t>ing</w:t>
      </w:r>
      <w:r w:rsidRPr="000C671E">
        <w:rPr>
          <w:shd w:val="clear" w:color="auto" w:fill="FFFFFF"/>
        </w:rPr>
        <w:t xml:space="preserve"> to increased food production</w:t>
      </w:r>
      <w:r w:rsidRPr="000C671E" w:rsidR="00750FC1">
        <w:rPr>
          <w:shd w:val="clear" w:color="auto" w:fill="FFFFFF"/>
        </w:rPr>
        <w:t xml:space="preserve"> (</w:t>
      </w:r>
      <w:r w:rsidRPr="000C671E" w:rsidR="003241CF">
        <w:rPr>
          <w:shd w:val="clear" w:color="auto" w:fill="FFFFFF"/>
        </w:rPr>
        <w:t>National Academies of Sciences, Engineering, and Medicine, 2023</w:t>
      </w:r>
      <w:r w:rsidRPr="000C671E" w:rsidR="00750FC1">
        <w:rPr>
          <w:shd w:val="clear" w:color="auto" w:fill="FFFFFF"/>
        </w:rPr>
        <w:t>)</w:t>
      </w:r>
      <w:r w:rsidRPr="000C671E">
        <w:rPr>
          <w:shd w:val="clear" w:color="auto" w:fill="FFFFFF"/>
        </w:rPr>
        <w:t>.</w:t>
      </w:r>
      <w:r w:rsidRPr="000C671E" w:rsidR="008A06A5">
        <w:rPr>
          <w:shd w:val="clear" w:color="auto" w:fill="FFFFFF"/>
        </w:rPr>
        <w:t xml:space="preserve"> </w:t>
      </w:r>
      <w:r w:rsidRPr="000C671E" w:rsidR="002B252B">
        <w:rPr>
          <w:shd w:val="clear" w:color="auto" w:fill="FFFFFF"/>
        </w:rPr>
        <w:t xml:space="preserve">The U.S. Geological Survey estimated that the use of </w:t>
      </w:r>
      <w:r w:rsidRPr="000C671E" w:rsidR="006B6340">
        <w:rPr>
          <w:shd w:val="clear" w:color="auto" w:fill="FFFFFF"/>
        </w:rPr>
        <w:t xml:space="preserve">azoles </w:t>
      </w:r>
      <w:r w:rsidRPr="000C671E" w:rsidR="001713E4">
        <w:rPr>
          <w:shd w:val="clear" w:color="auto" w:fill="FFFFFF"/>
        </w:rPr>
        <w:t>increased four</w:t>
      </w:r>
      <w:r w:rsidR="00A21C7D">
        <w:rPr>
          <w:shd w:val="clear" w:color="auto" w:fill="FFFFFF"/>
        </w:rPr>
        <w:t>fold</w:t>
      </w:r>
      <w:r w:rsidRPr="000C671E" w:rsidR="001713E4">
        <w:rPr>
          <w:shd w:val="clear" w:color="auto" w:fill="FFFFFF"/>
        </w:rPr>
        <w:t xml:space="preserve"> from 2006-2016</w:t>
      </w:r>
      <w:r w:rsidR="006977AE">
        <w:rPr>
          <w:shd w:val="clear" w:color="auto" w:fill="FFFFFF"/>
        </w:rPr>
        <w:t xml:space="preserve"> (CDC, 2024)</w:t>
      </w:r>
      <w:r w:rsidR="00BE2C0C">
        <w:rPr>
          <w:shd w:val="clear" w:color="auto" w:fill="FFFFFF"/>
        </w:rPr>
        <w:t>.</w:t>
      </w:r>
      <w:r w:rsidRPr="00BE2C0C" w:rsidR="006B6340">
        <w:rPr>
          <w:color w:val="FF0000"/>
          <w:shd w:val="clear" w:color="auto" w:fill="FFFFFF"/>
        </w:rPr>
        <w:t xml:space="preserve"> </w:t>
      </w:r>
      <w:r w:rsidRPr="000C671E" w:rsidR="00680139">
        <w:rPr>
          <w:shd w:val="clear" w:color="auto" w:fill="FFFFFF"/>
        </w:rPr>
        <w:t>Th</w:t>
      </w:r>
      <w:r w:rsidRPr="000C671E" w:rsidR="00C2781A">
        <w:rPr>
          <w:shd w:val="clear" w:color="auto" w:fill="FFFFFF"/>
        </w:rPr>
        <w:t xml:space="preserve">is </w:t>
      </w:r>
      <w:r w:rsidR="00A21C7D">
        <w:rPr>
          <w:shd w:val="clear" w:color="auto" w:fill="FFFFFF"/>
        </w:rPr>
        <w:t>rise</w:t>
      </w:r>
      <w:r w:rsidRPr="000C671E" w:rsidR="00C2781A">
        <w:rPr>
          <w:shd w:val="clear" w:color="auto" w:fill="FFFFFF"/>
        </w:rPr>
        <w:t xml:space="preserve"> may be </w:t>
      </w:r>
      <w:r w:rsidR="00A21C7D">
        <w:rPr>
          <w:shd w:val="clear" w:color="auto" w:fill="FFFFFF"/>
        </w:rPr>
        <w:t>attributed to</w:t>
      </w:r>
      <w:r w:rsidRPr="000C671E" w:rsidR="00C2781A">
        <w:rPr>
          <w:shd w:val="clear" w:color="auto" w:fill="FFFFFF"/>
        </w:rPr>
        <w:t xml:space="preserve"> increase</w:t>
      </w:r>
      <w:r w:rsidR="00A21C7D">
        <w:rPr>
          <w:shd w:val="clear" w:color="auto" w:fill="FFFFFF"/>
        </w:rPr>
        <w:t>d</w:t>
      </w:r>
      <w:r w:rsidRPr="000C671E" w:rsidR="00C2781A">
        <w:rPr>
          <w:shd w:val="clear" w:color="auto" w:fill="FFFFFF"/>
        </w:rPr>
        <w:t xml:space="preserve"> corn production, </w:t>
      </w:r>
      <w:r w:rsidRPr="000C671E" w:rsidR="00713FEA">
        <w:rPr>
          <w:shd w:val="clear" w:color="auto" w:fill="FFFFFF"/>
        </w:rPr>
        <w:t xml:space="preserve">plant diseases, </w:t>
      </w:r>
      <w:r w:rsidR="00A21C7D">
        <w:rPr>
          <w:shd w:val="clear" w:color="auto" w:fill="FFFFFF"/>
        </w:rPr>
        <w:t xml:space="preserve">the introduction of </w:t>
      </w:r>
      <w:r w:rsidRPr="000C671E" w:rsidR="00713FEA">
        <w:rPr>
          <w:shd w:val="clear" w:color="auto" w:fill="FFFFFF"/>
        </w:rPr>
        <w:t xml:space="preserve">new fungicides </w:t>
      </w:r>
      <w:r w:rsidR="00A21C7D">
        <w:rPr>
          <w:shd w:val="clear" w:color="auto" w:fill="FFFFFF"/>
        </w:rPr>
        <w:t>for</w:t>
      </w:r>
      <w:r w:rsidRPr="000C671E" w:rsidR="00713FEA">
        <w:rPr>
          <w:shd w:val="clear" w:color="auto" w:fill="FFFFFF"/>
        </w:rPr>
        <w:t xml:space="preserve"> field crops, </w:t>
      </w:r>
      <w:r w:rsidRPr="000C671E" w:rsidR="007F28E3">
        <w:rPr>
          <w:shd w:val="clear" w:color="auto" w:fill="FFFFFF"/>
        </w:rPr>
        <w:t>or</w:t>
      </w:r>
      <w:r w:rsidRPr="000C671E" w:rsidR="00713FEA">
        <w:rPr>
          <w:shd w:val="clear" w:color="auto" w:fill="FFFFFF"/>
        </w:rPr>
        <w:t xml:space="preserve"> </w:t>
      </w:r>
      <w:r w:rsidR="00A21C7D">
        <w:rPr>
          <w:shd w:val="clear" w:color="auto" w:fill="FFFFFF"/>
        </w:rPr>
        <w:t xml:space="preserve">heightened </w:t>
      </w:r>
      <w:r w:rsidRPr="000C671E" w:rsidR="007F28E3">
        <w:rPr>
          <w:shd w:val="clear" w:color="auto" w:fill="FFFFFF"/>
        </w:rPr>
        <w:t>marketing</w:t>
      </w:r>
      <w:r w:rsidR="00A21C7D">
        <w:rPr>
          <w:shd w:val="clear" w:color="auto" w:fill="FFFFFF"/>
        </w:rPr>
        <w:t xml:space="preserve"> efforts</w:t>
      </w:r>
      <w:r w:rsidRPr="000C671E" w:rsidR="002071AB">
        <w:rPr>
          <w:shd w:val="clear" w:color="auto" w:fill="FFFFFF"/>
        </w:rPr>
        <w:t xml:space="preserve"> (</w:t>
      </w:r>
      <w:r w:rsidRPr="000C671E" w:rsidR="00AD4087">
        <w:rPr>
          <w:shd w:val="clear" w:color="auto" w:fill="FFFFFF"/>
        </w:rPr>
        <w:t>Toda et al., 2021</w:t>
      </w:r>
      <w:r w:rsidRPr="000C671E" w:rsidR="002071AB">
        <w:rPr>
          <w:shd w:val="clear" w:color="auto" w:fill="FFFFFF"/>
        </w:rPr>
        <w:t>)</w:t>
      </w:r>
      <w:r w:rsidRPr="000C671E" w:rsidR="007F28E3">
        <w:rPr>
          <w:shd w:val="clear" w:color="auto" w:fill="FFFFFF"/>
        </w:rPr>
        <w:t>.</w:t>
      </w:r>
      <w:r w:rsidR="00001CAC">
        <w:rPr>
          <w:shd w:val="clear" w:color="auto" w:fill="FFFFFF"/>
        </w:rPr>
        <w:t xml:space="preserve"> However,</w:t>
      </w:r>
      <w:r w:rsidRPr="000C671E" w:rsidR="007F28E3">
        <w:rPr>
          <w:shd w:val="clear" w:color="auto" w:fill="FFFFFF"/>
        </w:rPr>
        <w:t xml:space="preserve"> </w:t>
      </w:r>
      <w:r w:rsidR="00001CAC">
        <w:rPr>
          <w:shd w:val="clear" w:color="auto" w:fill="FFFFFF"/>
        </w:rPr>
        <w:t>m</w:t>
      </w:r>
      <w:r w:rsidRPr="000C671E" w:rsidR="00B21362">
        <w:rPr>
          <w:shd w:val="clear" w:color="auto" w:fill="FFFFFF"/>
        </w:rPr>
        <w:t>ore research is need</w:t>
      </w:r>
      <w:r w:rsidRPr="000C671E" w:rsidR="002C3842">
        <w:rPr>
          <w:shd w:val="clear" w:color="auto" w:fill="FFFFFF"/>
        </w:rPr>
        <w:t xml:space="preserve">ed to fully understand the </w:t>
      </w:r>
      <w:r w:rsidR="00001CAC">
        <w:rPr>
          <w:shd w:val="clear" w:color="auto" w:fill="FFFFFF"/>
        </w:rPr>
        <w:t xml:space="preserve">reasons behind this </w:t>
      </w:r>
      <w:r w:rsidRPr="000C671E" w:rsidR="00312D1E">
        <w:rPr>
          <w:shd w:val="clear" w:color="auto" w:fill="FFFFFF"/>
        </w:rPr>
        <w:t>usage increase.</w:t>
      </w:r>
    </w:p>
    <w:p w:rsidRPr="00A40BB7" w:rsidR="00C65EB6" w:rsidP="00694470" w:rsidRDefault="004840F0" w14:paraId="11CA1E77" w14:textId="672EB743">
      <w:pPr>
        <w:pStyle w:val="IPPParagraphnumbering"/>
        <w:rPr>
          <w:rFonts w:eastAsia="Calibri"/>
        </w:rPr>
      </w:pPr>
      <w:r>
        <w:t xml:space="preserve">Azole-resistant </w:t>
      </w:r>
      <w:r w:rsidRPr="00CA45AF">
        <w:rPr>
          <w:i/>
          <w:iCs/>
        </w:rPr>
        <w:t>Aspergillus fumigatus</w:t>
      </w:r>
      <w:r>
        <w:t xml:space="preserve"> is </w:t>
      </w:r>
      <w:r w:rsidR="00C16B36">
        <w:t xml:space="preserve">listed </w:t>
      </w:r>
      <w:r>
        <w:t>on the U.S. Centers for Disease Control and Prevention</w:t>
      </w:r>
      <w:r w:rsidR="00C16B36">
        <w:t>’s</w:t>
      </w:r>
      <w:r>
        <w:t xml:space="preserve"> 2019 Antibiotic Resistance Threats Report Watch List due to its potential </w:t>
      </w:r>
      <w:r w:rsidR="00C16B36">
        <w:t xml:space="preserve">for </w:t>
      </w:r>
      <w:r>
        <w:t>rapidly spread</w:t>
      </w:r>
      <w:r w:rsidR="00C16B36">
        <w:t>. T</w:t>
      </w:r>
      <w:r w:rsidR="007D49B2">
        <w:t xml:space="preserve">here have been reports of resistant </w:t>
      </w:r>
      <w:r w:rsidRPr="00CA45AF" w:rsidR="007D49B2">
        <w:rPr>
          <w:i/>
          <w:iCs/>
        </w:rPr>
        <w:t>A</w:t>
      </w:r>
      <w:r w:rsidR="007D49B2">
        <w:rPr>
          <w:i/>
          <w:iCs/>
        </w:rPr>
        <w:t>.</w:t>
      </w:r>
      <w:r w:rsidRPr="00CA45AF" w:rsidR="007D49B2">
        <w:rPr>
          <w:i/>
          <w:iCs/>
        </w:rPr>
        <w:t xml:space="preserve"> fumigatus</w:t>
      </w:r>
      <w:r w:rsidR="007D49B2">
        <w:t xml:space="preserve"> infections worldwide</w:t>
      </w:r>
      <w:r w:rsidR="00FC6C99">
        <w:t xml:space="preserve"> (</w:t>
      </w:r>
      <w:r w:rsidR="00DC6BDB">
        <w:t>CDC, 2019</w:t>
      </w:r>
      <w:r w:rsidR="00FC6C99">
        <w:t>)</w:t>
      </w:r>
      <w:r>
        <w:t xml:space="preserve">. </w:t>
      </w:r>
      <w:r w:rsidR="007D49B2">
        <w:t xml:space="preserve">In the United States, </w:t>
      </w:r>
      <w:r w:rsidR="000B6C39">
        <w:t xml:space="preserve">instances of resistant </w:t>
      </w:r>
      <w:r w:rsidRPr="00CA45AF" w:rsidR="00913446">
        <w:rPr>
          <w:i/>
          <w:iCs/>
        </w:rPr>
        <w:t>A</w:t>
      </w:r>
      <w:r w:rsidR="009C2EB6">
        <w:rPr>
          <w:i/>
          <w:iCs/>
        </w:rPr>
        <w:t>.</w:t>
      </w:r>
      <w:r w:rsidRPr="00CA45AF" w:rsidR="00913446">
        <w:rPr>
          <w:i/>
          <w:iCs/>
        </w:rPr>
        <w:t xml:space="preserve"> fumigatus</w:t>
      </w:r>
      <w:r w:rsidR="00913446">
        <w:t xml:space="preserve"> </w:t>
      </w:r>
      <w:r w:rsidR="000B6C39">
        <w:t xml:space="preserve">infections caused by strains with the same genetic mutations </w:t>
      </w:r>
      <w:r w:rsidR="00C16B36">
        <w:t xml:space="preserve">are those </w:t>
      </w:r>
      <w:r w:rsidR="00913446">
        <w:t>linked to fungicide use</w:t>
      </w:r>
      <w:r w:rsidR="00FC6C99">
        <w:t xml:space="preserve"> (</w:t>
      </w:r>
      <w:r w:rsidR="009E6AEF">
        <w:t>CDC, 2024</w:t>
      </w:r>
      <w:r w:rsidR="00FC6C99">
        <w:t>)</w:t>
      </w:r>
      <w:r w:rsidR="00913446">
        <w:t xml:space="preserve">. </w:t>
      </w:r>
    </w:p>
    <w:p w:rsidRPr="00694470" w:rsidR="00F84D70" w:rsidP="00694470" w:rsidRDefault="008B4732" w14:paraId="097E5DF2" w14:textId="1713E671">
      <w:pPr>
        <w:pStyle w:val="IPPHeading1"/>
        <w:rPr>
          <w:noProof/>
        </w:rPr>
      </w:pPr>
      <w:r w:rsidRPr="00694470">
        <w:rPr>
          <w:noProof/>
        </w:rPr>
        <w:t>Co</w:t>
      </w:r>
      <w:r w:rsidRPr="00694470" w:rsidR="00120F16">
        <w:rPr>
          <w:noProof/>
        </w:rPr>
        <w:t>nsiderations</w:t>
      </w:r>
    </w:p>
    <w:p w:rsidR="00EF3C5B" w:rsidP="00694470" w:rsidRDefault="00D63AAC" w14:paraId="6B5DA155" w14:textId="413F4DC2">
      <w:pPr>
        <w:pStyle w:val="IPPParagraphnumbering"/>
      </w:pPr>
      <w:r>
        <w:t>Antimicrobials are used on a wide variety of commodities</w:t>
      </w:r>
      <w:r w:rsidR="006D36B0">
        <w:t xml:space="preserve">, </w:t>
      </w:r>
      <w:r w:rsidR="00C16B36">
        <w:t>with</w:t>
      </w:r>
      <w:r w:rsidR="006D36B0">
        <w:t xml:space="preserve"> their use influenced by several factors, including socioeconomic</w:t>
      </w:r>
      <w:r w:rsidR="001A6C3A">
        <w:t xml:space="preserve"> and environmental </w:t>
      </w:r>
      <w:r w:rsidR="00C16B36">
        <w:t xml:space="preserve">conditions </w:t>
      </w:r>
      <w:r w:rsidR="0040584B">
        <w:t xml:space="preserve">(Tudi et al., </w:t>
      </w:r>
      <w:r w:rsidR="00AF013D">
        <w:t>2021)</w:t>
      </w:r>
      <w:r>
        <w:t xml:space="preserve">. </w:t>
      </w:r>
      <w:r w:rsidR="00543C94">
        <w:t xml:space="preserve">Both IPPC surveys and the scientific literature indicate that streptomycin, oxytetracycline, </w:t>
      </w:r>
      <w:proofErr w:type="spellStart"/>
      <w:r w:rsidR="00543C94">
        <w:t>kasugamycin</w:t>
      </w:r>
      <w:proofErr w:type="spellEnd"/>
      <w:r w:rsidR="00543C94">
        <w:t>, and gentamicin are the main antibiotics used in plant production</w:t>
      </w:r>
      <w:r w:rsidR="00234DF3">
        <w:t>,</w:t>
      </w:r>
      <w:r w:rsidR="00543C94">
        <w:t xml:space="preserve"> with streptomycin </w:t>
      </w:r>
      <w:r w:rsidR="00234DF3">
        <w:t>being</w:t>
      </w:r>
      <w:r w:rsidR="00543C94">
        <w:t xml:space="preserve"> the </w:t>
      </w:r>
      <w:r w:rsidR="00234DF3">
        <w:t>most common</w:t>
      </w:r>
      <w:r w:rsidR="00543C94">
        <w:t xml:space="preserve">. </w:t>
      </w:r>
      <w:r w:rsidRPr="00292F30" w:rsidR="00A40BB7">
        <w:t>Although many countries have pledged to reduce antibiotic</w:t>
      </w:r>
      <w:r w:rsidR="004D466D">
        <w:t xml:space="preserve"> use</w:t>
      </w:r>
      <w:r w:rsidRPr="00292F30" w:rsidR="00A40BB7">
        <w:t xml:space="preserve">, </w:t>
      </w:r>
      <w:r w:rsidR="004D466D">
        <w:t xml:space="preserve">aside from </w:t>
      </w:r>
      <w:r w:rsidR="00DC065F">
        <w:t>the European countries</w:t>
      </w:r>
      <w:r w:rsidR="004D466D">
        <w:t xml:space="preserve"> that</w:t>
      </w:r>
      <w:r w:rsidR="00831A5D">
        <w:t xml:space="preserve"> responded to the survey and indicated that they are not using the</w:t>
      </w:r>
      <w:r w:rsidR="004D466D">
        <w:t>se</w:t>
      </w:r>
      <w:r w:rsidR="00831A5D">
        <w:t xml:space="preserve"> products for plant protection, </w:t>
      </w:r>
      <w:r w:rsidRPr="00292F30" w:rsidR="00A40BB7">
        <w:t xml:space="preserve">there is no indication that </w:t>
      </w:r>
      <w:r w:rsidR="00831A5D">
        <w:t xml:space="preserve">other countries </w:t>
      </w:r>
      <w:r w:rsidR="00EF3C5B">
        <w:t>a</w:t>
      </w:r>
      <w:r w:rsidR="006F1DC1">
        <w:t xml:space="preserve">re </w:t>
      </w:r>
      <w:r w:rsidR="004D466D">
        <w:t>taking similar actions.</w:t>
      </w:r>
    </w:p>
    <w:p w:rsidR="00E378A4" w:rsidP="00694470" w:rsidRDefault="00364589" w14:paraId="136AC0B9" w14:textId="7418D64D">
      <w:pPr>
        <w:pStyle w:val="IPPParagraphnumbering"/>
      </w:pPr>
      <w:r>
        <w:t xml:space="preserve">Even though </w:t>
      </w:r>
      <w:r w:rsidR="005646FC">
        <w:t>the number of countries cu</w:t>
      </w:r>
      <w:r w:rsidR="00311344">
        <w:t>rrently using antimicrobials in plant production and protection is relatively low,</w:t>
      </w:r>
      <w:r w:rsidR="00276039">
        <w:t xml:space="preserve"> </w:t>
      </w:r>
      <w:r w:rsidR="009B0B4D">
        <w:t xml:space="preserve">it is unclear </w:t>
      </w:r>
      <w:r w:rsidR="00B25267">
        <w:t>what impact climate change will have on</w:t>
      </w:r>
      <w:r w:rsidR="003D4E1D">
        <w:t xml:space="preserve"> future</w:t>
      </w:r>
      <w:r w:rsidR="00B25267">
        <w:t xml:space="preserve"> antimicrobial usage</w:t>
      </w:r>
      <w:r w:rsidR="003D4E1D">
        <w:t xml:space="preserve">, </w:t>
      </w:r>
      <w:r w:rsidR="00B55CA0">
        <w:t>leav</w:t>
      </w:r>
      <w:r w:rsidR="00F16B55">
        <w:t>ing</w:t>
      </w:r>
      <w:r w:rsidR="00B55CA0">
        <w:t xml:space="preserve"> us with many questions</w:t>
      </w:r>
      <w:r w:rsidR="00B25267">
        <w:t xml:space="preserve">. Will </w:t>
      </w:r>
      <w:r w:rsidR="00484B11">
        <w:t>climate change</w:t>
      </w:r>
      <w:r w:rsidR="00372A07">
        <w:t xml:space="preserve"> (</w:t>
      </w:r>
      <w:r w:rsidR="00CE368B">
        <w:t>e.g. increased temperatures</w:t>
      </w:r>
      <w:r w:rsidR="00387562">
        <w:t xml:space="preserve"> and </w:t>
      </w:r>
      <w:r w:rsidR="00CE368B">
        <w:t>rainfall, milder winters)</w:t>
      </w:r>
      <w:r w:rsidR="00484B11">
        <w:t xml:space="preserve"> increase the prevalence of fungal infections in crops</w:t>
      </w:r>
      <w:r w:rsidR="00F16B55">
        <w:t xml:space="preserve">, </w:t>
      </w:r>
      <w:r w:rsidR="00484B11">
        <w:t>driv</w:t>
      </w:r>
      <w:r w:rsidR="00F16B55">
        <w:t>ing</w:t>
      </w:r>
      <w:r w:rsidR="00484B11">
        <w:t xml:space="preserve"> a</w:t>
      </w:r>
      <w:r w:rsidR="00F16B55">
        <w:t xml:space="preserve"> corresponding rise</w:t>
      </w:r>
      <w:r w:rsidR="00484B11">
        <w:t xml:space="preserve"> in </w:t>
      </w:r>
      <w:r w:rsidR="00217BA0">
        <w:t xml:space="preserve">azole </w:t>
      </w:r>
      <w:r w:rsidR="00484B11">
        <w:t>use agriculture?</w:t>
      </w:r>
      <w:r w:rsidR="001B1488">
        <w:t xml:space="preserve"> How will a potential increase in fungicide</w:t>
      </w:r>
      <w:r w:rsidR="004D186D">
        <w:t xml:space="preserve"> use</w:t>
      </w:r>
      <w:r w:rsidR="001B1488">
        <w:t xml:space="preserve"> impact </w:t>
      </w:r>
      <w:r w:rsidRPr="00BE2C0C" w:rsidR="00AC27A3">
        <w:t xml:space="preserve">plant, animal and </w:t>
      </w:r>
      <w:r w:rsidRPr="00BE2C0C" w:rsidR="001B1488">
        <w:t xml:space="preserve">human </w:t>
      </w:r>
      <w:r w:rsidR="001B1488">
        <w:t xml:space="preserve">health when invasive fungal diseases are already </w:t>
      </w:r>
      <w:r w:rsidR="004D186D">
        <w:t xml:space="preserve">on the </w:t>
      </w:r>
      <w:r w:rsidR="001B1488">
        <w:t>ris</w:t>
      </w:r>
      <w:r w:rsidR="004D186D">
        <w:t>e</w:t>
      </w:r>
      <w:r w:rsidR="001B1488">
        <w:t>?</w:t>
      </w:r>
      <w:r w:rsidR="0024416F">
        <w:t xml:space="preserve"> </w:t>
      </w:r>
      <w:r w:rsidR="005C7089">
        <w:t xml:space="preserve">How </w:t>
      </w:r>
      <w:r w:rsidR="00921F96">
        <w:t xml:space="preserve">will climate change </w:t>
      </w:r>
      <w:r w:rsidR="00C06829">
        <w:t xml:space="preserve">affect </w:t>
      </w:r>
      <w:r w:rsidR="00921F96">
        <w:t xml:space="preserve">the life cycle of plant </w:t>
      </w:r>
      <w:r w:rsidR="00921F96">
        <w:t>pests</w:t>
      </w:r>
      <w:r w:rsidR="00832798">
        <w:t xml:space="preserve"> </w:t>
      </w:r>
      <w:r w:rsidR="00BB6861">
        <w:t xml:space="preserve">and </w:t>
      </w:r>
      <w:r w:rsidR="00C06829">
        <w:t xml:space="preserve">the </w:t>
      </w:r>
      <w:r w:rsidR="00BB6861">
        <w:t>harvest loss</w:t>
      </w:r>
      <w:r w:rsidR="00C06829">
        <w:t>es</w:t>
      </w:r>
      <w:r w:rsidR="00BB6861">
        <w:t xml:space="preserve"> </w:t>
      </w:r>
      <w:r w:rsidR="00C06829">
        <w:t>they cause</w:t>
      </w:r>
      <w:r w:rsidR="00BB6861">
        <w:t>?</w:t>
      </w:r>
      <w:r w:rsidR="003440CD">
        <w:t xml:space="preserve"> </w:t>
      </w:r>
      <w:r w:rsidR="003F36A8">
        <w:t>C</w:t>
      </w:r>
      <w:r w:rsidR="003440CD">
        <w:t>limate change</w:t>
      </w:r>
      <w:r w:rsidR="00D164C2">
        <w:t xml:space="preserve">, </w:t>
      </w:r>
      <w:r w:rsidR="00C06829">
        <w:t>coupled with</w:t>
      </w:r>
      <w:r w:rsidR="00D164C2">
        <w:t xml:space="preserve"> an increasing demand for food and fiber,</w:t>
      </w:r>
      <w:r w:rsidR="003440CD">
        <w:t xml:space="preserve"> could </w:t>
      </w:r>
      <w:r w:rsidR="00C06829">
        <w:t xml:space="preserve">significantly alter </w:t>
      </w:r>
      <w:r w:rsidR="003440CD">
        <w:t xml:space="preserve">pesticide </w:t>
      </w:r>
      <w:r w:rsidR="00064CF2">
        <w:t>use in the future.</w:t>
      </w:r>
      <w:r w:rsidR="00316549">
        <w:t xml:space="preserve"> </w:t>
      </w:r>
    </w:p>
    <w:p w:rsidRPr="00694470" w:rsidR="0023398B" w:rsidP="00694470" w:rsidRDefault="0023398B" w14:paraId="0672BBAC" w14:textId="24E176A2">
      <w:pPr>
        <w:pStyle w:val="IPPHeading1"/>
      </w:pPr>
      <w:r w:rsidRPr="00694470">
        <w:t>Strategic Objectives</w:t>
      </w:r>
    </w:p>
    <w:p w:rsidR="00C02DE1" w:rsidP="00694470" w:rsidRDefault="00BE6C6A" w14:paraId="33693FA2" w14:textId="613A842A">
      <w:pPr>
        <w:pStyle w:val="IPPParagraphnumbering"/>
      </w:pPr>
      <w:r w:rsidRPr="00322DAC">
        <w:t>A lack of</w:t>
      </w:r>
      <w:r w:rsidR="00784D64">
        <w:t xml:space="preserve"> research</w:t>
      </w:r>
      <w:r w:rsidR="00B8575B">
        <w:t xml:space="preserve"> and</w:t>
      </w:r>
      <w:r w:rsidRPr="00322DAC">
        <w:t xml:space="preserve"> anti</w:t>
      </w:r>
      <w:r w:rsidR="00A53490">
        <w:t>microbial</w:t>
      </w:r>
      <w:r w:rsidRPr="00322DAC">
        <w:t xml:space="preserve"> stewardship in agricultural practices and plant health highlights the need for</w:t>
      </w:r>
      <w:r w:rsidR="00C02DE1">
        <w:t xml:space="preserve"> strategic improvements in </w:t>
      </w:r>
      <w:r w:rsidR="00E960E5">
        <w:t xml:space="preserve">the overall response to </w:t>
      </w:r>
      <w:r w:rsidR="00E817C2">
        <w:t xml:space="preserve">AMR. </w:t>
      </w:r>
      <w:r w:rsidR="0098299B">
        <w:t xml:space="preserve">In 2022, the </w:t>
      </w:r>
      <w:r w:rsidR="00243650">
        <w:t>World Health Organization (</w:t>
      </w:r>
      <w:r w:rsidR="0098299B">
        <w:t>WHO</w:t>
      </w:r>
      <w:r w:rsidR="00243650">
        <w:t>)</w:t>
      </w:r>
      <w:r w:rsidR="0098299B">
        <w:t xml:space="preserve"> developed the first fungal priority pathogens list (FPPL) to systematically prioritize fungal pathogens and drive research and policy interventions to strengthen the global response to fungal infections and antifungal resistance. </w:t>
      </w:r>
      <w:r w:rsidR="0011209C">
        <w:t xml:space="preserve">The WHO proposed </w:t>
      </w:r>
      <w:r w:rsidR="00F37D1C">
        <w:t xml:space="preserve">focusing </w:t>
      </w:r>
      <w:r w:rsidR="0021100B">
        <w:t>on</w:t>
      </w:r>
      <w:r w:rsidR="00F37D1C">
        <w:t xml:space="preserve"> 1) strengthening </w:t>
      </w:r>
      <w:r w:rsidR="000D7625">
        <w:t>laboratory capacity and surveillance, 2)</w:t>
      </w:r>
      <w:r w:rsidR="00B12CCA">
        <w:t xml:space="preserve"> sustainable investments in research, development, and innovation, and 3) public health inte</w:t>
      </w:r>
      <w:r w:rsidR="00051042">
        <w:t xml:space="preserve">rventions, which incorporates </w:t>
      </w:r>
      <w:r w:rsidR="000E28A9">
        <w:t xml:space="preserve">collaboration across sectors to address the impact </w:t>
      </w:r>
      <w:r w:rsidR="003D7CB2">
        <w:t xml:space="preserve">of antifungal use on resistance </w:t>
      </w:r>
      <w:r w:rsidR="003B6C4F">
        <w:t xml:space="preserve">within </w:t>
      </w:r>
      <w:r w:rsidR="003D7CB2">
        <w:t xml:space="preserve">the One Health </w:t>
      </w:r>
      <w:r w:rsidR="00A40928">
        <w:t>paradigm</w:t>
      </w:r>
      <w:r w:rsidR="008578F5">
        <w:t xml:space="preserve"> (WHO</w:t>
      </w:r>
      <w:r w:rsidR="00397E0A">
        <w:t>,</w:t>
      </w:r>
      <w:r w:rsidR="008578F5">
        <w:t xml:space="preserve"> 2022)</w:t>
      </w:r>
      <w:r w:rsidR="00A40928">
        <w:t xml:space="preserve">. </w:t>
      </w:r>
    </w:p>
    <w:p w:rsidR="001B2DA1" w:rsidP="00694470" w:rsidRDefault="00996F61" w14:paraId="598ED6E4" w14:textId="45C0450D">
      <w:pPr>
        <w:pStyle w:val="IPPParagraphnumberingclose"/>
      </w:pPr>
      <w:r>
        <w:t xml:space="preserve">The </w:t>
      </w:r>
      <w:r w:rsidR="00032A6A">
        <w:t>W</w:t>
      </w:r>
      <w:r w:rsidR="00243650">
        <w:t>HO’s</w:t>
      </w:r>
      <w:r>
        <w:t xml:space="preserve"> acknowledgement of the need to invest </w:t>
      </w:r>
      <w:r w:rsidR="00F64EED">
        <w:t xml:space="preserve">in research, development, and innovation </w:t>
      </w:r>
      <w:r w:rsidR="00423E66">
        <w:t xml:space="preserve">supports the notion that </w:t>
      </w:r>
      <w:r w:rsidR="00366F09">
        <w:t xml:space="preserve">One Health relies on the development and application of </w:t>
      </w:r>
      <w:r w:rsidR="004F6945">
        <w:t>technological advances</w:t>
      </w:r>
      <w:r w:rsidR="00366F09">
        <w:t xml:space="preserve"> aimed at </w:t>
      </w:r>
      <w:r w:rsidR="00447E22">
        <w:t xml:space="preserve">prevention, </w:t>
      </w:r>
      <w:r w:rsidR="00366F09">
        <w:t xml:space="preserve">early detection of emerging </w:t>
      </w:r>
      <w:r w:rsidR="00C328B3">
        <w:t>threats</w:t>
      </w:r>
      <w:r w:rsidR="00447E22">
        <w:t>,</w:t>
      </w:r>
      <w:r w:rsidR="00C328B3">
        <w:t xml:space="preserve"> and enhancing preparedness and response. </w:t>
      </w:r>
      <w:r w:rsidR="00474220">
        <w:t xml:space="preserve">By incorporating </w:t>
      </w:r>
      <w:r w:rsidR="00481194">
        <w:t>technological advances into integrated pest management</w:t>
      </w:r>
      <w:r w:rsidR="00F75247">
        <w:t xml:space="preserve"> (IPM)</w:t>
      </w:r>
      <w:r w:rsidR="00481194">
        <w:t xml:space="preserve"> </w:t>
      </w:r>
      <w:r w:rsidR="00B868E6">
        <w:t xml:space="preserve">techniques, </w:t>
      </w:r>
      <w:r w:rsidR="003D5EC0">
        <w:t>countries could</w:t>
      </w:r>
      <w:r w:rsidR="00DF0ADF">
        <w:t xml:space="preserve"> </w:t>
      </w:r>
      <w:r w:rsidR="00DC4E50">
        <w:t xml:space="preserve">slow </w:t>
      </w:r>
      <w:r w:rsidR="00DF0ADF">
        <w:t xml:space="preserve">the </w:t>
      </w:r>
      <w:r w:rsidR="00DC4E50">
        <w:t>emergence</w:t>
      </w:r>
      <w:r w:rsidR="008733C5">
        <w:t xml:space="preserve"> of AMR and</w:t>
      </w:r>
      <w:r w:rsidR="003D5EC0">
        <w:t xml:space="preserve"> have </w:t>
      </w:r>
      <w:r w:rsidR="004002D3">
        <w:t xml:space="preserve">more </w:t>
      </w:r>
      <w:r w:rsidR="005B3111">
        <w:t>effective alternatives to antimicrobial use, including:</w:t>
      </w:r>
    </w:p>
    <w:p w:rsidR="005B3111" w:rsidP="00991B1F" w:rsidRDefault="001A758C" w14:paraId="47818591" w14:textId="2030CB64">
      <w:pPr>
        <w:pStyle w:val="IPPBullet1"/>
      </w:pPr>
      <w:r>
        <w:t>Improved practices to prevent the introduction of pathogens into crops</w:t>
      </w:r>
      <w:r w:rsidR="008E68C1">
        <w:t>,</w:t>
      </w:r>
    </w:p>
    <w:p w:rsidR="00333864" w:rsidP="00991B1F" w:rsidRDefault="00333864" w14:paraId="22C2C099" w14:textId="228A8A9B">
      <w:pPr>
        <w:pStyle w:val="IPPBullet1"/>
      </w:pPr>
      <w:r>
        <w:t>Accurate diagnosis and monitoring,</w:t>
      </w:r>
    </w:p>
    <w:p w:rsidR="001A758C" w:rsidP="00991B1F" w:rsidRDefault="00C81A95" w14:paraId="658C42F2" w14:textId="54B5803A">
      <w:pPr>
        <w:pStyle w:val="IPPBullet1"/>
      </w:pPr>
      <w:r>
        <w:t>Strategic site selection and soil improvement</w:t>
      </w:r>
      <w:r w:rsidR="008E68C1">
        <w:t>,</w:t>
      </w:r>
    </w:p>
    <w:p w:rsidR="008E68C1" w:rsidP="00991B1F" w:rsidRDefault="00333864" w14:paraId="24236C4B" w14:textId="094A18EB">
      <w:pPr>
        <w:pStyle w:val="IPPBullet1"/>
      </w:pPr>
      <w:r>
        <w:t>Biological products, and</w:t>
      </w:r>
    </w:p>
    <w:p w:rsidRPr="005B3111" w:rsidR="00333864" w:rsidP="00991B1F" w:rsidRDefault="00153A7C" w14:paraId="7F453BA7" w14:textId="2AEF4D21">
      <w:pPr>
        <w:pStyle w:val="IPPBullet1Last"/>
      </w:pPr>
      <w:r>
        <w:t>Disease-resistant varieties and rootstocks</w:t>
      </w:r>
      <w:r w:rsidR="00AB6EDD">
        <w:t xml:space="preserve"> (Miller et al., 2022)</w:t>
      </w:r>
      <w:r>
        <w:t>.</w:t>
      </w:r>
    </w:p>
    <w:p w:rsidR="00322DAC" w:rsidP="00991B1F" w:rsidRDefault="00ED39F9" w14:paraId="0DAA0029" w14:textId="4A6D0EE6">
      <w:pPr>
        <w:pStyle w:val="IPPParagraphnumbering"/>
      </w:pPr>
      <w:r>
        <w:t xml:space="preserve">Promoting </w:t>
      </w:r>
      <w:r w:rsidR="00F75247">
        <w:t>IPM with adequate monitoring</w:t>
      </w:r>
      <w:r w:rsidR="00FD2BB2">
        <w:t xml:space="preserve">, </w:t>
      </w:r>
      <w:r w:rsidR="007B32C6">
        <w:t>outreach, and education</w:t>
      </w:r>
      <w:r w:rsidR="00B97F4A">
        <w:t>,</w:t>
      </w:r>
      <w:r w:rsidR="00C37B76">
        <w:t xml:space="preserve"> and encouraging research to </w:t>
      </w:r>
      <w:r w:rsidR="00DC4E50">
        <w:t>move</w:t>
      </w:r>
      <w:r w:rsidR="00C37B76">
        <w:t xml:space="preserve"> away from chemical tools</w:t>
      </w:r>
      <w:r w:rsidR="004B29BC">
        <w:t xml:space="preserve"> and toward developing pathogen</w:t>
      </w:r>
      <w:r w:rsidR="00DC4E50">
        <w:t>-</w:t>
      </w:r>
      <w:r w:rsidR="004B29BC">
        <w:t>resistant cultivars</w:t>
      </w:r>
      <w:r w:rsidR="00AF44D7">
        <w:t>,</w:t>
      </w:r>
      <w:r w:rsidR="004B29BC">
        <w:t xml:space="preserve"> </w:t>
      </w:r>
      <w:r w:rsidR="00B12ED8">
        <w:t xml:space="preserve">could have significant positive impacts on </w:t>
      </w:r>
      <w:r w:rsidR="0052690B">
        <w:t>plant ecosystems</w:t>
      </w:r>
      <w:r w:rsidR="009A6BEC">
        <w:t>, food security, and human health.</w:t>
      </w:r>
      <w:r w:rsidR="00220A29">
        <w:t xml:space="preserve"> Since there is little to no understanding of the role of non-pathogens (</w:t>
      </w:r>
      <w:r w:rsidR="00AF44D7">
        <w:t xml:space="preserve">e.g., </w:t>
      </w:r>
      <w:r w:rsidR="00220A29">
        <w:t xml:space="preserve">environmental microbiota) in AMR reservoirs, </w:t>
      </w:r>
      <w:r w:rsidR="00021553">
        <w:t xml:space="preserve">the plant health community would also benefit from monitoring all pathogens in ecosystems to detect AMR in non-target pathogens. </w:t>
      </w:r>
    </w:p>
    <w:p w:rsidR="00DB5EC6" w:rsidP="00991B1F" w:rsidRDefault="00622418" w14:paraId="56D4828D" w14:textId="1DC24A8D">
      <w:pPr>
        <w:pStyle w:val="IPPParagraphnumbering"/>
      </w:pPr>
      <w:r w:rsidRPr="003305F7">
        <w:t>A</w:t>
      </w:r>
      <w:r w:rsidR="00042C61">
        <w:t>long these same lines, a</w:t>
      </w:r>
      <w:r w:rsidRPr="003305F7">
        <w:t>n</w:t>
      </w:r>
      <w:r w:rsidR="006C5A4B">
        <w:t>other</w:t>
      </w:r>
      <w:r w:rsidRPr="003305F7">
        <w:t xml:space="preserve"> important objective of the One Health strategy is to build a comprehensive and effective One Health early-warning system</w:t>
      </w:r>
      <w:r w:rsidRPr="003305F7">
        <w:rPr>
          <w:b/>
          <w:bCs/>
        </w:rPr>
        <w:t xml:space="preserve"> </w:t>
      </w:r>
      <w:r w:rsidRPr="003305F7">
        <w:t>to potentially prevent or limit the next adverse health event (e.g.</w:t>
      </w:r>
      <w:r w:rsidR="00A25F5F">
        <w:t>,</w:t>
      </w:r>
      <w:r w:rsidRPr="003305F7">
        <w:t xml:space="preserve"> outbreak and spread). </w:t>
      </w:r>
      <w:r w:rsidR="00C64DC9">
        <w:t xml:space="preserve">An </w:t>
      </w:r>
      <w:r w:rsidRPr="003305F7">
        <w:t xml:space="preserve">early-warning system that </w:t>
      </w:r>
      <w:r w:rsidR="009B0EB5">
        <w:t>integrates</w:t>
      </w:r>
      <w:r w:rsidRPr="003305F7">
        <w:t xml:space="preserve"> </w:t>
      </w:r>
      <w:r w:rsidR="000124C3">
        <w:t xml:space="preserve">the </w:t>
      </w:r>
      <w:r w:rsidRPr="003305F7">
        <w:t>human, animal</w:t>
      </w:r>
      <w:r w:rsidR="009B0EB5">
        <w:t>,</w:t>
      </w:r>
      <w:r w:rsidRPr="003305F7">
        <w:t xml:space="preserve"> and plant</w:t>
      </w:r>
      <w:r w:rsidR="000124C3">
        <w:t xml:space="preserve"> sectors</w:t>
      </w:r>
      <w:r w:rsidRPr="003305F7">
        <w:t xml:space="preserve"> would result in efficiencies, consistent information flow, </w:t>
      </w:r>
      <w:r w:rsidR="00B12EC4">
        <w:t xml:space="preserve">and integrated </w:t>
      </w:r>
      <w:r w:rsidRPr="003305F7">
        <w:t>data management and analysis</w:t>
      </w:r>
      <w:r w:rsidR="00B12EC4">
        <w:t>.</w:t>
      </w:r>
    </w:p>
    <w:p w:rsidRPr="00004AFB" w:rsidR="00004AFB" w:rsidP="00F55596" w:rsidRDefault="00534E15" w14:paraId="6EE4593B" w14:textId="1BB721B4">
      <w:pPr>
        <w:pStyle w:val="IPPParagraphnumbering"/>
        <w:rPr>
          <w:color w:val="BF4E14" w:themeColor="accent2" w:themeShade="BF"/>
        </w:rPr>
      </w:pPr>
      <w:r w:rsidRPr="000B057E">
        <w:t>Despite recommendations and strategic di</w:t>
      </w:r>
      <w:r w:rsidRPr="000B057E" w:rsidR="005559D0">
        <w:t>scussions</w:t>
      </w:r>
      <w:r w:rsidRPr="00534E15">
        <w:t xml:space="preserve"> about the need to include plant health in AMR discussions and actions, the lack of technical and policy specialists </w:t>
      </w:r>
      <w:r w:rsidR="00452FA0">
        <w:t>working</w:t>
      </w:r>
      <w:r w:rsidRPr="00534E15">
        <w:t xml:space="preserve"> at the interface between human/animal health and plant health within governments makes it difficult to connect initiatives and decision-making</w:t>
      </w:r>
      <w:r w:rsidR="00452FA0">
        <w:t>. E</w:t>
      </w:r>
      <w:r w:rsidR="00047733">
        <w:t xml:space="preserve">ach sector is </w:t>
      </w:r>
      <w:r w:rsidRPr="00534E15">
        <w:t xml:space="preserve">still operating in silos at </w:t>
      </w:r>
      <w:r w:rsidR="00047733">
        <w:t xml:space="preserve">the </w:t>
      </w:r>
      <w:r w:rsidRPr="00534E15">
        <w:t xml:space="preserve">implementation level. </w:t>
      </w:r>
      <w:r w:rsidR="00E07761">
        <w:t>Effective One Health strategies</w:t>
      </w:r>
      <w:r w:rsidR="00976F08">
        <w:t xml:space="preserve"> rely on a collaborative approach </w:t>
      </w:r>
      <w:r w:rsidR="00452FA0">
        <w:t>involving</w:t>
      </w:r>
      <w:r w:rsidR="00976F08">
        <w:t xml:space="preserve"> partners</w:t>
      </w:r>
      <w:r w:rsidR="00F02525">
        <w:t xml:space="preserve"> across sectors, </w:t>
      </w:r>
      <w:r w:rsidR="00E44434">
        <w:t xml:space="preserve">governments, private entities, and </w:t>
      </w:r>
      <w:r w:rsidR="0092307E">
        <w:t>various</w:t>
      </w:r>
      <w:r w:rsidR="002829F4">
        <w:t xml:space="preserve"> research partners to protect agricultural and natural resources. </w:t>
      </w:r>
      <w:r w:rsidR="00450C9A">
        <w:t xml:space="preserve">The plant health sector would benefit from </w:t>
      </w:r>
      <w:r w:rsidR="006A5531">
        <w:t xml:space="preserve">working with the </w:t>
      </w:r>
      <w:r w:rsidR="009B5EF8">
        <w:t>human and animal health sectors to</w:t>
      </w:r>
      <w:r w:rsidR="009D4B9E">
        <w:t xml:space="preserve"> </w:t>
      </w:r>
      <w:r w:rsidR="008728E4">
        <w:t>better understand the transmission of AMR</w:t>
      </w:r>
      <w:r w:rsidR="00F30104">
        <w:t>, including how pathogen</w:t>
      </w:r>
      <w:r w:rsidR="006F6B72">
        <w:t>s</w:t>
      </w:r>
      <w:r w:rsidR="00F30104">
        <w:t xml:space="preserve"> </w:t>
      </w:r>
      <w:r w:rsidR="00DC5B49">
        <w:t>move between environments, habitats, commercial, and other pathways</w:t>
      </w:r>
      <w:r w:rsidR="008728E4">
        <w:t xml:space="preserve"> and </w:t>
      </w:r>
      <w:r w:rsidR="00C72218">
        <w:t xml:space="preserve">to </w:t>
      </w:r>
      <w:r w:rsidR="009D4B9E">
        <w:t>ensure th</w:t>
      </w:r>
      <w:r w:rsidR="001D4992">
        <w:t>at</w:t>
      </w:r>
      <w:r w:rsidR="009D4B9E">
        <w:t xml:space="preserve"> </w:t>
      </w:r>
      <w:r w:rsidR="007E118A">
        <w:t>antimicrobials remain effective.</w:t>
      </w:r>
      <w:r w:rsidR="009B5EF8">
        <w:t xml:space="preserve"> </w:t>
      </w:r>
    </w:p>
    <w:p w:rsidRPr="00F55596" w:rsidR="00633371" w:rsidP="00F55596" w:rsidRDefault="00701FD4" w14:paraId="691E20B8" w14:textId="77777777">
      <w:pPr>
        <w:pStyle w:val="IPPHeading1"/>
      </w:pPr>
      <w:r w:rsidRPr="00F55596">
        <w:t>Recent, related IPPC Discussion and Decisions</w:t>
      </w:r>
    </w:p>
    <w:p w:rsidR="002A6FC9" w:rsidP="006449F6" w:rsidRDefault="00910B01" w14:paraId="320600BA" w14:textId="71A26F01">
      <w:pPr>
        <w:pStyle w:val="IPPParagraphnumbering"/>
      </w:pPr>
      <w:r w:rsidRPr="00633371">
        <w:t>At the Commission of Phytosanitary Measures</w:t>
      </w:r>
      <w:r w:rsidR="00DB5EC6">
        <w:t xml:space="preserve"> (CPM)</w:t>
      </w:r>
      <w:r w:rsidRPr="00633371">
        <w:t xml:space="preserve"> meeting in April 2024, the Bureau reiterated the need to distinguish between antibiotics and fungicides in the phytosanitary arena and to focus on fungicides</w:t>
      </w:r>
      <w:r w:rsidR="006F6B72">
        <w:t>,</w:t>
      </w:r>
      <w:r w:rsidRPr="00633371">
        <w:t xml:space="preserve"> given the </w:t>
      </w:r>
      <w:r w:rsidR="006F6B72">
        <w:t>use of</w:t>
      </w:r>
      <w:r w:rsidRPr="00633371">
        <w:t xml:space="preserve"> fungicides in plant protection compared to antibiotics. The Bureau also noted the need to</w:t>
      </w:r>
      <w:r w:rsidR="006F6B72">
        <w:t xml:space="preserve"> gather</w:t>
      </w:r>
      <w:r w:rsidRPr="00633371">
        <w:t xml:space="preserve"> evidence not only of resistance in plants but of how the use of these products affects animal and human health.</w:t>
      </w:r>
    </w:p>
    <w:p w:rsidR="0046030A" w:rsidP="006449F6" w:rsidRDefault="005D088B" w14:paraId="3B4518C4" w14:textId="3CF7343E">
      <w:pPr>
        <w:pStyle w:val="IPPParagraphnumbering"/>
      </w:pPr>
      <w:r>
        <w:t xml:space="preserve">The IPPC Secretariat </w:t>
      </w:r>
      <w:r w:rsidR="00F43B1A">
        <w:t xml:space="preserve">made </w:t>
      </w:r>
      <w:r>
        <w:t>a call for experts to join the CPM focus group on plant health in the context of One Health. The group</w:t>
      </w:r>
      <w:r w:rsidR="00012F27">
        <w:t>’s objective is</w:t>
      </w:r>
      <w:r>
        <w:t xml:space="preserve"> to conduct a preliminary study aimed at </w:t>
      </w:r>
      <w:r w:rsidR="00245298">
        <w:t xml:space="preserve">identifying the One Health topics where plant health could contribute to One health or where One Health could impact plant health. </w:t>
      </w:r>
      <w:r w:rsidR="002116ED">
        <w:t>The focus group will also dra</w:t>
      </w:r>
      <w:r w:rsidR="00012F27">
        <w:t>ft</w:t>
      </w:r>
      <w:r w:rsidR="002116ED">
        <w:t xml:space="preserve"> an action plan for communication and advocacy.</w:t>
      </w:r>
    </w:p>
    <w:p w:rsidR="00423329" w:rsidP="006449F6" w:rsidRDefault="002A6FC9" w14:paraId="731D70DB" w14:textId="467DCC1A">
      <w:pPr>
        <w:pStyle w:val="IPPParagraphnumbering"/>
      </w:pPr>
      <w:r>
        <w:t xml:space="preserve">The IPPC Secretariat </w:t>
      </w:r>
      <w:r w:rsidR="00012F27">
        <w:t xml:space="preserve">has </w:t>
      </w:r>
      <w:r w:rsidR="00546469">
        <w:t>arrange</w:t>
      </w:r>
      <w:r w:rsidR="00012F27">
        <w:t>d</w:t>
      </w:r>
      <w:r w:rsidR="00546469">
        <w:t xml:space="preserve"> to represent the IPPC community and present a paper at the Eight</w:t>
      </w:r>
      <w:r w:rsidR="005109D5">
        <w:t>h</w:t>
      </w:r>
      <w:r w:rsidR="00546469">
        <w:t xml:space="preserve"> World One Health Congress</w:t>
      </w:r>
      <w:r w:rsidR="00CE2987">
        <w:t xml:space="preserve"> in September 2024. </w:t>
      </w:r>
      <w:r w:rsidR="00E23514">
        <w:t xml:space="preserve">The paper </w:t>
      </w:r>
      <w:r w:rsidR="00012F27">
        <w:t xml:space="preserve">will </w:t>
      </w:r>
      <w:r w:rsidR="00E23514">
        <w:t xml:space="preserve">outline the benefits and importance of developing a coordinated One Health early-warning framework that </w:t>
      </w:r>
      <w:r w:rsidR="002D6C0D">
        <w:t xml:space="preserve">includes the human, animal and plant health sectors, </w:t>
      </w:r>
      <w:r w:rsidR="000405AA">
        <w:t>enabl</w:t>
      </w:r>
      <w:r w:rsidR="00012F27">
        <w:t>ing the</w:t>
      </w:r>
      <w:r w:rsidR="000405AA">
        <w:t xml:space="preserve"> identification of emerging pathogens of broader concern.</w:t>
      </w:r>
    </w:p>
    <w:p w:rsidRPr="003241CF" w:rsidR="00436B27" w:rsidP="006449F6" w:rsidRDefault="001E4557" w14:paraId="589A79EF" w14:textId="3CBD424C">
      <w:pPr>
        <w:pStyle w:val="IPPParagraphnumbering"/>
      </w:pPr>
      <w:r>
        <w:t xml:space="preserve">The IPPC Secretariat will organize a </w:t>
      </w:r>
      <w:r w:rsidR="00FB79DD">
        <w:t>CPM side session on One Health for CPM-19 (2025) to continue informing CPM members about One Health</w:t>
      </w:r>
      <w:r w:rsidR="00C94289">
        <w:t xml:space="preserve"> activities while also soliciting input for refining IPPC plans and objectives in the One Health space.</w:t>
      </w:r>
    </w:p>
    <w:p w:rsidRPr="006449F6" w:rsidR="0036482A" w:rsidP="006449F6" w:rsidRDefault="00345B3C" w14:paraId="4BE77AD0" w14:textId="77777777">
      <w:pPr>
        <w:pStyle w:val="IPPHeading1"/>
      </w:pPr>
      <w:r w:rsidRPr="006449F6">
        <w:t>Looking Ahead</w:t>
      </w:r>
    </w:p>
    <w:p w:rsidR="00DF7BCB" w:rsidP="006449F6" w:rsidRDefault="00443B19" w14:paraId="06D2FF49" w14:textId="6E4F9B1D">
      <w:pPr>
        <w:pStyle w:val="IPPParagraphnumbering"/>
      </w:pPr>
      <w:r>
        <w:t xml:space="preserve">Antimicrobial resistance </w:t>
      </w:r>
      <w:r w:rsidR="0016491E">
        <w:t>is one of the greatest global threats to the health of humans, animals, plants, and the environment</w:t>
      </w:r>
      <w:r w:rsidR="00A8624C">
        <w:t xml:space="preserve">, and our global connectivity </w:t>
      </w:r>
      <w:r w:rsidR="00DB08A9">
        <w:t xml:space="preserve">increases the movement of </w:t>
      </w:r>
      <w:r w:rsidR="0021066E">
        <w:t>pests and pathogens</w:t>
      </w:r>
      <w:r w:rsidR="009B2FC6">
        <w:t xml:space="preserve"> </w:t>
      </w:r>
      <w:r w:rsidRPr="00B5369C" w:rsidR="009B2FC6">
        <w:t>(</w:t>
      </w:r>
      <w:r w:rsidRPr="00B5369C" w:rsidR="00B5369C">
        <w:t>WHO et al., 2023</w:t>
      </w:r>
      <w:r w:rsidRPr="00B5369C" w:rsidR="009B2FC6">
        <w:t>).</w:t>
      </w:r>
      <w:r w:rsidR="009B2FC6">
        <w:t xml:space="preserve"> </w:t>
      </w:r>
      <w:r w:rsidR="00BE5230">
        <w:t xml:space="preserve">Beyond </w:t>
      </w:r>
      <w:r w:rsidR="0076389B">
        <w:t>its</w:t>
      </w:r>
      <w:r w:rsidR="00BE5230">
        <w:t xml:space="preserve"> direct implications for food security, AMR threatens </w:t>
      </w:r>
      <w:r w:rsidR="00AA59B3">
        <w:t>the livelihoods of those who raise animals for subsistence</w:t>
      </w:r>
      <w:r w:rsidR="0076389B">
        <w:t xml:space="preserve">, potentially </w:t>
      </w:r>
      <w:r w:rsidR="00261A2B">
        <w:t>forc</w:t>
      </w:r>
      <w:r w:rsidR="0076389B">
        <w:t>ing them</w:t>
      </w:r>
      <w:r w:rsidR="00261A2B">
        <w:t xml:space="preserve"> into poverty</w:t>
      </w:r>
      <w:r w:rsidR="0076389B">
        <w:t xml:space="preserve"> – many of whom </w:t>
      </w:r>
      <w:r w:rsidR="000A0B26">
        <w:t xml:space="preserve">are in </w:t>
      </w:r>
      <w:r w:rsidR="00241435">
        <w:t>low-income</w:t>
      </w:r>
      <w:r w:rsidR="0070572C">
        <w:t xml:space="preserve"> countries. Countries with weak legislation, regulatory surveillance, and monitoring systems are </w:t>
      </w:r>
      <w:r w:rsidR="00241435">
        <w:t>at an even greater risk</w:t>
      </w:r>
      <w:r w:rsidR="00C14ECB">
        <w:t xml:space="preserve"> (FAO, 2024b)</w:t>
      </w:r>
      <w:r w:rsidR="00241435">
        <w:t>.</w:t>
      </w:r>
      <w:r w:rsidR="004E642E">
        <w:t xml:space="preserve"> AMR is especially challenging in low- and middle-income countries due to limited resources</w:t>
      </w:r>
      <w:r w:rsidR="009A4898">
        <w:t xml:space="preserve"> (WOAH, 2024).</w:t>
      </w:r>
      <w:r w:rsidR="00F10A18">
        <w:t xml:space="preserve"> </w:t>
      </w:r>
      <w:r w:rsidR="0076389B">
        <w:t>A</w:t>
      </w:r>
      <w:r w:rsidR="00F10A18">
        <w:t xml:space="preserve"> collective effort </w:t>
      </w:r>
      <w:r w:rsidR="0076389B">
        <w:t xml:space="preserve">is necessary </w:t>
      </w:r>
      <w:r w:rsidR="00F10A18">
        <w:t xml:space="preserve">to </w:t>
      </w:r>
      <w:r w:rsidR="00C5532E">
        <w:t>address AMR across all sectors</w:t>
      </w:r>
      <w:r w:rsidR="0076389B">
        <w:t>, as</w:t>
      </w:r>
      <w:r w:rsidR="00C5532E">
        <w:t xml:space="preserve"> it impacts animals, wildlife, humans, and plants alike. </w:t>
      </w:r>
    </w:p>
    <w:p w:rsidR="0036482A" w:rsidP="006449F6" w:rsidRDefault="0036482A" w14:paraId="682BD73C" w14:textId="653B07A6">
      <w:pPr>
        <w:pStyle w:val="IPPParagraphnumberingclose"/>
      </w:pPr>
      <w:r>
        <w:t xml:space="preserve">To ensure the global demand for food, feed, fiber, and fuel is met while </w:t>
      </w:r>
      <w:r w:rsidR="00AD639C">
        <w:t xml:space="preserve">addressing </w:t>
      </w:r>
      <w:r>
        <w:t xml:space="preserve">the current AMR challenges, the IPPC could </w:t>
      </w:r>
      <w:r w:rsidR="005512C4">
        <w:t xml:space="preserve">further discuss </w:t>
      </w:r>
      <w:r w:rsidR="00CD2287">
        <w:t>the following:</w:t>
      </w:r>
      <w:r>
        <w:t xml:space="preserve"> </w:t>
      </w:r>
    </w:p>
    <w:p w:rsidR="0036482A" w:rsidP="006449F6" w:rsidRDefault="0036482A" w14:paraId="74ED0CEF" w14:textId="63D63835">
      <w:pPr>
        <w:pStyle w:val="IPPBullet1"/>
      </w:pPr>
      <w:bookmarkStart w:name="_Hlk174031230" w:id="2"/>
      <w:r w:rsidRPr="00BB2B51">
        <w:rPr>
          <w:u w:val="single"/>
        </w:rPr>
        <w:t>Sustainable plant pest and disease management</w:t>
      </w:r>
      <w:r w:rsidR="00EB58CC">
        <w:rPr>
          <w:u w:val="single"/>
        </w:rPr>
        <w:t>:</w:t>
      </w:r>
      <w:r>
        <w:t xml:space="preserve"> </w:t>
      </w:r>
      <w:r w:rsidR="006F0ADA">
        <w:t>I</w:t>
      </w:r>
      <w:r>
        <w:t xml:space="preserve">ncluding </w:t>
      </w:r>
      <w:r w:rsidR="006F70E6">
        <w:t>IPM</w:t>
      </w:r>
      <w:r>
        <w:t xml:space="preserve"> to prevent and control the impact of pests and diseases through continuous monitoring, the development of </w:t>
      </w:r>
      <w:r w:rsidR="00770BA3">
        <w:t xml:space="preserve">an </w:t>
      </w:r>
      <w:r>
        <w:t>early</w:t>
      </w:r>
      <w:r w:rsidR="003757ED">
        <w:t>-</w:t>
      </w:r>
      <w:r>
        <w:t xml:space="preserve">warning system, prompt </w:t>
      </w:r>
      <w:r w:rsidR="00C76FFA">
        <w:t xml:space="preserve">pest detection and </w:t>
      </w:r>
      <w:r>
        <w:t xml:space="preserve">response, and innovative and environmentally friendly control strategies (FAO, 2024a). </w:t>
      </w:r>
      <w:r w:rsidR="006F0ADA">
        <w:t>The</w:t>
      </w:r>
      <w:r w:rsidR="0096263A">
        <w:t xml:space="preserve"> lack of information about antibiotic </w:t>
      </w:r>
      <w:r w:rsidR="002911A8">
        <w:t>stewardship in agricultural practices and plant health suggests</w:t>
      </w:r>
      <w:r w:rsidR="00017D2C">
        <w:t xml:space="preserve"> the need for technological advances </w:t>
      </w:r>
      <w:r w:rsidR="009912A7">
        <w:t>and surveillance to prevent overuse.</w:t>
      </w:r>
    </w:p>
    <w:p w:rsidR="0036482A" w:rsidP="006449F6" w:rsidRDefault="0036482A" w14:paraId="45161B7E" w14:textId="5CC3A069">
      <w:pPr>
        <w:pStyle w:val="IPPBullet1"/>
      </w:pPr>
      <w:r w:rsidRPr="00D55831">
        <w:rPr>
          <w:u w:val="single"/>
        </w:rPr>
        <w:t>Sustainable pesticide management</w:t>
      </w:r>
      <w:r w:rsidR="006F0ADA">
        <w:rPr>
          <w:u w:val="single"/>
        </w:rPr>
        <w:t>:</w:t>
      </w:r>
      <w:r>
        <w:t xml:space="preserve"> </w:t>
      </w:r>
      <w:r w:rsidR="006F0ADA">
        <w:t>C</w:t>
      </w:r>
      <w:r>
        <w:t>onsider</w:t>
      </w:r>
      <w:r w:rsidR="00D7734B">
        <w:t>ing</w:t>
      </w:r>
      <w:r>
        <w:t xml:space="preserve"> how pesticide use differs in low- and middle-income countries and how sustainable plant production practices could be promoted as alternatives to pesticides (FAO, 2024a)</w:t>
      </w:r>
      <w:r w:rsidR="000C7407">
        <w:t>, including anti</w:t>
      </w:r>
      <w:r w:rsidR="00F25600">
        <w:t>biotics</w:t>
      </w:r>
      <w:r>
        <w:t>.</w:t>
      </w:r>
    </w:p>
    <w:p w:rsidR="00850B74" w:rsidP="006449F6" w:rsidRDefault="00850B74" w14:paraId="6B585678" w14:textId="3F6606A9">
      <w:pPr>
        <w:pStyle w:val="IPPBullet1"/>
      </w:pPr>
      <w:r>
        <w:rPr>
          <w:u w:val="single"/>
        </w:rPr>
        <w:t>Improv</w:t>
      </w:r>
      <w:r w:rsidR="00A41914">
        <w:rPr>
          <w:u w:val="single"/>
        </w:rPr>
        <w:t>ing</w:t>
      </w:r>
      <w:r>
        <w:rPr>
          <w:u w:val="single"/>
        </w:rPr>
        <w:t xml:space="preserve"> our understand</w:t>
      </w:r>
      <w:r w:rsidR="0022427B">
        <w:rPr>
          <w:u w:val="single"/>
        </w:rPr>
        <w:t>ing</w:t>
      </w:r>
      <w:r>
        <w:rPr>
          <w:u w:val="single"/>
        </w:rPr>
        <w:t xml:space="preserve"> of </w:t>
      </w:r>
      <w:r w:rsidR="008218C5">
        <w:rPr>
          <w:u w:val="single"/>
        </w:rPr>
        <w:t>AMR transmission</w:t>
      </w:r>
      <w:r w:rsidR="006D4886">
        <w:rPr>
          <w:u w:val="single"/>
        </w:rPr>
        <w:t>:</w:t>
      </w:r>
      <w:r w:rsidR="008218C5">
        <w:rPr>
          <w:u w:val="single"/>
        </w:rPr>
        <w:t xml:space="preserve"> </w:t>
      </w:r>
      <w:r w:rsidRPr="00944CA9" w:rsidR="006D4886">
        <w:t>I</w:t>
      </w:r>
      <w:r w:rsidR="008218C5">
        <w:t xml:space="preserve">ncluding </w:t>
      </w:r>
      <w:r w:rsidR="00436C3E">
        <w:t>the transmission risks between humans, animals, plants and the environment</w:t>
      </w:r>
      <w:r w:rsidR="00B46682">
        <w:t>, and conditions that may drive development.</w:t>
      </w:r>
      <w:r w:rsidR="008628A0">
        <w:t xml:space="preserve"> Differences in geographical settings (urban </w:t>
      </w:r>
      <w:r w:rsidR="00377BAF">
        <w:t xml:space="preserve">to rural) and income </w:t>
      </w:r>
      <w:r w:rsidR="00944CA9">
        <w:t xml:space="preserve">levels </w:t>
      </w:r>
      <w:r w:rsidR="00377BAF">
        <w:t>(high to low) change AMR risks</w:t>
      </w:r>
      <w:r w:rsidR="003C66CC">
        <w:t xml:space="preserve">, and this is a priority research area for WHO et al. (2023). </w:t>
      </w:r>
      <w:r w:rsidR="006166AF">
        <w:t xml:space="preserve">Improving antimicrobial use monitoring </w:t>
      </w:r>
      <w:r w:rsidR="0000254F">
        <w:t xml:space="preserve">in the human, animal and plant sectors </w:t>
      </w:r>
      <w:r w:rsidR="00B16C5A">
        <w:t xml:space="preserve">would contribute to </w:t>
      </w:r>
      <w:r w:rsidR="00FA4533">
        <w:t>developing a better understanding of AMR transmission.</w:t>
      </w:r>
    </w:p>
    <w:p w:rsidR="005C3A58" w:rsidP="006449F6" w:rsidRDefault="002E37D5" w14:paraId="4AA613DB" w14:textId="2E165F33">
      <w:pPr>
        <w:pStyle w:val="IPPBullet1Last"/>
      </w:pPr>
      <w:r w:rsidRPr="000B0B89">
        <w:rPr>
          <w:u w:val="single"/>
        </w:rPr>
        <w:t>Antimicrobial stewardship training</w:t>
      </w:r>
      <w:r w:rsidRPr="000B0B89" w:rsidR="00944CA9">
        <w:rPr>
          <w:u w:val="single"/>
        </w:rPr>
        <w:t>:</w:t>
      </w:r>
      <w:r>
        <w:t xml:space="preserve"> </w:t>
      </w:r>
      <w:r w:rsidR="00944CA9">
        <w:t>T</w:t>
      </w:r>
      <w:r>
        <w:t>o address AMR</w:t>
      </w:r>
      <w:r w:rsidR="00944CA9">
        <w:t xml:space="preserve"> effectively</w:t>
      </w:r>
      <w:r w:rsidR="000B0B89">
        <w:t>, ensure training is made available on the principles and standards of AMR stewardship, mechanisms of resistance and its monitoring and surveillance, IPM, regulations and stakeholder engagement, practice label and safety information, etc.</w:t>
      </w:r>
    </w:p>
    <w:bookmarkEnd w:id="2"/>
    <w:p w:rsidRPr="003241CF" w:rsidR="00325D6B" w:rsidP="006449F6" w:rsidRDefault="00E32022" w14:paraId="2CE35802" w14:textId="308789ED">
      <w:pPr>
        <w:pStyle w:val="IPPParagraphnumbering"/>
        <w:rPr>
          <w:lang w:val="en-GB"/>
        </w:rPr>
      </w:pPr>
      <w:r>
        <w:t xml:space="preserve">Given </w:t>
      </w:r>
      <w:r w:rsidR="00C6003C">
        <w:t xml:space="preserve">the ongoing </w:t>
      </w:r>
      <w:r>
        <w:t xml:space="preserve">work in the </w:t>
      </w:r>
      <w:r w:rsidR="00E44C8A">
        <w:t>human and animal sectors regarding AMR transmission, research</w:t>
      </w:r>
      <w:r w:rsidR="000454B7">
        <w:t xml:space="preserve"> development</w:t>
      </w:r>
      <w:r w:rsidR="00C6003C">
        <w:t>,</w:t>
      </w:r>
      <w:r w:rsidR="000454B7">
        <w:t xml:space="preserve"> and data collection/sharing</w:t>
      </w:r>
      <w:r w:rsidR="00C36011">
        <w:t>, now is a</w:t>
      </w:r>
      <w:r w:rsidR="00C6003C">
        <w:t>n opportune</w:t>
      </w:r>
      <w:r w:rsidR="00C36011">
        <w:t xml:space="preserve"> time to </w:t>
      </w:r>
      <w:r w:rsidR="00831F81">
        <w:t>advocate for</w:t>
      </w:r>
      <w:r w:rsidR="00C6003C">
        <w:t xml:space="preserve"> the</w:t>
      </w:r>
      <w:r w:rsidR="00831F81">
        <w:t xml:space="preserve"> inclusion of the plant health sector in these </w:t>
      </w:r>
      <w:r w:rsidR="00C6003C">
        <w:t>discussions</w:t>
      </w:r>
      <w:r w:rsidR="00831F81">
        <w:t xml:space="preserve">. </w:t>
      </w:r>
      <w:r w:rsidR="00815009">
        <w:t xml:space="preserve">Our involvement would </w:t>
      </w:r>
      <w:r w:rsidR="008F5128">
        <w:t>facilitate</w:t>
      </w:r>
      <w:r w:rsidR="00815009">
        <w:t xml:space="preserve"> collaborat</w:t>
      </w:r>
      <w:r w:rsidR="008F5128">
        <w:t>ion</w:t>
      </w:r>
      <w:r w:rsidR="00815009">
        <w:t xml:space="preserve"> </w:t>
      </w:r>
      <w:r w:rsidR="00242390">
        <w:t>with the animal health sector to i</w:t>
      </w:r>
      <w:r w:rsidR="0066214D">
        <w:t>mprov</w:t>
      </w:r>
      <w:r w:rsidR="00242390">
        <w:t>e</w:t>
      </w:r>
      <w:r w:rsidR="0066214D">
        <w:t xml:space="preserve"> outreach and education, identify </w:t>
      </w:r>
      <w:r w:rsidR="00F34FD3">
        <w:t xml:space="preserve">methods for </w:t>
      </w:r>
      <w:r w:rsidR="0066214D">
        <w:t>collect</w:t>
      </w:r>
      <w:r w:rsidR="00F34FD3">
        <w:t>ing</w:t>
      </w:r>
      <w:r w:rsidR="0066214D">
        <w:t xml:space="preserve"> and shar</w:t>
      </w:r>
      <w:r w:rsidR="00F34FD3">
        <w:t>ing</w:t>
      </w:r>
      <w:r w:rsidR="0066214D">
        <w:t xml:space="preserve"> data between organizations, sectors, and regions,</w:t>
      </w:r>
      <w:r w:rsidR="008854E2">
        <w:t xml:space="preserve"> develop a comprehensive early </w:t>
      </w:r>
      <w:r w:rsidR="00442F47">
        <w:t>warning</w:t>
      </w:r>
      <w:r w:rsidR="008854E2">
        <w:t xml:space="preserve"> system</w:t>
      </w:r>
      <w:r w:rsidR="000165D4">
        <w:t xml:space="preserve"> to identify </w:t>
      </w:r>
      <w:r w:rsidR="00E200E5">
        <w:t xml:space="preserve">emerging </w:t>
      </w:r>
      <w:r w:rsidR="000165D4">
        <w:t>pathoge</w:t>
      </w:r>
      <w:r w:rsidR="00E200E5">
        <w:t>ns of concern</w:t>
      </w:r>
      <w:r w:rsidR="008F5128">
        <w:t>,</w:t>
      </w:r>
      <w:r w:rsidR="008854E2">
        <w:t xml:space="preserve"> </w:t>
      </w:r>
      <w:r w:rsidR="0066214D">
        <w:t>and h</w:t>
      </w:r>
      <w:r w:rsidRPr="00CB67D5" w:rsidR="00CB67D5">
        <w:t>armoniz</w:t>
      </w:r>
      <w:r w:rsidR="00820525">
        <w:t>e</w:t>
      </w:r>
      <w:r w:rsidRPr="00CB67D5" w:rsidR="00CB67D5">
        <w:t xml:space="preserve"> regulatory frameworks and policies in plant and animal health</w:t>
      </w:r>
      <w:r w:rsidR="00F34FD3">
        <w:t>.</w:t>
      </w:r>
    </w:p>
    <w:p w:rsidRPr="001B0506" w:rsidR="00DD2613" w:rsidP="00DD2613" w:rsidRDefault="00DD2613" w14:paraId="169C975E" w14:textId="77777777">
      <w:pPr>
        <w:pStyle w:val="IPPHeading1"/>
      </w:pPr>
      <w:r w:rsidRPr="001B0506">
        <w:t>Recommendations</w:t>
      </w:r>
    </w:p>
    <w:p w:rsidR="00DD2613" w:rsidP="00DD2613" w:rsidRDefault="00DD2613" w14:paraId="10679C76" w14:textId="002D5E0C">
      <w:pPr>
        <w:pStyle w:val="IPPParagraphnumberingclose"/>
      </w:pPr>
      <w:r>
        <w:t>The SPG is invited to:</w:t>
      </w:r>
    </w:p>
    <w:p w:rsidRPr="004E0B25" w:rsidR="001E34BC" w:rsidP="000C76A7" w:rsidRDefault="00325D6B" w14:paraId="160BF62D" w14:textId="1958EA65">
      <w:pPr>
        <w:pStyle w:val="IPPNumberedList"/>
      </w:pPr>
      <w:r w:rsidRPr="00BF65A8">
        <w:rPr>
          <w:i/>
          <w:iCs/>
        </w:rPr>
        <w:t xml:space="preserve">Share </w:t>
      </w:r>
      <w:r w:rsidRPr="00BF65A8" w:rsidR="001E34BC">
        <w:rPr>
          <w:i/>
          <w:iCs/>
        </w:rPr>
        <w:t>and discuss</w:t>
      </w:r>
      <w:r w:rsidRPr="004E0B25" w:rsidR="001E34BC">
        <w:t xml:space="preserve"> </w:t>
      </w:r>
      <w:r w:rsidRPr="004E0B25">
        <w:t>its views regarding current</w:t>
      </w:r>
      <w:r w:rsidR="00BA31AF">
        <w:t xml:space="preserve"> antimicrobial</w:t>
      </w:r>
      <w:r w:rsidRPr="004E0B25">
        <w:t xml:space="preserve"> use and </w:t>
      </w:r>
      <w:r w:rsidR="00650892">
        <w:t xml:space="preserve">the </w:t>
      </w:r>
      <w:r w:rsidRPr="004E0B25">
        <w:t xml:space="preserve">potential implications of AMR in plant health, </w:t>
      </w:r>
      <w:proofErr w:type="gramStart"/>
      <w:r w:rsidRPr="004E0B25">
        <w:t>in light of</w:t>
      </w:r>
      <w:proofErr w:type="gramEnd"/>
      <w:r w:rsidRPr="004E0B25">
        <w:t xml:space="preserve"> the information </w:t>
      </w:r>
      <w:r w:rsidRPr="004E0B25" w:rsidR="001E34BC">
        <w:t xml:space="preserve">and suggestions </w:t>
      </w:r>
      <w:r w:rsidRPr="004E0B25">
        <w:t>provided in this paper.</w:t>
      </w:r>
      <w:r w:rsidRPr="004E0B25" w:rsidR="001E34BC">
        <w:t xml:space="preserve"> </w:t>
      </w:r>
    </w:p>
    <w:p w:rsidRPr="004E0B25" w:rsidR="00325D6B" w:rsidP="000C76A7" w:rsidRDefault="001E34BC" w14:paraId="534E0C3C" w14:textId="1F26685D">
      <w:pPr>
        <w:pStyle w:val="IPPNumberedList"/>
      </w:pPr>
      <w:r w:rsidRPr="00BF65A8">
        <w:rPr>
          <w:i/>
          <w:iCs/>
        </w:rPr>
        <w:t>Consider</w:t>
      </w:r>
      <w:r w:rsidRPr="004E0B25">
        <w:t xml:space="preserve"> sharing this paper</w:t>
      </w:r>
      <w:r w:rsidR="00650892">
        <w:t>,</w:t>
      </w:r>
      <w:r w:rsidRPr="004E0B25">
        <w:t xml:space="preserve"> or a modified version of it</w:t>
      </w:r>
      <w:r w:rsidR="00650892">
        <w:t>,</w:t>
      </w:r>
      <w:r w:rsidRPr="004E0B25">
        <w:t xml:space="preserve"> with </w:t>
      </w:r>
      <w:r w:rsidR="00FA3885">
        <w:t xml:space="preserve">the </w:t>
      </w:r>
      <w:r w:rsidRPr="004E0B25">
        <w:t>CPM and/or the Focus Group on One Health</w:t>
      </w:r>
      <w:r w:rsidRPr="004E0B25" w:rsidR="00F62067">
        <w:t>.</w:t>
      </w:r>
    </w:p>
    <w:p w:rsidRPr="004E0B25" w:rsidR="001E34BC" w:rsidP="000C76A7" w:rsidRDefault="00325D6B" w14:paraId="27DCDEB0" w14:textId="417EB7B9">
      <w:pPr>
        <w:pStyle w:val="IPPNumberedList"/>
      </w:pPr>
      <w:r w:rsidRPr="00BF65A8">
        <w:rPr>
          <w:i/>
          <w:iCs/>
        </w:rPr>
        <w:t>Consider</w:t>
      </w:r>
      <w:r w:rsidRPr="004E0B25">
        <w:t xml:space="preserve"> </w:t>
      </w:r>
      <w:r w:rsidRPr="004E0B25" w:rsidR="001E34BC">
        <w:t xml:space="preserve">any additional advice </w:t>
      </w:r>
      <w:r w:rsidRPr="004E0B25" w:rsidR="00F62067">
        <w:t xml:space="preserve">that warrants </w:t>
      </w:r>
      <w:r w:rsidRPr="004E0B25">
        <w:t xml:space="preserve">CPM </w:t>
      </w:r>
      <w:r w:rsidRPr="004E0B25" w:rsidR="00F62067">
        <w:t xml:space="preserve">attention </w:t>
      </w:r>
      <w:r w:rsidRPr="004E0B25">
        <w:t>regarding</w:t>
      </w:r>
      <w:r w:rsidRPr="004E0B25" w:rsidR="001E34BC">
        <w:t xml:space="preserve"> the upcoming analysis and planning to be conducted by the Focus Group on One Health. </w:t>
      </w:r>
      <w:r w:rsidRPr="004E0B25" w:rsidR="00F62067">
        <w:t xml:space="preserve">Are </w:t>
      </w:r>
      <w:r w:rsidRPr="004E0B25" w:rsidR="001E34BC">
        <w:t xml:space="preserve">there any key points </w:t>
      </w:r>
      <w:r w:rsidR="00650892">
        <w:t xml:space="preserve">that </w:t>
      </w:r>
      <w:r w:rsidRPr="004E0B25" w:rsidR="001E34BC">
        <w:t xml:space="preserve">need </w:t>
      </w:r>
      <w:r w:rsidRPr="004E0B25" w:rsidR="00F62067">
        <w:t xml:space="preserve">to </w:t>
      </w:r>
      <w:r w:rsidRPr="004E0B25" w:rsidR="001E34BC">
        <w:t xml:space="preserve">inform </w:t>
      </w:r>
      <w:r w:rsidR="00FA3885">
        <w:t xml:space="preserve">the </w:t>
      </w:r>
      <w:r w:rsidRPr="004E0B25" w:rsidR="001E34BC">
        <w:t>CPM at this stage?</w:t>
      </w:r>
      <w:r w:rsidRPr="004E0B25">
        <w:t xml:space="preserve"> </w:t>
      </w:r>
    </w:p>
    <w:p w:rsidRPr="004E0B25" w:rsidR="00E019EF" w:rsidP="000C76A7" w:rsidRDefault="001E34BC" w14:paraId="1023498A" w14:textId="4801F275">
      <w:pPr>
        <w:pStyle w:val="IPPNumberedList"/>
      </w:pPr>
      <w:r w:rsidRPr="00BF65A8">
        <w:rPr>
          <w:i/>
          <w:iCs/>
        </w:rPr>
        <w:t>Identify</w:t>
      </w:r>
      <w:r w:rsidRPr="004E0B25">
        <w:t xml:space="preserve"> any other One Health or AMR</w:t>
      </w:r>
      <w:r w:rsidR="00650892">
        <w:t>-</w:t>
      </w:r>
      <w:r w:rsidRPr="004E0B25">
        <w:t xml:space="preserve">specific issues that </w:t>
      </w:r>
      <w:r w:rsidRPr="004E0B25" w:rsidR="000C328C">
        <w:t xml:space="preserve">should </w:t>
      </w:r>
      <w:r w:rsidRPr="004E0B25">
        <w:t>be considered by the Focus Group</w:t>
      </w:r>
      <w:r w:rsidRPr="004E0B25" w:rsidR="00F62067">
        <w:t>.</w:t>
      </w:r>
    </w:p>
    <w:p w:rsidR="00506EB2" w:rsidP="00FA3885" w:rsidRDefault="004E0B25" w14:paraId="4ED38446" w14:textId="4AD0E37E">
      <w:pPr>
        <w:rPr>
          <w:sz w:val="24"/>
        </w:rPr>
      </w:pPr>
      <w:r>
        <w:rPr>
          <w:b/>
          <w:bCs/>
          <w:sz w:val="24"/>
        </w:rPr>
        <w:br w:type="page"/>
      </w:r>
      <w:r w:rsidR="0039141B">
        <w:rPr>
          <w:b/>
          <w:bCs/>
          <w:sz w:val="24"/>
        </w:rPr>
        <w:t>REFERENCES</w:t>
      </w:r>
    </w:p>
    <w:p w:rsidR="00DC6BDB" w:rsidP="0016112E" w:rsidRDefault="00DC6BDB" w14:paraId="65C70206" w14:textId="32A2DF73">
      <w:pPr>
        <w:spacing w:before="240" w:after="80"/>
        <w:rPr>
          <w:sz w:val="24"/>
        </w:rPr>
      </w:pPr>
      <w:r w:rsidRPr="00DC6BDB">
        <w:rPr>
          <w:b/>
          <w:bCs/>
          <w:sz w:val="24"/>
        </w:rPr>
        <w:t xml:space="preserve">CDC. </w:t>
      </w:r>
      <w:r w:rsidRPr="00DC6BDB">
        <w:rPr>
          <w:sz w:val="24"/>
        </w:rPr>
        <w:t>(2019). Antibiotic Resistance Threats in the United States</w:t>
      </w:r>
      <w:r>
        <w:rPr>
          <w:sz w:val="24"/>
        </w:rPr>
        <w:t xml:space="preserve">. </w:t>
      </w:r>
      <w:r w:rsidRPr="00DC6BDB">
        <w:rPr>
          <w:sz w:val="24"/>
        </w:rPr>
        <w:t>Atlanta, GA: U.S. Department of Health and Human Services</w:t>
      </w:r>
      <w:r>
        <w:rPr>
          <w:sz w:val="24"/>
        </w:rPr>
        <w:t xml:space="preserve">. </w:t>
      </w:r>
      <w:hyperlink w:history="1" r:id="rId10">
        <w:r w:rsidRPr="002F4A1F">
          <w:rPr>
            <w:rStyle w:val="Hyperlink"/>
            <w:sz w:val="24"/>
          </w:rPr>
          <w:t>http://dx.doi.org/10.15620/cdc:82532</w:t>
        </w:r>
      </w:hyperlink>
      <w:r>
        <w:rPr>
          <w:sz w:val="24"/>
        </w:rPr>
        <w:t xml:space="preserve"> </w:t>
      </w:r>
    </w:p>
    <w:p w:rsidRPr="009E6AEF" w:rsidR="009E6AEF" w:rsidP="0016112E" w:rsidRDefault="009E6AEF" w14:paraId="7D25DBEA" w14:textId="7B08A5E5">
      <w:pPr>
        <w:spacing w:before="240" w:after="80"/>
        <w:rPr>
          <w:b/>
          <w:bCs/>
          <w:sz w:val="24"/>
        </w:rPr>
      </w:pPr>
      <w:r w:rsidRPr="009E6AEF">
        <w:rPr>
          <w:b/>
          <w:bCs/>
          <w:sz w:val="24"/>
        </w:rPr>
        <w:t>CDC.</w:t>
      </w:r>
      <w:r>
        <w:rPr>
          <w:sz w:val="24"/>
        </w:rPr>
        <w:t xml:space="preserve"> (2024). Antimicrobial-resistant </w:t>
      </w:r>
      <w:r>
        <w:rPr>
          <w:i/>
          <w:iCs/>
          <w:sz w:val="24"/>
        </w:rPr>
        <w:t>Aspergillus</w:t>
      </w:r>
      <w:r>
        <w:rPr>
          <w:sz w:val="24"/>
        </w:rPr>
        <w:t xml:space="preserve">. Aspergillosis. U.S. </w:t>
      </w:r>
      <w:proofErr w:type="spellStart"/>
      <w:r>
        <w:rPr>
          <w:sz w:val="24"/>
        </w:rPr>
        <w:t>Centers</w:t>
      </w:r>
      <w:proofErr w:type="spellEnd"/>
      <w:r>
        <w:rPr>
          <w:sz w:val="24"/>
        </w:rPr>
        <w:t xml:space="preserve"> for Disease Control and Prevention. </w:t>
      </w:r>
      <w:hyperlink w:history="1" r:id="rId11">
        <w:r w:rsidRPr="002F4A1F">
          <w:rPr>
            <w:rStyle w:val="Hyperlink"/>
            <w:sz w:val="24"/>
          </w:rPr>
          <w:t>https://www.cdc.gov/aspergillosis/php/guidance/?CDC_AAref_Val=https://www.cdc.gov/fungal/diseases/aspergillosis/antifungal-resistant.html</w:t>
        </w:r>
      </w:hyperlink>
      <w:r>
        <w:rPr>
          <w:sz w:val="24"/>
        </w:rPr>
        <w:t xml:space="preserve"> </w:t>
      </w:r>
    </w:p>
    <w:p w:rsidR="004D0CD3" w:rsidP="0016112E" w:rsidRDefault="0036732A" w14:paraId="2F0EF192" w14:textId="77F7500D">
      <w:pPr>
        <w:spacing w:before="240" w:after="80"/>
        <w:rPr>
          <w:sz w:val="24"/>
        </w:rPr>
      </w:pPr>
      <w:r w:rsidRPr="001044EC">
        <w:rPr>
          <w:b/>
          <w:bCs/>
          <w:sz w:val="24"/>
        </w:rPr>
        <w:t>FAO</w:t>
      </w:r>
      <w:r w:rsidRPr="00A83722">
        <w:rPr>
          <w:b/>
          <w:bCs/>
          <w:sz w:val="24"/>
        </w:rPr>
        <w:t>.</w:t>
      </w:r>
      <w:r>
        <w:rPr>
          <w:sz w:val="24"/>
        </w:rPr>
        <w:t xml:space="preserve"> (2024</w:t>
      </w:r>
      <w:r w:rsidR="006F09F7">
        <w:rPr>
          <w:sz w:val="24"/>
        </w:rPr>
        <w:t>a</w:t>
      </w:r>
      <w:r>
        <w:rPr>
          <w:sz w:val="24"/>
        </w:rPr>
        <w:t xml:space="preserve">). </w:t>
      </w:r>
      <w:r w:rsidR="00156B65">
        <w:rPr>
          <w:sz w:val="24"/>
        </w:rPr>
        <w:t>Plant Production and Protection: About FAO’s work on plant production and protection</w:t>
      </w:r>
      <w:r w:rsidR="00BC2E3E">
        <w:rPr>
          <w:sz w:val="24"/>
        </w:rPr>
        <w:t>.</w:t>
      </w:r>
      <w:r w:rsidR="00156B65">
        <w:rPr>
          <w:sz w:val="24"/>
        </w:rPr>
        <w:t xml:space="preserve"> </w:t>
      </w:r>
      <w:hyperlink w:history="1" r:id="rId12">
        <w:r w:rsidRPr="00DF0105" w:rsidR="00156B65">
          <w:rPr>
            <w:rStyle w:val="Hyperlink"/>
            <w:sz w:val="24"/>
          </w:rPr>
          <w:t>https://www.fao.org/plant-production-protection/about/en</w:t>
        </w:r>
      </w:hyperlink>
      <w:r w:rsidR="00156B65">
        <w:rPr>
          <w:sz w:val="24"/>
        </w:rPr>
        <w:t xml:space="preserve"> </w:t>
      </w:r>
    </w:p>
    <w:p w:rsidR="006F09F7" w:rsidP="0016112E" w:rsidRDefault="006F09F7" w14:paraId="1DA42861" w14:textId="02857AD3">
      <w:pPr>
        <w:spacing w:before="240" w:after="80"/>
        <w:rPr>
          <w:sz w:val="24"/>
        </w:rPr>
      </w:pPr>
      <w:r w:rsidRPr="00A83722">
        <w:rPr>
          <w:b/>
          <w:bCs/>
          <w:sz w:val="24"/>
        </w:rPr>
        <w:t>FAO.</w:t>
      </w:r>
      <w:r>
        <w:rPr>
          <w:sz w:val="24"/>
        </w:rPr>
        <w:t xml:space="preserve"> (2024b). </w:t>
      </w:r>
      <w:r w:rsidR="00A83722">
        <w:rPr>
          <w:sz w:val="24"/>
        </w:rPr>
        <w:t xml:space="preserve">Antimicrobial resistance. </w:t>
      </w:r>
      <w:hyperlink w:history="1" w:anchor=":~:text=Antimicrobial%20resistance%20(AMR)%20is%20the,fungi%2C%20viruses%20and%20protozoan%20parasites" r:id="rId13">
        <w:r w:rsidRPr="00DF0105" w:rsidR="00A83722">
          <w:rPr>
            <w:rStyle w:val="Hyperlink"/>
            <w:sz w:val="24"/>
          </w:rPr>
          <w:t>https://www.fao.org/antimicrobial-resistance/background/what-is-it/en/#:~:text=Antimicrobial%20resistance%20(AMR)%20is%20the,fungi%2C%20viruses%20and%20protozoan%20parasites</w:t>
        </w:r>
      </w:hyperlink>
      <w:r w:rsidR="00A83722">
        <w:rPr>
          <w:sz w:val="24"/>
        </w:rPr>
        <w:t xml:space="preserve"> </w:t>
      </w:r>
    </w:p>
    <w:p w:rsidRPr="00FA3885" w:rsidR="004E0B25" w:rsidP="0016112E" w:rsidRDefault="004E0B25" w14:paraId="29912A69" w14:textId="23530C29">
      <w:pPr>
        <w:spacing w:before="240" w:after="80"/>
        <w:rPr>
          <w:sz w:val="24"/>
          <w:lang w:val="fr-CA"/>
        </w:rPr>
      </w:pPr>
      <w:r>
        <w:rPr>
          <w:b/>
          <w:bCs/>
          <w:sz w:val="24"/>
        </w:rPr>
        <w:t xml:space="preserve">Haynes, E., </w:t>
      </w:r>
      <w:proofErr w:type="spellStart"/>
      <w:r>
        <w:rPr>
          <w:b/>
          <w:bCs/>
          <w:sz w:val="24"/>
        </w:rPr>
        <w:t>Ramwell</w:t>
      </w:r>
      <w:proofErr w:type="spellEnd"/>
      <w:r>
        <w:rPr>
          <w:b/>
          <w:bCs/>
          <w:sz w:val="24"/>
        </w:rPr>
        <w:t xml:space="preserve">, C., Griffiths, T., Walker, D., &amp; Smith, J. </w:t>
      </w:r>
      <w:r>
        <w:rPr>
          <w:sz w:val="24"/>
        </w:rPr>
        <w:t xml:space="preserve">(2020). Review of antibiotic use in crops, associated risk of antimicrobial resistance and research gaps. Report to Department for Environment, Food and Rural Affairs (Defra) &amp; the Food Standards Agency (FSA). </w:t>
      </w:r>
      <w:hyperlink w:history="1" r:id="rId14">
        <w:r w:rsidRPr="00FA3885" w:rsidR="006D521F">
          <w:rPr>
            <w:rStyle w:val="Hyperlink"/>
            <w:sz w:val="24"/>
            <w:lang w:val="fr-CA"/>
          </w:rPr>
          <w:t>https://doi.org/10.46756/sci.fsa.vnq132</w:t>
        </w:r>
      </w:hyperlink>
      <w:r w:rsidRPr="00FA3885" w:rsidR="006D521F">
        <w:rPr>
          <w:sz w:val="24"/>
          <w:lang w:val="fr-CA"/>
        </w:rPr>
        <w:t xml:space="preserve"> </w:t>
      </w:r>
    </w:p>
    <w:p w:rsidR="0039141B" w:rsidP="0016112E" w:rsidRDefault="00BA50B4" w14:paraId="187FB84C" w14:textId="0962ACF0">
      <w:pPr>
        <w:spacing w:before="240" w:after="80"/>
        <w:rPr>
          <w:sz w:val="24"/>
        </w:rPr>
      </w:pPr>
      <w:r w:rsidRPr="00FA3885">
        <w:rPr>
          <w:b/>
          <w:sz w:val="24"/>
          <w:lang w:val="fr-CA"/>
        </w:rPr>
        <w:t>Miller</w:t>
      </w:r>
      <w:r w:rsidRPr="00FA3885" w:rsidR="00A15958">
        <w:rPr>
          <w:b/>
          <w:sz w:val="24"/>
          <w:lang w:val="fr-CA"/>
        </w:rPr>
        <w:t>, S.A., Ferreira, J.P.</w:t>
      </w:r>
      <w:r w:rsidRPr="00FA3885">
        <w:rPr>
          <w:b/>
          <w:sz w:val="24"/>
          <w:lang w:val="fr-CA"/>
        </w:rPr>
        <w:t xml:space="preserve"> &amp; </w:t>
      </w:r>
      <w:proofErr w:type="spellStart"/>
      <w:r w:rsidRPr="00FA3885" w:rsidR="00A15958">
        <w:rPr>
          <w:b/>
          <w:sz w:val="24"/>
          <w:lang w:val="fr-CA"/>
        </w:rPr>
        <w:t>LeJeune</w:t>
      </w:r>
      <w:proofErr w:type="spellEnd"/>
      <w:r w:rsidRPr="00FA3885" w:rsidR="00A15958">
        <w:rPr>
          <w:b/>
          <w:sz w:val="24"/>
          <w:lang w:val="fr-CA"/>
        </w:rPr>
        <w:t>, J.T.</w:t>
      </w:r>
      <w:r w:rsidRPr="00FA3885" w:rsidR="00A15958">
        <w:rPr>
          <w:sz w:val="24"/>
          <w:lang w:val="fr-CA"/>
        </w:rPr>
        <w:t xml:space="preserve"> </w:t>
      </w:r>
      <w:r w:rsidRPr="00FA3885" w:rsidR="00F3685E">
        <w:rPr>
          <w:sz w:val="24"/>
          <w:lang w:val="fr-CA"/>
        </w:rPr>
        <w:t xml:space="preserve">(2022). </w:t>
      </w:r>
      <w:r w:rsidR="00F3685E">
        <w:rPr>
          <w:sz w:val="24"/>
        </w:rPr>
        <w:t xml:space="preserve">Antimicrobial use and resistance in plant agriculture: </w:t>
      </w:r>
      <w:r w:rsidR="00E70846">
        <w:rPr>
          <w:sz w:val="24"/>
        </w:rPr>
        <w:t>a</w:t>
      </w:r>
      <w:r w:rsidR="00F3685E">
        <w:rPr>
          <w:sz w:val="24"/>
        </w:rPr>
        <w:t xml:space="preserve"> One Health </w:t>
      </w:r>
      <w:r w:rsidR="00E70846">
        <w:rPr>
          <w:sz w:val="24"/>
        </w:rPr>
        <w:t xml:space="preserve">perspective. </w:t>
      </w:r>
      <w:r w:rsidRPr="00FB1915" w:rsidR="00FB1915">
        <w:rPr>
          <w:i/>
          <w:iCs/>
          <w:sz w:val="24"/>
        </w:rPr>
        <w:t>Agriculture</w:t>
      </w:r>
      <w:r w:rsidRPr="00FB1915" w:rsidR="00FB1915">
        <w:rPr>
          <w:sz w:val="24"/>
        </w:rPr>
        <w:t> </w:t>
      </w:r>
      <w:r w:rsidRPr="00FB1915" w:rsidR="00FB1915">
        <w:rPr>
          <w:b/>
          <w:bCs/>
          <w:sz w:val="24"/>
        </w:rPr>
        <w:t>2022</w:t>
      </w:r>
      <w:r w:rsidRPr="00FB1915" w:rsidR="00FB1915">
        <w:rPr>
          <w:sz w:val="24"/>
        </w:rPr>
        <w:t>, </w:t>
      </w:r>
      <w:r w:rsidRPr="00FB1915" w:rsidR="00FB1915">
        <w:rPr>
          <w:i/>
          <w:iCs/>
          <w:sz w:val="24"/>
        </w:rPr>
        <w:t>12</w:t>
      </w:r>
      <w:r w:rsidRPr="00FB1915" w:rsidR="00FB1915">
        <w:rPr>
          <w:sz w:val="24"/>
        </w:rPr>
        <w:t xml:space="preserve">, 289. </w:t>
      </w:r>
      <w:hyperlink w:history="1" r:id="rId15">
        <w:r w:rsidRPr="00DF0105" w:rsidR="00F37E1D">
          <w:rPr>
            <w:rStyle w:val="Hyperlink"/>
            <w:sz w:val="24"/>
          </w:rPr>
          <w:t>https://doi.org/10.3390/agriculture12020289</w:t>
        </w:r>
      </w:hyperlink>
    </w:p>
    <w:p w:rsidRPr="009E6AEF" w:rsidR="009E6AEF" w:rsidP="0016112E" w:rsidRDefault="009E6AEF" w14:paraId="38D1B956" w14:textId="38FF10F1">
      <w:pPr>
        <w:spacing w:before="240" w:after="80"/>
        <w:rPr>
          <w:sz w:val="24"/>
        </w:rPr>
      </w:pPr>
      <w:bookmarkStart w:name="_Hlk143779111" w:id="3"/>
      <w:r w:rsidRPr="009E6AEF">
        <w:rPr>
          <w:b/>
          <w:bCs/>
          <w:sz w:val="24"/>
        </w:rPr>
        <w:t>National Academies of Sciences, Engineering, and Medicine</w:t>
      </w:r>
      <w:r>
        <w:rPr>
          <w:b/>
          <w:bCs/>
          <w:sz w:val="24"/>
        </w:rPr>
        <w:t xml:space="preserve">. </w:t>
      </w:r>
      <w:r>
        <w:rPr>
          <w:sz w:val="24"/>
        </w:rPr>
        <w:t>(2023).</w:t>
      </w:r>
      <w:r w:rsidRPr="009E6AEF">
        <w:rPr>
          <w:b/>
          <w:bCs/>
          <w:sz w:val="24"/>
        </w:rPr>
        <w:t xml:space="preserve"> </w:t>
      </w:r>
      <w:r w:rsidRPr="009E6AEF">
        <w:rPr>
          <w:sz w:val="24"/>
        </w:rPr>
        <w:t>Role of Fungicide Use in Food Safety and Security. </w:t>
      </w:r>
      <w:r>
        <w:rPr>
          <w:sz w:val="24"/>
        </w:rPr>
        <w:t xml:space="preserve">In </w:t>
      </w:r>
      <w:r w:rsidRPr="009E6AEF">
        <w:rPr>
          <w:sz w:val="24"/>
        </w:rPr>
        <w:t xml:space="preserve">Haag T, Nicholson A, Ashby E, </w:t>
      </w:r>
      <w:r>
        <w:rPr>
          <w:sz w:val="24"/>
        </w:rPr>
        <w:t>E</w:t>
      </w:r>
      <w:r w:rsidRPr="009E6AEF">
        <w:rPr>
          <w:sz w:val="24"/>
        </w:rPr>
        <w:t>ditors</w:t>
      </w:r>
      <w:r>
        <w:rPr>
          <w:sz w:val="24"/>
        </w:rPr>
        <w:t>,</w:t>
      </w:r>
      <w:r w:rsidRPr="009E6AEF">
        <w:rPr>
          <w:sz w:val="24"/>
        </w:rPr>
        <w:t xml:space="preserve"> The Role of Plant Agricultural Practices on Development of Antimicrobial Resistant Fungi Affecting Human Health: Proceedings of a Workshop Series. Washington (DC): National Academies Press (US)</w:t>
      </w:r>
      <w:r w:rsidR="003241CF">
        <w:rPr>
          <w:sz w:val="24"/>
        </w:rPr>
        <w:t xml:space="preserve">. </w:t>
      </w:r>
      <w:r w:rsidRPr="009E6AEF">
        <w:rPr>
          <w:sz w:val="24"/>
        </w:rPr>
        <w:t xml:space="preserve">Available from: </w:t>
      </w:r>
      <w:hyperlink w:history="1" r:id="rId16">
        <w:r w:rsidRPr="002F4A1F" w:rsidR="003241CF">
          <w:rPr>
            <w:rStyle w:val="Hyperlink"/>
            <w:sz w:val="24"/>
          </w:rPr>
          <w:t>https://www.ncbi.nlm.nih.gov/books/NBK593490/</w:t>
        </w:r>
      </w:hyperlink>
      <w:r w:rsidR="003241CF">
        <w:rPr>
          <w:sz w:val="24"/>
        </w:rPr>
        <w:t xml:space="preserve"> </w:t>
      </w:r>
    </w:p>
    <w:p w:rsidR="00D846E5" w:rsidP="0016112E" w:rsidRDefault="00063F11" w14:paraId="32E3A5E6" w14:textId="4069E061">
      <w:pPr>
        <w:spacing w:before="240" w:after="80"/>
        <w:rPr>
          <w:sz w:val="24"/>
        </w:rPr>
      </w:pPr>
      <w:r w:rsidRPr="00063F11">
        <w:rPr>
          <w:b/>
          <w:bCs/>
          <w:sz w:val="24"/>
        </w:rPr>
        <w:t>Taylor, P., Reeder, R</w:t>
      </w:r>
      <w:r w:rsidR="001044EC">
        <w:rPr>
          <w:b/>
          <w:bCs/>
          <w:sz w:val="24"/>
        </w:rPr>
        <w:t>.</w:t>
      </w:r>
      <w:r w:rsidRPr="00063F11">
        <w:rPr>
          <w:b/>
          <w:bCs/>
          <w:sz w:val="24"/>
        </w:rPr>
        <w:t xml:space="preserve"> </w:t>
      </w:r>
      <w:r w:rsidRPr="00D846E5" w:rsidR="001044EC">
        <w:rPr>
          <w:sz w:val="24"/>
        </w:rPr>
        <w:t>(</w:t>
      </w:r>
      <w:r w:rsidRPr="00D846E5">
        <w:rPr>
          <w:sz w:val="24"/>
        </w:rPr>
        <w:t>2020</w:t>
      </w:r>
      <w:r w:rsidRPr="00D846E5" w:rsidR="001044EC">
        <w:rPr>
          <w:sz w:val="24"/>
        </w:rPr>
        <w:t>)</w:t>
      </w:r>
      <w:r w:rsidRPr="00D846E5">
        <w:rPr>
          <w:sz w:val="24"/>
        </w:rPr>
        <w:t>.</w:t>
      </w:r>
      <w:r w:rsidRPr="00063F11">
        <w:rPr>
          <w:sz w:val="24"/>
        </w:rPr>
        <w:t xml:space="preserve"> </w:t>
      </w:r>
      <w:bookmarkEnd w:id="3"/>
      <w:r w:rsidRPr="00063F11">
        <w:rPr>
          <w:sz w:val="24"/>
        </w:rPr>
        <w:t xml:space="preserve">Antibiotic use on crops in </w:t>
      </w:r>
      <w:bookmarkStart w:name="_Hlk143779087" w:id="4"/>
      <w:r w:rsidRPr="00063F11">
        <w:rPr>
          <w:sz w:val="24"/>
        </w:rPr>
        <w:t xml:space="preserve">low and middle-income countries </w:t>
      </w:r>
      <w:bookmarkEnd w:id="4"/>
      <w:r w:rsidRPr="00063F11">
        <w:rPr>
          <w:sz w:val="24"/>
        </w:rPr>
        <w:t xml:space="preserve">based on recommendations made by agricultural advisors. </w:t>
      </w:r>
      <w:r w:rsidRPr="004E0B25">
        <w:rPr>
          <w:i/>
          <w:iCs/>
          <w:sz w:val="24"/>
        </w:rPr>
        <w:t xml:space="preserve">CABI Agric </w:t>
      </w:r>
      <w:proofErr w:type="spellStart"/>
      <w:r w:rsidRPr="004E0B25">
        <w:rPr>
          <w:i/>
          <w:iCs/>
          <w:sz w:val="24"/>
        </w:rPr>
        <w:t>Biosci</w:t>
      </w:r>
      <w:proofErr w:type="spellEnd"/>
      <w:r w:rsidRPr="004E0B25">
        <w:rPr>
          <w:i/>
          <w:iCs/>
          <w:sz w:val="24"/>
        </w:rPr>
        <w:t xml:space="preserve"> 1</w:t>
      </w:r>
      <w:r w:rsidRPr="00063F11">
        <w:rPr>
          <w:sz w:val="24"/>
        </w:rPr>
        <w:t xml:space="preserve">, 1. </w:t>
      </w:r>
      <w:hyperlink w:history="1" w:anchor="citeas" r:id="rId17">
        <w:r w:rsidRPr="00063F11">
          <w:rPr>
            <w:rStyle w:val="Hyperlink"/>
            <w:sz w:val="24"/>
          </w:rPr>
          <w:t>https://cabiagbio.biomedcentral.com/articles/10.1186/s43170-020-00001-y#citeas</w:t>
        </w:r>
      </w:hyperlink>
      <w:r w:rsidRPr="00063F11">
        <w:rPr>
          <w:sz w:val="24"/>
        </w:rPr>
        <w:t xml:space="preserve">  </w:t>
      </w:r>
    </w:p>
    <w:p w:rsidRPr="00AD4087" w:rsidR="00AD4087" w:rsidP="0016112E" w:rsidRDefault="00AD4087" w14:paraId="5BB1E6AA" w14:textId="32E914BE">
      <w:pPr>
        <w:spacing w:before="240" w:after="80"/>
        <w:rPr>
          <w:b/>
          <w:bCs/>
          <w:sz w:val="24"/>
        </w:rPr>
      </w:pPr>
      <w:r>
        <w:rPr>
          <w:b/>
          <w:bCs/>
          <w:sz w:val="24"/>
        </w:rPr>
        <w:t xml:space="preserve">Toda, M., Beer, K.D., </w:t>
      </w:r>
      <w:proofErr w:type="spellStart"/>
      <w:r>
        <w:rPr>
          <w:b/>
          <w:bCs/>
          <w:sz w:val="24"/>
        </w:rPr>
        <w:t>Kuivila</w:t>
      </w:r>
      <w:proofErr w:type="spellEnd"/>
      <w:r>
        <w:rPr>
          <w:b/>
          <w:bCs/>
          <w:sz w:val="24"/>
        </w:rPr>
        <w:t xml:space="preserve">, K.M., Chiller, T.M., &amp; Jackson, B.R. </w:t>
      </w:r>
      <w:r w:rsidRPr="00AD4087">
        <w:rPr>
          <w:sz w:val="24"/>
        </w:rPr>
        <w:t>(2021).</w:t>
      </w:r>
      <w:r>
        <w:rPr>
          <w:sz w:val="24"/>
        </w:rPr>
        <w:t xml:space="preserve"> Trends in agricultural triazole fungicide use in the United States, 1992-2016 and possible implications for antifungal-resistant fungi in human disease. </w:t>
      </w:r>
      <w:r>
        <w:rPr>
          <w:i/>
          <w:iCs/>
          <w:sz w:val="24"/>
        </w:rPr>
        <w:t xml:space="preserve">Environmental Health </w:t>
      </w:r>
      <w:proofErr w:type="spellStart"/>
      <w:r>
        <w:rPr>
          <w:i/>
          <w:iCs/>
          <w:sz w:val="24"/>
        </w:rPr>
        <w:t>Pesrpectives</w:t>
      </w:r>
      <w:proofErr w:type="spellEnd"/>
      <w:r>
        <w:rPr>
          <w:i/>
          <w:iCs/>
          <w:sz w:val="24"/>
        </w:rPr>
        <w:t>, 129(5)</w:t>
      </w:r>
      <w:r>
        <w:rPr>
          <w:sz w:val="24"/>
        </w:rPr>
        <w:t xml:space="preserve">. </w:t>
      </w:r>
      <w:hyperlink w:history="1" r:id="rId18">
        <w:r w:rsidRPr="002F4A1F">
          <w:rPr>
            <w:rStyle w:val="Hyperlink"/>
            <w:sz w:val="24"/>
          </w:rPr>
          <w:t>https://doi.org/10.1289/EHP7484</w:t>
        </w:r>
      </w:hyperlink>
      <w:r>
        <w:rPr>
          <w:sz w:val="24"/>
        </w:rPr>
        <w:t xml:space="preserve"> </w:t>
      </w:r>
    </w:p>
    <w:p w:rsidR="00AF013D" w:rsidP="0016112E" w:rsidRDefault="00AF013D" w14:paraId="070AB00D" w14:textId="1A481DF4">
      <w:pPr>
        <w:spacing w:before="240" w:after="80"/>
        <w:rPr>
          <w:sz w:val="24"/>
        </w:rPr>
      </w:pPr>
      <w:r w:rsidRPr="009B2A14">
        <w:rPr>
          <w:b/>
          <w:bCs/>
          <w:sz w:val="24"/>
        </w:rPr>
        <w:t>Tudi, M., Daniel Ruan, H., Wang, L., Lyu, J., Sadler, R., Connell, D., Chu, C., &amp; Phung, D.T.</w:t>
      </w:r>
      <w:r w:rsidRPr="00AF013D">
        <w:rPr>
          <w:sz w:val="24"/>
        </w:rPr>
        <w:t xml:space="preserve"> (2021). Agriculture Development, Pesticide Application and Its Impact on the Environment. </w:t>
      </w:r>
      <w:r w:rsidRPr="00AF013D">
        <w:rPr>
          <w:i/>
          <w:iCs/>
          <w:sz w:val="24"/>
        </w:rPr>
        <w:t>International journal of environmental research and public health</w:t>
      </w:r>
      <w:r w:rsidRPr="00AF013D">
        <w:rPr>
          <w:sz w:val="24"/>
        </w:rPr>
        <w:t>, </w:t>
      </w:r>
      <w:r w:rsidRPr="00AF013D">
        <w:rPr>
          <w:i/>
          <w:iCs/>
          <w:sz w:val="24"/>
        </w:rPr>
        <w:t>18</w:t>
      </w:r>
      <w:r w:rsidRPr="00AF013D">
        <w:rPr>
          <w:sz w:val="24"/>
        </w:rPr>
        <w:t xml:space="preserve">(3), 1112. </w:t>
      </w:r>
      <w:hyperlink w:history="1" r:id="rId19">
        <w:r w:rsidRPr="00DF0105" w:rsidR="002135D2">
          <w:rPr>
            <w:rStyle w:val="Hyperlink"/>
            <w:sz w:val="24"/>
          </w:rPr>
          <w:t>https://doi.org/10.3390/ijerph18031112</w:t>
        </w:r>
      </w:hyperlink>
      <w:r w:rsidR="002135D2">
        <w:rPr>
          <w:sz w:val="24"/>
        </w:rPr>
        <w:t xml:space="preserve"> </w:t>
      </w:r>
    </w:p>
    <w:p w:rsidR="00D846E5" w:rsidP="0016112E" w:rsidRDefault="00D846E5" w14:paraId="52315633" w14:textId="26BD8CE5">
      <w:pPr>
        <w:spacing w:before="240" w:after="80"/>
        <w:rPr>
          <w:sz w:val="24"/>
        </w:rPr>
      </w:pPr>
      <w:proofErr w:type="spellStart"/>
      <w:r w:rsidRPr="00D846E5">
        <w:rPr>
          <w:b/>
          <w:bCs/>
          <w:sz w:val="24"/>
        </w:rPr>
        <w:t>Vidaver</w:t>
      </w:r>
      <w:proofErr w:type="spellEnd"/>
      <w:r w:rsidRPr="00D846E5">
        <w:rPr>
          <w:b/>
          <w:bCs/>
          <w:sz w:val="24"/>
        </w:rPr>
        <w:t xml:space="preserve">, A.K. </w:t>
      </w:r>
      <w:r w:rsidRPr="00D846E5">
        <w:rPr>
          <w:sz w:val="24"/>
        </w:rPr>
        <w:t>(2002). Uses of Antimicrobials in Plant Agriculture, </w:t>
      </w:r>
      <w:r w:rsidRPr="00D846E5">
        <w:rPr>
          <w:i/>
          <w:iCs/>
          <w:sz w:val="24"/>
        </w:rPr>
        <w:t>Clinical Infectious Diseases</w:t>
      </w:r>
      <w:r w:rsidRPr="00D846E5">
        <w:rPr>
          <w:sz w:val="24"/>
        </w:rPr>
        <w:t>, Volume 34, Issue Supplement</w:t>
      </w:r>
      <w:r w:rsidR="002135D2">
        <w:rPr>
          <w:sz w:val="24"/>
        </w:rPr>
        <w:t xml:space="preserve"> </w:t>
      </w:r>
      <w:r w:rsidRPr="00D846E5">
        <w:rPr>
          <w:sz w:val="24"/>
        </w:rPr>
        <w:t>3, Pages S107–S110</w:t>
      </w:r>
      <w:r>
        <w:rPr>
          <w:sz w:val="24"/>
        </w:rPr>
        <w:t>.</w:t>
      </w:r>
      <w:r w:rsidRPr="00D846E5">
        <w:rPr>
          <w:sz w:val="24"/>
        </w:rPr>
        <w:t> </w:t>
      </w:r>
      <w:hyperlink w:history="1" r:id="rId20">
        <w:r w:rsidRPr="00D846E5">
          <w:rPr>
            <w:rStyle w:val="Hyperlink"/>
            <w:sz w:val="24"/>
          </w:rPr>
          <w:t>https://doi.org/10.1086/340247</w:t>
        </w:r>
      </w:hyperlink>
    </w:p>
    <w:p w:rsidRPr="002D0864" w:rsidR="002D0864" w:rsidP="0016112E" w:rsidRDefault="002D0864" w14:paraId="187F657C" w14:textId="4D50277E">
      <w:pPr>
        <w:spacing w:before="240" w:after="80"/>
        <w:rPr>
          <w:sz w:val="24"/>
        </w:rPr>
      </w:pPr>
      <w:r>
        <w:rPr>
          <w:b/>
          <w:bCs/>
          <w:sz w:val="24"/>
        </w:rPr>
        <w:t>WOAH.</w:t>
      </w:r>
      <w:r>
        <w:rPr>
          <w:sz w:val="24"/>
        </w:rPr>
        <w:t xml:space="preserve"> (2024). </w:t>
      </w:r>
      <w:r w:rsidR="00071BDB">
        <w:rPr>
          <w:sz w:val="24"/>
        </w:rPr>
        <w:t xml:space="preserve">Policy Brief: </w:t>
      </w:r>
      <w:r w:rsidR="00DB7DA2">
        <w:rPr>
          <w:sz w:val="24"/>
        </w:rPr>
        <w:t>Tackling antimicrobial resistance using the One Health approach</w:t>
      </w:r>
      <w:r w:rsidR="00071BDB">
        <w:rPr>
          <w:sz w:val="24"/>
        </w:rPr>
        <w:t xml:space="preserve">. </w:t>
      </w:r>
      <w:r w:rsidR="00982831">
        <w:rPr>
          <w:sz w:val="24"/>
        </w:rPr>
        <w:t xml:space="preserve">9 pp. </w:t>
      </w:r>
      <w:hyperlink w:history="1" r:id="rId21">
        <w:r w:rsidRPr="00DF0105" w:rsidR="00513286">
          <w:rPr>
            <w:rStyle w:val="Hyperlink"/>
            <w:sz w:val="24"/>
          </w:rPr>
          <w:t>https://doc.woah.org/dyn/portal/index.xhtml?page=alo&amp;aloId=43898&amp;espaceId=100</w:t>
        </w:r>
      </w:hyperlink>
      <w:r w:rsidR="00544976">
        <w:rPr>
          <w:sz w:val="24"/>
        </w:rPr>
        <w:t xml:space="preserve"> </w:t>
      </w:r>
    </w:p>
    <w:p w:rsidR="00397E0A" w:rsidP="0016112E" w:rsidRDefault="00397E0A" w14:paraId="3701BC5C" w14:textId="2553BCD1">
      <w:pPr>
        <w:spacing w:before="240" w:after="80"/>
        <w:rPr>
          <w:sz w:val="24"/>
        </w:rPr>
      </w:pPr>
      <w:r w:rsidRPr="00A76A50">
        <w:rPr>
          <w:b/>
          <w:bCs/>
          <w:sz w:val="24"/>
        </w:rPr>
        <w:t>WHO.</w:t>
      </w:r>
      <w:r>
        <w:rPr>
          <w:sz w:val="24"/>
        </w:rPr>
        <w:t xml:space="preserve"> (2022). WHO fungal priority pathogens list to guide research, development and public health action.</w:t>
      </w:r>
      <w:r w:rsidR="005D29D1">
        <w:rPr>
          <w:sz w:val="24"/>
        </w:rPr>
        <w:t xml:space="preserve"> </w:t>
      </w:r>
      <w:r w:rsidR="00E55970">
        <w:rPr>
          <w:sz w:val="24"/>
        </w:rPr>
        <w:t xml:space="preserve">Geneva: World </w:t>
      </w:r>
      <w:proofErr w:type="spellStart"/>
      <w:r w:rsidR="00E55970">
        <w:rPr>
          <w:sz w:val="24"/>
        </w:rPr>
        <w:t>Healtah</w:t>
      </w:r>
      <w:proofErr w:type="spellEnd"/>
      <w:r w:rsidR="00E55970">
        <w:rPr>
          <w:sz w:val="24"/>
        </w:rPr>
        <w:t xml:space="preserve"> Organization. </w:t>
      </w:r>
      <w:r w:rsidR="005D29D1">
        <w:rPr>
          <w:sz w:val="24"/>
        </w:rPr>
        <w:t>48pp.</w:t>
      </w:r>
      <w:r>
        <w:rPr>
          <w:sz w:val="24"/>
        </w:rPr>
        <w:t xml:space="preserve"> </w:t>
      </w:r>
      <w:hyperlink w:history="1" r:id="rId22">
        <w:r w:rsidRPr="00DF0105" w:rsidR="005D29D1">
          <w:rPr>
            <w:rStyle w:val="Hyperlink"/>
            <w:sz w:val="24"/>
          </w:rPr>
          <w:t>https://www.who.int/publications/i/item/9789240060241</w:t>
        </w:r>
      </w:hyperlink>
      <w:r w:rsidR="005D29D1">
        <w:rPr>
          <w:sz w:val="24"/>
        </w:rPr>
        <w:t xml:space="preserve"> </w:t>
      </w:r>
    </w:p>
    <w:p w:rsidRPr="00E562CE" w:rsidR="00BC3559" w:rsidP="00E562CE" w:rsidRDefault="003C0AAB" w14:paraId="5EC53DFD" w14:textId="78EC3BC3">
      <w:pPr>
        <w:spacing w:before="240" w:after="80"/>
        <w:rPr>
          <w:sz w:val="24"/>
        </w:rPr>
      </w:pPr>
      <w:r w:rsidRPr="00B5369C">
        <w:rPr>
          <w:b/>
          <w:bCs/>
          <w:sz w:val="24"/>
        </w:rPr>
        <w:t>WHO, FAO, UNEP, and WOAH.</w:t>
      </w:r>
      <w:r>
        <w:rPr>
          <w:sz w:val="24"/>
        </w:rPr>
        <w:t xml:space="preserve"> </w:t>
      </w:r>
      <w:r w:rsidR="003823F2">
        <w:rPr>
          <w:sz w:val="24"/>
        </w:rPr>
        <w:t xml:space="preserve">(2023). </w:t>
      </w:r>
      <w:r w:rsidRPr="003823F2" w:rsidR="003823F2">
        <w:rPr>
          <w:sz w:val="24"/>
        </w:rPr>
        <w:t>A one health priority research agenda for antimicrobial resistance. Geneva: World Health Organization, Food and Agriculture Organization of the United Nations, United Nations Environment Programme and World Organisation for Animal Health</w:t>
      </w:r>
      <w:r w:rsidR="003823F2">
        <w:rPr>
          <w:sz w:val="24"/>
        </w:rPr>
        <w:t xml:space="preserve">. </w:t>
      </w:r>
      <w:r w:rsidR="00B5369C">
        <w:rPr>
          <w:sz w:val="24"/>
        </w:rPr>
        <w:t xml:space="preserve">60 pp. </w:t>
      </w:r>
      <w:hyperlink w:history="1" r:id="rId23">
        <w:r w:rsidRPr="00B5369C" w:rsidR="00B5369C">
          <w:rPr>
            <w:rStyle w:val="Hyperlink"/>
            <w:sz w:val="24"/>
          </w:rPr>
          <w:t>one-health-amr-research-prioritisation-launch-v7-2.pdf (woah.org)</w:t>
        </w:r>
      </w:hyperlink>
    </w:p>
    <w:sectPr w:rsidRPr="00E562CE" w:rsidR="00BC3559" w:rsidSect="00836443">
      <w:headerReference w:type="even" r:id="rId24"/>
      <w:headerReference w:type="default" r:id="rId25"/>
      <w:footerReference w:type="default" r:id="rId26"/>
      <w:headerReference w:type="first" r:id="rId27"/>
      <w:footerReference w:type="first" r:id="rId28"/>
      <w:pgSz w:w="11906" w:h="16838" w:orient="portrait"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850DB" w:rsidP="008B6E4F" w:rsidRDefault="00F850DB" w14:paraId="7930E683" w14:textId="77777777">
      <w:r>
        <w:separator/>
      </w:r>
    </w:p>
  </w:endnote>
  <w:endnote w:type="continuationSeparator" w:id="0">
    <w:p w:rsidR="00F850DB" w:rsidP="008B6E4F" w:rsidRDefault="00F850DB" w14:paraId="290D1145" w14:textId="77777777">
      <w:r>
        <w:continuationSeparator/>
      </w:r>
    </w:p>
  </w:endnote>
  <w:endnote w:type="continuationNotice" w:id="1">
    <w:p w:rsidR="00F850DB" w:rsidRDefault="00F850DB" w14:paraId="727A4B3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E6B03" w:rsidR="00DB3CC6" w:rsidP="007E6B03" w:rsidRDefault="007E6B03" w14:paraId="1A08994F" w14:textId="06947AF6">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2</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7E6B03" w:rsidR="00DB3CC6" w:rsidP="007E6B03" w:rsidRDefault="007E6B03" w14:paraId="0C704202" w14:textId="6F384663">
    <w:pPr>
      <w:pStyle w:val="IPPFooter"/>
      <w:rPr>
        <w:szCs w:val="18"/>
      </w:rPr>
    </w:pPr>
    <w:r>
      <w:t>International Plant Protection Convention</w:t>
    </w:r>
    <w:r>
      <w:tab/>
    </w:r>
    <w:r w:rsidRPr="00377B19">
      <w:rPr>
        <w:szCs w:val="18"/>
      </w:rPr>
      <w:t xml:space="preserve">Page </w:t>
    </w:r>
    <w:r w:rsidRPr="00377B19">
      <w:rPr>
        <w:szCs w:val="18"/>
      </w:rPr>
      <w:fldChar w:fldCharType="begin"/>
    </w:r>
    <w:r w:rsidRPr="00377B19">
      <w:rPr>
        <w:szCs w:val="18"/>
      </w:rPr>
      <w:instrText xml:space="preserve"> PAGE </w:instrText>
    </w:r>
    <w:r w:rsidRPr="00377B19">
      <w:rPr>
        <w:szCs w:val="18"/>
      </w:rPr>
      <w:fldChar w:fldCharType="separate"/>
    </w:r>
    <w:r>
      <w:rPr>
        <w:szCs w:val="18"/>
      </w:rPr>
      <w:t>1</w:t>
    </w:r>
    <w:r w:rsidRPr="00377B19">
      <w:rPr>
        <w:szCs w:val="18"/>
      </w:rPr>
      <w:fldChar w:fldCharType="end"/>
    </w:r>
    <w:r>
      <w:rPr>
        <w:szCs w:val="18"/>
      </w:rPr>
      <w:t xml:space="preserve"> of </w:t>
    </w:r>
    <w:r>
      <w:rPr>
        <w:szCs w:val="18"/>
      </w:rPr>
      <w:fldChar w:fldCharType="begin"/>
    </w:r>
    <w:r>
      <w:rPr>
        <w:szCs w:val="18"/>
      </w:rPr>
      <w:instrText>NUMPAGES</w:instrText>
    </w:r>
    <w:r>
      <w:rPr>
        <w:szCs w:val="18"/>
      </w:rPr>
      <w:fldChar w:fldCharType="separate"/>
    </w:r>
    <w:r>
      <w:rPr>
        <w:szCs w:val="18"/>
      </w:rPr>
      <w:t>2</w:t>
    </w:r>
    <w:r>
      <w:rPr>
        <w:szCs w:val="18"/>
      </w:rPr>
      <w:fldChar w:fldCharType="end"/>
    </w:r>
    <w:r>
      <w:rPr>
        <w:szCs w:val="18"/>
      </w:rPr>
      <w:fldChar w:fldCharType="begin"/>
    </w:r>
    <w:r>
      <w:rPr>
        <w:szCs w:val="18"/>
      </w:rPr>
      <w:instrText>NUMPAGE</w:instrText>
    </w:r>
    <w:r>
      <w:rPr>
        <w:szCs w:val="18"/>
      </w:rPr>
      <w:fldChar w:fldCharType="end"/>
    </w:r>
    <w:r>
      <w:rPr>
        <w:szCs w:val="18"/>
      </w:rPr>
      <w:fldChar w:fldCharType="begin"/>
    </w:r>
    <w:r>
      <w:rPr>
        <w:szCs w:val="18"/>
      </w:rPr>
      <w:instrText xml:space="preserve"> NUMPAGE </w:instrText>
    </w:r>
    <w:r>
      <w:rP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850DB" w:rsidP="008B6E4F" w:rsidRDefault="00F850DB" w14:paraId="356698D8" w14:textId="77777777">
      <w:r>
        <w:separator/>
      </w:r>
    </w:p>
  </w:footnote>
  <w:footnote w:type="continuationSeparator" w:id="0">
    <w:p w:rsidR="00F850DB" w:rsidP="008B6E4F" w:rsidRDefault="00F850DB" w14:paraId="448FD8E3" w14:textId="77777777">
      <w:r>
        <w:continuationSeparator/>
      </w:r>
    </w:p>
  </w:footnote>
  <w:footnote w:type="continuationNotice" w:id="1">
    <w:p w:rsidR="00F850DB" w:rsidRDefault="00F850DB" w14:paraId="21E2E456"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du wp14">
  <w:p w:rsidR="00BE7224" w:rsidP="00DE5084" w:rsidRDefault="00BE7224" w14:paraId="62B907DD" w14:textId="72847AAE">
    <w:pPr>
      <w:pStyle w:val="Header"/>
    </w:pPr>
    <w:r>
      <w:rPr>
        <w:noProof/>
      </w:rPr>
      <mc:AlternateContent>
        <mc:Choice Requires="wps">
          <w:drawing>
            <wp:anchor distT="0" distB="0" distL="0" distR="0" simplePos="0" relativeHeight="251658240" behindDoc="0" locked="0" layoutInCell="1" allowOverlap="1" wp14:anchorId="5F636B8E" wp14:editId="0B8AA7AA">
              <wp:simplePos x="635" y="635"/>
              <wp:positionH relativeFrom="page">
                <wp:align>right</wp:align>
              </wp:positionH>
              <wp:positionV relativeFrom="page">
                <wp:align>top</wp:align>
              </wp:positionV>
              <wp:extent cx="1624965" cy="357505"/>
              <wp:effectExtent l="0" t="0" r="0" b="10795"/>
              <wp:wrapNone/>
              <wp:docPr id="459679162" name="Text Box 2" descr="Unclassified / Non classifi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624965" cy="357505"/>
                      </a:xfrm>
                      <a:prstGeom prst="rect">
                        <a:avLst/>
                      </a:prstGeom>
                      <a:noFill/>
                      <a:ln>
                        <a:noFill/>
                      </a:ln>
                    </wps:spPr>
                    <wps:txbx>
                      <w:txbxContent>
                        <w:p w:rsidRPr="00BE7224" w:rsidR="00BE7224" w:rsidP="00BE7224" w:rsidRDefault="00BE7224" w14:paraId="656F2130" w14:textId="73590CB2">
                          <w:pPr>
                            <w:rPr>
                              <w:rFonts w:ascii="Calibri" w:hAnsi="Calibri" w:eastAsia="Calibri" w:cs="Calibri"/>
                              <w:noProof/>
                              <w:color w:val="000000"/>
                              <w:sz w:val="20"/>
                              <w:szCs w:val="20"/>
                            </w:rPr>
                          </w:pPr>
                          <w:r w:rsidRPr="00BE7224">
                            <w:rPr>
                              <w:rFonts w:ascii="Calibri" w:hAnsi="Calibri" w:eastAsia="Calibri" w:cs="Calibri"/>
                              <w:noProof/>
                              <w:color w:val="000000"/>
                              <w:sz w:val="20"/>
                              <w:szCs w:val="20"/>
                            </w:rPr>
                            <w:t>Unclassified / Non classifié</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w14:anchorId="08E2F202">
            <v:shapetype id="_x0000_t202" coordsize="21600,21600" o:spt="202" path="m,l,21600r21600,l21600,xe" w14:anchorId="5F636B8E">
              <v:stroke joinstyle="miter"/>
              <v:path gradientshapeok="t" o:connecttype="rect"/>
            </v:shapetype>
            <v:shape id="Text Box 2" style="position:absolute;left:0;text-align:left;margin-left:76.75pt;margin-top:0;width:127.95pt;height:28.15pt;z-index:251658240;visibility:visible;mso-wrap-style:none;mso-wrap-distance-left:0;mso-wrap-distance-top:0;mso-wrap-distance-right:0;mso-wrap-distance-bottom:0;mso-position-horizontal:right;mso-position-horizontal-relative:page;mso-position-vertical:top;mso-position-vertical-relative:page;v-text-anchor:top" alt="Unclassified / Non classifié"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">
              <v:textbox style="mso-fit-shape-to-text:t" inset="0,15pt,20pt,0">
                <w:txbxContent>
                  <w:p w:rsidRPr="00BE7224" w:rsidR="00BE7224" w:rsidP="00BE7224" w:rsidRDefault="00BE7224" w14:paraId="58E19FCC" w14:textId="73590CB2">
                    <w:pPr>
                      <w:rPr>
                        <w:rFonts w:ascii="Calibri" w:hAnsi="Calibri" w:eastAsia="Calibri" w:cs="Calibri"/>
                        <w:noProof/>
                        <w:color w:val="000000"/>
                        <w:sz w:val="20"/>
                        <w:szCs w:val="20"/>
                      </w:rPr>
                    </w:pPr>
                    <w:r w:rsidRPr="00BE7224">
                      <w:rPr>
                        <w:rFonts w:ascii="Calibri" w:hAnsi="Calibri" w:eastAsia="Calibri" w:cs="Calibri"/>
                        <w:noProof/>
                        <w:color w:val="000000"/>
                        <w:sz w:val="20"/>
                        <w:szCs w:val="20"/>
                      </w:rPr>
                      <w:t>Unclassified / Non classifié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2B4ADC" w:rsidR="00E759FB" w:rsidP="00E759FB" w:rsidRDefault="00FE2A52" w14:paraId="21D67508" w14:textId="092E01C8">
    <w:pPr>
      <w:pStyle w:val="IPPHeader"/>
      <w:tabs>
        <w:tab w:val="clear" w:pos="1134"/>
      </w:tabs>
      <w:spacing w:after="0"/>
    </w:pPr>
    <w:bookmarkStart w:name="_Hlk38797139" w:id="5"/>
    <w:r>
      <w:t>04</w:t>
    </w:r>
    <w:r w:rsidR="00E759FB">
      <w:t>_SPG_2024_Oct (</w:t>
    </w:r>
    <w:r>
      <w:t>6.1</w:t>
    </w:r>
    <w:r w:rsidR="00E759FB">
      <w:t>)</w:t>
    </w:r>
    <w:r w:rsidR="00E759FB">
      <w:tab/>
    </w:r>
    <w:r w:rsidR="00E759FB">
      <w:t>Antimicrobial resistance in plant health</w:t>
    </w:r>
  </w:p>
  <w:bookmarkEnd w:id="5"/>
  <w:p w:rsidR="00DB3CC6" w:rsidRDefault="00DB3CC6" w14:paraId="5D0BFA1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DB3CC6" w:rsidP="00DB3CC6" w:rsidRDefault="00DB3CC6" w14:paraId="72C034FE" w14:textId="4D151EA2">
    <w:pPr>
      <w:pStyle w:val="IPPHeader"/>
      <w:tabs>
        <w:tab w:val="clear" w:pos="1134"/>
      </w:tabs>
      <w:spacing w:before="240" w:after="0"/>
    </w:pPr>
    <w:bookmarkStart w:name="_Hlk38796923" w:id="6"/>
    <w:bookmarkStart w:name="_Hlk38796924" w:id="7"/>
    <w:r>
      <w:rPr>
        <w:i/>
        <w:iCs/>
        <w:noProof/>
        <w14:ligatures w14:val="standardContextual"/>
      </w:rPr>
      <w:drawing>
        <wp:anchor distT="0" distB="0" distL="114300" distR="114300" simplePos="0" relativeHeight="251658243" behindDoc="0" locked="0" layoutInCell="1" allowOverlap="1" wp14:anchorId="57A219CF" wp14:editId="00C4F697">
          <wp:simplePos x="0" y="0"/>
          <wp:positionH relativeFrom="page">
            <wp:posOffset>2520315</wp:posOffset>
          </wp:positionH>
          <wp:positionV relativeFrom="page">
            <wp:posOffset>558165</wp:posOffset>
          </wp:positionV>
          <wp:extent cx="1756800" cy="698400"/>
          <wp:effectExtent l="0" t="0" r="0" b="6985"/>
          <wp:wrapSquare wrapText="bothSides"/>
          <wp:docPr id="177042359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4" behindDoc="0" locked="0" layoutInCell="1" allowOverlap="1" wp14:anchorId="1F34B0E9" wp14:editId="43739B02">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w14:anchorId="49586EA6">
            <v:line id="Straight Connector 1" style="position:absolute;z-index:251658244;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o:spid="_x0000_s1026" strokecolor="black [3213]" strokeweight=".5pt" from="124pt,56.7pt" to="124pt,85.05pt" w14:anchorId="19768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">
              <v:stroke joinstyle="miter"/>
              <w10:wrap anchorx="margin" anchory="page"/>
            </v:line>
          </w:pict>
        </mc:Fallback>
      </mc:AlternateContent>
    </w:r>
    <w:r w:rsidRPr="000321A6">
      <w:rPr>
        <w:noProof/>
      </w:rPr>
      <w:drawing>
        <wp:anchor distT="0" distB="0" distL="114300" distR="114300" simplePos="0" relativeHeight="251658241" behindDoc="0" locked="0" layoutInCell="1" allowOverlap="1" wp14:anchorId="450E8231" wp14:editId="58A56784">
          <wp:simplePos x="0" y="0"/>
          <wp:positionH relativeFrom="page">
            <wp:posOffset>0</wp:posOffset>
          </wp:positionH>
          <wp:positionV relativeFrom="page">
            <wp:posOffset>0</wp:posOffset>
          </wp:positionV>
          <wp:extent cx="7617600" cy="558000"/>
          <wp:effectExtent l="0" t="0" r="2540" b="0"/>
          <wp:wrapTopAndBottom/>
          <wp:docPr id="10255429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58242" behindDoc="0" locked="0" layoutInCell="1" allowOverlap="1" wp14:anchorId="5C812B5D" wp14:editId="626964A7">
          <wp:simplePos x="0" y="0"/>
          <wp:positionH relativeFrom="page">
            <wp:posOffset>742950</wp:posOffset>
          </wp:positionH>
          <wp:positionV relativeFrom="page">
            <wp:posOffset>558165</wp:posOffset>
          </wp:positionV>
          <wp:extent cx="1728000" cy="698400"/>
          <wp:effectExtent l="0" t="0" r="5715" b="6985"/>
          <wp:wrapSquare wrapText="bothSides"/>
          <wp:docPr id="178518581"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9E63AC">
      <w:t>04</w:t>
    </w:r>
    <w:r>
      <w:t>_</w:t>
    </w:r>
    <w:r w:rsidR="001E7092">
      <w:t>SPG</w:t>
    </w:r>
    <w:r>
      <w:t>_2024</w:t>
    </w:r>
    <w:r w:rsidRPr="00606019">
      <w:t>_</w:t>
    </w:r>
    <w:r w:rsidR="00836443">
      <w:t>Oct</w:t>
    </w:r>
  </w:p>
  <w:p w:rsidR="00DB3CC6" w:rsidP="00DB3CC6" w:rsidRDefault="00DB3CC6" w14:paraId="52BDE7E3" w14:textId="4D868704">
    <w:pPr>
      <w:pStyle w:val="IPPHeader"/>
      <w:tabs>
        <w:tab w:val="clear" w:pos="1134"/>
      </w:tabs>
      <w:spacing w:after="0"/>
    </w:pPr>
    <w:r w:rsidRPr="0076596B">
      <w:tab/>
    </w:r>
    <w:r w:rsidRPr="0076596B">
      <w:t xml:space="preserve">Agenda item: </w:t>
    </w:r>
    <w:r w:rsidR="0097393B">
      <w:t>6.1</w:t>
    </w:r>
  </w:p>
  <w:p w:rsidR="00DB3CC6" w:rsidP="00DB3CC6" w:rsidRDefault="00DB3CC6" w14:paraId="5A75D3CB" w14:textId="77777777">
    <w:pPr>
      <w:pStyle w:val="IPPHeader"/>
      <w:tabs>
        <w:tab w:val="clear" w:pos="1134"/>
      </w:tabs>
      <w:spacing w:after="260"/>
    </w:pPr>
  </w:p>
  <w:p w:rsidRPr="0076596B" w:rsidR="00DB3CC6" w:rsidP="00DB3CC6" w:rsidRDefault="00836443" w14:paraId="754AF4E6" w14:textId="7468123A">
    <w:pPr>
      <w:pStyle w:val="IPPHeader"/>
      <w:tabs>
        <w:tab w:val="clear" w:pos="1134"/>
      </w:tabs>
      <w:spacing w:after="0"/>
    </w:pPr>
    <w:r>
      <w:t>Antimicrobial resistance in plant health</w:t>
    </w:r>
  </w:p>
  <w:bookmarkEnd w:id="6"/>
  <w:bookmarkEnd w:id="7"/>
  <w:p w:rsidR="00BE7224" w:rsidP="00DE5084" w:rsidRDefault="00BE7224" w14:paraId="7FA02758" w14:textId="3FD53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hint="default" w:ascii="Times New Roman" w:hAnsi="Times New Roman"/>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hint="default" w:ascii="Times New Roman" w:hAnsi="Times New Roman"/>
        <w:color w:val="auto"/>
        <w:sz w:val="22"/>
      </w:rPr>
    </w:lvl>
    <w:lvl w:ilvl="1" w:tplc="FFFFFFFF" w:tentative="1">
      <w:start w:val="1"/>
      <w:numFmt w:val="bullet"/>
      <w:lvlText w:val="o"/>
      <w:lvlJc w:val="left"/>
      <w:pPr>
        <w:ind w:left="1440" w:hanging="360"/>
      </w:pPr>
      <w:rPr>
        <w:rFonts w:hint="default" w:ascii="Courier New" w:hAnsi="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rPr>
    </w:lvl>
    <w:lvl w:ilvl="8" w:tplc="FFFFFFFF" w:tentative="1">
      <w:start w:val="1"/>
      <w:numFmt w:val="bullet"/>
      <w:lvlText w:val=""/>
      <w:lvlJc w:val="left"/>
      <w:pPr>
        <w:ind w:left="6480" w:hanging="360"/>
      </w:pPr>
      <w:rPr>
        <w:rFonts w:hint="default" w:ascii="Wingdings" w:hAnsi="Wingdings"/>
      </w:rPr>
    </w:lvl>
  </w:abstractNum>
  <w:abstractNum w:abstractNumId="13" w15:restartNumberingAfterBreak="0">
    <w:nsid w:val="15191E3A"/>
    <w:multiLevelType w:val="hybridMultilevel"/>
    <w:tmpl w:val="A68CCC46"/>
    <w:lvl w:ilvl="0" w:tplc="55842D9E">
      <w:start w:val="1"/>
      <w:numFmt w:val="decimal"/>
      <w:lvlText w:val="%1."/>
      <w:lvlJc w:val="left"/>
      <w:pPr>
        <w:ind w:left="4897" w:hanging="360"/>
      </w:pPr>
      <w:rPr>
        <w:rFonts w:hint="default"/>
        <w:b/>
        <w:bCs/>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651B3"/>
    <w:multiLevelType w:val="hybridMultilevel"/>
    <w:tmpl w:val="6130C5F8"/>
    <w:lvl w:ilvl="0" w:tplc="4A507126">
      <w:start w:val="1"/>
      <w:numFmt w:val="decimal"/>
      <w:lvlText w:val="[%1]"/>
      <w:lvlJc w:val="left"/>
      <w:pPr>
        <w:ind w:left="720" w:hanging="360"/>
      </w:pPr>
      <w:rPr>
        <w:rFonts w:hint="default" w:ascii="Arial Italic" w:hAnsi="Arial Italic"/>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15:restartNumberingAfterBreak="0">
    <w:nsid w:val="25835436"/>
    <w:multiLevelType w:val="hybridMultilevel"/>
    <w:tmpl w:val="E5C8C3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hint="default" w:ascii="Arial" w:hAnsi="Arial"/>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326A56F0"/>
    <w:multiLevelType w:val="hybridMultilevel"/>
    <w:tmpl w:val="DF124C8C"/>
    <w:lvl w:ilvl="0" w:tplc="E130700C">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5E01DD6"/>
    <w:multiLevelType w:val="hybridMultilevel"/>
    <w:tmpl w:val="AD7E4398"/>
    <w:lvl w:ilvl="0" w:tplc="6622B660">
      <w:start w:val="1"/>
      <w:numFmt w:val="bullet"/>
      <w:lvlText w:val=""/>
      <w:lvlJc w:val="left"/>
      <w:pPr>
        <w:ind w:left="360" w:hanging="360"/>
      </w:pPr>
      <w:rPr>
        <w:rFonts w:hint="default" w:ascii="Symbol" w:hAnsi="Symbol"/>
      </w:rPr>
    </w:lvl>
    <w:lvl w:ilvl="1" w:tplc="0BC49DD8">
      <w:start w:val="1"/>
      <w:numFmt w:val="bullet"/>
      <w:lvlText w:val="o"/>
      <w:lvlJc w:val="left"/>
      <w:pPr>
        <w:ind w:left="1080" w:hanging="360"/>
      </w:pPr>
      <w:rPr>
        <w:rFonts w:hint="default" w:ascii="Courier New" w:hAnsi="Courier New"/>
      </w:rPr>
    </w:lvl>
    <w:lvl w:ilvl="2" w:tplc="E43A04AC">
      <w:start w:val="1"/>
      <w:numFmt w:val="bullet"/>
      <w:lvlText w:val=""/>
      <w:lvlJc w:val="left"/>
      <w:pPr>
        <w:ind w:left="1800" w:hanging="360"/>
      </w:pPr>
      <w:rPr>
        <w:rFonts w:hint="default" w:ascii="Wingdings" w:hAnsi="Wingdings"/>
      </w:rPr>
    </w:lvl>
    <w:lvl w:ilvl="3" w:tplc="9B6016EC">
      <w:start w:val="1"/>
      <w:numFmt w:val="bullet"/>
      <w:lvlText w:val=""/>
      <w:lvlJc w:val="left"/>
      <w:pPr>
        <w:ind w:left="2520" w:hanging="360"/>
      </w:pPr>
      <w:rPr>
        <w:rFonts w:hint="default" w:ascii="Symbol" w:hAnsi="Symbol"/>
      </w:rPr>
    </w:lvl>
    <w:lvl w:ilvl="4" w:tplc="A75877B6">
      <w:start w:val="1"/>
      <w:numFmt w:val="bullet"/>
      <w:lvlText w:val="o"/>
      <w:lvlJc w:val="left"/>
      <w:pPr>
        <w:ind w:left="3240" w:hanging="360"/>
      </w:pPr>
      <w:rPr>
        <w:rFonts w:hint="default" w:ascii="Courier New" w:hAnsi="Courier New"/>
      </w:rPr>
    </w:lvl>
    <w:lvl w:ilvl="5" w:tplc="04FECC8A">
      <w:start w:val="1"/>
      <w:numFmt w:val="bullet"/>
      <w:lvlText w:val=""/>
      <w:lvlJc w:val="left"/>
      <w:pPr>
        <w:ind w:left="3960" w:hanging="360"/>
      </w:pPr>
      <w:rPr>
        <w:rFonts w:hint="default" w:ascii="Wingdings" w:hAnsi="Wingdings"/>
      </w:rPr>
    </w:lvl>
    <w:lvl w:ilvl="6" w:tplc="50764AD0">
      <w:start w:val="1"/>
      <w:numFmt w:val="bullet"/>
      <w:lvlText w:val=""/>
      <w:lvlJc w:val="left"/>
      <w:pPr>
        <w:ind w:left="4680" w:hanging="360"/>
      </w:pPr>
      <w:rPr>
        <w:rFonts w:hint="default" w:ascii="Symbol" w:hAnsi="Symbol"/>
      </w:rPr>
    </w:lvl>
    <w:lvl w:ilvl="7" w:tplc="62667DA4">
      <w:start w:val="1"/>
      <w:numFmt w:val="bullet"/>
      <w:lvlText w:val="o"/>
      <w:lvlJc w:val="left"/>
      <w:pPr>
        <w:ind w:left="5400" w:hanging="360"/>
      </w:pPr>
      <w:rPr>
        <w:rFonts w:hint="default" w:ascii="Courier New" w:hAnsi="Courier New"/>
      </w:rPr>
    </w:lvl>
    <w:lvl w:ilvl="8" w:tplc="8236F6B8">
      <w:start w:val="1"/>
      <w:numFmt w:val="bullet"/>
      <w:lvlText w:val=""/>
      <w:lvlJc w:val="left"/>
      <w:pPr>
        <w:ind w:left="6120" w:hanging="360"/>
      </w:pPr>
      <w:rPr>
        <w:rFonts w:hint="default" w:ascii="Wingdings" w:hAnsi="Wingdings"/>
      </w:rPr>
    </w:lvl>
  </w:abstractNum>
  <w:abstractNum w:abstractNumId="20" w15:restartNumberingAfterBreak="0">
    <w:nsid w:val="467071CE"/>
    <w:multiLevelType w:val="multilevel"/>
    <w:tmpl w:val="D56E9BA2"/>
    <w:lvl w:ilvl="0">
      <w:start w:val="1"/>
      <w:numFmt w:val="decimal"/>
      <w:lvlText w:val="(%1)"/>
      <w:lvlJc w:val="left"/>
      <w:pPr>
        <w:tabs>
          <w:tab w:val="num" w:pos="567"/>
        </w:tabs>
        <w:ind w:left="567" w:hanging="567"/>
      </w:pPr>
      <w:rPr>
        <w:rFonts w:hint="default" w:ascii="Times New Roman" w:hAnsi="Times New Roman"/>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C0E0179"/>
    <w:multiLevelType w:val="hybridMultilevel"/>
    <w:tmpl w:val="84D09C60"/>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hint="default" w:ascii="Times New Roman" w:hAnsi="Times New Roman"/>
        <w:b w:val="0"/>
        <w:i w:val="0"/>
        <w:color w:val="auto"/>
        <w:sz w:val="22"/>
      </w:rPr>
    </w:lvl>
    <w:lvl w:ilvl="1" w:tplc="04090019" w:tentative="1">
      <w:start w:val="1"/>
      <w:numFmt w:val="bullet"/>
      <w:lvlText w:val="o"/>
      <w:lvlJc w:val="left"/>
      <w:pPr>
        <w:ind w:left="1440" w:hanging="360"/>
      </w:pPr>
      <w:rPr>
        <w:rFonts w:hint="default" w:ascii="Courier New" w:hAnsi="Courier New"/>
      </w:rPr>
    </w:lvl>
    <w:lvl w:ilvl="2" w:tplc="0409001B" w:tentative="1">
      <w:start w:val="1"/>
      <w:numFmt w:val="bullet"/>
      <w:lvlText w:val=""/>
      <w:lvlJc w:val="left"/>
      <w:pPr>
        <w:ind w:left="2160" w:hanging="360"/>
      </w:pPr>
      <w:rPr>
        <w:rFonts w:hint="default" w:ascii="Wingdings" w:hAnsi="Wingdings"/>
      </w:rPr>
    </w:lvl>
    <w:lvl w:ilvl="3" w:tplc="0409000F" w:tentative="1">
      <w:start w:val="1"/>
      <w:numFmt w:val="bullet"/>
      <w:lvlText w:val=""/>
      <w:lvlJc w:val="left"/>
      <w:pPr>
        <w:ind w:left="2880" w:hanging="360"/>
      </w:pPr>
      <w:rPr>
        <w:rFonts w:hint="default" w:ascii="Symbol" w:hAnsi="Symbol"/>
      </w:rPr>
    </w:lvl>
    <w:lvl w:ilvl="4" w:tplc="04090019" w:tentative="1">
      <w:start w:val="1"/>
      <w:numFmt w:val="bullet"/>
      <w:lvlText w:val="o"/>
      <w:lvlJc w:val="left"/>
      <w:pPr>
        <w:ind w:left="3600" w:hanging="360"/>
      </w:pPr>
      <w:rPr>
        <w:rFonts w:hint="default" w:ascii="Courier New" w:hAnsi="Courier New"/>
      </w:rPr>
    </w:lvl>
    <w:lvl w:ilvl="5" w:tplc="0409001B" w:tentative="1">
      <w:start w:val="1"/>
      <w:numFmt w:val="bullet"/>
      <w:lvlText w:val=""/>
      <w:lvlJc w:val="left"/>
      <w:pPr>
        <w:ind w:left="4320" w:hanging="360"/>
      </w:pPr>
      <w:rPr>
        <w:rFonts w:hint="default" w:ascii="Wingdings" w:hAnsi="Wingdings"/>
      </w:rPr>
    </w:lvl>
    <w:lvl w:ilvl="6" w:tplc="0409000F" w:tentative="1">
      <w:start w:val="1"/>
      <w:numFmt w:val="bullet"/>
      <w:lvlText w:val=""/>
      <w:lvlJc w:val="left"/>
      <w:pPr>
        <w:ind w:left="5040" w:hanging="360"/>
      </w:pPr>
      <w:rPr>
        <w:rFonts w:hint="default" w:ascii="Symbol" w:hAnsi="Symbol"/>
      </w:rPr>
    </w:lvl>
    <w:lvl w:ilvl="7" w:tplc="04090019" w:tentative="1">
      <w:start w:val="1"/>
      <w:numFmt w:val="bullet"/>
      <w:lvlText w:val="o"/>
      <w:lvlJc w:val="left"/>
      <w:pPr>
        <w:ind w:left="5760" w:hanging="360"/>
      </w:pPr>
      <w:rPr>
        <w:rFonts w:hint="default" w:ascii="Courier New" w:hAnsi="Courier New"/>
      </w:rPr>
    </w:lvl>
    <w:lvl w:ilvl="8" w:tplc="0409001B" w:tentative="1">
      <w:start w:val="1"/>
      <w:numFmt w:val="bullet"/>
      <w:lvlText w:val=""/>
      <w:lvlJc w:val="left"/>
      <w:pPr>
        <w:ind w:left="6480" w:hanging="360"/>
      </w:pPr>
      <w:rPr>
        <w:rFonts w:hint="default" w:ascii="Wingdings" w:hAnsi="Wingdings"/>
      </w:rPr>
    </w:lvl>
  </w:abstractNum>
  <w:abstractNum w:abstractNumId="23" w15:restartNumberingAfterBreak="0">
    <w:nsid w:val="5D8D0EE0"/>
    <w:multiLevelType w:val="hybridMultilevel"/>
    <w:tmpl w:val="8D601E16"/>
    <w:lvl w:ilvl="0" w:tplc="E60C114C">
      <w:start w:val="1"/>
      <w:numFmt w:val="bullet"/>
      <w:lvlText w:val="o"/>
      <w:lvlJc w:val="left"/>
      <w:pPr>
        <w:ind w:left="720" w:hanging="360"/>
      </w:pPr>
      <w:rPr>
        <w:rFonts w:hint="default" w:ascii="Courier New" w:hAnsi="Courier New"/>
      </w:rPr>
    </w:lvl>
    <w:lvl w:ilvl="1" w:tplc="D29C5086">
      <w:start w:val="1"/>
      <w:numFmt w:val="bullet"/>
      <w:lvlText w:val="o"/>
      <w:lvlJc w:val="left"/>
      <w:pPr>
        <w:ind w:left="1440" w:hanging="360"/>
      </w:pPr>
      <w:rPr>
        <w:rFonts w:hint="default" w:ascii="Courier New" w:hAnsi="Courier New"/>
      </w:rPr>
    </w:lvl>
    <w:lvl w:ilvl="2" w:tplc="7A1618E0">
      <w:start w:val="1"/>
      <w:numFmt w:val="bullet"/>
      <w:lvlText w:val=""/>
      <w:lvlJc w:val="left"/>
      <w:pPr>
        <w:ind w:left="2160" w:hanging="360"/>
      </w:pPr>
      <w:rPr>
        <w:rFonts w:hint="default" w:ascii="Wingdings" w:hAnsi="Wingdings"/>
      </w:rPr>
    </w:lvl>
    <w:lvl w:ilvl="3" w:tplc="B930EB4E">
      <w:start w:val="1"/>
      <w:numFmt w:val="bullet"/>
      <w:lvlText w:val=""/>
      <w:lvlJc w:val="left"/>
      <w:pPr>
        <w:ind w:left="2880" w:hanging="360"/>
      </w:pPr>
      <w:rPr>
        <w:rFonts w:hint="default" w:ascii="Symbol" w:hAnsi="Symbol"/>
      </w:rPr>
    </w:lvl>
    <w:lvl w:ilvl="4" w:tplc="B1E052E6">
      <w:start w:val="1"/>
      <w:numFmt w:val="bullet"/>
      <w:lvlText w:val="o"/>
      <w:lvlJc w:val="left"/>
      <w:pPr>
        <w:ind w:left="3600" w:hanging="360"/>
      </w:pPr>
      <w:rPr>
        <w:rFonts w:hint="default" w:ascii="Courier New" w:hAnsi="Courier New"/>
      </w:rPr>
    </w:lvl>
    <w:lvl w:ilvl="5" w:tplc="A90CDE4C">
      <w:start w:val="1"/>
      <w:numFmt w:val="bullet"/>
      <w:lvlText w:val=""/>
      <w:lvlJc w:val="left"/>
      <w:pPr>
        <w:ind w:left="4320" w:hanging="360"/>
      </w:pPr>
      <w:rPr>
        <w:rFonts w:hint="default" w:ascii="Wingdings" w:hAnsi="Wingdings"/>
      </w:rPr>
    </w:lvl>
    <w:lvl w:ilvl="6" w:tplc="B8506DBE">
      <w:start w:val="1"/>
      <w:numFmt w:val="bullet"/>
      <w:lvlText w:val=""/>
      <w:lvlJc w:val="left"/>
      <w:pPr>
        <w:ind w:left="5040" w:hanging="360"/>
      </w:pPr>
      <w:rPr>
        <w:rFonts w:hint="default" w:ascii="Symbol" w:hAnsi="Symbol"/>
      </w:rPr>
    </w:lvl>
    <w:lvl w:ilvl="7" w:tplc="AE3EECD6">
      <w:start w:val="1"/>
      <w:numFmt w:val="bullet"/>
      <w:lvlText w:val="o"/>
      <w:lvlJc w:val="left"/>
      <w:pPr>
        <w:ind w:left="5760" w:hanging="360"/>
      </w:pPr>
      <w:rPr>
        <w:rFonts w:hint="default" w:ascii="Courier New" w:hAnsi="Courier New"/>
      </w:rPr>
    </w:lvl>
    <w:lvl w:ilvl="8" w:tplc="797C0F8C">
      <w:start w:val="1"/>
      <w:numFmt w:val="bullet"/>
      <w:lvlText w:val=""/>
      <w:lvlJc w:val="left"/>
      <w:pPr>
        <w:ind w:left="6480" w:hanging="360"/>
      </w:pPr>
      <w:rPr>
        <w:rFonts w:hint="default" w:ascii="Wingdings" w:hAnsi="Wingdings"/>
      </w:rPr>
    </w:lvl>
  </w:abstractNum>
  <w:abstractNum w:abstractNumId="24" w15:restartNumberingAfterBreak="0">
    <w:nsid w:val="653D1D5E"/>
    <w:multiLevelType w:val="hybridMultilevel"/>
    <w:tmpl w:val="206052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hint="default" w:ascii="Times New Roman" w:hAnsi="Times New Roman"/>
        <w:b w:val="0"/>
        <w:i w:val="0"/>
        <w:color w:val="auto"/>
        <w:sz w:val="22"/>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6A354E39"/>
    <w:multiLevelType w:val="hybridMultilevel"/>
    <w:tmpl w:val="52EA3E24"/>
    <w:lvl w:ilvl="0" w:tplc="34EC9708">
      <w:numFmt w:val="bullet"/>
      <w:pStyle w:val="IPPBullet1"/>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51D2757"/>
    <w:multiLevelType w:val="hybridMultilevel"/>
    <w:tmpl w:val="8E445FD4"/>
    <w:lvl w:ilvl="0" w:tplc="C4348534">
      <w:start w:val="1"/>
      <w:numFmt w:val="bullet"/>
      <w:pStyle w:val="IPPBullet2"/>
      <w:lvlText w:val=""/>
      <w:lvlJc w:val="left"/>
      <w:pPr>
        <w:ind w:left="927" w:hanging="360"/>
      </w:pPr>
      <w:rPr>
        <w:rFonts w:hint="default" w:ascii="Symbol" w:hAnsi="Symbol"/>
        <w:b w:val="0"/>
        <w:i w:val="0"/>
        <w:color w:val="auto"/>
        <w:sz w:val="22"/>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8" w15:restartNumberingAfterBreak="0">
    <w:nsid w:val="78F51BC7"/>
    <w:multiLevelType w:val="hybridMultilevel"/>
    <w:tmpl w:val="A820716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7A3C2770"/>
    <w:multiLevelType w:val="hybridMultilevel"/>
    <w:tmpl w:val="DE4C8B5C"/>
    <w:lvl w:ilvl="0" w:tplc="4B56A1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43142144">
    <w:abstractNumId w:val="29"/>
  </w:num>
  <w:num w:numId="2" w16cid:durableId="2069763000">
    <w:abstractNumId w:val="16"/>
  </w:num>
  <w:num w:numId="3" w16cid:durableId="112021498">
    <w:abstractNumId w:val="19"/>
  </w:num>
  <w:num w:numId="4" w16cid:durableId="62800359">
    <w:abstractNumId w:val="23"/>
  </w:num>
  <w:num w:numId="5" w16cid:durableId="1619331324">
    <w:abstractNumId w:val="21"/>
  </w:num>
  <w:num w:numId="6" w16cid:durableId="702707953">
    <w:abstractNumId w:val="28"/>
  </w:num>
  <w:num w:numId="7" w16cid:durableId="913314925">
    <w:abstractNumId w:val="13"/>
  </w:num>
  <w:num w:numId="8" w16cid:durableId="324750812">
    <w:abstractNumId w:val="15"/>
  </w:num>
  <w:num w:numId="9" w16cid:durableId="1468011768">
    <w:abstractNumId w:val="24"/>
  </w:num>
  <w:num w:numId="10" w16cid:durableId="141192882">
    <w:abstractNumId w:val="17"/>
  </w:num>
  <w:num w:numId="11" w16cid:durableId="1226531976">
    <w:abstractNumId w:val="25"/>
  </w:num>
  <w:num w:numId="12" w16cid:durableId="1749381087">
    <w:abstractNumId w:val="12"/>
  </w:num>
  <w:num w:numId="13" w16cid:durableId="1634940127">
    <w:abstractNumId w:val="11"/>
  </w:num>
  <w:num w:numId="14" w16cid:durableId="1358458346">
    <w:abstractNumId w:val="27"/>
  </w:num>
  <w:num w:numId="15" w16cid:durableId="636107580">
    <w:abstractNumId w:val="22"/>
  </w:num>
  <w:num w:numId="16" w16cid:durableId="735201531">
    <w:abstractNumId w:val="18"/>
  </w:num>
  <w:num w:numId="17" w16cid:durableId="625426921">
    <w:abstractNumId w:val="30"/>
  </w:num>
  <w:num w:numId="18" w16cid:durableId="751855798">
    <w:abstractNumId w:val="14"/>
  </w:num>
  <w:num w:numId="19" w16cid:durableId="678849787">
    <w:abstractNumId w:val="11"/>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875580671">
    <w:abstractNumId w:val="11"/>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866791825">
    <w:abstractNumId w:val="11"/>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976033951">
    <w:abstractNumId w:val="11"/>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1230070415">
    <w:abstractNumId w:val="11"/>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4" w16cid:durableId="1977955482">
    <w:abstractNumId w:val="11"/>
    <w:lvlOverride w:ilvl="0">
      <w:lvl w:ilvl="0">
        <w:start w:val="1"/>
        <w:numFmt w:val="decimal"/>
        <w:pStyle w:val="IPPParagraphnumbering"/>
        <w:lvlText w:val="[%1]"/>
        <w:lvlJc w:val="left"/>
        <w:pPr>
          <w:tabs>
            <w:tab w:val="num" w:pos="0"/>
          </w:tabs>
          <w:ind w:left="0" w:hanging="482"/>
        </w:pPr>
        <w:rPr>
          <w:rFonts w:hint="default" w:ascii="Arial" w:hAnsi="Arial"/>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16cid:durableId="1752699161">
    <w:abstractNumId w:val="10"/>
  </w:num>
  <w:num w:numId="26" w16cid:durableId="1096559190">
    <w:abstractNumId w:val="20"/>
  </w:num>
  <w:num w:numId="27" w16cid:durableId="259989354">
    <w:abstractNumId w:val="26"/>
  </w:num>
  <w:num w:numId="28" w16cid:durableId="1712146357">
    <w:abstractNumId w:val="9"/>
  </w:num>
  <w:num w:numId="29" w16cid:durableId="1722557205">
    <w:abstractNumId w:val="7"/>
  </w:num>
  <w:num w:numId="30" w16cid:durableId="1201271">
    <w:abstractNumId w:val="6"/>
  </w:num>
  <w:num w:numId="31" w16cid:durableId="185826108">
    <w:abstractNumId w:val="5"/>
  </w:num>
  <w:num w:numId="32" w16cid:durableId="257298398">
    <w:abstractNumId w:val="4"/>
  </w:num>
  <w:num w:numId="33" w16cid:durableId="1676423577">
    <w:abstractNumId w:val="8"/>
  </w:num>
  <w:num w:numId="34" w16cid:durableId="125778737">
    <w:abstractNumId w:val="3"/>
  </w:num>
  <w:num w:numId="35" w16cid:durableId="776291828">
    <w:abstractNumId w:val="2"/>
  </w:num>
  <w:num w:numId="36" w16cid:durableId="410125225">
    <w:abstractNumId w:val="1"/>
  </w:num>
  <w:num w:numId="37" w16cid:durableId="128011168">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attachedTemplate r:id="rId1"/>
  <w:linkStyles/>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15B"/>
    <w:rsid w:val="00001CAC"/>
    <w:rsid w:val="0000254F"/>
    <w:rsid w:val="0000426B"/>
    <w:rsid w:val="00004AFB"/>
    <w:rsid w:val="00005931"/>
    <w:rsid w:val="000124C3"/>
    <w:rsid w:val="00012F27"/>
    <w:rsid w:val="000165D4"/>
    <w:rsid w:val="00017D2C"/>
    <w:rsid w:val="00020C99"/>
    <w:rsid w:val="00021553"/>
    <w:rsid w:val="00032A6A"/>
    <w:rsid w:val="00034FCF"/>
    <w:rsid w:val="000405AA"/>
    <w:rsid w:val="00041BC0"/>
    <w:rsid w:val="00042C61"/>
    <w:rsid w:val="000454B7"/>
    <w:rsid w:val="00047733"/>
    <w:rsid w:val="00051042"/>
    <w:rsid w:val="0005622E"/>
    <w:rsid w:val="00062CBF"/>
    <w:rsid w:val="00063A3C"/>
    <w:rsid w:val="00063F11"/>
    <w:rsid w:val="00064CF2"/>
    <w:rsid w:val="000665C4"/>
    <w:rsid w:val="00071BDB"/>
    <w:rsid w:val="00081301"/>
    <w:rsid w:val="000935B4"/>
    <w:rsid w:val="000A0B26"/>
    <w:rsid w:val="000A4CCA"/>
    <w:rsid w:val="000A4DAB"/>
    <w:rsid w:val="000B057E"/>
    <w:rsid w:val="000B0B89"/>
    <w:rsid w:val="000B6C39"/>
    <w:rsid w:val="000C0D58"/>
    <w:rsid w:val="000C328C"/>
    <w:rsid w:val="000C50DF"/>
    <w:rsid w:val="000C671E"/>
    <w:rsid w:val="000C7407"/>
    <w:rsid w:val="000C76A7"/>
    <w:rsid w:val="000D342D"/>
    <w:rsid w:val="000D3712"/>
    <w:rsid w:val="000D7449"/>
    <w:rsid w:val="000D7625"/>
    <w:rsid w:val="000D7E23"/>
    <w:rsid w:val="000E28A9"/>
    <w:rsid w:val="000E73B9"/>
    <w:rsid w:val="000F3071"/>
    <w:rsid w:val="000F35BB"/>
    <w:rsid w:val="000F4A5F"/>
    <w:rsid w:val="001044EC"/>
    <w:rsid w:val="00104840"/>
    <w:rsid w:val="0011209C"/>
    <w:rsid w:val="001177D5"/>
    <w:rsid w:val="00120F16"/>
    <w:rsid w:val="00122BCD"/>
    <w:rsid w:val="001328AC"/>
    <w:rsid w:val="00143BA7"/>
    <w:rsid w:val="001444E4"/>
    <w:rsid w:val="00150A4D"/>
    <w:rsid w:val="00152926"/>
    <w:rsid w:val="00153A7C"/>
    <w:rsid w:val="00156B65"/>
    <w:rsid w:val="00160186"/>
    <w:rsid w:val="0016112E"/>
    <w:rsid w:val="001637BE"/>
    <w:rsid w:val="0016491E"/>
    <w:rsid w:val="001660C2"/>
    <w:rsid w:val="00167B56"/>
    <w:rsid w:val="001713E4"/>
    <w:rsid w:val="00175B8B"/>
    <w:rsid w:val="00186F6E"/>
    <w:rsid w:val="001910A8"/>
    <w:rsid w:val="00193DD8"/>
    <w:rsid w:val="001A3CB0"/>
    <w:rsid w:val="001A6C3A"/>
    <w:rsid w:val="001A758C"/>
    <w:rsid w:val="001B1488"/>
    <w:rsid w:val="001B2DA1"/>
    <w:rsid w:val="001C1BF9"/>
    <w:rsid w:val="001C2FA9"/>
    <w:rsid w:val="001C4375"/>
    <w:rsid w:val="001C5AD2"/>
    <w:rsid w:val="001C5BD0"/>
    <w:rsid w:val="001D4992"/>
    <w:rsid w:val="001E12C1"/>
    <w:rsid w:val="001E1DAA"/>
    <w:rsid w:val="001E34BC"/>
    <w:rsid w:val="001E4557"/>
    <w:rsid w:val="001E7092"/>
    <w:rsid w:val="001F50CB"/>
    <w:rsid w:val="0020264F"/>
    <w:rsid w:val="00204C12"/>
    <w:rsid w:val="002071AB"/>
    <w:rsid w:val="002077DF"/>
    <w:rsid w:val="0021066E"/>
    <w:rsid w:val="0021100B"/>
    <w:rsid w:val="002116ED"/>
    <w:rsid w:val="002135D2"/>
    <w:rsid w:val="002152B2"/>
    <w:rsid w:val="00217BA0"/>
    <w:rsid w:val="00220A29"/>
    <w:rsid w:val="002228DF"/>
    <w:rsid w:val="00222BCF"/>
    <w:rsid w:val="00223237"/>
    <w:rsid w:val="0022326C"/>
    <w:rsid w:val="0022427B"/>
    <w:rsid w:val="0023398B"/>
    <w:rsid w:val="00234DF3"/>
    <w:rsid w:val="00241435"/>
    <w:rsid w:val="00242390"/>
    <w:rsid w:val="00243650"/>
    <w:rsid w:val="0024416F"/>
    <w:rsid w:val="00245298"/>
    <w:rsid w:val="002514DD"/>
    <w:rsid w:val="002566FD"/>
    <w:rsid w:val="00257981"/>
    <w:rsid w:val="00261A2B"/>
    <w:rsid w:val="00266DF2"/>
    <w:rsid w:val="00276039"/>
    <w:rsid w:val="002829F4"/>
    <w:rsid w:val="002878CC"/>
    <w:rsid w:val="002911A8"/>
    <w:rsid w:val="00291536"/>
    <w:rsid w:val="00291E50"/>
    <w:rsid w:val="00292F30"/>
    <w:rsid w:val="002933D6"/>
    <w:rsid w:val="0029378F"/>
    <w:rsid w:val="00295042"/>
    <w:rsid w:val="002A545A"/>
    <w:rsid w:val="002A6FC9"/>
    <w:rsid w:val="002B0CA9"/>
    <w:rsid w:val="002B134D"/>
    <w:rsid w:val="002B252B"/>
    <w:rsid w:val="002B3281"/>
    <w:rsid w:val="002B3A3B"/>
    <w:rsid w:val="002C3842"/>
    <w:rsid w:val="002D01A6"/>
    <w:rsid w:val="002D0864"/>
    <w:rsid w:val="002D6C0D"/>
    <w:rsid w:val="002E37D5"/>
    <w:rsid w:val="002F45EC"/>
    <w:rsid w:val="002F47EE"/>
    <w:rsid w:val="003009B8"/>
    <w:rsid w:val="00306182"/>
    <w:rsid w:val="00311344"/>
    <w:rsid w:val="00312607"/>
    <w:rsid w:val="00312921"/>
    <w:rsid w:val="00312D1E"/>
    <w:rsid w:val="00314493"/>
    <w:rsid w:val="00315AD9"/>
    <w:rsid w:val="00316549"/>
    <w:rsid w:val="00322460"/>
    <w:rsid w:val="00322DAC"/>
    <w:rsid w:val="003241CF"/>
    <w:rsid w:val="003258B4"/>
    <w:rsid w:val="00325D6B"/>
    <w:rsid w:val="0032774D"/>
    <w:rsid w:val="003305F7"/>
    <w:rsid w:val="00333864"/>
    <w:rsid w:val="003375AD"/>
    <w:rsid w:val="00340B00"/>
    <w:rsid w:val="00342A78"/>
    <w:rsid w:val="003440CD"/>
    <w:rsid w:val="00345B3C"/>
    <w:rsid w:val="00345D77"/>
    <w:rsid w:val="003541BD"/>
    <w:rsid w:val="00356E98"/>
    <w:rsid w:val="00360A94"/>
    <w:rsid w:val="00362867"/>
    <w:rsid w:val="003635B9"/>
    <w:rsid w:val="00364589"/>
    <w:rsid w:val="0036471B"/>
    <w:rsid w:val="0036482A"/>
    <w:rsid w:val="00366E5A"/>
    <w:rsid w:val="00366F09"/>
    <w:rsid w:val="0036732A"/>
    <w:rsid w:val="00372A07"/>
    <w:rsid w:val="00373BCA"/>
    <w:rsid w:val="00374D60"/>
    <w:rsid w:val="003757ED"/>
    <w:rsid w:val="00377BAF"/>
    <w:rsid w:val="00381275"/>
    <w:rsid w:val="003823F2"/>
    <w:rsid w:val="00384A1F"/>
    <w:rsid w:val="00387562"/>
    <w:rsid w:val="00390B3C"/>
    <w:rsid w:val="0039141B"/>
    <w:rsid w:val="00397E0A"/>
    <w:rsid w:val="003A5FA4"/>
    <w:rsid w:val="003B6C4F"/>
    <w:rsid w:val="003B7753"/>
    <w:rsid w:val="003C0AAB"/>
    <w:rsid w:val="003C66CC"/>
    <w:rsid w:val="003C6AD0"/>
    <w:rsid w:val="003D00A6"/>
    <w:rsid w:val="003D4E1D"/>
    <w:rsid w:val="003D5EC0"/>
    <w:rsid w:val="003D7CB2"/>
    <w:rsid w:val="003E6A79"/>
    <w:rsid w:val="003F0196"/>
    <w:rsid w:val="003F044B"/>
    <w:rsid w:val="003F36A8"/>
    <w:rsid w:val="003F4575"/>
    <w:rsid w:val="004002D3"/>
    <w:rsid w:val="0040528F"/>
    <w:rsid w:val="0040584B"/>
    <w:rsid w:val="00413877"/>
    <w:rsid w:val="00416837"/>
    <w:rsid w:val="004168B0"/>
    <w:rsid w:val="00420922"/>
    <w:rsid w:val="00420B25"/>
    <w:rsid w:val="00423329"/>
    <w:rsid w:val="00423E66"/>
    <w:rsid w:val="00433008"/>
    <w:rsid w:val="004332BA"/>
    <w:rsid w:val="0043645D"/>
    <w:rsid w:val="00436B27"/>
    <w:rsid w:val="00436C3E"/>
    <w:rsid w:val="00442F47"/>
    <w:rsid w:val="00443B19"/>
    <w:rsid w:val="00444E09"/>
    <w:rsid w:val="00446DC1"/>
    <w:rsid w:val="00447E22"/>
    <w:rsid w:val="00450C9A"/>
    <w:rsid w:val="00452FA0"/>
    <w:rsid w:val="0046030A"/>
    <w:rsid w:val="0046653A"/>
    <w:rsid w:val="00467030"/>
    <w:rsid w:val="00474220"/>
    <w:rsid w:val="00475004"/>
    <w:rsid w:val="00481194"/>
    <w:rsid w:val="004840F0"/>
    <w:rsid w:val="00484B11"/>
    <w:rsid w:val="0049040A"/>
    <w:rsid w:val="0049044A"/>
    <w:rsid w:val="00491559"/>
    <w:rsid w:val="00496480"/>
    <w:rsid w:val="004A1373"/>
    <w:rsid w:val="004A61BE"/>
    <w:rsid w:val="004A6299"/>
    <w:rsid w:val="004B17ED"/>
    <w:rsid w:val="004B22B8"/>
    <w:rsid w:val="004B2367"/>
    <w:rsid w:val="004B29BC"/>
    <w:rsid w:val="004C4B8D"/>
    <w:rsid w:val="004D0CD3"/>
    <w:rsid w:val="004D15F0"/>
    <w:rsid w:val="004D186D"/>
    <w:rsid w:val="004D466D"/>
    <w:rsid w:val="004D7326"/>
    <w:rsid w:val="004E0B25"/>
    <w:rsid w:val="004E11C9"/>
    <w:rsid w:val="004E2D43"/>
    <w:rsid w:val="004E642E"/>
    <w:rsid w:val="004F4369"/>
    <w:rsid w:val="004F6945"/>
    <w:rsid w:val="004F7460"/>
    <w:rsid w:val="005018D2"/>
    <w:rsid w:val="00506EB2"/>
    <w:rsid w:val="005109D5"/>
    <w:rsid w:val="00513286"/>
    <w:rsid w:val="00514379"/>
    <w:rsid w:val="005156C2"/>
    <w:rsid w:val="00520429"/>
    <w:rsid w:val="0052473E"/>
    <w:rsid w:val="005267F0"/>
    <w:rsid w:val="0052690B"/>
    <w:rsid w:val="00534216"/>
    <w:rsid w:val="00534E15"/>
    <w:rsid w:val="005405AA"/>
    <w:rsid w:val="005405B5"/>
    <w:rsid w:val="00543317"/>
    <w:rsid w:val="00543C94"/>
    <w:rsid w:val="00544976"/>
    <w:rsid w:val="00546469"/>
    <w:rsid w:val="005512C4"/>
    <w:rsid w:val="00554631"/>
    <w:rsid w:val="005559D0"/>
    <w:rsid w:val="005613CE"/>
    <w:rsid w:val="005646FC"/>
    <w:rsid w:val="00567BAD"/>
    <w:rsid w:val="00575686"/>
    <w:rsid w:val="00575C52"/>
    <w:rsid w:val="00584771"/>
    <w:rsid w:val="00592CE9"/>
    <w:rsid w:val="00595E8A"/>
    <w:rsid w:val="005A3B78"/>
    <w:rsid w:val="005B1F23"/>
    <w:rsid w:val="005B26EC"/>
    <w:rsid w:val="005B2862"/>
    <w:rsid w:val="005B3111"/>
    <w:rsid w:val="005B38E9"/>
    <w:rsid w:val="005B5780"/>
    <w:rsid w:val="005C3A58"/>
    <w:rsid w:val="005C46D0"/>
    <w:rsid w:val="005C7089"/>
    <w:rsid w:val="005D088B"/>
    <w:rsid w:val="005D2887"/>
    <w:rsid w:val="005D29D1"/>
    <w:rsid w:val="005D5342"/>
    <w:rsid w:val="005D54F1"/>
    <w:rsid w:val="005E319C"/>
    <w:rsid w:val="005F48F4"/>
    <w:rsid w:val="005F5BBA"/>
    <w:rsid w:val="00600169"/>
    <w:rsid w:val="00603156"/>
    <w:rsid w:val="0060682D"/>
    <w:rsid w:val="00611F61"/>
    <w:rsid w:val="00614D2D"/>
    <w:rsid w:val="006166AF"/>
    <w:rsid w:val="00622418"/>
    <w:rsid w:val="006231E0"/>
    <w:rsid w:val="00624119"/>
    <w:rsid w:val="00625341"/>
    <w:rsid w:val="00633371"/>
    <w:rsid w:val="00633776"/>
    <w:rsid w:val="006340E6"/>
    <w:rsid w:val="006409AE"/>
    <w:rsid w:val="006449F6"/>
    <w:rsid w:val="00650892"/>
    <w:rsid w:val="0066214D"/>
    <w:rsid w:val="0066268C"/>
    <w:rsid w:val="006636FC"/>
    <w:rsid w:val="006713CA"/>
    <w:rsid w:val="00675A7F"/>
    <w:rsid w:val="00680139"/>
    <w:rsid w:val="00681574"/>
    <w:rsid w:val="00687217"/>
    <w:rsid w:val="00687AC3"/>
    <w:rsid w:val="006919B3"/>
    <w:rsid w:val="00691CA4"/>
    <w:rsid w:val="00694470"/>
    <w:rsid w:val="006977AE"/>
    <w:rsid w:val="006A35C6"/>
    <w:rsid w:val="006A46E8"/>
    <w:rsid w:val="006A5096"/>
    <w:rsid w:val="006A5531"/>
    <w:rsid w:val="006B316F"/>
    <w:rsid w:val="006B6340"/>
    <w:rsid w:val="006C5A4B"/>
    <w:rsid w:val="006D36B0"/>
    <w:rsid w:val="006D4886"/>
    <w:rsid w:val="006D4FEB"/>
    <w:rsid w:val="006D521F"/>
    <w:rsid w:val="006E1676"/>
    <w:rsid w:val="006E5522"/>
    <w:rsid w:val="006F09F7"/>
    <w:rsid w:val="006F0ADA"/>
    <w:rsid w:val="006F1DC1"/>
    <w:rsid w:val="006F5849"/>
    <w:rsid w:val="006F6B72"/>
    <w:rsid w:val="006F70E6"/>
    <w:rsid w:val="00701FD4"/>
    <w:rsid w:val="0070267F"/>
    <w:rsid w:val="00703F74"/>
    <w:rsid w:val="0070572C"/>
    <w:rsid w:val="00706F09"/>
    <w:rsid w:val="00713FEA"/>
    <w:rsid w:val="0072131C"/>
    <w:rsid w:val="00723425"/>
    <w:rsid w:val="0072463B"/>
    <w:rsid w:val="00725683"/>
    <w:rsid w:val="00725D00"/>
    <w:rsid w:val="00736C8C"/>
    <w:rsid w:val="00737A6F"/>
    <w:rsid w:val="00740802"/>
    <w:rsid w:val="00743212"/>
    <w:rsid w:val="00744A82"/>
    <w:rsid w:val="0074515B"/>
    <w:rsid w:val="007452CF"/>
    <w:rsid w:val="00746702"/>
    <w:rsid w:val="00750FC1"/>
    <w:rsid w:val="00754825"/>
    <w:rsid w:val="00757900"/>
    <w:rsid w:val="0076389B"/>
    <w:rsid w:val="00765180"/>
    <w:rsid w:val="00770BA3"/>
    <w:rsid w:val="00771CC3"/>
    <w:rsid w:val="007727AE"/>
    <w:rsid w:val="00774650"/>
    <w:rsid w:val="007748EA"/>
    <w:rsid w:val="00783D56"/>
    <w:rsid w:val="00784D64"/>
    <w:rsid w:val="00795C30"/>
    <w:rsid w:val="00795E28"/>
    <w:rsid w:val="007A0E26"/>
    <w:rsid w:val="007A3899"/>
    <w:rsid w:val="007A78F4"/>
    <w:rsid w:val="007B1305"/>
    <w:rsid w:val="007B32C6"/>
    <w:rsid w:val="007B5DC4"/>
    <w:rsid w:val="007C09FE"/>
    <w:rsid w:val="007C449E"/>
    <w:rsid w:val="007D0ED6"/>
    <w:rsid w:val="007D20CD"/>
    <w:rsid w:val="007D3457"/>
    <w:rsid w:val="007D370C"/>
    <w:rsid w:val="007D49B2"/>
    <w:rsid w:val="007D71E6"/>
    <w:rsid w:val="007E118A"/>
    <w:rsid w:val="007E6B03"/>
    <w:rsid w:val="007F28E3"/>
    <w:rsid w:val="00811FC5"/>
    <w:rsid w:val="00814D20"/>
    <w:rsid w:val="00815009"/>
    <w:rsid w:val="00817DA8"/>
    <w:rsid w:val="00820525"/>
    <w:rsid w:val="008218C5"/>
    <w:rsid w:val="0082468E"/>
    <w:rsid w:val="00826F92"/>
    <w:rsid w:val="00831A5D"/>
    <w:rsid w:val="00831F81"/>
    <w:rsid w:val="00832798"/>
    <w:rsid w:val="0083279F"/>
    <w:rsid w:val="008339DB"/>
    <w:rsid w:val="00836443"/>
    <w:rsid w:val="00841327"/>
    <w:rsid w:val="00850B74"/>
    <w:rsid w:val="008578F5"/>
    <w:rsid w:val="008624E4"/>
    <w:rsid w:val="008628A0"/>
    <w:rsid w:val="00862FDA"/>
    <w:rsid w:val="008728E4"/>
    <w:rsid w:val="008733C5"/>
    <w:rsid w:val="00877868"/>
    <w:rsid w:val="00882712"/>
    <w:rsid w:val="00884313"/>
    <w:rsid w:val="008854E2"/>
    <w:rsid w:val="008A01C9"/>
    <w:rsid w:val="008A06A5"/>
    <w:rsid w:val="008A2D0C"/>
    <w:rsid w:val="008B040B"/>
    <w:rsid w:val="008B1C02"/>
    <w:rsid w:val="008B3AF0"/>
    <w:rsid w:val="008B4732"/>
    <w:rsid w:val="008B5A3C"/>
    <w:rsid w:val="008B6359"/>
    <w:rsid w:val="008B6E4F"/>
    <w:rsid w:val="008C667D"/>
    <w:rsid w:val="008C6EEA"/>
    <w:rsid w:val="008C73D4"/>
    <w:rsid w:val="008D778E"/>
    <w:rsid w:val="008E29BA"/>
    <w:rsid w:val="008E2C6B"/>
    <w:rsid w:val="008E592D"/>
    <w:rsid w:val="008E677F"/>
    <w:rsid w:val="008E68C1"/>
    <w:rsid w:val="008F38BB"/>
    <w:rsid w:val="008F5128"/>
    <w:rsid w:val="00900607"/>
    <w:rsid w:val="009009B7"/>
    <w:rsid w:val="009034CD"/>
    <w:rsid w:val="0090467B"/>
    <w:rsid w:val="00904F5B"/>
    <w:rsid w:val="009078E6"/>
    <w:rsid w:val="00910B01"/>
    <w:rsid w:val="00913446"/>
    <w:rsid w:val="00921F96"/>
    <w:rsid w:val="00922E86"/>
    <w:rsid w:val="0092307E"/>
    <w:rsid w:val="00926787"/>
    <w:rsid w:val="0093283D"/>
    <w:rsid w:val="00937A1E"/>
    <w:rsid w:val="00944CA9"/>
    <w:rsid w:val="009515AC"/>
    <w:rsid w:val="0095456D"/>
    <w:rsid w:val="0096163E"/>
    <w:rsid w:val="0096263A"/>
    <w:rsid w:val="009708EF"/>
    <w:rsid w:val="00971A83"/>
    <w:rsid w:val="0097393B"/>
    <w:rsid w:val="00974B63"/>
    <w:rsid w:val="00976F08"/>
    <w:rsid w:val="00980B16"/>
    <w:rsid w:val="00982380"/>
    <w:rsid w:val="00982831"/>
    <w:rsid w:val="0098299B"/>
    <w:rsid w:val="009873C5"/>
    <w:rsid w:val="009874DF"/>
    <w:rsid w:val="009912A7"/>
    <w:rsid w:val="00991B1F"/>
    <w:rsid w:val="00992647"/>
    <w:rsid w:val="009935CF"/>
    <w:rsid w:val="00996F61"/>
    <w:rsid w:val="009A2DE5"/>
    <w:rsid w:val="009A4898"/>
    <w:rsid w:val="009A6BEC"/>
    <w:rsid w:val="009B0B4D"/>
    <w:rsid w:val="009B0EB5"/>
    <w:rsid w:val="009B2A14"/>
    <w:rsid w:val="009B2FC6"/>
    <w:rsid w:val="009B5EF8"/>
    <w:rsid w:val="009B73BE"/>
    <w:rsid w:val="009C2EB6"/>
    <w:rsid w:val="009C3E4E"/>
    <w:rsid w:val="009C727F"/>
    <w:rsid w:val="009D3E25"/>
    <w:rsid w:val="009D4B9E"/>
    <w:rsid w:val="009E127C"/>
    <w:rsid w:val="009E1F35"/>
    <w:rsid w:val="009E63AC"/>
    <w:rsid w:val="009E6AEF"/>
    <w:rsid w:val="009F3864"/>
    <w:rsid w:val="00A0428F"/>
    <w:rsid w:val="00A150D8"/>
    <w:rsid w:val="00A15958"/>
    <w:rsid w:val="00A16B86"/>
    <w:rsid w:val="00A21C7D"/>
    <w:rsid w:val="00A25F5F"/>
    <w:rsid w:val="00A26747"/>
    <w:rsid w:val="00A355A2"/>
    <w:rsid w:val="00A374FC"/>
    <w:rsid w:val="00A40928"/>
    <w:rsid w:val="00A40BB7"/>
    <w:rsid w:val="00A41914"/>
    <w:rsid w:val="00A42D1E"/>
    <w:rsid w:val="00A47E3D"/>
    <w:rsid w:val="00A53490"/>
    <w:rsid w:val="00A543D0"/>
    <w:rsid w:val="00A66463"/>
    <w:rsid w:val="00A71FA6"/>
    <w:rsid w:val="00A76A50"/>
    <w:rsid w:val="00A83722"/>
    <w:rsid w:val="00A8624C"/>
    <w:rsid w:val="00A86930"/>
    <w:rsid w:val="00A92D3B"/>
    <w:rsid w:val="00A93681"/>
    <w:rsid w:val="00A958DB"/>
    <w:rsid w:val="00AA59B3"/>
    <w:rsid w:val="00AB3E8D"/>
    <w:rsid w:val="00AB6EDD"/>
    <w:rsid w:val="00AC00CF"/>
    <w:rsid w:val="00AC27A3"/>
    <w:rsid w:val="00AD4087"/>
    <w:rsid w:val="00AD639C"/>
    <w:rsid w:val="00AE1113"/>
    <w:rsid w:val="00AE2927"/>
    <w:rsid w:val="00AE3069"/>
    <w:rsid w:val="00AE3683"/>
    <w:rsid w:val="00AE4ACD"/>
    <w:rsid w:val="00AE56AB"/>
    <w:rsid w:val="00AE67CC"/>
    <w:rsid w:val="00AF013D"/>
    <w:rsid w:val="00AF44D7"/>
    <w:rsid w:val="00AF76F8"/>
    <w:rsid w:val="00B027BA"/>
    <w:rsid w:val="00B07080"/>
    <w:rsid w:val="00B12C30"/>
    <w:rsid w:val="00B12CCA"/>
    <w:rsid w:val="00B12EC4"/>
    <w:rsid w:val="00B12ED8"/>
    <w:rsid w:val="00B16444"/>
    <w:rsid w:val="00B16C5A"/>
    <w:rsid w:val="00B21362"/>
    <w:rsid w:val="00B2278D"/>
    <w:rsid w:val="00B25267"/>
    <w:rsid w:val="00B301BD"/>
    <w:rsid w:val="00B303C4"/>
    <w:rsid w:val="00B313A1"/>
    <w:rsid w:val="00B37F34"/>
    <w:rsid w:val="00B41A22"/>
    <w:rsid w:val="00B4214F"/>
    <w:rsid w:val="00B46682"/>
    <w:rsid w:val="00B50245"/>
    <w:rsid w:val="00B50D95"/>
    <w:rsid w:val="00B518C2"/>
    <w:rsid w:val="00B5369C"/>
    <w:rsid w:val="00B5380E"/>
    <w:rsid w:val="00B55CA0"/>
    <w:rsid w:val="00B60924"/>
    <w:rsid w:val="00B70FEA"/>
    <w:rsid w:val="00B73E2F"/>
    <w:rsid w:val="00B8280E"/>
    <w:rsid w:val="00B8575B"/>
    <w:rsid w:val="00B868E6"/>
    <w:rsid w:val="00B97F4A"/>
    <w:rsid w:val="00BA31AF"/>
    <w:rsid w:val="00BA50B4"/>
    <w:rsid w:val="00BA5754"/>
    <w:rsid w:val="00BB2B51"/>
    <w:rsid w:val="00BB50BF"/>
    <w:rsid w:val="00BB6861"/>
    <w:rsid w:val="00BC2E3E"/>
    <w:rsid w:val="00BC31BB"/>
    <w:rsid w:val="00BC3559"/>
    <w:rsid w:val="00BC5960"/>
    <w:rsid w:val="00BE2C0C"/>
    <w:rsid w:val="00BE4A68"/>
    <w:rsid w:val="00BE5230"/>
    <w:rsid w:val="00BE6C6A"/>
    <w:rsid w:val="00BE7057"/>
    <w:rsid w:val="00BE7224"/>
    <w:rsid w:val="00BF2CF8"/>
    <w:rsid w:val="00BF65A8"/>
    <w:rsid w:val="00C02DE1"/>
    <w:rsid w:val="00C0529B"/>
    <w:rsid w:val="00C06829"/>
    <w:rsid w:val="00C10ED8"/>
    <w:rsid w:val="00C14ECB"/>
    <w:rsid w:val="00C16B36"/>
    <w:rsid w:val="00C21ADD"/>
    <w:rsid w:val="00C2438B"/>
    <w:rsid w:val="00C2601A"/>
    <w:rsid w:val="00C2781A"/>
    <w:rsid w:val="00C313AD"/>
    <w:rsid w:val="00C328B3"/>
    <w:rsid w:val="00C36011"/>
    <w:rsid w:val="00C37B76"/>
    <w:rsid w:val="00C41151"/>
    <w:rsid w:val="00C44687"/>
    <w:rsid w:val="00C500C3"/>
    <w:rsid w:val="00C52B0B"/>
    <w:rsid w:val="00C5532E"/>
    <w:rsid w:val="00C572C0"/>
    <w:rsid w:val="00C6003C"/>
    <w:rsid w:val="00C62585"/>
    <w:rsid w:val="00C64DC9"/>
    <w:rsid w:val="00C65EB6"/>
    <w:rsid w:val="00C72218"/>
    <w:rsid w:val="00C76FFA"/>
    <w:rsid w:val="00C81A95"/>
    <w:rsid w:val="00C8296C"/>
    <w:rsid w:val="00C82A5D"/>
    <w:rsid w:val="00C85375"/>
    <w:rsid w:val="00C87726"/>
    <w:rsid w:val="00C90F91"/>
    <w:rsid w:val="00C94289"/>
    <w:rsid w:val="00CA45AF"/>
    <w:rsid w:val="00CA666F"/>
    <w:rsid w:val="00CB67D5"/>
    <w:rsid w:val="00CC456C"/>
    <w:rsid w:val="00CC53A3"/>
    <w:rsid w:val="00CD20F7"/>
    <w:rsid w:val="00CD2287"/>
    <w:rsid w:val="00CD5929"/>
    <w:rsid w:val="00CE2987"/>
    <w:rsid w:val="00CE368B"/>
    <w:rsid w:val="00CE74E9"/>
    <w:rsid w:val="00CE7B15"/>
    <w:rsid w:val="00CF42F7"/>
    <w:rsid w:val="00CF63DD"/>
    <w:rsid w:val="00D10B18"/>
    <w:rsid w:val="00D10DA5"/>
    <w:rsid w:val="00D12BB3"/>
    <w:rsid w:val="00D12EE7"/>
    <w:rsid w:val="00D164C2"/>
    <w:rsid w:val="00D16E08"/>
    <w:rsid w:val="00D250D3"/>
    <w:rsid w:val="00D27368"/>
    <w:rsid w:val="00D44469"/>
    <w:rsid w:val="00D45C3E"/>
    <w:rsid w:val="00D50C65"/>
    <w:rsid w:val="00D51099"/>
    <w:rsid w:val="00D523E8"/>
    <w:rsid w:val="00D55831"/>
    <w:rsid w:val="00D618B5"/>
    <w:rsid w:val="00D63AAC"/>
    <w:rsid w:val="00D7734B"/>
    <w:rsid w:val="00D77BF8"/>
    <w:rsid w:val="00D82E4B"/>
    <w:rsid w:val="00D834E2"/>
    <w:rsid w:val="00D83910"/>
    <w:rsid w:val="00D846E5"/>
    <w:rsid w:val="00D85FD2"/>
    <w:rsid w:val="00D86872"/>
    <w:rsid w:val="00D86EFE"/>
    <w:rsid w:val="00D87752"/>
    <w:rsid w:val="00D973D0"/>
    <w:rsid w:val="00D975AC"/>
    <w:rsid w:val="00DA104F"/>
    <w:rsid w:val="00DA3A85"/>
    <w:rsid w:val="00DB08A9"/>
    <w:rsid w:val="00DB1B92"/>
    <w:rsid w:val="00DB3720"/>
    <w:rsid w:val="00DB3CC6"/>
    <w:rsid w:val="00DB5EC6"/>
    <w:rsid w:val="00DB7DA2"/>
    <w:rsid w:val="00DC065F"/>
    <w:rsid w:val="00DC2EBC"/>
    <w:rsid w:val="00DC2FD8"/>
    <w:rsid w:val="00DC4E50"/>
    <w:rsid w:val="00DC5B49"/>
    <w:rsid w:val="00DC6BDB"/>
    <w:rsid w:val="00DC773C"/>
    <w:rsid w:val="00DD2613"/>
    <w:rsid w:val="00DD345E"/>
    <w:rsid w:val="00DD3BC4"/>
    <w:rsid w:val="00DE185C"/>
    <w:rsid w:val="00DE2B45"/>
    <w:rsid w:val="00DE2F46"/>
    <w:rsid w:val="00DE4C05"/>
    <w:rsid w:val="00DE5084"/>
    <w:rsid w:val="00DF0ADF"/>
    <w:rsid w:val="00DF18F0"/>
    <w:rsid w:val="00DF4349"/>
    <w:rsid w:val="00DF7BCB"/>
    <w:rsid w:val="00E019EF"/>
    <w:rsid w:val="00E05009"/>
    <w:rsid w:val="00E06118"/>
    <w:rsid w:val="00E07761"/>
    <w:rsid w:val="00E1024C"/>
    <w:rsid w:val="00E159CC"/>
    <w:rsid w:val="00E200E5"/>
    <w:rsid w:val="00E20BB9"/>
    <w:rsid w:val="00E23327"/>
    <w:rsid w:val="00E23514"/>
    <w:rsid w:val="00E30399"/>
    <w:rsid w:val="00E319CA"/>
    <w:rsid w:val="00E32022"/>
    <w:rsid w:val="00E36EF8"/>
    <w:rsid w:val="00E378A4"/>
    <w:rsid w:val="00E378AE"/>
    <w:rsid w:val="00E44434"/>
    <w:rsid w:val="00E44C8A"/>
    <w:rsid w:val="00E46E5B"/>
    <w:rsid w:val="00E50184"/>
    <w:rsid w:val="00E5088C"/>
    <w:rsid w:val="00E54595"/>
    <w:rsid w:val="00E54DC3"/>
    <w:rsid w:val="00E55970"/>
    <w:rsid w:val="00E562CE"/>
    <w:rsid w:val="00E57376"/>
    <w:rsid w:val="00E61799"/>
    <w:rsid w:val="00E63715"/>
    <w:rsid w:val="00E66AFC"/>
    <w:rsid w:val="00E675AD"/>
    <w:rsid w:val="00E70846"/>
    <w:rsid w:val="00E759FB"/>
    <w:rsid w:val="00E817C2"/>
    <w:rsid w:val="00E83288"/>
    <w:rsid w:val="00E84E6C"/>
    <w:rsid w:val="00E85CF4"/>
    <w:rsid w:val="00E866A3"/>
    <w:rsid w:val="00E94520"/>
    <w:rsid w:val="00E960E5"/>
    <w:rsid w:val="00E96426"/>
    <w:rsid w:val="00EA274C"/>
    <w:rsid w:val="00EA3B18"/>
    <w:rsid w:val="00EA7A8B"/>
    <w:rsid w:val="00EB1099"/>
    <w:rsid w:val="00EB3136"/>
    <w:rsid w:val="00EB58CC"/>
    <w:rsid w:val="00EB6491"/>
    <w:rsid w:val="00EB6938"/>
    <w:rsid w:val="00EB6F15"/>
    <w:rsid w:val="00EB7E95"/>
    <w:rsid w:val="00EC5E88"/>
    <w:rsid w:val="00ED0B72"/>
    <w:rsid w:val="00ED39F9"/>
    <w:rsid w:val="00ED7BD1"/>
    <w:rsid w:val="00EE2CAF"/>
    <w:rsid w:val="00EE5F02"/>
    <w:rsid w:val="00EE6E84"/>
    <w:rsid w:val="00EF13C6"/>
    <w:rsid w:val="00EF2C4E"/>
    <w:rsid w:val="00EF3C5B"/>
    <w:rsid w:val="00F02525"/>
    <w:rsid w:val="00F03B75"/>
    <w:rsid w:val="00F057D5"/>
    <w:rsid w:val="00F10A18"/>
    <w:rsid w:val="00F156BF"/>
    <w:rsid w:val="00F16B55"/>
    <w:rsid w:val="00F17E3F"/>
    <w:rsid w:val="00F20011"/>
    <w:rsid w:val="00F25600"/>
    <w:rsid w:val="00F30104"/>
    <w:rsid w:val="00F30F37"/>
    <w:rsid w:val="00F31491"/>
    <w:rsid w:val="00F33824"/>
    <w:rsid w:val="00F33FD3"/>
    <w:rsid w:val="00F34FD3"/>
    <w:rsid w:val="00F3685E"/>
    <w:rsid w:val="00F37D1C"/>
    <w:rsid w:val="00F37E1D"/>
    <w:rsid w:val="00F40A75"/>
    <w:rsid w:val="00F423DD"/>
    <w:rsid w:val="00F42C65"/>
    <w:rsid w:val="00F43B1A"/>
    <w:rsid w:val="00F55596"/>
    <w:rsid w:val="00F6142C"/>
    <w:rsid w:val="00F62067"/>
    <w:rsid w:val="00F64EED"/>
    <w:rsid w:val="00F72F4D"/>
    <w:rsid w:val="00F74CF8"/>
    <w:rsid w:val="00F75247"/>
    <w:rsid w:val="00F84D70"/>
    <w:rsid w:val="00F850DB"/>
    <w:rsid w:val="00F8710C"/>
    <w:rsid w:val="00F90556"/>
    <w:rsid w:val="00F93A87"/>
    <w:rsid w:val="00FA3885"/>
    <w:rsid w:val="00FA4533"/>
    <w:rsid w:val="00FA5DF9"/>
    <w:rsid w:val="00FB1915"/>
    <w:rsid w:val="00FB378C"/>
    <w:rsid w:val="00FB767E"/>
    <w:rsid w:val="00FB79DD"/>
    <w:rsid w:val="00FC4EA2"/>
    <w:rsid w:val="00FC6C99"/>
    <w:rsid w:val="00FD2BB2"/>
    <w:rsid w:val="00FD644D"/>
    <w:rsid w:val="00FE2A52"/>
    <w:rsid w:val="00FE2F07"/>
    <w:rsid w:val="00FE382B"/>
    <w:rsid w:val="1B01F3E4"/>
    <w:rsid w:val="1C7A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4D213"/>
  <w15:chartTrackingRefBased/>
  <w15:docId w15:val="{AA8C6C41-CAA5-4A89-B15B-54CAB8460C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uiPriority="0"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E63AC"/>
    <w:pPr>
      <w:spacing w:after="0" w:line="240" w:lineRule="auto"/>
      <w:jc w:val="both"/>
    </w:pPr>
    <w:rPr>
      <w:rFonts w:ascii="Times New Roman" w:hAnsi="Times New Roman" w:eastAsia="MS Mincho" w:cs="Times New Roman"/>
      <w:kern w:val="0"/>
      <w:szCs w:val="24"/>
      <w:lang w:val="en-GB"/>
      <w14:ligatures w14:val="none"/>
    </w:rPr>
  </w:style>
  <w:style w:type="paragraph" w:styleId="Heading1">
    <w:name w:val="heading 1"/>
    <w:basedOn w:val="Normal"/>
    <w:next w:val="Normal"/>
    <w:link w:val="Heading1Char"/>
    <w:qFormat/>
    <w:rsid w:val="009E63A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E63A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E63AC"/>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rsid w:val="0074515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515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515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515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515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515B"/>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rsid w:val="009E63AC"/>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rsid w:val="009E63AC"/>
  </w:style>
  <w:style w:type="character" w:styleId="Heading1Char" w:customStyle="1">
    <w:name w:val="Heading 1 Char"/>
    <w:basedOn w:val="DefaultParagraphFont"/>
    <w:link w:val="Heading1"/>
    <w:rsid w:val="009E63AC"/>
    <w:rPr>
      <w:rFonts w:ascii="Times New Roman" w:hAnsi="Times New Roman" w:eastAsia="MS Mincho" w:cs="Times New Roman"/>
      <w:b/>
      <w:bCs/>
      <w:kern w:val="0"/>
      <w:szCs w:val="24"/>
      <w:lang w:val="en-GB"/>
      <w14:ligatures w14:val="none"/>
    </w:rPr>
  </w:style>
  <w:style w:type="character" w:styleId="Heading2Char" w:customStyle="1">
    <w:name w:val="Heading 2 Char"/>
    <w:basedOn w:val="DefaultParagraphFont"/>
    <w:link w:val="Heading2"/>
    <w:rsid w:val="009E63AC"/>
    <w:rPr>
      <w:rFonts w:ascii="Calibri" w:hAnsi="Calibri" w:eastAsia="MS Mincho" w:cs="Times New Roman"/>
      <w:b/>
      <w:bCs/>
      <w:i/>
      <w:iCs/>
      <w:kern w:val="0"/>
      <w:sz w:val="28"/>
      <w:szCs w:val="28"/>
      <w:lang w:val="en-GB"/>
      <w14:ligatures w14:val="none"/>
    </w:rPr>
  </w:style>
  <w:style w:type="character" w:styleId="Heading3Char" w:customStyle="1">
    <w:name w:val="Heading 3 Char"/>
    <w:basedOn w:val="DefaultParagraphFont"/>
    <w:link w:val="Heading3"/>
    <w:rsid w:val="009E63AC"/>
    <w:rPr>
      <w:rFonts w:ascii="Calibri" w:hAnsi="Calibri" w:eastAsia="MS Mincho" w:cs="Times New Roman"/>
      <w:b/>
      <w:bCs/>
      <w:kern w:val="0"/>
      <w:sz w:val="26"/>
      <w:szCs w:val="26"/>
      <w:lang w:val="en-GB"/>
      <w14:ligatures w14:val="none"/>
    </w:rPr>
  </w:style>
  <w:style w:type="character" w:styleId="Heading4Char" w:customStyle="1">
    <w:name w:val="Heading 4 Char"/>
    <w:basedOn w:val="DefaultParagraphFont"/>
    <w:link w:val="Heading4"/>
    <w:uiPriority w:val="9"/>
    <w:semiHidden/>
    <w:rsid w:val="0074515B"/>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4515B"/>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4515B"/>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4515B"/>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4515B"/>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4515B"/>
    <w:rPr>
      <w:rFonts w:eastAsiaTheme="majorEastAsia" w:cstheme="majorBidi"/>
      <w:color w:val="272727" w:themeColor="text1" w:themeTint="D8"/>
    </w:rPr>
  </w:style>
  <w:style w:type="paragraph" w:styleId="Title">
    <w:name w:val="Title"/>
    <w:basedOn w:val="Normal"/>
    <w:next w:val="Normal"/>
    <w:link w:val="TitleChar"/>
    <w:uiPriority w:val="10"/>
    <w:qFormat/>
    <w:rsid w:val="0074515B"/>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4515B"/>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74515B"/>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7451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515B"/>
    <w:pPr>
      <w:spacing w:before="160"/>
      <w:jc w:val="center"/>
    </w:pPr>
    <w:rPr>
      <w:i/>
      <w:iCs/>
      <w:color w:val="404040" w:themeColor="text1" w:themeTint="BF"/>
    </w:rPr>
  </w:style>
  <w:style w:type="character" w:styleId="QuoteChar" w:customStyle="1">
    <w:name w:val="Quote Char"/>
    <w:basedOn w:val="DefaultParagraphFont"/>
    <w:link w:val="Quote"/>
    <w:uiPriority w:val="29"/>
    <w:rsid w:val="0074515B"/>
    <w:rPr>
      <w:i/>
      <w:iCs/>
      <w:color w:val="404040" w:themeColor="text1" w:themeTint="BF"/>
    </w:rPr>
  </w:style>
  <w:style w:type="paragraph" w:styleId="ListParagraph">
    <w:name w:val="List Paragraph"/>
    <w:basedOn w:val="Normal"/>
    <w:uiPriority w:val="34"/>
    <w:qFormat/>
    <w:rsid w:val="009E63AC"/>
    <w:pPr>
      <w:spacing w:line="240" w:lineRule="atLeast"/>
      <w:ind w:left="800" w:leftChars="400"/>
    </w:pPr>
    <w:rPr>
      <w:rFonts w:ascii="Verdana" w:hAnsi="Verdana" w:eastAsia="Times New Roman"/>
      <w:sz w:val="20"/>
      <w:lang w:val="nl-NL" w:eastAsia="nl-NL"/>
    </w:rPr>
  </w:style>
  <w:style w:type="character" w:styleId="IntenseEmphasis">
    <w:name w:val="Intense Emphasis"/>
    <w:basedOn w:val="DefaultParagraphFont"/>
    <w:uiPriority w:val="21"/>
    <w:qFormat/>
    <w:rsid w:val="0074515B"/>
    <w:rPr>
      <w:i/>
      <w:iCs/>
      <w:color w:val="0F4761" w:themeColor="accent1" w:themeShade="BF"/>
    </w:rPr>
  </w:style>
  <w:style w:type="paragraph" w:styleId="IntenseQuote">
    <w:name w:val="Intense Quote"/>
    <w:basedOn w:val="Normal"/>
    <w:next w:val="Normal"/>
    <w:link w:val="IntenseQuoteChar"/>
    <w:uiPriority w:val="30"/>
    <w:qFormat/>
    <w:rsid w:val="0074515B"/>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4515B"/>
    <w:rPr>
      <w:i/>
      <w:iCs/>
      <w:color w:val="0F4761" w:themeColor="accent1" w:themeShade="BF"/>
    </w:rPr>
  </w:style>
  <w:style w:type="character" w:styleId="IntenseReference">
    <w:name w:val="Intense Reference"/>
    <w:basedOn w:val="DefaultParagraphFont"/>
    <w:uiPriority w:val="32"/>
    <w:qFormat/>
    <w:rsid w:val="0074515B"/>
    <w:rPr>
      <w:b/>
      <w:bCs/>
      <w:smallCaps/>
      <w:color w:val="0F4761" w:themeColor="accent1" w:themeShade="BF"/>
      <w:spacing w:val="5"/>
    </w:rPr>
  </w:style>
  <w:style w:type="paragraph" w:styleId="Default" w:customStyle="1">
    <w:name w:val="Default"/>
    <w:rsid w:val="00F31491"/>
    <w:pPr>
      <w:autoSpaceDE w:val="0"/>
      <w:autoSpaceDN w:val="0"/>
      <w:adjustRightInd w:val="0"/>
      <w:spacing w:after="0" w:line="240" w:lineRule="auto"/>
    </w:pPr>
    <w:rPr>
      <w:rFonts w:ascii="Times New Roman" w:hAnsi="Times New Roman" w:cs="Times New Roman"/>
      <w:color w:val="000000"/>
      <w:kern w:val="0"/>
      <w:sz w:val="24"/>
      <w:szCs w:val="24"/>
    </w:rPr>
  </w:style>
  <w:style w:type="numbering" w:styleId="IPPParagraphnumberedlist" w:customStyle="1">
    <w:name w:val="IPP Paragraph numbered list"/>
    <w:rsid w:val="009E63AC"/>
    <w:pPr>
      <w:numPr>
        <w:numId w:val="2"/>
      </w:numPr>
    </w:pPr>
  </w:style>
  <w:style w:type="paragraph" w:styleId="IPPParagraphnumbering" w:customStyle="1">
    <w:name w:val="IPP Paragraph numbering"/>
    <w:basedOn w:val="IPPNormal"/>
    <w:qFormat/>
    <w:rsid w:val="009E63AC"/>
    <w:pPr>
      <w:numPr>
        <w:numId w:val="24"/>
      </w:numPr>
    </w:pPr>
    <w:rPr>
      <w:lang w:val="en-US"/>
    </w:rPr>
  </w:style>
  <w:style w:type="paragraph" w:styleId="FootnoteText">
    <w:name w:val="footnote text"/>
    <w:basedOn w:val="Normal"/>
    <w:link w:val="FootnoteTextChar"/>
    <w:semiHidden/>
    <w:rsid w:val="009E63AC"/>
    <w:pPr>
      <w:spacing w:before="60"/>
    </w:pPr>
    <w:rPr>
      <w:sz w:val="20"/>
    </w:rPr>
  </w:style>
  <w:style w:type="character" w:styleId="FootnoteTextChar" w:customStyle="1">
    <w:name w:val="Footnote Text Char"/>
    <w:basedOn w:val="DefaultParagraphFont"/>
    <w:link w:val="FootnoteText"/>
    <w:semiHidden/>
    <w:rsid w:val="009E63AC"/>
    <w:rPr>
      <w:rFonts w:ascii="Times New Roman" w:hAnsi="Times New Roman" w:eastAsia="MS Mincho" w:cs="Times New Roman"/>
      <w:kern w:val="0"/>
      <w:sz w:val="20"/>
      <w:szCs w:val="24"/>
      <w:lang w:val="en-GB"/>
      <w14:ligatures w14:val="none"/>
    </w:rPr>
  </w:style>
  <w:style w:type="character" w:styleId="FootnoteReference">
    <w:name w:val="footnote reference"/>
    <w:basedOn w:val="DefaultParagraphFont"/>
    <w:semiHidden/>
    <w:rsid w:val="009E63AC"/>
    <w:rPr>
      <w:vertAlign w:val="superscript"/>
    </w:rPr>
  </w:style>
  <w:style w:type="character" w:styleId="Hyperlink">
    <w:name w:val="Hyperlink"/>
    <w:basedOn w:val="DefaultParagraphFont"/>
    <w:unhideWhenUsed/>
    <w:rsid w:val="009E63AC"/>
    <w:rPr>
      <w:color w:val="0000FF"/>
      <w:u w:val="single"/>
    </w:rPr>
  </w:style>
  <w:style w:type="paragraph" w:styleId="Tabletext" w:customStyle="1">
    <w:name w:val="Table text"/>
    <w:basedOn w:val="Normal"/>
    <w:link w:val="TabletextChar"/>
    <w:uiPriority w:val="1"/>
    <w:qFormat/>
    <w:rsid w:val="00814D20"/>
    <w:rPr>
      <w:rFonts w:ascii="Calibri" w:hAnsi="Calibri" w:eastAsia="Times New Roman"/>
      <w:color w:val="262626" w:themeColor="text1" w:themeTint="D9"/>
      <w:sz w:val="18"/>
      <w:szCs w:val="18"/>
      <w:lang w:val="en-NZ"/>
    </w:rPr>
  </w:style>
  <w:style w:type="character" w:styleId="TabletextChar" w:customStyle="1">
    <w:name w:val="Table text Char"/>
    <w:basedOn w:val="DefaultParagraphFont"/>
    <w:link w:val="Tabletext"/>
    <w:uiPriority w:val="1"/>
    <w:rsid w:val="00814D20"/>
    <w:rPr>
      <w:rFonts w:ascii="Calibri" w:hAnsi="Calibri" w:eastAsia="Times New Roman" w:cs="Times New Roman"/>
      <w:color w:val="262626" w:themeColor="text1" w:themeTint="D9"/>
      <w:kern w:val="0"/>
      <w:sz w:val="18"/>
      <w:szCs w:val="18"/>
      <w:lang w:val="en-NZ"/>
      <w14:ligatures w14:val="none"/>
    </w:rPr>
  </w:style>
  <w:style w:type="character" w:styleId="UnresolvedMention">
    <w:name w:val="Unresolved Mention"/>
    <w:basedOn w:val="DefaultParagraphFont"/>
    <w:uiPriority w:val="99"/>
    <w:semiHidden/>
    <w:unhideWhenUsed/>
    <w:rsid w:val="00F37E1D"/>
    <w:rPr>
      <w:color w:val="605E5C"/>
      <w:shd w:val="clear" w:color="auto" w:fill="E1DFDD"/>
    </w:rPr>
  </w:style>
  <w:style w:type="paragraph" w:styleId="Revision">
    <w:name w:val="Revision"/>
    <w:hidden/>
    <w:uiPriority w:val="99"/>
    <w:semiHidden/>
    <w:rsid w:val="00325D6B"/>
    <w:pPr>
      <w:spacing w:after="0" w:line="240" w:lineRule="auto"/>
    </w:pPr>
  </w:style>
  <w:style w:type="paragraph" w:styleId="Header">
    <w:name w:val="header"/>
    <w:basedOn w:val="Normal"/>
    <w:link w:val="HeaderChar"/>
    <w:rsid w:val="009E63AC"/>
    <w:pPr>
      <w:tabs>
        <w:tab w:val="center" w:pos="4680"/>
        <w:tab w:val="right" w:pos="9360"/>
      </w:tabs>
    </w:pPr>
  </w:style>
  <w:style w:type="character" w:styleId="HeaderChar" w:customStyle="1">
    <w:name w:val="Header Char"/>
    <w:basedOn w:val="DefaultParagraphFont"/>
    <w:link w:val="Header"/>
    <w:rsid w:val="009E63AC"/>
    <w:rPr>
      <w:rFonts w:ascii="Times New Roman" w:hAnsi="Times New Roman" w:eastAsia="MS Mincho" w:cs="Times New Roman"/>
      <w:kern w:val="0"/>
      <w:szCs w:val="24"/>
      <w:lang w:val="en-GB"/>
      <w14:ligatures w14:val="none"/>
    </w:rPr>
  </w:style>
  <w:style w:type="character" w:styleId="CommentReference">
    <w:name w:val="annotation reference"/>
    <w:basedOn w:val="DefaultParagraphFont"/>
    <w:uiPriority w:val="99"/>
    <w:semiHidden/>
    <w:unhideWhenUsed/>
    <w:rsid w:val="009F3864"/>
    <w:rPr>
      <w:sz w:val="16"/>
      <w:szCs w:val="16"/>
    </w:rPr>
  </w:style>
  <w:style w:type="paragraph" w:styleId="CommentText">
    <w:name w:val="annotation text"/>
    <w:basedOn w:val="Normal"/>
    <w:link w:val="CommentTextChar"/>
    <w:uiPriority w:val="99"/>
    <w:unhideWhenUsed/>
    <w:rsid w:val="009F3864"/>
    <w:rPr>
      <w:sz w:val="20"/>
      <w:szCs w:val="20"/>
    </w:rPr>
  </w:style>
  <w:style w:type="character" w:styleId="CommentTextChar" w:customStyle="1">
    <w:name w:val="Comment Text Char"/>
    <w:basedOn w:val="DefaultParagraphFont"/>
    <w:link w:val="CommentText"/>
    <w:uiPriority w:val="99"/>
    <w:rsid w:val="009F3864"/>
    <w:rPr>
      <w:sz w:val="20"/>
      <w:szCs w:val="20"/>
    </w:rPr>
  </w:style>
  <w:style w:type="paragraph" w:styleId="CommentSubject">
    <w:name w:val="annotation subject"/>
    <w:basedOn w:val="CommentText"/>
    <w:next w:val="CommentText"/>
    <w:link w:val="CommentSubjectChar"/>
    <w:uiPriority w:val="99"/>
    <w:semiHidden/>
    <w:unhideWhenUsed/>
    <w:rsid w:val="009F3864"/>
    <w:rPr>
      <w:b/>
      <w:bCs/>
    </w:rPr>
  </w:style>
  <w:style w:type="character" w:styleId="CommentSubjectChar" w:customStyle="1">
    <w:name w:val="Comment Subject Char"/>
    <w:basedOn w:val="CommentTextChar"/>
    <w:link w:val="CommentSubject"/>
    <w:uiPriority w:val="99"/>
    <w:semiHidden/>
    <w:rsid w:val="009F3864"/>
    <w:rPr>
      <w:b/>
      <w:bCs/>
      <w:sz w:val="20"/>
      <w:szCs w:val="20"/>
    </w:rPr>
  </w:style>
  <w:style w:type="character" w:styleId="FollowedHyperlink">
    <w:name w:val="FollowedHyperlink"/>
    <w:basedOn w:val="DefaultParagraphFont"/>
    <w:semiHidden/>
    <w:unhideWhenUsed/>
    <w:rsid w:val="009E63AC"/>
    <w:rPr>
      <w:color w:val="96607D" w:themeColor="followedHyperlink"/>
      <w:u w:val="single"/>
    </w:rPr>
  </w:style>
  <w:style w:type="paragraph" w:styleId="Footer">
    <w:name w:val="footer"/>
    <w:basedOn w:val="Normal"/>
    <w:link w:val="FooterChar"/>
    <w:rsid w:val="009E63AC"/>
    <w:pPr>
      <w:tabs>
        <w:tab w:val="center" w:pos="4680"/>
        <w:tab w:val="right" w:pos="9360"/>
      </w:tabs>
    </w:pPr>
  </w:style>
  <w:style w:type="character" w:styleId="FooterChar" w:customStyle="1">
    <w:name w:val="Footer Char"/>
    <w:basedOn w:val="DefaultParagraphFont"/>
    <w:link w:val="Footer"/>
    <w:rsid w:val="009E63AC"/>
    <w:rPr>
      <w:rFonts w:ascii="Times New Roman" w:hAnsi="Times New Roman" w:eastAsia="MS Mincho" w:cs="Times New Roman"/>
      <w:kern w:val="0"/>
      <w:szCs w:val="24"/>
      <w:lang w:val="en-GB"/>
      <w14:ligatures w14:val="none"/>
    </w:rPr>
  </w:style>
  <w:style w:type="paragraph" w:styleId="Style" w:customStyle="1">
    <w:name w:val="Style"/>
    <w:basedOn w:val="Footer"/>
    <w:autoRedefine/>
    <w:qFormat/>
    <w:rsid w:val="009E63AC"/>
    <w:pPr>
      <w:pBdr>
        <w:top w:val="single" w:color="auto" w:sz="4" w:space="1"/>
      </w:pBdr>
      <w:tabs>
        <w:tab w:val="clear" w:pos="4680"/>
        <w:tab w:val="clear" w:pos="9360"/>
        <w:tab w:val="right" w:pos="9072"/>
      </w:tabs>
      <w:spacing w:after="120"/>
      <w:jc w:val="left"/>
    </w:pPr>
    <w:rPr>
      <w:rFonts w:ascii="Arial" w:hAnsi="Arial" w:eastAsia="Times"/>
      <w:sz w:val="18"/>
      <w:lang w:val="es-ES_tradnl" w:eastAsia="en-GB"/>
    </w:rPr>
  </w:style>
  <w:style w:type="character" w:styleId="PageNumber">
    <w:name w:val="page number"/>
    <w:rsid w:val="009E63AC"/>
    <w:rPr>
      <w:rFonts w:ascii="Arial" w:hAnsi="Arial"/>
      <w:b/>
      <w:sz w:val="18"/>
    </w:rPr>
  </w:style>
  <w:style w:type="paragraph" w:styleId="IPPArialFootnote" w:customStyle="1">
    <w:name w:val="IPP Arial Footnote"/>
    <w:basedOn w:val="IPPArialTable"/>
    <w:qFormat/>
    <w:rsid w:val="009E63AC"/>
    <w:pPr>
      <w:tabs>
        <w:tab w:val="left" w:pos="28"/>
      </w:tabs>
      <w:ind w:left="284" w:hanging="284"/>
    </w:pPr>
    <w:rPr>
      <w:sz w:val="16"/>
    </w:rPr>
  </w:style>
  <w:style w:type="paragraph" w:styleId="IPPContentsHead" w:customStyle="1">
    <w:name w:val="IPP ContentsHead"/>
    <w:basedOn w:val="IPPSubhead"/>
    <w:next w:val="IPPNormal"/>
    <w:qFormat/>
    <w:rsid w:val="009E63AC"/>
    <w:pPr>
      <w:spacing w:after="240"/>
    </w:pPr>
    <w:rPr>
      <w:sz w:val="24"/>
    </w:rPr>
  </w:style>
  <w:style w:type="table" w:styleId="TableGrid">
    <w:name w:val="Table Grid"/>
    <w:basedOn w:val="TableNormal"/>
    <w:rsid w:val="009E63AC"/>
    <w:pPr>
      <w:spacing w:after="0" w:line="240" w:lineRule="auto"/>
    </w:pPr>
    <w:rPr>
      <w:rFonts w:ascii="Cambria" w:hAnsi="Cambria" w:eastAsia="MS Mincho" w:cs="Times New Roman"/>
      <w:kern w:val="0"/>
      <w:sz w:val="20"/>
      <w:szCs w:val="20"/>
      <w:lang w:val="en-GB" w:eastAsia="zh-CN"/>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rsid w:val="009E63AC"/>
    <w:rPr>
      <w:rFonts w:ascii="Tahoma" w:hAnsi="Tahoma" w:cs="Tahoma"/>
      <w:sz w:val="16"/>
      <w:szCs w:val="16"/>
    </w:rPr>
  </w:style>
  <w:style w:type="character" w:styleId="BalloonTextChar" w:customStyle="1">
    <w:name w:val="Balloon Text Char"/>
    <w:basedOn w:val="DefaultParagraphFont"/>
    <w:link w:val="BalloonText"/>
    <w:rsid w:val="009E63AC"/>
    <w:rPr>
      <w:rFonts w:ascii="Tahoma" w:hAnsi="Tahoma" w:eastAsia="MS Mincho" w:cs="Tahoma"/>
      <w:kern w:val="0"/>
      <w:sz w:val="16"/>
      <w:szCs w:val="16"/>
      <w:lang w:val="en-GB"/>
      <w14:ligatures w14:val="none"/>
    </w:rPr>
  </w:style>
  <w:style w:type="paragraph" w:styleId="IPPBullet2" w:customStyle="1">
    <w:name w:val="IPP Bullet2"/>
    <w:basedOn w:val="IPPNormal"/>
    <w:next w:val="IPPBullet1"/>
    <w:qFormat/>
    <w:rsid w:val="009E63AC"/>
    <w:pPr>
      <w:numPr>
        <w:numId w:val="14"/>
      </w:numPr>
      <w:tabs>
        <w:tab w:val="left" w:pos="1134"/>
      </w:tabs>
      <w:spacing w:after="60"/>
      <w:ind w:left="1134" w:hanging="567"/>
    </w:pPr>
  </w:style>
  <w:style w:type="paragraph" w:styleId="IPPQuote" w:customStyle="1">
    <w:name w:val="IPP Quote"/>
    <w:basedOn w:val="IPPNormal"/>
    <w:qFormat/>
    <w:rsid w:val="009E63AC"/>
    <w:pPr>
      <w:ind w:left="851" w:right="851"/>
    </w:pPr>
    <w:rPr>
      <w:sz w:val="18"/>
    </w:rPr>
  </w:style>
  <w:style w:type="paragraph" w:styleId="IPPNormal" w:customStyle="1">
    <w:name w:val="IPP Normal"/>
    <w:basedOn w:val="Normal"/>
    <w:qFormat/>
    <w:rsid w:val="009E63AC"/>
    <w:pPr>
      <w:spacing w:after="180"/>
    </w:pPr>
    <w:rPr>
      <w:rFonts w:eastAsia="Times"/>
    </w:rPr>
  </w:style>
  <w:style w:type="paragraph" w:styleId="IPPIndentClose" w:customStyle="1">
    <w:name w:val="IPP Indent Close"/>
    <w:basedOn w:val="IPPNormal"/>
    <w:qFormat/>
    <w:rsid w:val="009E63AC"/>
    <w:pPr>
      <w:tabs>
        <w:tab w:val="left" w:pos="2835"/>
      </w:tabs>
      <w:spacing w:after="60"/>
      <w:ind w:left="567"/>
    </w:pPr>
  </w:style>
  <w:style w:type="paragraph" w:styleId="IPPIndent" w:customStyle="1">
    <w:name w:val="IPP Indent"/>
    <w:basedOn w:val="IPPIndentClose"/>
    <w:qFormat/>
    <w:rsid w:val="009E63AC"/>
    <w:pPr>
      <w:spacing w:after="180"/>
    </w:pPr>
  </w:style>
  <w:style w:type="paragraph" w:styleId="IPPFootnote" w:customStyle="1">
    <w:name w:val="IPP Footnote"/>
    <w:basedOn w:val="IPPArialFootnote"/>
    <w:qFormat/>
    <w:rsid w:val="009E63AC"/>
    <w:pPr>
      <w:tabs>
        <w:tab w:val="left" w:pos="0"/>
      </w:tabs>
      <w:spacing w:before="0"/>
      <w:ind w:left="0" w:firstLine="0"/>
      <w:jc w:val="both"/>
    </w:pPr>
    <w:rPr>
      <w:rFonts w:ascii="Times New Roman" w:hAnsi="Times New Roman" w:eastAsia="Times New Roman"/>
      <w:sz w:val="20"/>
    </w:rPr>
  </w:style>
  <w:style w:type="paragraph" w:styleId="IPPHeading3" w:customStyle="1">
    <w:name w:val="IPP Heading3"/>
    <w:basedOn w:val="IPPNormal"/>
    <w:qFormat/>
    <w:rsid w:val="009E63AC"/>
    <w:pPr>
      <w:keepNext/>
      <w:tabs>
        <w:tab w:val="left" w:pos="567"/>
      </w:tabs>
      <w:spacing w:before="120" w:after="120"/>
      <w:ind w:left="567" w:hanging="567"/>
    </w:pPr>
    <w:rPr>
      <w:b/>
      <w:i/>
    </w:rPr>
  </w:style>
  <w:style w:type="character" w:styleId="IPPnormalitalics" w:customStyle="1">
    <w:name w:val="IPP normal italics"/>
    <w:basedOn w:val="DefaultParagraphFont"/>
    <w:rsid w:val="009E63AC"/>
    <w:rPr>
      <w:rFonts w:ascii="Times New Roman" w:hAnsi="Times New Roman"/>
      <w:i/>
      <w:sz w:val="22"/>
      <w:lang w:val="en-US"/>
    </w:rPr>
  </w:style>
  <w:style w:type="character" w:styleId="IPPNormalbold" w:customStyle="1">
    <w:name w:val="IPP Normal bold"/>
    <w:basedOn w:val="PlainTextChar"/>
    <w:rsid w:val="009E63AC"/>
    <w:rPr>
      <w:rFonts w:ascii="Times New Roman" w:hAnsi="Times New Roman" w:eastAsia="Times" w:cs="Times New Roman"/>
      <w:b/>
      <w:kern w:val="0"/>
      <w:sz w:val="22"/>
      <w:szCs w:val="21"/>
      <w:lang w:val="en-AU"/>
      <w14:ligatures w14:val="none"/>
    </w:rPr>
  </w:style>
  <w:style w:type="paragraph" w:styleId="IPPHeadSection" w:customStyle="1">
    <w:name w:val="IPP HeadSection"/>
    <w:basedOn w:val="Normal"/>
    <w:next w:val="Normal"/>
    <w:qFormat/>
    <w:rsid w:val="009E63AC"/>
    <w:pPr>
      <w:keepNext/>
      <w:tabs>
        <w:tab w:val="left" w:pos="851"/>
      </w:tabs>
      <w:spacing w:before="360" w:after="120"/>
      <w:ind w:left="851" w:hanging="851"/>
      <w:outlineLvl w:val="0"/>
    </w:pPr>
    <w:rPr>
      <w:rFonts w:eastAsia="Times"/>
      <w:b/>
      <w:bCs/>
      <w:caps/>
      <w:sz w:val="24"/>
      <w:szCs w:val="22"/>
    </w:rPr>
  </w:style>
  <w:style w:type="paragraph" w:styleId="IPPHeading1" w:customStyle="1">
    <w:name w:val="IPP Heading1"/>
    <w:basedOn w:val="IPPNormal"/>
    <w:next w:val="IPPNormal"/>
    <w:qFormat/>
    <w:rsid w:val="009E63AC"/>
    <w:pPr>
      <w:keepNext/>
      <w:tabs>
        <w:tab w:val="left" w:pos="567"/>
      </w:tabs>
      <w:spacing w:before="240" w:after="120"/>
      <w:ind w:left="567" w:hanging="567"/>
      <w:jc w:val="left"/>
      <w:outlineLvl w:val="1"/>
    </w:pPr>
    <w:rPr>
      <w:b/>
      <w:sz w:val="24"/>
      <w:szCs w:val="22"/>
    </w:rPr>
  </w:style>
  <w:style w:type="paragraph" w:styleId="IPPSubhead" w:customStyle="1">
    <w:name w:val="IPP Subhead"/>
    <w:basedOn w:val="Normal"/>
    <w:qFormat/>
    <w:rsid w:val="009E63AC"/>
    <w:pPr>
      <w:keepNext/>
      <w:ind w:left="567" w:hanging="567"/>
      <w:jc w:val="left"/>
    </w:pPr>
    <w:rPr>
      <w:b/>
      <w:bCs/>
      <w:iCs/>
      <w:szCs w:val="22"/>
    </w:rPr>
  </w:style>
  <w:style w:type="character" w:styleId="IPPNormalunderlined" w:customStyle="1">
    <w:name w:val="IPP Normal underlined"/>
    <w:basedOn w:val="DefaultParagraphFont"/>
    <w:rsid w:val="009E63AC"/>
    <w:rPr>
      <w:rFonts w:ascii="Times New Roman" w:hAnsi="Times New Roman"/>
      <w:sz w:val="22"/>
      <w:u w:val="single"/>
      <w:lang w:val="en-US"/>
    </w:rPr>
  </w:style>
  <w:style w:type="paragraph" w:styleId="IPPBullet1" w:customStyle="1">
    <w:name w:val="IPP Bullet1"/>
    <w:basedOn w:val="IPPBullet1Last"/>
    <w:qFormat/>
    <w:rsid w:val="009E63AC"/>
    <w:pPr>
      <w:numPr>
        <w:numId w:val="27"/>
      </w:numPr>
      <w:spacing w:after="60"/>
      <w:ind w:left="567" w:hanging="567"/>
    </w:pPr>
    <w:rPr>
      <w:lang w:val="en-US"/>
    </w:rPr>
  </w:style>
  <w:style w:type="paragraph" w:styleId="IPPBullet1Last" w:customStyle="1">
    <w:name w:val="IPP Bullet1Last"/>
    <w:basedOn w:val="IPPNormal"/>
    <w:next w:val="IPPNormal"/>
    <w:qFormat/>
    <w:rsid w:val="009E63AC"/>
    <w:pPr>
      <w:numPr>
        <w:numId w:val="15"/>
      </w:numPr>
    </w:pPr>
  </w:style>
  <w:style w:type="character" w:styleId="IPPNormalstrikethrough" w:customStyle="1">
    <w:name w:val="IPP Normal strikethrough"/>
    <w:rsid w:val="009E63AC"/>
    <w:rPr>
      <w:rFonts w:ascii="Times New Roman" w:hAnsi="Times New Roman"/>
      <w:strike/>
      <w:dstrike w:val="0"/>
      <w:sz w:val="22"/>
    </w:rPr>
  </w:style>
  <w:style w:type="paragraph" w:styleId="IPPTitle16pt" w:customStyle="1">
    <w:name w:val="IPP Title16pt"/>
    <w:basedOn w:val="Normal"/>
    <w:qFormat/>
    <w:rsid w:val="009E63AC"/>
    <w:pPr>
      <w:spacing w:after="720"/>
      <w:ind w:left="1701" w:right="1701"/>
      <w:jc w:val="center"/>
    </w:pPr>
    <w:rPr>
      <w:rFonts w:ascii="Arial" w:hAnsi="Arial" w:cs="Arial"/>
      <w:b/>
      <w:bCs/>
      <w:sz w:val="32"/>
      <w:szCs w:val="32"/>
    </w:rPr>
  </w:style>
  <w:style w:type="paragraph" w:styleId="IPPTitle18pt" w:customStyle="1">
    <w:name w:val="IPP Title18pt"/>
    <w:basedOn w:val="Normal"/>
    <w:qFormat/>
    <w:rsid w:val="009E63AC"/>
    <w:pPr>
      <w:spacing w:after="360"/>
      <w:jc w:val="center"/>
    </w:pPr>
    <w:rPr>
      <w:rFonts w:ascii="Arial" w:hAnsi="Arial" w:cs="Arial"/>
      <w:b/>
      <w:bCs/>
      <w:sz w:val="36"/>
      <w:szCs w:val="36"/>
    </w:rPr>
  </w:style>
  <w:style w:type="paragraph" w:styleId="IPPHeader" w:customStyle="1">
    <w:name w:val="IPP Header"/>
    <w:basedOn w:val="Normal"/>
    <w:qFormat/>
    <w:rsid w:val="009E63AC"/>
    <w:pPr>
      <w:pBdr>
        <w:bottom w:val="single" w:color="auto" w:sz="4" w:space="4"/>
      </w:pBdr>
      <w:tabs>
        <w:tab w:val="left" w:pos="1134"/>
        <w:tab w:val="right" w:pos="9072"/>
      </w:tabs>
      <w:spacing w:after="120"/>
      <w:jc w:val="left"/>
    </w:pPr>
    <w:rPr>
      <w:rFonts w:ascii="Arial" w:hAnsi="Arial"/>
      <w:sz w:val="18"/>
      <w:lang w:val="en-US"/>
    </w:rPr>
  </w:style>
  <w:style w:type="paragraph" w:styleId="IPPAnnexHead" w:customStyle="1">
    <w:name w:val="IPP AnnexHead"/>
    <w:basedOn w:val="IPPNormal"/>
    <w:next w:val="IPPNormal"/>
    <w:qFormat/>
    <w:rsid w:val="009E63AC"/>
    <w:pPr>
      <w:keepNext/>
      <w:tabs>
        <w:tab w:val="left" w:pos="567"/>
      </w:tabs>
      <w:spacing w:before="120"/>
      <w:jc w:val="left"/>
      <w:outlineLvl w:val="1"/>
    </w:pPr>
    <w:rPr>
      <w:b/>
      <w:sz w:val="24"/>
    </w:rPr>
  </w:style>
  <w:style w:type="paragraph" w:styleId="IPPNormalCloseSpace" w:customStyle="1">
    <w:name w:val="IPP NormalCloseSpace"/>
    <w:basedOn w:val="Normal"/>
    <w:qFormat/>
    <w:rsid w:val="009E63AC"/>
    <w:pPr>
      <w:keepNext/>
      <w:spacing w:after="60"/>
    </w:pPr>
  </w:style>
  <w:style w:type="paragraph" w:styleId="IPPHeading2" w:customStyle="1">
    <w:name w:val="IPP Heading2"/>
    <w:basedOn w:val="IPPNormal"/>
    <w:next w:val="IPPNormal"/>
    <w:qFormat/>
    <w:rsid w:val="009E63AC"/>
    <w:pPr>
      <w:keepNext/>
      <w:tabs>
        <w:tab w:val="left" w:pos="567"/>
      </w:tabs>
      <w:spacing w:before="120" w:after="120"/>
      <w:ind w:left="567" w:hanging="567"/>
      <w:jc w:val="left"/>
      <w:outlineLvl w:val="2"/>
    </w:pPr>
    <w:rPr>
      <w:b/>
      <w:sz w:val="24"/>
    </w:rPr>
  </w:style>
  <w:style w:type="paragraph" w:styleId="IPPFooter" w:customStyle="1">
    <w:name w:val="IPP Footer"/>
    <w:basedOn w:val="IPPHeader"/>
    <w:next w:val="PlainText"/>
    <w:qFormat/>
    <w:rsid w:val="009E63AC"/>
    <w:pPr>
      <w:pBdr>
        <w:top w:val="single" w:color="auto" w:sz="4" w:space="4"/>
        <w:bottom w:val="none" w:color="auto" w:sz="0" w:space="0"/>
      </w:pBdr>
      <w:tabs>
        <w:tab w:val="clear" w:pos="1134"/>
      </w:tabs>
      <w:jc w:val="right"/>
    </w:pPr>
    <w:rPr>
      <w:b/>
    </w:rPr>
  </w:style>
  <w:style w:type="paragraph" w:styleId="TOC1">
    <w:name w:val="toc 1"/>
    <w:basedOn w:val="IPPNormalCloseSpace"/>
    <w:next w:val="Normal"/>
    <w:autoRedefine/>
    <w:uiPriority w:val="39"/>
    <w:rsid w:val="009E63AC"/>
    <w:pPr>
      <w:tabs>
        <w:tab w:val="right" w:leader="dot" w:pos="9072"/>
      </w:tabs>
      <w:spacing w:before="240"/>
      <w:ind w:left="567" w:hanging="567"/>
    </w:pPr>
  </w:style>
  <w:style w:type="paragraph" w:styleId="TOC2">
    <w:name w:val="toc 2"/>
    <w:basedOn w:val="TOC1"/>
    <w:next w:val="Normal"/>
    <w:autoRedefine/>
    <w:uiPriority w:val="39"/>
    <w:rsid w:val="009E63AC"/>
    <w:pPr>
      <w:keepNext w:val="0"/>
      <w:tabs>
        <w:tab w:val="left" w:pos="425"/>
      </w:tabs>
      <w:spacing w:before="120" w:after="0"/>
      <w:ind w:left="425" w:right="284" w:hanging="425"/>
    </w:pPr>
  </w:style>
  <w:style w:type="paragraph" w:styleId="TOC3">
    <w:name w:val="toc 3"/>
    <w:basedOn w:val="TOC2"/>
    <w:next w:val="Normal"/>
    <w:autoRedefine/>
    <w:uiPriority w:val="39"/>
    <w:rsid w:val="009E63AC"/>
    <w:pPr>
      <w:tabs>
        <w:tab w:val="left" w:pos="1276"/>
      </w:tabs>
      <w:spacing w:before="60"/>
      <w:ind w:left="1276" w:hanging="851"/>
    </w:pPr>
    <w:rPr>
      <w:rFonts w:eastAsia="Times"/>
    </w:rPr>
  </w:style>
  <w:style w:type="paragraph" w:styleId="TOC4">
    <w:name w:val="toc 4"/>
    <w:basedOn w:val="Normal"/>
    <w:next w:val="Normal"/>
    <w:autoRedefine/>
    <w:uiPriority w:val="39"/>
    <w:rsid w:val="009E63AC"/>
    <w:pPr>
      <w:spacing w:after="120"/>
      <w:ind w:left="660"/>
    </w:pPr>
    <w:rPr>
      <w:rFonts w:eastAsia="Times"/>
      <w:lang w:val="en-AU"/>
    </w:rPr>
  </w:style>
  <w:style w:type="paragraph" w:styleId="TOC5">
    <w:name w:val="toc 5"/>
    <w:basedOn w:val="Normal"/>
    <w:next w:val="Normal"/>
    <w:autoRedefine/>
    <w:uiPriority w:val="39"/>
    <w:rsid w:val="009E63AC"/>
    <w:pPr>
      <w:spacing w:after="120"/>
      <w:ind w:left="880"/>
    </w:pPr>
    <w:rPr>
      <w:rFonts w:eastAsia="Times"/>
      <w:lang w:val="en-AU"/>
    </w:rPr>
  </w:style>
  <w:style w:type="paragraph" w:styleId="TOC6">
    <w:name w:val="toc 6"/>
    <w:basedOn w:val="Normal"/>
    <w:next w:val="Normal"/>
    <w:autoRedefine/>
    <w:uiPriority w:val="39"/>
    <w:rsid w:val="009E63AC"/>
    <w:pPr>
      <w:spacing w:after="120"/>
      <w:ind w:left="1100"/>
    </w:pPr>
    <w:rPr>
      <w:rFonts w:eastAsia="Times"/>
      <w:lang w:val="en-AU"/>
    </w:rPr>
  </w:style>
  <w:style w:type="paragraph" w:styleId="TOC7">
    <w:name w:val="toc 7"/>
    <w:basedOn w:val="Normal"/>
    <w:next w:val="Normal"/>
    <w:autoRedefine/>
    <w:uiPriority w:val="39"/>
    <w:rsid w:val="009E63AC"/>
    <w:pPr>
      <w:spacing w:after="120"/>
      <w:ind w:left="1320"/>
    </w:pPr>
    <w:rPr>
      <w:rFonts w:eastAsia="Times"/>
      <w:lang w:val="en-AU"/>
    </w:rPr>
  </w:style>
  <w:style w:type="paragraph" w:styleId="TOC8">
    <w:name w:val="toc 8"/>
    <w:basedOn w:val="Normal"/>
    <w:next w:val="Normal"/>
    <w:autoRedefine/>
    <w:uiPriority w:val="39"/>
    <w:rsid w:val="009E63AC"/>
    <w:pPr>
      <w:spacing w:after="120"/>
      <w:ind w:left="1540"/>
    </w:pPr>
    <w:rPr>
      <w:rFonts w:eastAsia="Times"/>
      <w:lang w:val="en-AU"/>
    </w:rPr>
  </w:style>
  <w:style w:type="paragraph" w:styleId="TOC9">
    <w:name w:val="toc 9"/>
    <w:basedOn w:val="Normal"/>
    <w:next w:val="Normal"/>
    <w:autoRedefine/>
    <w:uiPriority w:val="39"/>
    <w:rsid w:val="009E63AC"/>
    <w:pPr>
      <w:spacing w:after="120"/>
      <w:ind w:left="1760"/>
    </w:pPr>
    <w:rPr>
      <w:rFonts w:eastAsia="Times"/>
      <w:lang w:val="en-AU"/>
    </w:rPr>
  </w:style>
  <w:style w:type="paragraph" w:styleId="IPPReferences" w:customStyle="1">
    <w:name w:val="IPP References"/>
    <w:basedOn w:val="IPPNormal"/>
    <w:qFormat/>
    <w:rsid w:val="009E63AC"/>
    <w:pPr>
      <w:spacing w:after="60"/>
      <w:ind w:left="567" w:hanging="567"/>
    </w:pPr>
  </w:style>
  <w:style w:type="paragraph" w:styleId="IPPArial" w:customStyle="1">
    <w:name w:val="IPP Arial"/>
    <w:basedOn w:val="IPPNormal"/>
    <w:qFormat/>
    <w:rsid w:val="009E63AC"/>
    <w:pPr>
      <w:spacing w:after="0"/>
    </w:pPr>
    <w:rPr>
      <w:rFonts w:ascii="Arial" w:hAnsi="Arial"/>
      <w:sz w:val="18"/>
    </w:rPr>
  </w:style>
  <w:style w:type="paragraph" w:styleId="IPPArialTable" w:customStyle="1">
    <w:name w:val="IPP Arial Table"/>
    <w:basedOn w:val="IPPArial"/>
    <w:qFormat/>
    <w:rsid w:val="009E63AC"/>
    <w:pPr>
      <w:spacing w:before="60" w:after="60"/>
      <w:jc w:val="left"/>
    </w:pPr>
  </w:style>
  <w:style w:type="paragraph" w:styleId="IPPHeaderlandscape" w:customStyle="1">
    <w:name w:val="IPP Header landscape"/>
    <w:basedOn w:val="IPPHeader"/>
    <w:qFormat/>
    <w:rsid w:val="009E63AC"/>
    <w:pPr>
      <w:pBdr>
        <w:bottom w:val="single" w:color="auto" w:sz="4" w:space="1"/>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9E63AC"/>
    <w:pPr>
      <w:jc w:val="left"/>
    </w:pPr>
    <w:rPr>
      <w:rFonts w:ascii="Courier" w:hAnsi="Courier" w:eastAsia="Times"/>
      <w:sz w:val="21"/>
      <w:szCs w:val="21"/>
      <w:lang w:val="en-AU"/>
    </w:rPr>
  </w:style>
  <w:style w:type="character" w:styleId="PlainTextChar" w:customStyle="1">
    <w:name w:val="Plain Text Char"/>
    <w:basedOn w:val="DefaultParagraphFont"/>
    <w:link w:val="PlainText"/>
    <w:uiPriority w:val="99"/>
    <w:rsid w:val="009E63AC"/>
    <w:rPr>
      <w:rFonts w:ascii="Courier" w:hAnsi="Courier" w:eastAsia="Times" w:cs="Times New Roman"/>
      <w:kern w:val="0"/>
      <w:sz w:val="21"/>
      <w:szCs w:val="21"/>
      <w:lang w:val="en-AU"/>
      <w14:ligatures w14:val="none"/>
    </w:rPr>
  </w:style>
  <w:style w:type="paragraph" w:styleId="IPPLetterList" w:customStyle="1">
    <w:name w:val="IPP LetterList"/>
    <w:basedOn w:val="IPPBullet2"/>
    <w:qFormat/>
    <w:rsid w:val="009E63AC"/>
    <w:pPr>
      <w:numPr>
        <w:numId w:val="11"/>
      </w:numPr>
      <w:jc w:val="left"/>
    </w:pPr>
  </w:style>
  <w:style w:type="paragraph" w:styleId="IPPLetterListIndent" w:customStyle="1">
    <w:name w:val="IPP LetterList Indent"/>
    <w:basedOn w:val="IPPLetterList"/>
    <w:qFormat/>
    <w:rsid w:val="009E63AC"/>
    <w:pPr>
      <w:numPr>
        <w:numId w:val="12"/>
      </w:numPr>
    </w:pPr>
  </w:style>
  <w:style w:type="paragraph" w:styleId="IPPFooterLandscape" w:customStyle="1">
    <w:name w:val="IPP Footer Landscape"/>
    <w:basedOn w:val="IPPHeaderlandscape"/>
    <w:qFormat/>
    <w:rsid w:val="009E63AC"/>
    <w:pPr>
      <w:pBdr>
        <w:top w:val="single" w:color="auto" w:sz="4" w:space="1"/>
        <w:bottom w:val="none" w:color="auto" w:sz="0" w:space="0"/>
      </w:pBdr>
      <w:jc w:val="right"/>
    </w:pPr>
    <w:rPr>
      <w:b/>
    </w:rPr>
  </w:style>
  <w:style w:type="paragraph" w:styleId="IPPSubheadSpace" w:customStyle="1">
    <w:name w:val="IPP Subhead Space"/>
    <w:basedOn w:val="IPPSubhead"/>
    <w:qFormat/>
    <w:rsid w:val="009E63AC"/>
    <w:pPr>
      <w:tabs>
        <w:tab w:val="left" w:pos="567"/>
      </w:tabs>
      <w:spacing w:before="60" w:after="60"/>
    </w:pPr>
  </w:style>
  <w:style w:type="paragraph" w:styleId="IPPSubheadSpaceAfter" w:customStyle="1">
    <w:name w:val="IPP Subhead SpaceAfter"/>
    <w:basedOn w:val="IPPSubhead"/>
    <w:qFormat/>
    <w:rsid w:val="009E63AC"/>
    <w:pPr>
      <w:spacing w:after="60"/>
    </w:pPr>
  </w:style>
  <w:style w:type="paragraph" w:styleId="IPPHdg1Num" w:customStyle="1">
    <w:name w:val="IPP Hdg1Num"/>
    <w:basedOn w:val="IPPHeading1"/>
    <w:next w:val="IPPNormal"/>
    <w:qFormat/>
    <w:rsid w:val="009E63AC"/>
    <w:pPr>
      <w:numPr>
        <w:numId w:val="16"/>
      </w:numPr>
    </w:pPr>
  </w:style>
  <w:style w:type="paragraph" w:styleId="IPPHdg2Num" w:customStyle="1">
    <w:name w:val="IPP Hdg2Num"/>
    <w:basedOn w:val="IPPHeading2"/>
    <w:next w:val="IPPNormal"/>
    <w:qFormat/>
    <w:rsid w:val="009E63AC"/>
    <w:pPr>
      <w:numPr>
        <w:ilvl w:val="1"/>
        <w:numId w:val="17"/>
      </w:numPr>
    </w:pPr>
  </w:style>
  <w:style w:type="paragraph" w:styleId="IPPNumberedList" w:customStyle="1">
    <w:name w:val="IPP NumberedList"/>
    <w:basedOn w:val="IPPBullet1"/>
    <w:qFormat/>
    <w:rsid w:val="009E63AC"/>
    <w:pPr>
      <w:numPr>
        <w:numId w:val="25"/>
      </w:numPr>
    </w:pPr>
  </w:style>
  <w:style w:type="character" w:styleId="Strong">
    <w:name w:val="Strong"/>
    <w:basedOn w:val="DefaultParagraphFont"/>
    <w:qFormat/>
    <w:rsid w:val="009E63AC"/>
    <w:rPr>
      <w:b/>
      <w:bCs/>
    </w:rPr>
  </w:style>
  <w:style w:type="paragraph" w:styleId="IPPParagraphnumberingclose" w:customStyle="1">
    <w:name w:val="IPP Paragraph numbering close"/>
    <w:basedOn w:val="IPPParagraphnumbering"/>
    <w:qFormat/>
    <w:rsid w:val="009E63AC"/>
    <w:pPr>
      <w:keepNext/>
      <w:spacing w:after="60"/>
    </w:pPr>
  </w:style>
  <w:style w:type="paragraph" w:styleId="IPPNumberedListLast" w:customStyle="1">
    <w:name w:val="IPP NumberedListLast"/>
    <w:basedOn w:val="IPPNumberedList"/>
    <w:qFormat/>
    <w:rsid w:val="009E63AC"/>
    <w:pPr>
      <w:spacing w:after="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s://www.fao.org/antimicrobial-resistance/background/what-is-it/en/" TargetMode="External" Id="rId13" /><Relationship Type="http://schemas.openxmlformats.org/officeDocument/2006/relationships/hyperlink" Target="https://doi.org/10.1289/EHP7484" TargetMode="External" Id="rId18" /><Relationship Type="http://schemas.openxmlformats.org/officeDocument/2006/relationships/footer" Target="footer1.xml" Id="rId26" /><Relationship Type="http://schemas.openxmlformats.org/officeDocument/2006/relationships/customXml" Target="../customXml/item3.xml" Id="rId3" /><Relationship Type="http://schemas.openxmlformats.org/officeDocument/2006/relationships/hyperlink" Target="https://doc.woah.org/dyn/portal/index.xhtml?page=alo&amp;aloId=43898&amp;espaceId=100" TargetMode="External" Id="rId21" /><Relationship Type="http://schemas.openxmlformats.org/officeDocument/2006/relationships/webSettings" Target="webSettings.xml" Id="rId7" /><Relationship Type="http://schemas.openxmlformats.org/officeDocument/2006/relationships/hyperlink" Target="https://www.fao.org/plant-production-protection/about/en" TargetMode="External" Id="rId12" /><Relationship Type="http://schemas.openxmlformats.org/officeDocument/2006/relationships/hyperlink" Target="https://cabiagbio.biomedcentral.com/articles/10.1186/s43170-020-00001-y" TargetMode="External" Id="rId17" /><Relationship Type="http://schemas.openxmlformats.org/officeDocument/2006/relationships/header" Target="header2.xml" Id="rId25" /><Relationship Type="http://schemas.openxmlformats.org/officeDocument/2006/relationships/customXml" Target="../customXml/item2.xml" Id="rId2" /><Relationship Type="http://schemas.openxmlformats.org/officeDocument/2006/relationships/hyperlink" Target="https://www.ncbi.nlm.nih.gov/books/NBK593490/" TargetMode="External" Id="rId16" /><Relationship Type="http://schemas.openxmlformats.org/officeDocument/2006/relationships/hyperlink" Target="https://doi.org/10.1086/340247" TargetMode="External" Id="rId20" /><Relationship Type="http://schemas.openxmlformats.org/officeDocument/2006/relationships/fontTable" Target="fontTable.xml" Id="rId29"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cdc.gov/aspergillosis/php/guidance/?CDC_AAref_Val=https://www.cdc.gov/fungal/diseases/aspergillosis/antifungal-resistant.html" TargetMode="External" Id="rId11" /><Relationship Type="http://schemas.openxmlformats.org/officeDocument/2006/relationships/header" Target="header1.xml" Id="rId24" /><Relationship Type="http://schemas.openxmlformats.org/officeDocument/2006/relationships/styles" Target="styles.xml" Id="rId5" /><Relationship Type="http://schemas.openxmlformats.org/officeDocument/2006/relationships/hyperlink" Target="https://doi.org/10.3390/agriculture12020289" TargetMode="External" Id="rId15" /><Relationship Type="http://schemas.openxmlformats.org/officeDocument/2006/relationships/hyperlink" Target="https://www.woah.org/app/uploads/2023/06/one-health-amr-research-prioritisation-launch-v7-2.pdf" TargetMode="External" Id="rId23" /><Relationship Type="http://schemas.openxmlformats.org/officeDocument/2006/relationships/footer" Target="footer2.xml" Id="rId28" /><Relationship Type="http://schemas.openxmlformats.org/officeDocument/2006/relationships/hyperlink" Target="http://dx.doi.org/10.15620/cdc:82532" TargetMode="External" Id="rId10" /><Relationship Type="http://schemas.openxmlformats.org/officeDocument/2006/relationships/hyperlink" Target="https://doi.org/10.3390/ijerph18031112" TargetMode="Externa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doi.org/10.46756/sci.fsa.vnq132" TargetMode="External" Id="rId14" /><Relationship Type="http://schemas.openxmlformats.org/officeDocument/2006/relationships/hyperlink" Target="https://www.who.int/publications/i/item/9789240060241" TargetMode="External" Id="rId22" /><Relationship Type="http://schemas.openxmlformats.org/officeDocument/2006/relationships/header" Target="header3.xml" Id="rId27" /><Relationship Type="http://schemas.openxmlformats.org/officeDocument/2006/relationships/theme" Target="theme/theme1.xml" Id="rId30" /></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SSIN\Downloads\IPPC_2024-06-17.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A8913-08DC-4EE4-9FD9-7BE2C2AC87C4}">
  <ds:schemaRef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openxmlformats.org/package/2006/metadata/core-properties"/>
    <ds:schemaRef ds:uri="a05d7f75-f42e-4288-8809-604fd4d9691f"/>
    <ds:schemaRef ds:uri="http://purl.org/dc/terms/"/>
    <ds:schemaRef ds:uri="http://schemas.microsoft.com/office/infopath/2007/PartnerControls"/>
    <ds:schemaRef ds:uri="ea6feb38-a85a-45e8-92e9-814486bbe375"/>
  </ds:schemaRefs>
</ds:datastoreItem>
</file>

<file path=customXml/itemProps2.xml><?xml version="1.0" encoding="utf-8"?>
<ds:datastoreItem xmlns:ds="http://schemas.openxmlformats.org/officeDocument/2006/customXml" ds:itemID="{D11F71D4-8DE0-461A-911F-770F92F63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EE498B-C41B-481B-8819-3755CB65C4C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IPPC_2024-06-17.dotx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Gray, Michelle - MRP-APHIS</dc:creator>
  <cp:keywords/>
  <dc:description/>
  <cp:lastModifiedBy>Cassin, Aoife (NSP)</cp:lastModifiedBy>
  <cp:revision>27</cp:revision>
  <dcterms:created xsi:type="dcterms:W3CDTF">2024-08-14T21:27:00Z</dcterms:created>
  <dcterms:modified xsi:type="dcterms:W3CDTF">2024-10-11T07:32:57Z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66bcea85,1b6625ba,426eeb74</vt:lpwstr>
  </property>
  <property fmtid="{D5CDD505-2E9C-101B-9397-08002B2CF9AE}" pid="3" name="ClassificationContentMarkingHeaderFontProps">
    <vt:lpwstr>#000000,10,Calibri</vt:lpwstr>
  </property>
  <property fmtid="{D5CDD505-2E9C-101B-9397-08002B2CF9AE}" pid="4" name="ClassificationContentMarkingHeaderText">
    <vt:lpwstr>Unclassified / Non classifié</vt:lpwstr>
  </property>
  <property fmtid="{D5CDD505-2E9C-101B-9397-08002B2CF9AE}" pid="5" name="MSIP_Label_baad8967-3ba6-4b00-a759-20a8ca19a393_Enabled">
    <vt:lpwstr>true</vt:lpwstr>
  </property>
  <property fmtid="{D5CDD505-2E9C-101B-9397-08002B2CF9AE}" pid="6" name="MSIP_Label_baad8967-3ba6-4b00-a759-20a8ca19a393_SetDate">
    <vt:lpwstr>2024-08-13T20:00:45Z</vt:lpwstr>
  </property>
  <property fmtid="{D5CDD505-2E9C-101B-9397-08002B2CF9AE}" pid="7" name="MSIP_Label_baad8967-3ba6-4b00-a759-20a8ca19a393_Method">
    <vt:lpwstr>Privileged</vt:lpwstr>
  </property>
  <property fmtid="{D5CDD505-2E9C-101B-9397-08002B2CF9AE}" pid="8" name="MSIP_Label_baad8967-3ba6-4b00-a759-20a8ca19a393_Name">
    <vt:lpwstr>UNCLASSIFIED</vt:lpwstr>
  </property>
  <property fmtid="{D5CDD505-2E9C-101B-9397-08002B2CF9AE}" pid="9" name="MSIP_Label_baad8967-3ba6-4b00-a759-20a8ca19a393_SiteId">
    <vt:lpwstr>9da98bb1-1857-4cc3-8751-9a49e35d24cd</vt:lpwstr>
  </property>
  <property fmtid="{D5CDD505-2E9C-101B-9397-08002B2CF9AE}" pid="10" name="MSIP_Label_baad8967-3ba6-4b00-a759-20a8ca19a393_ActionId">
    <vt:lpwstr>3b09abf3-efee-4f4f-9aee-bb7e9eeb53e2</vt:lpwstr>
  </property>
  <property fmtid="{D5CDD505-2E9C-101B-9397-08002B2CF9AE}" pid="11" name="MSIP_Label_baad8967-3ba6-4b00-a759-20a8ca19a393_ContentBits">
    <vt:lpwstr>1</vt:lpwstr>
  </property>
  <property fmtid="{D5CDD505-2E9C-101B-9397-08002B2CF9AE}" pid="12" name="ContentTypeId">
    <vt:lpwstr>0x010100299519679B1A8B4091DBA33CE26F55F5</vt:lpwstr>
  </property>
  <property fmtid="{D5CDD505-2E9C-101B-9397-08002B2CF9AE}" pid="13" name="MediaServiceImageTags">
    <vt:lpwstr/>
  </property>
</Properties>
</file>