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B5589" w14:textId="77777777" w:rsidR="00785A93" w:rsidRDefault="00785A93" w:rsidP="0956352D">
      <w:pPr>
        <w:jc w:val="center"/>
        <w:rPr>
          <w:rFonts w:cs="Times New Roman"/>
          <w:b/>
          <w:bCs/>
        </w:rPr>
      </w:pPr>
    </w:p>
    <w:p w14:paraId="03397C68" w14:textId="77777777" w:rsidR="008A07F3" w:rsidRPr="0010621C" w:rsidRDefault="008A07F3" w:rsidP="008A07F3">
      <w:pPr>
        <w:pStyle w:val="IPPHeadSection"/>
        <w:jc w:val="center"/>
        <w:rPr>
          <w:smallCaps/>
        </w:rPr>
      </w:pPr>
      <w:r w:rsidRPr="0010621C">
        <w:t>Commission on Phytosanitary Measures</w:t>
      </w:r>
    </w:p>
    <w:p w14:paraId="4F66496B" w14:textId="77777777" w:rsidR="008A07F3" w:rsidRPr="008A07F3" w:rsidRDefault="008A07F3" w:rsidP="008A07F3">
      <w:pPr>
        <w:pStyle w:val="IPPHeadSection"/>
        <w:jc w:val="center"/>
      </w:pPr>
      <w:r w:rsidRPr="008A07F3">
        <w:t>STRATEGIC PLANNING GROUP MEETING</w:t>
      </w:r>
    </w:p>
    <w:p w14:paraId="7C8B733B" w14:textId="1C2BD1C0" w:rsidR="00ED5861" w:rsidRPr="008A07F3" w:rsidRDefault="00785A93" w:rsidP="008A07F3">
      <w:pPr>
        <w:pStyle w:val="IPPHeadSection"/>
        <w:jc w:val="center"/>
      </w:pPr>
      <w:r w:rsidRPr="008A07F3">
        <w:t xml:space="preserve">IPPC </w:t>
      </w:r>
      <w:r w:rsidR="00560F7F" w:rsidRPr="008A07F3">
        <w:t xml:space="preserve">STRATEGIC FRAMEWORK 2020-2030: MID-TERM </w:t>
      </w:r>
      <w:r w:rsidR="00E60FC9" w:rsidRPr="008A07F3">
        <w:t xml:space="preserve">MONITORING AND </w:t>
      </w:r>
      <w:r w:rsidR="00560F7F" w:rsidRPr="008A07F3">
        <w:t>EVALAUTION IN 2025</w:t>
      </w:r>
    </w:p>
    <w:p w14:paraId="4185DAB5" w14:textId="20AF5347" w:rsidR="007371F8" w:rsidRDefault="46E8D2DB" w:rsidP="0956352D">
      <w:pPr>
        <w:jc w:val="center"/>
        <w:rPr>
          <w:rFonts w:cs="Times New Roman"/>
        </w:rPr>
      </w:pPr>
      <w:r w:rsidRPr="112D22D3">
        <w:rPr>
          <w:rFonts w:cs="Times New Roman"/>
        </w:rPr>
        <w:t>(</w:t>
      </w:r>
      <w:r w:rsidRPr="112D22D3">
        <w:rPr>
          <w:rFonts w:cs="Times New Roman"/>
          <w:i/>
          <w:iCs/>
        </w:rPr>
        <w:t>Prepared by the IPPC Secretariat</w:t>
      </w:r>
      <w:r w:rsidR="316EB8FC" w:rsidRPr="112D22D3">
        <w:rPr>
          <w:rFonts w:cs="Times New Roman"/>
          <w:i/>
          <w:iCs/>
        </w:rPr>
        <w:t xml:space="preserve"> with inputs of the IC </w:t>
      </w:r>
      <w:r w:rsidR="007A6E36" w:rsidRPr="112D22D3">
        <w:rPr>
          <w:rFonts w:cs="Times New Roman"/>
          <w:i/>
          <w:iCs/>
        </w:rPr>
        <w:t xml:space="preserve">lead for the IC </w:t>
      </w:r>
      <w:r w:rsidR="316EB8FC" w:rsidRPr="112D22D3">
        <w:rPr>
          <w:rFonts w:cs="Times New Roman"/>
          <w:i/>
          <w:iCs/>
        </w:rPr>
        <w:t xml:space="preserve">Subgroup </w:t>
      </w:r>
      <w:r w:rsidR="007371F8" w:rsidRPr="112D22D3">
        <w:rPr>
          <w:rFonts w:cs="Times New Roman"/>
          <w:i/>
          <w:iCs/>
        </w:rPr>
        <w:t xml:space="preserve">on </w:t>
      </w:r>
      <w:r w:rsidR="1E45236F" w:rsidRPr="112D22D3">
        <w:rPr>
          <w:rFonts w:cs="Times New Roman"/>
          <w:i/>
          <w:iCs/>
        </w:rPr>
        <w:t>t</w:t>
      </w:r>
      <w:r w:rsidR="79CA60EA" w:rsidRPr="112D22D3">
        <w:rPr>
          <w:rFonts w:cs="Times New Roman"/>
          <w:i/>
          <w:iCs/>
        </w:rPr>
        <w:t>he IPPC Observatory</w:t>
      </w:r>
      <w:r w:rsidRPr="112D22D3">
        <w:rPr>
          <w:rFonts w:cs="Times New Roman"/>
        </w:rPr>
        <w:t>)</w:t>
      </w:r>
    </w:p>
    <w:p w14:paraId="05B7F852" w14:textId="77777777" w:rsidR="00705F24" w:rsidRPr="00B26F8F" w:rsidRDefault="00705F24" w:rsidP="00705F24">
      <w:pPr>
        <w:rPr>
          <w:rFonts w:eastAsia="Arial" w:cs="Times New Roman"/>
          <w:b/>
          <w:bCs/>
        </w:rPr>
      </w:pPr>
    </w:p>
    <w:p w14:paraId="15BC863A" w14:textId="086D3C16" w:rsidR="007519B9" w:rsidRDefault="007519B9" w:rsidP="007519B9">
      <w:pPr>
        <w:pStyle w:val="IPPParagraphnumbering"/>
        <w:rPr>
          <w:color w:val="000000" w:themeColor="text1"/>
          <w:lang w:val="en-GB"/>
        </w:rPr>
      </w:pPr>
      <w:r w:rsidRPr="22623F43">
        <w:rPr>
          <w:color w:val="000000" w:themeColor="text1"/>
          <w:lang w:val="en-GB"/>
        </w:rPr>
        <w:t>This paper presents an overview of the mid-term evaluation of the IPPC Strategic Framework 2020–2030 Development Agenda Items (SF DAIs). The mid-term review aims to assess the progress made, identify key achievements, and address challenges in implementing the</w:t>
      </w:r>
      <w:r w:rsidR="7C8C245C" w:rsidRPr="22623F43">
        <w:rPr>
          <w:color w:val="000000" w:themeColor="text1"/>
          <w:lang w:val="en-GB"/>
        </w:rPr>
        <w:t xml:space="preserve"> eight</w:t>
      </w:r>
      <w:r w:rsidRPr="22623F43">
        <w:rPr>
          <w:color w:val="000000" w:themeColor="text1"/>
          <w:lang w:val="en-GB"/>
        </w:rPr>
        <w:t xml:space="preserve"> SF DAIs.</w:t>
      </w:r>
    </w:p>
    <w:p w14:paraId="67B5593B" w14:textId="11D79003" w:rsidR="008A3F98" w:rsidRPr="004C292D" w:rsidRDefault="00560F7F" w:rsidP="004C292D">
      <w:pPr>
        <w:pStyle w:val="IPPParagraphnumbering"/>
        <w:numPr>
          <w:ilvl w:val="0"/>
          <w:numId w:val="0"/>
        </w:numPr>
        <w:rPr>
          <w:b/>
          <w:bCs/>
          <w:color w:val="000000" w:themeColor="text1"/>
          <w:sz w:val="24"/>
          <w:szCs w:val="28"/>
          <w:lang w:val="en-GB"/>
        </w:rPr>
      </w:pPr>
      <w:r w:rsidRPr="004C292D">
        <w:rPr>
          <w:b/>
          <w:bCs/>
          <w:color w:val="000000" w:themeColor="text1"/>
          <w:sz w:val="24"/>
          <w:szCs w:val="28"/>
          <w:lang w:val="en-GB"/>
        </w:rPr>
        <w:t>Background</w:t>
      </w:r>
    </w:p>
    <w:p w14:paraId="6703765E" w14:textId="4E03D479" w:rsidR="0024599C" w:rsidRPr="0024599C" w:rsidRDefault="007519B9" w:rsidP="12F1C5CD">
      <w:pPr>
        <w:pStyle w:val="IPPParagraphnumbering"/>
        <w:rPr>
          <w:rFonts w:eastAsia="Times New Roman" w:cs="Times New Roman"/>
          <w:lang w:eastAsia="en-US"/>
        </w:rPr>
      </w:pPr>
      <w:r w:rsidRPr="12F1C5CD">
        <w:rPr>
          <w:color w:val="000000" w:themeColor="text1"/>
          <w:lang w:val="en-GB"/>
        </w:rPr>
        <w:t xml:space="preserve">The IPPC Observatory is responsible for monitoring the implementation of the International Plant Protection Convention (IPPC), International Standards for Phytosanitary Measures (ISPMs), and CPM Recommendations. </w:t>
      </w:r>
      <w:r w:rsidR="005868C0" w:rsidRPr="12F1C5CD">
        <w:rPr>
          <w:color w:val="000000" w:themeColor="text1"/>
          <w:lang w:val="en-GB"/>
        </w:rPr>
        <w:t xml:space="preserve">Monitoring and evaluation of the </w:t>
      </w:r>
      <w:r w:rsidR="0091755E" w:rsidRPr="12F1C5CD">
        <w:rPr>
          <w:color w:val="000000" w:themeColor="text1"/>
          <w:lang w:val="en-GB"/>
        </w:rPr>
        <w:t>SF DAIs</w:t>
      </w:r>
      <w:r w:rsidR="005868C0" w:rsidRPr="12F1C5CD">
        <w:rPr>
          <w:color w:val="000000" w:themeColor="text1"/>
          <w:lang w:val="en-GB"/>
        </w:rPr>
        <w:t xml:space="preserve"> is one of the mandates of the IPPC Observatory. Therefore, it is also one of the IPPC observatory priority topics, “Develop baseline measures to monitor the impacts of and record/report benefits of the Strategic Framework 2020-2030” (2018-52).</w:t>
      </w:r>
      <w:r w:rsidR="00E60FC9" w:rsidRPr="12F1C5CD">
        <w:rPr>
          <w:color w:val="000000" w:themeColor="text1"/>
          <w:lang w:val="en-GB"/>
        </w:rPr>
        <w:t xml:space="preserve"> </w:t>
      </w:r>
      <w:r w:rsidR="001E1472" w:rsidRPr="12F1C5CD">
        <w:rPr>
          <w:color w:val="000000" w:themeColor="text1"/>
          <w:lang w:val="en-GB"/>
        </w:rPr>
        <w:t xml:space="preserve">This topic has been included in the IPPC Observatory 2021-2024 workplan. </w:t>
      </w:r>
    </w:p>
    <w:p w14:paraId="4FCF0A3C" w14:textId="296EB1EC" w:rsidR="0024599C" w:rsidRPr="0024599C" w:rsidRDefault="00E60FC9" w:rsidP="1F9AE9A3">
      <w:pPr>
        <w:pStyle w:val="IPPParagraphnumbering"/>
        <w:rPr>
          <w:rFonts w:eastAsia="Times New Roman" w:cs="Times New Roman"/>
          <w:lang w:eastAsia="en-US"/>
        </w:rPr>
      </w:pPr>
      <w:r w:rsidRPr="22623F43">
        <w:rPr>
          <w:color w:val="000000" w:themeColor="text1"/>
          <w:lang w:val="en-GB"/>
        </w:rPr>
        <w:t xml:space="preserve">CPM-16 (2022) agreed that the IPPC Observatory would contribute to monitoring the achievements of the objectives outlined in the IPPC Strategic Framework 2020–2030. </w:t>
      </w:r>
      <w:r w:rsidR="0024599C" w:rsidRPr="22623F43">
        <w:rPr>
          <w:color w:val="000000" w:themeColor="text1"/>
          <w:lang w:val="en-GB"/>
        </w:rPr>
        <w:t>CPM-17 (2023) requested that the IPPC Secretary consider establishing a new position of programme manager, to coordinate, monitor, report and mobilize funds for the programme.</w:t>
      </w:r>
      <w:r w:rsidR="09D531BC" w:rsidRPr="22623F43">
        <w:rPr>
          <w:color w:val="000000" w:themeColor="text1"/>
          <w:lang w:val="en-GB"/>
        </w:rPr>
        <w:t xml:space="preserve"> </w:t>
      </w:r>
      <w:r w:rsidR="0024599C" w:rsidRPr="22623F43">
        <w:rPr>
          <w:color w:val="000000" w:themeColor="text1"/>
          <w:lang w:val="en-GB"/>
        </w:rPr>
        <w:t xml:space="preserve"> </w:t>
      </w:r>
      <w:r w:rsidR="4730A9AE" w:rsidRPr="22623F43">
        <w:rPr>
          <w:color w:val="000000" w:themeColor="text1"/>
          <w:lang w:val="en-GB"/>
        </w:rPr>
        <w:t xml:space="preserve">CPM-18 (2024) </w:t>
      </w:r>
      <w:r w:rsidR="4730A9AE" w:rsidRPr="22623F43">
        <w:rPr>
          <w:i/>
          <w:iCs/>
          <w:color w:val="000000" w:themeColor="text1"/>
          <w:lang w:val="en-GB"/>
        </w:rPr>
        <w:t>noted</w:t>
      </w:r>
      <w:r w:rsidR="4730A9AE" w:rsidRPr="22623F43">
        <w:rPr>
          <w:color w:val="000000" w:themeColor="text1"/>
          <w:lang w:val="en-GB"/>
        </w:rPr>
        <w:t xml:space="preserve"> that the IPPC Strategic Framework project manager should be hired before strategic framework monitoring activities commence, following which the IPPC Observatory would provide the necessary support.</w:t>
      </w:r>
    </w:p>
    <w:p w14:paraId="06E80DBA" w14:textId="53F45B54" w:rsidR="005868C0" w:rsidRPr="0024599C" w:rsidRDefault="0024599C" w:rsidP="22623F43">
      <w:pPr>
        <w:pStyle w:val="IPPParagraphnumbering"/>
        <w:rPr>
          <w:color w:val="000000" w:themeColor="text1"/>
          <w:lang w:val="en-GB"/>
        </w:rPr>
      </w:pPr>
      <w:r w:rsidRPr="22623F43">
        <w:rPr>
          <w:color w:val="000000" w:themeColor="text1"/>
          <w:lang w:val="en-GB"/>
        </w:rPr>
        <w:t>Despite its exclusive mandate to deliver the monitoring and evaluation of the strategic framework, the IPPC Observatory has not been able to start working on this task since no dedicated project manager position, as requested by CPM-17, has been established at the IPPC Secretariat in addition to no financial resource allocation</w:t>
      </w:r>
      <w:r w:rsidR="49596341" w:rsidRPr="22623F43">
        <w:rPr>
          <w:color w:val="000000" w:themeColor="text1"/>
          <w:lang w:val="en-GB"/>
        </w:rPr>
        <w:t xml:space="preserve"> for its sustainable setting</w:t>
      </w:r>
      <w:r w:rsidRPr="22623F43">
        <w:rPr>
          <w:color w:val="000000" w:themeColor="text1"/>
          <w:lang w:val="en-GB"/>
        </w:rPr>
        <w:t>. The</w:t>
      </w:r>
      <w:r w:rsidR="001E1472" w:rsidRPr="22623F43">
        <w:rPr>
          <w:color w:val="000000" w:themeColor="text1"/>
          <w:lang w:val="en-GB"/>
        </w:rPr>
        <w:t>se</w:t>
      </w:r>
      <w:r w:rsidRPr="22623F43">
        <w:rPr>
          <w:color w:val="000000" w:themeColor="text1"/>
          <w:lang w:val="en-GB"/>
        </w:rPr>
        <w:t xml:space="preserve"> issues had been discussed a</w:t>
      </w:r>
      <w:r w:rsidR="00E60FC9" w:rsidRPr="22623F43">
        <w:rPr>
          <w:color w:val="000000" w:themeColor="text1"/>
          <w:lang w:val="en-GB"/>
        </w:rPr>
        <w:t xml:space="preserve">t several </w:t>
      </w:r>
      <w:r w:rsidR="005868C0" w:rsidRPr="22623F43">
        <w:rPr>
          <w:color w:val="000000" w:themeColor="text1"/>
          <w:lang w:val="en-GB"/>
        </w:rPr>
        <w:t>Implementation and Capacity Development Committee (IC)</w:t>
      </w:r>
      <w:r w:rsidR="001E1472" w:rsidRPr="22623F43">
        <w:rPr>
          <w:color w:val="000000" w:themeColor="text1"/>
          <w:lang w:val="en-GB"/>
        </w:rPr>
        <w:t xml:space="preserve"> meetings. </w:t>
      </w:r>
    </w:p>
    <w:p w14:paraId="5AC1A344" w14:textId="5B2F313F" w:rsidR="49AEA85B" w:rsidRDefault="49AEA85B" w:rsidP="22623F43">
      <w:pPr>
        <w:pStyle w:val="IPPParagraphnumbering"/>
      </w:pPr>
      <w:r>
        <w:t xml:space="preserve">The government of Canada allocated USD </w:t>
      </w:r>
      <w:r w:rsidR="62328B57">
        <w:t xml:space="preserve">31,521 </w:t>
      </w:r>
      <w:r>
        <w:t xml:space="preserve">for the IPPC Observatory Study on E-Commerce. </w:t>
      </w:r>
      <w:r w:rsidR="0B9DC1A4">
        <w:t xml:space="preserve">Activities for this study are currently ongoing and planned to be finalised in 2025. </w:t>
      </w:r>
      <w:r w:rsidR="6F95D208">
        <w:t xml:space="preserve">More information on the </w:t>
      </w:r>
      <w:r w:rsidR="30BD97CC">
        <w:t xml:space="preserve">IPPC Observatory Study on E-Commerce is </w:t>
      </w:r>
      <w:r w:rsidR="0CEAF7B2">
        <w:t xml:space="preserve">provided in paper </w:t>
      </w:r>
      <w:r w:rsidR="00C12199">
        <w:t>08</w:t>
      </w:r>
      <w:r w:rsidR="0CEAF7B2">
        <w:t xml:space="preserve">_SPG_2024_Oct (agenda item </w:t>
      </w:r>
      <w:r w:rsidR="00C12199">
        <w:t>7.3</w:t>
      </w:r>
      <w:r w:rsidR="0CEAF7B2">
        <w:t>)</w:t>
      </w:r>
      <w:r w:rsidR="00C12199">
        <w:t>.</w:t>
      </w:r>
    </w:p>
    <w:p w14:paraId="75B64D8F" w14:textId="353F44B1" w:rsidR="344A5A94" w:rsidRDefault="344A5A94" w:rsidP="22623F43">
      <w:pPr>
        <w:pStyle w:val="IPPParagraphnumbering"/>
        <w:rPr>
          <w:rFonts w:eastAsia="Times New Roman" w:cs="Times New Roman"/>
          <w:lang w:eastAsia="en-US"/>
        </w:rPr>
      </w:pPr>
      <w:r w:rsidRPr="22623F43">
        <w:rPr>
          <w:rFonts w:eastAsia="Times New Roman" w:cs="Times New Roman"/>
          <w:lang w:eastAsia="en-US"/>
        </w:rPr>
        <w:t>The government of the Republic of Korea earmarked USD 30,000 for the IPPC Observatory activities from its contributions to the IPPC Multi-Donor Trust Fund. This amount will be used to support the general IPPC Observatory activities, while the specific allocation of funds will be determined at a later stage.</w:t>
      </w:r>
    </w:p>
    <w:p w14:paraId="678D2638" w14:textId="1C06610F" w:rsidR="001E4FFD" w:rsidRPr="0091755E" w:rsidRDefault="3E4FE7BB" w:rsidP="1F9AE9A3">
      <w:pPr>
        <w:pStyle w:val="IPPParagraphnumbering"/>
        <w:rPr>
          <w:rFonts w:eastAsia="Times New Roman" w:cs="Times New Roman"/>
          <w:lang w:eastAsia="en-US"/>
        </w:rPr>
      </w:pPr>
      <w:r w:rsidRPr="22623F43">
        <w:rPr>
          <w:color w:val="000000" w:themeColor="text1"/>
          <w:lang w:val="en-GB"/>
        </w:rPr>
        <w:t xml:space="preserve">During </w:t>
      </w:r>
      <w:r w:rsidR="00392AF8" w:rsidRPr="22623F43">
        <w:rPr>
          <w:color w:val="000000" w:themeColor="text1"/>
          <w:lang w:val="en-GB"/>
        </w:rPr>
        <w:t xml:space="preserve">its May </w:t>
      </w:r>
      <w:r w:rsidRPr="22623F43">
        <w:rPr>
          <w:color w:val="000000" w:themeColor="text1"/>
          <w:lang w:val="en-GB"/>
        </w:rPr>
        <w:t>202</w:t>
      </w:r>
      <w:r w:rsidR="00392AF8" w:rsidRPr="22623F43">
        <w:rPr>
          <w:color w:val="000000" w:themeColor="text1"/>
          <w:lang w:val="en-GB"/>
        </w:rPr>
        <w:t>4</w:t>
      </w:r>
      <w:r w:rsidRPr="22623F43">
        <w:rPr>
          <w:color w:val="000000" w:themeColor="text1"/>
          <w:lang w:val="en-GB"/>
        </w:rPr>
        <w:t xml:space="preserve"> meeting, the IC discuss</w:t>
      </w:r>
      <w:r w:rsidR="5FE3667C" w:rsidRPr="22623F43">
        <w:rPr>
          <w:color w:val="000000" w:themeColor="text1"/>
          <w:lang w:val="en-GB"/>
        </w:rPr>
        <w:t>ed</w:t>
      </w:r>
      <w:r w:rsidRPr="22623F43">
        <w:rPr>
          <w:color w:val="000000" w:themeColor="text1"/>
          <w:lang w:val="en-GB"/>
        </w:rPr>
        <w:t xml:space="preserve"> </w:t>
      </w:r>
      <w:r w:rsidR="001E1472" w:rsidRPr="22623F43">
        <w:rPr>
          <w:color w:val="000000" w:themeColor="text1"/>
          <w:lang w:val="en-GB"/>
        </w:rPr>
        <w:t>the importance of monitoring and evaluation of the IPPC Strategic Framework 2020–2030 DAIs to understand what was achieved, what were the challenges and what was remaining.</w:t>
      </w:r>
      <w:r w:rsidR="001E1472" w:rsidRPr="22623F43">
        <w:rPr>
          <w:rFonts w:cs="Times New Roman"/>
          <w:color w:val="000000" w:themeColor="text1"/>
          <w:lang w:val="en-GB"/>
        </w:rPr>
        <w:t xml:space="preserve"> Thus, the IC </w:t>
      </w:r>
      <w:r w:rsidR="00392AF8" w:rsidRPr="22623F43">
        <w:rPr>
          <w:rFonts w:cs="Times New Roman"/>
          <w:lang w:eastAsia="en-US"/>
        </w:rPr>
        <w:t>invited</w:t>
      </w:r>
      <w:r w:rsidR="00392AF8" w:rsidRPr="22623F43">
        <w:rPr>
          <w:rFonts w:cs="Times New Roman"/>
          <w:i/>
          <w:iCs/>
          <w:lang w:eastAsia="en-US"/>
        </w:rPr>
        <w:t xml:space="preserve"> </w:t>
      </w:r>
      <w:r w:rsidR="00392AF8" w:rsidRPr="22623F43">
        <w:rPr>
          <w:rFonts w:cs="Times New Roman"/>
          <w:lang w:eastAsia="en-US"/>
        </w:rPr>
        <w:t>the CPM Bureau</w:t>
      </w:r>
      <w:r w:rsidR="001E1472" w:rsidRPr="22623F43">
        <w:rPr>
          <w:rFonts w:cs="Times New Roman"/>
          <w:lang w:eastAsia="en-US"/>
        </w:rPr>
        <w:t xml:space="preserve"> </w:t>
      </w:r>
      <w:r w:rsidR="00392AF8" w:rsidRPr="22623F43">
        <w:rPr>
          <w:rFonts w:cs="Times New Roman"/>
        </w:rPr>
        <w:t xml:space="preserve">to discuss and provide guidance on the mid-term monitoring and evaluation of the </w:t>
      </w:r>
      <w:r w:rsidR="0091755E" w:rsidRPr="22623F43">
        <w:rPr>
          <w:rFonts w:cs="Times New Roman"/>
        </w:rPr>
        <w:t>SF DAIs</w:t>
      </w:r>
      <w:r w:rsidR="00392AF8" w:rsidRPr="22623F43">
        <w:rPr>
          <w:rFonts w:cs="Times New Roman"/>
        </w:rPr>
        <w:t xml:space="preserve"> in 2025t</w:t>
      </w:r>
      <w:r w:rsidR="001E1472" w:rsidRPr="22623F43">
        <w:rPr>
          <w:rFonts w:cs="Times New Roman"/>
        </w:rPr>
        <w:t xml:space="preserve">. The importance of the </w:t>
      </w:r>
      <w:r w:rsidR="001E1472" w:rsidRPr="22623F43">
        <w:rPr>
          <w:rFonts w:cs="Times New Roman"/>
        </w:rPr>
        <w:lastRenderedPageBreak/>
        <w:t xml:space="preserve">mid-term evaluation in 2025 was further discussed during the CPM Bureau September 2024 virtual meeting. </w:t>
      </w:r>
    </w:p>
    <w:p w14:paraId="15F7FC07" w14:textId="4DCBF2FC" w:rsidR="0091755E" w:rsidRPr="004C292D" w:rsidRDefault="0091755E" w:rsidP="004C292D">
      <w:pPr>
        <w:pStyle w:val="IPPParagraphnumbering"/>
        <w:numPr>
          <w:ilvl w:val="0"/>
          <w:numId w:val="0"/>
        </w:numPr>
        <w:rPr>
          <w:b/>
          <w:bCs/>
          <w:color w:val="000000" w:themeColor="text1"/>
          <w:sz w:val="24"/>
          <w:szCs w:val="28"/>
          <w:lang w:val="en-GB"/>
        </w:rPr>
      </w:pPr>
      <w:r w:rsidRPr="004C292D">
        <w:rPr>
          <w:b/>
          <w:bCs/>
          <w:color w:val="000000" w:themeColor="text1"/>
          <w:sz w:val="24"/>
          <w:szCs w:val="28"/>
          <w:lang w:val="en-GB"/>
        </w:rPr>
        <w:t>Terms of Reference of mid-term monitoring and evaluation of the IPPC Strategic Framework 2020-2030 DAIs</w:t>
      </w:r>
    </w:p>
    <w:p w14:paraId="374DAF7B" w14:textId="73F4A2B5" w:rsidR="007519B9" w:rsidRPr="007519B9" w:rsidRDefault="007519B9" w:rsidP="007519B9">
      <w:pPr>
        <w:pStyle w:val="IPPParagraphnumbering"/>
        <w:rPr>
          <w:lang w:val="en-GB"/>
        </w:rPr>
      </w:pPr>
      <w:r w:rsidRPr="22623F43">
        <w:rPr>
          <w:lang w:val="en-GB"/>
        </w:rPr>
        <w:t>The monitoring and evaluation framework to be developed for the 2025 mid-term evaluation will serve as the foundation for the final evaluation in 2030. The key objectives for the 2025 evaluation include:</w:t>
      </w:r>
    </w:p>
    <w:p w14:paraId="3A51D228" w14:textId="77777777" w:rsidR="007519B9" w:rsidRPr="007519B9" w:rsidRDefault="007519B9"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7519B9">
        <w:rPr>
          <w:rFonts w:ascii="Times New Roman" w:eastAsiaTheme="minorHAnsi" w:hAnsi="Times New Roman" w:cs="Times New Roman"/>
          <w:color w:val="000000"/>
          <w:sz w:val="22"/>
          <w:szCs w:val="22"/>
          <w:lang w:val="en-US" w:eastAsia="en-US"/>
        </w:rPr>
        <w:t>Gathering data and conducting a thorough analysis of progress for each DAI.</w:t>
      </w:r>
    </w:p>
    <w:p w14:paraId="6FF82584" w14:textId="77777777" w:rsidR="007519B9" w:rsidRPr="007519B9" w:rsidRDefault="007519B9"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7519B9">
        <w:rPr>
          <w:rFonts w:ascii="Times New Roman" w:eastAsiaTheme="minorHAnsi" w:hAnsi="Times New Roman" w:cs="Times New Roman"/>
          <w:color w:val="000000"/>
          <w:sz w:val="22"/>
          <w:szCs w:val="22"/>
          <w:lang w:val="en-US" w:eastAsia="en-US"/>
        </w:rPr>
        <w:t>Assessing the relevance, effectiveness, and impact of the framework.</w:t>
      </w:r>
    </w:p>
    <w:p w14:paraId="19B58AE5" w14:textId="1DC422C1" w:rsidR="002F0002" w:rsidRPr="007519B9" w:rsidRDefault="007519B9" w:rsidP="00590E1C">
      <w:pPr>
        <w:pStyle w:val="ListParagraph"/>
        <w:numPr>
          <w:ilvl w:val="0"/>
          <w:numId w:val="11"/>
        </w:numPr>
        <w:autoSpaceDE w:val="0"/>
        <w:autoSpaceDN w:val="0"/>
        <w:adjustRightInd w:val="0"/>
        <w:ind w:leftChars="0"/>
        <w:jc w:val="left"/>
        <w:rPr>
          <w:rFonts w:ascii="Times New Roman" w:eastAsiaTheme="minorEastAsia" w:hAnsi="Times New Roman" w:cs="Times New Roman"/>
          <w:color w:val="000000"/>
          <w:sz w:val="22"/>
          <w:szCs w:val="22"/>
          <w:lang w:val="en-US" w:eastAsia="en-US"/>
        </w:rPr>
      </w:pPr>
      <w:r w:rsidRPr="22623F43">
        <w:rPr>
          <w:rFonts w:ascii="Times New Roman" w:eastAsiaTheme="minorEastAsia" w:hAnsi="Times New Roman" w:cs="Times New Roman"/>
          <w:color w:val="000000" w:themeColor="text1"/>
          <w:sz w:val="22"/>
          <w:szCs w:val="22"/>
          <w:lang w:val="en-US" w:eastAsia="en-US"/>
        </w:rPr>
        <w:t>Identifying achievements, implementation challenges, and bottlenecks.</w:t>
      </w:r>
      <w:r w:rsidR="00202CF4" w:rsidRPr="22623F43">
        <w:rPr>
          <w:rFonts w:ascii="Times New Roman" w:eastAsiaTheme="minorEastAsia" w:hAnsi="Times New Roman" w:cs="Times New Roman"/>
          <w:color w:val="000000" w:themeColor="text1"/>
          <w:sz w:val="22"/>
          <w:szCs w:val="22"/>
          <w:lang w:val="en-US" w:eastAsia="en-US"/>
        </w:rPr>
        <w:t xml:space="preserve"> </w:t>
      </w:r>
    </w:p>
    <w:p w14:paraId="60058AF2" w14:textId="2CE6CDA7" w:rsidR="1F9AE9A3" w:rsidRDefault="1F9AE9A3" w:rsidP="22623F43">
      <w:pPr>
        <w:pStyle w:val="ListParagraph"/>
        <w:ind w:left="880"/>
        <w:jc w:val="left"/>
        <w:rPr>
          <w:rFonts w:ascii="Times New Roman" w:eastAsiaTheme="minorEastAsia" w:hAnsi="Times New Roman" w:cs="Times New Roman"/>
          <w:color w:val="000000" w:themeColor="text1"/>
          <w:sz w:val="22"/>
          <w:szCs w:val="22"/>
          <w:lang w:val="en-US" w:eastAsia="en-US"/>
        </w:rPr>
      </w:pPr>
    </w:p>
    <w:p w14:paraId="3DAB12A2" w14:textId="558B50EC" w:rsidR="00202CF4" w:rsidRPr="002F0002" w:rsidRDefault="00202CF4" w:rsidP="002F0002">
      <w:pPr>
        <w:pStyle w:val="IPPParagraphnumbering"/>
        <w:numPr>
          <w:ilvl w:val="0"/>
          <w:numId w:val="0"/>
        </w:numPr>
        <w:rPr>
          <w:b/>
          <w:bCs/>
          <w:color w:val="000000" w:themeColor="text1"/>
          <w:sz w:val="24"/>
          <w:szCs w:val="28"/>
          <w:lang w:val="en-GB"/>
        </w:rPr>
      </w:pPr>
      <w:r w:rsidRPr="002F0002">
        <w:rPr>
          <w:b/>
          <w:bCs/>
          <w:color w:val="000000" w:themeColor="text1"/>
          <w:sz w:val="24"/>
          <w:szCs w:val="28"/>
          <w:lang w:val="en-GB"/>
        </w:rPr>
        <w:t>Proposed Approach and Timeline</w:t>
      </w:r>
    </w:p>
    <w:p w14:paraId="1DA65501" w14:textId="1CAD2E98" w:rsidR="00202CF4" w:rsidRPr="002F0002" w:rsidRDefault="00202CF4" w:rsidP="002F0002">
      <w:pPr>
        <w:pStyle w:val="IPPParagraphnumbering"/>
        <w:rPr>
          <w:rFonts w:cs="Times New Roman"/>
          <w:b/>
          <w:bCs/>
          <w:szCs w:val="22"/>
        </w:rPr>
      </w:pPr>
      <w:r w:rsidRPr="002F0002">
        <w:rPr>
          <w:rFonts w:cs="Times New Roman"/>
          <w:b/>
          <w:bCs/>
          <w:szCs w:val="22"/>
        </w:rPr>
        <w:t>Planning Phase</w:t>
      </w:r>
      <w:r w:rsidR="002F0002" w:rsidRPr="002F0002">
        <w:rPr>
          <w:rFonts w:cs="Times New Roman"/>
          <w:b/>
          <w:bCs/>
          <w:szCs w:val="22"/>
        </w:rPr>
        <w:t>:</w:t>
      </w:r>
    </w:p>
    <w:p w14:paraId="1117CBB3" w14:textId="57C9C00A" w:rsidR="00202CF4" w:rsidRPr="002F0002" w:rsidRDefault="00202CF4" w:rsidP="00590E1C">
      <w:pPr>
        <w:pStyle w:val="ListParagraph"/>
        <w:numPr>
          <w:ilvl w:val="0"/>
          <w:numId w:val="11"/>
        </w:numPr>
        <w:autoSpaceDE w:val="0"/>
        <w:autoSpaceDN w:val="0"/>
        <w:adjustRightInd w:val="0"/>
        <w:ind w:leftChars="0"/>
        <w:jc w:val="left"/>
        <w:rPr>
          <w:rFonts w:ascii="Times New Roman" w:eastAsiaTheme="minorEastAsia" w:hAnsi="Times New Roman" w:cs="Times New Roman"/>
          <w:color w:val="000000"/>
          <w:sz w:val="22"/>
          <w:szCs w:val="22"/>
          <w:lang w:val="en-US" w:eastAsia="en-US"/>
        </w:rPr>
      </w:pPr>
      <w:r w:rsidRPr="22623F43">
        <w:rPr>
          <w:rFonts w:ascii="Times New Roman" w:eastAsiaTheme="minorEastAsia" w:hAnsi="Times New Roman" w:cs="Times New Roman"/>
          <w:color w:val="000000" w:themeColor="text1"/>
          <w:sz w:val="22"/>
          <w:szCs w:val="22"/>
          <w:lang w:val="en-US" w:eastAsia="en-US"/>
        </w:rPr>
        <w:t>Define the scope and objectives of the evaluation.</w:t>
      </w:r>
    </w:p>
    <w:p w14:paraId="58EE5EAE" w14:textId="314881E8" w:rsidR="00202CF4" w:rsidRPr="002F0002" w:rsidRDefault="00202CF4"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Develop the evaluation framework and criteria.</w:t>
      </w:r>
    </w:p>
    <w:p w14:paraId="08405898" w14:textId="257DFCE6" w:rsidR="00202CF4" w:rsidRPr="002F0002" w:rsidRDefault="00202CF4" w:rsidP="00590E1C">
      <w:pPr>
        <w:pStyle w:val="ListParagraph"/>
        <w:numPr>
          <w:ilvl w:val="0"/>
          <w:numId w:val="11"/>
        </w:numPr>
        <w:autoSpaceDE w:val="0"/>
        <w:autoSpaceDN w:val="0"/>
        <w:adjustRightInd w:val="0"/>
        <w:ind w:leftChars="0"/>
        <w:jc w:val="left"/>
        <w:rPr>
          <w:rFonts w:ascii="Times New Roman" w:eastAsiaTheme="minorEastAsia" w:hAnsi="Times New Roman" w:cs="Times New Roman"/>
          <w:color w:val="000000"/>
          <w:sz w:val="22"/>
          <w:szCs w:val="22"/>
          <w:lang w:val="en-US" w:eastAsia="en-US"/>
        </w:rPr>
      </w:pPr>
      <w:r w:rsidRPr="22623F43">
        <w:rPr>
          <w:rFonts w:ascii="Times New Roman" w:eastAsiaTheme="minorEastAsia" w:hAnsi="Times New Roman" w:cs="Times New Roman"/>
          <w:color w:val="000000" w:themeColor="text1"/>
          <w:sz w:val="22"/>
          <w:szCs w:val="22"/>
          <w:lang w:val="en-US" w:eastAsia="en-US"/>
        </w:rPr>
        <w:t>Identify key stakeholders and form an evaluation team</w:t>
      </w:r>
      <w:r w:rsidR="002F0002" w:rsidRPr="22623F43">
        <w:rPr>
          <w:rFonts w:ascii="Times New Roman" w:eastAsiaTheme="minorEastAsia" w:hAnsi="Times New Roman" w:cs="Times New Roman"/>
          <w:color w:val="000000" w:themeColor="text1"/>
          <w:sz w:val="22"/>
          <w:szCs w:val="22"/>
          <w:lang w:val="en-US" w:eastAsia="en-US"/>
        </w:rPr>
        <w:t>.</w:t>
      </w:r>
    </w:p>
    <w:p w14:paraId="2EE3576C" w14:textId="16A9F3CC" w:rsidR="00202CF4" w:rsidRDefault="00202CF4"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Design data collection methods (e.g., desk reviews, interviews).</w:t>
      </w:r>
    </w:p>
    <w:p w14:paraId="1E55A65C" w14:textId="77777777" w:rsidR="002F0002" w:rsidRPr="002F0002" w:rsidRDefault="002F0002" w:rsidP="002F0002">
      <w:pPr>
        <w:pStyle w:val="ListParagraph"/>
        <w:autoSpaceDE w:val="0"/>
        <w:autoSpaceDN w:val="0"/>
        <w:adjustRightInd w:val="0"/>
        <w:ind w:leftChars="0" w:left="720"/>
        <w:jc w:val="left"/>
        <w:rPr>
          <w:rFonts w:ascii="Times New Roman" w:eastAsiaTheme="minorHAnsi" w:hAnsi="Times New Roman" w:cs="Times New Roman"/>
          <w:color w:val="000000"/>
          <w:sz w:val="22"/>
          <w:szCs w:val="22"/>
          <w:lang w:val="en-US" w:eastAsia="en-US"/>
        </w:rPr>
      </w:pPr>
    </w:p>
    <w:p w14:paraId="548C9FFF" w14:textId="4E00E6B7" w:rsidR="00202CF4" w:rsidRPr="002F0002" w:rsidRDefault="00202CF4" w:rsidP="002F0002">
      <w:pPr>
        <w:pStyle w:val="IPPParagraphnumbering"/>
        <w:rPr>
          <w:rFonts w:cs="Times New Roman"/>
          <w:b/>
          <w:bCs/>
          <w:szCs w:val="22"/>
        </w:rPr>
      </w:pPr>
      <w:r w:rsidRPr="002F0002">
        <w:rPr>
          <w:rFonts w:cs="Times New Roman"/>
          <w:b/>
          <w:bCs/>
          <w:szCs w:val="22"/>
        </w:rPr>
        <w:t>Data collection Phase</w:t>
      </w:r>
      <w:r w:rsidR="002F0002" w:rsidRPr="002F0002">
        <w:rPr>
          <w:rFonts w:cs="Times New Roman"/>
          <w:b/>
          <w:bCs/>
          <w:szCs w:val="22"/>
        </w:rPr>
        <w:t>:</w:t>
      </w:r>
    </w:p>
    <w:p w14:paraId="31E2D9FF" w14:textId="7B568507" w:rsidR="00202CF4" w:rsidRPr="002F0002" w:rsidRDefault="00202CF4"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Conduct a document review of the strategic framework, implementation reports,</w:t>
      </w:r>
    </w:p>
    <w:p w14:paraId="1B01A627" w14:textId="181012D6" w:rsidR="00202CF4" w:rsidRPr="002F0002" w:rsidRDefault="00202CF4" w:rsidP="22623F43">
      <w:pPr>
        <w:pStyle w:val="ListParagraph"/>
        <w:autoSpaceDE w:val="0"/>
        <w:autoSpaceDN w:val="0"/>
        <w:adjustRightInd w:val="0"/>
        <w:ind w:left="880"/>
        <w:jc w:val="left"/>
        <w:rPr>
          <w:rFonts w:ascii="Times New Roman" w:eastAsiaTheme="minorEastAsia" w:hAnsi="Times New Roman" w:cs="Times New Roman"/>
          <w:color w:val="000000"/>
          <w:sz w:val="22"/>
          <w:szCs w:val="22"/>
          <w:lang w:val="en-US" w:eastAsia="en-US"/>
        </w:rPr>
      </w:pPr>
      <w:r w:rsidRPr="22623F43">
        <w:rPr>
          <w:rFonts w:ascii="Times New Roman" w:eastAsiaTheme="minorEastAsia" w:hAnsi="Times New Roman" w:cs="Times New Roman"/>
          <w:color w:val="000000" w:themeColor="text1"/>
          <w:sz w:val="22"/>
          <w:szCs w:val="22"/>
          <w:lang w:val="en-US" w:eastAsia="en-US"/>
        </w:rPr>
        <w:t>monitoring plans for each DAI, and any other relevant</w:t>
      </w:r>
      <w:r w:rsidR="002F0002" w:rsidRPr="22623F43">
        <w:rPr>
          <w:rFonts w:ascii="Times New Roman" w:eastAsiaTheme="minorEastAsia" w:hAnsi="Times New Roman" w:cs="Times New Roman"/>
          <w:color w:val="000000" w:themeColor="text1"/>
          <w:sz w:val="22"/>
          <w:szCs w:val="22"/>
          <w:lang w:val="en-US" w:eastAsia="en-US"/>
        </w:rPr>
        <w:t xml:space="preserve"> </w:t>
      </w:r>
      <w:r w:rsidRPr="22623F43">
        <w:rPr>
          <w:rFonts w:ascii="Times New Roman" w:eastAsiaTheme="minorEastAsia" w:hAnsi="Times New Roman" w:cs="Times New Roman"/>
          <w:color w:val="000000" w:themeColor="text1"/>
          <w:sz w:val="22"/>
          <w:szCs w:val="22"/>
          <w:lang w:val="en-US" w:eastAsia="en-US"/>
        </w:rPr>
        <w:t>materials</w:t>
      </w:r>
      <w:r w:rsidRPr="22623F43">
        <w:rPr>
          <w:rFonts w:eastAsiaTheme="minorEastAsia" w:cs="Times New Roman"/>
          <w:color w:val="000000" w:themeColor="text1"/>
          <w:lang w:val="en-US" w:eastAsia="en-US"/>
        </w:rPr>
        <w:t>.</w:t>
      </w:r>
    </w:p>
    <w:p w14:paraId="294FEEA0" w14:textId="75581F2F" w:rsidR="00202CF4" w:rsidRPr="002F0002" w:rsidRDefault="00202CF4"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Gather quantitative data on progress indicators, such as implementation milestones,</w:t>
      </w:r>
    </w:p>
    <w:p w14:paraId="7A823C66" w14:textId="77777777" w:rsidR="00202CF4" w:rsidRPr="002F0002" w:rsidRDefault="00202CF4" w:rsidP="22623F43">
      <w:pPr>
        <w:pStyle w:val="ListParagraph"/>
        <w:autoSpaceDE w:val="0"/>
        <w:autoSpaceDN w:val="0"/>
        <w:adjustRightInd w:val="0"/>
        <w:ind w:left="880"/>
        <w:jc w:val="left"/>
        <w:rPr>
          <w:rFonts w:ascii="Times New Roman" w:eastAsiaTheme="minorEastAsia" w:hAnsi="Times New Roman" w:cs="Times New Roman"/>
          <w:color w:val="000000"/>
          <w:sz w:val="22"/>
          <w:szCs w:val="22"/>
          <w:lang w:val="en-US" w:eastAsia="en-US"/>
        </w:rPr>
      </w:pPr>
      <w:r w:rsidRPr="22623F43">
        <w:rPr>
          <w:rFonts w:ascii="Times New Roman" w:eastAsiaTheme="minorEastAsia" w:hAnsi="Times New Roman" w:cs="Times New Roman"/>
          <w:color w:val="000000" w:themeColor="text1"/>
          <w:sz w:val="22"/>
          <w:szCs w:val="22"/>
          <w:lang w:val="en-US" w:eastAsia="en-US"/>
        </w:rPr>
        <w:t>financial reports, and outputs.</w:t>
      </w:r>
    </w:p>
    <w:p w14:paraId="413C1CAC" w14:textId="522867A0" w:rsidR="00202CF4" w:rsidRPr="002F0002" w:rsidRDefault="00202CF4"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 xml:space="preserve">Conduct key informant interviews with </w:t>
      </w:r>
      <w:r w:rsidR="002F0002">
        <w:rPr>
          <w:rFonts w:ascii="Times New Roman" w:eastAsiaTheme="minorHAnsi" w:hAnsi="Times New Roman" w:cs="Times New Roman"/>
          <w:color w:val="000000"/>
          <w:sz w:val="22"/>
          <w:szCs w:val="22"/>
          <w:lang w:val="en-US" w:eastAsia="en-US"/>
        </w:rPr>
        <w:t>respective governing body leads and members</w:t>
      </w:r>
      <w:r w:rsidRPr="002F0002">
        <w:rPr>
          <w:rFonts w:ascii="Times New Roman" w:eastAsiaTheme="minorHAnsi" w:hAnsi="Times New Roman" w:cs="Times New Roman"/>
          <w:color w:val="000000"/>
          <w:sz w:val="22"/>
          <w:szCs w:val="22"/>
          <w:lang w:val="en-US" w:eastAsia="en-US"/>
        </w:rPr>
        <w:t>, staff, partners, and</w:t>
      </w:r>
      <w:r w:rsidR="002F0002">
        <w:rPr>
          <w:rFonts w:ascii="Times New Roman" w:eastAsiaTheme="minorHAnsi" w:hAnsi="Times New Roman" w:cs="Times New Roman"/>
          <w:color w:val="000000"/>
          <w:sz w:val="22"/>
          <w:szCs w:val="22"/>
          <w:lang w:val="en-US" w:eastAsia="en-US"/>
        </w:rPr>
        <w:t xml:space="preserve"> </w:t>
      </w:r>
      <w:r w:rsidRPr="002F0002">
        <w:rPr>
          <w:rFonts w:ascii="Times New Roman" w:eastAsiaTheme="minorHAnsi" w:hAnsi="Times New Roman" w:cs="Times New Roman"/>
          <w:color w:val="000000"/>
          <w:sz w:val="22"/>
          <w:szCs w:val="22"/>
          <w:lang w:val="en-US" w:eastAsia="en-US"/>
        </w:rPr>
        <w:t>stakeholders.</w:t>
      </w:r>
    </w:p>
    <w:p w14:paraId="31661653" w14:textId="4799E2F0" w:rsidR="00202CF4" w:rsidRDefault="00202CF4" w:rsidP="00590E1C">
      <w:pPr>
        <w:pStyle w:val="ListParagraph"/>
        <w:numPr>
          <w:ilvl w:val="0"/>
          <w:numId w:val="11"/>
        </w:numPr>
        <w:autoSpaceDE w:val="0"/>
        <w:autoSpaceDN w:val="0"/>
        <w:adjustRightInd w:val="0"/>
        <w:ind w:leftChars="0"/>
        <w:jc w:val="left"/>
        <w:rPr>
          <w:rFonts w:ascii="Times New Roman" w:eastAsiaTheme="minorEastAsia" w:hAnsi="Times New Roman" w:cs="Times New Roman"/>
          <w:color w:val="000000"/>
          <w:sz w:val="22"/>
          <w:szCs w:val="22"/>
          <w:lang w:val="en-US" w:eastAsia="en-US"/>
        </w:rPr>
      </w:pPr>
      <w:r w:rsidRPr="22623F43">
        <w:rPr>
          <w:rFonts w:ascii="Times New Roman" w:eastAsiaTheme="minorEastAsia" w:hAnsi="Times New Roman" w:cs="Times New Roman"/>
          <w:color w:val="000000" w:themeColor="text1"/>
          <w:sz w:val="22"/>
          <w:szCs w:val="22"/>
          <w:lang w:val="en-US" w:eastAsia="en-US"/>
        </w:rPr>
        <w:t>Organize independent focus groups to review the DAIs or specific aspects if</w:t>
      </w:r>
      <w:r w:rsidR="002F0002" w:rsidRPr="22623F43">
        <w:rPr>
          <w:rFonts w:ascii="Times New Roman" w:eastAsiaTheme="minorEastAsia" w:hAnsi="Times New Roman" w:cs="Times New Roman"/>
          <w:color w:val="000000" w:themeColor="text1"/>
          <w:sz w:val="22"/>
          <w:szCs w:val="22"/>
          <w:lang w:val="en-US" w:eastAsia="en-US"/>
        </w:rPr>
        <w:t xml:space="preserve"> </w:t>
      </w:r>
      <w:r w:rsidRPr="22623F43">
        <w:rPr>
          <w:rFonts w:ascii="Times New Roman" w:eastAsiaTheme="minorEastAsia" w:hAnsi="Times New Roman" w:cs="Times New Roman"/>
          <w:color w:val="000000" w:themeColor="text1"/>
          <w:sz w:val="22"/>
          <w:szCs w:val="22"/>
          <w:lang w:val="en-US" w:eastAsia="en-US"/>
        </w:rPr>
        <w:t>necessary and feasible.</w:t>
      </w:r>
    </w:p>
    <w:p w14:paraId="3170D95A" w14:textId="77777777" w:rsidR="002F0002" w:rsidRPr="002F0002" w:rsidRDefault="002F0002" w:rsidP="002F0002">
      <w:pPr>
        <w:pStyle w:val="ListParagraph"/>
        <w:autoSpaceDE w:val="0"/>
        <w:autoSpaceDN w:val="0"/>
        <w:adjustRightInd w:val="0"/>
        <w:ind w:leftChars="0" w:left="720"/>
        <w:jc w:val="left"/>
        <w:rPr>
          <w:rFonts w:ascii="Times New Roman" w:eastAsiaTheme="minorHAnsi" w:hAnsi="Times New Roman" w:cs="Times New Roman"/>
          <w:color w:val="000000"/>
          <w:sz w:val="22"/>
          <w:szCs w:val="22"/>
          <w:lang w:val="en-US" w:eastAsia="en-US"/>
        </w:rPr>
      </w:pPr>
    </w:p>
    <w:p w14:paraId="34733EB4" w14:textId="139FD4C6" w:rsidR="00202CF4" w:rsidRPr="002F0002" w:rsidRDefault="00202CF4" w:rsidP="002F0002">
      <w:pPr>
        <w:pStyle w:val="IPPParagraphnumbering"/>
        <w:rPr>
          <w:rFonts w:cs="Times New Roman"/>
          <w:b/>
          <w:bCs/>
          <w:szCs w:val="22"/>
        </w:rPr>
      </w:pPr>
      <w:r w:rsidRPr="002F0002">
        <w:rPr>
          <w:rFonts w:cs="Times New Roman"/>
          <w:b/>
          <w:bCs/>
          <w:szCs w:val="22"/>
        </w:rPr>
        <w:t>Data analysis phase</w:t>
      </w:r>
      <w:r w:rsidR="002F0002" w:rsidRPr="002F0002">
        <w:rPr>
          <w:rFonts w:cs="Times New Roman"/>
          <w:b/>
          <w:bCs/>
          <w:szCs w:val="22"/>
        </w:rPr>
        <w:t>:</w:t>
      </w:r>
    </w:p>
    <w:p w14:paraId="62E54EDC" w14:textId="55FFF536" w:rsidR="00202CF4" w:rsidRPr="002F0002" w:rsidRDefault="00202CF4"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Analyze quantitative data (progress, outcomes, and resources used) to assess</w:t>
      </w:r>
      <w:r w:rsidR="002F0002" w:rsidRPr="002F0002">
        <w:rPr>
          <w:rFonts w:ascii="Times New Roman" w:eastAsiaTheme="minorHAnsi" w:hAnsi="Times New Roman" w:cs="Times New Roman"/>
          <w:color w:val="000000"/>
          <w:sz w:val="22"/>
          <w:szCs w:val="22"/>
          <w:lang w:val="en-US" w:eastAsia="en-US"/>
        </w:rPr>
        <w:t xml:space="preserve"> </w:t>
      </w:r>
      <w:r w:rsidRPr="002F0002">
        <w:rPr>
          <w:rFonts w:ascii="Times New Roman" w:eastAsiaTheme="minorHAnsi" w:hAnsi="Times New Roman" w:cs="Times New Roman"/>
          <w:color w:val="000000"/>
          <w:sz w:val="22"/>
          <w:szCs w:val="22"/>
          <w:lang w:val="en-US" w:eastAsia="en-US"/>
        </w:rPr>
        <w:t>effectiveness and implementation efficiency.</w:t>
      </w:r>
    </w:p>
    <w:p w14:paraId="120F3A6C" w14:textId="2C89F1A7" w:rsidR="00202CF4" w:rsidRPr="002F0002" w:rsidRDefault="00202CF4"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Synthesize qualitative data from interviews.</w:t>
      </w:r>
    </w:p>
    <w:p w14:paraId="6D40F54F" w14:textId="05D7A56D" w:rsidR="00202CF4" w:rsidRPr="002F0002" w:rsidRDefault="00202CF4"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Assess the framework’s relevance in the current context and its adaptability.</w:t>
      </w:r>
    </w:p>
    <w:p w14:paraId="2F64EDBB" w14:textId="1D24CCED" w:rsidR="002F0002" w:rsidRDefault="00202CF4" w:rsidP="00590E1C">
      <w:pPr>
        <w:pStyle w:val="ListParagraph"/>
        <w:numPr>
          <w:ilvl w:val="0"/>
          <w:numId w:val="11"/>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Evaluate the sustainability of the progress made and the potential long-term impact.</w:t>
      </w:r>
    </w:p>
    <w:p w14:paraId="6584923C" w14:textId="77777777" w:rsidR="002F0002" w:rsidRPr="002F0002" w:rsidRDefault="002F0002" w:rsidP="002F0002">
      <w:pPr>
        <w:pStyle w:val="ListParagraph"/>
        <w:autoSpaceDE w:val="0"/>
        <w:autoSpaceDN w:val="0"/>
        <w:adjustRightInd w:val="0"/>
        <w:ind w:leftChars="0" w:left="720"/>
        <w:jc w:val="left"/>
        <w:rPr>
          <w:rFonts w:ascii="Times New Roman" w:eastAsiaTheme="minorHAnsi" w:hAnsi="Times New Roman" w:cs="Times New Roman"/>
          <w:color w:val="000000"/>
          <w:sz w:val="22"/>
          <w:szCs w:val="22"/>
          <w:lang w:val="en-US" w:eastAsia="en-US"/>
        </w:rPr>
      </w:pPr>
    </w:p>
    <w:p w14:paraId="267C5D0D" w14:textId="666F4B30" w:rsidR="00202CF4" w:rsidRPr="002F0002" w:rsidRDefault="00202CF4" w:rsidP="002F0002">
      <w:pPr>
        <w:pStyle w:val="IPPParagraphnumbering"/>
        <w:rPr>
          <w:rFonts w:cs="Times New Roman"/>
          <w:b/>
          <w:bCs/>
          <w:szCs w:val="22"/>
        </w:rPr>
      </w:pPr>
      <w:r w:rsidRPr="002F0002">
        <w:rPr>
          <w:rFonts w:cs="Times New Roman"/>
          <w:b/>
          <w:bCs/>
          <w:szCs w:val="22"/>
        </w:rPr>
        <w:t>Reporting phase</w:t>
      </w:r>
      <w:r w:rsidR="002F0002" w:rsidRPr="002F0002">
        <w:rPr>
          <w:rFonts w:cs="Times New Roman"/>
          <w:b/>
          <w:bCs/>
          <w:szCs w:val="22"/>
        </w:rPr>
        <w:t>:</w:t>
      </w:r>
    </w:p>
    <w:p w14:paraId="0C0A7499" w14:textId="33E3DFBD" w:rsidR="00202CF4" w:rsidRPr="002F0002" w:rsidRDefault="00202CF4" w:rsidP="00590E1C">
      <w:pPr>
        <w:pStyle w:val="ListParagraph"/>
        <w:numPr>
          <w:ilvl w:val="0"/>
          <w:numId w:val="12"/>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Draft the evaluation report detailing findings on relevance, effectiveness, and</w:t>
      </w:r>
    </w:p>
    <w:p w14:paraId="0827BFE4" w14:textId="77777777" w:rsidR="00202CF4" w:rsidRPr="002F0002" w:rsidRDefault="00202CF4" w:rsidP="22623F43">
      <w:pPr>
        <w:pStyle w:val="ListParagraph"/>
        <w:autoSpaceDE w:val="0"/>
        <w:autoSpaceDN w:val="0"/>
        <w:adjustRightInd w:val="0"/>
        <w:ind w:left="880"/>
        <w:jc w:val="left"/>
        <w:rPr>
          <w:rFonts w:ascii="Times New Roman" w:eastAsiaTheme="minorEastAsia" w:hAnsi="Times New Roman" w:cs="Times New Roman"/>
          <w:color w:val="000000"/>
          <w:sz w:val="22"/>
          <w:szCs w:val="22"/>
          <w:lang w:val="en-US" w:eastAsia="en-US"/>
        </w:rPr>
      </w:pPr>
      <w:r w:rsidRPr="22623F43">
        <w:rPr>
          <w:rFonts w:ascii="Times New Roman" w:eastAsiaTheme="minorEastAsia" w:hAnsi="Times New Roman" w:cs="Times New Roman"/>
          <w:color w:val="000000" w:themeColor="text1"/>
          <w:sz w:val="22"/>
          <w:szCs w:val="22"/>
          <w:lang w:val="en-US" w:eastAsia="en-US"/>
        </w:rPr>
        <w:t>sustainability.</w:t>
      </w:r>
    </w:p>
    <w:p w14:paraId="77F94B0B" w14:textId="5F949B49" w:rsidR="00202CF4" w:rsidRPr="002F0002" w:rsidRDefault="00202CF4" w:rsidP="00590E1C">
      <w:pPr>
        <w:pStyle w:val="ListParagraph"/>
        <w:numPr>
          <w:ilvl w:val="0"/>
          <w:numId w:val="12"/>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Prepare recommendations to enhance the framework and its implementation.</w:t>
      </w:r>
    </w:p>
    <w:p w14:paraId="4CB32EE7" w14:textId="5EBC3961" w:rsidR="00202CF4" w:rsidRPr="002F0002" w:rsidRDefault="00202CF4" w:rsidP="00590E1C">
      <w:pPr>
        <w:pStyle w:val="ListParagraph"/>
        <w:numPr>
          <w:ilvl w:val="0"/>
          <w:numId w:val="12"/>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Design various formats for presenting findings, such as executive summaries and</w:t>
      </w:r>
      <w:r w:rsidR="002F0002" w:rsidRPr="002F0002">
        <w:rPr>
          <w:rFonts w:ascii="Times New Roman" w:eastAsiaTheme="minorHAnsi" w:hAnsi="Times New Roman" w:cs="Times New Roman"/>
          <w:color w:val="000000"/>
          <w:sz w:val="22"/>
          <w:szCs w:val="22"/>
          <w:lang w:val="en-US" w:eastAsia="en-US"/>
        </w:rPr>
        <w:t xml:space="preserve"> </w:t>
      </w:r>
      <w:r w:rsidRPr="002F0002">
        <w:rPr>
          <w:rFonts w:ascii="Times New Roman" w:eastAsiaTheme="minorHAnsi" w:hAnsi="Times New Roman" w:cs="Times New Roman"/>
          <w:color w:val="000000"/>
          <w:sz w:val="22"/>
          <w:szCs w:val="22"/>
          <w:lang w:val="en-US" w:eastAsia="en-US"/>
        </w:rPr>
        <w:t>infographics.</w:t>
      </w:r>
    </w:p>
    <w:p w14:paraId="111B2C7D" w14:textId="2832BFBF" w:rsidR="00202CF4" w:rsidRPr="002F0002" w:rsidRDefault="00202CF4" w:rsidP="00590E1C">
      <w:pPr>
        <w:pStyle w:val="ListParagraph"/>
        <w:numPr>
          <w:ilvl w:val="0"/>
          <w:numId w:val="12"/>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Share draft findings with key stakeholders for validation and feedback.</w:t>
      </w:r>
    </w:p>
    <w:p w14:paraId="5A865F58" w14:textId="249C20EC" w:rsidR="00202CF4" w:rsidRPr="002F0002" w:rsidRDefault="00202CF4" w:rsidP="00590E1C">
      <w:pPr>
        <w:pStyle w:val="ListParagraph"/>
        <w:numPr>
          <w:ilvl w:val="0"/>
          <w:numId w:val="12"/>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Finalize the evaluation report based on stakeholder input.</w:t>
      </w:r>
    </w:p>
    <w:p w14:paraId="35B63B2B" w14:textId="77777777" w:rsidR="002F0002" w:rsidRPr="002F0002" w:rsidRDefault="002F0002" w:rsidP="002F0002">
      <w:pPr>
        <w:pStyle w:val="ListParagraph"/>
        <w:autoSpaceDE w:val="0"/>
        <w:autoSpaceDN w:val="0"/>
        <w:adjustRightInd w:val="0"/>
        <w:ind w:leftChars="0" w:left="720"/>
        <w:jc w:val="left"/>
        <w:rPr>
          <w:rFonts w:ascii="Times New Roman" w:eastAsiaTheme="minorHAnsi" w:hAnsi="Times New Roman" w:cs="Times New Roman"/>
          <w:color w:val="000000"/>
          <w:sz w:val="24"/>
          <w:lang w:val="en-US" w:eastAsia="en-US"/>
        </w:rPr>
      </w:pPr>
    </w:p>
    <w:p w14:paraId="7004AC0D" w14:textId="6C4677D0" w:rsidR="00202CF4" w:rsidRPr="002F0002" w:rsidRDefault="00202CF4" w:rsidP="002F0002">
      <w:pPr>
        <w:pStyle w:val="IPPParagraphnumbering"/>
        <w:rPr>
          <w:rFonts w:cs="Times New Roman"/>
          <w:b/>
          <w:bCs/>
          <w:szCs w:val="22"/>
        </w:rPr>
      </w:pPr>
      <w:r w:rsidRPr="002F0002">
        <w:rPr>
          <w:rFonts w:cs="Times New Roman"/>
          <w:b/>
          <w:bCs/>
          <w:szCs w:val="22"/>
        </w:rPr>
        <w:t>Dissemination and Follow-up</w:t>
      </w:r>
      <w:r w:rsidR="002F0002" w:rsidRPr="002F0002">
        <w:rPr>
          <w:rFonts w:cs="Times New Roman"/>
          <w:b/>
          <w:bCs/>
          <w:szCs w:val="22"/>
        </w:rPr>
        <w:t>:</w:t>
      </w:r>
    </w:p>
    <w:p w14:paraId="7E495CF0" w14:textId="333869E9" w:rsidR="00202CF4" w:rsidRPr="002F0002" w:rsidRDefault="00202CF4" w:rsidP="00590E1C">
      <w:pPr>
        <w:pStyle w:val="ListParagraph"/>
        <w:numPr>
          <w:ilvl w:val="0"/>
          <w:numId w:val="12"/>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Present findings to key stakeholders through a specific number of events.</w:t>
      </w:r>
    </w:p>
    <w:p w14:paraId="100CEA77" w14:textId="35FC403C" w:rsidR="00C60F70" w:rsidRDefault="00202CF4" w:rsidP="00590E1C">
      <w:pPr>
        <w:pStyle w:val="ListParagraph"/>
        <w:numPr>
          <w:ilvl w:val="0"/>
          <w:numId w:val="12"/>
        </w:numPr>
        <w:autoSpaceDE w:val="0"/>
        <w:autoSpaceDN w:val="0"/>
        <w:adjustRightInd w:val="0"/>
        <w:ind w:leftChars="0"/>
        <w:jc w:val="left"/>
        <w:rPr>
          <w:rFonts w:ascii="Times New Roman" w:eastAsiaTheme="minorHAnsi" w:hAnsi="Times New Roman" w:cs="Times New Roman"/>
          <w:color w:val="000000"/>
          <w:sz w:val="22"/>
          <w:szCs w:val="22"/>
          <w:lang w:val="en-US" w:eastAsia="en-US"/>
        </w:rPr>
      </w:pPr>
      <w:r w:rsidRPr="002F0002">
        <w:rPr>
          <w:rFonts w:ascii="Times New Roman" w:eastAsiaTheme="minorHAnsi" w:hAnsi="Times New Roman" w:cs="Times New Roman"/>
          <w:color w:val="000000"/>
          <w:sz w:val="22"/>
          <w:szCs w:val="22"/>
          <w:lang w:val="en-US" w:eastAsia="en-US"/>
        </w:rPr>
        <w:t>Create an article summarizing the findings for publication.</w:t>
      </w:r>
    </w:p>
    <w:p w14:paraId="33568856" w14:textId="77777777" w:rsidR="007519B9" w:rsidRDefault="007519B9" w:rsidP="007519B9">
      <w:pPr>
        <w:autoSpaceDE w:val="0"/>
        <w:autoSpaceDN w:val="0"/>
        <w:adjustRightInd w:val="0"/>
        <w:jc w:val="left"/>
        <w:rPr>
          <w:rFonts w:eastAsiaTheme="minorHAnsi" w:cs="Times New Roman"/>
          <w:color w:val="000000"/>
          <w:szCs w:val="22"/>
          <w:lang w:val="en-US" w:eastAsia="en-US"/>
        </w:rPr>
      </w:pPr>
    </w:p>
    <w:p w14:paraId="7BC49921" w14:textId="295F5EAD" w:rsidR="007519B9" w:rsidRPr="007519B9" w:rsidRDefault="007519B9" w:rsidP="007519B9">
      <w:pPr>
        <w:pStyle w:val="IPPParagraphnumbering"/>
        <w:numPr>
          <w:ilvl w:val="0"/>
          <w:numId w:val="0"/>
        </w:numPr>
        <w:rPr>
          <w:b/>
          <w:bCs/>
          <w:color w:val="000000" w:themeColor="text1"/>
          <w:sz w:val="24"/>
          <w:szCs w:val="28"/>
          <w:lang w:val="en-GB"/>
        </w:rPr>
      </w:pPr>
      <w:r w:rsidRPr="007519B9">
        <w:rPr>
          <w:b/>
          <w:bCs/>
          <w:color w:val="000000" w:themeColor="text1"/>
          <w:sz w:val="24"/>
          <w:szCs w:val="28"/>
          <w:lang w:val="en-GB"/>
        </w:rPr>
        <w:lastRenderedPageBreak/>
        <w:t>Resource requirements</w:t>
      </w:r>
    </w:p>
    <w:p w14:paraId="3C69F5D5" w14:textId="77777777" w:rsidR="007519B9" w:rsidRPr="007519B9" w:rsidRDefault="007519B9" w:rsidP="007519B9">
      <w:pPr>
        <w:autoSpaceDE w:val="0"/>
        <w:autoSpaceDN w:val="0"/>
        <w:adjustRightInd w:val="0"/>
        <w:jc w:val="left"/>
        <w:rPr>
          <w:rFonts w:eastAsiaTheme="minorHAnsi" w:cs="Times New Roman"/>
          <w:color w:val="000000"/>
          <w:szCs w:val="22"/>
          <w:lang w:val="en-US" w:eastAsia="en-US"/>
        </w:rPr>
      </w:pPr>
    </w:p>
    <w:p w14:paraId="54A3BCDE" w14:textId="6780126C" w:rsidR="005D5025" w:rsidRPr="004C292D" w:rsidRDefault="004C292D" w:rsidP="12F1C5CD">
      <w:pPr>
        <w:pStyle w:val="IPPParagraphnumbering"/>
        <w:rPr>
          <w:color w:val="000000" w:themeColor="text1"/>
        </w:rPr>
      </w:pPr>
      <w:r w:rsidRPr="22623F43">
        <w:rPr>
          <w:color w:val="000000" w:themeColor="text1"/>
        </w:rPr>
        <w:t>To deliver this important task, the IPPC Observatory will hire an expert consultant with expertise in monitoring, evaluation and learning, with experience delivering similar assignments. Additionally, IPPC Observatory staff and</w:t>
      </w:r>
      <w:r w:rsidR="3C5749F2" w:rsidRPr="22623F43">
        <w:rPr>
          <w:color w:val="000000" w:themeColor="text1"/>
        </w:rPr>
        <w:t xml:space="preserve"> a</w:t>
      </w:r>
      <w:r w:rsidRPr="22623F43">
        <w:rPr>
          <w:color w:val="000000" w:themeColor="text1"/>
        </w:rPr>
        <w:t xml:space="preserve"> communications expert will be involved throughout the whole process </w:t>
      </w:r>
      <w:r w:rsidR="6660BA8D" w:rsidRPr="22623F43">
        <w:rPr>
          <w:color w:val="000000" w:themeColor="text1"/>
        </w:rPr>
        <w:t>under the oversight of</w:t>
      </w:r>
      <w:r w:rsidRPr="22623F43">
        <w:rPr>
          <w:color w:val="000000" w:themeColor="text1"/>
        </w:rPr>
        <w:t xml:space="preserve"> the Implementation and Facilitation Unit Lead.  </w:t>
      </w:r>
      <w:r w:rsidR="6A42A709" w:rsidRPr="22623F43">
        <w:rPr>
          <w:color w:val="000000" w:themeColor="text1"/>
        </w:rPr>
        <w:t>The IC</w:t>
      </w:r>
      <w:r w:rsidRPr="22623F43">
        <w:rPr>
          <w:color w:val="000000" w:themeColor="text1"/>
        </w:rPr>
        <w:t xml:space="preserve"> Subgroup on IPPC Observatory, as well as all other governing bodies for each SF DAIs will be involved in the mid-term evaluation and provide necessary input. </w:t>
      </w:r>
    </w:p>
    <w:p w14:paraId="798D801B" w14:textId="7E602A2A" w:rsidR="004C292D" w:rsidRPr="004C292D" w:rsidRDefault="004C292D" w:rsidP="004C292D">
      <w:pPr>
        <w:pStyle w:val="IPPParagraphnumbering"/>
        <w:rPr>
          <w:color w:val="000000" w:themeColor="text1"/>
          <w:lang w:val="en-GB"/>
        </w:rPr>
      </w:pPr>
      <w:r w:rsidRPr="22623F43">
        <w:rPr>
          <w:color w:val="000000" w:themeColor="text1"/>
          <w:lang w:val="en-GB"/>
        </w:rPr>
        <w:t xml:space="preserve">The cost of the mid-term monitoring and evaluation of the IPPC Strategic Framework 2020-2030 DAIs </w:t>
      </w:r>
      <w:r w:rsidR="5DB8B9AB" w:rsidRPr="22623F43">
        <w:rPr>
          <w:color w:val="000000" w:themeColor="text1"/>
          <w:lang w:val="en-GB"/>
        </w:rPr>
        <w:t>is estimated</w:t>
      </w:r>
      <w:r w:rsidRPr="22623F43">
        <w:rPr>
          <w:color w:val="000000" w:themeColor="text1"/>
          <w:lang w:val="en-GB"/>
        </w:rPr>
        <w:t xml:space="preserve"> USD 53 250. The budget is detailed below:</w:t>
      </w:r>
    </w:p>
    <w:tbl>
      <w:tblPr>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4394"/>
        <w:gridCol w:w="725"/>
        <w:gridCol w:w="1555"/>
        <w:gridCol w:w="1646"/>
      </w:tblGrid>
      <w:tr w:rsidR="004C292D" w:rsidRPr="004C292D" w14:paraId="2F13B8A9" w14:textId="77777777" w:rsidTr="004C292D">
        <w:trPr>
          <w:trHeight w:val="300"/>
        </w:trPr>
        <w:tc>
          <w:tcPr>
            <w:tcW w:w="8320" w:type="dxa"/>
            <w:gridSpan w:val="4"/>
            <w:shd w:val="clear" w:color="auto" w:fill="BDD6EE" w:themeFill="accent1" w:themeFillTint="66"/>
            <w:noWrap/>
            <w:vAlign w:val="center"/>
            <w:hideMark/>
          </w:tcPr>
          <w:p w14:paraId="58AAE4AD" w14:textId="5B2C6B4C" w:rsidR="004C292D" w:rsidRPr="004C292D" w:rsidRDefault="004C292D" w:rsidP="004C292D">
            <w:pPr>
              <w:jc w:val="center"/>
              <w:rPr>
                <w:rFonts w:eastAsia="Times New Roman" w:cs="Times New Roman"/>
                <w:b/>
                <w:bCs/>
                <w:color w:val="000000"/>
                <w:sz w:val="24"/>
                <w:lang w:val="en-US" w:eastAsia="en-US"/>
              </w:rPr>
            </w:pPr>
            <w:r w:rsidRPr="004C292D">
              <w:rPr>
                <w:rFonts w:eastAsia="Times New Roman" w:cs="Times New Roman"/>
                <w:b/>
                <w:bCs/>
                <w:color w:val="000000"/>
                <w:sz w:val="24"/>
                <w:lang w:val="en-US" w:eastAsia="en-US"/>
              </w:rPr>
              <w:t>IPPC SF DAIs mid-term monitoring and evaluation 2025</w:t>
            </w:r>
          </w:p>
        </w:tc>
      </w:tr>
      <w:tr w:rsidR="004C292D" w:rsidRPr="004C292D" w14:paraId="4B83F498" w14:textId="77777777" w:rsidTr="004C292D">
        <w:trPr>
          <w:trHeight w:val="300"/>
        </w:trPr>
        <w:tc>
          <w:tcPr>
            <w:tcW w:w="4394" w:type="dxa"/>
            <w:shd w:val="clear" w:color="auto" w:fill="BDD6EE" w:themeFill="accent1" w:themeFillTint="66"/>
            <w:noWrap/>
            <w:vAlign w:val="bottom"/>
            <w:hideMark/>
          </w:tcPr>
          <w:p w14:paraId="229FEFE2" w14:textId="77777777" w:rsidR="004C292D" w:rsidRPr="004C292D" w:rsidRDefault="004C292D" w:rsidP="004C292D">
            <w:pPr>
              <w:jc w:val="center"/>
              <w:rPr>
                <w:rFonts w:eastAsia="Times New Roman" w:cs="Times New Roman"/>
                <w:b/>
                <w:bCs/>
                <w:color w:val="000000"/>
                <w:sz w:val="24"/>
                <w:lang w:val="en-US" w:eastAsia="en-US"/>
              </w:rPr>
            </w:pPr>
          </w:p>
        </w:tc>
        <w:tc>
          <w:tcPr>
            <w:tcW w:w="725" w:type="dxa"/>
            <w:shd w:val="clear" w:color="auto" w:fill="BDD6EE" w:themeFill="accent1" w:themeFillTint="66"/>
            <w:noWrap/>
            <w:vAlign w:val="bottom"/>
            <w:hideMark/>
          </w:tcPr>
          <w:p w14:paraId="6CC26553" w14:textId="77777777" w:rsidR="004C292D" w:rsidRPr="004C292D" w:rsidRDefault="004C292D" w:rsidP="004C292D">
            <w:pPr>
              <w:jc w:val="left"/>
              <w:rPr>
                <w:rFonts w:eastAsia="Times New Roman" w:cs="Times New Roman"/>
                <w:b/>
                <w:bCs/>
                <w:color w:val="000000"/>
                <w:sz w:val="24"/>
                <w:lang w:val="en-US" w:eastAsia="en-US"/>
              </w:rPr>
            </w:pPr>
            <w:r w:rsidRPr="004C292D">
              <w:rPr>
                <w:rFonts w:eastAsia="Times New Roman" w:cs="Times New Roman"/>
                <w:b/>
                <w:bCs/>
                <w:color w:val="000000"/>
                <w:sz w:val="24"/>
                <w:lang w:val="en-US" w:eastAsia="en-US"/>
              </w:rPr>
              <w:t>days</w:t>
            </w:r>
          </w:p>
        </w:tc>
        <w:tc>
          <w:tcPr>
            <w:tcW w:w="1555" w:type="dxa"/>
            <w:shd w:val="clear" w:color="auto" w:fill="BDD6EE" w:themeFill="accent1" w:themeFillTint="66"/>
            <w:noWrap/>
            <w:vAlign w:val="bottom"/>
            <w:hideMark/>
          </w:tcPr>
          <w:p w14:paraId="78B61224" w14:textId="77777777" w:rsidR="004C292D" w:rsidRPr="004C292D" w:rsidRDefault="004C292D" w:rsidP="004C292D">
            <w:pPr>
              <w:jc w:val="left"/>
              <w:rPr>
                <w:rFonts w:eastAsia="Times New Roman" w:cs="Times New Roman"/>
                <w:b/>
                <w:bCs/>
                <w:color w:val="000000"/>
                <w:sz w:val="24"/>
                <w:lang w:val="en-US" w:eastAsia="en-US"/>
              </w:rPr>
            </w:pPr>
            <w:r w:rsidRPr="004C292D">
              <w:rPr>
                <w:rFonts w:eastAsia="Times New Roman" w:cs="Times New Roman"/>
                <w:b/>
                <w:bCs/>
                <w:color w:val="000000"/>
                <w:sz w:val="24"/>
                <w:lang w:val="en-US" w:eastAsia="en-US"/>
              </w:rPr>
              <w:t>rate (USD)</w:t>
            </w:r>
          </w:p>
        </w:tc>
        <w:tc>
          <w:tcPr>
            <w:tcW w:w="1646" w:type="dxa"/>
            <w:shd w:val="clear" w:color="auto" w:fill="BDD6EE" w:themeFill="accent1" w:themeFillTint="66"/>
            <w:noWrap/>
            <w:vAlign w:val="bottom"/>
            <w:hideMark/>
          </w:tcPr>
          <w:p w14:paraId="7BE2EBFB" w14:textId="77777777" w:rsidR="004C292D" w:rsidRPr="004C292D" w:rsidRDefault="004C292D" w:rsidP="004C292D">
            <w:pPr>
              <w:jc w:val="left"/>
              <w:rPr>
                <w:rFonts w:eastAsia="Times New Roman" w:cs="Times New Roman"/>
                <w:b/>
                <w:bCs/>
                <w:color w:val="000000"/>
                <w:sz w:val="24"/>
                <w:lang w:val="en-US" w:eastAsia="en-US"/>
              </w:rPr>
            </w:pPr>
            <w:r w:rsidRPr="004C292D">
              <w:rPr>
                <w:rFonts w:eastAsia="Times New Roman" w:cs="Times New Roman"/>
                <w:b/>
                <w:bCs/>
                <w:color w:val="000000"/>
                <w:sz w:val="24"/>
                <w:lang w:val="en-US" w:eastAsia="en-US"/>
              </w:rPr>
              <w:t>total (USD)</w:t>
            </w:r>
          </w:p>
        </w:tc>
      </w:tr>
      <w:tr w:rsidR="004C292D" w:rsidRPr="004C292D" w14:paraId="7F4510C1" w14:textId="77777777" w:rsidTr="004C292D">
        <w:trPr>
          <w:trHeight w:val="300"/>
        </w:trPr>
        <w:tc>
          <w:tcPr>
            <w:tcW w:w="4394" w:type="dxa"/>
            <w:noWrap/>
            <w:vAlign w:val="bottom"/>
            <w:hideMark/>
          </w:tcPr>
          <w:p w14:paraId="204B412A" w14:textId="77777777" w:rsidR="004C292D" w:rsidRPr="004C292D" w:rsidRDefault="004C292D" w:rsidP="004C292D">
            <w:pPr>
              <w:jc w:val="left"/>
              <w:rPr>
                <w:rFonts w:eastAsia="Times New Roman" w:cs="Times New Roman"/>
                <w:color w:val="000000"/>
                <w:sz w:val="24"/>
                <w:lang w:val="en-US" w:eastAsia="en-US"/>
              </w:rPr>
            </w:pPr>
            <w:r w:rsidRPr="004C292D">
              <w:rPr>
                <w:rFonts w:eastAsia="Times New Roman" w:cs="Times New Roman"/>
                <w:color w:val="000000"/>
                <w:sz w:val="24"/>
                <w:lang w:val="en-US" w:eastAsia="en-US"/>
              </w:rPr>
              <w:t xml:space="preserve">MEL specialist </w:t>
            </w:r>
          </w:p>
        </w:tc>
        <w:tc>
          <w:tcPr>
            <w:tcW w:w="725" w:type="dxa"/>
            <w:noWrap/>
            <w:vAlign w:val="bottom"/>
            <w:hideMark/>
          </w:tcPr>
          <w:p w14:paraId="020FA8DA" w14:textId="77777777"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80</w:t>
            </w:r>
          </w:p>
        </w:tc>
        <w:tc>
          <w:tcPr>
            <w:tcW w:w="1555" w:type="dxa"/>
            <w:noWrap/>
            <w:vAlign w:val="bottom"/>
            <w:hideMark/>
          </w:tcPr>
          <w:p w14:paraId="2DCD5657" w14:textId="77777777"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450</w:t>
            </w:r>
          </w:p>
        </w:tc>
        <w:tc>
          <w:tcPr>
            <w:tcW w:w="1646" w:type="dxa"/>
            <w:noWrap/>
            <w:vAlign w:val="bottom"/>
            <w:hideMark/>
          </w:tcPr>
          <w:p w14:paraId="3976025A" w14:textId="5F8234FD"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36</w:t>
            </w:r>
            <w:r w:rsidR="007519B9">
              <w:rPr>
                <w:rFonts w:eastAsia="Times New Roman" w:cs="Times New Roman"/>
                <w:color w:val="000000"/>
                <w:sz w:val="24"/>
                <w:lang w:val="en-US" w:eastAsia="en-US"/>
              </w:rPr>
              <w:t>,</w:t>
            </w:r>
            <w:r w:rsidRPr="004C292D">
              <w:rPr>
                <w:rFonts w:eastAsia="Times New Roman" w:cs="Times New Roman"/>
                <w:color w:val="000000"/>
                <w:sz w:val="24"/>
                <w:lang w:val="en-US" w:eastAsia="en-US"/>
              </w:rPr>
              <w:t>000</w:t>
            </w:r>
          </w:p>
        </w:tc>
      </w:tr>
      <w:tr w:rsidR="004C292D" w:rsidRPr="004C292D" w14:paraId="4B0DF8C2" w14:textId="77777777" w:rsidTr="004C292D">
        <w:trPr>
          <w:trHeight w:val="300"/>
        </w:trPr>
        <w:tc>
          <w:tcPr>
            <w:tcW w:w="4394" w:type="dxa"/>
            <w:noWrap/>
            <w:vAlign w:val="bottom"/>
            <w:hideMark/>
          </w:tcPr>
          <w:p w14:paraId="17A0C90E" w14:textId="77777777" w:rsidR="004C292D" w:rsidRPr="004C292D" w:rsidRDefault="004C292D" w:rsidP="004C292D">
            <w:pPr>
              <w:jc w:val="left"/>
              <w:rPr>
                <w:rFonts w:eastAsia="Times New Roman" w:cs="Times New Roman"/>
                <w:color w:val="000000"/>
                <w:sz w:val="24"/>
                <w:lang w:val="en-US" w:eastAsia="en-US"/>
              </w:rPr>
            </w:pPr>
            <w:r w:rsidRPr="004C292D">
              <w:rPr>
                <w:rFonts w:eastAsia="Times New Roman" w:cs="Times New Roman"/>
                <w:color w:val="000000"/>
                <w:sz w:val="24"/>
                <w:lang w:val="en-US" w:eastAsia="en-US"/>
              </w:rPr>
              <w:t xml:space="preserve">IPPC Observatory Coordinator </w:t>
            </w:r>
          </w:p>
        </w:tc>
        <w:tc>
          <w:tcPr>
            <w:tcW w:w="725" w:type="dxa"/>
            <w:noWrap/>
            <w:vAlign w:val="bottom"/>
            <w:hideMark/>
          </w:tcPr>
          <w:p w14:paraId="0E4DEB31" w14:textId="77777777"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30</w:t>
            </w:r>
          </w:p>
        </w:tc>
        <w:tc>
          <w:tcPr>
            <w:tcW w:w="1555" w:type="dxa"/>
            <w:noWrap/>
            <w:vAlign w:val="bottom"/>
            <w:hideMark/>
          </w:tcPr>
          <w:p w14:paraId="5E4466C1" w14:textId="77777777"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300</w:t>
            </w:r>
          </w:p>
        </w:tc>
        <w:tc>
          <w:tcPr>
            <w:tcW w:w="1646" w:type="dxa"/>
            <w:noWrap/>
            <w:vAlign w:val="bottom"/>
            <w:hideMark/>
          </w:tcPr>
          <w:p w14:paraId="0126DD8C" w14:textId="2137BB4F"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9</w:t>
            </w:r>
            <w:r w:rsidR="007519B9">
              <w:rPr>
                <w:rFonts w:eastAsia="Times New Roman" w:cs="Times New Roman"/>
                <w:color w:val="000000"/>
                <w:sz w:val="24"/>
                <w:lang w:val="en-US" w:eastAsia="en-US"/>
              </w:rPr>
              <w:t>,</w:t>
            </w:r>
            <w:r w:rsidRPr="004C292D">
              <w:rPr>
                <w:rFonts w:eastAsia="Times New Roman" w:cs="Times New Roman"/>
                <w:color w:val="000000"/>
                <w:sz w:val="24"/>
                <w:lang w:val="en-US" w:eastAsia="en-US"/>
              </w:rPr>
              <w:t>000</w:t>
            </w:r>
          </w:p>
        </w:tc>
      </w:tr>
      <w:tr w:rsidR="004C292D" w:rsidRPr="004C292D" w14:paraId="53DD47A1" w14:textId="77777777" w:rsidTr="004C292D">
        <w:trPr>
          <w:trHeight w:val="300"/>
        </w:trPr>
        <w:tc>
          <w:tcPr>
            <w:tcW w:w="4394" w:type="dxa"/>
            <w:noWrap/>
            <w:vAlign w:val="bottom"/>
            <w:hideMark/>
          </w:tcPr>
          <w:p w14:paraId="720D0D75" w14:textId="77777777" w:rsidR="004C292D" w:rsidRPr="004C292D" w:rsidRDefault="004C292D" w:rsidP="004C292D">
            <w:pPr>
              <w:jc w:val="left"/>
              <w:rPr>
                <w:rFonts w:eastAsia="Times New Roman" w:cs="Times New Roman"/>
                <w:color w:val="000000"/>
                <w:sz w:val="24"/>
                <w:lang w:val="en-US" w:eastAsia="en-US"/>
              </w:rPr>
            </w:pPr>
            <w:r w:rsidRPr="004C292D">
              <w:rPr>
                <w:rFonts w:eastAsia="Times New Roman" w:cs="Times New Roman"/>
                <w:color w:val="000000"/>
                <w:sz w:val="24"/>
                <w:lang w:val="en-US" w:eastAsia="en-US"/>
              </w:rPr>
              <w:t xml:space="preserve">Comms </w:t>
            </w:r>
          </w:p>
        </w:tc>
        <w:tc>
          <w:tcPr>
            <w:tcW w:w="725" w:type="dxa"/>
            <w:noWrap/>
            <w:vAlign w:val="bottom"/>
            <w:hideMark/>
          </w:tcPr>
          <w:p w14:paraId="79CA24C8" w14:textId="77777777"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15</w:t>
            </w:r>
          </w:p>
        </w:tc>
        <w:tc>
          <w:tcPr>
            <w:tcW w:w="1555" w:type="dxa"/>
            <w:noWrap/>
            <w:vAlign w:val="bottom"/>
            <w:hideMark/>
          </w:tcPr>
          <w:p w14:paraId="5AF2006B" w14:textId="77777777"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350</w:t>
            </w:r>
          </w:p>
        </w:tc>
        <w:tc>
          <w:tcPr>
            <w:tcW w:w="1646" w:type="dxa"/>
            <w:noWrap/>
            <w:vAlign w:val="bottom"/>
            <w:hideMark/>
          </w:tcPr>
          <w:p w14:paraId="1106FB24" w14:textId="721980AA"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5</w:t>
            </w:r>
            <w:r w:rsidR="007519B9">
              <w:rPr>
                <w:rFonts w:eastAsia="Times New Roman" w:cs="Times New Roman"/>
                <w:color w:val="000000"/>
                <w:sz w:val="24"/>
                <w:lang w:val="en-US" w:eastAsia="en-US"/>
              </w:rPr>
              <w:t>,</w:t>
            </w:r>
            <w:r w:rsidRPr="004C292D">
              <w:rPr>
                <w:rFonts w:eastAsia="Times New Roman" w:cs="Times New Roman"/>
                <w:color w:val="000000"/>
                <w:sz w:val="24"/>
                <w:lang w:val="en-US" w:eastAsia="en-US"/>
              </w:rPr>
              <w:t>250</w:t>
            </w:r>
          </w:p>
        </w:tc>
      </w:tr>
      <w:tr w:rsidR="004C292D" w:rsidRPr="004C292D" w14:paraId="573A924D" w14:textId="77777777" w:rsidTr="004C292D">
        <w:trPr>
          <w:trHeight w:val="300"/>
        </w:trPr>
        <w:tc>
          <w:tcPr>
            <w:tcW w:w="4394" w:type="dxa"/>
            <w:noWrap/>
            <w:vAlign w:val="bottom"/>
            <w:hideMark/>
          </w:tcPr>
          <w:p w14:paraId="6B11C420" w14:textId="77777777" w:rsidR="004C292D" w:rsidRPr="004C292D" w:rsidRDefault="004C292D" w:rsidP="004C292D">
            <w:pPr>
              <w:jc w:val="left"/>
              <w:rPr>
                <w:rFonts w:eastAsia="Times New Roman" w:cs="Times New Roman"/>
                <w:color w:val="000000"/>
                <w:sz w:val="24"/>
                <w:lang w:val="en-US" w:eastAsia="en-US"/>
              </w:rPr>
            </w:pPr>
            <w:r w:rsidRPr="004C292D">
              <w:rPr>
                <w:rFonts w:eastAsia="Times New Roman" w:cs="Times New Roman"/>
                <w:color w:val="000000"/>
                <w:sz w:val="24"/>
                <w:lang w:val="en-US" w:eastAsia="en-US"/>
              </w:rPr>
              <w:t>Admin support</w:t>
            </w:r>
          </w:p>
        </w:tc>
        <w:tc>
          <w:tcPr>
            <w:tcW w:w="725" w:type="dxa"/>
            <w:noWrap/>
            <w:vAlign w:val="bottom"/>
            <w:hideMark/>
          </w:tcPr>
          <w:p w14:paraId="239DFB42" w14:textId="77777777"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10</w:t>
            </w:r>
          </w:p>
        </w:tc>
        <w:tc>
          <w:tcPr>
            <w:tcW w:w="1555" w:type="dxa"/>
            <w:noWrap/>
            <w:vAlign w:val="bottom"/>
            <w:hideMark/>
          </w:tcPr>
          <w:p w14:paraId="7EBCE1B9" w14:textId="77777777"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300</w:t>
            </w:r>
          </w:p>
        </w:tc>
        <w:tc>
          <w:tcPr>
            <w:tcW w:w="1646" w:type="dxa"/>
            <w:noWrap/>
            <w:vAlign w:val="bottom"/>
            <w:hideMark/>
          </w:tcPr>
          <w:p w14:paraId="2F2C72BD" w14:textId="5769F816" w:rsidR="004C292D" w:rsidRPr="004C292D" w:rsidRDefault="004C292D" w:rsidP="004C292D">
            <w:pPr>
              <w:jc w:val="right"/>
              <w:rPr>
                <w:rFonts w:eastAsia="Times New Roman" w:cs="Times New Roman"/>
                <w:color w:val="000000"/>
                <w:sz w:val="24"/>
                <w:lang w:val="en-US" w:eastAsia="en-US"/>
              </w:rPr>
            </w:pPr>
            <w:r w:rsidRPr="004C292D">
              <w:rPr>
                <w:rFonts w:eastAsia="Times New Roman" w:cs="Times New Roman"/>
                <w:color w:val="000000"/>
                <w:sz w:val="24"/>
                <w:lang w:val="en-US" w:eastAsia="en-US"/>
              </w:rPr>
              <w:t>3</w:t>
            </w:r>
            <w:r w:rsidR="007519B9">
              <w:rPr>
                <w:rFonts w:eastAsia="Times New Roman" w:cs="Times New Roman"/>
                <w:color w:val="000000"/>
                <w:sz w:val="24"/>
                <w:lang w:val="en-US" w:eastAsia="en-US"/>
              </w:rPr>
              <w:t>,</w:t>
            </w:r>
            <w:r w:rsidRPr="004C292D">
              <w:rPr>
                <w:rFonts w:eastAsia="Times New Roman" w:cs="Times New Roman"/>
                <w:color w:val="000000"/>
                <w:sz w:val="24"/>
                <w:lang w:val="en-US" w:eastAsia="en-US"/>
              </w:rPr>
              <w:t>000</w:t>
            </w:r>
          </w:p>
        </w:tc>
      </w:tr>
      <w:tr w:rsidR="004C292D" w:rsidRPr="004C292D" w14:paraId="080710A3" w14:textId="77777777" w:rsidTr="004C292D">
        <w:trPr>
          <w:trHeight w:val="300"/>
        </w:trPr>
        <w:tc>
          <w:tcPr>
            <w:tcW w:w="4394" w:type="dxa"/>
            <w:shd w:val="clear" w:color="auto" w:fill="BDD6EE" w:themeFill="accent1" w:themeFillTint="66"/>
            <w:noWrap/>
            <w:vAlign w:val="bottom"/>
            <w:hideMark/>
          </w:tcPr>
          <w:p w14:paraId="7D0B8569" w14:textId="312221AF" w:rsidR="004C292D" w:rsidRPr="004C292D" w:rsidRDefault="004C292D" w:rsidP="004C292D">
            <w:pPr>
              <w:jc w:val="left"/>
              <w:rPr>
                <w:rFonts w:eastAsia="Times New Roman" w:cs="Times New Roman"/>
                <w:b/>
                <w:bCs/>
                <w:color w:val="000000"/>
                <w:sz w:val="24"/>
                <w:lang w:val="en-US" w:eastAsia="en-US"/>
              </w:rPr>
            </w:pPr>
            <w:r>
              <w:rPr>
                <w:rFonts w:eastAsia="Times New Roman" w:cs="Times New Roman"/>
                <w:b/>
                <w:bCs/>
                <w:color w:val="000000"/>
                <w:sz w:val="24"/>
                <w:lang w:val="en-US" w:eastAsia="en-US"/>
              </w:rPr>
              <w:t>T</w:t>
            </w:r>
            <w:r w:rsidRPr="004C292D">
              <w:rPr>
                <w:rFonts w:eastAsia="Times New Roman" w:cs="Times New Roman"/>
                <w:b/>
                <w:bCs/>
                <w:color w:val="000000"/>
                <w:sz w:val="24"/>
                <w:lang w:val="en-US" w:eastAsia="en-US"/>
              </w:rPr>
              <w:t xml:space="preserve">otal </w:t>
            </w:r>
          </w:p>
        </w:tc>
        <w:tc>
          <w:tcPr>
            <w:tcW w:w="725" w:type="dxa"/>
            <w:shd w:val="clear" w:color="auto" w:fill="BDD6EE" w:themeFill="accent1" w:themeFillTint="66"/>
            <w:noWrap/>
            <w:vAlign w:val="bottom"/>
            <w:hideMark/>
          </w:tcPr>
          <w:p w14:paraId="3E0A0D7F" w14:textId="77777777" w:rsidR="004C292D" w:rsidRPr="004C292D" w:rsidRDefault="004C292D" w:rsidP="004C292D">
            <w:pPr>
              <w:jc w:val="left"/>
              <w:rPr>
                <w:rFonts w:eastAsia="Times New Roman" w:cs="Times New Roman"/>
                <w:b/>
                <w:bCs/>
                <w:color w:val="000000"/>
                <w:sz w:val="24"/>
                <w:lang w:val="en-US" w:eastAsia="en-US"/>
              </w:rPr>
            </w:pPr>
          </w:p>
        </w:tc>
        <w:tc>
          <w:tcPr>
            <w:tcW w:w="1555" w:type="dxa"/>
            <w:shd w:val="clear" w:color="auto" w:fill="BDD6EE" w:themeFill="accent1" w:themeFillTint="66"/>
            <w:noWrap/>
            <w:vAlign w:val="bottom"/>
            <w:hideMark/>
          </w:tcPr>
          <w:p w14:paraId="22B4A0D2" w14:textId="77777777" w:rsidR="004C292D" w:rsidRPr="004C292D" w:rsidRDefault="004C292D" w:rsidP="004C292D">
            <w:pPr>
              <w:jc w:val="left"/>
              <w:rPr>
                <w:rFonts w:eastAsia="Times New Roman" w:cs="Times New Roman"/>
                <w:sz w:val="24"/>
                <w:lang w:val="en-US" w:eastAsia="en-US"/>
              </w:rPr>
            </w:pPr>
          </w:p>
        </w:tc>
        <w:tc>
          <w:tcPr>
            <w:tcW w:w="1646" w:type="dxa"/>
            <w:shd w:val="clear" w:color="auto" w:fill="BDD6EE" w:themeFill="accent1" w:themeFillTint="66"/>
            <w:noWrap/>
            <w:vAlign w:val="bottom"/>
            <w:hideMark/>
          </w:tcPr>
          <w:p w14:paraId="068A7069" w14:textId="3D43D57F" w:rsidR="004C292D" w:rsidRPr="004C292D" w:rsidRDefault="004C292D" w:rsidP="004C292D">
            <w:pPr>
              <w:jc w:val="right"/>
              <w:rPr>
                <w:rFonts w:eastAsia="Times New Roman" w:cs="Times New Roman"/>
                <w:b/>
                <w:bCs/>
                <w:color w:val="000000"/>
                <w:sz w:val="24"/>
                <w:lang w:val="en-US" w:eastAsia="en-US"/>
              </w:rPr>
            </w:pPr>
            <w:r w:rsidRPr="004C292D">
              <w:rPr>
                <w:rFonts w:eastAsia="Times New Roman" w:cs="Times New Roman"/>
                <w:b/>
                <w:bCs/>
                <w:color w:val="000000"/>
                <w:sz w:val="24"/>
                <w:lang w:val="en-US" w:eastAsia="en-US"/>
              </w:rPr>
              <w:t>53</w:t>
            </w:r>
            <w:r w:rsidR="007519B9">
              <w:rPr>
                <w:rFonts w:eastAsia="Times New Roman" w:cs="Times New Roman"/>
                <w:b/>
                <w:bCs/>
                <w:color w:val="000000"/>
                <w:sz w:val="24"/>
                <w:lang w:val="en-US" w:eastAsia="en-US"/>
              </w:rPr>
              <w:t>,</w:t>
            </w:r>
            <w:r w:rsidRPr="004C292D">
              <w:rPr>
                <w:rFonts w:eastAsia="Times New Roman" w:cs="Times New Roman"/>
                <w:b/>
                <w:bCs/>
                <w:color w:val="000000"/>
                <w:sz w:val="24"/>
                <w:lang w:val="en-US" w:eastAsia="en-US"/>
              </w:rPr>
              <w:t>250</w:t>
            </w:r>
          </w:p>
        </w:tc>
      </w:tr>
    </w:tbl>
    <w:p w14:paraId="7D3198DE" w14:textId="77777777" w:rsidR="002F0002" w:rsidRDefault="002F0002" w:rsidP="004C292D">
      <w:pPr>
        <w:pStyle w:val="IPPParagraphnumbering"/>
        <w:numPr>
          <w:ilvl w:val="0"/>
          <w:numId w:val="0"/>
        </w:numPr>
        <w:rPr>
          <w:b/>
          <w:bCs/>
          <w:color w:val="000000" w:themeColor="text1"/>
          <w:sz w:val="24"/>
          <w:lang w:val="en-GB"/>
        </w:rPr>
      </w:pPr>
    </w:p>
    <w:p w14:paraId="3A7FDCD9" w14:textId="56A46E8A" w:rsidR="004C292D" w:rsidRPr="004C292D" w:rsidRDefault="004C292D" w:rsidP="004C292D">
      <w:pPr>
        <w:pStyle w:val="IPPParagraphnumbering"/>
        <w:numPr>
          <w:ilvl w:val="0"/>
          <w:numId w:val="0"/>
        </w:numPr>
        <w:rPr>
          <w:b/>
          <w:bCs/>
          <w:color w:val="000000" w:themeColor="text1"/>
          <w:sz w:val="24"/>
          <w:szCs w:val="28"/>
          <w:lang w:val="en-GB"/>
        </w:rPr>
      </w:pPr>
      <w:r w:rsidRPr="004C292D">
        <w:rPr>
          <w:b/>
          <w:bCs/>
          <w:color w:val="000000" w:themeColor="text1"/>
          <w:sz w:val="24"/>
          <w:szCs w:val="28"/>
          <w:lang w:val="en-GB"/>
        </w:rPr>
        <w:t>Recommendations</w:t>
      </w:r>
    </w:p>
    <w:p w14:paraId="56484041" w14:textId="77777777" w:rsidR="004C292D" w:rsidRPr="004C292D" w:rsidRDefault="004C292D" w:rsidP="004C292D">
      <w:pPr>
        <w:pStyle w:val="IPPParagraphnumbering"/>
        <w:rPr>
          <w:color w:val="000000" w:themeColor="text1"/>
          <w:lang w:val="en-GB"/>
        </w:rPr>
      </w:pPr>
      <w:r w:rsidRPr="004C292D">
        <w:rPr>
          <w:color w:val="000000" w:themeColor="text1"/>
          <w:lang w:val="en-GB"/>
        </w:rPr>
        <w:t>The SPG is invited to:</w:t>
      </w:r>
    </w:p>
    <w:p w14:paraId="48ADBE05" w14:textId="7D08AAD3" w:rsidR="737B565A" w:rsidRDefault="004C292D" w:rsidP="1F9AE9A3">
      <w:pPr>
        <w:pStyle w:val="IPPNumberedList"/>
      </w:pPr>
      <w:r w:rsidRPr="22623F43">
        <w:rPr>
          <w:i/>
          <w:iCs/>
        </w:rPr>
        <w:t>Share and discuss</w:t>
      </w:r>
      <w:r>
        <w:t xml:space="preserve"> its views regarding </w:t>
      </w:r>
      <w:r w:rsidR="002F0002">
        <w:t>the mid-term monitoring and evaluation of the IPPC Strategic Framework 2020-2030 DAIs</w:t>
      </w:r>
      <w:r w:rsidR="007519B9">
        <w:t xml:space="preserve">, </w:t>
      </w:r>
      <w:r w:rsidR="002F0002">
        <w:t>the proposed TORs</w:t>
      </w:r>
      <w:r w:rsidR="007519B9">
        <w:t xml:space="preserve"> and budget</w:t>
      </w:r>
      <w:r w:rsidR="002F0002">
        <w:t>;</w:t>
      </w:r>
    </w:p>
    <w:p w14:paraId="41DEECF1" w14:textId="5C34463B" w:rsidR="737B565A" w:rsidRDefault="737B565A" w:rsidP="1F9AE9A3">
      <w:pPr>
        <w:pStyle w:val="IPPNumberedList"/>
      </w:pPr>
      <w:r w:rsidRPr="22623F43">
        <w:rPr>
          <w:i/>
          <w:iCs/>
        </w:rPr>
        <w:t xml:space="preserve">Mobilize resources </w:t>
      </w:r>
      <w:r>
        <w:t xml:space="preserve">through </w:t>
      </w:r>
      <w:r w:rsidR="3F279E2B">
        <w:t xml:space="preserve">contracting </w:t>
      </w:r>
      <w:r w:rsidR="4D6A7C07">
        <w:t>parties'</w:t>
      </w:r>
      <w:r w:rsidR="3F279E2B">
        <w:t xml:space="preserve"> </w:t>
      </w:r>
      <w:r>
        <w:t>voluntary contributions to undertake this activity;</w:t>
      </w:r>
    </w:p>
    <w:p w14:paraId="25D0AB1F" w14:textId="0EC01C09" w:rsidR="004C292D" w:rsidRPr="004E0B25" w:rsidRDefault="004C292D" w:rsidP="004C292D">
      <w:pPr>
        <w:pStyle w:val="IPPNumberedList"/>
      </w:pPr>
      <w:r w:rsidRPr="22623F43">
        <w:rPr>
          <w:i/>
          <w:iCs/>
        </w:rPr>
        <w:t>Consider</w:t>
      </w:r>
      <w:r>
        <w:t xml:space="preserve"> sharing this paper, or a modified version of it, with the CPM and/or the</w:t>
      </w:r>
      <w:r w:rsidR="002F0002">
        <w:t xml:space="preserve"> CPM Bureau with a request to allocate necessary resources.</w:t>
      </w:r>
    </w:p>
    <w:p w14:paraId="7CD94CDD" w14:textId="678B6EC1" w:rsidR="008C1CF7" w:rsidRDefault="008C1CF7" w:rsidP="002F0002">
      <w:pPr>
        <w:pStyle w:val="IPPParagraphnumbering"/>
        <w:numPr>
          <w:ilvl w:val="0"/>
          <w:numId w:val="0"/>
        </w:numPr>
        <w:rPr>
          <w:rFonts w:eastAsia="Aptos" w:cs="Times New Roman"/>
          <w:b/>
          <w:lang w:eastAsia="en-US"/>
        </w:rPr>
      </w:pPr>
    </w:p>
    <w:sectPr w:rsidR="008C1CF7" w:rsidSect="00590E1C">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2EF45" w14:textId="77777777" w:rsidR="00FB6010" w:rsidRDefault="00FB6010" w:rsidP="001D5341">
      <w:r>
        <w:separator/>
      </w:r>
    </w:p>
  </w:endnote>
  <w:endnote w:type="continuationSeparator" w:id="0">
    <w:p w14:paraId="1DF2CE1F" w14:textId="77777777" w:rsidR="00FB6010" w:rsidRDefault="00FB6010" w:rsidP="001D5341">
      <w:r>
        <w:continuationSeparator/>
      </w:r>
    </w:p>
  </w:endnote>
  <w:endnote w:type="continuationNotice" w:id="1">
    <w:p w14:paraId="7AFDBD4E" w14:textId="77777777" w:rsidR="00FB6010" w:rsidRDefault="00FB6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BE0D8" w14:textId="0FB5AD96" w:rsidR="00BF16F0" w:rsidRDefault="00BF16F0" w:rsidP="00F77457">
    <w:pPr>
      <w:pStyle w:val="IPPFooterLandscape"/>
    </w:pPr>
    <w:r w:rsidRPr="00BA1CDB">
      <w:t xml:space="preserve">Page </w:t>
    </w:r>
    <w:r w:rsidRPr="0956352D">
      <w:rPr>
        <w:shd w:val="clear" w:color="auto" w:fill="E6E6E6"/>
      </w:rPr>
      <w:fldChar w:fldCharType="begin"/>
    </w:r>
    <w:r w:rsidRPr="00BA1CDB">
      <w:instrText xml:space="preserve"> PAGE </w:instrText>
    </w:r>
    <w:r w:rsidRPr="0956352D">
      <w:rPr>
        <w:color w:val="2B579A"/>
        <w:shd w:val="clear" w:color="auto" w:fill="E6E6E6"/>
      </w:rPr>
      <w:fldChar w:fldCharType="separate"/>
    </w:r>
    <w:r w:rsidR="006027DA">
      <w:t>10</w:t>
    </w:r>
    <w:r w:rsidRPr="0956352D">
      <w:rPr>
        <w:shd w:val="clear" w:color="auto" w:fill="E6E6E6"/>
      </w:rPr>
      <w:fldChar w:fldCharType="end"/>
    </w:r>
    <w:r w:rsidRPr="00BA1CDB">
      <w:t xml:space="preserve"> of </w:t>
    </w:r>
    <w:r w:rsidRPr="0956352D">
      <w:rPr>
        <w:shd w:val="clear" w:color="auto" w:fill="E6E6E6"/>
      </w:rPr>
      <w:fldChar w:fldCharType="begin"/>
    </w:r>
    <w:r w:rsidRPr="00BA1CDB">
      <w:instrText xml:space="preserve"> NUMPAGES  </w:instrText>
    </w:r>
    <w:r w:rsidRPr="0956352D">
      <w:rPr>
        <w:color w:val="2B579A"/>
        <w:shd w:val="clear" w:color="auto" w:fill="E6E6E6"/>
      </w:rPr>
      <w:fldChar w:fldCharType="separate"/>
    </w:r>
    <w:r w:rsidR="006027DA">
      <w:t>10</w:t>
    </w:r>
    <w:r w:rsidRPr="0956352D">
      <w:rPr>
        <w:shd w:val="clear" w:color="auto" w:fill="E6E6E6"/>
      </w:rPr>
      <w:fldChar w:fldCharType="end"/>
    </w:r>
    <w:r>
      <w:rPr>
        <w:color w:val="2B579A"/>
        <w:shd w:val="clear" w:color="auto" w:fill="E6E6E6"/>
      </w:rPr>
      <w:t xml:space="preserve"> </w:t>
    </w:r>
    <w:r>
      <w:rPr>
        <w:color w:val="2B579A"/>
        <w:shd w:val="clear" w:color="auto" w:fill="E6E6E6"/>
      </w:rPr>
      <w:tab/>
    </w:r>
    <w:r w:rsidRPr="00BA1CD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EE76B" w14:textId="7BE7DF79" w:rsidR="00BF16F0" w:rsidRDefault="00BF16F0" w:rsidP="00F77457">
    <w:pPr>
      <w:pStyle w:val="IPPFooterLandscape"/>
    </w:pPr>
    <w:r>
      <w:t xml:space="preserve">International Plant Protection Convention </w:t>
    </w:r>
    <w:r>
      <w:tab/>
      <w:t xml:space="preserve">Page </w:t>
    </w:r>
    <w:r>
      <w:fldChar w:fldCharType="begin"/>
    </w:r>
    <w:r>
      <w:instrText xml:space="preserve"> PAGE </w:instrText>
    </w:r>
    <w:r>
      <w:rPr>
        <w:color w:val="2B579A"/>
      </w:rPr>
      <w:fldChar w:fldCharType="separate"/>
    </w:r>
    <w:r w:rsidR="006027DA">
      <w:t>9</w:t>
    </w:r>
    <w:r>
      <w:fldChar w:fldCharType="end"/>
    </w:r>
    <w:r>
      <w:t xml:space="preserve"> of </w:t>
    </w:r>
    <w:r>
      <w:fldChar w:fldCharType="begin"/>
    </w:r>
    <w:r>
      <w:instrText xml:space="preserve"> NUMPAGES  </w:instrText>
    </w:r>
    <w:r>
      <w:rPr>
        <w:color w:val="2B579A"/>
      </w:rPr>
      <w:fldChar w:fldCharType="separate"/>
    </w:r>
    <w:r w:rsidR="006027DA">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9ABC6" w14:textId="6311A2AD" w:rsidR="00BF16F0" w:rsidRDefault="00BF16F0" w:rsidP="00F77457">
    <w:pPr>
      <w:pStyle w:val="IPPFooterLandscape"/>
    </w:pPr>
    <w:r>
      <w:t xml:space="preserve">International Plant Protection Convention </w:t>
    </w:r>
    <w:r>
      <w:tab/>
      <w:t xml:space="preserve">Page </w:t>
    </w:r>
    <w:r>
      <w:fldChar w:fldCharType="begin"/>
    </w:r>
    <w:r>
      <w:instrText xml:space="preserve"> PAGE </w:instrText>
    </w:r>
    <w:r>
      <w:rPr>
        <w:color w:val="2B579A"/>
      </w:rPr>
      <w:fldChar w:fldCharType="separate"/>
    </w:r>
    <w:r w:rsidR="006027DA">
      <w:t>8</w:t>
    </w:r>
    <w:r>
      <w:fldChar w:fldCharType="end"/>
    </w:r>
    <w:r>
      <w:t xml:space="preserve"> of </w:t>
    </w:r>
    <w:r>
      <w:fldChar w:fldCharType="begin"/>
    </w:r>
    <w:r>
      <w:instrText xml:space="preserve"> NUMPAGES  </w:instrText>
    </w:r>
    <w:r>
      <w:rPr>
        <w:color w:val="2B579A"/>
      </w:rPr>
      <w:fldChar w:fldCharType="separate"/>
    </w:r>
    <w:r w:rsidR="006027DA">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16A22B" w14:textId="77777777" w:rsidR="00FB6010" w:rsidRDefault="00FB6010" w:rsidP="001D5341">
      <w:r>
        <w:separator/>
      </w:r>
    </w:p>
  </w:footnote>
  <w:footnote w:type="continuationSeparator" w:id="0">
    <w:p w14:paraId="00FE446D" w14:textId="77777777" w:rsidR="00FB6010" w:rsidRDefault="00FB6010" w:rsidP="001D5341">
      <w:r>
        <w:continuationSeparator/>
      </w:r>
    </w:p>
  </w:footnote>
  <w:footnote w:type="continuationNotice" w:id="1">
    <w:p w14:paraId="7DE6694C" w14:textId="77777777" w:rsidR="00FB6010" w:rsidRDefault="00FB60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47A52" w14:textId="7E06B93F" w:rsidR="00590E1C" w:rsidRPr="002F0002" w:rsidRDefault="00590E1C" w:rsidP="00590E1C">
    <w:pPr>
      <w:pStyle w:val="IPPHeader"/>
      <w:tabs>
        <w:tab w:val="clear" w:pos="1134"/>
      </w:tabs>
      <w:spacing w:after="0"/>
    </w:pPr>
    <w:r>
      <w:t>12_SPG_2024</w:t>
    </w:r>
    <w:r w:rsidRPr="00606019">
      <w:t>_</w:t>
    </w:r>
    <w:r>
      <w:t>Oct</w:t>
    </w:r>
    <w:r>
      <w:t xml:space="preserve"> (7.9)</w:t>
    </w:r>
    <w:r>
      <w:ptab w:relativeTo="margin" w:alignment="right" w:leader="none"/>
    </w:r>
    <w:r>
      <w:t>IPPC SF DAIs: mid-term monitoring and evaluation in 2025</w:t>
    </w:r>
  </w:p>
  <w:p w14:paraId="43AB1BE0" w14:textId="77777777" w:rsidR="00C12199" w:rsidRDefault="00C121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72E11" w14:textId="77777777" w:rsidR="00C12199" w:rsidRDefault="00C121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D93F0" w14:textId="41D128F4" w:rsidR="002F0002" w:rsidRDefault="002F0002" w:rsidP="002F0002">
    <w:pPr>
      <w:pStyle w:val="IPPHeader"/>
      <w:tabs>
        <w:tab w:val="clear" w:pos="1134"/>
      </w:tabs>
      <w:spacing w:before="240" w:after="0"/>
    </w:pPr>
    <w:bookmarkStart w:id="0" w:name="_Hlk38796923"/>
    <w:bookmarkStart w:id="1" w:name="_Hlk38796924"/>
    <w:r>
      <w:rPr>
        <w:i/>
        <w:iCs/>
        <w:noProof/>
        <w14:ligatures w14:val="standardContextual"/>
      </w:rPr>
      <w:drawing>
        <wp:anchor distT="0" distB="0" distL="114300" distR="114300" simplePos="0" relativeHeight="251661312" behindDoc="0" locked="0" layoutInCell="1" allowOverlap="1" wp14:anchorId="2AF75A4F" wp14:editId="6E505B1E">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1BC4869C" wp14:editId="5D6CDA20">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E88B95F">
            <v:line id="Straight Connector 1"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33B1A4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33F8D418" wp14:editId="6BED67B8">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0DB0F73B" wp14:editId="59094FCC">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590E1C">
      <w:t>12</w:t>
    </w:r>
    <w:r>
      <w:t>_SPG_2024</w:t>
    </w:r>
    <w:r w:rsidRPr="00606019">
      <w:t>_</w:t>
    </w:r>
    <w:r>
      <w:t>Oct</w:t>
    </w:r>
  </w:p>
  <w:p w14:paraId="51E1237F" w14:textId="317D4C03" w:rsidR="002F0002" w:rsidRDefault="002F0002" w:rsidP="002F0002">
    <w:pPr>
      <w:pStyle w:val="IPPHeader"/>
      <w:tabs>
        <w:tab w:val="clear" w:pos="1134"/>
      </w:tabs>
      <w:spacing w:after="0"/>
    </w:pPr>
    <w:r w:rsidRPr="0076596B">
      <w:tab/>
      <w:t xml:space="preserve">Agenda item: </w:t>
    </w:r>
    <w:r w:rsidR="00590E1C">
      <w:t>7.9</w:t>
    </w:r>
  </w:p>
  <w:p w14:paraId="451B99A6" w14:textId="77777777" w:rsidR="002F0002" w:rsidRDefault="002F0002" w:rsidP="002F0002">
    <w:pPr>
      <w:pStyle w:val="IPPHeader"/>
      <w:tabs>
        <w:tab w:val="clear" w:pos="1134"/>
      </w:tabs>
      <w:spacing w:after="260"/>
    </w:pPr>
  </w:p>
  <w:bookmarkEnd w:id="0"/>
  <w:bookmarkEnd w:id="1"/>
  <w:p w14:paraId="4EE30C40" w14:textId="636971D4" w:rsidR="00BF16F0" w:rsidRPr="002F0002" w:rsidRDefault="007519B9" w:rsidP="002F0002">
    <w:pPr>
      <w:pStyle w:val="IPPHeader"/>
      <w:tabs>
        <w:tab w:val="clear" w:pos="1134"/>
      </w:tabs>
      <w:spacing w:after="0"/>
    </w:pPr>
    <w:r>
      <w:t>IPPC SF DAIs: mid-term monitoring and evaluation in 2025</w: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90D1CD7"/>
    <w:multiLevelType w:val="hybridMultilevel"/>
    <w:tmpl w:val="34A4F27E"/>
    <w:lvl w:ilvl="0" w:tplc="CADE1AF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D745AB"/>
    <w:multiLevelType w:val="hybridMultilevel"/>
    <w:tmpl w:val="C75CB7B2"/>
    <w:lvl w:ilvl="0" w:tplc="CADE1AF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04796680">
    <w:abstractNumId w:val="4"/>
  </w:num>
  <w:num w:numId="2" w16cid:durableId="352346397">
    <w:abstractNumId w:val="2"/>
  </w:num>
  <w:num w:numId="3" w16cid:durableId="1384598561">
    <w:abstractNumId w:val="10"/>
  </w:num>
  <w:num w:numId="4" w16cid:durableId="184750399">
    <w:abstractNumId w:val="6"/>
  </w:num>
  <w:num w:numId="5" w16cid:durableId="7021694">
    <w:abstractNumId w:val="5"/>
  </w:num>
  <w:num w:numId="6" w16cid:durableId="701127972">
    <w:abstractNumId w:val="11"/>
  </w:num>
  <w:num w:numId="7" w16cid:durableId="1198816989">
    <w:abstractNumId w:val="0"/>
  </w:num>
  <w:num w:numId="8" w16cid:durableId="1157957606">
    <w:abstractNumId w:val="9"/>
  </w:num>
  <w:num w:numId="9" w16cid:durableId="1993830067">
    <w:abstractNumId w:val="7"/>
  </w:num>
  <w:num w:numId="10" w16cid:durableId="205777748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311176664">
    <w:abstractNumId w:val="8"/>
  </w:num>
  <w:num w:numId="12" w16cid:durableId="56814906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0" w:nlCheck="1" w:checkStyle="0"/>
  <w:activeWritingStyle w:appName="MSWord" w:lang="en-US" w:vendorID="64" w:dllVersion="0" w:nlCheck="1" w:checkStyle="0"/>
  <w:attachedTemplate r:id="rId1"/>
  <w:linkStyles/>
  <w:defaultTabStop w:val="720"/>
  <w:hyphenationZone w:val="283"/>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2AA"/>
    <w:rsid w:val="00000516"/>
    <w:rsid w:val="000007D7"/>
    <w:rsid w:val="00002C8A"/>
    <w:rsid w:val="00006C67"/>
    <w:rsid w:val="00011F38"/>
    <w:rsid w:val="000232AA"/>
    <w:rsid w:val="00023BCC"/>
    <w:rsid w:val="0002504C"/>
    <w:rsid w:val="0002518C"/>
    <w:rsid w:val="00032F4F"/>
    <w:rsid w:val="00040E6B"/>
    <w:rsid w:val="000455C5"/>
    <w:rsid w:val="00047804"/>
    <w:rsid w:val="000539EE"/>
    <w:rsid w:val="00057767"/>
    <w:rsid w:val="00057F13"/>
    <w:rsid w:val="00060D2C"/>
    <w:rsid w:val="0006328B"/>
    <w:rsid w:val="00064B36"/>
    <w:rsid w:val="00064D16"/>
    <w:rsid w:val="000767A9"/>
    <w:rsid w:val="000768F7"/>
    <w:rsid w:val="000873E7"/>
    <w:rsid w:val="000A032F"/>
    <w:rsid w:val="000A3286"/>
    <w:rsid w:val="000A445C"/>
    <w:rsid w:val="000A648D"/>
    <w:rsid w:val="000A6839"/>
    <w:rsid w:val="000A6E09"/>
    <w:rsid w:val="000B127D"/>
    <w:rsid w:val="000C32A0"/>
    <w:rsid w:val="000C4AF6"/>
    <w:rsid w:val="000C78BE"/>
    <w:rsid w:val="000D0D73"/>
    <w:rsid w:val="000D1CE1"/>
    <w:rsid w:val="000D2593"/>
    <w:rsid w:val="000D4744"/>
    <w:rsid w:val="000E1438"/>
    <w:rsid w:val="000E674D"/>
    <w:rsid w:val="000F63EF"/>
    <w:rsid w:val="00105D53"/>
    <w:rsid w:val="00111E9B"/>
    <w:rsid w:val="001149DF"/>
    <w:rsid w:val="001178B6"/>
    <w:rsid w:val="00121133"/>
    <w:rsid w:val="00126B3B"/>
    <w:rsid w:val="00126CEC"/>
    <w:rsid w:val="001301DB"/>
    <w:rsid w:val="00136D18"/>
    <w:rsid w:val="00151E97"/>
    <w:rsid w:val="001522E2"/>
    <w:rsid w:val="00153ECF"/>
    <w:rsid w:val="001572D1"/>
    <w:rsid w:val="001645D7"/>
    <w:rsid w:val="00165291"/>
    <w:rsid w:val="001656A4"/>
    <w:rsid w:val="00167B8A"/>
    <w:rsid w:val="00167CB5"/>
    <w:rsid w:val="001725B8"/>
    <w:rsid w:val="00176A5A"/>
    <w:rsid w:val="001848EE"/>
    <w:rsid w:val="001922A8"/>
    <w:rsid w:val="001A5861"/>
    <w:rsid w:val="001B229E"/>
    <w:rsid w:val="001B6DF0"/>
    <w:rsid w:val="001C0A37"/>
    <w:rsid w:val="001C276B"/>
    <w:rsid w:val="001C452B"/>
    <w:rsid w:val="001D5341"/>
    <w:rsid w:val="001E1472"/>
    <w:rsid w:val="001E4FFD"/>
    <w:rsid w:val="001F0718"/>
    <w:rsid w:val="001F26B3"/>
    <w:rsid w:val="001F4EC4"/>
    <w:rsid w:val="001F7670"/>
    <w:rsid w:val="00202CF4"/>
    <w:rsid w:val="00205CF6"/>
    <w:rsid w:val="00211B78"/>
    <w:rsid w:val="00214714"/>
    <w:rsid w:val="00217055"/>
    <w:rsid w:val="00217096"/>
    <w:rsid w:val="0022528C"/>
    <w:rsid w:val="002311B9"/>
    <w:rsid w:val="002314CD"/>
    <w:rsid w:val="00232923"/>
    <w:rsid w:val="0023433C"/>
    <w:rsid w:val="00234DC8"/>
    <w:rsid w:val="0023640C"/>
    <w:rsid w:val="0023660A"/>
    <w:rsid w:val="00242C39"/>
    <w:rsid w:val="0024599C"/>
    <w:rsid w:val="0025070C"/>
    <w:rsid w:val="00256D2E"/>
    <w:rsid w:val="002761EE"/>
    <w:rsid w:val="002837DF"/>
    <w:rsid w:val="002857ED"/>
    <w:rsid w:val="002911E2"/>
    <w:rsid w:val="002A6AD3"/>
    <w:rsid w:val="002B17DA"/>
    <w:rsid w:val="002B6E56"/>
    <w:rsid w:val="002C178D"/>
    <w:rsid w:val="002C2F40"/>
    <w:rsid w:val="002C34A2"/>
    <w:rsid w:val="002C449E"/>
    <w:rsid w:val="002C5560"/>
    <w:rsid w:val="002E433D"/>
    <w:rsid w:val="002F0002"/>
    <w:rsid w:val="00305DAA"/>
    <w:rsid w:val="00312EA6"/>
    <w:rsid w:val="00313F19"/>
    <w:rsid w:val="00315EB2"/>
    <w:rsid w:val="00320290"/>
    <w:rsid w:val="00323E8C"/>
    <w:rsid w:val="00323F98"/>
    <w:rsid w:val="00324218"/>
    <w:rsid w:val="00330488"/>
    <w:rsid w:val="00330822"/>
    <w:rsid w:val="00331A01"/>
    <w:rsid w:val="00332B77"/>
    <w:rsid w:val="0033544C"/>
    <w:rsid w:val="00351791"/>
    <w:rsid w:val="00354AFD"/>
    <w:rsid w:val="00364D0A"/>
    <w:rsid w:val="00366E57"/>
    <w:rsid w:val="0038054D"/>
    <w:rsid w:val="00380DBF"/>
    <w:rsid w:val="00390C60"/>
    <w:rsid w:val="00391F43"/>
    <w:rsid w:val="00392AF8"/>
    <w:rsid w:val="003A032E"/>
    <w:rsid w:val="003A2F5A"/>
    <w:rsid w:val="003A6D8E"/>
    <w:rsid w:val="003C4FA1"/>
    <w:rsid w:val="003C5C2A"/>
    <w:rsid w:val="003C6F16"/>
    <w:rsid w:val="003D3D01"/>
    <w:rsid w:val="003D623F"/>
    <w:rsid w:val="003E56CB"/>
    <w:rsid w:val="003E7B02"/>
    <w:rsid w:val="003F65D7"/>
    <w:rsid w:val="00402979"/>
    <w:rsid w:val="00406860"/>
    <w:rsid w:val="00412246"/>
    <w:rsid w:val="0042683E"/>
    <w:rsid w:val="00432131"/>
    <w:rsid w:val="0043215B"/>
    <w:rsid w:val="0043362D"/>
    <w:rsid w:val="004436F2"/>
    <w:rsid w:val="00444952"/>
    <w:rsid w:val="00452B64"/>
    <w:rsid w:val="00453DE0"/>
    <w:rsid w:val="004576A8"/>
    <w:rsid w:val="00461433"/>
    <w:rsid w:val="004642BD"/>
    <w:rsid w:val="00464812"/>
    <w:rsid w:val="004774AA"/>
    <w:rsid w:val="00487A7C"/>
    <w:rsid w:val="00491280"/>
    <w:rsid w:val="00492947"/>
    <w:rsid w:val="0049FD5D"/>
    <w:rsid w:val="004A4F90"/>
    <w:rsid w:val="004B0F62"/>
    <w:rsid w:val="004B230C"/>
    <w:rsid w:val="004B381A"/>
    <w:rsid w:val="004C292D"/>
    <w:rsid w:val="004C2CA5"/>
    <w:rsid w:val="004C48BF"/>
    <w:rsid w:val="004D3DFC"/>
    <w:rsid w:val="004D48D5"/>
    <w:rsid w:val="004D66C2"/>
    <w:rsid w:val="004E02CB"/>
    <w:rsid w:val="004E0F3E"/>
    <w:rsid w:val="004E2E89"/>
    <w:rsid w:val="004E71BA"/>
    <w:rsid w:val="00503E6B"/>
    <w:rsid w:val="0050546D"/>
    <w:rsid w:val="00507C02"/>
    <w:rsid w:val="00510AC9"/>
    <w:rsid w:val="005110BC"/>
    <w:rsid w:val="00524C48"/>
    <w:rsid w:val="0053139A"/>
    <w:rsid w:val="00531882"/>
    <w:rsid w:val="00554039"/>
    <w:rsid w:val="005562FA"/>
    <w:rsid w:val="0055FF8F"/>
    <w:rsid w:val="00560245"/>
    <w:rsid w:val="00560F7F"/>
    <w:rsid w:val="00562F40"/>
    <w:rsid w:val="00566979"/>
    <w:rsid w:val="00572509"/>
    <w:rsid w:val="00580E33"/>
    <w:rsid w:val="005868C0"/>
    <w:rsid w:val="00590E1C"/>
    <w:rsid w:val="00591CFD"/>
    <w:rsid w:val="00592F72"/>
    <w:rsid w:val="0059583B"/>
    <w:rsid w:val="005A00BF"/>
    <w:rsid w:val="005A04BA"/>
    <w:rsid w:val="005A1127"/>
    <w:rsid w:val="005A2504"/>
    <w:rsid w:val="005A6C01"/>
    <w:rsid w:val="005A727A"/>
    <w:rsid w:val="005A788A"/>
    <w:rsid w:val="005B4DFD"/>
    <w:rsid w:val="005B7BF6"/>
    <w:rsid w:val="005C2DA2"/>
    <w:rsid w:val="005C56BB"/>
    <w:rsid w:val="005C7BFB"/>
    <w:rsid w:val="005D2928"/>
    <w:rsid w:val="005D404A"/>
    <w:rsid w:val="005D5025"/>
    <w:rsid w:val="005D5510"/>
    <w:rsid w:val="005D5B5B"/>
    <w:rsid w:val="005E15CE"/>
    <w:rsid w:val="005E2710"/>
    <w:rsid w:val="005E73DC"/>
    <w:rsid w:val="005F2D47"/>
    <w:rsid w:val="006027DA"/>
    <w:rsid w:val="00604358"/>
    <w:rsid w:val="0061212B"/>
    <w:rsid w:val="006205F9"/>
    <w:rsid w:val="006229E9"/>
    <w:rsid w:val="0062452E"/>
    <w:rsid w:val="00633A34"/>
    <w:rsid w:val="00634399"/>
    <w:rsid w:val="006420AA"/>
    <w:rsid w:val="00643AE1"/>
    <w:rsid w:val="006849DE"/>
    <w:rsid w:val="006A22F6"/>
    <w:rsid w:val="006A462D"/>
    <w:rsid w:val="006C3B66"/>
    <w:rsid w:val="006C7F4D"/>
    <w:rsid w:val="006D1A1E"/>
    <w:rsid w:val="006D39B6"/>
    <w:rsid w:val="006D47F4"/>
    <w:rsid w:val="006E1C2C"/>
    <w:rsid w:val="006F195D"/>
    <w:rsid w:val="006F2148"/>
    <w:rsid w:val="006F3AE3"/>
    <w:rsid w:val="00705F24"/>
    <w:rsid w:val="007102B8"/>
    <w:rsid w:val="00710815"/>
    <w:rsid w:val="0071279E"/>
    <w:rsid w:val="007176BD"/>
    <w:rsid w:val="00717E1C"/>
    <w:rsid w:val="00727927"/>
    <w:rsid w:val="00731BB9"/>
    <w:rsid w:val="00735076"/>
    <w:rsid w:val="007350FF"/>
    <w:rsid w:val="007371F8"/>
    <w:rsid w:val="007443CB"/>
    <w:rsid w:val="00746934"/>
    <w:rsid w:val="007519B9"/>
    <w:rsid w:val="00754AF5"/>
    <w:rsid w:val="00754EBC"/>
    <w:rsid w:val="00757196"/>
    <w:rsid w:val="00761E5C"/>
    <w:rsid w:val="00764BF9"/>
    <w:rsid w:val="007672E1"/>
    <w:rsid w:val="007823A3"/>
    <w:rsid w:val="00785A93"/>
    <w:rsid w:val="00797484"/>
    <w:rsid w:val="007A3450"/>
    <w:rsid w:val="007A526A"/>
    <w:rsid w:val="007A6E36"/>
    <w:rsid w:val="007A7ACB"/>
    <w:rsid w:val="007D1861"/>
    <w:rsid w:val="007D3E36"/>
    <w:rsid w:val="007D5CC3"/>
    <w:rsid w:val="007E0AF7"/>
    <w:rsid w:val="007F3282"/>
    <w:rsid w:val="007F5013"/>
    <w:rsid w:val="007F654A"/>
    <w:rsid w:val="007F7157"/>
    <w:rsid w:val="00802819"/>
    <w:rsid w:val="00803CB9"/>
    <w:rsid w:val="00804D20"/>
    <w:rsid w:val="00807CE0"/>
    <w:rsid w:val="008273F5"/>
    <w:rsid w:val="00832616"/>
    <w:rsid w:val="00834133"/>
    <w:rsid w:val="008361CD"/>
    <w:rsid w:val="00847698"/>
    <w:rsid w:val="00852B84"/>
    <w:rsid w:val="00856523"/>
    <w:rsid w:val="00857C49"/>
    <w:rsid w:val="008638DB"/>
    <w:rsid w:val="008645CF"/>
    <w:rsid w:val="00873AFE"/>
    <w:rsid w:val="00873CC8"/>
    <w:rsid w:val="0087492A"/>
    <w:rsid w:val="00875A2E"/>
    <w:rsid w:val="00876A2B"/>
    <w:rsid w:val="00880DE8"/>
    <w:rsid w:val="00884DB3"/>
    <w:rsid w:val="00887D52"/>
    <w:rsid w:val="00891D86"/>
    <w:rsid w:val="00894E17"/>
    <w:rsid w:val="00895EC4"/>
    <w:rsid w:val="008979A0"/>
    <w:rsid w:val="008A07F3"/>
    <w:rsid w:val="008A3F98"/>
    <w:rsid w:val="008A3FEF"/>
    <w:rsid w:val="008A66DC"/>
    <w:rsid w:val="008A723D"/>
    <w:rsid w:val="008B1925"/>
    <w:rsid w:val="008B4A84"/>
    <w:rsid w:val="008B564D"/>
    <w:rsid w:val="008C1CF7"/>
    <w:rsid w:val="008C4A78"/>
    <w:rsid w:val="008D16DF"/>
    <w:rsid w:val="008D2771"/>
    <w:rsid w:val="008E02FB"/>
    <w:rsid w:val="008E084B"/>
    <w:rsid w:val="008E2205"/>
    <w:rsid w:val="008E3F0F"/>
    <w:rsid w:val="008F64CA"/>
    <w:rsid w:val="009004A3"/>
    <w:rsid w:val="00905EA4"/>
    <w:rsid w:val="00906516"/>
    <w:rsid w:val="00907B74"/>
    <w:rsid w:val="00913C92"/>
    <w:rsid w:val="00914684"/>
    <w:rsid w:val="0091755E"/>
    <w:rsid w:val="009255B4"/>
    <w:rsid w:val="00925D8B"/>
    <w:rsid w:val="0093105C"/>
    <w:rsid w:val="00934320"/>
    <w:rsid w:val="00937C68"/>
    <w:rsid w:val="00953222"/>
    <w:rsid w:val="009534A9"/>
    <w:rsid w:val="00956036"/>
    <w:rsid w:val="00961863"/>
    <w:rsid w:val="009672F6"/>
    <w:rsid w:val="00972EBF"/>
    <w:rsid w:val="0097338C"/>
    <w:rsid w:val="00974942"/>
    <w:rsid w:val="009810C1"/>
    <w:rsid w:val="00993DF0"/>
    <w:rsid w:val="009A26E1"/>
    <w:rsid w:val="009A4227"/>
    <w:rsid w:val="009A4FED"/>
    <w:rsid w:val="009B1DFF"/>
    <w:rsid w:val="009B6686"/>
    <w:rsid w:val="009C4602"/>
    <w:rsid w:val="009C57F6"/>
    <w:rsid w:val="009E5A7D"/>
    <w:rsid w:val="009E7234"/>
    <w:rsid w:val="009E729F"/>
    <w:rsid w:val="00A02DF5"/>
    <w:rsid w:val="00A03F90"/>
    <w:rsid w:val="00A04B59"/>
    <w:rsid w:val="00A148E7"/>
    <w:rsid w:val="00A35950"/>
    <w:rsid w:val="00A4149C"/>
    <w:rsid w:val="00A41F04"/>
    <w:rsid w:val="00A4640C"/>
    <w:rsid w:val="00A622D6"/>
    <w:rsid w:val="00A713F1"/>
    <w:rsid w:val="00A7214C"/>
    <w:rsid w:val="00A724C5"/>
    <w:rsid w:val="00A77B78"/>
    <w:rsid w:val="00A90005"/>
    <w:rsid w:val="00AA05AE"/>
    <w:rsid w:val="00AA3A96"/>
    <w:rsid w:val="00AA4912"/>
    <w:rsid w:val="00AA50A3"/>
    <w:rsid w:val="00AA562B"/>
    <w:rsid w:val="00AB32FF"/>
    <w:rsid w:val="00AC114D"/>
    <w:rsid w:val="00AC2A70"/>
    <w:rsid w:val="00AC7FBD"/>
    <w:rsid w:val="00AD0E4A"/>
    <w:rsid w:val="00AE2AD2"/>
    <w:rsid w:val="00AE2B2F"/>
    <w:rsid w:val="00AF06A9"/>
    <w:rsid w:val="00AF070A"/>
    <w:rsid w:val="00AF1414"/>
    <w:rsid w:val="00AF2B61"/>
    <w:rsid w:val="00B04E72"/>
    <w:rsid w:val="00B142B7"/>
    <w:rsid w:val="00B20E92"/>
    <w:rsid w:val="00B219DC"/>
    <w:rsid w:val="00B23EDB"/>
    <w:rsid w:val="00B24FBF"/>
    <w:rsid w:val="00B25AD7"/>
    <w:rsid w:val="00B27636"/>
    <w:rsid w:val="00B32C77"/>
    <w:rsid w:val="00B37FA3"/>
    <w:rsid w:val="00B40063"/>
    <w:rsid w:val="00B432DA"/>
    <w:rsid w:val="00B459EF"/>
    <w:rsid w:val="00B474FB"/>
    <w:rsid w:val="00B47F07"/>
    <w:rsid w:val="00B53DC2"/>
    <w:rsid w:val="00B55008"/>
    <w:rsid w:val="00B72EEA"/>
    <w:rsid w:val="00B813D7"/>
    <w:rsid w:val="00B81811"/>
    <w:rsid w:val="00B8211C"/>
    <w:rsid w:val="00B854DA"/>
    <w:rsid w:val="00B933CE"/>
    <w:rsid w:val="00B957A8"/>
    <w:rsid w:val="00B95F7C"/>
    <w:rsid w:val="00BA00A4"/>
    <w:rsid w:val="00BA21BB"/>
    <w:rsid w:val="00BA4C04"/>
    <w:rsid w:val="00BA6A35"/>
    <w:rsid w:val="00BB19BC"/>
    <w:rsid w:val="00BB5CF7"/>
    <w:rsid w:val="00BC7AB4"/>
    <w:rsid w:val="00BD16A5"/>
    <w:rsid w:val="00BD475B"/>
    <w:rsid w:val="00BD4F00"/>
    <w:rsid w:val="00BE0A28"/>
    <w:rsid w:val="00BE746D"/>
    <w:rsid w:val="00BF16F0"/>
    <w:rsid w:val="00C02172"/>
    <w:rsid w:val="00C0462A"/>
    <w:rsid w:val="00C10728"/>
    <w:rsid w:val="00C12199"/>
    <w:rsid w:val="00C1578D"/>
    <w:rsid w:val="00C162EE"/>
    <w:rsid w:val="00C16365"/>
    <w:rsid w:val="00C16479"/>
    <w:rsid w:val="00C21CCC"/>
    <w:rsid w:val="00C22D76"/>
    <w:rsid w:val="00C231BA"/>
    <w:rsid w:val="00C36759"/>
    <w:rsid w:val="00C43EF1"/>
    <w:rsid w:val="00C440E4"/>
    <w:rsid w:val="00C4766A"/>
    <w:rsid w:val="00C57C59"/>
    <w:rsid w:val="00C60F70"/>
    <w:rsid w:val="00C62607"/>
    <w:rsid w:val="00C64F89"/>
    <w:rsid w:val="00C70948"/>
    <w:rsid w:val="00C73C31"/>
    <w:rsid w:val="00C84C53"/>
    <w:rsid w:val="00C90F63"/>
    <w:rsid w:val="00C915DF"/>
    <w:rsid w:val="00CA3E85"/>
    <w:rsid w:val="00CD2C89"/>
    <w:rsid w:val="00CD6060"/>
    <w:rsid w:val="00CE4072"/>
    <w:rsid w:val="00CF462D"/>
    <w:rsid w:val="00CF52E2"/>
    <w:rsid w:val="00D0059D"/>
    <w:rsid w:val="00D12509"/>
    <w:rsid w:val="00D17FF1"/>
    <w:rsid w:val="00D36585"/>
    <w:rsid w:val="00D4068C"/>
    <w:rsid w:val="00D42465"/>
    <w:rsid w:val="00D54614"/>
    <w:rsid w:val="00D604DA"/>
    <w:rsid w:val="00D61551"/>
    <w:rsid w:val="00D63E7E"/>
    <w:rsid w:val="00D676A0"/>
    <w:rsid w:val="00D6A8AE"/>
    <w:rsid w:val="00D807F4"/>
    <w:rsid w:val="00D81029"/>
    <w:rsid w:val="00D84133"/>
    <w:rsid w:val="00D88AD9"/>
    <w:rsid w:val="00D92132"/>
    <w:rsid w:val="00D9692A"/>
    <w:rsid w:val="00DA18D7"/>
    <w:rsid w:val="00DA7E15"/>
    <w:rsid w:val="00DB03B3"/>
    <w:rsid w:val="00DB4909"/>
    <w:rsid w:val="00DB6516"/>
    <w:rsid w:val="00DD1BEE"/>
    <w:rsid w:val="00DD4D74"/>
    <w:rsid w:val="00DD5AFB"/>
    <w:rsid w:val="00DD5BAA"/>
    <w:rsid w:val="00DE0F59"/>
    <w:rsid w:val="00DE4B90"/>
    <w:rsid w:val="00DF0043"/>
    <w:rsid w:val="00DF0C94"/>
    <w:rsid w:val="00DF378A"/>
    <w:rsid w:val="00DF60ED"/>
    <w:rsid w:val="00E02814"/>
    <w:rsid w:val="00E1047A"/>
    <w:rsid w:val="00E11F5E"/>
    <w:rsid w:val="00E16B15"/>
    <w:rsid w:val="00E230DC"/>
    <w:rsid w:val="00E24D28"/>
    <w:rsid w:val="00E26A99"/>
    <w:rsid w:val="00E41AA8"/>
    <w:rsid w:val="00E45C6A"/>
    <w:rsid w:val="00E45D0F"/>
    <w:rsid w:val="00E465AF"/>
    <w:rsid w:val="00E5125F"/>
    <w:rsid w:val="00E60FC9"/>
    <w:rsid w:val="00E72622"/>
    <w:rsid w:val="00E85284"/>
    <w:rsid w:val="00E85B8C"/>
    <w:rsid w:val="00E9447D"/>
    <w:rsid w:val="00E95DA8"/>
    <w:rsid w:val="00EA03D0"/>
    <w:rsid w:val="00EB1B1F"/>
    <w:rsid w:val="00EB6491"/>
    <w:rsid w:val="00EB7E49"/>
    <w:rsid w:val="00EC6CBB"/>
    <w:rsid w:val="00ED5861"/>
    <w:rsid w:val="00ED6DA9"/>
    <w:rsid w:val="00EE3CEA"/>
    <w:rsid w:val="00EE4178"/>
    <w:rsid w:val="00EE427B"/>
    <w:rsid w:val="00EE6A38"/>
    <w:rsid w:val="00EE79F4"/>
    <w:rsid w:val="00EF35DE"/>
    <w:rsid w:val="00F05229"/>
    <w:rsid w:val="00F10121"/>
    <w:rsid w:val="00F140B4"/>
    <w:rsid w:val="00F21B79"/>
    <w:rsid w:val="00F21D3B"/>
    <w:rsid w:val="00F23451"/>
    <w:rsid w:val="00F2408E"/>
    <w:rsid w:val="00F31F61"/>
    <w:rsid w:val="00F3559D"/>
    <w:rsid w:val="00F37835"/>
    <w:rsid w:val="00F42C80"/>
    <w:rsid w:val="00F43864"/>
    <w:rsid w:val="00F555DA"/>
    <w:rsid w:val="00F60FB7"/>
    <w:rsid w:val="00F657CD"/>
    <w:rsid w:val="00F671BB"/>
    <w:rsid w:val="00F72DE5"/>
    <w:rsid w:val="00F74F34"/>
    <w:rsid w:val="00F77457"/>
    <w:rsid w:val="00F82178"/>
    <w:rsid w:val="00F842D5"/>
    <w:rsid w:val="00F87E3D"/>
    <w:rsid w:val="00F9161A"/>
    <w:rsid w:val="00F93FE8"/>
    <w:rsid w:val="00F95036"/>
    <w:rsid w:val="00F95882"/>
    <w:rsid w:val="00FA5E85"/>
    <w:rsid w:val="00FA7591"/>
    <w:rsid w:val="00FA7D3A"/>
    <w:rsid w:val="00FB35F6"/>
    <w:rsid w:val="00FB5063"/>
    <w:rsid w:val="00FB6010"/>
    <w:rsid w:val="00FB7355"/>
    <w:rsid w:val="00FC4AAC"/>
    <w:rsid w:val="00FD3EB7"/>
    <w:rsid w:val="00FD4B2E"/>
    <w:rsid w:val="00FD7F92"/>
    <w:rsid w:val="00FE0DE9"/>
    <w:rsid w:val="00FE14E8"/>
    <w:rsid w:val="00FE4850"/>
    <w:rsid w:val="00FF271E"/>
    <w:rsid w:val="00FF46AA"/>
    <w:rsid w:val="00FF4D43"/>
    <w:rsid w:val="00FF59DC"/>
    <w:rsid w:val="00FF7B23"/>
    <w:rsid w:val="013BC2EA"/>
    <w:rsid w:val="01C62703"/>
    <w:rsid w:val="01C7225D"/>
    <w:rsid w:val="01D8512E"/>
    <w:rsid w:val="01F36E1F"/>
    <w:rsid w:val="02745B3A"/>
    <w:rsid w:val="02861209"/>
    <w:rsid w:val="028E2CE3"/>
    <w:rsid w:val="02FD41D8"/>
    <w:rsid w:val="03742D95"/>
    <w:rsid w:val="038F3E80"/>
    <w:rsid w:val="0395FE4F"/>
    <w:rsid w:val="03A8CCD5"/>
    <w:rsid w:val="03EF02FC"/>
    <w:rsid w:val="03FF1E37"/>
    <w:rsid w:val="042A6735"/>
    <w:rsid w:val="0464458F"/>
    <w:rsid w:val="053B6E00"/>
    <w:rsid w:val="0564E3A0"/>
    <w:rsid w:val="0573DE59"/>
    <w:rsid w:val="0580D811"/>
    <w:rsid w:val="0601F40F"/>
    <w:rsid w:val="0609F028"/>
    <w:rsid w:val="0657D2A8"/>
    <w:rsid w:val="06815F07"/>
    <w:rsid w:val="0692A5FA"/>
    <w:rsid w:val="06ABEF1C"/>
    <w:rsid w:val="06C777F3"/>
    <w:rsid w:val="070131BB"/>
    <w:rsid w:val="07B4D25D"/>
    <w:rsid w:val="07D3CB2C"/>
    <w:rsid w:val="07D4C9EC"/>
    <w:rsid w:val="0812C33B"/>
    <w:rsid w:val="083663E1"/>
    <w:rsid w:val="0837AA5F"/>
    <w:rsid w:val="08464710"/>
    <w:rsid w:val="08634854"/>
    <w:rsid w:val="087FCB16"/>
    <w:rsid w:val="0948CF51"/>
    <w:rsid w:val="094BBABE"/>
    <w:rsid w:val="0956352D"/>
    <w:rsid w:val="09633AC2"/>
    <w:rsid w:val="09D531BC"/>
    <w:rsid w:val="0A40A9D4"/>
    <w:rsid w:val="0A696DB7"/>
    <w:rsid w:val="0A8E45B3"/>
    <w:rsid w:val="0AB9E26F"/>
    <w:rsid w:val="0ACE87F3"/>
    <w:rsid w:val="0AD470A1"/>
    <w:rsid w:val="0B025D7F"/>
    <w:rsid w:val="0B1F5DB1"/>
    <w:rsid w:val="0B5D79E0"/>
    <w:rsid w:val="0B9B9655"/>
    <w:rsid w:val="0B9DBBFD"/>
    <w:rsid w:val="0B9DC1A4"/>
    <w:rsid w:val="0BA11034"/>
    <w:rsid w:val="0BBD5EB0"/>
    <w:rsid w:val="0BBDD6BF"/>
    <w:rsid w:val="0C13A93D"/>
    <w:rsid w:val="0C260FA0"/>
    <w:rsid w:val="0C74AD92"/>
    <w:rsid w:val="0C806480"/>
    <w:rsid w:val="0CCB2758"/>
    <w:rsid w:val="0CEAF7B2"/>
    <w:rsid w:val="0D09D504"/>
    <w:rsid w:val="0D268A23"/>
    <w:rsid w:val="0D4F597A"/>
    <w:rsid w:val="0D811190"/>
    <w:rsid w:val="0D8F725D"/>
    <w:rsid w:val="0DF4A3CC"/>
    <w:rsid w:val="0DF5AA71"/>
    <w:rsid w:val="0E19CE7E"/>
    <w:rsid w:val="0E30DFE2"/>
    <w:rsid w:val="0E4ADA8D"/>
    <w:rsid w:val="0E870BF6"/>
    <w:rsid w:val="0EE6D47C"/>
    <w:rsid w:val="0EF07683"/>
    <w:rsid w:val="0F0BAB2E"/>
    <w:rsid w:val="0F1F0319"/>
    <w:rsid w:val="0F93E672"/>
    <w:rsid w:val="0FB12BBE"/>
    <w:rsid w:val="112D22D3"/>
    <w:rsid w:val="112F0B8B"/>
    <w:rsid w:val="11B65ECC"/>
    <w:rsid w:val="1214E53F"/>
    <w:rsid w:val="121C1380"/>
    <w:rsid w:val="121CC672"/>
    <w:rsid w:val="124A8043"/>
    <w:rsid w:val="125F3D03"/>
    <w:rsid w:val="12610438"/>
    <w:rsid w:val="12A646D3"/>
    <w:rsid w:val="12E8829D"/>
    <w:rsid w:val="12F1C5CD"/>
    <w:rsid w:val="12FF4D44"/>
    <w:rsid w:val="13089882"/>
    <w:rsid w:val="130C0338"/>
    <w:rsid w:val="131DD080"/>
    <w:rsid w:val="1331BDBC"/>
    <w:rsid w:val="134154BC"/>
    <w:rsid w:val="1360E091"/>
    <w:rsid w:val="13796C08"/>
    <w:rsid w:val="13AF4D98"/>
    <w:rsid w:val="13C90C9D"/>
    <w:rsid w:val="13D3474E"/>
    <w:rsid w:val="141F4DC5"/>
    <w:rsid w:val="14346F2D"/>
    <w:rsid w:val="145A7988"/>
    <w:rsid w:val="146EA983"/>
    <w:rsid w:val="1483AD22"/>
    <w:rsid w:val="14A337D7"/>
    <w:rsid w:val="14A468E3"/>
    <w:rsid w:val="14E3834D"/>
    <w:rsid w:val="1571C5C5"/>
    <w:rsid w:val="15EF05DC"/>
    <w:rsid w:val="15EF817F"/>
    <w:rsid w:val="161BCD41"/>
    <w:rsid w:val="1636EE06"/>
    <w:rsid w:val="166AD9E2"/>
    <w:rsid w:val="171BF10E"/>
    <w:rsid w:val="17341B2A"/>
    <w:rsid w:val="173431A9"/>
    <w:rsid w:val="1735FC95"/>
    <w:rsid w:val="17508F4A"/>
    <w:rsid w:val="17829F43"/>
    <w:rsid w:val="17BE5D71"/>
    <w:rsid w:val="17D5E725"/>
    <w:rsid w:val="18148CBE"/>
    <w:rsid w:val="18159D9B"/>
    <w:rsid w:val="18473D45"/>
    <w:rsid w:val="184B79B7"/>
    <w:rsid w:val="18A4FE22"/>
    <w:rsid w:val="18D0F2C5"/>
    <w:rsid w:val="18D7A2F3"/>
    <w:rsid w:val="18EB415B"/>
    <w:rsid w:val="18FD17D5"/>
    <w:rsid w:val="19046BE2"/>
    <w:rsid w:val="191577E7"/>
    <w:rsid w:val="19259435"/>
    <w:rsid w:val="1977DA06"/>
    <w:rsid w:val="1990C890"/>
    <w:rsid w:val="19A9A1FD"/>
    <w:rsid w:val="19EE96B8"/>
    <w:rsid w:val="1A16ABCD"/>
    <w:rsid w:val="1A324EFB"/>
    <w:rsid w:val="1A3CE387"/>
    <w:rsid w:val="1A5208C1"/>
    <w:rsid w:val="1A562909"/>
    <w:rsid w:val="1A76C25E"/>
    <w:rsid w:val="1A99F6C8"/>
    <w:rsid w:val="1AA72748"/>
    <w:rsid w:val="1ABE83D5"/>
    <w:rsid w:val="1AF5FE33"/>
    <w:rsid w:val="1AF63A8D"/>
    <w:rsid w:val="1AFA820A"/>
    <w:rsid w:val="1B389D99"/>
    <w:rsid w:val="1B5DE886"/>
    <w:rsid w:val="1B9BD4EB"/>
    <w:rsid w:val="1BD2F5A8"/>
    <w:rsid w:val="1C28416C"/>
    <w:rsid w:val="1C48734E"/>
    <w:rsid w:val="1C96526B"/>
    <w:rsid w:val="1CB3ADC5"/>
    <w:rsid w:val="1CC1D781"/>
    <w:rsid w:val="1D0BFBE0"/>
    <w:rsid w:val="1D1FF8CE"/>
    <w:rsid w:val="1D3D806B"/>
    <w:rsid w:val="1D47D1E5"/>
    <w:rsid w:val="1D600E22"/>
    <w:rsid w:val="1D787285"/>
    <w:rsid w:val="1DC411CD"/>
    <w:rsid w:val="1E45236F"/>
    <w:rsid w:val="1EBBC92F"/>
    <w:rsid w:val="1EC890BC"/>
    <w:rsid w:val="1F1A64B0"/>
    <w:rsid w:val="1F2A6E95"/>
    <w:rsid w:val="1F9AE9A3"/>
    <w:rsid w:val="1FB43D45"/>
    <w:rsid w:val="20008055"/>
    <w:rsid w:val="205DD83C"/>
    <w:rsid w:val="206F8177"/>
    <w:rsid w:val="2072AA7B"/>
    <w:rsid w:val="208CABA1"/>
    <w:rsid w:val="20998165"/>
    <w:rsid w:val="20C63EF6"/>
    <w:rsid w:val="20E28A32"/>
    <w:rsid w:val="20E5246F"/>
    <w:rsid w:val="20EAB53E"/>
    <w:rsid w:val="21940883"/>
    <w:rsid w:val="21C321CB"/>
    <w:rsid w:val="22077A75"/>
    <w:rsid w:val="22484F9B"/>
    <w:rsid w:val="22623F43"/>
    <w:rsid w:val="226CAF82"/>
    <w:rsid w:val="22FAE8FA"/>
    <w:rsid w:val="22FBD79D"/>
    <w:rsid w:val="23AFC78E"/>
    <w:rsid w:val="241578F8"/>
    <w:rsid w:val="2419243D"/>
    <w:rsid w:val="24373E9A"/>
    <w:rsid w:val="2477FFC0"/>
    <w:rsid w:val="2478CF9D"/>
    <w:rsid w:val="24B8EFBB"/>
    <w:rsid w:val="2573B1D1"/>
    <w:rsid w:val="257CFEE4"/>
    <w:rsid w:val="258A6920"/>
    <w:rsid w:val="25E5C7C3"/>
    <w:rsid w:val="25E70BDA"/>
    <w:rsid w:val="25FF08AC"/>
    <w:rsid w:val="26080CCF"/>
    <w:rsid w:val="264FABF4"/>
    <w:rsid w:val="2654FF56"/>
    <w:rsid w:val="2684AFF1"/>
    <w:rsid w:val="26AFC47F"/>
    <w:rsid w:val="26CD19C0"/>
    <w:rsid w:val="26D80A9E"/>
    <w:rsid w:val="26F38227"/>
    <w:rsid w:val="271399A4"/>
    <w:rsid w:val="2718CF45"/>
    <w:rsid w:val="2735807A"/>
    <w:rsid w:val="27669A57"/>
    <w:rsid w:val="27ADCA75"/>
    <w:rsid w:val="27CC6E6C"/>
    <w:rsid w:val="2860C581"/>
    <w:rsid w:val="28A3C4E7"/>
    <w:rsid w:val="28A404F5"/>
    <w:rsid w:val="28A52B7B"/>
    <w:rsid w:val="28D150DB"/>
    <w:rsid w:val="29042877"/>
    <w:rsid w:val="294C8876"/>
    <w:rsid w:val="2965FA1C"/>
    <w:rsid w:val="29697CA4"/>
    <w:rsid w:val="29783F22"/>
    <w:rsid w:val="298EE33B"/>
    <w:rsid w:val="29B2DDF7"/>
    <w:rsid w:val="29CEA790"/>
    <w:rsid w:val="29EFF4BF"/>
    <w:rsid w:val="2A5A46F8"/>
    <w:rsid w:val="2A6D213C"/>
    <w:rsid w:val="2A8BEBE4"/>
    <w:rsid w:val="2AD8723F"/>
    <w:rsid w:val="2ADA5CEA"/>
    <w:rsid w:val="2ADAEDC7"/>
    <w:rsid w:val="2B669A69"/>
    <w:rsid w:val="2B8083CF"/>
    <w:rsid w:val="2B84D53E"/>
    <w:rsid w:val="2BEBFB96"/>
    <w:rsid w:val="2C27BC45"/>
    <w:rsid w:val="2C52C7C9"/>
    <w:rsid w:val="2C74E6CD"/>
    <w:rsid w:val="2C8C903D"/>
    <w:rsid w:val="2CBFBADE"/>
    <w:rsid w:val="2CC440DA"/>
    <w:rsid w:val="2CF8A4DE"/>
    <w:rsid w:val="2D9ED50B"/>
    <w:rsid w:val="2DE8DA33"/>
    <w:rsid w:val="2DFC8BAF"/>
    <w:rsid w:val="2DFCBA40"/>
    <w:rsid w:val="2E0E2C3C"/>
    <w:rsid w:val="2E28609E"/>
    <w:rsid w:val="2E37419E"/>
    <w:rsid w:val="2E82C144"/>
    <w:rsid w:val="2EA23133"/>
    <w:rsid w:val="2EB39A98"/>
    <w:rsid w:val="2ED406B8"/>
    <w:rsid w:val="2EF0F296"/>
    <w:rsid w:val="2F01EE05"/>
    <w:rsid w:val="2F40BACB"/>
    <w:rsid w:val="2F924976"/>
    <w:rsid w:val="2FC430FF"/>
    <w:rsid w:val="2FD27779"/>
    <w:rsid w:val="30BD97CC"/>
    <w:rsid w:val="30D46798"/>
    <w:rsid w:val="310D0534"/>
    <w:rsid w:val="31298401"/>
    <w:rsid w:val="314857F0"/>
    <w:rsid w:val="316EB8FC"/>
    <w:rsid w:val="318E06B4"/>
    <w:rsid w:val="318E13A1"/>
    <w:rsid w:val="319ABC46"/>
    <w:rsid w:val="31DC98F2"/>
    <w:rsid w:val="31E455F6"/>
    <w:rsid w:val="323392ED"/>
    <w:rsid w:val="325291FA"/>
    <w:rsid w:val="3282C61D"/>
    <w:rsid w:val="32AF02C4"/>
    <w:rsid w:val="32CAFFF4"/>
    <w:rsid w:val="32E42851"/>
    <w:rsid w:val="331F2168"/>
    <w:rsid w:val="3346419E"/>
    <w:rsid w:val="3413ADA9"/>
    <w:rsid w:val="3431CEFF"/>
    <w:rsid w:val="34343BB9"/>
    <w:rsid w:val="34383C44"/>
    <w:rsid w:val="344A5A94"/>
    <w:rsid w:val="34B579EC"/>
    <w:rsid w:val="34BAF1C9"/>
    <w:rsid w:val="34BC1D31"/>
    <w:rsid w:val="34BD73F3"/>
    <w:rsid w:val="355426DC"/>
    <w:rsid w:val="35F5892C"/>
    <w:rsid w:val="361B5272"/>
    <w:rsid w:val="364AA4E3"/>
    <w:rsid w:val="368D47AE"/>
    <w:rsid w:val="3694F666"/>
    <w:rsid w:val="372B4740"/>
    <w:rsid w:val="374836AD"/>
    <w:rsid w:val="37ABFA88"/>
    <w:rsid w:val="37D2AA5F"/>
    <w:rsid w:val="37DF728B"/>
    <w:rsid w:val="37EFE1AB"/>
    <w:rsid w:val="387EFEA8"/>
    <w:rsid w:val="3880E010"/>
    <w:rsid w:val="3899840C"/>
    <w:rsid w:val="38AB5C67"/>
    <w:rsid w:val="38AD278A"/>
    <w:rsid w:val="38C62FE9"/>
    <w:rsid w:val="39528B89"/>
    <w:rsid w:val="395A92EA"/>
    <w:rsid w:val="39C11954"/>
    <w:rsid w:val="3A07A206"/>
    <w:rsid w:val="3A15A586"/>
    <w:rsid w:val="3A2B3DE0"/>
    <w:rsid w:val="3A6F05DF"/>
    <w:rsid w:val="3A92D924"/>
    <w:rsid w:val="3A975BCA"/>
    <w:rsid w:val="3AA54C85"/>
    <w:rsid w:val="3AA5C849"/>
    <w:rsid w:val="3AC460D6"/>
    <w:rsid w:val="3AC4B9D6"/>
    <w:rsid w:val="3AEF3A36"/>
    <w:rsid w:val="3AF86E3A"/>
    <w:rsid w:val="3B08ACF2"/>
    <w:rsid w:val="3B7A35C3"/>
    <w:rsid w:val="3BFDD0AB"/>
    <w:rsid w:val="3C158B26"/>
    <w:rsid w:val="3C1981F9"/>
    <w:rsid w:val="3C1A7F38"/>
    <w:rsid w:val="3C1B587A"/>
    <w:rsid w:val="3C5749F2"/>
    <w:rsid w:val="3C77B495"/>
    <w:rsid w:val="3C7C3363"/>
    <w:rsid w:val="3D31FDE9"/>
    <w:rsid w:val="3DA891D4"/>
    <w:rsid w:val="3DBA5B3C"/>
    <w:rsid w:val="3DCA8CDD"/>
    <w:rsid w:val="3DFC5A98"/>
    <w:rsid w:val="3E004DBB"/>
    <w:rsid w:val="3E404DB4"/>
    <w:rsid w:val="3E4FE7BB"/>
    <w:rsid w:val="3E746085"/>
    <w:rsid w:val="3E94D138"/>
    <w:rsid w:val="3E9836B7"/>
    <w:rsid w:val="3EB1CB9A"/>
    <w:rsid w:val="3EE772E1"/>
    <w:rsid w:val="3F279E2B"/>
    <w:rsid w:val="3F34EFCB"/>
    <w:rsid w:val="3F98B3AE"/>
    <w:rsid w:val="3FCC3CA7"/>
    <w:rsid w:val="3FE0A81B"/>
    <w:rsid w:val="40091BC1"/>
    <w:rsid w:val="401A8EF4"/>
    <w:rsid w:val="405EF71F"/>
    <w:rsid w:val="406A1C45"/>
    <w:rsid w:val="40BC3D9B"/>
    <w:rsid w:val="40D83F06"/>
    <w:rsid w:val="41296581"/>
    <w:rsid w:val="41510195"/>
    <w:rsid w:val="4184D04B"/>
    <w:rsid w:val="41F93A83"/>
    <w:rsid w:val="4202CBC6"/>
    <w:rsid w:val="421D2768"/>
    <w:rsid w:val="424F5449"/>
    <w:rsid w:val="42F86D66"/>
    <w:rsid w:val="4317A074"/>
    <w:rsid w:val="436F73BD"/>
    <w:rsid w:val="43B1146A"/>
    <w:rsid w:val="43D22026"/>
    <w:rsid w:val="440FDFC8"/>
    <w:rsid w:val="44235D6E"/>
    <w:rsid w:val="44238CA0"/>
    <w:rsid w:val="447D303A"/>
    <w:rsid w:val="44FCA583"/>
    <w:rsid w:val="4527D44A"/>
    <w:rsid w:val="45617181"/>
    <w:rsid w:val="456DF087"/>
    <w:rsid w:val="4664F1AD"/>
    <w:rsid w:val="469D6D03"/>
    <w:rsid w:val="46E8D2DB"/>
    <w:rsid w:val="471474F9"/>
    <w:rsid w:val="4730A9AE"/>
    <w:rsid w:val="4747808A"/>
    <w:rsid w:val="47644202"/>
    <w:rsid w:val="47650AF6"/>
    <w:rsid w:val="476AB301"/>
    <w:rsid w:val="4771F466"/>
    <w:rsid w:val="47B93CDE"/>
    <w:rsid w:val="47ED5742"/>
    <w:rsid w:val="4843DDE4"/>
    <w:rsid w:val="48971CFD"/>
    <w:rsid w:val="48990C39"/>
    <w:rsid w:val="493C5598"/>
    <w:rsid w:val="49596341"/>
    <w:rsid w:val="497E36D8"/>
    <w:rsid w:val="4986FB9A"/>
    <w:rsid w:val="49AEA85B"/>
    <w:rsid w:val="49B807B3"/>
    <w:rsid w:val="4A304A61"/>
    <w:rsid w:val="4A4CE886"/>
    <w:rsid w:val="4A596182"/>
    <w:rsid w:val="4AB2363C"/>
    <w:rsid w:val="4B120D9F"/>
    <w:rsid w:val="4B2EA7E9"/>
    <w:rsid w:val="4B599952"/>
    <w:rsid w:val="4B7AFB05"/>
    <w:rsid w:val="4C1431DE"/>
    <w:rsid w:val="4C41A76A"/>
    <w:rsid w:val="4C5F6957"/>
    <w:rsid w:val="4CCB3FED"/>
    <w:rsid w:val="4CCE8531"/>
    <w:rsid w:val="4D16CB66"/>
    <w:rsid w:val="4D195262"/>
    <w:rsid w:val="4D337E9D"/>
    <w:rsid w:val="4D5FDB1B"/>
    <w:rsid w:val="4D6A7C07"/>
    <w:rsid w:val="4DE1ED57"/>
    <w:rsid w:val="4DF4F64A"/>
    <w:rsid w:val="4E04C51A"/>
    <w:rsid w:val="4E7BBA00"/>
    <w:rsid w:val="4E830D94"/>
    <w:rsid w:val="4E8A5F6C"/>
    <w:rsid w:val="4F52926F"/>
    <w:rsid w:val="4F7634D9"/>
    <w:rsid w:val="4FB3975E"/>
    <w:rsid w:val="4FF4EB55"/>
    <w:rsid w:val="50399E62"/>
    <w:rsid w:val="504F620F"/>
    <w:rsid w:val="5055D455"/>
    <w:rsid w:val="506BAD4B"/>
    <w:rsid w:val="50A22EE2"/>
    <w:rsid w:val="50BB573F"/>
    <w:rsid w:val="51189826"/>
    <w:rsid w:val="5119B602"/>
    <w:rsid w:val="5146CF2A"/>
    <w:rsid w:val="517EFF7B"/>
    <w:rsid w:val="518286F0"/>
    <w:rsid w:val="51CA1297"/>
    <w:rsid w:val="51D84037"/>
    <w:rsid w:val="51F77E64"/>
    <w:rsid w:val="52488C72"/>
    <w:rsid w:val="525727A0"/>
    <w:rsid w:val="5258C1DC"/>
    <w:rsid w:val="52A59ABE"/>
    <w:rsid w:val="52B18D23"/>
    <w:rsid w:val="52D707DD"/>
    <w:rsid w:val="531A0D98"/>
    <w:rsid w:val="53423B09"/>
    <w:rsid w:val="5344438B"/>
    <w:rsid w:val="535352C6"/>
    <w:rsid w:val="537C607D"/>
    <w:rsid w:val="53BC9215"/>
    <w:rsid w:val="53D0B308"/>
    <w:rsid w:val="54028215"/>
    <w:rsid w:val="543B2D06"/>
    <w:rsid w:val="54B3AF07"/>
    <w:rsid w:val="54BFEF08"/>
    <w:rsid w:val="5557C228"/>
    <w:rsid w:val="5575A005"/>
    <w:rsid w:val="55900EE0"/>
    <w:rsid w:val="55B8BBCA"/>
    <w:rsid w:val="55C4CB4D"/>
    <w:rsid w:val="55DFBC95"/>
    <w:rsid w:val="5645868A"/>
    <w:rsid w:val="56966E95"/>
    <w:rsid w:val="56CBD338"/>
    <w:rsid w:val="56D939DA"/>
    <w:rsid w:val="573C7805"/>
    <w:rsid w:val="57411343"/>
    <w:rsid w:val="57978A23"/>
    <w:rsid w:val="579BB8E2"/>
    <w:rsid w:val="579D80A4"/>
    <w:rsid w:val="58AD40C7"/>
    <w:rsid w:val="590A093E"/>
    <w:rsid w:val="591BAA2A"/>
    <w:rsid w:val="5928B8C0"/>
    <w:rsid w:val="5948CDE6"/>
    <w:rsid w:val="597B3E1F"/>
    <w:rsid w:val="59DCDE2E"/>
    <w:rsid w:val="5A41B2E3"/>
    <w:rsid w:val="5A60EAC5"/>
    <w:rsid w:val="5A73BEBB"/>
    <w:rsid w:val="5A831B32"/>
    <w:rsid w:val="5AA965F7"/>
    <w:rsid w:val="5AD7F4E4"/>
    <w:rsid w:val="5B34E695"/>
    <w:rsid w:val="5B39B1D0"/>
    <w:rsid w:val="5B456C58"/>
    <w:rsid w:val="5B7CB11E"/>
    <w:rsid w:val="5BAE5FF2"/>
    <w:rsid w:val="5BCE5924"/>
    <w:rsid w:val="5BF1EE08"/>
    <w:rsid w:val="5BFF5064"/>
    <w:rsid w:val="5C1C70F1"/>
    <w:rsid w:val="5C2CC1E2"/>
    <w:rsid w:val="5C302F98"/>
    <w:rsid w:val="5C3B5A50"/>
    <w:rsid w:val="5C5532B0"/>
    <w:rsid w:val="5C72487D"/>
    <w:rsid w:val="5C794D40"/>
    <w:rsid w:val="5C81C7F7"/>
    <w:rsid w:val="5C8362BB"/>
    <w:rsid w:val="5CAC5600"/>
    <w:rsid w:val="5CB64E8D"/>
    <w:rsid w:val="5D3E3725"/>
    <w:rsid w:val="5D62187B"/>
    <w:rsid w:val="5D99DA47"/>
    <w:rsid w:val="5DAB5F7D"/>
    <w:rsid w:val="5DB8B9AB"/>
    <w:rsid w:val="5DBB26B3"/>
    <w:rsid w:val="5DDEE8C4"/>
    <w:rsid w:val="5E28AD2B"/>
    <w:rsid w:val="5E59701E"/>
    <w:rsid w:val="5E6D5DCB"/>
    <w:rsid w:val="5E740394"/>
    <w:rsid w:val="5EF575DA"/>
    <w:rsid w:val="5F270EA2"/>
    <w:rsid w:val="5F55FBA4"/>
    <w:rsid w:val="5F7813D3"/>
    <w:rsid w:val="5FE3667C"/>
    <w:rsid w:val="60132A49"/>
    <w:rsid w:val="60B58C21"/>
    <w:rsid w:val="60D72919"/>
    <w:rsid w:val="61261567"/>
    <w:rsid w:val="612758D8"/>
    <w:rsid w:val="618924AA"/>
    <w:rsid w:val="61FF9B5C"/>
    <w:rsid w:val="620CC470"/>
    <w:rsid w:val="62328B57"/>
    <w:rsid w:val="62360EC3"/>
    <w:rsid w:val="62C15D29"/>
    <w:rsid w:val="6313A815"/>
    <w:rsid w:val="6314A965"/>
    <w:rsid w:val="632ECB94"/>
    <w:rsid w:val="637B14B2"/>
    <w:rsid w:val="63A4CD89"/>
    <w:rsid w:val="63DDCDA4"/>
    <w:rsid w:val="640178A4"/>
    <w:rsid w:val="64567DD1"/>
    <w:rsid w:val="64CA8E04"/>
    <w:rsid w:val="65110B03"/>
    <w:rsid w:val="6549CBCE"/>
    <w:rsid w:val="65A8F8A7"/>
    <w:rsid w:val="65E5F731"/>
    <w:rsid w:val="65F8FDEB"/>
    <w:rsid w:val="6640EA32"/>
    <w:rsid w:val="6660BA8D"/>
    <w:rsid w:val="6678287D"/>
    <w:rsid w:val="6684245B"/>
    <w:rsid w:val="66D708AE"/>
    <w:rsid w:val="670C2D93"/>
    <w:rsid w:val="6804BB84"/>
    <w:rsid w:val="689AD21D"/>
    <w:rsid w:val="68E2CB9A"/>
    <w:rsid w:val="691992E1"/>
    <w:rsid w:val="69309EAD"/>
    <w:rsid w:val="6976D371"/>
    <w:rsid w:val="69C16193"/>
    <w:rsid w:val="69EA3315"/>
    <w:rsid w:val="6A207EE3"/>
    <w:rsid w:val="6A42A709"/>
    <w:rsid w:val="6A4DDCEF"/>
    <w:rsid w:val="6A6DA847"/>
    <w:rsid w:val="6AB1EC33"/>
    <w:rsid w:val="6AB66696"/>
    <w:rsid w:val="6AB8BB23"/>
    <w:rsid w:val="6B4B0A5F"/>
    <w:rsid w:val="6B77EAC2"/>
    <w:rsid w:val="6BEF6B4E"/>
    <w:rsid w:val="6C142DB0"/>
    <w:rsid w:val="6C5A2E64"/>
    <w:rsid w:val="6C6D0F69"/>
    <w:rsid w:val="6C75B2BC"/>
    <w:rsid w:val="6C82D316"/>
    <w:rsid w:val="6D2657AE"/>
    <w:rsid w:val="6D497D30"/>
    <w:rsid w:val="6D5B624A"/>
    <w:rsid w:val="6DF9B80C"/>
    <w:rsid w:val="6E048533"/>
    <w:rsid w:val="6E3578A5"/>
    <w:rsid w:val="6E5186A0"/>
    <w:rsid w:val="6E5B8E80"/>
    <w:rsid w:val="6E6EA9BF"/>
    <w:rsid w:val="6F65F566"/>
    <w:rsid w:val="6F95D208"/>
    <w:rsid w:val="6FA14B7B"/>
    <w:rsid w:val="6FA3F483"/>
    <w:rsid w:val="6FD680FE"/>
    <w:rsid w:val="6FE278A9"/>
    <w:rsid w:val="6FFFB2CD"/>
    <w:rsid w:val="700D40AB"/>
    <w:rsid w:val="703E1278"/>
    <w:rsid w:val="70A278BC"/>
    <w:rsid w:val="70B5F960"/>
    <w:rsid w:val="70D4B522"/>
    <w:rsid w:val="70E02BCF"/>
    <w:rsid w:val="7168881E"/>
    <w:rsid w:val="71728F75"/>
    <w:rsid w:val="7192E7DD"/>
    <w:rsid w:val="71D807F6"/>
    <w:rsid w:val="729F18D0"/>
    <w:rsid w:val="72D920EA"/>
    <w:rsid w:val="730E5FD6"/>
    <w:rsid w:val="731AA38B"/>
    <w:rsid w:val="73291BBA"/>
    <w:rsid w:val="73470A61"/>
    <w:rsid w:val="7357488F"/>
    <w:rsid w:val="737B565A"/>
    <w:rsid w:val="73943B7A"/>
    <w:rsid w:val="73993F3B"/>
    <w:rsid w:val="739D62D5"/>
    <w:rsid w:val="73C6EA00"/>
    <w:rsid w:val="73D5CB86"/>
    <w:rsid w:val="73D8AC60"/>
    <w:rsid w:val="73E7AC24"/>
    <w:rsid w:val="73F99309"/>
    <w:rsid w:val="7434D9E5"/>
    <w:rsid w:val="74470FF3"/>
    <w:rsid w:val="749D51AB"/>
    <w:rsid w:val="74D793BB"/>
    <w:rsid w:val="7525F362"/>
    <w:rsid w:val="75300BDB"/>
    <w:rsid w:val="7580A8D3"/>
    <w:rsid w:val="75C0210F"/>
    <w:rsid w:val="75F33B9D"/>
    <w:rsid w:val="75F3DBCA"/>
    <w:rsid w:val="75F6509F"/>
    <w:rsid w:val="76155027"/>
    <w:rsid w:val="76170F3B"/>
    <w:rsid w:val="76ECC20C"/>
    <w:rsid w:val="77822A86"/>
    <w:rsid w:val="77959B95"/>
    <w:rsid w:val="77F770BA"/>
    <w:rsid w:val="780B3B06"/>
    <w:rsid w:val="78204016"/>
    <w:rsid w:val="7833C16A"/>
    <w:rsid w:val="7867EA7F"/>
    <w:rsid w:val="78F91F51"/>
    <w:rsid w:val="7934C7F4"/>
    <w:rsid w:val="797BEBDB"/>
    <w:rsid w:val="79CA60EA"/>
    <w:rsid w:val="79D1CA41"/>
    <w:rsid w:val="79F6519B"/>
    <w:rsid w:val="7A3130BC"/>
    <w:rsid w:val="7A694954"/>
    <w:rsid w:val="7B4D2CC7"/>
    <w:rsid w:val="7B57E0D8"/>
    <w:rsid w:val="7B5BD6A1"/>
    <w:rsid w:val="7B5D4B06"/>
    <w:rsid w:val="7B6F5A5B"/>
    <w:rsid w:val="7B9F4D5F"/>
    <w:rsid w:val="7BEF6337"/>
    <w:rsid w:val="7C230E04"/>
    <w:rsid w:val="7C8C245C"/>
    <w:rsid w:val="7C9FC173"/>
    <w:rsid w:val="7D1FD5E4"/>
    <w:rsid w:val="7D49057A"/>
    <w:rsid w:val="7D5713AC"/>
    <w:rsid w:val="7D891480"/>
    <w:rsid w:val="7DD40947"/>
    <w:rsid w:val="7DE4243F"/>
    <w:rsid w:val="7E08F8C3"/>
    <w:rsid w:val="7E5B410B"/>
    <w:rsid w:val="7E7A7C8A"/>
    <w:rsid w:val="7EA9F075"/>
    <w:rsid w:val="7EBAF9A0"/>
    <w:rsid w:val="7ED0D993"/>
    <w:rsid w:val="7F4BAA49"/>
    <w:rsid w:val="7F67CF7C"/>
    <w:rsid w:val="7F78907C"/>
    <w:rsid w:val="7FA359C3"/>
    <w:rsid w:val="7FAAF9E4"/>
    <w:rsid w:val="7FBAD8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DFDF5"/>
  <w15:chartTrackingRefBased/>
  <w15:docId w15:val="{F346ED1F-EC80-4BD8-9F33-B12619770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E57"/>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66E5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66E5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66E57"/>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956352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956352D"/>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956352D"/>
    <w:pPr>
      <w:keepNext/>
      <w:keepLines/>
      <w:spacing w:before="4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0956352D"/>
    <w:pPr>
      <w:keepNext/>
      <w:keepLines/>
      <w:spacing w:before="4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0956352D"/>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0956352D"/>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E57"/>
    <w:pPr>
      <w:spacing w:line="240" w:lineRule="atLeast"/>
      <w:ind w:leftChars="400" w:left="800"/>
    </w:pPr>
    <w:rPr>
      <w:rFonts w:ascii="Verdana" w:eastAsia="Times New Roman" w:hAnsi="Verdana"/>
      <w:sz w:val="20"/>
      <w:lang w:val="nl-NL" w:eastAsia="nl-NL"/>
    </w:rPr>
  </w:style>
  <w:style w:type="character" w:customStyle="1" w:styleId="normaltextrun">
    <w:name w:val="normaltextrun"/>
    <w:basedOn w:val="DefaultParagraphFont"/>
    <w:rsid w:val="00AA50A3"/>
  </w:style>
  <w:style w:type="character" w:customStyle="1" w:styleId="eop">
    <w:name w:val="eop"/>
    <w:basedOn w:val="DefaultParagraphFont"/>
    <w:rsid w:val="00AA50A3"/>
  </w:style>
  <w:style w:type="paragraph" w:customStyle="1" w:styleId="paragraph">
    <w:name w:val="paragraph"/>
    <w:basedOn w:val="Normal"/>
    <w:uiPriority w:val="1"/>
    <w:rsid w:val="0956352D"/>
    <w:pPr>
      <w:spacing w:beforeAutospacing="1" w:afterAutospacing="1"/>
    </w:pPr>
    <w:rPr>
      <w:rFonts w:eastAsia="Times New Roman" w:cs="Times New Roman"/>
      <w:sz w:val="24"/>
    </w:rPr>
  </w:style>
  <w:style w:type="character" w:customStyle="1" w:styleId="Menzione1">
    <w:name w:val="Menzione1"/>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rsid w:val="0956352D"/>
    <w:rPr>
      <w:sz w:val="20"/>
      <w:szCs w:val="20"/>
    </w:rPr>
  </w:style>
  <w:style w:type="character" w:customStyle="1" w:styleId="CommentTextChar">
    <w:name w:val="Comment Text Char"/>
    <w:basedOn w:val="DefaultParagraphFont"/>
    <w:link w:val="CommentText"/>
    <w:uiPriority w:val="99"/>
    <w:semiHidden/>
    <w:rsid w:val="0956352D"/>
    <w:rPr>
      <w:noProof w:val="0"/>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sid w:val="00366E57"/>
    <w:rPr>
      <w:rFonts w:ascii="Tahoma" w:hAnsi="Tahoma" w:cs="Tahoma"/>
      <w:sz w:val="16"/>
      <w:szCs w:val="16"/>
    </w:rPr>
  </w:style>
  <w:style w:type="character" w:customStyle="1" w:styleId="BalloonTextChar">
    <w:name w:val="Balloon Text Char"/>
    <w:basedOn w:val="DefaultParagraphFont"/>
    <w:link w:val="BalloonText"/>
    <w:rsid w:val="00366E57"/>
    <w:rPr>
      <w:rFonts w:ascii="Tahoma" w:eastAsia="MS Mincho" w:hAnsi="Tahoma" w:cs="Tahoma"/>
      <w:sz w:val="16"/>
      <w:szCs w:val="16"/>
      <w:lang w:val="en-GB" w:eastAsia="zh-CN"/>
    </w:rPr>
  </w:style>
  <w:style w:type="paragraph" w:styleId="Header">
    <w:name w:val="header"/>
    <w:basedOn w:val="Normal"/>
    <w:link w:val="HeaderChar"/>
    <w:rsid w:val="00366E57"/>
    <w:pPr>
      <w:tabs>
        <w:tab w:val="center" w:pos="4680"/>
        <w:tab w:val="right" w:pos="9360"/>
      </w:tabs>
    </w:pPr>
  </w:style>
  <w:style w:type="character" w:customStyle="1" w:styleId="HeaderChar">
    <w:name w:val="Header Char"/>
    <w:basedOn w:val="DefaultParagraphFont"/>
    <w:link w:val="Header"/>
    <w:rsid w:val="00366E57"/>
    <w:rPr>
      <w:rFonts w:ascii="Times New Roman" w:eastAsia="MS Mincho" w:hAnsi="Times New Roman"/>
      <w:szCs w:val="24"/>
      <w:lang w:val="en-GB" w:eastAsia="zh-CN"/>
    </w:rPr>
  </w:style>
  <w:style w:type="paragraph" w:styleId="Footer">
    <w:name w:val="footer"/>
    <w:basedOn w:val="Normal"/>
    <w:link w:val="FooterChar"/>
    <w:rsid w:val="00366E57"/>
    <w:pPr>
      <w:tabs>
        <w:tab w:val="center" w:pos="4680"/>
        <w:tab w:val="right" w:pos="9360"/>
      </w:tabs>
    </w:pPr>
  </w:style>
  <w:style w:type="character" w:customStyle="1" w:styleId="FooterChar">
    <w:name w:val="Footer Char"/>
    <w:basedOn w:val="DefaultParagraphFont"/>
    <w:link w:val="Footer"/>
    <w:rsid w:val="00366E57"/>
    <w:rPr>
      <w:rFonts w:ascii="Times New Roman" w:eastAsia="MS Mincho" w:hAnsi="Times New Roman"/>
      <w:szCs w:val="24"/>
      <w:lang w:val="en-GB" w:eastAsia="zh-CN"/>
    </w:rPr>
  </w:style>
  <w:style w:type="paragraph" w:customStyle="1" w:styleId="IPPHeader">
    <w:name w:val="IPP Header"/>
    <w:basedOn w:val="Normal"/>
    <w:qFormat/>
    <w:rsid w:val="00366E5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66E57"/>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66E5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66E57"/>
    <w:rPr>
      <w:rFonts w:ascii="Courier" w:eastAsia="Times" w:hAnsi="Courier"/>
      <w:sz w:val="21"/>
      <w:szCs w:val="21"/>
      <w:lang w:val="en-AU" w:eastAsia="zh-CN"/>
    </w:rPr>
  </w:style>
  <w:style w:type="numbering" w:customStyle="1" w:styleId="IPPParagraphnumberedlist">
    <w:name w:val="IPP Paragraph numbered list"/>
    <w:rsid w:val="00366E57"/>
    <w:pPr>
      <w:numPr>
        <w:numId w:val="1"/>
      </w:numPr>
    </w:pPr>
  </w:style>
  <w:style w:type="paragraph" w:customStyle="1" w:styleId="IPPParagraphnumbering">
    <w:name w:val="IPP Paragraph numbering"/>
    <w:basedOn w:val="IPPNormal"/>
    <w:qFormat/>
    <w:rsid w:val="00366E57"/>
    <w:pPr>
      <w:numPr>
        <w:numId w:val="10"/>
      </w:numPr>
    </w:pPr>
    <w:rPr>
      <w:lang w:val="en-US"/>
    </w:rPr>
  </w:style>
  <w:style w:type="paragraph" w:styleId="FootnoteText">
    <w:name w:val="footnote text"/>
    <w:basedOn w:val="Normal"/>
    <w:link w:val="FootnoteTextChar"/>
    <w:semiHidden/>
    <w:rsid w:val="00366E57"/>
    <w:pPr>
      <w:spacing w:before="60"/>
    </w:pPr>
    <w:rPr>
      <w:sz w:val="20"/>
    </w:rPr>
  </w:style>
  <w:style w:type="character" w:customStyle="1" w:styleId="FootnoteTextChar">
    <w:name w:val="Footnote Text Char"/>
    <w:basedOn w:val="DefaultParagraphFont"/>
    <w:link w:val="FootnoteText"/>
    <w:semiHidden/>
    <w:rsid w:val="00366E57"/>
    <w:rPr>
      <w:rFonts w:ascii="Times New Roman" w:eastAsia="MS Mincho" w:hAnsi="Times New Roman"/>
      <w:sz w:val="20"/>
      <w:szCs w:val="24"/>
      <w:lang w:val="en-GB" w:eastAsia="zh-CN"/>
    </w:rPr>
  </w:style>
  <w:style w:type="character" w:styleId="FootnoteReference">
    <w:name w:val="footnote reference"/>
    <w:aliases w:val="16 Point,Superscript 6 Point,Ref,de nota al pie,Footnote Reference1,Ref1,de nota al pie1,註腳內容,de nota al pie + (Asian) MS Mincho,11 pt,Footnote text"/>
    <w:basedOn w:val="DefaultParagraphFont"/>
    <w:rsid w:val="00366E57"/>
    <w:rPr>
      <w:vertAlign w:val="superscript"/>
    </w:rPr>
  </w:style>
  <w:style w:type="character" w:styleId="Hyperlink">
    <w:name w:val="Hyperlink"/>
    <w:basedOn w:val="DefaultParagraphFont"/>
    <w:uiPriority w:val="99"/>
    <w:unhideWhenUsed/>
    <w:rsid w:val="003C6F16"/>
    <w:rPr>
      <w:color w:val="0563C1" w:themeColor="hyperlink"/>
      <w:u w:val="single"/>
    </w:rPr>
  </w:style>
  <w:style w:type="character" w:customStyle="1" w:styleId="Mention1">
    <w:name w:val="Mention1"/>
    <w:basedOn w:val="DefaultParagraphFont"/>
    <w:uiPriority w:val="99"/>
    <w:unhideWhenUsed/>
    <w:rPr>
      <w:color w:val="2B579A"/>
      <w:shd w:val="clear" w:color="auto" w:fill="E6E6E6"/>
    </w:rPr>
  </w:style>
  <w:style w:type="paragraph" w:customStyle="1" w:styleId="xmsonormal">
    <w:name w:val="x_msonormal"/>
    <w:basedOn w:val="Normal"/>
    <w:uiPriority w:val="99"/>
    <w:rsid w:val="0956352D"/>
    <w:rPr>
      <w:rFonts w:ascii="Calibri" w:hAnsi="Calibri" w:cs="Calibri"/>
    </w:rPr>
  </w:style>
  <w:style w:type="character" w:styleId="FollowedHyperlink">
    <w:name w:val="FollowedHyperlink"/>
    <w:basedOn w:val="DefaultParagraphFont"/>
    <w:uiPriority w:val="99"/>
    <w:semiHidden/>
    <w:unhideWhenUsed/>
    <w:rsid w:val="007A526A"/>
    <w:rPr>
      <w:color w:val="954F72" w:themeColor="followedHyperlink"/>
      <w:u w:val="single"/>
    </w:rPr>
  </w:style>
  <w:style w:type="paragraph" w:customStyle="1" w:styleId="IPPAnnexHead">
    <w:name w:val="IPP AnnexHead"/>
    <w:basedOn w:val="IPPNormal"/>
    <w:next w:val="IPPNormal"/>
    <w:qFormat/>
    <w:rsid w:val="00366E57"/>
    <w:pPr>
      <w:keepNext/>
      <w:tabs>
        <w:tab w:val="left" w:pos="567"/>
      </w:tabs>
      <w:spacing w:before="120"/>
      <w:jc w:val="left"/>
      <w:outlineLvl w:val="1"/>
    </w:pPr>
    <w:rPr>
      <w:b/>
      <w:sz w:val="24"/>
    </w:rPr>
  </w:style>
  <w:style w:type="paragraph" w:styleId="NormalWeb">
    <w:name w:val="Normal (Web)"/>
    <w:basedOn w:val="Normal"/>
    <w:uiPriority w:val="99"/>
    <w:semiHidden/>
    <w:unhideWhenUsed/>
    <w:rsid w:val="0956352D"/>
    <w:rPr>
      <w:rFonts w:cs="Times New Roman"/>
      <w:sz w:val="24"/>
    </w:rPr>
  </w:style>
  <w:style w:type="paragraph" w:styleId="CommentSubject">
    <w:name w:val="annotation subject"/>
    <w:basedOn w:val="CommentText"/>
    <w:next w:val="CommentText"/>
    <w:link w:val="CommentSubjectChar"/>
    <w:uiPriority w:val="99"/>
    <w:semiHidden/>
    <w:unhideWhenUsed/>
    <w:rsid w:val="0956352D"/>
    <w:rPr>
      <w:b/>
      <w:bCs/>
    </w:rPr>
  </w:style>
  <w:style w:type="character" w:customStyle="1" w:styleId="CommentSubjectChar">
    <w:name w:val="Comment Subject Char"/>
    <w:basedOn w:val="CommentTextChar"/>
    <w:link w:val="CommentSubject"/>
    <w:uiPriority w:val="99"/>
    <w:semiHidden/>
    <w:rsid w:val="0956352D"/>
    <w:rPr>
      <w:b/>
      <w:bCs/>
      <w:noProof w:val="0"/>
      <w:sz w:val="20"/>
      <w:szCs w:val="20"/>
      <w:lang w:val="en-GB"/>
    </w:rPr>
  </w:style>
  <w:style w:type="paragraph" w:styleId="Revision">
    <w:name w:val="Revision"/>
    <w:hidden/>
    <w:uiPriority w:val="99"/>
    <w:semiHidden/>
    <w:rsid w:val="006C3B66"/>
    <w:pPr>
      <w:spacing w:after="0" w:line="240" w:lineRule="auto"/>
    </w:pPr>
  </w:style>
  <w:style w:type="character" w:customStyle="1" w:styleId="Heading1Char">
    <w:name w:val="Heading 1 Char"/>
    <w:basedOn w:val="DefaultParagraphFont"/>
    <w:link w:val="Heading1"/>
    <w:rsid w:val="00366E57"/>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66E57"/>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66E57"/>
    <w:rPr>
      <w:rFonts w:ascii="Calibri" w:eastAsia="MS Mincho" w:hAnsi="Calibri"/>
      <w:b/>
      <w:bCs/>
      <w:sz w:val="26"/>
      <w:szCs w:val="26"/>
      <w:lang w:val="en-GB" w:eastAsia="zh-CN"/>
    </w:rPr>
  </w:style>
  <w:style w:type="paragraph" w:customStyle="1" w:styleId="Style">
    <w:name w:val="Style"/>
    <w:basedOn w:val="Footer"/>
    <w:autoRedefine/>
    <w:qFormat/>
    <w:rsid w:val="00366E5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66E57"/>
    <w:rPr>
      <w:rFonts w:ascii="Arial" w:hAnsi="Arial"/>
      <w:b/>
      <w:sz w:val="18"/>
    </w:rPr>
  </w:style>
  <w:style w:type="paragraph" w:customStyle="1" w:styleId="IPPArialFootnote">
    <w:name w:val="IPP Arial Footnote"/>
    <w:basedOn w:val="IPPArialTable"/>
    <w:qFormat/>
    <w:rsid w:val="00366E57"/>
    <w:pPr>
      <w:tabs>
        <w:tab w:val="left" w:pos="28"/>
      </w:tabs>
      <w:ind w:left="284" w:hanging="284"/>
    </w:pPr>
    <w:rPr>
      <w:sz w:val="16"/>
    </w:rPr>
  </w:style>
  <w:style w:type="paragraph" w:customStyle="1" w:styleId="IPPContentsHead">
    <w:name w:val="IPP ContentsHead"/>
    <w:basedOn w:val="IPPSubhead"/>
    <w:next w:val="IPPNormal"/>
    <w:qFormat/>
    <w:rsid w:val="00366E57"/>
    <w:pPr>
      <w:spacing w:after="240"/>
    </w:pPr>
    <w:rPr>
      <w:sz w:val="24"/>
    </w:rPr>
  </w:style>
  <w:style w:type="table" w:styleId="TableGrid">
    <w:name w:val="Table Grid"/>
    <w:basedOn w:val="TableNormal"/>
    <w:rsid w:val="00366E57"/>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66E57"/>
    <w:pPr>
      <w:numPr>
        <w:numId w:val="3"/>
      </w:numPr>
      <w:tabs>
        <w:tab w:val="left" w:pos="1134"/>
      </w:tabs>
      <w:spacing w:after="60"/>
    </w:pPr>
  </w:style>
  <w:style w:type="paragraph" w:customStyle="1" w:styleId="IPPQuote">
    <w:name w:val="IPP Quote"/>
    <w:basedOn w:val="IPPNormal"/>
    <w:qFormat/>
    <w:rsid w:val="00366E57"/>
    <w:pPr>
      <w:ind w:left="851" w:right="851"/>
    </w:pPr>
    <w:rPr>
      <w:sz w:val="18"/>
    </w:rPr>
  </w:style>
  <w:style w:type="paragraph" w:customStyle="1" w:styleId="IPPNormal">
    <w:name w:val="IPP Normal"/>
    <w:basedOn w:val="Normal"/>
    <w:link w:val="IPPNormalChar"/>
    <w:qFormat/>
    <w:rsid w:val="00366E57"/>
    <w:pPr>
      <w:spacing w:after="180"/>
    </w:pPr>
    <w:rPr>
      <w:rFonts w:eastAsia="Times"/>
    </w:rPr>
  </w:style>
  <w:style w:type="paragraph" w:customStyle="1" w:styleId="IPPIndentClose">
    <w:name w:val="IPP Indent Close"/>
    <w:basedOn w:val="IPPNormal"/>
    <w:qFormat/>
    <w:rsid w:val="00366E57"/>
    <w:pPr>
      <w:tabs>
        <w:tab w:val="left" w:pos="2835"/>
      </w:tabs>
      <w:spacing w:after="60"/>
      <w:ind w:left="567"/>
    </w:pPr>
  </w:style>
  <w:style w:type="paragraph" w:customStyle="1" w:styleId="IPPIndent">
    <w:name w:val="IPP Indent"/>
    <w:basedOn w:val="IPPIndentClose"/>
    <w:qFormat/>
    <w:rsid w:val="00366E57"/>
    <w:pPr>
      <w:spacing w:after="180"/>
    </w:pPr>
  </w:style>
  <w:style w:type="paragraph" w:customStyle="1" w:styleId="IPPFootnote">
    <w:name w:val="IPP Footnote"/>
    <w:basedOn w:val="IPPArialFootnote"/>
    <w:qFormat/>
    <w:rsid w:val="00366E5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66E57"/>
    <w:pPr>
      <w:keepNext/>
      <w:tabs>
        <w:tab w:val="left" w:pos="567"/>
      </w:tabs>
      <w:spacing w:before="120" w:after="120"/>
      <w:ind w:left="567" w:hanging="567"/>
    </w:pPr>
    <w:rPr>
      <w:b/>
      <w:i/>
    </w:rPr>
  </w:style>
  <w:style w:type="character" w:customStyle="1" w:styleId="IPPnormalitalics">
    <w:name w:val="IPP normal italics"/>
    <w:basedOn w:val="DefaultParagraphFont"/>
    <w:rsid w:val="00366E57"/>
    <w:rPr>
      <w:rFonts w:ascii="Times New Roman" w:hAnsi="Times New Roman"/>
      <w:i/>
      <w:sz w:val="22"/>
      <w:lang w:val="en-US"/>
    </w:rPr>
  </w:style>
  <w:style w:type="character" w:customStyle="1" w:styleId="IPPNormalbold">
    <w:name w:val="IPP Normal bold"/>
    <w:basedOn w:val="PlainTextChar"/>
    <w:rsid w:val="00366E5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66E5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66E5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66E57"/>
    <w:pPr>
      <w:keepNext/>
      <w:ind w:left="567" w:hanging="567"/>
      <w:jc w:val="left"/>
    </w:pPr>
    <w:rPr>
      <w:b/>
      <w:bCs/>
      <w:iCs/>
      <w:szCs w:val="22"/>
    </w:rPr>
  </w:style>
  <w:style w:type="character" w:customStyle="1" w:styleId="IPPNormalunderlined">
    <w:name w:val="IPP Normal underlined"/>
    <w:basedOn w:val="DefaultParagraphFont"/>
    <w:rsid w:val="00366E57"/>
    <w:rPr>
      <w:rFonts w:ascii="Times New Roman" w:hAnsi="Times New Roman"/>
      <w:sz w:val="22"/>
      <w:u w:val="single"/>
      <w:lang w:val="en-US"/>
    </w:rPr>
  </w:style>
  <w:style w:type="paragraph" w:customStyle="1" w:styleId="IPPBullet1">
    <w:name w:val="IPP Bullet1"/>
    <w:basedOn w:val="IPPBullet1Last"/>
    <w:qFormat/>
    <w:rsid w:val="00366E57"/>
    <w:pPr>
      <w:numPr>
        <w:numId w:val="8"/>
      </w:numPr>
      <w:spacing w:after="60"/>
    </w:pPr>
    <w:rPr>
      <w:lang w:val="en-US"/>
    </w:rPr>
  </w:style>
  <w:style w:type="paragraph" w:customStyle="1" w:styleId="IPPBullet1Last">
    <w:name w:val="IPP Bullet1Last"/>
    <w:basedOn w:val="IPPNormal"/>
    <w:next w:val="IPPNormal"/>
    <w:autoRedefine/>
    <w:qFormat/>
    <w:rsid w:val="00366E57"/>
    <w:pPr>
      <w:numPr>
        <w:numId w:val="4"/>
      </w:numPr>
    </w:pPr>
  </w:style>
  <w:style w:type="character" w:customStyle="1" w:styleId="IPPNormalstrikethrough">
    <w:name w:val="IPP Normal strikethrough"/>
    <w:rsid w:val="00366E57"/>
    <w:rPr>
      <w:rFonts w:ascii="Times New Roman" w:hAnsi="Times New Roman"/>
      <w:strike/>
      <w:dstrike w:val="0"/>
      <w:sz w:val="22"/>
    </w:rPr>
  </w:style>
  <w:style w:type="paragraph" w:customStyle="1" w:styleId="IPPTitle16pt">
    <w:name w:val="IPP Title16pt"/>
    <w:basedOn w:val="Normal"/>
    <w:qFormat/>
    <w:rsid w:val="00366E5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66E57"/>
    <w:pPr>
      <w:spacing w:after="360"/>
      <w:jc w:val="center"/>
    </w:pPr>
    <w:rPr>
      <w:rFonts w:ascii="Arial" w:hAnsi="Arial" w:cs="Arial"/>
      <w:b/>
      <w:bCs/>
      <w:sz w:val="36"/>
      <w:szCs w:val="36"/>
    </w:rPr>
  </w:style>
  <w:style w:type="paragraph" w:customStyle="1" w:styleId="IPPNormalCloseSpace">
    <w:name w:val="IPP NormalCloseSpace"/>
    <w:basedOn w:val="Normal"/>
    <w:qFormat/>
    <w:rsid w:val="00366E57"/>
    <w:pPr>
      <w:keepNext/>
      <w:spacing w:after="60"/>
    </w:pPr>
  </w:style>
  <w:style w:type="paragraph" w:customStyle="1" w:styleId="IPPHeading2">
    <w:name w:val="IPP Heading2"/>
    <w:basedOn w:val="IPPNormal"/>
    <w:next w:val="IPPNormal"/>
    <w:qFormat/>
    <w:rsid w:val="00366E57"/>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66E57"/>
    <w:pPr>
      <w:tabs>
        <w:tab w:val="right" w:leader="dot" w:pos="9072"/>
      </w:tabs>
      <w:spacing w:before="240"/>
      <w:ind w:left="567" w:hanging="567"/>
    </w:pPr>
  </w:style>
  <w:style w:type="paragraph" w:styleId="TOC2">
    <w:name w:val="toc 2"/>
    <w:basedOn w:val="TOC1"/>
    <w:next w:val="Normal"/>
    <w:autoRedefine/>
    <w:uiPriority w:val="39"/>
    <w:rsid w:val="00366E57"/>
    <w:pPr>
      <w:keepNext w:val="0"/>
      <w:tabs>
        <w:tab w:val="left" w:pos="425"/>
      </w:tabs>
      <w:spacing w:before="120" w:after="0"/>
      <w:ind w:left="425" w:right="284" w:hanging="425"/>
    </w:pPr>
  </w:style>
  <w:style w:type="paragraph" w:styleId="TOC3">
    <w:name w:val="toc 3"/>
    <w:basedOn w:val="TOC2"/>
    <w:next w:val="Normal"/>
    <w:autoRedefine/>
    <w:uiPriority w:val="39"/>
    <w:rsid w:val="00366E57"/>
    <w:pPr>
      <w:tabs>
        <w:tab w:val="left" w:pos="1276"/>
      </w:tabs>
      <w:spacing w:before="60"/>
      <w:ind w:left="1276" w:hanging="851"/>
    </w:pPr>
    <w:rPr>
      <w:rFonts w:eastAsia="Times"/>
    </w:rPr>
  </w:style>
  <w:style w:type="paragraph" w:styleId="TOC4">
    <w:name w:val="toc 4"/>
    <w:basedOn w:val="Normal"/>
    <w:next w:val="Normal"/>
    <w:autoRedefine/>
    <w:uiPriority w:val="39"/>
    <w:rsid w:val="00366E57"/>
    <w:pPr>
      <w:spacing w:after="120"/>
      <w:ind w:left="660"/>
    </w:pPr>
    <w:rPr>
      <w:rFonts w:eastAsia="Times"/>
      <w:lang w:val="en-AU"/>
    </w:rPr>
  </w:style>
  <w:style w:type="paragraph" w:styleId="TOC5">
    <w:name w:val="toc 5"/>
    <w:basedOn w:val="Normal"/>
    <w:next w:val="Normal"/>
    <w:autoRedefine/>
    <w:uiPriority w:val="39"/>
    <w:rsid w:val="00366E57"/>
    <w:pPr>
      <w:spacing w:after="120"/>
      <w:ind w:left="880"/>
    </w:pPr>
    <w:rPr>
      <w:rFonts w:eastAsia="Times"/>
      <w:lang w:val="en-AU"/>
    </w:rPr>
  </w:style>
  <w:style w:type="paragraph" w:styleId="TOC6">
    <w:name w:val="toc 6"/>
    <w:basedOn w:val="Normal"/>
    <w:next w:val="Normal"/>
    <w:autoRedefine/>
    <w:uiPriority w:val="39"/>
    <w:rsid w:val="00366E57"/>
    <w:pPr>
      <w:spacing w:after="120"/>
      <w:ind w:left="1100"/>
    </w:pPr>
    <w:rPr>
      <w:rFonts w:eastAsia="Times"/>
      <w:lang w:val="en-AU"/>
    </w:rPr>
  </w:style>
  <w:style w:type="paragraph" w:styleId="TOC7">
    <w:name w:val="toc 7"/>
    <w:basedOn w:val="Normal"/>
    <w:next w:val="Normal"/>
    <w:autoRedefine/>
    <w:uiPriority w:val="39"/>
    <w:rsid w:val="00366E57"/>
    <w:pPr>
      <w:spacing w:after="120"/>
      <w:ind w:left="1320"/>
    </w:pPr>
    <w:rPr>
      <w:rFonts w:eastAsia="Times"/>
      <w:lang w:val="en-AU"/>
    </w:rPr>
  </w:style>
  <w:style w:type="paragraph" w:styleId="TOC8">
    <w:name w:val="toc 8"/>
    <w:basedOn w:val="Normal"/>
    <w:next w:val="Normal"/>
    <w:autoRedefine/>
    <w:uiPriority w:val="39"/>
    <w:rsid w:val="00366E57"/>
    <w:pPr>
      <w:spacing w:after="120"/>
      <w:ind w:left="1540"/>
    </w:pPr>
    <w:rPr>
      <w:rFonts w:eastAsia="Times"/>
      <w:lang w:val="en-AU"/>
    </w:rPr>
  </w:style>
  <w:style w:type="paragraph" w:styleId="TOC9">
    <w:name w:val="toc 9"/>
    <w:basedOn w:val="Normal"/>
    <w:next w:val="Normal"/>
    <w:autoRedefine/>
    <w:uiPriority w:val="39"/>
    <w:rsid w:val="00366E57"/>
    <w:pPr>
      <w:spacing w:after="120"/>
      <w:ind w:left="1760"/>
    </w:pPr>
    <w:rPr>
      <w:rFonts w:eastAsia="Times"/>
      <w:lang w:val="en-AU"/>
    </w:rPr>
  </w:style>
  <w:style w:type="paragraph" w:customStyle="1" w:styleId="IPPReferences">
    <w:name w:val="IPP References"/>
    <w:basedOn w:val="IPPNormal"/>
    <w:qFormat/>
    <w:rsid w:val="00366E57"/>
    <w:pPr>
      <w:spacing w:after="60"/>
      <w:ind w:left="567" w:hanging="567"/>
    </w:pPr>
  </w:style>
  <w:style w:type="paragraph" w:customStyle="1" w:styleId="IPPArial">
    <w:name w:val="IPP Arial"/>
    <w:basedOn w:val="IPPNormal"/>
    <w:qFormat/>
    <w:rsid w:val="00366E57"/>
    <w:pPr>
      <w:spacing w:after="0"/>
    </w:pPr>
    <w:rPr>
      <w:rFonts w:ascii="Arial" w:hAnsi="Arial"/>
      <w:sz w:val="18"/>
    </w:rPr>
  </w:style>
  <w:style w:type="paragraph" w:customStyle="1" w:styleId="IPPArialTable">
    <w:name w:val="IPP Arial Table"/>
    <w:basedOn w:val="IPPArial"/>
    <w:qFormat/>
    <w:rsid w:val="00366E57"/>
    <w:pPr>
      <w:spacing w:before="60" w:after="60"/>
      <w:jc w:val="left"/>
    </w:pPr>
  </w:style>
  <w:style w:type="paragraph" w:customStyle="1" w:styleId="IPPHeaderlandscape">
    <w:name w:val="IPP Header landscape"/>
    <w:basedOn w:val="IPPHeader"/>
    <w:qFormat/>
    <w:rsid w:val="00366E57"/>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66E57"/>
    <w:pPr>
      <w:numPr>
        <w:numId w:val="9"/>
      </w:numPr>
      <w:jc w:val="left"/>
    </w:pPr>
  </w:style>
  <w:style w:type="paragraph" w:customStyle="1" w:styleId="IPPLetterListIndent">
    <w:name w:val="IPP LetterList Indent"/>
    <w:basedOn w:val="IPPLetterList"/>
    <w:qFormat/>
    <w:rsid w:val="00366E57"/>
    <w:pPr>
      <w:numPr>
        <w:numId w:val="2"/>
      </w:numPr>
    </w:pPr>
  </w:style>
  <w:style w:type="paragraph" w:customStyle="1" w:styleId="IPPFooterLandscape">
    <w:name w:val="IPP Footer Landscape"/>
    <w:basedOn w:val="IPPHeaderlandscape"/>
    <w:qFormat/>
    <w:rsid w:val="00366E57"/>
    <w:pPr>
      <w:pBdr>
        <w:top w:val="single" w:sz="4" w:space="1" w:color="auto"/>
        <w:bottom w:val="none" w:sz="0" w:space="0" w:color="auto"/>
      </w:pBdr>
      <w:jc w:val="right"/>
    </w:pPr>
    <w:rPr>
      <w:b/>
    </w:rPr>
  </w:style>
  <w:style w:type="paragraph" w:customStyle="1" w:styleId="IPPSubheadSpace">
    <w:name w:val="IPP Subhead Space"/>
    <w:basedOn w:val="IPPSubhead"/>
    <w:qFormat/>
    <w:rsid w:val="00366E57"/>
    <w:pPr>
      <w:tabs>
        <w:tab w:val="left" w:pos="567"/>
      </w:tabs>
      <w:spacing w:before="60" w:after="60"/>
    </w:pPr>
  </w:style>
  <w:style w:type="paragraph" w:customStyle="1" w:styleId="IPPSubheadSpaceAfter">
    <w:name w:val="IPP Subhead SpaceAfter"/>
    <w:basedOn w:val="IPPSubhead"/>
    <w:qFormat/>
    <w:rsid w:val="00366E57"/>
    <w:pPr>
      <w:spacing w:after="60"/>
    </w:pPr>
  </w:style>
  <w:style w:type="paragraph" w:customStyle="1" w:styleId="IPPHdg1Num">
    <w:name w:val="IPP Hdg1Num"/>
    <w:basedOn w:val="IPPHeading1"/>
    <w:next w:val="IPPNormal"/>
    <w:qFormat/>
    <w:rsid w:val="00366E57"/>
    <w:pPr>
      <w:numPr>
        <w:numId w:val="5"/>
      </w:numPr>
    </w:pPr>
  </w:style>
  <w:style w:type="paragraph" w:customStyle="1" w:styleId="IPPHdg2Num">
    <w:name w:val="IPP Hdg2Num"/>
    <w:basedOn w:val="IPPHeading2"/>
    <w:next w:val="IPPNormal"/>
    <w:qFormat/>
    <w:rsid w:val="00366E57"/>
    <w:pPr>
      <w:numPr>
        <w:ilvl w:val="1"/>
        <w:numId w:val="6"/>
      </w:numPr>
    </w:pPr>
  </w:style>
  <w:style w:type="paragraph" w:customStyle="1" w:styleId="IPPNumberedList">
    <w:name w:val="IPP NumberedList"/>
    <w:basedOn w:val="IPPBullet1"/>
    <w:qFormat/>
    <w:rsid w:val="00366E57"/>
    <w:pPr>
      <w:numPr>
        <w:numId w:val="7"/>
      </w:numPr>
    </w:pPr>
  </w:style>
  <w:style w:type="character" w:styleId="Strong">
    <w:name w:val="Strong"/>
    <w:basedOn w:val="DefaultParagraphFont"/>
    <w:qFormat/>
    <w:rsid w:val="00366E57"/>
    <w:rPr>
      <w:b/>
      <w:bCs/>
    </w:rPr>
  </w:style>
  <w:style w:type="paragraph" w:customStyle="1" w:styleId="IPPParagraphnumberingclose">
    <w:name w:val="IPP Paragraph numbering close"/>
    <w:basedOn w:val="IPPParagraphnumbering"/>
    <w:qFormat/>
    <w:rsid w:val="00366E57"/>
    <w:pPr>
      <w:keepNext/>
      <w:numPr>
        <w:numId w:val="0"/>
      </w:numPr>
      <w:spacing w:after="60"/>
    </w:pPr>
  </w:style>
  <w:style w:type="paragraph" w:customStyle="1" w:styleId="IPPNumberedListLast">
    <w:name w:val="IPP NumberedListLast"/>
    <w:basedOn w:val="IPPNumberedList"/>
    <w:qFormat/>
    <w:rsid w:val="00366E57"/>
    <w:pPr>
      <w:numPr>
        <w:numId w:val="0"/>
      </w:numPr>
      <w:spacing w:after="180"/>
    </w:pPr>
  </w:style>
  <w:style w:type="paragraph" w:customStyle="1" w:styleId="IPPPargraphnumbering">
    <w:name w:val="IPP Pargraph numbering"/>
    <w:basedOn w:val="IPPNormal"/>
    <w:qFormat/>
    <w:rsid w:val="00366E57"/>
    <w:pPr>
      <w:tabs>
        <w:tab w:val="num" w:pos="360"/>
      </w:tabs>
    </w:pPr>
    <w:rPr>
      <w:rFonts w:cs="Times New Roman"/>
      <w:lang w:val="en-US"/>
    </w:rPr>
  </w:style>
  <w:style w:type="character" w:customStyle="1" w:styleId="IPPNormalChar">
    <w:name w:val="IPP Normal Char"/>
    <w:link w:val="IPPNormal"/>
    <w:rsid w:val="00366E57"/>
    <w:rPr>
      <w:rFonts w:ascii="Times New Roman" w:eastAsia="Times" w:hAnsi="Times New Roman"/>
      <w:szCs w:val="24"/>
      <w:lang w:val="en-GB" w:eastAsia="zh-CN"/>
    </w:rPr>
  </w:style>
  <w:style w:type="character" w:customStyle="1" w:styleId="UnresolvedMention1">
    <w:name w:val="Unresolved Mention1"/>
    <w:basedOn w:val="DefaultParagraphFont"/>
    <w:uiPriority w:val="99"/>
    <w:semiHidden/>
    <w:unhideWhenUsed/>
    <w:rsid w:val="007F5013"/>
    <w:rPr>
      <w:color w:val="605E5C"/>
      <w:shd w:val="clear" w:color="auto" w:fill="E1DFDD"/>
    </w:rPr>
  </w:style>
  <w:style w:type="paragraph" w:styleId="Title">
    <w:name w:val="Title"/>
    <w:basedOn w:val="Normal"/>
    <w:next w:val="Normal"/>
    <w:link w:val="TitleChar"/>
    <w:uiPriority w:val="10"/>
    <w:qFormat/>
    <w:rsid w:val="0956352D"/>
    <w:pPr>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956352D"/>
    <w:rPr>
      <w:rFonts w:eastAsiaTheme="minorEastAsia"/>
      <w:color w:val="5A5A5A"/>
    </w:rPr>
  </w:style>
  <w:style w:type="paragraph" w:styleId="Quote">
    <w:name w:val="Quote"/>
    <w:basedOn w:val="Normal"/>
    <w:next w:val="Normal"/>
    <w:link w:val="QuoteChar"/>
    <w:uiPriority w:val="29"/>
    <w:qFormat/>
    <w:rsid w:val="0956352D"/>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0956352D"/>
    <w:pPr>
      <w:spacing w:before="360" w:after="360"/>
      <w:ind w:left="864" w:right="864"/>
      <w:jc w:val="center"/>
    </w:pPr>
    <w:rPr>
      <w:i/>
      <w:iCs/>
      <w:color w:val="5B9BD5" w:themeColor="accent1"/>
    </w:rPr>
  </w:style>
  <w:style w:type="character" w:customStyle="1" w:styleId="Heading4Char">
    <w:name w:val="Heading 4 Char"/>
    <w:basedOn w:val="DefaultParagraphFont"/>
    <w:link w:val="Heading4"/>
    <w:uiPriority w:val="9"/>
    <w:rsid w:val="0956352D"/>
    <w:rPr>
      <w:rFonts w:asciiTheme="majorHAnsi" w:eastAsiaTheme="majorEastAsia" w:hAnsiTheme="majorHAnsi" w:cstheme="majorBidi"/>
      <w:i/>
      <w:iCs/>
      <w:noProof w:val="0"/>
      <w:color w:val="2E74B5" w:themeColor="accent1" w:themeShade="BF"/>
      <w:lang w:val="en-GB"/>
    </w:rPr>
  </w:style>
  <w:style w:type="character" w:customStyle="1" w:styleId="Heading5Char">
    <w:name w:val="Heading 5 Char"/>
    <w:basedOn w:val="DefaultParagraphFont"/>
    <w:link w:val="Heading5"/>
    <w:uiPriority w:val="9"/>
    <w:rsid w:val="0956352D"/>
    <w:rPr>
      <w:rFonts w:asciiTheme="majorHAnsi" w:eastAsiaTheme="majorEastAsia" w:hAnsiTheme="majorHAnsi" w:cstheme="majorBidi"/>
      <w:noProof w:val="0"/>
      <w:color w:val="2E74B5" w:themeColor="accent1" w:themeShade="BF"/>
      <w:lang w:val="en-GB"/>
    </w:rPr>
  </w:style>
  <w:style w:type="character" w:customStyle="1" w:styleId="Heading6Char">
    <w:name w:val="Heading 6 Char"/>
    <w:basedOn w:val="DefaultParagraphFont"/>
    <w:link w:val="Heading6"/>
    <w:uiPriority w:val="9"/>
    <w:rsid w:val="0956352D"/>
    <w:rPr>
      <w:rFonts w:asciiTheme="majorHAnsi" w:eastAsiaTheme="majorEastAsia" w:hAnsiTheme="majorHAnsi" w:cstheme="majorBidi"/>
      <w:noProof w:val="0"/>
      <w:color w:val="1F4D78"/>
      <w:lang w:val="en-GB"/>
    </w:rPr>
  </w:style>
  <w:style w:type="character" w:customStyle="1" w:styleId="Heading7Char">
    <w:name w:val="Heading 7 Char"/>
    <w:basedOn w:val="DefaultParagraphFont"/>
    <w:link w:val="Heading7"/>
    <w:uiPriority w:val="9"/>
    <w:rsid w:val="0956352D"/>
    <w:rPr>
      <w:rFonts w:asciiTheme="majorHAnsi" w:eastAsiaTheme="majorEastAsia" w:hAnsiTheme="majorHAnsi" w:cstheme="majorBidi"/>
      <w:i/>
      <w:iCs/>
      <w:noProof w:val="0"/>
      <w:color w:val="1F4D78"/>
      <w:lang w:val="en-GB"/>
    </w:rPr>
  </w:style>
  <w:style w:type="character" w:customStyle="1" w:styleId="Heading8Char">
    <w:name w:val="Heading 8 Char"/>
    <w:basedOn w:val="DefaultParagraphFont"/>
    <w:link w:val="Heading8"/>
    <w:uiPriority w:val="9"/>
    <w:rsid w:val="0956352D"/>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0956352D"/>
    <w:rPr>
      <w:rFonts w:asciiTheme="majorHAnsi" w:eastAsiaTheme="majorEastAsia" w:hAnsiTheme="majorHAnsi" w:cstheme="majorBidi"/>
      <w:i/>
      <w:iCs/>
      <w:noProof w:val="0"/>
      <w:color w:val="272727"/>
      <w:sz w:val="21"/>
      <w:szCs w:val="21"/>
      <w:lang w:val="en-GB"/>
    </w:rPr>
  </w:style>
  <w:style w:type="character" w:customStyle="1" w:styleId="TitleChar">
    <w:name w:val="Title Char"/>
    <w:basedOn w:val="DefaultParagraphFont"/>
    <w:link w:val="Title"/>
    <w:uiPriority w:val="10"/>
    <w:rsid w:val="0956352D"/>
    <w:rPr>
      <w:rFonts w:asciiTheme="majorHAnsi" w:eastAsiaTheme="majorEastAsia" w:hAnsiTheme="majorHAnsi" w:cstheme="majorBidi"/>
      <w:noProof w:val="0"/>
      <w:sz w:val="56"/>
      <w:szCs w:val="56"/>
      <w:lang w:val="en-GB"/>
    </w:rPr>
  </w:style>
  <w:style w:type="character" w:customStyle="1" w:styleId="SubtitleChar">
    <w:name w:val="Subtitle Char"/>
    <w:basedOn w:val="DefaultParagraphFont"/>
    <w:link w:val="Subtitle"/>
    <w:uiPriority w:val="11"/>
    <w:rsid w:val="0956352D"/>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0956352D"/>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0956352D"/>
    <w:rPr>
      <w:i/>
      <w:iCs/>
      <w:noProof w:val="0"/>
      <w:color w:val="5B9BD5" w:themeColor="accent1"/>
      <w:lang w:val="en-GB"/>
    </w:rPr>
  </w:style>
  <w:style w:type="paragraph" w:styleId="EndnoteText">
    <w:name w:val="endnote text"/>
    <w:basedOn w:val="Normal"/>
    <w:link w:val="EndnoteTextChar"/>
    <w:uiPriority w:val="99"/>
    <w:semiHidden/>
    <w:unhideWhenUsed/>
    <w:rsid w:val="0956352D"/>
    <w:rPr>
      <w:sz w:val="20"/>
      <w:szCs w:val="20"/>
    </w:rPr>
  </w:style>
  <w:style w:type="character" w:customStyle="1" w:styleId="EndnoteTextChar">
    <w:name w:val="Endnote Text Char"/>
    <w:basedOn w:val="DefaultParagraphFont"/>
    <w:link w:val="EndnoteText"/>
    <w:uiPriority w:val="99"/>
    <w:semiHidden/>
    <w:rsid w:val="0956352D"/>
    <w:rPr>
      <w:noProof w:val="0"/>
      <w:sz w:val="20"/>
      <w:szCs w:val="20"/>
      <w:lang w:val="en-GB"/>
    </w:rPr>
  </w:style>
  <w:style w:type="character" w:styleId="UnresolvedMention">
    <w:name w:val="Unresolved Mention"/>
    <w:basedOn w:val="DefaultParagraphFont"/>
    <w:uiPriority w:val="99"/>
    <w:semiHidden/>
    <w:unhideWhenUsed/>
    <w:rsid w:val="007A6E36"/>
    <w:rPr>
      <w:color w:val="605E5C"/>
      <w:shd w:val="clear" w:color="auto" w:fill="E1DFDD"/>
    </w:rPr>
  </w:style>
  <w:style w:type="character" w:styleId="Mention">
    <w:name w:val="Mention"/>
    <w:basedOn w:val="DefaultParagraphFont"/>
    <w:uiPriority w:val="99"/>
    <w:unhideWhenUsed/>
    <w:rsid w:val="00F95036"/>
    <w:rPr>
      <w:color w:val="2B579A"/>
      <w:shd w:val="clear" w:color="auto" w:fill="E6E6E6"/>
    </w:rPr>
  </w:style>
  <w:style w:type="character" w:styleId="IntenseReference">
    <w:name w:val="Intense Reference"/>
    <w:basedOn w:val="DefaultParagraphFont"/>
    <w:uiPriority w:val="32"/>
    <w:qFormat/>
    <w:rsid w:val="004C292D"/>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72424">
      <w:bodyDiv w:val="1"/>
      <w:marLeft w:val="0"/>
      <w:marRight w:val="0"/>
      <w:marTop w:val="0"/>
      <w:marBottom w:val="0"/>
      <w:divBdr>
        <w:top w:val="none" w:sz="0" w:space="0" w:color="auto"/>
        <w:left w:val="none" w:sz="0" w:space="0" w:color="auto"/>
        <w:bottom w:val="none" w:sz="0" w:space="0" w:color="auto"/>
        <w:right w:val="none" w:sz="0" w:space="0" w:color="auto"/>
      </w:divBdr>
    </w:div>
    <w:div w:id="39135627">
      <w:bodyDiv w:val="1"/>
      <w:marLeft w:val="0"/>
      <w:marRight w:val="0"/>
      <w:marTop w:val="0"/>
      <w:marBottom w:val="0"/>
      <w:divBdr>
        <w:top w:val="none" w:sz="0" w:space="0" w:color="auto"/>
        <w:left w:val="none" w:sz="0" w:space="0" w:color="auto"/>
        <w:bottom w:val="none" w:sz="0" w:space="0" w:color="auto"/>
        <w:right w:val="none" w:sz="0" w:space="0" w:color="auto"/>
      </w:divBdr>
    </w:div>
    <w:div w:id="62146047">
      <w:bodyDiv w:val="1"/>
      <w:marLeft w:val="0"/>
      <w:marRight w:val="0"/>
      <w:marTop w:val="0"/>
      <w:marBottom w:val="0"/>
      <w:divBdr>
        <w:top w:val="none" w:sz="0" w:space="0" w:color="auto"/>
        <w:left w:val="none" w:sz="0" w:space="0" w:color="auto"/>
        <w:bottom w:val="none" w:sz="0" w:space="0" w:color="auto"/>
        <w:right w:val="none" w:sz="0" w:space="0" w:color="auto"/>
      </w:divBdr>
    </w:div>
    <w:div w:id="76635977">
      <w:bodyDiv w:val="1"/>
      <w:marLeft w:val="0"/>
      <w:marRight w:val="0"/>
      <w:marTop w:val="0"/>
      <w:marBottom w:val="0"/>
      <w:divBdr>
        <w:top w:val="none" w:sz="0" w:space="0" w:color="auto"/>
        <w:left w:val="none" w:sz="0" w:space="0" w:color="auto"/>
        <w:bottom w:val="none" w:sz="0" w:space="0" w:color="auto"/>
        <w:right w:val="none" w:sz="0" w:space="0" w:color="auto"/>
      </w:divBdr>
    </w:div>
    <w:div w:id="209726951">
      <w:bodyDiv w:val="1"/>
      <w:marLeft w:val="0"/>
      <w:marRight w:val="0"/>
      <w:marTop w:val="0"/>
      <w:marBottom w:val="0"/>
      <w:divBdr>
        <w:top w:val="none" w:sz="0" w:space="0" w:color="auto"/>
        <w:left w:val="none" w:sz="0" w:space="0" w:color="auto"/>
        <w:bottom w:val="none" w:sz="0" w:space="0" w:color="auto"/>
        <w:right w:val="none" w:sz="0" w:space="0" w:color="auto"/>
      </w:divBdr>
      <w:divsChild>
        <w:div w:id="2516171">
          <w:marLeft w:val="0"/>
          <w:marRight w:val="0"/>
          <w:marTop w:val="0"/>
          <w:marBottom w:val="0"/>
          <w:divBdr>
            <w:top w:val="none" w:sz="0" w:space="0" w:color="auto"/>
            <w:left w:val="none" w:sz="0" w:space="0" w:color="auto"/>
            <w:bottom w:val="none" w:sz="0" w:space="0" w:color="auto"/>
            <w:right w:val="none" w:sz="0" w:space="0" w:color="auto"/>
          </w:divBdr>
        </w:div>
        <w:div w:id="55974484">
          <w:marLeft w:val="0"/>
          <w:marRight w:val="0"/>
          <w:marTop w:val="0"/>
          <w:marBottom w:val="0"/>
          <w:divBdr>
            <w:top w:val="none" w:sz="0" w:space="0" w:color="auto"/>
            <w:left w:val="none" w:sz="0" w:space="0" w:color="auto"/>
            <w:bottom w:val="none" w:sz="0" w:space="0" w:color="auto"/>
            <w:right w:val="none" w:sz="0" w:space="0" w:color="auto"/>
          </w:divBdr>
        </w:div>
        <w:div w:id="585573070">
          <w:marLeft w:val="0"/>
          <w:marRight w:val="0"/>
          <w:marTop w:val="0"/>
          <w:marBottom w:val="0"/>
          <w:divBdr>
            <w:top w:val="none" w:sz="0" w:space="0" w:color="auto"/>
            <w:left w:val="none" w:sz="0" w:space="0" w:color="auto"/>
            <w:bottom w:val="none" w:sz="0" w:space="0" w:color="auto"/>
            <w:right w:val="none" w:sz="0" w:space="0" w:color="auto"/>
          </w:divBdr>
        </w:div>
        <w:div w:id="1350377037">
          <w:marLeft w:val="0"/>
          <w:marRight w:val="0"/>
          <w:marTop w:val="0"/>
          <w:marBottom w:val="0"/>
          <w:divBdr>
            <w:top w:val="none" w:sz="0" w:space="0" w:color="auto"/>
            <w:left w:val="none" w:sz="0" w:space="0" w:color="auto"/>
            <w:bottom w:val="none" w:sz="0" w:space="0" w:color="auto"/>
            <w:right w:val="none" w:sz="0" w:space="0" w:color="auto"/>
          </w:divBdr>
        </w:div>
      </w:divsChild>
    </w:div>
    <w:div w:id="210699488">
      <w:bodyDiv w:val="1"/>
      <w:marLeft w:val="0"/>
      <w:marRight w:val="0"/>
      <w:marTop w:val="0"/>
      <w:marBottom w:val="0"/>
      <w:divBdr>
        <w:top w:val="none" w:sz="0" w:space="0" w:color="auto"/>
        <w:left w:val="none" w:sz="0" w:space="0" w:color="auto"/>
        <w:bottom w:val="none" w:sz="0" w:space="0" w:color="auto"/>
        <w:right w:val="none" w:sz="0" w:space="0" w:color="auto"/>
      </w:divBdr>
      <w:divsChild>
        <w:div w:id="1987708680">
          <w:marLeft w:val="0"/>
          <w:marRight w:val="0"/>
          <w:marTop w:val="0"/>
          <w:marBottom w:val="0"/>
          <w:divBdr>
            <w:top w:val="none" w:sz="0" w:space="0" w:color="auto"/>
            <w:left w:val="none" w:sz="0" w:space="0" w:color="auto"/>
            <w:bottom w:val="none" w:sz="0" w:space="0" w:color="auto"/>
            <w:right w:val="none" w:sz="0" w:space="0" w:color="auto"/>
          </w:divBdr>
        </w:div>
        <w:div w:id="1018895816">
          <w:marLeft w:val="0"/>
          <w:marRight w:val="0"/>
          <w:marTop w:val="0"/>
          <w:marBottom w:val="0"/>
          <w:divBdr>
            <w:top w:val="none" w:sz="0" w:space="0" w:color="auto"/>
            <w:left w:val="none" w:sz="0" w:space="0" w:color="auto"/>
            <w:bottom w:val="none" w:sz="0" w:space="0" w:color="auto"/>
            <w:right w:val="none" w:sz="0" w:space="0" w:color="auto"/>
          </w:divBdr>
        </w:div>
      </w:divsChild>
    </w:div>
    <w:div w:id="458453206">
      <w:bodyDiv w:val="1"/>
      <w:marLeft w:val="0"/>
      <w:marRight w:val="0"/>
      <w:marTop w:val="0"/>
      <w:marBottom w:val="0"/>
      <w:divBdr>
        <w:top w:val="none" w:sz="0" w:space="0" w:color="auto"/>
        <w:left w:val="none" w:sz="0" w:space="0" w:color="auto"/>
        <w:bottom w:val="none" w:sz="0" w:space="0" w:color="auto"/>
        <w:right w:val="none" w:sz="0" w:space="0" w:color="auto"/>
      </w:divBdr>
      <w:divsChild>
        <w:div w:id="1163160497">
          <w:marLeft w:val="0"/>
          <w:marRight w:val="0"/>
          <w:marTop w:val="0"/>
          <w:marBottom w:val="0"/>
          <w:divBdr>
            <w:top w:val="none" w:sz="0" w:space="0" w:color="auto"/>
            <w:left w:val="none" w:sz="0" w:space="0" w:color="auto"/>
            <w:bottom w:val="none" w:sz="0" w:space="0" w:color="auto"/>
            <w:right w:val="none" w:sz="0" w:space="0" w:color="auto"/>
          </w:divBdr>
          <w:divsChild>
            <w:div w:id="358704133">
              <w:marLeft w:val="0"/>
              <w:marRight w:val="0"/>
              <w:marTop w:val="0"/>
              <w:marBottom w:val="0"/>
              <w:divBdr>
                <w:top w:val="none" w:sz="0" w:space="0" w:color="auto"/>
                <w:left w:val="none" w:sz="0" w:space="0" w:color="auto"/>
                <w:bottom w:val="none" w:sz="0" w:space="0" w:color="auto"/>
                <w:right w:val="none" w:sz="0" w:space="0" w:color="auto"/>
              </w:divBdr>
              <w:divsChild>
                <w:div w:id="779108614">
                  <w:marLeft w:val="0"/>
                  <w:marRight w:val="0"/>
                  <w:marTop w:val="0"/>
                  <w:marBottom w:val="0"/>
                  <w:divBdr>
                    <w:top w:val="none" w:sz="0" w:space="0" w:color="auto"/>
                    <w:left w:val="none" w:sz="0" w:space="0" w:color="auto"/>
                    <w:bottom w:val="none" w:sz="0" w:space="0" w:color="auto"/>
                    <w:right w:val="none" w:sz="0" w:space="0" w:color="auto"/>
                  </w:divBdr>
                  <w:divsChild>
                    <w:div w:id="64769574">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 w:id="1803881894">
          <w:marLeft w:val="0"/>
          <w:marRight w:val="0"/>
          <w:marTop w:val="0"/>
          <w:marBottom w:val="0"/>
          <w:divBdr>
            <w:top w:val="none" w:sz="0" w:space="0" w:color="auto"/>
            <w:left w:val="none" w:sz="0" w:space="0" w:color="auto"/>
            <w:bottom w:val="none" w:sz="0" w:space="0" w:color="auto"/>
            <w:right w:val="none" w:sz="0" w:space="0" w:color="auto"/>
          </w:divBdr>
          <w:divsChild>
            <w:div w:id="1184202233">
              <w:marLeft w:val="0"/>
              <w:marRight w:val="0"/>
              <w:marTop w:val="0"/>
              <w:marBottom w:val="0"/>
              <w:divBdr>
                <w:top w:val="none" w:sz="0" w:space="0" w:color="auto"/>
                <w:left w:val="none" w:sz="0" w:space="0" w:color="auto"/>
                <w:bottom w:val="none" w:sz="0" w:space="0" w:color="auto"/>
                <w:right w:val="none" w:sz="0" w:space="0" w:color="auto"/>
              </w:divBdr>
              <w:divsChild>
                <w:div w:id="1894468121">
                  <w:marLeft w:val="0"/>
                  <w:marRight w:val="0"/>
                  <w:marTop w:val="0"/>
                  <w:marBottom w:val="0"/>
                  <w:divBdr>
                    <w:top w:val="none" w:sz="0" w:space="0" w:color="auto"/>
                    <w:left w:val="none" w:sz="0" w:space="0" w:color="auto"/>
                    <w:bottom w:val="none" w:sz="0" w:space="0" w:color="auto"/>
                    <w:right w:val="none" w:sz="0" w:space="0" w:color="auto"/>
                  </w:divBdr>
                  <w:divsChild>
                    <w:div w:id="203761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999960">
      <w:bodyDiv w:val="1"/>
      <w:marLeft w:val="0"/>
      <w:marRight w:val="0"/>
      <w:marTop w:val="0"/>
      <w:marBottom w:val="0"/>
      <w:divBdr>
        <w:top w:val="none" w:sz="0" w:space="0" w:color="auto"/>
        <w:left w:val="none" w:sz="0" w:space="0" w:color="auto"/>
        <w:bottom w:val="none" w:sz="0" w:space="0" w:color="auto"/>
        <w:right w:val="none" w:sz="0" w:space="0" w:color="auto"/>
      </w:divBdr>
    </w:div>
    <w:div w:id="553008018">
      <w:bodyDiv w:val="1"/>
      <w:marLeft w:val="0"/>
      <w:marRight w:val="0"/>
      <w:marTop w:val="0"/>
      <w:marBottom w:val="0"/>
      <w:divBdr>
        <w:top w:val="none" w:sz="0" w:space="0" w:color="auto"/>
        <w:left w:val="none" w:sz="0" w:space="0" w:color="auto"/>
        <w:bottom w:val="none" w:sz="0" w:space="0" w:color="auto"/>
        <w:right w:val="none" w:sz="0" w:space="0" w:color="auto"/>
      </w:divBdr>
    </w:div>
    <w:div w:id="557595206">
      <w:bodyDiv w:val="1"/>
      <w:marLeft w:val="0"/>
      <w:marRight w:val="0"/>
      <w:marTop w:val="0"/>
      <w:marBottom w:val="0"/>
      <w:divBdr>
        <w:top w:val="none" w:sz="0" w:space="0" w:color="auto"/>
        <w:left w:val="none" w:sz="0" w:space="0" w:color="auto"/>
        <w:bottom w:val="none" w:sz="0" w:space="0" w:color="auto"/>
        <w:right w:val="none" w:sz="0" w:space="0" w:color="auto"/>
      </w:divBdr>
      <w:divsChild>
        <w:div w:id="176383531">
          <w:marLeft w:val="0"/>
          <w:marRight w:val="0"/>
          <w:marTop w:val="0"/>
          <w:marBottom w:val="0"/>
          <w:divBdr>
            <w:top w:val="none" w:sz="0" w:space="0" w:color="auto"/>
            <w:left w:val="none" w:sz="0" w:space="0" w:color="auto"/>
            <w:bottom w:val="none" w:sz="0" w:space="0" w:color="auto"/>
            <w:right w:val="none" w:sz="0" w:space="0" w:color="auto"/>
          </w:divBdr>
        </w:div>
        <w:div w:id="504782160">
          <w:marLeft w:val="0"/>
          <w:marRight w:val="0"/>
          <w:marTop w:val="0"/>
          <w:marBottom w:val="0"/>
          <w:divBdr>
            <w:top w:val="none" w:sz="0" w:space="0" w:color="auto"/>
            <w:left w:val="none" w:sz="0" w:space="0" w:color="auto"/>
            <w:bottom w:val="none" w:sz="0" w:space="0" w:color="auto"/>
            <w:right w:val="none" w:sz="0" w:space="0" w:color="auto"/>
          </w:divBdr>
        </w:div>
        <w:div w:id="667908806">
          <w:marLeft w:val="0"/>
          <w:marRight w:val="0"/>
          <w:marTop w:val="0"/>
          <w:marBottom w:val="0"/>
          <w:divBdr>
            <w:top w:val="none" w:sz="0" w:space="0" w:color="auto"/>
            <w:left w:val="none" w:sz="0" w:space="0" w:color="auto"/>
            <w:bottom w:val="none" w:sz="0" w:space="0" w:color="auto"/>
            <w:right w:val="none" w:sz="0" w:space="0" w:color="auto"/>
          </w:divBdr>
        </w:div>
        <w:div w:id="1792045669">
          <w:marLeft w:val="0"/>
          <w:marRight w:val="0"/>
          <w:marTop w:val="0"/>
          <w:marBottom w:val="0"/>
          <w:divBdr>
            <w:top w:val="none" w:sz="0" w:space="0" w:color="auto"/>
            <w:left w:val="none" w:sz="0" w:space="0" w:color="auto"/>
            <w:bottom w:val="none" w:sz="0" w:space="0" w:color="auto"/>
            <w:right w:val="none" w:sz="0" w:space="0" w:color="auto"/>
          </w:divBdr>
        </w:div>
      </w:divsChild>
    </w:div>
    <w:div w:id="571698438">
      <w:bodyDiv w:val="1"/>
      <w:marLeft w:val="0"/>
      <w:marRight w:val="0"/>
      <w:marTop w:val="0"/>
      <w:marBottom w:val="0"/>
      <w:divBdr>
        <w:top w:val="none" w:sz="0" w:space="0" w:color="auto"/>
        <w:left w:val="none" w:sz="0" w:space="0" w:color="auto"/>
        <w:bottom w:val="none" w:sz="0" w:space="0" w:color="auto"/>
        <w:right w:val="none" w:sz="0" w:space="0" w:color="auto"/>
      </w:divBdr>
      <w:divsChild>
        <w:div w:id="673075204">
          <w:marLeft w:val="0"/>
          <w:marRight w:val="0"/>
          <w:marTop w:val="0"/>
          <w:marBottom w:val="0"/>
          <w:divBdr>
            <w:top w:val="none" w:sz="0" w:space="0" w:color="auto"/>
            <w:left w:val="none" w:sz="0" w:space="0" w:color="auto"/>
            <w:bottom w:val="none" w:sz="0" w:space="0" w:color="auto"/>
            <w:right w:val="none" w:sz="0" w:space="0" w:color="auto"/>
          </w:divBdr>
        </w:div>
        <w:div w:id="1200820581">
          <w:marLeft w:val="0"/>
          <w:marRight w:val="0"/>
          <w:marTop w:val="0"/>
          <w:marBottom w:val="0"/>
          <w:divBdr>
            <w:top w:val="none" w:sz="0" w:space="0" w:color="auto"/>
            <w:left w:val="none" w:sz="0" w:space="0" w:color="auto"/>
            <w:bottom w:val="none" w:sz="0" w:space="0" w:color="auto"/>
            <w:right w:val="none" w:sz="0" w:space="0" w:color="auto"/>
          </w:divBdr>
        </w:div>
        <w:div w:id="1542089690">
          <w:marLeft w:val="0"/>
          <w:marRight w:val="0"/>
          <w:marTop w:val="0"/>
          <w:marBottom w:val="0"/>
          <w:divBdr>
            <w:top w:val="none" w:sz="0" w:space="0" w:color="auto"/>
            <w:left w:val="none" w:sz="0" w:space="0" w:color="auto"/>
            <w:bottom w:val="none" w:sz="0" w:space="0" w:color="auto"/>
            <w:right w:val="none" w:sz="0" w:space="0" w:color="auto"/>
          </w:divBdr>
        </w:div>
        <w:div w:id="815226506">
          <w:marLeft w:val="0"/>
          <w:marRight w:val="0"/>
          <w:marTop w:val="0"/>
          <w:marBottom w:val="0"/>
          <w:divBdr>
            <w:top w:val="none" w:sz="0" w:space="0" w:color="auto"/>
            <w:left w:val="none" w:sz="0" w:space="0" w:color="auto"/>
            <w:bottom w:val="none" w:sz="0" w:space="0" w:color="auto"/>
            <w:right w:val="none" w:sz="0" w:space="0" w:color="auto"/>
          </w:divBdr>
        </w:div>
        <w:div w:id="1733262838">
          <w:marLeft w:val="0"/>
          <w:marRight w:val="0"/>
          <w:marTop w:val="0"/>
          <w:marBottom w:val="0"/>
          <w:divBdr>
            <w:top w:val="none" w:sz="0" w:space="0" w:color="auto"/>
            <w:left w:val="none" w:sz="0" w:space="0" w:color="auto"/>
            <w:bottom w:val="none" w:sz="0" w:space="0" w:color="auto"/>
            <w:right w:val="none" w:sz="0" w:space="0" w:color="auto"/>
          </w:divBdr>
        </w:div>
        <w:div w:id="2020616301">
          <w:marLeft w:val="0"/>
          <w:marRight w:val="0"/>
          <w:marTop w:val="0"/>
          <w:marBottom w:val="0"/>
          <w:divBdr>
            <w:top w:val="none" w:sz="0" w:space="0" w:color="auto"/>
            <w:left w:val="none" w:sz="0" w:space="0" w:color="auto"/>
            <w:bottom w:val="none" w:sz="0" w:space="0" w:color="auto"/>
            <w:right w:val="none" w:sz="0" w:space="0" w:color="auto"/>
          </w:divBdr>
        </w:div>
        <w:div w:id="1983852625">
          <w:marLeft w:val="0"/>
          <w:marRight w:val="0"/>
          <w:marTop w:val="0"/>
          <w:marBottom w:val="0"/>
          <w:divBdr>
            <w:top w:val="none" w:sz="0" w:space="0" w:color="auto"/>
            <w:left w:val="none" w:sz="0" w:space="0" w:color="auto"/>
            <w:bottom w:val="none" w:sz="0" w:space="0" w:color="auto"/>
            <w:right w:val="none" w:sz="0" w:space="0" w:color="auto"/>
          </w:divBdr>
        </w:div>
        <w:div w:id="736978988">
          <w:marLeft w:val="0"/>
          <w:marRight w:val="0"/>
          <w:marTop w:val="0"/>
          <w:marBottom w:val="0"/>
          <w:divBdr>
            <w:top w:val="none" w:sz="0" w:space="0" w:color="auto"/>
            <w:left w:val="none" w:sz="0" w:space="0" w:color="auto"/>
            <w:bottom w:val="none" w:sz="0" w:space="0" w:color="auto"/>
            <w:right w:val="none" w:sz="0" w:space="0" w:color="auto"/>
          </w:divBdr>
        </w:div>
        <w:div w:id="849609516">
          <w:marLeft w:val="0"/>
          <w:marRight w:val="0"/>
          <w:marTop w:val="0"/>
          <w:marBottom w:val="0"/>
          <w:divBdr>
            <w:top w:val="none" w:sz="0" w:space="0" w:color="auto"/>
            <w:left w:val="none" w:sz="0" w:space="0" w:color="auto"/>
            <w:bottom w:val="none" w:sz="0" w:space="0" w:color="auto"/>
            <w:right w:val="none" w:sz="0" w:space="0" w:color="auto"/>
          </w:divBdr>
          <w:divsChild>
            <w:div w:id="107899424">
              <w:marLeft w:val="0"/>
              <w:marRight w:val="0"/>
              <w:marTop w:val="0"/>
              <w:marBottom w:val="0"/>
              <w:divBdr>
                <w:top w:val="none" w:sz="0" w:space="0" w:color="auto"/>
                <w:left w:val="none" w:sz="0" w:space="0" w:color="auto"/>
                <w:bottom w:val="none" w:sz="0" w:space="0" w:color="auto"/>
                <w:right w:val="none" w:sz="0" w:space="0" w:color="auto"/>
              </w:divBdr>
            </w:div>
            <w:div w:id="1035884752">
              <w:marLeft w:val="0"/>
              <w:marRight w:val="0"/>
              <w:marTop w:val="0"/>
              <w:marBottom w:val="0"/>
              <w:divBdr>
                <w:top w:val="none" w:sz="0" w:space="0" w:color="auto"/>
                <w:left w:val="none" w:sz="0" w:space="0" w:color="auto"/>
                <w:bottom w:val="none" w:sz="0" w:space="0" w:color="auto"/>
                <w:right w:val="none" w:sz="0" w:space="0" w:color="auto"/>
              </w:divBdr>
            </w:div>
            <w:div w:id="1426728698">
              <w:marLeft w:val="0"/>
              <w:marRight w:val="0"/>
              <w:marTop w:val="0"/>
              <w:marBottom w:val="0"/>
              <w:divBdr>
                <w:top w:val="none" w:sz="0" w:space="0" w:color="auto"/>
                <w:left w:val="none" w:sz="0" w:space="0" w:color="auto"/>
                <w:bottom w:val="none" w:sz="0" w:space="0" w:color="auto"/>
                <w:right w:val="none" w:sz="0" w:space="0" w:color="auto"/>
              </w:divBdr>
            </w:div>
            <w:div w:id="2130933369">
              <w:marLeft w:val="0"/>
              <w:marRight w:val="0"/>
              <w:marTop w:val="0"/>
              <w:marBottom w:val="0"/>
              <w:divBdr>
                <w:top w:val="none" w:sz="0" w:space="0" w:color="auto"/>
                <w:left w:val="none" w:sz="0" w:space="0" w:color="auto"/>
                <w:bottom w:val="none" w:sz="0" w:space="0" w:color="auto"/>
                <w:right w:val="none" w:sz="0" w:space="0" w:color="auto"/>
              </w:divBdr>
            </w:div>
          </w:divsChild>
        </w:div>
        <w:div w:id="1194613783">
          <w:marLeft w:val="0"/>
          <w:marRight w:val="0"/>
          <w:marTop w:val="0"/>
          <w:marBottom w:val="0"/>
          <w:divBdr>
            <w:top w:val="none" w:sz="0" w:space="0" w:color="auto"/>
            <w:left w:val="none" w:sz="0" w:space="0" w:color="auto"/>
            <w:bottom w:val="none" w:sz="0" w:space="0" w:color="auto"/>
            <w:right w:val="none" w:sz="0" w:space="0" w:color="auto"/>
          </w:divBdr>
          <w:divsChild>
            <w:div w:id="1040934312">
              <w:marLeft w:val="0"/>
              <w:marRight w:val="0"/>
              <w:marTop w:val="0"/>
              <w:marBottom w:val="0"/>
              <w:divBdr>
                <w:top w:val="none" w:sz="0" w:space="0" w:color="auto"/>
                <w:left w:val="none" w:sz="0" w:space="0" w:color="auto"/>
                <w:bottom w:val="none" w:sz="0" w:space="0" w:color="auto"/>
                <w:right w:val="none" w:sz="0" w:space="0" w:color="auto"/>
              </w:divBdr>
            </w:div>
            <w:div w:id="1726903195">
              <w:marLeft w:val="0"/>
              <w:marRight w:val="0"/>
              <w:marTop w:val="0"/>
              <w:marBottom w:val="0"/>
              <w:divBdr>
                <w:top w:val="none" w:sz="0" w:space="0" w:color="auto"/>
                <w:left w:val="none" w:sz="0" w:space="0" w:color="auto"/>
                <w:bottom w:val="none" w:sz="0" w:space="0" w:color="auto"/>
                <w:right w:val="none" w:sz="0" w:space="0" w:color="auto"/>
              </w:divBdr>
            </w:div>
            <w:div w:id="1191724687">
              <w:marLeft w:val="0"/>
              <w:marRight w:val="0"/>
              <w:marTop w:val="0"/>
              <w:marBottom w:val="0"/>
              <w:divBdr>
                <w:top w:val="none" w:sz="0" w:space="0" w:color="auto"/>
                <w:left w:val="none" w:sz="0" w:space="0" w:color="auto"/>
                <w:bottom w:val="none" w:sz="0" w:space="0" w:color="auto"/>
                <w:right w:val="none" w:sz="0" w:space="0" w:color="auto"/>
              </w:divBdr>
            </w:div>
            <w:div w:id="1169634369">
              <w:marLeft w:val="0"/>
              <w:marRight w:val="0"/>
              <w:marTop w:val="0"/>
              <w:marBottom w:val="0"/>
              <w:divBdr>
                <w:top w:val="none" w:sz="0" w:space="0" w:color="auto"/>
                <w:left w:val="none" w:sz="0" w:space="0" w:color="auto"/>
                <w:bottom w:val="none" w:sz="0" w:space="0" w:color="auto"/>
                <w:right w:val="none" w:sz="0" w:space="0" w:color="auto"/>
              </w:divBdr>
            </w:div>
          </w:divsChild>
        </w:div>
        <w:div w:id="170071130">
          <w:marLeft w:val="0"/>
          <w:marRight w:val="0"/>
          <w:marTop w:val="0"/>
          <w:marBottom w:val="0"/>
          <w:divBdr>
            <w:top w:val="none" w:sz="0" w:space="0" w:color="auto"/>
            <w:left w:val="none" w:sz="0" w:space="0" w:color="auto"/>
            <w:bottom w:val="none" w:sz="0" w:space="0" w:color="auto"/>
            <w:right w:val="none" w:sz="0" w:space="0" w:color="auto"/>
          </w:divBdr>
        </w:div>
        <w:div w:id="1100836607">
          <w:marLeft w:val="0"/>
          <w:marRight w:val="0"/>
          <w:marTop w:val="0"/>
          <w:marBottom w:val="0"/>
          <w:divBdr>
            <w:top w:val="none" w:sz="0" w:space="0" w:color="auto"/>
            <w:left w:val="none" w:sz="0" w:space="0" w:color="auto"/>
            <w:bottom w:val="none" w:sz="0" w:space="0" w:color="auto"/>
            <w:right w:val="none" w:sz="0" w:space="0" w:color="auto"/>
          </w:divBdr>
        </w:div>
        <w:div w:id="1438213662">
          <w:marLeft w:val="0"/>
          <w:marRight w:val="0"/>
          <w:marTop w:val="0"/>
          <w:marBottom w:val="0"/>
          <w:divBdr>
            <w:top w:val="none" w:sz="0" w:space="0" w:color="auto"/>
            <w:left w:val="none" w:sz="0" w:space="0" w:color="auto"/>
            <w:bottom w:val="none" w:sz="0" w:space="0" w:color="auto"/>
            <w:right w:val="none" w:sz="0" w:space="0" w:color="auto"/>
          </w:divBdr>
        </w:div>
        <w:div w:id="1097364215">
          <w:marLeft w:val="0"/>
          <w:marRight w:val="0"/>
          <w:marTop w:val="0"/>
          <w:marBottom w:val="0"/>
          <w:divBdr>
            <w:top w:val="none" w:sz="0" w:space="0" w:color="auto"/>
            <w:left w:val="none" w:sz="0" w:space="0" w:color="auto"/>
            <w:bottom w:val="none" w:sz="0" w:space="0" w:color="auto"/>
            <w:right w:val="none" w:sz="0" w:space="0" w:color="auto"/>
          </w:divBdr>
        </w:div>
        <w:div w:id="472792116">
          <w:marLeft w:val="0"/>
          <w:marRight w:val="0"/>
          <w:marTop w:val="0"/>
          <w:marBottom w:val="0"/>
          <w:divBdr>
            <w:top w:val="none" w:sz="0" w:space="0" w:color="auto"/>
            <w:left w:val="none" w:sz="0" w:space="0" w:color="auto"/>
            <w:bottom w:val="none" w:sz="0" w:space="0" w:color="auto"/>
            <w:right w:val="none" w:sz="0" w:space="0" w:color="auto"/>
          </w:divBdr>
        </w:div>
        <w:div w:id="970403884">
          <w:marLeft w:val="0"/>
          <w:marRight w:val="0"/>
          <w:marTop w:val="0"/>
          <w:marBottom w:val="0"/>
          <w:divBdr>
            <w:top w:val="none" w:sz="0" w:space="0" w:color="auto"/>
            <w:left w:val="none" w:sz="0" w:space="0" w:color="auto"/>
            <w:bottom w:val="none" w:sz="0" w:space="0" w:color="auto"/>
            <w:right w:val="none" w:sz="0" w:space="0" w:color="auto"/>
          </w:divBdr>
        </w:div>
      </w:divsChild>
    </w:div>
    <w:div w:id="602104378">
      <w:bodyDiv w:val="1"/>
      <w:marLeft w:val="0"/>
      <w:marRight w:val="0"/>
      <w:marTop w:val="0"/>
      <w:marBottom w:val="0"/>
      <w:divBdr>
        <w:top w:val="none" w:sz="0" w:space="0" w:color="auto"/>
        <w:left w:val="none" w:sz="0" w:space="0" w:color="auto"/>
        <w:bottom w:val="none" w:sz="0" w:space="0" w:color="auto"/>
        <w:right w:val="none" w:sz="0" w:space="0" w:color="auto"/>
      </w:divBdr>
    </w:div>
    <w:div w:id="606548834">
      <w:bodyDiv w:val="1"/>
      <w:marLeft w:val="0"/>
      <w:marRight w:val="0"/>
      <w:marTop w:val="0"/>
      <w:marBottom w:val="0"/>
      <w:divBdr>
        <w:top w:val="none" w:sz="0" w:space="0" w:color="auto"/>
        <w:left w:val="none" w:sz="0" w:space="0" w:color="auto"/>
        <w:bottom w:val="none" w:sz="0" w:space="0" w:color="auto"/>
        <w:right w:val="none" w:sz="0" w:space="0" w:color="auto"/>
      </w:divBdr>
    </w:div>
    <w:div w:id="647825139">
      <w:bodyDiv w:val="1"/>
      <w:marLeft w:val="0"/>
      <w:marRight w:val="0"/>
      <w:marTop w:val="0"/>
      <w:marBottom w:val="0"/>
      <w:divBdr>
        <w:top w:val="none" w:sz="0" w:space="0" w:color="auto"/>
        <w:left w:val="none" w:sz="0" w:space="0" w:color="auto"/>
        <w:bottom w:val="none" w:sz="0" w:space="0" w:color="auto"/>
        <w:right w:val="none" w:sz="0" w:space="0" w:color="auto"/>
      </w:divBdr>
    </w:div>
    <w:div w:id="736126087">
      <w:bodyDiv w:val="1"/>
      <w:marLeft w:val="0"/>
      <w:marRight w:val="0"/>
      <w:marTop w:val="0"/>
      <w:marBottom w:val="0"/>
      <w:divBdr>
        <w:top w:val="none" w:sz="0" w:space="0" w:color="auto"/>
        <w:left w:val="none" w:sz="0" w:space="0" w:color="auto"/>
        <w:bottom w:val="none" w:sz="0" w:space="0" w:color="auto"/>
        <w:right w:val="none" w:sz="0" w:space="0" w:color="auto"/>
      </w:divBdr>
    </w:div>
    <w:div w:id="988090905">
      <w:bodyDiv w:val="1"/>
      <w:marLeft w:val="0"/>
      <w:marRight w:val="0"/>
      <w:marTop w:val="0"/>
      <w:marBottom w:val="0"/>
      <w:divBdr>
        <w:top w:val="none" w:sz="0" w:space="0" w:color="auto"/>
        <w:left w:val="none" w:sz="0" w:space="0" w:color="auto"/>
        <w:bottom w:val="none" w:sz="0" w:space="0" w:color="auto"/>
        <w:right w:val="none" w:sz="0" w:space="0" w:color="auto"/>
      </w:divBdr>
    </w:div>
    <w:div w:id="994650064">
      <w:bodyDiv w:val="1"/>
      <w:marLeft w:val="0"/>
      <w:marRight w:val="0"/>
      <w:marTop w:val="0"/>
      <w:marBottom w:val="0"/>
      <w:divBdr>
        <w:top w:val="none" w:sz="0" w:space="0" w:color="auto"/>
        <w:left w:val="none" w:sz="0" w:space="0" w:color="auto"/>
        <w:bottom w:val="none" w:sz="0" w:space="0" w:color="auto"/>
        <w:right w:val="none" w:sz="0" w:space="0" w:color="auto"/>
      </w:divBdr>
    </w:div>
    <w:div w:id="1047145663">
      <w:bodyDiv w:val="1"/>
      <w:marLeft w:val="0"/>
      <w:marRight w:val="0"/>
      <w:marTop w:val="0"/>
      <w:marBottom w:val="0"/>
      <w:divBdr>
        <w:top w:val="none" w:sz="0" w:space="0" w:color="auto"/>
        <w:left w:val="none" w:sz="0" w:space="0" w:color="auto"/>
        <w:bottom w:val="none" w:sz="0" w:space="0" w:color="auto"/>
        <w:right w:val="none" w:sz="0" w:space="0" w:color="auto"/>
      </w:divBdr>
    </w:div>
    <w:div w:id="1047800585">
      <w:bodyDiv w:val="1"/>
      <w:marLeft w:val="0"/>
      <w:marRight w:val="0"/>
      <w:marTop w:val="0"/>
      <w:marBottom w:val="0"/>
      <w:divBdr>
        <w:top w:val="none" w:sz="0" w:space="0" w:color="auto"/>
        <w:left w:val="none" w:sz="0" w:space="0" w:color="auto"/>
        <w:bottom w:val="none" w:sz="0" w:space="0" w:color="auto"/>
        <w:right w:val="none" w:sz="0" w:space="0" w:color="auto"/>
      </w:divBdr>
      <w:divsChild>
        <w:div w:id="1065032767">
          <w:marLeft w:val="0"/>
          <w:marRight w:val="0"/>
          <w:marTop w:val="0"/>
          <w:marBottom w:val="0"/>
          <w:divBdr>
            <w:top w:val="none" w:sz="0" w:space="0" w:color="auto"/>
            <w:left w:val="none" w:sz="0" w:space="0" w:color="auto"/>
            <w:bottom w:val="none" w:sz="0" w:space="0" w:color="auto"/>
            <w:right w:val="none" w:sz="0" w:space="0" w:color="auto"/>
          </w:divBdr>
        </w:div>
      </w:divsChild>
    </w:div>
    <w:div w:id="1105807320">
      <w:bodyDiv w:val="1"/>
      <w:marLeft w:val="0"/>
      <w:marRight w:val="0"/>
      <w:marTop w:val="0"/>
      <w:marBottom w:val="0"/>
      <w:divBdr>
        <w:top w:val="none" w:sz="0" w:space="0" w:color="auto"/>
        <w:left w:val="none" w:sz="0" w:space="0" w:color="auto"/>
        <w:bottom w:val="none" w:sz="0" w:space="0" w:color="auto"/>
        <w:right w:val="none" w:sz="0" w:space="0" w:color="auto"/>
      </w:divBdr>
    </w:div>
    <w:div w:id="1150907604">
      <w:bodyDiv w:val="1"/>
      <w:marLeft w:val="0"/>
      <w:marRight w:val="0"/>
      <w:marTop w:val="0"/>
      <w:marBottom w:val="0"/>
      <w:divBdr>
        <w:top w:val="none" w:sz="0" w:space="0" w:color="auto"/>
        <w:left w:val="none" w:sz="0" w:space="0" w:color="auto"/>
        <w:bottom w:val="none" w:sz="0" w:space="0" w:color="auto"/>
        <w:right w:val="none" w:sz="0" w:space="0" w:color="auto"/>
      </w:divBdr>
    </w:div>
    <w:div w:id="1243755107">
      <w:bodyDiv w:val="1"/>
      <w:marLeft w:val="0"/>
      <w:marRight w:val="0"/>
      <w:marTop w:val="0"/>
      <w:marBottom w:val="0"/>
      <w:divBdr>
        <w:top w:val="none" w:sz="0" w:space="0" w:color="auto"/>
        <w:left w:val="none" w:sz="0" w:space="0" w:color="auto"/>
        <w:bottom w:val="none" w:sz="0" w:space="0" w:color="auto"/>
        <w:right w:val="none" w:sz="0" w:space="0" w:color="auto"/>
      </w:divBdr>
    </w:div>
    <w:div w:id="1263343318">
      <w:bodyDiv w:val="1"/>
      <w:marLeft w:val="0"/>
      <w:marRight w:val="0"/>
      <w:marTop w:val="0"/>
      <w:marBottom w:val="0"/>
      <w:divBdr>
        <w:top w:val="none" w:sz="0" w:space="0" w:color="auto"/>
        <w:left w:val="none" w:sz="0" w:space="0" w:color="auto"/>
        <w:bottom w:val="none" w:sz="0" w:space="0" w:color="auto"/>
        <w:right w:val="none" w:sz="0" w:space="0" w:color="auto"/>
      </w:divBdr>
    </w:div>
    <w:div w:id="1270160829">
      <w:bodyDiv w:val="1"/>
      <w:marLeft w:val="0"/>
      <w:marRight w:val="0"/>
      <w:marTop w:val="0"/>
      <w:marBottom w:val="0"/>
      <w:divBdr>
        <w:top w:val="none" w:sz="0" w:space="0" w:color="auto"/>
        <w:left w:val="none" w:sz="0" w:space="0" w:color="auto"/>
        <w:bottom w:val="none" w:sz="0" w:space="0" w:color="auto"/>
        <w:right w:val="none" w:sz="0" w:space="0" w:color="auto"/>
      </w:divBdr>
    </w:div>
    <w:div w:id="1305701847">
      <w:bodyDiv w:val="1"/>
      <w:marLeft w:val="0"/>
      <w:marRight w:val="0"/>
      <w:marTop w:val="0"/>
      <w:marBottom w:val="0"/>
      <w:divBdr>
        <w:top w:val="none" w:sz="0" w:space="0" w:color="auto"/>
        <w:left w:val="none" w:sz="0" w:space="0" w:color="auto"/>
        <w:bottom w:val="none" w:sz="0" w:space="0" w:color="auto"/>
        <w:right w:val="none" w:sz="0" w:space="0" w:color="auto"/>
      </w:divBdr>
    </w:div>
    <w:div w:id="1350833347">
      <w:bodyDiv w:val="1"/>
      <w:marLeft w:val="0"/>
      <w:marRight w:val="0"/>
      <w:marTop w:val="0"/>
      <w:marBottom w:val="0"/>
      <w:divBdr>
        <w:top w:val="none" w:sz="0" w:space="0" w:color="auto"/>
        <w:left w:val="none" w:sz="0" w:space="0" w:color="auto"/>
        <w:bottom w:val="none" w:sz="0" w:space="0" w:color="auto"/>
        <w:right w:val="none" w:sz="0" w:space="0" w:color="auto"/>
      </w:divBdr>
      <w:divsChild>
        <w:div w:id="1882128483">
          <w:marLeft w:val="0"/>
          <w:marRight w:val="0"/>
          <w:marTop w:val="0"/>
          <w:marBottom w:val="0"/>
          <w:divBdr>
            <w:top w:val="none" w:sz="0" w:space="0" w:color="auto"/>
            <w:left w:val="none" w:sz="0" w:space="0" w:color="auto"/>
            <w:bottom w:val="none" w:sz="0" w:space="0" w:color="auto"/>
            <w:right w:val="none" w:sz="0" w:space="0" w:color="auto"/>
          </w:divBdr>
          <w:divsChild>
            <w:div w:id="59402206">
              <w:marLeft w:val="0"/>
              <w:marRight w:val="0"/>
              <w:marTop w:val="0"/>
              <w:marBottom w:val="0"/>
              <w:divBdr>
                <w:top w:val="none" w:sz="0" w:space="0" w:color="auto"/>
                <w:left w:val="none" w:sz="0" w:space="0" w:color="auto"/>
                <w:bottom w:val="none" w:sz="0" w:space="0" w:color="auto"/>
                <w:right w:val="none" w:sz="0" w:space="0" w:color="auto"/>
              </w:divBdr>
            </w:div>
            <w:div w:id="1695570776">
              <w:marLeft w:val="0"/>
              <w:marRight w:val="0"/>
              <w:marTop w:val="0"/>
              <w:marBottom w:val="0"/>
              <w:divBdr>
                <w:top w:val="none" w:sz="0" w:space="0" w:color="auto"/>
                <w:left w:val="none" w:sz="0" w:space="0" w:color="auto"/>
                <w:bottom w:val="none" w:sz="0" w:space="0" w:color="auto"/>
                <w:right w:val="none" w:sz="0" w:space="0" w:color="auto"/>
              </w:divBdr>
            </w:div>
            <w:div w:id="1875001450">
              <w:marLeft w:val="0"/>
              <w:marRight w:val="0"/>
              <w:marTop w:val="0"/>
              <w:marBottom w:val="0"/>
              <w:divBdr>
                <w:top w:val="none" w:sz="0" w:space="0" w:color="auto"/>
                <w:left w:val="none" w:sz="0" w:space="0" w:color="auto"/>
                <w:bottom w:val="none" w:sz="0" w:space="0" w:color="auto"/>
                <w:right w:val="none" w:sz="0" w:space="0" w:color="auto"/>
              </w:divBdr>
            </w:div>
            <w:div w:id="1080756380">
              <w:marLeft w:val="0"/>
              <w:marRight w:val="0"/>
              <w:marTop w:val="0"/>
              <w:marBottom w:val="0"/>
              <w:divBdr>
                <w:top w:val="none" w:sz="0" w:space="0" w:color="auto"/>
                <w:left w:val="none" w:sz="0" w:space="0" w:color="auto"/>
                <w:bottom w:val="none" w:sz="0" w:space="0" w:color="auto"/>
                <w:right w:val="none" w:sz="0" w:space="0" w:color="auto"/>
              </w:divBdr>
            </w:div>
            <w:div w:id="1372925124">
              <w:marLeft w:val="0"/>
              <w:marRight w:val="0"/>
              <w:marTop w:val="0"/>
              <w:marBottom w:val="0"/>
              <w:divBdr>
                <w:top w:val="none" w:sz="0" w:space="0" w:color="auto"/>
                <w:left w:val="none" w:sz="0" w:space="0" w:color="auto"/>
                <w:bottom w:val="none" w:sz="0" w:space="0" w:color="auto"/>
                <w:right w:val="none" w:sz="0" w:space="0" w:color="auto"/>
              </w:divBdr>
            </w:div>
          </w:divsChild>
        </w:div>
        <w:div w:id="88506074">
          <w:marLeft w:val="0"/>
          <w:marRight w:val="0"/>
          <w:marTop w:val="0"/>
          <w:marBottom w:val="0"/>
          <w:divBdr>
            <w:top w:val="none" w:sz="0" w:space="0" w:color="auto"/>
            <w:left w:val="none" w:sz="0" w:space="0" w:color="auto"/>
            <w:bottom w:val="none" w:sz="0" w:space="0" w:color="auto"/>
            <w:right w:val="none" w:sz="0" w:space="0" w:color="auto"/>
          </w:divBdr>
          <w:divsChild>
            <w:div w:id="1515223239">
              <w:marLeft w:val="0"/>
              <w:marRight w:val="0"/>
              <w:marTop w:val="0"/>
              <w:marBottom w:val="0"/>
              <w:divBdr>
                <w:top w:val="none" w:sz="0" w:space="0" w:color="auto"/>
                <w:left w:val="none" w:sz="0" w:space="0" w:color="auto"/>
                <w:bottom w:val="none" w:sz="0" w:space="0" w:color="auto"/>
                <w:right w:val="none" w:sz="0" w:space="0" w:color="auto"/>
              </w:divBdr>
            </w:div>
          </w:divsChild>
        </w:div>
        <w:div w:id="1349672711">
          <w:marLeft w:val="0"/>
          <w:marRight w:val="0"/>
          <w:marTop w:val="0"/>
          <w:marBottom w:val="0"/>
          <w:divBdr>
            <w:top w:val="none" w:sz="0" w:space="0" w:color="auto"/>
            <w:left w:val="none" w:sz="0" w:space="0" w:color="auto"/>
            <w:bottom w:val="none" w:sz="0" w:space="0" w:color="auto"/>
            <w:right w:val="none" w:sz="0" w:space="0" w:color="auto"/>
          </w:divBdr>
          <w:divsChild>
            <w:div w:id="507603480">
              <w:marLeft w:val="0"/>
              <w:marRight w:val="0"/>
              <w:marTop w:val="0"/>
              <w:marBottom w:val="0"/>
              <w:divBdr>
                <w:top w:val="none" w:sz="0" w:space="0" w:color="auto"/>
                <w:left w:val="none" w:sz="0" w:space="0" w:color="auto"/>
                <w:bottom w:val="none" w:sz="0" w:space="0" w:color="auto"/>
                <w:right w:val="none" w:sz="0" w:space="0" w:color="auto"/>
              </w:divBdr>
            </w:div>
          </w:divsChild>
        </w:div>
        <w:div w:id="1756320673">
          <w:marLeft w:val="0"/>
          <w:marRight w:val="0"/>
          <w:marTop w:val="0"/>
          <w:marBottom w:val="0"/>
          <w:divBdr>
            <w:top w:val="none" w:sz="0" w:space="0" w:color="auto"/>
            <w:left w:val="none" w:sz="0" w:space="0" w:color="auto"/>
            <w:bottom w:val="none" w:sz="0" w:space="0" w:color="auto"/>
            <w:right w:val="none" w:sz="0" w:space="0" w:color="auto"/>
          </w:divBdr>
          <w:divsChild>
            <w:div w:id="740835322">
              <w:marLeft w:val="0"/>
              <w:marRight w:val="0"/>
              <w:marTop w:val="0"/>
              <w:marBottom w:val="0"/>
              <w:divBdr>
                <w:top w:val="none" w:sz="0" w:space="0" w:color="auto"/>
                <w:left w:val="none" w:sz="0" w:space="0" w:color="auto"/>
                <w:bottom w:val="none" w:sz="0" w:space="0" w:color="auto"/>
                <w:right w:val="none" w:sz="0" w:space="0" w:color="auto"/>
              </w:divBdr>
            </w:div>
          </w:divsChild>
        </w:div>
        <w:div w:id="1752770326">
          <w:marLeft w:val="0"/>
          <w:marRight w:val="0"/>
          <w:marTop w:val="0"/>
          <w:marBottom w:val="0"/>
          <w:divBdr>
            <w:top w:val="none" w:sz="0" w:space="0" w:color="auto"/>
            <w:left w:val="none" w:sz="0" w:space="0" w:color="auto"/>
            <w:bottom w:val="none" w:sz="0" w:space="0" w:color="auto"/>
            <w:right w:val="none" w:sz="0" w:space="0" w:color="auto"/>
          </w:divBdr>
          <w:divsChild>
            <w:div w:id="1890339474">
              <w:marLeft w:val="0"/>
              <w:marRight w:val="0"/>
              <w:marTop w:val="0"/>
              <w:marBottom w:val="0"/>
              <w:divBdr>
                <w:top w:val="none" w:sz="0" w:space="0" w:color="auto"/>
                <w:left w:val="none" w:sz="0" w:space="0" w:color="auto"/>
                <w:bottom w:val="none" w:sz="0" w:space="0" w:color="auto"/>
                <w:right w:val="none" w:sz="0" w:space="0" w:color="auto"/>
              </w:divBdr>
            </w:div>
          </w:divsChild>
        </w:div>
        <w:div w:id="47606415">
          <w:marLeft w:val="0"/>
          <w:marRight w:val="0"/>
          <w:marTop w:val="0"/>
          <w:marBottom w:val="0"/>
          <w:divBdr>
            <w:top w:val="none" w:sz="0" w:space="0" w:color="auto"/>
            <w:left w:val="none" w:sz="0" w:space="0" w:color="auto"/>
            <w:bottom w:val="none" w:sz="0" w:space="0" w:color="auto"/>
            <w:right w:val="none" w:sz="0" w:space="0" w:color="auto"/>
          </w:divBdr>
          <w:divsChild>
            <w:div w:id="228151101">
              <w:marLeft w:val="0"/>
              <w:marRight w:val="0"/>
              <w:marTop w:val="0"/>
              <w:marBottom w:val="0"/>
              <w:divBdr>
                <w:top w:val="none" w:sz="0" w:space="0" w:color="auto"/>
                <w:left w:val="none" w:sz="0" w:space="0" w:color="auto"/>
                <w:bottom w:val="none" w:sz="0" w:space="0" w:color="auto"/>
                <w:right w:val="none" w:sz="0" w:space="0" w:color="auto"/>
              </w:divBdr>
            </w:div>
          </w:divsChild>
        </w:div>
        <w:div w:id="1683701104">
          <w:marLeft w:val="0"/>
          <w:marRight w:val="0"/>
          <w:marTop w:val="0"/>
          <w:marBottom w:val="0"/>
          <w:divBdr>
            <w:top w:val="none" w:sz="0" w:space="0" w:color="auto"/>
            <w:left w:val="none" w:sz="0" w:space="0" w:color="auto"/>
            <w:bottom w:val="none" w:sz="0" w:space="0" w:color="auto"/>
            <w:right w:val="none" w:sz="0" w:space="0" w:color="auto"/>
          </w:divBdr>
          <w:divsChild>
            <w:div w:id="575432020">
              <w:marLeft w:val="0"/>
              <w:marRight w:val="0"/>
              <w:marTop w:val="0"/>
              <w:marBottom w:val="0"/>
              <w:divBdr>
                <w:top w:val="none" w:sz="0" w:space="0" w:color="auto"/>
                <w:left w:val="none" w:sz="0" w:space="0" w:color="auto"/>
                <w:bottom w:val="none" w:sz="0" w:space="0" w:color="auto"/>
                <w:right w:val="none" w:sz="0" w:space="0" w:color="auto"/>
              </w:divBdr>
            </w:div>
          </w:divsChild>
        </w:div>
        <w:div w:id="1093893919">
          <w:marLeft w:val="0"/>
          <w:marRight w:val="0"/>
          <w:marTop w:val="0"/>
          <w:marBottom w:val="0"/>
          <w:divBdr>
            <w:top w:val="none" w:sz="0" w:space="0" w:color="auto"/>
            <w:left w:val="none" w:sz="0" w:space="0" w:color="auto"/>
            <w:bottom w:val="none" w:sz="0" w:space="0" w:color="auto"/>
            <w:right w:val="none" w:sz="0" w:space="0" w:color="auto"/>
          </w:divBdr>
          <w:divsChild>
            <w:div w:id="7382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69429">
      <w:bodyDiv w:val="1"/>
      <w:marLeft w:val="0"/>
      <w:marRight w:val="0"/>
      <w:marTop w:val="0"/>
      <w:marBottom w:val="0"/>
      <w:divBdr>
        <w:top w:val="none" w:sz="0" w:space="0" w:color="auto"/>
        <w:left w:val="none" w:sz="0" w:space="0" w:color="auto"/>
        <w:bottom w:val="none" w:sz="0" w:space="0" w:color="auto"/>
        <w:right w:val="none" w:sz="0" w:space="0" w:color="auto"/>
      </w:divBdr>
      <w:divsChild>
        <w:div w:id="796796858">
          <w:marLeft w:val="0"/>
          <w:marRight w:val="0"/>
          <w:marTop w:val="0"/>
          <w:marBottom w:val="0"/>
          <w:divBdr>
            <w:top w:val="none" w:sz="0" w:space="0" w:color="auto"/>
            <w:left w:val="none" w:sz="0" w:space="0" w:color="auto"/>
            <w:bottom w:val="none" w:sz="0" w:space="0" w:color="auto"/>
            <w:right w:val="none" w:sz="0" w:space="0" w:color="auto"/>
          </w:divBdr>
        </w:div>
        <w:div w:id="699597639">
          <w:marLeft w:val="0"/>
          <w:marRight w:val="0"/>
          <w:marTop w:val="0"/>
          <w:marBottom w:val="0"/>
          <w:divBdr>
            <w:top w:val="none" w:sz="0" w:space="0" w:color="auto"/>
            <w:left w:val="none" w:sz="0" w:space="0" w:color="auto"/>
            <w:bottom w:val="none" w:sz="0" w:space="0" w:color="auto"/>
            <w:right w:val="none" w:sz="0" w:space="0" w:color="auto"/>
          </w:divBdr>
        </w:div>
      </w:divsChild>
    </w:div>
    <w:div w:id="1392733398">
      <w:bodyDiv w:val="1"/>
      <w:marLeft w:val="0"/>
      <w:marRight w:val="0"/>
      <w:marTop w:val="0"/>
      <w:marBottom w:val="0"/>
      <w:divBdr>
        <w:top w:val="none" w:sz="0" w:space="0" w:color="auto"/>
        <w:left w:val="none" w:sz="0" w:space="0" w:color="auto"/>
        <w:bottom w:val="none" w:sz="0" w:space="0" w:color="auto"/>
        <w:right w:val="none" w:sz="0" w:space="0" w:color="auto"/>
      </w:divBdr>
    </w:div>
    <w:div w:id="1469475472">
      <w:bodyDiv w:val="1"/>
      <w:marLeft w:val="0"/>
      <w:marRight w:val="0"/>
      <w:marTop w:val="0"/>
      <w:marBottom w:val="0"/>
      <w:divBdr>
        <w:top w:val="none" w:sz="0" w:space="0" w:color="auto"/>
        <w:left w:val="none" w:sz="0" w:space="0" w:color="auto"/>
        <w:bottom w:val="none" w:sz="0" w:space="0" w:color="auto"/>
        <w:right w:val="none" w:sz="0" w:space="0" w:color="auto"/>
      </w:divBdr>
    </w:div>
    <w:div w:id="1512792953">
      <w:bodyDiv w:val="1"/>
      <w:marLeft w:val="0"/>
      <w:marRight w:val="0"/>
      <w:marTop w:val="0"/>
      <w:marBottom w:val="0"/>
      <w:divBdr>
        <w:top w:val="none" w:sz="0" w:space="0" w:color="auto"/>
        <w:left w:val="none" w:sz="0" w:space="0" w:color="auto"/>
        <w:bottom w:val="none" w:sz="0" w:space="0" w:color="auto"/>
        <w:right w:val="none" w:sz="0" w:space="0" w:color="auto"/>
      </w:divBdr>
      <w:divsChild>
        <w:div w:id="335350654">
          <w:marLeft w:val="0"/>
          <w:marRight w:val="0"/>
          <w:marTop w:val="0"/>
          <w:marBottom w:val="0"/>
          <w:divBdr>
            <w:top w:val="none" w:sz="0" w:space="0" w:color="auto"/>
            <w:left w:val="none" w:sz="0" w:space="0" w:color="auto"/>
            <w:bottom w:val="none" w:sz="0" w:space="0" w:color="auto"/>
            <w:right w:val="none" w:sz="0" w:space="0" w:color="auto"/>
          </w:divBdr>
          <w:divsChild>
            <w:div w:id="1876693375">
              <w:marLeft w:val="0"/>
              <w:marRight w:val="0"/>
              <w:marTop w:val="0"/>
              <w:marBottom w:val="0"/>
              <w:divBdr>
                <w:top w:val="none" w:sz="0" w:space="0" w:color="auto"/>
                <w:left w:val="none" w:sz="0" w:space="0" w:color="auto"/>
                <w:bottom w:val="none" w:sz="0" w:space="0" w:color="auto"/>
                <w:right w:val="none" w:sz="0" w:space="0" w:color="auto"/>
              </w:divBdr>
            </w:div>
            <w:div w:id="1327828494">
              <w:marLeft w:val="0"/>
              <w:marRight w:val="0"/>
              <w:marTop w:val="0"/>
              <w:marBottom w:val="0"/>
              <w:divBdr>
                <w:top w:val="none" w:sz="0" w:space="0" w:color="auto"/>
                <w:left w:val="none" w:sz="0" w:space="0" w:color="auto"/>
                <w:bottom w:val="none" w:sz="0" w:space="0" w:color="auto"/>
                <w:right w:val="none" w:sz="0" w:space="0" w:color="auto"/>
              </w:divBdr>
            </w:div>
            <w:div w:id="818302816">
              <w:marLeft w:val="0"/>
              <w:marRight w:val="0"/>
              <w:marTop w:val="0"/>
              <w:marBottom w:val="0"/>
              <w:divBdr>
                <w:top w:val="none" w:sz="0" w:space="0" w:color="auto"/>
                <w:left w:val="none" w:sz="0" w:space="0" w:color="auto"/>
                <w:bottom w:val="none" w:sz="0" w:space="0" w:color="auto"/>
                <w:right w:val="none" w:sz="0" w:space="0" w:color="auto"/>
              </w:divBdr>
            </w:div>
            <w:div w:id="1080131382">
              <w:marLeft w:val="0"/>
              <w:marRight w:val="0"/>
              <w:marTop w:val="0"/>
              <w:marBottom w:val="0"/>
              <w:divBdr>
                <w:top w:val="none" w:sz="0" w:space="0" w:color="auto"/>
                <w:left w:val="none" w:sz="0" w:space="0" w:color="auto"/>
                <w:bottom w:val="none" w:sz="0" w:space="0" w:color="auto"/>
                <w:right w:val="none" w:sz="0" w:space="0" w:color="auto"/>
              </w:divBdr>
            </w:div>
            <w:div w:id="1510679111">
              <w:marLeft w:val="0"/>
              <w:marRight w:val="0"/>
              <w:marTop w:val="0"/>
              <w:marBottom w:val="0"/>
              <w:divBdr>
                <w:top w:val="none" w:sz="0" w:space="0" w:color="auto"/>
                <w:left w:val="none" w:sz="0" w:space="0" w:color="auto"/>
                <w:bottom w:val="none" w:sz="0" w:space="0" w:color="auto"/>
                <w:right w:val="none" w:sz="0" w:space="0" w:color="auto"/>
              </w:divBdr>
            </w:div>
          </w:divsChild>
        </w:div>
        <w:div w:id="35281853">
          <w:marLeft w:val="0"/>
          <w:marRight w:val="0"/>
          <w:marTop w:val="0"/>
          <w:marBottom w:val="0"/>
          <w:divBdr>
            <w:top w:val="none" w:sz="0" w:space="0" w:color="auto"/>
            <w:left w:val="none" w:sz="0" w:space="0" w:color="auto"/>
            <w:bottom w:val="none" w:sz="0" w:space="0" w:color="auto"/>
            <w:right w:val="none" w:sz="0" w:space="0" w:color="auto"/>
          </w:divBdr>
          <w:divsChild>
            <w:div w:id="1582760570">
              <w:marLeft w:val="0"/>
              <w:marRight w:val="0"/>
              <w:marTop w:val="0"/>
              <w:marBottom w:val="0"/>
              <w:divBdr>
                <w:top w:val="none" w:sz="0" w:space="0" w:color="auto"/>
                <w:left w:val="none" w:sz="0" w:space="0" w:color="auto"/>
                <w:bottom w:val="none" w:sz="0" w:space="0" w:color="auto"/>
                <w:right w:val="none" w:sz="0" w:space="0" w:color="auto"/>
              </w:divBdr>
            </w:div>
          </w:divsChild>
        </w:div>
        <w:div w:id="1012337107">
          <w:marLeft w:val="0"/>
          <w:marRight w:val="0"/>
          <w:marTop w:val="0"/>
          <w:marBottom w:val="0"/>
          <w:divBdr>
            <w:top w:val="none" w:sz="0" w:space="0" w:color="auto"/>
            <w:left w:val="none" w:sz="0" w:space="0" w:color="auto"/>
            <w:bottom w:val="none" w:sz="0" w:space="0" w:color="auto"/>
            <w:right w:val="none" w:sz="0" w:space="0" w:color="auto"/>
          </w:divBdr>
          <w:divsChild>
            <w:div w:id="212237903">
              <w:marLeft w:val="0"/>
              <w:marRight w:val="0"/>
              <w:marTop w:val="0"/>
              <w:marBottom w:val="0"/>
              <w:divBdr>
                <w:top w:val="none" w:sz="0" w:space="0" w:color="auto"/>
                <w:left w:val="none" w:sz="0" w:space="0" w:color="auto"/>
                <w:bottom w:val="none" w:sz="0" w:space="0" w:color="auto"/>
                <w:right w:val="none" w:sz="0" w:space="0" w:color="auto"/>
              </w:divBdr>
            </w:div>
          </w:divsChild>
        </w:div>
        <w:div w:id="1762607720">
          <w:marLeft w:val="0"/>
          <w:marRight w:val="0"/>
          <w:marTop w:val="0"/>
          <w:marBottom w:val="0"/>
          <w:divBdr>
            <w:top w:val="none" w:sz="0" w:space="0" w:color="auto"/>
            <w:left w:val="none" w:sz="0" w:space="0" w:color="auto"/>
            <w:bottom w:val="none" w:sz="0" w:space="0" w:color="auto"/>
            <w:right w:val="none" w:sz="0" w:space="0" w:color="auto"/>
          </w:divBdr>
          <w:divsChild>
            <w:div w:id="1762949318">
              <w:marLeft w:val="0"/>
              <w:marRight w:val="0"/>
              <w:marTop w:val="0"/>
              <w:marBottom w:val="0"/>
              <w:divBdr>
                <w:top w:val="none" w:sz="0" w:space="0" w:color="auto"/>
                <w:left w:val="none" w:sz="0" w:space="0" w:color="auto"/>
                <w:bottom w:val="none" w:sz="0" w:space="0" w:color="auto"/>
                <w:right w:val="none" w:sz="0" w:space="0" w:color="auto"/>
              </w:divBdr>
            </w:div>
          </w:divsChild>
        </w:div>
        <w:div w:id="686755837">
          <w:marLeft w:val="0"/>
          <w:marRight w:val="0"/>
          <w:marTop w:val="0"/>
          <w:marBottom w:val="0"/>
          <w:divBdr>
            <w:top w:val="none" w:sz="0" w:space="0" w:color="auto"/>
            <w:left w:val="none" w:sz="0" w:space="0" w:color="auto"/>
            <w:bottom w:val="none" w:sz="0" w:space="0" w:color="auto"/>
            <w:right w:val="none" w:sz="0" w:space="0" w:color="auto"/>
          </w:divBdr>
          <w:divsChild>
            <w:div w:id="982274175">
              <w:marLeft w:val="0"/>
              <w:marRight w:val="0"/>
              <w:marTop w:val="0"/>
              <w:marBottom w:val="0"/>
              <w:divBdr>
                <w:top w:val="none" w:sz="0" w:space="0" w:color="auto"/>
                <w:left w:val="none" w:sz="0" w:space="0" w:color="auto"/>
                <w:bottom w:val="none" w:sz="0" w:space="0" w:color="auto"/>
                <w:right w:val="none" w:sz="0" w:space="0" w:color="auto"/>
              </w:divBdr>
            </w:div>
          </w:divsChild>
        </w:div>
        <w:div w:id="1799764535">
          <w:marLeft w:val="0"/>
          <w:marRight w:val="0"/>
          <w:marTop w:val="0"/>
          <w:marBottom w:val="0"/>
          <w:divBdr>
            <w:top w:val="none" w:sz="0" w:space="0" w:color="auto"/>
            <w:left w:val="none" w:sz="0" w:space="0" w:color="auto"/>
            <w:bottom w:val="none" w:sz="0" w:space="0" w:color="auto"/>
            <w:right w:val="none" w:sz="0" w:space="0" w:color="auto"/>
          </w:divBdr>
          <w:divsChild>
            <w:div w:id="1665546230">
              <w:marLeft w:val="0"/>
              <w:marRight w:val="0"/>
              <w:marTop w:val="0"/>
              <w:marBottom w:val="0"/>
              <w:divBdr>
                <w:top w:val="none" w:sz="0" w:space="0" w:color="auto"/>
                <w:left w:val="none" w:sz="0" w:space="0" w:color="auto"/>
                <w:bottom w:val="none" w:sz="0" w:space="0" w:color="auto"/>
                <w:right w:val="none" w:sz="0" w:space="0" w:color="auto"/>
              </w:divBdr>
            </w:div>
          </w:divsChild>
        </w:div>
        <w:div w:id="1838375086">
          <w:marLeft w:val="0"/>
          <w:marRight w:val="0"/>
          <w:marTop w:val="0"/>
          <w:marBottom w:val="0"/>
          <w:divBdr>
            <w:top w:val="none" w:sz="0" w:space="0" w:color="auto"/>
            <w:left w:val="none" w:sz="0" w:space="0" w:color="auto"/>
            <w:bottom w:val="none" w:sz="0" w:space="0" w:color="auto"/>
            <w:right w:val="none" w:sz="0" w:space="0" w:color="auto"/>
          </w:divBdr>
          <w:divsChild>
            <w:div w:id="1915120674">
              <w:marLeft w:val="0"/>
              <w:marRight w:val="0"/>
              <w:marTop w:val="0"/>
              <w:marBottom w:val="0"/>
              <w:divBdr>
                <w:top w:val="none" w:sz="0" w:space="0" w:color="auto"/>
                <w:left w:val="none" w:sz="0" w:space="0" w:color="auto"/>
                <w:bottom w:val="none" w:sz="0" w:space="0" w:color="auto"/>
                <w:right w:val="none" w:sz="0" w:space="0" w:color="auto"/>
              </w:divBdr>
            </w:div>
          </w:divsChild>
        </w:div>
        <w:div w:id="634482412">
          <w:marLeft w:val="0"/>
          <w:marRight w:val="0"/>
          <w:marTop w:val="0"/>
          <w:marBottom w:val="0"/>
          <w:divBdr>
            <w:top w:val="none" w:sz="0" w:space="0" w:color="auto"/>
            <w:left w:val="none" w:sz="0" w:space="0" w:color="auto"/>
            <w:bottom w:val="none" w:sz="0" w:space="0" w:color="auto"/>
            <w:right w:val="none" w:sz="0" w:space="0" w:color="auto"/>
          </w:divBdr>
          <w:divsChild>
            <w:div w:id="69234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74715">
      <w:bodyDiv w:val="1"/>
      <w:marLeft w:val="0"/>
      <w:marRight w:val="0"/>
      <w:marTop w:val="0"/>
      <w:marBottom w:val="0"/>
      <w:divBdr>
        <w:top w:val="none" w:sz="0" w:space="0" w:color="auto"/>
        <w:left w:val="none" w:sz="0" w:space="0" w:color="auto"/>
        <w:bottom w:val="none" w:sz="0" w:space="0" w:color="auto"/>
        <w:right w:val="none" w:sz="0" w:space="0" w:color="auto"/>
      </w:divBdr>
    </w:div>
    <w:div w:id="1605111247">
      <w:bodyDiv w:val="1"/>
      <w:marLeft w:val="0"/>
      <w:marRight w:val="0"/>
      <w:marTop w:val="0"/>
      <w:marBottom w:val="0"/>
      <w:divBdr>
        <w:top w:val="none" w:sz="0" w:space="0" w:color="auto"/>
        <w:left w:val="none" w:sz="0" w:space="0" w:color="auto"/>
        <w:bottom w:val="none" w:sz="0" w:space="0" w:color="auto"/>
        <w:right w:val="none" w:sz="0" w:space="0" w:color="auto"/>
      </w:divBdr>
    </w:div>
    <w:div w:id="1776516574">
      <w:bodyDiv w:val="1"/>
      <w:marLeft w:val="0"/>
      <w:marRight w:val="0"/>
      <w:marTop w:val="0"/>
      <w:marBottom w:val="0"/>
      <w:divBdr>
        <w:top w:val="none" w:sz="0" w:space="0" w:color="auto"/>
        <w:left w:val="none" w:sz="0" w:space="0" w:color="auto"/>
        <w:bottom w:val="none" w:sz="0" w:space="0" w:color="auto"/>
        <w:right w:val="none" w:sz="0" w:space="0" w:color="auto"/>
      </w:divBdr>
    </w:div>
    <w:div w:id="1783838932">
      <w:bodyDiv w:val="1"/>
      <w:marLeft w:val="0"/>
      <w:marRight w:val="0"/>
      <w:marTop w:val="0"/>
      <w:marBottom w:val="0"/>
      <w:divBdr>
        <w:top w:val="none" w:sz="0" w:space="0" w:color="auto"/>
        <w:left w:val="none" w:sz="0" w:space="0" w:color="auto"/>
        <w:bottom w:val="none" w:sz="0" w:space="0" w:color="auto"/>
        <w:right w:val="none" w:sz="0" w:space="0" w:color="auto"/>
      </w:divBdr>
      <w:divsChild>
        <w:div w:id="704019264">
          <w:marLeft w:val="0"/>
          <w:marRight w:val="0"/>
          <w:marTop w:val="0"/>
          <w:marBottom w:val="0"/>
          <w:divBdr>
            <w:top w:val="none" w:sz="0" w:space="0" w:color="auto"/>
            <w:left w:val="none" w:sz="0" w:space="0" w:color="auto"/>
            <w:bottom w:val="none" w:sz="0" w:space="0" w:color="auto"/>
            <w:right w:val="none" w:sz="0" w:space="0" w:color="auto"/>
          </w:divBdr>
        </w:div>
        <w:div w:id="1252155068">
          <w:marLeft w:val="0"/>
          <w:marRight w:val="0"/>
          <w:marTop w:val="0"/>
          <w:marBottom w:val="0"/>
          <w:divBdr>
            <w:top w:val="none" w:sz="0" w:space="0" w:color="auto"/>
            <w:left w:val="none" w:sz="0" w:space="0" w:color="auto"/>
            <w:bottom w:val="none" w:sz="0" w:space="0" w:color="auto"/>
            <w:right w:val="none" w:sz="0" w:space="0" w:color="auto"/>
          </w:divBdr>
        </w:div>
        <w:div w:id="899903221">
          <w:marLeft w:val="0"/>
          <w:marRight w:val="0"/>
          <w:marTop w:val="0"/>
          <w:marBottom w:val="0"/>
          <w:divBdr>
            <w:top w:val="none" w:sz="0" w:space="0" w:color="auto"/>
            <w:left w:val="none" w:sz="0" w:space="0" w:color="auto"/>
            <w:bottom w:val="none" w:sz="0" w:space="0" w:color="auto"/>
            <w:right w:val="none" w:sz="0" w:space="0" w:color="auto"/>
          </w:divBdr>
        </w:div>
        <w:div w:id="1635255957">
          <w:marLeft w:val="0"/>
          <w:marRight w:val="0"/>
          <w:marTop w:val="0"/>
          <w:marBottom w:val="0"/>
          <w:divBdr>
            <w:top w:val="none" w:sz="0" w:space="0" w:color="auto"/>
            <w:left w:val="none" w:sz="0" w:space="0" w:color="auto"/>
            <w:bottom w:val="none" w:sz="0" w:space="0" w:color="auto"/>
            <w:right w:val="none" w:sz="0" w:space="0" w:color="auto"/>
          </w:divBdr>
        </w:div>
        <w:div w:id="800267787">
          <w:marLeft w:val="0"/>
          <w:marRight w:val="0"/>
          <w:marTop w:val="0"/>
          <w:marBottom w:val="0"/>
          <w:divBdr>
            <w:top w:val="none" w:sz="0" w:space="0" w:color="auto"/>
            <w:left w:val="none" w:sz="0" w:space="0" w:color="auto"/>
            <w:bottom w:val="none" w:sz="0" w:space="0" w:color="auto"/>
            <w:right w:val="none" w:sz="0" w:space="0" w:color="auto"/>
          </w:divBdr>
        </w:div>
        <w:div w:id="890338020">
          <w:marLeft w:val="0"/>
          <w:marRight w:val="0"/>
          <w:marTop w:val="0"/>
          <w:marBottom w:val="0"/>
          <w:divBdr>
            <w:top w:val="none" w:sz="0" w:space="0" w:color="auto"/>
            <w:left w:val="none" w:sz="0" w:space="0" w:color="auto"/>
            <w:bottom w:val="none" w:sz="0" w:space="0" w:color="auto"/>
            <w:right w:val="none" w:sz="0" w:space="0" w:color="auto"/>
          </w:divBdr>
        </w:div>
        <w:div w:id="1622955818">
          <w:marLeft w:val="0"/>
          <w:marRight w:val="0"/>
          <w:marTop w:val="0"/>
          <w:marBottom w:val="0"/>
          <w:divBdr>
            <w:top w:val="none" w:sz="0" w:space="0" w:color="auto"/>
            <w:left w:val="none" w:sz="0" w:space="0" w:color="auto"/>
            <w:bottom w:val="none" w:sz="0" w:space="0" w:color="auto"/>
            <w:right w:val="none" w:sz="0" w:space="0" w:color="auto"/>
          </w:divBdr>
        </w:div>
        <w:div w:id="338196701">
          <w:marLeft w:val="0"/>
          <w:marRight w:val="0"/>
          <w:marTop w:val="0"/>
          <w:marBottom w:val="0"/>
          <w:divBdr>
            <w:top w:val="none" w:sz="0" w:space="0" w:color="auto"/>
            <w:left w:val="none" w:sz="0" w:space="0" w:color="auto"/>
            <w:bottom w:val="none" w:sz="0" w:space="0" w:color="auto"/>
            <w:right w:val="none" w:sz="0" w:space="0" w:color="auto"/>
          </w:divBdr>
        </w:div>
      </w:divsChild>
    </w:div>
    <w:div w:id="1797408320">
      <w:bodyDiv w:val="1"/>
      <w:marLeft w:val="0"/>
      <w:marRight w:val="0"/>
      <w:marTop w:val="0"/>
      <w:marBottom w:val="0"/>
      <w:divBdr>
        <w:top w:val="none" w:sz="0" w:space="0" w:color="auto"/>
        <w:left w:val="none" w:sz="0" w:space="0" w:color="auto"/>
        <w:bottom w:val="none" w:sz="0" w:space="0" w:color="auto"/>
        <w:right w:val="none" w:sz="0" w:space="0" w:color="auto"/>
      </w:divBdr>
      <w:divsChild>
        <w:div w:id="1103379791">
          <w:marLeft w:val="547"/>
          <w:marRight w:val="0"/>
          <w:marTop w:val="200"/>
          <w:marBottom w:val="0"/>
          <w:divBdr>
            <w:top w:val="none" w:sz="0" w:space="0" w:color="auto"/>
            <w:left w:val="none" w:sz="0" w:space="0" w:color="auto"/>
            <w:bottom w:val="none" w:sz="0" w:space="0" w:color="auto"/>
            <w:right w:val="none" w:sz="0" w:space="0" w:color="auto"/>
          </w:divBdr>
        </w:div>
        <w:div w:id="1564099907">
          <w:marLeft w:val="547"/>
          <w:marRight w:val="0"/>
          <w:marTop w:val="200"/>
          <w:marBottom w:val="0"/>
          <w:divBdr>
            <w:top w:val="none" w:sz="0" w:space="0" w:color="auto"/>
            <w:left w:val="none" w:sz="0" w:space="0" w:color="auto"/>
            <w:bottom w:val="none" w:sz="0" w:space="0" w:color="auto"/>
            <w:right w:val="none" w:sz="0" w:space="0" w:color="auto"/>
          </w:divBdr>
        </w:div>
        <w:div w:id="394399434">
          <w:marLeft w:val="547"/>
          <w:marRight w:val="0"/>
          <w:marTop w:val="200"/>
          <w:marBottom w:val="0"/>
          <w:divBdr>
            <w:top w:val="none" w:sz="0" w:space="0" w:color="auto"/>
            <w:left w:val="none" w:sz="0" w:space="0" w:color="auto"/>
            <w:bottom w:val="none" w:sz="0" w:space="0" w:color="auto"/>
            <w:right w:val="none" w:sz="0" w:space="0" w:color="auto"/>
          </w:divBdr>
        </w:div>
      </w:divsChild>
    </w:div>
    <w:div w:id="1928687223">
      <w:bodyDiv w:val="1"/>
      <w:marLeft w:val="0"/>
      <w:marRight w:val="0"/>
      <w:marTop w:val="0"/>
      <w:marBottom w:val="0"/>
      <w:divBdr>
        <w:top w:val="none" w:sz="0" w:space="0" w:color="auto"/>
        <w:left w:val="none" w:sz="0" w:space="0" w:color="auto"/>
        <w:bottom w:val="none" w:sz="0" w:space="0" w:color="auto"/>
        <w:right w:val="none" w:sz="0" w:space="0" w:color="auto"/>
      </w:divBdr>
      <w:divsChild>
        <w:div w:id="128089895">
          <w:marLeft w:val="0"/>
          <w:marRight w:val="0"/>
          <w:marTop w:val="0"/>
          <w:marBottom w:val="0"/>
          <w:divBdr>
            <w:top w:val="none" w:sz="0" w:space="0" w:color="auto"/>
            <w:left w:val="none" w:sz="0" w:space="0" w:color="auto"/>
            <w:bottom w:val="none" w:sz="0" w:space="0" w:color="auto"/>
            <w:right w:val="none" w:sz="0" w:space="0" w:color="auto"/>
          </w:divBdr>
          <w:divsChild>
            <w:div w:id="1058819531">
              <w:marLeft w:val="0"/>
              <w:marRight w:val="0"/>
              <w:marTop w:val="0"/>
              <w:marBottom w:val="0"/>
              <w:divBdr>
                <w:top w:val="none" w:sz="0" w:space="0" w:color="auto"/>
                <w:left w:val="none" w:sz="0" w:space="0" w:color="auto"/>
                <w:bottom w:val="none" w:sz="0" w:space="0" w:color="auto"/>
                <w:right w:val="none" w:sz="0" w:space="0" w:color="auto"/>
              </w:divBdr>
            </w:div>
          </w:divsChild>
        </w:div>
        <w:div w:id="1304845605">
          <w:marLeft w:val="0"/>
          <w:marRight w:val="0"/>
          <w:marTop w:val="0"/>
          <w:marBottom w:val="0"/>
          <w:divBdr>
            <w:top w:val="none" w:sz="0" w:space="0" w:color="auto"/>
            <w:left w:val="none" w:sz="0" w:space="0" w:color="auto"/>
            <w:bottom w:val="none" w:sz="0" w:space="0" w:color="auto"/>
            <w:right w:val="none" w:sz="0" w:space="0" w:color="auto"/>
          </w:divBdr>
          <w:divsChild>
            <w:div w:id="417942712">
              <w:marLeft w:val="0"/>
              <w:marRight w:val="0"/>
              <w:marTop w:val="0"/>
              <w:marBottom w:val="0"/>
              <w:divBdr>
                <w:top w:val="none" w:sz="0" w:space="0" w:color="auto"/>
                <w:left w:val="none" w:sz="0" w:space="0" w:color="auto"/>
                <w:bottom w:val="none" w:sz="0" w:space="0" w:color="auto"/>
                <w:right w:val="none" w:sz="0" w:space="0" w:color="auto"/>
              </w:divBdr>
            </w:div>
          </w:divsChild>
        </w:div>
        <w:div w:id="1225487004">
          <w:marLeft w:val="0"/>
          <w:marRight w:val="0"/>
          <w:marTop w:val="0"/>
          <w:marBottom w:val="0"/>
          <w:divBdr>
            <w:top w:val="none" w:sz="0" w:space="0" w:color="auto"/>
            <w:left w:val="none" w:sz="0" w:space="0" w:color="auto"/>
            <w:bottom w:val="none" w:sz="0" w:space="0" w:color="auto"/>
            <w:right w:val="none" w:sz="0" w:space="0" w:color="auto"/>
          </w:divBdr>
          <w:divsChild>
            <w:div w:id="5277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20598">
      <w:bodyDiv w:val="1"/>
      <w:marLeft w:val="0"/>
      <w:marRight w:val="0"/>
      <w:marTop w:val="0"/>
      <w:marBottom w:val="0"/>
      <w:divBdr>
        <w:top w:val="none" w:sz="0" w:space="0" w:color="auto"/>
        <w:left w:val="none" w:sz="0" w:space="0" w:color="auto"/>
        <w:bottom w:val="none" w:sz="0" w:space="0" w:color="auto"/>
        <w:right w:val="none" w:sz="0" w:space="0" w:color="auto"/>
      </w:divBdr>
      <w:divsChild>
        <w:div w:id="1235972316">
          <w:marLeft w:val="0"/>
          <w:marRight w:val="0"/>
          <w:marTop w:val="0"/>
          <w:marBottom w:val="0"/>
          <w:divBdr>
            <w:top w:val="none" w:sz="0" w:space="0" w:color="auto"/>
            <w:left w:val="none" w:sz="0" w:space="0" w:color="auto"/>
            <w:bottom w:val="none" w:sz="0" w:space="0" w:color="auto"/>
            <w:right w:val="none" w:sz="0" w:space="0" w:color="auto"/>
          </w:divBdr>
          <w:divsChild>
            <w:div w:id="228393399">
              <w:marLeft w:val="0"/>
              <w:marRight w:val="0"/>
              <w:marTop w:val="0"/>
              <w:marBottom w:val="0"/>
              <w:divBdr>
                <w:top w:val="none" w:sz="0" w:space="0" w:color="auto"/>
                <w:left w:val="none" w:sz="0" w:space="0" w:color="auto"/>
                <w:bottom w:val="none" w:sz="0" w:space="0" w:color="auto"/>
                <w:right w:val="none" w:sz="0" w:space="0" w:color="auto"/>
              </w:divBdr>
            </w:div>
            <w:div w:id="1344628703">
              <w:marLeft w:val="0"/>
              <w:marRight w:val="0"/>
              <w:marTop w:val="0"/>
              <w:marBottom w:val="0"/>
              <w:divBdr>
                <w:top w:val="none" w:sz="0" w:space="0" w:color="auto"/>
                <w:left w:val="none" w:sz="0" w:space="0" w:color="auto"/>
                <w:bottom w:val="none" w:sz="0" w:space="0" w:color="auto"/>
                <w:right w:val="none" w:sz="0" w:space="0" w:color="auto"/>
              </w:divBdr>
            </w:div>
            <w:div w:id="142503204">
              <w:marLeft w:val="0"/>
              <w:marRight w:val="0"/>
              <w:marTop w:val="0"/>
              <w:marBottom w:val="0"/>
              <w:divBdr>
                <w:top w:val="none" w:sz="0" w:space="0" w:color="auto"/>
                <w:left w:val="none" w:sz="0" w:space="0" w:color="auto"/>
                <w:bottom w:val="none" w:sz="0" w:space="0" w:color="auto"/>
                <w:right w:val="none" w:sz="0" w:space="0" w:color="auto"/>
              </w:divBdr>
            </w:div>
            <w:div w:id="642781515">
              <w:marLeft w:val="0"/>
              <w:marRight w:val="0"/>
              <w:marTop w:val="0"/>
              <w:marBottom w:val="0"/>
              <w:divBdr>
                <w:top w:val="none" w:sz="0" w:space="0" w:color="auto"/>
                <w:left w:val="none" w:sz="0" w:space="0" w:color="auto"/>
                <w:bottom w:val="none" w:sz="0" w:space="0" w:color="auto"/>
                <w:right w:val="none" w:sz="0" w:space="0" w:color="auto"/>
              </w:divBdr>
            </w:div>
            <w:div w:id="2114664554">
              <w:marLeft w:val="0"/>
              <w:marRight w:val="0"/>
              <w:marTop w:val="0"/>
              <w:marBottom w:val="0"/>
              <w:divBdr>
                <w:top w:val="none" w:sz="0" w:space="0" w:color="auto"/>
                <w:left w:val="none" w:sz="0" w:space="0" w:color="auto"/>
                <w:bottom w:val="none" w:sz="0" w:space="0" w:color="auto"/>
                <w:right w:val="none" w:sz="0" w:space="0" w:color="auto"/>
              </w:divBdr>
            </w:div>
          </w:divsChild>
        </w:div>
        <w:div w:id="780417936">
          <w:marLeft w:val="0"/>
          <w:marRight w:val="0"/>
          <w:marTop w:val="0"/>
          <w:marBottom w:val="0"/>
          <w:divBdr>
            <w:top w:val="none" w:sz="0" w:space="0" w:color="auto"/>
            <w:left w:val="none" w:sz="0" w:space="0" w:color="auto"/>
            <w:bottom w:val="none" w:sz="0" w:space="0" w:color="auto"/>
            <w:right w:val="none" w:sz="0" w:space="0" w:color="auto"/>
          </w:divBdr>
          <w:divsChild>
            <w:div w:id="1189295132">
              <w:marLeft w:val="0"/>
              <w:marRight w:val="0"/>
              <w:marTop w:val="0"/>
              <w:marBottom w:val="0"/>
              <w:divBdr>
                <w:top w:val="none" w:sz="0" w:space="0" w:color="auto"/>
                <w:left w:val="none" w:sz="0" w:space="0" w:color="auto"/>
                <w:bottom w:val="none" w:sz="0" w:space="0" w:color="auto"/>
                <w:right w:val="none" w:sz="0" w:space="0" w:color="auto"/>
              </w:divBdr>
            </w:div>
          </w:divsChild>
        </w:div>
        <w:div w:id="1635942317">
          <w:marLeft w:val="0"/>
          <w:marRight w:val="0"/>
          <w:marTop w:val="0"/>
          <w:marBottom w:val="0"/>
          <w:divBdr>
            <w:top w:val="none" w:sz="0" w:space="0" w:color="auto"/>
            <w:left w:val="none" w:sz="0" w:space="0" w:color="auto"/>
            <w:bottom w:val="none" w:sz="0" w:space="0" w:color="auto"/>
            <w:right w:val="none" w:sz="0" w:space="0" w:color="auto"/>
          </w:divBdr>
          <w:divsChild>
            <w:div w:id="379286335">
              <w:marLeft w:val="0"/>
              <w:marRight w:val="0"/>
              <w:marTop w:val="0"/>
              <w:marBottom w:val="0"/>
              <w:divBdr>
                <w:top w:val="none" w:sz="0" w:space="0" w:color="auto"/>
                <w:left w:val="none" w:sz="0" w:space="0" w:color="auto"/>
                <w:bottom w:val="none" w:sz="0" w:space="0" w:color="auto"/>
                <w:right w:val="none" w:sz="0" w:space="0" w:color="auto"/>
              </w:divBdr>
            </w:div>
          </w:divsChild>
        </w:div>
        <w:div w:id="130708260">
          <w:marLeft w:val="0"/>
          <w:marRight w:val="0"/>
          <w:marTop w:val="0"/>
          <w:marBottom w:val="0"/>
          <w:divBdr>
            <w:top w:val="none" w:sz="0" w:space="0" w:color="auto"/>
            <w:left w:val="none" w:sz="0" w:space="0" w:color="auto"/>
            <w:bottom w:val="none" w:sz="0" w:space="0" w:color="auto"/>
            <w:right w:val="none" w:sz="0" w:space="0" w:color="auto"/>
          </w:divBdr>
          <w:divsChild>
            <w:div w:id="1220626033">
              <w:marLeft w:val="0"/>
              <w:marRight w:val="0"/>
              <w:marTop w:val="0"/>
              <w:marBottom w:val="0"/>
              <w:divBdr>
                <w:top w:val="none" w:sz="0" w:space="0" w:color="auto"/>
                <w:left w:val="none" w:sz="0" w:space="0" w:color="auto"/>
                <w:bottom w:val="none" w:sz="0" w:space="0" w:color="auto"/>
                <w:right w:val="none" w:sz="0" w:space="0" w:color="auto"/>
              </w:divBdr>
            </w:div>
          </w:divsChild>
        </w:div>
        <w:div w:id="837036487">
          <w:marLeft w:val="0"/>
          <w:marRight w:val="0"/>
          <w:marTop w:val="0"/>
          <w:marBottom w:val="0"/>
          <w:divBdr>
            <w:top w:val="none" w:sz="0" w:space="0" w:color="auto"/>
            <w:left w:val="none" w:sz="0" w:space="0" w:color="auto"/>
            <w:bottom w:val="none" w:sz="0" w:space="0" w:color="auto"/>
            <w:right w:val="none" w:sz="0" w:space="0" w:color="auto"/>
          </w:divBdr>
          <w:divsChild>
            <w:div w:id="1704207404">
              <w:marLeft w:val="0"/>
              <w:marRight w:val="0"/>
              <w:marTop w:val="0"/>
              <w:marBottom w:val="0"/>
              <w:divBdr>
                <w:top w:val="none" w:sz="0" w:space="0" w:color="auto"/>
                <w:left w:val="none" w:sz="0" w:space="0" w:color="auto"/>
                <w:bottom w:val="none" w:sz="0" w:space="0" w:color="auto"/>
                <w:right w:val="none" w:sz="0" w:space="0" w:color="auto"/>
              </w:divBdr>
            </w:div>
          </w:divsChild>
        </w:div>
        <w:div w:id="358286043">
          <w:marLeft w:val="0"/>
          <w:marRight w:val="0"/>
          <w:marTop w:val="0"/>
          <w:marBottom w:val="0"/>
          <w:divBdr>
            <w:top w:val="none" w:sz="0" w:space="0" w:color="auto"/>
            <w:left w:val="none" w:sz="0" w:space="0" w:color="auto"/>
            <w:bottom w:val="none" w:sz="0" w:space="0" w:color="auto"/>
            <w:right w:val="none" w:sz="0" w:space="0" w:color="auto"/>
          </w:divBdr>
          <w:divsChild>
            <w:div w:id="1394506791">
              <w:marLeft w:val="0"/>
              <w:marRight w:val="0"/>
              <w:marTop w:val="0"/>
              <w:marBottom w:val="0"/>
              <w:divBdr>
                <w:top w:val="none" w:sz="0" w:space="0" w:color="auto"/>
                <w:left w:val="none" w:sz="0" w:space="0" w:color="auto"/>
                <w:bottom w:val="none" w:sz="0" w:space="0" w:color="auto"/>
                <w:right w:val="none" w:sz="0" w:space="0" w:color="auto"/>
              </w:divBdr>
            </w:div>
          </w:divsChild>
        </w:div>
        <w:div w:id="342250113">
          <w:marLeft w:val="0"/>
          <w:marRight w:val="0"/>
          <w:marTop w:val="0"/>
          <w:marBottom w:val="0"/>
          <w:divBdr>
            <w:top w:val="none" w:sz="0" w:space="0" w:color="auto"/>
            <w:left w:val="none" w:sz="0" w:space="0" w:color="auto"/>
            <w:bottom w:val="none" w:sz="0" w:space="0" w:color="auto"/>
            <w:right w:val="none" w:sz="0" w:space="0" w:color="auto"/>
          </w:divBdr>
          <w:divsChild>
            <w:div w:id="592863856">
              <w:marLeft w:val="0"/>
              <w:marRight w:val="0"/>
              <w:marTop w:val="0"/>
              <w:marBottom w:val="0"/>
              <w:divBdr>
                <w:top w:val="none" w:sz="0" w:space="0" w:color="auto"/>
                <w:left w:val="none" w:sz="0" w:space="0" w:color="auto"/>
                <w:bottom w:val="none" w:sz="0" w:space="0" w:color="auto"/>
                <w:right w:val="none" w:sz="0" w:space="0" w:color="auto"/>
              </w:divBdr>
            </w:div>
          </w:divsChild>
        </w:div>
        <w:div w:id="310257013">
          <w:marLeft w:val="0"/>
          <w:marRight w:val="0"/>
          <w:marTop w:val="0"/>
          <w:marBottom w:val="0"/>
          <w:divBdr>
            <w:top w:val="none" w:sz="0" w:space="0" w:color="auto"/>
            <w:left w:val="none" w:sz="0" w:space="0" w:color="auto"/>
            <w:bottom w:val="none" w:sz="0" w:space="0" w:color="auto"/>
            <w:right w:val="none" w:sz="0" w:space="0" w:color="auto"/>
          </w:divBdr>
          <w:divsChild>
            <w:div w:id="11044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992701">
      <w:bodyDiv w:val="1"/>
      <w:marLeft w:val="0"/>
      <w:marRight w:val="0"/>
      <w:marTop w:val="0"/>
      <w:marBottom w:val="0"/>
      <w:divBdr>
        <w:top w:val="none" w:sz="0" w:space="0" w:color="auto"/>
        <w:left w:val="none" w:sz="0" w:space="0" w:color="auto"/>
        <w:bottom w:val="none" w:sz="0" w:space="0" w:color="auto"/>
        <w:right w:val="none" w:sz="0" w:space="0" w:color="auto"/>
      </w:divBdr>
    </w:div>
    <w:div w:id="2113864616">
      <w:bodyDiv w:val="1"/>
      <w:marLeft w:val="0"/>
      <w:marRight w:val="0"/>
      <w:marTop w:val="0"/>
      <w:marBottom w:val="0"/>
      <w:divBdr>
        <w:top w:val="none" w:sz="0" w:space="0" w:color="auto"/>
        <w:left w:val="none" w:sz="0" w:space="0" w:color="auto"/>
        <w:bottom w:val="none" w:sz="0" w:space="0" w:color="auto"/>
        <w:right w:val="none" w:sz="0" w:space="0" w:color="auto"/>
      </w:divBdr>
    </w:div>
    <w:div w:id="212700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umbamouendou\AppData\Local\Microsoft\Windows\INetCache\Content.Outlook\4US932A0\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7A47-9599-4C3F-82C8-519221445994}">
  <ds:schemaRefs>
    <ds:schemaRef ds:uri="ea6feb38-a85a-45e8-92e9-814486bbe375"/>
    <ds:schemaRef ds:uri="http://schemas.openxmlformats.org/package/2006/metadata/core-properties"/>
    <ds:schemaRef ds:uri="http://purl.org/dc/elements/1.1/"/>
    <ds:schemaRef ds:uri="http://schemas.microsoft.com/office/2006/documentManagement/types"/>
    <ds:schemaRef ds:uri="http://purl.org/dc/terms/"/>
    <ds:schemaRef ds:uri="a05d7f75-f42e-4288-8809-604fd4d9691f"/>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2323480-E1DF-4B31-A355-5F40F80A73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74A16E-5775-4687-BC83-2BE9D285DA44}">
  <ds:schemaRefs>
    <ds:schemaRef ds:uri="http://schemas.microsoft.com/sharepoint/v3/contenttype/forms"/>
  </ds:schemaRefs>
</ds:datastoreItem>
</file>

<file path=customXml/itemProps4.xml><?xml version="1.0" encoding="utf-8"?>
<ds:datastoreItem xmlns:ds="http://schemas.openxmlformats.org/officeDocument/2006/customXml" ds:itemID="{3DC27E5F-3D9F-4E17-BEDC-969A13550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3</TotalTime>
  <Pages>3</Pages>
  <Words>1018</Words>
  <Characters>5803</Characters>
  <Application>Microsoft Office Word</Application>
  <DocSecurity>0</DocSecurity>
  <Lines>48</Lines>
  <Paragraphs>13</Paragraphs>
  <ScaleCrop>false</ScaleCrop>
  <Company>FAO of the UN</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Koumba, Descartes (NSP)</dc:creator>
  <cp:keywords/>
  <dc:description/>
  <cp:lastModifiedBy>Cassin, Aoife (NSP)</cp:lastModifiedBy>
  <cp:revision>378</cp:revision>
  <dcterms:created xsi:type="dcterms:W3CDTF">2023-10-12T13:42:00Z</dcterms:created>
  <dcterms:modified xsi:type="dcterms:W3CDTF">2024-10-11T11:29:00Z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