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AD356B" w14:textId="77777777" w:rsidR="005F25EF" w:rsidRPr="0010621C" w:rsidRDefault="005F25EF" w:rsidP="005F25EF">
      <w:pPr>
        <w:pStyle w:val="IPPHeadSection"/>
        <w:ind w:left="880"/>
        <w:jc w:val="center"/>
        <w:rPr>
          <w:smallCaps/>
        </w:rPr>
      </w:pPr>
      <w:r w:rsidRPr="0010621C">
        <w:t>Commission on Phytosanitary Measures</w:t>
      </w:r>
    </w:p>
    <w:p w14:paraId="23D3FC50" w14:textId="6772B695" w:rsidR="00AD0496" w:rsidRPr="001F7558" w:rsidRDefault="00ED66CB" w:rsidP="001F7558">
      <w:pPr>
        <w:pStyle w:val="IPPHeadSection"/>
        <w:jc w:val="center"/>
      </w:pPr>
      <w:r w:rsidRPr="001F7558">
        <w:t xml:space="preserve">strategic </w:t>
      </w:r>
      <w:r w:rsidR="6BB62DEB" w:rsidRPr="001F7558">
        <w:t>planning</w:t>
      </w:r>
      <w:r w:rsidRPr="001F7558">
        <w:t xml:space="preserve"> group</w:t>
      </w:r>
    </w:p>
    <w:p w14:paraId="26F8C350" w14:textId="36D37148" w:rsidR="00AD0496" w:rsidRPr="001F7558" w:rsidRDefault="00AD0496" w:rsidP="001F7558">
      <w:pPr>
        <w:pStyle w:val="IPPHeadSection"/>
        <w:jc w:val="center"/>
      </w:pPr>
      <w:r w:rsidRPr="001F7558">
        <w:t>Phytosanitary Capacity Evaluation (PCE)</w:t>
      </w:r>
      <w:r w:rsidR="6A05F2A1" w:rsidRPr="001F7558">
        <w:t xml:space="preserve"> IMPROVEMENT UPDATE</w:t>
      </w:r>
    </w:p>
    <w:p w14:paraId="749F95AE" w14:textId="0C3D4E7D" w:rsidR="006265E0" w:rsidRDefault="00AC7945" w:rsidP="00701D26">
      <w:pPr>
        <w:jc w:val="center"/>
        <w:rPr>
          <w:i/>
          <w:szCs w:val="22"/>
        </w:rPr>
      </w:pPr>
      <w:r w:rsidRPr="005736BF">
        <w:rPr>
          <w:i/>
          <w:szCs w:val="22"/>
        </w:rPr>
        <w:t xml:space="preserve">(Prepared by the </w:t>
      </w:r>
      <w:bookmarkStart w:id="0" w:name="_Int_LZkCuTWg"/>
      <w:r w:rsidRPr="005736BF">
        <w:rPr>
          <w:i/>
          <w:szCs w:val="22"/>
        </w:rPr>
        <w:t>IPPC</w:t>
      </w:r>
      <w:bookmarkEnd w:id="0"/>
      <w:r w:rsidRPr="005736BF">
        <w:rPr>
          <w:i/>
          <w:szCs w:val="22"/>
        </w:rPr>
        <w:t xml:space="preserve"> </w:t>
      </w:r>
      <w:r w:rsidR="007C49C9" w:rsidRPr="005736BF">
        <w:rPr>
          <w:i/>
          <w:szCs w:val="22"/>
        </w:rPr>
        <w:t>Secretariat</w:t>
      </w:r>
      <w:r w:rsidRPr="005736BF">
        <w:rPr>
          <w:i/>
          <w:szCs w:val="22"/>
        </w:rPr>
        <w:t>)</w:t>
      </w:r>
    </w:p>
    <w:p w14:paraId="211E3921" w14:textId="77777777" w:rsidR="00E2616A" w:rsidRDefault="00E2616A" w:rsidP="00E2616A">
      <w:pPr>
        <w:rPr>
          <w:i/>
          <w:szCs w:val="22"/>
        </w:rPr>
      </w:pPr>
    </w:p>
    <w:p w14:paraId="4FC8BC7B" w14:textId="77777777" w:rsidR="00AA698B" w:rsidRPr="005736BF" w:rsidRDefault="00AA698B" w:rsidP="00701D26">
      <w:pPr>
        <w:jc w:val="center"/>
        <w:rPr>
          <w:i/>
          <w:szCs w:val="22"/>
        </w:rPr>
      </w:pPr>
    </w:p>
    <w:p w14:paraId="23AB2244" w14:textId="740381C2" w:rsidR="00AD0496" w:rsidRPr="005736BF" w:rsidRDefault="00AD0496" w:rsidP="007513B1">
      <w:pPr>
        <w:pStyle w:val="IPPParagraphnumbering"/>
        <w:rPr>
          <w:rFonts w:eastAsiaTheme="minorEastAsia"/>
          <w:szCs w:val="22"/>
        </w:rPr>
      </w:pPr>
      <w:r w:rsidRPr="005736BF">
        <w:rPr>
          <w:szCs w:val="22"/>
        </w:rPr>
        <w:t>The Phytosanitary capacity evaluation (PCE)</w:t>
      </w:r>
      <w:r w:rsidR="00DA28E9" w:rsidRPr="00270112">
        <w:rPr>
          <w:rStyle w:val="FootnoteReference"/>
          <w:szCs w:val="22"/>
        </w:rPr>
        <w:footnoteReference w:id="2"/>
      </w:r>
      <w:r w:rsidR="005616D1" w:rsidRPr="005736BF">
        <w:rPr>
          <w:szCs w:val="22"/>
        </w:rPr>
        <w:t>,</w:t>
      </w:r>
      <w:r w:rsidRPr="005736BF">
        <w:rPr>
          <w:szCs w:val="22"/>
        </w:rPr>
        <w:t xml:space="preserve"> one of the IPPC’s flagship processes, consist</w:t>
      </w:r>
      <w:r w:rsidR="005616D1" w:rsidRPr="005736BF">
        <w:rPr>
          <w:szCs w:val="22"/>
        </w:rPr>
        <w:t>s</w:t>
      </w:r>
      <w:r w:rsidRPr="005736BF">
        <w:rPr>
          <w:szCs w:val="22"/>
        </w:rPr>
        <w:t xml:space="preserve"> of multiple phases and offer</w:t>
      </w:r>
      <w:r w:rsidR="005616D1" w:rsidRPr="005736BF">
        <w:rPr>
          <w:szCs w:val="22"/>
        </w:rPr>
        <w:t>s</w:t>
      </w:r>
      <w:r w:rsidRPr="005736BF">
        <w:rPr>
          <w:szCs w:val="22"/>
        </w:rPr>
        <w:t xml:space="preserve"> a wide range of benefi</w:t>
      </w:r>
      <w:r w:rsidRPr="278226D6">
        <w:rPr>
          <w:rFonts w:eastAsiaTheme="minorEastAsia"/>
          <w:szCs w:val="22"/>
        </w:rPr>
        <w:t xml:space="preserve">ts. The </w:t>
      </w:r>
      <w:bookmarkStart w:id="1" w:name="_Hlk173850125"/>
      <w:r w:rsidRPr="278226D6">
        <w:rPr>
          <w:rFonts w:eastAsiaTheme="minorEastAsia"/>
          <w:szCs w:val="22"/>
        </w:rPr>
        <w:t xml:space="preserve">IPPC Strategic Framework </w:t>
      </w:r>
      <w:bookmarkEnd w:id="1"/>
      <w:r w:rsidRPr="278226D6">
        <w:rPr>
          <w:rFonts w:eastAsiaTheme="minorEastAsia"/>
          <w:szCs w:val="22"/>
        </w:rPr>
        <w:t>2020-</w:t>
      </w:r>
      <w:r w:rsidR="00DA28E9" w:rsidRPr="278226D6">
        <w:rPr>
          <w:rFonts w:eastAsiaTheme="minorEastAsia"/>
          <w:szCs w:val="22"/>
        </w:rPr>
        <w:t xml:space="preserve">2030 </w:t>
      </w:r>
      <w:r w:rsidR="1744168C" w:rsidRPr="278226D6">
        <w:rPr>
          <w:rFonts w:eastAsiaTheme="minorEastAsia"/>
          <w:szCs w:val="22"/>
        </w:rPr>
        <w:t>lists the PCE a</w:t>
      </w:r>
      <w:r w:rsidRPr="278226D6">
        <w:rPr>
          <w:rFonts w:eastAsiaTheme="minorEastAsia"/>
          <w:szCs w:val="22"/>
        </w:rPr>
        <w:t>s one of the three key implementation and capacity development result</w:t>
      </w:r>
      <w:r w:rsidR="4D7EA577" w:rsidRPr="278226D6">
        <w:rPr>
          <w:rFonts w:eastAsiaTheme="minorEastAsia"/>
          <w:szCs w:val="22"/>
        </w:rPr>
        <w:t xml:space="preserve"> areas</w:t>
      </w:r>
      <w:r w:rsidRPr="278226D6">
        <w:rPr>
          <w:rFonts w:eastAsiaTheme="minorEastAsia"/>
          <w:szCs w:val="22"/>
        </w:rPr>
        <w:t>.</w:t>
      </w:r>
      <w:r w:rsidRPr="278226D6">
        <w:rPr>
          <w:rStyle w:val="FootnoteReference"/>
          <w:rFonts w:eastAsiaTheme="minorEastAsia"/>
          <w:szCs w:val="22"/>
        </w:rPr>
        <w:footnoteReference w:id="3"/>
      </w:r>
    </w:p>
    <w:p w14:paraId="42547D82" w14:textId="17DC9AC3" w:rsidR="00A5669D" w:rsidRPr="005736BF" w:rsidRDefault="00AD0496" w:rsidP="007513B1">
      <w:pPr>
        <w:pStyle w:val="IPPParagraphnumbering"/>
        <w:rPr>
          <w:szCs w:val="22"/>
        </w:rPr>
      </w:pPr>
      <w:r w:rsidRPr="278226D6">
        <w:rPr>
          <w:szCs w:val="22"/>
        </w:rPr>
        <w:t xml:space="preserve">The PCE allows countries to develop a National Phytosanitary Capacity Development Strategy (the strategy), which sets a pathway for accomplishing a desired phytosanitary state. </w:t>
      </w:r>
      <w:r w:rsidR="005616D1" w:rsidRPr="278226D6">
        <w:rPr>
          <w:szCs w:val="22"/>
        </w:rPr>
        <w:t xml:space="preserve">The </w:t>
      </w:r>
      <w:r w:rsidRPr="278226D6">
        <w:rPr>
          <w:szCs w:val="22"/>
        </w:rPr>
        <w:t>National Plant Protection Organizations (NPPO</w:t>
      </w:r>
      <w:r w:rsidR="00DA28E9" w:rsidRPr="278226D6">
        <w:rPr>
          <w:szCs w:val="22"/>
        </w:rPr>
        <w:t>s</w:t>
      </w:r>
      <w:r w:rsidRPr="278226D6">
        <w:rPr>
          <w:szCs w:val="22"/>
        </w:rPr>
        <w:t>)</w:t>
      </w:r>
      <w:r w:rsidR="005616D1" w:rsidRPr="278226D6">
        <w:rPr>
          <w:szCs w:val="22"/>
        </w:rPr>
        <w:t xml:space="preserve"> implement the strategy</w:t>
      </w:r>
      <w:r w:rsidRPr="278226D6">
        <w:rPr>
          <w:szCs w:val="22"/>
        </w:rPr>
        <w:t xml:space="preserve"> </w:t>
      </w:r>
      <w:r w:rsidR="005616D1" w:rsidRPr="278226D6">
        <w:rPr>
          <w:szCs w:val="22"/>
        </w:rPr>
        <w:t xml:space="preserve">by </w:t>
      </w:r>
      <w:r w:rsidR="00ED66CB" w:rsidRPr="278226D6">
        <w:rPr>
          <w:szCs w:val="22"/>
        </w:rPr>
        <w:t>identifying</w:t>
      </w:r>
      <w:r w:rsidR="005616D1" w:rsidRPr="278226D6">
        <w:rPr>
          <w:szCs w:val="22"/>
        </w:rPr>
        <w:t xml:space="preserve"> a) </w:t>
      </w:r>
      <w:r w:rsidRPr="278226D6">
        <w:rPr>
          <w:szCs w:val="22"/>
        </w:rPr>
        <w:t xml:space="preserve">activities that do not require external funds </w:t>
      </w:r>
      <w:r w:rsidR="005616D1" w:rsidRPr="278226D6">
        <w:rPr>
          <w:szCs w:val="22"/>
        </w:rPr>
        <w:t>and</w:t>
      </w:r>
      <w:r w:rsidR="00DC1A13" w:rsidRPr="278226D6">
        <w:rPr>
          <w:szCs w:val="22"/>
        </w:rPr>
        <w:t xml:space="preserve"> can be</w:t>
      </w:r>
      <w:r w:rsidR="005616D1" w:rsidRPr="278226D6">
        <w:rPr>
          <w:szCs w:val="22"/>
        </w:rPr>
        <w:t xml:space="preserve"> </w:t>
      </w:r>
      <w:r w:rsidRPr="278226D6">
        <w:rPr>
          <w:szCs w:val="22"/>
        </w:rPr>
        <w:t xml:space="preserve">implemented </w:t>
      </w:r>
      <w:r w:rsidR="005616D1" w:rsidRPr="278226D6">
        <w:rPr>
          <w:szCs w:val="22"/>
        </w:rPr>
        <w:t xml:space="preserve">internally </w:t>
      </w:r>
      <w:r w:rsidRPr="278226D6">
        <w:rPr>
          <w:szCs w:val="22"/>
        </w:rPr>
        <w:t>by NPPO staff</w:t>
      </w:r>
      <w:r w:rsidR="00BC30C6">
        <w:rPr>
          <w:szCs w:val="22"/>
        </w:rPr>
        <w:t>,</w:t>
      </w:r>
      <w:r w:rsidR="005616D1" w:rsidRPr="278226D6">
        <w:rPr>
          <w:szCs w:val="22"/>
        </w:rPr>
        <w:t xml:space="preserve"> and b)</w:t>
      </w:r>
      <w:r w:rsidRPr="278226D6">
        <w:rPr>
          <w:szCs w:val="22"/>
        </w:rPr>
        <w:t xml:space="preserve"> </w:t>
      </w:r>
      <w:r w:rsidR="005616D1" w:rsidRPr="278226D6">
        <w:rPr>
          <w:szCs w:val="22"/>
        </w:rPr>
        <w:t xml:space="preserve">others </w:t>
      </w:r>
      <w:r w:rsidRPr="278226D6">
        <w:rPr>
          <w:szCs w:val="22"/>
        </w:rPr>
        <w:t>requir</w:t>
      </w:r>
      <w:r w:rsidR="005616D1" w:rsidRPr="278226D6">
        <w:rPr>
          <w:szCs w:val="22"/>
        </w:rPr>
        <w:t>ing</w:t>
      </w:r>
      <w:r w:rsidRPr="278226D6">
        <w:rPr>
          <w:szCs w:val="22"/>
        </w:rPr>
        <w:t xml:space="preserve"> external funds </w:t>
      </w:r>
      <w:r w:rsidR="005616D1" w:rsidRPr="278226D6">
        <w:rPr>
          <w:szCs w:val="22"/>
        </w:rPr>
        <w:t xml:space="preserve">and involving the drafting of </w:t>
      </w:r>
      <w:r w:rsidRPr="278226D6">
        <w:rPr>
          <w:szCs w:val="22"/>
        </w:rPr>
        <w:t xml:space="preserve">project proposals </w:t>
      </w:r>
      <w:r w:rsidR="005616D1" w:rsidRPr="278226D6">
        <w:rPr>
          <w:szCs w:val="22"/>
        </w:rPr>
        <w:t xml:space="preserve">and </w:t>
      </w:r>
      <w:r w:rsidRPr="278226D6">
        <w:rPr>
          <w:szCs w:val="22"/>
        </w:rPr>
        <w:t>resource mobilization</w:t>
      </w:r>
      <w:r w:rsidR="005616D1" w:rsidRPr="278226D6">
        <w:rPr>
          <w:szCs w:val="22"/>
        </w:rPr>
        <w:t xml:space="preserve"> plans</w:t>
      </w:r>
      <w:r w:rsidRPr="278226D6">
        <w:rPr>
          <w:szCs w:val="22"/>
        </w:rPr>
        <w:t xml:space="preserve">. </w:t>
      </w:r>
    </w:p>
    <w:p w14:paraId="13144D63" w14:textId="163EEFC3" w:rsidR="00A72200" w:rsidRDefault="00ED66CB" w:rsidP="00A5669D">
      <w:pPr>
        <w:pStyle w:val="IPPParagraphnumbering"/>
        <w:rPr>
          <w:rFonts w:eastAsia="Times New Roman"/>
          <w:szCs w:val="22"/>
        </w:rPr>
      </w:pPr>
      <w:r w:rsidRPr="00A5669D">
        <w:rPr>
          <w:rFonts w:eastAsia="Times New Roman"/>
          <w:szCs w:val="22"/>
        </w:rPr>
        <w:t>The PCE strategy for 2020-2030</w:t>
      </w:r>
      <w:r>
        <w:rPr>
          <w:rStyle w:val="FootnoteReference"/>
          <w:rFonts w:eastAsia="Times New Roman"/>
          <w:szCs w:val="22"/>
        </w:rPr>
        <w:footnoteReference w:id="4"/>
      </w:r>
      <w:r w:rsidRPr="00A5669D">
        <w:rPr>
          <w:rFonts w:eastAsia="Times New Roman"/>
          <w:szCs w:val="22"/>
        </w:rPr>
        <w:t xml:space="preserve"> approved by the IC envisions continuously enhancing countries’ phytosanitary systems through six key result areas. </w:t>
      </w:r>
      <w:r w:rsidR="00AA156B" w:rsidRPr="00A5669D">
        <w:rPr>
          <w:rFonts w:eastAsia="Times New Roman"/>
          <w:szCs w:val="22"/>
        </w:rPr>
        <w:t xml:space="preserve">This paper </w:t>
      </w:r>
      <w:r w:rsidR="006218F3">
        <w:rPr>
          <w:rFonts w:eastAsia="Times New Roman"/>
          <w:szCs w:val="22"/>
        </w:rPr>
        <w:t>follows</w:t>
      </w:r>
      <w:r w:rsidR="00AA156B" w:rsidRPr="00A5669D">
        <w:rPr>
          <w:rFonts w:eastAsia="Times New Roman"/>
          <w:szCs w:val="22"/>
        </w:rPr>
        <w:t xml:space="preserve"> the structure of the PCE strategy, reaffirming the modalities for countries to access the PCE. It provides updates on completed and ongoing PCEs and shares the findings from the PCE desk study.</w:t>
      </w:r>
      <w:r w:rsidR="00AA156B">
        <w:rPr>
          <w:rStyle w:val="FootnoteReference"/>
          <w:rFonts w:eastAsia="Times New Roman"/>
          <w:szCs w:val="22"/>
        </w:rPr>
        <w:footnoteReference w:id="5"/>
      </w:r>
      <w:r w:rsidR="00AA156B" w:rsidRPr="00A5669D">
        <w:rPr>
          <w:rFonts w:eastAsia="Times New Roman"/>
          <w:szCs w:val="22"/>
        </w:rPr>
        <w:t xml:space="preserve"> Additionally, it highlights the activities undertaken to address the study's recommendations</w:t>
      </w:r>
      <w:r w:rsidR="00DC115D">
        <w:rPr>
          <w:rFonts w:eastAsia="Times New Roman"/>
          <w:szCs w:val="22"/>
        </w:rPr>
        <w:t> and presents a roadmap for future steps</w:t>
      </w:r>
      <w:r w:rsidR="00313E9A" w:rsidRPr="00A5669D">
        <w:rPr>
          <w:rFonts w:eastAsia="Times New Roman"/>
          <w:szCs w:val="22"/>
        </w:rPr>
        <w:t>.</w:t>
      </w:r>
    </w:p>
    <w:p w14:paraId="5AC930C2" w14:textId="59C25E63" w:rsidR="00AD0496" w:rsidRPr="001149AB" w:rsidRDefault="00313E9A" w:rsidP="001149AB">
      <w:pPr>
        <w:pStyle w:val="IPPHeading1"/>
        <w:numPr>
          <w:ilvl w:val="0"/>
          <w:numId w:val="11"/>
        </w:numPr>
        <w:spacing w:before="0"/>
        <w:rPr>
          <w:sz w:val="22"/>
        </w:rPr>
      </w:pPr>
      <w:r w:rsidRPr="001149AB">
        <w:rPr>
          <w:sz w:val="22"/>
        </w:rPr>
        <w:t xml:space="preserve"> </w:t>
      </w:r>
      <w:r w:rsidR="00AD0496" w:rsidRPr="001149AB">
        <w:rPr>
          <w:sz w:val="22"/>
        </w:rPr>
        <w:t>Advancements on the key result area 1: Countries, donors, and development organizations are aware of the PCE and understand the benefits arising from its application</w:t>
      </w:r>
      <w:r w:rsidR="00D40BB4" w:rsidRPr="001149AB">
        <w:rPr>
          <w:sz w:val="22"/>
        </w:rPr>
        <w:t>.</w:t>
      </w:r>
    </w:p>
    <w:p w14:paraId="73605D36" w14:textId="400C9ED4" w:rsidR="00AD0496" w:rsidRPr="005A5B66" w:rsidRDefault="00E06F5D" w:rsidP="001149AB">
      <w:pPr>
        <w:pStyle w:val="IPPHeading1"/>
        <w:numPr>
          <w:ilvl w:val="1"/>
          <w:numId w:val="11"/>
        </w:numPr>
        <w:spacing w:before="0"/>
        <w:rPr>
          <w:sz w:val="22"/>
        </w:rPr>
      </w:pPr>
      <w:r w:rsidRPr="005A5B66">
        <w:rPr>
          <w:sz w:val="22"/>
        </w:rPr>
        <w:t>M</w:t>
      </w:r>
      <w:r w:rsidR="00AD0496" w:rsidRPr="005A5B66">
        <w:rPr>
          <w:sz w:val="22"/>
        </w:rPr>
        <w:t>odalities to access a PCE</w:t>
      </w:r>
      <w:r w:rsidRPr="005A5B66">
        <w:rPr>
          <w:sz w:val="22"/>
        </w:rPr>
        <w:t>: A</w:t>
      </w:r>
      <w:r w:rsidR="00464890">
        <w:rPr>
          <w:sz w:val="22"/>
        </w:rPr>
        <w:t xml:space="preserve"> quick r</w:t>
      </w:r>
      <w:r w:rsidRPr="005A5B66">
        <w:rPr>
          <w:sz w:val="22"/>
        </w:rPr>
        <w:t>efresher</w:t>
      </w:r>
    </w:p>
    <w:p w14:paraId="40185B1C" w14:textId="497E51D9" w:rsidR="005A5B66" w:rsidRPr="00E55A54" w:rsidRDefault="005A5B66" w:rsidP="007513B1">
      <w:pPr>
        <w:pStyle w:val="IPPParagraphnumbering"/>
        <w:rPr>
          <w:rFonts w:eastAsia="Times New Roman"/>
          <w:szCs w:val="22"/>
          <w:lang w:eastAsia="zh-CN"/>
        </w:rPr>
      </w:pPr>
      <w:r w:rsidRPr="00E55A54">
        <w:rPr>
          <w:szCs w:val="22"/>
        </w:rPr>
        <w:t>There</w:t>
      </w:r>
      <w:r w:rsidRPr="00E55A54">
        <w:rPr>
          <w:rFonts w:eastAsia="Times New Roman"/>
          <w:szCs w:val="22"/>
          <w:lang w:eastAsia="zh-CN"/>
        </w:rPr>
        <w:t xml:space="preserve"> are three distinct modalities for conducting a PCE, each providing varying levels of support from IPPC-certified facilitators and the IPPC Secretariat:</w:t>
      </w:r>
    </w:p>
    <w:p w14:paraId="016C0F7A" w14:textId="6EEBB95E" w:rsidR="005A5B66" w:rsidRPr="00E55A54" w:rsidRDefault="2F188A08" w:rsidP="001F7558">
      <w:pPr>
        <w:numPr>
          <w:ilvl w:val="0"/>
          <w:numId w:val="13"/>
        </w:numPr>
        <w:rPr>
          <w:rFonts w:eastAsia="Times New Roman"/>
          <w:szCs w:val="22"/>
          <w:lang w:val="en-US" w:eastAsia="zh-CN"/>
        </w:rPr>
      </w:pPr>
      <w:r w:rsidRPr="00E55A54">
        <w:rPr>
          <w:rFonts w:eastAsia="Times New Roman"/>
          <w:b/>
          <w:bCs/>
          <w:szCs w:val="22"/>
          <w:lang w:val="en-US" w:eastAsia="zh-CN"/>
        </w:rPr>
        <w:t xml:space="preserve">A: </w:t>
      </w:r>
      <w:r w:rsidR="005A5B66" w:rsidRPr="00E55A54">
        <w:rPr>
          <w:rFonts w:eastAsia="Times New Roman"/>
          <w:b/>
          <w:bCs/>
          <w:szCs w:val="22"/>
          <w:lang w:val="en-US" w:eastAsia="zh-CN"/>
        </w:rPr>
        <w:t xml:space="preserve">Facilitated </w:t>
      </w:r>
      <w:r w:rsidR="00464890" w:rsidRPr="00464890">
        <w:rPr>
          <w:rFonts w:eastAsia="Times New Roman"/>
          <w:b/>
          <w:bCs/>
          <w:szCs w:val="22"/>
          <w:lang w:val="en-US" w:eastAsia="zh-CN"/>
        </w:rPr>
        <w:t xml:space="preserve">modality with </w:t>
      </w:r>
      <w:r w:rsidR="00464890">
        <w:rPr>
          <w:rFonts w:eastAsia="Times New Roman"/>
          <w:b/>
          <w:bCs/>
          <w:szCs w:val="22"/>
          <w:lang w:val="en-US" w:eastAsia="zh-CN"/>
        </w:rPr>
        <w:t>S</w:t>
      </w:r>
      <w:r w:rsidR="00464890" w:rsidRPr="00464890">
        <w:rPr>
          <w:rFonts w:eastAsia="Times New Roman"/>
          <w:b/>
          <w:bCs/>
          <w:szCs w:val="22"/>
          <w:lang w:val="en-US" w:eastAsia="zh-CN"/>
        </w:rPr>
        <w:t>ecretariat support</w:t>
      </w:r>
      <w:r w:rsidR="005A5B66" w:rsidRPr="00E55A54">
        <w:rPr>
          <w:rFonts w:eastAsia="Times New Roman"/>
          <w:szCs w:val="22"/>
          <w:lang w:val="en-US" w:eastAsia="zh-CN"/>
        </w:rPr>
        <w:br/>
        <w:t xml:space="preserve">This option provides technical guidance from both an IPPC-certified </w:t>
      </w:r>
      <w:r w:rsidR="7DFDD135" w:rsidRPr="00E55A54">
        <w:rPr>
          <w:rFonts w:eastAsia="Times New Roman"/>
          <w:szCs w:val="22"/>
          <w:lang w:val="en-US" w:eastAsia="zh-CN"/>
        </w:rPr>
        <w:t xml:space="preserve">PCE </w:t>
      </w:r>
      <w:r w:rsidR="005A5B66" w:rsidRPr="00E55A54">
        <w:rPr>
          <w:rFonts w:eastAsia="Times New Roman"/>
          <w:szCs w:val="22"/>
          <w:lang w:val="en-US" w:eastAsia="zh-CN"/>
        </w:rPr>
        <w:t>facilitator and the IPPC Secretariat, ensuring strong oversight and support throughout the process.</w:t>
      </w:r>
    </w:p>
    <w:p w14:paraId="299A67AE" w14:textId="7F1308BB" w:rsidR="005A5B66" w:rsidRPr="00E55A54" w:rsidRDefault="227DEDAA" w:rsidP="001F7558">
      <w:pPr>
        <w:numPr>
          <w:ilvl w:val="0"/>
          <w:numId w:val="13"/>
        </w:numPr>
        <w:rPr>
          <w:rFonts w:eastAsia="Times New Roman"/>
          <w:szCs w:val="22"/>
          <w:lang w:val="en-US" w:eastAsia="zh-CN"/>
        </w:rPr>
      </w:pPr>
      <w:r>
        <w:rPr>
          <w:rFonts w:eastAsia="Times New Roman"/>
          <w:b/>
          <w:bCs/>
          <w:szCs w:val="22"/>
          <w:lang w:val="en-US" w:eastAsia="zh-CN"/>
        </w:rPr>
        <w:t xml:space="preserve">B: </w:t>
      </w:r>
      <w:r w:rsidR="00464890">
        <w:rPr>
          <w:rFonts w:eastAsia="Times New Roman"/>
          <w:b/>
          <w:bCs/>
          <w:szCs w:val="22"/>
          <w:lang w:val="en-US" w:eastAsia="zh-CN"/>
        </w:rPr>
        <w:t>F</w:t>
      </w:r>
      <w:r w:rsidR="00464890" w:rsidRPr="00464890">
        <w:rPr>
          <w:rFonts w:eastAsia="Times New Roman"/>
          <w:b/>
          <w:bCs/>
          <w:szCs w:val="22"/>
          <w:lang w:val="en-US" w:eastAsia="zh-CN"/>
        </w:rPr>
        <w:t xml:space="preserve">acilitated modality without </w:t>
      </w:r>
      <w:r w:rsidR="00464890">
        <w:rPr>
          <w:rFonts w:eastAsia="Times New Roman"/>
          <w:b/>
          <w:bCs/>
          <w:szCs w:val="22"/>
          <w:lang w:val="en-US" w:eastAsia="zh-CN"/>
        </w:rPr>
        <w:t>S</w:t>
      </w:r>
      <w:r w:rsidR="00464890" w:rsidRPr="00464890">
        <w:rPr>
          <w:rFonts w:eastAsia="Times New Roman"/>
          <w:b/>
          <w:bCs/>
          <w:szCs w:val="22"/>
          <w:lang w:val="en-US" w:eastAsia="zh-CN"/>
        </w:rPr>
        <w:t>ecretariat support</w:t>
      </w:r>
      <w:r w:rsidR="005A5B66" w:rsidRPr="00E55A54">
        <w:rPr>
          <w:rFonts w:eastAsia="Times New Roman"/>
          <w:szCs w:val="22"/>
          <w:lang w:val="en-US" w:eastAsia="zh-CN"/>
        </w:rPr>
        <w:br/>
        <w:t xml:space="preserve">In this modality, the evaluation is conducted with the </w:t>
      </w:r>
      <w:r w:rsidR="00464890">
        <w:rPr>
          <w:rFonts w:eastAsia="Times New Roman"/>
          <w:szCs w:val="22"/>
          <w:lang w:val="en-US" w:eastAsia="zh-CN"/>
        </w:rPr>
        <w:t>support</w:t>
      </w:r>
      <w:r w:rsidR="005A5B66" w:rsidRPr="00E55A54">
        <w:rPr>
          <w:rFonts w:eastAsia="Times New Roman"/>
          <w:szCs w:val="22"/>
          <w:lang w:val="en-US" w:eastAsia="zh-CN"/>
        </w:rPr>
        <w:t xml:space="preserve"> of an IPPC-certified </w:t>
      </w:r>
      <w:r w:rsidR="13F0726D" w:rsidRPr="00E55A54">
        <w:rPr>
          <w:rFonts w:eastAsia="Times New Roman"/>
          <w:szCs w:val="22"/>
          <w:lang w:val="en-US" w:eastAsia="zh-CN"/>
        </w:rPr>
        <w:t xml:space="preserve">PCE </w:t>
      </w:r>
      <w:r w:rsidR="005A5B66" w:rsidRPr="00E55A54">
        <w:rPr>
          <w:rFonts w:eastAsia="Times New Roman"/>
          <w:szCs w:val="22"/>
          <w:lang w:val="en-US" w:eastAsia="zh-CN"/>
        </w:rPr>
        <w:t>facilitator, but without direct involvement from the IPPC Secretariat.</w:t>
      </w:r>
    </w:p>
    <w:p w14:paraId="23884612" w14:textId="493E8FD2" w:rsidR="005A5B66" w:rsidRPr="00E55A54" w:rsidRDefault="4A261868" w:rsidP="001F7558">
      <w:pPr>
        <w:numPr>
          <w:ilvl w:val="0"/>
          <w:numId w:val="13"/>
        </w:numPr>
        <w:rPr>
          <w:rFonts w:eastAsia="Times New Roman"/>
          <w:szCs w:val="22"/>
          <w:lang w:val="en-US" w:eastAsia="zh-CN"/>
        </w:rPr>
      </w:pPr>
      <w:r w:rsidRPr="00E55A54">
        <w:rPr>
          <w:rFonts w:eastAsia="Times New Roman"/>
          <w:b/>
          <w:bCs/>
          <w:szCs w:val="22"/>
          <w:lang w:val="en-US" w:eastAsia="zh-CN"/>
        </w:rPr>
        <w:t xml:space="preserve">C: </w:t>
      </w:r>
      <w:r w:rsidR="005A5B66" w:rsidRPr="00E55A54">
        <w:rPr>
          <w:rFonts w:eastAsia="Times New Roman"/>
          <w:b/>
          <w:bCs/>
          <w:szCs w:val="22"/>
          <w:lang w:val="en-US" w:eastAsia="zh-CN"/>
        </w:rPr>
        <w:t xml:space="preserve">Independent </w:t>
      </w:r>
      <w:r w:rsidR="00464890">
        <w:rPr>
          <w:rFonts w:eastAsia="Times New Roman"/>
          <w:b/>
          <w:bCs/>
          <w:szCs w:val="22"/>
          <w:lang w:val="en-US" w:eastAsia="zh-CN"/>
        </w:rPr>
        <w:t>m</w:t>
      </w:r>
      <w:r w:rsidR="005A5B66" w:rsidRPr="00E55A54">
        <w:rPr>
          <w:rFonts w:eastAsia="Times New Roman"/>
          <w:b/>
          <w:bCs/>
          <w:szCs w:val="22"/>
          <w:lang w:val="en-US" w:eastAsia="zh-CN"/>
        </w:rPr>
        <w:t>odality (NPPO-led)</w:t>
      </w:r>
      <w:r w:rsidR="005A5B66" w:rsidRPr="00E55A54">
        <w:rPr>
          <w:rFonts w:eastAsia="Times New Roman"/>
          <w:szCs w:val="22"/>
          <w:lang w:val="en-US" w:eastAsia="zh-CN"/>
        </w:rPr>
        <w:br/>
        <w:t xml:space="preserve">The NPPO assumes full responsibility for the PCE process, managing it independently without support from the IPPC Secretariat or </w:t>
      </w:r>
      <w:r w:rsidR="41E9574E" w:rsidRPr="00E55A54">
        <w:rPr>
          <w:rFonts w:eastAsia="Times New Roman"/>
          <w:szCs w:val="22"/>
          <w:lang w:val="en-US" w:eastAsia="zh-CN"/>
        </w:rPr>
        <w:t xml:space="preserve">IPPC-certified PCE </w:t>
      </w:r>
      <w:r w:rsidR="005A5B66" w:rsidRPr="00E55A54">
        <w:rPr>
          <w:rFonts w:eastAsia="Times New Roman"/>
          <w:szCs w:val="22"/>
          <w:lang w:val="en-US" w:eastAsia="zh-CN"/>
        </w:rPr>
        <w:t>facilitators. The Secretariat has no insight into deliverables and cannot promote the outcomes.</w:t>
      </w:r>
    </w:p>
    <w:p w14:paraId="70AF5DF3" w14:textId="3494CCE4" w:rsidR="00464890" w:rsidRPr="00E55A54" w:rsidRDefault="005A5B66" w:rsidP="00701D26">
      <w:pPr>
        <w:pStyle w:val="IPPParagraphnumbering"/>
        <w:spacing w:after="0"/>
      </w:pPr>
      <w:r w:rsidRPr="00E55A54">
        <w:rPr>
          <w:rFonts w:eastAsia="Times New Roman"/>
          <w:szCs w:val="22"/>
          <w:lang w:eastAsia="zh-CN"/>
        </w:rPr>
        <w:lastRenderedPageBreak/>
        <w:t>Additional information on these modalities, including facilitator selection, can be found on the International Phytosanitary Portal (IPP)</w:t>
      </w:r>
      <w:r w:rsidR="00464890" w:rsidRPr="005736BF">
        <w:rPr>
          <w:rStyle w:val="FootnoteReference"/>
          <w:szCs w:val="22"/>
        </w:rPr>
        <w:footnoteReference w:id="6"/>
      </w:r>
      <w:r w:rsidRPr="00E55A54">
        <w:rPr>
          <w:rFonts w:eastAsia="Times New Roman"/>
          <w:szCs w:val="22"/>
          <w:lang w:eastAsia="zh-CN"/>
        </w:rPr>
        <w:t xml:space="preserve"> PCE webpage.</w:t>
      </w:r>
      <w:r w:rsidR="00464890">
        <w:rPr>
          <w:rFonts w:eastAsia="Times New Roman"/>
          <w:szCs w:val="22"/>
          <w:lang w:eastAsia="zh-CN"/>
        </w:rPr>
        <w:t xml:space="preserve"> </w:t>
      </w:r>
      <w:r w:rsidR="00464890">
        <w:rPr>
          <w:szCs w:val="22"/>
        </w:rPr>
        <w:t xml:space="preserve">Concerning the selection of </w:t>
      </w:r>
      <w:r w:rsidR="5DCE1440">
        <w:rPr>
          <w:szCs w:val="22"/>
        </w:rPr>
        <w:t xml:space="preserve">IPPC-certified PCE </w:t>
      </w:r>
      <w:r w:rsidR="00464890">
        <w:rPr>
          <w:szCs w:val="22"/>
        </w:rPr>
        <w:t>facilitators when engaged, the</w:t>
      </w:r>
      <w:r w:rsidR="00464890" w:rsidRPr="005736BF">
        <w:rPr>
          <w:szCs w:val="22"/>
        </w:rPr>
        <w:t xml:space="preserve"> NPPO selects from the existing pool</w:t>
      </w:r>
      <w:r w:rsidR="00464890">
        <w:rPr>
          <w:szCs w:val="22"/>
        </w:rPr>
        <w:t>.</w:t>
      </w:r>
      <w:r w:rsidR="00464890" w:rsidRPr="005736BF">
        <w:rPr>
          <w:rStyle w:val="FootnoteReference"/>
          <w:szCs w:val="22"/>
        </w:rPr>
        <w:footnoteReference w:id="7"/>
      </w:r>
    </w:p>
    <w:p w14:paraId="14C0C67B" w14:textId="77777777" w:rsidR="00E55A54" w:rsidRPr="005736BF" w:rsidRDefault="00E55A54" w:rsidP="00701D26">
      <w:pPr>
        <w:pStyle w:val="IPPParagraphnumbering"/>
        <w:numPr>
          <w:ilvl w:val="0"/>
          <w:numId w:val="0"/>
        </w:numPr>
        <w:spacing w:after="0"/>
      </w:pPr>
    </w:p>
    <w:p w14:paraId="0F8D8CC0" w14:textId="57FF34A6" w:rsidR="00AD0496" w:rsidRDefault="00D45573" w:rsidP="00701D26">
      <w:pPr>
        <w:pStyle w:val="IPPHeading1"/>
        <w:numPr>
          <w:ilvl w:val="1"/>
          <w:numId w:val="11"/>
        </w:numPr>
        <w:spacing w:before="0" w:after="0"/>
        <w:rPr>
          <w:rFonts w:eastAsiaTheme="minorEastAsia"/>
          <w:sz w:val="22"/>
        </w:rPr>
      </w:pPr>
      <w:r>
        <w:rPr>
          <w:rFonts w:eastAsiaTheme="minorEastAsia"/>
          <w:sz w:val="22"/>
        </w:rPr>
        <w:t>R</w:t>
      </w:r>
      <w:r w:rsidR="00AD0496" w:rsidRPr="005736BF">
        <w:rPr>
          <w:rFonts w:eastAsiaTheme="minorEastAsia"/>
          <w:sz w:val="22"/>
        </w:rPr>
        <w:t>ecent PCE implementation in countries</w:t>
      </w:r>
    </w:p>
    <w:p w14:paraId="01BC9193" w14:textId="70194CFC" w:rsidR="006F7C5C" w:rsidRDefault="001E7621" w:rsidP="001149AB">
      <w:pPr>
        <w:pStyle w:val="IPPParagraphnumbering"/>
        <w:rPr>
          <w:szCs w:val="22"/>
        </w:rPr>
      </w:pPr>
      <w:r>
        <w:rPr>
          <w:szCs w:val="22"/>
        </w:rPr>
        <w:t>T</w:t>
      </w:r>
      <w:r w:rsidR="005A5B66" w:rsidRPr="00E55A54">
        <w:rPr>
          <w:szCs w:val="22"/>
        </w:rPr>
        <w:t>able</w:t>
      </w:r>
      <w:r w:rsidR="00475BBD">
        <w:rPr>
          <w:szCs w:val="22"/>
        </w:rPr>
        <w:t xml:space="preserve"> 1</w:t>
      </w:r>
      <w:r w:rsidR="005A5B66" w:rsidRPr="00E55A54">
        <w:rPr>
          <w:szCs w:val="22"/>
        </w:rPr>
        <w:t xml:space="preserve"> provides an overview of the recent </w:t>
      </w:r>
      <w:r w:rsidR="00F40C30">
        <w:rPr>
          <w:szCs w:val="22"/>
        </w:rPr>
        <w:t xml:space="preserve">and upcoming </w:t>
      </w:r>
      <w:r w:rsidR="005A5B66" w:rsidRPr="00E55A54">
        <w:rPr>
          <w:szCs w:val="22"/>
        </w:rPr>
        <w:t>PCE</w:t>
      </w:r>
      <w:r w:rsidR="00475BBD">
        <w:rPr>
          <w:szCs w:val="22"/>
        </w:rPr>
        <w:t>s</w:t>
      </w:r>
      <w:r w:rsidR="005A5B66" w:rsidRPr="00E55A54">
        <w:rPr>
          <w:szCs w:val="22"/>
        </w:rPr>
        <w:t xml:space="preserve"> conducted across various regions. This summary details </w:t>
      </w:r>
      <w:r w:rsidR="00EA578F">
        <w:rPr>
          <w:szCs w:val="22"/>
        </w:rPr>
        <w:t xml:space="preserve">PCE's </w:t>
      </w:r>
      <w:r w:rsidR="005A5B66" w:rsidRPr="00E55A54">
        <w:rPr>
          <w:szCs w:val="22"/>
        </w:rPr>
        <w:t xml:space="preserve">status, countries involved, and </w:t>
      </w:r>
      <w:r w:rsidR="00EA578F">
        <w:rPr>
          <w:szCs w:val="22"/>
        </w:rPr>
        <w:t>funding</w:t>
      </w:r>
      <w:r w:rsidR="005A5B66" w:rsidRPr="00E55A54">
        <w:rPr>
          <w:szCs w:val="22"/>
        </w:rPr>
        <w:t>.</w:t>
      </w:r>
    </w:p>
    <w:p w14:paraId="31392259" w14:textId="7A27AEFA" w:rsidR="005A5B66" w:rsidRPr="00E55A54" w:rsidRDefault="006F7C5C" w:rsidP="00701D26">
      <w:pPr>
        <w:pStyle w:val="IPPParagraphnumbering"/>
        <w:numPr>
          <w:ilvl w:val="0"/>
          <w:numId w:val="0"/>
        </w:numPr>
        <w:spacing w:after="0"/>
        <w:rPr>
          <w:szCs w:val="22"/>
        </w:rPr>
      </w:pPr>
      <w:r w:rsidRPr="006F7C5C">
        <w:rPr>
          <w:szCs w:val="22"/>
        </w:rPr>
        <w:t xml:space="preserve">Table </w:t>
      </w:r>
      <w:r w:rsidR="00BA3F77">
        <w:rPr>
          <w:szCs w:val="22"/>
        </w:rPr>
        <w:t>1</w:t>
      </w:r>
      <w:r w:rsidR="001E7621">
        <w:rPr>
          <w:szCs w:val="22"/>
        </w:rPr>
        <w:t>.</w:t>
      </w:r>
      <w:r w:rsidRPr="006F7C5C">
        <w:rPr>
          <w:szCs w:val="22"/>
        </w:rPr>
        <w:t xml:space="preserve"> Summary of the PCE</w:t>
      </w:r>
      <w:r w:rsidR="0019455C">
        <w:rPr>
          <w:szCs w:val="22"/>
        </w:rPr>
        <w:t>s</w:t>
      </w:r>
      <w:r w:rsidRPr="006F7C5C">
        <w:rPr>
          <w:szCs w:val="22"/>
        </w:rPr>
        <w:t xml:space="preserve"> </w:t>
      </w:r>
      <w:r w:rsidR="0019455C">
        <w:rPr>
          <w:szCs w:val="22"/>
        </w:rPr>
        <w:t>conducted and upcoming</w:t>
      </w:r>
    </w:p>
    <w:tbl>
      <w:tblPr>
        <w:tblStyle w:val="TableGrid"/>
        <w:tblW w:w="9431" w:type="dxa"/>
        <w:tblLook w:val="04A0" w:firstRow="1" w:lastRow="0" w:firstColumn="1" w:lastColumn="0" w:noHBand="0" w:noVBand="1"/>
      </w:tblPr>
      <w:tblGrid>
        <w:gridCol w:w="894"/>
        <w:gridCol w:w="2471"/>
        <w:gridCol w:w="1149"/>
        <w:gridCol w:w="3311"/>
        <w:gridCol w:w="1606"/>
      </w:tblGrid>
      <w:tr w:rsidR="005A5B66" w:rsidRPr="00685D89" w14:paraId="179237ED" w14:textId="77777777" w:rsidTr="001149AB">
        <w:trPr>
          <w:tblHeader/>
        </w:trPr>
        <w:tc>
          <w:tcPr>
            <w:tcW w:w="894" w:type="dxa"/>
          </w:tcPr>
          <w:p w14:paraId="5EF85832" w14:textId="77777777" w:rsidR="005A5B66" w:rsidRPr="00685D89" w:rsidRDefault="005A5B66" w:rsidP="00701D26">
            <w:pPr>
              <w:jc w:val="center"/>
              <w:rPr>
                <w:rFonts w:ascii="Times" w:hAnsi="Times" w:cs="Times"/>
                <w:b/>
                <w:bCs/>
                <w:szCs w:val="20"/>
              </w:rPr>
            </w:pPr>
            <w:r w:rsidRPr="00685D89">
              <w:rPr>
                <w:rFonts w:ascii="Times" w:hAnsi="Times" w:cs="Times"/>
                <w:b/>
                <w:bCs/>
                <w:szCs w:val="20"/>
              </w:rPr>
              <w:t>Year</w:t>
            </w:r>
          </w:p>
        </w:tc>
        <w:tc>
          <w:tcPr>
            <w:tcW w:w="2471" w:type="dxa"/>
          </w:tcPr>
          <w:p w14:paraId="785C504D" w14:textId="77777777" w:rsidR="005A5B66" w:rsidRPr="00685D89" w:rsidRDefault="005A5B66" w:rsidP="00701D26">
            <w:pPr>
              <w:jc w:val="center"/>
              <w:rPr>
                <w:rFonts w:ascii="Times" w:hAnsi="Times" w:cs="Times"/>
                <w:b/>
                <w:bCs/>
                <w:szCs w:val="20"/>
              </w:rPr>
            </w:pPr>
            <w:r w:rsidRPr="00685D89">
              <w:rPr>
                <w:rFonts w:ascii="Times" w:hAnsi="Times" w:cs="Times"/>
                <w:b/>
                <w:bCs/>
                <w:szCs w:val="20"/>
              </w:rPr>
              <w:t>Region/Country</w:t>
            </w:r>
          </w:p>
        </w:tc>
        <w:tc>
          <w:tcPr>
            <w:tcW w:w="1149" w:type="dxa"/>
          </w:tcPr>
          <w:p w14:paraId="08818786" w14:textId="77777777" w:rsidR="005A5B66" w:rsidRPr="00685D89" w:rsidRDefault="005A5B66" w:rsidP="00701D26">
            <w:pPr>
              <w:jc w:val="center"/>
              <w:rPr>
                <w:rFonts w:ascii="Times" w:hAnsi="Times" w:cs="Times"/>
                <w:b/>
                <w:bCs/>
                <w:szCs w:val="20"/>
              </w:rPr>
            </w:pPr>
            <w:r w:rsidRPr="00685D89">
              <w:rPr>
                <w:rFonts w:ascii="Times" w:hAnsi="Times" w:cs="Times"/>
                <w:b/>
                <w:bCs/>
                <w:szCs w:val="20"/>
              </w:rPr>
              <w:t>Status</w:t>
            </w:r>
          </w:p>
        </w:tc>
        <w:tc>
          <w:tcPr>
            <w:tcW w:w="3311" w:type="dxa"/>
          </w:tcPr>
          <w:p w14:paraId="6C38C25E" w14:textId="77777777" w:rsidR="005A5B66" w:rsidRPr="00685D89" w:rsidRDefault="005A5B66" w:rsidP="00701D26">
            <w:pPr>
              <w:jc w:val="center"/>
              <w:rPr>
                <w:rFonts w:ascii="Times" w:hAnsi="Times" w:cs="Times"/>
                <w:b/>
                <w:bCs/>
                <w:szCs w:val="20"/>
              </w:rPr>
            </w:pPr>
            <w:r w:rsidRPr="00685D89">
              <w:rPr>
                <w:rFonts w:ascii="Times" w:hAnsi="Times" w:cs="Times"/>
                <w:b/>
                <w:bCs/>
                <w:szCs w:val="20"/>
              </w:rPr>
              <w:t>Details</w:t>
            </w:r>
          </w:p>
        </w:tc>
        <w:tc>
          <w:tcPr>
            <w:tcW w:w="1606" w:type="dxa"/>
          </w:tcPr>
          <w:p w14:paraId="5885942C" w14:textId="6BB8C3EA" w:rsidR="005A5B66" w:rsidRPr="00685D89" w:rsidRDefault="005A5B66" w:rsidP="00701D26">
            <w:pPr>
              <w:jc w:val="center"/>
              <w:rPr>
                <w:rFonts w:ascii="Times" w:hAnsi="Times" w:cs="Times"/>
                <w:b/>
                <w:bCs/>
                <w:szCs w:val="20"/>
              </w:rPr>
            </w:pPr>
            <w:r w:rsidRPr="00685D89">
              <w:rPr>
                <w:rFonts w:ascii="Times" w:hAnsi="Times" w:cs="Times"/>
                <w:b/>
                <w:bCs/>
                <w:szCs w:val="20"/>
              </w:rPr>
              <w:t>Funding</w:t>
            </w:r>
          </w:p>
        </w:tc>
      </w:tr>
      <w:tr w:rsidR="005A5B66" w:rsidRPr="00685D89" w14:paraId="55B9BE2D" w14:textId="77777777" w:rsidTr="001149AB">
        <w:tc>
          <w:tcPr>
            <w:tcW w:w="894" w:type="dxa"/>
          </w:tcPr>
          <w:p w14:paraId="5F782DB4" w14:textId="77777777" w:rsidR="005A5B66" w:rsidRPr="00685D89" w:rsidRDefault="005A5B66" w:rsidP="00701D26">
            <w:pPr>
              <w:rPr>
                <w:rFonts w:ascii="Times" w:hAnsi="Times" w:cs="Times"/>
                <w:szCs w:val="20"/>
              </w:rPr>
            </w:pPr>
            <w:r w:rsidRPr="00685D89">
              <w:rPr>
                <w:rFonts w:ascii="Times" w:hAnsi="Times" w:cs="Times"/>
                <w:szCs w:val="20"/>
              </w:rPr>
              <w:t>2023</w:t>
            </w:r>
          </w:p>
        </w:tc>
        <w:tc>
          <w:tcPr>
            <w:tcW w:w="2471" w:type="dxa"/>
          </w:tcPr>
          <w:p w14:paraId="207E2B7C" w14:textId="77777777" w:rsidR="005A5B66" w:rsidRPr="00685D89" w:rsidRDefault="005A5B66" w:rsidP="00701D26">
            <w:pPr>
              <w:rPr>
                <w:rFonts w:ascii="Times" w:hAnsi="Times" w:cs="Times"/>
                <w:szCs w:val="20"/>
              </w:rPr>
            </w:pPr>
            <w:r w:rsidRPr="00685D89">
              <w:rPr>
                <w:rFonts w:ascii="Times" w:hAnsi="Times" w:cs="Times"/>
                <w:szCs w:val="20"/>
              </w:rPr>
              <w:t>African Union (Djibouti, Eswatini, Kenya, Mauritius, Malawi, Seychelles, Rwanda, Zambia, Zimbabwe)</w:t>
            </w:r>
          </w:p>
        </w:tc>
        <w:tc>
          <w:tcPr>
            <w:tcW w:w="1149" w:type="dxa"/>
          </w:tcPr>
          <w:p w14:paraId="2356E667" w14:textId="77777777" w:rsidR="005A5B66" w:rsidRPr="00685D89" w:rsidRDefault="005A5B66" w:rsidP="00701D26">
            <w:pPr>
              <w:rPr>
                <w:rFonts w:ascii="Times" w:hAnsi="Times" w:cs="Times"/>
                <w:szCs w:val="20"/>
              </w:rPr>
            </w:pPr>
            <w:r w:rsidRPr="00685D89">
              <w:rPr>
                <w:rFonts w:ascii="Times" w:hAnsi="Times" w:cs="Times"/>
                <w:szCs w:val="20"/>
              </w:rPr>
              <w:t>Completed</w:t>
            </w:r>
          </w:p>
        </w:tc>
        <w:tc>
          <w:tcPr>
            <w:tcW w:w="3311" w:type="dxa"/>
          </w:tcPr>
          <w:p w14:paraId="57D1B34A" w14:textId="2A40DE52" w:rsidR="005A5B66" w:rsidRPr="00685D89" w:rsidRDefault="01E32DFA" w:rsidP="00701D26">
            <w:pPr>
              <w:rPr>
                <w:rFonts w:ascii="Times" w:hAnsi="Times" w:cs="Times"/>
                <w:szCs w:val="20"/>
              </w:rPr>
            </w:pPr>
            <w:r w:rsidRPr="00685D89">
              <w:rPr>
                <w:rFonts w:ascii="Times" w:hAnsi="Times" w:cs="Times"/>
                <w:szCs w:val="20"/>
              </w:rPr>
              <w:t xml:space="preserve">Nine </w:t>
            </w:r>
            <w:r w:rsidR="24DCF560" w:rsidRPr="00685D89">
              <w:rPr>
                <w:rFonts w:ascii="Times" w:hAnsi="Times" w:cs="Times"/>
                <w:szCs w:val="20"/>
              </w:rPr>
              <w:t>(</w:t>
            </w:r>
            <w:r w:rsidR="005A5B66" w:rsidRPr="00685D89">
              <w:rPr>
                <w:rFonts w:ascii="Times" w:hAnsi="Times" w:cs="Times"/>
                <w:szCs w:val="20"/>
              </w:rPr>
              <w:t>9</w:t>
            </w:r>
            <w:r w:rsidR="4A40B041" w:rsidRPr="00685D89">
              <w:rPr>
                <w:rFonts w:ascii="Times" w:hAnsi="Times" w:cs="Times"/>
                <w:szCs w:val="20"/>
              </w:rPr>
              <w:t>)</w:t>
            </w:r>
            <w:r w:rsidR="005A5B66" w:rsidRPr="00685D89">
              <w:rPr>
                <w:rFonts w:ascii="Times" w:hAnsi="Times" w:cs="Times"/>
                <w:szCs w:val="20"/>
              </w:rPr>
              <w:t xml:space="preserve"> PCEs conducted under</w:t>
            </w:r>
            <w:r w:rsidR="7ACD8CB8" w:rsidRPr="00685D89">
              <w:rPr>
                <w:rFonts w:ascii="Times" w:hAnsi="Times" w:cs="Times"/>
                <w:szCs w:val="20"/>
              </w:rPr>
              <w:t xml:space="preserve"> project</w:t>
            </w:r>
            <w:r w:rsidR="005A5B66" w:rsidRPr="00685D89">
              <w:rPr>
                <w:rFonts w:ascii="Times" w:hAnsi="Times" w:cs="Times"/>
                <w:szCs w:val="20"/>
              </w:rPr>
              <w:t xml:space="preserve"> GCP/GLO/949/EC</w:t>
            </w:r>
            <w:r w:rsidR="5B6612F8" w:rsidRPr="00685D89">
              <w:rPr>
                <w:rFonts w:ascii="Times" w:hAnsi="Times" w:cs="Times"/>
                <w:szCs w:val="20"/>
              </w:rPr>
              <w:t xml:space="preserve"> with mo</w:t>
            </w:r>
            <w:r w:rsidR="0468FA65" w:rsidRPr="00685D89">
              <w:rPr>
                <w:rFonts w:ascii="Times" w:hAnsi="Times" w:cs="Times"/>
                <w:szCs w:val="20"/>
              </w:rPr>
              <w:t>da</w:t>
            </w:r>
            <w:r w:rsidR="5B6612F8" w:rsidRPr="00685D89">
              <w:rPr>
                <w:rFonts w:ascii="Times" w:hAnsi="Times" w:cs="Times"/>
                <w:szCs w:val="20"/>
              </w:rPr>
              <w:t>lity A</w:t>
            </w:r>
            <w:r w:rsidR="005A5B66" w:rsidRPr="00685D89">
              <w:rPr>
                <w:rFonts w:ascii="Times" w:hAnsi="Times" w:cs="Times"/>
                <w:szCs w:val="20"/>
              </w:rPr>
              <w:t>. Project</w:t>
            </w:r>
            <w:r w:rsidR="600B23C3" w:rsidRPr="00685D89">
              <w:rPr>
                <w:rFonts w:ascii="Times" w:hAnsi="Times" w:cs="Times"/>
                <w:szCs w:val="20"/>
              </w:rPr>
              <w:t xml:space="preserve"> proposals</w:t>
            </w:r>
            <w:r w:rsidR="005A5B66" w:rsidRPr="00685D89">
              <w:rPr>
                <w:rFonts w:ascii="Times" w:hAnsi="Times" w:cs="Times"/>
                <w:szCs w:val="20"/>
              </w:rPr>
              <w:t xml:space="preserve"> being prepared to implement PCE outputs</w:t>
            </w:r>
          </w:p>
        </w:tc>
        <w:tc>
          <w:tcPr>
            <w:tcW w:w="1606" w:type="dxa"/>
          </w:tcPr>
          <w:p w14:paraId="22D80EBA" w14:textId="159DC270" w:rsidR="005A5B66" w:rsidRPr="00685D89" w:rsidRDefault="4BB44678" w:rsidP="00701D26">
            <w:pPr>
              <w:rPr>
                <w:rFonts w:ascii="Times" w:hAnsi="Times" w:cs="Times"/>
                <w:szCs w:val="20"/>
              </w:rPr>
            </w:pPr>
            <w:r w:rsidRPr="00685D89">
              <w:rPr>
                <w:rFonts w:ascii="Times" w:hAnsi="Times" w:cs="Times"/>
                <w:szCs w:val="20"/>
              </w:rPr>
              <w:t>EU</w:t>
            </w:r>
          </w:p>
        </w:tc>
      </w:tr>
      <w:tr w:rsidR="005A5B66" w:rsidRPr="00685D89" w14:paraId="5C65F5F9" w14:textId="77777777" w:rsidTr="001149AB">
        <w:tc>
          <w:tcPr>
            <w:tcW w:w="894" w:type="dxa"/>
          </w:tcPr>
          <w:p w14:paraId="51C19E90" w14:textId="77777777" w:rsidR="005A5B66" w:rsidRPr="00685D89" w:rsidRDefault="005A5B66" w:rsidP="00701D26">
            <w:pPr>
              <w:rPr>
                <w:rFonts w:ascii="Times" w:hAnsi="Times" w:cs="Times"/>
                <w:szCs w:val="20"/>
              </w:rPr>
            </w:pPr>
            <w:r w:rsidRPr="00685D89">
              <w:rPr>
                <w:rFonts w:ascii="Times" w:hAnsi="Times" w:cs="Times"/>
                <w:szCs w:val="20"/>
              </w:rPr>
              <w:t>2024</w:t>
            </w:r>
          </w:p>
        </w:tc>
        <w:tc>
          <w:tcPr>
            <w:tcW w:w="2471" w:type="dxa"/>
          </w:tcPr>
          <w:p w14:paraId="0BECC877" w14:textId="77777777" w:rsidR="005A5B66" w:rsidRPr="00685D89" w:rsidRDefault="005A5B66" w:rsidP="00701D26">
            <w:pPr>
              <w:rPr>
                <w:rFonts w:ascii="Times" w:hAnsi="Times" w:cs="Times"/>
                <w:szCs w:val="20"/>
              </w:rPr>
            </w:pPr>
            <w:r w:rsidRPr="00685D89">
              <w:rPr>
                <w:rFonts w:ascii="Times" w:hAnsi="Times" w:cs="Times"/>
                <w:szCs w:val="20"/>
              </w:rPr>
              <w:t>Egypt, Uganda</w:t>
            </w:r>
          </w:p>
        </w:tc>
        <w:tc>
          <w:tcPr>
            <w:tcW w:w="1149" w:type="dxa"/>
          </w:tcPr>
          <w:p w14:paraId="15D34204" w14:textId="77777777" w:rsidR="005A5B66" w:rsidRPr="00685D89" w:rsidRDefault="005A5B66" w:rsidP="00701D26">
            <w:pPr>
              <w:rPr>
                <w:rFonts w:ascii="Times" w:hAnsi="Times" w:cs="Times"/>
                <w:szCs w:val="20"/>
              </w:rPr>
            </w:pPr>
            <w:r w:rsidRPr="00685D89">
              <w:rPr>
                <w:rFonts w:ascii="Times" w:hAnsi="Times" w:cs="Times"/>
                <w:szCs w:val="20"/>
              </w:rPr>
              <w:t>Ongoing</w:t>
            </w:r>
          </w:p>
        </w:tc>
        <w:tc>
          <w:tcPr>
            <w:tcW w:w="3311" w:type="dxa"/>
          </w:tcPr>
          <w:p w14:paraId="6498638D" w14:textId="1C3C3169" w:rsidR="005A5B66" w:rsidRPr="00685D89" w:rsidRDefault="005A5B66" w:rsidP="00701D26">
            <w:pPr>
              <w:rPr>
                <w:rFonts w:ascii="Times" w:hAnsi="Times" w:cs="Times"/>
                <w:szCs w:val="20"/>
              </w:rPr>
            </w:pPr>
            <w:r w:rsidRPr="00685D89">
              <w:rPr>
                <w:rFonts w:ascii="Times" w:hAnsi="Times" w:cs="Times"/>
                <w:szCs w:val="20"/>
              </w:rPr>
              <w:t>PCEs initiated</w:t>
            </w:r>
            <w:r w:rsidR="360DD13B" w:rsidRPr="00685D89">
              <w:rPr>
                <w:rFonts w:ascii="Times" w:hAnsi="Times" w:cs="Times"/>
                <w:szCs w:val="20"/>
              </w:rPr>
              <w:t xml:space="preserve"> under project GCP/GLO/949/EC</w:t>
            </w:r>
            <w:r w:rsidR="2C3257F8" w:rsidRPr="00685D89">
              <w:rPr>
                <w:rFonts w:ascii="Times" w:hAnsi="Times" w:cs="Times"/>
                <w:szCs w:val="20"/>
              </w:rPr>
              <w:t xml:space="preserve"> under modality A</w:t>
            </w:r>
            <w:r w:rsidRPr="00685D89">
              <w:rPr>
                <w:rFonts w:ascii="Times" w:hAnsi="Times" w:cs="Times"/>
                <w:szCs w:val="20"/>
              </w:rPr>
              <w:t>, expected completion in 2024</w:t>
            </w:r>
          </w:p>
        </w:tc>
        <w:tc>
          <w:tcPr>
            <w:tcW w:w="1606" w:type="dxa"/>
          </w:tcPr>
          <w:p w14:paraId="452FF8BB" w14:textId="60390393" w:rsidR="005A5B66" w:rsidRPr="00685D89" w:rsidRDefault="18C42329" w:rsidP="00701D26">
            <w:pPr>
              <w:rPr>
                <w:rFonts w:ascii="Times" w:hAnsi="Times" w:cs="Times"/>
                <w:szCs w:val="20"/>
              </w:rPr>
            </w:pPr>
            <w:r w:rsidRPr="00685D89">
              <w:rPr>
                <w:rFonts w:ascii="Times" w:hAnsi="Times" w:cs="Times"/>
                <w:szCs w:val="20"/>
              </w:rPr>
              <w:t>EU</w:t>
            </w:r>
          </w:p>
        </w:tc>
      </w:tr>
      <w:tr w:rsidR="005A5B66" w:rsidRPr="00685D89" w14:paraId="0307F6C0" w14:textId="77777777" w:rsidTr="001149AB">
        <w:tc>
          <w:tcPr>
            <w:tcW w:w="894" w:type="dxa"/>
          </w:tcPr>
          <w:p w14:paraId="4E9A3BB4" w14:textId="77777777" w:rsidR="005A5B66" w:rsidRPr="00685D89" w:rsidRDefault="005A5B66" w:rsidP="00701D26">
            <w:pPr>
              <w:rPr>
                <w:rFonts w:ascii="Times" w:hAnsi="Times" w:cs="Times"/>
                <w:szCs w:val="20"/>
              </w:rPr>
            </w:pPr>
            <w:r w:rsidRPr="00685D89">
              <w:rPr>
                <w:rFonts w:ascii="Times" w:hAnsi="Times" w:cs="Times"/>
                <w:szCs w:val="20"/>
              </w:rPr>
              <w:t>2024</w:t>
            </w:r>
          </w:p>
        </w:tc>
        <w:tc>
          <w:tcPr>
            <w:tcW w:w="2471" w:type="dxa"/>
          </w:tcPr>
          <w:p w14:paraId="0DF157F6" w14:textId="77777777" w:rsidR="005A5B66" w:rsidRPr="00685D89" w:rsidRDefault="005A5B66" w:rsidP="00701D26">
            <w:pPr>
              <w:rPr>
                <w:rFonts w:ascii="Times" w:hAnsi="Times" w:cs="Times"/>
                <w:szCs w:val="20"/>
              </w:rPr>
            </w:pPr>
            <w:r w:rsidRPr="00685D89">
              <w:rPr>
                <w:rFonts w:ascii="Times" w:hAnsi="Times" w:cs="Times"/>
                <w:szCs w:val="20"/>
              </w:rPr>
              <w:t>Nigeria, Namibia</w:t>
            </w:r>
          </w:p>
        </w:tc>
        <w:tc>
          <w:tcPr>
            <w:tcW w:w="1149" w:type="dxa"/>
          </w:tcPr>
          <w:p w14:paraId="7EC83D99" w14:textId="77777777" w:rsidR="005A5B66" w:rsidRPr="00685D89" w:rsidRDefault="005A5B66" w:rsidP="00701D26">
            <w:pPr>
              <w:rPr>
                <w:rFonts w:ascii="Times" w:hAnsi="Times" w:cs="Times"/>
                <w:szCs w:val="20"/>
              </w:rPr>
            </w:pPr>
            <w:r w:rsidRPr="00685D89">
              <w:rPr>
                <w:rFonts w:ascii="Times" w:hAnsi="Times" w:cs="Times"/>
                <w:szCs w:val="20"/>
              </w:rPr>
              <w:t>Completed</w:t>
            </w:r>
          </w:p>
        </w:tc>
        <w:tc>
          <w:tcPr>
            <w:tcW w:w="3311" w:type="dxa"/>
          </w:tcPr>
          <w:p w14:paraId="62F0107D" w14:textId="064B03C9" w:rsidR="005A5B66" w:rsidRPr="00685D89" w:rsidRDefault="005A5B66" w:rsidP="00701D26">
            <w:pPr>
              <w:rPr>
                <w:rFonts w:ascii="Times" w:hAnsi="Times" w:cs="Times"/>
                <w:szCs w:val="20"/>
              </w:rPr>
            </w:pPr>
            <w:r w:rsidRPr="00685D89">
              <w:rPr>
                <w:rFonts w:ascii="Times" w:hAnsi="Times" w:cs="Times"/>
                <w:szCs w:val="20"/>
              </w:rPr>
              <w:t xml:space="preserve">Facilitated PCEs </w:t>
            </w:r>
            <w:r w:rsidR="22075BF6" w:rsidRPr="00685D89">
              <w:rPr>
                <w:rFonts w:ascii="Times" w:hAnsi="Times" w:cs="Times"/>
                <w:szCs w:val="20"/>
              </w:rPr>
              <w:t xml:space="preserve">under modality B, with IPPC –certified PCE facilitators but </w:t>
            </w:r>
            <w:r w:rsidRPr="00685D89">
              <w:rPr>
                <w:rFonts w:ascii="Times" w:hAnsi="Times" w:cs="Times"/>
                <w:szCs w:val="20"/>
              </w:rPr>
              <w:t xml:space="preserve">without direct IPPC Secretariat involvement. Nigeria </w:t>
            </w:r>
            <w:r w:rsidR="1BF95AF9" w:rsidRPr="00685D89">
              <w:rPr>
                <w:rFonts w:ascii="Times" w:hAnsi="Times" w:cs="Times"/>
                <w:szCs w:val="20"/>
              </w:rPr>
              <w:t xml:space="preserve">is </w:t>
            </w:r>
            <w:r w:rsidRPr="00685D89">
              <w:rPr>
                <w:rFonts w:ascii="Times" w:hAnsi="Times" w:cs="Times"/>
                <w:szCs w:val="20"/>
              </w:rPr>
              <w:t>d</w:t>
            </w:r>
            <w:r w:rsidR="47E4EAA2" w:rsidRPr="00685D89">
              <w:rPr>
                <w:rFonts w:ascii="Times" w:hAnsi="Times" w:cs="Times"/>
                <w:szCs w:val="20"/>
              </w:rPr>
              <w:t>rafting an STDF</w:t>
            </w:r>
            <w:r w:rsidRPr="00685D89">
              <w:rPr>
                <w:rFonts w:ascii="Times" w:hAnsi="Times" w:cs="Times"/>
                <w:szCs w:val="20"/>
              </w:rPr>
              <w:t xml:space="preserve"> project proposal based on PCE findings.</w:t>
            </w:r>
          </w:p>
        </w:tc>
        <w:tc>
          <w:tcPr>
            <w:tcW w:w="1606" w:type="dxa"/>
          </w:tcPr>
          <w:p w14:paraId="2EB579A2" w14:textId="06DCE048" w:rsidR="005A5B66" w:rsidRPr="00685D89" w:rsidRDefault="005A5B66" w:rsidP="00701D26">
            <w:pPr>
              <w:rPr>
                <w:rFonts w:ascii="Times" w:hAnsi="Times" w:cs="Times"/>
                <w:szCs w:val="20"/>
              </w:rPr>
            </w:pPr>
            <w:r w:rsidRPr="00685D89">
              <w:rPr>
                <w:rFonts w:ascii="Times" w:hAnsi="Times" w:cs="Times"/>
                <w:szCs w:val="20"/>
              </w:rPr>
              <w:t xml:space="preserve">STDF (Nigeria), </w:t>
            </w:r>
            <w:r w:rsidR="314B9F72" w:rsidRPr="00685D89">
              <w:rPr>
                <w:rFonts w:ascii="Times" w:hAnsi="Times" w:cs="Times"/>
                <w:szCs w:val="20"/>
              </w:rPr>
              <w:t>FAO</w:t>
            </w:r>
            <w:r w:rsidRPr="00685D89">
              <w:rPr>
                <w:rFonts w:ascii="Times" w:hAnsi="Times" w:cs="Times"/>
                <w:szCs w:val="20"/>
              </w:rPr>
              <w:t xml:space="preserve"> (Namibia)</w:t>
            </w:r>
          </w:p>
        </w:tc>
      </w:tr>
      <w:tr w:rsidR="005A5B66" w:rsidRPr="00685D89" w14:paraId="1AC8F8C6" w14:textId="77777777" w:rsidTr="001149AB">
        <w:tc>
          <w:tcPr>
            <w:tcW w:w="894" w:type="dxa"/>
          </w:tcPr>
          <w:p w14:paraId="6391CE62" w14:textId="77777777" w:rsidR="005A5B66" w:rsidRPr="00685D89" w:rsidRDefault="005A5B66" w:rsidP="00701D26">
            <w:pPr>
              <w:rPr>
                <w:rFonts w:ascii="Times" w:hAnsi="Times" w:cs="Times"/>
                <w:szCs w:val="20"/>
              </w:rPr>
            </w:pPr>
            <w:r w:rsidRPr="00685D89">
              <w:rPr>
                <w:rFonts w:ascii="Times" w:hAnsi="Times" w:cs="Times"/>
                <w:szCs w:val="20"/>
              </w:rPr>
              <w:t>2024</w:t>
            </w:r>
          </w:p>
        </w:tc>
        <w:tc>
          <w:tcPr>
            <w:tcW w:w="2471" w:type="dxa"/>
          </w:tcPr>
          <w:p w14:paraId="6BA76D01" w14:textId="77777777" w:rsidR="005A5B66" w:rsidRPr="00685D89" w:rsidRDefault="005A5B66" w:rsidP="00701D26">
            <w:pPr>
              <w:rPr>
                <w:rFonts w:ascii="Times" w:hAnsi="Times" w:cs="Times"/>
                <w:szCs w:val="20"/>
              </w:rPr>
            </w:pPr>
            <w:r w:rsidRPr="00685D89">
              <w:rPr>
                <w:rFonts w:ascii="Times" w:hAnsi="Times" w:cs="Times"/>
                <w:szCs w:val="20"/>
              </w:rPr>
              <w:t>Central Africa (Cameroon, Chad, CAR, Congo, Equatorial Guinea, Gabon)</w:t>
            </w:r>
          </w:p>
        </w:tc>
        <w:tc>
          <w:tcPr>
            <w:tcW w:w="1149" w:type="dxa"/>
          </w:tcPr>
          <w:p w14:paraId="110DA352" w14:textId="77777777" w:rsidR="005A5B66" w:rsidRPr="00685D89" w:rsidRDefault="005A5B66" w:rsidP="00701D26">
            <w:pPr>
              <w:rPr>
                <w:rFonts w:ascii="Times" w:hAnsi="Times" w:cs="Times"/>
                <w:szCs w:val="20"/>
              </w:rPr>
            </w:pPr>
            <w:r w:rsidRPr="00685D89">
              <w:rPr>
                <w:rFonts w:ascii="Times" w:hAnsi="Times" w:cs="Times"/>
                <w:szCs w:val="20"/>
              </w:rPr>
              <w:t>Preparatory Phase</w:t>
            </w:r>
          </w:p>
        </w:tc>
        <w:tc>
          <w:tcPr>
            <w:tcW w:w="3311" w:type="dxa"/>
          </w:tcPr>
          <w:p w14:paraId="533F4041" w14:textId="7341B8CB" w:rsidR="005A5B66" w:rsidRPr="00685D89" w:rsidRDefault="322D657D" w:rsidP="00701D26">
            <w:pPr>
              <w:rPr>
                <w:rFonts w:ascii="Times" w:hAnsi="Times" w:cs="Times"/>
                <w:szCs w:val="20"/>
              </w:rPr>
            </w:pPr>
            <w:r w:rsidRPr="00685D89">
              <w:rPr>
                <w:rFonts w:ascii="Times" w:hAnsi="Times" w:cs="Times"/>
                <w:szCs w:val="20"/>
              </w:rPr>
              <w:t xml:space="preserve">Legal aspects of </w:t>
            </w:r>
            <w:r w:rsidR="005A5B66" w:rsidRPr="00685D89">
              <w:rPr>
                <w:rFonts w:ascii="Times" w:hAnsi="Times" w:cs="Times"/>
                <w:szCs w:val="20"/>
              </w:rPr>
              <w:t>PCEs planned under STDF project to harmonize phytosanitary legislation</w:t>
            </w:r>
            <w:r w:rsidR="17C6C346" w:rsidRPr="00685D89">
              <w:rPr>
                <w:rFonts w:ascii="Times" w:hAnsi="Times" w:cs="Times"/>
                <w:szCs w:val="20"/>
              </w:rPr>
              <w:t xml:space="preserve"> under modality A.</w:t>
            </w:r>
          </w:p>
        </w:tc>
        <w:tc>
          <w:tcPr>
            <w:tcW w:w="1606" w:type="dxa"/>
          </w:tcPr>
          <w:p w14:paraId="3C90D1AF" w14:textId="77777777" w:rsidR="005A5B66" w:rsidRPr="00685D89" w:rsidRDefault="005A5B66" w:rsidP="00701D26">
            <w:pPr>
              <w:rPr>
                <w:rFonts w:ascii="Times" w:hAnsi="Times" w:cs="Times"/>
                <w:szCs w:val="20"/>
              </w:rPr>
            </w:pPr>
            <w:r w:rsidRPr="00685D89">
              <w:rPr>
                <w:rFonts w:ascii="Times" w:hAnsi="Times" w:cs="Times"/>
                <w:szCs w:val="20"/>
              </w:rPr>
              <w:t>STDF, PRASAC</w:t>
            </w:r>
          </w:p>
        </w:tc>
      </w:tr>
      <w:tr w:rsidR="59F45AFF" w:rsidRPr="00685D89" w14:paraId="0E3F0EBE" w14:textId="77777777" w:rsidTr="001149AB">
        <w:trPr>
          <w:trHeight w:val="300"/>
        </w:trPr>
        <w:tc>
          <w:tcPr>
            <w:tcW w:w="894" w:type="dxa"/>
          </w:tcPr>
          <w:p w14:paraId="646D3446" w14:textId="043115DA" w:rsidR="2417925F" w:rsidRPr="00685D89" w:rsidRDefault="2417925F" w:rsidP="001149AB">
            <w:pPr>
              <w:rPr>
                <w:rFonts w:ascii="Times" w:hAnsi="Times" w:cs="Times"/>
                <w:szCs w:val="20"/>
              </w:rPr>
            </w:pPr>
            <w:r w:rsidRPr="00685D89">
              <w:rPr>
                <w:rFonts w:ascii="Times" w:hAnsi="Times" w:cs="Times"/>
                <w:szCs w:val="20"/>
              </w:rPr>
              <w:t>2024</w:t>
            </w:r>
          </w:p>
        </w:tc>
        <w:tc>
          <w:tcPr>
            <w:tcW w:w="2471" w:type="dxa"/>
          </w:tcPr>
          <w:p w14:paraId="54A9B23B" w14:textId="0AD09BB0" w:rsidR="2417925F" w:rsidRPr="00685D89" w:rsidRDefault="2417925F" w:rsidP="001149AB">
            <w:pPr>
              <w:rPr>
                <w:rFonts w:ascii="Times" w:hAnsi="Times" w:cs="Times"/>
                <w:szCs w:val="20"/>
              </w:rPr>
            </w:pPr>
            <w:r w:rsidRPr="00685D89">
              <w:rPr>
                <w:rFonts w:ascii="Times" w:hAnsi="Times" w:cs="Times"/>
                <w:szCs w:val="20"/>
              </w:rPr>
              <w:t>Ethiopia,</w:t>
            </w:r>
          </w:p>
        </w:tc>
        <w:tc>
          <w:tcPr>
            <w:tcW w:w="1149" w:type="dxa"/>
          </w:tcPr>
          <w:p w14:paraId="2CDB55FE" w14:textId="6788467C" w:rsidR="2417925F" w:rsidRPr="00685D89" w:rsidRDefault="2417925F" w:rsidP="00701D26">
            <w:pPr>
              <w:rPr>
                <w:rFonts w:ascii="Times" w:hAnsi="Times" w:cs="Times"/>
                <w:szCs w:val="20"/>
              </w:rPr>
            </w:pPr>
            <w:r w:rsidRPr="00685D89">
              <w:rPr>
                <w:rFonts w:ascii="Times" w:hAnsi="Times" w:cs="Times"/>
                <w:szCs w:val="20"/>
              </w:rPr>
              <w:t>Upcoming</w:t>
            </w:r>
          </w:p>
          <w:p w14:paraId="4D00E9BE" w14:textId="50ECE1C6" w:rsidR="59F45AFF" w:rsidRPr="00685D89" w:rsidRDefault="59F45AFF" w:rsidP="001149AB">
            <w:pPr>
              <w:rPr>
                <w:rFonts w:ascii="Times" w:hAnsi="Times" w:cs="Times"/>
                <w:szCs w:val="20"/>
              </w:rPr>
            </w:pPr>
          </w:p>
        </w:tc>
        <w:tc>
          <w:tcPr>
            <w:tcW w:w="3311" w:type="dxa"/>
          </w:tcPr>
          <w:p w14:paraId="08562D9F" w14:textId="5BCA572D" w:rsidR="2417925F" w:rsidRPr="00685D89" w:rsidRDefault="2417925F" w:rsidP="001149AB">
            <w:pPr>
              <w:rPr>
                <w:rFonts w:ascii="Times" w:hAnsi="Times" w:cs="Times"/>
                <w:szCs w:val="20"/>
              </w:rPr>
            </w:pPr>
            <w:r w:rsidRPr="00685D89">
              <w:rPr>
                <w:rFonts w:ascii="Times" w:hAnsi="Times" w:cs="Times"/>
                <w:szCs w:val="20"/>
              </w:rPr>
              <w:t>Facilitated PCEs under modality B.</w:t>
            </w:r>
          </w:p>
        </w:tc>
        <w:tc>
          <w:tcPr>
            <w:tcW w:w="1606" w:type="dxa"/>
          </w:tcPr>
          <w:p w14:paraId="384E6BBF" w14:textId="4AD1466D" w:rsidR="2417925F" w:rsidRPr="00685D89" w:rsidRDefault="2417925F" w:rsidP="001149AB">
            <w:pPr>
              <w:rPr>
                <w:rFonts w:ascii="Times" w:hAnsi="Times" w:cs="Times"/>
                <w:szCs w:val="20"/>
              </w:rPr>
            </w:pPr>
            <w:r w:rsidRPr="00685D89">
              <w:rPr>
                <w:rFonts w:ascii="Times" w:hAnsi="Times" w:cs="Times"/>
                <w:szCs w:val="20"/>
              </w:rPr>
              <w:t>STDF</w:t>
            </w:r>
          </w:p>
        </w:tc>
      </w:tr>
      <w:tr w:rsidR="005A5B66" w:rsidRPr="00685D89" w14:paraId="3A6BDA67" w14:textId="77777777" w:rsidTr="001149AB">
        <w:tc>
          <w:tcPr>
            <w:tcW w:w="894" w:type="dxa"/>
          </w:tcPr>
          <w:p w14:paraId="0E3A0D40" w14:textId="02997C65" w:rsidR="005A5B66" w:rsidRPr="00685D89" w:rsidRDefault="005A5B66" w:rsidP="00701D26">
            <w:pPr>
              <w:rPr>
                <w:rFonts w:ascii="Times" w:hAnsi="Times" w:cs="Times"/>
                <w:szCs w:val="20"/>
              </w:rPr>
            </w:pPr>
            <w:r w:rsidRPr="00685D89">
              <w:rPr>
                <w:rFonts w:ascii="Times" w:hAnsi="Times" w:cs="Times"/>
                <w:szCs w:val="20"/>
              </w:rPr>
              <w:t>2024</w:t>
            </w:r>
          </w:p>
        </w:tc>
        <w:tc>
          <w:tcPr>
            <w:tcW w:w="2471" w:type="dxa"/>
          </w:tcPr>
          <w:p w14:paraId="641AFEA1" w14:textId="5545D32E" w:rsidR="005A5B66" w:rsidRPr="00685D89" w:rsidRDefault="005A5B66" w:rsidP="00701D26">
            <w:pPr>
              <w:rPr>
                <w:rFonts w:ascii="Times" w:hAnsi="Times" w:cs="Times"/>
                <w:szCs w:val="20"/>
              </w:rPr>
            </w:pPr>
            <w:r w:rsidRPr="00685D89">
              <w:rPr>
                <w:rFonts w:ascii="Times" w:hAnsi="Times" w:cs="Times"/>
                <w:szCs w:val="20"/>
              </w:rPr>
              <w:t>Pakistan, Lao PDR, Viet Nam</w:t>
            </w:r>
          </w:p>
        </w:tc>
        <w:tc>
          <w:tcPr>
            <w:tcW w:w="1149" w:type="dxa"/>
          </w:tcPr>
          <w:p w14:paraId="7AA75108" w14:textId="72C37728" w:rsidR="005A5B66" w:rsidRPr="00685D89" w:rsidRDefault="005A5B66" w:rsidP="00701D26">
            <w:pPr>
              <w:rPr>
                <w:rFonts w:ascii="Times" w:hAnsi="Times" w:cs="Times"/>
                <w:szCs w:val="20"/>
              </w:rPr>
            </w:pPr>
            <w:r w:rsidRPr="00685D89">
              <w:rPr>
                <w:rFonts w:ascii="Times" w:hAnsi="Times" w:cs="Times"/>
                <w:szCs w:val="20"/>
              </w:rPr>
              <w:t>Upcoming</w:t>
            </w:r>
          </w:p>
        </w:tc>
        <w:tc>
          <w:tcPr>
            <w:tcW w:w="3311" w:type="dxa"/>
          </w:tcPr>
          <w:p w14:paraId="7FDCAB58" w14:textId="74088B7D" w:rsidR="005A5B66" w:rsidRPr="00685D89" w:rsidRDefault="005A5B66" w:rsidP="00701D26">
            <w:pPr>
              <w:rPr>
                <w:rFonts w:ascii="Times" w:hAnsi="Times" w:cs="Times"/>
                <w:szCs w:val="20"/>
              </w:rPr>
            </w:pPr>
            <w:r w:rsidRPr="00685D89">
              <w:rPr>
                <w:rFonts w:ascii="Times" w:hAnsi="Times" w:cs="Times"/>
                <w:szCs w:val="20"/>
              </w:rPr>
              <w:t>PCEs for evaluating and enhancing phytosanitary systems under TCP/RAS/4002</w:t>
            </w:r>
            <w:r w:rsidR="64234E0D" w:rsidRPr="00685D89">
              <w:rPr>
                <w:rFonts w:ascii="Times" w:hAnsi="Times" w:cs="Times"/>
                <w:szCs w:val="20"/>
              </w:rPr>
              <w:t xml:space="preserve"> under modality A.</w:t>
            </w:r>
          </w:p>
        </w:tc>
        <w:tc>
          <w:tcPr>
            <w:tcW w:w="1606" w:type="dxa"/>
          </w:tcPr>
          <w:p w14:paraId="4FA65085" w14:textId="76810E2E" w:rsidR="005A5B66" w:rsidRPr="00685D89" w:rsidRDefault="005A5B66" w:rsidP="00701D26">
            <w:pPr>
              <w:rPr>
                <w:rFonts w:ascii="Times" w:hAnsi="Times" w:cs="Times"/>
                <w:szCs w:val="20"/>
              </w:rPr>
            </w:pPr>
            <w:r w:rsidRPr="00685D89">
              <w:rPr>
                <w:rFonts w:ascii="Times" w:hAnsi="Times" w:cs="Times"/>
                <w:szCs w:val="20"/>
              </w:rPr>
              <w:t>FAO regional office, APPPC</w:t>
            </w:r>
          </w:p>
        </w:tc>
      </w:tr>
      <w:tr w:rsidR="005A5B66" w:rsidRPr="00685D89" w14:paraId="4DBB5623" w14:textId="77777777" w:rsidTr="001149AB">
        <w:tc>
          <w:tcPr>
            <w:tcW w:w="894" w:type="dxa"/>
          </w:tcPr>
          <w:p w14:paraId="22758B7E" w14:textId="3982149A" w:rsidR="005A5B66" w:rsidRPr="00685D89" w:rsidRDefault="005A5B66" w:rsidP="00701D26">
            <w:pPr>
              <w:rPr>
                <w:rFonts w:ascii="Times" w:hAnsi="Times" w:cs="Times"/>
                <w:szCs w:val="20"/>
              </w:rPr>
            </w:pPr>
            <w:r w:rsidRPr="00685D89">
              <w:rPr>
                <w:rFonts w:ascii="Times" w:hAnsi="Times" w:cs="Times"/>
                <w:szCs w:val="20"/>
              </w:rPr>
              <w:t>2024</w:t>
            </w:r>
          </w:p>
        </w:tc>
        <w:tc>
          <w:tcPr>
            <w:tcW w:w="2471" w:type="dxa"/>
          </w:tcPr>
          <w:p w14:paraId="12751826" w14:textId="6294EEB7" w:rsidR="005A5B66" w:rsidRPr="00685D89" w:rsidRDefault="005A5B66" w:rsidP="00701D26">
            <w:pPr>
              <w:rPr>
                <w:rFonts w:ascii="Times" w:hAnsi="Times" w:cs="Times"/>
                <w:szCs w:val="20"/>
              </w:rPr>
            </w:pPr>
            <w:r w:rsidRPr="00685D89">
              <w:rPr>
                <w:rFonts w:ascii="Times" w:hAnsi="Times" w:cs="Times"/>
                <w:szCs w:val="20"/>
              </w:rPr>
              <w:t>Philippines, Mali</w:t>
            </w:r>
          </w:p>
        </w:tc>
        <w:tc>
          <w:tcPr>
            <w:tcW w:w="1149" w:type="dxa"/>
          </w:tcPr>
          <w:p w14:paraId="312C2633" w14:textId="6788467C" w:rsidR="005A5B66" w:rsidRPr="00685D89" w:rsidRDefault="005A5B66" w:rsidP="00701D26">
            <w:pPr>
              <w:rPr>
                <w:rFonts w:ascii="Times" w:hAnsi="Times" w:cs="Times"/>
                <w:szCs w:val="20"/>
              </w:rPr>
            </w:pPr>
            <w:r w:rsidRPr="00685D89">
              <w:rPr>
                <w:rFonts w:ascii="Times" w:hAnsi="Times" w:cs="Times"/>
                <w:szCs w:val="20"/>
              </w:rPr>
              <w:t>Upcoming</w:t>
            </w:r>
          </w:p>
        </w:tc>
        <w:tc>
          <w:tcPr>
            <w:tcW w:w="3311" w:type="dxa"/>
          </w:tcPr>
          <w:p w14:paraId="05C23571" w14:textId="0159CC50" w:rsidR="005A5B66" w:rsidRPr="00685D89" w:rsidRDefault="005A5B66" w:rsidP="00701D26">
            <w:pPr>
              <w:rPr>
                <w:rFonts w:ascii="Times" w:hAnsi="Times" w:cs="Times"/>
                <w:szCs w:val="20"/>
              </w:rPr>
            </w:pPr>
            <w:r w:rsidRPr="00685D89">
              <w:rPr>
                <w:rFonts w:ascii="Times" w:hAnsi="Times" w:cs="Times"/>
                <w:szCs w:val="20"/>
              </w:rPr>
              <w:t>Self-funded PCEs with IPPC</w:t>
            </w:r>
            <w:r w:rsidR="25CACD59" w:rsidRPr="00685D89">
              <w:rPr>
                <w:rFonts w:ascii="Times" w:hAnsi="Times" w:cs="Times"/>
                <w:szCs w:val="20"/>
              </w:rPr>
              <w:t>-certified PCE facilitators</w:t>
            </w:r>
            <w:r w:rsidRPr="00685D89">
              <w:rPr>
                <w:rFonts w:ascii="Times" w:hAnsi="Times" w:cs="Times"/>
                <w:szCs w:val="20"/>
              </w:rPr>
              <w:t xml:space="preserve"> </w:t>
            </w:r>
            <w:r w:rsidR="00B4233E">
              <w:rPr>
                <w:rFonts w:ascii="Times" w:hAnsi="Times" w:cs="Times"/>
                <w:szCs w:val="20"/>
              </w:rPr>
              <w:t>without support from IPPC Sec.</w:t>
            </w:r>
            <w:r w:rsidR="7FC65FCE" w:rsidRPr="00685D89">
              <w:rPr>
                <w:rFonts w:ascii="Times" w:hAnsi="Times" w:cs="Times"/>
                <w:szCs w:val="20"/>
              </w:rPr>
              <w:t xml:space="preserve"> modality </w:t>
            </w:r>
            <w:r w:rsidR="4BA93E62" w:rsidRPr="00685D89">
              <w:rPr>
                <w:rFonts w:ascii="Times" w:hAnsi="Times" w:cs="Times"/>
                <w:szCs w:val="20"/>
              </w:rPr>
              <w:t>B</w:t>
            </w:r>
            <w:r w:rsidR="7FC65FCE" w:rsidRPr="00685D89">
              <w:rPr>
                <w:rFonts w:ascii="Times" w:hAnsi="Times" w:cs="Times"/>
                <w:szCs w:val="20"/>
              </w:rPr>
              <w:t>.</w:t>
            </w:r>
          </w:p>
        </w:tc>
        <w:tc>
          <w:tcPr>
            <w:tcW w:w="1606" w:type="dxa"/>
          </w:tcPr>
          <w:p w14:paraId="0688EB66" w14:textId="4149EEBD" w:rsidR="005A5B66" w:rsidRPr="00685D89" w:rsidRDefault="005A5B66" w:rsidP="00701D26">
            <w:pPr>
              <w:rPr>
                <w:rFonts w:ascii="Times" w:hAnsi="Times" w:cs="Times"/>
                <w:szCs w:val="20"/>
              </w:rPr>
            </w:pPr>
            <w:r w:rsidRPr="00685D89">
              <w:rPr>
                <w:rFonts w:ascii="Times" w:hAnsi="Times" w:cs="Times"/>
                <w:szCs w:val="20"/>
              </w:rPr>
              <w:t>Self-funding (Philippines, Mali)</w:t>
            </w:r>
          </w:p>
        </w:tc>
      </w:tr>
      <w:tr w:rsidR="005A5B66" w:rsidRPr="00685D89" w14:paraId="1B45AF61" w14:textId="77777777" w:rsidTr="001149AB">
        <w:tc>
          <w:tcPr>
            <w:tcW w:w="894" w:type="dxa"/>
          </w:tcPr>
          <w:p w14:paraId="05CF3C6D" w14:textId="0135175B" w:rsidR="005A5B66" w:rsidRPr="00685D89" w:rsidRDefault="4F56CC98" w:rsidP="00701D26">
            <w:pPr>
              <w:rPr>
                <w:rFonts w:ascii="Times" w:hAnsi="Times" w:cs="Times"/>
                <w:szCs w:val="20"/>
              </w:rPr>
            </w:pPr>
            <w:r w:rsidRPr="00685D89">
              <w:rPr>
                <w:rFonts w:ascii="Times" w:hAnsi="Times" w:cs="Times"/>
                <w:szCs w:val="20"/>
              </w:rPr>
              <w:t>Pending</w:t>
            </w:r>
          </w:p>
        </w:tc>
        <w:tc>
          <w:tcPr>
            <w:tcW w:w="2471" w:type="dxa"/>
          </w:tcPr>
          <w:p w14:paraId="7A4DD61F" w14:textId="250F0B4D" w:rsidR="005A5B66" w:rsidRPr="001149AB" w:rsidRDefault="005A5B66" w:rsidP="00701D26">
            <w:pPr>
              <w:rPr>
                <w:rFonts w:ascii="Times" w:hAnsi="Times" w:cs="Times"/>
                <w:szCs w:val="20"/>
                <w:lang w:val="it-IT"/>
              </w:rPr>
            </w:pPr>
            <w:r w:rsidRPr="001149AB">
              <w:rPr>
                <w:rFonts w:ascii="Times" w:hAnsi="Times" w:cs="Times"/>
                <w:szCs w:val="20"/>
                <w:lang w:val="it-IT"/>
              </w:rPr>
              <w:t xml:space="preserve">Burkina Faso, DRC, </w:t>
            </w:r>
            <w:r w:rsidR="4401C19B" w:rsidRPr="001149AB">
              <w:rPr>
                <w:rFonts w:ascii="Times" w:hAnsi="Times" w:cs="Times"/>
                <w:szCs w:val="20"/>
                <w:lang w:val="it-IT"/>
              </w:rPr>
              <w:t xml:space="preserve">Eritrea, </w:t>
            </w:r>
            <w:r w:rsidRPr="001149AB">
              <w:rPr>
                <w:rFonts w:ascii="Times" w:hAnsi="Times" w:cs="Times"/>
                <w:szCs w:val="20"/>
                <w:lang w:val="it-IT"/>
              </w:rPr>
              <w:t>Togo</w:t>
            </w:r>
          </w:p>
        </w:tc>
        <w:tc>
          <w:tcPr>
            <w:tcW w:w="1149" w:type="dxa"/>
          </w:tcPr>
          <w:p w14:paraId="171C49C4" w14:textId="77777777" w:rsidR="005A5B66" w:rsidRPr="00685D89" w:rsidRDefault="005A5B66" w:rsidP="00701D26">
            <w:pPr>
              <w:rPr>
                <w:rFonts w:ascii="Times" w:hAnsi="Times" w:cs="Times"/>
                <w:szCs w:val="20"/>
              </w:rPr>
            </w:pPr>
            <w:r w:rsidRPr="00685D89">
              <w:rPr>
                <w:rFonts w:ascii="Times" w:hAnsi="Times" w:cs="Times"/>
                <w:szCs w:val="20"/>
              </w:rPr>
              <w:t>Pending</w:t>
            </w:r>
          </w:p>
        </w:tc>
        <w:tc>
          <w:tcPr>
            <w:tcW w:w="3311" w:type="dxa"/>
          </w:tcPr>
          <w:p w14:paraId="3346AA43" w14:textId="77777777" w:rsidR="005A5B66" w:rsidRPr="00685D89" w:rsidRDefault="005A5B66" w:rsidP="00701D26">
            <w:pPr>
              <w:rPr>
                <w:rFonts w:ascii="Times" w:hAnsi="Times" w:cs="Times"/>
                <w:szCs w:val="20"/>
              </w:rPr>
            </w:pPr>
            <w:r w:rsidRPr="00685D89">
              <w:rPr>
                <w:rFonts w:ascii="Times" w:hAnsi="Times" w:cs="Times"/>
                <w:szCs w:val="20"/>
              </w:rPr>
              <w:t>Requests sent to IPPC for PCEs if funding becomes available</w:t>
            </w:r>
          </w:p>
        </w:tc>
        <w:tc>
          <w:tcPr>
            <w:tcW w:w="1606" w:type="dxa"/>
          </w:tcPr>
          <w:p w14:paraId="38FE9FD0" w14:textId="77777777" w:rsidR="005A5B66" w:rsidRPr="00685D89" w:rsidRDefault="005A5B66" w:rsidP="00701D26">
            <w:pPr>
              <w:rPr>
                <w:rFonts w:ascii="Times" w:hAnsi="Times" w:cs="Times"/>
                <w:szCs w:val="20"/>
              </w:rPr>
            </w:pPr>
            <w:r w:rsidRPr="00685D89">
              <w:rPr>
                <w:rFonts w:ascii="Times" w:hAnsi="Times" w:cs="Times"/>
                <w:szCs w:val="20"/>
              </w:rPr>
              <w:t>TBD (To Be Determined)</w:t>
            </w:r>
          </w:p>
        </w:tc>
      </w:tr>
    </w:tbl>
    <w:p w14:paraId="5436E375" w14:textId="2E51D9C5" w:rsidR="00AD0496" w:rsidRPr="005736BF" w:rsidRDefault="6D5E3F35" w:rsidP="001149AB">
      <w:pPr>
        <w:pStyle w:val="IPPHeading1"/>
        <w:numPr>
          <w:ilvl w:val="1"/>
          <w:numId w:val="11"/>
        </w:numPr>
        <w:spacing w:after="0"/>
        <w:rPr>
          <w:rFonts w:eastAsia="Times New Roman"/>
          <w:sz w:val="22"/>
        </w:rPr>
      </w:pPr>
      <w:r w:rsidRPr="3248BBD5">
        <w:rPr>
          <w:rFonts w:ascii="Calibri" w:eastAsia="Calibri" w:hAnsi="Calibri" w:cs="Calibri"/>
          <w:color w:val="000000" w:themeColor="text1"/>
          <w:sz w:val="22"/>
          <w:lang w:val="en-US"/>
        </w:rPr>
        <w:t xml:space="preserve"> </w:t>
      </w:r>
      <w:r w:rsidR="00AD0496" w:rsidRPr="005736BF">
        <w:rPr>
          <w:rFonts w:eastAsia="Times New Roman"/>
          <w:sz w:val="22"/>
        </w:rPr>
        <w:t>PCE communication activities</w:t>
      </w:r>
    </w:p>
    <w:p w14:paraId="48EEAC1F" w14:textId="4315CD51" w:rsidR="00837725" w:rsidRDefault="00F40C30" w:rsidP="00701D26">
      <w:pPr>
        <w:pStyle w:val="IPPParagraphnumbering"/>
        <w:spacing w:after="0"/>
        <w:rPr>
          <w:rStyle w:val="normaltextrun"/>
          <w:szCs w:val="22"/>
        </w:rPr>
      </w:pPr>
      <w:r>
        <w:rPr>
          <w:rStyle w:val="normaltextrun"/>
          <w:szCs w:val="22"/>
        </w:rPr>
        <w:t>Following the PCE communications plan, t</w:t>
      </w:r>
      <w:r w:rsidR="00E200BD">
        <w:rPr>
          <w:rStyle w:val="normaltextrun"/>
          <w:szCs w:val="22"/>
        </w:rPr>
        <w:t xml:space="preserve">he IPPC Secretariat has conducted </w:t>
      </w:r>
      <w:r w:rsidR="00B800CA">
        <w:rPr>
          <w:rStyle w:val="normaltextrun"/>
          <w:szCs w:val="22"/>
        </w:rPr>
        <w:t xml:space="preserve">the following </w:t>
      </w:r>
      <w:r w:rsidR="00E200BD">
        <w:rPr>
          <w:rStyle w:val="normaltextrun"/>
          <w:szCs w:val="22"/>
        </w:rPr>
        <w:t>key communication activities. These activities highlight the progress and achievements of various countries,</w:t>
      </w:r>
      <w:r w:rsidR="00837725" w:rsidRPr="00E55A54">
        <w:rPr>
          <w:rStyle w:val="normaltextrun"/>
          <w:szCs w:val="22"/>
        </w:rPr>
        <w:t xml:space="preserve"> with strategic visibility efforts amplified via newsletters, social media, </w:t>
      </w:r>
      <w:r w:rsidR="004025E1" w:rsidRPr="00E55A54">
        <w:rPr>
          <w:rStyle w:val="normaltextrun"/>
          <w:szCs w:val="22"/>
        </w:rPr>
        <w:t xml:space="preserve">and </w:t>
      </w:r>
      <w:r w:rsidR="004025E1">
        <w:rPr>
          <w:rStyle w:val="normaltextrun"/>
          <w:szCs w:val="22"/>
        </w:rPr>
        <w:t>collaborations</w:t>
      </w:r>
      <w:r w:rsidR="00837725" w:rsidRPr="00E55A54">
        <w:rPr>
          <w:rStyle w:val="normaltextrun"/>
          <w:szCs w:val="22"/>
        </w:rPr>
        <w:t xml:space="preserve"> with FAO offices.</w:t>
      </w:r>
    </w:p>
    <w:p w14:paraId="0CBA4A31" w14:textId="77777777" w:rsidR="003D5A57" w:rsidRDefault="003D5A57" w:rsidP="00A54D26">
      <w:pPr>
        <w:pStyle w:val="IPPParagraphnumbering"/>
        <w:numPr>
          <w:ilvl w:val="0"/>
          <w:numId w:val="0"/>
        </w:numPr>
        <w:spacing w:after="0"/>
        <w:rPr>
          <w:rStyle w:val="normaltextrun"/>
          <w:szCs w:val="22"/>
        </w:rPr>
      </w:pPr>
    </w:p>
    <w:p w14:paraId="1A7092F2" w14:textId="77777777" w:rsidR="00A54D26" w:rsidRPr="001149AB" w:rsidRDefault="00A54D26" w:rsidP="001149AB">
      <w:pPr>
        <w:pStyle w:val="IPPBullet1"/>
        <w:spacing w:after="0"/>
        <w:rPr>
          <w:rFonts w:ascii="Times" w:hAnsi="Times" w:cs="Times"/>
          <w:szCs w:val="22"/>
        </w:rPr>
      </w:pPr>
      <w:hyperlink r:id="rId11" w:history="1">
        <w:r w:rsidRPr="001149AB">
          <w:rPr>
            <w:rStyle w:val="Hyperlink"/>
            <w:rFonts w:ascii="Times" w:hAnsi="Times" w:cs="Times"/>
            <w:szCs w:val="22"/>
          </w:rPr>
          <w:t>How the IPPC’s Phytosanitary Capacity Evaluation exercises boosted plant health in 2023</w:t>
        </w:r>
      </w:hyperlink>
      <w:r w:rsidRPr="001149AB">
        <w:rPr>
          <w:rFonts w:ascii="Times" w:hAnsi="Times" w:cs="Times"/>
          <w:szCs w:val="22"/>
        </w:rPr>
        <w:t xml:space="preserve"> </w:t>
      </w:r>
    </w:p>
    <w:p w14:paraId="6BC220A2" w14:textId="77777777" w:rsidR="00A54D26" w:rsidRPr="001149AB" w:rsidRDefault="00A54D26" w:rsidP="001149AB">
      <w:pPr>
        <w:pStyle w:val="IPPBullet1"/>
        <w:spacing w:after="0"/>
        <w:rPr>
          <w:rFonts w:ascii="Times" w:eastAsia="Times New Roman" w:hAnsi="Times" w:cs="Times"/>
          <w:szCs w:val="22"/>
          <w:lang w:eastAsia="en-GB"/>
        </w:rPr>
      </w:pPr>
      <w:hyperlink r:id="rId12" w:history="1">
        <w:r w:rsidRPr="001149AB">
          <w:rPr>
            <w:rStyle w:val="Hyperlink"/>
            <w:rFonts w:ascii="Times" w:hAnsi="Times" w:cs="Times"/>
            <w:szCs w:val="22"/>
          </w:rPr>
          <w:t>South-South Cooperation: End of project heralds positive changes for plant health in Cambodia and Sri Lanka</w:t>
        </w:r>
      </w:hyperlink>
      <w:r w:rsidRPr="001149AB">
        <w:rPr>
          <w:rFonts w:ascii="Times" w:hAnsi="Times" w:cs="Times"/>
          <w:szCs w:val="22"/>
        </w:rPr>
        <w:t xml:space="preserve"> </w:t>
      </w:r>
    </w:p>
    <w:p w14:paraId="116AD513" w14:textId="77777777" w:rsidR="00A54D26" w:rsidRPr="001149AB" w:rsidRDefault="00A54D26" w:rsidP="001149AB">
      <w:pPr>
        <w:pStyle w:val="IPPBullet1"/>
        <w:spacing w:after="0"/>
        <w:rPr>
          <w:rFonts w:ascii="Times" w:eastAsia="Times New Roman" w:hAnsi="Times" w:cs="Times"/>
          <w:szCs w:val="22"/>
          <w:lang w:eastAsia="en-GB"/>
        </w:rPr>
      </w:pPr>
      <w:hyperlink r:id="rId13" w:history="1">
        <w:r w:rsidRPr="001149AB">
          <w:rPr>
            <w:rStyle w:val="Hyperlink"/>
            <w:rFonts w:ascii="Times" w:hAnsi="Times" w:cs="Times"/>
            <w:szCs w:val="22"/>
          </w:rPr>
          <w:t>Zimbabwe concludes evaluation of national phytosanitary system, starts developing strategy to enhance plant health</w:t>
        </w:r>
      </w:hyperlink>
      <w:r w:rsidRPr="001149AB">
        <w:rPr>
          <w:rFonts w:ascii="Times" w:hAnsi="Times" w:cs="Times"/>
          <w:szCs w:val="22"/>
        </w:rPr>
        <w:t xml:space="preserve"> </w:t>
      </w:r>
    </w:p>
    <w:p w14:paraId="4A7CF4DF" w14:textId="77777777" w:rsidR="00A54D26" w:rsidRPr="001149AB" w:rsidRDefault="00A54D26" w:rsidP="001149AB">
      <w:pPr>
        <w:pStyle w:val="IPPBullet1"/>
        <w:spacing w:after="0"/>
        <w:rPr>
          <w:rFonts w:ascii="Times" w:eastAsia="Times New Roman" w:hAnsi="Times" w:cs="Times"/>
          <w:szCs w:val="22"/>
          <w:lang w:eastAsia="en-GB"/>
        </w:rPr>
      </w:pPr>
      <w:hyperlink r:id="rId14" w:history="1">
        <w:r w:rsidRPr="001149AB">
          <w:rPr>
            <w:rStyle w:val="Hyperlink"/>
            <w:rFonts w:ascii="Times" w:hAnsi="Times" w:cs="Times"/>
            <w:szCs w:val="22"/>
          </w:rPr>
          <w:t>SPOTLIGHT - Rethinking and strengthening: Kenya's approach to its phytosanitary system</w:t>
        </w:r>
      </w:hyperlink>
      <w:r w:rsidRPr="001149AB">
        <w:rPr>
          <w:rFonts w:ascii="Times" w:hAnsi="Times" w:cs="Times"/>
          <w:szCs w:val="22"/>
        </w:rPr>
        <w:t xml:space="preserve"> </w:t>
      </w:r>
    </w:p>
    <w:p w14:paraId="36CAE6FA" w14:textId="77777777" w:rsidR="00A54D26" w:rsidRPr="001149AB" w:rsidRDefault="00A54D26" w:rsidP="001149AB">
      <w:pPr>
        <w:pStyle w:val="IPPBullet1"/>
        <w:spacing w:after="0"/>
        <w:rPr>
          <w:rFonts w:ascii="Times" w:eastAsia="Times New Roman" w:hAnsi="Times" w:cs="Times"/>
          <w:szCs w:val="22"/>
          <w:lang w:eastAsia="en-GB"/>
        </w:rPr>
      </w:pPr>
      <w:hyperlink r:id="rId15" w:history="1">
        <w:r w:rsidRPr="001149AB">
          <w:rPr>
            <w:rStyle w:val="Hyperlink"/>
            <w:rFonts w:ascii="Times" w:hAnsi="Times" w:cs="Times"/>
            <w:szCs w:val="22"/>
          </w:rPr>
          <w:t>Phytosanitary Capacity Evaluation to strengthen Egypt's food security and agricultural trade</w:t>
        </w:r>
      </w:hyperlink>
      <w:r w:rsidRPr="001149AB">
        <w:rPr>
          <w:rFonts w:ascii="Times" w:hAnsi="Times" w:cs="Times"/>
          <w:szCs w:val="22"/>
        </w:rPr>
        <w:t xml:space="preserve"> </w:t>
      </w:r>
    </w:p>
    <w:p w14:paraId="210BE81A" w14:textId="77777777" w:rsidR="00A54D26" w:rsidRPr="001149AB" w:rsidRDefault="00A54D26" w:rsidP="001149AB">
      <w:pPr>
        <w:pStyle w:val="IPPBullet1"/>
        <w:spacing w:after="0"/>
        <w:rPr>
          <w:rFonts w:ascii="Times" w:eastAsia="Times New Roman" w:hAnsi="Times" w:cs="Times"/>
          <w:szCs w:val="22"/>
          <w:lang w:eastAsia="en-GB"/>
        </w:rPr>
      </w:pPr>
      <w:hyperlink r:id="rId16" w:history="1">
        <w:r w:rsidRPr="001149AB">
          <w:rPr>
            <w:rStyle w:val="Hyperlink"/>
            <w:rFonts w:ascii="Times" w:hAnsi="Times" w:cs="Times"/>
            <w:szCs w:val="22"/>
          </w:rPr>
          <w:t>SPOTLIGHT: Building a resilient plant health system in Senegal</w:t>
        </w:r>
      </w:hyperlink>
      <w:r w:rsidRPr="001149AB">
        <w:rPr>
          <w:rFonts w:ascii="Times" w:hAnsi="Times" w:cs="Times"/>
          <w:szCs w:val="22"/>
        </w:rPr>
        <w:t xml:space="preserve"> </w:t>
      </w:r>
    </w:p>
    <w:p w14:paraId="60D3FAC5" w14:textId="77777777" w:rsidR="00A54D26" w:rsidRPr="001149AB" w:rsidRDefault="00A54D26" w:rsidP="001149AB">
      <w:pPr>
        <w:pStyle w:val="IPPBullet1"/>
        <w:spacing w:after="0"/>
        <w:rPr>
          <w:rFonts w:ascii="Times" w:eastAsia="Times New Roman" w:hAnsi="Times" w:cs="Times"/>
          <w:szCs w:val="22"/>
          <w:lang w:eastAsia="en-GB"/>
        </w:rPr>
      </w:pPr>
      <w:hyperlink r:id="rId17">
        <w:r w:rsidRPr="001149AB">
          <w:rPr>
            <w:rStyle w:val="Hyperlink"/>
            <w:rFonts w:ascii="Times" w:hAnsi="Times" w:cs="Times"/>
            <w:szCs w:val="22"/>
          </w:rPr>
          <w:t>Uganda to undertake a Phytosanitary Capacity Evaluation to boost agricultural trade</w:t>
        </w:r>
      </w:hyperlink>
      <w:r w:rsidRPr="001149AB">
        <w:rPr>
          <w:rFonts w:ascii="Times" w:hAnsi="Times" w:cs="Times"/>
          <w:szCs w:val="22"/>
        </w:rPr>
        <w:t xml:space="preserve"> </w:t>
      </w:r>
    </w:p>
    <w:p w14:paraId="3F4842CA" w14:textId="77777777" w:rsidR="00A54D26" w:rsidRPr="001149AB" w:rsidRDefault="00A54D26" w:rsidP="001149AB">
      <w:pPr>
        <w:pStyle w:val="IPPBullet1"/>
        <w:spacing w:after="0"/>
        <w:rPr>
          <w:rStyle w:val="normaltextrun"/>
          <w:rFonts w:ascii="Times" w:hAnsi="Times" w:cs="Times"/>
          <w:szCs w:val="22"/>
        </w:rPr>
      </w:pPr>
      <w:hyperlink r:id="rId18" w:history="1">
        <w:r w:rsidRPr="001149AB">
          <w:rPr>
            <w:rStyle w:val="Hyperlink"/>
            <w:rFonts w:ascii="Times" w:eastAsiaTheme="minorEastAsia" w:hAnsi="Times" w:cs="Times"/>
            <w:szCs w:val="22"/>
          </w:rPr>
          <w:t>Healthy plants, healthy planet: The key to One Health success</w:t>
        </w:r>
      </w:hyperlink>
      <w:r w:rsidRPr="001149AB">
        <w:rPr>
          <w:rStyle w:val="normaltextrun"/>
          <w:rFonts w:ascii="Times" w:eastAsiaTheme="minorEastAsia" w:hAnsi="Times" w:cs="Times"/>
          <w:szCs w:val="22"/>
        </w:rPr>
        <w:t xml:space="preserve"> </w:t>
      </w:r>
    </w:p>
    <w:p w14:paraId="5F42A2E8" w14:textId="77777777" w:rsidR="00A54D26" w:rsidRDefault="00A54D26" w:rsidP="001149AB">
      <w:pPr>
        <w:pStyle w:val="IPPParagraphnumbering"/>
        <w:numPr>
          <w:ilvl w:val="0"/>
          <w:numId w:val="0"/>
        </w:numPr>
        <w:spacing w:after="0"/>
        <w:rPr>
          <w:rStyle w:val="normaltextrun"/>
          <w:szCs w:val="22"/>
        </w:rPr>
      </w:pPr>
    </w:p>
    <w:p w14:paraId="46164425" w14:textId="62A9D733" w:rsidR="00BF6384" w:rsidRDefault="00EC7844" w:rsidP="006A0D6D">
      <w:pPr>
        <w:pStyle w:val="IPPParagraphnumbering"/>
        <w:rPr>
          <w:rFonts w:eastAsia="Times New Roman"/>
          <w:szCs w:val="22"/>
          <w:lang w:eastAsia="zh-CN"/>
        </w:rPr>
      </w:pPr>
      <w:r>
        <w:rPr>
          <w:rFonts w:eastAsia="Times New Roman"/>
          <w:szCs w:val="22"/>
          <w:lang w:eastAsia="zh-CN"/>
        </w:rPr>
        <w:t>Likewise, t</w:t>
      </w:r>
      <w:r w:rsidR="00BF6384" w:rsidRPr="00E55A54">
        <w:rPr>
          <w:rFonts w:eastAsia="Times New Roman"/>
          <w:szCs w:val="22"/>
          <w:lang w:eastAsia="zh-CN"/>
        </w:rPr>
        <w:t xml:space="preserve">he IPPC Secretariat presented an update on the </w:t>
      </w:r>
      <w:r>
        <w:rPr>
          <w:rFonts w:eastAsia="Times New Roman"/>
          <w:szCs w:val="22"/>
          <w:lang w:eastAsia="zh-CN"/>
        </w:rPr>
        <w:t>PCE</w:t>
      </w:r>
      <w:r w:rsidR="00BF6384" w:rsidRPr="00E55A54">
        <w:rPr>
          <w:rFonts w:eastAsia="Times New Roman"/>
          <w:szCs w:val="22"/>
          <w:lang w:eastAsia="zh-CN"/>
        </w:rPr>
        <w:t xml:space="preserve"> at </w:t>
      </w:r>
      <w:proofErr w:type="gramStart"/>
      <w:r w:rsidR="00BF6384" w:rsidRPr="00E55A54">
        <w:rPr>
          <w:rFonts w:eastAsia="Times New Roman"/>
          <w:szCs w:val="22"/>
          <w:lang w:eastAsia="zh-CN"/>
        </w:rPr>
        <w:t>the  Standards</w:t>
      </w:r>
      <w:proofErr w:type="gramEnd"/>
      <w:r w:rsidR="00BF6384" w:rsidRPr="00E55A54">
        <w:rPr>
          <w:rFonts w:eastAsia="Times New Roman"/>
          <w:szCs w:val="22"/>
          <w:lang w:eastAsia="zh-CN"/>
        </w:rPr>
        <w:t xml:space="preserve"> and Trade Development Facility (STDF) Working Group meeting on 20-21 June 2024. </w:t>
      </w:r>
    </w:p>
    <w:p w14:paraId="0FF00618" w14:textId="07E3B7FE" w:rsidR="00BF6384" w:rsidRPr="00E55A54" w:rsidRDefault="00BF6384" w:rsidP="001149AB">
      <w:pPr>
        <w:pStyle w:val="IPPParagraphnumbering"/>
        <w:spacing w:after="0"/>
        <w:rPr>
          <w:rFonts w:eastAsia="Times New Roman"/>
          <w:szCs w:val="22"/>
          <w:lang w:eastAsia="zh-CN"/>
        </w:rPr>
      </w:pPr>
      <w:r>
        <w:rPr>
          <w:rFonts w:eastAsia="Times New Roman"/>
          <w:szCs w:val="22"/>
          <w:lang w:eastAsia="zh-CN"/>
        </w:rPr>
        <w:t>T</w:t>
      </w:r>
      <w:r w:rsidRPr="00E55A54">
        <w:rPr>
          <w:rFonts w:eastAsia="Times New Roman"/>
          <w:szCs w:val="22"/>
          <w:lang w:eastAsia="zh-CN"/>
        </w:rPr>
        <w:t>he IPPC Secretariat’s communication efforts have reached a wider audience thanks to:</w:t>
      </w:r>
    </w:p>
    <w:p w14:paraId="06267840" w14:textId="035C5E01" w:rsidR="00BF6384" w:rsidRPr="00E55A54" w:rsidRDefault="00BF6384" w:rsidP="00B4233E">
      <w:pPr>
        <w:pStyle w:val="IPPBullet1"/>
        <w:spacing w:after="0"/>
        <w:rPr>
          <w:rFonts w:eastAsia="Times New Roman"/>
          <w:szCs w:val="22"/>
          <w:lang w:eastAsia="zh-CN"/>
        </w:rPr>
      </w:pPr>
      <w:r w:rsidRPr="00E55A54">
        <w:rPr>
          <w:rFonts w:eastAsia="Times New Roman"/>
          <w:szCs w:val="22"/>
          <w:lang w:eastAsia="zh-CN"/>
        </w:rPr>
        <w:t>IPPC Newsletter</w:t>
      </w:r>
      <w:r>
        <w:rPr>
          <w:rFonts w:eastAsia="Times New Roman"/>
          <w:szCs w:val="22"/>
          <w:lang w:eastAsia="zh-CN"/>
        </w:rPr>
        <w:t xml:space="preserve">: </w:t>
      </w:r>
      <w:r w:rsidRPr="00E55A54">
        <w:rPr>
          <w:rFonts w:eastAsia="Times New Roman"/>
          <w:szCs w:val="22"/>
          <w:lang w:eastAsia="zh-CN"/>
        </w:rPr>
        <w:t>Regular features on PCE achievements.</w:t>
      </w:r>
    </w:p>
    <w:p w14:paraId="0CDFE534" w14:textId="14C1B0A7" w:rsidR="00BF6384" w:rsidRPr="00E55A54" w:rsidRDefault="00BF6384" w:rsidP="004373EE">
      <w:pPr>
        <w:pStyle w:val="IPPBullet1"/>
        <w:rPr>
          <w:rFonts w:eastAsia="Times New Roman"/>
          <w:szCs w:val="22"/>
          <w:lang w:eastAsia="zh-CN"/>
        </w:rPr>
      </w:pPr>
      <w:r w:rsidRPr="00E55A54">
        <w:rPr>
          <w:rFonts w:eastAsia="Times New Roman"/>
          <w:szCs w:val="22"/>
          <w:lang w:eastAsia="zh-CN"/>
        </w:rPr>
        <w:t>Social Media Platforms</w:t>
      </w:r>
      <w:r>
        <w:rPr>
          <w:rFonts w:eastAsia="Times New Roman"/>
          <w:szCs w:val="22"/>
          <w:lang w:eastAsia="zh-CN"/>
        </w:rPr>
        <w:t xml:space="preserve">: </w:t>
      </w:r>
      <w:r w:rsidRPr="00E55A54">
        <w:rPr>
          <w:rFonts w:eastAsia="Times New Roman"/>
          <w:szCs w:val="22"/>
          <w:lang w:eastAsia="zh-CN"/>
        </w:rPr>
        <w:t>Strategic promotion through various platforms, with FAO country offices and FAO Liaison Office in Belgium resharing key content.</w:t>
      </w:r>
    </w:p>
    <w:p w14:paraId="0468A6FA" w14:textId="77777777" w:rsidR="00BF6384" w:rsidRPr="00E55A54" w:rsidRDefault="00BF6384" w:rsidP="001149AB">
      <w:pPr>
        <w:pStyle w:val="IPPParagraphnumbering"/>
        <w:spacing w:after="0"/>
        <w:rPr>
          <w:rFonts w:eastAsia="Times New Roman"/>
          <w:szCs w:val="22"/>
          <w:lang w:eastAsia="zh-CN"/>
        </w:rPr>
      </w:pPr>
      <w:r w:rsidRPr="00E55A54">
        <w:rPr>
          <w:rFonts w:eastAsia="Times New Roman"/>
          <w:szCs w:val="22"/>
          <w:lang w:eastAsia="zh-CN"/>
        </w:rPr>
        <w:t>Upcoming Communication Activities (Late 2024 – Early 2025):</w:t>
      </w:r>
    </w:p>
    <w:p w14:paraId="3DDA894E" w14:textId="7713DDA0" w:rsidR="00BF6384" w:rsidRPr="00E55A54" w:rsidRDefault="00BF6384" w:rsidP="00B4233E">
      <w:pPr>
        <w:pStyle w:val="IPPBullet1"/>
        <w:spacing w:after="0"/>
        <w:rPr>
          <w:rFonts w:eastAsia="Times New Roman"/>
          <w:szCs w:val="22"/>
          <w:lang w:eastAsia="zh-CN"/>
        </w:rPr>
      </w:pPr>
      <w:r w:rsidRPr="00E55A54">
        <w:rPr>
          <w:rFonts w:eastAsia="Times New Roman"/>
          <w:szCs w:val="22"/>
          <w:lang w:eastAsia="zh-CN"/>
        </w:rPr>
        <w:t>Video Development: A video will be produced to showcase the impact of PCEs globally.</w:t>
      </w:r>
    </w:p>
    <w:p w14:paraId="03D24FEE" w14:textId="3DA58ACC" w:rsidR="00BF6384" w:rsidRPr="00E55A54" w:rsidRDefault="00BF6384" w:rsidP="00B4233E">
      <w:pPr>
        <w:pStyle w:val="IPPBullet1"/>
        <w:spacing w:after="0"/>
        <w:rPr>
          <w:rFonts w:eastAsia="Times New Roman"/>
          <w:szCs w:val="22"/>
          <w:lang w:eastAsia="zh-CN"/>
        </w:rPr>
      </w:pPr>
      <w:r w:rsidRPr="00E55A54">
        <w:rPr>
          <w:rFonts w:eastAsia="Times New Roman"/>
          <w:szCs w:val="22"/>
          <w:lang w:eastAsia="zh-CN"/>
        </w:rPr>
        <w:t>Focus on New Facilitators: Feature stories on newly certified PCE facilitators.</w:t>
      </w:r>
    </w:p>
    <w:p w14:paraId="365101BA" w14:textId="13A51E3E" w:rsidR="00BF6384" w:rsidRPr="00E55A54" w:rsidRDefault="00BF6384" w:rsidP="00B4233E">
      <w:pPr>
        <w:pStyle w:val="IPPBullet1"/>
        <w:spacing w:after="0"/>
        <w:rPr>
          <w:rFonts w:eastAsia="Times New Roman"/>
          <w:szCs w:val="22"/>
          <w:lang w:eastAsia="zh-CN"/>
        </w:rPr>
      </w:pPr>
      <w:r w:rsidRPr="00E55A54">
        <w:rPr>
          <w:rFonts w:eastAsia="Times New Roman"/>
          <w:szCs w:val="22"/>
          <w:lang w:eastAsia="zh-CN"/>
        </w:rPr>
        <w:t>Third PCE Missions in Egypt and Uganda: News features will cover the third missions in Egypt and Uganda, highlighting key results.</w:t>
      </w:r>
    </w:p>
    <w:p w14:paraId="5CBC131C" w14:textId="3A203BF5" w:rsidR="00BF6384" w:rsidRDefault="00BF6384" w:rsidP="00B4233E">
      <w:pPr>
        <w:pStyle w:val="IPPBullet1"/>
        <w:spacing w:after="0"/>
        <w:rPr>
          <w:rFonts w:eastAsia="Times New Roman"/>
          <w:szCs w:val="22"/>
          <w:lang w:eastAsia="zh-CN"/>
        </w:rPr>
      </w:pPr>
      <w:r w:rsidRPr="00E55A54">
        <w:rPr>
          <w:rFonts w:eastAsia="Times New Roman"/>
          <w:szCs w:val="22"/>
          <w:lang w:eastAsia="zh-CN"/>
        </w:rPr>
        <w:t xml:space="preserve">Global </w:t>
      </w:r>
      <w:r>
        <w:rPr>
          <w:rFonts w:eastAsia="Times New Roman"/>
          <w:szCs w:val="22"/>
          <w:lang w:eastAsia="zh-CN"/>
        </w:rPr>
        <w:t>r</w:t>
      </w:r>
      <w:r w:rsidRPr="00E55A54">
        <w:rPr>
          <w:rFonts w:eastAsia="Times New Roman"/>
          <w:szCs w:val="22"/>
          <w:lang w:eastAsia="zh-CN"/>
        </w:rPr>
        <w:t>esults: Tangible outcomes from PCEs in COMESA countries and other regions will be featured through major projects.</w:t>
      </w:r>
    </w:p>
    <w:p w14:paraId="1B3B684C" w14:textId="57F3206C" w:rsidR="00B21EF9" w:rsidRPr="00E55A54" w:rsidRDefault="00B21EF9" w:rsidP="00B4233E">
      <w:pPr>
        <w:pStyle w:val="IPPBullet1"/>
        <w:spacing w:after="0"/>
        <w:rPr>
          <w:rFonts w:eastAsia="Times New Roman"/>
          <w:szCs w:val="22"/>
          <w:lang w:eastAsia="zh-CN"/>
        </w:rPr>
      </w:pPr>
      <w:r>
        <w:rPr>
          <w:rFonts w:eastAsia="Times New Roman"/>
          <w:szCs w:val="22"/>
          <w:lang w:eastAsia="zh-CN"/>
        </w:rPr>
        <w:t xml:space="preserve">SPS gap analysis: </w:t>
      </w:r>
      <w:r w:rsidR="00583CF0">
        <w:rPr>
          <w:rFonts w:eastAsia="Times New Roman"/>
          <w:szCs w:val="22"/>
          <w:lang w:eastAsia="zh-CN"/>
        </w:rPr>
        <w:t>s</w:t>
      </w:r>
      <w:r w:rsidR="00583CF0" w:rsidRPr="00583CF0">
        <w:rPr>
          <w:rFonts w:eastAsia="Times New Roman"/>
          <w:szCs w:val="22"/>
          <w:lang w:eastAsia="zh-CN"/>
        </w:rPr>
        <w:t>haring key insights and recommendations from the SPS (Sanitary and Phytosanitary) gap analysis,</w:t>
      </w:r>
    </w:p>
    <w:p w14:paraId="7AB8B201" w14:textId="77777777" w:rsidR="00AE0728" w:rsidRDefault="00AE0728" w:rsidP="00701D26">
      <w:pPr>
        <w:pStyle w:val="IPPParagraphnumbering"/>
        <w:numPr>
          <w:ilvl w:val="0"/>
          <w:numId w:val="0"/>
        </w:numPr>
        <w:spacing w:after="0"/>
        <w:rPr>
          <w:rStyle w:val="normaltextrun"/>
          <w:szCs w:val="22"/>
        </w:rPr>
      </w:pPr>
    </w:p>
    <w:p w14:paraId="40E03E79" w14:textId="17582582" w:rsidR="00AD0496" w:rsidRPr="005736BF" w:rsidRDefault="00AD0496" w:rsidP="001149AB">
      <w:pPr>
        <w:pStyle w:val="IPPHeading1"/>
        <w:numPr>
          <w:ilvl w:val="0"/>
          <w:numId w:val="11"/>
        </w:numPr>
        <w:spacing w:before="0"/>
        <w:rPr>
          <w:rFonts w:eastAsia="Times New Roman"/>
          <w:sz w:val="22"/>
        </w:rPr>
      </w:pPr>
      <w:r w:rsidRPr="278226D6">
        <w:rPr>
          <w:rFonts w:eastAsia="Times New Roman"/>
          <w:sz w:val="22"/>
        </w:rPr>
        <w:t>Advancements on the key result area 3: the PCE software and platform are reliable, effective, and easy to use</w:t>
      </w:r>
    </w:p>
    <w:p w14:paraId="75C96D6A" w14:textId="4D7E93C7" w:rsidR="00AD0496" w:rsidRPr="005736BF" w:rsidRDefault="00AD0496" w:rsidP="001149AB">
      <w:pPr>
        <w:pStyle w:val="IPPHeading1"/>
        <w:numPr>
          <w:ilvl w:val="1"/>
          <w:numId w:val="11"/>
        </w:numPr>
        <w:spacing w:before="0" w:after="0"/>
        <w:rPr>
          <w:sz w:val="22"/>
        </w:rPr>
      </w:pPr>
      <w:r w:rsidRPr="59F45AFF">
        <w:rPr>
          <w:rFonts w:eastAsia="Times New Roman"/>
          <w:sz w:val="22"/>
        </w:rPr>
        <w:t>PCE</w:t>
      </w:r>
      <w:r w:rsidRPr="59F45AFF">
        <w:rPr>
          <w:sz w:val="22"/>
        </w:rPr>
        <w:t xml:space="preserve"> Terms and Conditions for accessing the PCE online system</w:t>
      </w:r>
    </w:p>
    <w:p w14:paraId="3E428FF0" w14:textId="32A8EE7B" w:rsidR="00AD0496" w:rsidRPr="004D6EC6" w:rsidRDefault="00233217" w:rsidP="00701D26">
      <w:pPr>
        <w:pStyle w:val="IPPParagraphnumbering"/>
        <w:spacing w:after="0"/>
        <w:rPr>
          <w:rStyle w:val="normaltextrun"/>
          <w:b/>
          <w:color w:val="1B1E24"/>
          <w:szCs w:val="22"/>
        </w:rPr>
      </w:pPr>
      <w:r w:rsidRPr="005736BF">
        <w:rPr>
          <w:szCs w:val="22"/>
        </w:rPr>
        <w:t>T</w:t>
      </w:r>
      <w:r w:rsidR="00AD0496" w:rsidRPr="005736BF">
        <w:rPr>
          <w:szCs w:val="22"/>
        </w:rPr>
        <w:t xml:space="preserve">he PCE </w:t>
      </w:r>
      <w:r w:rsidR="00A52769">
        <w:rPr>
          <w:szCs w:val="22"/>
        </w:rPr>
        <w:t xml:space="preserve">online system </w:t>
      </w:r>
      <w:r w:rsidR="00AD0496" w:rsidRPr="005736BF">
        <w:rPr>
          <w:szCs w:val="22"/>
        </w:rPr>
        <w:t>is an FAO property</w:t>
      </w:r>
      <w:r w:rsidR="00BE2A4C">
        <w:rPr>
          <w:szCs w:val="22"/>
        </w:rPr>
        <w:t>,</w:t>
      </w:r>
      <w:r w:rsidR="00AD0496" w:rsidRPr="005736BF">
        <w:rPr>
          <w:szCs w:val="22"/>
        </w:rPr>
        <w:t xml:space="preserve"> and terms and conditions </w:t>
      </w:r>
      <w:r w:rsidR="00A52769">
        <w:rPr>
          <w:szCs w:val="22"/>
        </w:rPr>
        <w:t>ha</w:t>
      </w:r>
      <w:r w:rsidR="00BE2A4C">
        <w:rPr>
          <w:szCs w:val="22"/>
        </w:rPr>
        <w:t>ve</w:t>
      </w:r>
      <w:r w:rsidR="00A52769">
        <w:rPr>
          <w:szCs w:val="22"/>
        </w:rPr>
        <w:t xml:space="preserve"> been</w:t>
      </w:r>
      <w:r w:rsidR="00AD0496" w:rsidRPr="005736BF">
        <w:rPr>
          <w:szCs w:val="22"/>
        </w:rPr>
        <w:t xml:space="preserve"> set according to FAO rules. </w:t>
      </w:r>
      <w:r w:rsidR="004F0C12">
        <w:rPr>
          <w:szCs w:val="22"/>
        </w:rPr>
        <w:t xml:space="preserve">The </w:t>
      </w:r>
      <w:r w:rsidR="00D542BE">
        <w:rPr>
          <w:szCs w:val="22"/>
        </w:rPr>
        <w:t>CPM-18</w:t>
      </w:r>
      <w:r w:rsidR="24E98776">
        <w:rPr>
          <w:szCs w:val="22"/>
        </w:rPr>
        <w:t xml:space="preserve"> (2024)</w:t>
      </w:r>
      <w:r w:rsidR="004F0C12">
        <w:rPr>
          <w:szCs w:val="22"/>
        </w:rPr>
        <w:t xml:space="preserve"> noted the </w:t>
      </w:r>
      <w:r>
        <w:rPr>
          <w:szCs w:val="22"/>
        </w:rPr>
        <w:t>Terms and Conditions for using the PCE online system</w:t>
      </w:r>
      <w:r w:rsidR="004D4E61">
        <w:rPr>
          <w:szCs w:val="22"/>
        </w:rPr>
        <w:t xml:space="preserve">. Subsequently, the IPPC Secretariat managed the IT implementation, and currently, the users are requested to accept the terms when accessing the system </w:t>
      </w:r>
      <w:r w:rsidR="00366559">
        <w:rPr>
          <w:szCs w:val="22"/>
        </w:rPr>
        <w:t>for</w:t>
      </w:r>
      <w:r w:rsidR="004D4E61">
        <w:rPr>
          <w:szCs w:val="22"/>
        </w:rPr>
        <w:t xml:space="preserve"> the first time</w:t>
      </w:r>
      <w:r w:rsidR="006F1C87">
        <w:rPr>
          <w:szCs w:val="22"/>
        </w:rPr>
        <w:t>. The content of the</w:t>
      </w:r>
      <w:r w:rsidR="00AD0496" w:rsidRPr="005736BF">
        <w:rPr>
          <w:szCs w:val="22"/>
        </w:rPr>
        <w:t xml:space="preserve"> </w:t>
      </w:r>
      <w:r w:rsidRPr="005736BF">
        <w:rPr>
          <w:rStyle w:val="normaltextrun"/>
          <w:color w:val="1B1E24"/>
          <w:szCs w:val="22"/>
        </w:rPr>
        <w:t>Terms and Conditions</w:t>
      </w:r>
      <w:r w:rsidR="002A7364" w:rsidRPr="005736BF">
        <w:rPr>
          <w:rStyle w:val="FootnoteReference"/>
          <w:szCs w:val="22"/>
        </w:rPr>
        <w:footnoteReference w:id="8"/>
      </w:r>
      <w:r w:rsidRPr="005736BF">
        <w:rPr>
          <w:rStyle w:val="normaltextrun"/>
          <w:color w:val="1B1E24"/>
          <w:szCs w:val="22"/>
        </w:rPr>
        <w:t xml:space="preserve"> </w:t>
      </w:r>
      <w:r w:rsidR="006F1C87">
        <w:rPr>
          <w:rStyle w:val="normaltextrun"/>
          <w:color w:val="1B1E24"/>
          <w:szCs w:val="22"/>
        </w:rPr>
        <w:t xml:space="preserve">is </w:t>
      </w:r>
      <w:r w:rsidRPr="005736BF">
        <w:rPr>
          <w:rStyle w:val="normaltextrun"/>
          <w:color w:val="1B1E24"/>
          <w:szCs w:val="22"/>
        </w:rPr>
        <w:t>publicly available on the PCE webpage and online PCE system</w:t>
      </w:r>
      <w:r w:rsidR="00DC3D07">
        <w:rPr>
          <w:rStyle w:val="normaltextrun"/>
          <w:color w:val="1B1E24"/>
          <w:szCs w:val="22"/>
        </w:rPr>
        <w:t>.</w:t>
      </w:r>
      <w:r w:rsidRPr="005736BF">
        <w:rPr>
          <w:rStyle w:val="FootnoteReference"/>
          <w:color w:val="1B1E24"/>
          <w:szCs w:val="22"/>
        </w:rPr>
        <w:footnoteReference w:id="9"/>
      </w:r>
      <w:r w:rsidRPr="005736BF">
        <w:rPr>
          <w:rStyle w:val="normaltextrun"/>
          <w:color w:val="1B1E24"/>
          <w:szCs w:val="22"/>
        </w:rPr>
        <w:t xml:space="preserve"> </w:t>
      </w:r>
    </w:p>
    <w:p w14:paraId="6FD204D3" w14:textId="77777777" w:rsidR="004D6EC6" w:rsidRPr="005736BF" w:rsidDel="002A7364" w:rsidRDefault="004D6EC6" w:rsidP="00701D26">
      <w:pPr>
        <w:pStyle w:val="IPPParagraphnumbering"/>
        <w:numPr>
          <w:ilvl w:val="0"/>
          <w:numId w:val="0"/>
        </w:numPr>
        <w:spacing w:after="0"/>
        <w:rPr>
          <w:rStyle w:val="normaltextrun"/>
          <w:rFonts w:eastAsiaTheme="minorEastAsia"/>
          <w:b/>
          <w:color w:val="1B1E24"/>
          <w:szCs w:val="22"/>
        </w:rPr>
      </w:pPr>
    </w:p>
    <w:p w14:paraId="14AA91E0" w14:textId="547B714A" w:rsidR="00AD0496" w:rsidRPr="005736BF" w:rsidRDefault="00AD0496" w:rsidP="006A0D6D">
      <w:pPr>
        <w:pStyle w:val="IPPHeading1"/>
        <w:numPr>
          <w:ilvl w:val="0"/>
          <w:numId w:val="11"/>
        </w:numPr>
        <w:spacing w:before="0"/>
        <w:rPr>
          <w:rFonts w:eastAsia="Times New Roman"/>
          <w:sz w:val="22"/>
        </w:rPr>
      </w:pPr>
      <w:r w:rsidRPr="005736BF">
        <w:rPr>
          <w:rFonts w:eastAsia="Times New Roman"/>
          <w:sz w:val="22"/>
        </w:rPr>
        <w:t xml:space="preserve">Advancements on the key result area 4: The PCE Tool is revised and updated </w:t>
      </w:r>
      <w:proofErr w:type="gramStart"/>
      <w:r w:rsidRPr="005736BF">
        <w:rPr>
          <w:rFonts w:eastAsia="Times New Roman"/>
          <w:sz w:val="22"/>
        </w:rPr>
        <w:t>regularly</w:t>
      </w:r>
      <w:proofErr w:type="gramEnd"/>
      <w:r w:rsidRPr="005736BF">
        <w:rPr>
          <w:rFonts w:eastAsia="Times New Roman"/>
          <w:sz w:val="22"/>
        </w:rPr>
        <w:t xml:space="preserve"> and new modules and strategic planning tools are added as needed (e.g. environmental module, implementation follow up tool)</w:t>
      </w:r>
    </w:p>
    <w:p w14:paraId="6EAAF405" w14:textId="1EB60E5C" w:rsidR="00AD0496" w:rsidRPr="005736BF" w:rsidRDefault="00AD0496" w:rsidP="001149AB">
      <w:pPr>
        <w:pStyle w:val="IPPHeading1"/>
        <w:numPr>
          <w:ilvl w:val="1"/>
          <w:numId w:val="11"/>
        </w:numPr>
        <w:spacing w:before="0" w:after="0"/>
        <w:rPr>
          <w:rFonts w:eastAsia="Times New Roman"/>
          <w:b w:val="0"/>
          <w:sz w:val="22"/>
          <w:lang w:eastAsia="en-GB"/>
        </w:rPr>
      </w:pPr>
      <w:r w:rsidRPr="005736BF">
        <w:rPr>
          <w:rFonts w:eastAsia="Times New Roman"/>
          <w:sz w:val="22"/>
        </w:rPr>
        <w:t>Desk study recommendations</w:t>
      </w:r>
      <w:r w:rsidR="00620C00">
        <w:rPr>
          <w:rFonts w:eastAsia="Times New Roman"/>
          <w:sz w:val="22"/>
        </w:rPr>
        <w:t xml:space="preserve"> and roadmap to improve the PCE</w:t>
      </w:r>
    </w:p>
    <w:p w14:paraId="51B789DF" w14:textId="3A28E3D3" w:rsidR="00723626" w:rsidRPr="00D1366D" w:rsidRDefault="00AD0496" w:rsidP="00D1366D">
      <w:pPr>
        <w:pStyle w:val="IPPParagraphnumbering"/>
        <w:spacing w:after="0"/>
        <w:rPr>
          <w:color w:val="1B1E24"/>
          <w:szCs w:val="22"/>
        </w:rPr>
      </w:pPr>
      <w:r w:rsidRPr="00D1366D">
        <w:rPr>
          <w:color w:val="1B1E24"/>
          <w:szCs w:val="22"/>
        </w:rPr>
        <w:t xml:space="preserve">In 2021, in its October meeting, the SPG agreed that a </w:t>
      </w:r>
      <w:r w:rsidR="00E17934">
        <w:rPr>
          <w:color w:val="1B1E24"/>
          <w:szCs w:val="22"/>
        </w:rPr>
        <w:t>D</w:t>
      </w:r>
      <w:r w:rsidRPr="00D1366D">
        <w:rPr>
          <w:color w:val="1B1E24"/>
          <w:szCs w:val="22"/>
        </w:rPr>
        <w:t xml:space="preserve">esk </w:t>
      </w:r>
      <w:r w:rsidR="00E17934">
        <w:rPr>
          <w:color w:val="1B1E24"/>
          <w:szCs w:val="22"/>
        </w:rPr>
        <w:t>S</w:t>
      </w:r>
      <w:r w:rsidRPr="00D1366D">
        <w:rPr>
          <w:color w:val="1B1E24"/>
          <w:szCs w:val="22"/>
        </w:rPr>
        <w:t xml:space="preserve">tudy should be conducted to include considerations related to the PCE's accessibility and flexibility. </w:t>
      </w:r>
      <w:r w:rsidRPr="00D1366D">
        <w:rPr>
          <w:szCs w:val="22"/>
        </w:rPr>
        <w:t xml:space="preserve">The desk study, completed in 2024, revealed that while the PCE has significantly contributed to </w:t>
      </w:r>
      <w:r w:rsidR="00D00778">
        <w:rPr>
          <w:szCs w:val="22"/>
        </w:rPr>
        <w:t>improving</w:t>
      </w:r>
      <w:r w:rsidRPr="00D1366D">
        <w:rPr>
          <w:szCs w:val="22"/>
        </w:rPr>
        <w:t xml:space="preserve"> phytosanitary systems, enhancements are necessary in </w:t>
      </w:r>
      <w:r w:rsidR="00E201CB" w:rsidRPr="00D1366D">
        <w:rPr>
          <w:szCs w:val="22"/>
        </w:rPr>
        <w:t xml:space="preserve">some </w:t>
      </w:r>
      <w:r w:rsidRPr="00D1366D">
        <w:rPr>
          <w:szCs w:val="22"/>
        </w:rPr>
        <w:t>areas</w:t>
      </w:r>
      <w:r w:rsidR="00E201CB" w:rsidRPr="00D1366D">
        <w:rPr>
          <w:szCs w:val="22"/>
        </w:rPr>
        <w:t xml:space="preserve">. </w:t>
      </w:r>
      <w:r w:rsidR="00D45573" w:rsidRPr="00D1366D">
        <w:rPr>
          <w:szCs w:val="22"/>
        </w:rPr>
        <w:t xml:space="preserve"> </w:t>
      </w:r>
      <w:r w:rsidR="00837725" w:rsidRPr="00D1366D">
        <w:rPr>
          <w:color w:val="1B1E24"/>
          <w:szCs w:val="22"/>
        </w:rPr>
        <w:t xml:space="preserve">At the May 2024 IC meeting, the IPPC Secretariat shared the </w:t>
      </w:r>
      <w:r w:rsidR="00E17934">
        <w:rPr>
          <w:color w:val="1B1E24"/>
          <w:szCs w:val="22"/>
        </w:rPr>
        <w:t>D</w:t>
      </w:r>
      <w:r w:rsidR="00837725" w:rsidRPr="00D1366D">
        <w:rPr>
          <w:color w:val="1B1E24"/>
          <w:szCs w:val="22"/>
        </w:rPr>
        <w:t xml:space="preserve">esk </w:t>
      </w:r>
      <w:r w:rsidR="00E17934">
        <w:rPr>
          <w:color w:val="1B1E24"/>
          <w:szCs w:val="22"/>
        </w:rPr>
        <w:t>S</w:t>
      </w:r>
      <w:r w:rsidR="00837725" w:rsidRPr="00D1366D">
        <w:rPr>
          <w:color w:val="1B1E24"/>
          <w:szCs w:val="22"/>
        </w:rPr>
        <w:t xml:space="preserve">tudy results </w:t>
      </w:r>
      <w:r w:rsidR="000B48FE" w:rsidRPr="00D1366D">
        <w:rPr>
          <w:color w:val="1B1E24"/>
          <w:szCs w:val="22"/>
        </w:rPr>
        <w:t>available in</w:t>
      </w:r>
      <w:r w:rsidR="00837725" w:rsidRPr="00D1366D">
        <w:rPr>
          <w:color w:val="1B1E24"/>
          <w:szCs w:val="22"/>
        </w:rPr>
        <w:t xml:space="preserve"> </w:t>
      </w:r>
      <w:r w:rsidR="005F5775" w:rsidRPr="00D1366D">
        <w:rPr>
          <w:color w:val="1B1E24"/>
          <w:szCs w:val="22"/>
        </w:rPr>
        <w:t>the IPP working</w:t>
      </w:r>
      <w:r w:rsidR="00837725" w:rsidRPr="00D1366D">
        <w:rPr>
          <w:color w:val="1B1E24"/>
          <w:szCs w:val="22"/>
        </w:rPr>
        <w:t xml:space="preserve"> area</w:t>
      </w:r>
      <w:r w:rsidR="00837725" w:rsidRPr="00947BB0">
        <w:rPr>
          <w:color w:val="1B1E24"/>
          <w:vertAlign w:val="superscript"/>
        </w:rPr>
        <w:footnoteReference w:id="10"/>
      </w:r>
      <w:r w:rsidR="00394E20">
        <w:rPr>
          <w:color w:val="1B1E24"/>
          <w:szCs w:val="22"/>
        </w:rPr>
        <w:t xml:space="preserve"> and approved a roadmap to improve the PCE b</w:t>
      </w:r>
      <w:r w:rsidR="003E733F">
        <w:rPr>
          <w:color w:val="1B1E24"/>
          <w:szCs w:val="22"/>
        </w:rPr>
        <w:t xml:space="preserve">ased on the </w:t>
      </w:r>
      <w:r w:rsidR="00837725" w:rsidRPr="00D1366D">
        <w:rPr>
          <w:color w:val="1B1E24"/>
          <w:szCs w:val="22"/>
        </w:rPr>
        <w:t>recommendations</w:t>
      </w:r>
      <w:r w:rsidR="00491EF6">
        <w:rPr>
          <w:color w:val="1B1E24"/>
          <w:szCs w:val="22"/>
        </w:rPr>
        <w:t xml:space="preserve">. The roadmap is </w:t>
      </w:r>
      <w:r w:rsidR="00837725" w:rsidRPr="00D1366D">
        <w:rPr>
          <w:color w:val="1B1E24"/>
          <w:szCs w:val="22"/>
        </w:rPr>
        <w:t xml:space="preserve">aligned with the six key result areas outlined in the PCE Strategy 2020–2030 (see </w:t>
      </w:r>
      <w:r w:rsidR="005F5775" w:rsidRPr="00D1366D">
        <w:rPr>
          <w:color w:val="1B1E24"/>
          <w:szCs w:val="22"/>
        </w:rPr>
        <w:t>T</w:t>
      </w:r>
      <w:r w:rsidR="001E7621" w:rsidRPr="00D1366D">
        <w:rPr>
          <w:color w:val="1B1E24"/>
          <w:szCs w:val="22"/>
        </w:rPr>
        <w:t>able</w:t>
      </w:r>
      <w:r w:rsidR="00837725" w:rsidRPr="00D1366D">
        <w:rPr>
          <w:color w:val="1B1E24"/>
          <w:szCs w:val="22"/>
        </w:rPr>
        <w:t xml:space="preserve"> 3 for details).</w:t>
      </w:r>
    </w:p>
    <w:p w14:paraId="5CB03766" w14:textId="77777777" w:rsidR="007476F0" w:rsidRDefault="007476F0" w:rsidP="00701D26">
      <w:pPr>
        <w:pStyle w:val="IPPParagraphnumbering"/>
        <w:numPr>
          <w:ilvl w:val="0"/>
          <w:numId w:val="0"/>
        </w:numPr>
        <w:spacing w:after="0"/>
        <w:rPr>
          <w:color w:val="1B1E24"/>
          <w:szCs w:val="22"/>
        </w:rPr>
      </w:pPr>
    </w:p>
    <w:p w14:paraId="6F4A3006" w14:textId="3FCCCF10" w:rsidR="007476F0" w:rsidRDefault="007476F0" w:rsidP="00701D26">
      <w:pPr>
        <w:pStyle w:val="IPPParagraphnumbering"/>
        <w:spacing w:after="0"/>
        <w:rPr>
          <w:rFonts w:eastAsia="Times New Roman"/>
          <w:szCs w:val="22"/>
          <w:lang w:eastAsia="zh-CN"/>
        </w:rPr>
      </w:pPr>
      <w:r w:rsidRPr="001E738F">
        <w:rPr>
          <w:color w:val="1B1E24"/>
          <w:szCs w:val="22"/>
        </w:rPr>
        <w:t>Using IPPC Secretariat resources, progress has been made, including updates to the PCE webpage and the development of a communication plan.</w:t>
      </w:r>
      <w:r>
        <w:rPr>
          <w:rFonts w:eastAsia="Times New Roman"/>
          <w:szCs w:val="22"/>
          <w:lang w:eastAsia="zh-CN"/>
        </w:rPr>
        <w:t xml:space="preserve"> </w:t>
      </w:r>
      <w:r w:rsidRPr="006D3CCB">
        <w:rPr>
          <w:rFonts w:eastAsia="Times New Roman"/>
          <w:szCs w:val="22"/>
          <w:lang w:eastAsia="zh-CN"/>
        </w:rPr>
        <w:t xml:space="preserve">Under the EU-funded </w:t>
      </w:r>
      <w:r w:rsidRPr="006D3CCB">
        <w:rPr>
          <w:rFonts w:eastAsia="Times New Roman"/>
          <w:i/>
          <w:iCs/>
          <w:szCs w:val="22"/>
          <w:lang w:eastAsia="zh-CN"/>
        </w:rPr>
        <w:t>Strengthening Food Control and Phytosanitary Capacities and Governance</w:t>
      </w:r>
      <w:r w:rsidRPr="006D3CCB">
        <w:rPr>
          <w:rFonts w:eastAsia="Times New Roman"/>
          <w:szCs w:val="22"/>
          <w:lang w:eastAsia="zh-CN"/>
        </w:rPr>
        <w:t xml:space="preserve"> project (GCP/GLO/949/EC), further advancements have been achieved across several PCE key </w:t>
      </w:r>
      <w:proofErr w:type="gramStart"/>
      <w:r w:rsidRPr="006D3CCB">
        <w:rPr>
          <w:rFonts w:eastAsia="Times New Roman"/>
          <w:szCs w:val="22"/>
          <w:lang w:eastAsia="zh-CN"/>
        </w:rPr>
        <w:t>result area</w:t>
      </w:r>
      <w:r>
        <w:rPr>
          <w:rFonts w:eastAsia="Times New Roman"/>
          <w:szCs w:val="22"/>
          <w:lang w:eastAsia="zh-CN"/>
        </w:rPr>
        <w:t>s</w:t>
      </w:r>
      <w:proofErr w:type="gramEnd"/>
      <w:r w:rsidR="00AC157E">
        <w:rPr>
          <w:rFonts w:eastAsia="Times New Roman"/>
          <w:szCs w:val="22"/>
          <w:lang w:eastAsia="zh-CN"/>
        </w:rPr>
        <w:t>,</w:t>
      </w:r>
      <w:r>
        <w:rPr>
          <w:rFonts w:eastAsia="Times New Roman"/>
          <w:szCs w:val="22"/>
          <w:lang w:eastAsia="zh-CN"/>
        </w:rPr>
        <w:t xml:space="preserve"> </w:t>
      </w:r>
      <w:r w:rsidR="0032255D">
        <w:rPr>
          <w:rFonts w:eastAsia="Times New Roman"/>
          <w:szCs w:val="22"/>
          <w:lang w:eastAsia="zh-CN"/>
        </w:rPr>
        <w:t xml:space="preserve">as detailed in </w:t>
      </w:r>
      <w:r w:rsidR="00D62B29">
        <w:rPr>
          <w:rFonts w:eastAsia="Times New Roman"/>
          <w:szCs w:val="22"/>
          <w:lang w:eastAsia="zh-CN"/>
        </w:rPr>
        <w:t>Table</w:t>
      </w:r>
      <w:r w:rsidR="0032255D">
        <w:rPr>
          <w:rFonts w:eastAsia="Times New Roman"/>
          <w:szCs w:val="22"/>
          <w:lang w:eastAsia="zh-CN"/>
        </w:rPr>
        <w:t xml:space="preserve"> 3. </w:t>
      </w:r>
      <w:r>
        <w:rPr>
          <w:rFonts w:eastAsia="Times New Roman"/>
          <w:szCs w:val="22"/>
          <w:lang w:eastAsia="zh-CN"/>
        </w:rPr>
        <w:t xml:space="preserve"> </w:t>
      </w:r>
    </w:p>
    <w:p w14:paraId="0C214C92" w14:textId="77777777" w:rsidR="007476F0" w:rsidRDefault="007476F0" w:rsidP="00701D26">
      <w:pPr>
        <w:pStyle w:val="IPPParagraphnumbering"/>
        <w:numPr>
          <w:ilvl w:val="0"/>
          <w:numId w:val="0"/>
        </w:numPr>
        <w:spacing w:after="0"/>
        <w:rPr>
          <w:rFonts w:eastAsia="Times New Roman"/>
          <w:szCs w:val="22"/>
          <w:lang w:eastAsia="zh-CN"/>
        </w:rPr>
      </w:pPr>
    </w:p>
    <w:p w14:paraId="33E5BB28" w14:textId="77777777" w:rsidR="00863AE0" w:rsidRDefault="000047FE" w:rsidP="00701D26">
      <w:pPr>
        <w:pStyle w:val="IPPParagraphnumbering"/>
        <w:spacing w:after="0"/>
        <w:rPr>
          <w:rFonts w:eastAsia="Times New Roman"/>
          <w:szCs w:val="22"/>
          <w:lang w:eastAsia="zh-CN"/>
        </w:rPr>
      </w:pPr>
      <w:r w:rsidRPr="00E261FC">
        <w:rPr>
          <w:rFonts w:eastAsia="Times New Roman"/>
          <w:szCs w:val="22"/>
          <w:lang w:eastAsia="zh-CN"/>
        </w:rPr>
        <w:t>During the April 2024 Bureau meeting, the IPPC Secretariat presented a breakdown of costs to conduct a PCE and again informed that the IPPC Secretariat does not have a dedicated budget for implementing PCEs or maintaining and improving the PCE process and its online system, as requested by ICPM-3</w:t>
      </w:r>
      <w:r w:rsidR="00D62B29">
        <w:rPr>
          <w:rFonts w:eastAsia="Times New Roman"/>
          <w:szCs w:val="22"/>
          <w:lang w:eastAsia="zh-CN"/>
        </w:rPr>
        <w:t xml:space="preserve"> (2001)</w:t>
      </w:r>
      <w:r w:rsidR="009700F4">
        <w:rPr>
          <w:rFonts w:eastAsia="Times New Roman"/>
          <w:szCs w:val="22"/>
          <w:lang w:eastAsia="zh-CN"/>
        </w:rPr>
        <w:t xml:space="preserve">. </w:t>
      </w:r>
    </w:p>
    <w:p w14:paraId="0A9FB573" w14:textId="77777777" w:rsidR="004653C2" w:rsidRDefault="004653C2" w:rsidP="00AC157E">
      <w:pPr>
        <w:pStyle w:val="ListParagraph"/>
        <w:ind w:left="880"/>
        <w:rPr>
          <w:rFonts w:ascii="Times New Roman" w:hAnsi="Times New Roman"/>
          <w:sz w:val="22"/>
          <w:szCs w:val="22"/>
          <w:lang w:val="en-US" w:eastAsia="zh-CN"/>
        </w:rPr>
      </w:pPr>
    </w:p>
    <w:p w14:paraId="74833036" w14:textId="0D3C7C01" w:rsidR="007476F0" w:rsidRPr="001149AB" w:rsidRDefault="001E20BF" w:rsidP="00701D26">
      <w:pPr>
        <w:pStyle w:val="IPPParagraphnumbering"/>
        <w:spacing w:after="0"/>
        <w:rPr>
          <w:rFonts w:eastAsia="Times New Roman"/>
          <w:szCs w:val="22"/>
          <w:lang w:eastAsia="zh-CN"/>
        </w:rPr>
      </w:pPr>
      <w:r w:rsidRPr="00DE041D">
        <w:rPr>
          <w:rFonts w:eastAsia="Times New Roman"/>
          <w:szCs w:val="22"/>
          <w:lang w:eastAsia="zh-CN"/>
        </w:rPr>
        <w:lastRenderedPageBreak/>
        <w:t xml:space="preserve">During </w:t>
      </w:r>
      <w:r>
        <w:rPr>
          <w:rFonts w:eastAsia="Times New Roman"/>
          <w:szCs w:val="22"/>
          <w:lang w:eastAsia="zh-CN"/>
        </w:rPr>
        <w:t xml:space="preserve">its </w:t>
      </w:r>
      <w:r w:rsidRPr="00DE041D">
        <w:rPr>
          <w:rFonts w:eastAsia="Times New Roman"/>
          <w:szCs w:val="22"/>
          <w:lang w:eastAsia="zh-CN"/>
        </w:rPr>
        <w:t>2024 June</w:t>
      </w:r>
      <w:r>
        <w:rPr>
          <w:rFonts w:eastAsia="Times New Roman"/>
          <w:szCs w:val="22"/>
          <w:lang w:eastAsia="zh-CN"/>
        </w:rPr>
        <w:t xml:space="preserve"> </w:t>
      </w:r>
      <w:r w:rsidRPr="00DE041D">
        <w:rPr>
          <w:rFonts w:eastAsia="Times New Roman"/>
          <w:szCs w:val="22"/>
          <w:lang w:eastAsia="zh-CN"/>
        </w:rPr>
        <w:t xml:space="preserve">meeting, </w:t>
      </w:r>
      <w:r>
        <w:rPr>
          <w:rFonts w:eastAsia="Times New Roman"/>
          <w:szCs w:val="22"/>
          <w:lang w:eastAsia="zh-CN"/>
        </w:rPr>
        <w:t>t</w:t>
      </w:r>
      <w:r w:rsidR="00EF20AE" w:rsidRPr="001149AB">
        <w:rPr>
          <w:rFonts w:eastAsia="Times New Roman"/>
          <w:szCs w:val="22"/>
          <w:lang w:eastAsia="zh-CN"/>
        </w:rPr>
        <w:t xml:space="preserve">he </w:t>
      </w:r>
      <w:r>
        <w:rPr>
          <w:rFonts w:eastAsia="Times New Roman"/>
          <w:szCs w:val="22"/>
          <w:lang w:eastAsia="zh-CN"/>
        </w:rPr>
        <w:t>B</w:t>
      </w:r>
      <w:r w:rsidR="00EF20AE" w:rsidRPr="001149AB">
        <w:rPr>
          <w:rFonts w:eastAsia="Times New Roman"/>
          <w:szCs w:val="22"/>
          <w:lang w:eastAsia="zh-CN"/>
        </w:rPr>
        <w:t xml:space="preserve">ureau discussed the funding for implementing PCEs. </w:t>
      </w:r>
      <w:r w:rsidR="00EF20AE" w:rsidRPr="00DE041D">
        <w:rPr>
          <w:rFonts w:eastAsia="Times New Roman"/>
          <w:szCs w:val="22"/>
          <w:lang w:eastAsia="zh-CN"/>
        </w:rPr>
        <w:t> </w:t>
      </w:r>
      <w:r w:rsidR="00EF20AE" w:rsidRPr="001149AB">
        <w:rPr>
          <w:rFonts w:eastAsia="Times New Roman"/>
          <w:szCs w:val="22"/>
          <w:lang w:eastAsia="zh-CN"/>
        </w:rPr>
        <w:t>A question was raised about the meaning of “sustainable funding”. The IPPC Secretariat explained that an in-depth discussion on the subject should take place during the Financial Committee (FC) meeting. </w:t>
      </w:r>
      <w:r w:rsidR="00EF20AE">
        <w:rPr>
          <w:rFonts w:eastAsia="Times New Roman"/>
          <w:szCs w:val="22"/>
          <w:lang w:eastAsia="zh-CN"/>
        </w:rPr>
        <w:t xml:space="preserve"> </w:t>
      </w:r>
    </w:p>
    <w:p w14:paraId="489DF6F7" w14:textId="77777777" w:rsidR="007476F0" w:rsidRDefault="007476F0" w:rsidP="007476F0">
      <w:pPr>
        <w:pStyle w:val="IPPParagraphnumbering"/>
        <w:numPr>
          <w:ilvl w:val="0"/>
          <w:numId w:val="0"/>
        </w:numPr>
        <w:spacing w:after="0"/>
        <w:rPr>
          <w:rFonts w:ascii="Times" w:eastAsia="Times New Roman" w:hAnsi="Times" w:cs="Times"/>
          <w:szCs w:val="22"/>
          <w:lang w:eastAsia="zh-CN"/>
        </w:rPr>
      </w:pPr>
    </w:p>
    <w:p w14:paraId="6F392804" w14:textId="77777777" w:rsidR="007476F0" w:rsidRDefault="007476F0" w:rsidP="001149AB">
      <w:pPr>
        <w:pStyle w:val="IPPParagraphnumbering"/>
        <w:numPr>
          <w:ilvl w:val="0"/>
          <w:numId w:val="0"/>
        </w:numPr>
        <w:spacing w:after="0"/>
        <w:rPr>
          <w:color w:val="1B1E24"/>
          <w:szCs w:val="22"/>
        </w:rPr>
        <w:sectPr w:rsidR="007476F0" w:rsidSect="00D3223A">
          <w:headerReference w:type="even" r:id="rId19"/>
          <w:headerReference w:type="default" r:id="rId20"/>
          <w:footerReference w:type="even" r:id="rId21"/>
          <w:footerReference w:type="default" r:id="rId22"/>
          <w:headerReference w:type="first" r:id="rId23"/>
          <w:footerReference w:type="first" r:id="rId24"/>
          <w:pgSz w:w="11906" w:h="16838" w:code="9"/>
          <w:pgMar w:top="1440" w:right="1440" w:bottom="1440" w:left="1170" w:header="720" w:footer="720" w:gutter="0"/>
          <w:cols w:space="720"/>
          <w:titlePg/>
          <w:docGrid w:linePitch="360"/>
        </w:sectPr>
      </w:pPr>
    </w:p>
    <w:p w14:paraId="68F50669" w14:textId="51704775" w:rsidR="00D45573" w:rsidRPr="006E1EB4" w:rsidRDefault="00D45573" w:rsidP="00A70F6F">
      <w:pPr>
        <w:pStyle w:val="IPPParagraphnumbering"/>
        <w:numPr>
          <w:ilvl w:val="0"/>
          <w:numId w:val="0"/>
        </w:numPr>
        <w:spacing w:after="0"/>
        <w:rPr>
          <w:szCs w:val="22"/>
        </w:rPr>
      </w:pPr>
      <w:r w:rsidRPr="006E1EB4">
        <w:rPr>
          <w:szCs w:val="22"/>
        </w:rPr>
        <w:lastRenderedPageBreak/>
        <w:t>Table</w:t>
      </w:r>
      <w:r w:rsidR="001E7621" w:rsidRPr="006E1EB4">
        <w:rPr>
          <w:szCs w:val="22"/>
        </w:rPr>
        <w:t xml:space="preserve"> 3</w:t>
      </w:r>
      <w:r w:rsidRPr="006E1EB4">
        <w:rPr>
          <w:szCs w:val="22"/>
        </w:rPr>
        <w:t>. Key result area and its corresponding recommendations</w:t>
      </w:r>
    </w:p>
    <w:tbl>
      <w:tblPr>
        <w:tblStyle w:val="TableGridLight"/>
        <w:tblW w:w="15390" w:type="dxa"/>
        <w:jc w:val="center"/>
        <w:tblLook w:val="04A0" w:firstRow="1" w:lastRow="0" w:firstColumn="1" w:lastColumn="0" w:noHBand="0" w:noVBand="1"/>
      </w:tblPr>
      <w:tblGrid>
        <w:gridCol w:w="1627"/>
        <w:gridCol w:w="5239"/>
        <w:gridCol w:w="3794"/>
        <w:gridCol w:w="1591"/>
        <w:gridCol w:w="1953"/>
        <w:gridCol w:w="1186"/>
      </w:tblGrid>
      <w:tr w:rsidR="00D9630E" w:rsidRPr="00AE12A1" w14:paraId="5082D6BF" w14:textId="32099617" w:rsidTr="00B76DE3">
        <w:trPr>
          <w:tblHeader/>
          <w:jc w:val="center"/>
        </w:trPr>
        <w:tc>
          <w:tcPr>
            <w:tcW w:w="0" w:type="dxa"/>
          </w:tcPr>
          <w:p w14:paraId="1B03DBF7" w14:textId="1ABDCA1B" w:rsidR="00DE4B38" w:rsidRPr="00AE12A1" w:rsidRDefault="00DE4B38" w:rsidP="001B549E">
            <w:pPr>
              <w:pStyle w:val="IPPParagraphnumbering"/>
              <w:numPr>
                <w:ilvl w:val="0"/>
                <w:numId w:val="0"/>
              </w:numPr>
              <w:spacing w:after="0"/>
              <w:rPr>
                <w:rFonts w:ascii="Times" w:eastAsia="Times New Roman" w:hAnsi="Times" w:cs="Times"/>
                <w:b/>
                <w:bCs/>
                <w:szCs w:val="22"/>
              </w:rPr>
            </w:pPr>
            <w:r w:rsidRPr="00AE12A1">
              <w:rPr>
                <w:rFonts w:ascii="Times" w:eastAsia="Times New Roman" w:hAnsi="Times" w:cs="Times"/>
                <w:szCs w:val="22"/>
              </w:rPr>
              <w:t>Key result area</w:t>
            </w:r>
          </w:p>
        </w:tc>
        <w:tc>
          <w:tcPr>
            <w:tcW w:w="5220" w:type="dxa"/>
          </w:tcPr>
          <w:p w14:paraId="7E1A42D5" w14:textId="3879A652" w:rsidR="00DE4B38" w:rsidRPr="00AE12A1" w:rsidRDefault="00DE4B38" w:rsidP="001B549E">
            <w:pPr>
              <w:pStyle w:val="IPPParagraphnumbering"/>
              <w:numPr>
                <w:ilvl w:val="0"/>
                <w:numId w:val="0"/>
              </w:numPr>
              <w:spacing w:after="0"/>
              <w:rPr>
                <w:rFonts w:ascii="Times" w:eastAsia="Times New Roman" w:hAnsi="Times" w:cs="Times"/>
                <w:b/>
                <w:bCs/>
                <w:szCs w:val="22"/>
              </w:rPr>
            </w:pPr>
            <w:r w:rsidRPr="00AE12A1">
              <w:rPr>
                <w:rFonts w:ascii="Times" w:eastAsia="Times New Roman" w:hAnsi="Times" w:cs="Times"/>
                <w:szCs w:val="22"/>
              </w:rPr>
              <w:t>Recommendations from desk study</w:t>
            </w:r>
          </w:p>
        </w:tc>
        <w:tc>
          <w:tcPr>
            <w:tcW w:w="3780" w:type="dxa"/>
          </w:tcPr>
          <w:p w14:paraId="5383E6A6" w14:textId="3C7025A9"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eastAsia="Times New Roman" w:hAnsi="Times" w:cs="Times"/>
                <w:szCs w:val="22"/>
              </w:rPr>
              <w:t xml:space="preserve">Concrete </w:t>
            </w:r>
            <w:r w:rsidR="0015616E" w:rsidRPr="00AE12A1">
              <w:rPr>
                <w:rFonts w:ascii="Times" w:eastAsia="Times New Roman" w:hAnsi="Times" w:cs="Times"/>
                <w:szCs w:val="22"/>
              </w:rPr>
              <w:t>activities</w:t>
            </w:r>
            <w:r w:rsidR="00B76DE3">
              <w:rPr>
                <w:rFonts w:ascii="Times" w:eastAsia="Times New Roman" w:hAnsi="Times" w:cs="Times"/>
                <w:szCs w:val="22"/>
              </w:rPr>
              <w:t xml:space="preserve"> to address recommendations and improve PCE</w:t>
            </w:r>
          </w:p>
        </w:tc>
        <w:tc>
          <w:tcPr>
            <w:tcW w:w="0" w:type="dxa"/>
          </w:tcPr>
          <w:p w14:paraId="61C575E9" w14:textId="0C00E195"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hAnsi="Times" w:cs="Times"/>
                <w:szCs w:val="22"/>
              </w:rPr>
              <w:t>Progress / Assets</w:t>
            </w:r>
          </w:p>
        </w:tc>
        <w:tc>
          <w:tcPr>
            <w:tcW w:w="0" w:type="dxa"/>
          </w:tcPr>
          <w:p w14:paraId="725A7F45" w14:textId="7BA3D5F8"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hAnsi="Times" w:cs="Times"/>
                <w:szCs w:val="22"/>
              </w:rPr>
              <w:t>Funding Source</w:t>
            </w:r>
          </w:p>
        </w:tc>
        <w:tc>
          <w:tcPr>
            <w:tcW w:w="0" w:type="dxa"/>
          </w:tcPr>
          <w:p w14:paraId="34CFB990" w14:textId="0413F1B2"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eastAsia="Times New Roman" w:hAnsi="Times" w:cs="Times"/>
                <w:szCs w:val="22"/>
              </w:rPr>
              <w:t>Timeline</w:t>
            </w:r>
          </w:p>
        </w:tc>
      </w:tr>
      <w:tr w:rsidR="00065C46" w:rsidRPr="00AE12A1" w14:paraId="746D8DC0" w14:textId="573BB190" w:rsidTr="000C18A6">
        <w:trPr>
          <w:trHeight w:val="965"/>
          <w:jc w:val="center"/>
        </w:trPr>
        <w:tc>
          <w:tcPr>
            <w:tcW w:w="1620" w:type="dxa"/>
            <w:vMerge w:val="restart"/>
          </w:tcPr>
          <w:p w14:paraId="4675307B" w14:textId="419A0D07" w:rsidR="00DE4B38" w:rsidRPr="00AE12A1" w:rsidRDefault="00DE4B38" w:rsidP="001B549E">
            <w:pPr>
              <w:pStyle w:val="IPPParagraphnumbering"/>
              <w:numPr>
                <w:ilvl w:val="0"/>
                <w:numId w:val="0"/>
              </w:numPr>
              <w:spacing w:after="0"/>
              <w:rPr>
                <w:rFonts w:ascii="Times" w:eastAsia="Times New Roman" w:hAnsi="Times" w:cs="Times"/>
                <w:b/>
                <w:bCs/>
                <w:szCs w:val="22"/>
              </w:rPr>
            </w:pPr>
            <w:r w:rsidRPr="00AE12A1">
              <w:rPr>
                <w:rFonts w:ascii="Times" w:eastAsia="Times New Roman" w:hAnsi="Times" w:cs="Times"/>
                <w:szCs w:val="22"/>
              </w:rPr>
              <w:t>Awareness and understanding</w:t>
            </w:r>
          </w:p>
          <w:p w14:paraId="023A851D" w14:textId="77777777" w:rsidR="00DE4B38" w:rsidRPr="00AE12A1" w:rsidRDefault="00DE4B38" w:rsidP="001B549E">
            <w:pPr>
              <w:pStyle w:val="IPPParagraphnumbering"/>
              <w:numPr>
                <w:ilvl w:val="0"/>
                <w:numId w:val="0"/>
              </w:numPr>
              <w:spacing w:after="0"/>
              <w:rPr>
                <w:rFonts w:ascii="Times" w:hAnsi="Times" w:cs="Times"/>
                <w:b/>
                <w:bCs/>
                <w:szCs w:val="22"/>
              </w:rPr>
            </w:pPr>
          </w:p>
          <w:p w14:paraId="6E6CE5BB" w14:textId="62B639AF"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 xml:space="preserve">Countries, donors, and development organizations are aware of the PCE and understand the benefits arising from its application. </w:t>
            </w:r>
          </w:p>
          <w:p w14:paraId="18D1C962" w14:textId="697FECAB"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val="restart"/>
          </w:tcPr>
          <w:p w14:paraId="43278141" w14:textId="304A967F"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Explain the benefits of PCE for capacity development.</w:t>
            </w:r>
          </w:p>
          <w:p w14:paraId="5D966D7C"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Clarifying the intended audience/users of the PCE, determining the best use of PCE for developing vs developed countries.</w:t>
            </w:r>
          </w:p>
          <w:p w14:paraId="6EF303D6"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Communicate the value added by the PCE. </w:t>
            </w:r>
          </w:p>
          <w:p w14:paraId="7BE7281E"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Consider sharing tangible results via tracked indicators. </w:t>
            </w:r>
          </w:p>
          <w:p w14:paraId="6DFAFF02"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Consider approaches for increasing buy-in from existing and potential donors, governments, and trading partners. For example, through publication of a database of PCE results; by involving donors in the early stages of PCE; and developing detailed findings reports that connect to the values of local governments. </w:t>
            </w:r>
          </w:p>
          <w:p w14:paraId="5115D029" w14:textId="77777777" w:rsidR="00DE4B38" w:rsidRPr="00AE12A1" w:rsidRDefault="00DE4B38" w:rsidP="001B549E">
            <w:pPr>
              <w:pStyle w:val="IPPParagraphnumbering"/>
              <w:numPr>
                <w:ilvl w:val="0"/>
                <w:numId w:val="12"/>
              </w:numPr>
              <w:spacing w:after="0"/>
              <w:rPr>
                <w:rFonts w:ascii="Times" w:hAnsi="Times" w:cs="Times"/>
                <w:szCs w:val="22"/>
              </w:rPr>
            </w:pPr>
            <w:r w:rsidRPr="00AE12A1" w:rsidDel="00B75276">
              <w:rPr>
                <w:rFonts w:ascii="Times" w:hAnsi="Times" w:cs="Times"/>
                <w:szCs w:val="22"/>
              </w:rPr>
              <w:t>Share additional information about the modules, processes, approaches, and questions to enhance accessibility and benefits</w:t>
            </w:r>
            <w:r w:rsidRPr="00AE12A1">
              <w:rPr>
                <w:rFonts w:ascii="Times" w:hAnsi="Times" w:cs="Times"/>
                <w:szCs w:val="22"/>
              </w:rPr>
              <w:t>.</w:t>
            </w:r>
          </w:p>
          <w:p w14:paraId="4CDF860B"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Explain the role and value of facilitators.</w:t>
            </w:r>
          </w:p>
          <w:p w14:paraId="362622F9" w14:textId="77777777" w:rsidR="00DE4B38" w:rsidRPr="00AE12A1" w:rsidRDefault="00DE4B38" w:rsidP="001B549E">
            <w:pPr>
              <w:pStyle w:val="IPPParagraphnumbering"/>
              <w:numPr>
                <w:ilvl w:val="0"/>
                <w:numId w:val="12"/>
              </w:numPr>
              <w:spacing w:after="0"/>
              <w:rPr>
                <w:rFonts w:ascii="Times" w:hAnsi="Times" w:cs="Times"/>
                <w:szCs w:val="22"/>
              </w:rPr>
            </w:pPr>
            <w:r w:rsidRPr="00AE12A1" w:rsidDel="003E45D3">
              <w:rPr>
                <w:rFonts w:ascii="Times" w:hAnsi="Times" w:cs="Times"/>
                <w:szCs w:val="22"/>
              </w:rPr>
              <w:t>Clarify that facilitators are there to help navigate the process, not as examiners</w:t>
            </w:r>
          </w:p>
          <w:p w14:paraId="70186F2A"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Clarify where facilitators come from and how they can be matched with countries culturally and linguistically</w:t>
            </w:r>
          </w:p>
        </w:tc>
        <w:tc>
          <w:tcPr>
            <w:tcW w:w="3780" w:type="dxa"/>
          </w:tcPr>
          <w:p w14:paraId="645939A1" w14:textId="280EB70F"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Update the PCE webpage with relevant info &amp; scope of each module (cross-cutting to recommendations 1-9).</w:t>
            </w:r>
          </w:p>
        </w:tc>
        <w:tc>
          <w:tcPr>
            <w:tcW w:w="0" w:type="dxa"/>
          </w:tcPr>
          <w:p w14:paraId="24776B44" w14:textId="145F2AF8"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PCE webpage updated before CPM-18.</w:t>
            </w:r>
          </w:p>
        </w:tc>
        <w:tc>
          <w:tcPr>
            <w:tcW w:w="0" w:type="dxa"/>
          </w:tcPr>
          <w:p w14:paraId="4355B301" w14:textId="22001827"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78AB6283" w14:textId="77777777" w:rsidR="00DE4B38" w:rsidRPr="00AE12A1" w:rsidRDefault="00DE4B38" w:rsidP="001B549E">
            <w:pPr>
              <w:rPr>
                <w:rFonts w:ascii="Times" w:hAnsi="Times" w:cs="Times"/>
                <w:szCs w:val="22"/>
              </w:rPr>
            </w:pPr>
            <w:r w:rsidRPr="00AE12A1">
              <w:rPr>
                <w:rFonts w:ascii="Times" w:hAnsi="Times" w:cs="Times"/>
                <w:szCs w:val="22"/>
              </w:rPr>
              <w:t>2024 Q1</w:t>
            </w:r>
          </w:p>
          <w:p w14:paraId="61EF2D54" w14:textId="77777777" w:rsidR="00DE4B38" w:rsidRPr="00AE12A1" w:rsidRDefault="00DE4B38" w:rsidP="001B549E">
            <w:pPr>
              <w:rPr>
                <w:rFonts w:ascii="Times" w:hAnsi="Times" w:cs="Times"/>
                <w:szCs w:val="22"/>
              </w:rPr>
            </w:pPr>
            <w:r w:rsidRPr="00AE12A1">
              <w:rPr>
                <w:rFonts w:ascii="Times" w:hAnsi="Times" w:cs="Times"/>
                <w:szCs w:val="22"/>
              </w:rPr>
              <w:t>2025 Q1</w:t>
            </w:r>
          </w:p>
          <w:p w14:paraId="2817BB9A" w14:textId="2FAAE587"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2026 Q1</w:t>
            </w:r>
          </w:p>
        </w:tc>
      </w:tr>
      <w:tr w:rsidR="00D9630E" w:rsidRPr="00AE12A1" w14:paraId="46EE17A9" w14:textId="51C93C94" w:rsidTr="000C18A6">
        <w:trPr>
          <w:trHeight w:val="962"/>
          <w:jc w:val="center"/>
        </w:trPr>
        <w:tc>
          <w:tcPr>
            <w:tcW w:w="0" w:type="dxa"/>
            <w:vMerge/>
          </w:tcPr>
          <w:p w14:paraId="5BCB13D3"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415F2D22"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7B5354EE" w14:textId="5791938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Conduct a SPS gap analysis of National Phytosanitary Capacity Development Strategies (recommendations 4, 5).</w:t>
            </w:r>
          </w:p>
        </w:tc>
        <w:tc>
          <w:tcPr>
            <w:tcW w:w="0" w:type="dxa"/>
          </w:tcPr>
          <w:p w14:paraId="7C61283C" w14:textId="2643B914"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Consultant produced draft final document, under revision.</w:t>
            </w:r>
          </w:p>
        </w:tc>
        <w:tc>
          <w:tcPr>
            <w:tcW w:w="0" w:type="dxa"/>
          </w:tcPr>
          <w:p w14:paraId="49CAF4CE" w14:textId="0F200D5C"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3025D6C1" w14:textId="5BAD34C6"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Q3 to Q4 in 2024</w:t>
            </w:r>
          </w:p>
        </w:tc>
      </w:tr>
      <w:tr w:rsidR="00D9630E" w:rsidRPr="00AE12A1" w14:paraId="010BC41D" w14:textId="0B819E26" w:rsidTr="000C18A6">
        <w:trPr>
          <w:trHeight w:val="962"/>
          <w:jc w:val="center"/>
        </w:trPr>
        <w:tc>
          <w:tcPr>
            <w:tcW w:w="0" w:type="dxa"/>
            <w:vMerge/>
          </w:tcPr>
          <w:p w14:paraId="370E8922"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46E2C6AC"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4C7677F5" w14:textId="06D5EDD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Develop PCE communication plan (recommendations 3, 7, 8, 9).</w:t>
            </w:r>
          </w:p>
          <w:p w14:paraId="04EC8736" w14:textId="77777777" w:rsidR="00DE4B38" w:rsidRPr="00AE12A1" w:rsidRDefault="00DE4B38" w:rsidP="001149AB">
            <w:pPr>
              <w:jc w:val="center"/>
              <w:rPr>
                <w:rFonts w:ascii="Times" w:hAnsi="Times" w:cs="Times"/>
                <w:szCs w:val="22"/>
              </w:rPr>
            </w:pPr>
          </w:p>
        </w:tc>
        <w:tc>
          <w:tcPr>
            <w:tcW w:w="0" w:type="dxa"/>
          </w:tcPr>
          <w:p w14:paraId="3E0E2302" w14:textId="58127A11"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IFU communication strategy regularly updated</w:t>
            </w:r>
            <w:r w:rsidR="009E6F35" w:rsidRPr="00AE12A1">
              <w:rPr>
                <w:rFonts w:ascii="Times" w:hAnsi="Times" w:cs="Times"/>
                <w:szCs w:val="22"/>
              </w:rPr>
              <w:t>, including the preparation of a video</w:t>
            </w:r>
          </w:p>
        </w:tc>
        <w:tc>
          <w:tcPr>
            <w:tcW w:w="0" w:type="dxa"/>
          </w:tcPr>
          <w:p w14:paraId="6F3005A2" w14:textId="4D2E9D7B"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069CC2BE" w14:textId="105C62FC"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Q2 to Q4 in 2024</w:t>
            </w:r>
          </w:p>
        </w:tc>
      </w:tr>
      <w:tr w:rsidR="00D9630E" w:rsidRPr="00AE12A1" w14:paraId="2B1158F3" w14:textId="6A69BCE4" w:rsidTr="000C18A6">
        <w:trPr>
          <w:trHeight w:val="962"/>
          <w:jc w:val="center"/>
        </w:trPr>
        <w:tc>
          <w:tcPr>
            <w:tcW w:w="0" w:type="dxa"/>
            <w:vMerge/>
          </w:tcPr>
          <w:p w14:paraId="3B6F476E"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18E804DF"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180FA3F3" w14:textId="57E1CF04"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Showcase a hypothetical example output from a PCE publicly available (requested by the Bureau).</w:t>
            </w:r>
          </w:p>
        </w:tc>
        <w:tc>
          <w:tcPr>
            <w:tcW w:w="0" w:type="dxa"/>
          </w:tcPr>
          <w:p w14:paraId="650C9760" w14:textId="419CBE64"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To be started</w:t>
            </w:r>
          </w:p>
        </w:tc>
        <w:tc>
          <w:tcPr>
            <w:tcW w:w="0" w:type="dxa"/>
          </w:tcPr>
          <w:p w14:paraId="006FB991" w14:textId="3540CFBB"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TBD</w:t>
            </w:r>
          </w:p>
        </w:tc>
        <w:tc>
          <w:tcPr>
            <w:tcW w:w="0" w:type="dxa"/>
          </w:tcPr>
          <w:p w14:paraId="75805469" w14:textId="126E04C4"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Q3 in 2024 to Q2 in 2025</w:t>
            </w:r>
          </w:p>
        </w:tc>
      </w:tr>
      <w:tr w:rsidR="00065C46" w:rsidRPr="00AE12A1" w14:paraId="0A7EF5A4" w14:textId="068D1115" w:rsidTr="000C18A6">
        <w:trPr>
          <w:trHeight w:val="256"/>
          <w:jc w:val="center"/>
        </w:trPr>
        <w:tc>
          <w:tcPr>
            <w:tcW w:w="1620" w:type="dxa"/>
            <w:vMerge w:val="restart"/>
          </w:tcPr>
          <w:p w14:paraId="29E3E361" w14:textId="2EFC5EC1"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eastAsia="Times New Roman" w:hAnsi="Times" w:cs="Times"/>
                <w:szCs w:val="22"/>
              </w:rPr>
              <w:t>Sustainable funding</w:t>
            </w:r>
          </w:p>
          <w:p w14:paraId="78D2AC4D" w14:textId="77777777" w:rsidR="00DE4B38" w:rsidRPr="00AE12A1" w:rsidRDefault="00DE4B38" w:rsidP="001B549E">
            <w:pPr>
              <w:pStyle w:val="IPPParagraphnumbering"/>
              <w:numPr>
                <w:ilvl w:val="0"/>
                <w:numId w:val="0"/>
              </w:numPr>
              <w:spacing w:after="0"/>
              <w:rPr>
                <w:rFonts w:ascii="Times" w:eastAsia="Times New Roman" w:hAnsi="Times" w:cs="Times"/>
                <w:b/>
                <w:bCs/>
                <w:szCs w:val="22"/>
              </w:rPr>
            </w:pPr>
          </w:p>
          <w:p w14:paraId="2696D7FB" w14:textId="4528F35E"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hAnsi="Times" w:cs="Times"/>
                <w:szCs w:val="22"/>
              </w:rPr>
              <w:t xml:space="preserve">Long-term sustainable funding is in place to support </w:t>
            </w:r>
            <w:r w:rsidRPr="00AE12A1">
              <w:rPr>
                <w:rFonts w:ascii="Times" w:hAnsi="Times" w:cs="Times"/>
                <w:szCs w:val="22"/>
              </w:rPr>
              <w:lastRenderedPageBreak/>
              <w:t>the maintenance and administration of the PCE, and resources are mobilized to support the application of the PCE;</w:t>
            </w:r>
          </w:p>
        </w:tc>
        <w:tc>
          <w:tcPr>
            <w:tcW w:w="5220" w:type="dxa"/>
            <w:vMerge w:val="restart"/>
          </w:tcPr>
          <w:p w14:paraId="03E88690" w14:textId="15473955"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lastRenderedPageBreak/>
              <w:t>Provide more transparency around the costs of the PCE, including where the funding comes from, how it will be used, and the tangible outcomes related to the expenses.</w:t>
            </w:r>
          </w:p>
        </w:tc>
        <w:tc>
          <w:tcPr>
            <w:tcW w:w="3780" w:type="dxa"/>
          </w:tcPr>
          <w:p w14:paraId="68A46788" w14:textId="0CCFBB6D" w:rsidR="00DE4B38" w:rsidRPr="00AE12A1" w:rsidRDefault="00DE4B38" w:rsidP="001149AB">
            <w:pPr>
              <w:pStyle w:val="IPPParagraphnumbering"/>
              <w:numPr>
                <w:ilvl w:val="0"/>
                <w:numId w:val="0"/>
              </w:numPr>
              <w:spacing w:after="0"/>
              <w:rPr>
                <w:rFonts w:ascii="Times" w:hAnsi="Times" w:cs="Times"/>
                <w:szCs w:val="22"/>
              </w:rPr>
            </w:pPr>
            <w:r w:rsidRPr="00AE12A1">
              <w:rPr>
                <w:rFonts w:ascii="Times" w:hAnsi="Times" w:cs="Times"/>
                <w:szCs w:val="22"/>
              </w:rPr>
              <w:t>Share PCE cost structure info with IPPC governing bodies (recommendation 10).</w:t>
            </w:r>
          </w:p>
        </w:tc>
        <w:tc>
          <w:tcPr>
            <w:tcW w:w="0" w:type="dxa"/>
          </w:tcPr>
          <w:p w14:paraId="44540286" w14:textId="30F833C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Costs shared</w:t>
            </w:r>
            <w:r w:rsidR="002D3E9C" w:rsidRPr="00AE12A1">
              <w:rPr>
                <w:rFonts w:ascii="Times" w:hAnsi="Times" w:cs="Times"/>
                <w:szCs w:val="22"/>
              </w:rPr>
              <w:t xml:space="preserve"> with IC and Burey and</w:t>
            </w:r>
            <w:r w:rsidRPr="00AE12A1">
              <w:rPr>
                <w:rFonts w:ascii="Times" w:hAnsi="Times" w:cs="Times"/>
                <w:szCs w:val="22"/>
              </w:rPr>
              <w:t xml:space="preserve"> orally at CPM, more discussions scheduled.</w:t>
            </w:r>
          </w:p>
        </w:tc>
        <w:tc>
          <w:tcPr>
            <w:tcW w:w="0" w:type="dxa"/>
          </w:tcPr>
          <w:p w14:paraId="18ECB3BA" w14:textId="5CFCA329"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IPPC Regular budget / MDTF</w:t>
            </w:r>
          </w:p>
        </w:tc>
        <w:tc>
          <w:tcPr>
            <w:tcW w:w="0" w:type="dxa"/>
          </w:tcPr>
          <w:p w14:paraId="6CD507C0" w14:textId="630C3AF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Completed</w:t>
            </w:r>
          </w:p>
        </w:tc>
      </w:tr>
      <w:tr w:rsidR="00D9630E" w:rsidRPr="00AE12A1" w14:paraId="2A69684E" w14:textId="77EB5696" w:rsidTr="000C18A6">
        <w:trPr>
          <w:trHeight w:val="255"/>
          <w:jc w:val="center"/>
        </w:trPr>
        <w:tc>
          <w:tcPr>
            <w:tcW w:w="0" w:type="dxa"/>
            <w:vMerge/>
          </w:tcPr>
          <w:p w14:paraId="7B454ADE"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7D7CA933"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3274157F" w14:textId="1855F87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Develop a resource mobilization plan.</w:t>
            </w:r>
          </w:p>
        </w:tc>
        <w:tc>
          <w:tcPr>
            <w:tcW w:w="0" w:type="dxa"/>
          </w:tcPr>
          <w:p w14:paraId="29EB041E" w14:textId="3044D7BB"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Ongoing.</w:t>
            </w:r>
          </w:p>
        </w:tc>
        <w:tc>
          <w:tcPr>
            <w:tcW w:w="0" w:type="dxa"/>
          </w:tcPr>
          <w:p w14:paraId="37B79C40" w14:textId="5C14F8E6"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1A65A9DC" w14:textId="2B9D72D6"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Q1 to Q2 in 2025</w:t>
            </w:r>
          </w:p>
        </w:tc>
      </w:tr>
      <w:tr w:rsidR="00D9630E" w:rsidRPr="00AE12A1" w14:paraId="6EF0C3C1" w14:textId="466B48D2" w:rsidTr="000C18A6">
        <w:trPr>
          <w:trHeight w:val="255"/>
          <w:jc w:val="center"/>
        </w:trPr>
        <w:tc>
          <w:tcPr>
            <w:tcW w:w="0" w:type="dxa"/>
            <w:vMerge/>
          </w:tcPr>
          <w:p w14:paraId="28D33089"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2E7E924D"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48BF5370" w14:textId="352921EE"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Maintain PCE process, maximize access, and support strategy implementations (cross-cutting to all recommendations).</w:t>
            </w:r>
          </w:p>
        </w:tc>
        <w:tc>
          <w:tcPr>
            <w:tcW w:w="0" w:type="dxa"/>
          </w:tcPr>
          <w:p w14:paraId="2DB75BF0" w14:textId="1FC467F1" w:rsidR="00DE4B38" w:rsidRPr="00AE12A1" w:rsidRDefault="00DE4B38" w:rsidP="001B549E">
            <w:pPr>
              <w:pStyle w:val="IPPParagraphnumbering"/>
              <w:numPr>
                <w:ilvl w:val="0"/>
                <w:numId w:val="0"/>
              </w:numPr>
              <w:spacing w:after="0"/>
              <w:jc w:val="center"/>
              <w:rPr>
                <w:rFonts w:ascii="Times" w:hAnsi="Times" w:cs="Times"/>
                <w:szCs w:val="22"/>
              </w:rPr>
            </w:pPr>
            <w:r w:rsidRPr="00AE12A1">
              <w:rPr>
                <w:rFonts w:ascii="Times" w:hAnsi="Times" w:cs="Times"/>
                <w:szCs w:val="22"/>
              </w:rPr>
              <w:t>Ongoing.</w:t>
            </w:r>
          </w:p>
        </w:tc>
        <w:tc>
          <w:tcPr>
            <w:tcW w:w="0" w:type="dxa"/>
          </w:tcPr>
          <w:p w14:paraId="25B8D6EF" w14:textId="4CD445B1" w:rsidR="00DE4B38" w:rsidRPr="00AE12A1" w:rsidRDefault="00DE4B38" w:rsidP="001B549E">
            <w:pPr>
              <w:pStyle w:val="IPPParagraphnumbering"/>
              <w:numPr>
                <w:ilvl w:val="0"/>
                <w:numId w:val="0"/>
              </w:numPr>
              <w:spacing w:after="0"/>
              <w:jc w:val="center"/>
              <w:rPr>
                <w:rFonts w:ascii="Times" w:hAnsi="Times" w:cs="Times"/>
                <w:szCs w:val="22"/>
              </w:rPr>
            </w:pPr>
            <w:r w:rsidRPr="00AE12A1">
              <w:rPr>
                <w:rFonts w:ascii="Times" w:hAnsi="Times" w:cs="Times"/>
                <w:szCs w:val="22"/>
              </w:rPr>
              <w:t>GCP/GLO/949/EC</w:t>
            </w:r>
          </w:p>
        </w:tc>
        <w:tc>
          <w:tcPr>
            <w:tcW w:w="0" w:type="dxa"/>
          </w:tcPr>
          <w:p w14:paraId="1CD5732A" w14:textId="06827989" w:rsidR="00DE4B38" w:rsidRPr="00AE12A1" w:rsidRDefault="00DE4B38" w:rsidP="001B549E">
            <w:pPr>
              <w:pStyle w:val="IPPParagraphnumbering"/>
              <w:numPr>
                <w:ilvl w:val="0"/>
                <w:numId w:val="0"/>
              </w:numPr>
              <w:spacing w:after="0"/>
              <w:jc w:val="center"/>
              <w:rPr>
                <w:rFonts w:ascii="Times" w:hAnsi="Times" w:cs="Times"/>
                <w:szCs w:val="22"/>
              </w:rPr>
            </w:pPr>
            <w:r w:rsidRPr="00AE12A1">
              <w:rPr>
                <w:rFonts w:ascii="Times" w:hAnsi="Times" w:cs="Times"/>
                <w:szCs w:val="22"/>
              </w:rPr>
              <w:t>From Q3 in 2024 to Q2 in 2025</w:t>
            </w:r>
          </w:p>
        </w:tc>
      </w:tr>
      <w:tr w:rsidR="00D9630E" w:rsidRPr="00AE12A1" w14:paraId="6391DB64" w14:textId="303C4364" w:rsidTr="000C18A6">
        <w:trPr>
          <w:trHeight w:val="255"/>
          <w:jc w:val="center"/>
        </w:trPr>
        <w:tc>
          <w:tcPr>
            <w:tcW w:w="0" w:type="dxa"/>
            <w:vMerge/>
          </w:tcPr>
          <w:p w14:paraId="2592BBAD"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0EA6637F"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2043C965" w14:textId="06076C40"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Implement the PCE resource mobilization plan.</w:t>
            </w:r>
          </w:p>
        </w:tc>
        <w:tc>
          <w:tcPr>
            <w:tcW w:w="0" w:type="dxa"/>
          </w:tcPr>
          <w:p w14:paraId="10B7C3C7" w14:textId="77777777" w:rsidR="00DE4B38" w:rsidRPr="00AE12A1" w:rsidRDefault="00DE4B38" w:rsidP="001B549E">
            <w:pPr>
              <w:pStyle w:val="IPPParagraphnumbering"/>
              <w:numPr>
                <w:ilvl w:val="0"/>
                <w:numId w:val="0"/>
              </w:numPr>
              <w:spacing w:after="0"/>
              <w:rPr>
                <w:rFonts w:ascii="Times" w:hAnsi="Times" w:cs="Times"/>
                <w:szCs w:val="22"/>
              </w:rPr>
            </w:pPr>
          </w:p>
        </w:tc>
        <w:tc>
          <w:tcPr>
            <w:tcW w:w="0" w:type="dxa"/>
          </w:tcPr>
          <w:p w14:paraId="6FEA8852" w14:textId="33DA5C9F"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IPPC RB/MDTF</w:t>
            </w:r>
          </w:p>
        </w:tc>
        <w:tc>
          <w:tcPr>
            <w:tcW w:w="0" w:type="dxa"/>
          </w:tcPr>
          <w:p w14:paraId="12F20D53" w14:textId="5B20030C"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Q4 in 2024 to Q4 in 2026</w:t>
            </w:r>
          </w:p>
        </w:tc>
      </w:tr>
      <w:tr w:rsidR="00065C46" w:rsidRPr="00AE12A1" w14:paraId="19E55334" w14:textId="2CF18F44" w:rsidTr="000C18A6">
        <w:trPr>
          <w:trHeight w:val="746"/>
          <w:jc w:val="center"/>
        </w:trPr>
        <w:tc>
          <w:tcPr>
            <w:tcW w:w="1620" w:type="dxa"/>
            <w:vMerge w:val="restart"/>
          </w:tcPr>
          <w:p w14:paraId="43A25850" w14:textId="34DB666D" w:rsidR="00DE4B38" w:rsidRPr="00AE12A1" w:rsidRDefault="00DE4B38" w:rsidP="001B549E">
            <w:pPr>
              <w:pStyle w:val="IPPParagraphnumbering"/>
              <w:numPr>
                <w:ilvl w:val="0"/>
                <w:numId w:val="0"/>
              </w:numPr>
              <w:spacing w:after="0"/>
              <w:rPr>
                <w:rFonts w:ascii="Times" w:eastAsia="Times New Roman" w:hAnsi="Times" w:cs="Times"/>
                <w:b/>
                <w:bCs/>
                <w:szCs w:val="22"/>
              </w:rPr>
            </w:pPr>
            <w:r w:rsidRPr="00AE12A1">
              <w:rPr>
                <w:rFonts w:ascii="Times" w:eastAsia="Times New Roman" w:hAnsi="Times" w:cs="Times"/>
                <w:szCs w:val="22"/>
              </w:rPr>
              <w:t>Software and planform</w:t>
            </w:r>
          </w:p>
          <w:p w14:paraId="3132E604" w14:textId="77777777" w:rsidR="00DE4B38" w:rsidRPr="00AE12A1" w:rsidRDefault="00DE4B38" w:rsidP="001B549E">
            <w:pPr>
              <w:pStyle w:val="IPPParagraphnumbering"/>
              <w:numPr>
                <w:ilvl w:val="0"/>
                <w:numId w:val="0"/>
              </w:numPr>
              <w:spacing w:after="0"/>
              <w:rPr>
                <w:rFonts w:ascii="Times" w:eastAsia="Times New Roman" w:hAnsi="Times" w:cs="Times"/>
                <w:b/>
                <w:bCs/>
                <w:szCs w:val="22"/>
              </w:rPr>
            </w:pPr>
          </w:p>
          <w:p w14:paraId="3A87064D" w14:textId="6326C539"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hAnsi="Times" w:cs="Times"/>
                <w:szCs w:val="22"/>
              </w:rPr>
              <w:t>The PCE software and platform are reliable, effective and easy to use</w:t>
            </w:r>
          </w:p>
          <w:p w14:paraId="4622D6B2" w14:textId="17436F4F"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val="restart"/>
          </w:tcPr>
          <w:p w14:paraId="41933824" w14:textId="0DBEE5CA"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Update the online system and platform. </w:t>
            </w:r>
          </w:p>
          <w:p w14:paraId="47DD8FE0" w14:textId="77777777" w:rsidR="00DE4B38" w:rsidRPr="00AE12A1" w:rsidRDefault="00DE4B38" w:rsidP="001B549E">
            <w:pPr>
              <w:pStyle w:val="IPPParagraphnumbering"/>
              <w:numPr>
                <w:ilvl w:val="0"/>
                <w:numId w:val="0"/>
              </w:numPr>
              <w:spacing w:after="0"/>
              <w:ind w:left="360"/>
              <w:rPr>
                <w:rFonts w:ascii="Times" w:hAnsi="Times" w:cs="Times"/>
                <w:szCs w:val="22"/>
              </w:rPr>
            </w:pPr>
          </w:p>
        </w:tc>
        <w:tc>
          <w:tcPr>
            <w:tcW w:w="3780" w:type="dxa"/>
          </w:tcPr>
          <w:p w14:paraId="2F01BC91" w14:textId="65D07CFC" w:rsidR="00DE4B38" w:rsidRPr="00AE12A1" w:rsidRDefault="00DE4B38" w:rsidP="001149AB">
            <w:pPr>
              <w:pStyle w:val="IPPParagraphnumbering"/>
              <w:numPr>
                <w:ilvl w:val="0"/>
                <w:numId w:val="0"/>
              </w:numPr>
              <w:spacing w:after="0"/>
              <w:rPr>
                <w:rFonts w:ascii="Times" w:hAnsi="Times" w:cs="Times"/>
                <w:szCs w:val="22"/>
              </w:rPr>
            </w:pPr>
            <w:r w:rsidRPr="00AE12A1">
              <w:rPr>
                <w:rFonts w:ascii="Times" w:hAnsi="Times" w:cs="Times"/>
                <w:szCs w:val="22"/>
              </w:rPr>
              <w:t xml:space="preserve">Open competition for service provider to </w:t>
            </w:r>
            <w:proofErr w:type="spellStart"/>
            <w:r w:rsidRPr="00AE12A1">
              <w:rPr>
                <w:rFonts w:ascii="Times" w:hAnsi="Times" w:cs="Times"/>
                <w:szCs w:val="22"/>
              </w:rPr>
              <w:t>analyze</w:t>
            </w:r>
            <w:proofErr w:type="spellEnd"/>
            <w:r w:rsidRPr="00AE12A1">
              <w:rPr>
                <w:rFonts w:ascii="Times" w:hAnsi="Times" w:cs="Times"/>
                <w:szCs w:val="22"/>
              </w:rPr>
              <w:t xml:space="preserve"> migration of PCE system to UNICC.</w:t>
            </w:r>
          </w:p>
        </w:tc>
        <w:tc>
          <w:tcPr>
            <w:tcW w:w="0" w:type="dxa"/>
          </w:tcPr>
          <w:p w14:paraId="1FD9ACB4" w14:textId="17EF60E6"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Quotation requested.</w:t>
            </w:r>
          </w:p>
        </w:tc>
        <w:tc>
          <w:tcPr>
            <w:tcW w:w="0" w:type="dxa"/>
          </w:tcPr>
          <w:p w14:paraId="7F45FA8D" w14:textId="55651106"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TBD</w:t>
            </w:r>
          </w:p>
        </w:tc>
        <w:tc>
          <w:tcPr>
            <w:tcW w:w="0" w:type="dxa"/>
          </w:tcPr>
          <w:p w14:paraId="4A11F00E" w14:textId="214AF93C"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Q4 in 2024</w:t>
            </w:r>
          </w:p>
        </w:tc>
      </w:tr>
      <w:tr w:rsidR="00D9630E" w:rsidRPr="00AE12A1" w14:paraId="1B2A2F01" w14:textId="028462D2" w:rsidTr="000C18A6">
        <w:trPr>
          <w:trHeight w:val="443"/>
          <w:jc w:val="center"/>
        </w:trPr>
        <w:tc>
          <w:tcPr>
            <w:tcW w:w="0" w:type="dxa"/>
            <w:vMerge/>
          </w:tcPr>
          <w:p w14:paraId="5939CBA8"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4E91661C"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3B071E82" w14:textId="0A57B00F"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Migrate the PCE online system to UNICC (subject to completion of previous step).</w:t>
            </w:r>
          </w:p>
        </w:tc>
        <w:tc>
          <w:tcPr>
            <w:tcW w:w="0" w:type="dxa"/>
          </w:tcPr>
          <w:p w14:paraId="2D257CD7" w14:textId="77777777" w:rsidR="00DE4B38" w:rsidRPr="00AE12A1" w:rsidRDefault="00DE4B38" w:rsidP="001B549E">
            <w:pPr>
              <w:pStyle w:val="IPPParagraphnumbering"/>
              <w:numPr>
                <w:ilvl w:val="0"/>
                <w:numId w:val="0"/>
              </w:numPr>
              <w:spacing w:after="0"/>
              <w:rPr>
                <w:rFonts w:ascii="Times" w:hAnsi="Times" w:cs="Times"/>
                <w:szCs w:val="22"/>
              </w:rPr>
            </w:pPr>
          </w:p>
        </w:tc>
        <w:tc>
          <w:tcPr>
            <w:tcW w:w="0" w:type="dxa"/>
          </w:tcPr>
          <w:p w14:paraId="4846989E" w14:textId="06C37F4B"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TBD</w:t>
            </w:r>
          </w:p>
        </w:tc>
        <w:tc>
          <w:tcPr>
            <w:tcW w:w="0" w:type="dxa"/>
          </w:tcPr>
          <w:p w14:paraId="2BCFCBC3" w14:textId="14F70FF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TBD</w:t>
            </w:r>
          </w:p>
        </w:tc>
      </w:tr>
      <w:tr w:rsidR="00065C46" w:rsidRPr="00AE12A1" w14:paraId="2B9078BC" w14:textId="3F94C0F2" w:rsidTr="000C18A6">
        <w:trPr>
          <w:trHeight w:val="771"/>
          <w:jc w:val="center"/>
        </w:trPr>
        <w:tc>
          <w:tcPr>
            <w:tcW w:w="1620" w:type="dxa"/>
            <w:vMerge w:val="restart"/>
          </w:tcPr>
          <w:p w14:paraId="0DB5A8AB" w14:textId="24804865"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eastAsia="Times New Roman" w:hAnsi="Times" w:cs="Times"/>
                <w:szCs w:val="22"/>
              </w:rPr>
              <w:t>Revision and updates</w:t>
            </w:r>
          </w:p>
          <w:p w14:paraId="75F0B795" w14:textId="77777777" w:rsidR="00DE4B38" w:rsidRPr="00AE12A1" w:rsidRDefault="00DE4B38" w:rsidP="001B549E">
            <w:pPr>
              <w:pStyle w:val="IPPParagraphnumbering"/>
              <w:numPr>
                <w:ilvl w:val="0"/>
                <w:numId w:val="0"/>
              </w:numPr>
              <w:spacing w:after="0"/>
              <w:rPr>
                <w:rFonts w:ascii="Times" w:eastAsia="Times New Roman" w:hAnsi="Times" w:cs="Times"/>
                <w:b/>
                <w:bCs/>
                <w:szCs w:val="22"/>
              </w:rPr>
            </w:pPr>
          </w:p>
          <w:p w14:paraId="0D145322" w14:textId="2EBFC7C4"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hAnsi="Times" w:cs="Times"/>
                <w:szCs w:val="22"/>
              </w:rPr>
              <w:t xml:space="preserve">The PCE Tool is revised and updated regularly, and new modules and strategic planning tools are added as needed (e.g. </w:t>
            </w:r>
            <w:r w:rsidRPr="00AE12A1">
              <w:rPr>
                <w:rFonts w:ascii="Times" w:hAnsi="Times" w:cs="Times"/>
                <w:szCs w:val="22"/>
              </w:rPr>
              <w:lastRenderedPageBreak/>
              <w:t xml:space="preserve">environmental module, implementation follow up tool); </w:t>
            </w:r>
          </w:p>
        </w:tc>
        <w:tc>
          <w:tcPr>
            <w:tcW w:w="5220" w:type="dxa"/>
            <w:vMerge w:val="restart"/>
          </w:tcPr>
          <w:p w14:paraId="5FC5FCDE" w14:textId="722A7075"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lastRenderedPageBreak/>
              <w:t>Modernize and update tools and templates</w:t>
            </w:r>
          </w:p>
          <w:p w14:paraId="4982AF5C"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Convene facilitators to review all modules and questionnaires </w:t>
            </w:r>
            <w:proofErr w:type="gramStart"/>
            <w:r w:rsidRPr="00AE12A1">
              <w:rPr>
                <w:rFonts w:ascii="Times" w:hAnsi="Times" w:cs="Times"/>
                <w:szCs w:val="22"/>
              </w:rPr>
              <w:t>in order to</w:t>
            </w:r>
            <w:proofErr w:type="gramEnd"/>
            <w:r w:rsidRPr="00AE12A1">
              <w:rPr>
                <w:rFonts w:ascii="Times" w:hAnsi="Times" w:cs="Times"/>
                <w:szCs w:val="22"/>
              </w:rPr>
              <w:t xml:space="preserve"> update, clarify, and streamline the modules.</w:t>
            </w:r>
          </w:p>
          <w:p w14:paraId="358E26AD"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Consider alternative formats of PCE (financial commitment, extensiveness of modules, length of process, inclusion of facilitators) to increase access and uptake.</w:t>
            </w:r>
          </w:p>
          <w:p w14:paraId="296E94EA"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Consider including a comprehensive training session for key NPPO staff and stakeholders prior to starting the PCE process. Develop criteria and requirements for selecting national PCE coordinators</w:t>
            </w:r>
          </w:p>
          <w:p w14:paraId="12539539" w14:textId="77777777" w:rsidR="00DE4B38" w:rsidRPr="00AE12A1" w:rsidRDefault="00DE4B38" w:rsidP="001B549E">
            <w:pPr>
              <w:pStyle w:val="IPPParagraphnumbering"/>
              <w:numPr>
                <w:ilvl w:val="0"/>
                <w:numId w:val="12"/>
              </w:numPr>
              <w:spacing w:after="0"/>
              <w:rPr>
                <w:rFonts w:ascii="Times" w:eastAsia="Times New Roman" w:hAnsi="Times" w:cs="Times"/>
                <w:szCs w:val="22"/>
              </w:rPr>
            </w:pPr>
            <w:r w:rsidRPr="00AE12A1">
              <w:rPr>
                <w:rFonts w:ascii="Times" w:eastAsia="Times New Roman" w:hAnsi="Times" w:cs="Times"/>
                <w:szCs w:val="22"/>
              </w:rPr>
              <w:lastRenderedPageBreak/>
              <w:t>Devise a mechanism for providing additional support to NPPOs after the development of final outputs. Particularly consider supporting NPPOs with linking to and finding sources of funding</w:t>
            </w:r>
            <w:r w:rsidRPr="00AE12A1">
              <w:rPr>
                <w:rFonts w:ascii="Times" w:hAnsi="Times" w:cs="Times"/>
                <w:szCs w:val="22"/>
              </w:rPr>
              <w:t>.</w:t>
            </w:r>
          </w:p>
        </w:tc>
        <w:tc>
          <w:tcPr>
            <w:tcW w:w="3780" w:type="dxa"/>
          </w:tcPr>
          <w:p w14:paraId="73B56D9F" w14:textId="530E72DF"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lastRenderedPageBreak/>
              <w:t>Develop a questionnaire for PCE facilitators and national coordinators to gather ideas to improve the modules (recommendations 12-16).</w:t>
            </w:r>
          </w:p>
        </w:tc>
        <w:tc>
          <w:tcPr>
            <w:tcW w:w="0" w:type="dxa"/>
          </w:tcPr>
          <w:p w14:paraId="29B3F9A0" w14:textId="0EA16775"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IFU staff trained as PCE facilitators.</w:t>
            </w:r>
          </w:p>
        </w:tc>
        <w:tc>
          <w:tcPr>
            <w:tcW w:w="0" w:type="dxa"/>
          </w:tcPr>
          <w:p w14:paraId="2D5657BD" w14:textId="610AB9DC"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48BAE9BE" w14:textId="73891C4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Q4 in 2024 to Q1 in 2025</w:t>
            </w:r>
          </w:p>
        </w:tc>
      </w:tr>
      <w:tr w:rsidR="00D9630E" w:rsidRPr="00AE12A1" w14:paraId="7927CAA9" w14:textId="20D778D1" w:rsidTr="000C18A6">
        <w:trPr>
          <w:trHeight w:val="770"/>
          <w:jc w:val="center"/>
        </w:trPr>
        <w:tc>
          <w:tcPr>
            <w:tcW w:w="0" w:type="dxa"/>
            <w:vMerge/>
          </w:tcPr>
          <w:p w14:paraId="25E9EAA7"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1E604285"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6DE4AF59" w14:textId="6C59C494"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Conduct a workshop with facilitators &amp; coordinators to provide guidance on PCE tool improvement.</w:t>
            </w:r>
          </w:p>
        </w:tc>
        <w:tc>
          <w:tcPr>
            <w:tcW w:w="0" w:type="dxa"/>
          </w:tcPr>
          <w:p w14:paraId="350BA52E" w14:textId="50C08D9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To be started</w:t>
            </w:r>
          </w:p>
        </w:tc>
        <w:tc>
          <w:tcPr>
            <w:tcW w:w="0" w:type="dxa"/>
          </w:tcPr>
          <w:p w14:paraId="5CE0C242" w14:textId="060430CC"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05429B4F" w14:textId="69D0C744"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Q2 in 2025</w:t>
            </w:r>
          </w:p>
        </w:tc>
      </w:tr>
      <w:tr w:rsidR="00D9630E" w:rsidRPr="00AE12A1" w14:paraId="60473EF4" w14:textId="2EFF00F0" w:rsidTr="000C18A6">
        <w:trPr>
          <w:trHeight w:val="770"/>
          <w:jc w:val="center"/>
        </w:trPr>
        <w:tc>
          <w:tcPr>
            <w:tcW w:w="0" w:type="dxa"/>
            <w:vMerge/>
          </w:tcPr>
          <w:p w14:paraId="0696B3CD"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69CB097F"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2D38349D" w14:textId="4AD74D5D"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Conduct a study on gender integration into the PCE (recommendation from ROM review).</w:t>
            </w:r>
          </w:p>
        </w:tc>
        <w:tc>
          <w:tcPr>
            <w:tcW w:w="0" w:type="dxa"/>
          </w:tcPr>
          <w:p w14:paraId="2F986B46" w14:textId="272C0F1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 xml:space="preserve">Agreement with FAO Gender Team </w:t>
            </w:r>
            <w:proofErr w:type="gramStart"/>
            <w:r w:rsidRPr="00AE12A1">
              <w:rPr>
                <w:rFonts w:ascii="Times" w:hAnsi="Times" w:cs="Times"/>
                <w:szCs w:val="22"/>
              </w:rPr>
              <w:t>established,</w:t>
            </w:r>
            <w:proofErr w:type="gramEnd"/>
            <w:r w:rsidRPr="00AE12A1">
              <w:rPr>
                <w:rFonts w:ascii="Times" w:hAnsi="Times" w:cs="Times"/>
                <w:szCs w:val="22"/>
              </w:rPr>
              <w:t xml:space="preserve"> ongoing work.</w:t>
            </w:r>
          </w:p>
        </w:tc>
        <w:tc>
          <w:tcPr>
            <w:tcW w:w="0" w:type="dxa"/>
          </w:tcPr>
          <w:p w14:paraId="699C01D1" w14:textId="604B20DF"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07D3B276" w14:textId="3D38E41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Q4 in 2024</w:t>
            </w:r>
          </w:p>
        </w:tc>
      </w:tr>
      <w:tr w:rsidR="00D9630E" w:rsidRPr="00AE12A1" w14:paraId="2E9C92C6" w14:textId="53C2F602" w:rsidTr="000C18A6">
        <w:trPr>
          <w:trHeight w:val="770"/>
          <w:jc w:val="center"/>
        </w:trPr>
        <w:tc>
          <w:tcPr>
            <w:tcW w:w="0" w:type="dxa"/>
            <w:vMerge/>
          </w:tcPr>
          <w:p w14:paraId="28470144"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2573D3F5"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6797336C" w14:textId="16A8D0A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Prepare pre-PCE training plan for national coordinators and NPPO staff (recommendation 15).</w:t>
            </w:r>
          </w:p>
        </w:tc>
        <w:tc>
          <w:tcPr>
            <w:tcW w:w="0" w:type="dxa"/>
          </w:tcPr>
          <w:p w14:paraId="4690D347" w14:textId="612A5106"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Pre-PCE virtual sessions organized for 2024 PCEs.</w:t>
            </w:r>
          </w:p>
        </w:tc>
        <w:tc>
          <w:tcPr>
            <w:tcW w:w="0" w:type="dxa"/>
          </w:tcPr>
          <w:p w14:paraId="4E71B74D" w14:textId="2F732E4B"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TBD</w:t>
            </w:r>
          </w:p>
        </w:tc>
        <w:tc>
          <w:tcPr>
            <w:tcW w:w="0" w:type="dxa"/>
          </w:tcPr>
          <w:p w14:paraId="796487DC" w14:textId="70C3C849"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Q3 to Q4 in 2024</w:t>
            </w:r>
          </w:p>
        </w:tc>
      </w:tr>
      <w:tr w:rsidR="00065C46" w:rsidRPr="00AE12A1" w14:paraId="689405A0" w14:textId="5D5BA318" w:rsidTr="000C18A6">
        <w:trPr>
          <w:trHeight w:val="642"/>
          <w:jc w:val="center"/>
        </w:trPr>
        <w:tc>
          <w:tcPr>
            <w:tcW w:w="1620" w:type="dxa"/>
            <w:vMerge w:val="restart"/>
          </w:tcPr>
          <w:p w14:paraId="607493A5" w14:textId="068AD6F3" w:rsidR="00DE4B38" w:rsidRPr="00AE12A1" w:rsidRDefault="00DE4B38" w:rsidP="001B549E">
            <w:pPr>
              <w:pStyle w:val="IPPParagraphnumbering"/>
              <w:numPr>
                <w:ilvl w:val="0"/>
                <w:numId w:val="0"/>
              </w:numPr>
              <w:spacing w:after="0"/>
              <w:rPr>
                <w:rFonts w:ascii="Times" w:eastAsia="Times New Roman" w:hAnsi="Times" w:cs="Times"/>
                <w:b/>
                <w:bCs/>
                <w:szCs w:val="22"/>
              </w:rPr>
            </w:pPr>
            <w:r w:rsidRPr="00AE12A1">
              <w:rPr>
                <w:rFonts w:ascii="Times" w:eastAsia="Times New Roman" w:hAnsi="Times" w:cs="Times"/>
                <w:szCs w:val="22"/>
              </w:rPr>
              <w:t>Expertise</w:t>
            </w:r>
          </w:p>
          <w:p w14:paraId="77E1D16F" w14:textId="77777777" w:rsidR="00DE4B38" w:rsidRPr="00AE12A1" w:rsidRDefault="00DE4B38" w:rsidP="001B549E">
            <w:pPr>
              <w:pStyle w:val="IPPParagraphnumbering"/>
              <w:numPr>
                <w:ilvl w:val="0"/>
                <w:numId w:val="0"/>
              </w:numPr>
              <w:spacing w:after="0"/>
              <w:rPr>
                <w:rFonts w:ascii="Times" w:hAnsi="Times" w:cs="Times"/>
                <w:b/>
                <w:bCs/>
                <w:szCs w:val="22"/>
              </w:rPr>
            </w:pPr>
          </w:p>
          <w:p w14:paraId="73601402" w14:textId="7DD6A22C"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A strong network of phytosanitary expertise is available to facilitate the application of PCEs</w:t>
            </w:r>
          </w:p>
          <w:p w14:paraId="7351087D" w14:textId="5587F755" w:rsidR="00DE4B38" w:rsidRPr="00AE12A1" w:rsidRDefault="00DE4B38" w:rsidP="001B549E">
            <w:pPr>
              <w:pStyle w:val="IPPParagraphnumbering"/>
              <w:numPr>
                <w:ilvl w:val="0"/>
                <w:numId w:val="0"/>
              </w:numPr>
              <w:spacing w:after="0"/>
              <w:rPr>
                <w:rFonts w:ascii="Times" w:hAnsi="Times" w:cs="Times"/>
                <w:szCs w:val="22"/>
              </w:rPr>
            </w:pPr>
          </w:p>
        </w:tc>
        <w:tc>
          <w:tcPr>
            <w:tcW w:w="5220" w:type="dxa"/>
            <w:vMerge w:val="restart"/>
          </w:tcPr>
          <w:p w14:paraId="06BFA4AA" w14:textId="0537CC1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Review training for facilitators. </w:t>
            </w:r>
          </w:p>
          <w:p w14:paraId="011CCDFA"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Consider opportunities for improvement in training on strategic planning tools and soft skills (conflict mediation, facilitation skills, consensus-building approaches).</w:t>
            </w:r>
          </w:p>
          <w:p w14:paraId="4916967C"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Consider increasing opportunities for facilitators and coordinators to meet and share best practices. </w:t>
            </w:r>
          </w:p>
          <w:p w14:paraId="0297E267"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Establish a community of practice for facilitators to exchange ideas and best practices.</w:t>
            </w:r>
          </w:p>
          <w:p w14:paraId="17D52FB6" w14:textId="77777777" w:rsidR="00DE4B38" w:rsidRPr="00AE12A1" w:rsidRDefault="00DE4B38" w:rsidP="001B549E">
            <w:pPr>
              <w:pStyle w:val="IPPParagraphnumbering"/>
              <w:numPr>
                <w:ilvl w:val="0"/>
                <w:numId w:val="12"/>
              </w:numPr>
              <w:spacing w:after="0"/>
              <w:rPr>
                <w:rFonts w:ascii="Times" w:hAnsi="Times" w:cs="Times"/>
                <w:szCs w:val="22"/>
              </w:rPr>
            </w:pPr>
            <w:r w:rsidRPr="00AE12A1">
              <w:rPr>
                <w:rFonts w:ascii="Times" w:hAnsi="Times" w:cs="Times"/>
                <w:szCs w:val="22"/>
              </w:rPr>
              <w:t xml:space="preserve">Consider the role of facilitators and the format of the PCE for countries with mature phytosanitary systems. </w:t>
            </w:r>
          </w:p>
        </w:tc>
        <w:tc>
          <w:tcPr>
            <w:tcW w:w="3780" w:type="dxa"/>
          </w:tcPr>
          <w:p w14:paraId="6B25C663" w14:textId="6559BDAE" w:rsidR="00DE4B38" w:rsidRPr="00AE12A1" w:rsidRDefault="00DE4B38" w:rsidP="001149AB">
            <w:pPr>
              <w:pStyle w:val="IPPParagraphnumbering"/>
              <w:numPr>
                <w:ilvl w:val="0"/>
                <w:numId w:val="0"/>
              </w:numPr>
              <w:spacing w:after="0"/>
              <w:rPr>
                <w:rFonts w:ascii="Times" w:hAnsi="Times" w:cs="Times"/>
                <w:szCs w:val="22"/>
              </w:rPr>
            </w:pPr>
            <w:r w:rsidRPr="00AE12A1">
              <w:rPr>
                <w:rFonts w:ascii="Times" w:hAnsi="Times" w:cs="Times"/>
                <w:szCs w:val="22"/>
              </w:rPr>
              <w:t>Provide Results-Based Management (RBM) and Logical Framework Approach (LFA) courses to new PCE facilitators &amp; NPPO coordinators.</w:t>
            </w:r>
          </w:p>
        </w:tc>
        <w:tc>
          <w:tcPr>
            <w:tcW w:w="0" w:type="dxa"/>
          </w:tcPr>
          <w:p w14:paraId="2131D237" w14:textId="050D1B5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Completed.</w:t>
            </w:r>
          </w:p>
        </w:tc>
        <w:tc>
          <w:tcPr>
            <w:tcW w:w="0" w:type="dxa"/>
          </w:tcPr>
          <w:p w14:paraId="3D528822" w14:textId="62DDE25E"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1F8CB819" w14:textId="75421839"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Q3 in 2024</w:t>
            </w:r>
          </w:p>
        </w:tc>
      </w:tr>
      <w:tr w:rsidR="00D9630E" w:rsidRPr="00AE12A1" w14:paraId="4E318EB2" w14:textId="4D160ACE" w:rsidTr="000C18A6">
        <w:trPr>
          <w:trHeight w:val="640"/>
          <w:jc w:val="center"/>
        </w:trPr>
        <w:tc>
          <w:tcPr>
            <w:tcW w:w="0" w:type="dxa"/>
            <w:vMerge/>
          </w:tcPr>
          <w:p w14:paraId="718428B9"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0C9282F3"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6BB65D98" w14:textId="3ECEB7B1"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Certification of new PCE facilitators (recommendation 20).</w:t>
            </w:r>
          </w:p>
        </w:tc>
        <w:tc>
          <w:tcPr>
            <w:tcW w:w="0" w:type="dxa"/>
          </w:tcPr>
          <w:p w14:paraId="20133CB4" w14:textId="3D2E958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Ongoing.</w:t>
            </w:r>
          </w:p>
        </w:tc>
        <w:tc>
          <w:tcPr>
            <w:tcW w:w="0" w:type="dxa"/>
          </w:tcPr>
          <w:p w14:paraId="7D2EF585" w14:textId="3F2A855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IPPC RB</w:t>
            </w:r>
          </w:p>
        </w:tc>
        <w:tc>
          <w:tcPr>
            <w:tcW w:w="0" w:type="dxa"/>
          </w:tcPr>
          <w:p w14:paraId="61A95AE6" w14:textId="5D4AA177"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Q4 in 2024</w:t>
            </w:r>
          </w:p>
        </w:tc>
      </w:tr>
      <w:tr w:rsidR="00D9630E" w:rsidRPr="00AE12A1" w14:paraId="3B85F624" w14:textId="6FCF1996" w:rsidTr="000C18A6">
        <w:trPr>
          <w:trHeight w:val="640"/>
          <w:jc w:val="center"/>
        </w:trPr>
        <w:tc>
          <w:tcPr>
            <w:tcW w:w="0" w:type="dxa"/>
            <w:vMerge/>
          </w:tcPr>
          <w:p w14:paraId="5E3C33E1"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6322390B"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32F35162" w14:textId="1B69E854"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Develop an online learning platform with learning paths and new eLearning courses (recommendations 18, 21).</w:t>
            </w:r>
          </w:p>
        </w:tc>
        <w:tc>
          <w:tcPr>
            <w:tcW w:w="0" w:type="dxa"/>
          </w:tcPr>
          <w:p w14:paraId="4AF6D901" w14:textId="77777777" w:rsidR="00DE4B38" w:rsidRPr="00AE12A1" w:rsidRDefault="00DE4B38" w:rsidP="001B549E">
            <w:pPr>
              <w:pStyle w:val="IPPParagraphnumbering"/>
              <w:numPr>
                <w:ilvl w:val="0"/>
                <w:numId w:val="0"/>
              </w:numPr>
              <w:spacing w:after="0"/>
              <w:rPr>
                <w:rFonts w:ascii="Times" w:hAnsi="Times" w:cs="Times"/>
                <w:szCs w:val="22"/>
              </w:rPr>
            </w:pPr>
          </w:p>
        </w:tc>
        <w:tc>
          <w:tcPr>
            <w:tcW w:w="0" w:type="dxa"/>
          </w:tcPr>
          <w:p w14:paraId="566F5EC6" w14:textId="45E60C03"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 Republic of Korea</w:t>
            </w:r>
          </w:p>
        </w:tc>
        <w:tc>
          <w:tcPr>
            <w:tcW w:w="0" w:type="dxa"/>
          </w:tcPr>
          <w:p w14:paraId="7715770A" w14:textId="2567A389"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Q1 in 2024 to Q4 in 2025</w:t>
            </w:r>
          </w:p>
        </w:tc>
      </w:tr>
      <w:tr w:rsidR="00D9630E" w:rsidRPr="00AE12A1" w14:paraId="69910BFD" w14:textId="690EBB04" w:rsidTr="000C18A6">
        <w:trPr>
          <w:trHeight w:val="640"/>
          <w:jc w:val="center"/>
        </w:trPr>
        <w:tc>
          <w:tcPr>
            <w:tcW w:w="0" w:type="dxa"/>
            <w:vMerge/>
          </w:tcPr>
          <w:p w14:paraId="1D409F3E"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06451300" w14:textId="77777777" w:rsidR="00DE4B38" w:rsidRPr="00AE12A1" w:rsidRDefault="00DE4B38" w:rsidP="001B549E">
            <w:pPr>
              <w:pStyle w:val="IPPParagraphnumbering"/>
              <w:numPr>
                <w:ilvl w:val="0"/>
                <w:numId w:val="12"/>
              </w:numPr>
              <w:spacing w:after="0"/>
              <w:rPr>
                <w:rFonts w:ascii="Times" w:hAnsi="Times" w:cs="Times"/>
                <w:szCs w:val="22"/>
              </w:rPr>
            </w:pPr>
          </w:p>
        </w:tc>
        <w:tc>
          <w:tcPr>
            <w:tcW w:w="3780" w:type="dxa"/>
          </w:tcPr>
          <w:p w14:paraId="22F69A7A" w14:textId="4902AEFD"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Develop a PCE facilitator training curricula (subject to funding).</w:t>
            </w:r>
          </w:p>
        </w:tc>
        <w:tc>
          <w:tcPr>
            <w:tcW w:w="0" w:type="dxa"/>
          </w:tcPr>
          <w:p w14:paraId="07141103" w14:textId="77777777" w:rsidR="00DE4B38" w:rsidRPr="00AE12A1" w:rsidRDefault="00DE4B38" w:rsidP="001B549E">
            <w:pPr>
              <w:pStyle w:val="IPPParagraphnumbering"/>
              <w:numPr>
                <w:ilvl w:val="0"/>
                <w:numId w:val="0"/>
              </w:numPr>
              <w:spacing w:after="0"/>
              <w:rPr>
                <w:rFonts w:ascii="Times" w:hAnsi="Times" w:cs="Times"/>
                <w:szCs w:val="22"/>
              </w:rPr>
            </w:pPr>
          </w:p>
        </w:tc>
        <w:tc>
          <w:tcPr>
            <w:tcW w:w="0" w:type="dxa"/>
          </w:tcPr>
          <w:p w14:paraId="68DA80EF" w14:textId="1E9C6281"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TBD</w:t>
            </w:r>
          </w:p>
        </w:tc>
        <w:tc>
          <w:tcPr>
            <w:tcW w:w="0" w:type="dxa"/>
          </w:tcPr>
          <w:p w14:paraId="75297EE9" w14:textId="707BAEED"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From Q1 to Q4 in 2026</w:t>
            </w:r>
          </w:p>
        </w:tc>
      </w:tr>
      <w:tr w:rsidR="00065C46" w:rsidRPr="00AE12A1" w14:paraId="3D59AFBA" w14:textId="68776C85" w:rsidTr="000C18A6">
        <w:trPr>
          <w:trHeight w:val="258"/>
          <w:jc w:val="center"/>
        </w:trPr>
        <w:tc>
          <w:tcPr>
            <w:tcW w:w="1620" w:type="dxa"/>
            <w:vMerge w:val="restart"/>
          </w:tcPr>
          <w:p w14:paraId="11A8B7ED" w14:textId="2B56C70E" w:rsidR="00DE4B38" w:rsidRPr="00AE12A1" w:rsidRDefault="00DE4B38" w:rsidP="001B549E">
            <w:pPr>
              <w:pStyle w:val="IPPParagraphnumbering"/>
              <w:numPr>
                <w:ilvl w:val="0"/>
                <w:numId w:val="0"/>
              </w:numPr>
              <w:spacing w:after="0"/>
              <w:rPr>
                <w:rFonts w:ascii="Times" w:eastAsia="Times New Roman" w:hAnsi="Times" w:cs="Times"/>
                <w:b/>
                <w:bCs/>
                <w:szCs w:val="22"/>
              </w:rPr>
            </w:pPr>
            <w:r w:rsidRPr="00AE12A1">
              <w:rPr>
                <w:rFonts w:ascii="Times" w:eastAsia="Times New Roman" w:hAnsi="Times" w:cs="Times"/>
                <w:szCs w:val="22"/>
              </w:rPr>
              <w:t>Monitoring and evaluation</w:t>
            </w:r>
          </w:p>
          <w:p w14:paraId="0F5C3EE2" w14:textId="77777777" w:rsidR="00DE4B38" w:rsidRPr="00AE12A1" w:rsidRDefault="00DE4B38" w:rsidP="001B549E">
            <w:pPr>
              <w:pStyle w:val="IPPParagraphnumbering"/>
              <w:numPr>
                <w:ilvl w:val="0"/>
                <w:numId w:val="0"/>
              </w:numPr>
              <w:spacing w:after="0"/>
              <w:rPr>
                <w:rFonts w:ascii="Times" w:eastAsia="Times New Roman" w:hAnsi="Times" w:cs="Times"/>
                <w:b/>
                <w:bCs/>
                <w:szCs w:val="22"/>
              </w:rPr>
            </w:pPr>
          </w:p>
          <w:p w14:paraId="509830FF" w14:textId="799C8618" w:rsidR="00DE4B38" w:rsidRPr="00AE12A1" w:rsidRDefault="00DE4B38" w:rsidP="001B549E">
            <w:pPr>
              <w:pStyle w:val="IPPParagraphnumbering"/>
              <w:numPr>
                <w:ilvl w:val="0"/>
                <w:numId w:val="0"/>
              </w:numPr>
              <w:spacing w:after="0"/>
              <w:rPr>
                <w:rFonts w:ascii="Times" w:hAnsi="Times" w:cs="Times"/>
                <w:b/>
                <w:bCs/>
                <w:szCs w:val="22"/>
              </w:rPr>
            </w:pPr>
            <w:r w:rsidRPr="00AE12A1">
              <w:rPr>
                <w:rFonts w:ascii="Times" w:hAnsi="Times" w:cs="Times"/>
                <w:b/>
                <w:bCs/>
                <w:szCs w:val="22"/>
              </w:rPr>
              <w:t>The Monitoring and Evaluation framework is used to measure outcomes from the application of PCEs.</w:t>
            </w:r>
          </w:p>
          <w:p w14:paraId="10A4A8B0" w14:textId="74615E4A" w:rsidR="00DE4B38" w:rsidRPr="00AE12A1" w:rsidRDefault="00DE4B38" w:rsidP="001B549E">
            <w:pPr>
              <w:pStyle w:val="IPPParagraphnumbering"/>
              <w:numPr>
                <w:ilvl w:val="0"/>
                <w:numId w:val="0"/>
              </w:numPr>
              <w:spacing w:after="0"/>
              <w:rPr>
                <w:rFonts w:ascii="Times" w:hAnsi="Times" w:cs="Times"/>
                <w:szCs w:val="22"/>
              </w:rPr>
            </w:pPr>
          </w:p>
        </w:tc>
        <w:tc>
          <w:tcPr>
            <w:tcW w:w="5220" w:type="dxa"/>
            <w:vMerge w:val="restart"/>
          </w:tcPr>
          <w:p w14:paraId="17E81426" w14:textId="55C7E4F8" w:rsidR="00DE4B38" w:rsidRPr="00AE12A1" w:rsidRDefault="00DE4B38" w:rsidP="001B549E">
            <w:pPr>
              <w:pStyle w:val="IPPParagraphnumbering"/>
              <w:numPr>
                <w:ilvl w:val="0"/>
                <w:numId w:val="12"/>
              </w:numPr>
              <w:spacing w:after="0"/>
              <w:rPr>
                <w:rFonts w:ascii="Times" w:eastAsia="Times New Roman" w:hAnsi="Times" w:cs="Times"/>
                <w:szCs w:val="22"/>
              </w:rPr>
            </w:pPr>
            <w:r w:rsidRPr="00AE12A1">
              <w:rPr>
                <w:rFonts w:ascii="Times" w:eastAsia="Times New Roman" w:hAnsi="Times" w:cs="Times"/>
                <w:szCs w:val="22"/>
              </w:rPr>
              <w:t>Establish feedback mechanisms</w:t>
            </w:r>
          </w:p>
        </w:tc>
        <w:tc>
          <w:tcPr>
            <w:tcW w:w="3780" w:type="dxa"/>
          </w:tcPr>
          <w:p w14:paraId="785835AD" w14:textId="06FFFCE6" w:rsidR="00DE4B38" w:rsidRPr="00AE12A1" w:rsidRDefault="00DE4B38" w:rsidP="001149AB">
            <w:pPr>
              <w:pStyle w:val="IPPParagraphnumbering"/>
              <w:numPr>
                <w:ilvl w:val="0"/>
                <w:numId w:val="0"/>
              </w:numPr>
              <w:spacing w:after="0"/>
              <w:rPr>
                <w:rFonts w:ascii="Times" w:eastAsia="Times New Roman" w:hAnsi="Times" w:cs="Times"/>
                <w:szCs w:val="22"/>
              </w:rPr>
            </w:pPr>
            <w:r w:rsidRPr="00AE12A1">
              <w:rPr>
                <w:rFonts w:ascii="Times" w:hAnsi="Times" w:cs="Times"/>
                <w:szCs w:val="22"/>
              </w:rPr>
              <w:t>COLEAD to organize a 4-week virtual course on R-SAT with national meetings to advance implementation (recommendations 22).</w:t>
            </w:r>
          </w:p>
        </w:tc>
        <w:tc>
          <w:tcPr>
            <w:tcW w:w="0" w:type="dxa"/>
          </w:tcPr>
          <w:p w14:paraId="1F82444B" w14:textId="15F7AEE5"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Completed (August 2024).</w:t>
            </w:r>
          </w:p>
        </w:tc>
        <w:tc>
          <w:tcPr>
            <w:tcW w:w="0" w:type="dxa"/>
          </w:tcPr>
          <w:p w14:paraId="26CE416C" w14:textId="59FD56D7"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488B19E2" w14:textId="66F9532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Q3 in 2024</w:t>
            </w:r>
          </w:p>
        </w:tc>
      </w:tr>
      <w:tr w:rsidR="00D9630E" w:rsidRPr="00AE12A1" w14:paraId="4B08F677" w14:textId="658E6B2F" w:rsidTr="000C18A6">
        <w:trPr>
          <w:trHeight w:val="256"/>
          <w:jc w:val="center"/>
        </w:trPr>
        <w:tc>
          <w:tcPr>
            <w:tcW w:w="0" w:type="dxa"/>
            <w:vMerge/>
          </w:tcPr>
          <w:p w14:paraId="036B8102"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266508BE" w14:textId="77777777" w:rsidR="00DE4B38" w:rsidRPr="00AE12A1" w:rsidRDefault="00DE4B38" w:rsidP="001B549E">
            <w:pPr>
              <w:pStyle w:val="IPPParagraphnumbering"/>
              <w:numPr>
                <w:ilvl w:val="0"/>
                <w:numId w:val="12"/>
              </w:numPr>
              <w:spacing w:after="0"/>
              <w:rPr>
                <w:rFonts w:ascii="Times" w:eastAsia="Times New Roman" w:hAnsi="Times" w:cs="Times"/>
                <w:szCs w:val="22"/>
              </w:rPr>
            </w:pPr>
          </w:p>
        </w:tc>
        <w:tc>
          <w:tcPr>
            <w:tcW w:w="3780" w:type="dxa"/>
          </w:tcPr>
          <w:p w14:paraId="0D0D1C72" w14:textId="2595C6FE"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hAnsi="Times" w:cs="Times"/>
                <w:szCs w:val="22"/>
              </w:rPr>
              <w:t>Organize a project definition one-week course with all facilitators: Understand donor requirements, provide templates, draft proposals.</w:t>
            </w:r>
          </w:p>
        </w:tc>
        <w:tc>
          <w:tcPr>
            <w:tcW w:w="0" w:type="dxa"/>
          </w:tcPr>
          <w:p w14:paraId="31A49122" w14:textId="2232394B"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Completed (7-11 October 2024).</w:t>
            </w:r>
          </w:p>
        </w:tc>
        <w:tc>
          <w:tcPr>
            <w:tcW w:w="0" w:type="dxa"/>
          </w:tcPr>
          <w:p w14:paraId="5D524DF9" w14:textId="7BCCB468"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23B2C45D" w14:textId="7731E287"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Q4 in 2024</w:t>
            </w:r>
          </w:p>
        </w:tc>
      </w:tr>
      <w:tr w:rsidR="00D9630E" w:rsidRPr="00AE12A1" w14:paraId="2FD9991F" w14:textId="3761C063" w:rsidTr="000C18A6">
        <w:trPr>
          <w:trHeight w:val="256"/>
          <w:jc w:val="center"/>
        </w:trPr>
        <w:tc>
          <w:tcPr>
            <w:tcW w:w="0" w:type="dxa"/>
            <w:vMerge/>
          </w:tcPr>
          <w:p w14:paraId="31E3FDC9" w14:textId="77777777" w:rsidR="00DE4B38" w:rsidRPr="00AE12A1" w:rsidRDefault="00DE4B38" w:rsidP="001B549E">
            <w:pPr>
              <w:pStyle w:val="IPPParagraphnumbering"/>
              <w:numPr>
                <w:ilvl w:val="0"/>
                <w:numId w:val="0"/>
              </w:numPr>
              <w:spacing w:after="0"/>
              <w:rPr>
                <w:rFonts w:ascii="Times" w:eastAsia="Times New Roman" w:hAnsi="Times" w:cs="Times"/>
                <w:szCs w:val="22"/>
              </w:rPr>
            </w:pPr>
          </w:p>
        </w:tc>
        <w:tc>
          <w:tcPr>
            <w:tcW w:w="5220" w:type="dxa"/>
            <w:vMerge/>
          </w:tcPr>
          <w:p w14:paraId="19DAB850" w14:textId="77777777" w:rsidR="00DE4B38" w:rsidRPr="00AE12A1" w:rsidRDefault="00DE4B38" w:rsidP="001B549E">
            <w:pPr>
              <w:pStyle w:val="IPPParagraphnumbering"/>
              <w:numPr>
                <w:ilvl w:val="0"/>
                <w:numId w:val="12"/>
              </w:numPr>
              <w:spacing w:after="0"/>
              <w:rPr>
                <w:rFonts w:ascii="Times" w:eastAsia="Times New Roman" w:hAnsi="Times" w:cs="Times"/>
                <w:szCs w:val="22"/>
              </w:rPr>
            </w:pPr>
          </w:p>
        </w:tc>
        <w:tc>
          <w:tcPr>
            <w:tcW w:w="3780" w:type="dxa"/>
          </w:tcPr>
          <w:p w14:paraId="76DDA396" w14:textId="7DFFC407" w:rsidR="00DE4B38" w:rsidRPr="00AE12A1" w:rsidRDefault="00DE4B38" w:rsidP="001B549E">
            <w:pPr>
              <w:pStyle w:val="IPPParagraphnumbering"/>
              <w:numPr>
                <w:ilvl w:val="0"/>
                <w:numId w:val="0"/>
              </w:numPr>
              <w:spacing w:after="0"/>
              <w:rPr>
                <w:rFonts w:ascii="Times" w:eastAsia="Times New Roman" w:hAnsi="Times" w:cs="Times"/>
                <w:szCs w:val="22"/>
              </w:rPr>
            </w:pPr>
            <w:r w:rsidRPr="00AE12A1">
              <w:rPr>
                <w:rFonts w:ascii="Times" w:hAnsi="Times" w:cs="Times"/>
                <w:szCs w:val="22"/>
              </w:rPr>
              <w:t>Organize a restitution workshop with PCE facilitators, national coordinators &amp; donors to present results (recommendations 22, 23).</w:t>
            </w:r>
          </w:p>
        </w:tc>
        <w:tc>
          <w:tcPr>
            <w:tcW w:w="0" w:type="dxa"/>
          </w:tcPr>
          <w:p w14:paraId="29BC6868" w14:textId="5E14E8D6"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To be initiated.</w:t>
            </w:r>
          </w:p>
        </w:tc>
        <w:tc>
          <w:tcPr>
            <w:tcW w:w="0" w:type="dxa"/>
          </w:tcPr>
          <w:p w14:paraId="0406059E" w14:textId="6335365A"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GCP/GLO/949/EC</w:t>
            </w:r>
          </w:p>
        </w:tc>
        <w:tc>
          <w:tcPr>
            <w:tcW w:w="0" w:type="dxa"/>
          </w:tcPr>
          <w:p w14:paraId="3C1E72F4" w14:textId="0B730805" w:rsidR="00DE4B38" w:rsidRPr="00AE12A1" w:rsidRDefault="00DE4B38" w:rsidP="001B549E">
            <w:pPr>
              <w:pStyle w:val="IPPParagraphnumbering"/>
              <w:numPr>
                <w:ilvl w:val="0"/>
                <w:numId w:val="0"/>
              </w:numPr>
              <w:spacing w:after="0"/>
              <w:rPr>
                <w:rFonts w:ascii="Times" w:hAnsi="Times" w:cs="Times"/>
                <w:szCs w:val="22"/>
              </w:rPr>
            </w:pPr>
            <w:r w:rsidRPr="00AE12A1">
              <w:rPr>
                <w:rFonts w:ascii="Times" w:hAnsi="Times" w:cs="Times"/>
                <w:szCs w:val="22"/>
              </w:rPr>
              <w:t>Q2 in 2024</w:t>
            </w:r>
          </w:p>
        </w:tc>
      </w:tr>
    </w:tbl>
    <w:p w14:paraId="75B3B3AD" w14:textId="77777777" w:rsidR="00863AE0" w:rsidRDefault="00863AE0" w:rsidP="00A70F6F">
      <w:pPr>
        <w:pStyle w:val="IPPParagraphnumbering"/>
        <w:numPr>
          <w:ilvl w:val="0"/>
          <w:numId w:val="0"/>
        </w:numPr>
        <w:spacing w:after="0"/>
        <w:rPr>
          <w:rFonts w:eastAsia="Times New Roman"/>
          <w:szCs w:val="22"/>
          <w:lang w:eastAsia="zh-CN"/>
        </w:rPr>
        <w:sectPr w:rsidR="00863AE0" w:rsidSect="00723626">
          <w:pgSz w:w="16838" w:h="11906" w:orient="landscape" w:code="9"/>
          <w:pgMar w:top="1170" w:right="1440" w:bottom="1440" w:left="1440" w:header="720" w:footer="720" w:gutter="0"/>
          <w:cols w:space="720"/>
          <w:docGrid w:linePitch="360"/>
        </w:sectPr>
      </w:pPr>
    </w:p>
    <w:p w14:paraId="37D3788B" w14:textId="77777777" w:rsidR="00863AE0" w:rsidRDefault="00863AE0" w:rsidP="00863AE0">
      <w:pPr>
        <w:pStyle w:val="IPPParagraphnumbering"/>
        <w:spacing w:after="0"/>
        <w:ind w:hanging="475"/>
        <w:rPr>
          <w:color w:val="1B1E24"/>
          <w:szCs w:val="22"/>
        </w:rPr>
      </w:pPr>
      <w:r w:rsidRPr="59F45AFF">
        <w:rPr>
          <w:color w:val="1B1E24"/>
          <w:szCs w:val="22"/>
        </w:rPr>
        <w:lastRenderedPageBreak/>
        <w:t>From the activities mentioned, it is important to highlight the PCE project definition workshop delivered from 7 to 10 October 2024 in Rome, which brought together PCE National Coordinators, PCE facilitators, and IPPC Secretariat staff. The workshop aimed to enhance project proposal development skills. It also provided an opportunity to present draft proposals to global stakeholders and potential donors for feedback, fostering direct connections between NPPOs and funding bodies. As a result, ten draft project proposals were developed, which will be refined in the coming months and presented at the final mutualization workshop for the GCP/GLO/949/EC project.</w:t>
      </w:r>
    </w:p>
    <w:p w14:paraId="5A7D9B28" w14:textId="77777777" w:rsidR="003E4E1B" w:rsidRDefault="003E4E1B" w:rsidP="003E4E1B">
      <w:pPr>
        <w:pStyle w:val="IPPParagraphnumbering"/>
        <w:numPr>
          <w:ilvl w:val="0"/>
          <w:numId w:val="0"/>
        </w:numPr>
        <w:spacing w:after="0"/>
        <w:rPr>
          <w:color w:val="1B1E24"/>
          <w:szCs w:val="22"/>
        </w:rPr>
      </w:pPr>
    </w:p>
    <w:p w14:paraId="619B9019" w14:textId="6C973A65" w:rsidR="003E4E1B" w:rsidRPr="0047181E" w:rsidRDefault="00BC018B" w:rsidP="003E4E1B">
      <w:pPr>
        <w:pStyle w:val="IPPParagraphnumbering"/>
        <w:spacing w:after="0"/>
        <w:rPr>
          <w:rFonts w:ascii="Times" w:eastAsia="Times New Roman" w:hAnsi="Times" w:cs="Times"/>
          <w:szCs w:val="22"/>
          <w:lang w:eastAsia="zh-CN"/>
        </w:rPr>
      </w:pPr>
      <w:r>
        <w:rPr>
          <w:rFonts w:ascii="Times" w:eastAsia="Times New Roman" w:hAnsi="Times" w:cs="Times"/>
          <w:szCs w:val="22"/>
          <w:lang w:eastAsia="zh-CN"/>
        </w:rPr>
        <w:t xml:space="preserve">A </w:t>
      </w:r>
      <w:r w:rsidR="003E4E1B" w:rsidRPr="00A831BC">
        <w:rPr>
          <w:rFonts w:ascii="Times" w:eastAsia="Times New Roman" w:hAnsi="Times" w:cs="Times"/>
          <w:szCs w:val="22"/>
          <w:lang w:eastAsia="zh-CN"/>
        </w:rPr>
        <w:t>Project benefi</w:t>
      </w:r>
      <w:r w:rsidR="003E4E1B" w:rsidRPr="67CED5F8">
        <w:rPr>
          <w:rFonts w:ascii="Times" w:eastAsia="Times New Roman" w:hAnsi="Times" w:cs="Times"/>
          <w:szCs w:val="22"/>
          <w:lang w:eastAsia="zh-CN"/>
        </w:rPr>
        <w:t>ci</w:t>
      </w:r>
      <w:r w:rsidR="003E4E1B" w:rsidRPr="00A831BC">
        <w:rPr>
          <w:rFonts w:ascii="Times" w:eastAsia="Times New Roman" w:hAnsi="Times" w:cs="Times"/>
          <w:szCs w:val="22"/>
          <w:lang w:eastAsia="zh-CN"/>
        </w:rPr>
        <w:t xml:space="preserve">ary </w:t>
      </w:r>
      <w:r>
        <w:rPr>
          <w:rFonts w:ascii="Times" w:eastAsia="Times New Roman" w:hAnsi="Times" w:cs="Times"/>
          <w:szCs w:val="22"/>
          <w:lang w:eastAsia="zh-CN"/>
        </w:rPr>
        <w:t xml:space="preserve">was </w:t>
      </w:r>
      <w:r w:rsidR="003E4E1B" w:rsidRPr="00A831BC">
        <w:rPr>
          <w:rFonts w:ascii="Times" w:eastAsia="Times New Roman" w:hAnsi="Times" w:cs="Times"/>
          <w:szCs w:val="22"/>
          <w:lang w:eastAsia="zh-CN"/>
        </w:rPr>
        <w:t xml:space="preserve">invited to the COAG side event </w:t>
      </w:r>
      <w:r w:rsidR="003E4E1B" w:rsidRPr="67CED5F8">
        <w:rPr>
          <w:rFonts w:ascii="Times" w:eastAsia="Times New Roman" w:hAnsi="Times" w:cs="Times"/>
          <w:i/>
          <w:iCs/>
          <w:szCs w:val="22"/>
          <w:lang w:eastAsia="zh-CN"/>
        </w:rPr>
        <w:t>“Plant Health: why is it crucial to One Health?</w:t>
      </w:r>
      <w:r w:rsidR="00A6507E">
        <w:rPr>
          <w:rFonts w:ascii="Times" w:eastAsia="Times New Roman" w:hAnsi="Times" w:cs="Times"/>
          <w:i/>
          <w:iCs/>
          <w:szCs w:val="22"/>
          <w:lang w:eastAsia="zh-CN"/>
        </w:rPr>
        <w:t>”</w:t>
      </w:r>
      <w:r w:rsidR="003E4E1B" w:rsidRPr="67CED5F8">
        <w:rPr>
          <w:rStyle w:val="FootnoteReference"/>
          <w:rFonts w:ascii="Times" w:eastAsia="Times New Roman" w:hAnsi="Times" w:cs="Times"/>
          <w:i/>
          <w:iCs/>
          <w:szCs w:val="22"/>
          <w:lang w:eastAsia="zh-CN"/>
        </w:rPr>
        <w:footnoteReference w:id="11"/>
      </w:r>
      <w:r w:rsidR="00A6507E">
        <w:rPr>
          <w:rFonts w:ascii="Times" w:eastAsia="Times New Roman" w:hAnsi="Times" w:cs="Times"/>
          <w:i/>
          <w:iCs/>
          <w:szCs w:val="22"/>
          <w:lang w:eastAsia="zh-CN"/>
        </w:rPr>
        <w:t xml:space="preserve"> </w:t>
      </w:r>
      <w:r w:rsidR="00BB353B">
        <w:rPr>
          <w:rFonts w:ascii="Times" w:eastAsia="Times New Roman" w:hAnsi="Times" w:cs="Times"/>
          <w:szCs w:val="22"/>
          <w:lang w:eastAsia="zh-CN"/>
        </w:rPr>
        <w:t>A</w:t>
      </w:r>
      <w:r w:rsidR="003E4E1B" w:rsidRPr="006D3CCB">
        <w:rPr>
          <w:rFonts w:ascii="Times" w:eastAsia="Times New Roman" w:hAnsi="Times" w:cs="Times"/>
          <w:szCs w:val="22"/>
          <w:lang w:eastAsia="zh-CN"/>
        </w:rPr>
        <w:t xml:space="preserve"> beneficiary country and IAPSC representative</w:t>
      </w:r>
      <w:r w:rsidR="00BB353B">
        <w:rPr>
          <w:rFonts w:ascii="Times" w:eastAsia="Times New Roman" w:hAnsi="Times" w:cs="Times"/>
          <w:szCs w:val="22"/>
          <w:lang w:eastAsia="zh-CN"/>
        </w:rPr>
        <w:t xml:space="preserve"> has been invited</w:t>
      </w:r>
      <w:r w:rsidR="003E4E1B" w:rsidRPr="006D3CCB">
        <w:rPr>
          <w:rFonts w:ascii="Times" w:eastAsia="Times New Roman" w:hAnsi="Times" w:cs="Times"/>
          <w:szCs w:val="22"/>
          <w:lang w:eastAsia="zh-CN"/>
        </w:rPr>
        <w:t xml:space="preserve"> to the SPG meeting in October 2024 to share their experience with the PCE process</w:t>
      </w:r>
      <w:r w:rsidR="00BB353B">
        <w:rPr>
          <w:rFonts w:ascii="Times" w:eastAsia="Times New Roman" w:hAnsi="Times" w:cs="Times"/>
          <w:szCs w:val="22"/>
          <w:lang w:eastAsia="zh-CN"/>
        </w:rPr>
        <w:t>. This will</w:t>
      </w:r>
      <w:r w:rsidR="003E4E1B" w:rsidRPr="006D3CCB">
        <w:rPr>
          <w:rFonts w:ascii="Times" w:eastAsia="Times New Roman" w:hAnsi="Times" w:cs="Times"/>
          <w:szCs w:val="22"/>
          <w:lang w:eastAsia="zh-CN"/>
        </w:rPr>
        <w:t xml:space="preserve"> </w:t>
      </w:r>
      <w:r w:rsidR="003E4E1B" w:rsidRPr="67CED5F8">
        <w:rPr>
          <w:color w:val="1B1E24"/>
          <w:szCs w:val="22"/>
        </w:rPr>
        <w:t>allow two developing countries to attend the SPG and contribute to a more comprehensive and diverse understanding of the PCE implementation</w:t>
      </w:r>
      <w:r w:rsidR="003E4E1B">
        <w:rPr>
          <w:color w:val="1B1E24"/>
          <w:szCs w:val="22"/>
        </w:rPr>
        <w:t xml:space="preserve"> </w:t>
      </w:r>
      <w:r w:rsidR="003E4E1B" w:rsidRPr="006D3CCB">
        <w:rPr>
          <w:rFonts w:ascii="Times" w:eastAsia="Times New Roman" w:hAnsi="Times" w:cs="Times"/>
          <w:i/>
          <w:iCs/>
          <w:szCs w:val="22"/>
          <w:lang w:eastAsia="zh-CN"/>
        </w:rPr>
        <w:t>(Recommendations 22 and 23</w:t>
      </w:r>
      <w:r w:rsidR="003E4E1B">
        <w:rPr>
          <w:rFonts w:ascii="Times" w:eastAsia="Times New Roman" w:hAnsi="Times" w:cs="Times"/>
          <w:i/>
          <w:iCs/>
          <w:szCs w:val="22"/>
          <w:lang w:eastAsia="zh-CN"/>
        </w:rPr>
        <w:t>).</w:t>
      </w:r>
    </w:p>
    <w:p w14:paraId="46C44DAE" w14:textId="77777777" w:rsidR="00863AE0" w:rsidRDefault="00863AE0" w:rsidP="00863AE0">
      <w:pPr>
        <w:pStyle w:val="IPPParagraphnumbering"/>
        <w:numPr>
          <w:ilvl w:val="0"/>
          <w:numId w:val="0"/>
        </w:numPr>
        <w:spacing w:after="0"/>
        <w:rPr>
          <w:color w:val="1B1E24"/>
          <w:szCs w:val="22"/>
        </w:rPr>
      </w:pPr>
    </w:p>
    <w:p w14:paraId="73E4D63D" w14:textId="7764DBA1" w:rsidR="00863AE0" w:rsidRDefault="00863AE0" w:rsidP="00863AE0">
      <w:pPr>
        <w:pStyle w:val="IPPParagraphnumbering"/>
        <w:spacing w:after="0"/>
        <w:ind w:hanging="475"/>
        <w:rPr>
          <w:color w:val="1B1E24"/>
          <w:szCs w:val="22"/>
        </w:rPr>
      </w:pPr>
      <w:r w:rsidRPr="00856B08">
        <w:rPr>
          <w:color w:val="1B1E24"/>
          <w:szCs w:val="22"/>
        </w:rPr>
        <w:t xml:space="preserve">For tool revision and updates (Key Result Area 4), a questionnaire will be developed </w:t>
      </w:r>
      <w:r w:rsidRPr="67CED5F8">
        <w:rPr>
          <w:color w:val="1B1E24"/>
          <w:szCs w:val="22"/>
        </w:rPr>
        <w:t xml:space="preserve">and revised by a survey specialist </w:t>
      </w:r>
      <w:r w:rsidRPr="00856B08">
        <w:rPr>
          <w:color w:val="1B1E24"/>
          <w:szCs w:val="22"/>
        </w:rPr>
        <w:t>to gather insights from PCE facilitators and national coordinators on improving the PCE process</w:t>
      </w:r>
      <w:r w:rsidR="00E61053">
        <w:rPr>
          <w:color w:val="1B1E24"/>
          <w:szCs w:val="22"/>
        </w:rPr>
        <w:t xml:space="preserve"> and its modules</w:t>
      </w:r>
      <w:r w:rsidRPr="00856B08">
        <w:rPr>
          <w:color w:val="1B1E24"/>
          <w:szCs w:val="22"/>
        </w:rPr>
        <w:t>, covering recommendations 12 to 16. A workshop will be organized to provide guidance based on these insights.  Alternative formats for the PCE, such as PCE light, are being explored to streamline the process</w:t>
      </w:r>
      <w:r w:rsidR="00EB2303">
        <w:rPr>
          <w:color w:val="1B1E24"/>
          <w:szCs w:val="22"/>
        </w:rPr>
        <w:t xml:space="preserve"> potentially</w:t>
      </w:r>
      <w:r w:rsidRPr="00856B08">
        <w:rPr>
          <w:color w:val="1B1E24"/>
          <w:szCs w:val="22"/>
        </w:rPr>
        <w:t>.</w:t>
      </w:r>
    </w:p>
    <w:p w14:paraId="742C9A4D" w14:textId="77777777" w:rsidR="0047181E" w:rsidRDefault="0047181E" w:rsidP="00A70F6F">
      <w:pPr>
        <w:pStyle w:val="IPPParagraphnumbering"/>
        <w:numPr>
          <w:ilvl w:val="0"/>
          <w:numId w:val="0"/>
        </w:numPr>
        <w:spacing w:after="0"/>
        <w:rPr>
          <w:color w:val="1B1E24"/>
          <w:szCs w:val="22"/>
        </w:rPr>
      </w:pPr>
    </w:p>
    <w:p w14:paraId="711183AA" w14:textId="76F1E008" w:rsidR="00AD0496" w:rsidRPr="005736BF" w:rsidRDefault="00AD0496" w:rsidP="00E752BD">
      <w:pPr>
        <w:pStyle w:val="IPPHeading1"/>
        <w:numPr>
          <w:ilvl w:val="0"/>
          <w:numId w:val="11"/>
        </w:numPr>
        <w:spacing w:before="0"/>
        <w:rPr>
          <w:rFonts w:eastAsia="Times New Roman"/>
          <w:sz w:val="22"/>
        </w:rPr>
      </w:pPr>
      <w:r w:rsidRPr="005736BF">
        <w:rPr>
          <w:rFonts w:eastAsia="Times New Roman"/>
          <w:sz w:val="22"/>
        </w:rPr>
        <w:t>Advancements on key result area 5: A strong network of phytosanitary expertise is available to facilitate the application of PCEs</w:t>
      </w:r>
    </w:p>
    <w:p w14:paraId="47F513F5" w14:textId="143EB9AC" w:rsidR="00AD0496" w:rsidRDefault="00AD0496" w:rsidP="00E752BD">
      <w:pPr>
        <w:pStyle w:val="IPPNormal"/>
        <w:numPr>
          <w:ilvl w:val="1"/>
          <w:numId w:val="11"/>
        </w:numPr>
        <w:rPr>
          <w:b/>
          <w:bCs/>
          <w:szCs w:val="22"/>
        </w:rPr>
      </w:pPr>
      <w:r w:rsidRPr="278226D6">
        <w:rPr>
          <w:b/>
          <w:bCs/>
          <w:szCs w:val="22"/>
        </w:rPr>
        <w:t>Procedure for the certification of new PCE facilitators</w:t>
      </w:r>
    </w:p>
    <w:p w14:paraId="36D562CB" w14:textId="2D70CC35" w:rsidR="00E201CB" w:rsidRPr="005E302C" w:rsidRDefault="00E201CB" w:rsidP="00E752BD">
      <w:pPr>
        <w:pStyle w:val="IPPParagraphnumbering"/>
        <w:rPr>
          <w:rFonts w:ascii="Times" w:hAnsi="Times" w:cs="Times"/>
          <w:szCs w:val="22"/>
        </w:rPr>
      </w:pPr>
      <w:r w:rsidRPr="00E55A54">
        <w:rPr>
          <w:rFonts w:ascii="Times" w:hAnsi="Times" w:cs="Times"/>
          <w:szCs w:val="22"/>
        </w:rPr>
        <w:t xml:space="preserve">In 2021, the IC agreed on the Procedure for PCE Facilitator Certification, which ensures a consistent </w:t>
      </w:r>
      <w:r w:rsidRPr="005E302C">
        <w:rPr>
          <w:rFonts w:ascii="Times" w:hAnsi="Times" w:cs="Times"/>
          <w:szCs w:val="22"/>
        </w:rPr>
        <w:t>approach to training and certifying new facilitators. The steps are outlined below:</w:t>
      </w:r>
    </w:p>
    <w:p w14:paraId="333BCD14" w14:textId="1AF9790C" w:rsidR="00E201CB" w:rsidRPr="005E302C" w:rsidRDefault="00E201CB" w:rsidP="001149AB">
      <w:pPr>
        <w:pStyle w:val="Heading4"/>
        <w:spacing w:before="0"/>
        <w:rPr>
          <w:rFonts w:ascii="Times" w:eastAsia="Times" w:hAnsi="Times" w:cs="Times"/>
          <w:i w:val="0"/>
          <w:iCs w:val="0"/>
          <w:color w:val="auto"/>
          <w:szCs w:val="22"/>
          <w:u w:val="single"/>
        </w:rPr>
      </w:pPr>
      <w:r w:rsidRPr="005E302C">
        <w:rPr>
          <w:rFonts w:ascii="Times" w:eastAsia="Times" w:hAnsi="Times" w:cs="Times"/>
          <w:i w:val="0"/>
          <w:iCs w:val="0"/>
          <w:color w:val="auto"/>
          <w:szCs w:val="22"/>
        </w:rPr>
        <w:t xml:space="preserve"> </w:t>
      </w:r>
      <w:r w:rsidRPr="005E302C">
        <w:rPr>
          <w:rFonts w:ascii="Times" w:eastAsia="Times" w:hAnsi="Times" w:cs="Times"/>
          <w:i w:val="0"/>
          <w:iCs w:val="0"/>
          <w:color w:val="auto"/>
          <w:szCs w:val="22"/>
          <w:u w:val="single"/>
        </w:rPr>
        <w:t>Training and evaluation process</w:t>
      </w:r>
    </w:p>
    <w:p w14:paraId="1CE2ACA8" w14:textId="77777777" w:rsidR="00E201CB" w:rsidRPr="005E302C" w:rsidRDefault="00E201CB" w:rsidP="003E4E1B">
      <w:pPr>
        <w:pStyle w:val="IPPBullet1"/>
        <w:spacing w:after="0"/>
        <w:rPr>
          <w:rFonts w:ascii="Times" w:hAnsi="Times" w:cs="Times"/>
          <w:szCs w:val="22"/>
        </w:rPr>
      </w:pPr>
      <w:r w:rsidRPr="005E302C">
        <w:rPr>
          <w:rStyle w:val="Strong"/>
          <w:rFonts w:ascii="Times" w:hAnsi="Times" w:cs="Times"/>
          <w:b w:val="0"/>
          <w:bCs w:val="0"/>
          <w:szCs w:val="22"/>
        </w:rPr>
        <w:t>E-learning courses</w:t>
      </w:r>
      <w:r w:rsidRPr="005E302C">
        <w:rPr>
          <w:rFonts w:ascii="Times" w:hAnsi="Times" w:cs="Times"/>
          <w:szCs w:val="22"/>
        </w:rPr>
        <w:t xml:space="preserve"> and a </w:t>
      </w:r>
      <w:r w:rsidRPr="005E302C">
        <w:rPr>
          <w:rStyle w:val="Strong"/>
          <w:rFonts w:ascii="Times" w:hAnsi="Times" w:cs="Times"/>
          <w:b w:val="0"/>
          <w:bCs w:val="0"/>
          <w:szCs w:val="22"/>
        </w:rPr>
        <w:t>face-to-face training</w:t>
      </w:r>
      <w:r w:rsidRPr="005E302C">
        <w:rPr>
          <w:rFonts w:ascii="Times" w:hAnsi="Times" w:cs="Times"/>
          <w:szCs w:val="22"/>
        </w:rPr>
        <w:t xml:space="preserve"> session evaluated by the IPPC Secretariat and certified PCE facilitators.</w:t>
      </w:r>
    </w:p>
    <w:p w14:paraId="3F066772" w14:textId="77777777" w:rsidR="00E201CB" w:rsidRPr="005E302C" w:rsidRDefault="00E201CB" w:rsidP="003E4E1B">
      <w:pPr>
        <w:pStyle w:val="IPPBullet1"/>
        <w:spacing w:after="0"/>
        <w:rPr>
          <w:rFonts w:ascii="Times" w:hAnsi="Times" w:cs="Times"/>
          <w:szCs w:val="22"/>
        </w:rPr>
      </w:pPr>
      <w:r w:rsidRPr="005E302C">
        <w:rPr>
          <w:rFonts w:ascii="Times" w:hAnsi="Times" w:cs="Times"/>
          <w:szCs w:val="22"/>
        </w:rPr>
        <w:t xml:space="preserve">Trainees must </w:t>
      </w:r>
      <w:r w:rsidRPr="005E302C">
        <w:rPr>
          <w:rStyle w:val="Strong"/>
          <w:rFonts w:ascii="Times" w:hAnsi="Times" w:cs="Times"/>
          <w:b w:val="0"/>
          <w:bCs w:val="0"/>
          <w:szCs w:val="22"/>
        </w:rPr>
        <w:t>facilitate at least one PCE</w:t>
      </w:r>
      <w:r w:rsidRPr="005E302C">
        <w:rPr>
          <w:rFonts w:ascii="Times" w:hAnsi="Times" w:cs="Times"/>
          <w:szCs w:val="22"/>
        </w:rPr>
        <w:t xml:space="preserve"> under the mentorship of a certified facilitator, who assesses the trainee's performance.</w:t>
      </w:r>
    </w:p>
    <w:p w14:paraId="73BB6604" w14:textId="77777777" w:rsidR="00E201CB" w:rsidRPr="005E302C" w:rsidRDefault="00E201CB" w:rsidP="003E4E1B">
      <w:pPr>
        <w:pStyle w:val="IPPBullet1"/>
        <w:spacing w:after="0"/>
        <w:rPr>
          <w:rFonts w:ascii="Times" w:hAnsi="Times" w:cs="Times"/>
          <w:szCs w:val="22"/>
        </w:rPr>
      </w:pPr>
      <w:r w:rsidRPr="005E302C">
        <w:rPr>
          <w:rFonts w:ascii="Times" w:hAnsi="Times" w:cs="Times"/>
          <w:szCs w:val="22"/>
        </w:rPr>
        <w:t xml:space="preserve">Upon successful completion of their first PCE, the </w:t>
      </w:r>
      <w:r w:rsidRPr="005E302C">
        <w:rPr>
          <w:rStyle w:val="Strong"/>
          <w:rFonts w:ascii="Times" w:hAnsi="Times" w:cs="Times"/>
          <w:b w:val="0"/>
          <w:bCs w:val="0"/>
          <w:szCs w:val="22"/>
        </w:rPr>
        <w:t>Certified Facilitator</w:t>
      </w:r>
      <w:r w:rsidRPr="005E302C">
        <w:rPr>
          <w:rFonts w:ascii="Times" w:hAnsi="Times" w:cs="Times"/>
          <w:szCs w:val="22"/>
        </w:rPr>
        <w:t xml:space="preserve"> may recommend the trainee to the IPPC Secretariat for formal recognition.</w:t>
      </w:r>
    </w:p>
    <w:p w14:paraId="7D8C7EF4" w14:textId="77777777" w:rsidR="003E4E1B" w:rsidRPr="005E302C" w:rsidRDefault="003E4E1B" w:rsidP="003E4E1B">
      <w:pPr>
        <w:pStyle w:val="IPPBullet1"/>
        <w:numPr>
          <w:ilvl w:val="0"/>
          <w:numId w:val="0"/>
        </w:numPr>
        <w:spacing w:after="0"/>
        <w:ind w:left="360"/>
        <w:rPr>
          <w:rFonts w:ascii="Times" w:hAnsi="Times" w:cs="Times"/>
          <w:szCs w:val="22"/>
        </w:rPr>
      </w:pPr>
    </w:p>
    <w:p w14:paraId="77458CFA" w14:textId="1D153009" w:rsidR="00E201CB" w:rsidRPr="005E302C" w:rsidRDefault="00E201CB" w:rsidP="001149AB">
      <w:pPr>
        <w:pStyle w:val="Heading4"/>
        <w:spacing w:before="0"/>
        <w:rPr>
          <w:rFonts w:ascii="Times" w:eastAsia="Times" w:hAnsi="Times" w:cs="Times"/>
          <w:i w:val="0"/>
          <w:iCs w:val="0"/>
          <w:color w:val="auto"/>
          <w:szCs w:val="22"/>
          <w:u w:val="single"/>
        </w:rPr>
      </w:pPr>
      <w:r w:rsidRPr="005E302C">
        <w:rPr>
          <w:rFonts w:ascii="Times" w:eastAsia="Times" w:hAnsi="Times" w:cs="Times"/>
          <w:i w:val="0"/>
          <w:iCs w:val="0"/>
          <w:color w:val="auto"/>
          <w:szCs w:val="22"/>
          <w:u w:val="single"/>
        </w:rPr>
        <w:t>2022 PCE Training Program</w:t>
      </w:r>
    </w:p>
    <w:p w14:paraId="423E57D1" w14:textId="77777777" w:rsidR="00E201CB" w:rsidRPr="005E302C" w:rsidRDefault="00E201CB" w:rsidP="00E752BD">
      <w:pPr>
        <w:pStyle w:val="IPPParagraphnumbering"/>
        <w:spacing w:after="0"/>
        <w:rPr>
          <w:rFonts w:ascii="Times" w:hAnsi="Times" w:cs="Times"/>
          <w:szCs w:val="22"/>
        </w:rPr>
      </w:pPr>
      <w:r w:rsidRPr="005E302C">
        <w:rPr>
          <w:rFonts w:ascii="Times" w:hAnsi="Times" w:cs="Times"/>
          <w:szCs w:val="22"/>
        </w:rPr>
        <w:t xml:space="preserve">Under the </w:t>
      </w:r>
      <w:r w:rsidRPr="005E302C">
        <w:rPr>
          <w:rStyle w:val="Strong"/>
          <w:rFonts w:ascii="Times" w:hAnsi="Times" w:cs="Times"/>
          <w:b w:val="0"/>
          <w:bCs w:val="0"/>
          <w:szCs w:val="22"/>
        </w:rPr>
        <w:t>Strengthening Food Control and Phytosanitary Capacities and Governance</w:t>
      </w:r>
      <w:r w:rsidRPr="005E302C">
        <w:rPr>
          <w:rFonts w:ascii="Times" w:hAnsi="Times" w:cs="Times"/>
          <w:szCs w:val="22"/>
        </w:rPr>
        <w:t xml:space="preserve"> project, eight PCE facilitator trainees were selected to:</w:t>
      </w:r>
    </w:p>
    <w:p w14:paraId="6CBBD6A6" w14:textId="77777777" w:rsidR="00E201CB" w:rsidRPr="005E302C" w:rsidRDefault="00E201CB" w:rsidP="003E4E1B">
      <w:pPr>
        <w:pStyle w:val="IPPBullet1"/>
        <w:spacing w:after="0"/>
        <w:rPr>
          <w:rFonts w:ascii="Times" w:hAnsi="Times" w:cs="Times"/>
          <w:szCs w:val="22"/>
        </w:rPr>
      </w:pPr>
      <w:r w:rsidRPr="005E302C">
        <w:rPr>
          <w:rFonts w:ascii="Times" w:hAnsi="Times" w:cs="Times"/>
          <w:szCs w:val="22"/>
        </w:rPr>
        <w:t>Complete e-learning courses and face-to-face training.</w:t>
      </w:r>
    </w:p>
    <w:p w14:paraId="7D268374" w14:textId="77777777" w:rsidR="00E201CB" w:rsidRPr="005E302C" w:rsidRDefault="00E201CB" w:rsidP="003E4E1B">
      <w:pPr>
        <w:pStyle w:val="IPPBullet1"/>
        <w:spacing w:after="0"/>
        <w:rPr>
          <w:rFonts w:ascii="Times" w:hAnsi="Times" w:cs="Times"/>
          <w:szCs w:val="22"/>
        </w:rPr>
      </w:pPr>
      <w:r w:rsidRPr="005E302C">
        <w:rPr>
          <w:rFonts w:ascii="Times" w:hAnsi="Times" w:cs="Times"/>
          <w:szCs w:val="22"/>
        </w:rPr>
        <w:t>Conduct PCE missions mentored by certified facilitators.</w:t>
      </w:r>
    </w:p>
    <w:p w14:paraId="0286EDBD" w14:textId="77777777" w:rsidR="003E4E1B" w:rsidRPr="00E55A54" w:rsidRDefault="003E4E1B" w:rsidP="003E4E1B">
      <w:pPr>
        <w:pStyle w:val="IPPBullet1"/>
        <w:numPr>
          <w:ilvl w:val="0"/>
          <w:numId w:val="0"/>
        </w:numPr>
        <w:spacing w:after="0"/>
        <w:ind w:left="360"/>
        <w:rPr>
          <w:rFonts w:ascii="Times" w:hAnsi="Times" w:cs="Times"/>
          <w:szCs w:val="22"/>
        </w:rPr>
      </w:pPr>
    </w:p>
    <w:p w14:paraId="33F15AEC" w14:textId="4D6D6A74" w:rsidR="00E201CB" w:rsidRPr="00E55A54" w:rsidRDefault="00E201CB" w:rsidP="001149AB">
      <w:pPr>
        <w:pStyle w:val="Heading4"/>
        <w:spacing w:before="0"/>
        <w:rPr>
          <w:rFonts w:ascii="Times" w:eastAsia="Times" w:hAnsi="Times" w:cs="Times"/>
          <w:i w:val="0"/>
          <w:iCs w:val="0"/>
          <w:color w:val="auto"/>
          <w:szCs w:val="22"/>
          <w:u w:val="single"/>
        </w:rPr>
      </w:pPr>
      <w:r w:rsidRPr="00E55A54">
        <w:rPr>
          <w:rFonts w:ascii="Times" w:eastAsia="Times" w:hAnsi="Times" w:cs="Times"/>
          <w:i w:val="0"/>
          <w:iCs w:val="0"/>
          <w:color w:val="auto"/>
          <w:szCs w:val="22"/>
          <w:u w:val="single"/>
        </w:rPr>
        <w:t>PCE Board and Procedure</w:t>
      </w:r>
    </w:p>
    <w:p w14:paraId="78371615" w14:textId="3ECBEF00" w:rsidR="00BC5A0D" w:rsidRPr="00BC5A0D" w:rsidRDefault="00BC5A0D" w:rsidP="001149AB">
      <w:pPr>
        <w:pStyle w:val="IPPParagraphnumbering"/>
        <w:rPr>
          <w:szCs w:val="22"/>
        </w:rPr>
      </w:pPr>
      <w:r w:rsidRPr="00BC5A0D">
        <w:rPr>
          <w:rFonts w:ascii="Times" w:hAnsi="Times" w:cs="Times"/>
          <w:szCs w:val="22"/>
        </w:rPr>
        <w:t xml:space="preserve">Five PCE </w:t>
      </w:r>
      <w:r w:rsidR="00E201CB" w:rsidRPr="00BC5A0D">
        <w:rPr>
          <w:rFonts w:ascii="Times" w:hAnsi="Times" w:cs="Times"/>
          <w:szCs w:val="22"/>
        </w:rPr>
        <w:t>Board</w:t>
      </w:r>
      <w:r w:rsidRPr="00BC5A0D">
        <w:rPr>
          <w:rFonts w:ascii="Times" w:hAnsi="Times" w:cs="Times"/>
          <w:szCs w:val="22"/>
        </w:rPr>
        <w:t>s</w:t>
      </w:r>
      <w:r w:rsidR="00E201CB" w:rsidRPr="00BC5A0D">
        <w:rPr>
          <w:rFonts w:ascii="Times" w:hAnsi="Times" w:cs="Times"/>
          <w:szCs w:val="22"/>
        </w:rPr>
        <w:t xml:space="preserve"> comprising the CPM Bureau, IC, SC members, and certified facilitators </w:t>
      </w:r>
      <w:r w:rsidR="00072AA0">
        <w:rPr>
          <w:rFonts w:ascii="Times" w:hAnsi="Times" w:cs="Times"/>
          <w:szCs w:val="22"/>
        </w:rPr>
        <w:t>evaluate</w:t>
      </w:r>
      <w:r w:rsidR="00072AA0" w:rsidRPr="00BC5A0D">
        <w:rPr>
          <w:rFonts w:ascii="Times" w:hAnsi="Times" w:cs="Times"/>
          <w:szCs w:val="22"/>
        </w:rPr>
        <w:t xml:space="preserve"> </w:t>
      </w:r>
      <w:r w:rsidR="00E201CB" w:rsidRPr="00BC5A0D">
        <w:rPr>
          <w:rFonts w:ascii="Times" w:hAnsi="Times" w:cs="Times"/>
          <w:szCs w:val="22"/>
        </w:rPr>
        <w:t>trainees.</w:t>
      </w:r>
      <w:r w:rsidRPr="00BC5A0D">
        <w:rPr>
          <w:rFonts w:ascii="Times" w:hAnsi="Times" w:cs="Times"/>
          <w:szCs w:val="22"/>
        </w:rPr>
        <w:t xml:space="preserve"> </w:t>
      </w:r>
      <w:r w:rsidR="00E201CB" w:rsidRPr="00BC5A0D">
        <w:rPr>
          <w:rFonts w:ascii="Times" w:hAnsi="Times" w:cs="Times"/>
          <w:szCs w:val="22"/>
        </w:rPr>
        <w:t xml:space="preserve">The first Board meeting was held in </w:t>
      </w:r>
      <w:r w:rsidR="00E201CB" w:rsidRPr="00BC5A0D">
        <w:rPr>
          <w:rStyle w:val="Strong"/>
          <w:rFonts w:ascii="Times" w:hAnsi="Times" w:cs="Times"/>
          <w:b w:val="0"/>
          <w:bCs w:val="0"/>
          <w:szCs w:val="22"/>
        </w:rPr>
        <w:t>October 2024</w:t>
      </w:r>
      <w:r w:rsidR="00E201CB" w:rsidRPr="00BC5A0D">
        <w:rPr>
          <w:rFonts w:ascii="Times" w:hAnsi="Times" w:cs="Times"/>
          <w:szCs w:val="22"/>
        </w:rPr>
        <w:t>, certifying two French-speaking facilitators, with the final sessions planned for December 2024</w:t>
      </w:r>
      <w:r w:rsidR="007476F0">
        <w:rPr>
          <w:rFonts w:ascii="Times" w:hAnsi="Times" w:cs="Times"/>
          <w:szCs w:val="22"/>
        </w:rPr>
        <w:t>.</w:t>
      </w:r>
    </w:p>
    <w:p w14:paraId="2F5B9CF0" w14:textId="77777777" w:rsidR="005F25EF" w:rsidRDefault="005F25EF" w:rsidP="005F25EF">
      <w:pPr>
        <w:pStyle w:val="IPPHeading1"/>
      </w:pPr>
      <w:r>
        <w:t>Recommendations</w:t>
      </w:r>
    </w:p>
    <w:p w14:paraId="541F3C05" w14:textId="0634B6F6" w:rsidR="00AD0496" w:rsidRPr="005736BF" w:rsidRDefault="00AD0496" w:rsidP="005F25EF">
      <w:pPr>
        <w:pStyle w:val="IPPParagraphnumberingclose"/>
      </w:pPr>
      <w:r w:rsidRPr="278226D6">
        <w:t xml:space="preserve">The </w:t>
      </w:r>
      <w:r w:rsidR="00E201CB">
        <w:t>SPG</w:t>
      </w:r>
      <w:r w:rsidRPr="278226D6">
        <w:t xml:space="preserve"> is invited to:</w:t>
      </w:r>
    </w:p>
    <w:p w14:paraId="4D4E8054" w14:textId="77777777" w:rsidR="00AD0496" w:rsidRPr="00E55A54" w:rsidRDefault="00AD0496" w:rsidP="005F25EF">
      <w:pPr>
        <w:pStyle w:val="IPPNumberedList"/>
      </w:pPr>
      <w:r w:rsidRPr="00E55A54">
        <w:rPr>
          <w:i/>
          <w:iCs/>
        </w:rPr>
        <w:t>note</w:t>
      </w:r>
      <w:r w:rsidRPr="00E55A54">
        <w:t xml:space="preserve"> advancements in the PCE activities according to the PCE strategy 2020-2030. </w:t>
      </w:r>
    </w:p>
    <w:p w14:paraId="5ED843C7" w14:textId="023CEDBF" w:rsidR="000D4EE6" w:rsidRPr="006D3CCB" w:rsidRDefault="00AD0496" w:rsidP="005F25EF">
      <w:pPr>
        <w:pStyle w:val="IPPNumberedList"/>
        <w:rPr>
          <w:rFonts w:cstheme="minorHAnsi"/>
          <w:b/>
          <w:bCs/>
        </w:rPr>
      </w:pPr>
      <w:r w:rsidRPr="00E752BD">
        <w:rPr>
          <w:i/>
        </w:rPr>
        <w:t xml:space="preserve">note </w:t>
      </w:r>
      <w:r w:rsidRPr="00E752BD">
        <w:t>the</w:t>
      </w:r>
      <w:r w:rsidR="0077055B" w:rsidRPr="00E752BD">
        <w:t xml:space="preserve"> progress a</w:t>
      </w:r>
      <w:r w:rsidR="44215973" w:rsidRPr="00E752BD">
        <w:t>d</w:t>
      </w:r>
      <w:r w:rsidR="0077055B" w:rsidRPr="00E752BD">
        <w:t>dressing the</w:t>
      </w:r>
      <w:r w:rsidRPr="00E752BD">
        <w:t xml:space="preserve"> recommendations from the desk study on PCE and the future steps as detailed in the roadmap presented. </w:t>
      </w:r>
    </w:p>
    <w:sectPr w:rsidR="000D4EE6" w:rsidRPr="006D3CCB" w:rsidSect="00863AE0">
      <w:pgSz w:w="11906" w:h="16838" w:code="9"/>
      <w:pgMar w:top="1440" w:right="1440" w:bottom="144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1D9BF" w14:textId="77777777" w:rsidR="00696ECE" w:rsidRPr="005736BF" w:rsidRDefault="00696ECE">
      <w:r w:rsidRPr="005736BF">
        <w:separator/>
      </w:r>
    </w:p>
  </w:endnote>
  <w:endnote w:type="continuationSeparator" w:id="0">
    <w:p w14:paraId="4F41AE27" w14:textId="77777777" w:rsidR="00696ECE" w:rsidRPr="005736BF" w:rsidRDefault="00696ECE">
      <w:r w:rsidRPr="005736BF">
        <w:continuationSeparator/>
      </w:r>
    </w:p>
  </w:endnote>
  <w:endnote w:type="continuationNotice" w:id="1">
    <w:p w14:paraId="43568EDC" w14:textId="77777777" w:rsidR="00696ECE" w:rsidRPr="005736BF" w:rsidRDefault="00696E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C7928D" w14:textId="69BC97BF" w:rsidR="002619CA" w:rsidRPr="005736BF" w:rsidRDefault="002619CA" w:rsidP="002619CA">
    <w:pPr>
      <w:pStyle w:val="IPPFooter"/>
      <w:tabs>
        <w:tab w:val="clear" w:pos="9072"/>
        <w:tab w:val="right" w:pos="13950"/>
      </w:tabs>
      <w:jc w:val="left"/>
      <w:rPr>
        <w:b w:val="0"/>
      </w:rPr>
    </w:pPr>
    <w:r w:rsidRPr="005736BF">
      <w:rPr>
        <w:rStyle w:val="PageNumber"/>
        <w:b/>
      </w:rPr>
      <w:t xml:space="preserve">Page </w:t>
    </w:r>
    <w:r w:rsidRPr="005736BF">
      <w:rPr>
        <w:rStyle w:val="PageNumber"/>
        <w:b/>
      </w:rPr>
      <w:fldChar w:fldCharType="begin"/>
    </w:r>
    <w:r w:rsidRPr="005736BF">
      <w:rPr>
        <w:rStyle w:val="PageNumber"/>
        <w:b/>
      </w:rPr>
      <w:instrText xml:space="preserve"> PAGE </w:instrText>
    </w:r>
    <w:r w:rsidRPr="005736BF">
      <w:rPr>
        <w:rStyle w:val="PageNumber"/>
        <w:b/>
      </w:rPr>
      <w:fldChar w:fldCharType="separate"/>
    </w:r>
    <w:r w:rsidR="00AC7945" w:rsidRPr="006D3CCB">
      <w:rPr>
        <w:rStyle w:val="PageNumber"/>
        <w:b/>
      </w:rPr>
      <w:t>2</w:t>
    </w:r>
    <w:r w:rsidRPr="005736BF">
      <w:rPr>
        <w:rStyle w:val="PageNumber"/>
        <w:b/>
      </w:rPr>
      <w:fldChar w:fldCharType="end"/>
    </w:r>
    <w:r w:rsidRPr="005736BF">
      <w:rPr>
        <w:rStyle w:val="PageNumber"/>
        <w:b/>
      </w:rPr>
      <w:t xml:space="preserve"> of </w:t>
    </w:r>
    <w:r w:rsidRPr="005736BF">
      <w:rPr>
        <w:rStyle w:val="PageNumber"/>
        <w:b/>
      </w:rPr>
      <w:fldChar w:fldCharType="begin"/>
    </w:r>
    <w:r w:rsidRPr="005736BF">
      <w:rPr>
        <w:rStyle w:val="PageNumber"/>
        <w:b/>
      </w:rPr>
      <w:instrText xml:space="preserve"> NUMPAGES </w:instrText>
    </w:r>
    <w:r w:rsidRPr="005736BF">
      <w:rPr>
        <w:rStyle w:val="PageNumber"/>
        <w:b/>
      </w:rPr>
      <w:fldChar w:fldCharType="separate"/>
    </w:r>
    <w:r w:rsidR="00AC7945" w:rsidRPr="006D3CCB">
      <w:rPr>
        <w:rStyle w:val="PageNumber"/>
        <w:b/>
      </w:rPr>
      <w:t>2</w:t>
    </w:r>
    <w:r w:rsidRPr="005736BF">
      <w:rPr>
        <w:rStyle w:val="PageNumber"/>
        <w:b/>
      </w:rPr>
      <w:fldChar w:fldCharType="end"/>
    </w:r>
    <w:r w:rsidRPr="005736BF">
      <w:rPr>
        <w:rStyle w:val="PageNumber"/>
        <w:b/>
      </w:rPr>
      <w:t xml:space="preserve">                                                                                             </w:t>
    </w:r>
    <w:r w:rsidRPr="005736BF">
      <w:t xml:space="preserve">International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FF85D" w14:textId="21B12313" w:rsidR="00CE7D7C" w:rsidRPr="005736BF" w:rsidRDefault="00CE7D7C" w:rsidP="00B72E6F">
    <w:pPr>
      <w:pStyle w:val="IPPFooter"/>
      <w:tabs>
        <w:tab w:val="clear" w:pos="9072"/>
      </w:tabs>
      <w:jc w:val="both"/>
    </w:pPr>
    <w:r w:rsidRPr="005736BF">
      <w:t>International Plant Protection Convention</w:t>
    </w:r>
    <w:r w:rsidR="00E70699" w:rsidRPr="005736BF">
      <w:rPr>
        <w:rStyle w:val="PageNumber"/>
        <w:b/>
      </w:rPr>
      <w:t xml:space="preserve">                                                                                       Page </w:t>
    </w:r>
    <w:r w:rsidR="00E70699" w:rsidRPr="005736BF">
      <w:rPr>
        <w:rStyle w:val="PageNumber"/>
        <w:b/>
      </w:rPr>
      <w:fldChar w:fldCharType="begin"/>
    </w:r>
    <w:r w:rsidR="00E70699" w:rsidRPr="005736BF">
      <w:rPr>
        <w:rStyle w:val="PageNumber"/>
        <w:b/>
      </w:rPr>
      <w:instrText xml:space="preserve"> PAGE </w:instrText>
    </w:r>
    <w:r w:rsidR="00E70699" w:rsidRPr="005736BF">
      <w:rPr>
        <w:rStyle w:val="PageNumber"/>
        <w:b/>
      </w:rPr>
      <w:fldChar w:fldCharType="separate"/>
    </w:r>
    <w:r w:rsidR="00AC7945" w:rsidRPr="006D3CCB">
      <w:rPr>
        <w:rStyle w:val="PageNumber"/>
        <w:b/>
      </w:rPr>
      <w:t>3</w:t>
    </w:r>
    <w:r w:rsidR="00E70699" w:rsidRPr="005736BF">
      <w:rPr>
        <w:rStyle w:val="PageNumber"/>
        <w:b/>
      </w:rPr>
      <w:fldChar w:fldCharType="end"/>
    </w:r>
    <w:r w:rsidR="00E70699" w:rsidRPr="005736BF">
      <w:rPr>
        <w:rStyle w:val="PageNumber"/>
        <w:b/>
      </w:rPr>
      <w:t xml:space="preserve"> of </w:t>
    </w:r>
    <w:r w:rsidR="00E70699" w:rsidRPr="005736BF">
      <w:rPr>
        <w:rStyle w:val="PageNumber"/>
        <w:b/>
      </w:rPr>
      <w:fldChar w:fldCharType="begin"/>
    </w:r>
    <w:r w:rsidR="00E70699" w:rsidRPr="005736BF">
      <w:rPr>
        <w:rStyle w:val="PageNumber"/>
        <w:b/>
      </w:rPr>
      <w:instrText xml:space="preserve"> NUMPAGES </w:instrText>
    </w:r>
    <w:r w:rsidR="00E70699" w:rsidRPr="005736BF">
      <w:rPr>
        <w:rStyle w:val="PageNumber"/>
        <w:b/>
      </w:rPr>
      <w:fldChar w:fldCharType="separate"/>
    </w:r>
    <w:r w:rsidR="00AC7945" w:rsidRPr="006D3CCB">
      <w:rPr>
        <w:rStyle w:val="PageNumber"/>
        <w:b/>
      </w:rPr>
      <w:t>4</w:t>
    </w:r>
    <w:r w:rsidR="00E70699" w:rsidRPr="005736BF">
      <w:rPr>
        <w:rStyle w:val="PageNumber"/>
        <w:b/>
      </w:rPr>
      <w:fldChar w:fldCharType="end"/>
    </w:r>
    <w:r w:rsidR="00E70699" w:rsidRPr="005736BF">
      <w:rPr>
        <w:b w:val="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92B9" w14:textId="07F90341" w:rsidR="00413689" w:rsidRPr="005736BF" w:rsidRDefault="00413689" w:rsidP="002619CA">
    <w:pPr>
      <w:pStyle w:val="IPPFooter"/>
      <w:tabs>
        <w:tab w:val="clear" w:pos="9072"/>
        <w:tab w:val="right" w:pos="13950"/>
      </w:tabs>
      <w:jc w:val="left"/>
      <w:rPr>
        <w:b w:val="0"/>
      </w:rPr>
    </w:pPr>
    <w:r w:rsidRPr="005736BF">
      <w:t>International Plant Protection Convention</w:t>
    </w:r>
    <w:r w:rsidR="002619CA" w:rsidRPr="005736BF">
      <w:t xml:space="preserve">                                                                                               </w:t>
    </w:r>
    <w:r w:rsidR="002619CA" w:rsidRPr="005736BF">
      <w:rPr>
        <w:rStyle w:val="PageNumber"/>
        <w:b/>
      </w:rPr>
      <w:t xml:space="preserve">Page </w:t>
    </w:r>
    <w:r w:rsidR="002619CA" w:rsidRPr="005736BF">
      <w:rPr>
        <w:rStyle w:val="PageNumber"/>
        <w:b/>
      </w:rPr>
      <w:fldChar w:fldCharType="begin"/>
    </w:r>
    <w:r w:rsidR="002619CA" w:rsidRPr="005736BF">
      <w:rPr>
        <w:rStyle w:val="PageNumber"/>
        <w:b/>
      </w:rPr>
      <w:instrText xml:space="preserve"> PAGE </w:instrText>
    </w:r>
    <w:r w:rsidR="002619CA" w:rsidRPr="005736BF">
      <w:rPr>
        <w:rStyle w:val="PageNumber"/>
        <w:b/>
      </w:rPr>
      <w:fldChar w:fldCharType="separate"/>
    </w:r>
    <w:r w:rsidR="00AC7945" w:rsidRPr="006D3CCB">
      <w:rPr>
        <w:rStyle w:val="PageNumber"/>
        <w:b/>
      </w:rPr>
      <w:t>1</w:t>
    </w:r>
    <w:r w:rsidR="002619CA" w:rsidRPr="005736BF">
      <w:rPr>
        <w:rStyle w:val="PageNumber"/>
        <w:b/>
      </w:rPr>
      <w:fldChar w:fldCharType="end"/>
    </w:r>
    <w:r w:rsidR="002619CA" w:rsidRPr="005736BF">
      <w:rPr>
        <w:rStyle w:val="PageNumber"/>
        <w:b/>
      </w:rPr>
      <w:t xml:space="preserve"> of </w:t>
    </w:r>
    <w:r w:rsidR="002619CA" w:rsidRPr="005736BF">
      <w:rPr>
        <w:rStyle w:val="PageNumber"/>
        <w:b/>
      </w:rPr>
      <w:fldChar w:fldCharType="begin"/>
    </w:r>
    <w:r w:rsidR="002619CA" w:rsidRPr="005736BF">
      <w:rPr>
        <w:rStyle w:val="PageNumber"/>
        <w:b/>
      </w:rPr>
      <w:instrText xml:space="preserve"> NUMPAGES </w:instrText>
    </w:r>
    <w:r w:rsidR="002619CA" w:rsidRPr="005736BF">
      <w:rPr>
        <w:rStyle w:val="PageNumber"/>
        <w:b/>
      </w:rPr>
      <w:fldChar w:fldCharType="separate"/>
    </w:r>
    <w:r w:rsidR="00AC7945" w:rsidRPr="006D3CCB">
      <w:rPr>
        <w:rStyle w:val="PageNumber"/>
        <w:b/>
      </w:rPr>
      <w:t>2</w:t>
    </w:r>
    <w:r w:rsidR="002619CA" w:rsidRPr="005736BF">
      <w:rPr>
        <w:rStyle w:val="PageNumber"/>
        <w:b/>
      </w:rPr>
      <w:fldChar w:fldCharType="end"/>
    </w:r>
    <w:r w:rsidR="002619CA" w:rsidRPr="005736BF">
      <w:rPr>
        <w:rStyle w:val="PageNumber"/>
        <w:b/>
      </w:rPr>
      <w:t xml:space="preserve"> </w:t>
    </w:r>
    <w:r w:rsidR="002619CA" w:rsidRPr="005736BF">
      <w:rPr>
        <w:rStyle w:val="PageNumbe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963E1" w14:textId="77777777" w:rsidR="00696ECE" w:rsidRPr="005736BF" w:rsidRDefault="00696ECE">
      <w:r w:rsidRPr="005736BF">
        <w:separator/>
      </w:r>
    </w:p>
  </w:footnote>
  <w:footnote w:type="continuationSeparator" w:id="0">
    <w:p w14:paraId="3E06EF24" w14:textId="77777777" w:rsidR="00696ECE" w:rsidRPr="005736BF" w:rsidRDefault="00696ECE">
      <w:r w:rsidRPr="005736BF">
        <w:continuationSeparator/>
      </w:r>
    </w:p>
  </w:footnote>
  <w:footnote w:type="continuationNotice" w:id="1">
    <w:p w14:paraId="48B8583E" w14:textId="77777777" w:rsidR="00696ECE" w:rsidRPr="005736BF" w:rsidRDefault="00696ECE"/>
  </w:footnote>
  <w:footnote w:id="2">
    <w:p w14:paraId="5539D533" w14:textId="3D70FB6F" w:rsidR="00DA28E9" w:rsidRPr="00E55A54" w:rsidRDefault="00DA28E9" w:rsidP="006F7F50">
      <w:pPr>
        <w:pStyle w:val="FootnoteText"/>
        <w:spacing w:before="0"/>
        <w:rPr>
          <w:rFonts w:ascii="Times" w:hAnsi="Times" w:cs="Times"/>
          <w:sz w:val="16"/>
          <w:szCs w:val="16"/>
        </w:rPr>
      </w:pPr>
      <w:r w:rsidRPr="00E55A54">
        <w:rPr>
          <w:rStyle w:val="FootnoteReference"/>
          <w:rFonts w:ascii="Times" w:hAnsi="Times" w:cs="Times"/>
          <w:sz w:val="16"/>
          <w:szCs w:val="16"/>
        </w:rPr>
        <w:footnoteRef/>
      </w:r>
      <w:r w:rsidRPr="00E55A54">
        <w:rPr>
          <w:rFonts w:ascii="Times" w:hAnsi="Times" w:cs="Times"/>
          <w:sz w:val="16"/>
          <w:szCs w:val="16"/>
        </w:rPr>
        <w:t xml:space="preserve"> </w:t>
      </w:r>
      <w:hyperlink r:id="rId1" w:history="1">
        <w:r w:rsidRPr="00E55A54">
          <w:rPr>
            <w:rStyle w:val="Hyperlink"/>
            <w:rFonts w:ascii="Times" w:hAnsi="Times" w:cs="Times"/>
            <w:sz w:val="16"/>
            <w:szCs w:val="16"/>
          </w:rPr>
          <w:t>https://www.ippc.int/en/about/core-activities/capacity-development/phytosanitary-capacity-evaluation/</w:t>
        </w:r>
      </w:hyperlink>
    </w:p>
  </w:footnote>
  <w:footnote w:id="3">
    <w:p w14:paraId="6FFC7C3A" w14:textId="77777777" w:rsidR="00AD0496" w:rsidRPr="00E55A54" w:rsidRDefault="00AD0496" w:rsidP="006F7F50">
      <w:pPr>
        <w:pStyle w:val="FootnoteText"/>
        <w:spacing w:before="0"/>
        <w:rPr>
          <w:rFonts w:ascii="Times" w:hAnsi="Times" w:cs="Times"/>
          <w:sz w:val="16"/>
          <w:szCs w:val="16"/>
        </w:rPr>
      </w:pPr>
      <w:r w:rsidRPr="00E55A54">
        <w:rPr>
          <w:rStyle w:val="FootnoteReference"/>
          <w:rFonts w:ascii="Times" w:hAnsi="Times" w:cs="Times"/>
          <w:sz w:val="16"/>
          <w:szCs w:val="16"/>
        </w:rPr>
        <w:footnoteRef/>
      </w:r>
      <w:r w:rsidRPr="00E55A54">
        <w:rPr>
          <w:rFonts w:ascii="Times" w:hAnsi="Times" w:cs="Times"/>
          <w:sz w:val="16"/>
          <w:szCs w:val="16"/>
        </w:rPr>
        <w:t xml:space="preserve"> IPPC Strategic Framework: </w:t>
      </w:r>
      <w:hyperlink r:id="rId2" w:history="1">
        <w:r w:rsidRPr="00E55A54">
          <w:rPr>
            <w:rStyle w:val="Hyperlink"/>
            <w:rFonts w:ascii="Times" w:hAnsi="Times" w:cs="Times"/>
            <w:sz w:val="16"/>
            <w:szCs w:val="16"/>
          </w:rPr>
          <w:t>https://openknowledge.fao.org/items/a01aa160-a92d-40dd-9384-b6c9c0b62d79</w:t>
        </w:r>
      </w:hyperlink>
      <w:r w:rsidRPr="00E55A54">
        <w:rPr>
          <w:rFonts w:ascii="Times" w:hAnsi="Times" w:cs="Times"/>
          <w:sz w:val="16"/>
          <w:szCs w:val="16"/>
        </w:rPr>
        <w:t xml:space="preserve">  </w:t>
      </w:r>
    </w:p>
  </w:footnote>
  <w:footnote w:id="4">
    <w:p w14:paraId="169883F0" w14:textId="77777777" w:rsidR="00ED66CB" w:rsidRPr="00E55A54" w:rsidRDefault="00ED66CB" w:rsidP="006F7F50">
      <w:pPr>
        <w:pStyle w:val="FootnoteText"/>
        <w:spacing w:before="0"/>
        <w:rPr>
          <w:rFonts w:ascii="Times" w:hAnsi="Times" w:cs="Times"/>
          <w:sz w:val="16"/>
          <w:szCs w:val="16"/>
          <w:lang w:val="en-US"/>
        </w:rPr>
      </w:pPr>
      <w:r w:rsidRPr="00E55A54">
        <w:rPr>
          <w:rStyle w:val="FootnoteReference"/>
          <w:rFonts w:ascii="Times" w:hAnsi="Times" w:cs="Times"/>
          <w:sz w:val="16"/>
          <w:szCs w:val="16"/>
        </w:rPr>
        <w:footnoteRef/>
      </w:r>
      <w:r w:rsidRPr="00E55A54">
        <w:rPr>
          <w:rFonts w:ascii="Times" w:hAnsi="Times" w:cs="Times"/>
          <w:sz w:val="16"/>
          <w:szCs w:val="16"/>
        </w:rPr>
        <w:t xml:space="preserve"> https://www.ippc.int/en/publications/87701/</w:t>
      </w:r>
    </w:p>
  </w:footnote>
  <w:footnote w:id="5">
    <w:p w14:paraId="5F237A26" w14:textId="77777777" w:rsidR="00AA156B" w:rsidRPr="00E55A54" w:rsidRDefault="00AA156B" w:rsidP="00AA156B">
      <w:pPr>
        <w:pStyle w:val="FootnoteText"/>
        <w:spacing w:before="0"/>
        <w:rPr>
          <w:rFonts w:ascii="Times" w:hAnsi="Times" w:cs="Times"/>
          <w:sz w:val="16"/>
          <w:szCs w:val="16"/>
          <w:lang w:val="en-US"/>
        </w:rPr>
      </w:pPr>
      <w:r w:rsidRPr="00E55A54">
        <w:rPr>
          <w:rStyle w:val="FootnoteReference"/>
          <w:rFonts w:ascii="Times" w:hAnsi="Times" w:cs="Times"/>
          <w:sz w:val="16"/>
          <w:szCs w:val="16"/>
        </w:rPr>
        <w:footnoteRef/>
      </w:r>
      <w:r w:rsidRPr="00E55A54">
        <w:rPr>
          <w:rFonts w:ascii="Times" w:hAnsi="Times" w:cs="Times"/>
          <w:sz w:val="16"/>
          <w:szCs w:val="16"/>
        </w:rPr>
        <w:t xml:space="preserve"> https://www.ippc.int/en/work-area-publications/93397/</w:t>
      </w:r>
    </w:p>
  </w:footnote>
  <w:footnote w:id="6">
    <w:p w14:paraId="6F419470" w14:textId="77777777" w:rsidR="00464890" w:rsidRPr="00E55A54" w:rsidRDefault="00464890" w:rsidP="006F7F50">
      <w:pPr>
        <w:pStyle w:val="FootnoteText"/>
        <w:spacing w:before="0"/>
        <w:rPr>
          <w:rFonts w:ascii="Times" w:hAnsi="Times" w:cs="Times"/>
          <w:sz w:val="16"/>
          <w:szCs w:val="16"/>
        </w:rPr>
      </w:pPr>
      <w:r w:rsidRPr="00E55A54">
        <w:rPr>
          <w:rStyle w:val="FootnoteReference"/>
          <w:rFonts w:ascii="Times" w:hAnsi="Times" w:cs="Times"/>
          <w:sz w:val="16"/>
          <w:szCs w:val="16"/>
        </w:rPr>
        <w:footnoteRef/>
      </w:r>
      <w:r w:rsidRPr="00E55A54">
        <w:rPr>
          <w:rFonts w:ascii="Times" w:hAnsi="Times" w:cs="Times"/>
          <w:sz w:val="16"/>
          <w:szCs w:val="16"/>
        </w:rPr>
        <w:t xml:space="preserve"> </w:t>
      </w:r>
      <w:hyperlink r:id="rId3" w:anchor="a" w:history="1">
        <w:r w:rsidRPr="00E55A54">
          <w:rPr>
            <w:rStyle w:val="Hyperlink"/>
            <w:rFonts w:ascii="Times" w:hAnsi="Times" w:cs="Times"/>
            <w:sz w:val="16"/>
            <w:szCs w:val="16"/>
          </w:rPr>
          <w:t>https://www.ippc.int/en/about/core-activities/capacity-development/phytosanitary-capacity-evaluation/#a</w:t>
        </w:r>
      </w:hyperlink>
    </w:p>
  </w:footnote>
  <w:footnote w:id="7">
    <w:p w14:paraId="243C3D79" w14:textId="77777777" w:rsidR="00464890" w:rsidRPr="005736BF" w:rsidRDefault="00464890" w:rsidP="006F7F50">
      <w:pPr>
        <w:pStyle w:val="FootnoteText"/>
        <w:spacing w:before="0"/>
        <w:rPr>
          <w:rFonts w:cstheme="minorHAnsi"/>
          <w:szCs w:val="20"/>
        </w:rPr>
      </w:pPr>
      <w:r w:rsidRPr="00E55A54">
        <w:rPr>
          <w:rStyle w:val="FootnoteReference"/>
          <w:rFonts w:ascii="Times" w:hAnsi="Times" w:cs="Times"/>
          <w:sz w:val="16"/>
          <w:szCs w:val="16"/>
        </w:rPr>
        <w:footnoteRef/>
      </w:r>
      <w:r w:rsidRPr="00E55A54">
        <w:rPr>
          <w:rFonts w:ascii="Times" w:hAnsi="Times" w:cs="Times"/>
          <w:sz w:val="16"/>
          <w:szCs w:val="16"/>
        </w:rPr>
        <w:t xml:space="preserve"> PCE facilitators certified: </w:t>
      </w:r>
      <w:hyperlink r:id="rId4" w:history="1">
        <w:r w:rsidRPr="00E55A54">
          <w:rPr>
            <w:rStyle w:val="Hyperlink"/>
            <w:rFonts w:ascii="Times" w:hAnsi="Times" w:cs="Times"/>
            <w:sz w:val="16"/>
            <w:szCs w:val="16"/>
          </w:rPr>
          <w:t>https://assets.ippc.int/static/media/uploads/pce/pce_facilitators_certified_2022.pdf</w:t>
        </w:r>
      </w:hyperlink>
      <w:r w:rsidRPr="005736BF">
        <w:rPr>
          <w:rFonts w:cstheme="minorHAnsi"/>
          <w:szCs w:val="20"/>
        </w:rPr>
        <w:t xml:space="preserve"> </w:t>
      </w:r>
    </w:p>
  </w:footnote>
  <w:footnote w:id="8">
    <w:p w14:paraId="0794846B" w14:textId="77777777" w:rsidR="002A7364" w:rsidRPr="001149AB" w:rsidRDefault="002A7364" w:rsidP="002264F0">
      <w:pPr>
        <w:pStyle w:val="FootnoteText"/>
        <w:spacing w:before="0"/>
        <w:rPr>
          <w:rFonts w:ascii="Times" w:hAnsi="Times" w:cs="Times"/>
          <w:sz w:val="16"/>
          <w:szCs w:val="16"/>
        </w:rPr>
      </w:pPr>
      <w:r w:rsidRPr="001149AB">
        <w:rPr>
          <w:rStyle w:val="FootnoteReference"/>
          <w:rFonts w:ascii="Times" w:hAnsi="Times" w:cs="Times"/>
          <w:sz w:val="16"/>
          <w:szCs w:val="16"/>
        </w:rPr>
        <w:footnoteRef/>
      </w:r>
      <w:r w:rsidRPr="001149AB">
        <w:rPr>
          <w:rFonts w:ascii="Times" w:hAnsi="Times" w:cs="Times"/>
          <w:sz w:val="16"/>
          <w:szCs w:val="16"/>
        </w:rPr>
        <w:t xml:space="preserve"> </w:t>
      </w:r>
      <w:r w:rsidRPr="001149AB">
        <w:rPr>
          <w:rFonts w:ascii="Times" w:hAnsi="Times" w:cs="Times"/>
          <w:color w:val="1B1E24"/>
          <w:sz w:val="16"/>
          <w:szCs w:val="16"/>
        </w:rPr>
        <w:t>In November 2023, the IC agreed to share the PCE Terms and Conditions with the Bureau for comments. In 2024, the e-forum “</w:t>
      </w:r>
      <w:r w:rsidRPr="001149AB">
        <w:rPr>
          <w:rStyle w:val="normaltextrun"/>
          <w:rFonts w:ascii="Times" w:hAnsi="Times" w:cs="Times"/>
          <w:i/>
          <w:iCs/>
          <w:color w:val="1B1E24"/>
          <w:sz w:val="16"/>
          <w:szCs w:val="16"/>
        </w:rPr>
        <w:t>2024_eBureau_01: Terms and Conditions for using the Phytosanitary Capacity Evaluation (PCE)”</w:t>
      </w:r>
      <w:r w:rsidRPr="001149AB">
        <w:rPr>
          <w:rStyle w:val="normaltextrun"/>
          <w:rFonts w:ascii="Times" w:hAnsi="Times" w:cs="Times"/>
          <w:color w:val="1B1E24"/>
          <w:sz w:val="16"/>
          <w:szCs w:val="16"/>
        </w:rPr>
        <w:t xml:space="preserve"> was open from 6 to 26 February 2024, and five CPM Bureau members responded.</w:t>
      </w:r>
    </w:p>
  </w:footnote>
  <w:footnote w:id="9">
    <w:p w14:paraId="3A6EE4EB" w14:textId="77777777" w:rsidR="00233217" w:rsidRPr="001149AB" w:rsidRDefault="00233217" w:rsidP="002264F0">
      <w:pPr>
        <w:pStyle w:val="FootnoteText"/>
        <w:spacing w:before="0"/>
        <w:rPr>
          <w:rFonts w:ascii="Times" w:hAnsi="Times" w:cs="Times"/>
          <w:sz w:val="16"/>
          <w:szCs w:val="16"/>
        </w:rPr>
      </w:pPr>
      <w:r w:rsidRPr="001149AB">
        <w:rPr>
          <w:rStyle w:val="FootnoteReference"/>
          <w:rFonts w:ascii="Times" w:hAnsi="Times" w:cs="Times"/>
          <w:sz w:val="16"/>
          <w:szCs w:val="16"/>
        </w:rPr>
        <w:footnoteRef/>
      </w:r>
      <w:r w:rsidRPr="001149AB">
        <w:rPr>
          <w:rFonts w:ascii="Times" w:hAnsi="Times" w:cs="Times"/>
          <w:sz w:val="16"/>
          <w:szCs w:val="16"/>
        </w:rPr>
        <w:t xml:space="preserve"> PCE webpage: </w:t>
      </w:r>
      <w:hyperlink r:id="rId5" w:history="1">
        <w:r w:rsidRPr="001149AB">
          <w:rPr>
            <w:rStyle w:val="Hyperlink"/>
            <w:rFonts w:ascii="Times" w:hAnsi="Times" w:cs="Times"/>
            <w:sz w:val="16"/>
            <w:szCs w:val="16"/>
          </w:rPr>
          <w:t>Terms_and_conditions_for_using_the_online_PCE_system.pdf (ippc.int)</w:t>
        </w:r>
      </w:hyperlink>
    </w:p>
  </w:footnote>
  <w:footnote w:id="10">
    <w:p w14:paraId="4E8C14E1" w14:textId="77777777" w:rsidR="00837725" w:rsidRPr="00272393" w:rsidRDefault="00837725" w:rsidP="002264F0">
      <w:pPr>
        <w:pStyle w:val="FootnoteText"/>
        <w:spacing w:before="0"/>
        <w:rPr>
          <w:lang w:val="en-US"/>
        </w:rPr>
      </w:pPr>
      <w:r w:rsidRPr="001149AB">
        <w:rPr>
          <w:rStyle w:val="FootnoteReference"/>
          <w:rFonts w:ascii="Times" w:hAnsi="Times" w:cs="Times"/>
          <w:sz w:val="16"/>
          <w:szCs w:val="16"/>
        </w:rPr>
        <w:footnoteRef/>
      </w:r>
      <w:r w:rsidRPr="001149AB">
        <w:rPr>
          <w:rFonts w:ascii="Times" w:hAnsi="Times" w:cs="Times"/>
          <w:sz w:val="16"/>
          <w:szCs w:val="16"/>
        </w:rPr>
        <w:t xml:space="preserve"> </w:t>
      </w:r>
      <w:hyperlink r:id="rId6" w:tgtFrame="_blank" w:tooltip="https://www.ippc.int/en/work-area-pages/capacity-development/implementation-and-capacity-development-committee-ic/2024-ic-meetings/2024-ic-may-meeting/" w:history="1">
        <w:r w:rsidRPr="001149AB">
          <w:rPr>
            <w:rStyle w:val="Hyperlink"/>
            <w:rFonts w:ascii="Times" w:hAnsi="Times" w:cs="Times"/>
            <w:sz w:val="16"/>
            <w:szCs w:val="16"/>
          </w:rPr>
          <w:t>https://www.ippc.int/en/work-area-pages/capacity-development/implementation-and-capacity-development-committee-ic/2024-ic-meetings/2024-ic-may-meeting/</w:t>
        </w:r>
      </w:hyperlink>
    </w:p>
  </w:footnote>
  <w:footnote w:id="11">
    <w:p w14:paraId="27F3E780" w14:textId="0E883707" w:rsidR="003E4E1B" w:rsidRPr="006F7F50" w:rsidRDefault="003E4E1B" w:rsidP="005E302C">
      <w:pPr>
        <w:pStyle w:val="FootnoteText"/>
        <w:spacing w:before="0"/>
        <w:rPr>
          <w:rFonts w:ascii="Times" w:hAnsi="Times" w:cs="Times"/>
        </w:rPr>
      </w:pPr>
      <w:r w:rsidRPr="006F7F50">
        <w:rPr>
          <w:rStyle w:val="FootnoteReference"/>
          <w:rFonts w:ascii="Times" w:hAnsi="Times" w:cs="Times"/>
          <w:sz w:val="18"/>
          <w:szCs w:val="22"/>
        </w:rPr>
        <w:footnoteRef/>
      </w:r>
      <w:r w:rsidRPr="006F7F50">
        <w:rPr>
          <w:rFonts w:ascii="Times" w:hAnsi="Times" w:cs="Times"/>
          <w:sz w:val="18"/>
          <w:szCs w:val="22"/>
        </w:rPr>
        <w:t xml:space="preserve"> </w:t>
      </w:r>
      <w:hyperlink r:id="rId7" w:history="1">
        <w:r w:rsidR="005F25EF" w:rsidRPr="0073010C">
          <w:rPr>
            <w:rStyle w:val="Hyperlink"/>
            <w:rFonts w:ascii="Times" w:hAnsi="Times" w:cs="Times"/>
            <w:sz w:val="18"/>
            <w:szCs w:val="22"/>
          </w:rPr>
          <w:t>https://www.ippc.int/en/news/healthy-plants-healthy-planet-the-key-to-one-health-success/</w:t>
        </w:r>
      </w:hyperlink>
      <w:r w:rsidR="005F25EF">
        <w:rPr>
          <w:rFonts w:ascii="Times" w:hAnsi="Times" w:cs="Times"/>
          <w:sz w:val="18"/>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4533D7" w14:textId="2B4AE035" w:rsidR="002619CA" w:rsidRPr="005736BF" w:rsidRDefault="000A3753" w:rsidP="000A3753">
    <w:pPr>
      <w:pStyle w:val="IPPHeader"/>
      <w:tabs>
        <w:tab w:val="clear" w:pos="1134"/>
      </w:tabs>
      <w:spacing w:after="0"/>
    </w:pPr>
    <w:r>
      <w:t>19_SPG_2024</w:t>
    </w:r>
    <w:r w:rsidRPr="00606019">
      <w:t>_</w:t>
    </w:r>
    <w:r>
      <w:t>Oct</w:t>
    </w:r>
    <w:r>
      <w:t xml:space="preserve"> (11.5)</w:t>
    </w:r>
    <w:r>
      <w:ptab w:relativeTo="margin" w:alignment="right" w:leader="none"/>
    </w:r>
    <w:r w:rsidRPr="000A3753">
      <w:t xml:space="preserve"> </w:t>
    </w:r>
    <w:r w:rsidRPr="00B765A2">
      <w:t>Phytosanitary Capacity Evaluation: update and roadmap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32D1E" w14:textId="79309ED8" w:rsidR="00B765A2" w:rsidRDefault="000A3753" w:rsidP="000A3753">
    <w:pPr>
      <w:pStyle w:val="IPPHeader"/>
      <w:tabs>
        <w:tab w:val="clear" w:pos="1134"/>
      </w:tabs>
      <w:spacing w:after="0"/>
    </w:pPr>
    <w:r>
      <w:t>19_SPG_2024</w:t>
    </w:r>
    <w:r w:rsidRPr="00606019">
      <w:t>_</w:t>
    </w:r>
    <w:r>
      <w:t>Oct (11.5)</w:t>
    </w:r>
    <w:r>
      <w:ptab w:relativeTo="margin" w:alignment="right" w:leader="none"/>
    </w:r>
    <w:r w:rsidRPr="000A3753">
      <w:t xml:space="preserve"> </w:t>
    </w:r>
    <w:r w:rsidRPr="00B765A2">
      <w:t>Phytosanitary Capacity Evaluation: update and roadmap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8FD11" w14:textId="351C96AE" w:rsidR="00B765A2" w:rsidRDefault="00B765A2" w:rsidP="00B765A2">
    <w:pPr>
      <w:pStyle w:val="IPPHeader"/>
      <w:tabs>
        <w:tab w:val="clear" w:pos="1134"/>
      </w:tabs>
      <w:spacing w:before="240" w:after="0"/>
    </w:pPr>
    <w:bookmarkStart w:id="2" w:name="_Hlk38796923"/>
    <w:bookmarkStart w:id="3" w:name="_Hlk38796924"/>
    <w:r>
      <w:rPr>
        <w:i/>
        <w:iCs/>
        <w:noProof/>
        <w14:ligatures w14:val="standardContextual"/>
      </w:rPr>
      <w:drawing>
        <wp:anchor distT="0" distB="0" distL="114300" distR="114300" simplePos="0" relativeHeight="251661312" behindDoc="0" locked="0" layoutInCell="1" allowOverlap="1" wp14:anchorId="0128FA26" wp14:editId="1C113064">
          <wp:simplePos x="0" y="0"/>
          <wp:positionH relativeFrom="page">
            <wp:posOffset>2520315</wp:posOffset>
          </wp:positionH>
          <wp:positionV relativeFrom="page">
            <wp:posOffset>558165</wp:posOffset>
          </wp:positionV>
          <wp:extent cx="1756800" cy="698400"/>
          <wp:effectExtent l="0" t="0" r="0" b="6985"/>
          <wp:wrapSquare wrapText="bothSides"/>
          <wp:docPr id="513134424"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5A7A22BA" wp14:editId="1A9319F8">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A343728"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1857F98A" wp14:editId="020CF0B0">
          <wp:simplePos x="0" y="0"/>
          <wp:positionH relativeFrom="page">
            <wp:posOffset>0</wp:posOffset>
          </wp:positionH>
          <wp:positionV relativeFrom="page">
            <wp:posOffset>0</wp:posOffset>
          </wp:positionV>
          <wp:extent cx="7617600" cy="558000"/>
          <wp:effectExtent l="0" t="0" r="2540" b="0"/>
          <wp:wrapTopAndBottom/>
          <wp:docPr id="723693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457A4357" wp14:editId="7E762B4F">
          <wp:simplePos x="0" y="0"/>
          <wp:positionH relativeFrom="page">
            <wp:posOffset>742950</wp:posOffset>
          </wp:positionH>
          <wp:positionV relativeFrom="page">
            <wp:posOffset>558165</wp:posOffset>
          </wp:positionV>
          <wp:extent cx="1728000" cy="698400"/>
          <wp:effectExtent l="0" t="0" r="5715" b="6985"/>
          <wp:wrapSquare wrapText="bothSides"/>
          <wp:docPr id="837476074"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t>19</w:t>
    </w:r>
    <w:r>
      <w:t>_SPG_2024</w:t>
    </w:r>
    <w:r w:rsidRPr="00606019">
      <w:t>_</w:t>
    </w:r>
    <w:r>
      <w:t>Oct</w:t>
    </w:r>
  </w:p>
  <w:p w14:paraId="38115635" w14:textId="59538108" w:rsidR="00B765A2" w:rsidRDefault="00B765A2" w:rsidP="00B765A2">
    <w:pPr>
      <w:pStyle w:val="IPPHeader"/>
      <w:tabs>
        <w:tab w:val="clear" w:pos="1134"/>
      </w:tabs>
      <w:spacing w:after="0"/>
    </w:pPr>
    <w:r w:rsidRPr="0076596B">
      <w:tab/>
      <w:t xml:space="preserve">Agenda item: </w:t>
    </w:r>
    <w:r w:rsidR="000A3753">
      <w:t>11.5</w:t>
    </w:r>
  </w:p>
  <w:p w14:paraId="0C2511B7" w14:textId="77777777" w:rsidR="00B765A2" w:rsidRDefault="00B765A2" w:rsidP="00B765A2">
    <w:pPr>
      <w:pStyle w:val="IPPHeader"/>
      <w:tabs>
        <w:tab w:val="clear" w:pos="1134"/>
      </w:tabs>
      <w:spacing w:after="260"/>
    </w:pPr>
  </w:p>
  <w:p w14:paraId="05254086" w14:textId="59C55961" w:rsidR="00B765A2" w:rsidRPr="0076596B" w:rsidRDefault="00B765A2" w:rsidP="00B765A2">
    <w:pPr>
      <w:pStyle w:val="IPPHeader"/>
      <w:tabs>
        <w:tab w:val="clear" w:pos="1134"/>
      </w:tabs>
      <w:spacing w:after="0"/>
    </w:pPr>
    <w:r w:rsidRPr="00B765A2">
      <w:t>Phytosanitary Capacity Evaluation: update and roadmap</w:t>
    </w:r>
  </w:p>
  <w:bookmarkEnd w:id="2"/>
  <w:bookmarkEnd w:id="3"/>
  <w:p w14:paraId="36F6B7E1" w14:textId="4DA5E9CB" w:rsidR="00B765A2" w:rsidRDefault="00B765A2">
    <w:pPr>
      <w:pStyle w:val="Header"/>
    </w:pPr>
  </w:p>
</w:hdr>
</file>

<file path=word/intelligence2.xml><?xml version="1.0" encoding="utf-8"?>
<int2:intelligence xmlns:int2="http://schemas.microsoft.com/office/intelligence/2020/intelligence" xmlns:oel="http://schemas.microsoft.com/office/2019/extlst">
  <int2:observations>
    <int2:textHash int2:hashCode="Q3Sq7iR/sjfObJ" int2:id="0I57VkvY">
      <int2:state int2:value="Rejected" int2:type="AugLoop_Text_Critique"/>
    </int2:textHash>
    <int2:textHash int2:hashCode="fpIZoFmerh2WAY" int2:id="1AMaTsS3">
      <int2:state int2:value="Rejected" int2:type="AugLoop_Text_Critique"/>
    </int2:textHash>
    <int2:textHash int2:hashCode="CXBsQYgJ8fTP2p" int2:id="28U5PAUi">
      <int2:state int2:value="Rejected" int2:type="AugLoop_Text_Critique"/>
    </int2:textHash>
    <int2:textHash int2:hashCode="LNBwpPyHwJ73mz" int2:id="2QGJ6eQq">
      <int2:state int2:value="Rejected" int2:type="AugLoop_Text_Critique"/>
    </int2:textHash>
    <int2:textHash int2:hashCode="ZsL6Tp5WaVeRpD" int2:id="2aPpXz70">
      <int2:state int2:value="Rejected" int2:type="AugLoop_Text_Critique"/>
    </int2:textHash>
    <int2:textHash int2:hashCode="e+qHSzLAtrdh6T" int2:id="3DHhJ1TZ">
      <int2:state int2:value="Rejected" int2:type="AugLoop_Text_Critique"/>
    </int2:textHash>
    <int2:textHash int2:hashCode="Ae+7U6w52T9PXe" int2:id="3gWz4UFQ">
      <int2:state int2:value="Rejected" int2:type="AugLoop_Text_Critique"/>
    </int2:textHash>
    <int2:textHash int2:hashCode="7QT/Tavx4tTNa4" int2:id="3myb7xpg">
      <int2:state int2:value="Rejected" int2:type="AugLoop_Text_Critique"/>
    </int2:textHash>
    <int2:textHash int2:hashCode="j80lo50gNxgwRK" int2:id="4OWftSvd">
      <int2:state int2:value="Rejected" int2:type="AugLoop_Text_Critique"/>
    </int2:textHash>
    <int2:textHash int2:hashCode="GXyuuLUWS1pec3" int2:id="4i2nAGTA">
      <int2:state int2:value="Rejected" int2:type="AugLoop_Text_Critique"/>
    </int2:textHash>
    <int2:textHash int2:hashCode="N3KQHpD3oC5RKe" int2:id="9bQfUo6J">
      <int2:state int2:value="Rejected" int2:type="AugLoop_Text_Critique"/>
    </int2:textHash>
    <int2:textHash int2:hashCode="a5QuKDH5csIuKw" int2:id="BovWJ2iN">
      <int2:state int2:value="Rejected" int2:type="AugLoop_Text_Critique"/>
    </int2:textHash>
    <int2:textHash int2:hashCode="bMtLfDmm53927P" int2:id="Gx0WyXN7">
      <int2:state int2:value="Rejected" int2:type="AugLoop_Text_Critique"/>
    </int2:textHash>
    <int2:textHash int2:hashCode="/L3EwnHIiYJdgz" int2:id="IuNBV7u5">
      <int2:state int2:value="Rejected" int2:type="AugLoop_Text_Critique"/>
    </int2:textHash>
    <int2:textHash int2:hashCode="XA7EyYTMKuLuqn" int2:id="Iv6inlZr">
      <int2:state int2:value="Rejected" int2:type="AugLoop_Text_Critique"/>
    </int2:textHash>
    <int2:textHash int2:hashCode="uALzhDAssk+6sK" int2:id="NFOh6gax">
      <int2:state int2:value="Rejected" int2:type="AugLoop_Text_Critique"/>
    </int2:textHash>
    <int2:textHash int2:hashCode="M7giAQgex8Q4y1" int2:id="O2no8Zr0">
      <int2:state int2:value="Rejected" int2:type="AugLoop_Text_Critique"/>
    </int2:textHash>
    <int2:textHash int2:hashCode="OrtZNwJC/JiGrS" int2:id="OZdnpQL4">
      <int2:state int2:value="Rejected" int2:type="AugLoop_Text_Critique"/>
    </int2:textHash>
    <int2:textHash int2:hashCode="bTYfHRwRYMH7vA" int2:id="OopabbLx">
      <int2:state int2:value="Rejected" int2:type="AugLoop_Text_Critique"/>
    </int2:textHash>
    <int2:textHash int2:hashCode="sVChqgpjDW0kfJ" int2:id="OxGq491i">
      <int2:state int2:value="Rejected" int2:type="AugLoop_Text_Critique"/>
    </int2:textHash>
    <int2:textHash int2:hashCode="MGA/qeD2IMMFzW" int2:id="PONK6qUH">
      <int2:state int2:value="Rejected" int2:type="AugLoop_Text_Critique"/>
    </int2:textHash>
    <int2:textHash int2:hashCode="Cx6Vz9l3UZGnIk" int2:id="PUAzilYF">
      <int2:state int2:value="Rejected" int2:type="AugLoop_Text_Critique"/>
    </int2:textHash>
    <int2:textHash int2:hashCode="m7QNstNTb3i4Id" int2:id="PucmLiPo">
      <int2:state int2:value="Rejected" int2:type="AugLoop_Text_Critique"/>
    </int2:textHash>
    <int2:textHash int2:hashCode="7bBImyNfXzlwbP" int2:id="QyIdIaZh">
      <int2:state int2:value="Rejected" int2:type="AugLoop_Text_Critique"/>
    </int2:textHash>
    <int2:textHash int2:hashCode="frYFDQUgrITknG" int2:id="Rr7q3QsY">
      <int2:state int2:value="Rejected" int2:type="AugLoop_Text_Critique"/>
    </int2:textHash>
    <int2:textHash int2:hashCode="TvZ5TBP8L0u4x0" int2:id="SSDfZFgC">
      <int2:state int2:value="Rejected" int2:type="AugLoop_Text_Critique"/>
    </int2:textHash>
    <int2:textHash int2:hashCode="WudnfMsAH/3lHT" int2:id="TVUl9V0X">
      <int2:state int2:value="Rejected" int2:type="AugLoop_Text_Critique"/>
    </int2:textHash>
    <int2:textHash int2:hashCode="+OtSXSbhv8zyWG" int2:id="TcESDtD9">
      <int2:state int2:value="Rejected" int2:type="AugLoop_Text_Critique"/>
    </int2:textHash>
    <int2:textHash int2:hashCode="Q+75piq7ix4WVP" int2:id="XEElcXG5">
      <int2:state int2:value="Rejected" int2:type="AugLoop_Text_Critique"/>
    </int2:textHash>
    <int2:textHash int2:hashCode="kOkB8ezfAPkX9U" int2:id="ZhGHQqGB">
      <int2:state int2:value="Rejected" int2:type="AugLoop_Text_Critique"/>
    </int2:textHash>
    <int2:textHash int2:hashCode="tREY9YeFJ04Rfv" int2:id="aWJw8tSR">
      <int2:state int2:value="Rejected" int2:type="AugLoop_Text_Critique"/>
    </int2:textHash>
    <int2:textHash int2:hashCode="MhhRGNlKGEDvig" int2:id="cX0AlFky">
      <int2:state int2:value="Rejected" int2:type="AugLoop_Text_Critique"/>
    </int2:textHash>
    <int2:textHash int2:hashCode="U7ChsvrfTgQM3C" int2:id="dJmIhjit">
      <int2:state int2:value="Rejected" int2:type="AugLoop_Text_Critique"/>
    </int2:textHash>
    <int2:textHash int2:hashCode="ni8UUdXdlt6RIo" int2:id="fCgl6xqO">
      <int2:state int2:value="Rejected" int2:type="AugLoop_Text_Critique"/>
    </int2:textHash>
    <int2:textHash int2:hashCode="YJROVwK9r7dOyW" int2:id="fE35CTyM">
      <int2:state int2:value="Rejected" int2:type="AugLoop_Text_Critique"/>
    </int2:textHash>
    <int2:textHash int2:hashCode="rIPN7NFILLwwHR" int2:id="gs0uxAZq">
      <int2:state int2:value="Rejected" int2:type="AugLoop_Text_Critique"/>
    </int2:textHash>
    <int2:textHash int2:hashCode="u8zfLvsztS5snQ" int2:id="jNbBvLUQ">
      <int2:state int2:value="Rejected" int2:type="AugLoop_Text_Critique"/>
    </int2:textHash>
    <int2:textHash int2:hashCode="ViyLrEv77nYhS6" int2:id="kZC3ISpG">
      <int2:state int2:value="Rejected" int2:type="AugLoop_Text_Critique"/>
    </int2:textHash>
    <int2:textHash int2:hashCode="NQS5cmcXblZ64x" int2:id="kstNDrom">
      <int2:state int2:value="Rejected" int2:type="AugLoop_Text_Critique"/>
    </int2:textHash>
    <int2:textHash int2:hashCode="SnSGIMdh++Qkvt" int2:id="l603a0mn">
      <int2:state int2:value="Rejected" int2:type="AugLoop_Text_Critique"/>
    </int2:textHash>
    <int2:textHash int2:hashCode="HwBdo94Ba8h4CS" int2:id="liMKicus">
      <int2:state int2:value="Rejected" int2:type="AugLoop_Text_Critique"/>
    </int2:textHash>
    <int2:textHash int2:hashCode="TajV1OFOCH7G84" int2:id="ntpROTAt">
      <int2:state int2:value="Rejected" int2:type="AugLoop_Text_Critique"/>
    </int2:textHash>
    <int2:textHash int2:hashCode="95VrJ2Pm/xdBOB" int2:id="oEbrYH8T">
      <int2:state int2:value="Rejected" int2:type="AugLoop_Text_Critique"/>
    </int2:textHash>
    <int2:textHash int2:hashCode="omIMvBD1GY3QPj" int2:id="qtBIOmnV">
      <int2:state int2:value="Rejected" int2:type="AugLoop_Text_Critique"/>
    </int2:textHash>
    <int2:textHash int2:hashCode="t5W3CufWbSWD6j" int2:id="r0osGfAv">
      <int2:state int2:value="Rejected" int2:type="AugLoop_Text_Critique"/>
    </int2:textHash>
    <int2:textHash int2:hashCode="z/pQoyyxOiQNcF" int2:id="r38sBbr6">
      <int2:state int2:value="Rejected" int2:type="AugLoop_Text_Critique"/>
    </int2:textHash>
    <int2:textHash int2:hashCode="rXguzax3D8brmm" int2:id="rClP5PNg">
      <int2:state int2:value="Rejected" int2:type="AugLoop_Text_Critique"/>
    </int2:textHash>
    <int2:textHash int2:hashCode="SradH0SdDJdch8" int2:id="tfbpjUzb">
      <int2:state int2:value="Rejected" int2:type="AugLoop_Text_Critique"/>
    </int2:textHash>
    <int2:textHash int2:hashCode="lwtRWNKf14z3Nb" int2:id="u7CHHBFk">
      <int2:state int2:value="Rejected" int2:type="AugLoop_Text_Critique"/>
    </int2:textHash>
    <int2:textHash int2:hashCode="hos1f2kxbR6bx6" int2:id="utN5ujuG">
      <int2:state int2:value="Rejected" int2:type="AugLoop_Text_Critique"/>
    </int2:textHash>
    <int2:textHash int2:hashCode="NNaDl3u9lYcaEs" int2:id="v3qUIw2i">
      <int2:state int2:value="Rejected" int2:type="AugLoop_Text_Critique"/>
    </int2:textHash>
    <int2:textHash int2:hashCode="qUpGzM7gevdUBM" int2:id="y2uMTllb">
      <int2:state int2:value="Rejected" int2:type="AugLoop_Text_Critique"/>
    </int2:textHash>
    <int2:textHash int2:hashCode="ku/Q0Zn1Y9qgvA" int2:id="y6igUdS3">
      <int2:state int2:value="Rejected" int2:type="AugLoop_Text_Critique"/>
    </int2:textHash>
    <int2:textHash int2:hashCode="iF3EqbNiCU+xOK" int2:id="zWI4oCtE">
      <int2:state int2:value="Rejected" int2:type="AugLoop_Text_Critique"/>
    </int2:textHash>
    <int2:bookmark int2:bookmarkName="_Int_LZkCuTWg" int2:invalidationBookmarkName="" int2:hashCode="+2NVCWywZ3a5Ih" int2:id="Nd1JubVz">
      <int2:state int2:value="Rejected" int2:type="AugLoop_Acronyms_Acronyms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9D54E5B"/>
    <w:multiLevelType w:val="multilevel"/>
    <w:tmpl w:val="96861C3A"/>
    <w:lvl w:ilvl="0">
      <w:start w:val="1"/>
      <w:numFmt w:val="decimal"/>
      <w:lvlText w:val="%1."/>
      <w:lvlJc w:val="left"/>
      <w:pPr>
        <w:ind w:left="360" w:hanging="360"/>
      </w:pPr>
      <w:rPr>
        <w:b/>
      </w:rPr>
    </w:lvl>
    <w:lvl w:ilvl="1">
      <w:start w:val="1"/>
      <w:numFmt w:val="decimal"/>
      <w:lvlText w:val="%1.%2."/>
      <w:lvlJc w:val="left"/>
      <w:pPr>
        <w:ind w:left="792" w:hanging="432"/>
      </w:pPr>
      <w:rPr>
        <w:b/>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7"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782B07"/>
    <w:multiLevelType w:val="multilevel"/>
    <w:tmpl w:val="D53033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5A5B0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92414865">
    <w:abstractNumId w:val="7"/>
  </w:num>
  <w:num w:numId="2" w16cid:durableId="861821561">
    <w:abstractNumId w:val="2"/>
  </w:num>
  <w:num w:numId="3" w16cid:durableId="1804957817">
    <w:abstractNumId w:val="3"/>
  </w:num>
  <w:num w:numId="4" w16cid:durableId="820542989">
    <w:abstractNumId w:val="11"/>
  </w:num>
  <w:num w:numId="5" w16cid:durableId="149248291">
    <w:abstractNumId w:val="5"/>
  </w:num>
  <w:num w:numId="6" w16cid:durableId="2125926181">
    <w:abstractNumId w:val="12"/>
  </w:num>
  <w:num w:numId="7" w16cid:durableId="2117631307">
    <w:abstractNumId w:val="0"/>
  </w:num>
  <w:num w:numId="8" w16cid:durableId="166333183">
    <w:abstractNumId w:val="9"/>
  </w:num>
  <w:num w:numId="9" w16cid:durableId="1405033998">
    <w:abstractNumId w:val="6"/>
  </w:num>
  <w:num w:numId="10" w16cid:durableId="925765409">
    <w:abstractNumId w:val="1"/>
    <w:lvlOverride w:ilvl="0">
      <w:lvl w:ilvl="0">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9187314">
    <w:abstractNumId w:val="4"/>
  </w:num>
  <w:num w:numId="12" w16cid:durableId="498808012">
    <w:abstractNumId w:val="10"/>
  </w:num>
  <w:num w:numId="13" w16cid:durableId="106105605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hyphenationZone w:val="425"/>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Y0MDU0MTU1NTEztTRT0lEKTi0uzszPAykwMqsFAIcSJDUtAAAA"/>
  </w:docVars>
  <w:rsids>
    <w:rsidRoot w:val="005168C7"/>
    <w:rsid w:val="000005DC"/>
    <w:rsid w:val="00000976"/>
    <w:rsid w:val="00000F5B"/>
    <w:rsid w:val="00001633"/>
    <w:rsid w:val="00001AAB"/>
    <w:rsid w:val="00002CA7"/>
    <w:rsid w:val="000030DA"/>
    <w:rsid w:val="000036FD"/>
    <w:rsid w:val="00003925"/>
    <w:rsid w:val="00003A24"/>
    <w:rsid w:val="00004122"/>
    <w:rsid w:val="000047FE"/>
    <w:rsid w:val="0000498C"/>
    <w:rsid w:val="00004E21"/>
    <w:rsid w:val="00005922"/>
    <w:rsid w:val="00005C12"/>
    <w:rsid w:val="00006215"/>
    <w:rsid w:val="000065AC"/>
    <w:rsid w:val="00006F44"/>
    <w:rsid w:val="000076A7"/>
    <w:rsid w:val="000076ED"/>
    <w:rsid w:val="0000787E"/>
    <w:rsid w:val="000100C0"/>
    <w:rsid w:val="0001042E"/>
    <w:rsid w:val="00010C91"/>
    <w:rsid w:val="000119BE"/>
    <w:rsid w:val="00012199"/>
    <w:rsid w:val="00012498"/>
    <w:rsid w:val="000129B2"/>
    <w:rsid w:val="00012BB7"/>
    <w:rsid w:val="00012C44"/>
    <w:rsid w:val="00013230"/>
    <w:rsid w:val="0001375C"/>
    <w:rsid w:val="000138F4"/>
    <w:rsid w:val="00013EF9"/>
    <w:rsid w:val="00014337"/>
    <w:rsid w:val="000148BE"/>
    <w:rsid w:val="00014AE6"/>
    <w:rsid w:val="00014CB3"/>
    <w:rsid w:val="000152C7"/>
    <w:rsid w:val="000155D0"/>
    <w:rsid w:val="000163A8"/>
    <w:rsid w:val="000163E2"/>
    <w:rsid w:val="000166FF"/>
    <w:rsid w:val="00016CB9"/>
    <w:rsid w:val="0001731A"/>
    <w:rsid w:val="00017692"/>
    <w:rsid w:val="00020380"/>
    <w:rsid w:val="000207B6"/>
    <w:rsid w:val="00021702"/>
    <w:rsid w:val="00021C20"/>
    <w:rsid w:val="00021EEB"/>
    <w:rsid w:val="00023148"/>
    <w:rsid w:val="00023149"/>
    <w:rsid w:val="00023241"/>
    <w:rsid w:val="00024EB4"/>
    <w:rsid w:val="00025436"/>
    <w:rsid w:val="0002554F"/>
    <w:rsid w:val="00025AAB"/>
    <w:rsid w:val="00026AB4"/>
    <w:rsid w:val="000278B9"/>
    <w:rsid w:val="00027A97"/>
    <w:rsid w:val="0003017B"/>
    <w:rsid w:val="00030903"/>
    <w:rsid w:val="000319E2"/>
    <w:rsid w:val="00031BF7"/>
    <w:rsid w:val="00031D24"/>
    <w:rsid w:val="00032AD3"/>
    <w:rsid w:val="00033276"/>
    <w:rsid w:val="0003348C"/>
    <w:rsid w:val="00034682"/>
    <w:rsid w:val="000355B1"/>
    <w:rsid w:val="00035957"/>
    <w:rsid w:val="00036881"/>
    <w:rsid w:val="0003735A"/>
    <w:rsid w:val="000379EA"/>
    <w:rsid w:val="000411F6"/>
    <w:rsid w:val="0004162B"/>
    <w:rsid w:val="00041ABB"/>
    <w:rsid w:val="00041D2C"/>
    <w:rsid w:val="00041FDD"/>
    <w:rsid w:val="000420EE"/>
    <w:rsid w:val="0004249A"/>
    <w:rsid w:val="00042A0A"/>
    <w:rsid w:val="00042BBB"/>
    <w:rsid w:val="00042CF4"/>
    <w:rsid w:val="00043190"/>
    <w:rsid w:val="0004347D"/>
    <w:rsid w:val="00044695"/>
    <w:rsid w:val="00045475"/>
    <w:rsid w:val="00045D7A"/>
    <w:rsid w:val="00045E81"/>
    <w:rsid w:val="00046387"/>
    <w:rsid w:val="00047363"/>
    <w:rsid w:val="000478E7"/>
    <w:rsid w:val="00047B2A"/>
    <w:rsid w:val="00047E95"/>
    <w:rsid w:val="0005040E"/>
    <w:rsid w:val="00051601"/>
    <w:rsid w:val="00051870"/>
    <w:rsid w:val="00051A4B"/>
    <w:rsid w:val="00052048"/>
    <w:rsid w:val="0005223F"/>
    <w:rsid w:val="00052473"/>
    <w:rsid w:val="000527C7"/>
    <w:rsid w:val="00054493"/>
    <w:rsid w:val="0005666F"/>
    <w:rsid w:val="000574B7"/>
    <w:rsid w:val="000574D6"/>
    <w:rsid w:val="00057D93"/>
    <w:rsid w:val="00060037"/>
    <w:rsid w:val="00061320"/>
    <w:rsid w:val="00061554"/>
    <w:rsid w:val="0006179D"/>
    <w:rsid w:val="00061E69"/>
    <w:rsid w:val="0006243B"/>
    <w:rsid w:val="000624F6"/>
    <w:rsid w:val="0006293E"/>
    <w:rsid w:val="00063603"/>
    <w:rsid w:val="00063D1D"/>
    <w:rsid w:val="0006434F"/>
    <w:rsid w:val="00064A48"/>
    <w:rsid w:val="0006509A"/>
    <w:rsid w:val="000650DA"/>
    <w:rsid w:val="00065257"/>
    <w:rsid w:val="000654D1"/>
    <w:rsid w:val="00065C46"/>
    <w:rsid w:val="0006608C"/>
    <w:rsid w:val="0006610F"/>
    <w:rsid w:val="0006648E"/>
    <w:rsid w:val="00066863"/>
    <w:rsid w:val="0006689B"/>
    <w:rsid w:val="00066CBC"/>
    <w:rsid w:val="00067CD2"/>
    <w:rsid w:val="0007057A"/>
    <w:rsid w:val="0007062F"/>
    <w:rsid w:val="00070CBC"/>
    <w:rsid w:val="00071056"/>
    <w:rsid w:val="0007154B"/>
    <w:rsid w:val="000715DB"/>
    <w:rsid w:val="0007164E"/>
    <w:rsid w:val="00072737"/>
    <w:rsid w:val="00072AA0"/>
    <w:rsid w:val="00072B61"/>
    <w:rsid w:val="00072B7A"/>
    <w:rsid w:val="00072DCE"/>
    <w:rsid w:val="00072E79"/>
    <w:rsid w:val="0007367E"/>
    <w:rsid w:val="000752B3"/>
    <w:rsid w:val="00075C52"/>
    <w:rsid w:val="00076331"/>
    <w:rsid w:val="00080A8B"/>
    <w:rsid w:val="000810A0"/>
    <w:rsid w:val="000817B0"/>
    <w:rsid w:val="0008242E"/>
    <w:rsid w:val="00083115"/>
    <w:rsid w:val="00083493"/>
    <w:rsid w:val="00083A0F"/>
    <w:rsid w:val="0008426A"/>
    <w:rsid w:val="00084F02"/>
    <w:rsid w:val="00085827"/>
    <w:rsid w:val="0008612A"/>
    <w:rsid w:val="00086502"/>
    <w:rsid w:val="000876B5"/>
    <w:rsid w:val="0008F89B"/>
    <w:rsid w:val="00090427"/>
    <w:rsid w:val="0009162E"/>
    <w:rsid w:val="00091D77"/>
    <w:rsid w:val="0009258F"/>
    <w:rsid w:val="0009273A"/>
    <w:rsid w:val="0009289E"/>
    <w:rsid w:val="00093AA1"/>
    <w:rsid w:val="00093F7D"/>
    <w:rsid w:val="00094A4E"/>
    <w:rsid w:val="00094D01"/>
    <w:rsid w:val="0009621C"/>
    <w:rsid w:val="00097414"/>
    <w:rsid w:val="00097629"/>
    <w:rsid w:val="00097F66"/>
    <w:rsid w:val="0009CDDD"/>
    <w:rsid w:val="000A01B8"/>
    <w:rsid w:val="000A08A9"/>
    <w:rsid w:val="000A116C"/>
    <w:rsid w:val="000A116D"/>
    <w:rsid w:val="000A13C7"/>
    <w:rsid w:val="000A1834"/>
    <w:rsid w:val="000A1CB1"/>
    <w:rsid w:val="000A2918"/>
    <w:rsid w:val="000A2BF1"/>
    <w:rsid w:val="000A3190"/>
    <w:rsid w:val="000A3753"/>
    <w:rsid w:val="000A3945"/>
    <w:rsid w:val="000A42C2"/>
    <w:rsid w:val="000A4488"/>
    <w:rsid w:val="000A491B"/>
    <w:rsid w:val="000A4A26"/>
    <w:rsid w:val="000A5AEB"/>
    <w:rsid w:val="000A6872"/>
    <w:rsid w:val="000A6FB6"/>
    <w:rsid w:val="000A704A"/>
    <w:rsid w:val="000A713F"/>
    <w:rsid w:val="000A7213"/>
    <w:rsid w:val="000A7B2D"/>
    <w:rsid w:val="000B029A"/>
    <w:rsid w:val="000B0C56"/>
    <w:rsid w:val="000B2C31"/>
    <w:rsid w:val="000B3649"/>
    <w:rsid w:val="000B3F6D"/>
    <w:rsid w:val="000B45BF"/>
    <w:rsid w:val="000B482E"/>
    <w:rsid w:val="000B48FE"/>
    <w:rsid w:val="000B4C6D"/>
    <w:rsid w:val="000B4FAB"/>
    <w:rsid w:val="000B52CA"/>
    <w:rsid w:val="000B53B1"/>
    <w:rsid w:val="000B5FD8"/>
    <w:rsid w:val="000B6011"/>
    <w:rsid w:val="000B668A"/>
    <w:rsid w:val="000B7633"/>
    <w:rsid w:val="000B7B95"/>
    <w:rsid w:val="000C0293"/>
    <w:rsid w:val="000C0926"/>
    <w:rsid w:val="000C0E7E"/>
    <w:rsid w:val="000C10AE"/>
    <w:rsid w:val="000C1197"/>
    <w:rsid w:val="000C12C6"/>
    <w:rsid w:val="000C12FF"/>
    <w:rsid w:val="000C18A6"/>
    <w:rsid w:val="000C1D5B"/>
    <w:rsid w:val="000C2122"/>
    <w:rsid w:val="000C2249"/>
    <w:rsid w:val="000C26E7"/>
    <w:rsid w:val="000C2F2E"/>
    <w:rsid w:val="000C2F6D"/>
    <w:rsid w:val="000C358A"/>
    <w:rsid w:val="000C37FD"/>
    <w:rsid w:val="000C3BEC"/>
    <w:rsid w:val="000C4547"/>
    <w:rsid w:val="000C48C1"/>
    <w:rsid w:val="000C4AF3"/>
    <w:rsid w:val="000C55C3"/>
    <w:rsid w:val="000C56D3"/>
    <w:rsid w:val="000C5AD1"/>
    <w:rsid w:val="000C5BD8"/>
    <w:rsid w:val="000C6348"/>
    <w:rsid w:val="000C6CF3"/>
    <w:rsid w:val="000C7944"/>
    <w:rsid w:val="000D00C3"/>
    <w:rsid w:val="000D00E4"/>
    <w:rsid w:val="000D0172"/>
    <w:rsid w:val="000D0789"/>
    <w:rsid w:val="000D1131"/>
    <w:rsid w:val="000D14DA"/>
    <w:rsid w:val="000D17C8"/>
    <w:rsid w:val="000D1CF8"/>
    <w:rsid w:val="000D2E89"/>
    <w:rsid w:val="000D4EE6"/>
    <w:rsid w:val="000D66D7"/>
    <w:rsid w:val="000D66E0"/>
    <w:rsid w:val="000D79F8"/>
    <w:rsid w:val="000D7B27"/>
    <w:rsid w:val="000D7E66"/>
    <w:rsid w:val="000E1B2C"/>
    <w:rsid w:val="000E2782"/>
    <w:rsid w:val="000E2D4F"/>
    <w:rsid w:val="000E492B"/>
    <w:rsid w:val="000E58C6"/>
    <w:rsid w:val="000E6305"/>
    <w:rsid w:val="000E6E72"/>
    <w:rsid w:val="000E768F"/>
    <w:rsid w:val="000E7B19"/>
    <w:rsid w:val="000E7D94"/>
    <w:rsid w:val="000F03E3"/>
    <w:rsid w:val="000F1533"/>
    <w:rsid w:val="000F18B1"/>
    <w:rsid w:val="000F1DCB"/>
    <w:rsid w:val="000F21C1"/>
    <w:rsid w:val="000F29E3"/>
    <w:rsid w:val="000F2BDD"/>
    <w:rsid w:val="000F2C2D"/>
    <w:rsid w:val="000F3113"/>
    <w:rsid w:val="000F336A"/>
    <w:rsid w:val="000F3DD2"/>
    <w:rsid w:val="000F3F38"/>
    <w:rsid w:val="000F4CB0"/>
    <w:rsid w:val="000F694C"/>
    <w:rsid w:val="000F79A1"/>
    <w:rsid w:val="000F7E22"/>
    <w:rsid w:val="00101671"/>
    <w:rsid w:val="00101AC4"/>
    <w:rsid w:val="00102371"/>
    <w:rsid w:val="001024B9"/>
    <w:rsid w:val="001030D9"/>
    <w:rsid w:val="001031D5"/>
    <w:rsid w:val="0010326D"/>
    <w:rsid w:val="00103AB5"/>
    <w:rsid w:val="001041E5"/>
    <w:rsid w:val="0010455F"/>
    <w:rsid w:val="00104D91"/>
    <w:rsid w:val="0010577D"/>
    <w:rsid w:val="0010591C"/>
    <w:rsid w:val="00106E9F"/>
    <w:rsid w:val="001101BF"/>
    <w:rsid w:val="001101CE"/>
    <w:rsid w:val="00111DF1"/>
    <w:rsid w:val="00111E51"/>
    <w:rsid w:val="001120E9"/>
    <w:rsid w:val="00112331"/>
    <w:rsid w:val="00112D75"/>
    <w:rsid w:val="00112DC4"/>
    <w:rsid w:val="001131DB"/>
    <w:rsid w:val="001132ED"/>
    <w:rsid w:val="00113D3A"/>
    <w:rsid w:val="00113D81"/>
    <w:rsid w:val="001149AB"/>
    <w:rsid w:val="00116323"/>
    <w:rsid w:val="001171DC"/>
    <w:rsid w:val="00117E55"/>
    <w:rsid w:val="00120421"/>
    <w:rsid w:val="00122002"/>
    <w:rsid w:val="00122298"/>
    <w:rsid w:val="00122543"/>
    <w:rsid w:val="00122EF7"/>
    <w:rsid w:val="00123481"/>
    <w:rsid w:val="00123E1B"/>
    <w:rsid w:val="00124057"/>
    <w:rsid w:val="00124E93"/>
    <w:rsid w:val="00125560"/>
    <w:rsid w:val="001255CA"/>
    <w:rsid w:val="0012605B"/>
    <w:rsid w:val="00126C21"/>
    <w:rsid w:val="00126E79"/>
    <w:rsid w:val="001270DF"/>
    <w:rsid w:val="0012715B"/>
    <w:rsid w:val="001274B6"/>
    <w:rsid w:val="00127F34"/>
    <w:rsid w:val="00127F78"/>
    <w:rsid w:val="0013044C"/>
    <w:rsid w:val="001309B2"/>
    <w:rsid w:val="00131054"/>
    <w:rsid w:val="001312EF"/>
    <w:rsid w:val="001317E5"/>
    <w:rsid w:val="00132227"/>
    <w:rsid w:val="001323A8"/>
    <w:rsid w:val="00132836"/>
    <w:rsid w:val="00132FEE"/>
    <w:rsid w:val="001339F9"/>
    <w:rsid w:val="00134FB8"/>
    <w:rsid w:val="00135275"/>
    <w:rsid w:val="0013562B"/>
    <w:rsid w:val="00135F5E"/>
    <w:rsid w:val="001363FE"/>
    <w:rsid w:val="00136BAC"/>
    <w:rsid w:val="0013771E"/>
    <w:rsid w:val="00137C4C"/>
    <w:rsid w:val="001406C0"/>
    <w:rsid w:val="001419F6"/>
    <w:rsid w:val="00142311"/>
    <w:rsid w:val="001425E1"/>
    <w:rsid w:val="00142AA8"/>
    <w:rsid w:val="001435FE"/>
    <w:rsid w:val="0014454F"/>
    <w:rsid w:val="001448FF"/>
    <w:rsid w:val="00144CF8"/>
    <w:rsid w:val="00145A8C"/>
    <w:rsid w:val="00145E56"/>
    <w:rsid w:val="00146205"/>
    <w:rsid w:val="0014660D"/>
    <w:rsid w:val="00146D3A"/>
    <w:rsid w:val="00146F01"/>
    <w:rsid w:val="001479FD"/>
    <w:rsid w:val="001500AA"/>
    <w:rsid w:val="001516B5"/>
    <w:rsid w:val="0015172A"/>
    <w:rsid w:val="00152155"/>
    <w:rsid w:val="00152AE5"/>
    <w:rsid w:val="00152B64"/>
    <w:rsid w:val="0015345F"/>
    <w:rsid w:val="00153B58"/>
    <w:rsid w:val="00153BBE"/>
    <w:rsid w:val="00153CFD"/>
    <w:rsid w:val="00155171"/>
    <w:rsid w:val="00155729"/>
    <w:rsid w:val="00155AAA"/>
    <w:rsid w:val="00155C03"/>
    <w:rsid w:val="00155E95"/>
    <w:rsid w:val="0015616E"/>
    <w:rsid w:val="001563FA"/>
    <w:rsid w:val="00156887"/>
    <w:rsid w:val="0015728A"/>
    <w:rsid w:val="00157E3D"/>
    <w:rsid w:val="00161F20"/>
    <w:rsid w:val="001626FC"/>
    <w:rsid w:val="0016323C"/>
    <w:rsid w:val="0016324A"/>
    <w:rsid w:val="00163C96"/>
    <w:rsid w:val="001640F6"/>
    <w:rsid w:val="0016433E"/>
    <w:rsid w:val="0016490B"/>
    <w:rsid w:val="00165D2F"/>
    <w:rsid w:val="0016660F"/>
    <w:rsid w:val="001670A2"/>
    <w:rsid w:val="00167429"/>
    <w:rsid w:val="00167EAD"/>
    <w:rsid w:val="001702E1"/>
    <w:rsid w:val="0017063E"/>
    <w:rsid w:val="00170719"/>
    <w:rsid w:val="00170775"/>
    <w:rsid w:val="00171AF0"/>
    <w:rsid w:val="0017242E"/>
    <w:rsid w:val="001725C0"/>
    <w:rsid w:val="0017297B"/>
    <w:rsid w:val="001743CA"/>
    <w:rsid w:val="00175CD3"/>
    <w:rsid w:val="00175E7A"/>
    <w:rsid w:val="001760B7"/>
    <w:rsid w:val="00176451"/>
    <w:rsid w:val="00177178"/>
    <w:rsid w:val="0017772C"/>
    <w:rsid w:val="001777A3"/>
    <w:rsid w:val="0018059C"/>
    <w:rsid w:val="001808C3"/>
    <w:rsid w:val="00181A2C"/>
    <w:rsid w:val="00181C13"/>
    <w:rsid w:val="00182578"/>
    <w:rsid w:val="00182C97"/>
    <w:rsid w:val="00183760"/>
    <w:rsid w:val="00184264"/>
    <w:rsid w:val="00184280"/>
    <w:rsid w:val="001842CB"/>
    <w:rsid w:val="001843CF"/>
    <w:rsid w:val="00184819"/>
    <w:rsid w:val="001852CC"/>
    <w:rsid w:val="00185681"/>
    <w:rsid w:val="00185EBF"/>
    <w:rsid w:val="00186438"/>
    <w:rsid w:val="0018646C"/>
    <w:rsid w:val="0018676A"/>
    <w:rsid w:val="00190272"/>
    <w:rsid w:val="00190378"/>
    <w:rsid w:val="001910BE"/>
    <w:rsid w:val="00191314"/>
    <w:rsid w:val="00191B04"/>
    <w:rsid w:val="00191CB6"/>
    <w:rsid w:val="00191D50"/>
    <w:rsid w:val="00192AA8"/>
    <w:rsid w:val="00194383"/>
    <w:rsid w:val="001943E5"/>
    <w:rsid w:val="0019455C"/>
    <w:rsid w:val="0019483C"/>
    <w:rsid w:val="001950CA"/>
    <w:rsid w:val="00196120"/>
    <w:rsid w:val="001A0071"/>
    <w:rsid w:val="001A00E0"/>
    <w:rsid w:val="001A0178"/>
    <w:rsid w:val="001A08D3"/>
    <w:rsid w:val="001A106D"/>
    <w:rsid w:val="001A1D7C"/>
    <w:rsid w:val="001A2055"/>
    <w:rsid w:val="001A2148"/>
    <w:rsid w:val="001A32F0"/>
    <w:rsid w:val="001A3808"/>
    <w:rsid w:val="001A4039"/>
    <w:rsid w:val="001A5650"/>
    <w:rsid w:val="001A5694"/>
    <w:rsid w:val="001A5A81"/>
    <w:rsid w:val="001A5E05"/>
    <w:rsid w:val="001A6847"/>
    <w:rsid w:val="001B0085"/>
    <w:rsid w:val="001B048A"/>
    <w:rsid w:val="001B06B3"/>
    <w:rsid w:val="001B0C26"/>
    <w:rsid w:val="001B1273"/>
    <w:rsid w:val="001B258A"/>
    <w:rsid w:val="001B27A0"/>
    <w:rsid w:val="001B298C"/>
    <w:rsid w:val="001B311E"/>
    <w:rsid w:val="001B32BB"/>
    <w:rsid w:val="001B3B9E"/>
    <w:rsid w:val="001B3C91"/>
    <w:rsid w:val="001B48CC"/>
    <w:rsid w:val="001B549E"/>
    <w:rsid w:val="001B599B"/>
    <w:rsid w:val="001B60C4"/>
    <w:rsid w:val="001B6F1E"/>
    <w:rsid w:val="001B720B"/>
    <w:rsid w:val="001B747D"/>
    <w:rsid w:val="001B7935"/>
    <w:rsid w:val="001B7E62"/>
    <w:rsid w:val="001C133B"/>
    <w:rsid w:val="001C1507"/>
    <w:rsid w:val="001C1BA8"/>
    <w:rsid w:val="001C204A"/>
    <w:rsid w:val="001C2F56"/>
    <w:rsid w:val="001C4482"/>
    <w:rsid w:val="001C472B"/>
    <w:rsid w:val="001C5140"/>
    <w:rsid w:val="001C57DC"/>
    <w:rsid w:val="001C601A"/>
    <w:rsid w:val="001C6AF1"/>
    <w:rsid w:val="001C6FC9"/>
    <w:rsid w:val="001C6FD8"/>
    <w:rsid w:val="001C77B6"/>
    <w:rsid w:val="001C7A3D"/>
    <w:rsid w:val="001D0BED"/>
    <w:rsid w:val="001D12E5"/>
    <w:rsid w:val="001D16F2"/>
    <w:rsid w:val="001D1D3F"/>
    <w:rsid w:val="001D27EA"/>
    <w:rsid w:val="001D513D"/>
    <w:rsid w:val="001D5322"/>
    <w:rsid w:val="001D5431"/>
    <w:rsid w:val="001D6C1F"/>
    <w:rsid w:val="001D755A"/>
    <w:rsid w:val="001D7B07"/>
    <w:rsid w:val="001D7BA7"/>
    <w:rsid w:val="001D7EB1"/>
    <w:rsid w:val="001E0721"/>
    <w:rsid w:val="001E09A4"/>
    <w:rsid w:val="001E0D9E"/>
    <w:rsid w:val="001E138B"/>
    <w:rsid w:val="001E13D5"/>
    <w:rsid w:val="001E1514"/>
    <w:rsid w:val="001E16D6"/>
    <w:rsid w:val="001E20BF"/>
    <w:rsid w:val="001E294E"/>
    <w:rsid w:val="001E2A56"/>
    <w:rsid w:val="001E2C8A"/>
    <w:rsid w:val="001E35E6"/>
    <w:rsid w:val="001E3B70"/>
    <w:rsid w:val="001E3E10"/>
    <w:rsid w:val="001E442D"/>
    <w:rsid w:val="001E458E"/>
    <w:rsid w:val="001E4A19"/>
    <w:rsid w:val="001E4C7F"/>
    <w:rsid w:val="001E4CEF"/>
    <w:rsid w:val="001E4D3E"/>
    <w:rsid w:val="001E575B"/>
    <w:rsid w:val="001E5B85"/>
    <w:rsid w:val="001E6AB5"/>
    <w:rsid w:val="001E6C43"/>
    <w:rsid w:val="001E6DD5"/>
    <w:rsid w:val="001E738F"/>
    <w:rsid w:val="001E7621"/>
    <w:rsid w:val="001E78CC"/>
    <w:rsid w:val="001E7AF1"/>
    <w:rsid w:val="001F0432"/>
    <w:rsid w:val="001F0A5C"/>
    <w:rsid w:val="001F155B"/>
    <w:rsid w:val="001F194E"/>
    <w:rsid w:val="001F1EBF"/>
    <w:rsid w:val="001F26E5"/>
    <w:rsid w:val="001F2AB7"/>
    <w:rsid w:val="001F45B5"/>
    <w:rsid w:val="001F526F"/>
    <w:rsid w:val="001F56C1"/>
    <w:rsid w:val="001F6109"/>
    <w:rsid w:val="001F633B"/>
    <w:rsid w:val="001F637E"/>
    <w:rsid w:val="001F63AB"/>
    <w:rsid w:val="001F6AE6"/>
    <w:rsid w:val="001F7186"/>
    <w:rsid w:val="001F7558"/>
    <w:rsid w:val="001F7CA5"/>
    <w:rsid w:val="001F7D02"/>
    <w:rsid w:val="0020010E"/>
    <w:rsid w:val="0020094F"/>
    <w:rsid w:val="00200D19"/>
    <w:rsid w:val="00201370"/>
    <w:rsid w:val="00201AD2"/>
    <w:rsid w:val="002038D7"/>
    <w:rsid w:val="0020393F"/>
    <w:rsid w:val="0020530A"/>
    <w:rsid w:val="00206083"/>
    <w:rsid w:val="00206551"/>
    <w:rsid w:val="00206D60"/>
    <w:rsid w:val="0020747D"/>
    <w:rsid w:val="00207E2C"/>
    <w:rsid w:val="002101D2"/>
    <w:rsid w:val="00210913"/>
    <w:rsid w:val="00211B74"/>
    <w:rsid w:val="00212064"/>
    <w:rsid w:val="00212C46"/>
    <w:rsid w:val="00213A04"/>
    <w:rsid w:val="00213A2F"/>
    <w:rsid w:val="00213CBE"/>
    <w:rsid w:val="00213FCD"/>
    <w:rsid w:val="002156D2"/>
    <w:rsid w:val="00215D0B"/>
    <w:rsid w:val="00215D4A"/>
    <w:rsid w:val="00216297"/>
    <w:rsid w:val="00216505"/>
    <w:rsid w:val="00216525"/>
    <w:rsid w:val="00217B5F"/>
    <w:rsid w:val="00220A28"/>
    <w:rsid w:val="00220B44"/>
    <w:rsid w:val="002221E7"/>
    <w:rsid w:val="0022281C"/>
    <w:rsid w:val="00222F12"/>
    <w:rsid w:val="00222F52"/>
    <w:rsid w:val="0022366E"/>
    <w:rsid w:val="002240F6"/>
    <w:rsid w:val="00224108"/>
    <w:rsid w:val="00225FC4"/>
    <w:rsid w:val="00226367"/>
    <w:rsid w:val="002263C6"/>
    <w:rsid w:val="002264F0"/>
    <w:rsid w:val="002268C4"/>
    <w:rsid w:val="00226A3F"/>
    <w:rsid w:val="00227367"/>
    <w:rsid w:val="0022778E"/>
    <w:rsid w:val="002307CC"/>
    <w:rsid w:val="00231710"/>
    <w:rsid w:val="00232918"/>
    <w:rsid w:val="00232A60"/>
    <w:rsid w:val="00232FF1"/>
    <w:rsid w:val="002330A5"/>
    <w:rsid w:val="002331AA"/>
    <w:rsid w:val="00233217"/>
    <w:rsid w:val="00233299"/>
    <w:rsid w:val="002333CB"/>
    <w:rsid w:val="002335BF"/>
    <w:rsid w:val="00233704"/>
    <w:rsid w:val="00233A4B"/>
    <w:rsid w:val="0023424C"/>
    <w:rsid w:val="00235159"/>
    <w:rsid w:val="00235554"/>
    <w:rsid w:val="0023567F"/>
    <w:rsid w:val="002360A6"/>
    <w:rsid w:val="00236782"/>
    <w:rsid w:val="00237784"/>
    <w:rsid w:val="00237EB6"/>
    <w:rsid w:val="0024027A"/>
    <w:rsid w:val="00240458"/>
    <w:rsid w:val="0024070A"/>
    <w:rsid w:val="00240848"/>
    <w:rsid w:val="00240E62"/>
    <w:rsid w:val="00241750"/>
    <w:rsid w:val="002418A2"/>
    <w:rsid w:val="00242125"/>
    <w:rsid w:val="00242427"/>
    <w:rsid w:val="00242539"/>
    <w:rsid w:val="00242556"/>
    <w:rsid w:val="0024275B"/>
    <w:rsid w:val="00242B1B"/>
    <w:rsid w:val="00242DD0"/>
    <w:rsid w:val="00244363"/>
    <w:rsid w:val="00244A0F"/>
    <w:rsid w:val="00244C55"/>
    <w:rsid w:val="00245AED"/>
    <w:rsid w:val="00246100"/>
    <w:rsid w:val="00246539"/>
    <w:rsid w:val="0024653B"/>
    <w:rsid w:val="002465C3"/>
    <w:rsid w:val="00246A57"/>
    <w:rsid w:val="0024C0B5"/>
    <w:rsid w:val="0025049C"/>
    <w:rsid w:val="002505B1"/>
    <w:rsid w:val="00250813"/>
    <w:rsid w:val="00250B02"/>
    <w:rsid w:val="0025127B"/>
    <w:rsid w:val="002517B8"/>
    <w:rsid w:val="00251963"/>
    <w:rsid w:val="00253233"/>
    <w:rsid w:val="0025531B"/>
    <w:rsid w:val="00255E8E"/>
    <w:rsid w:val="00256CF8"/>
    <w:rsid w:val="00256EDF"/>
    <w:rsid w:val="00257B9B"/>
    <w:rsid w:val="002609F6"/>
    <w:rsid w:val="00261944"/>
    <w:rsid w:val="002619CA"/>
    <w:rsid w:val="00262DCA"/>
    <w:rsid w:val="00263FE9"/>
    <w:rsid w:val="002642AB"/>
    <w:rsid w:val="00264550"/>
    <w:rsid w:val="00265890"/>
    <w:rsid w:val="00265ABE"/>
    <w:rsid w:val="002670D3"/>
    <w:rsid w:val="0026728A"/>
    <w:rsid w:val="0026728D"/>
    <w:rsid w:val="002706F3"/>
    <w:rsid w:val="00270FD0"/>
    <w:rsid w:val="002710B8"/>
    <w:rsid w:val="00271154"/>
    <w:rsid w:val="00272A9A"/>
    <w:rsid w:val="00273303"/>
    <w:rsid w:val="00273380"/>
    <w:rsid w:val="00273F5F"/>
    <w:rsid w:val="00273F66"/>
    <w:rsid w:val="00274717"/>
    <w:rsid w:val="00274C70"/>
    <w:rsid w:val="002754BE"/>
    <w:rsid w:val="00275FB9"/>
    <w:rsid w:val="002762FD"/>
    <w:rsid w:val="002766D5"/>
    <w:rsid w:val="002767AC"/>
    <w:rsid w:val="00277463"/>
    <w:rsid w:val="00277E10"/>
    <w:rsid w:val="00277E13"/>
    <w:rsid w:val="00280798"/>
    <w:rsid w:val="00281209"/>
    <w:rsid w:val="00281EE2"/>
    <w:rsid w:val="002824CF"/>
    <w:rsid w:val="00282E29"/>
    <w:rsid w:val="0028410F"/>
    <w:rsid w:val="00284E44"/>
    <w:rsid w:val="00284E92"/>
    <w:rsid w:val="002852CE"/>
    <w:rsid w:val="002861DC"/>
    <w:rsid w:val="00286EA4"/>
    <w:rsid w:val="002875B5"/>
    <w:rsid w:val="0028778B"/>
    <w:rsid w:val="0029037F"/>
    <w:rsid w:val="00290786"/>
    <w:rsid w:val="00290E8D"/>
    <w:rsid w:val="00291100"/>
    <w:rsid w:val="00291299"/>
    <w:rsid w:val="0029158F"/>
    <w:rsid w:val="00291785"/>
    <w:rsid w:val="0029181E"/>
    <w:rsid w:val="00291822"/>
    <w:rsid w:val="00292A57"/>
    <w:rsid w:val="00293169"/>
    <w:rsid w:val="0029360B"/>
    <w:rsid w:val="00294645"/>
    <w:rsid w:val="002948EE"/>
    <w:rsid w:val="00294AD1"/>
    <w:rsid w:val="0029541C"/>
    <w:rsid w:val="00295786"/>
    <w:rsid w:val="00296173"/>
    <w:rsid w:val="00296876"/>
    <w:rsid w:val="0029724E"/>
    <w:rsid w:val="00297694"/>
    <w:rsid w:val="00297A84"/>
    <w:rsid w:val="00297C07"/>
    <w:rsid w:val="00297CEB"/>
    <w:rsid w:val="00297F47"/>
    <w:rsid w:val="002A049E"/>
    <w:rsid w:val="002A04C4"/>
    <w:rsid w:val="002A04D5"/>
    <w:rsid w:val="002A0526"/>
    <w:rsid w:val="002A0707"/>
    <w:rsid w:val="002A0829"/>
    <w:rsid w:val="002A0C40"/>
    <w:rsid w:val="002A111D"/>
    <w:rsid w:val="002A18DB"/>
    <w:rsid w:val="002A1AFF"/>
    <w:rsid w:val="002A20B6"/>
    <w:rsid w:val="002A2756"/>
    <w:rsid w:val="002A2815"/>
    <w:rsid w:val="002A3D0C"/>
    <w:rsid w:val="002A4E1E"/>
    <w:rsid w:val="002A5049"/>
    <w:rsid w:val="002A5449"/>
    <w:rsid w:val="002A566E"/>
    <w:rsid w:val="002A695F"/>
    <w:rsid w:val="002A6F9E"/>
    <w:rsid w:val="002A7364"/>
    <w:rsid w:val="002A7BAD"/>
    <w:rsid w:val="002A7C0E"/>
    <w:rsid w:val="002B0052"/>
    <w:rsid w:val="002B057F"/>
    <w:rsid w:val="002B0863"/>
    <w:rsid w:val="002B0B30"/>
    <w:rsid w:val="002B1083"/>
    <w:rsid w:val="002B13E0"/>
    <w:rsid w:val="002B159D"/>
    <w:rsid w:val="002B1E5F"/>
    <w:rsid w:val="002B1F32"/>
    <w:rsid w:val="002B2643"/>
    <w:rsid w:val="002B4295"/>
    <w:rsid w:val="002B42B6"/>
    <w:rsid w:val="002B660B"/>
    <w:rsid w:val="002B6AF7"/>
    <w:rsid w:val="002B6D73"/>
    <w:rsid w:val="002C0FC5"/>
    <w:rsid w:val="002C1097"/>
    <w:rsid w:val="002C19A0"/>
    <w:rsid w:val="002C2B3C"/>
    <w:rsid w:val="002C2E10"/>
    <w:rsid w:val="002C3EBE"/>
    <w:rsid w:val="002C432E"/>
    <w:rsid w:val="002C4BED"/>
    <w:rsid w:val="002C53CF"/>
    <w:rsid w:val="002C5527"/>
    <w:rsid w:val="002C56CA"/>
    <w:rsid w:val="002C5801"/>
    <w:rsid w:val="002C6BEB"/>
    <w:rsid w:val="002C7988"/>
    <w:rsid w:val="002D00BC"/>
    <w:rsid w:val="002D09FB"/>
    <w:rsid w:val="002D0EF4"/>
    <w:rsid w:val="002D2403"/>
    <w:rsid w:val="002D3113"/>
    <w:rsid w:val="002D3116"/>
    <w:rsid w:val="002D324C"/>
    <w:rsid w:val="002D3A5B"/>
    <w:rsid w:val="002D3E9C"/>
    <w:rsid w:val="002D50F1"/>
    <w:rsid w:val="002D537E"/>
    <w:rsid w:val="002D56EE"/>
    <w:rsid w:val="002D5B36"/>
    <w:rsid w:val="002D5E8A"/>
    <w:rsid w:val="002D5FB4"/>
    <w:rsid w:val="002D6469"/>
    <w:rsid w:val="002D6666"/>
    <w:rsid w:val="002D7B1D"/>
    <w:rsid w:val="002D7BE2"/>
    <w:rsid w:val="002D7E34"/>
    <w:rsid w:val="002E043F"/>
    <w:rsid w:val="002E0658"/>
    <w:rsid w:val="002E0D18"/>
    <w:rsid w:val="002E170E"/>
    <w:rsid w:val="002E189E"/>
    <w:rsid w:val="002E1FA3"/>
    <w:rsid w:val="002E21CB"/>
    <w:rsid w:val="002E4989"/>
    <w:rsid w:val="002E5B7A"/>
    <w:rsid w:val="002E6904"/>
    <w:rsid w:val="002E7722"/>
    <w:rsid w:val="002F04E4"/>
    <w:rsid w:val="002F071B"/>
    <w:rsid w:val="002F113F"/>
    <w:rsid w:val="002F1295"/>
    <w:rsid w:val="002F1E34"/>
    <w:rsid w:val="002F2453"/>
    <w:rsid w:val="002F26E9"/>
    <w:rsid w:val="002F3F15"/>
    <w:rsid w:val="002F53C0"/>
    <w:rsid w:val="002F5893"/>
    <w:rsid w:val="002F7023"/>
    <w:rsid w:val="002F743E"/>
    <w:rsid w:val="00300648"/>
    <w:rsid w:val="0030066A"/>
    <w:rsid w:val="00301E1F"/>
    <w:rsid w:val="003037E8"/>
    <w:rsid w:val="00303935"/>
    <w:rsid w:val="00303A4E"/>
    <w:rsid w:val="00303ED9"/>
    <w:rsid w:val="00304802"/>
    <w:rsid w:val="00305608"/>
    <w:rsid w:val="00305C16"/>
    <w:rsid w:val="00307202"/>
    <w:rsid w:val="00307270"/>
    <w:rsid w:val="00307334"/>
    <w:rsid w:val="003077C7"/>
    <w:rsid w:val="00307E68"/>
    <w:rsid w:val="003115AF"/>
    <w:rsid w:val="003116A5"/>
    <w:rsid w:val="00311858"/>
    <w:rsid w:val="00311DB0"/>
    <w:rsid w:val="003130D0"/>
    <w:rsid w:val="003132DE"/>
    <w:rsid w:val="00313E9A"/>
    <w:rsid w:val="003140C7"/>
    <w:rsid w:val="00314169"/>
    <w:rsid w:val="0031459C"/>
    <w:rsid w:val="0031480B"/>
    <w:rsid w:val="00314AFD"/>
    <w:rsid w:val="00315758"/>
    <w:rsid w:val="00315F4D"/>
    <w:rsid w:val="00316324"/>
    <w:rsid w:val="0031765F"/>
    <w:rsid w:val="00317B1D"/>
    <w:rsid w:val="0032081C"/>
    <w:rsid w:val="00320B89"/>
    <w:rsid w:val="00321388"/>
    <w:rsid w:val="00321610"/>
    <w:rsid w:val="00321ECF"/>
    <w:rsid w:val="0032255D"/>
    <w:rsid w:val="00322753"/>
    <w:rsid w:val="003228A7"/>
    <w:rsid w:val="003228D0"/>
    <w:rsid w:val="00323628"/>
    <w:rsid w:val="00324D27"/>
    <w:rsid w:val="00325711"/>
    <w:rsid w:val="00325B75"/>
    <w:rsid w:val="00325E01"/>
    <w:rsid w:val="00331CAA"/>
    <w:rsid w:val="00332B4F"/>
    <w:rsid w:val="00332F05"/>
    <w:rsid w:val="0033309F"/>
    <w:rsid w:val="00333DB7"/>
    <w:rsid w:val="00333E20"/>
    <w:rsid w:val="00333E3C"/>
    <w:rsid w:val="00334419"/>
    <w:rsid w:val="003346C0"/>
    <w:rsid w:val="003349BB"/>
    <w:rsid w:val="00334A85"/>
    <w:rsid w:val="00334AB0"/>
    <w:rsid w:val="00335606"/>
    <w:rsid w:val="00337C02"/>
    <w:rsid w:val="00337E80"/>
    <w:rsid w:val="00337E85"/>
    <w:rsid w:val="0034002A"/>
    <w:rsid w:val="003405AF"/>
    <w:rsid w:val="00340A40"/>
    <w:rsid w:val="00340A62"/>
    <w:rsid w:val="0034203C"/>
    <w:rsid w:val="00342371"/>
    <w:rsid w:val="00342879"/>
    <w:rsid w:val="00343090"/>
    <w:rsid w:val="00343DFD"/>
    <w:rsid w:val="00345044"/>
    <w:rsid w:val="00345B42"/>
    <w:rsid w:val="00345F11"/>
    <w:rsid w:val="00346929"/>
    <w:rsid w:val="00346FF1"/>
    <w:rsid w:val="00347B20"/>
    <w:rsid w:val="0034CE69"/>
    <w:rsid w:val="0035070B"/>
    <w:rsid w:val="00350A49"/>
    <w:rsid w:val="00351E25"/>
    <w:rsid w:val="00352244"/>
    <w:rsid w:val="00352C4C"/>
    <w:rsid w:val="00352ED1"/>
    <w:rsid w:val="003530DF"/>
    <w:rsid w:val="00353A8C"/>
    <w:rsid w:val="00353AC8"/>
    <w:rsid w:val="003548EC"/>
    <w:rsid w:val="003549BB"/>
    <w:rsid w:val="00354F9B"/>
    <w:rsid w:val="003562A3"/>
    <w:rsid w:val="00356E34"/>
    <w:rsid w:val="003575A0"/>
    <w:rsid w:val="00360690"/>
    <w:rsid w:val="00360D5F"/>
    <w:rsid w:val="003613C2"/>
    <w:rsid w:val="0036178F"/>
    <w:rsid w:val="00361BAF"/>
    <w:rsid w:val="00362584"/>
    <w:rsid w:val="00362C5E"/>
    <w:rsid w:val="00362C6C"/>
    <w:rsid w:val="00363605"/>
    <w:rsid w:val="00363629"/>
    <w:rsid w:val="00363A11"/>
    <w:rsid w:val="00364573"/>
    <w:rsid w:val="00364714"/>
    <w:rsid w:val="003649A0"/>
    <w:rsid w:val="003649A4"/>
    <w:rsid w:val="0036509D"/>
    <w:rsid w:val="003657C0"/>
    <w:rsid w:val="00365AF2"/>
    <w:rsid w:val="00365C8B"/>
    <w:rsid w:val="00366559"/>
    <w:rsid w:val="00366F84"/>
    <w:rsid w:val="00367B1F"/>
    <w:rsid w:val="00370B00"/>
    <w:rsid w:val="003710D2"/>
    <w:rsid w:val="00371346"/>
    <w:rsid w:val="003714F2"/>
    <w:rsid w:val="0037198A"/>
    <w:rsid w:val="00371B59"/>
    <w:rsid w:val="00372057"/>
    <w:rsid w:val="00372E68"/>
    <w:rsid w:val="00373753"/>
    <w:rsid w:val="00374B50"/>
    <w:rsid w:val="00375C8A"/>
    <w:rsid w:val="0037635A"/>
    <w:rsid w:val="003767FF"/>
    <w:rsid w:val="00376F00"/>
    <w:rsid w:val="003771F8"/>
    <w:rsid w:val="00377679"/>
    <w:rsid w:val="00377B81"/>
    <w:rsid w:val="00380540"/>
    <w:rsid w:val="00381070"/>
    <w:rsid w:val="00381C92"/>
    <w:rsid w:val="00381D14"/>
    <w:rsid w:val="00384A01"/>
    <w:rsid w:val="00384E97"/>
    <w:rsid w:val="00385A78"/>
    <w:rsid w:val="0038699A"/>
    <w:rsid w:val="00387DAA"/>
    <w:rsid w:val="00387E2B"/>
    <w:rsid w:val="00390C89"/>
    <w:rsid w:val="00391180"/>
    <w:rsid w:val="00391877"/>
    <w:rsid w:val="00392639"/>
    <w:rsid w:val="00392844"/>
    <w:rsid w:val="00392EBE"/>
    <w:rsid w:val="003934A0"/>
    <w:rsid w:val="00393D7A"/>
    <w:rsid w:val="003941CD"/>
    <w:rsid w:val="00394E20"/>
    <w:rsid w:val="00394E23"/>
    <w:rsid w:val="00395222"/>
    <w:rsid w:val="00396336"/>
    <w:rsid w:val="003973A5"/>
    <w:rsid w:val="00397638"/>
    <w:rsid w:val="003A0068"/>
    <w:rsid w:val="003A046F"/>
    <w:rsid w:val="003A05C1"/>
    <w:rsid w:val="003A2353"/>
    <w:rsid w:val="003A2781"/>
    <w:rsid w:val="003A2DF2"/>
    <w:rsid w:val="003A31CC"/>
    <w:rsid w:val="003A32C8"/>
    <w:rsid w:val="003A33CA"/>
    <w:rsid w:val="003A42DD"/>
    <w:rsid w:val="003A571E"/>
    <w:rsid w:val="003A62EA"/>
    <w:rsid w:val="003A66DD"/>
    <w:rsid w:val="003A6E5E"/>
    <w:rsid w:val="003A7B3C"/>
    <w:rsid w:val="003A7CC6"/>
    <w:rsid w:val="003B02E8"/>
    <w:rsid w:val="003B0C48"/>
    <w:rsid w:val="003B0DDD"/>
    <w:rsid w:val="003B1262"/>
    <w:rsid w:val="003B1721"/>
    <w:rsid w:val="003B1A23"/>
    <w:rsid w:val="003B35F2"/>
    <w:rsid w:val="003B41E9"/>
    <w:rsid w:val="003B4473"/>
    <w:rsid w:val="003B4D97"/>
    <w:rsid w:val="003B4DD5"/>
    <w:rsid w:val="003B4E54"/>
    <w:rsid w:val="003B66E7"/>
    <w:rsid w:val="003B6E6E"/>
    <w:rsid w:val="003B786B"/>
    <w:rsid w:val="003B7C29"/>
    <w:rsid w:val="003C003C"/>
    <w:rsid w:val="003C0EBB"/>
    <w:rsid w:val="003C10EB"/>
    <w:rsid w:val="003C2C9E"/>
    <w:rsid w:val="003C2EBB"/>
    <w:rsid w:val="003C3047"/>
    <w:rsid w:val="003C35FE"/>
    <w:rsid w:val="003C40F5"/>
    <w:rsid w:val="003C526A"/>
    <w:rsid w:val="003C5EE2"/>
    <w:rsid w:val="003C7C23"/>
    <w:rsid w:val="003C7DBD"/>
    <w:rsid w:val="003C9233"/>
    <w:rsid w:val="003D0721"/>
    <w:rsid w:val="003D0A98"/>
    <w:rsid w:val="003D1398"/>
    <w:rsid w:val="003D1EE0"/>
    <w:rsid w:val="003D4238"/>
    <w:rsid w:val="003D59C8"/>
    <w:rsid w:val="003D5A57"/>
    <w:rsid w:val="003D6628"/>
    <w:rsid w:val="003D6A9F"/>
    <w:rsid w:val="003D7D59"/>
    <w:rsid w:val="003E038B"/>
    <w:rsid w:val="003E12CA"/>
    <w:rsid w:val="003E1444"/>
    <w:rsid w:val="003E1E35"/>
    <w:rsid w:val="003E29E1"/>
    <w:rsid w:val="003E2EE3"/>
    <w:rsid w:val="003E341F"/>
    <w:rsid w:val="003E3AC6"/>
    <w:rsid w:val="003E3E90"/>
    <w:rsid w:val="003E3F1A"/>
    <w:rsid w:val="003E4062"/>
    <w:rsid w:val="003E41D6"/>
    <w:rsid w:val="003E4355"/>
    <w:rsid w:val="003E4720"/>
    <w:rsid w:val="003E4E1B"/>
    <w:rsid w:val="003E5622"/>
    <w:rsid w:val="003E5B71"/>
    <w:rsid w:val="003E61D0"/>
    <w:rsid w:val="003E6270"/>
    <w:rsid w:val="003E6CA5"/>
    <w:rsid w:val="003E7064"/>
    <w:rsid w:val="003E72CB"/>
    <w:rsid w:val="003E733F"/>
    <w:rsid w:val="003E7790"/>
    <w:rsid w:val="003F0DF2"/>
    <w:rsid w:val="003F1242"/>
    <w:rsid w:val="003F157D"/>
    <w:rsid w:val="003F1B51"/>
    <w:rsid w:val="003F2543"/>
    <w:rsid w:val="003F30DD"/>
    <w:rsid w:val="003F3F96"/>
    <w:rsid w:val="003F405D"/>
    <w:rsid w:val="003F4DD1"/>
    <w:rsid w:val="003F4EC7"/>
    <w:rsid w:val="003F4F85"/>
    <w:rsid w:val="003F5418"/>
    <w:rsid w:val="003F6ACD"/>
    <w:rsid w:val="003F6E77"/>
    <w:rsid w:val="003F717C"/>
    <w:rsid w:val="003F73F6"/>
    <w:rsid w:val="003F7518"/>
    <w:rsid w:val="003F7AF9"/>
    <w:rsid w:val="003F7C04"/>
    <w:rsid w:val="003F7CE2"/>
    <w:rsid w:val="004003D8"/>
    <w:rsid w:val="00401BA1"/>
    <w:rsid w:val="00401DB8"/>
    <w:rsid w:val="00401F5D"/>
    <w:rsid w:val="00402427"/>
    <w:rsid w:val="004025E1"/>
    <w:rsid w:val="00402FAF"/>
    <w:rsid w:val="00403413"/>
    <w:rsid w:val="00403E29"/>
    <w:rsid w:val="004042A6"/>
    <w:rsid w:val="0040657F"/>
    <w:rsid w:val="00407139"/>
    <w:rsid w:val="00407185"/>
    <w:rsid w:val="004074F2"/>
    <w:rsid w:val="00410058"/>
    <w:rsid w:val="00410405"/>
    <w:rsid w:val="00410838"/>
    <w:rsid w:val="0041116B"/>
    <w:rsid w:val="0041266C"/>
    <w:rsid w:val="004127AD"/>
    <w:rsid w:val="0041282C"/>
    <w:rsid w:val="00412DBE"/>
    <w:rsid w:val="00412FF2"/>
    <w:rsid w:val="004135CE"/>
    <w:rsid w:val="00413689"/>
    <w:rsid w:val="00413794"/>
    <w:rsid w:val="00413E2B"/>
    <w:rsid w:val="004152D6"/>
    <w:rsid w:val="00415CD1"/>
    <w:rsid w:val="00416484"/>
    <w:rsid w:val="00416607"/>
    <w:rsid w:val="0041663C"/>
    <w:rsid w:val="004168D5"/>
    <w:rsid w:val="00416BDB"/>
    <w:rsid w:val="0041701D"/>
    <w:rsid w:val="00417943"/>
    <w:rsid w:val="00417C24"/>
    <w:rsid w:val="004202A1"/>
    <w:rsid w:val="004205F7"/>
    <w:rsid w:val="00420A08"/>
    <w:rsid w:val="00420F6D"/>
    <w:rsid w:val="00421281"/>
    <w:rsid w:val="004219E6"/>
    <w:rsid w:val="00421ACA"/>
    <w:rsid w:val="00422540"/>
    <w:rsid w:val="00422E57"/>
    <w:rsid w:val="0042440C"/>
    <w:rsid w:val="0042467B"/>
    <w:rsid w:val="004254C1"/>
    <w:rsid w:val="0042559A"/>
    <w:rsid w:val="0042570C"/>
    <w:rsid w:val="0042590E"/>
    <w:rsid w:val="00425972"/>
    <w:rsid w:val="00425BE4"/>
    <w:rsid w:val="00425C66"/>
    <w:rsid w:val="00426D42"/>
    <w:rsid w:val="00427906"/>
    <w:rsid w:val="004302BE"/>
    <w:rsid w:val="0043051A"/>
    <w:rsid w:val="00431129"/>
    <w:rsid w:val="0043133A"/>
    <w:rsid w:val="0043146D"/>
    <w:rsid w:val="00433276"/>
    <w:rsid w:val="00433325"/>
    <w:rsid w:val="004341D1"/>
    <w:rsid w:val="004346AC"/>
    <w:rsid w:val="004373EE"/>
    <w:rsid w:val="00437409"/>
    <w:rsid w:val="00437A3C"/>
    <w:rsid w:val="004400FB"/>
    <w:rsid w:val="004414A2"/>
    <w:rsid w:val="00441578"/>
    <w:rsid w:val="00441C56"/>
    <w:rsid w:val="004421C9"/>
    <w:rsid w:val="00442512"/>
    <w:rsid w:val="0044252E"/>
    <w:rsid w:val="00443284"/>
    <w:rsid w:val="004432AC"/>
    <w:rsid w:val="00443F8B"/>
    <w:rsid w:val="00444263"/>
    <w:rsid w:val="00444DD3"/>
    <w:rsid w:val="004459D4"/>
    <w:rsid w:val="004474F3"/>
    <w:rsid w:val="00447B1D"/>
    <w:rsid w:val="004508CD"/>
    <w:rsid w:val="00450909"/>
    <w:rsid w:val="00450BC7"/>
    <w:rsid w:val="00451C1A"/>
    <w:rsid w:val="00451CB0"/>
    <w:rsid w:val="00451FF2"/>
    <w:rsid w:val="00453A47"/>
    <w:rsid w:val="00453B39"/>
    <w:rsid w:val="00454160"/>
    <w:rsid w:val="0045456D"/>
    <w:rsid w:val="0045458C"/>
    <w:rsid w:val="004548CF"/>
    <w:rsid w:val="00454BD3"/>
    <w:rsid w:val="00454E16"/>
    <w:rsid w:val="0045630A"/>
    <w:rsid w:val="00456659"/>
    <w:rsid w:val="00456A1A"/>
    <w:rsid w:val="0045753C"/>
    <w:rsid w:val="00457EC3"/>
    <w:rsid w:val="00460080"/>
    <w:rsid w:val="004604BD"/>
    <w:rsid w:val="00463553"/>
    <w:rsid w:val="00464633"/>
    <w:rsid w:val="00464656"/>
    <w:rsid w:val="00464890"/>
    <w:rsid w:val="00465147"/>
    <w:rsid w:val="004653C2"/>
    <w:rsid w:val="00466C74"/>
    <w:rsid w:val="00470AC4"/>
    <w:rsid w:val="00470BA7"/>
    <w:rsid w:val="0047181E"/>
    <w:rsid w:val="00472961"/>
    <w:rsid w:val="00473677"/>
    <w:rsid w:val="004737B7"/>
    <w:rsid w:val="0047429D"/>
    <w:rsid w:val="00474B6C"/>
    <w:rsid w:val="00474E45"/>
    <w:rsid w:val="00475BBD"/>
    <w:rsid w:val="00475DDB"/>
    <w:rsid w:val="0047675D"/>
    <w:rsid w:val="00476817"/>
    <w:rsid w:val="004775CA"/>
    <w:rsid w:val="00477883"/>
    <w:rsid w:val="00477903"/>
    <w:rsid w:val="00480477"/>
    <w:rsid w:val="00480734"/>
    <w:rsid w:val="004808C8"/>
    <w:rsid w:val="00481459"/>
    <w:rsid w:val="0048149D"/>
    <w:rsid w:val="00481644"/>
    <w:rsid w:val="004816F4"/>
    <w:rsid w:val="0048223E"/>
    <w:rsid w:val="00483FA5"/>
    <w:rsid w:val="00483FCE"/>
    <w:rsid w:val="00484838"/>
    <w:rsid w:val="004850B7"/>
    <w:rsid w:val="004853F5"/>
    <w:rsid w:val="004856E9"/>
    <w:rsid w:val="004867A9"/>
    <w:rsid w:val="004870DF"/>
    <w:rsid w:val="004872DA"/>
    <w:rsid w:val="004874C1"/>
    <w:rsid w:val="0049093A"/>
    <w:rsid w:val="004916C9"/>
    <w:rsid w:val="00491CD3"/>
    <w:rsid w:val="00491EF6"/>
    <w:rsid w:val="00492296"/>
    <w:rsid w:val="0049266D"/>
    <w:rsid w:val="00492EE6"/>
    <w:rsid w:val="00493BDD"/>
    <w:rsid w:val="00493E22"/>
    <w:rsid w:val="004942EA"/>
    <w:rsid w:val="004947CE"/>
    <w:rsid w:val="00494F2D"/>
    <w:rsid w:val="00496338"/>
    <w:rsid w:val="00496F0A"/>
    <w:rsid w:val="00497C3C"/>
    <w:rsid w:val="004A0348"/>
    <w:rsid w:val="004A0AFF"/>
    <w:rsid w:val="004A2593"/>
    <w:rsid w:val="004A2A42"/>
    <w:rsid w:val="004A32D6"/>
    <w:rsid w:val="004A3477"/>
    <w:rsid w:val="004A3698"/>
    <w:rsid w:val="004A39DE"/>
    <w:rsid w:val="004A3C57"/>
    <w:rsid w:val="004A3C5A"/>
    <w:rsid w:val="004A4359"/>
    <w:rsid w:val="004A43DF"/>
    <w:rsid w:val="004A44D1"/>
    <w:rsid w:val="004A45DE"/>
    <w:rsid w:val="004A5A6F"/>
    <w:rsid w:val="004A5B6E"/>
    <w:rsid w:val="004A5BA2"/>
    <w:rsid w:val="004A5F7A"/>
    <w:rsid w:val="004A6E31"/>
    <w:rsid w:val="004A76B1"/>
    <w:rsid w:val="004A7A96"/>
    <w:rsid w:val="004A7E2F"/>
    <w:rsid w:val="004B01B7"/>
    <w:rsid w:val="004B030D"/>
    <w:rsid w:val="004B0AE6"/>
    <w:rsid w:val="004B131C"/>
    <w:rsid w:val="004B21BC"/>
    <w:rsid w:val="004B2EFB"/>
    <w:rsid w:val="004B3243"/>
    <w:rsid w:val="004B3E6A"/>
    <w:rsid w:val="004B534F"/>
    <w:rsid w:val="004B65CD"/>
    <w:rsid w:val="004B6ED1"/>
    <w:rsid w:val="004B79DB"/>
    <w:rsid w:val="004C0580"/>
    <w:rsid w:val="004C09B3"/>
    <w:rsid w:val="004C0D2E"/>
    <w:rsid w:val="004C10F5"/>
    <w:rsid w:val="004C1C69"/>
    <w:rsid w:val="004C2165"/>
    <w:rsid w:val="004C244F"/>
    <w:rsid w:val="004C28D3"/>
    <w:rsid w:val="004C2901"/>
    <w:rsid w:val="004C304F"/>
    <w:rsid w:val="004C3386"/>
    <w:rsid w:val="004C3ABE"/>
    <w:rsid w:val="004C4E01"/>
    <w:rsid w:val="004C538C"/>
    <w:rsid w:val="004C6FCC"/>
    <w:rsid w:val="004D0B8D"/>
    <w:rsid w:val="004D0EE6"/>
    <w:rsid w:val="004D237D"/>
    <w:rsid w:val="004D2C8A"/>
    <w:rsid w:val="004D3A93"/>
    <w:rsid w:val="004D3ADC"/>
    <w:rsid w:val="004D4143"/>
    <w:rsid w:val="004D42A2"/>
    <w:rsid w:val="004D4696"/>
    <w:rsid w:val="004D4E61"/>
    <w:rsid w:val="004D4F44"/>
    <w:rsid w:val="004D4F62"/>
    <w:rsid w:val="004D542B"/>
    <w:rsid w:val="004D54EC"/>
    <w:rsid w:val="004D5FA2"/>
    <w:rsid w:val="004D671A"/>
    <w:rsid w:val="004D6EC6"/>
    <w:rsid w:val="004D6F95"/>
    <w:rsid w:val="004D734E"/>
    <w:rsid w:val="004E0343"/>
    <w:rsid w:val="004E1840"/>
    <w:rsid w:val="004E1B05"/>
    <w:rsid w:val="004E2075"/>
    <w:rsid w:val="004E2CF4"/>
    <w:rsid w:val="004E2E3F"/>
    <w:rsid w:val="004E3270"/>
    <w:rsid w:val="004E333D"/>
    <w:rsid w:val="004E3848"/>
    <w:rsid w:val="004E3E48"/>
    <w:rsid w:val="004E4588"/>
    <w:rsid w:val="004E54B3"/>
    <w:rsid w:val="004E66B1"/>
    <w:rsid w:val="004E6703"/>
    <w:rsid w:val="004E688A"/>
    <w:rsid w:val="004E71D4"/>
    <w:rsid w:val="004E72DE"/>
    <w:rsid w:val="004E789D"/>
    <w:rsid w:val="004E791B"/>
    <w:rsid w:val="004E7A40"/>
    <w:rsid w:val="004F002B"/>
    <w:rsid w:val="004F0C12"/>
    <w:rsid w:val="004F1FD4"/>
    <w:rsid w:val="004F1FED"/>
    <w:rsid w:val="004F258E"/>
    <w:rsid w:val="004F2745"/>
    <w:rsid w:val="004F2CCD"/>
    <w:rsid w:val="004F2D23"/>
    <w:rsid w:val="004F2F27"/>
    <w:rsid w:val="004F5410"/>
    <w:rsid w:val="004F5641"/>
    <w:rsid w:val="004F5EEA"/>
    <w:rsid w:val="004F60A2"/>
    <w:rsid w:val="004F6909"/>
    <w:rsid w:val="004F6B2E"/>
    <w:rsid w:val="004F7286"/>
    <w:rsid w:val="004F74E1"/>
    <w:rsid w:val="004F76BC"/>
    <w:rsid w:val="004F7F89"/>
    <w:rsid w:val="00500093"/>
    <w:rsid w:val="00500171"/>
    <w:rsid w:val="005004CC"/>
    <w:rsid w:val="00500C99"/>
    <w:rsid w:val="00500D10"/>
    <w:rsid w:val="00500E76"/>
    <w:rsid w:val="00502CF3"/>
    <w:rsid w:val="00503144"/>
    <w:rsid w:val="00503726"/>
    <w:rsid w:val="00503FBE"/>
    <w:rsid w:val="00505D38"/>
    <w:rsid w:val="00506B81"/>
    <w:rsid w:val="0050700B"/>
    <w:rsid w:val="00507911"/>
    <w:rsid w:val="00510323"/>
    <w:rsid w:val="00511337"/>
    <w:rsid w:val="00511A9C"/>
    <w:rsid w:val="0051225A"/>
    <w:rsid w:val="005129D3"/>
    <w:rsid w:val="005129DA"/>
    <w:rsid w:val="00512B11"/>
    <w:rsid w:val="00512B41"/>
    <w:rsid w:val="0051333F"/>
    <w:rsid w:val="0051418A"/>
    <w:rsid w:val="005151CB"/>
    <w:rsid w:val="00515997"/>
    <w:rsid w:val="00515B00"/>
    <w:rsid w:val="00516274"/>
    <w:rsid w:val="005168C7"/>
    <w:rsid w:val="00516D08"/>
    <w:rsid w:val="00516D3C"/>
    <w:rsid w:val="00516E67"/>
    <w:rsid w:val="00516FEC"/>
    <w:rsid w:val="005177B2"/>
    <w:rsid w:val="00520226"/>
    <w:rsid w:val="00520773"/>
    <w:rsid w:val="0052108A"/>
    <w:rsid w:val="005211A2"/>
    <w:rsid w:val="005222B1"/>
    <w:rsid w:val="00522DC9"/>
    <w:rsid w:val="005230DB"/>
    <w:rsid w:val="00523C69"/>
    <w:rsid w:val="0052495B"/>
    <w:rsid w:val="0052529A"/>
    <w:rsid w:val="00525512"/>
    <w:rsid w:val="00526181"/>
    <w:rsid w:val="0052679B"/>
    <w:rsid w:val="00526C93"/>
    <w:rsid w:val="00527031"/>
    <w:rsid w:val="00527BE4"/>
    <w:rsid w:val="005303A7"/>
    <w:rsid w:val="0053148F"/>
    <w:rsid w:val="0053319E"/>
    <w:rsid w:val="00535799"/>
    <w:rsid w:val="0053633E"/>
    <w:rsid w:val="005366F4"/>
    <w:rsid w:val="00537950"/>
    <w:rsid w:val="00537CCE"/>
    <w:rsid w:val="0054045C"/>
    <w:rsid w:val="00541473"/>
    <w:rsid w:val="00541A88"/>
    <w:rsid w:val="00541DCC"/>
    <w:rsid w:val="0054342B"/>
    <w:rsid w:val="005439E6"/>
    <w:rsid w:val="005444C6"/>
    <w:rsid w:val="00544970"/>
    <w:rsid w:val="00544D39"/>
    <w:rsid w:val="0054643C"/>
    <w:rsid w:val="0054716D"/>
    <w:rsid w:val="0054EB36"/>
    <w:rsid w:val="00550220"/>
    <w:rsid w:val="00551E32"/>
    <w:rsid w:val="005525D5"/>
    <w:rsid w:val="00552EE5"/>
    <w:rsid w:val="00553C6E"/>
    <w:rsid w:val="00553D55"/>
    <w:rsid w:val="0055439B"/>
    <w:rsid w:val="005546B3"/>
    <w:rsid w:val="00554A6C"/>
    <w:rsid w:val="00554C36"/>
    <w:rsid w:val="00554EE8"/>
    <w:rsid w:val="00555456"/>
    <w:rsid w:val="00555830"/>
    <w:rsid w:val="0055626C"/>
    <w:rsid w:val="005563C5"/>
    <w:rsid w:val="00557001"/>
    <w:rsid w:val="005605A0"/>
    <w:rsid w:val="0056062A"/>
    <w:rsid w:val="00560858"/>
    <w:rsid w:val="0056165B"/>
    <w:rsid w:val="005616D1"/>
    <w:rsid w:val="00561DB6"/>
    <w:rsid w:val="005629A7"/>
    <w:rsid w:val="0056368E"/>
    <w:rsid w:val="00564369"/>
    <w:rsid w:val="0056509E"/>
    <w:rsid w:val="0056547C"/>
    <w:rsid w:val="00567D08"/>
    <w:rsid w:val="00570B6A"/>
    <w:rsid w:val="00572379"/>
    <w:rsid w:val="005728E3"/>
    <w:rsid w:val="00572A6C"/>
    <w:rsid w:val="00573236"/>
    <w:rsid w:val="005736BF"/>
    <w:rsid w:val="005736EE"/>
    <w:rsid w:val="00573A69"/>
    <w:rsid w:val="00573B3A"/>
    <w:rsid w:val="0057417C"/>
    <w:rsid w:val="00574966"/>
    <w:rsid w:val="00574AC6"/>
    <w:rsid w:val="00574B9D"/>
    <w:rsid w:val="00574CF6"/>
    <w:rsid w:val="00575392"/>
    <w:rsid w:val="00575C20"/>
    <w:rsid w:val="0057705B"/>
    <w:rsid w:val="0057734C"/>
    <w:rsid w:val="005777E5"/>
    <w:rsid w:val="00581968"/>
    <w:rsid w:val="0058247E"/>
    <w:rsid w:val="0058256D"/>
    <w:rsid w:val="00582D38"/>
    <w:rsid w:val="00582D63"/>
    <w:rsid w:val="00582E6F"/>
    <w:rsid w:val="00582F10"/>
    <w:rsid w:val="005833FA"/>
    <w:rsid w:val="005838C8"/>
    <w:rsid w:val="00583CF0"/>
    <w:rsid w:val="00584635"/>
    <w:rsid w:val="00584C83"/>
    <w:rsid w:val="0058545E"/>
    <w:rsid w:val="0058577B"/>
    <w:rsid w:val="00585EB6"/>
    <w:rsid w:val="0058745C"/>
    <w:rsid w:val="005877B7"/>
    <w:rsid w:val="005918F9"/>
    <w:rsid w:val="00591F52"/>
    <w:rsid w:val="0059234D"/>
    <w:rsid w:val="00592440"/>
    <w:rsid w:val="0059332E"/>
    <w:rsid w:val="00594712"/>
    <w:rsid w:val="00594A19"/>
    <w:rsid w:val="005973BB"/>
    <w:rsid w:val="005A11A4"/>
    <w:rsid w:val="005A1C28"/>
    <w:rsid w:val="005A2241"/>
    <w:rsid w:val="005A26BD"/>
    <w:rsid w:val="005A2EF9"/>
    <w:rsid w:val="005A3D28"/>
    <w:rsid w:val="005A5137"/>
    <w:rsid w:val="005A519C"/>
    <w:rsid w:val="005A5B66"/>
    <w:rsid w:val="005A5E42"/>
    <w:rsid w:val="005A5EC5"/>
    <w:rsid w:val="005A6658"/>
    <w:rsid w:val="005A6AA0"/>
    <w:rsid w:val="005A6C14"/>
    <w:rsid w:val="005A6EA4"/>
    <w:rsid w:val="005A7834"/>
    <w:rsid w:val="005AD38D"/>
    <w:rsid w:val="005B017C"/>
    <w:rsid w:val="005B01AF"/>
    <w:rsid w:val="005B10B0"/>
    <w:rsid w:val="005B134F"/>
    <w:rsid w:val="005B159A"/>
    <w:rsid w:val="005B24F6"/>
    <w:rsid w:val="005B276B"/>
    <w:rsid w:val="005B4160"/>
    <w:rsid w:val="005B4819"/>
    <w:rsid w:val="005B4EDB"/>
    <w:rsid w:val="005B64B5"/>
    <w:rsid w:val="005B6BD7"/>
    <w:rsid w:val="005B785C"/>
    <w:rsid w:val="005B7B00"/>
    <w:rsid w:val="005C019D"/>
    <w:rsid w:val="005C129D"/>
    <w:rsid w:val="005C1525"/>
    <w:rsid w:val="005C183E"/>
    <w:rsid w:val="005C205E"/>
    <w:rsid w:val="005C2ECB"/>
    <w:rsid w:val="005C343A"/>
    <w:rsid w:val="005C3E6A"/>
    <w:rsid w:val="005C49B6"/>
    <w:rsid w:val="005C5043"/>
    <w:rsid w:val="005C5093"/>
    <w:rsid w:val="005C5B19"/>
    <w:rsid w:val="005C659D"/>
    <w:rsid w:val="005C68CC"/>
    <w:rsid w:val="005D0225"/>
    <w:rsid w:val="005D0C02"/>
    <w:rsid w:val="005D103E"/>
    <w:rsid w:val="005D1793"/>
    <w:rsid w:val="005D1A01"/>
    <w:rsid w:val="005D1FCB"/>
    <w:rsid w:val="005D23E0"/>
    <w:rsid w:val="005D3004"/>
    <w:rsid w:val="005D3100"/>
    <w:rsid w:val="005D376F"/>
    <w:rsid w:val="005D4248"/>
    <w:rsid w:val="005D4632"/>
    <w:rsid w:val="005D48EF"/>
    <w:rsid w:val="005D4B9E"/>
    <w:rsid w:val="005D4C04"/>
    <w:rsid w:val="005D52D4"/>
    <w:rsid w:val="005D587B"/>
    <w:rsid w:val="005D5D16"/>
    <w:rsid w:val="005D6348"/>
    <w:rsid w:val="005D6ACC"/>
    <w:rsid w:val="005D6D89"/>
    <w:rsid w:val="005D7881"/>
    <w:rsid w:val="005D7DCF"/>
    <w:rsid w:val="005E1394"/>
    <w:rsid w:val="005E15DE"/>
    <w:rsid w:val="005E21C4"/>
    <w:rsid w:val="005E2919"/>
    <w:rsid w:val="005E302C"/>
    <w:rsid w:val="005E42F5"/>
    <w:rsid w:val="005E4BF1"/>
    <w:rsid w:val="005E4D7A"/>
    <w:rsid w:val="005E5611"/>
    <w:rsid w:val="005E5845"/>
    <w:rsid w:val="005E5D7B"/>
    <w:rsid w:val="005E740D"/>
    <w:rsid w:val="005E7A0D"/>
    <w:rsid w:val="005E7B94"/>
    <w:rsid w:val="005E7EA4"/>
    <w:rsid w:val="005F068E"/>
    <w:rsid w:val="005F07E1"/>
    <w:rsid w:val="005F1078"/>
    <w:rsid w:val="005F15D9"/>
    <w:rsid w:val="005F1689"/>
    <w:rsid w:val="005F2298"/>
    <w:rsid w:val="005F2344"/>
    <w:rsid w:val="005F25EF"/>
    <w:rsid w:val="005F3765"/>
    <w:rsid w:val="005F5638"/>
    <w:rsid w:val="005F5775"/>
    <w:rsid w:val="005F6785"/>
    <w:rsid w:val="005F6CE0"/>
    <w:rsid w:val="005F6F55"/>
    <w:rsid w:val="005F7164"/>
    <w:rsid w:val="005F77B6"/>
    <w:rsid w:val="005F7DCB"/>
    <w:rsid w:val="005F7E15"/>
    <w:rsid w:val="005F7ED0"/>
    <w:rsid w:val="00600AFA"/>
    <w:rsid w:val="00600E22"/>
    <w:rsid w:val="00600F09"/>
    <w:rsid w:val="0060168D"/>
    <w:rsid w:val="006017A9"/>
    <w:rsid w:val="00602363"/>
    <w:rsid w:val="0060236C"/>
    <w:rsid w:val="00602589"/>
    <w:rsid w:val="00602DCF"/>
    <w:rsid w:val="006037F6"/>
    <w:rsid w:val="00604E46"/>
    <w:rsid w:val="006050B5"/>
    <w:rsid w:val="006050D1"/>
    <w:rsid w:val="0060607A"/>
    <w:rsid w:val="00606201"/>
    <w:rsid w:val="00606583"/>
    <w:rsid w:val="00607A1B"/>
    <w:rsid w:val="0061076F"/>
    <w:rsid w:val="006124EE"/>
    <w:rsid w:val="0061258D"/>
    <w:rsid w:val="00612DE9"/>
    <w:rsid w:val="00613061"/>
    <w:rsid w:val="00613C61"/>
    <w:rsid w:val="00614723"/>
    <w:rsid w:val="00614F9B"/>
    <w:rsid w:val="006150DD"/>
    <w:rsid w:val="00615BA3"/>
    <w:rsid w:val="00615F34"/>
    <w:rsid w:val="006166C3"/>
    <w:rsid w:val="0061687C"/>
    <w:rsid w:val="00617C2C"/>
    <w:rsid w:val="0062065F"/>
    <w:rsid w:val="00620C00"/>
    <w:rsid w:val="00620CB2"/>
    <w:rsid w:val="00620D76"/>
    <w:rsid w:val="0062116A"/>
    <w:rsid w:val="00621314"/>
    <w:rsid w:val="006213A6"/>
    <w:rsid w:val="006218F3"/>
    <w:rsid w:val="00621993"/>
    <w:rsid w:val="00621D9F"/>
    <w:rsid w:val="0062215A"/>
    <w:rsid w:val="00622182"/>
    <w:rsid w:val="00622571"/>
    <w:rsid w:val="006225B1"/>
    <w:rsid w:val="0062261E"/>
    <w:rsid w:val="00623715"/>
    <w:rsid w:val="00623DBF"/>
    <w:rsid w:val="00623EB5"/>
    <w:rsid w:val="006250FF"/>
    <w:rsid w:val="0062590B"/>
    <w:rsid w:val="006265E0"/>
    <w:rsid w:val="00626613"/>
    <w:rsid w:val="00626BCE"/>
    <w:rsid w:val="00626F3B"/>
    <w:rsid w:val="00627F1A"/>
    <w:rsid w:val="00630143"/>
    <w:rsid w:val="0063051E"/>
    <w:rsid w:val="00630C36"/>
    <w:rsid w:val="00631203"/>
    <w:rsid w:val="00632065"/>
    <w:rsid w:val="00632635"/>
    <w:rsid w:val="00632BED"/>
    <w:rsid w:val="0063376D"/>
    <w:rsid w:val="00633E36"/>
    <w:rsid w:val="00634E0B"/>
    <w:rsid w:val="0063504B"/>
    <w:rsid w:val="006356F0"/>
    <w:rsid w:val="00635DE6"/>
    <w:rsid w:val="00635E84"/>
    <w:rsid w:val="00635FDF"/>
    <w:rsid w:val="00636C63"/>
    <w:rsid w:val="00637D69"/>
    <w:rsid w:val="006405CA"/>
    <w:rsid w:val="00640801"/>
    <w:rsid w:val="0064156F"/>
    <w:rsid w:val="00641C1A"/>
    <w:rsid w:val="006420B3"/>
    <w:rsid w:val="00642AA0"/>
    <w:rsid w:val="00642C7C"/>
    <w:rsid w:val="00642ECE"/>
    <w:rsid w:val="006430A2"/>
    <w:rsid w:val="006436CF"/>
    <w:rsid w:val="006453BA"/>
    <w:rsid w:val="006454D9"/>
    <w:rsid w:val="00645B23"/>
    <w:rsid w:val="00646149"/>
    <w:rsid w:val="00646988"/>
    <w:rsid w:val="006476A4"/>
    <w:rsid w:val="0064781D"/>
    <w:rsid w:val="00650225"/>
    <w:rsid w:val="006508BB"/>
    <w:rsid w:val="00650D8C"/>
    <w:rsid w:val="00651427"/>
    <w:rsid w:val="0065190A"/>
    <w:rsid w:val="00651F8F"/>
    <w:rsid w:val="006521C3"/>
    <w:rsid w:val="006537F1"/>
    <w:rsid w:val="00653A02"/>
    <w:rsid w:val="00653BAD"/>
    <w:rsid w:val="00653DBE"/>
    <w:rsid w:val="006546C4"/>
    <w:rsid w:val="00655377"/>
    <w:rsid w:val="006556CA"/>
    <w:rsid w:val="00655B62"/>
    <w:rsid w:val="00655E7F"/>
    <w:rsid w:val="00655EC1"/>
    <w:rsid w:val="006571CB"/>
    <w:rsid w:val="00657EA2"/>
    <w:rsid w:val="0066016B"/>
    <w:rsid w:val="0066051A"/>
    <w:rsid w:val="006606AE"/>
    <w:rsid w:val="00660E72"/>
    <w:rsid w:val="0066108C"/>
    <w:rsid w:val="006610B7"/>
    <w:rsid w:val="006618EC"/>
    <w:rsid w:val="00661907"/>
    <w:rsid w:val="00661F68"/>
    <w:rsid w:val="006621EF"/>
    <w:rsid w:val="006623B3"/>
    <w:rsid w:val="006641B4"/>
    <w:rsid w:val="00664B23"/>
    <w:rsid w:val="00664DA1"/>
    <w:rsid w:val="006652F9"/>
    <w:rsid w:val="006660EC"/>
    <w:rsid w:val="006665B1"/>
    <w:rsid w:val="00666706"/>
    <w:rsid w:val="00666892"/>
    <w:rsid w:val="00666D49"/>
    <w:rsid w:val="006677D8"/>
    <w:rsid w:val="00670541"/>
    <w:rsid w:val="006710AD"/>
    <w:rsid w:val="00671143"/>
    <w:rsid w:val="006713BC"/>
    <w:rsid w:val="0067147E"/>
    <w:rsid w:val="00671922"/>
    <w:rsid w:val="00671A9E"/>
    <w:rsid w:val="0067256E"/>
    <w:rsid w:val="006728C4"/>
    <w:rsid w:val="00672A7A"/>
    <w:rsid w:val="00672BED"/>
    <w:rsid w:val="00673A6D"/>
    <w:rsid w:val="00673E38"/>
    <w:rsid w:val="006754F3"/>
    <w:rsid w:val="00675B90"/>
    <w:rsid w:val="00675F97"/>
    <w:rsid w:val="006767B2"/>
    <w:rsid w:val="0068090D"/>
    <w:rsid w:val="00681851"/>
    <w:rsid w:val="006821CD"/>
    <w:rsid w:val="00682207"/>
    <w:rsid w:val="00682548"/>
    <w:rsid w:val="00683428"/>
    <w:rsid w:val="00683C51"/>
    <w:rsid w:val="00683D72"/>
    <w:rsid w:val="00683D91"/>
    <w:rsid w:val="00684A0B"/>
    <w:rsid w:val="0068584D"/>
    <w:rsid w:val="00685D89"/>
    <w:rsid w:val="0068642C"/>
    <w:rsid w:val="00686A68"/>
    <w:rsid w:val="00686FFE"/>
    <w:rsid w:val="0069000B"/>
    <w:rsid w:val="0069011D"/>
    <w:rsid w:val="0069086D"/>
    <w:rsid w:val="006917E2"/>
    <w:rsid w:val="006929B5"/>
    <w:rsid w:val="00692A33"/>
    <w:rsid w:val="00692CD6"/>
    <w:rsid w:val="00692D86"/>
    <w:rsid w:val="00693AF2"/>
    <w:rsid w:val="006958A6"/>
    <w:rsid w:val="00696673"/>
    <w:rsid w:val="006967DF"/>
    <w:rsid w:val="006969AC"/>
    <w:rsid w:val="00696ECE"/>
    <w:rsid w:val="00697BE8"/>
    <w:rsid w:val="006A01F4"/>
    <w:rsid w:val="006A0431"/>
    <w:rsid w:val="006A0A40"/>
    <w:rsid w:val="006A0D6D"/>
    <w:rsid w:val="006A25DF"/>
    <w:rsid w:val="006A2623"/>
    <w:rsid w:val="006A30B0"/>
    <w:rsid w:val="006A3436"/>
    <w:rsid w:val="006A4158"/>
    <w:rsid w:val="006A44A5"/>
    <w:rsid w:val="006A4753"/>
    <w:rsid w:val="006A4D96"/>
    <w:rsid w:val="006A7404"/>
    <w:rsid w:val="006A79DB"/>
    <w:rsid w:val="006B095C"/>
    <w:rsid w:val="006B0D02"/>
    <w:rsid w:val="006B0DE3"/>
    <w:rsid w:val="006B12A2"/>
    <w:rsid w:val="006B150F"/>
    <w:rsid w:val="006B207F"/>
    <w:rsid w:val="006B273E"/>
    <w:rsid w:val="006B2915"/>
    <w:rsid w:val="006B3153"/>
    <w:rsid w:val="006B3BE6"/>
    <w:rsid w:val="006B405D"/>
    <w:rsid w:val="006B5578"/>
    <w:rsid w:val="006B5758"/>
    <w:rsid w:val="006B6535"/>
    <w:rsid w:val="006B6544"/>
    <w:rsid w:val="006B7405"/>
    <w:rsid w:val="006B7D6E"/>
    <w:rsid w:val="006C03AA"/>
    <w:rsid w:val="006C0A6E"/>
    <w:rsid w:val="006C0AB1"/>
    <w:rsid w:val="006C0AE6"/>
    <w:rsid w:val="006C0D2F"/>
    <w:rsid w:val="006C1E79"/>
    <w:rsid w:val="006C2023"/>
    <w:rsid w:val="006C2437"/>
    <w:rsid w:val="006C370E"/>
    <w:rsid w:val="006C3EF9"/>
    <w:rsid w:val="006C40E1"/>
    <w:rsid w:val="006C4643"/>
    <w:rsid w:val="006C487E"/>
    <w:rsid w:val="006C4A63"/>
    <w:rsid w:val="006C4FC1"/>
    <w:rsid w:val="006C5F38"/>
    <w:rsid w:val="006C6D58"/>
    <w:rsid w:val="006C6E18"/>
    <w:rsid w:val="006C7273"/>
    <w:rsid w:val="006C789B"/>
    <w:rsid w:val="006C7AA3"/>
    <w:rsid w:val="006D0CB7"/>
    <w:rsid w:val="006D0D6B"/>
    <w:rsid w:val="006D1048"/>
    <w:rsid w:val="006D11EE"/>
    <w:rsid w:val="006D18C1"/>
    <w:rsid w:val="006D1CBE"/>
    <w:rsid w:val="006D2A8E"/>
    <w:rsid w:val="006D3384"/>
    <w:rsid w:val="006D3CCB"/>
    <w:rsid w:val="006D4711"/>
    <w:rsid w:val="006D4CB5"/>
    <w:rsid w:val="006D5575"/>
    <w:rsid w:val="006D6134"/>
    <w:rsid w:val="006D639C"/>
    <w:rsid w:val="006D662F"/>
    <w:rsid w:val="006D680F"/>
    <w:rsid w:val="006D7D33"/>
    <w:rsid w:val="006E01CB"/>
    <w:rsid w:val="006E1342"/>
    <w:rsid w:val="006E1369"/>
    <w:rsid w:val="006E18A1"/>
    <w:rsid w:val="006E19C1"/>
    <w:rsid w:val="006E1EB4"/>
    <w:rsid w:val="006E2349"/>
    <w:rsid w:val="006E24A9"/>
    <w:rsid w:val="006E3228"/>
    <w:rsid w:val="006E3C3D"/>
    <w:rsid w:val="006E43BD"/>
    <w:rsid w:val="006E59B5"/>
    <w:rsid w:val="006E5DE0"/>
    <w:rsid w:val="006E5DEC"/>
    <w:rsid w:val="006E5E5E"/>
    <w:rsid w:val="006E6377"/>
    <w:rsid w:val="006E64C5"/>
    <w:rsid w:val="006E64EF"/>
    <w:rsid w:val="006E6823"/>
    <w:rsid w:val="006E6830"/>
    <w:rsid w:val="006E7059"/>
    <w:rsid w:val="006E7C4F"/>
    <w:rsid w:val="006F0109"/>
    <w:rsid w:val="006F073A"/>
    <w:rsid w:val="006F0DE5"/>
    <w:rsid w:val="006F1728"/>
    <w:rsid w:val="006F1C87"/>
    <w:rsid w:val="006F224C"/>
    <w:rsid w:val="006F314D"/>
    <w:rsid w:val="006F3321"/>
    <w:rsid w:val="006F3BD0"/>
    <w:rsid w:val="006F3D85"/>
    <w:rsid w:val="006F3FC5"/>
    <w:rsid w:val="006F4CC2"/>
    <w:rsid w:val="006F647F"/>
    <w:rsid w:val="006F7C5C"/>
    <w:rsid w:val="006F7F50"/>
    <w:rsid w:val="00700167"/>
    <w:rsid w:val="007004DF"/>
    <w:rsid w:val="007006B2"/>
    <w:rsid w:val="007006C5"/>
    <w:rsid w:val="00700890"/>
    <w:rsid w:val="00701672"/>
    <w:rsid w:val="00701D26"/>
    <w:rsid w:val="00701ED3"/>
    <w:rsid w:val="007026C4"/>
    <w:rsid w:val="007053C8"/>
    <w:rsid w:val="007055AE"/>
    <w:rsid w:val="007067B9"/>
    <w:rsid w:val="00706AB5"/>
    <w:rsid w:val="00706F19"/>
    <w:rsid w:val="00707891"/>
    <w:rsid w:val="00707D6F"/>
    <w:rsid w:val="0071042B"/>
    <w:rsid w:val="00710504"/>
    <w:rsid w:val="00710D9B"/>
    <w:rsid w:val="00711744"/>
    <w:rsid w:val="0071213E"/>
    <w:rsid w:val="007125A1"/>
    <w:rsid w:val="00713585"/>
    <w:rsid w:val="0071399D"/>
    <w:rsid w:val="00713AD6"/>
    <w:rsid w:val="00713B49"/>
    <w:rsid w:val="0071449A"/>
    <w:rsid w:val="00714517"/>
    <w:rsid w:val="007153E6"/>
    <w:rsid w:val="00715D35"/>
    <w:rsid w:val="007165E0"/>
    <w:rsid w:val="00716AB7"/>
    <w:rsid w:val="00720922"/>
    <w:rsid w:val="007211A2"/>
    <w:rsid w:val="0072123E"/>
    <w:rsid w:val="00721DBC"/>
    <w:rsid w:val="00722E33"/>
    <w:rsid w:val="00722F12"/>
    <w:rsid w:val="00723626"/>
    <w:rsid w:val="00724109"/>
    <w:rsid w:val="00724175"/>
    <w:rsid w:val="0072444D"/>
    <w:rsid w:val="0072633D"/>
    <w:rsid w:val="00726CBA"/>
    <w:rsid w:val="007303CD"/>
    <w:rsid w:val="00730958"/>
    <w:rsid w:val="00731FE3"/>
    <w:rsid w:val="007324B4"/>
    <w:rsid w:val="00732B97"/>
    <w:rsid w:val="0073340F"/>
    <w:rsid w:val="00733D70"/>
    <w:rsid w:val="00734CCE"/>
    <w:rsid w:val="00735141"/>
    <w:rsid w:val="00735A64"/>
    <w:rsid w:val="0073625B"/>
    <w:rsid w:val="00737178"/>
    <w:rsid w:val="0073748E"/>
    <w:rsid w:val="00737989"/>
    <w:rsid w:val="00737B29"/>
    <w:rsid w:val="007401EC"/>
    <w:rsid w:val="00740B79"/>
    <w:rsid w:val="00740BFA"/>
    <w:rsid w:val="007411CE"/>
    <w:rsid w:val="00741643"/>
    <w:rsid w:val="00742511"/>
    <w:rsid w:val="00742844"/>
    <w:rsid w:val="00743320"/>
    <w:rsid w:val="00743B24"/>
    <w:rsid w:val="00744560"/>
    <w:rsid w:val="00744D7C"/>
    <w:rsid w:val="00745BED"/>
    <w:rsid w:val="00746C96"/>
    <w:rsid w:val="00746D60"/>
    <w:rsid w:val="007476F0"/>
    <w:rsid w:val="00747A9B"/>
    <w:rsid w:val="00747B7B"/>
    <w:rsid w:val="007507C5"/>
    <w:rsid w:val="007513B1"/>
    <w:rsid w:val="00751478"/>
    <w:rsid w:val="007516B7"/>
    <w:rsid w:val="00751AFB"/>
    <w:rsid w:val="00751DFE"/>
    <w:rsid w:val="007520B7"/>
    <w:rsid w:val="007535AB"/>
    <w:rsid w:val="00753875"/>
    <w:rsid w:val="0075393F"/>
    <w:rsid w:val="00753B2B"/>
    <w:rsid w:val="00753F98"/>
    <w:rsid w:val="007543A2"/>
    <w:rsid w:val="00755701"/>
    <w:rsid w:val="007559C1"/>
    <w:rsid w:val="00756051"/>
    <w:rsid w:val="00757C56"/>
    <w:rsid w:val="007614A7"/>
    <w:rsid w:val="007630B3"/>
    <w:rsid w:val="007653E3"/>
    <w:rsid w:val="00765440"/>
    <w:rsid w:val="00765F97"/>
    <w:rsid w:val="00766129"/>
    <w:rsid w:val="00766229"/>
    <w:rsid w:val="007679C6"/>
    <w:rsid w:val="0076DF9D"/>
    <w:rsid w:val="0077055B"/>
    <w:rsid w:val="00770C5B"/>
    <w:rsid w:val="00770D6D"/>
    <w:rsid w:val="00771830"/>
    <w:rsid w:val="00771B5C"/>
    <w:rsid w:val="00772398"/>
    <w:rsid w:val="00772A1C"/>
    <w:rsid w:val="0077357D"/>
    <w:rsid w:val="0077383E"/>
    <w:rsid w:val="007738FE"/>
    <w:rsid w:val="00774624"/>
    <w:rsid w:val="007762BE"/>
    <w:rsid w:val="007763F2"/>
    <w:rsid w:val="00776C39"/>
    <w:rsid w:val="00776F1A"/>
    <w:rsid w:val="00776FED"/>
    <w:rsid w:val="0077725C"/>
    <w:rsid w:val="007774E1"/>
    <w:rsid w:val="00777641"/>
    <w:rsid w:val="00777675"/>
    <w:rsid w:val="007806E5"/>
    <w:rsid w:val="00780B00"/>
    <w:rsid w:val="00781161"/>
    <w:rsid w:val="00781373"/>
    <w:rsid w:val="0078151D"/>
    <w:rsid w:val="007818E4"/>
    <w:rsid w:val="007839C0"/>
    <w:rsid w:val="00784126"/>
    <w:rsid w:val="00786393"/>
    <w:rsid w:val="007867ED"/>
    <w:rsid w:val="00786CB3"/>
    <w:rsid w:val="0078757A"/>
    <w:rsid w:val="0079019A"/>
    <w:rsid w:val="007903FA"/>
    <w:rsid w:val="00790ED4"/>
    <w:rsid w:val="007913F9"/>
    <w:rsid w:val="0079208E"/>
    <w:rsid w:val="00792A26"/>
    <w:rsid w:val="00792ADF"/>
    <w:rsid w:val="00793B21"/>
    <w:rsid w:val="00794173"/>
    <w:rsid w:val="00794491"/>
    <w:rsid w:val="00794697"/>
    <w:rsid w:val="00794D45"/>
    <w:rsid w:val="007955BD"/>
    <w:rsid w:val="007959E9"/>
    <w:rsid w:val="00797A24"/>
    <w:rsid w:val="007A04D9"/>
    <w:rsid w:val="007A079E"/>
    <w:rsid w:val="007A1377"/>
    <w:rsid w:val="007A1E88"/>
    <w:rsid w:val="007A22C1"/>
    <w:rsid w:val="007A250D"/>
    <w:rsid w:val="007A2A4F"/>
    <w:rsid w:val="007A3B54"/>
    <w:rsid w:val="007A4BF9"/>
    <w:rsid w:val="007A4CAC"/>
    <w:rsid w:val="007A5DE2"/>
    <w:rsid w:val="007A6081"/>
    <w:rsid w:val="007A64BE"/>
    <w:rsid w:val="007A6C69"/>
    <w:rsid w:val="007A7B18"/>
    <w:rsid w:val="007A7F7C"/>
    <w:rsid w:val="007AF5CF"/>
    <w:rsid w:val="007B168B"/>
    <w:rsid w:val="007B1960"/>
    <w:rsid w:val="007B23FD"/>
    <w:rsid w:val="007B34BA"/>
    <w:rsid w:val="007B548F"/>
    <w:rsid w:val="007B5B3F"/>
    <w:rsid w:val="007B5DB4"/>
    <w:rsid w:val="007B6E50"/>
    <w:rsid w:val="007B709B"/>
    <w:rsid w:val="007B7607"/>
    <w:rsid w:val="007B7627"/>
    <w:rsid w:val="007C0514"/>
    <w:rsid w:val="007C1B20"/>
    <w:rsid w:val="007C1BD0"/>
    <w:rsid w:val="007C1CD7"/>
    <w:rsid w:val="007C1E7D"/>
    <w:rsid w:val="007C20C4"/>
    <w:rsid w:val="007C2C65"/>
    <w:rsid w:val="007C3384"/>
    <w:rsid w:val="007C3459"/>
    <w:rsid w:val="007C3912"/>
    <w:rsid w:val="007C3B93"/>
    <w:rsid w:val="007C3DDD"/>
    <w:rsid w:val="007C403E"/>
    <w:rsid w:val="007C4497"/>
    <w:rsid w:val="007C49C9"/>
    <w:rsid w:val="007C5829"/>
    <w:rsid w:val="007C5A8D"/>
    <w:rsid w:val="007C5ECC"/>
    <w:rsid w:val="007C5F7C"/>
    <w:rsid w:val="007C609D"/>
    <w:rsid w:val="007C62D0"/>
    <w:rsid w:val="007C6E7B"/>
    <w:rsid w:val="007C7618"/>
    <w:rsid w:val="007D0145"/>
    <w:rsid w:val="007D06E0"/>
    <w:rsid w:val="007D0B3B"/>
    <w:rsid w:val="007D0DAA"/>
    <w:rsid w:val="007D171E"/>
    <w:rsid w:val="007D25E7"/>
    <w:rsid w:val="007D2E9C"/>
    <w:rsid w:val="007D325F"/>
    <w:rsid w:val="007D3C9C"/>
    <w:rsid w:val="007D3E33"/>
    <w:rsid w:val="007D3E52"/>
    <w:rsid w:val="007D4018"/>
    <w:rsid w:val="007D4931"/>
    <w:rsid w:val="007D555C"/>
    <w:rsid w:val="007D5C90"/>
    <w:rsid w:val="007D65DB"/>
    <w:rsid w:val="007D6989"/>
    <w:rsid w:val="007D6BC4"/>
    <w:rsid w:val="007D6D4F"/>
    <w:rsid w:val="007D7626"/>
    <w:rsid w:val="007D7914"/>
    <w:rsid w:val="007E0C63"/>
    <w:rsid w:val="007E164D"/>
    <w:rsid w:val="007E2730"/>
    <w:rsid w:val="007E28AF"/>
    <w:rsid w:val="007E2947"/>
    <w:rsid w:val="007E32AD"/>
    <w:rsid w:val="007E3EAF"/>
    <w:rsid w:val="007E3FCE"/>
    <w:rsid w:val="007E4F08"/>
    <w:rsid w:val="007E5934"/>
    <w:rsid w:val="007E5ADF"/>
    <w:rsid w:val="007E5B1D"/>
    <w:rsid w:val="007E774E"/>
    <w:rsid w:val="007E7D17"/>
    <w:rsid w:val="007F00D6"/>
    <w:rsid w:val="007F01E7"/>
    <w:rsid w:val="007F15E4"/>
    <w:rsid w:val="007F1A80"/>
    <w:rsid w:val="007F21D7"/>
    <w:rsid w:val="007F2307"/>
    <w:rsid w:val="007F27E5"/>
    <w:rsid w:val="007F39A9"/>
    <w:rsid w:val="007F41BC"/>
    <w:rsid w:val="007F46F5"/>
    <w:rsid w:val="007F4782"/>
    <w:rsid w:val="007F53C7"/>
    <w:rsid w:val="007F5AF3"/>
    <w:rsid w:val="007F684D"/>
    <w:rsid w:val="007F7A59"/>
    <w:rsid w:val="007FBDBB"/>
    <w:rsid w:val="00800778"/>
    <w:rsid w:val="0080118D"/>
    <w:rsid w:val="008016AB"/>
    <w:rsid w:val="00801D02"/>
    <w:rsid w:val="008020B4"/>
    <w:rsid w:val="008024D5"/>
    <w:rsid w:val="008038D6"/>
    <w:rsid w:val="00803E65"/>
    <w:rsid w:val="0080580C"/>
    <w:rsid w:val="008058A7"/>
    <w:rsid w:val="00805979"/>
    <w:rsid w:val="00805E53"/>
    <w:rsid w:val="0080636D"/>
    <w:rsid w:val="008065F8"/>
    <w:rsid w:val="00806678"/>
    <w:rsid w:val="0080670F"/>
    <w:rsid w:val="008078C1"/>
    <w:rsid w:val="00807A75"/>
    <w:rsid w:val="0081049D"/>
    <w:rsid w:val="008108A4"/>
    <w:rsid w:val="00810CB3"/>
    <w:rsid w:val="00811F1C"/>
    <w:rsid w:val="008120CE"/>
    <w:rsid w:val="00812C03"/>
    <w:rsid w:val="00812D96"/>
    <w:rsid w:val="00813085"/>
    <w:rsid w:val="00813233"/>
    <w:rsid w:val="00813561"/>
    <w:rsid w:val="00813B62"/>
    <w:rsid w:val="00813B77"/>
    <w:rsid w:val="00814CC5"/>
    <w:rsid w:val="00815A00"/>
    <w:rsid w:val="008161CD"/>
    <w:rsid w:val="0081746A"/>
    <w:rsid w:val="00817ABE"/>
    <w:rsid w:val="008203A7"/>
    <w:rsid w:val="00821675"/>
    <w:rsid w:val="008219E1"/>
    <w:rsid w:val="00822052"/>
    <w:rsid w:val="00822AD5"/>
    <w:rsid w:val="00822BFD"/>
    <w:rsid w:val="008233D3"/>
    <w:rsid w:val="0082355F"/>
    <w:rsid w:val="00823856"/>
    <w:rsid w:val="00823DEF"/>
    <w:rsid w:val="0082419B"/>
    <w:rsid w:val="00824F0B"/>
    <w:rsid w:val="00825282"/>
    <w:rsid w:val="008252A4"/>
    <w:rsid w:val="008252B2"/>
    <w:rsid w:val="008254CE"/>
    <w:rsid w:val="0082594C"/>
    <w:rsid w:val="008260F9"/>
    <w:rsid w:val="00826846"/>
    <w:rsid w:val="00826A2D"/>
    <w:rsid w:val="00827274"/>
    <w:rsid w:val="008272A5"/>
    <w:rsid w:val="008275F7"/>
    <w:rsid w:val="008303EA"/>
    <w:rsid w:val="0083155A"/>
    <w:rsid w:val="0083158B"/>
    <w:rsid w:val="008317DC"/>
    <w:rsid w:val="00832A61"/>
    <w:rsid w:val="0083418B"/>
    <w:rsid w:val="00834C2C"/>
    <w:rsid w:val="0083584E"/>
    <w:rsid w:val="008358D4"/>
    <w:rsid w:val="00835F88"/>
    <w:rsid w:val="00835FE3"/>
    <w:rsid w:val="00837725"/>
    <w:rsid w:val="008400DC"/>
    <w:rsid w:val="008402B5"/>
    <w:rsid w:val="008419C1"/>
    <w:rsid w:val="00841A4F"/>
    <w:rsid w:val="00843494"/>
    <w:rsid w:val="00843B61"/>
    <w:rsid w:val="008440D6"/>
    <w:rsid w:val="00844C5C"/>
    <w:rsid w:val="008453E8"/>
    <w:rsid w:val="008457A7"/>
    <w:rsid w:val="00845ABB"/>
    <w:rsid w:val="00845B3A"/>
    <w:rsid w:val="00845C22"/>
    <w:rsid w:val="00846404"/>
    <w:rsid w:val="00846B30"/>
    <w:rsid w:val="00846EE1"/>
    <w:rsid w:val="00847199"/>
    <w:rsid w:val="00847518"/>
    <w:rsid w:val="00847DE3"/>
    <w:rsid w:val="00851161"/>
    <w:rsid w:val="00851250"/>
    <w:rsid w:val="00851517"/>
    <w:rsid w:val="008520AD"/>
    <w:rsid w:val="00852828"/>
    <w:rsid w:val="00853230"/>
    <w:rsid w:val="00853B12"/>
    <w:rsid w:val="0085488B"/>
    <w:rsid w:val="00855023"/>
    <w:rsid w:val="00855A54"/>
    <w:rsid w:val="00856B08"/>
    <w:rsid w:val="00856C04"/>
    <w:rsid w:val="00856C6B"/>
    <w:rsid w:val="0085701E"/>
    <w:rsid w:val="00857DCF"/>
    <w:rsid w:val="0086133C"/>
    <w:rsid w:val="00861354"/>
    <w:rsid w:val="00861766"/>
    <w:rsid w:val="00861DD2"/>
    <w:rsid w:val="0086210A"/>
    <w:rsid w:val="0086257D"/>
    <w:rsid w:val="0086260B"/>
    <w:rsid w:val="00862BD6"/>
    <w:rsid w:val="0086347F"/>
    <w:rsid w:val="00863AD3"/>
    <w:rsid w:val="00863AE0"/>
    <w:rsid w:val="00864121"/>
    <w:rsid w:val="00864215"/>
    <w:rsid w:val="008647DF"/>
    <w:rsid w:val="0086505C"/>
    <w:rsid w:val="008659AC"/>
    <w:rsid w:val="00865A03"/>
    <w:rsid w:val="00865B14"/>
    <w:rsid w:val="008666A4"/>
    <w:rsid w:val="008666C5"/>
    <w:rsid w:val="00866D68"/>
    <w:rsid w:val="00866F02"/>
    <w:rsid w:val="00867532"/>
    <w:rsid w:val="00867CCA"/>
    <w:rsid w:val="00867E7B"/>
    <w:rsid w:val="008701E9"/>
    <w:rsid w:val="00870C46"/>
    <w:rsid w:val="008717BB"/>
    <w:rsid w:val="00871C8C"/>
    <w:rsid w:val="00872877"/>
    <w:rsid w:val="008729B1"/>
    <w:rsid w:val="008731E6"/>
    <w:rsid w:val="008735AD"/>
    <w:rsid w:val="00874088"/>
    <w:rsid w:val="00874359"/>
    <w:rsid w:val="008744FA"/>
    <w:rsid w:val="00874A92"/>
    <w:rsid w:val="00875B05"/>
    <w:rsid w:val="008768F4"/>
    <w:rsid w:val="00876D33"/>
    <w:rsid w:val="0087728F"/>
    <w:rsid w:val="008773D4"/>
    <w:rsid w:val="00880120"/>
    <w:rsid w:val="0088021B"/>
    <w:rsid w:val="00880C81"/>
    <w:rsid w:val="00881AB0"/>
    <w:rsid w:val="00881DDC"/>
    <w:rsid w:val="008827D4"/>
    <w:rsid w:val="0088312C"/>
    <w:rsid w:val="00883332"/>
    <w:rsid w:val="00883800"/>
    <w:rsid w:val="00883A75"/>
    <w:rsid w:val="00884A46"/>
    <w:rsid w:val="00884C40"/>
    <w:rsid w:val="00885C29"/>
    <w:rsid w:val="0088695F"/>
    <w:rsid w:val="00887065"/>
    <w:rsid w:val="008913A7"/>
    <w:rsid w:val="008914A9"/>
    <w:rsid w:val="008918D9"/>
    <w:rsid w:val="00892372"/>
    <w:rsid w:val="0089273A"/>
    <w:rsid w:val="008929A6"/>
    <w:rsid w:val="00893D08"/>
    <w:rsid w:val="008948FD"/>
    <w:rsid w:val="00894AEB"/>
    <w:rsid w:val="00894E5D"/>
    <w:rsid w:val="0089603F"/>
    <w:rsid w:val="00896CB4"/>
    <w:rsid w:val="0089741D"/>
    <w:rsid w:val="008977EE"/>
    <w:rsid w:val="00897850"/>
    <w:rsid w:val="00897F26"/>
    <w:rsid w:val="008A07BE"/>
    <w:rsid w:val="008A1910"/>
    <w:rsid w:val="008A214E"/>
    <w:rsid w:val="008A2539"/>
    <w:rsid w:val="008A3F92"/>
    <w:rsid w:val="008A545B"/>
    <w:rsid w:val="008A59FD"/>
    <w:rsid w:val="008A6891"/>
    <w:rsid w:val="008A7136"/>
    <w:rsid w:val="008A7587"/>
    <w:rsid w:val="008A7EB0"/>
    <w:rsid w:val="008B12F8"/>
    <w:rsid w:val="008B1F5B"/>
    <w:rsid w:val="008B2FA9"/>
    <w:rsid w:val="008B30A7"/>
    <w:rsid w:val="008B3150"/>
    <w:rsid w:val="008B326E"/>
    <w:rsid w:val="008B3CED"/>
    <w:rsid w:val="008B448E"/>
    <w:rsid w:val="008B45B1"/>
    <w:rsid w:val="008B4BD5"/>
    <w:rsid w:val="008B4D57"/>
    <w:rsid w:val="008B5157"/>
    <w:rsid w:val="008B5239"/>
    <w:rsid w:val="008B5B0A"/>
    <w:rsid w:val="008B5D2D"/>
    <w:rsid w:val="008B5DCB"/>
    <w:rsid w:val="008B6EFD"/>
    <w:rsid w:val="008B7B98"/>
    <w:rsid w:val="008C064F"/>
    <w:rsid w:val="008C1622"/>
    <w:rsid w:val="008C2229"/>
    <w:rsid w:val="008C2B97"/>
    <w:rsid w:val="008C2F75"/>
    <w:rsid w:val="008C3FCF"/>
    <w:rsid w:val="008C44C6"/>
    <w:rsid w:val="008C5887"/>
    <w:rsid w:val="008C5C5B"/>
    <w:rsid w:val="008C60C1"/>
    <w:rsid w:val="008C625C"/>
    <w:rsid w:val="008C6C5C"/>
    <w:rsid w:val="008C7D73"/>
    <w:rsid w:val="008C7FFB"/>
    <w:rsid w:val="008D09A3"/>
    <w:rsid w:val="008D123E"/>
    <w:rsid w:val="008D1A39"/>
    <w:rsid w:val="008D1F48"/>
    <w:rsid w:val="008D332E"/>
    <w:rsid w:val="008D35DF"/>
    <w:rsid w:val="008D41A8"/>
    <w:rsid w:val="008D45A7"/>
    <w:rsid w:val="008D45EF"/>
    <w:rsid w:val="008D4E35"/>
    <w:rsid w:val="008D5523"/>
    <w:rsid w:val="008D753B"/>
    <w:rsid w:val="008D7C37"/>
    <w:rsid w:val="008E0330"/>
    <w:rsid w:val="008E12D5"/>
    <w:rsid w:val="008E1DDF"/>
    <w:rsid w:val="008E3E39"/>
    <w:rsid w:val="008E4CE1"/>
    <w:rsid w:val="008E4DE1"/>
    <w:rsid w:val="008E5FF3"/>
    <w:rsid w:val="008F032C"/>
    <w:rsid w:val="008F2BB5"/>
    <w:rsid w:val="008F2DCB"/>
    <w:rsid w:val="008F421D"/>
    <w:rsid w:val="008F4BAC"/>
    <w:rsid w:val="008F4D6C"/>
    <w:rsid w:val="008F57F8"/>
    <w:rsid w:val="008F5C51"/>
    <w:rsid w:val="008F6AD3"/>
    <w:rsid w:val="008F7A48"/>
    <w:rsid w:val="0090076A"/>
    <w:rsid w:val="00901492"/>
    <w:rsid w:val="00901508"/>
    <w:rsid w:val="009015FC"/>
    <w:rsid w:val="009016EC"/>
    <w:rsid w:val="00901819"/>
    <w:rsid w:val="00901E55"/>
    <w:rsid w:val="00902638"/>
    <w:rsid w:val="00902985"/>
    <w:rsid w:val="009038C2"/>
    <w:rsid w:val="0090444B"/>
    <w:rsid w:val="00904DF3"/>
    <w:rsid w:val="009050D7"/>
    <w:rsid w:val="0090588C"/>
    <w:rsid w:val="00905BCE"/>
    <w:rsid w:val="00905BEA"/>
    <w:rsid w:val="00906717"/>
    <w:rsid w:val="00907BF1"/>
    <w:rsid w:val="00911667"/>
    <w:rsid w:val="009128CC"/>
    <w:rsid w:val="00912F89"/>
    <w:rsid w:val="00913B21"/>
    <w:rsid w:val="00913B80"/>
    <w:rsid w:val="00913C94"/>
    <w:rsid w:val="009140BB"/>
    <w:rsid w:val="00914A82"/>
    <w:rsid w:val="00915E43"/>
    <w:rsid w:val="00916179"/>
    <w:rsid w:val="009166D6"/>
    <w:rsid w:val="00916E14"/>
    <w:rsid w:val="00917372"/>
    <w:rsid w:val="0092024B"/>
    <w:rsid w:val="00921DC3"/>
    <w:rsid w:val="009224CC"/>
    <w:rsid w:val="0092285F"/>
    <w:rsid w:val="00922D43"/>
    <w:rsid w:val="00922E00"/>
    <w:rsid w:val="00922E2A"/>
    <w:rsid w:val="00923279"/>
    <w:rsid w:val="0092343B"/>
    <w:rsid w:val="009244C7"/>
    <w:rsid w:val="00924836"/>
    <w:rsid w:val="00925686"/>
    <w:rsid w:val="00925782"/>
    <w:rsid w:val="009262FB"/>
    <w:rsid w:val="0092704B"/>
    <w:rsid w:val="009270FD"/>
    <w:rsid w:val="00927610"/>
    <w:rsid w:val="009311BF"/>
    <w:rsid w:val="0093131D"/>
    <w:rsid w:val="00931A8C"/>
    <w:rsid w:val="009329D8"/>
    <w:rsid w:val="009329F7"/>
    <w:rsid w:val="009331CE"/>
    <w:rsid w:val="009331E3"/>
    <w:rsid w:val="0093393C"/>
    <w:rsid w:val="00933B83"/>
    <w:rsid w:val="00933D05"/>
    <w:rsid w:val="00933D8C"/>
    <w:rsid w:val="00933E8D"/>
    <w:rsid w:val="009340F3"/>
    <w:rsid w:val="009343AC"/>
    <w:rsid w:val="00934783"/>
    <w:rsid w:val="00934B68"/>
    <w:rsid w:val="009351DE"/>
    <w:rsid w:val="0093660E"/>
    <w:rsid w:val="00936B8C"/>
    <w:rsid w:val="009370BD"/>
    <w:rsid w:val="0093741F"/>
    <w:rsid w:val="00937675"/>
    <w:rsid w:val="009377F4"/>
    <w:rsid w:val="00937A9E"/>
    <w:rsid w:val="00937CDA"/>
    <w:rsid w:val="009401F8"/>
    <w:rsid w:val="009402DB"/>
    <w:rsid w:val="00940890"/>
    <w:rsid w:val="00940E16"/>
    <w:rsid w:val="00942981"/>
    <w:rsid w:val="00942B4C"/>
    <w:rsid w:val="009436D2"/>
    <w:rsid w:val="00945347"/>
    <w:rsid w:val="0094618E"/>
    <w:rsid w:val="009461CB"/>
    <w:rsid w:val="00947B77"/>
    <w:rsid w:val="00947BB0"/>
    <w:rsid w:val="00950868"/>
    <w:rsid w:val="009509B8"/>
    <w:rsid w:val="00950A2D"/>
    <w:rsid w:val="00950F7D"/>
    <w:rsid w:val="00951969"/>
    <w:rsid w:val="00952E4D"/>
    <w:rsid w:val="009536DB"/>
    <w:rsid w:val="00954328"/>
    <w:rsid w:val="00954598"/>
    <w:rsid w:val="00954904"/>
    <w:rsid w:val="009558AD"/>
    <w:rsid w:val="00955B3C"/>
    <w:rsid w:val="00957679"/>
    <w:rsid w:val="00957DD0"/>
    <w:rsid w:val="00960744"/>
    <w:rsid w:val="009607B1"/>
    <w:rsid w:val="0096096F"/>
    <w:rsid w:val="0096106F"/>
    <w:rsid w:val="0096223A"/>
    <w:rsid w:val="00963573"/>
    <w:rsid w:val="00963ACD"/>
    <w:rsid w:val="009646EC"/>
    <w:rsid w:val="00964841"/>
    <w:rsid w:val="00964FE5"/>
    <w:rsid w:val="009650DA"/>
    <w:rsid w:val="00965205"/>
    <w:rsid w:val="0096603D"/>
    <w:rsid w:val="009662ED"/>
    <w:rsid w:val="00967037"/>
    <w:rsid w:val="009677E5"/>
    <w:rsid w:val="009700B0"/>
    <w:rsid w:val="009700F4"/>
    <w:rsid w:val="00970345"/>
    <w:rsid w:val="00971122"/>
    <w:rsid w:val="00972ACE"/>
    <w:rsid w:val="00972BCA"/>
    <w:rsid w:val="00972D9A"/>
    <w:rsid w:val="00973108"/>
    <w:rsid w:val="0097350B"/>
    <w:rsid w:val="00973553"/>
    <w:rsid w:val="00973BE4"/>
    <w:rsid w:val="009740BD"/>
    <w:rsid w:val="00974DAB"/>
    <w:rsid w:val="0097518F"/>
    <w:rsid w:val="00975314"/>
    <w:rsid w:val="0097766D"/>
    <w:rsid w:val="00977B71"/>
    <w:rsid w:val="00977CA5"/>
    <w:rsid w:val="009802DA"/>
    <w:rsid w:val="00980876"/>
    <w:rsid w:val="0098165F"/>
    <w:rsid w:val="00982B83"/>
    <w:rsid w:val="009830C5"/>
    <w:rsid w:val="00983BC4"/>
    <w:rsid w:val="009842D3"/>
    <w:rsid w:val="009843C2"/>
    <w:rsid w:val="0098503B"/>
    <w:rsid w:val="009853C2"/>
    <w:rsid w:val="0098548C"/>
    <w:rsid w:val="00985AA8"/>
    <w:rsid w:val="009860FD"/>
    <w:rsid w:val="00986550"/>
    <w:rsid w:val="00986C87"/>
    <w:rsid w:val="00986DBE"/>
    <w:rsid w:val="009874B9"/>
    <w:rsid w:val="00987710"/>
    <w:rsid w:val="00991115"/>
    <w:rsid w:val="00993ED6"/>
    <w:rsid w:val="00994A9D"/>
    <w:rsid w:val="0099501B"/>
    <w:rsid w:val="009954AC"/>
    <w:rsid w:val="00995C3C"/>
    <w:rsid w:val="00995E3E"/>
    <w:rsid w:val="009960C8"/>
    <w:rsid w:val="0099631D"/>
    <w:rsid w:val="00996A6D"/>
    <w:rsid w:val="00997583"/>
    <w:rsid w:val="00997DEC"/>
    <w:rsid w:val="009A08A2"/>
    <w:rsid w:val="009A0AA0"/>
    <w:rsid w:val="009A13F6"/>
    <w:rsid w:val="009A192F"/>
    <w:rsid w:val="009A2904"/>
    <w:rsid w:val="009A4811"/>
    <w:rsid w:val="009A4914"/>
    <w:rsid w:val="009A4F47"/>
    <w:rsid w:val="009A4F95"/>
    <w:rsid w:val="009A5148"/>
    <w:rsid w:val="009A5433"/>
    <w:rsid w:val="009A5617"/>
    <w:rsid w:val="009A6506"/>
    <w:rsid w:val="009A6BFF"/>
    <w:rsid w:val="009A7D50"/>
    <w:rsid w:val="009AE7E8"/>
    <w:rsid w:val="009B0336"/>
    <w:rsid w:val="009B0C61"/>
    <w:rsid w:val="009B225B"/>
    <w:rsid w:val="009B2521"/>
    <w:rsid w:val="009B299F"/>
    <w:rsid w:val="009B2A62"/>
    <w:rsid w:val="009B3571"/>
    <w:rsid w:val="009B40B4"/>
    <w:rsid w:val="009B646C"/>
    <w:rsid w:val="009B6C10"/>
    <w:rsid w:val="009B6E19"/>
    <w:rsid w:val="009B799F"/>
    <w:rsid w:val="009C0CA9"/>
    <w:rsid w:val="009C0CFD"/>
    <w:rsid w:val="009C1C25"/>
    <w:rsid w:val="009C22E4"/>
    <w:rsid w:val="009C29C7"/>
    <w:rsid w:val="009C2C1A"/>
    <w:rsid w:val="009C3815"/>
    <w:rsid w:val="009C3DEE"/>
    <w:rsid w:val="009C4153"/>
    <w:rsid w:val="009C4224"/>
    <w:rsid w:val="009C482D"/>
    <w:rsid w:val="009C5283"/>
    <w:rsid w:val="009C5A1D"/>
    <w:rsid w:val="009C6E0A"/>
    <w:rsid w:val="009D02D6"/>
    <w:rsid w:val="009D03C6"/>
    <w:rsid w:val="009D1810"/>
    <w:rsid w:val="009D1AB6"/>
    <w:rsid w:val="009D2267"/>
    <w:rsid w:val="009D232E"/>
    <w:rsid w:val="009D2862"/>
    <w:rsid w:val="009D2DFD"/>
    <w:rsid w:val="009D2F2C"/>
    <w:rsid w:val="009D3915"/>
    <w:rsid w:val="009D40BE"/>
    <w:rsid w:val="009D44C8"/>
    <w:rsid w:val="009D4A01"/>
    <w:rsid w:val="009D4EB8"/>
    <w:rsid w:val="009D5618"/>
    <w:rsid w:val="009D5659"/>
    <w:rsid w:val="009D58CD"/>
    <w:rsid w:val="009D5956"/>
    <w:rsid w:val="009D639B"/>
    <w:rsid w:val="009D69B4"/>
    <w:rsid w:val="009D6C82"/>
    <w:rsid w:val="009D7039"/>
    <w:rsid w:val="009E057D"/>
    <w:rsid w:val="009E08D3"/>
    <w:rsid w:val="009E1ED6"/>
    <w:rsid w:val="009E23B1"/>
    <w:rsid w:val="009E34CB"/>
    <w:rsid w:val="009E3639"/>
    <w:rsid w:val="009E38F5"/>
    <w:rsid w:val="009E394E"/>
    <w:rsid w:val="009E4E5E"/>
    <w:rsid w:val="009E5663"/>
    <w:rsid w:val="009E57B4"/>
    <w:rsid w:val="009E602F"/>
    <w:rsid w:val="009E61AE"/>
    <w:rsid w:val="009E6307"/>
    <w:rsid w:val="009E64FC"/>
    <w:rsid w:val="009E6F35"/>
    <w:rsid w:val="009E71CA"/>
    <w:rsid w:val="009F152D"/>
    <w:rsid w:val="009F2074"/>
    <w:rsid w:val="009F2EC8"/>
    <w:rsid w:val="009F31D2"/>
    <w:rsid w:val="009F38C4"/>
    <w:rsid w:val="009F4277"/>
    <w:rsid w:val="009F475D"/>
    <w:rsid w:val="009F4D73"/>
    <w:rsid w:val="009F554B"/>
    <w:rsid w:val="009F5C25"/>
    <w:rsid w:val="009F5D05"/>
    <w:rsid w:val="009F61F6"/>
    <w:rsid w:val="009F6688"/>
    <w:rsid w:val="009F67F9"/>
    <w:rsid w:val="009F6AE5"/>
    <w:rsid w:val="00A00D8E"/>
    <w:rsid w:val="00A0245A"/>
    <w:rsid w:val="00A02661"/>
    <w:rsid w:val="00A03056"/>
    <w:rsid w:val="00A039BC"/>
    <w:rsid w:val="00A0400A"/>
    <w:rsid w:val="00A042DB"/>
    <w:rsid w:val="00A0460E"/>
    <w:rsid w:val="00A051AF"/>
    <w:rsid w:val="00A055BD"/>
    <w:rsid w:val="00A05C3C"/>
    <w:rsid w:val="00A05DDE"/>
    <w:rsid w:val="00A06168"/>
    <w:rsid w:val="00A06B35"/>
    <w:rsid w:val="00A06D77"/>
    <w:rsid w:val="00A06EA9"/>
    <w:rsid w:val="00A07EA5"/>
    <w:rsid w:val="00A124FF"/>
    <w:rsid w:val="00A12939"/>
    <w:rsid w:val="00A12BB7"/>
    <w:rsid w:val="00A132D1"/>
    <w:rsid w:val="00A132F4"/>
    <w:rsid w:val="00A133EC"/>
    <w:rsid w:val="00A14CDB"/>
    <w:rsid w:val="00A155F4"/>
    <w:rsid w:val="00A1603B"/>
    <w:rsid w:val="00A167B1"/>
    <w:rsid w:val="00A1745D"/>
    <w:rsid w:val="00A178C3"/>
    <w:rsid w:val="00A201C3"/>
    <w:rsid w:val="00A20712"/>
    <w:rsid w:val="00A21108"/>
    <w:rsid w:val="00A219F8"/>
    <w:rsid w:val="00A21A9A"/>
    <w:rsid w:val="00A21E16"/>
    <w:rsid w:val="00A21FB5"/>
    <w:rsid w:val="00A22738"/>
    <w:rsid w:val="00A229E0"/>
    <w:rsid w:val="00A232BA"/>
    <w:rsid w:val="00A23718"/>
    <w:rsid w:val="00A24256"/>
    <w:rsid w:val="00A2478D"/>
    <w:rsid w:val="00A25B28"/>
    <w:rsid w:val="00A25FA5"/>
    <w:rsid w:val="00A27327"/>
    <w:rsid w:val="00A27379"/>
    <w:rsid w:val="00A30128"/>
    <w:rsid w:val="00A307D6"/>
    <w:rsid w:val="00A309FD"/>
    <w:rsid w:val="00A30A00"/>
    <w:rsid w:val="00A30BF2"/>
    <w:rsid w:val="00A31AE0"/>
    <w:rsid w:val="00A31D65"/>
    <w:rsid w:val="00A3207A"/>
    <w:rsid w:val="00A32549"/>
    <w:rsid w:val="00A32AAB"/>
    <w:rsid w:val="00A3444D"/>
    <w:rsid w:val="00A3453E"/>
    <w:rsid w:val="00A35AFF"/>
    <w:rsid w:val="00A366A1"/>
    <w:rsid w:val="00A37237"/>
    <w:rsid w:val="00A378AA"/>
    <w:rsid w:val="00A378E3"/>
    <w:rsid w:val="00A37C31"/>
    <w:rsid w:val="00A37DAE"/>
    <w:rsid w:val="00A37F5A"/>
    <w:rsid w:val="00A4043D"/>
    <w:rsid w:val="00A4090F"/>
    <w:rsid w:val="00A41934"/>
    <w:rsid w:val="00A42230"/>
    <w:rsid w:val="00A43AE8"/>
    <w:rsid w:val="00A44C7A"/>
    <w:rsid w:val="00A4526C"/>
    <w:rsid w:val="00A45AF8"/>
    <w:rsid w:val="00A46E47"/>
    <w:rsid w:val="00A47903"/>
    <w:rsid w:val="00A50909"/>
    <w:rsid w:val="00A50ED3"/>
    <w:rsid w:val="00A51736"/>
    <w:rsid w:val="00A51E17"/>
    <w:rsid w:val="00A52769"/>
    <w:rsid w:val="00A52B8E"/>
    <w:rsid w:val="00A5357F"/>
    <w:rsid w:val="00A53ED4"/>
    <w:rsid w:val="00A541EF"/>
    <w:rsid w:val="00A5433F"/>
    <w:rsid w:val="00A54BF4"/>
    <w:rsid w:val="00A54CA7"/>
    <w:rsid w:val="00A54D26"/>
    <w:rsid w:val="00A55824"/>
    <w:rsid w:val="00A55B5C"/>
    <w:rsid w:val="00A55D55"/>
    <w:rsid w:val="00A5652F"/>
    <w:rsid w:val="00A5669D"/>
    <w:rsid w:val="00A568F5"/>
    <w:rsid w:val="00A575BE"/>
    <w:rsid w:val="00A60B2C"/>
    <w:rsid w:val="00A61E32"/>
    <w:rsid w:val="00A629F6"/>
    <w:rsid w:val="00A63137"/>
    <w:rsid w:val="00A63272"/>
    <w:rsid w:val="00A64232"/>
    <w:rsid w:val="00A6507E"/>
    <w:rsid w:val="00A655A9"/>
    <w:rsid w:val="00A65C19"/>
    <w:rsid w:val="00A660D9"/>
    <w:rsid w:val="00A667DD"/>
    <w:rsid w:val="00A66D28"/>
    <w:rsid w:val="00A672B9"/>
    <w:rsid w:val="00A6764C"/>
    <w:rsid w:val="00A67774"/>
    <w:rsid w:val="00A67AC4"/>
    <w:rsid w:val="00A7052B"/>
    <w:rsid w:val="00A7089E"/>
    <w:rsid w:val="00A70CA6"/>
    <w:rsid w:val="00A70EA1"/>
    <w:rsid w:val="00A70F6F"/>
    <w:rsid w:val="00A71845"/>
    <w:rsid w:val="00A718C3"/>
    <w:rsid w:val="00A71A4E"/>
    <w:rsid w:val="00A71B01"/>
    <w:rsid w:val="00A71ECB"/>
    <w:rsid w:val="00A72200"/>
    <w:rsid w:val="00A72E5A"/>
    <w:rsid w:val="00A739FA"/>
    <w:rsid w:val="00A73C5B"/>
    <w:rsid w:val="00A743AE"/>
    <w:rsid w:val="00A76022"/>
    <w:rsid w:val="00A76041"/>
    <w:rsid w:val="00A80FA7"/>
    <w:rsid w:val="00A81E2E"/>
    <w:rsid w:val="00A831BC"/>
    <w:rsid w:val="00A83521"/>
    <w:rsid w:val="00A83565"/>
    <w:rsid w:val="00A837F6"/>
    <w:rsid w:val="00A84010"/>
    <w:rsid w:val="00A842D2"/>
    <w:rsid w:val="00A84B63"/>
    <w:rsid w:val="00A84C81"/>
    <w:rsid w:val="00A84DC1"/>
    <w:rsid w:val="00A84E25"/>
    <w:rsid w:val="00A85005"/>
    <w:rsid w:val="00A854A4"/>
    <w:rsid w:val="00A85D9C"/>
    <w:rsid w:val="00A86B18"/>
    <w:rsid w:val="00A877BA"/>
    <w:rsid w:val="00A87A17"/>
    <w:rsid w:val="00A87AAA"/>
    <w:rsid w:val="00A8CBF0"/>
    <w:rsid w:val="00A90136"/>
    <w:rsid w:val="00A91814"/>
    <w:rsid w:val="00A91A8A"/>
    <w:rsid w:val="00A9237F"/>
    <w:rsid w:val="00A925CC"/>
    <w:rsid w:val="00A92AED"/>
    <w:rsid w:val="00A93057"/>
    <w:rsid w:val="00A933A2"/>
    <w:rsid w:val="00A93A19"/>
    <w:rsid w:val="00A95296"/>
    <w:rsid w:val="00A961FF"/>
    <w:rsid w:val="00A9766C"/>
    <w:rsid w:val="00A978B5"/>
    <w:rsid w:val="00A97D9E"/>
    <w:rsid w:val="00AA039F"/>
    <w:rsid w:val="00AA06B3"/>
    <w:rsid w:val="00AA0ABF"/>
    <w:rsid w:val="00AA0C60"/>
    <w:rsid w:val="00AA0E81"/>
    <w:rsid w:val="00AA156B"/>
    <w:rsid w:val="00AA2302"/>
    <w:rsid w:val="00AA2CFE"/>
    <w:rsid w:val="00AA34E6"/>
    <w:rsid w:val="00AA389A"/>
    <w:rsid w:val="00AA3C81"/>
    <w:rsid w:val="00AA4C56"/>
    <w:rsid w:val="00AA5C18"/>
    <w:rsid w:val="00AA5DD9"/>
    <w:rsid w:val="00AA698B"/>
    <w:rsid w:val="00AA7DAE"/>
    <w:rsid w:val="00AB0577"/>
    <w:rsid w:val="00AB1B31"/>
    <w:rsid w:val="00AB221F"/>
    <w:rsid w:val="00AB2590"/>
    <w:rsid w:val="00AB28DC"/>
    <w:rsid w:val="00AB2C3F"/>
    <w:rsid w:val="00AB365A"/>
    <w:rsid w:val="00AB3869"/>
    <w:rsid w:val="00AB39E9"/>
    <w:rsid w:val="00AB423C"/>
    <w:rsid w:val="00AB45D0"/>
    <w:rsid w:val="00AB692E"/>
    <w:rsid w:val="00AB698E"/>
    <w:rsid w:val="00AB77F9"/>
    <w:rsid w:val="00AB791F"/>
    <w:rsid w:val="00AB7E25"/>
    <w:rsid w:val="00AC0F5E"/>
    <w:rsid w:val="00AC1557"/>
    <w:rsid w:val="00AC157E"/>
    <w:rsid w:val="00AC1C89"/>
    <w:rsid w:val="00AC1DE5"/>
    <w:rsid w:val="00AC1E27"/>
    <w:rsid w:val="00AC2866"/>
    <w:rsid w:val="00AC2D7C"/>
    <w:rsid w:val="00AC37CC"/>
    <w:rsid w:val="00AC3D19"/>
    <w:rsid w:val="00AC3E91"/>
    <w:rsid w:val="00AC3F20"/>
    <w:rsid w:val="00AC4073"/>
    <w:rsid w:val="00AC444C"/>
    <w:rsid w:val="00AC4B7A"/>
    <w:rsid w:val="00AC4BA5"/>
    <w:rsid w:val="00AC5479"/>
    <w:rsid w:val="00AC5FAF"/>
    <w:rsid w:val="00AC659B"/>
    <w:rsid w:val="00AC733C"/>
    <w:rsid w:val="00AC7428"/>
    <w:rsid w:val="00AC7945"/>
    <w:rsid w:val="00AC7E69"/>
    <w:rsid w:val="00AD0496"/>
    <w:rsid w:val="00AD0C5B"/>
    <w:rsid w:val="00AD11BA"/>
    <w:rsid w:val="00AD1799"/>
    <w:rsid w:val="00AD1DD8"/>
    <w:rsid w:val="00AD1DDC"/>
    <w:rsid w:val="00AD3776"/>
    <w:rsid w:val="00AD3EDF"/>
    <w:rsid w:val="00AD3FDC"/>
    <w:rsid w:val="00AD426C"/>
    <w:rsid w:val="00AD5E27"/>
    <w:rsid w:val="00AD5F94"/>
    <w:rsid w:val="00AD6C37"/>
    <w:rsid w:val="00AD7002"/>
    <w:rsid w:val="00AD707C"/>
    <w:rsid w:val="00AD720C"/>
    <w:rsid w:val="00AD7A96"/>
    <w:rsid w:val="00AE0332"/>
    <w:rsid w:val="00AE0728"/>
    <w:rsid w:val="00AE0B2D"/>
    <w:rsid w:val="00AE12A1"/>
    <w:rsid w:val="00AE2245"/>
    <w:rsid w:val="00AE26EB"/>
    <w:rsid w:val="00AE2771"/>
    <w:rsid w:val="00AE337F"/>
    <w:rsid w:val="00AE3902"/>
    <w:rsid w:val="00AE4723"/>
    <w:rsid w:val="00AE4E1D"/>
    <w:rsid w:val="00AE509D"/>
    <w:rsid w:val="00AE529B"/>
    <w:rsid w:val="00AE5567"/>
    <w:rsid w:val="00AE70C9"/>
    <w:rsid w:val="00AE7267"/>
    <w:rsid w:val="00AE7F15"/>
    <w:rsid w:val="00AF0DEF"/>
    <w:rsid w:val="00AF154A"/>
    <w:rsid w:val="00AF15A4"/>
    <w:rsid w:val="00AF1ACF"/>
    <w:rsid w:val="00AF1BC6"/>
    <w:rsid w:val="00AF2082"/>
    <w:rsid w:val="00AF3D8C"/>
    <w:rsid w:val="00AF4426"/>
    <w:rsid w:val="00AF44D7"/>
    <w:rsid w:val="00AF4AED"/>
    <w:rsid w:val="00AF4E51"/>
    <w:rsid w:val="00AF50D8"/>
    <w:rsid w:val="00AF5541"/>
    <w:rsid w:val="00AF5B1F"/>
    <w:rsid w:val="00AF6109"/>
    <w:rsid w:val="00AF66BA"/>
    <w:rsid w:val="00AF6BB9"/>
    <w:rsid w:val="00AF7256"/>
    <w:rsid w:val="00AF76FD"/>
    <w:rsid w:val="00AF7F4B"/>
    <w:rsid w:val="00B00138"/>
    <w:rsid w:val="00B01D15"/>
    <w:rsid w:val="00B01D5C"/>
    <w:rsid w:val="00B01DDA"/>
    <w:rsid w:val="00B01E9C"/>
    <w:rsid w:val="00B022B2"/>
    <w:rsid w:val="00B024EC"/>
    <w:rsid w:val="00B02F55"/>
    <w:rsid w:val="00B0398D"/>
    <w:rsid w:val="00B03B30"/>
    <w:rsid w:val="00B03E43"/>
    <w:rsid w:val="00B04C0B"/>
    <w:rsid w:val="00B04C16"/>
    <w:rsid w:val="00B04D31"/>
    <w:rsid w:val="00B05D4F"/>
    <w:rsid w:val="00B06384"/>
    <w:rsid w:val="00B068BF"/>
    <w:rsid w:val="00B10E33"/>
    <w:rsid w:val="00B1137C"/>
    <w:rsid w:val="00B118C1"/>
    <w:rsid w:val="00B11B52"/>
    <w:rsid w:val="00B12B6E"/>
    <w:rsid w:val="00B12C26"/>
    <w:rsid w:val="00B12FF9"/>
    <w:rsid w:val="00B135D2"/>
    <w:rsid w:val="00B13783"/>
    <w:rsid w:val="00B14615"/>
    <w:rsid w:val="00B14758"/>
    <w:rsid w:val="00B15335"/>
    <w:rsid w:val="00B154D6"/>
    <w:rsid w:val="00B15AAF"/>
    <w:rsid w:val="00B15B62"/>
    <w:rsid w:val="00B165C8"/>
    <w:rsid w:val="00B16701"/>
    <w:rsid w:val="00B1679E"/>
    <w:rsid w:val="00B168A8"/>
    <w:rsid w:val="00B16A26"/>
    <w:rsid w:val="00B1726C"/>
    <w:rsid w:val="00B17272"/>
    <w:rsid w:val="00B1743E"/>
    <w:rsid w:val="00B1771D"/>
    <w:rsid w:val="00B17C78"/>
    <w:rsid w:val="00B17EBD"/>
    <w:rsid w:val="00B215C2"/>
    <w:rsid w:val="00B21C1D"/>
    <w:rsid w:val="00B21EF9"/>
    <w:rsid w:val="00B22C86"/>
    <w:rsid w:val="00B2309F"/>
    <w:rsid w:val="00B232CF"/>
    <w:rsid w:val="00B25503"/>
    <w:rsid w:val="00B25D76"/>
    <w:rsid w:val="00B30ACF"/>
    <w:rsid w:val="00B32521"/>
    <w:rsid w:val="00B32975"/>
    <w:rsid w:val="00B32DBD"/>
    <w:rsid w:val="00B32F02"/>
    <w:rsid w:val="00B3455D"/>
    <w:rsid w:val="00B35DCF"/>
    <w:rsid w:val="00B36612"/>
    <w:rsid w:val="00B36775"/>
    <w:rsid w:val="00B372C9"/>
    <w:rsid w:val="00B374A1"/>
    <w:rsid w:val="00B37672"/>
    <w:rsid w:val="00B40184"/>
    <w:rsid w:val="00B402FF"/>
    <w:rsid w:val="00B41CB4"/>
    <w:rsid w:val="00B420FA"/>
    <w:rsid w:val="00B4233E"/>
    <w:rsid w:val="00B423ED"/>
    <w:rsid w:val="00B424A8"/>
    <w:rsid w:val="00B425A0"/>
    <w:rsid w:val="00B42625"/>
    <w:rsid w:val="00B43B0A"/>
    <w:rsid w:val="00B440BC"/>
    <w:rsid w:val="00B4419F"/>
    <w:rsid w:val="00B44A94"/>
    <w:rsid w:val="00B44FC7"/>
    <w:rsid w:val="00B44FFA"/>
    <w:rsid w:val="00B45236"/>
    <w:rsid w:val="00B452DC"/>
    <w:rsid w:val="00B465DD"/>
    <w:rsid w:val="00B4723A"/>
    <w:rsid w:val="00B5076B"/>
    <w:rsid w:val="00B50847"/>
    <w:rsid w:val="00B51142"/>
    <w:rsid w:val="00B53A57"/>
    <w:rsid w:val="00B54567"/>
    <w:rsid w:val="00B54729"/>
    <w:rsid w:val="00B548BD"/>
    <w:rsid w:val="00B54E03"/>
    <w:rsid w:val="00B54E1A"/>
    <w:rsid w:val="00B55BFB"/>
    <w:rsid w:val="00B55C88"/>
    <w:rsid w:val="00B55F53"/>
    <w:rsid w:val="00B56624"/>
    <w:rsid w:val="00B56C36"/>
    <w:rsid w:val="00B56FAB"/>
    <w:rsid w:val="00B572A8"/>
    <w:rsid w:val="00B57713"/>
    <w:rsid w:val="00B60405"/>
    <w:rsid w:val="00B60C56"/>
    <w:rsid w:val="00B612FB"/>
    <w:rsid w:val="00B62361"/>
    <w:rsid w:val="00B62B01"/>
    <w:rsid w:val="00B62BD5"/>
    <w:rsid w:val="00B62C71"/>
    <w:rsid w:val="00B635B4"/>
    <w:rsid w:val="00B645B8"/>
    <w:rsid w:val="00B6583A"/>
    <w:rsid w:val="00B6592F"/>
    <w:rsid w:val="00B65AFE"/>
    <w:rsid w:val="00B65EC9"/>
    <w:rsid w:val="00B66212"/>
    <w:rsid w:val="00B7098C"/>
    <w:rsid w:val="00B70B2F"/>
    <w:rsid w:val="00B7139F"/>
    <w:rsid w:val="00B72504"/>
    <w:rsid w:val="00B72E6F"/>
    <w:rsid w:val="00B74785"/>
    <w:rsid w:val="00B765A2"/>
    <w:rsid w:val="00B76B36"/>
    <w:rsid w:val="00B76C77"/>
    <w:rsid w:val="00B76DE3"/>
    <w:rsid w:val="00B77940"/>
    <w:rsid w:val="00B800CA"/>
    <w:rsid w:val="00B807BE"/>
    <w:rsid w:val="00B811DF"/>
    <w:rsid w:val="00B82815"/>
    <w:rsid w:val="00B82987"/>
    <w:rsid w:val="00B836F0"/>
    <w:rsid w:val="00B840F5"/>
    <w:rsid w:val="00B84713"/>
    <w:rsid w:val="00B86AA2"/>
    <w:rsid w:val="00B86AD1"/>
    <w:rsid w:val="00B8737E"/>
    <w:rsid w:val="00B90FBC"/>
    <w:rsid w:val="00B911AC"/>
    <w:rsid w:val="00B922BC"/>
    <w:rsid w:val="00B9281B"/>
    <w:rsid w:val="00B93043"/>
    <w:rsid w:val="00B93B8E"/>
    <w:rsid w:val="00B958FB"/>
    <w:rsid w:val="00B95B12"/>
    <w:rsid w:val="00B95C82"/>
    <w:rsid w:val="00B9611D"/>
    <w:rsid w:val="00B97211"/>
    <w:rsid w:val="00B97432"/>
    <w:rsid w:val="00B978A2"/>
    <w:rsid w:val="00B97E59"/>
    <w:rsid w:val="00BA0081"/>
    <w:rsid w:val="00BA0C58"/>
    <w:rsid w:val="00BA0F76"/>
    <w:rsid w:val="00BA1893"/>
    <w:rsid w:val="00BA18CE"/>
    <w:rsid w:val="00BA1FA7"/>
    <w:rsid w:val="00BA2244"/>
    <w:rsid w:val="00BA229F"/>
    <w:rsid w:val="00BA2822"/>
    <w:rsid w:val="00BA3290"/>
    <w:rsid w:val="00BA3CD5"/>
    <w:rsid w:val="00BA3F77"/>
    <w:rsid w:val="00BA40D6"/>
    <w:rsid w:val="00BA42E1"/>
    <w:rsid w:val="00BA5485"/>
    <w:rsid w:val="00BA54F6"/>
    <w:rsid w:val="00BA56A3"/>
    <w:rsid w:val="00BA5AFE"/>
    <w:rsid w:val="00BA61AC"/>
    <w:rsid w:val="00BA670A"/>
    <w:rsid w:val="00BA7B6E"/>
    <w:rsid w:val="00BA7EAC"/>
    <w:rsid w:val="00BA7F17"/>
    <w:rsid w:val="00BB0798"/>
    <w:rsid w:val="00BB082F"/>
    <w:rsid w:val="00BB098C"/>
    <w:rsid w:val="00BB1A38"/>
    <w:rsid w:val="00BB1C43"/>
    <w:rsid w:val="00BB22C5"/>
    <w:rsid w:val="00BB24BC"/>
    <w:rsid w:val="00BB27E1"/>
    <w:rsid w:val="00BB2B15"/>
    <w:rsid w:val="00BB324D"/>
    <w:rsid w:val="00BB353B"/>
    <w:rsid w:val="00BB4197"/>
    <w:rsid w:val="00BB44D3"/>
    <w:rsid w:val="00BB47D9"/>
    <w:rsid w:val="00BB4E31"/>
    <w:rsid w:val="00BB53B8"/>
    <w:rsid w:val="00BB557F"/>
    <w:rsid w:val="00BB5730"/>
    <w:rsid w:val="00BB593F"/>
    <w:rsid w:val="00BB7B1F"/>
    <w:rsid w:val="00BB7BC9"/>
    <w:rsid w:val="00BC018B"/>
    <w:rsid w:val="00BC0C0D"/>
    <w:rsid w:val="00BC25A0"/>
    <w:rsid w:val="00BC30C6"/>
    <w:rsid w:val="00BC31B2"/>
    <w:rsid w:val="00BC3662"/>
    <w:rsid w:val="00BC386F"/>
    <w:rsid w:val="00BC4D31"/>
    <w:rsid w:val="00BC5192"/>
    <w:rsid w:val="00BC5A0D"/>
    <w:rsid w:val="00BC66FF"/>
    <w:rsid w:val="00BC67B9"/>
    <w:rsid w:val="00BC78B0"/>
    <w:rsid w:val="00BC7938"/>
    <w:rsid w:val="00BC7A29"/>
    <w:rsid w:val="00BD1D29"/>
    <w:rsid w:val="00BD1DBF"/>
    <w:rsid w:val="00BD1EF8"/>
    <w:rsid w:val="00BD28F2"/>
    <w:rsid w:val="00BD2B59"/>
    <w:rsid w:val="00BD3180"/>
    <w:rsid w:val="00BD55F4"/>
    <w:rsid w:val="00BD5726"/>
    <w:rsid w:val="00BD5D02"/>
    <w:rsid w:val="00BD6296"/>
    <w:rsid w:val="00BD64B4"/>
    <w:rsid w:val="00BD65EA"/>
    <w:rsid w:val="00BD675B"/>
    <w:rsid w:val="00BD7405"/>
    <w:rsid w:val="00BE0C24"/>
    <w:rsid w:val="00BE13FE"/>
    <w:rsid w:val="00BE22A8"/>
    <w:rsid w:val="00BE23A9"/>
    <w:rsid w:val="00BE240F"/>
    <w:rsid w:val="00BE277E"/>
    <w:rsid w:val="00BE298F"/>
    <w:rsid w:val="00BE2A4C"/>
    <w:rsid w:val="00BE311D"/>
    <w:rsid w:val="00BE373C"/>
    <w:rsid w:val="00BE3F95"/>
    <w:rsid w:val="00BE48BA"/>
    <w:rsid w:val="00BE54A8"/>
    <w:rsid w:val="00BE5613"/>
    <w:rsid w:val="00BE6020"/>
    <w:rsid w:val="00BE6990"/>
    <w:rsid w:val="00BE6AE8"/>
    <w:rsid w:val="00BE6EAC"/>
    <w:rsid w:val="00BE6FC4"/>
    <w:rsid w:val="00BE740B"/>
    <w:rsid w:val="00BE779C"/>
    <w:rsid w:val="00BE7FC1"/>
    <w:rsid w:val="00BF0733"/>
    <w:rsid w:val="00BF0DED"/>
    <w:rsid w:val="00BF1FB4"/>
    <w:rsid w:val="00BF21F9"/>
    <w:rsid w:val="00BF2838"/>
    <w:rsid w:val="00BF2ACB"/>
    <w:rsid w:val="00BF4422"/>
    <w:rsid w:val="00BF4A6F"/>
    <w:rsid w:val="00BF4BCE"/>
    <w:rsid w:val="00BF4BFD"/>
    <w:rsid w:val="00BF52C9"/>
    <w:rsid w:val="00BF59F8"/>
    <w:rsid w:val="00BF6198"/>
    <w:rsid w:val="00BF6384"/>
    <w:rsid w:val="00BF6841"/>
    <w:rsid w:val="00BF6CD6"/>
    <w:rsid w:val="00BF73FF"/>
    <w:rsid w:val="00BF78E9"/>
    <w:rsid w:val="00C004A4"/>
    <w:rsid w:val="00C0080E"/>
    <w:rsid w:val="00C00A00"/>
    <w:rsid w:val="00C00FDB"/>
    <w:rsid w:val="00C0124E"/>
    <w:rsid w:val="00C014E8"/>
    <w:rsid w:val="00C01699"/>
    <w:rsid w:val="00C02A13"/>
    <w:rsid w:val="00C02C74"/>
    <w:rsid w:val="00C02F47"/>
    <w:rsid w:val="00C03293"/>
    <w:rsid w:val="00C0378B"/>
    <w:rsid w:val="00C0378D"/>
    <w:rsid w:val="00C03C06"/>
    <w:rsid w:val="00C04732"/>
    <w:rsid w:val="00C04D99"/>
    <w:rsid w:val="00C04E7D"/>
    <w:rsid w:val="00C04F05"/>
    <w:rsid w:val="00C0553B"/>
    <w:rsid w:val="00C05AF6"/>
    <w:rsid w:val="00C06919"/>
    <w:rsid w:val="00C06BC0"/>
    <w:rsid w:val="00C07886"/>
    <w:rsid w:val="00C10387"/>
    <w:rsid w:val="00C10574"/>
    <w:rsid w:val="00C1062A"/>
    <w:rsid w:val="00C10829"/>
    <w:rsid w:val="00C11586"/>
    <w:rsid w:val="00C115D8"/>
    <w:rsid w:val="00C12867"/>
    <w:rsid w:val="00C133CD"/>
    <w:rsid w:val="00C13ACF"/>
    <w:rsid w:val="00C13C28"/>
    <w:rsid w:val="00C14312"/>
    <w:rsid w:val="00C14ACC"/>
    <w:rsid w:val="00C14F75"/>
    <w:rsid w:val="00C15D37"/>
    <w:rsid w:val="00C17B88"/>
    <w:rsid w:val="00C20163"/>
    <w:rsid w:val="00C218E5"/>
    <w:rsid w:val="00C22190"/>
    <w:rsid w:val="00C23297"/>
    <w:rsid w:val="00C23B6D"/>
    <w:rsid w:val="00C25044"/>
    <w:rsid w:val="00C25CFB"/>
    <w:rsid w:val="00C25F16"/>
    <w:rsid w:val="00C26F93"/>
    <w:rsid w:val="00C30EA7"/>
    <w:rsid w:val="00C30EB7"/>
    <w:rsid w:val="00C30FD3"/>
    <w:rsid w:val="00C312EB"/>
    <w:rsid w:val="00C31F32"/>
    <w:rsid w:val="00C332F9"/>
    <w:rsid w:val="00C333C6"/>
    <w:rsid w:val="00C33BF4"/>
    <w:rsid w:val="00C33D37"/>
    <w:rsid w:val="00C34DBB"/>
    <w:rsid w:val="00C358CE"/>
    <w:rsid w:val="00C35C25"/>
    <w:rsid w:val="00C35DE2"/>
    <w:rsid w:val="00C36165"/>
    <w:rsid w:val="00C3729A"/>
    <w:rsid w:val="00C4012E"/>
    <w:rsid w:val="00C40317"/>
    <w:rsid w:val="00C40BB7"/>
    <w:rsid w:val="00C41615"/>
    <w:rsid w:val="00C41D4B"/>
    <w:rsid w:val="00C41E4B"/>
    <w:rsid w:val="00C42433"/>
    <w:rsid w:val="00C42697"/>
    <w:rsid w:val="00C42957"/>
    <w:rsid w:val="00C42CF7"/>
    <w:rsid w:val="00C42D65"/>
    <w:rsid w:val="00C43458"/>
    <w:rsid w:val="00C43AF5"/>
    <w:rsid w:val="00C44406"/>
    <w:rsid w:val="00C44695"/>
    <w:rsid w:val="00C44A7E"/>
    <w:rsid w:val="00C44ECE"/>
    <w:rsid w:val="00C4566D"/>
    <w:rsid w:val="00C45936"/>
    <w:rsid w:val="00C467A4"/>
    <w:rsid w:val="00C46C1F"/>
    <w:rsid w:val="00C4702F"/>
    <w:rsid w:val="00C470FC"/>
    <w:rsid w:val="00C475FF"/>
    <w:rsid w:val="00C47C2F"/>
    <w:rsid w:val="00C47EC8"/>
    <w:rsid w:val="00C47F88"/>
    <w:rsid w:val="00C50A7A"/>
    <w:rsid w:val="00C50C4D"/>
    <w:rsid w:val="00C50DCA"/>
    <w:rsid w:val="00C5163C"/>
    <w:rsid w:val="00C5254F"/>
    <w:rsid w:val="00C52F06"/>
    <w:rsid w:val="00C5398E"/>
    <w:rsid w:val="00C53B5A"/>
    <w:rsid w:val="00C53FF0"/>
    <w:rsid w:val="00C54711"/>
    <w:rsid w:val="00C54E70"/>
    <w:rsid w:val="00C56703"/>
    <w:rsid w:val="00C574D0"/>
    <w:rsid w:val="00C57B90"/>
    <w:rsid w:val="00C60E23"/>
    <w:rsid w:val="00C610B6"/>
    <w:rsid w:val="00C6143C"/>
    <w:rsid w:val="00C617CC"/>
    <w:rsid w:val="00C61FA5"/>
    <w:rsid w:val="00C61FB7"/>
    <w:rsid w:val="00C62951"/>
    <w:rsid w:val="00C6295F"/>
    <w:rsid w:val="00C62DAB"/>
    <w:rsid w:val="00C632CF"/>
    <w:rsid w:val="00C63390"/>
    <w:rsid w:val="00C64E79"/>
    <w:rsid w:val="00C66930"/>
    <w:rsid w:val="00C669FC"/>
    <w:rsid w:val="00C66C49"/>
    <w:rsid w:val="00C66E5A"/>
    <w:rsid w:val="00C671D3"/>
    <w:rsid w:val="00C673FA"/>
    <w:rsid w:val="00C67521"/>
    <w:rsid w:val="00C67982"/>
    <w:rsid w:val="00C67EA9"/>
    <w:rsid w:val="00C71867"/>
    <w:rsid w:val="00C71F97"/>
    <w:rsid w:val="00C72237"/>
    <w:rsid w:val="00C726EE"/>
    <w:rsid w:val="00C726FB"/>
    <w:rsid w:val="00C72CD9"/>
    <w:rsid w:val="00C739D2"/>
    <w:rsid w:val="00C747B8"/>
    <w:rsid w:val="00C74D51"/>
    <w:rsid w:val="00C75B28"/>
    <w:rsid w:val="00C767F9"/>
    <w:rsid w:val="00C8040E"/>
    <w:rsid w:val="00C80759"/>
    <w:rsid w:val="00C810A0"/>
    <w:rsid w:val="00C81293"/>
    <w:rsid w:val="00C81860"/>
    <w:rsid w:val="00C82AF7"/>
    <w:rsid w:val="00C838F4"/>
    <w:rsid w:val="00C84D36"/>
    <w:rsid w:val="00C85B50"/>
    <w:rsid w:val="00C86080"/>
    <w:rsid w:val="00C9083B"/>
    <w:rsid w:val="00C91AD1"/>
    <w:rsid w:val="00C9276D"/>
    <w:rsid w:val="00C928BF"/>
    <w:rsid w:val="00C92FC1"/>
    <w:rsid w:val="00C92FC6"/>
    <w:rsid w:val="00C934FB"/>
    <w:rsid w:val="00C94C78"/>
    <w:rsid w:val="00C94F0A"/>
    <w:rsid w:val="00C955B2"/>
    <w:rsid w:val="00C9596C"/>
    <w:rsid w:val="00C96FBA"/>
    <w:rsid w:val="00C976DA"/>
    <w:rsid w:val="00C97E38"/>
    <w:rsid w:val="00C97F02"/>
    <w:rsid w:val="00CA075F"/>
    <w:rsid w:val="00CA13FA"/>
    <w:rsid w:val="00CA18AF"/>
    <w:rsid w:val="00CA18C7"/>
    <w:rsid w:val="00CA2318"/>
    <w:rsid w:val="00CA2663"/>
    <w:rsid w:val="00CA31EB"/>
    <w:rsid w:val="00CA346C"/>
    <w:rsid w:val="00CA34A5"/>
    <w:rsid w:val="00CA4808"/>
    <w:rsid w:val="00CA4952"/>
    <w:rsid w:val="00CA54E1"/>
    <w:rsid w:val="00CA5F99"/>
    <w:rsid w:val="00CA7F49"/>
    <w:rsid w:val="00CB0CE3"/>
    <w:rsid w:val="00CB10FC"/>
    <w:rsid w:val="00CB253E"/>
    <w:rsid w:val="00CB3680"/>
    <w:rsid w:val="00CB3822"/>
    <w:rsid w:val="00CB3BBA"/>
    <w:rsid w:val="00CB3FBF"/>
    <w:rsid w:val="00CB4588"/>
    <w:rsid w:val="00CB46DB"/>
    <w:rsid w:val="00CB53F8"/>
    <w:rsid w:val="00CB5A4A"/>
    <w:rsid w:val="00CB67AD"/>
    <w:rsid w:val="00CB6B01"/>
    <w:rsid w:val="00CB6B78"/>
    <w:rsid w:val="00CB752E"/>
    <w:rsid w:val="00CB79DF"/>
    <w:rsid w:val="00CB7EDA"/>
    <w:rsid w:val="00CC11A5"/>
    <w:rsid w:val="00CC189C"/>
    <w:rsid w:val="00CC1E40"/>
    <w:rsid w:val="00CC28CB"/>
    <w:rsid w:val="00CC2DB1"/>
    <w:rsid w:val="00CC2E5F"/>
    <w:rsid w:val="00CC3E9E"/>
    <w:rsid w:val="00CC45C8"/>
    <w:rsid w:val="00CC4728"/>
    <w:rsid w:val="00CC5500"/>
    <w:rsid w:val="00CC5774"/>
    <w:rsid w:val="00CC5F5C"/>
    <w:rsid w:val="00CC67A6"/>
    <w:rsid w:val="00CC7C1F"/>
    <w:rsid w:val="00CD049C"/>
    <w:rsid w:val="00CD0C0A"/>
    <w:rsid w:val="00CD0D3A"/>
    <w:rsid w:val="00CD1644"/>
    <w:rsid w:val="00CD20D2"/>
    <w:rsid w:val="00CD2C39"/>
    <w:rsid w:val="00CD2CE3"/>
    <w:rsid w:val="00CD2D67"/>
    <w:rsid w:val="00CD313F"/>
    <w:rsid w:val="00CD4423"/>
    <w:rsid w:val="00CD45F6"/>
    <w:rsid w:val="00CD4F94"/>
    <w:rsid w:val="00CD5411"/>
    <w:rsid w:val="00CD54BE"/>
    <w:rsid w:val="00CD5FE1"/>
    <w:rsid w:val="00CD6076"/>
    <w:rsid w:val="00CD697A"/>
    <w:rsid w:val="00CD6EFC"/>
    <w:rsid w:val="00CD7361"/>
    <w:rsid w:val="00CD7DA3"/>
    <w:rsid w:val="00CE02DB"/>
    <w:rsid w:val="00CE0356"/>
    <w:rsid w:val="00CE04A5"/>
    <w:rsid w:val="00CE1011"/>
    <w:rsid w:val="00CE1898"/>
    <w:rsid w:val="00CE2486"/>
    <w:rsid w:val="00CE296D"/>
    <w:rsid w:val="00CE30ED"/>
    <w:rsid w:val="00CE3EAC"/>
    <w:rsid w:val="00CE3F34"/>
    <w:rsid w:val="00CE3FB5"/>
    <w:rsid w:val="00CE40BF"/>
    <w:rsid w:val="00CE4123"/>
    <w:rsid w:val="00CE4273"/>
    <w:rsid w:val="00CE488E"/>
    <w:rsid w:val="00CE5B7C"/>
    <w:rsid w:val="00CE6255"/>
    <w:rsid w:val="00CE6340"/>
    <w:rsid w:val="00CE6866"/>
    <w:rsid w:val="00CE77B8"/>
    <w:rsid w:val="00CE7D7C"/>
    <w:rsid w:val="00CE7F58"/>
    <w:rsid w:val="00CF05E0"/>
    <w:rsid w:val="00CF0E84"/>
    <w:rsid w:val="00CF1A03"/>
    <w:rsid w:val="00CF20E7"/>
    <w:rsid w:val="00CF2200"/>
    <w:rsid w:val="00CF2891"/>
    <w:rsid w:val="00CF4910"/>
    <w:rsid w:val="00CF4CEA"/>
    <w:rsid w:val="00CF4DE0"/>
    <w:rsid w:val="00CF4DFD"/>
    <w:rsid w:val="00CF5033"/>
    <w:rsid w:val="00CF5169"/>
    <w:rsid w:val="00CF5FBA"/>
    <w:rsid w:val="00CF6017"/>
    <w:rsid w:val="00CF6225"/>
    <w:rsid w:val="00CF6996"/>
    <w:rsid w:val="00CF6FD4"/>
    <w:rsid w:val="00CF707F"/>
    <w:rsid w:val="00CF73A9"/>
    <w:rsid w:val="00CF7668"/>
    <w:rsid w:val="00CF786F"/>
    <w:rsid w:val="00D00778"/>
    <w:rsid w:val="00D015A4"/>
    <w:rsid w:val="00D01D9F"/>
    <w:rsid w:val="00D0240E"/>
    <w:rsid w:val="00D02B86"/>
    <w:rsid w:val="00D030B9"/>
    <w:rsid w:val="00D03AB2"/>
    <w:rsid w:val="00D03E59"/>
    <w:rsid w:val="00D0597E"/>
    <w:rsid w:val="00D059B9"/>
    <w:rsid w:val="00D0622E"/>
    <w:rsid w:val="00D06643"/>
    <w:rsid w:val="00D0689C"/>
    <w:rsid w:val="00D068AD"/>
    <w:rsid w:val="00D06B37"/>
    <w:rsid w:val="00D06DB3"/>
    <w:rsid w:val="00D07285"/>
    <w:rsid w:val="00D078FD"/>
    <w:rsid w:val="00D07D25"/>
    <w:rsid w:val="00D10A99"/>
    <w:rsid w:val="00D110A0"/>
    <w:rsid w:val="00D12152"/>
    <w:rsid w:val="00D123FC"/>
    <w:rsid w:val="00D1366D"/>
    <w:rsid w:val="00D13CA4"/>
    <w:rsid w:val="00D147F4"/>
    <w:rsid w:val="00D155E0"/>
    <w:rsid w:val="00D15926"/>
    <w:rsid w:val="00D16F18"/>
    <w:rsid w:val="00D21CDC"/>
    <w:rsid w:val="00D220CE"/>
    <w:rsid w:val="00D220E9"/>
    <w:rsid w:val="00D224B3"/>
    <w:rsid w:val="00D22A0B"/>
    <w:rsid w:val="00D22F91"/>
    <w:rsid w:val="00D230A7"/>
    <w:rsid w:val="00D24B4A"/>
    <w:rsid w:val="00D2507C"/>
    <w:rsid w:val="00D250D4"/>
    <w:rsid w:val="00D2593C"/>
    <w:rsid w:val="00D26324"/>
    <w:rsid w:val="00D26A09"/>
    <w:rsid w:val="00D26BBE"/>
    <w:rsid w:val="00D301CE"/>
    <w:rsid w:val="00D3038A"/>
    <w:rsid w:val="00D30DC6"/>
    <w:rsid w:val="00D3121F"/>
    <w:rsid w:val="00D315ED"/>
    <w:rsid w:val="00D31E1B"/>
    <w:rsid w:val="00D3223A"/>
    <w:rsid w:val="00D32963"/>
    <w:rsid w:val="00D32DC2"/>
    <w:rsid w:val="00D33801"/>
    <w:rsid w:val="00D33B76"/>
    <w:rsid w:val="00D33DD0"/>
    <w:rsid w:val="00D35035"/>
    <w:rsid w:val="00D36050"/>
    <w:rsid w:val="00D3605A"/>
    <w:rsid w:val="00D36579"/>
    <w:rsid w:val="00D36CBD"/>
    <w:rsid w:val="00D36EAC"/>
    <w:rsid w:val="00D3759D"/>
    <w:rsid w:val="00D37C01"/>
    <w:rsid w:val="00D404B1"/>
    <w:rsid w:val="00D40AB7"/>
    <w:rsid w:val="00D40BB4"/>
    <w:rsid w:val="00D40C25"/>
    <w:rsid w:val="00D40FBF"/>
    <w:rsid w:val="00D415E5"/>
    <w:rsid w:val="00D41ABC"/>
    <w:rsid w:val="00D42488"/>
    <w:rsid w:val="00D42D65"/>
    <w:rsid w:val="00D43197"/>
    <w:rsid w:val="00D43716"/>
    <w:rsid w:val="00D43836"/>
    <w:rsid w:val="00D43FAF"/>
    <w:rsid w:val="00D44185"/>
    <w:rsid w:val="00D445C7"/>
    <w:rsid w:val="00D44EDF"/>
    <w:rsid w:val="00D45051"/>
    <w:rsid w:val="00D45573"/>
    <w:rsid w:val="00D46793"/>
    <w:rsid w:val="00D46952"/>
    <w:rsid w:val="00D472B9"/>
    <w:rsid w:val="00D47688"/>
    <w:rsid w:val="00D50FE7"/>
    <w:rsid w:val="00D51BFA"/>
    <w:rsid w:val="00D52207"/>
    <w:rsid w:val="00D52257"/>
    <w:rsid w:val="00D531BD"/>
    <w:rsid w:val="00D53E87"/>
    <w:rsid w:val="00D53FF6"/>
    <w:rsid w:val="00D542BE"/>
    <w:rsid w:val="00D54CE8"/>
    <w:rsid w:val="00D561AC"/>
    <w:rsid w:val="00D56896"/>
    <w:rsid w:val="00D56AD9"/>
    <w:rsid w:val="00D57397"/>
    <w:rsid w:val="00D5742D"/>
    <w:rsid w:val="00D57823"/>
    <w:rsid w:val="00D6129D"/>
    <w:rsid w:val="00D615C5"/>
    <w:rsid w:val="00D618C9"/>
    <w:rsid w:val="00D62B29"/>
    <w:rsid w:val="00D62B30"/>
    <w:rsid w:val="00D62DEC"/>
    <w:rsid w:val="00D64380"/>
    <w:rsid w:val="00D64662"/>
    <w:rsid w:val="00D655EA"/>
    <w:rsid w:val="00D66098"/>
    <w:rsid w:val="00D666A9"/>
    <w:rsid w:val="00D66D59"/>
    <w:rsid w:val="00D66D63"/>
    <w:rsid w:val="00D70A5C"/>
    <w:rsid w:val="00D70E89"/>
    <w:rsid w:val="00D71D2C"/>
    <w:rsid w:val="00D734F5"/>
    <w:rsid w:val="00D744C9"/>
    <w:rsid w:val="00D74509"/>
    <w:rsid w:val="00D74748"/>
    <w:rsid w:val="00D75330"/>
    <w:rsid w:val="00D7583E"/>
    <w:rsid w:val="00D7648B"/>
    <w:rsid w:val="00D77356"/>
    <w:rsid w:val="00D77EF2"/>
    <w:rsid w:val="00D8096B"/>
    <w:rsid w:val="00D8146B"/>
    <w:rsid w:val="00D81C0C"/>
    <w:rsid w:val="00D81C58"/>
    <w:rsid w:val="00D81F96"/>
    <w:rsid w:val="00D82361"/>
    <w:rsid w:val="00D82456"/>
    <w:rsid w:val="00D84120"/>
    <w:rsid w:val="00D84B49"/>
    <w:rsid w:val="00D84D77"/>
    <w:rsid w:val="00D85E97"/>
    <w:rsid w:val="00D86588"/>
    <w:rsid w:val="00D86AB1"/>
    <w:rsid w:val="00D90514"/>
    <w:rsid w:val="00D9056E"/>
    <w:rsid w:val="00D90E3E"/>
    <w:rsid w:val="00D90EFD"/>
    <w:rsid w:val="00D92D83"/>
    <w:rsid w:val="00D932DB"/>
    <w:rsid w:val="00D93377"/>
    <w:rsid w:val="00D93A32"/>
    <w:rsid w:val="00D950B4"/>
    <w:rsid w:val="00D96000"/>
    <w:rsid w:val="00D96042"/>
    <w:rsid w:val="00D9630E"/>
    <w:rsid w:val="00D96CFD"/>
    <w:rsid w:val="00D96DA2"/>
    <w:rsid w:val="00D96DD9"/>
    <w:rsid w:val="00D96FE9"/>
    <w:rsid w:val="00D974D3"/>
    <w:rsid w:val="00D97890"/>
    <w:rsid w:val="00DA085F"/>
    <w:rsid w:val="00DA0C0B"/>
    <w:rsid w:val="00DA214A"/>
    <w:rsid w:val="00DA28E9"/>
    <w:rsid w:val="00DA2A67"/>
    <w:rsid w:val="00DA321E"/>
    <w:rsid w:val="00DA32D9"/>
    <w:rsid w:val="00DA3687"/>
    <w:rsid w:val="00DA3F50"/>
    <w:rsid w:val="00DA4606"/>
    <w:rsid w:val="00DA4B3C"/>
    <w:rsid w:val="00DA5DA6"/>
    <w:rsid w:val="00DA6088"/>
    <w:rsid w:val="00DA6D5C"/>
    <w:rsid w:val="00DA6E66"/>
    <w:rsid w:val="00DA728B"/>
    <w:rsid w:val="00DA7977"/>
    <w:rsid w:val="00DB08D2"/>
    <w:rsid w:val="00DB0A95"/>
    <w:rsid w:val="00DB13D5"/>
    <w:rsid w:val="00DB2C10"/>
    <w:rsid w:val="00DB2C87"/>
    <w:rsid w:val="00DB3102"/>
    <w:rsid w:val="00DB38F5"/>
    <w:rsid w:val="00DB3D57"/>
    <w:rsid w:val="00DB536F"/>
    <w:rsid w:val="00DB5402"/>
    <w:rsid w:val="00DB63E2"/>
    <w:rsid w:val="00DB6616"/>
    <w:rsid w:val="00DB6DA0"/>
    <w:rsid w:val="00DB78C0"/>
    <w:rsid w:val="00DC083D"/>
    <w:rsid w:val="00DC0B19"/>
    <w:rsid w:val="00DC0BF5"/>
    <w:rsid w:val="00DC115D"/>
    <w:rsid w:val="00DC1892"/>
    <w:rsid w:val="00DC1A13"/>
    <w:rsid w:val="00DC1EC5"/>
    <w:rsid w:val="00DC20B4"/>
    <w:rsid w:val="00DC2AB2"/>
    <w:rsid w:val="00DC376B"/>
    <w:rsid w:val="00DC3D07"/>
    <w:rsid w:val="00DC423E"/>
    <w:rsid w:val="00DC486B"/>
    <w:rsid w:val="00DC4D21"/>
    <w:rsid w:val="00DC4D6C"/>
    <w:rsid w:val="00DC57A7"/>
    <w:rsid w:val="00DC5EB6"/>
    <w:rsid w:val="00DC6594"/>
    <w:rsid w:val="00DC76D0"/>
    <w:rsid w:val="00DC7FF7"/>
    <w:rsid w:val="00DD0320"/>
    <w:rsid w:val="00DD059D"/>
    <w:rsid w:val="00DD06DC"/>
    <w:rsid w:val="00DD0747"/>
    <w:rsid w:val="00DD0B4E"/>
    <w:rsid w:val="00DD0ED7"/>
    <w:rsid w:val="00DD1027"/>
    <w:rsid w:val="00DD19AC"/>
    <w:rsid w:val="00DD1B48"/>
    <w:rsid w:val="00DD1D49"/>
    <w:rsid w:val="00DD1EFE"/>
    <w:rsid w:val="00DD1F64"/>
    <w:rsid w:val="00DD2396"/>
    <w:rsid w:val="00DD264C"/>
    <w:rsid w:val="00DD29F1"/>
    <w:rsid w:val="00DD34B2"/>
    <w:rsid w:val="00DD3ABB"/>
    <w:rsid w:val="00DD41FD"/>
    <w:rsid w:val="00DD5669"/>
    <w:rsid w:val="00DD578B"/>
    <w:rsid w:val="00DD665B"/>
    <w:rsid w:val="00DD6886"/>
    <w:rsid w:val="00DD697A"/>
    <w:rsid w:val="00DD70DA"/>
    <w:rsid w:val="00DD7B68"/>
    <w:rsid w:val="00DD7C52"/>
    <w:rsid w:val="00DD7C59"/>
    <w:rsid w:val="00DE025F"/>
    <w:rsid w:val="00DE041D"/>
    <w:rsid w:val="00DE139F"/>
    <w:rsid w:val="00DE1D71"/>
    <w:rsid w:val="00DE2709"/>
    <w:rsid w:val="00DE27C5"/>
    <w:rsid w:val="00DE3E35"/>
    <w:rsid w:val="00DE3FA4"/>
    <w:rsid w:val="00DE46B4"/>
    <w:rsid w:val="00DE4B38"/>
    <w:rsid w:val="00DE4BA7"/>
    <w:rsid w:val="00DE53A0"/>
    <w:rsid w:val="00DE53AA"/>
    <w:rsid w:val="00DE5944"/>
    <w:rsid w:val="00DE6C62"/>
    <w:rsid w:val="00DE77F4"/>
    <w:rsid w:val="00DE7EFF"/>
    <w:rsid w:val="00DF0933"/>
    <w:rsid w:val="00DF1221"/>
    <w:rsid w:val="00DF1E59"/>
    <w:rsid w:val="00DF2E55"/>
    <w:rsid w:val="00DF41E3"/>
    <w:rsid w:val="00DF42CD"/>
    <w:rsid w:val="00DF4494"/>
    <w:rsid w:val="00DF57AF"/>
    <w:rsid w:val="00DF6994"/>
    <w:rsid w:val="00DF7C96"/>
    <w:rsid w:val="00E002DA"/>
    <w:rsid w:val="00E00CEE"/>
    <w:rsid w:val="00E01DF5"/>
    <w:rsid w:val="00E01F9E"/>
    <w:rsid w:val="00E02DE3"/>
    <w:rsid w:val="00E03301"/>
    <w:rsid w:val="00E0425D"/>
    <w:rsid w:val="00E0446F"/>
    <w:rsid w:val="00E04F5A"/>
    <w:rsid w:val="00E051F3"/>
    <w:rsid w:val="00E05300"/>
    <w:rsid w:val="00E05C72"/>
    <w:rsid w:val="00E05F71"/>
    <w:rsid w:val="00E0675C"/>
    <w:rsid w:val="00E06E56"/>
    <w:rsid w:val="00E06F5D"/>
    <w:rsid w:val="00E100C6"/>
    <w:rsid w:val="00E113AE"/>
    <w:rsid w:val="00E1184C"/>
    <w:rsid w:val="00E11C6E"/>
    <w:rsid w:val="00E11EAA"/>
    <w:rsid w:val="00E1318E"/>
    <w:rsid w:val="00E1329C"/>
    <w:rsid w:val="00E14909"/>
    <w:rsid w:val="00E14A43"/>
    <w:rsid w:val="00E1509D"/>
    <w:rsid w:val="00E150FD"/>
    <w:rsid w:val="00E15A65"/>
    <w:rsid w:val="00E1602A"/>
    <w:rsid w:val="00E163E4"/>
    <w:rsid w:val="00E16D9A"/>
    <w:rsid w:val="00E17934"/>
    <w:rsid w:val="00E200BD"/>
    <w:rsid w:val="00E201CB"/>
    <w:rsid w:val="00E2071F"/>
    <w:rsid w:val="00E20EAB"/>
    <w:rsid w:val="00E21B27"/>
    <w:rsid w:val="00E22D23"/>
    <w:rsid w:val="00E22F2A"/>
    <w:rsid w:val="00E23871"/>
    <w:rsid w:val="00E23C51"/>
    <w:rsid w:val="00E24667"/>
    <w:rsid w:val="00E25DBE"/>
    <w:rsid w:val="00E25E8B"/>
    <w:rsid w:val="00E2616A"/>
    <w:rsid w:val="00E261FC"/>
    <w:rsid w:val="00E2679E"/>
    <w:rsid w:val="00E2698B"/>
    <w:rsid w:val="00E276E4"/>
    <w:rsid w:val="00E29655"/>
    <w:rsid w:val="00E308A9"/>
    <w:rsid w:val="00E32240"/>
    <w:rsid w:val="00E329FD"/>
    <w:rsid w:val="00E32C2D"/>
    <w:rsid w:val="00E33664"/>
    <w:rsid w:val="00E3391A"/>
    <w:rsid w:val="00E34A0E"/>
    <w:rsid w:val="00E34B98"/>
    <w:rsid w:val="00E35194"/>
    <w:rsid w:val="00E358E0"/>
    <w:rsid w:val="00E37CAD"/>
    <w:rsid w:val="00E4092D"/>
    <w:rsid w:val="00E40E9E"/>
    <w:rsid w:val="00E43937"/>
    <w:rsid w:val="00E43B51"/>
    <w:rsid w:val="00E43DFD"/>
    <w:rsid w:val="00E44171"/>
    <w:rsid w:val="00E4456D"/>
    <w:rsid w:val="00E44BD0"/>
    <w:rsid w:val="00E45619"/>
    <w:rsid w:val="00E46083"/>
    <w:rsid w:val="00E46A5A"/>
    <w:rsid w:val="00E46EB4"/>
    <w:rsid w:val="00E47114"/>
    <w:rsid w:val="00E502FF"/>
    <w:rsid w:val="00E508A7"/>
    <w:rsid w:val="00E5273D"/>
    <w:rsid w:val="00E52883"/>
    <w:rsid w:val="00E52E6A"/>
    <w:rsid w:val="00E53059"/>
    <w:rsid w:val="00E534BE"/>
    <w:rsid w:val="00E54061"/>
    <w:rsid w:val="00E543AF"/>
    <w:rsid w:val="00E5476F"/>
    <w:rsid w:val="00E55A54"/>
    <w:rsid w:val="00E5623D"/>
    <w:rsid w:val="00E57B3C"/>
    <w:rsid w:val="00E606FD"/>
    <w:rsid w:val="00E61053"/>
    <w:rsid w:val="00E611AC"/>
    <w:rsid w:val="00E61A40"/>
    <w:rsid w:val="00E61F77"/>
    <w:rsid w:val="00E62531"/>
    <w:rsid w:val="00E6274F"/>
    <w:rsid w:val="00E62751"/>
    <w:rsid w:val="00E62923"/>
    <w:rsid w:val="00E636C1"/>
    <w:rsid w:val="00E64216"/>
    <w:rsid w:val="00E651CF"/>
    <w:rsid w:val="00E654EB"/>
    <w:rsid w:val="00E66222"/>
    <w:rsid w:val="00E66BB3"/>
    <w:rsid w:val="00E7007C"/>
    <w:rsid w:val="00E7023E"/>
    <w:rsid w:val="00E70699"/>
    <w:rsid w:val="00E708D7"/>
    <w:rsid w:val="00E71166"/>
    <w:rsid w:val="00E7149F"/>
    <w:rsid w:val="00E7231A"/>
    <w:rsid w:val="00E72748"/>
    <w:rsid w:val="00E72EC3"/>
    <w:rsid w:val="00E73958"/>
    <w:rsid w:val="00E7499B"/>
    <w:rsid w:val="00E74ADC"/>
    <w:rsid w:val="00E74B9A"/>
    <w:rsid w:val="00E74FC9"/>
    <w:rsid w:val="00E75176"/>
    <w:rsid w:val="00E752BD"/>
    <w:rsid w:val="00E75303"/>
    <w:rsid w:val="00E7548D"/>
    <w:rsid w:val="00E755DC"/>
    <w:rsid w:val="00E76013"/>
    <w:rsid w:val="00E761F0"/>
    <w:rsid w:val="00E76F75"/>
    <w:rsid w:val="00E7755F"/>
    <w:rsid w:val="00E775C2"/>
    <w:rsid w:val="00E800D4"/>
    <w:rsid w:val="00E80440"/>
    <w:rsid w:val="00E80B81"/>
    <w:rsid w:val="00E81039"/>
    <w:rsid w:val="00E8113A"/>
    <w:rsid w:val="00E8162D"/>
    <w:rsid w:val="00E8269A"/>
    <w:rsid w:val="00E828C6"/>
    <w:rsid w:val="00E833DD"/>
    <w:rsid w:val="00E83B85"/>
    <w:rsid w:val="00E83D60"/>
    <w:rsid w:val="00E83FCE"/>
    <w:rsid w:val="00E84036"/>
    <w:rsid w:val="00E844F3"/>
    <w:rsid w:val="00E848F4"/>
    <w:rsid w:val="00E84C19"/>
    <w:rsid w:val="00E84C75"/>
    <w:rsid w:val="00E84EBD"/>
    <w:rsid w:val="00E85176"/>
    <w:rsid w:val="00E85BEC"/>
    <w:rsid w:val="00E8641D"/>
    <w:rsid w:val="00E876EC"/>
    <w:rsid w:val="00E879BF"/>
    <w:rsid w:val="00E90389"/>
    <w:rsid w:val="00E90802"/>
    <w:rsid w:val="00E90E12"/>
    <w:rsid w:val="00E915E7"/>
    <w:rsid w:val="00E92131"/>
    <w:rsid w:val="00E92361"/>
    <w:rsid w:val="00E927E5"/>
    <w:rsid w:val="00E9472B"/>
    <w:rsid w:val="00E94EF2"/>
    <w:rsid w:val="00E95CA7"/>
    <w:rsid w:val="00E95D9B"/>
    <w:rsid w:val="00E96164"/>
    <w:rsid w:val="00E96C00"/>
    <w:rsid w:val="00E9784C"/>
    <w:rsid w:val="00E97CA6"/>
    <w:rsid w:val="00EA0161"/>
    <w:rsid w:val="00EA0A80"/>
    <w:rsid w:val="00EA0F89"/>
    <w:rsid w:val="00EA137E"/>
    <w:rsid w:val="00EA1616"/>
    <w:rsid w:val="00EA1716"/>
    <w:rsid w:val="00EA183A"/>
    <w:rsid w:val="00EA1BDC"/>
    <w:rsid w:val="00EA1D59"/>
    <w:rsid w:val="00EA1E51"/>
    <w:rsid w:val="00EA23E1"/>
    <w:rsid w:val="00EA5211"/>
    <w:rsid w:val="00EA55C7"/>
    <w:rsid w:val="00EA578F"/>
    <w:rsid w:val="00EA5F61"/>
    <w:rsid w:val="00EA6549"/>
    <w:rsid w:val="00EA7767"/>
    <w:rsid w:val="00EA787E"/>
    <w:rsid w:val="00EB171D"/>
    <w:rsid w:val="00EB22D2"/>
    <w:rsid w:val="00EB2303"/>
    <w:rsid w:val="00EB2533"/>
    <w:rsid w:val="00EB26D5"/>
    <w:rsid w:val="00EB2B57"/>
    <w:rsid w:val="00EB325C"/>
    <w:rsid w:val="00EB4A7D"/>
    <w:rsid w:val="00EB4EE8"/>
    <w:rsid w:val="00EB571E"/>
    <w:rsid w:val="00EB671D"/>
    <w:rsid w:val="00EB6A3D"/>
    <w:rsid w:val="00EB6E04"/>
    <w:rsid w:val="00EB7221"/>
    <w:rsid w:val="00EB784E"/>
    <w:rsid w:val="00EB7D53"/>
    <w:rsid w:val="00EB7F27"/>
    <w:rsid w:val="00EC0E07"/>
    <w:rsid w:val="00EC1E92"/>
    <w:rsid w:val="00EC3674"/>
    <w:rsid w:val="00EC4616"/>
    <w:rsid w:val="00EC4BFB"/>
    <w:rsid w:val="00EC4F21"/>
    <w:rsid w:val="00EC50A6"/>
    <w:rsid w:val="00EC531B"/>
    <w:rsid w:val="00EC59DC"/>
    <w:rsid w:val="00EC5BD4"/>
    <w:rsid w:val="00EC680D"/>
    <w:rsid w:val="00EC6F7E"/>
    <w:rsid w:val="00EC7844"/>
    <w:rsid w:val="00EC7E13"/>
    <w:rsid w:val="00ED044C"/>
    <w:rsid w:val="00ED12A2"/>
    <w:rsid w:val="00ED14A8"/>
    <w:rsid w:val="00ED1FA4"/>
    <w:rsid w:val="00ED23B5"/>
    <w:rsid w:val="00ED2C0F"/>
    <w:rsid w:val="00ED38DC"/>
    <w:rsid w:val="00ED39A5"/>
    <w:rsid w:val="00ED3B04"/>
    <w:rsid w:val="00ED415D"/>
    <w:rsid w:val="00ED43C5"/>
    <w:rsid w:val="00ED4525"/>
    <w:rsid w:val="00ED4869"/>
    <w:rsid w:val="00ED5194"/>
    <w:rsid w:val="00ED5318"/>
    <w:rsid w:val="00ED64DB"/>
    <w:rsid w:val="00ED66CB"/>
    <w:rsid w:val="00ED6856"/>
    <w:rsid w:val="00ED6BBE"/>
    <w:rsid w:val="00ED7F6F"/>
    <w:rsid w:val="00EE1430"/>
    <w:rsid w:val="00EE1D78"/>
    <w:rsid w:val="00EE205B"/>
    <w:rsid w:val="00EE22B1"/>
    <w:rsid w:val="00EE2C1D"/>
    <w:rsid w:val="00EE3739"/>
    <w:rsid w:val="00EE3E57"/>
    <w:rsid w:val="00EE4542"/>
    <w:rsid w:val="00EE4937"/>
    <w:rsid w:val="00EE4C50"/>
    <w:rsid w:val="00EE518B"/>
    <w:rsid w:val="00EE5F87"/>
    <w:rsid w:val="00EE649C"/>
    <w:rsid w:val="00EE717E"/>
    <w:rsid w:val="00EE7842"/>
    <w:rsid w:val="00EF06CA"/>
    <w:rsid w:val="00EF0909"/>
    <w:rsid w:val="00EF1D62"/>
    <w:rsid w:val="00EF20AE"/>
    <w:rsid w:val="00EF2452"/>
    <w:rsid w:val="00EF2520"/>
    <w:rsid w:val="00EF2C13"/>
    <w:rsid w:val="00EF2E67"/>
    <w:rsid w:val="00EF386B"/>
    <w:rsid w:val="00EF3B81"/>
    <w:rsid w:val="00EF3CA1"/>
    <w:rsid w:val="00EF3D84"/>
    <w:rsid w:val="00EF3EC2"/>
    <w:rsid w:val="00EF45BD"/>
    <w:rsid w:val="00EF49C4"/>
    <w:rsid w:val="00EF4A8C"/>
    <w:rsid w:val="00EF64E9"/>
    <w:rsid w:val="00EF6FAF"/>
    <w:rsid w:val="00EF7646"/>
    <w:rsid w:val="00EF7D24"/>
    <w:rsid w:val="00F009D9"/>
    <w:rsid w:val="00F00D89"/>
    <w:rsid w:val="00F010B8"/>
    <w:rsid w:val="00F013D7"/>
    <w:rsid w:val="00F01D9C"/>
    <w:rsid w:val="00F01DFC"/>
    <w:rsid w:val="00F02216"/>
    <w:rsid w:val="00F029CA"/>
    <w:rsid w:val="00F036E6"/>
    <w:rsid w:val="00F04998"/>
    <w:rsid w:val="00F0522B"/>
    <w:rsid w:val="00F062D5"/>
    <w:rsid w:val="00F06861"/>
    <w:rsid w:val="00F06B73"/>
    <w:rsid w:val="00F07090"/>
    <w:rsid w:val="00F07155"/>
    <w:rsid w:val="00F07F08"/>
    <w:rsid w:val="00F10A9C"/>
    <w:rsid w:val="00F11BA6"/>
    <w:rsid w:val="00F11EAA"/>
    <w:rsid w:val="00F12B78"/>
    <w:rsid w:val="00F134AC"/>
    <w:rsid w:val="00F13711"/>
    <w:rsid w:val="00F13FF9"/>
    <w:rsid w:val="00F14A3B"/>
    <w:rsid w:val="00F15B0A"/>
    <w:rsid w:val="00F16955"/>
    <w:rsid w:val="00F16A07"/>
    <w:rsid w:val="00F16B67"/>
    <w:rsid w:val="00F1715B"/>
    <w:rsid w:val="00F1788A"/>
    <w:rsid w:val="00F17D32"/>
    <w:rsid w:val="00F20DF5"/>
    <w:rsid w:val="00F21BF2"/>
    <w:rsid w:val="00F21C8A"/>
    <w:rsid w:val="00F2252F"/>
    <w:rsid w:val="00F22AEA"/>
    <w:rsid w:val="00F23675"/>
    <w:rsid w:val="00F23EB4"/>
    <w:rsid w:val="00F23FD4"/>
    <w:rsid w:val="00F2414B"/>
    <w:rsid w:val="00F2415D"/>
    <w:rsid w:val="00F24F4C"/>
    <w:rsid w:val="00F2563A"/>
    <w:rsid w:val="00F25644"/>
    <w:rsid w:val="00F26003"/>
    <w:rsid w:val="00F271EF"/>
    <w:rsid w:val="00F27316"/>
    <w:rsid w:val="00F274E8"/>
    <w:rsid w:val="00F30248"/>
    <w:rsid w:val="00F305C2"/>
    <w:rsid w:val="00F317F4"/>
    <w:rsid w:val="00F319A0"/>
    <w:rsid w:val="00F3213D"/>
    <w:rsid w:val="00F32341"/>
    <w:rsid w:val="00F32C12"/>
    <w:rsid w:val="00F3366B"/>
    <w:rsid w:val="00F337DE"/>
    <w:rsid w:val="00F33986"/>
    <w:rsid w:val="00F33B5B"/>
    <w:rsid w:val="00F34430"/>
    <w:rsid w:val="00F34476"/>
    <w:rsid w:val="00F34663"/>
    <w:rsid w:val="00F35409"/>
    <w:rsid w:val="00F35D0D"/>
    <w:rsid w:val="00F35E30"/>
    <w:rsid w:val="00F40B27"/>
    <w:rsid w:val="00F40C30"/>
    <w:rsid w:val="00F40D51"/>
    <w:rsid w:val="00F41567"/>
    <w:rsid w:val="00F4160E"/>
    <w:rsid w:val="00F41C7B"/>
    <w:rsid w:val="00F41EF2"/>
    <w:rsid w:val="00F438DC"/>
    <w:rsid w:val="00F44449"/>
    <w:rsid w:val="00F4493C"/>
    <w:rsid w:val="00F45044"/>
    <w:rsid w:val="00F45A3A"/>
    <w:rsid w:val="00F4635F"/>
    <w:rsid w:val="00F47074"/>
    <w:rsid w:val="00F47835"/>
    <w:rsid w:val="00F47FA5"/>
    <w:rsid w:val="00F50666"/>
    <w:rsid w:val="00F51103"/>
    <w:rsid w:val="00F51407"/>
    <w:rsid w:val="00F516CE"/>
    <w:rsid w:val="00F51945"/>
    <w:rsid w:val="00F51A40"/>
    <w:rsid w:val="00F52063"/>
    <w:rsid w:val="00F529C8"/>
    <w:rsid w:val="00F533C2"/>
    <w:rsid w:val="00F5364B"/>
    <w:rsid w:val="00F543AC"/>
    <w:rsid w:val="00F54B79"/>
    <w:rsid w:val="00F56A35"/>
    <w:rsid w:val="00F573AB"/>
    <w:rsid w:val="00F57552"/>
    <w:rsid w:val="00F57936"/>
    <w:rsid w:val="00F6036E"/>
    <w:rsid w:val="00F60998"/>
    <w:rsid w:val="00F60A99"/>
    <w:rsid w:val="00F60E4A"/>
    <w:rsid w:val="00F61020"/>
    <w:rsid w:val="00F6109C"/>
    <w:rsid w:val="00F61869"/>
    <w:rsid w:val="00F6289A"/>
    <w:rsid w:val="00F64056"/>
    <w:rsid w:val="00F643E8"/>
    <w:rsid w:val="00F643F7"/>
    <w:rsid w:val="00F64A61"/>
    <w:rsid w:val="00F64BFD"/>
    <w:rsid w:val="00F6633F"/>
    <w:rsid w:val="00F66521"/>
    <w:rsid w:val="00F66825"/>
    <w:rsid w:val="00F66D64"/>
    <w:rsid w:val="00F6773B"/>
    <w:rsid w:val="00F67B67"/>
    <w:rsid w:val="00F67BBE"/>
    <w:rsid w:val="00F700EA"/>
    <w:rsid w:val="00F70373"/>
    <w:rsid w:val="00F70B74"/>
    <w:rsid w:val="00F720D7"/>
    <w:rsid w:val="00F73163"/>
    <w:rsid w:val="00F733DA"/>
    <w:rsid w:val="00F73A1E"/>
    <w:rsid w:val="00F73A58"/>
    <w:rsid w:val="00F7413A"/>
    <w:rsid w:val="00F74C3B"/>
    <w:rsid w:val="00F7520B"/>
    <w:rsid w:val="00F755F5"/>
    <w:rsid w:val="00F75694"/>
    <w:rsid w:val="00F76529"/>
    <w:rsid w:val="00F76CC3"/>
    <w:rsid w:val="00F76E28"/>
    <w:rsid w:val="00F76F7F"/>
    <w:rsid w:val="00F778EB"/>
    <w:rsid w:val="00F77B20"/>
    <w:rsid w:val="00F77C9B"/>
    <w:rsid w:val="00F77DB0"/>
    <w:rsid w:val="00F80016"/>
    <w:rsid w:val="00F801B1"/>
    <w:rsid w:val="00F8061C"/>
    <w:rsid w:val="00F81181"/>
    <w:rsid w:val="00F81536"/>
    <w:rsid w:val="00F81749"/>
    <w:rsid w:val="00F81D9C"/>
    <w:rsid w:val="00F81DC8"/>
    <w:rsid w:val="00F81E82"/>
    <w:rsid w:val="00F82135"/>
    <w:rsid w:val="00F82C04"/>
    <w:rsid w:val="00F8325A"/>
    <w:rsid w:val="00F8376E"/>
    <w:rsid w:val="00F84FE7"/>
    <w:rsid w:val="00F861AD"/>
    <w:rsid w:val="00F863B5"/>
    <w:rsid w:val="00F867A3"/>
    <w:rsid w:val="00F87004"/>
    <w:rsid w:val="00F87836"/>
    <w:rsid w:val="00F87BDC"/>
    <w:rsid w:val="00F900E7"/>
    <w:rsid w:val="00F902BE"/>
    <w:rsid w:val="00F90811"/>
    <w:rsid w:val="00F915EF"/>
    <w:rsid w:val="00F915F6"/>
    <w:rsid w:val="00F923D0"/>
    <w:rsid w:val="00F92B57"/>
    <w:rsid w:val="00F92FE1"/>
    <w:rsid w:val="00F93AFA"/>
    <w:rsid w:val="00F9428B"/>
    <w:rsid w:val="00F94EDC"/>
    <w:rsid w:val="00F97103"/>
    <w:rsid w:val="00F97343"/>
    <w:rsid w:val="00F973E6"/>
    <w:rsid w:val="00F97555"/>
    <w:rsid w:val="00FA0BFC"/>
    <w:rsid w:val="00FA1385"/>
    <w:rsid w:val="00FA1808"/>
    <w:rsid w:val="00FA234E"/>
    <w:rsid w:val="00FA2EF5"/>
    <w:rsid w:val="00FA35F9"/>
    <w:rsid w:val="00FA3FF9"/>
    <w:rsid w:val="00FA475B"/>
    <w:rsid w:val="00FA4B41"/>
    <w:rsid w:val="00FA603D"/>
    <w:rsid w:val="00FA625F"/>
    <w:rsid w:val="00FA693F"/>
    <w:rsid w:val="00FA6A1C"/>
    <w:rsid w:val="00FA6EEA"/>
    <w:rsid w:val="00FA7E98"/>
    <w:rsid w:val="00FB08DB"/>
    <w:rsid w:val="00FB1959"/>
    <w:rsid w:val="00FB2796"/>
    <w:rsid w:val="00FB3E2A"/>
    <w:rsid w:val="00FB4119"/>
    <w:rsid w:val="00FB42C9"/>
    <w:rsid w:val="00FB461B"/>
    <w:rsid w:val="00FB6514"/>
    <w:rsid w:val="00FB7585"/>
    <w:rsid w:val="00FC144A"/>
    <w:rsid w:val="00FC16B4"/>
    <w:rsid w:val="00FC1C61"/>
    <w:rsid w:val="00FC1C6E"/>
    <w:rsid w:val="00FC1DA7"/>
    <w:rsid w:val="00FC1E1F"/>
    <w:rsid w:val="00FC1F4B"/>
    <w:rsid w:val="00FC1F7E"/>
    <w:rsid w:val="00FC23E7"/>
    <w:rsid w:val="00FC2F23"/>
    <w:rsid w:val="00FC3121"/>
    <w:rsid w:val="00FC3355"/>
    <w:rsid w:val="00FC396F"/>
    <w:rsid w:val="00FC3DAC"/>
    <w:rsid w:val="00FC443E"/>
    <w:rsid w:val="00FC4A8A"/>
    <w:rsid w:val="00FC4FE8"/>
    <w:rsid w:val="00FC53E0"/>
    <w:rsid w:val="00FC5732"/>
    <w:rsid w:val="00FC57E2"/>
    <w:rsid w:val="00FC63AC"/>
    <w:rsid w:val="00FC738D"/>
    <w:rsid w:val="00FC7ADA"/>
    <w:rsid w:val="00FD0710"/>
    <w:rsid w:val="00FD099E"/>
    <w:rsid w:val="00FD130D"/>
    <w:rsid w:val="00FD1547"/>
    <w:rsid w:val="00FD18E0"/>
    <w:rsid w:val="00FD1C5A"/>
    <w:rsid w:val="00FD1D74"/>
    <w:rsid w:val="00FD271D"/>
    <w:rsid w:val="00FD28B0"/>
    <w:rsid w:val="00FD2FF1"/>
    <w:rsid w:val="00FD351C"/>
    <w:rsid w:val="00FD35F6"/>
    <w:rsid w:val="00FD4354"/>
    <w:rsid w:val="00FD469D"/>
    <w:rsid w:val="00FD4C15"/>
    <w:rsid w:val="00FD4CC2"/>
    <w:rsid w:val="00FD57D8"/>
    <w:rsid w:val="00FD6714"/>
    <w:rsid w:val="00FD6A2F"/>
    <w:rsid w:val="00FD6FE1"/>
    <w:rsid w:val="00FD7BB5"/>
    <w:rsid w:val="00FE1ADE"/>
    <w:rsid w:val="00FE1C06"/>
    <w:rsid w:val="00FE20A9"/>
    <w:rsid w:val="00FE2428"/>
    <w:rsid w:val="00FE2B32"/>
    <w:rsid w:val="00FE2C55"/>
    <w:rsid w:val="00FE2E05"/>
    <w:rsid w:val="00FE2E9D"/>
    <w:rsid w:val="00FE3FEE"/>
    <w:rsid w:val="00FE4253"/>
    <w:rsid w:val="00FE5472"/>
    <w:rsid w:val="00FE695F"/>
    <w:rsid w:val="00FE7436"/>
    <w:rsid w:val="00FE7F4E"/>
    <w:rsid w:val="00FF0520"/>
    <w:rsid w:val="00FF0847"/>
    <w:rsid w:val="00FF31EC"/>
    <w:rsid w:val="00FF3387"/>
    <w:rsid w:val="00FF34EA"/>
    <w:rsid w:val="00FF3C58"/>
    <w:rsid w:val="00FF5E8D"/>
    <w:rsid w:val="00FF6D28"/>
    <w:rsid w:val="00FF6F30"/>
    <w:rsid w:val="00FF72FE"/>
    <w:rsid w:val="00FF768A"/>
    <w:rsid w:val="00FF79FC"/>
    <w:rsid w:val="00FF7B0C"/>
    <w:rsid w:val="00FF7C18"/>
    <w:rsid w:val="010A5F0E"/>
    <w:rsid w:val="011B829D"/>
    <w:rsid w:val="011CB7EE"/>
    <w:rsid w:val="013C141A"/>
    <w:rsid w:val="01402341"/>
    <w:rsid w:val="016E1857"/>
    <w:rsid w:val="017EB7BC"/>
    <w:rsid w:val="01856383"/>
    <w:rsid w:val="018F1593"/>
    <w:rsid w:val="0196C328"/>
    <w:rsid w:val="01975F6A"/>
    <w:rsid w:val="01AC0AB5"/>
    <w:rsid w:val="01C762B5"/>
    <w:rsid w:val="01E32DFA"/>
    <w:rsid w:val="01E466AD"/>
    <w:rsid w:val="01F0315D"/>
    <w:rsid w:val="01F76968"/>
    <w:rsid w:val="020260D7"/>
    <w:rsid w:val="02079B91"/>
    <w:rsid w:val="020A1E48"/>
    <w:rsid w:val="021CDF2C"/>
    <w:rsid w:val="021D0FDE"/>
    <w:rsid w:val="021EB289"/>
    <w:rsid w:val="0221927B"/>
    <w:rsid w:val="022C5595"/>
    <w:rsid w:val="0238293A"/>
    <w:rsid w:val="023B5AAC"/>
    <w:rsid w:val="024FBA78"/>
    <w:rsid w:val="026B7886"/>
    <w:rsid w:val="029E58CA"/>
    <w:rsid w:val="02AF21D8"/>
    <w:rsid w:val="02B02741"/>
    <w:rsid w:val="02B5CB21"/>
    <w:rsid w:val="02CA41E7"/>
    <w:rsid w:val="02D4C407"/>
    <w:rsid w:val="02D5CAB2"/>
    <w:rsid w:val="02DC9621"/>
    <w:rsid w:val="02DE9631"/>
    <w:rsid w:val="02E242EA"/>
    <w:rsid w:val="02EABB17"/>
    <w:rsid w:val="02EB7EAB"/>
    <w:rsid w:val="02F09105"/>
    <w:rsid w:val="03000B2A"/>
    <w:rsid w:val="0309B9B5"/>
    <w:rsid w:val="032AE5F4"/>
    <w:rsid w:val="0346D54D"/>
    <w:rsid w:val="034A0E08"/>
    <w:rsid w:val="035C2B16"/>
    <w:rsid w:val="03666433"/>
    <w:rsid w:val="0369FC7C"/>
    <w:rsid w:val="0390469F"/>
    <w:rsid w:val="03AB2E65"/>
    <w:rsid w:val="03BC6BEE"/>
    <w:rsid w:val="03CBF44A"/>
    <w:rsid w:val="03CF55C0"/>
    <w:rsid w:val="03D70546"/>
    <w:rsid w:val="03DB9D08"/>
    <w:rsid w:val="03E00908"/>
    <w:rsid w:val="03E24132"/>
    <w:rsid w:val="03F9B48A"/>
    <w:rsid w:val="040E8099"/>
    <w:rsid w:val="04401788"/>
    <w:rsid w:val="044130E9"/>
    <w:rsid w:val="04554666"/>
    <w:rsid w:val="04581AEA"/>
    <w:rsid w:val="045C66E0"/>
    <w:rsid w:val="0468FA65"/>
    <w:rsid w:val="047C4F3A"/>
    <w:rsid w:val="047CC24A"/>
    <w:rsid w:val="047DA390"/>
    <w:rsid w:val="0485DEF8"/>
    <w:rsid w:val="04874F0C"/>
    <w:rsid w:val="048D39F3"/>
    <w:rsid w:val="04A97B7E"/>
    <w:rsid w:val="04C0A42E"/>
    <w:rsid w:val="04C33B98"/>
    <w:rsid w:val="04C6B655"/>
    <w:rsid w:val="04E93D68"/>
    <w:rsid w:val="04EEB111"/>
    <w:rsid w:val="04FAD727"/>
    <w:rsid w:val="05268777"/>
    <w:rsid w:val="05286AEB"/>
    <w:rsid w:val="0548326A"/>
    <w:rsid w:val="054B38D1"/>
    <w:rsid w:val="05570916"/>
    <w:rsid w:val="0568DEB1"/>
    <w:rsid w:val="056ED50E"/>
    <w:rsid w:val="057B9407"/>
    <w:rsid w:val="057E4A40"/>
    <w:rsid w:val="05A0A683"/>
    <w:rsid w:val="05B49AA7"/>
    <w:rsid w:val="05C63729"/>
    <w:rsid w:val="05D0DD96"/>
    <w:rsid w:val="05E9F748"/>
    <w:rsid w:val="061436E3"/>
    <w:rsid w:val="0614B9A2"/>
    <w:rsid w:val="0620F31B"/>
    <w:rsid w:val="062529BE"/>
    <w:rsid w:val="06274E96"/>
    <w:rsid w:val="06351210"/>
    <w:rsid w:val="06687015"/>
    <w:rsid w:val="067DE64A"/>
    <w:rsid w:val="06B4C268"/>
    <w:rsid w:val="06C59E17"/>
    <w:rsid w:val="06DA8D97"/>
    <w:rsid w:val="070C9ED9"/>
    <w:rsid w:val="0713EBA8"/>
    <w:rsid w:val="071A8273"/>
    <w:rsid w:val="071B9237"/>
    <w:rsid w:val="07259401"/>
    <w:rsid w:val="072BD00E"/>
    <w:rsid w:val="0734B7CE"/>
    <w:rsid w:val="0747F724"/>
    <w:rsid w:val="0751B505"/>
    <w:rsid w:val="078B34D7"/>
    <w:rsid w:val="078C94C1"/>
    <w:rsid w:val="079FCF98"/>
    <w:rsid w:val="07E4407D"/>
    <w:rsid w:val="07F84E78"/>
    <w:rsid w:val="07F87393"/>
    <w:rsid w:val="08011F31"/>
    <w:rsid w:val="080EEFAD"/>
    <w:rsid w:val="081DBF82"/>
    <w:rsid w:val="0839AB4A"/>
    <w:rsid w:val="0840E74B"/>
    <w:rsid w:val="084C956C"/>
    <w:rsid w:val="08583C79"/>
    <w:rsid w:val="087F2347"/>
    <w:rsid w:val="08AB354B"/>
    <w:rsid w:val="08AE82DD"/>
    <w:rsid w:val="08B27111"/>
    <w:rsid w:val="08B591C5"/>
    <w:rsid w:val="08CB30B0"/>
    <w:rsid w:val="08CF7B06"/>
    <w:rsid w:val="08D06DC2"/>
    <w:rsid w:val="08ECB247"/>
    <w:rsid w:val="0905C571"/>
    <w:rsid w:val="0905F33A"/>
    <w:rsid w:val="0913B2B6"/>
    <w:rsid w:val="09146C97"/>
    <w:rsid w:val="093C2EDE"/>
    <w:rsid w:val="0952651D"/>
    <w:rsid w:val="0978985F"/>
    <w:rsid w:val="0996A8C2"/>
    <w:rsid w:val="099F0F54"/>
    <w:rsid w:val="09A8BD1F"/>
    <w:rsid w:val="09B83D15"/>
    <w:rsid w:val="09B8F5EF"/>
    <w:rsid w:val="09B98596"/>
    <w:rsid w:val="09CE3086"/>
    <w:rsid w:val="09E752C6"/>
    <w:rsid w:val="09EB5D42"/>
    <w:rsid w:val="09FB67D9"/>
    <w:rsid w:val="0A062C34"/>
    <w:rsid w:val="0A0B05EB"/>
    <w:rsid w:val="0A234C08"/>
    <w:rsid w:val="0A2ABDE3"/>
    <w:rsid w:val="0A2EF5FE"/>
    <w:rsid w:val="0A3C0E3E"/>
    <w:rsid w:val="0A4144E1"/>
    <w:rsid w:val="0A46DECC"/>
    <w:rsid w:val="0A53D4F4"/>
    <w:rsid w:val="0A5E052C"/>
    <w:rsid w:val="0A6CD3FD"/>
    <w:rsid w:val="0A8E6FC3"/>
    <w:rsid w:val="0A944C61"/>
    <w:rsid w:val="0AC8B193"/>
    <w:rsid w:val="0B42F3CD"/>
    <w:rsid w:val="0B61C191"/>
    <w:rsid w:val="0B65007D"/>
    <w:rsid w:val="0B655195"/>
    <w:rsid w:val="0B7307D3"/>
    <w:rsid w:val="0B756934"/>
    <w:rsid w:val="0B776757"/>
    <w:rsid w:val="0B7F26A0"/>
    <w:rsid w:val="0B823027"/>
    <w:rsid w:val="0B851099"/>
    <w:rsid w:val="0B95A755"/>
    <w:rsid w:val="0BAD666A"/>
    <w:rsid w:val="0BB516CB"/>
    <w:rsid w:val="0BC89E64"/>
    <w:rsid w:val="0BD4F9EB"/>
    <w:rsid w:val="0BE0313B"/>
    <w:rsid w:val="0BF9DBFA"/>
    <w:rsid w:val="0BFFDDD3"/>
    <w:rsid w:val="0C0FD53A"/>
    <w:rsid w:val="0C211C6B"/>
    <w:rsid w:val="0C28CFDC"/>
    <w:rsid w:val="0C3AB8DF"/>
    <w:rsid w:val="0C3D6633"/>
    <w:rsid w:val="0C5738F1"/>
    <w:rsid w:val="0C5A8A50"/>
    <w:rsid w:val="0C72A936"/>
    <w:rsid w:val="0C7BC35F"/>
    <w:rsid w:val="0C937318"/>
    <w:rsid w:val="0C93CE40"/>
    <w:rsid w:val="0CA69B9D"/>
    <w:rsid w:val="0CC64B55"/>
    <w:rsid w:val="0CD3EEB3"/>
    <w:rsid w:val="0CFC68D7"/>
    <w:rsid w:val="0D144C93"/>
    <w:rsid w:val="0D24B9EA"/>
    <w:rsid w:val="0D29525A"/>
    <w:rsid w:val="0D29EAD0"/>
    <w:rsid w:val="0D2F58E9"/>
    <w:rsid w:val="0D3DC85E"/>
    <w:rsid w:val="0D42FFE4"/>
    <w:rsid w:val="0D7A062A"/>
    <w:rsid w:val="0D879B9F"/>
    <w:rsid w:val="0DA8A9B5"/>
    <w:rsid w:val="0DAC63CB"/>
    <w:rsid w:val="0DC57BD9"/>
    <w:rsid w:val="0DE46A18"/>
    <w:rsid w:val="0DFB264C"/>
    <w:rsid w:val="0E0595B6"/>
    <w:rsid w:val="0E0E0303"/>
    <w:rsid w:val="0E30392A"/>
    <w:rsid w:val="0E36CBAC"/>
    <w:rsid w:val="0E3ACAAB"/>
    <w:rsid w:val="0E4F2AE8"/>
    <w:rsid w:val="0E683AF4"/>
    <w:rsid w:val="0E7312BB"/>
    <w:rsid w:val="0E832368"/>
    <w:rsid w:val="0E9577AE"/>
    <w:rsid w:val="0ECB0033"/>
    <w:rsid w:val="0EE15455"/>
    <w:rsid w:val="0EE779B8"/>
    <w:rsid w:val="0EFB9ED8"/>
    <w:rsid w:val="0F00814D"/>
    <w:rsid w:val="0F05D1E3"/>
    <w:rsid w:val="0F16AD08"/>
    <w:rsid w:val="0F182BCC"/>
    <w:rsid w:val="0F1A76CF"/>
    <w:rsid w:val="0F20402F"/>
    <w:rsid w:val="0F3C1BF7"/>
    <w:rsid w:val="0F45AA12"/>
    <w:rsid w:val="0F4DED3D"/>
    <w:rsid w:val="0F5420F9"/>
    <w:rsid w:val="0F94B2BA"/>
    <w:rsid w:val="0F9FE4CA"/>
    <w:rsid w:val="0FA60B07"/>
    <w:rsid w:val="0FC2F29F"/>
    <w:rsid w:val="0FC71F1D"/>
    <w:rsid w:val="0FD67F53"/>
    <w:rsid w:val="0FD85A9E"/>
    <w:rsid w:val="0FD8ADA0"/>
    <w:rsid w:val="100C55AE"/>
    <w:rsid w:val="10291805"/>
    <w:rsid w:val="10467CE2"/>
    <w:rsid w:val="104F383F"/>
    <w:rsid w:val="1054DF6C"/>
    <w:rsid w:val="1058FDA0"/>
    <w:rsid w:val="106DA9FC"/>
    <w:rsid w:val="107C7353"/>
    <w:rsid w:val="109728D7"/>
    <w:rsid w:val="10BBE6B3"/>
    <w:rsid w:val="10C3709C"/>
    <w:rsid w:val="10CF7407"/>
    <w:rsid w:val="10D1477E"/>
    <w:rsid w:val="10D50EC3"/>
    <w:rsid w:val="10ED8B46"/>
    <w:rsid w:val="10EDD7ED"/>
    <w:rsid w:val="10FA4FC5"/>
    <w:rsid w:val="1109E3D4"/>
    <w:rsid w:val="1126EDF5"/>
    <w:rsid w:val="114E1AD9"/>
    <w:rsid w:val="116474E9"/>
    <w:rsid w:val="1170C03D"/>
    <w:rsid w:val="11A33125"/>
    <w:rsid w:val="11B250E7"/>
    <w:rsid w:val="11BF2DFF"/>
    <w:rsid w:val="11D65130"/>
    <w:rsid w:val="11EE618D"/>
    <w:rsid w:val="11FC12A2"/>
    <w:rsid w:val="12114B26"/>
    <w:rsid w:val="1211A718"/>
    <w:rsid w:val="1216D47A"/>
    <w:rsid w:val="1238220F"/>
    <w:rsid w:val="123DF046"/>
    <w:rsid w:val="123DFD22"/>
    <w:rsid w:val="12521791"/>
    <w:rsid w:val="125A9B11"/>
    <w:rsid w:val="1261469F"/>
    <w:rsid w:val="12631EBF"/>
    <w:rsid w:val="126BC70F"/>
    <w:rsid w:val="1270B0A0"/>
    <w:rsid w:val="12713381"/>
    <w:rsid w:val="1276D5C3"/>
    <w:rsid w:val="12867D34"/>
    <w:rsid w:val="128D1C1A"/>
    <w:rsid w:val="12937F5A"/>
    <w:rsid w:val="12939D6C"/>
    <w:rsid w:val="12A015D8"/>
    <w:rsid w:val="12E83233"/>
    <w:rsid w:val="1325D70E"/>
    <w:rsid w:val="132FF264"/>
    <w:rsid w:val="134E2148"/>
    <w:rsid w:val="137C38DB"/>
    <w:rsid w:val="137C666A"/>
    <w:rsid w:val="1388A829"/>
    <w:rsid w:val="13899FFE"/>
    <w:rsid w:val="139E4B9C"/>
    <w:rsid w:val="13AC3BE3"/>
    <w:rsid w:val="13ADB970"/>
    <w:rsid w:val="13DC7775"/>
    <w:rsid w:val="13ECA957"/>
    <w:rsid w:val="13EDBDC6"/>
    <w:rsid w:val="13F0726D"/>
    <w:rsid w:val="1402CC1D"/>
    <w:rsid w:val="14196F78"/>
    <w:rsid w:val="141D73DB"/>
    <w:rsid w:val="143AC352"/>
    <w:rsid w:val="145A07FF"/>
    <w:rsid w:val="146A8659"/>
    <w:rsid w:val="1482958B"/>
    <w:rsid w:val="148C6246"/>
    <w:rsid w:val="14A35C8B"/>
    <w:rsid w:val="14A3FD8E"/>
    <w:rsid w:val="14D527A3"/>
    <w:rsid w:val="14E7561C"/>
    <w:rsid w:val="14FFEE15"/>
    <w:rsid w:val="1512A9A7"/>
    <w:rsid w:val="15165DDC"/>
    <w:rsid w:val="153D0A86"/>
    <w:rsid w:val="15501B32"/>
    <w:rsid w:val="1564D6E1"/>
    <w:rsid w:val="15693B8F"/>
    <w:rsid w:val="156F1873"/>
    <w:rsid w:val="1574145C"/>
    <w:rsid w:val="15765D5C"/>
    <w:rsid w:val="15936BE4"/>
    <w:rsid w:val="15A8D3B1"/>
    <w:rsid w:val="15ACE156"/>
    <w:rsid w:val="15B08D68"/>
    <w:rsid w:val="15B94ABF"/>
    <w:rsid w:val="15D09D12"/>
    <w:rsid w:val="15E44879"/>
    <w:rsid w:val="15E962DF"/>
    <w:rsid w:val="15F3A651"/>
    <w:rsid w:val="15F9D457"/>
    <w:rsid w:val="16000F03"/>
    <w:rsid w:val="16376F3D"/>
    <w:rsid w:val="1648AA3A"/>
    <w:rsid w:val="1653B02B"/>
    <w:rsid w:val="1654FAF0"/>
    <w:rsid w:val="165995F8"/>
    <w:rsid w:val="1664DABD"/>
    <w:rsid w:val="1665F55A"/>
    <w:rsid w:val="1667DB52"/>
    <w:rsid w:val="16A892C2"/>
    <w:rsid w:val="16B6F589"/>
    <w:rsid w:val="16B7CC8D"/>
    <w:rsid w:val="16BDC4CD"/>
    <w:rsid w:val="16C89A32"/>
    <w:rsid w:val="16CBB64A"/>
    <w:rsid w:val="16CCD1B7"/>
    <w:rsid w:val="16D74D2E"/>
    <w:rsid w:val="16E2144A"/>
    <w:rsid w:val="16F491C7"/>
    <w:rsid w:val="171143C8"/>
    <w:rsid w:val="1723EF7C"/>
    <w:rsid w:val="172ABA74"/>
    <w:rsid w:val="1740F0D2"/>
    <w:rsid w:val="1744168C"/>
    <w:rsid w:val="1750BBF7"/>
    <w:rsid w:val="1752040F"/>
    <w:rsid w:val="1752EE07"/>
    <w:rsid w:val="17549EB6"/>
    <w:rsid w:val="17758DE1"/>
    <w:rsid w:val="17A84433"/>
    <w:rsid w:val="17B601C7"/>
    <w:rsid w:val="17C6C346"/>
    <w:rsid w:val="17D4A0D1"/>
    <w:rsid w:val="180CEFF4"/>
    <w:rsid w:val="181D3058"/>
    <w:rsid w:val="1835A768"/>
    <w:rsid w:val="183B48DD"/>
    <w:rsid w:val="184D7E48"/>
    <w:rsid w:val="18789A36"/>
    <w:rsid w:val="188E721E"/>
    <w:rsid w:val="18B217F9"/>
    <w:rsid w:val="18B992F0"/>
    <w:rsid w:val="18BF5B8F"/>
    <w:rsid w:val="18C42329"/>
    <w:rsid w:val="18C7E7B5"/>
    <w:rsid w:val="18D47DEB"/>
    <w:rsid w:val="18DB8335"/>
    <w:rsid w:val="18DE591C"/>
    <w:rsid w:val="1910AE23"/>
    <w:rsid w:val="19344003"/>
    <w:rsid w:val="1942A9CA"/>
    <w:rsid w:val="19679E18"/>
    <w:rsid w:val="196C0440"/>
    <w:rsid w:val="197D9782"/>
    <w:rsid w:val="19814AF9"/>
    <w:rsid w:val="1983320A"/>
    <w:rsid w:val="1988D0DA"/>
    <w:rsid w:val="198EB458"/>
    <w:rsid w:val="19BC1EF3"/>
    <w:rsid w:val="19C3C931"/>
    <w:rsid w:val="19C5C119"/>
    <w:rsid w:val="19D226E0"/>
    <w:rsid w:val="19E12F4D"/>
    <w:rsid w:val="19F69055"/>
    <w:rsid w:val="19FD69DD"/>
    <w:rsid w:val="19FF4EDD"/>
    <w:rsid w:val="1A01F795"/>
    <w:rsid w:val="1A072F06"/>
    <w:rsid w:val="1A0FCF40"/>
    <w:rsid w:val="1A2CEF51"/>
    <w:rsid w:val="1A31B079"/>
    <w:rsid w:val="1A464088"/>
    <w:rsid w:val="1A514691"/>
    <w:rsid w:val="1A641484"/>
    <w:rsid w:val="1A65409E"/>
    <w:rsid w:val="1A6EC51D"/>
    <w:rsid w:val="1A7A14D7"/>
    <w:rsid w:val="1A7E747A"/>
    <w:rsid w:val="1A89832A"/>
    <w:rsid w:val="1A998E36"/>
    <w:rsid w:val="1A9B1E6A"/>
    <w:rsid w:val="1AB4DC7D"/>
    <w:rsid w:val="1AC4EF85"/>
    <w:rsid w:val="1ACE0D55"/>
    <w:rsid w:val="1AE18DF5"/>
    <w:rsid w:val="1AED2406"/>
    <w:rsid w:val="1AED5F06"/>
    <w:rsid w:val="1AF802BE"/>
    <w:rsid w:val="1AFD8CF0"/>
    <w:rsid w:val="1B0160B0"/>
    <w:rsid w:val="1B20D0D5"/>
    <w:rsid w:val="1B2E51B9"/>
    <w:rsid w:val="1B3601EB"/>
    <w:rsid w:val="1B4745C2"/>
    <w:rsid w:val="1B540929"/>
    <w:rsid w:val="1B55260B"/>
    <w:rsid w:val="1B55A7A1"/>
    <w:rsid w:val="1B748FE6"/>
    <w:rsid w:val="1B7F3847"/>
    <w:rsid w:val="1B8FEC54"/>
    <w:rsid w:val="1B93EBEA"/>
    <w:rsid w:val="1B9E2E91"/>
    <w:rsid w:val="1BA86A4F"/>
    <w:rsid w:val="1BA9151E"/>
    <w:rsid w:val="1BB19E81"/>
    <w:rsid w:val="1BB2FAE2"/>
    <w:rsid w:val="1BCDDA80"/>
    <w:rsid w:val="1BDCEC12"/>
    <w:rsid w:val="1BF95AF9"/>
    <w:rsid w:val="1C00F8F0"/>
    <w:rsid w:val="1C021DD0"/>
    <w:rsid w:val="1C0EEB2A"/>
    <w:rsid w:val="1C3F1CC3"/>
    <w:rsid w:val="1C6EC968"/>
    <w:rsid w:val="1C84409B"/>
    <w:rsid w:val="1CA7949E"/>
    <w:rsid w:val="1CACD5EC"/>
    <w:rsid w:val="1CDB085C"/>
    <w:rsid w:val="1CE13BA3"/>
    <w:rsid w:val="1CEEC5EE"/>
    <w:rsid w:val="1CFB2633"/>
    <w:rsid w:val="1D17D446"/>
    <w:rsid w:val="1D1B7BE2"/>
    <w:rsid w:val="1D26370D"/>
    <w:rsid w:val="1D339235"/>
    <w:rsid w:val="1D3A548C"/>
    <w:rsid w:val="1D3AA04E"/>
    <w:rsid w:val="1D3AC04B"/>
    <w:rsid w:val="1D3CE4E7"/>
    <w:rsid w:val="1DA43534"/>
    <w:rsid w:val="1DACF392"/>
    <w:rsid w:val="1DAE0D77"/>
    <w:rsid w:val="1DBBB941"/>
    <w:rsid w:val="1DED2CC2"/>
    <w:rsid w:val="1E0D2BEB"/>
    <w:rsid w:val="1E1BF8DA"/>
    <w:rsid w:val="1E239389"/>
    <w:rsid w:val="1E27A111"/>
    <w:rsid w:val="1E498867"/>
    <w:rsid w:val="1E5D2D04"/>
    <w:rsid w:val="1E5D5E32"/>
    <w:rsid w:val="1E5F74C4"/>
    <w:rsid w:val="1E605150"/>
    <w:rsid w:val="1E6A9EBC"/>
    <w:rsid w:val="1E6E82A2"/>
    <w:rsid w:val="1E962F4A"/>
    <w:rsid w:val="1EA7B96D"/>
    <w:rsid w:val="1EBE1757"/>
    <w:rsid w:val="1EC24CCD"/>
    <w:rsid w:val="1ED08EA2"/>
    <w:rsid w:val="1ED1F6B2"/>
    <w:rsid w:val="1ED7E239"/>
    <w:rsid w:val="1ED9C7AD"/>
    <w:rsid w:val="1EF5D99B"/>
    <w:rsid w:val="1F0AEFF3"/>
    <w:rsid w:val="1F1ABEB1"/>
    <w:rsid w:val="1F1F0CFD"/>
    <w:rsid w:val="1F31DCF6"/>
    <w:rsid w:val="1F4714E1"/>
    <w:rsid w:val="1F4783B2"/>
    <w:rsid w:val="1F5F8458"/>
    <w:rsid w:val="1F781274"/>
    <w:rsid w:val="1F8B065D"/>
    <w:rsid w:val="1F9FD037"/>
    <w:rsid w:val="1FA76C40"/>
    <w:rsid w:val="1FB4A3EF"/>
    <w:rsid w:val="1FE1CA76"/>
    <w:rsid w:val="1FF5300A"/>
    <w:rsid w:val="201CAC67"/>
    <w:rsid w:val="2046532B"/>
    <w:rsid w:val="204672BE"/>
    <w:rsid w:val="204F90CF"/>
    <w:rsid w:val="205A23C4"/>
    <w:rsid w:val="2060A2FE"/>
    <w:rsid w:val="20673158"/>
    <w:rsid w:val="20759CD9"/>
    <w:rsid w:val="207CD0C2"/>
    <w:rsid w:val="207FB0F1"/>
    <w:rsid w:val="20857E39"/>
    <w:rsid w:val="20892F81"/>
    <w:rsid w:val="20A23BD9"/>
    <w:rsid w:val="20A52758"/>
    <w:rsid w:val="20B0514B"/>
    <w:rsid w:val="20B4A581"/>
    <w:rsid w:val="20C29494"/>
    <w:rsid w:val="20C3FC2E"/>
    <w:rsid w:val="20DA6864"/>
    <w:rsid w:val="20EACD70"/>
    <w:rsid w:val="20F8E89F"/>
    <w:rsid w:val="20FA884E"/>
    <w:rsid w:val="21057390"/>
    <w:rsid w:val="2107081D"/>
    <w:rsid w:val="210E2BF2"/>
    <w:rsid w:val="211835F5"/>
    <w:rsid w:val="2139E312"/>
    <w:rsid w:val="213AD15F"/>
    <w:rsid w:val="21490135"/>
    <w:rsid w:val="21575025"/>
    <w:rsid w:val="21783BEE"/>
    <w:rsid w:val="217B9ED5"/>
    <w:rsid w:val="217EE044"/>
    <w:rsid w:val="21834BEC"/>
    <w:rsid w:val="219B3C89"/>
    <w:rsid w:val="21B40300"/>
    <w:rsid w:val="21B878DF"/>
    <w:rsid w:val="21D8DB4C"/>
    <w:rsid w:val="21EB4569"/>
    <w:rsid w:val="22075BF6"/>
    <w:rsid w:val="2211B818"/>
    <w:rsid w:val="2211E93A"/>
    <w:rsid w:val="2214E2A3"/>
    <w:rsid w:val="2215E2B3"/>
    <w:rsid w:val="22171A58"/>
    <w:rsid w:val="2224CFF7"/>
    <w:rsid w:val="22259849"/>
    <w:rsid w:val="222F292F"/>
    <w:rsid w:val="2237E1E9"/>
    <w:rsid w:val="224AC2DD"/>
    <w:rsid w:val="22661565"/>
    <w:rsid w:val="22686582"/>
    <w:rsid w:val="2271DBDF"/>
    <w:rsid w:val="22723C01"/>
    <w:rsid w:val="227DEDAA"/>
    <w:rsid w:val="22ABB89F"/>
    <w:rsid w:val="22B3E4ED"/>
    <w:rsid w:val="22B3E6DD"/>
    <w:rsid w:val="22BA0360"/>
    <w:rsid w:val="22CC48CD"/>
    <w:rsid w:val="22DDBCC6"/>
    <w:rsid w:val="22F2F138"/>
    <w:rsid w:val="22F3AD59"/>
    <w:rsid w:val="2322D504"/>
    <w:rsid w:val="23408AEE"/>
    <w:rsid w:val="23432757"/>
    <w:rsid w:val="2359E521"/>
    <w:rsid w:val="236E203E"/>
    <w:rsid w:val="23A73999"/>
    <w:rsid w:val="23B69F11"/>
    <w:rsid w:val="23B70D27"/>
    <w:rsid w:val="23B76F9C"/>
    <w:rsid w:val="23DBDDD3"/>
    <w:rsid w:val="23DF8E3C"/>
    <w:rsid w:val="23E2C749"/>
    <w:rsid w:val="2417925F"/>
    <w:rsid w:val="2422824D"/>
    <w:rsid w:val="24463717"/>
    <w:rsid w:val="246C91ED"/>
    <w:rsid w:val="2473200A"/>
    <w:rsid w:val="2481A704"/>
    <w:rsid w:val="2488F0E6"/>
    <w:rsid w:val="248BC4ED"/>
    <w:rsid w:val="248EC199"/>
    <w:rsid w:val="2491EBF1"/>
    <w:rsid w:val="24A36C5A"/>
    <w:rsid w:val="24AE8ABE"/>
    <w:rsid w:val="24B86D70"/>
    <w:rsid w:val="24C1D55F"/>
    <w:rsid w:val="24CC035A"/>
    <w:rsid w:val="24D2A51E"/>
    <w:rsid w:val="24D3B9E1"/>
    <w:rsid w:val="24DCF560"/>
    <w:rsid w:val="24DDE5BF"/>
    <w:rsid w:val="24E66D75"/>
    <w:rsid w:val="24E98776"/>
    <w:rsid w:val="24FECB24"/>
    <w:rsid w:val="25007E2F"/>
    <w:rsid w:val="2509F09F"/>
    <w:rsid w:val="251F4016"/>
    <w:rsid w:val="25215386"/>
    <w:rsid w:val="25263313"/>
    <w:rsid w:val="2540B7F3"/>
    <w:rsid w:val="254FF764"/>
    <w:rsid w:val="257BC5F3"/>
    <w:rsid w:val="258DBF07"/>
    <w:rsid w:val="259DFE50"/>
    <w:rsid w:val="25A9C8A2"/>
    <w:rsid w:val="25BC8125"/>
    <w:rsid w:val="25C04D9F"/>
    <w:rsid w:val="25CAAEB0"/>
    <w:rsid w:val="25CACD59"/>
    <w:rsid w:val="25D62508"/>
    <w:rsid w:val="25EA3CC2"/>
    <w:rsid w:val="2611D121"/>
    <w:rsid w:val="2625D3A1"/>
    <w:rsid w:val="263BCCD1"/>
    <w:rsid w:val="263FA3A7"/>
    <w:rsid w:val="264378BA"/>
    <w:rsid w:val="264D0FF0"/>
    <w:rsid w:val="267A76B3"/>
    <w:rsid w:val="267E3B0E"/>
    <w:rsid w:val="2680D6A0"/>
    <w:rsid w:val="268160C4"/>
    <w:rsid w:val="26829430"/>
    <w:rsid w:val="26A5C100"/>
    <w:rsid w:val="26A7F5FB"/>
    <w:rsid w:val="26D8DE80"/>
    <w:rsid w:val="26F3521D"/>
    <w:rsid w:val="2721B41D"/>
    <w:rsid w:val="27220B74"/>
    <w:rsid w:val="2739DDAB"/>
    <w:rsid w:val="273B4649"/>
    <w:rsid w:val="2751D43B"/>
    <w:rsid w:val="275E355C"/>
    <w:rsid w:val="278226D6"/>
    <w:rsid w:val="27897C6C"/>
    <w:rsid w:val="27945891"/>
    <w:rsid w:val="279BB944"/>
    <w:rsid w:val="27AEB61D"/>
    <w:rsid w:val="280D0BA5"/>
    <w:rsid w:val="28210992"/>
    <w:rsid w:val="282C3496"/>
    <w:rsid w:val="283435FA"/>
    <w:rsid w:val="28602CD9"/>
    <w:rsid w:val="2864F883"/>
    <w:rsid w:val="2876D9C8"/>
    <w:rsid w:val="287A9F60"/>
    <w:rsid w:val="28879826"/>
    <w:rsid w:val="288F227E"/>
    <w:rsid w:val="28949C4A"/>
    <w:rsid w:val="289C5CA8"/>
    <w:rsid w:val="289DA97B"/>
    <w:rsid w:val="28A8E7BB"/>
    <w:rsid w:val="28AA2060"/>
    <w:rsid w:val="28AAFA59"/>
    <w:rsid w:val="28AB98F1"/>
    <w:rsid w:val="28ABAA4F"/>
    <w:rsid w:val="28E8417D"/>
    <w:rsid w:val="28EF4D29"/>
    <w:rsid w:val="292266DB"/>
    <w:rsid w:val="29415303"/>
    <w:rsid w:val="2954D547"/>
    <w:rsid w:val="29603C40"/>
    <w:rsid w:val="29679818"/>
    <w:rsid w:val="29749FA2"/>
    <w:rsid w:val="298B39BC"/>
    <w:rsid w:val="298DC90B"/>
    <w:rsid w:val="299694EA"/>
    <w:rsid w:val="29CD88C6"/>
    <w:rsid w:val="29D4DBC4"/>
    <w:rsid w:val="29DD4AB8"/>
    <w:rsid w:val="29E5CC6F"/>
    <w:rsid w:val="29FC2A1B"/>
    <w:rsid w:val="2A0AD4CC"/>
    <w:rsid w:val="2A0F6F80"/>
    <w:rsid w:val="2A1150F2"/>
    <w:rsid w:val="2A118E8F"/>
    <w:rsid w:val="2A3C6910"/>
    <w:rsid w:val="2A3E5BC7"/>
    <w:rsid w:val="2A46CABA"/>
    <w:rsid w:val="2A48CA18"/>
    <w:rsid w:val="2A4B602C"/>
    <w:rsid w:val="2A5B559A"/>
    <w:rsid w:val="2A5C7053"/>
    <w:rsid w:val="2A610423"/>
    <w:rsid w:val="2A64B971"/>
    <w:rsid w:val="2A8E0580"/>
    <w:rsid w:val="2A8EF4B8"/>
    <w:rsid w:val="2A93AABC"/>
    <w:rsid w:val="2AAD7148"/>
    <w:rsid w:val="2AC77306"/>
    <w:rsid w:val="2AC7B078"/>
    <w:rsid w:val="2AD2F43B"/>
    <w:rsid w:val="2ADD9801"/>
    <w:rsid w:val="2AEAD9E7"/>
    <w:rsid w:val="2B0E57D3"/>
    <w:rsid w:val="2B28D727"/>
    <w:rsid w:val="2B33AB4C"/>
    <w:rsid w:val="2B467C77"/>
    <w:rsid w:val="2B4A92BE"/>
    <w:rsid w:val="2B4E87CC"/>
    <w:rsid w:val="2B53E902"/>
    <w:rsid w:val="2B564486"/>
    <w:rsid w:val="2B66F671"/>
    <w:rsid w:val="2B744543"/>
    <w:rsid w:val="2B7CC69A"/>
    <w:rsid w:val="2B8BBB84"/>
    <w:rsid w:val="2B8FCAF8"/>
    <w:rsid w:val="2B94BD41"/>
    <w:rsid w:val="2BA5C0DF"/>
    <w:rsid w:val="2BB055A4"/>
    <w:rsid w:val="2BB64959"/>
    <w:rsid w:val="2BD0AB1A"/>
    <w:rsid w:val="2BDB4C2D"/>
    <w:rsid w:val="2BE29B1B"/>
    <w:rsid w:val="2BEF5D61"/>
    <w:rsid w:val="2BF944D5"/>
    <w:rsid w:val="2C049165"/>
    <w:rsid w:val="2C056040"/>
    <w:rsid w:val="2C11CACC"/>
    <w:rsid w:val="2C293DA4"/>
    <w:rsid w:val="2C3257F8"/>
    <w:rsid w:val="2C3B3B28"/>
    <w:rsid w:val="2C3D3051"/>
    <w:rsid w:val="2C3E1E83"/>
    <w:rsid w:val="2C48FF26"/>
    <w:rsid w:val="2C6341CD"/>
    <w:rsid w:val="2C66CA36"/>
    <w:rsid w:val="2C6D2BB8"/>
    <w:rsid w:val="2C7B10A2"/>
    <w:rsid w:val="2C97DD02"/>
    <w:rsid w:val="2C99D37E"/>
    <w:rsid w:val="2CA4F187"/>
    <w:rsid w:val="2CA74A2C"/>
    <w:rsid w:val="2CB2FBDB"/>
    <w:rsid w:val="2CB5CE84"/>
    <w:rsid w:val="2CCB615D"/>
    <w:rsid w:val="2CCE1D76"/>
    <w:rsid w:val="2CCEA9D2"/>
    <w:rsid w:val="2CE92836"/>
    <w:rsid w:val="2D2055D4"/>
    <w:rsid w:val="2D20FC4D"/>
    <w:rsid w:val="2D357764"/>
    <w:rsid w:val="2D3D47D8"/>
    <w:rsid w:val="2D45258C"/>
    <w:rsid w:val="2D4D01FA"/>
    <w:rsid w:val="2D54B123"/>
    <w:rsid w:val="2D656260"/>
    <w:rsid w:val="2D75C4C8"/>
    <w:rsid w:val="2D923D29"/>
    <w:rsid w:val="2DC4CBB3"/>
    <w:rsid w:val="2DD0A109"/>
    <w:rsid w:val="2DD3C688"/>
    <w:rsid w:val="2DE0C30B"/>
    <w:rsid w:val="2DEBBFC2"/>
    <w:rsid w:val="2DEE6985"/>
    <w:rsid w:val="2E01370D"/>
    <w:rsid w:val="2E02068B"/>
    <w:rsid w:val="2E1A50E3"/>
    <w:rsid w:val="2E1EAA3F"/>
    <w:rsid w:val="2E310FE2"/>
    <w:rsid w:val="2E322F91"/>
    <w:rsid w:val="2E35A3DF"/>
    <w:rsid w:val="2E422EFB"/>
    <w:rsid w:val="2E4BE224"/>
    <w:rsid w:val="2E4F47D5"/>
    <w:rsid w:val="2E698B84"/>
    <w:rsid w:val="2E6C57C9"/>
    <w:rsid w:val="2E72EEC9"/>
    <w:rsid w:val="2E930202"/>
    <w:rsid w:val="2E948D18"/>
    <w:rsid w:val="2EAAB497"/>
    <w:rsid w:val="2EB0A014"/>
    <w:rsid w:val="2EB345F5"/>
    <w:rsid w:val="2EC14081"/>
    <w:rsid w:val="2EC26D39"/>
    <w:rsid w:val="2EC76AA0"/>
    <w:rsid w:val="2EE9676B"/>
    <w:rsid w:val="2EF145E2"/>
    <w:rsid w:val="2EF45F1F"/>
    <w:rsid w:val="2F01DD76"/>
    <w:rsid w:val="2F188A08"/>
    <w:rsid w:val="2F1A98EE"/>
    <w:rsid w:val="2F1C6B39"/>
    <w:rsid w:val="2F37828B"/>
    <w:rsid w:val="2F38ADD2"/>
    <w:rsid w:val="2F3D0DC8"/>
    <w:rsid w:val="2F69585B"/>
    <w:rsid w:val="2F6BF414"/>
    <w:rsid w:val="2F718801"/>
    <w:rsid w:val="2F7A7005"/>
    <w:rsid w:val="2F84DF6F"/>
    <w:rsid w:val="2F985F5C"/>
    <w:rsid w:val="2FA08369"/>
    <w:rsid w:val="2FA23BF7"/>
    <w:rsid w:val="2FA29C72"/>
    <w:rsid w:val="2FB462B0"/>
    <w:rsid w:val="2FC2C628"/>
    <w:rsid w:val="2FC717A5"/>
    <w:rsid w:val="2FD17440"/>
    <w:rsid w:val="2FDD5454"/>
    <w:rsid w:val="2FE49FF5"/>
    <w:rsid w:val="2FF0F535"/>
    <w:rsid w:val="300041C2"/>
    <w:rsid w:val="302720B6"/>
    <w:rsid w:val="30278EA4"/>
    <w:rsid w:val="302E3CA6"/>
    <w:rsid w:val="3035EDF9"/>
    <w:rsid w:val="303D7913"/>
    <w:rsid w:val="30662102"/>
    <w:rsid w:val="3069EDAA"/>
    <w:rsid w:val="30718B35"/>
    <w:rsid w:val="3075ECBA"/>
    <w:rsid w:val="307BE91F"/>
    <w:rsid w:val="307C35EF"/>
    <w:rsid w:val="308CE4A2"/>
    <w:rsid w:val="30988343"/>
    <w:rsid w:val="309AF319"/>
    <w:rsid w:val="30A48551"/>
    <w:rsid w:val="30B68AEB"/>
    <w:rsid w:val="30C8BA7C"/>
    <w:rsid w:val="30E169D3"/>
    <w:rsid w:val="30E55175"/>
    <w:rsid w:val="30EBB540"/>
    <w:rsid w:val="30F31CC7"/>
    <w:rsid w:val="30FEDD63"/>
    <w:rsid w:val="312FD2A8"/>
    <w:rsid w:val="3132292E"/>
    <w:rsid w:val="313DEBA3"/>
    <w:rsid w:val="313EABE3"/>
    <w:rsid w:val="314B9F72"/>
    <w:rsid w:val="3153DE40"/>
    <w:rsid w:val="31919F75"/>
    <w:rsid w:val="319CFA3D"/>
    <w:rsid w:val="31BB3010"/>
    <w:rsid w:val="31C18EFB"/>
    <w:rsid w:val="31CEE6A3"/>
    <w:rsid w:val="31DE6ABA"/>
    <w:rsid w:val="31E09077"/>
    <w:rsid w:val="31E4998B"/>
    <w:rsid w:val="31FA5C00"/>
    <w:rsid w:val="32039E84"/>
    <w:rsid w:val="32040F73"/>
    <w:rsid w:val="320BF844"/>
    <w:rsid w:val="3229695D"/>
    <w:rsid w:val="322C463E"/>
    <w:rsid w:val="322D657D"/>
    <w:rsid w:val="322E24D6"/>
    <w:rsid w:val="3248BBD5"/>
    <w:rsid w:val="3265B93A"/>
    <w:rsid w:val="32738FD6"/>
    <w:rsid w:val="3284B44D"/>
    <w:rsid w:val="32A93859"/>
    <w:rsid w:val="32DA8D5C"/>
    <w:rsid w:val="32E79A50"/>
    <w:rsid w:val="32F10CDB"/>
    <w:rsid w:val="32F42B74"/>
    <w:rsid w:val="32F7C1B8"/>
    <w:rsid w:val="330233E4"/>
    <w:rsid w:val="3307EDBA"/>
    <w:rsid w:val="332795C8"/>
    <w:rsid w:val="333254A7"/>
    <w:rsid w:val="334402A1"/>
    <w:rsid w:val="334B12A1"/>
    <w:rsid w:val="336AB704"/>
    <w:rsid w:val="338DFB34"/>
    <w:rsid w:val="339448AF"/>
    <w:rsid w:val="33946834"/>
    <w:rsid w:val="3398B98E"/>
    <w:rsid w:val="33B4FFDA"/>
    <w:rsid w:val="33E0F510"/>
    <w:rsid w:val="33E3B0B5"/>
    <w:rsid w:val="33FC9430"/>
    <w:rsid w:val="33FCD7F5"/>
    <w:rsid w:val="34004856"/>
    <w:rsid w:val="34027E49"/>
    <w:rsid w:val="34070E71"/>
    <w:rsid w:val="340E0528"/>
    <w:rsid w:val="340EE8F9"/>
    <w:rsid w:val="342462F7"/>
    <w:rsid w:val="3428EE17"/>
    <w:rsid w:val="342B53ED"/>
    <w:rsid w:val="3435DBA9"/>
    <w:rsid w:val="343620DD"/>
    <w:rsid w:val="3466731E"/>
    <w:rsid w:val="348222D0"/>
    <w:rsid w:val="34840C38"/>
    <w:rsid w:val="3484FDD7"/>
    <w:rsid w:val="348800F1"/>
    <w:rsid w:val="349A47A9"/>
    <w:rsid w:val="34E74E5E"/>
    <w:rsid w:val="34ED1B1E"/>
    <w:rsid w:val="3508E67B"/>
    <w:rsid w:val="35095F1C"/>
    <w:rsid w:val="3509ED15"/>
    <w:rsid w:val="35103C19"/>
    <w:rsid w:val="35222D5C"/>
    <w:rsid w:val="352BBA0C"/>
    <w:rsid w:val="354F5A42"/>
    <w:rsid w:val="3551E94B"/>
    <w:rsid w:val="35564B70"/>
    <w:rsid w:val="3563E700"/>
    <w:rsid w:val="35641E2A"/>
    <w:rsid w:val="3585E230"/>
    <w:rsid w:val="35967ACF"/>
    <w:rsid w:val="35A86F63"/>
    <w:rsid w:val="35BEC7E6"/>
    <w:rsid w:val="35C85452"/>
    <w:rsid w:val="35F2CE8F"/>
    <w:rsid w:val="35F983FA"/>
    <w:rsid w:val="36013576"/>
    <w:rsid w:val="3601EE02"/>
    <w:rsid w:val="360DD13B"/>
    <w:rsid w:val="362574BC"/>
    <w:rsid w:val="362C6643"/>
    <w:rsid w:val="3638544E"/>
    <w:rsid w:val="3640B5C4"/>
    <w:rsid w:val="36461FCC"/>
    <w:rsid w:val="364DD9A9"/>
    <w:rsid w:val="3668C301"/>
    <w:rsid w:val="3672BFA0"/>
    <w:rsid w:val="36815666"/>
    <w:rsid w:val="36A19E2F"/>
    <w:rsid w:val="36BCA56E"/>
    <w:rsid w:val="36D23ACB"/>
    <w:rsid w:val="36D82199"/>
    <w:rsid w:val="371F3CCF"/>
    <w:rsid w:val="3724E1B3"/>
    <w:rsid w:val="3739D0D6"/>
    <w:rsid w:val="37647C50"/>
    <w:rsid w:val="37721882"/>
    <w:rsid w:val="377A57B8"/>
    <w:rsid w:val="379C0E30"/>
    <w:rsid w:val="37A6E77F"/>
    <w:rsid w:val="37AF7431"/>
    <w:rsid w:val="37AFAE6C"/>
    <w:rsid w:val="37AFB51E"/>
    <w:rsid w:val="37C54676"/>
    <w:rsid w:val="37E2A492"/>
    <w:rsid w:val="37EF9660"/>
    <w:rsid w:val="38052EF5"/>
    <w:rsid w:val="381D7962"/>
    <w:rsid w:val="3830F261"/>
    <w:rsid w:val="383404D2"/>
    <w:rsid w:val="383F50DB"/>
    <w:rsid w:val="3843AFA1"/>
    <w:rsid w:val="384A7009"/>
    <w:rsid w:val="385E8028"/>
    <w:rsid w:val="386B09B5"/>
    <w:rsid w:val="38B0EEAC"/>
    <w:rsid w:val="38B48E9C"/>
    <w:rsid w:val="38B621AF"/>
    <w:rsid w:val="38BBB93F"/>
    <w:rsid w:val="38D3D8A3"/>
    <w:rsid w:val="38F43E50"/>
    <w:rsid w:val="38F5E11F"/>
    <w:rsid w:val="38F7156A"/>
    <w:rsid w:val="38FCA56F"/>
    <w:rsid w:val="39010DD0"/>
    <w:rsid w:val="39012B80"/>
    <w:rsid w:val="3903036D"/>
    <w:rsid w:val="390395A2"/>
    <w:rsid w:val="39052B01"/>
    <w:rsid w:val="3935040D"/>
    <w:rsid w:val="39585E46"/>
    <w:rsid w:val="39627C19"/>
    <w:rsid w:val="3989A9FF"/>
    <w:rsid w:val="398EF764"/>
    <w:rsid w:val="3993E948"/>
    <w:rsid w:val="39941F1F"/>
    <w:rsid w:val="39B438FE"/>
    <w:rsid w:val="39DB8141"/>
    <w:rsid w:val="39DDFBBB"/>
    <w:rsid w:val="39E816A8"/>
    <w:rsid w:val="3A01DD72"/>
    <w:rsid w:val="3A1D08FE"/>
    <w:rsid w:val="3A47427D"/>
    <w:rsid w:val="3A51AB12"/>
    <w:rsid w:val="3A664E5F"/>
    <w:rsid w:val="3A6C7EFE"/>
    <w:rsid w:val="3A7BDBFD"/>
    <w:rsid w:val="3A89E5C6"/>
    <w:rsid w:val="3A8A5C1E"/>
    <w:rsid w:val="3AB818D2"/>
    <w:rsid w:val="3AE41D5F"/>
    <w:rsid w:val="3AEF95EC"/>
    <w:rsid w:val="3AFA4F9A"/>
    <w:rsid w:val="3B2D1112"/>
    <w:rsid w:val="3B3003EB"/>
    <w:rsid w:val="3B496D21"/>
    <w:rsid w:val="3B5053C5"/>
    <w:rsid w:val="3B64A883"/>
    <w:rsid w:val="3B73769C"/>
    <w:rsid w:val="3B78A0A0"/>
    <w:rsid w:val="3B80AFA7"/>
    <w:rsid w:val="3BAA601C"/>
    <w:rsid w:val="3BB32FA7"/>
    <w:rsid w:val="3BBD74D6"/>
    <w:rsid w:val="3BBFB7B0"/>
    <w:rsid w:val="3BD373DD"/>
    <w:rsid w:val="3BD5D2A8"/>
    <w:rsid w:val="3BDD608B"/>
    <w:rsid w:val="3BE75A1F"/>
    <w:rsid w:val="3BF1B290"/>
    <w:rsid w:val="3BFA81F8"/>
    <w:rsid w:val="3C00AC6B"/>
    <w:rsid w:val="3C1101D9"/>
    <w:rsid w:val="3C22A359"/>
    <w:rsid w:val="3C2FD592"/>
    <w:rsid w:val="3C301826"/>
    <w:rsid w:val="3C3CB094"/>
    <w:rsid w:val="3C3D6974"/>
    <w:rsid w:val="3C3E9120"/>
    <w:rsid w:val="3C43479A"/>
    <w:rsid w:val="3C69BDB2"/>
    <w:rsid w:val="3C8CFD53"/>
    <w:rsid w:val="3CA646C2"/>
    <w:rsid w:val="3CB7E4CE"/>
    <w:rsid w:val="3CD581D0"/>
    <w:rsid w:val="3CD88AD2"/>
    <w:rsid w:val="3D00E11C"/>
    <w:rsid w:val="3D214DA2"/>
    <w:rsid w:val="3D43DAF6"/>
    <w:rsid w:val="3D53D84A"/>
    <w:rsid w:val="3D5ABE14"/>
    <w:rsid w:val="3D793CE6"/>
    <w:rsid w:val="3D7DF71D"/>
    <w:rsid w:val="3D8CA8E0"/>
    <w:rsid w:val="3D8D1013"/>
    <w:rsid w:val="3D95E8DC"/>
    <w:rsid w:val="3DAFF5A3"/>
    <w:rsid w:val="3DD06160"/>
    <w:rsid w:val="3DE1C9CA"/>
    <w:rsid w:val="3DEAC541"/>
    <w:rsid w:val="3DF8BC1B"/>
    <w:rsid w:val="3DF9AD87"/>
    <w:rsid w:val="3E0330D8"/>
    <w:rsid w:val="3E0D4333"/>
    <w:rsid w:val="3E134A41"/>
    <w:rsid w:val="3E29AF7D"/>
    <w:rsid w:val="3E3CE0D6"/>
    <w:rsid w:val="3E3DD45A"/>
    <w:rsid w:val="3E4568F7"/>
    <w:rsid w:val="3E4B6BE9"/>
    <w:rsid w:val="3E4CF689"/>
    <w:rsid w:val="3E51755C"/>
    <w:rsid w:val="3E5A80F9"/>
    <w:rsid w:val="3E5C8109"/>
    <w:rsid w:val="3E78D0A1"/>
    <w:rsid w:val="3E87623A"/>
    <w:rsid w:val="3E8CAFDC"/>
    <w:rsid w:val="3E8EC617"/>
    <w:rsid w:val="3E923A10"/>
    <w:rsid w:val="3E96E20E"/>
    <w:rsid w:val="3EB7D6A5"/>
    <w:rsid w:val="3EC791EE"/>
    <w:rsid w:val="3EC7F34F"/>
    <w:rsid w:val="3ED8CA2C"/>
    <w:rsid w:val="3EEA6F53"/>
    <w:rsid w:val="3F1553D8"/>
    <w:rsid w:val="3F2F6E13"/>
    <w:rsid w:val="3F5B6D62"/>
    <w:rsid w:val="3F5C84CB"/>
    <w:rsid w:val="3F6DC9B6"/>
    <w:rsid w:val="3F6DF4CD"/>
    <w:rsid w:val="3F6F4B47"/>
    <w:rsid w:val="3F7EF425"/>
    <w:rsid w:val="3F96A212"/>
    <w:rsid w:val="3FAB05F0"/>
    <w:rsid w:val="3FDCDDC4"/>
    <w:rsid w:val="3FE6272D"/>
    <w:rsid w:val="3FE7980A"/>
    <w:rsid w:val="3FEF8590"/>
    <w:rsid w:val="3FFCD386"/>
    <w:rsid w:val="40113435"/>
    <w:rsid w:val="4017CAE1"/>
    <w:rsid w:val="401C4DB9"/>
    <w:rsid w:val="402B3791"/>
    <w:rsid w:val="4037987F"/>
    <w:rsid w:val="404F42A8"/>
    <w:rsid w:val="405324EE"/>
    <w:rsid w:val="406CF9D2"/>
    <w:rsid w:val="406EF632"/>
    <w:rsid w:val="4072232D"/>
    <w:rsid w:val="407CE2FE"/>
    <w:rsid w:val="4095A188"/>
    <w:rsid w:val="40AE872D"/>
    <w:rsid w:val="40B39278"/>
    <w:rsid w:val="40B39A48"/>
    <w:rsid w:val="40DDD3EB"/>
    <w:rsid w:val="40E182A6"/>
    <w:rsid w:val="40E1FBC5"/>
    <w:rsid w:val="40E35524"/>
    <w:rsid w:val="40E3B128"/>
    <w:rsid w:val="40ECE66E"/>
    <w:rsid w:val="40F925A6"/>
    <w:rsid w:val="40FA1E97"/>
    <w:rsid w:val="41027365"/>
    <w:rsid w:val="4116CAFE"/>
    <w:rsid w:val="411EF63A"/>
    <w:rsid w:val="413B7CE1"/>
    <w:rsid w:val="4149CA26"/>
    <w:rsid w:val="414F69AD"/>
    <w:rsid w:val="415F9578"/>
    <w:rsid w:val="416026F2"/>
    <w:rsid w:val="4166FA3B"/>
    <w:rsid w:val="416AD043"/>
    <w:rsid w:val="4170D18B"/>
    <w:rsid w:val="41719158"/>
    <w:rsid w:val="4179B18D"/>
    <w:rsid w:val="417FA4DD"/>
    <w:rsid w:val="4196EC4A"/>
    <w:rsid w:val="41971751"/>
    <w:rsid w:val="41BCFF06"/>
    <w:rsid w:val="41C3C551"/>
    <w:rsid w:val="41D5B382"/>
    <w:rsid w:val="41D6C240"/>
    <w:rsid w:val="41E0FD82"/>
    <w:rsid w:val="41E9574E"/>
    <w:rsid w:val="41ED8093"/>
    <w:rsid w:val="41F26D58"/>
    <w:rsid w:val="4204D129"/>
    <w:rsid w:val="42066DED"/>
    <w:rsid w:val="42080C1C"/>
    <w:rsid w:val="42164359"/>
    <w:rsid w:val="421C17AA"/>
    <w:rsid w:val="4225BC6D"/>
    <w:rsid w:val="422B90BE"/>
    <w:rsid w:val="4233DDB0"/>
    <w:rsid w:val="423D5B21"/>
    <w:rsid w:val="42813C3E"/>
    <w:rsid w:val="42E0AE74"/>
    <w:rsid w:val="42F20B4D"/>
    <w:rsid w:val="42F60B8C"/>
    <w:rsid w:val="43174205"/>
    <w:rsid w:val="432F2D3B"/>
    <w:rsid w:val="434605D5"/>
    <w:rsid w:val="434F02DA"/>
    <w:rsid w:val="43500348"/>
    <w:rsid w:val="435AD6FF"/>
    <w:rsid w:val="436C991E"/>
    <w:rsid w:val="437C187F"/>
    <w:rsid w:val="43A23E4E"/>
    <w:rsid w:val="43A3DC7D"/>
    <w:rsid w:val="43C56DB8"/>
    <w:rsid w:val="43D45509"/>
    <w:rsid w:val="43D4F19F"/>
    <w:rsid w:val="43D938F7"/>
    <w:rsid w:val="43E627EF"/>
    <w:rsid w:val="43F72961"/>
    <w:rsid w:val="43F7DCE6"/>
    <w:rsid w:val="440032E1"/>
    <w:rsid w:val="4401C19B"/>
    <w:rsid w:val="44215973"/>
    <w:rsid w:val="442A555B"/>
    <w:rsid w:val="4497336C"/>
    <w:rsid w:val="449D37B6"/>
    <w:rsid w:val="44B14270"/>
    <w:rsid w:val="44B1D5BD"/>
    <w:rsid w:val="44B7BB9E"/>
    <w:rsid w:val="44CFF5E6"/>
    <w:rsid w:val="44F67E96"/>
    <w:rsid w:val="44F9B30F"/>
    <w:rsid w:val="450CB683"/>
    <w:rsid w:val="450F51F5"/>
    <w:rsid w:val="45501DD5"/>
    <w:rsid w:val="45525834"/>
    <w:rsid w:val="455D5D2F"/>
    <w:rsid w:val="458248D2"/>
    <w:rsid w:val="458B5BDB"/>
    <w:rsid w:val="459945DA"/>
    <w:rsid w:val="45A4B840"/>
    <w:rsid w:val="45ACD7CF"/>
    <w:rsid w:val="45C8DE02"/>
    <w:rsid w:val="45CA85AC"/>
    <w:rsid w:val="45E6F330"/>
    <w:rsid w:val="45EE9CD5"/>
    <w:rsid w:val="46045BDD"/>
    <w:rsid w:val="461470B9"/>
    <w:rsid w:val="4616AB86"/>
    <w:rsid w:val="462C9FE0"/>
    <w:rsid w:val="463194DD"/>
    <w:rsid w:val="463C0F73"/>
    <w:rsid w:val="464018A2"/>
    <w:rsid w:val="464AC307"/>
    <w:rsid w:val="466D61CB"/>
    <w:rsid w:val="4690E57B"/>
    <w:rsid w:val="469B82E8"/>
    <w:rsid w:val="469BF30A"/>
    <w:rsid w:val="46AB2CF7"/>
    <w:rsid w:val="46B72720"/>
    <w:rsid w:val="46BA3255"/>
    <w:rsid w:val="46C9D33F"/>
    <w:rsid w:val="46D839F4"/>
    <w:rsid w:val="46D9DF10"/>
    <w:rsid w:val="46DE2FA5"/>
    <w:rsid w:val="46E44FF0"/>
    <w:rsid w:val="47082690"/>
    <w:rsid w:val="47283886"/>
    <w:rsid w:val="473B5BEC"/>
    <w:rsid w:val="476B2B1C"/>
    <w:rsid w:val="477CC52A"/>
    <w:rsid w:val="478FB8E6"/>
    <w:rsid w:val="479E19A8"/>
    <w:rsid w:val="47C38169"/>
    <w:rsid w:val="47D908DE"/>
    <w:rsid w:val="47DEFA1F"/>
    <w:rsid w:val="47DF3D2A"/>
    <w:rsid w:val="47E10BEA"/>
    <w:rsid w:val="47E4EAA2"/>
    <w:rsid w:val="47EA9C36"/>
    <w:rsid w:val="47F2F58A"/>
    <w:rsid w:val="47F8B264"/>
    <w:rsid w:val="47FA9775"/>
    <w:rsid w:val="480EC80E"/>
    <w:rsid w:val="48142B16"/>
    <w:rsid w:val="481A417D"/>
    <w:rsid w:val="481F70DB"/>
    <w:rsid w:val="482CAA29"/>
    <w:rsid w:val="482CB5DC"/>
    <w:rsid w:val="482EF10E"/>
    <w:rsid w:val="482F094F"/>
    <w:rsid w:val="483769E9"/>
    <w:rsid w:val="4849DA62"/>
    <w:rsid w:val="4851C75B"/>
    <w:rsid w:val="485F112E"/>
    <w:rsid w:val="486D0160"/>
    <w:rsid w:val="4873FFCE"/>
    <w:rsid w:val="4876534B"/>
    <w:rsid w:val="48A932E3"/>
    <w:rsid w:val="48ADF76B"/>
    <w:rsid w:val="48AFC371"/>
    <w:rsid w:val="48CA3E9B"/>
    <w:rsid w:val="48DFA21A"/>
    <w:rsid w:val="48E9E49C"/>
    <w:rsid w:val="48EBA529"/>
    <w:rsid w:val="48F4BA60"/>
    <w:rsid w:val="4900691C"/>
    <w:rsid w:val="4922AA5C"/>
    <w:rsid w:val="49383045"/>
    <w:rsid w:val="4940A636"/>
    <w:rsid w:val="4941F9CB"/>
    <w:rsid w:val="495D0EE0"/>
    <w:rsid w:val="497CDC4B"/>
    <w:rsid w:val="497FC208"/>
    <w:rsid w:val="498A1831"/>
    <w:rsid w:val="49C136C6"/>
    <w:rsid w:val="49CD2432"/>
    <w:rsid w:val="49D791DD"/>
    <w:rsid w:val="49DCCDFC"/>
    <w:rsid w:val="49F64401"/>
    <w:rsid w:val="49FCEFEC"/>
    <w:rsid w:val="49FF6027"/>
    <w:rsid w:val="49FF8FCE"/>
    <w:rsid w:val="4A00C420"/>
    <w:rsid w:val="4A1D7272"/>
    <w:rsid w:val="4A261868"/>
    <w:rsid w:val="4A30CE52"/>
    <w:rsid w:val="4A377B9A"/>
    <w:rsid w:val="4A40B041"/>
    <w:rsid w:val="4A519FDF"/>
    <w:rsid w:val="4A7F41D7"/>
    <w:rsid w:val="4A916BCF"/>
    <w:rsid w:val="4ABD7622"/>
    <w:rsid w:val="4AD8560C"/>
    <w:rsid w:val="4AF3CECF"/>
    <w:rsid w:val="4B021E22"/>
    <w:rsid w:val="4B3C20BB"/>
    <w:rsid w:val="4B3F2B73"/>
    <w:rsid w:val="4B51ADA1"/>
    <w:rsid w:val="4B631BAF"/>
    <w:rsid w:val="4B64569E"/>
    <w:rsid w:val="4B64A7FB"/>
    <w:rsid w:val="4B76DACE"/>
    <w:rsid w:val="4B777AD2"/>
    <w:rsid w:val="4B8CB28B"/>
    <w:rsid w:val="4BA038A9"/>
    <w:rsid w:val="4BA52E84"/>
    <w:rsid w:val="4BA93E62"/>
    <w:rsid w:val="4BB44678"/>
    <w:rsid w:val="4BD5C32F"/>
    <w:rsid w:val="4BD78258"/>
    <w:rsid w:val="4BD8660D"/>
    <w:rsid w:val="4BD9E3AF"/>
    <w:rsid w:val="4BE41DBA"/>
    <w:rsid w:val="4C05AA88"/>
    <w:rsid w:val="4C2C5BBF"/>
    <w:rsid w:val="4C310D8B"/>
    <w:rsid w:val="4C5C8D13"/>
    <w:rsid w:val="4C7792C4"/>
    <w:rsid w:val="4C78332F"/>
    <w:rsid w:val="4C7D8441"/>
    <w:rsid w:val="4C903F2F"/>
    <w:rsid w:val="4CA03D55"/>
    <w:rsid w:val="4CBA89CE"/>
    <w:rsid w:val="4CBB4033"/>
    <w:rsid w:val="4CBEF6F4"/>
    <w:rsid w:val="4CE4E70F"/>
    <w:rsid w:val="4CEA5B1F"/>
    <w:rsid w:val="4D27EDF7"/>
    <w:rsid w:val="4D329C75"/>
    <w:rsid w:val="4D4F435E"/>
    <w:rsid w:val="4D5CD03E"/>
    <w:rsid w:val="4D655448"/>
    <w:rsid w:val="4D69F952"/>
    <w:rsid w:val="4D759D67"/>
    <w:rsid w:val="4D7EA577"/>
    <w:rsid w:val="4D84370C"/>
    <w:rsid w:val="4D860881"/>
    <w:rsid w:val="4D969DAE"/>
    <w:rsid w:val="4D9A9E87"/>
    <w:rsid w:val="4DA4F369"/>
    <w:rsid w:val="4DB00BE6"/>
    <w:rsid w:val="4DBD7531"/>
    <w:rsid w:val="4DFE03DB"/>
    <w:rsid w:val="4E00DE6E"/>
    <w:rsid w:val="4E0257AA"/>
    <w:rsid w:val="4E202464"/>
    <w:rsid w:val="4E2CA24D"/>
    <w:rsid w:val="4E333BF1"/>
    <w:rsid w:val="4E3CC2CC"/>
    <w:rsid w:val="4E504D6E"/>
    <w:rsid w:val="4E5AFB6C"/>
    <w:rsid w:val="4E69D8F9"/>
    <w:rsid w:val="4E6E67B1"/>
    <w:rsid w:val="4EA74351"/>
    <w:rsid w:val="4EA7A4AA"/>
    <w:rsid w:val="4EBCE11D"/>
    <w:rsid w:val="4EBF71E5"/>
    <w:rsid w:val="4ED300F1"/>
    <w:rsid w:val="4ED35E6A"/>
    <w:rsid w:val="4F047BF3"/>
    <w:rsid w:val="4F0C7BB5"/>
    <w:rsid w:val="4F12756D"/>
    <w:rsid w:val="4F2C5ECB"/>
    <w:rsid w:val="4F3099DD"/>
    <w:rsid w:val="4F5358C0"/>
    <w:rsid w:val="4F56CC98"/>
    <w:rsid w:val="4F688E70"/>
    <w:rsid w:val="4F750516"/>
    <w:rsid w:val="4FA1A2CF"/>
    <w:rsid w:val="4FB3285F"/>
    <w:rsid w:val="4FBCFCEC"/>
    <w:rsid w:val="4FC819CB"/>
    <w:rsid w:val="4FD019B7"/>
    <w:rsid w:val="4FD78C5C"/>
    <w:rsid w:val="4FFB87A6"/>
    <w:rsid w:val="50005511"/>
    <w:rsid w:val="5005A95A"/>
    <w:rsid w:val="501123BD"/>
    <w:rsid w:val="501881C4"/>
    <w:rsid w:val="501C1FD8"/>
    <w:rsid w:val="50326CD6"/>
    <w:rsid w:val="50329B5F"/>
    <w:rsid w:val="50842F81"/>
    <w:rsid w:val="5084EF79"/>
    <w:rsid w:val="509E8719"/>
    <w:rsid w:val="50CC9848"/>
    <w:rsid w:val="50E0DA08"/>
    <w:rsid w:val="50E8E0D2"/>
    <w:rsid w:val="50EC356A"/>
    <w:rsid w:val="50F39FF1"/>
    <w:rsid w:val="51036D18"/>
    <w:rsid w:val="5103812D"/>
    <w:rsid w:val="5106B7E5"/>
    <w:rsid w:val="511335BF"/>
    <w:rsid w:val="5115AAA1"/>
    <w:rsid w:val="514C1F57"/>
    <w:rsid w:val="515A1B13"/>
    <w:rsid w:val="5174C4C7"/>
    <w:rsid w:val="51849BF0"/>
    <w:rsid w:val="51875641"/>
    <w:rsid w:val="5198A8F2"/>
    <w:rsid w:val="519D056B"/>
    <w:rsid w:val="51A179BB"/>
    <w:rsid w:val="51A76225"/>
    <w:rsid w:val="51AEE0A4"/>
    <w:rsid w:val="51B86CC3"/>
    <w:rsid w:val="51BA02AC"/>
    <w:rsid w:val="51C6F922"/>
    <w:rsid w:val="51CBC824"/>
    <w:rsid w:val="51D981AE"/>
    <w:rsid w:val="51F3975C"/>
    <w:rsid w:val="51FF473E"/>
    <w:rsid w:val="52189CCE"/>
    <w:rsid w:val="521CE2E3"/>
    <w:rsid w:val="526D7F27"/>
    <w:rsid w:val="527E93AF"/>
    <w:rsid w:val="527FC56F"/>
    <w:rsid w:val="528D9D63"/>
    <w:rsid w:val="529D5FAD"/>
    <w:rsid w:val="52AC0B87"/>
    <w:rsid w:val="52C60B63"/>
    <w:rsid w:val="52CCDF3D"/>
    <w:rsid w:val="52DBDE97"/>
    <w:rsid w:val="52DFFEB9"/>
    <w:rsid w:val="5308D74E"/>
    <w:rsid w:val="5317CEA6"/>
    <w:rsid w:val="53264C75"/>
    <w:rsid w:val="5332A113"/>
    <w:rsid w:val="53362302"/>
    <w:rsid w:val="5344066B"/>
    <w:rsid w:val="53571A92"/>
    <w:rsid w:val="5360AC4F"/>
    <w:rsid w:val="536B9498"/>
    <w:rsid w:val="53A5B3BE"/>
    <w:rsid w:val="53ADD295"/>
    <w:rsid w:val="53B0FEE4"/>
    <w:rsid w:val="53EB9661"/>
    <w:rsid w:val="53EDA098"/>
    <w:rsid w:val="53F4EABD"/>
    <w:rsid w:val="53FC6B22"/>
    <w:rsid w:val="54066294"/>
    <w:rsid w:val="5414C064"/>
    <w:rsid w:val="541B1589"/>
    <w:rsid w:val="542359DB"/>
    <w:rsid w:val="5438002B"/>
    <w:rsid w:val="54541879"/>
    <w:rsid w:val="545E2FF0"/>
    <w:rsid w:val="54674176"/>
    <w:rsid w:val="54676F67"/>
    <w:rsid w:val="546C0E83"/>
    <w:rsid w:val="546E3CB1"/>
    <w:rsid w:val="546EA3E7"/>
    <w:rsid w:val="5492E0E7"/>
    <w:rsid w:val="54B02138"/>
    <w:rsid w:val="54B9524E"/>
    <w:rsid w:val="54BB4578"/>
    <w:rsid w:val="54C6095C"/>
    <w:rsid w:val="54D04B0F"/>
    <w:rsid w:val="54DFCF2B"/>
    <w:rsid w:val="54E8B6AF"/>
    <w:rsid w:val="54EAE573"/>
    <w:rsid w:val="54EB24B9"/>
    <w:rsid w:val="54F5A441"/>
    <w:rsid w:val="550DAC7D"/>
    <w:rsid w:val="5518BBAC"/>
    <w:rsid w:val="5525225D"/>
    <w:rsid w:val="553B8577"/>
    <w:rsid w:val="553C3C5E"/>
    <w:rsid w:val="55554735"/>
    <w:rsid w:val="555B00A2"/>
    <w:rsid w:val="5567C0F0"/>
    <w:rsid w:val="5574C69F"/>
    <w:rsid w:val="557B539C"/>
    <w:rsid w:val="55857DE7"/>
    <w:rsid w:val="55A0F6FE"/>
    <w:rsid w:val="55AB27AC"/>
    <w:rsid w:val="55AD40F2"/>
    <w:rsid w:val="55DE7693"/>
    <w:rsid w:val="55DFAB69"/>
    <w:rsid w:val="56023905"/>
    <w:rsid w:val="560FF2CA"/>
    <w:rsid w:val="56160F2F"/>
    <w:rsid w:val="562614FE"/>
    <w:rsid w:val="562E5DA0"/>
    <w:rsid w:val="5632509E"/>
    <w:rsid w:val="56365BE7"/>
    <w:rsid w:val="563B282E"/>
    <w:rsid w:val="563BE968"/>
    <w:rsid w:val="5646EBB6"/>
    <w:rsid w:val="565522AF"/>
    <w:rsid w:val="566657BA"/>
    <w:rsid w:val="5667E498"/>
    <w:rsid w:val="566F8A4E"/>
    <w:rsid w:val="56797DA1"/>
    <w:rsid w:val="5685AD14"/>
    <w:rsid w:val="568B24E7"/>
    <w:rsid w:val="56AC29AC"/>
    <w:rsid w:val="56D6F8C2"/>
    <w:rsid w:val="56E02E0E"/>
    <w:rsid w:val="56FB807F"/>
    <w:rsid w:val="57082369"/>
    <w:rsid w:val="573A1E50"/>
    <w:rsid w:val="573F06F3"/>
    <w:rsid w:val="574F8574"/>
    <w:rsid w:val="57546A25"/>
    <w:rsid w:val="578F1696"/>
    <w:rsid w:val="57AE96F0"/>
    <w:rsid w:val="57B67D98"/>
    <w:rsid w:val="57C590CA"/>
    <w:rsid w:val="57D2D90B"/>
    <w:rsid w:val="57D342C0"/>
    <w:rsid w:val="57D530AA"/>
    <w:rsid w:val="57DA04DE"/>
    <w:rsid w:val="57DAC2BB"/>
    <w:rsid w:val="57E1A086"/>
    <w:rsid w:val="57F65DA8"/>
    <w:rsid w:val="580431B8"/>
    <w:rsid w:val="5810BB3F"/>
    <w:rsid w:val="581B0C34"/>
    <w:rsid w:val="58369179"/>
    <w:rsid w:val="583CE30F"/>
    <w:rsid w:val="584B82B5"/>
    <w:rsid w:val="5856E297"/>
    <w:rsid w:val="587D4500"/>
    <w:rsid w:val="5893E7BA"/>
    <w:rsid w:val="589ABD18"/>
    <w:rsid w:val="58BE983D"/>
    <w:rsid w:val="58D3313A"/>
    <w:rsid w:val="58D49368"/>
    <w:rsid w:val="58E0A193"/>
    <w:rsid w:val="58FE588D"/>
    <w:rsid w:val="5912C55B"/>
    <w:rsid w:val="59264223"/>
    <w:rsid w:val="59331731"/>
    <w:rsid w:val="5948864B"/>
    <w:rsid w:val="594FCF8E"/>
    <w:rsid w:val="5966520A"/>
    <w:rsid w:val="596CB587"/>
    <w:rsid w:val="59706A63"/>
    <w:rsid w:val="59730704"/>
    <w:rsid w:val="599AED9B"/>
    <w:rsid w:val="599C38DB"/>
    <w:rsid w:val="59A73089"/>
    <w:rsid w:val="59BE6C65"/>
    <w:rsid w:val="59D907DC"/>
    <w:rsid w:val="59E432A0"/>
    <w:rsid w:val="59F412DF"/>
    <w:rsid w:val="59F45AFF"/>
    <w:rsid w:val="59F58E0E"/>
    <w:rsid w:val="59FAF93C"/>
    <w:rsid w:val="5A216941"/>
    <w:rsid w:val="5A290CF3"/>
    <w:rsid w:val="5A329D9C"/>
    <w:rsid w:val="5A355192"/>
    <w:rsid w:val="5A7063C9"/>
    <w:rsid w:val="5A830B99"/>
    <w:rsid w:val="5A8F60E0"/>
    <w:rsid w:val="5A9D7477"/>
    <w:rsid w:val="5AACF976"/>
    <w:rsid w:val="5AB15FA3"/>
    <w:rsid w:val="5ABD6EDB"/>
    <w:rsid w:val="5AC9E375"/>
    <w:rsid w:val="5AE65AF1"/>
    <w:rsid w:val="5AF8D807"/>
    <w:rsid w:val="5B03E45A"/>
    <w:rsid w:val="5B05F05E"/>
    <w:rsid w:val="5B06BC80"/>
    <w:rsid w:val="5B1EE3FF"/>
    <w:rsid w:val="5B3D106A"/>
    <w:rsid w:val="5B51BB1D"/>
    <w:rsid w:val="5B6612F8"/>
    <w:rsid w:val="5B7F9ACF"/>
    <w:rsid w:val="5B9CE79E"/>
    <w:rsid w:val="5BAB293A"/>
    <w:rsid w:val="5BB1CD08"/>
    <w:rsid w:val="5BC8B7A6"/>
    <w:rsid w:val="5BD07755"/>
    <w:rsid w:val="5BF48347"/>
    <w:rsid w:val="5C15099D"/>
    <w:rsid w:val="5C25A0D8"/>
    <w:rsid w:val="5C28378B"/>
    <w:rsid w:val="5C286B5A"/>
    <w:rsid w:val="5C3414B4"/>
    <w:rsid w:val="5C5314EA"/>
    <w:rsid w:val="5C5E9664"/>
    <w:rsid w:val="5C7C97CC"/>
    <w:rsid w:val="5C819101"/>
    <w:rsid w:val="5C877050"/>
    <w:rsid w:val="5CC7B4E8"/>
    <w:rsid w:val="5CCB1105"/>
    <w:rsid w:val="5CCB5F8D"/>
    <w:rsid w:val="5CD830E7"/>
    <w:rsid w:val="5CE42C62"/>
    <w:rsid w:val="5CEE6638"/>
    <w:rsid w:val="5CF2AA40"/>
    <w:rsid w:val="5D1E16B1"/>
    <w:rsid w:val="5D368D54"/>
    <w:rsid w:val="5D5EEA4F"/>
    <w:rsid w:val="5D665682"/>
    <w:rsid w:val="5D7EDB37"/>
    <w:rsid w:val="5DB36057"/>
    <w:rsid w:val="5DCE1440"/>
    <w:rsid w:val="5DD35D1F"/>
    <w:rsid w:val="5DDF2FE8"/>
    <w:rsid w:val="5DEB41E9"/>
    <w:rsid w:val="5E2068FA"/>
    <w:rsid w:val="5E2CC76A"/>
    <w:rsid w:val="5E4F1400"/>
    <w:rsid w:val="5E5E0F1F"/>
    <w:rsid w:val="5E672FEE"/>
    <w:rsid w:val="5E67D895"/>
    <w:rsid w:val="5E7DC895"/>
    <w:rsid w:val="5E7FFCC3"/>
    <w:rsid w:val="5E8DC469"/>
    <w:rsid w:val="5E983C00"/>
    <w:rsid w:val="5EBC49DD"/>
    <w:rsid w:val="5EC2A2FA"/>
    <w:rsid w:val="5EEF62D1"/>
    <w:rsid w:val="5EFABAB0"/>
    <w:rsid w:val="5EFBB6CF"/>
    <w:rsid w:val="5F20AFB7"/>
    <w:rsid w:val="5F32B29B"/>
    <w:rsid w:val="5F541B46"/>
    <w:rsid w:val="5F716D09"/>
    <w:rsid w:val="5F7B3B93"/>
    <w:rsid w:val="5F8BE42A"/>
    <w:rsid w:val="5FA914B6"/>
    <w:rsid w:val="5FC10617"/>
    <w:rsid w:val="5FC897CB"/>
    <w:rsid w:val="5FCF43FE"/>
    <w:rsid w:val="5FD35635"/>
    <w:rsid w:val="6007CC43"/>
    <w:rsid w:val="600B23C3"/>
    <w:rsid w:val="602413D7"/>
    <w:rsid w:val="6027F3E6"/>
    <w:rsid w:val="6041DE64"/>
    <w:rsid w:val="606570E7"/>
    <w:rsid w:val="606F2E88"/>
    <w:rsid w:val="60AF973A"/>
    <w:rsid w:val="60B94508"/>
    <w:rsid w:val="60BF6AF7"/>
    <w:rsid w:val="60C913C6"/>
    <w:rsid w:val="60EDFFC6"/>
    <w:rsid w:val="60EEEBB6"/>
    <w:rsid w:val="61032C64"/>
    <w:rsid w:val="61095F84"/>
    <w:rsid w:val="610EB1C1"/>
    <w:rsid w:val="611CF11F"/>
    <w:rsid w:val="611FFCFA"/>
    <w:rsid w:val="6124A6D4"/>
    <w:rsid w:val="612B8B72"/>
    <w:rsid w:val="613C48DB"/>
    <w:rsid w:val="6145F642"/>
    <w:rsid w:val="614B4A54"/>
    <w:rsid w:val="6164682C"/>
    <w:rsid w:val="6165696B"/>
    <w:rsid w:val="6197D019"/>
    <w:rsid w:val="61A39CA4"/>
    <w:rsid w:val="61B56957"/>
    <w:rsid w:val="61B5CED4"/>
    <w:rsid w:val="61C0782B"/>
    <w:rsid w:val="61C353AD"/>
    <w:rsid w:val="61DAAEFA"/>
    <w:rsid w:val="61E0C9FA"/>
    <w:rsid w:val="61E347CA"/>
    <w:rsid w:val="61EC8937"/>
    <w:rsid w:val="61F0C864"/>
    <w:rsid w:val="61FA088C"/>
    <w:rsid w:val="6205B0C2"/>
    <w:rsid w:val="620DAE16"/>
    <w:rsid w:val="620E5821"/>
    <w:rsid w:val="620F0734"/>
    <w:rsid w:val="62118601"/>
    <w:rsid w:val="62166CAF"/>
    <w:rsid w:val="6225B327"/>
    <w:rsid w:val="62453F13"/>
    <w:rsid w:val="62614C14"/>
    <w:rsid w:val="62624D51"/>
    <w:rsid w:val="6263A3B3"/>
    <w:rsid w:val="6265B351"/>
    <w:rsid w:val="628A7E6B"/>
    <w:rsid w:val="628D74B1"/>
    <w:rsid w:val="629457FA"/>
    <w:rsid w:val="62A5A99E"/>
    <w:rsid w:val="62A9541F"/>
    <w:rsid w:val="62C60E41"/>
    <w:rsid w:val="6300A26B"/>
    <w:rsid w:val="63078459"/>
    <w:rsid w:val="630BEB70"/>
    <w:rsid w:val="63245E6E"/>
    <w:rsid w:val="633A3FF2"/>
    <w:rsid w:val="633E9D2A"/>
    <w:rsid w:val="634B0FA9"/>
    <w:rsid w:val="635910BF"/>
    <w:rsid w:val="635ABCCA"/>
    <w:rsid w:val="63645C6B"/>
    <w:rsid w:val="636DE815"/>
    <w:rsid w:val="63718457"/>
    <w:rsid w:val="63968382"/>
    <w:rsid w:val="639AB1E8"/>
    <w:rsid w:val="639FD6D1"/>
    <w:rsid w:val="63B409BC"/>
    <w:rsid w:val="63C18388"/>
    <w:rsid w:val="63DAD351"/>
    <w:rsid w:val="63DD5D3D"/>
    <w:rsid w:val="63FE7FCC"/>
    <w:rsid w:val="64234E0D"/>
    <w:rsid w:val="64344B06"/>
    <w:rsid w:val="6453DB33"/>
    <w:rsid w:val="646E3B9E"/>
    <w:rsid w:val="646F9730"/>
    <w:rsid w:val="647CE31C"/>
    <w:rsid w:val="64825BE5"/>
    <w:rsid w:val="64869F5A"/>
    <w:rsid w:val="64928235"/>
    <w:rsid w:val="64A5930E"/>
    <w:rsid w:val="64AAA50D"/>
    <w:rsid w:val="64B8B48B"/>
    <w:rsid w:val="64BB131C"/>
    <w:rsid w:val="64C25727"/>
    <w:rsid w:val="64C7C337"/>
    <w:rsid w:val="64D54E9B"/>
    <w:rsid w:val="64DC0A9F"/>
    <w:rsid w:val="64DD56A7"/>
    <w:rsid w:val="64E8BD9B"/>
    <w:rsid w:val="64EE7BA0"/>
    <w:rsid w:val="64FE5A69"/>
    <w:rsid w:val="650D54B8"/>
    <w:rsid w:val="65139FAE"/>
    <w:rsid w:val="651A9425"/>
    <w:rsid w:val="6549A98F"/>
    <w:rsid w:val="655CE483"/>
    <w:rsid w:val="6562EE2E"/>
    <w:rsid w:val="657A3B0A"/>
    <w:rsid w:val="657D7526"/>
    <w:rsid w:val="658FBE7E"/>
    <w:rsid w:val="6599AE3F"/>
    <w:rsid w:val="65DAD8F1"/>
    <w:rsid w:val="65DE53E6"/>
    <w:rsid w:val="66062074"/>
    <w:rsid w:val="66134186"/>
    <w:rsid w:val="6621FBC3"/>
    <w:rsid w:val="66447015"/>
    <w:rsid w:val="66561503"/>
    <w:rsid w:val="66762C2A"/>
    <w:rsid w:val="668AAA3B"/>
    <w:rsid w:val="6693E528"/>
    <w:rsid w:val="6695487E"/>
    <w:rsid w:val="66A8F79E"/>
    <w:rsid w:val="66C15B43"/>
    <w:rsid w:val="66D9359B"/>
    <w:rsid w:val="66E1C09A"/>
    <w:rsid w:val="66EDF2F8"/>
    <w:rsid w:val="6726B114"/>
    <w:rsid w:val="6730018C"/>
    <w:rsid w:val="6743823E"/>
    <w:rsid w:val="675A0E78"/>
    <w:rsid w:val="675B82A2"/>
    <w:rsid w:val="675CCF4E"/>
    <w:rsid w:val="675EED2C"/>
    <w:rsid w:val="677F33D9"/>
    <w:rsid w:val="67833EE8"/>
    <w:rsid w:val="6790D401"/>
    <w:rsid w:val="6791B1A5"/>
    <w:rsid w:val="679C91D2"/>
    <w:rsid w:val="67A63721"/>
    <w:rsid w:val="67A8ED65"/>
    <w:rsid w:val="67BAA399"/>
    <w:rsid w:val="67BBF9F7"/>
    <w:rsid w:val="67C32E3C"/>
    <w:rsid w:val="67CED5F8"/>
    <w:rsid w:val="67D3A9B0"/>
    <w:rsid w:val="67E8BF66"/>
    <w:rsid w:val="67EF1E22"/>
    <w:rsid w:val="680AABFB"/>
    <w:rsid w:val="68261FD8"/>
    <w:rsid w:val="683BFDD9"/>
    <w:rsid w:val="6844F57A"/>
    <w:rsid w:val="6865E962"/>
    <w:rsid w:val="686A5E74"/>
    <w:rsid w:val="6881F611"/>
    <w:rsid w:val="68AA9C54"/>
    <w:rsid w:val="68BAF17D"/>
    <w:rsid w:val="68BB3053"/>
    <w:rsid w:val="68BE8207"/>
    <w:rsid w:val="68CD1D95"/>
    <w:rsid w:val="68F2E126"/>
    <w:rsid w:val="68F71815"/>
    <w:rsid w:val="68FBE084"/>
    <w:rsid w:val="69051710"/>
    <w:rsid w:val="6905DAE1"/>
    <w:rsid w:val="69155462"/>
    <w:rsid w:val="696BAE4D"/>
    <w:rsid w:val="696F7A11"/>
    <w:rsid w:val="6978585F"/>
    <w:rsid w:val="697E64F3"/>
    <w:rsid w:val="698A7F14"/>
    <w:rsid w:val="69A08336"/>
    <w:rsid w:val="69A55AA1"/>
    <w:rsid w:val="69AD0561"/>
    <w:rsid w:val="69C3D42C"/>
    <w:rsid w:val="69D7400D"/>
    <w:rsid w:val="69E5871C"/>
    <w:rsid w:val="69EF8E96"/>
    <w:rsid w:val="69FFAAF8"/>
    <w:rsid w:val="6A05F2A1"/>
    <w:rsid w:val="6A1DE14D"/>
    <w:rsid w:val="6A270CF7"/>
    <w:rsid w:val="6A2EECEC"/>
    <w:rsid w:val="6A304B9C"/>
    <w:rsid w:val="6A35974C"/>
    <w:rsid w:val="6A7FE33A"/>
    <w:rsid w:val="6A92B7C5"/>
    <w:rsid w:val="6A9D09A5"/>
    <w:rsid w:val="6AA701E5"/>
    <w:rsid w:val="6AD9A0FA"/>
    <w:rsid w:val="6AEEB000"/>
    <w:rsid w:val="6AEF869D"/>
    <w:rsid w:val="6B51F145"/>
    <w:rsid w:val="6B5951F9"/>
    <w:rsid w:val="6B7605BB"/>
    <w:rsid w:val="6B8407DA"/>
    <w:rsid w:val="6B8CA960"/>
    <w:rsid w:val="6BA40FAB"/>
    <w:rsid w:val="6BA88CB1"/>
    <w:rsid w:val="6BAAD665"/>
    <w:rsid w:val="6BACB336"/>
    <w:rsid w:val="6BB175C7"/>
    <w:rsid w:val="6BB3422C"/>
    <w:rsid w:val="6BB62DEB"/>
    <w:rsid w:val="6BB88E89"/>
    <w:rsid w:val="6BED6F6F"/>
    <w:rsid w:val="6BFC8847"/>
    <w:rsid w:val="6C0DFEC8"/>
    <w:rsid w:val="6C11861F"/>
    <w:rsid w:val="6C1ACFC2"/>
    <w:rsid w:val="6C248ADC"/>
    <w:rsid w:val="6C2FE210"/>
    <w:rsid w:val="6C423B23"/>
    <w:rsid w:val="6C78047E"/>
    <w:rsid w:val="6C78BB90"/>
    <w:rsid w:val="6C888481"/>
    <w:rsid w:val="6CC75BBF"/>
    <w:rsid w:val="6CCDC064"/>
    <w:rsid w:val="6CE456B0"/>
    <w:rsid w:val="6CE5B07E"/>
    <w:rsid w:val="6CE8B84D"/>
    <w:rsid w:val="6D000D43"/>
    <w:rsid w:val="6D05C8FE"/>
    <w:rsid w:val="6D5E3F35"/>
    <w:rsid w:val="6D6625B2"/>
    <w:rsid w:val="6D7DD4F9"/>
    <w:rsid w:val="6D826395"/>
    <w:rsid w:val="6D86992F"/>
    <w:rsid w:val="6DA1F34D"/>
    <w:rsid w:val="6DA9937F"/>
    <w:rsid w:val="6DAB9B27"/>
    <w:rsid w:val="6DBE29D6"/>
    <w:rsid w:val="6DBEE7B9"/>
    <w:rsid w:val="6DC31241"/>
    <w:rsid w:val="6DDFFB67"/>
    <w:rsid w:val="6DEC54D5"/>
    <w:rsid w:val="6DFE28A8"/>
    <w:rsid w:val="6E0F7226"/>
    <w:rsid w:val="6E2ED1B9"/>
    <w:rsid w:val="6E3B4D79"/>
    <w:rsid w:val="6E8405E3"/>
    <w:rsid w:val="6E9DECCC"/>
    <w:rsid w:val="6EC3CD65"/>
    <w:rsid w:val="6ECE116E"/>
    <w:rsid w:val="6ED46F45"/>
    <w:rsid w:val="6ED8AD89"/>
    <w:rsid w:val="6EDA2FB4"/>
    <w:rsid w:val="6EDB6C29"/>
    <w:rsid w:val="6EE979A3"/>
    <w:rsid w:val="6EFFB3C4"/>
    <w:rsid w:val="6F048EDB"/>
    <w:rsid w:val="6F12D784"/>
    <w:rsid w:val="6F206C5E"/>
    <w:rsid w:val="6F23A84E"/>
    <w:rsid w:val="6F3D1F05"/>
    <w:rsid w:val="6F3DDB85"/>
    <w:rsid w:val="6F476D06"/>
    <w:rsid w:val="6F542804"/>
    <w:rsid w:val="6F724C48"/>
    <w:rsid w:val="6F73C767"/>
    <w:rsid w:val="6F7D40D3"/>
    <w:rsid w:val="6F906BA5"/>
    <w:rsid w:val="6F99FBC1"/>
    <w:rsid w:val="6FA36722"/>
    <w:rsid w:val="6FAA5480"/>
    <w:rsid w:val="6FBCA76E"/>
    <w:rsid w:val="6FC4F27B"/>
    <w:rsid w:val="6FD19CF2"/>
    <w:rsid w:val="6FD20058"/>
    <w:rsid w:val="6FEB525B"/>
    <w:rsid w:val="6FED38F2"/>
    <w:rsid w:val="6FEEFAEC"/>
    <w:rsid w:val="6FFB4C72"/>
    <w:rsid w:val="7001DE08"/>
    <w:rsid w:val="70144D22"/>
    <w:rsid w:val="702D3348"/>
    <w:rsid w:val="7040E188"/>
    <w:rsid w:val="7084AAA6"/>
    <w:rsid w:val="70C4DF6F"/>
    <w:rsid w:val="70C651EE"/>
    <w:rsid w:val="70DC6DD8"/>
    <w:rsid w:val="70DFFA3D"/>
    <w:rsid w:val="70E6E46F"/>
    <w:rsid w:val="70F5CA98"/>
    <w:rsid w:val="712869CB"/>
    <w:rsid w:val="71486B94"/>
    <w:rsid w:val="714B3566"/>
    <w:rsid w:val="7154D062"/>
    <w:rsid w:val="717C8BDB"/>
    <w:rsid w:val="717EE186"/>
    <w:rsid w:val="71871B51"/>
    <w:rsid w:val="71920AD1"/>
    <w:rsid w:val="71985827"/>
    <w:rsid w:val="71989BFE"/>
    <w:rsid w:val="71AEDF86"/>
    <w:rsid w:val="71F860F1"/>
    <w:rsid w:val="72557591"/>
    <w:rsid w:val="727A2ED3"/>
    <w:rsid w:val="72A22B68"/>
    <w:rsid w:val="72E27C83"/>
    <w:rsid w:val="72EBBD05"/>
    <w:rsid w:val="731E1CF7"/>
    <w:rsid w:val="73287C77"/>
    <w:rsid w:val="732956A9"/>
    <w:rsid w:val="732AF45C"/>
    <w:rsid w:val="732E7000"/>
    <w:rsid w:val="733285E1"/>
    <w:rsid w:val="73328E24"/>
    <w:rsid w:val="733FD796"/>
    <w:rsid w:val="73407B35"/>
    <w:rsid w:val="737AAF48"/>
    <w:rsid w:val="73889D8F"/>
    <w:rsid w:val="739631A0"/>
    <w:rsid w:val="73A51826"/>
    <w:rsid w:val="73B8A715"/>
    <w:rsid w:val="73CA0CA6"/>
    <w:rsid w:val="73CEEFBE"/>
    <w:rsid w:val="73D98272"/>
    <w:rsid w:val="73E77034"/>
    <w:rsid w:val="73EA1D35"/>
    <w:rsid w:val="741F0DE4"/>
    <w:rsid w:val="7424755B"/>
    <w:rsid w:val="7424E5D6"/>
    <w:rsid w:val="743D96D1"/>
    <w:rsid w:val="744BDC58"/>
    <w:rsid w:val="74784A7C"/>
    <w:rsid w:val="74B2F37A"/>
    <w:rsid w:val="74B86044"/>
    <w:rsid w:val="74BA9DF1"/>
    <w:rsid w:val="74D589FB"/>
    <w:rsid w:val="74D866E4"/>
    <w:rsid w:val="74DD6850"/>
    <w:rsid w:val="74DFD879"/>
    <w:rsid w:val="74EC6D68"/>
    <w:rsid w:val="74FDBB77"/>
    <w:rsid w:val="7502F024"/>
    <w:rsid w:val="7515FBFB"/>
    <w:rsid w:val="751F9829"/>
    <w:rsid w:val="75231A53"/>
    <w:rsid w:val="75256D1C"/>
    <w:rsid w:val="752FC074"/>
    <w:rsid w:val="755CD0C5"/>
    <w:rsid w:val="75623B21"/>
    <w:rsid w:val="7568E1C8"/>
    <w:rsid w:val="7591F87A"/>
    <w:rsid w:val="759231A2"/>
    <w:rsid w:val="75A61625"/>
    <w:rsid w:val="75B0135E"/>
    <w:rsid w:val="75E801A7"/>
    <w:rsid w:val="75F62B31"/>
    <w:rsid w:val="761C1BC6"/>
    <w:rsid w:val="76452B20"/>
    <w:rsid w:val="7648E3C8"/>
    <w:rsid w:val="764ED395"/>
    <w:rsid w:val="764F9B48"/>
    <w:rsid w:val="765A0023"/>
    <w:rsid w:val="765AA55E"/>
    <w:rsid w:val="768250A9"/>
    <w:rsid w:val="76848F77"/>
    <w:rsid w:val="76A1EAAF"/>
    <w:rsid w:val="76AE1741"/>
    <w:rsid w:val="76AE353A"/>
    <w:rsid w:val="76AEBF89"/>
    <w:rsid w:val="76C98072"/>
    <w:rsid w:val="76CDE3D9"/>
    <w:rsid w:val="76CE9279"/>
    <w:rsid w:val="76DE3D9E"/>
    <w:rsid w:val="76DF6713"/>
    <w:rsid w:val="76E5B820"/>
    <w:rsid w:val="76E6D4F5"/>
    <w:rsid w:val="76F3A88B"/>
    <w:rsid w:val="76FC52F1"/>
    <w:rsid w:val="76FC815C"/>
    <w:rsid w:val="7710D9BB"/>
    <w:rsid w:val="7729F21E"/>
    <w:rsid w:val="772B18AB"/>
    <w:rsid w:val="7730D7E5"/>
    <w:rsid w:val="775298C8"/>
    <w:rsid w:val="776A0EDB"/>
    <w:rsid w:val="7783C6E2"/>
    <w:rsid w:val="779301C4"/>
    <w:rsid w:val="77A8A1B5"/>
    <w:rsid w:val="77A90E6C"/>
    <w:rsid w:val="77B14C9F"/>
    <w:rsid w:val="77B5D8F5"/>
    <w:rsid w:val="77E06381"/>
    <w:rsid w:val="77F1C74D"/>
    <w:rsid w:val="77F89F78"/>
    <w:rsid w:val="78238C6A"/>
    <w:rsid w:val="78259303"/>
    <w:rsid w:val="78282CAD"/>
    <w:rsid w:val="783A90C1"/>
    <w:rsid w:val="7856679E"/>
    <w:rsid w:val="785BA23A"/>
    <w:rsid w:val="78696A56"/>
    <w:rsid w:val="786A5376"/>
    <w:rsid w:val="78702C32"/>
    <w:rsid w:val="787A5EDE"/>
    <w:rsid w:val="787E7683"/>
    <w:rsid w:val="78806672"/>
    <w:rsid w:val="789AD076"/>
    <w:rsid w:val="78A74FE2"/>
    <w:rsid w:val="78D1B3D6"/>
    <w:rsid w:val="78D4105F"/>
    <w:rsid w:val="78D4BD91"/>
    <w:rsid w:val="78E43B6E"/>
    <w:rsid w:val="78E87CD7"/>
    <w:rsid w:val="78ECBA2B"/>
    <w:rsid w:val="78F0CE1A"/>
    <w:rsid w:val="78F77AF4"/>
    <w:rsid w:val="78FC67EE"/>
    <w:rsid w:val="79199DB7"/>
    <w:rsid w:val="791FE677"/>
    <w:rsid w:val="79203AF9"/>
    <w:rsid w:val="7962EDC5"/>
    <w:rsid w:val="7979704E"/>
    <w:rsid w:val="797AF6CD"/>
    <w:rsid w:val="797B3B20"/>
    <w:rsid w:val="79888982"/>
    <w:rsid w:val="798CDC0B"/>
    <w:rsid w:val="799E8251"/>
    <w:rsid w:val="79A89221"/>
    <w:rsid w:val="79B1B74F"/>
    <w:rsid w:val="79D611F5"/>
    <w:rsid w:val="79D931DE"/>
    <w:rsid w:val="79E85B2F"/>
    <w:rsid w:val="7A08FB26"/>
    <w:rsid w:val="7A0ADAE0"/>
    <w:rsid w:val="7A23A4D1"/>
    <w:rsid w:val="7A26F36A"/>
    <w:rsid w:val="7A462D1E"/>
    <w:rsid w:val="7A4F4E91"/>
    <w:rsid w:val="7A833094"/>
    <w:rsid w:val="7A838481"/>
    <w:rsid w:val="7A869543"/>
    <w:rsid w:val="7A980D20"/>
    <w:rsid w:val="7AA89A37"/>
    <w:rsid w:val="7AB5F218"/>
    <w:rsid w:val="7AC5E164"/>
    <w:rsid w:val="7ACD8CB8"/>
    <w:rsid w:val="7AE07E80"/>
    <w:rsid w:val="7AE7AC52"/>
    <w:rsid w:val="7AF217AC"/>
    <w:rsid w:val="7AF8D1FA"/>
    <w:rsid w:val="7B0C54D3"/>
    <w:rsid w:val="7B235E17"/>
    <w:rsid w:val="7B248348"/>
    <w:rsid w:val="7B37A6EB"/>
    <w:rsid w:val="7B3AD4C7"/>
    <w:rsid w:val="7B415DC0"/>
    <w:rsid w:val="7B56AD8B"/>
    <w:rsid w:val="7B5D33C5"/>
    <w:rsid w:val="7B5ED46D"/>
    <w:rsid w:val="7B8BA682"/>
    <w:rsid w:val="7B8BAD3D"/>
    <w:rsid w:val="7BA0D0B2"/>
    <w:rsid w:val="7BAACF3A"/>
    <w:rsid w:val="7BB3ABC5"/>
    <w:rsid w:val="7BBDD75A"/>
    <w:rsid w:val="7BCC7166"/>
    <w:rsid w:val="7BEAC173"/>
    <w:rsid w:val="7BEE6F5D"/>
    <w:rsid w:val="7BFDC6E3"/>
    <w:rsid w:val="7C1AF1BC"/>
    <w:rsid w:val="7C2DE26B"/>
    <w:rsid w:val="7C578739"/>
    <w:rsid w:val="7C7195A0"/>
    <w:rsid w:val="7C8DE80D"/>
    <w:rsid w:val="7CA55A85"/>
    <w:rsid w:val="7CB2F648"/>
    <w:rsid w:val="7CDB4EFD"/>
    <w:rsid w:val="7CE31E53"/>
    <w:rsid w:val="7CE53A52"/>
    <w:rsid w:val="7CE56FD5"/>
    <w:rsid w:val="7CE8C4D4"/>
    <w:rsid w:val="7CF90426"/>
    <w:rsid w:val="7D082A81"/>
    <w:rsid w:val="7D50F527"/>
    <w:rsid w:val="7D56168A"/>
    <w:rsid w:val="7D59B918"/>
    <w:rsid w:val="7D9C1DCC"/>
    <w:rsid w:val="7DA34AE5"/>
    <w:rsid w:val="7DAB0510"/>
    <w:rsid w:val="7DC1D902"/>
    <w:rsid w:val="7DCBD2A1"/>
    <w:rsid w:val="7DD77AE9"/>
    <w:rsid w:val="7DDC3E27"/>
    <w:rsid w:val="7DEB9957"/>
    <w:rsid w:val="7DEF6364"/>
    <w:rsid w:val="7DF3579A"/>
    <w:rsid w:val="7DFDD135"/>
    <w:rsid w:val="7E0B7DDA"/>
    <w:rsid w:val="7E224AE2"/>
    <w:rsid w:val="7E396EEE"/>
    <w:rsid w:val="7E4410DA"/>
    <w:rsid w:val="7E4482C1"/>
    <w:rsid w:val="7E648647"/>
    <w:rsid w:val="7E6A546D"/>
    <w:rsid w:val="7E6D0153"/>
    <w:rsid w:val="7E726F10"/>
    <w:rsid w:val="7E8D8509"/>
    <w:rsid w:val="7E8FA24F"/>
    <w:rsid w:val="7E94D487"/>
    <w:rsid w:val="7EA25F1B"/>
    <w:rsid w:val="7EE4A670"/>
    <w:rsid w:val="7EE6D602"/>
    <w:rsid w:val="7EF1AC8A"/>
    <w:rsid w:val="7F0AD76F"/>
    <w:rsid w:val="7F12FC69"/>
    <w:rsid w:val="7F157419"/>
    <w:rsid w:val="7F35AD6C"/>
    <w:rsid w:val="7F5C188B"/>
    <w:rsid w:val="7F6BDD16"/>
    <w:rsid w:val="7F7F3538"/>
    <w:rsid w:val="7F909E3A"/>
    <w:rsid w:val="7FC65FCE"/>
    <w:rsid w:val="7FCA5D07"/>
    <w:rsid w:val="7FDA7661"/>
    <w:rsid w:val="7FDF5193"/>
    <w:rsid w:val="7FE39F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BBDC2"/>
  <w15:chartTrackingRefBased/>
  <w15:docId w15:val="{393C4875-FE21-4DB5-B96C-EFA6A1CD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558"/>
    <w:pPr>
      <w:spacing w:after="0" w:line="240" w:lineRule="auto"/>
      <w:jc w:val="both"/>
    </w:pPr>
    <w:rPr>
      <w:rFonts w:ascii="Times New Roman" w:eastAsia="MS Mincho" w:hAnsi="Times New Roman" w:cs="Times New Roman"/>
      <w:szCs w:val="24"/>
      <w:lang w:val="en-GB" w:eastAsia="en-US"/>
    </w:rPr>
  </w:style>
  <w:style w:type="paragraph" w:styleId="Heading1">
    <w:name w:val="heading 1"/>
    <w:basedOn w:val="Normal"/>
    <w:next w:val="Normal"/>
    <w:link w:val="Heading1Char"/>
    <w:qFormat/>
    <w:rsid w:val="001F7558"/>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F7558"/>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F7558"/>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AD049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3D59C8"/>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rsid w:val="001F75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7558"/>
  </w:style>
  <w:style w:type="paragraph" w:styleId="ListParagraph">
    <w:name w:val="List Paragraph"/>
    <w:basedOn w:val="Normal"/>
    <w:uiPriority w:val="34"/>
    <w:qFormat/>
    <w:rsid w:val="001F7558"/>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nhideWhenUsed/>
    <w:rsid w:val="001F7558"/>
    <w:rPr>
      <w:color w:val="0000FF"/>
      <w:u w:val="single"/>
    </w:rPr>
  </w:style>
  <w:style w:type="character" w:styleId="FootnoteReference">
    <w:name w:val="footnote reference"/>
    <w:basedOn w:val="DefaultParagraphFont"/>
    <w:rsid w:val="001F7558"/>
    <w:rPr>
      <w:vertAlign w:val="superscript"/>
    </w:rPr>
  </w:style>
  <w:style w:type="character" w:customStyle="1" w:styleId="FootnoteTextChar">
    <w:name w:val="Footnote Text Char"/>
    <w:basedOn w:val="DefaultParagraphFont"/>
    <w:link w:val="FootnoteText"/>
    <w:semiHidden/>
    <w:rsid w:val="001F7558"/>
    <w:rPr>
      <w:rFonts w:ascii="Times New Roman" w:eastAsia="MS Mincho" w:hAnsi="Times New Roman" w:cs="Times New Roman"/>
      <w:sz w:val="20"/>
      <w:szCs w:val="24"/>
      <w:lang w:val="en-GB" w:eastAsia="en-US"/>
    </w:rPr>
  </w:style>
  <w:style w:type="paragraph" w:styleId="FootnoteText">
    <w:name w:val="footnote text"/>
    <w:basedOn w:val="Normal"/>
    <w:link w:val="FootnoteTextChar"/>
    <w:semiHidden/>
    <w:rsid w:val="001F7558"/>
    <w:pPr>
      <w:spacing w:before="60"/>
    </w:pPr>
    <w:rPr>
      <w:sz w:val="20"/>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rsid w:val="001F7558"/>
    <w:rPr>
      <w:rFonts w:ascii="Tahoma" w:hAnsi="Tahoma" w:cs="Tahoma"/>
      <w:sz w:val="16"/>
      <w:szCs w:val="16"/>
    </w:rPr>
  </w:style>
  <w:style w:type="character" w:customStyle="1" w:styleId="BalloonTextChar">
    <w:name w:val="Balloon Text Char"/>
    <w:basedOn w:val="DefaultParagraphFont"/>
    <w:link w:val="BalloonText"/>
    <w:rsid w:val="001F7558"/>
    <w:rPr>
      <w:rFonts w:ascii="Tahoma" w:eastAsia="MS Mincho" w:hAnsi="Tahoma" w:cs="Tahoma"/>
      <w:sz w:val="16"/>
      <w:szCs w:val="16"/>
      <w:lang w:val="en-GB" w:eastAsia="en-US"/>
    </w:rPr>
  </w:style>
  <w:style w:type="character" w:styleId="FollowedHyperlink">
    <w:name w:val="FollowedHyperlink"/>
    <w:basedOn w:val="DefaultParagraphFont"/>
    <w:semiHidden/>
    <w:unhideWhenUsed/>
    <w:rsid w:val="001F7558"/>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136BAC"/>
    <w:rPr>
      <w:b/>
      <w:bCs/>
    </w:rPr>
  </w:style>
  <w:style w:type="character" w:customStyle="1" w:styleId="CommentSubjectChar">
    <w:name w:val="Comment Subject Char"/>
    <w:basedOn w:val="CommentTextChar"/>
    <w:link w:val="CommentSubject"/>
    <w:uiPriority w:val="99"/>
    <w:semiHidden/>
    <w:rsid w:val="00136BAC"/>
    <w:rPr>
      <w:b/>
      <w:bCs/>
      <w:sz w:val="20"/>
      <w:szCs w:val="20"/>
    </w:rPr>
  </w:style>
  <w:style w:type="paragraph" w:styleId="Header">
    <w:name w:val="header"/>
    <w:basedOn w:val="Normal"/>
    <w:link w:val="HeaderChar"/>
    <w:rsid w:val="001F7558"/>
    <w:pPr>
      <w:tabs>
        <w:tab w:val="center" w:pos="4680"/>
        <w:tab w:val="right" w:pos="9360"/>
      </w:tabs>
    </w:pPr>
  </w:style>
  <w:style w:type="character" w:customStyle="1" w:styleId="HeaderChar">
    <w:name w:val="Header Char"/>
    <w:basedOn w:val="DefaultParagraphFont"/>
    <w:link w:val="Header"/>
    <w:rsid w:val="001F7558"/>
    <w:rPr>
      <w:rFonts w:ascii="Times New Roman" w:eastAsia="MS Mincho" w:hAnsi="Times New Roman" w:cs="Times New Roman"/>
      <w:szCs w:val="24"/>
      <w:lang w:val="en-GB" w:eastAsia="en-US"/>
    </w:rPr>
  </w:style>
  <w:style w:type="paragraph" w:styleId="Footer">
    <w:name w:val="footer"/>
    <w:basedOn w:val="Normal"/>
    <w:link w:val="FooterChar"/>
    <w:rsid w:val="001F7558"/>
    <w:pPr>
      <w:tabs>
        <w:tab w:val="center" w:pos="4680"/>
        <w:tab w:val="right" w:pos="9360"/>
      </w:tabs>
    </w:pPr>
  </w:style>
  <w:style w:type="character" w:customStyle="1" w:styleId="FooterChar">
    <w:name w:val="Footer Char"/>
    <w:basedOn w:val="DefaultParagraphFont"/>
    <w:link w:val="Footer"/>
    <w:rsid w:val="001F7558"/>
    <w:rPr>
      <w:rFonts w:ascii="Times New Roman" w:eastAsia="MS Mincho" w:hAnsi="Times New Roman" w:cs="Times New Roman"/>
      <w:szCs w:val="24"/>
      <w:lang w:val="en-GB" w:eastAsia="en-US"/>
    </w:rPr>
  </w:style>
  <w:style w:type="paragraph" w:styleId="Revision">
    <w:name w:val="Revision"/>
    <w:hidden/>
    <w:uiPriority w:val="99"/>
    <w:semiHidden/>
    <w:rsid w:val="00AB791F"/>
    <w:pPr>
      <w:spacing w:after="0" w:line="240" w:lineRule="auto"/>
    </w:pPr>
  </w:style>
  <w:style w:type="character" w:customStyle="1" w:styleId="Heading1Char">
    <w:name w:val="Heading 1 Char"/>
    <w:basedOn w:val="DefaultParagraphFont"/>
    <w:link w:val="Heading1"/>
    <w:rsid w:val="001F7558"/>
    <w:rPr>
      <w:rFonts w:ascii="Times New Roman" w:eastAsia="MS Mincho" w:hAnsi="Times New Roman" w:cs="Times New Roman"/>
      <w:b/>
      <w:bCs/>
      <w:szCs w:val="24"/>
      <w:lang w:val="en-GB" w:eastAsia="en-US"/>
    </w:rPr>
  </w:style>
  <w:style w:type="character" w:customStyle="1" w:styleId="Heading2Char">
    <w:name w:val="Heading 2 Char"/>
    <w:basedOn w:val="DefaultParagraphFont"/>
    <w:link w:val="Heading2"/>
    <w:rsid w:val="001F7558"/>
    <w:rPr>
      <w:rFonts w:ascii="Calibri" w:eastAsia="MS Mincho" w:hAnsi="Calibri" w:cs="Times New Roman"/>
      <w:b/>
      <w:bCs/>
      <w:i/>
      <w:iCs/>
      <w:sz w:val="28"/>
      <w:szCs w:val="28"/>
      <w:lang w:val="en-GB" w:eastAsia="en-US"/>
    </w:rPr>
  </w:style>
  <w:style w:type="character" w:customStyle="1" w:styleId="Heading3Char">
    <w:name w:val="Heading 3 Char"/>
    <w:basedOn w:val="DefaultParagraphFont"/>
    <w:link w:val="Heading3"/>
    <w:rsid w:val="001F7558"/>
    <w:rPr>
      <w:rFonts w:ascii="Calibri" w:eastAsia="MS Mincho" w:hAnsi="Calibri" w:cs="Times New Roman"/>
      <w:b/>
      <w:bCs/>
      <w:sz w:val="26"/>
      <w:szCs w:val="26"/>
      <w:lang w:val="en-GB" w:eastAsia="en-US"/>
    </w:rPr>
  </w:style>
  <w:style w:type="paragraph" w:customStyle="1" w:styleId="Style">
    <w:name w:val="Style"/>
    <w:basedOn w:val="Footer"/>
    <w:autoRedefine/>
    <w:qFormat/>
    <w:rsid w:val="001F7558"/>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1F7558"/>
    <w:rPr>
      <w:rFonts w:ascii="Arial" w:hAnsi="Arial"/>
      <w:b/>
      <w:sz w:val="18"/>
    </w:rPr>
  </w:style>
  <w:style w:type="paragraph" w:customStyle="1" w:styleId="IPPArialFootnote">
    <w:name w:val="IPP Arial Footnote"/>
    <w:basedOn w:val="IPPArialTable"/>
    <w:qFormat/>
    <w:rsid w:val="001F7558"/>
    <w:pPr>
      <w:tabs>
        <w:tab w:val="left" w:pos="28"/>
      </w:tabs>
      <w:ind w:left="284" w:hanging="284"/>
    </w:pPr>
    <w:rPr>
      <w:sz w:val="16"/>
    </w:rPr>
  </w:style>
  <w:style w:type="paragraph" w:customStyle="1" w:styleId="IPPContentsHead">
    <w:name w:val="IPP ContentsHead"/>
    <w:basedOn w:val="IPPSubhead"/>
    <w:next w:val="IPPNormal"/>
    <w:qFormat/>
    <w:rsid w:val="001F7558"/>
    <w:pPr>
      <w:spacing w:after="240"/>
    </w:pPr>
    <w:rPr>
      <w:sz w:val="24"/>
    </w:rPr>
  </w:style>
  <w:style w:type="table" w:styleId="TableGrid">
    <w:name w:val="Table Grid"/>
    <w:basedOn w:val="TableNormal"/>
    <w:rsid w:val="001F7558"/>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1F7558"/>
    <w:pPr>
      <w:numPr>
        <w:numId w:val="4"/>
      </w:numPr>
      <w:tabs>
        <w:tab w:val="left" w:pos="1134"/>
      </w:tabs>
      <w:spacing w:after="60"/>
      <w:ind w:left="1134" w:hanging="567"/>
    </w:pPr>
  </w:style>
  <w:style w:type="paragraph" w:customStyle="1" w:styleId="IPPQuote">
    <w:name w:val="IPP Quote"/>
    <w:basedOn w:val="IPPNormal"/>
    <w:qFormat/>
    <w:rsid w:val="001F7558"/>
    <w:pPr>
      <w:ind w:left="851" w:right="851"/>
    </w:pPr>
    <w:rPr>
      <w:sz w:val="18"/>
    </w:rPr>
  </w:style>
  <w:style w:type="paragraph" w:customStyle="1" w:styleId="IPPNormal">
    <w:name w:val="IPP Normal"/>
    <w:basedOn w:val="Normal"/>
    <w:link w:val="IPPNormalChar"/>
    <w:qFormat/>
    <w:rsid w:val="001F7558"/>
    <w:pPr>
      <w:spacing w:after="180"/>
    </w:pPr>
    <w:rPr>
      <w:rFonts w:eastAsia="Times"/>
    </w:rPr>
  </w:style>
  <w:style w:type="paragraph" w:customStyle="1" w:styleId="IPPIndentClose">
    <w:name w:val="IPP Indent Close"/>
    <w:basedOn w:val="IPPNormal"/>
    <w:qFormat/>
    <w:rsid w:val="001F7558"/>
    <w:pPr>
      <w:tabs>
        <w:tab w:val="left" w:pos="2835"/>
      </w:tabs>
      <w:spacing w:after="60"/>
      <w:ind w:left="567"/>
    </w:pPr>
  </w:style>
  <w:style w:type="paragraph" w:customStyle="1" w:styleId="IPPIndent">
    <w:name w:val="IPP Indent"/>
    <w:basedOn w:val="IPPIndentClose"/>
    <w:qFormat/>
    <w:rsid w:val="001F7558"/>
    <w:pPr>
      <w:spacing w:after="180"/>
    </w:pPr>
  </w:style>
  <w:style w:type="paragraph" w:customStyle="1" w:styleId="IPPFootnote">
    <w:name w:val="IPP Footnote"/>
    <w:basedOn w:val="IPPArialFootnote"/>
    <w:qFormat/>
    <w:rsid w:val="001F7558"/>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F7558"/>
    <w:pPr>
      <w:keepNext/>
      <w:tabs>
        <w:tab w:val="left" w:pos="567"/>
      </w:tabs>
      <w:spacing w:before="120" w:after="120"/>
      <w:ind w:left="567" w:hanging="567"/>
    </w:pPr>
    <w:rPr>
      <w:b/>
      <w:i/>
    </w:rPr>
  </w:style>
  <w:style w:type="character" w:customStyle="1" w:styleId="IPPnormalitalics">
    <w:name w:val="IPP normal italics"/>
    <w:basedOn w:val="DefaultParagraphFont"/>
    <w:rsid w:val="001F7558"/>
    <w:rPr>
      <w:rFonts w:ascii="Times New Roman" w:hAnsi="Times New Roman"/>
      <w:i/>
      <w:sz w:val="22"/>
      <w:lang w:val="en-US"/>
    </w:rPr>
  </w:style>
  <w:style w:type="character" w:customStyle="1" w:styleId="IPPNormalbold">
    <w:name w:val="IPP Normal bold"/>
    <w:basedOn w:val="PlainTextChar"/>
    <w:rsid w:val="001F7558"/>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1F7558"/>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F7558"/>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F7558"/>
    <w:pPr>
      <w:keepNext/>
      <w:ind w:left="567" w:hanging="567"/>
      <w:jc w:val="left"/>
    </w:pPr>
    <w:rPr>
      <w:b/>
      <w:bCs/>
      <w:iCs/>
      <w:szCs w:val="22"/>
    </w:rPr>
  </w:style>
  <w:style w:type="character" w:customStyle="1" w:styleId="IPPNormalunderlined">
    <w:name w:val="IPP Normal underlined"/>
    <w:basedOn w:val="DefaultParagraphFont"/>
    <w:rsid w:val="001F7558"/>
    <w:rPr>
      <w:rFonts w:ascii="Times New Roman" w:hAnsi="Times New Roman"/>
      <w:sz w:val="22"/>
      <w:u w:val="single"/>
      <w:lang w:val="en-US"/>
    </w:rPr>
  </w:style>
  <w:style w:type="paragraph" w:customStyle="1" w:styleId="IPPBullet1">
    <w:name w:val="IPP Bullet1"/>
    <w:basedOn w:val="IPPBullet1Last"/>
    <w:qFormat/>
    <w:rsid w:val="001F7558"/>
    <w:pPr>
      <w:numPr>
        <w:numId w:val="8"/>
      </w:numPr>
      <w:spacing w:after="60"/>
      <w:ind w:left="567" w:hanging="567"/>
    </w:pPr>
    <w:rPr>
      <w:lang w:val="en-US"/>
    </w:rPr>
  </w:style>
  <w:style w:type="paragraph" w:customStyle="1" w:styleId="IPPBullet1Last">
    <w:name w:val="IPP Bullet1Last"/>
    <w:basedOn w:val="IPPNormal"/>
    <w:next w:val="IPPNormal"/>
    <w:qFormat/>
    <w:rsid w:val="001F7558"/>
    <w:pPr>
      <w:numPr>
        <w:numId w:val="9"/>
      </w:numPr>
    </w:pPr>
  </w:style>
  <w:style w:type="character" w:customStyle="1" w:styleId="IPPNormalstrikethrough">
    <w:name w:val="IPP Normal strikethrough"/>
    <w:rsid w:val="001F7558"/>
    <w:rPr>
      <w:rFonts w:ascii="Times New Roman" w:hAnsi="Times New Roman"/>
      <w:strike/>
      <w:dstrike w:val="0"/>
      <w:sz w:val="22"/>
    </w:rPr>
  </w:style>
  <w:style w:type="paragraph" w:customStyle="1" w:styleId="IPPTitle16pt">
    <w:name w:val="IPP Title16pt"/>
    <w:basedOn w:val="Normal"/>
    <w:qFormat/>
    <w:rsid w:val="001F7558"/>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F7558"/>
    <w:pPr>
      <w:spacing w:after="360"/>
      <w:jc w:val="center"/>
    </w:pPr>
    <w:rPr>
      <w:rFonts w:ascii="Arial" w:hAnsi="Arial" w:cs="Arial"/>
      <w:b/>
      <w:bCs/>
      <w:sz w:val="36"/>
      <w:szCs w:val="36"/>
    </w:rPr>
  </w:style>
  <w:style w:type="paragraph" w:customStyle="1" w:styleId="IPPHeader">
    <w:name w:val="IPP Header"/>
    <w:basedOn w:val="Normal"/>
    <w:qFormat/>
    <w:rsid w:val="001F7558"/>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F7558"/>
    <w:pPr>
      <w:keepNext/>
      <w:tabs>
        <w:tab w:val="left" w:pos="567"/>
      </w:tabs>
      <w:spacing w:before="120"/>
      <w:jc w:val="left"/>
      <w:outlineLvl w:val="1"/>
    </w:pPr>
    <w:rPr>
      <w:b/>
      <w:sz w:val="24"/>
    </w:rPr>
  </w:style>
  <w:style w:type="numbering" w:customStyle="1" w:styleId="IPPParagraphnumberedlist">
    <w:name w:val="IPP Paragraph numbered list"/>
    <w:rsid w:val="001F7558"/>
    <w:pPr>
      <w:numPr>
        <w:numId w:val="3"/>
      </w:numPr>
    </w:pPr>
  </w:style>
  <w:style w:type="paragraph" w:customStyle="1" w:styleId="IPPNormalCloseSpace">
    <w:name w:val="IPP NormalCloseSpace"/>
    <w:basedOn w:val="Normal"/>
    <w:qFormat/>
    <w:rsid w:val="001F7558"/>
    <w:pPr>
      <w:keepNext/>
      <w:spacing w:after="60"/>
    </w:pPr>
  </w:style>
  <w:style w:type="paragraph" w:customStyle="1" w:styleId="IPPHeading2">
    <w:name w:val="IPP Heading2"/>
    <w:basedOn w:val="IPPNormal"/>
    <w:next w:val="IPPNormal"/>
    <w:qFormat/>
    <w:rsid w:val="001F7558"/>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F7558"/>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F7558"/>
    <w:pPr>
      <w:tabs>
        <w:tab w:val="right" w:leader="dot" w:pos="9072"/>
      </w:tabs>
      <w:spacing w:before="240"/>
      <w:ind w:left="567" w:hanging="567"/>
    </w:pPr>
  </w:style>
  <w:style w:type="paragraph" w:styleId="TOC2">
    <w:name w:val="toc 2"/>
    <w:basedOn w:val="TOC1"/>
    <w:next w:val="Normal"/>
    <w:autoRedefine/>
    <w:uiPriority w:val="39"/>
    <w:rsid w:val="001F7558"/>
    <w:pPr>
      <w:keepNext w:val="0"/>
      <w:tabs>
        <w:tab w:val="left" w:pos="425"/>
      </w:tabs>
      <w:spacing w:before="120" w:after="0"/>
      <w:ind w:left="425" w:right="284" w:hanging="425"/>
    </w:pPr>
  </w:style>
  <w:style w:type="paragraph" w:styleId="TOC3">
    <w:name w:val="toc 3"/>
    <w:basedOn w:val="TOC2"/>
    <w:next w:val="Normal"/>
    <w:autoRedefine/>
    <w:uiPriority w:val="39"/>
    <w:rsid w:val="001F7558"/>
    <w:pPr>
      <w:tabs>
        <w:tab w:val="left" w:pos="1276"/>
      </w:tabs>
      <w:spacing w:before="60"/>
      <w:ind w:left="1276" w:hanging="851"/>
    </w:pPr>
    <w:rPr>
      <w:rFonts w:eastAsia="Times"/>
    </w:rPr>
  </w:style>
  <w:style w:type="paragraph" w:styleId="TOC4">
    <w:name w:val="toc 4"/>
    <w:basedOn w:val="Normal"/>
    <w:next w:val="Normal"/>
    <w:autoRedefine/>
    <w:uiPriority w:val="39"/>
    <w:rsid w:val="001F7558"/>
    <w:pPr>
      <w:spacing w:after="120"/>
      <w:ind w:left="660"/>
    </w:pPr>
    <w:rPr>
      <w:rFonts w:eastAsia="Times"/>
      <w:lang w:val="en-AU"/>
    </w:rPr>
  </w:style>
  <w:style w:type="paragraph" w:styleId="TOC5">
    <w:name w:val="toc 5"/>
    <w:basedOn w:val="Normal"/>
    <w:next w:val="Normal"/>
    <w:autoRedefine/>
    <w:uiPriority w:val="39"/>
    <w:rsid w:val="001F7558"/>
    <w:pPr>
      <w:spacing w:after="120"/>
      <w:ind w:left="880"/>
    </w:pPr>
    <w:rPr>
      <w:rFonts w:eastAsia="Times"/>
      <w:lang w:val="en-AU"/>
    </w:rPr>
  </w:style>
  <w:style w:type="paragraph" w:styleId="TOC6">
    <w:name w:val="toc 6"/>
    <w:basedOn w:val="Normal"/>
    <w:next w:val="Normal"/>
    <w:autoRedefine/>
    <w:uiPriority w:val="39"/>
    <w:rsid w:val="001F7558"/>
    <w:pPr>
      <w:spacing w:after="120"/>
      <w:ind w:left="1100"/>
    </w:pPr>
    <w:rPr>
      <w:rFonts w:eastAsia="Times"/>
      <w:lang w:val="en-AU"/>
    </w:rPr>
  </w:style>
  <w:style w:type="paragraph" w:styleId="TOC7">
    <w:name w:val="toc 7"/>
    <w:basedOn w:val="Normal"/>
    <w:next w:val="Normal"/>
    <w:autoRedefine/>
    <w:uiPriority w:val="39"/>
    <w:rsid w:val="001F7558"/>
    <w:pPr>
      <w:spacing w:after="120"/>
      <w:ind w:left="1320"/>
    </w:pPr>
    <w:rPr>
      <w:rFonts w:eastAsia="Times"/>
      <w:lang w:val="en-AU"/>
    </w:rPr>
  </w:style>
  <w:style w:type="paragraph" w:styleId="TOC8">
    <w:name w:val="toc 8"/>
    <w:basedOn w:val="Normal"/>
    <w:next w:val="Normal"/>
    <w:autoRedefine/>
    <w:uiPriority w:val="39"/>
    <w:rsid w:val="001F7558"/>
    <w:pPr>
      <w:spacing w:after="120"/>
      <w:ind w:left="1540"/>
    </w:pPr>
    <w:rPr>
      <w:rFonts w:eastAsia="Times"/>
      <w:lang w:val="en-AU"/>
    </w:rPr>
  </w:style>
  <w:style w:type="paragraph" w:styleId="TOC9">
    <w:name w:val="toc 9"/>
    <w:basedOn w:val="Normal"/>
    <w:next w:val="Normal"/>
    <w:autoRedefine/>
    <w:uiPriority w:val="39"/>
    <w:rsid w:val="001F7558"/>
    <w:pPr>
      <w:spacing w:after="120"/>
      <w:ind w:left="1760"/>
    </w:pPr>
    <w:rPr>
      <w:rFonts w:eastAsia="Times"/>
      <w:lang w:val="en-AU"/>
    </w:rPr>
  </w:style>
  <w:style w:type="paragraph" w:customStyle="1" w:styleId="IPPReferences">
    <w:name w:val="IPP References"/>
    <w:basedOn w:val="IPPNormal"/>
    <w:qFormat/>
    <w:rsid w:val="001F7558"/>
    <w:pPr>
      <w:spacing w:after="60"/>
      <w:ind w:left="567" w:hanging="567"/>
    </w:pPr>
  </w:style>
  <w:style w:type="paragraph" w:customStyle="1" w:styleId="IPPArial">
    <w:name w:val="IPP Arial"/>
    <w:basedOn w:val="IPPNormal"/>
    <w:qFormat/>
    <w:rsid w:val="001F7558"/>
    <w:pPr>
      <w:spacing w:after="0"/>
    </w:pPr>
    <w:rPr>
      <w:rFonts w:ascii="Arial" w:hAnsi="Arial"/>
      <w:sz w:val="18"/>
    </w:rPr>
  </w:style>
  <w:style w:type="paragraph" w:customStyle="1" w:styleId="IPPArialTable">
    <w:name w:val="IPP Arial Table"/>
    <w:basedOn w:val="IPPArial"/>
    <w:qFormat/>
    <w:rsid w:val="001F7558"/>
    <w:pPr>
      <w:spacing w:before="60" w:after="60"/>
      <w:jc w:val="left"/>
    </w:pPr>
  </w:style>
  <w:style w:type="paragraph" w:customStyle="1" w:styleId="IPPHeaderlandscape">
    <w:name w:val="IPP Header landscape"/>
    <w:basedOn w:val="IPPHeader"/>
    <w:qFormat/>
    <w:rsid w:val="001F7558"/>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F7558"/>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F7558"/>
    <w:rPr>
      <w:rFonts w:ascii="Courier" w:eastAsia="Times" w:hAnsi="Courier" w:cs="Times New Roman"/>
      <w:sz w:val="21"/>
      <w:szCs w:val="21"/>
      <w:lang w:val="en-AU" w:eastAsia="en-US"/>
    </w:rPr>
  </w:style>
  <w:style w:type="paragraph" w:customStyle="1" w:styleId="IPPLetterList">
    <w:name w:val="IPP LetterList"/>
    <w:basedOn w:val="IPPBullet2"/>
    <w:qFormat/>
    <w:rsid w:val="001F7558"/>
    <w:pPr>
      <w:numPr>
        <w:numId w:val="1"/>
      </w:numPr>
      <w:jc w:val="left"/>
    </w:pPr>
  </w:style>
  <w:style w:type="paragraph" w:customStyle="1" w:styleId="IPPLetterListIndent">
    <w:name w:val="IPP LetterList Indent"/>
    <w:basedOn w:val="IPPLetterList"/>
    <w:qFormat/>
    <w:rsid w:val="001F7558"/>
    <w:pPr>
      <w:numPr>
        <w:numId w:val="2"/>
      </w:numPr>
    </w:pPr>
  </w:style>
  <w:style w:type="paragraph" w:customStyle="1" w:styleId="IPPFooterLandscape">
    <w:name w:val="IPP Footer Landscape"/>
    <w:basedOn w:val="IPPHeaderlandscape"/>
    <w:qFormat/>
    <w:rsid w:val="001F7558"/>
    <w:pPr>
      <w:pBdr>
        <w:top w:val="single" w:sz="4" w:space="1" w:color="auto"/>
        <w:bottom w:val="none" w:sz="0" w:space="0" w:color="auto"/>
      </w:pBdr>
      <w:jc w:val="right"/>
    </w:pPr>
    <w:rPr>
      <w:b/>
    </w:rPr>
  </w:style>
  <w:style w:type="paragraph" w:customStyle="1" w:styleId="IPPSubheadSpace">
    <w:name w:val="IPP Subhead Space"/>
    <w:basedOn w:val="IPPSubhead"/>
    <w:qFormat/>
    <w:rsid w:val="001F7558"/>
    <w:pPr>
      <w:tabs>
        <w:tab w:val="left" w:pos="567"/>
      </w:tabs>
      <w:spacing w:before="60" w:after="60"/>
    </w:pPr>
  </w:style>
  <w:style w:type="paragraph" w:customStyle="1" w:styleId="IPPSubheadSpaceAfter">
    <w:name w:val="IPP Subhead SpaceAfter"/>
    <w:basedOn w:val="IPPSubhead"/>
    <w:qFormat/>
    <w:rsid w:val="001F7558"/>
    <w:pPr>
      <w:spacing w:after="60"/>
    </w:pPr>
  </w:style>
  <w:style w:type="paragraph" w:customStyle="1" w:styleId="IPPHdg1Num">
    <w:name w:val="IPP Hdg1Num"/>
    <w:basedOn w:val="IPPHeading1"/>
    <w:next w:val="IPPNormal"/>
    <w:qFormat/>
    <w:rsid w:val="001F7558"/>
    <w:pPr>
      <w:numPr>
        <w:numId w:val="5"/>
      </w:numPr>
    </w:pPr>
  </w:style>
  <w:style w:type="paragraph" w:customStyle="1" w:styleId="IPPHdg2Num">
    <w:name w:val="IPP Hdg2Num"/>
    <w:basedOn w:val="IPPHeading2"/>
    <w:next w:val="IPPNormal"/>
    <w:qFormat/>
    <w:rsid w:val="001F7558"/>
    <w:pPr>
      <w:numPr>
        <w:ilvl w:val="1"/>
        <w:numId w:val="6"/>
      </w:numPr>
    </w:pPr>
  </w:style>
  <w:style w:type="paragraph" w:customStyle="1" w:styleId="IPPNumberedList">
    <w:name w:val="IPP NumberedList"/>
    <w:basedOn w:val="IPPBullet1"/>
    <w:qFormat/>
    <w:rsid w:val="001F7558"/>
    <w:pPr>
      <w:numPr>
        <w:numId w:val="7"/>
      </w:numPr>
    </w:pPr>
  </w:style>
  <w:style w:type="character" w:styleId="Strong">
    <w:name w:val="Strong"/>
    <w:basedOn w:val="DefaultParagraphFont"/>
    <w:qFormat/>
    <w:rsid w:val="001F7558"/>
    <w:rPr>
      <w:b/>
      <w:bCs/>
    </w:rPr>
  </w:style>
  <w:style w:type="paragraph" w:customStyle="1" w:styleId="IPPParagraphnumbering">
    <w:name w:val="IPP Paragraph numbering"/>
    <w:basedOn w:val="IPPNormal"/>
    <w:qFormat/>
    <w:rsid w:val="001F7558"/>
    <w:pPr>
      <w:numPr>
        <w:numId w:val="10"/>
      </w:numPr>
    </w:pPr>
    <w:rPr>
      <w:lang w:val="en-US"/>
    </w:rPr>
  </w:style>
  <w:style w:type="paragraph" w:customStyle="1" w:styleId="IPPParagraphnumberingclose">
    <w:name w:val="IPP Paragraph numbering close"/>
    <w:basedOn w:val="IPPParagraphnumbering"/>
    <w:qFormat/>
    <w:rsid w:val="001F7558"/>
    <w:pPr>
      <w:keepNext/>
      <w:spacing w:after="60"/>
    </w:pPr>
  </w:style>
  <w:style w:type="paragraph" w:customStyle="1" w:styleId="IPPNumberedListLast">
    <w:name w:val="IPP NumberedListLast"/>
    <w:basedOn w:val="IPPNumberedList"/>
    <w:qFormat/>
    <w:rsid w:val="001F7558"/>
    <w:pPr>
      <w:spacing w:after="180"/>
    </w:pPr>
  </w:style>
  <w:style w:type="paragraph" w:customStyle="1" w:styleId="IPPPargraphnumbering">
    <w:name w:val="IPP Pargraph numbering"/>
    <w:basedOn w:val="IPPNormal"/>
    <w:qFormat/>
    <w:rsid w:val="00C06919"/>
    <w:pPr>
      <w:tabs>
        <w:tab w:val="num" w:pos="360"/>
      </w:tabs>
    </w:pPr>
  </w:style>
  <w:style w:type="character" w:customStyle="1" w:styleId="IPPNormalChar">
    <w:name w:val="IPP Normal Char"/>
    <w:link w:val="IPPNormal"/>
    <w:rsid w:val="00C06919"/>
    <w:rPr>
      <w:rFonts w:ascii="Times New Roman" w:eastAsia="Times" w:hAnsi="Times New Roman" w:cs="Times New Roman"/>
      <w:szCs w:val="24"/>
      <w:lang w:val="en-GB" w:eastAsia="en-US"/>
    </w:rPr>
  </w:style>
  <w:style w:type="character" w:customStyle="1" w:styleId="normaltextrun">
    <w:name w:val="normaltextrun"/>
    <w:basedOn w:val="DefaultParagraphFont"/>
    <w:rsid w:val="00E0675C"/>
  </w:style>
  <w:style w:type="character" w:customStyle="1" w:styleId="eop">
    <w:name w:val="eop"/>
    <w:basedOn w:val="DefaultParagraphFont"/>
    <w:rsid w:val="00E0675C"/>
  </w:style>
  <w:style w:type="paragraph" w:customStyle="1" w:styleId="paragraph">
    <w:name w:val="paragraph"/>
    <w:basedOn w:val="Normal"/>
    <w:rsid w:val="00C5398E"/>
    <w:pPr>
      <w:spacing w:before="100" w:beforeAutospacing="1" w:after="100" w:afterAutospacing="1"/>
    </w:pPr>
    <w:rPr>
      <w:rFonts w:eastAsia="Times New Roman"/>
    </w:rPr>
  </w:style>
  <w:style w:type="character" w:customStyle="1" w:styleId="scxw151509524">
    <w:name w:val="scxw151509524"/>
    <w:basedOn w:val="DefaultParagraphFont"/>
    <w:rsid w:val="00C5398E"/>
  </w:style>
  <w:style w:type="character" w:customStyle="1" w:styleId="Heading5Char">
    <w:name w:val="Heading 5 Char"/>
    <w:basedOn w:val="DefaultParagraphFont"/>
    <w:link w:val="Heading5"/>
    <w:uiPriority w:val="9"/>
    <w:semiHidden/>
    <w:rsid w:val="003D59C8"/>
    <w:rPr>
      <w:rFonts w:asciiTheme="majorHAnsi" w:eastAsiaTheme="majorEastAsia" w:hAnsiTheme="majorHAnsi" w:cstheme="majorBidi"/>
      <w:color w:val="2E74B5" w:themeColor="accent1" w:themeShade="BF"/>
      <w:szCs w:val="24"/>
      <w:lang w:val="en-GB" w:eastAsia="zh-CN"/>
    </w:rPr>
  </w:style>
  <w:style w:type="paragraph" w:styleId="NormalWeb">
    <w:name w:val="Normal (Web)"/>
    <w:basedOn w:val="Normal"/>
    <w:uiPriority w:val="99"/>
    <w:unhideWhenUsed/>
    <w:rsid w:val="00F81181"/>
    <w:pPr>
      <w:spacing w:before="100" w:beforeAutospacing="1" w:after="100" w:afterAutospacing="1"/>
    </w:pPr>
    <w:rPr>
      <w:rFonts w:eastAsia="Times New Roman"/>
      <w:lang w:val="en-JM" w:eastAsia="en-JM"/>
    </w:rPr>
  </w:style>
  <w:style w:type="table" w:customStyle="1" w:styleId="TableGrid1">
    <w:name w:val="Table Grid1"/>
    <w:basedOn w:val="TableNormal"/>
    <w:next w:val="TableGrid"/>
    <w:uiPriority w:val="39"/>
    <w:rsid w:val="00AC7945"/>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05979"/>
    <w:rPr>
      <w:color w:val="605E5C"/>
      <w:shd w:val="clear" w:color="auto" w:fill="E1DFDD"/>
    </w:rPr>
  </w:style>
  <w:style w:type="character" w:customStyle="1" w:styleId="superscript">
    <w:name w:val="superscript"/>
    <w:basedOn w:val="DefaultParagraphFont"/>
    <w:rsid w:val="006D3384"/>
  </w:style>
  <w:style w:type="character" w:customStyle="1" w:styleId="cf01">
    <w:name w:val="cf01"/>
    <w:basedOn w:val="DefaultParagraphFont"/>
    <w:rsid w:val="00C06919"/>
    <w:rPr>
      <w:rFonts w:ascii="Segoe UI" w:hAnsi="Segoe UI" w:cs="Segoe UI" w:hint="default"/>
      <w:color w:val="161719"/>
      <w:sz w:val="18"/>
      <w:szCs w:val="18"/>
      <w:shd w:val="clear" w:color="auto" w:fill="FFFFFF"/>
    </w:rPr>
  </w:style>
  <w:style w:type="character" w:styleId="Mention">
    <w:name w:val="Mention"/>
    <w:basedOn w:val="DefaultParagraphFont"/>
    <w:uiPriority w:val="99"/>
    <w:unhideWhenUsed/>
    <w:rsid w:val="0016490B"/>
    <w:rPr>
      <w:color w:val="2B579A"/>
      <w:shd w:val="clear" w:color="auto" w:fill="E6E6E6"/>
    </w:rPr>
  </w:style>
  <w:style w:type="table" w:customStyle="1" w:styleId="TableGrid2">
    <w:name w:val="Table Grid2"/>
    <w:basedOn w:val="TableNormal"/>
    <w:next w:val="TableGrid"/>
    <w:uiPriority w:val="39"/>
    <w:rsid w:val="00564369"/>
    <w:pPr>
      <w:spacing w:after="0" w:line="240" w:lineRule="auto"/>
    </w:pPr>
    <w:rPr>
      <w:kern w:val="2"/>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65B14"/>
    <w:pPr>
      <w:spacing w:after="0" w:line="240" w:lineRule="auto"/>
    </w:pPr>
    <w:rPr>
      <w:rFonts w:eastAsiaTheme="minorHAnsi"/>
      <w:lang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EndnoteText">
    <w:name w:val="endnote text"/>
    <w:basedOn w:val="Normal"/>
    <w:link w:val="EndnoteTextChar"/>
    <w:uiPriority w:val="99"/>
    <w:semiHidden/>
    <w:unhideWhenUsed/>
    <w:rsid w:val="00940E16"/>
    <w:rPr>
      <w:sz w:val="20"/>
      <w:szCs w:val="20"/>
    </w:rPr>
  </w:style>
  <w:style w:type="character" w:customStyle="1" w:styleId="EndnoteTextChar">
    <w:name w:val="Endnote Text Char"/>
    <w:basedOn w:val="DefaultParagraphFont"/>
    <w:link w:val="EndnoteText"/>
    <w:uiPriority w:val="99"/>
    <w:semiHidden/>
    <w:rsid w:val="00940E16"/>
    <w:rPr>
      <w:rFonts w:ascii="Times New Roman" w:eastAsia="MS Mincho" w:hAnsi="Times New Roman"/>
      <w:sz w:val="20"/>
      <w:szCs w:val="20"/>
      <w:lang w:val="en-GB" w:eastAsia="zh-CN"/>
    </w:rPr>
  </w:style>
  <w:style w:type="character" w:styleId="EndnoteReference">
    <w:name w:val="endnote reference"/>
    <w:basedOn w:val="DefaultParagraphFont"/>
    <w:uiPriority w:val="99"/>
    <w:semiHidden/>
    <w:unhideWhenUsed/>
    <w:rsid w:val="00940E16"/>
    <w:rPr>
      <w:vertAlign w:val="superscript"/>
    </w:rPr>
  </w:style>
  <w:style w:type="character" w:customStyle="1" w:styleId="Heading4Char">
    <w:name w:val="Heading 4 Char"/>
    <w:basedOn w:val="DefaultParagraphFont"/>
    <w:link w:val="Heading4"/>
    <w:uiPriority w:val="9"/>
    <w:semiHidden/>
    <w:rsid w:val="00AD0496"/>
    <w:rPr>
      <w:rFonts w:asciiTheme="majorHAnsi" w:eastAsiaTheme="majorEastAsia" w:hAnsiTheme="majorHAnsi" w:cstheme="majorBidi"/>
      <w:i/>
      <w:iCs/>
      <w:color w:val="2E74B5" w:themeColor="accent1" w:themeShade="BF"/>
      <w:kern w:val="2"/>
      <w:sz w:val="24"/>
      <w:szCs w:val="24"/>
      <w:lang w:eastAsia="en-US"/>
      <w14:ligatures w14:val="standardContextual"/>
    </w:rPr>
  </w:style>
  <w:style w:type="character" w:customStyle="1" w:styleId="ui-provider">
    <w:name w:val="ui-provider"/>
    <w:basedOn w:val="DefaultParagraphFont"/>
    <w:rsid w:val="00030903"/>
  </w:style>
  <w:style w:type="character" w:styleId="Emphasis">
    <w:name w:val="Emphasis"/>
    <w:basedOn w:val="DefaultParagraphFont"/>
    <w:uiPriority w:val="20"/>
    <w:qFormat/>
    <w:rsid w:val="00450BC7"/>
    <w:rPr>
      <w:i/>
      <w:iCs/>
    </w:rPr>
  </w:style>
  <w:style w:type="table" w:styleId="PlainTable1">
    <w:name w:val="Plain Table 1"/>
    <w:basedOn w:val="TableNormal"/>
    <w:uiPriority w:val="99"/>
    <w:rsid w:val="00320B89"/>
    <w:pPr>
      <w:spacing w:after="0" w:line="240" w:lineRule="auto"/>
    </w:pPr>
    <w:rPr>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6D471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4108">
      <w:bodyDiv w:val="1"/>
      <w:marLeft w:val="0"/>
      <w:marRight w:val="0"/>
      <w:marTop w:val="0"/>
      <w:marBottom w:val="0"/>
      <w:divBdr>
        <w:top w:val="none" w:sz="0" w:space="0" w:color="auto"/>
        <w:left w:val="none" w:sz="0" w:space="0" w:color="auto"/>
        <w:bottom w:val="none" w:sz="0" w:space="0" w:color="auto"/>
        <w:right w:val="none" w:sz="0" w:space="0" w:color="auto"/>
      </w:divBdr>
      <w:divsChild>
        <w:div w:id="289409533">
          <w:marLeft w:val="0"/>
          <w:marRight w:val="0"/>
          <w:marTop w:val="0"/>
          <w:marBottom w:val="0"/>
          <w:divBdr>
            <w:top w:val="none" w:sz="0" w:space="0" w:color="auto"/>
            <w:left w:val="none" w:sz="0" w:space="0" w:color="auto"/>
            <w:bottom w:val="none" w:sz="0" w:space="0" w:color="auto"/>
            <w:right w:val="none" w:sz="0" w:space="0" w:color="auto"/>
          </w:divBdr>
          <w:divsChild>
            <w:div w:id="1029259967">
              <w:marLeft w:val="0"/>
              <w:marRight w:val="0"/>
              <w:marTop w:val="0"/>
              <w:marBottom w:val="0"/>
              <w:divBdr>
                <w:top w:val="none" w:sz="0" w:space="0" w:color="auto"/>
                <w:left w:val="none" w:sz="0" w:space="0" w:color="auto"/>
                <w:bottom w:val="none" w:sz="0" w:space="0" w:color="auto"/>
                <w:right w:val="none" w:sz="0" w:space="0" w:color="auto"/>
              </w:divBdr>
            </w:div>
          </w:divsChild>
        </w:div>
        <w:div w:id="324280055">
          <w:marLeft w:val="0"/>
          <w:marRight w:val="0"/>
          <w:marTop w:val="0"/>
          <w:marBottom w:val="0"/>
          <w:divBdr>
            <w:top w:val="none" w:sz="0" w:space="0" w:color="auto"/>
            <w:left w:val="none" w:sz="0" w:space="0" w:color="auto"/>
            <w:bottom w:val="none" w:sz="0" w:space="0" w:color="auto"/>
            <w:right w:val="none" w:sz="0" w:space="0" w:color="auto"/>
          </w:divBdr>
          <w:divsChild>
            <w:div w:id="726302328">
              <w:marLeft w:val="0"/>
              <w:marRight w:val="0"/>
              <w:marTop w:val="0"/>
              <w:marBottom w:val="0"/>
              <w:divBdr>
                <w:top w:val="none" w:sz="0" w:space="0" w:color="auto"/>
                <w:left w:val="none" w:sz="0" w:space="0" w:color="auto"/>
                <w:bottom w:val="none" w:sz="0" w:space="0" w:color="auto"/>
                <w:right w:val="none" w:sz="0" w:space="0" w:color="auto"/>
              </w:divBdr>
            </w:div>
            <w:div w:id="2055038350">
              <w:marLeft w:val="0"/>
              <w:marRight w:val="0"/>
              <w:marTop w:val="0"/>
              <w:marBottom w:val="0"/>
              <w:divBdr>
                <w:top w:val="none" w:sz="0" w:space="0" w:color="auto"/>
                <w:left w:val="none" w:sz="0" w:space="0" w:color="auto"/>
                <w:bottom w:val="none" w:sz="0" w:space="0" w:color="auto"/>
                <w:right w:val="none" w:sz="0" w:space="0" w:color="auto"/>
              </w:divBdr>
            </w:div>
          </w:divsChild>
        </w:div>
        <w:div w:id="1946574232">
          <w:marLeft w:val="0"/>
          <w:marRight w:val="0"/>
          <w:marTop w:val="0"/>
          <w:marBottom w:val="0"/>
          <w:divBdr>
            <w:top w:val="none" w:sz="0" w:space="0" w:color="auto"/>
            <w:left w:val="none" w:sz="0" w:space="0" w:color="auto"/>
            <w:bottom w:val="none" w:sz="0" w:space="0" w:color="auto"/>
            <w:right w:val="none" w:sz="0" w:space="0" w:color="auto"/>
          </w:divBdr>
          <w:divsChild>
            <w:div w:id="596136219">
              <w:marLeft w:val="0"/>
              <w:marRight w:val="0"/>
              <w:marTop w:val="0"/>
              <w:marBottom w:val="0"/>
              <w:divBdr>
                <w:top w:val="none" w:sz="0" w:space="0" w:color="auto"/>
                <w:left w:val="none" w:sz="0" w:space="0" w:color="auto"/>
                <w:bottom w:val="none" w:sz="0" w:space="0" w:color="auto"/>
                <w:right w:val="none" w:sz="0" w:space="0" w:color="auto"/>
              </w:divBdr>
            </w:div>
          </w:divsChild>
        </w:div>
        <w:div w:id="2090494330">
          <w:marLeft w:val="0"/>
          <w:marRight w:val="0"/>
          <w:marTop w:val="0"/>
          <w:marBottom w:val="0"/>
          <w:divBdr>
            <w:top w:val="none" w:sz="0" w:space="0" w:color="auto"/>
            <w:left w:val="none" w:sz="0" w:space="0" w:color="auto"/>
            <w:bottom w:val="none" w:sz="0" w:space="0" w:color="auto"/>
            <w:right w:val="none" w:sz="0" w:space="0" w:color="auto"/>
          </w:divBdr>
          <w:divsChild>
            <w:div w:id="7458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1693">
      <w:bodyDiv w:val="1"/>
      <w:marLeft w:val="0"/>
      <w:marRight w:val="0"/>
      <w:marTop w:val="0"/>
      <w:marBottom w:val="0"/>
      <w:divBdr>
        <w:top w:val="none" w:sz="0" w:space="0" w:color="auto"/>
        <w:left w:val="none" w:sz="0" w:space="0" w:color="auto"/>
        <w:bottom w:val="none" w:sz="0" w:space="0" w:color="auto"/>
        <w:right w:val="none" w:sz="0" w:space="0" w:color="auto"/>
      </w:divBdr>
    </w:div>
    <w:div w:id="119148660">
      <w:bodyDiv w:val="1"/>
      <w:marLeft w:val="0"/>
      <w:marRight w:val="0"/>
      <w:marTop w:val="0"/>
      <w:marBottom w:val="0"/>
      <w:divBdr>
        <w:top w:val="none" w:sz="0" w:space="0" w:color="auto"/>
        <w:left w:val="none" w:sz="0" w:space="0" w:color="auto"/>
        <w:bottom w:val="none" w:sz="0" w:space="0" w:color="auto"/>
        <w:right w:val="none" w:sz="0" w:space="0" w:color="auto"/>
      </w:divBdr>
      <w:divsChild>
        <w:div w:id="962006304">
          <w:marLeft w:val="0"/>
          <w:marRight w:val="0"/>
          <w:marTop w:val="0"/>
          <w:marBottom w:val="0"/>
          <w:divBdr>
            <w:top w:val="none" w:sz="0" w:space="0" w:color="auto"/>
            <w:left w:val="none" w:sz="0" w:space="0" w:color="auto"/>
            <w:bottom w:val="none" w:sz="0" w:space="0" w:color="auto"/>
            <w:right w:val="none" w:sz="0" w:space="0" w:color="auto"/>
          </w:divBdr>
          <w:divsChild>
            <w:div w:id="1913194671">
              <w:marLeft w:val="0"/>
              <w:marRight w:val="0"/>
              <w:marTop w:val="0"/>
              <w:marBottom w:val="0"/>
              <w:divBdr>
                <w:top w:val="none" w:sz="0" w:space="0" w:color="auto"/>
                <w:left w:val="none" w:sz="0" w:space="0" w:color="auto"/>
                <w:bottom w:val="none" w:sz="0" w:space="0" w:color="auto"/>
                <w:right w:val="none" w:sz="0" w:space="0" w:color="auto"/>
              </w:divBdr>
              <w:divsChild>
                <w:div w:id="1392344126">
                  <w:marLeft w:val="0"/>
                  <w:marRight w:val="0"/>
                  <w:marTop w:val="0"/>
                  <w:marBottom w:val="0"/>
                  <w:divBdr>
                    <w:top w:val="none" w:sz="0" w:space="0" w:color="auto"/>
                    <w:left w:val="none" w:sz="0" w:space="0" w:color="auto"/>
                    <w:bottom w:val="none" w:sz="0" w:space="0" w:color="auto"/>
                    <w:right w:val="none" w:sz="0" w:space="0" w:color="auto"/>
                  </w:divBdr>
                  <w:divsChild>
                    <w:div w:id="349255693">
                      <w:marLeft w:val="0"/>
                      <w:marRight w:val="0"/>
                      <w:marTop w:val="0"/>
                      <w:marBottom w:val="0"/>
                      <w:divBdr>
                        <w:top w:val="none" w:sz="0" w:space="0" w:color="auto"/>
                        <w:left w:val="none" w:sz="0" w:space="0" w:color="auto"/>
                        <w:bottom w:val="none" w:sz="0" w:space="0" w:color="auto"/>
                        <w:right w:val="none" w:sz="0" w:space="0" w:color="auto"/>
                      </w:divBdr>
                      <w:divsChild>
                        <w:div w:id="1149857073">
                          <w:marLeft w:val="0"/>
                          <w:marRight w:val="0"/>
                          <w:marTop w:val="0"/>
                          <w:marBottom w:val="0"/>
                          <w:divBdr>
                            <w:top w:val="none" w:sz="0" w:space="0" w:color="auto"/>
                            <w:left w:val="none" w:sz="0" w:space="0" w:color="auto"/>
                            <w:bottom w:val="none" w:sz="0" w:space="0" w:color="auto"/>
                            <w:right w:val="none" w:sz="0" w:space="0" w:color="auto"/>
                          </w:divBdr>
                          <w:divsChild>
                            <w:div w:id="118968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6736586">
      <w:bodyDiv w:val="1"/>
      <w:marLeft w:val="0"/>
      <w:marRight w:val="0"/>
      <w:marTop w:val="0"/>
      <w:marBottom w:val="0"/>
      <w:divBdr>
        <w:top w:val="none" w:sz="0" w:space="0" w:color="auto"/>
        <w:left w:val="none" w:sz="0" w:space="0" w:color="auto"/>
        <w:bottom w:val="none" w:sz="0" w:space="0" w:color="auto"/>
        <w:right w:val="none" w:sz="0" w:space="0" w:color="auto"/>
      </w:divBdr>
    </w:div>
    <w:div w:id="323901219">
      <w:bodyDiv w:val="1"/>
      <w:marLeft w:val="0"/>
      <w:marRight w:val="0"/>
      <w:marTop w:val="0"/>
      <w:marBottom w:val="0"/>
      <w:divBdr>
        <w:top w:val="none" w:sz="0" w:space="0" w:color="auto"/>
        <w:left w:val="none" w:sz="0" w:space="0" w:color="auto"/>
        <w:bottom w:val="none" w:sz="0" w:space="0" w:color="auto"/>
        <w:right w:val="none" w:sz="0" w:space="0" w:color="auto"/>
      </w:divBdr>
    </w:div>
    <w:div w:id="389882525">
      <w:bodyDiv w:val="1"/>
      <w:marLeft w:val="0"/>
      <w:marRight w:val="0"/>
      <w:marTop w:val="0"/>
      <w:marBottom w:val="0"/>
      <w:divBdr>
        <w:top w:val="none" w:sz="0" w:space="0" w:color="auto"/>
        <w:left w:val="none" w:sz="0" w:space="0" w:color="auto"/>
        <w:bottom w:val="none" w:sz="0" w:space="0" w:color="auto"/>
        <w:right w:val="none" w:sz="0" w:space="0" w:color="auto"/>
      </w:divBdr>
    </w:div>
    <w:div w:id="458839089">
      <w:bodyDiv w:val="1"/>
      <w:marLeft w:val="0"/>
      <w:marRight w:val="0"/>
      <w:marTop w:val="0"/>
      <w:marBottom w:val="0"/>
      <w:divBdr>
        <w:top w:val="none" w:sz="0" w:space="0" w:color="auto"/>
        <w:left w:val="none" w:sz="0" w:space="0" w:color="auto"/>
        <w:bottom w:val="none" w:sz="0" w:space="0" w:color="auto"/>
        <w:right w:val="none" w:sz="0" w:space="0" w:color="auto"/>
      </w:divBdr>
    </w:div>
    <w:div w:id="559486355">
      <w:bodyDiv w:val="1"/>
      <w:marLeft w:val="0"/>
      <w:marRight w:val="0"/>
      <w:marTop w:val="0"/>
      <w:marBottom w:val="0"/>
      <w:divBdr>
        <w:top w:val="none" w:sz="0" w:space="0" w:color="auto"/>
        <w:left w:val="none" w:sz="0" w:space="0" w:color="auto"/>
        <w:bottom w:val="none" w:sz="0" w:space="0" w:color="auto"/>
        <w:right w:val="none" w:sz="0" w:space="0" w:color="auto"/>
      </w:divBdr>
      <w:divsChild>
        <w:div w:id="402996049">
          <w:marLeft w:val="0"/>
          <w:marRight w:val="0"/>
          <w:marTop w:val="0"/>
          <w:marBottom w:val="0"/>
          <w:divBdr>
            <w:top w:val="none" w:sz="0" w:space="0" w:color="auto"/>
            <w:left w:val="none" w:sz="0" w:space="0" w:color="auto"/>
            <w:bottom w:val="none" w:sz="0" w:space="0" w:color="auto"/>
            <w:right w:val="none" w:sz="0" w:space="0" w:color="auto"/>
          </w:divBdr>
          <w:divsChild>
            <w:div w:id="1298222480">
              <w:marLeft w:val="0"/>
              <w:marRight w:val="0"/>
              <w:marTop w:val="0"/>
              <w:marBottom w:val="0"/>
              <w:divBdr>
                <w:top w:val="none" w:sz="0" w:space="0" w:color="auto"/>
                <w:left w:val="none" w:sz="0" w:space="0" w:color="auto"/>
                <w:bottom w:val="none" w:sz="0" w:space="0" w:color="auto"/>
                <w:right w:val="none" w:sz="0" w:space="0" w:color="auto"/>
              </w:divBdr>
            </w:div>
            <w:div w:id="1660883307">
              <w:marLeft w:val="0"/>
              <w:marRight w:val="0"/>
              <w:marTop w:val="0"/>
              <w:marBottom w:val="0"/>
              <w:divBdr>
                <w:top w:val="none" w:sz="0" w:space="0" w:color="auto"/>
                <w:left w:val="none" w:sz="0" w:space="0" w:color="auto"/>
                <w:bottom w:val="none" w:sz="0" w:space="0" w:color="auto"/>
                <w:right w:val="none" w:sz="0" w:space="0" w:color="auto"/>
              </w:divBdr>
            </w:div>
          </w:divsChild>
        </w:div>
        <w:div w:id="564141207">
          <w:marLeft w:val="0"/>
          <w:marRight w:val="0"/>
          <w:marTop w:val="0"/>
          <w:marBottom w:val="0"/>
          <w:divBdr>
            <w:top w:val="none" w:sz="0" w:space="0" w:color="auto"/>
            <w:left w:val="none" w:sz="0" w:space="0" w:color="auto"/>
            <w:bottom w:val="none" w:sz="0" w:space="0" w:color="auto"/>
            <w:right w:val="none" w:sz="0" w:space="0" w:color="auto"/>
          </w:divBdr>
          <w:divsChild>
            <w:div w:id="1556047068">
              <w:marLeft w:val="0"/>
              <w:marRight w:val="0"/>
              <w:marTop w:val="0"/>
              <w:marBottom w:val="0"/>
              <w:divBdr>
                <w:top w:val="none" w:sz="0" w:space="0" w:color="auto"/>
                <w:left w:val="none" w:sz="0" w:space="0" w:color="auto"/>
                <w:bottom w:val="none" w:sz="0" w:space="0" w:color="auto"/>
                <w:right w:val="none" w:sz="0" w:space="0" w:color="auto"/>
              </w:divBdr>
            </w:div>
            <w:div w:id="1604917558">
              <w:marLeft w:val="0"/>
              <w:marRight w:val="0"/>
              <w:marTop w:val="0"/>
              <w:marBottom w:val="0"/>
              <w:divBdr>
                <w:top w:val="none" w:sz="0" w:space="0" w:color="auto"/>
                <w:left w:val="none" w:sz="0" w:space="0" w:color="auto"/>
                <w:bottom w:val="none" w:sz="0" w:space="0" w:color="auto"/>
                <w:right w:val="none" w:sz="0" w:space="0" w:color="auto"/>
              </w:divBdr>
            </w:div>
          </w:divsChild>
        </w:div>
        <w:div w:id="961883335">
          <w:marLeft w:val="0"/>
          <w:marRight w:val="0"/>
          <w:marTop w:val="0"/>
          <w:marBottom w:val="0"/>
          <w:divBdr>
            <w:top w:val="none" w:sz="0" w:space="0" w:color="auto"/>
            <w:left w:val="none" w:sz="0" w:space="0" w:color="auto"/>
            <w:bottom w:val="none" w:sz="0" w:space="0" w:color="auto"/>
            <w:right w:val="none" w:sz="0" w:space="0" w:color="auto"/>
          </w:divBdr>
          <w:divsChild>
            <w:div w:id="1037699752">
              <w:marLeft w:val="0"/>
              <w:marRight w:val="0"/>
              <w:marTop w:val="0"/>
              <w:marBottom w:val="0"/>
              <w:divBdr>
                <w:top w:val="none" w:sz="0" w:space="0" w:color="auto"/>
                <w:left w:val="none" w:sz="0" w:space="0" w:color="auto"/>
                <w:bottom w:val="none" w:sz="0" w:space="0" w:color="auto"/>
                <w:right w:val="none" w:sz="0" w:space="0" w:color="auto"/>
              </w:divBdr>
            </w:div>
            <w:div w:id="17243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266337">
      <w:bodyDiv w:val="1"/>
      <w:marLeft w:val="0"/>
      <w:marRight w:val="0"/>
      <w:marTop w:val="0"/>
      <w:marBottom w:val="0"/>
      <w:divBdr>
        <w:top w:val="none" w:sz="0" w:space="0" w:color="auto"/>
        <w:left w:val="none" w:sz="0" w:space="0" w:color="auto"/>
        <w:bottom w:val="none" w:sz="0" w:space="0" w:color="auto"/>
        <w:right w:val="none" w:sz="0" w:space="0" w:color="auto"/>
      </w:divBdr>
      <w:divsChild>
        <w:div w:id="1003238218">
          <w:marLeft w:val="0"/>
          <w:marRight w:val="0"/>
          <w:marTop w:val="0"/>
          <w:marBottom w:val="0"/>
          <w:divBdr>
            <w:top w:val="none" w:sz="0" w:space="0" w:color="auto"/>
            <w:left w:val="none" w:sz="0" w:space="0" w:color="auto"/>
            <w:bottom w:val="none" w:sz="0" w:space="0" w:color="auto"/>
            <w:right w:val="none" w:sz="0" w:space="0" w:color="auto"/>
          </w:divBdr>
        </w:div>
        <w:div w:id="1102451833">
          <w:marLeft w:val="0"/>
          <w:marRight w:val="0"/>
          <w:marTop w:val="0"/>
          <w:marBottom w:val="0"/>
          <w:divBdr>
            <w:top w:val="none" w:sz="0" w:space="0" w:color="auto"/>
            <w:left w:val="none" w:sz="0" w:space="0" w:color="auto"/>
            <w:bottom w:val="none" w:sz="0" w:space="0" w:color="auto"/>
            <w:right w:val="none" w:sz="0" w:space="0" w:color="auto"/>
          </w:divBdr>
          <w:divsChild>
            <w:div w:id="844173792">
              <w:marLeft w:val="-75"/>
              <w:marRight w:val="0"/>
              <w:marTop w:val="30"/>
              <w:marBottom w:val="30"/>
              <w:divBdr>
                <w:top w:val="none" w:sz="0" w:space="0" w:color="auto"/>
                <w:left w:val="none" w:sz="0" w:space="0" w:color="auto"/>
                <w:bottom w:val="none" w:sz="0" w:space="0" w:color="auto"/>
                <w:right w:val="none" w:sz="0" w:space="0" w:color="auto"/>
              </w:divBdr>
              <w:divsChild>
                <w:div w:id="3558301">
                  <w:marLeft w:val="0"/>
                  <w:marRight w:val="0"/>
                  <w:marTop w:val="0"/>
                  <w:marBottom w:val="0"/>
                  <w:divBdr>
                    <w:top w:val="none" w:sz="0" w:space="0" w:color="auto"/>
                    <w:left w:val="none" w:sz="0" w:space="0" w:color="auto"/>
                    <w:bottom w:val="none" w:sz="0" w:space="0" w:color="auto"/>
                    <w:right w:val="none" w:sz="0" w:space="0" w:color="auto"/>
                  </w:divBdr>
                  <w:divsChild>
                    <w:div w:id="593975539">
                      <w:marLeft w:val="0"/>
                      <w:marRight w:val="0"/>
                      <w:marTop w:val="0"/>
                      <w:marBottom w:val="0"/>
                      <w:divBdr>
                        <w:top w:val="none" w:sz="0" w:space="0" w:color="auto"/>
                        <w:left w:val="none" w:sz="0" w:space="0" w:color="auto"/>
                        <w:bottom w:val="none" w:sz="0" w:space="0" w:color="auto"/>
                        <w:right w:val="none" w:sz="0" w:space="0" w:color="auto"/>
                      </w:divBdr>
                    </w:div>
                  </w:divsChild>
                </w:div>
                <w:div w:id="5132123">
                  <w:marLeft w:val="0"/>
                  <w:marRight w:val="0"/>
                  <w:marTop w:val="0"/>
                  <w:marBottom w:val="0"/>
                  <w:divBdr>
                    <w:top w:val="none" w:sz="0" w:space="0" w:color="auto"/>
                    <w:left w:val="none" w:sz="0" w:space="0" w:color="auto"/>
                    <w:bottom w:val="none" w:sz="0" w:space="0" w:color="auto"/>
                    <w:right w:val="none" w:sz="0" w:space="0" w:color="auto"/>
                  </w:divBdr>
                  <w:divsChild>
                    <w:div w:id="1840579477">
                      <w:marLeft w:val="0"/>
                      <w:marRight w:val="0"/>
                      <w:marTop w:val="0"/>
                      <w:marBottom w:val="0"/>
                      <w:divBdr>
                        <w:top w:val="none" w:sz="0" w:space="0" w:color="auto"/>
                        <w:left w:val="none" w:sz="0" w:space="0" w:color="auto"/>
                        <w:bottom w:val="none" w:sz="0" w:space="0" w:color="auto"/>
                        <w:right w:val="none" w:sz="0" w:space="0" w:color="auto"/>
                      </w:divBdr>
                    </w:div>
                  </w:divsChild>
                </w:div>
                <w:div w:id="92020436">
                  <w:marLeft w:val="0"/>
                  <w:marRight w:val="0"/>
                  <w:marTop w:val="0"/>
                  <w:marBottom w:val="0"/>
                  <w:divBdr>
                    <w:top w:val="none" w:sz="0" w:space="0" w:color="auto"/>
                    <w:left w:val="none" w:sz="0" w:space="0" w:color="auto"/>
                    <w:bottom w:val="none" w:sz="0" w:space="0" w:color="auto"/>
                    <w:right w:val="none" w:sz="0" w:space="0" w:color="auto"/>
                  </w:divBdr>
                  <w:divsChild>
                    <w:div w:id="1642230118">
                      <w:marLeft w:val="0"/>
                      <w:marRight w:val="0"/>
                      <w:marTop w:val="0"/>
                      <w:marBottom w:val="0"/>
                      <w:divBdr>
                        <w:top w:val="none" w:sz="0" w:space="0" w:color="auto"/>
                        <w:left w:val="none" w:sz="0" w:space="0" w:color="auto"/>
                        <w:bottom w:val="none" w:sz="0" w:space="0" w:color="auto"/>
                        <w:right w:val="none" w:sz="0" w:space="0" w:color="auto"/>
                      </w:divBdr>
                    </w:div>
                  </w:divsChild>
                </w:div>
                <w:div w:id="96020431">
                  <w:marLeft w:val="0"/>
                  <w:marRight w:val="0"/>
                  <w:marTop w:val="0"/>
                  <w:marBottom w:val="0"/>
                  <w:divBdr>
                    <w:top w:val="none" w:sz="0" w:space="0" w:color="auto"/>
                    <w:left w:val="none" w:sz="0" w:space="0" w:color="auto"/>
                    <w:bottom w:val="none" w:sz="0" w:space="0" w:color="auto"/>
                    <w:right w:val="none" w:sz="0" w:space="0" w:color="auto"/>
                  </w:divBdr>
                  <w:divsChild>
                    <w:div w:id="873810242">
                      <w:marLeft w:val="0"/>
                      <w:marRight w:val="0"/>
                      <w:marTop w:val="0"/>
                      <w:marBottom w:val="0"/>
                      <w:divBdr>
                        <w:top w:val="none" w:sz="0" w:space="0" w:color="auto"/>
                        <w:left w:val="none" w:sz="0" w:space="0" w:color="auto"/>
                        <w:bottom w:val="none" w:sz="0" w:space="0" w:color="auto"/>
                        <w:right w:val="none" w:sz="0" w:space="0" w:color="auto"/>
                      </w:divBdr>
                    </w:div>
                  </w:divsChild>
                </w:div>
                <w:div w:id="255751075">
                  <w:marLeft w:val="0"/>
                  <w:marRight w:val="0"/>
                  <w:marTop w:val="0"/>
                  <w:marBottom w:val="0"/>
                  <w:divBdr>
                    <w:top w:val="none" w:sz="0" w:space="0" w:color="auto"/>
                    <w:left w:val="none" w:sz="0" w:space="0" w:color="auto"/>
                    <w:bottom w:val="none" w:sz="0" w:space="0" w:color="auto"/>
                    <w:right w:val="none" w:sz="0" w:space="0" w:color="auto"/>
                  </w:divBdr>
                  <w:divsChild>
                    <w:div w:id="26413721">
                      <w:marLeft w:val="0"/>
                      <w:marRight w:val="0"/>
                      <w:marTop w:val="0"/>
                      <w:marBottom w:val="0"/>
                      <w:divBdr>
                        <w:top w:val="none" w:sz="0" w:space="0" w:color="auto"/>
                        <w:left w:val="none" w:sz="0" w:space="0" w:color="auto"/>
                        <w:bottom w:val="none" w:sz="0" w:space="0" w:color="auto"/>
                        <w:right w:val="none" w:sz="0" w:space="0" w:color="auto"/>
                      </w:divBdr>
                    </w:div>
                  </w:divsChild>
                </w:div>
                <w:div w:id="258373148">
                  <w:marLeft w:val="0"/>
                  <w:marRight w:val="0"/>
                  <w:marTop w:val="0"/>
                  <w:marBottom w:val="0"/>
                  <w:divBdr>
                    <w:top w:val="none" w:sz="0" w:space="0" w:color="auto"/>
                    <w:left w:val="none" w:sz="0" w:space="0" w:color="auto"/>
                    <w:bottom w:val="none" w:sz="0" w:space="0" w:color="auto"/>
                    <w:right w:val="none" w:sz="0" w:space="0" w:color="auto"/>
                  </w:divBdr>
                  <w:divsChild>
                    <w:div w:id="1779568918">
                      <w:marLeft w:val="0"/>
                      <w:marRight w:val="0"/>
                      <w:marTop w:val="0"/>
                      <w:marBottom w:val="0"/>
                      <w:divBdr>
                        <w:top w:val="none" w:sz="0" w:space="0" w:color="auto"/>
                        <w:left w:val="none" w:sz="0" w:space="0" w:color="auto"/>
                        <w:bottom w:val="none" w:sz="0" w:space="0" w:color="auto"/>
                        <w:right w:val="none" w:sz="0" w:space="0" w:color="auto"/>
                      </w:divBdr>
                    </w:div>
                  </w:divsChild>
                </w:div>
                <w:div w:id="326327718">
                  <w:marLeft w:val="0"/>
                  <w:marRight w:val="0"/>
                  <w:marTop w:val="0"/>
                  <w:marBottom w:val="0"/>
                  <w:divBdr>
                    <w:top w:val="none" w:sz="0" w:space="0" w:color="auto"/>
                    <w:left w:val="none" w:sz="0" w:space="0" w:color="auto"/>
                    <w:bottom w:val="none" w:sz="0" w:space="0" w:color="auto"/>
                    <w:right w:val="none" w:sz="0" w:space="0" w:color="auto"/>
                  </w:divBdr>
                  <w:divsChild>
                    <w:div w:id="1838500780">
                      <w:marLeft w:val="0"/>
                      <w:marRight w:val="0"/>
                      <w:marTop w:val="0"/>
                      <w:marBottom w:val="0"/>
                      <w:divBdr>
                        <w:top w:val="none" w:sz="0" w:space="0" w:color="auto"/>
                        <w:left w:val="none" w:sz="0" w:space="0" w:color="auto"/>
                        <w:bottom w:val="none" w:sz="0" w:space="0" w:color="auto"/>
                        <w:right w:val="none" w:sz="0" w:space="0" w:color="auto"/>
                      </w:divBdr>
                    </w:div>
                  </w:divsChild>
                </w:div>
                <w:div w:id="414595278">
                  <w:marLeft w:val="0"/>
                  <w:marRight w:val="0"/>
                  <w:marTop w:val="0"/>
                  <w:marBottom w:val="0"/>
                  <w:divBdr>
                    <w:top w:val="none" w:sz="0" w:space="0" w:color="auto"/>
                    <w:left w:val="none" w:sz="0" w:space="0" w:color="auto"/>
                    <w:bottom w:val="none" w:sz="0" w:space="0" w:color="auto"/>
                    <w:right w:val="none" w:sz="0" w:space="0" w:color="auto"/>
                  </w:divBdr>
                  <w:divsChild>
                    <w:div w:id="169950049">
                      <w:marLeft w:val="0"/>
                      <w:marRight w:val="0"/>
                      <w:marTop w:val="0"/>
                      <w:marBottom w:val="0"/>
                      <w:divBdr>
                        <w:top w:val="none" w:sz="0" w:space="0" w:color="auto"/>
                        <w:left w:val="none" w:sz="0" w:space="0" w:color="auto"/>
                        <w:bottom w:val="none" w:sz="0" w:space="0" w:color="auto"/>
                        <w:right w:val="none" w:sz="0" w:space="0" w:color="auto"/>
                      </w:divBdr>
                    </w:div>
                  </w:divsChild>
                </w:div>
                <w:div w:id="430857344">
                  <w:marLeft w:val="0"/>
                  <w:marRight w:val="0"/>
                  <w:marTop w:val="0"/>
                  <w:marBottom w:val="0"/>
                  <w:divBdr>
                    <w:top w:val="none" w:sz="0" w:space="0" w:color="auto"/>
                    <w:left w:val="none" w:sz="0" w:space="0" w:color="auto"/>
                    <w:bottom w:val="none" w:sz="0" w:space="0" w:color="auto"/>
                    <w:right w:val="none" w:sz="0" w:space="0" w:color="auto"/>
                  </w:divBdr>
                  <w:divsChild>
                    <w:div w:id="831680477">
                      <w:marLeft w:val="0"/>
                      <w:marRight w:val="0"/>
                      <w:marTop w:val="0"/>
                      <w:marBottom w:val="0"/>
                      <w:divBdr>
                        <w:top w:val="none" w:sz="0" w:space="0" w:color="auto"/>
                        <w:left w:val="none" w:sz="0" w:space="0" w:color="auto"/>
                        <w:bottom w:val="none" w:sz="0" w:space="0" w:color="auto"/>
                        <w:right w:val="none" w:sz="0" w:space="0" w:color="auto"/>
                      </w:divBdr>
                    </w:div>
                  </w:divsChild>
                </w:div>
                <w:div w:id="584649580">
                  <w:marLeft w:val="0"/>
                  <w:marRight w:val="0"/>
                  <w:marTop w:val="0"/>
                  <w:marBottom w:val="0"/>
                  <w:divBdr>
                    <w:top w:val="none" w:sz="0" w:space="0" w:color="auto"/>
                    <w:left w:val="none" w:sz="0" w:space="0" w:color="auto"/>
                    <w:bottom w:val="none" w:sz="0" w:space="0" w:color="auto"/>
                    <w:right w:val="none" w:sz="0" w:space="0" w:color="auto"/>
                  </w:divBdr>
                  <w:divsChild>
                    <w:div w:id="2131970097">
                      <w:marLeft w:val="0"/>
                      <w:marRight w:val="0"/>
                      <w:marTop w:val="0"/>
                      <w:marBottom w:val="0"/>
                      <w:divBdr>
                        <w:top w:val="none" w:sz="0" w:space="0" w:color="auto"/>
                        <w:left w:val="none" w:sz="0" w:space="0" w:color="auto"/>
                        <w:bottom w:val="none" w:sz="0" w:space="0" w:color="auto"/>
                        <w:right w:val="none" w:sz="0" w:space="0" w:color="auto"/>
                      </w:divBdr>
                    </w:div>
                  </w:divsChild>
                </w:div>
                <w:div w:id="603808309">
                  <w:marLeft w:val="0"/>
                  <w:marRight w:val="0"/>
                  <w:marTop w:val="0"/>
                  <w:marBottom w:val="0"/>
                  <w:divBdr>
                    <w:top w:val="none" w:sz="0" w:space="0" w:color="auto"/>
                    <w:left w:val="none" w:sz="0" w:space="0" w:color="auto"/>
                    <w:bottom w:val="none" w:sz="0" w:space="0" w:color="auto"/>
                    <w:right w:val="none" w:sz="0" w:space="0" w:color="auto"/>
                  </w:divBdr>
                  <w:divsChild>
                    <w:div w:id="1048141565">
                      <w:marLeft w:val="0"/>
                      <w:marRight w:val="0"/>
                      <w:marTop w:val="0"/>
                      <w:marBottom w:val="0"/>
                      <w:divBdr>
                        <w:top w:val="none" w:sz="0" w:space="0" w:color="auto"/>
                        <w:left w:val="none" w:sz="0" w:space="0" w:color="auto"/>
                        <w:bottom w:val="none" w:sz="0" w:space="0" w:color="auto"/>
                        <w:right w:val="none" w:sz="0" w:space="0" w:color="auto"/>
                      </w:divBdr>
                    </w:div>
                  </w:divsChild>
                </w:div>
                <w:div w:id="648749148">
                  <w:marLeft w:val="0"/>
                  <w:marRight w:val="0"/>
                  <w:marTop w:val="0"/>
                  <w:marBottom w:val="0"/>
                  <w:divBdr>
                    <w:top w:val="none" w:sz="0" w:space="0" w:color="auto"/>
                    <w:left w:val="none" w:sz="0" w:space="0" w:color="auto"/>
                    <w:bottom w:val="none" w:sz="0" w:space="0" w:color="auto"/>
                    <w:right w:val="none" w:sz="0" w:space="0" w:color="auto"/>
                  </w:divBdr>
                  <w:divsChild>
                    <w:div w:id="2136369380">
                      <w:marLeft w:val="0"/>
                      <w:marRight w:val="0"/>
                      <w:marTop w:val="0"/>
                      <w:marBottom w:val="0"/>
                      <w:divBdr>
                        <w:top w:val="none" w:sz="0" w:space="0" w:color="auto"/>
                        <w:left w:val="none" w:sz="0" w:space="0" w:color="auto"/>
                        <w:bottom w:val="none" w:sz="0" w:space="0" w:color="auto"/>
                        <w:right w:val="none" w:sz="0" w:space="0" w:color="auto"/>
                      </w:divBdr>
                    </w:div>
                  </w:divsChild>
                </w:div>
                <w:div w:id="684670370">
                  <w:marLeft w:val="0"/>
                  <w:marRight w:val="0"/>
                  <w:marTop w:val="0"/>
                  <w:marBottom w:val="0"/>
                  <w:divBdr>
                    <w:top w:val="none" w:sz="0" w:space="0" w:color="auto"/>
                    <w:left w:val="none" w:sz="0" w:space="0" w:color="auto"/>
                    <w:bottom w:val="none" w:sz="0" w:space="0" w:color="auto"/>
                    <w:right w:val="none" w:sz="0" w:space="0" w:color="auto"/>
                  </w:divBdr>
                  <w:divsChild>
                    <w:div w:id="345519976">
                      <w:marLeft w:val="0"/>
                      <w:marRight w:val="0"/>
                      <w:marTop w:val="0"/>
                      <w:marBottom w:val="0"/>
                      <w:divBdr>
                        <w:top w:val="none" w:sz="0" w:space="0" w:color="auto"/>
                        <w:left w:val="none" w:sz="0" w:space="0" w:color="auto"/>
                        <w:bottom w:val="none" w:sz="0" w:space="0" w:color="auto"/>
                        <w:right w:val="none" w:sz="0" w:space="0" w:color="auto"/>
                      </w:divBdr>
                    </w:div>
                  </w:divsChild>
                </w:div>
                <w:div w:id="705834811">
                  <w:marLeft w:val="0"/>
                  <w:marRight w:val="0"/>
                  <w:marTop w:val="0"/>
                  <w:marBottom w:val="0"/>
                  <w:divBdr>
                    <w:top w:val="none" w:sz="0" w:space="0" w:color="auto"/>
                    <w:left w:val="none" w:sz="0" w:space="0" w:color="auto"/>
                    <w:bottom w:val="none" w:sz="0" w:space="0" w:color="auto"/>
                    <w:right w:val="none" w:sz="0" w:space="0" w:color="auto"/>
                  </w:divBdr>
                  <w:divsChild>
                    <w:div w:id="1970739366">
                      <w:marLeft w:val="0"/>
                      <w:marRight w:val="0"/>
                      <w:marTop w:val="0"/>
                      <w:marBottom w:val="0"/>
                      <w:divBdr>
                        <w:top w:val="none" w:sz="0" w:space="0" w:color="auto"/>
                        <w:left w:val="none" w:sz="0" w:space="0" w:color="auto"/>
                        <w:bottom w:val="none" w:sz="0" w:space="0" w:color="auto"/>
                        <w:right w:val="none" w:sz="0" w:space="0" w:color="auto"/>
                      </w:divBdr>
                    </w:div>
                  </w:divsChild>
                </w:div>
                <w:div w:id="723529492">
                  <w:marLeft w:val="0"/>
                  <w:marRight w:val="0"/>
                  <w:marTop w:val="0"/>
                  <w:marBottom w:val="0"/>
                  <w:divBdr>
                    <w:top w:val="none" w:sz="0" w:space="0" w:color="auto"/>
                    <w:left w:val="none" w:sz="0" w:space="0" w:color="auto"/>
                    <w:bottom w:val="none" w:sz="0" w:space="0" w:color="auto"/>
                    <w:right w:val="none" w:sz="0" w:space="0" w:color="auto"/>
                  </w:divBdr>
                  <w:divsChild>
                    <w:div w:id="886602528">
                      <w:marLeft w:val="0"/>
                      <w:marRight w:val="0"/>
                      <w:marTop w:val="0"/>
                      <w:marBottom w:val="0"/>
                      <w:divBdr>
                        <w:top w:val="none" w:sz="0" w:space="0" w:color="auto"/>
                        <w:left w:val="none" w:sz="0" w:space="0" w:color="auto"/>
                        <w:bottom w:val="none" w:sz="0" w:space="0" w:color="auto"/>
                        <w:right w:val="none" w:sz="0" w:space="0" w:color="auto"/>
                      </w:divBdr>
                    </w:div>
                  </w:divsChild>
                </w:div>
                <w:div w:id="773786193">
                  <w:marLeft w:val="0"/>
                  <w:marRight w:val="0"/>
                  <w:marTop w:val="0"/>
                  <w:marBottom w:val="0"/>
                  <w:divBdr>
                    <w:top w:val="none" w:sz="0" w:space="0" w:color="auto"/>
                    <w:left w:val="none" w:sz="0" w:space="0" w:color="auto"/>
                    <w:bottom w:val="none" w:sz="0" w:space="0" w:color="auto"/>
                    <w:right w:val="none" w:sz="0" w:space="0" w:color="auto"/>
                  </w:divBdr>
                  <w:divsChild>
                    <w:div w:id="1669597019">
                      <w:marLeft w:val="0"/>
                      <w:marRight w:val="0"/>
                      <w:marTop w:val="0"/>
                      <w:marBottom w:val="0"/>
                      <w:divBdr>
                        <w:top w:val="none" w:sz="0" w:space="0" w:color="auto"/>
                        <w:left w:val="none" w:sz="0" w:space="0" w:color="auto"/>
                        <w:bottom w:val="none" w:sz="0" w:space="0" w:color="auto"/>
                        <w:right w:val="none" w:sz="0" w:space="0" w:color="auto"/>
                      </w:divBdr>
                    </w:div>
                  </w:divsChild>
                </w:div>
                <w:div w:id="890459013">
                  <w:marLeft w:val="0"/>
                  <w:marRight w:val="0"/>
                  <w:marTop w:val="0"/>
                  <w:marBottom w:val="0"/>
                  <w:divBdr>
                    <w:top w:val="none" w:sz="0" w:space="0" w:color="auto"/>
                    <w:left w:val="none" w:sz="0" w:space="0" w:color="auto"/>
                    <w:bottom w:val="none" w:sz="0" w:space="0" w:color="auto"/>
                    <w:right w:val="none" w:sz="0" w:space="0" w:color="auto"/>
                  </w:divBdr>
                  <w:divsChild>
                    <w:div w:id="939141014">
                      <w:marLeft w:val="0"/>
                      <w:marRight w:val="0"/>
                      <w:marTop w:val="0"/>
                      <w:marBottom w:val="0"/>
                      <w:divBdr>
                        <w:top w:val="none" w:sz="0" w:space="0" w:color="auto"/>
                        <w:left w:val="none" w:sz="0" w:space="0" w:color="auto"/>
                        <w:bottom w:val="none" w:sz="0" w:space="0" w:color="auto"/>
                        <w:right w:val="none" w:sz="0" w:space="0" w:color="auto"/>
                      </w:divBdr>
                    </w:div>
                  </w:divsChild>
                </w:div>
                <w:div w:id="919798404">
                  <w:marLeft w:val="0"/>
                  <w:marRight w:val="0"/>
                  <w:marTop w:val="0"/>
                  <w:marBottom w:val="0"/>
                  <w:divBdr>
                    <w:top w:val="none" w:sz="0" w:space="0" w:color="auto"/>
                    <w:left w:val="none" w:sz="0" w:space="0" w:color="auto"/>
                    <w:bottom w:val="none" w:sz="0" w:space="0" w:color="auto"/>
                    <w:right w:val="none" w:sz="0" w:space="0" w:color="auto"/>
                  </w:divBdr>
                  <w:divsChild>
                    <w:div w:id="683476874">
                      <w:marLeft w:val="0"/>
                      <w:marRight w:val="0"/>
                      <w:marTop w:val="0"/>
                      <w:marBottom w:val="0"/>
                      <w:divBdr>
                        <w:top w:val="none" w:sz="0" w:space="0" w:color="auto"/>
                        <w:left w:val="none" w:sz="0" w:space="0" w:color="auto"/>
                        <w:bottom w:val="none" w:sz="0" w:space="0" w:color="auto"/>
                        <w:right w:val="none" w:sz="0" w:space="0" w:color="auto"/>
                      </w:divBdr>
                    </w:div>
                  </w:divsChild>
                </w:div>
                <w:div w:id="992635065">
                  <w:marLeft w:val="0"/>
                  <w:marRight w:val="0"/>
                  <w:marTop w:val="0"/>
                  <w:marBottom w:val="0"/>
                  <w:divBdr>
                    <w:top w:val="none" w:sz="0" w:space="0" w:color="auto"/>
                    <w:left w:val="none" w:sz="0" w:space="0" w:color="auto"/>
                    <w:bottom w:val="none" w:sz="0" w:space="0" w:color="auto"/>
                    <w:right w:val="none" w:sz="0" w:space="0" w:color="auto"/>
                  </w:divBdr>
                  <w:divsChild>
                    <w:div w:id="794523641">
                      <w:marLeft w:val="0"/>
                      <w:marRight w:val="0"/>
                      <w:marTop w:val="0"/>
                      <w:marBottom w:val="0"/>
                      <w:divBdr>
                        <w:top w:val="none" w:sz="0" w:space="0" w:color="auto"/>
                        <w:left w:val="none" w:sz="0" w:space="0" w:color="auto"/>
                        <w:bottom w:val="none" w:sz="0" w:space="0" w:color="auto"/>
                        <w:right w:val="none" w:sz="0" w:space="0" w:color="auto"/>
                      </w:divBdr>
                    </w:div>
                  </w:divsChild>
                </w:div>
                <w:div w:id="999503603">
                  <w:marLeft w:val="0"/>
                  <w:marRight w:val="0"/>
                  <w:marTop w:val="0"/>
                  <w:marBottom w:val="0"/>
                  <w:divBdr>
                    <w:top w:val="none" w:sz="0" w:space="0" w:color="auto"/>
                    <w:left w:val="none" w:sz="0" w:space="0" w:color="auto"/>
                    <w:bottom w:val="none" w:sz="0" w:space="0" w:color="auto"/>
                    <w:right w:val="none" w:sz="0" w:space="0" w:color="auto"/>
                  </w:divBdr>
                  <w:divsChild>
                    <w:div w:id="1162430220">
                      <w:marLeft w:val="0"/>
                      <w:marRight w:val="0"/>
                      <w:marTop w:val="0"/>
                      <w:marBottom w:val="0"/>
                      <w:divBdr>
                        <w:top w:val="none" w:sz="0" w:space="0" w:color="auto"/>
                        <w:left w:val="none" w:sz="0" w:space="0" w:color="auto"/>
                        <w:bottom w:val="none" w:sz="0" w:space="0" w:color="auto"/>
                        <w:right w:val="none" w:sz="0" w:space="0" w:color="auto"/>
                      </w:divBdr>
                    </w:div>
                  </w:divsChild>
                </w:div>
                <w:div w:id="1017079376">
                  <w:marLeft w:val="0"/>
                  <w:marRight w:val="0"/>
                  <w:marTop w:val="0"/>
                  <w:marBottom w:val="0"/>
                  <w:divBdr>
                    <w:top w:val="none" w:sz="0" w:space="0" w:color="auto"/>
                    <w:left w:val="none" w:sz="0" w:space="0" w:color="auto"/>
                    <w:bottom w:val="none" w:sz="0" w:space="0" w:color="auto"/>
                    <w:right w:val="none" w:sz="0" w:space="0" w:color="auto"/>
                  </w:divBdr>
                  <w:divsChild>
                    <w:div w:id="557476109">
                      <w:marLeft w:val="0"/>
                      <w:marRight w:val="0"/>
                      <w:marTop w:val="0"/>
                      <w:marBottom w:val="0"/>
                      <w:divBdr>
                        <w:top w:val="none" w:sz="0" w:space="0" w:color="auto"/>
                        <w:left w:val="none" w:sz="0" w:space="0" w:color="auto"/>
                        <w:bottom w:val="none" w:sz="0" w:space="0" w:color="auto"/>
                        <w:right w:val="none" w:sz="0" w:space="0" w:color="auto"/>
                      </w:divBdr>
                    </w:div>
                  </w:divsChild>
                </w:div>
                <w:div w:id="1054039295">
                  <w:marLeft w:val="0"/>
                  <w:marRight w:val="0"/>
                  <w:marTop w:val="0"/>
                  <w:marBottom w:val="0"/>
                  <w:divBdr>
                    <w:top w:val="none" w:sz="0" w:space="0" w:color="auto"/>
                    <w:left w:val="none" w:sz="0" w:space="0" w:color="auto"/>
                    <w:bottom w:val="none" w:sz="0" w:space="0" w:color="auto"/>
                    <w:right w:val="none" w:sz="0" w:space="0" w:color="auto"/>
                  </w:divBdr>
                  <w:divsChild>
                    <w:div w:id="506987815">
                      <w:marLeft w:val="0"/>
                      <w:marRight w:val="0"/>
                      <w:marTop w:val="0"/>
                      <w:marBottom w:val="0"/>
                      <w:divBdr>
                        <w:top w:val="none" w:sz="0" w:space="0" w:color="auto"/>
                        <w:left w:val="none" w:sz="0" w:space="0" w:color="auto"/>
                        <w:bottom w:val="none" w:sz="0" w:space="0" w:color="auto"/>
                        <w:right w:val="none" w:sz="0" w:space="0" w:color="auto"/>
                      </w:divBdr>
                    </w:div>
                  </w:divsChild>
                </w:div>
                <w:div w:id="1060403646">
                  <w:marLeft w:val="0"/>
                  <w:marRight w:val="0"/>
                  <w:marTop w:val="0"/>
                  <w:marBottom w:val="0"/>
                  <w:divBdr>
                    <w:top w:val="none" w:sz="0" w:space="0" w:color="auto"/>
                    <w:left w:val="none" w:sz="0" w:space="0" w:color="auto"/>
                    <w:bottom w:val="none" w:sz="0" w:space="0" w:color="auto"/>
                    <w:right w:val="none" w:sz="0" w:space="0" w:color="auto"/>
                  </w:divBdr>
                  <w:divsChild>
                    <w:div w:id="1205823830">
                      <w:marLeft w:val="0"/>
                      <w:marRight w:val="0"/>
                      <w:marTop w:val="0"/>
                      <w:marBottom w:val="0"/>
                      <w:divBdr>
                        <w:top w:val="none" w:sz="0" w:space="0" w:color="auto"/>
                        <w:left w:val="none" w:sz="0" w:space="0" w:color="auto"/>
                        <w:bottom w:val="none" w:sz="0" w:space="0" w:color="auto"/>
                        <w:right w:val="none" w:sz="0" w:space="0" w:color="auto"/>
                      </w:divBdr>
                    </w:div>
                  </w:divsChild>
                </w:div>
                <w:div w:id="1064329441">
                  <w:marLeft w:val="0"/>
                  <w:marRight w:val="0"/>
                  <w:marTop w:val="0"/>
                  <w:marBottom w:val="0"/>
                  <w:divBdr>
                    <w:top w:val="none" w:sz="0" w:space="0" w:color="auto"/>
                    <w:left w:val="none" w:sz="0" w:space="0" w:color="auto"/>
                    <w:bottom w:val="none" w:sz="0" w:space="0" w:color="auto"/>
                    <w:right w:val="none" w:sz="0" w:space="0" w:color="auto"/>
                  </w:divBdr>
                  <w:divsChild>
                    <w:div w:id="9374339">
                      <w:marLeft w:val="0"/>
                      <w:marRight w:val="0"/>
                      <w:marTop w:val="0"/>
                      <w:marBottom w:val="0"/>
                      <w:divBdr>
                        <w:top w:val="none" w:sz="0" w:space="0" w:color="auto"/>
                        <w:left w:val="none" w:sz="0" w:space="0" w:color="auto"/>
                        <w:bottom w:val="none" w:sz="0" w:space="0" w:color="auto"/>
                        <w:right w:val="none" w:sz="0" w:space="0" w:color="auto"/>
                      </w:divBdr>
                    </w:div>
                  </w:divsChild>
                </w:div>
                <w:div w:id="1072772770">
                  <w:marLeft w:val="0"/>
                  <w:marRight w:val="0"/>
                  <w:marTop w:val="0"/>
                  <w:marBottom w:val="0"/>
                  <w:divBdr>
                    <w:top w:val="none" w:sz="0" w:space="0" w:color="auto"/>
                    <w:left w:val="none" w:sz="0" w:space="0" w:color="auto"/>
                    <w:bottom w:val="none" w:sz="0" w:space="0" w:color="auto"/>
                    <w:right w:val="none" w:sz="0" w:space="0" w:color="auto"/>
                  </w:divBdr>
                  <w:divsChild>
                    <w:div w:id="1243875290">
                      <w:marLeft w:val="0"/>
                      <w:marRight w:val="0"/>
                      <w:marTop w:val="0"/>
                      <w:marBottom w:val="0"/>
                      <w:divBdr>
                        <w:top w:val="none" w:sz="0" w:space="0" w:color="auto"/>
                        <w:left w:val="none" w:sz="0" w:space="0" w:color="auto"/>
                        <w:bottom w:val="none" w:sz="0" w:space="0" w:color="auto"/>
                        <w:right w:val="none" w:sz="0" w:space="0" w:color="auto"/>
                      </w:divBdr>
                    </w:div>
                  </w:divsChild>
                </w:div>
                <w:div w:id="1235894194">
                  <w:marLeft w:val="0"/>
                  <w:marRight w:val="0"/>
                  <w:marTop w:val="0"/>
                  <w:marBottom w:val="0"/>
                  <w:divBdr>
                    <w:top w:val="none" w:sz="0" w:space="0" w:color="auto"/>
                    <w:left w:val="none" w:sz="0" w:space="0" w:color="auto"/>
                    <w:bottom w:val="none" w:sz="0" w:space="0" w:color="auto"/>
                    <w:right w:val="none" w:sz="0" w:space="0" w:color="auto"/>
                  </w:divBdr>
                  <w:divsChild>
                    <w:div w:id="826677248">
                      <w:marLeft w:val="0"/>
                      <w:marRight w:val="0"/>
                      <w:marTop w:val="0"/>
                      <w:marBottom w:val="0"/>
                      <w:divBdr>
                        <w:top w:val="none" w:sz="0" w:space="0" w:color="auto"/>
                        <w:left w:val="none" w:sz="0" w:space="0" w:color="auto"/>
                        <w:bottom w:val="none" w:sz="0" w:space="0" w:color="auto"/>
                        <w:right w:val="none" w:sz="0" w:space="0" w:color="auto"/>
                      </w:divBdr>
                    </w:div>
                  </w:divsChild>
                </w:div>
                <w:div w:id="1244753143">
                  <w:marLeft w:val="0"/>
                  <w:marRight w:val="0"/>
                  <w:marTop w:val="0"/>
                  <w:marBottom w:val="0"/>
                  <w:divBdr>
                    <w:top w:val="none" w:sz="0" w:space="0" w:color="auto"/>
                    <w:left w:val="none" w:sz="0" w:space="0" w:color="auto"/>
                    <w:bottom w:val="none" w:sz="0" w:space="0" w:color="auto"/>
                    <w:right w:val="none" w:sz="0" w:space="0" w:color="auto"/>
                  </w:divBdr>
                  <w:divsChild>
                    <w:div w:id="995885291">
                      <w:marLeft w:val="0"/>
                      <w:marRight w:val="0"/>
                      <w:marTop w:val="0"/>
                      <w:marBottom w:val="0"/>
                      <w:divBdr>
                        <w:top w:val="none" w:sz="0" w:space="0" w:color="auto"/>
                        <w:left w:val="none" w:sz="0" w:space="0" w:color="auto"/>
                        <w:bottom w:val="none" w:sz="0" w:space="0" w:color="auto"/>
                        <w:right w:val="none" w:sz="0" w:space="0" w:color="auto"/>
                      </w:divBdr>
                    </w:div>
                  </w:divsChild>
                </w:div>
                <w:div w:id="1283079075">
                  <w:marLeft w:val="0"/>
                  <w:marRight w:val="0"/>
                  <w:marTop w:val="0"/>
                  <w:marBottom w:val="0"/>
                  <w:divBdr>
                    <w:top w:val="none" w:sz="0" w:space="0" w:color="auto"/>
                    <w:left w:val="none" w:sz="0" w:space="0" w:color="auto"/>
                    <w:bottom w:val="none" w:sz="0" w:space="0" w:color="auto"/>
                    <w:right w:val="none" w:sz="0" w:space="0" w:color="auto"/>
                  </w:divBdr>
                  <w:divsChild>
                    <w:div w:id="626160036">
                      <w:marLeft w:val="0"/>
                      <w:marRight w:val="0"/>
                      <w:marTop w:val="0"/>
                      <w:marBottom w:val="0"/>
                      <w:divBdr>
                        <w:top w:val="none" w:sz="0" w:space="0" w:color="auto"/>
                        <w:left w:val="none" w:sz="0" w:space="0" w:color="auto"/>
                        <w:bottom w:val="none" w:sz="0" w:space="0" w:color="auto"/>
                        <w:right w:val="none" w:sz="0" w:space="0" w:color="auto"/>
                      </w:divBdr>
                    </w:div>
                  </w:divsChild>
                </w:div>
                <w:div w:id="1302924152">
                  <w:marLeft w:val="0"/>
                  <w:marRight w:val="0"/>
                  <w:marTop w:val="0"/>
                  <w:marBottom w:val="0"/>
                  <w:divBdr>
                    <w:top w:val="none" w:sz="0" w:space="0" w:color="auto"/>
                    <w:left w:val="none" w:sz="0" w:space="0" w:color="auto"/>
                    <w:bottom w:val="none" w:sz="0" w:space="0" w:color="auto"/>
                    <w:right w:val="none" w:sz="0" w:space="0" w:color="auto"/>
                  </w:divBdr>
                  <w:divsChild>
                    <w:div w:id="973564383">
                      <w:marLeft w:val="0"/>
                      <w:marRight w:val="0"/>
                      <w:marTop w:val="0"/>
                      <w:marBottom w:val="0"/>
                      <w:divBdr>
                        <w:top w:val="none" w:sz="0" w:space="0" w:color="auto"/>
                        <w:left w:val="none" w:sz="0" w:space="0" w:color="auto"/>
                        <w:bottom w:val="none" w:sz="0" w:space="0" w:color="auto"/>
                        <w:right w:val="none" w:sz="0" w:space="0" w:color="auto"/>
                      </w:divBdr>
                    </w:div>
                    <w:div w:id="1258294218">
                      <w:marLeft w:val="0"/>
                      <w:marRight w:val="0"/>
                      <w:marTop w:val="0"/>
                      <w:marBottom w:val="0"/>
                      <w:divBdr>
                        <w:top w:val="none" w:sz="0" w:space="0" w:color="auto"/>
                        <w:left w:val="none" w:sz="0" w:space="0" w:color="auto"/>
                        <w:bottom w:val="none" w:sz="0" w:space="0" w:color="auto"/>
                        <w:right w:val="none" w:sz="0" w:space="0" w:color="auto"/>
                      </w:divBdr>
                    </w:div>
                  </w:divsChild>
                </w:div>
                <w:div w:id="1339775708">
                  <w:marLeft w:val="0"/>
                  <w:marRight w:val="0"/>
                  <w:marTop w:val="0"/>
                  <w:marBottom w:val="0"/>
                  <w:divBdr>
                    <w:top w:val="none" w:sz="0" w:space="0" w:color="auto"/>
                    <w:left w:val="none" w:sz="0" w:space="0" w:color="auto"/>
                    <w:bottom w:val="none" w:sz="0" w:space="0" w:color="auto"/>
                    <w:right w:val="none" w:sz="0" w:space="0" w:color="auto"/>
                  </w:divBdr>
                  <w:divsChild>
                    <w:div w:id="778990272">
                      <w:marLeft w:val="0"/>
                      <w:marRight w:val="0"/>
                      <w:marTop w:val="0"/>
                      <w:marBottom w:val="0"/>
                      <w:divBdr>
                        <w:top w:val="none" w:sz="0" w:space="0" w:color="auto"/>
                        <w:left w:val="none" w:sz="0" w:space="0" w:color="auto"/>
                        <w:bottom w:val="none" w:sz="0" w:space="0" w:color="auto"/>
                        <w:right w:val="none" w:sz="0" w:space="0" w:color="auto"/>
                      </w:divBdr>
                    </w:div>
                  </w:divsChild>
                </w:div>
                <w:div w:id="1360426770">
                  <w:marLeft w:val="0"/>
                  <w:marRight w:val="0"/>
                  <w:marTop w:val="0"/>
                  <w:marBottom w:val="0"/>
                  <w:divBdr>
                    <w:top w:val="none" w:sz="0" w:space="0" w:color="auto"/>
                    <w:left w:val="none" w:sz="0" w:space="0" w:color="auto"/>
                    <w:bottom w:val="none" w:sz="0" w:space="0" w:color="auto"/>
                    <w:right w:val="none" w:sz="0" w:space="0" w:color="auto"/>
                  </w:divBdr>
                  <w:divsChild>
                    <w:div w:id="908805263">
                      <w:marLeft w:val="0"/>
                      <w:marRight w:val="0"/>
                      <w:marTop w:val="0"/>
                      <w:marBottom w:val="0"/>
                      <w:divBdr>
                        <w:top w:val="none" w:sz="0" w:space="0" w:color="auto"/>
                        <w:left w:val="none" w:sz="0" w:space="0" w:color="auto"/>
                        <w:bottom w:val="none" w:sz="0" w:space="0" w:color="auto"/>
                        <w:right w:val="none" w:sz="0" w:space="0" w:color="auto"/>
                      </w:divBdr>
                    </w:div>
                    <w:div w:id="1546527494">
                      <w:marLeft w:val="0"/>
                      <w:marRight w:val="0"/>
                      <w:marTop w:val="0"/>
                      <w:marBottom w:val="0"/>
                      <w:divBdr>
                        <w:top w:val="none" w:sz="0" w:space="0" w:color="auto"/>
                        <w:left w:val="none" w:sz="0" w:space="0" w:color="auto"/>
                        <w:bottom w:val="none" w:sz="0" w:space="0" w:color="auto"/>
                        <w:right w:val="none" w:sz="0" w:space="0" w:color="auto"/>
                      </w:divBdr>
                    </w:div>
                  </w:divsChild>
                </w:div>
                <w:div w:id="1376588454">
                  <w:marLeft w:val="0"/>
                  <w:marRight w:val="0"/>
                  <w:marTop w:val="0"/>
                  <w:marBottom w:val="0"/>
                  <w:divBdr>
                    <w:top w:val="none" w:sz="0" w:space="0" w:color="auto"/>
                    <w:left w:val="none" w:sz="0" w:space="0" w:color="auto"/>
                    <w:bottom w:val="none" w:sz="0" w:space="0" w:color="auto"/>
                    <w:right w:val="none" w:sz="0" w:space="0" w:color="auto"/>
                  </w:divBdr>
                  <w:divsChild>
                    <w:div w:id="2110806037">
                      <w:marLeft w:val="0"/>
                      <w:marRight w:val="0"/>
                      <w:marTop w:val="0"/>
                      <w:marBottom w:val="0"/>
                      <w:divBdr>
                        <w:top w:val="none" w:sz="0" w:space="0" w:color="auto"/>
                        <w:left w:val="none" w:sz="0" w:space="0" w:color="auto"/>
                        <w:bottom w:val="none" w:sz="0" w:space="0" w:color="auto"/>
                        <w:right w:val="none" w:sz="0" w:space="0" w:color="auto"/>
                      </w:divBdr>
                    </w:div>
                  </w:divsChild>
                </w:div>
                <w:div w:id="1453935948">
                  <w:marLeft w:val="0"/>
                  <w:marRight w:val="0"/>
                  <w:marTop w:val="0"/>
                  <w:marBottom w:val="0"/>
                  <w:divBdr>
                    <w:top w:val="none" w:sz="0" w:space="0" w:color="auto"/>
                    <w:left w:val="none" w:sz="0" w:space="0" w:color="auto"/>
                    <w:bottom w:val="none" w:sz="0" w:space="0" w:color="auto"/>
                    <w:right w:val="none" w:sz="0" w:space="0" w:color="auto"/>
                  </w:divBdr>
                  <w:divsChild>
                    <w:div w:id="1956718063">
                      <w:marLeft w:val="0"/>
                      <w:marRight w:val="0"/>
                      <w:marTop w:val="0"/>
                      <w:marBottom w:val="0"/>
                      <w:divBdr>
                        <w:top w:val="none" w:sz="0" w:space="0" w:color="auto"/>
                        <w:left w:val="none" w:sz="0" w:space="0" w:color="auto"/>
                        <w:bottom w:val="none" w:sz="0" w:space="0" w:color="auto"/>
                        <w:right w:val="none" w:sz="0" w:space="0" w:color="auto"/>
                      </w:divBdr>
                    </w:div>
                  </w:divsChild>
                </w:div>
                <w:div w:id="1462311580">
                  <w:marLeft w:val="0"/>
                  <w:marRight w:val="0"/>
                  <w:marTop w:val="0"/>
                  <w:marBottom w:val="0"/>
                  <w:divBdr>
                    <w:top w:val="none" w:sz="0" w:space="0" w:color="auto"/>
                    <w:left w:val="none" w:sz="0" w:space="0" w:color="auto"/>
                    <w:bottom w:val="none" w:sz="0" w:space="0" w:color="auto"/>
                    <w:right w:val="none" w:sz="0" w:space="0" w:color="auto"/>
                  </w:divBdr>
                  <w:divsChild>
                    <w:div w:id="1240797387">
                      <w:marLeft w:val="0"/>
                      <w:marRight w:val="0"/>
                      <w:marTop w:val="0"/>
                      <w:marBottom w:val="0"/>
                      <w:divBdr>
                        <w:top w:val="none" w:sz="0" w:space="0" w:color="auto"/>
                        <w:left w:val="none" w:sz="0" w:space="0" w:color="auto"/>
                        <w:bottom w:val="none" w:sz="0" w:space="0" w:color="auto"/>
                        <w:right w:val="none" w:sz="0" w:space="0" w:color="auto"/>
                      </w:divBdr>
                    </w:div>
                  </w:divsChild>
                </w:div>
                <w:div w:id="1566648632">
                  <w:marLeft w:val="0"/>
                  <w:marRight w:val="0"/>
                  <w:marTop w:val="0"/>
                  <w:marBottom w:val="0"/>
                  <w:divBdr>
                    <w:top w:val="none" w:sz="0" w:space="0" w:color="auto"/>
                    <w:left w:val="none" w:sz="0" w:space="0" w:color="auto"/>
                    <w:bottom w:val="none" w:sz="0" w:space="0" w:color="auto"/>
                    <w:right w:val="none" w:sz="0" w:space="0" w:color="auto"/>
                  </w:divBdr>
                  <w:divsChild>
                    <w:div w:id="1087531912">
                      <w:marLeft w:val="0"/>
                      <w:marRight w:val="0"/>
                      <w:marTop w:val="0"/>
                      <w:marBottom w:val="0"/>
                      <w:divBdr>
                        <w:top w:val="none" w:sz="0" w:space="0" w:color="auto"/>
                        <w:left w:val="none" w:sz="0" w:space="0" w:color="auto"/>
                        <w:bottom w:val="none" w:sz="0" w:space="0" w:color="auto"/>
                        <w:right w:val="none" w:sz="0" w:space="0" w:color="auto"/>
                      </w:divBdr>
                    </w:div>
                  </w:divsChild>
                </w:div>
                <w:div w:id="1595748640">
                  <w:marLeft w:val="0"/>
                  <w:marRight w:val="0"/>
                  <w:marTop w:val="0"/>
                  <w:marBottom w:val="0"/>
                  <w:divBdr>
                    <w:top w:val="none" w:sz="0" w:space="0" w:color="auto"/>
                    <w:left w:val="none" w:sz="0" w:space="0" w:color="auto"/>
                    <w:bottom w:val="none" w:sz="0" w:space="0" w:color="auto"/>
                    <w:right w:val="none" w:sz="0" w:space="0" w:color="auto"/>
                  </w:divBdr>
                  <w:divsChild>
                    <w:div w:id="1165052418">
                      <w:marLeft w:val="0"/>
                      <w:marRight w:val="0"/>
                      <w:marTop w:val="0"/>
                      <w:marBottom w:val="0"/>
                      <w:divBdr>
                        <w:top w:val="none" w:sz="0" w:space="0" w:color="auto"/>
                        <w:left w:val="none" w:sz="0" w:space="0" w:color="auto"/>
                        <w:bottom w:val="none" w:sz="0" w:space="0" w:color="auto"/>
                        <w:right w:val="none" w:sz="0" w:space="0" w:color="auto"/>
                      </w:divBdr>
                    </w:div>
                  </w:divsChild>
                </w:div>
                <w:div w:id="1700818463">
                  <w:marLeft w:val="0"/>
                  <w:marRight w:val="0"/>
                  <w:marTop w:val="0"/>
                  <w:marBottom w:val="0"/>
                  <w:divBdr>
                    <w:top w:val="none" w:sz="0" w:space="0" w:color="auto"/>
                    <w:left w:val="none" w:sz="0" w:space="0" w:color="auto"/>
                    <w:bottom w:val="none" w:sz="0" w:space="0" w:color="auto"/>
                    <w:right w:val="none" w:sz="0" w:space="0" w:color="auto"/>
                  </w:divBdr>
                  <w:divsChild>
                    <w:div w:id="445931119">
                      <w:marLeft w:val="0"/>
                      <w:marRight w:val="0"/>
                      <w:marTop w:val="0"/>
                      <w:marBottom w:val="0"/>
                      <w:divBdr>
                        <w:top w:val="none" w:sz="0" w:space="0" w:color="auto"/>
                        <w:left w:val="none" w:sz="0" w:space="0" w:color="auto"/>
                        <w:bottom w:val="none" w:sz="0" w:space="0" w:color="auto"/>
                        <w:right w:val="none" w:sz="0" w:space="0" w:color="auto"/>
                      </w:divBdr>
                    </w:div>
                  </w:divsChild>
                </w:div>
                <w:div w:id="1701392764">
                  <w:marLeft w:val="0"/>
                  <w:marRight w:val="0"/>
                  <w:marTop w:val="0"/>
                  <w:marBottom w:val="0"/>
                  <w:divBdr>
                    <w:top w:val="none" w:sz="0" w:space="0" w:color="auto"/>
                    <w:left w:val="none" w:sz="0" w:space="0" w:color="auto"/>
                    <w:bottom w:val="none" w:sz="0" w:space="0" w:color="auto"/>
                    <w:right w:val="none" w:sz="0" w:space="0" w:color="auto"/>
                  </w:divBdr>
                  <w:divsChild>
                    <w:div w:id="1127508311">
                      <w:marLeft w:val="0"/>
                      <w:marRight w:val="0"/>
                      <w:marTop w:val="0"/>
                      <w:marBottom w:val="0"/>
                      <w:divBdr>
                        <w:top w:val="none" w:sz="0" w:space="0" w:color="auto"/>
                        <w:left w:val="none" w:sz="0" w:space="0" w:color="auto"/>
                        <w:bottom w:val="none" w:sz="0" w:space="0" w:color="auto"/>
                        <w:right w:val="none" w:sz="0" w:space="0" w:color="auto"/>
                      </w:divBdr>
                    </w:div>
                  </w:divsChild>
                </w:div>
                <w:div w:id="1722173684">
                  <w:marLeft w:val="0"/>
                  <w:marRight w:val="0"/>
                  <w:marTop w:val="0"/>
                  <w:marBottom w:val="0"/>
                  <w:divBdr>
                    <w:top w:val="none" w:sz="0" w:space="0" w:color="auto"/>
                    <w:left w:val="none" w:sz="0" w:space="0" w:color="auto"/>
                    <w:bottom w:val="none" w:sz="0" w:space="0" w:color="auto"/>
                    <w:right w:val="none" w:sz="0" w:space="0" w:color="auto"/>
                  </w:divBdr>
                  <w:divsChild>
                    <w:div w:id="941911651">
                      <w:marLeft w:val="0"/>
                      <w:marRight w:val="0"/>
                      <w:marTop w:val="0"/>
                      <w:marBottom w:val="0"/>
                      <w:divBdr>
                        <w:top w:val="none" w:sz="0" w:space="0" w:color="auto"/>
                        <w:left w:val="none" w:sz="0" w:space="0" w:color="auto"/>
                        <w:bottom w:val="none" w:sz="0" w:space="0" w:color="auto"/>
                        <w:right w:val="none" w:sz="0" w:space="0" w:color="auto"/>
                      </w:divBdr>
                    </w:div>
                  </w:divsChild>
                </w:div>
                <w:div w:id="1793208436">
                  <w:marLeft w:val="0"/>
                  <w:marRight w:val="0"/>
                  <w:marTop w:val="0"/>
                  <w:marBottom w:val="0"/>
                  <w:divBdr>
                    <w:top w:val="none" w:sz="0" w:space="0" w:color="auto"/>
                    <w:left w:val="none" w:sz="0" w:space="0" w:color="auto"/>
                    <w:bottom w:val="none" w:sz="0" w:space="0" w:color="auto"/>
                    <w:right w:val="none" w:sz="0" w:space="0" w:color="auto"/>
                  </w:divBdr>
                  <w:divsChild>
                    <w:div w:id="2018072044">
                      <w:marLeft w:val="0"/>
                      <w:marRight w:val="0"/>
                      <w:marTop w:val="0"/>
                      <w:marBottom w:val="0"/>
                      <w:divBdr>
                        <w:top w:val="none" w:sz="0" w:space="0" w:color="auto"/>
                        <w:left w:val="none" w:sz="0" w:space="0" w:color="auto"/>
                        <w:bottom w:val="none" w:sz="0" w:space="0" w:color="auto"/>
                        <w:right w:val="none" w:sz="0" w:space="0" w:color="auto"/>
                      </w:divBdr>
                    </w:div>
                  </w:divsChild>
                </w:div>
                <w:div w:id="1809515749">
                  <w:marLeft w:val="0"/>
                  <w:marRight w:val="0"/>
                  <w:marTop w:val="0"/>
                  <w:marBottom w:val="0"/>
                  <w:divBdr>
                    <w:top w:val="none" w:sz="0" w:space="0" w:color="auto"/>
                    <w:left w:val="none" w:sz="0" w:space="0" w:color="auto"/>
                    <w:bottom w:val="none" w:sz="0" w:space="0" w:color="auto"/>
                    <w:right w:val="none" w:sz="0" w:space="0" w:color="auto"/>
                  </w:divBdr>
                  <w:divsChild>
                    <w:div w:id="1057169696">
                      <w:marLeft w:val="0"/>
                      <w:marRight w:val="0"/>
                      <w:marTop w:val="0"/>
                      <w:marBottom w:val="0"/>
                      <w:divBdr>
                        <w:top w:val="none" w:sz="0" w:space="0" w:color="auto"/>
                        <w:left w:val="none" w:sz="0" w:space="0" w:color="auto"/>
                        <w:bottom w:val="none" w:sz="0" w:space="0" w:color="auto"/>
                        <w:right w:val="none" w:sz="0" w:space="0" w:color="auto"/>
                      </w:divBdr>
                    </w:div>
                  </w:divsChild>
                </w:div>
                <w:div w:id="1847354575">
                  <w:marLeft w:val="0"/>
                  <w:marRight w:val="0"/>
                  <w:marTop w:val="0"/>
                  <w:marBottom w:val="0"/>
                  <w:divBdr>
                    <w:top w:val="none" w:sz="0" w:space="0" w:color="auto"/>
                    <w:left w:val="none" w:sz="0" w:space="0" w:color="auto"/>
                    <w:bottom w:val="none" w:sz="0" w:space="0" w:color="auto"/>
                    <w:right w:val="none" w:sz="0" w:space="0" w:color="auto"/>
                  </w:divBdr>
                  <w:divsChild>
                    <w:div w:id="1651788718">
                      <w:marLeft w:val="0"/>
                      <w:marRight w:val="0"/>
                      <w:marTop w:val="0"/>
                      <w:marBottom w:val="0"/>
                      <w:divBdr>
                        <w:top w:val="none" w:sz="0" w:space="0" w:color="auto"/>
                        <w:left w:val="none" w:sz="0" w:space="0" w:color="auto"/>
                        <w:bottom w:val="none" w:sz="0" w:space="0" w:color="auto"/>
                        <w:right w:val="none" w:sz="0" w:space="0" w:color="auto"/>
                      </w:divBdr>
                    </w:div>
                  </w:divsChild>
                </w:div>
                <w:div w:id="1864632038">
                  <w:marLeft w:val="0"/>
                  <w:marRight w:val="0"/>
                  <w:marTop w:val="0"/>
                  <w:marBottom w:val="0"/>
                  <w:divBdr>
                    <w:top w:val="none" w:sz="0" w:space="0" w:color="auto"/>
                    <w:left w:val="none" w:sz="0" w:space="0" w:color="auto"/>
                    <w:bottom w:val="none" w:sz="0" w:space="0" w:color="auto"/>
                    <w:right w:val="none" w:sz="0" w:space="0" w:color="auto"/>
                  </w:divBdr>
                  <w:divsChild>
                    <w:div w:id="980382501">
                      <w:marLeft w:val="0"/>
                      <w:marRight w:val="0"/>
                      <w:marTop w:val="0"/>
                      <w:marBottom w:val="0"/>
                      <w:divBdr>
                        <w:top w:val="none" w:sz="0" w:space="0" w:color="auto"/>
                        <w:left w:val="none" w:sz="0" w:space="0" w:color="auto"/>
                        <w:bottom w:val="none" w:sz="0" w:space="0" w:color="auto"/>
                        <w:right w:val="none" w:sz="0" w:space="0" w:color="auto"/>
                      </w:divBdr>
                    </w:div>
                  </w:divsChild>
                </w:div>
                <w:div w:id="1885410238">
                  <w:marLeft w:val="0"/>
                  <w:marRight w:val="0"/>
                  <w:marTop w:val="0"/>
                  <w:marBottom w:val="0"/>
                  <w:divBdr>
                    <w:top w:val="none" w:sz="0" w:space="0" w:color="auto"/>
                    <w:left w:val="none" w:sz="0" w:space="0" w:color="auto"/>
                    <w:bottom w:val="none" w:sz="0" w:space="0" w:color="auto"/>
                    <w:right w:val="none" w:sz="0" w:space="0" w:color="auto"/>
                  </w:divBdr>
                  <w:divsChild>
                    <w:div w:id="1128015230">
                      <w:marLeft w:val="0"/>
                      <w:marRight w:val="0"/>
                      <w:marTop w:val="0"/>
                      <w:marBottom w:val="0"/>
                      <w:divBdr>
                        <w:top w:val="none" w:sz="0" w:space="0" w:color="auto"/>
                        <w:left w:val="none" w:sz="0" w:space="0" w:color="auto"/>
                        <w:bottom w:val="none" w:sz="0" w:space="0" w:color="auto"/>
                        <w:right w:val="none" w:sz="0" w:space="0" w:color="auto"/>
                      </w:divBdr>
                    </w:div>
                  </w:divsChild>
                </w:div>
                <w:div w:id="1939215573">
                  <w:marLeft w:val="0"/>
                  <w:marRight w:val="0"/>
                  <w:marTop w:val="0"/>
                  <w:marBottom w:val="0"/>
                  <w:divBdr>
                    <w:top w:val="none" w:sz="0" w:space="0" w:color="auto"/>
                    <w:left w:val="none" w:sz="0" w:space="0" w:color="auto"/>
                    <w:bottom w:val="none" w:sz="0" w:space="0" w:color="auto"/>
                    <w:right w:val="none" w:sz="0" w:space="0" w:color="auto"/>
                  </w:divBdr>
                  <w:divsChild>
                    <w:div w:id="1191144986">
                      <w:marLeft w:val="0"/>
                      <w:marRight w:val="0"/>
                      <w:marTop w:val="0"/>
                      <w:marBottom w:val="0"/>
                      <w:divBdr>
                        <w:top w:val="none" w:sz="0" w:space="0" w:color="auto"/>
                        <w:left w:val="none" w:sz="0" w:space="0" w:color="auto"/>
                        <w:bottom w:val="none" w:sz="0" w:space="0" w:color="auto"/>
                        <w:right w:val="none" w:sz="0" w:space="0" w:color="auto"/>
                      </w:divBdr>
                    </w:div>
                  </w:divsChild>
                </w:div>
                <w:div w:id="1993177451">
                  <w:marLeft w:val="0"/>
                  <w:marRight w:val="0"/>
                  <w:marTop w:val="0"/>
                  <w:marBottom w:val="0"/>
                  <w:divBdr>
                    <w:top w:val="none" w:sz="0" w:space="0" w:color="auto"/>
                    <w:left w:val="none" w:sz="0" w:space="0" w:color="auto"/>
                    <w:bottom w:val="none" w:sz="0" w:space="0" w:color="auto"/>
                    <w:right w:val="none" w:sz="0" w:space="0" w:color="auto"/>
                  </w:divBdr>
                  <w:divsChild>
                    <w:div w:id="148324166">
                      <w:marLeft w:val="0"/>
                      <w:marRight w:val="0"/>
                      <w:marTop w:val="0"/>
                      <w:marBottom w:val="0"/>
                      <w:divBdr>
                        <w:top w:val="none" w:sz="0" w:space="0" w:color="auto"/>
                        <w:left w:val="none" w:sz="0" w:space="0" w:color="auto"/>
                        <w:bottom w:val="none" w:sz="0" w:space="0" w:color="auto"/>
                        <w:right w:val="none" w:sz="0" w:space="0" w:color="auto"/>
                      </w:divBdr>
                    </w:div>
                  </w:divsChild>
                </w:div>
                <w:div w:id="2000962491">
                  <w:marLeft w:val="0"/>
                  <w:marRight w:val="0"/>
                  <w:marTop w:val="0"/>
                  <w:marBottom w:val="0"/>
                  <w:divBdr>
                    <w:top w:val="none" w:sz="0" w:space="0" w:color="auto"/>
                    <w:left w:val="none" w:sz="0" w:space="0" w:color="auto"/>
                    <w:bottom w:val="none" w:sz="0" w:space="0" w:color="auto"/>
                    <w:right w:val="none" w:sz="0" w:space="0" w:color="auto"/>
                  </w:divBdr>
                  <w:divsChild>
                    <w:div w:id="1567496270">
                      <w:marLeft w:val="0"/>
                      <w:marRight w:val="0"/>
                      <w:marTop w:val="0"/>
                      <w:marBottom w:val="0"/>
                      <w:divBdr>
                        <w:top w:val="none" w:sz="0" w:space="0" w:color="auto"/>
                        <w:left w:val="none" w:sz="0" w:space="0" w:color="auto"/>
                        <w:bottom w:val="none" w:sz="0" w:space="0" w:color="auto"/>
                        <w:right w:val="none" w:sz="0" w:space="0" w:color="auto"/>
                      </w:divBdr>
                    </w:div>
                  </w:divsChild>
                </w:div>
                <w:div w:id="2014061650">
                  <w:marLeft w:val="0"/>
                  <w:marRight w:val="0"/>
                  <w:marTop w:val="0"/>
                  <w:marBottom w:val="0"/>
                  <w:divBdr>
                    <w:top w:val="none" w:sz="0" w:space="0" w:color="auto"/>
                    <w:left w:val="none" w:sz="0" w:space="0" w:color="auto"/>
                    <w:bottom w:val="none" w:sz="0" w:space="0" w:color="auto"/>
                    <w:right w:val="none" w:sz="0" w:space="0" w:color="auto"/>
                  </w:divBdr>
                  <w:divsChild>
                    <w:div w:id="327366576">
                      <w:marLeft w:val="0"/>
                      <w:marRight w:val="0"/>
                      <w:marTop w:val="0"/>
                      <w:marBottom w:val="0"/>
                      <w:divBdr>
                        <w:top w:val="none" w:sz="0" w:space="0" w:color="auto"/>
                        <w:left w:val="none" w:sz="0" w:space="0" w:color="auto"/>
                        <w:bottom w:val="none" w:sz="0" w:space="0" w:color="auto"/>
                        <w:right w:val="none" w:sz="0" w:space="0" w:color="auto"/>
                      </w:divBdr>
                    </w:div>
                  </w:divsChild>
                </w:div>
                <w:div w:id="2061706024">
                  <w:marLeft w:val="0"/>
                  <w:marRight w:val="0"/>
                  <w:marTop w:val="0"/>
                  <w:marBottom w:val="0"/>
                  <w:divBdr>
                    <w:top w:val="none" w:sz="0" w:space="0" w:color="auto"/>
                    <w:left w:val="none" w:sz="0" w:space="0" w:color="auto"/>
                    <w:bottom w:val="none" w:sz="0" w:space="0" w:color="auto"/>
                    <w:right w:val="none" w:sz="0" w:space="0" w:color="auto"/>
                  </w:divBdr>
                  <w:divsChild>
                    <w:div w:id="965896136">
                      <w:marLeft w:val="0"/>
                      <w:marRight w:val="0"/>
                      <w:marTop w:val="0"/>
                      <w:marBottom w:val="0"/>
                      <w:divBdr>
                        <w:top w:val="none" w:sz="0" w:space="0" w:color="auto"/>
                        <w:left w:val="none" w:sz="0" w:space="0" w:color="auto"/>
                        <w:bottom w:val="none" w:sz="0" w:space="0" w:color="auto"/>
                        <w:right w:val="none" w:sz="0" w:space="0" w:color="auto"/>
                      </w:divBdr>
                    </w:div>
                  </w:divsChild>
                </w:div>
                <w:div w:id="2069257391">
                  <w:marLeft w:val="0"/>
                  <w:marRight w:val="0"/>
                  <w:marTop w:val="0"/>
                  <w:marBottom w:val="0"/>
                  <w:divBdr>
                    <w:top w:val="none" w:sz="0" w:space="0" w:color="auto"/>
                    <w:left w:val="none" w:sz="0" w:space="0" w:color="auto"/>
                    <w:bottom w:val="none" w:sz="0" w:space="0" w:color="auto"/>
                    <w:right w:val="none" w:sz="0" w:space="0" w:color="auto"/>
                  </w:divBdr>
                  <w:divsChild>
                    <w:div w:id="132719174">
                      <w:marLeft w:val="0"/>
                      <w:marRight w:val="0"/>
                      <w:marTop w:val="0"/>
                      <w:marBottom w:val="0"/>
                      <w:divBdr>
                        <w:top w:val="none" w:sz="0" w:space="0" w:color="auto"/>
                        <w:left w:val="none" w:sz="0" w:space="0" w:color="auto"/>
                        <w:bottom w:val="none" w:sz="0" w:space="0" w:color="auto"/>
                        <w:right w:val="none" w:sz="0" w:space="0" w:color="auto"/>
                      </w:divBdr>
                    </w:div>
                  </w:divsChild>
                </w:div>
                <w:div w:id="2074041848">
                  <w:marLeft w:val="0"/>
                  <w:marRight w:val="0"/>
                  <w:marTop w:val="0"/>
                  <w:marBottom w:val="0"/>
                  <w:divBdr>
                    <w:top w:val="none" w:sz="0" w:space="0" w:color="auto"/>
                    <w:left w:val="none" w:sz="0" w:space="0" w:color="auto"/>
                    <w:bottom w:val="none" w:sz="0" w:space="0" w:color="auto"/>
                    <w:right w:val="none" w:sz="0" w:space="0" w:color="auto"/>
                  </w:divBdr>
                  <w:divsChild>
                    <w:div w:id="1450901737">
                      <w:marLeft w:val="0"/>
                      <w:marRight w:val="0"/>
                      <w:marTop w:val="0"/>
                      <w:marBottom w:val="0"/>
                      <w:divBdr>
                        <w:top w:val="none" w:sz="0" w:space="0" w:color="auto"/>
                        <w:left w:val="none" w:sz="0" w:space="0" w:color="auto"/>
                        <w:bottom w:val="none" w:sz="0" w:space="0" w:color="auto"/>
                        <w:right w:val="none" w:sz="0" w:space="0" w:color="auto"/>
                      </w:divBdr>
                    </w:div>
                  </w:divsChild>
                </w:div>
                <w:div w:id="2079084364">
                  <w:marLeft w:val="0"/>
                  <w:marRight w:val="0"/>
                  <w:marTop w:val="0"/>
                  <w:marBottom w:val="0"/>
                  <w:divBdr>
                    <w:top w:val="none" w:sz="0" w:space="0" w:color="auto"/>
                    <w:left w:val="none" w:sz="0" w:space="0" w:color="auto"/>
                    <w:bottom w:val="none" w:sz="0" w:space="0" w:color="auto"/>
                    <w:right w:val="none" w:sz="0" w:space="0" w:color="auto"/>
                  </w:divBdr>
                  <w:divsChild>
                    <w:div w:id="1260720192">
                      <w:marLeft w:val="0"/>
                      <w:marRight w:val="0"/>
                      <w:marTop w:val="0"/>
                      <w:marBottom w:val="0"/>
                      <w:divBdr>
                        <w:top w:val="none" w:sz="0" w:space="0" w:color="auto"/>
                        <w:left w:val="none" w:sz="0" w:space="0" w:color="auto"/>
                        <w:bottom w:val="none" w:sz="0" w:space="0" w:color="auto"/>
                        <w:right w:val="none" w:sz="0" w:space="0" w:color="auto"/>
                      </w:divBdr>
                    </w:div>
                  </w:divsChild>
                </w:div>
                <w:div w:id="2103332377">
                  <w:marLeft w:val="0"/>
                  <w:marRight w:val="0"/>
                  <w:marTop w:val="0"/>
                  <w:marBottom w:val="0"/>
                  <w:divBdr>
                    <w:top w:val="none" w:sz="0" w:space="0" w:color="auto"/>
                    <w:left w:val="none" w:sz="0" w:space="0" w:color="auto"/>
                    <w:bottom w:val="none" w:sz="0" w:space="0" w:color="auto"/>
                    <w:right w:val="none" w:sz="0" w:space="0" w:color="auto"/>
                  </w:divBdr>
                  <w:divsChild>
                    <w:div w:id="497816264">
                      <w:marLeft w:val="0"/>
                      <w:marRight w:val="0"/>
                      <w:marTop w:val="0"/>
                      <w:marBottom w:val="0"/>
                      <w:divBdr>
                        <w:top w:val="none" w:sz="0" w:space="0" w:color="auto"/>
                        <w:left w:val="none" w:sz="0" w:space="0" w:color="auto"/>
                        <w:bottom w:val="none" w:sz="0" w:space="0" w:color="auto"/>
                        <w:right w:val="none" w:sz="0" w:space="0" w:color="auto"/>
                      </w:divBdr>
                    </w:div>
                  </w:divsChild>
                </w:div>
                <w:div w:id="2137719096">
                  <w:marLeft w:val="0"/>
                  <w:marRight w:val="0"/>
                  <w:marTop w:val="0"/>
                  <w:marBottom w:val="0"/>
                  <w:divBdr>
                    <w:top w:val="none" w:sz="0" w:space="0" w:color="auto"/>
                    <w:left w:val="none" w:sz="0" w:space="0" w:color="auto"/>
                    <w:bottom w:val="none" w:sz="0" w:space="0" w:color="auto"/>
                    <w:right w:val="none" w:sz="0" w:space="0" w:color="auto"/>
                  </w:divBdr>
                  <w:divsChild>
                    <w:div w:id="898248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698508">
          <w:marLeft w:val="0"/>
          <w:marRight w:val="0"/>
          <w:marTop w:val="0"/>
          <w:marBottom w:val="0"/>
          <w:divBdr>
            <w:top w:val="none" w:sz="0" w:space="0" w:color="auto"/>
            <w:left w:val="none" w:sz="0" w:space="0" w:color="auto"/>
            <w:bottom w:val="none" w:sz="0" w:space="0" w:color="auto"/>
            <w:right w:val="none" w:sz="0" w:space="0" w:color="auto"/>
          </w:divBdr>
        </w:div>
      </w:divsChild>
    </w:div>
    <w:div w:id="677148847">
      <w:bodyDiv w:val="1"/>
      <w:marLeft w:val="0"/>
      <w:marRight w:val="0"/>
      <w:marTop w:val="0"/>
      <w:marBottom w:val="0"/>
      <w:divBdr>
        <w:top w:val="none" w:sz="0" w:space="0" w:color="auto"/>
        <w:left w:val="none" w:sz="0" w:space="0" w:color="auto"/>
        <w:bottom w:val="none" w:sz="0" w:space="0" w:color="auto"/>
        <w:right w:val="none" w:sz="0" w:space="0" w:color="auto"/>
      </w:divBdr>
    </w:div>
    <w:div w:id="705836372">
      <w:bodyDiv w:val="1"/>
      <w:marLeft w:val="0"/>
      <w:marRight w:val="0"/>
      <w:marTop w:val="0"/>
      <w:marBottom w:val="0"/>
      <w:divBdr>
        <w:top w:val="none" w:sz="0" w:space="0" w:color="auto"/>
        <w:left w:val="none" w:sz="0" w:space="0" w:color="auto"/>
        <w:bottom w:val="none" w:sz="0" w:space="0" w:color="auto"/>
        <w:right w:val="none" w:sz="0" w:space="0" w:color="auto"/>
      </w:divBdr>
    </w:div>
    <w:div w:id="745687385">
      <w:bodyDiv w:val="1"/>
      <w:marLeft w:val="0"/>
      <w:marRight w:val="0"/>
      <w:marTop w:val="0"/>
      <w:marBottom w:val="0"/>
      <w:divBdr>
        <w:top w:val="none" w:sz="0" w:space="0" w:color="auto"/>
        <w:left w:val="none" w:sz="0" w:space="0" w:color="auto"/>
        <w:bottom w:val="none" w:sz="0" w:space="0" w:color="auto"/>
        <w:right w:val="none" w:sz="0" w:space="0" w:color="auto"/>
      </w:divBdr>
    </w:div>
    <w:div w:id="780685599">
      <w:bodyDiv w:val="1"/>
      <w:marLeft w:val="0"/>
      <w:marRight w:val="0"/>
      <w:marTop w:val="0"/>
      <w:marBottom w:val="0"/>
      <w:divBdr>
        <w:top w:val="none" w:sz="0" w:space="0" w:color="auto"/>
        <w:left w:val="none" w:sz="0" w:space="0" w:color="auto"/>
        <w:bottom w:val="none" w:sz="0" w:space="0" w:color="auto"/>
        <w:right w:val="none" w:sz="0" w:space="0" w:color="auto"/>
      </w:divBdr>
    </w:div>
    <w:div w:id="788205455">
      <w:bodyDiv w:val="1"/>
      <w:marLeft w:val="0"/>
      <w:marRight w:val="0"/>
      <w:marTop w:val="0"/>
      <w:marBottom w:val="0"/>
      <w:divBdr>
        <w:top w:val="none" w:sz="0" w:space="0" w:color="auto"/>
        <w:left w:val="none" w:sz="0" w:space="0" w:color="auto"/>
        <w:bottom w:val="none" w:sz="0" w:space="0" w:color="auto"/>
        <w:right w:val="none" w:sz="0" w:space="0" w:color="auto"/>
      </w:divBdr>
    </w:div>
    <w:div w:id="836649835">
      <w:bodyDiv w:val="1"/>
      <w:marLeft w:val="0"/>
      <w:marRight w:val="0"/>
      <w:marTop w:val="0"/>
      <w:marBottom w:val="0"/>
      <w:divBdr>
        <w:top w:val="none" w:sz="0" w:space="0" w:color="auto"/>
        <w:left w:val="none" w:sz="0" w:space="0" w:color="auto"/>
        <w:bottom w:val="none" w:sz="0" w:space="0" w:color="auto"/>
        <w:right w:val="none" w:sz="0" w:space="0" w:color="auto"/>
      </w:divBdr>
      <w:divsChild>
        <w:div w:id="953901908">
          <w:marLeft w:val="0"/>
          <w:marRight w:val="0"/>
          <w:marTop w:val="0"/>
          <w:marBottom w:val="0"/>
          <w:divBdr>
            <w:top w:val="none" w:sz="0" w:space="0" w:color="auto"/>
            <w:left w:val="none" w:sz="0" w:space="0" w:color="auto"/>
            <w:bottom w:val="none" w:sz="0" w:space="0" w:color="auto"/>
            <w:right w:val="none" w:sz="0" w:space="0" w:color="auto"/>
          </w:divBdr>
        </w:div>
      </w:divsChild>
    </w:div>
    <w:div w:id="841117549">
      <w:bodyDiv w:val="1"/>
      <w:marLeft w:val="0"/>
      <w:marRight w:val="0"/>
      <w:marTop w:val="0"/>
      <w:marBottom w:val="0"/>
      <w:divBdr>
        <w:top w:val="none" w:sz="0" w:space="0" w:color="auto"/>
        <w:left w:val="none" w:sz="0" w:space="0" w:color="auto"/>
        <w:bottom w:val="none" w:sz="0" w:space="0" w:color="auto"/>
        <w:right w:val="none" w:sz="0" w:space="0" w:color="auto"/>
      </w:divBdr>
    </w:div>
    <w:div w:id="863833995">
      <w:bodyDiv w:val="1"/>
      <w:marLeft w:val="0"/>
      <w:marRight w:val="0"/>
      <w:marTop w:val="0"/>
      <w:marBottom w:val="0"/>
      <w:divBdr>
        <w:top w:val="none" w:sz="0" w:space="0" w:color="auto"/>
        <w:left w:val="none" w:sz="0" w:space="0" w:color="auto"/>
        <w:bottom w:val="none" w:sz="0" w:space="0" w:color="auto"/>
        <w:right w:val="none" w:sz="0" w:space="0" w:color="auto"/>
      </w:divBdr>
    </w:div>
    <w:div w:id="946884318">
      <w:bodyDiv w:val="1"/>
      <w:marLeft w:val="0"/>
      <w:marRight w:val="0"/>
      <w:marTop w:val="0"/>
      <w:marBottom w:val="0"/>
      <w:divBdr>
        <w:top w:val="none" w:sz="0" w:space="0" w:color="auto"/>
        <w:left w:val="none" w:sz="0" w:space="0" w:color="auto"/>
        <w:bottom w:val="none" w:sz="0" w:space="0" w:color="auto"/>
        <w:right w:val="none" w:sz="0" w:space="0" w:color="auto"/>
      </w:divBdr>
      <w:divsChild>
        <w:div w:id="104351912">
          <w:marLeft w:val="0"/>
          <w:marRight w:val="0"/>
          <w:marTop w:val="0"/>
          <w:marBottom w:val="0"/>
          <w:divBdr>
            <w:top w:val="none" w:sz="0" w:space="0" w:color="auto"/>
            <w:left w:val="none" w:sz="0" w:space="0" w:color="auto"/>
            <w:bottom w:val="none" w:sz="0" w:space="0" w:color="auto"/>
            <w:right w:val="none" w:sz="0" w:space="0" w:color="auto"/>
          </w:divBdr>
        </w:div>
        <w:div w:id="381907881">
          <w:marLeft w:val="0"/>
          <w:marRight w:val="0"/>
          <w:marTop w:val="0"/>
          <w:marBottom w:val="0"/>
          <w:divBdr>
            <w:top w:val="none" w:sz="0" w:space="0" w:color="auto"/>
            <w:left w:val="none" w:sz="0" w:space="0" w:color="auto"/>
            <w:bottom w:val="none" w:sz="0" w:space="0" w:color="auto"/>
            <w:right w:val="none" w:sz="0" w:space="0" w:color="auto"/>
          </w:divBdr>
          <w:divsChild>
            <w:div w:id="8340111">
              <w:marLeft w:val="0"/>
              <w:marRight w:val="0"/>
              <w:marTop w:val="30"/>
              <w:marBottom w:val="30"/>
              <w:divBdr>
                <w:top w:val="none" w:sz="0" w:space="0" w:color="auto"/>
                <w:left w:val="none" w:sz="0" w:space="0" w:color="auto"/>
                <w:bottom w:val="none" w:sz="0" w:space="0" w:color="auto"/>
                <w:right w:val="none" w:sz="0" w:space="0" w:color="auto"/>
              </w:divBdr>
              <w:divsChild>
                <w:div w:id="119765355">
                  <w:marLeft w:val="0"/>
                  <w:marRight w:val="0"/>
                  <w:marTop w:val="0"/>
                  <w:marBottom w:val="0"/>
                  <w:divBdr>
                    <w:top w:val="none" w:sz="0" w:space="0" w:color="auto"/>
                    <w:left w:val="none" w:sz="0" w:space="0" w:color="auto"/>
                    <w:bottom w:val="none" w:sz="0" w:space="0" w:color="auto"/>
                    <w:right w:val="none" w:sz="0" w:space="0" w:color="auto"/>
                  </w:divBdr>
                  <w:divsChild>
                    <w:div w:id="1327900681">
                      <w:marLeft w:val="0"/>
                      <w:marRight w:val="0"/>
                      <w:marTop w:val="0"/>
                      <w:marBottom w:val="0"/>
                      <w:divBdr>
                        <w:top w:val="none" w:sz="0" w:space="0" w:color="auto"/>
                        <w:left w:val="none" w:sz="0" w:space="0" w:color="auto"/>
                        <w:bottom w:val="none" w:sz="0" w:space="0" w:color="auto"/>
                        <w:right w:val="none" w:sz="0" w:space="0" w:color="auto"/>
                      </w:divBdr>
                    </w:div>
                  </w:divsChild>
                </w:div>
                <w:div w:id="329337337">
                  <w:marLeft w:val="0"/>
                  <w:marRight w:val="0"/>
                  <w:marTop w:val="0"/>
                  <w:marBottom w:val="0"/>
                  <w:divBdr>
                    <w:top w:val="none" w:sz="0" w:space="0" w:color="auto"/>
                    <w:left w:val="none" w:sz="0" w:space="0" w:color="auto"/>
                    <w:bottom w:val="none" w:sz="0" w:space="0" w:color="auto"/>
                    <w:right w:val="none" w:sz="0" w:space="0" w:color="auto"/>
                  </w:divBdr>
                  <w:divsChild>
                    <w:div w:id="62217270">
                      <w:marLeft w:val="0"/>
                      <w:marRight w:val="0"/>
                      <w:marTop w:val="0"/>
                      <w:marBottom w:val="0"/>
                      <w:divBdr>
                        <w:top w:val="none" w:sz="0" w:space="0" w:color="auto"/>
                        <w:left w:val="none" w:sz="0" w:space="0" w:color="auto"/>
                        <w:bottom w:val="none" w:sz="0" w:space="0" w:color="auto"/>
                        <w:right w:val="none" w:sz="0" w:space="0" w:color="auto"/>
                      </w:divBdr>
                    </w:div>
                    <w:div w:id="383481254">
                      <w:marLeft w:val="0"/>
                      <w:marRight w:val="0"/>
                      <w:marTop w:val="0"/>
                      <w:marBottom w:val="0"/>
                      <w:divBdr>
                        <w:top w:val="none" w:sz="0" w:space="0" w:color="auto"/>
                        <w:left w:val="none" w:sz="0" w:space="0" w:color="auto"/>
                        <w:bottom w:val="none" w:sz="0" w:space="0" w:color="auto"/>
                        <w:right w:val="none" w:sz="0" w:space="0" w:color="auto"/>
                      </w:divBdr>
                    </w:div>
                  </w:divsChild>
                </w:div>
                <w:div w:id="589629051">
                  <w:marLeft w:val="0"/>
                  <w:marRight w:val="0"/>
                  <w:marTop w:val="0"/>
                  <w:marBottom w:val="0"/>
                  <w:divBdr>
                    <w:top w:val="none" w:sz="0" w:space="0" w:color="auto"/>
                    <w:left w:val="none" w:sz="0" w:space="0" w:color="auto"/>
                    <w:bottom w:val="none" w:sz="0" w:space="0" w:color="auto"/>
                    <w:right w:val="none" w:sz="0" w:space="0" w:color="auto"/>
                  </w:divBdr>
                  <w:divsChild>
                    <w:div w:id="1426196478">
                      <w:marLeft w:val="0"/>
                      <w:marRight w:val="0"/>
                      <w:marTop w:val="0"/>
                      <w:marBottom w:val="0"/>
                      <w:divBdr>
                        <w:top w:val="none" w:sz="0" w:space="0" w:color="auto"/>
                        <w:left w:val="none" w:sz="0" w:space="0" w:color="auto"/>
                        <w:bottom w:val="none" w:sz="0" w:space="0" w:color="auto"/>
                        <w:right w:val="none" w:sz="0" w:space="0" w:color="auto"/>
                      </w:divBdr>
                    </w:div>
                  </w:divsChild>
                </w:div>
                <w:div w:id="679815957">
                  <w:marLeft w:val="0"/>
                  <w:marRight w:val="0"/>
                  <w:marTop w:val="0"/>
                  <w:marBottom w:val="0"/>
                  <w:divBdr>
                    <w:top w:val="none" w:sz="0" w:space="0" w:color="auto"/>
                    <w:left w:val="none" w:sz="0" w:space="0" w:color="auto"/>
                    <w:bottom w:val="none" w:sz="0" w:space="0" w:color="auto"/>
                    <w:right w:val="none" w:sz="0" w:space="0" w:color="auto"/>
                  </w:divBdr>
                  <w:divsChild>
                    <w:div w:id="281041942">
                      <w:marLeft w:val="0"/>
                      <w:marRight w:val="0"/>
                      <w:marTop w:val="0"/>
                      <w:marBottom w:val="0"/>
                      <w:divBdr>
                        <w:top w:val="none" w:sz="0" w:space="0" w:color="auto"/>
                        <w:left w:val="none" w:sz="0" w:space="0" w:color="auto"/>
                        <w:bottom w:val="none" w:sz="0" w:space="0" w:color="auto"/>
                        <w:right w:val="none" w:sz="0" w:space="0" w:color="auto"/>
                      </w:divBdr>
                    </w:div>
                    <w:div w:id="1351376470">
                      <w:marLeft w:val="0"/>
                      <w:marRight w:val="0"/>
                      <w:marTop w:val="0"/>
                      <w:marBottom w:val="0"/>
                      <w:divBdr>
                        <w:top w:val="none" w:sz="0" w:space="0" w:color="auto"/>
                        <w:left w:val="none" w:sz="0" w:space="0" w:color="auto"/>
                        <w:bottom w:val="none" w:sz="0" w:space="0" w:color="auto"/>
                        <w:right w:val="none" w:sz="0" w:space="0" w:color="auto"/>
                      </w:divBdr>
                    </w:div>
                    <w:div w:id="1568033030">
                      <w:marLeft w:val="0"/>
                      <w:marRight w:val="0"/>
                      <w:marTop w:val="0"/>
                      <w:marBottom w:val="0"/>
                      <w:divBdr>
                        <w:top w:val="none" w:sz="0" w:space="0" w:color="auto"/>
                        <w:left w:val="none" w:sz="0" w:space="0" w:color="auto"/>
                        <w:bottom w:val="none" w:sz="0" w:space="0" w:color="auto"/>
                        <w:right w:val="none" w:sz="0" w:space="0" w:color="auto"/>
                      </w:divBdr>
                    </w:div>
                  </w:divsChild>
                </w:div>
                <w:div w:id="700087289">
                  <w:marLeft w:val="0"/>
                  <w:marRight w:val="0"/>
                  <w:marTop w:val="0"/>
                  <w:marBottom w:val="0"/>
                  <w:divBdr>
                    <w:top w:val="none" w:sz="0" w:space="0" w:color="auto"/>
                    <w:left w:val="none" w:sz="0" w:space="0" w:color="auto"/>
                    <w:bottom w:val="none" w:sz="0" w:space="0" w:color="auto"/>
                    <w:right w:val="none" w:sz="0" w:space="0" w:color="auto"/>
                  </w:divBdr>
                  <w:divsChild>
                    <w:div w:id="1860318459">
                      <w:marLeft w:val="0"/>
                      <w:marRight w:val="0"/>
                      <w:marTop w:val="0"/>
                      <w:marBottom w:val="0"/>
                      <w:divBdr>
                        <w:top w:val="none" w:sz="0" w:space="0" w:color="auto"/>
                        <w:left w:val="none" w:sz="0" w:space="0" w:color="auto"/>
                        <w:bottom w:val="none" w:sz="0" w:space="0" w:color="auto"/>
                        <w:right w:val="none" w:sz="0" w:space="0" w:color="auto"/>
                      </w:divBdr>
                    </w:div>
                  </w:divsChild>
                </w:div>
                <w:div w:id="732700961">
                  <w:marLeft w:val="0"/>
                  <w:marRight w:val="0"/>
                  <w:marTop w:val="0"/>
                  <w:marBottom w:val="0"/>
                  <w:divBdr>
                    <w:top w:val="none" w:sz="0" w:space="0" w:color="auto"/>
                    <w:left w:val="none" w:sz="0" w:space="0" w:color="auto"/>
                    <w:bottom w:val="none" w:sz="0" w:space="0" w:color="auto"/>
                    <w:right w:val="none" w:sz="0" w:space="0" w:color="auto"/>
                  </w:divBdr>
                  <w:divsChild>
                    <w:div w:id="1598975899">
                      <w:marLeft w:val="0"/>
                      <w:marRight w:val="0"/>
                      <w:marTop w:val="0"/>
                      <w:marBottom w:val="0"/>
                      <w:divBdr>
                        <w:top w:val="none" w:sz="0" w:space="0" w:color="auto"/>
                        <w:left w:val="none" w:sz="0" w:space="0" w:color="auto"/>
                        <w:bottom w:val="none" w:sz="0" w:space="0" w:color="auto"/>
                        <w:right w:val="none" w:sz="0" w:space="0" w:color="auto"/>
                      </w:divBdr>
                    </w:div>
                  </w:divsChild>
                </w:div>
                <w:div w:id="776947493">
                  <w:marLeft w:val="0"/>
                  <w:marRight w:val="0"/>
                  <w:marTop w:val="0"/>
                  <w:marBottom w:val="0"/>
                  <w:divBdr>
                    <w:top w:val="none" w:sz="0" w:space="0" w:color="auto"/>
                    <w:left w:val="none" w:sz="0" w:space="0" w:color="auto"/>
                    <w:bottom w:val="none" w:sz="0" w:space="0" w:color="auto"/>
                    <w:right w:val="none" w:sz="0" w:space="0" w:color="auto"/>
                  </w:divBdr>
                  <w:divsChild>
                    <w:div w:id="874390919">
                      <w:marLeft w:val="0"/>
                      <w:marRight w:val="0"/>
                      <w:marTop w:val="0"/>
                      <w:marBottom w:val="0"/>
                      <w:divBdr>
                        <w:top w:val="none" w:sz="0" w:space="0" w:color="auto"/>
                        <w:left w:val="none" w:sz="0" w:space="0" w:color="auto"/>
                        <w:bottom w:val="none" w:sz="0" w:space="0" w:color="auto"/>
                        <w:right w:val="none" w:sz="0" w:space="0" w:color="auto"/>
                      </w:divBdr>
                    </w:div>
                  </w:divsChild>
                </w:div>
                <w:div w:id="880558342">
                  <w:marLeft w:val="0"/>
                  <w:marRight w:val="0"/>
                  <w:marTop w:val="0"/>
                  <w:marBottom w:val="0"/>
                  <w:divBdr>
                    <w:top w:val="none" w:sz="0" w:space="0" w:color="auto"/>
                    <w:left w:val="none" w:sz="0" w:space="0" w:color="auto"/>
                    <w:bottom w:val="none" w:sz="0" w:space="0" w:color="auto"/>
                    <w:right w:val="none" w:sz="0" w:space="0" w:color="auto"/>
                  </w:divBdr>
                  <w:divsChild>
                    <w:div w:id="151677565">
                      <w:marLeft w:val="0"/>
                      <w:marRight w:val="0"/>
                      <w:marTop w:val="0"/>
                      <w:marBottom w:val="0"/>
                      <w:divBdr>
                        <w:top w:val="none" w:sz="0" w:space="0" w:color="auto"/>
                        <w:left w:val="none" w:sz="0" w:space="0" w:color="auto"/>
                        <w:bottom w:val="none" w:sz="0" w:space="0" w:color="auto"/>
                        <w:right w:val="none" w:sz="0" w:space="0" w:color="auto"/>
                      </w:divBdr>
                    </w:div>
                    <w:div w:id="670449453">
                      <w:marLeft w:val="0"/>
                      <w:marRight w:val="0"/>
                      <w:marTop w:val="0"/>
                      <w:marBottom w:val="0"/>
                      <w:divBdr>
                        <w:top w:val="none" w:sz="0" w:space="0" w:color="auto"/>
                        <w:left w:val="none" w:sz="0" w:space="0" w:color="auto"/>
                        <w:bottom w:val="none" w:sz="0" w:space="0" w:color="auto"/>
                        <w:right w:val="none" w:sz="0" w:space="0" w:color="auto"/>
                      </w:divBdr>
                    </w:div>
                    <w:div w:id="996691490">
                      <w:marLeft w:val="0"/>
                      <w:marRight w:val="0"/>
                      <w:marTop w:val="0"/>
                      <w:marBottom w:val="0"/>
                      <w:divBdr>
                        <w:top w:val="none" w:sz="0" w:space="0" w:color="auto"/>
                        <w:left w:val="none" w:sz="0" w:space="0" w:color="auto"/>
                        <w:bottom w:val="none" w:sz="0" w:space="0" w:color="auto"/>
                        <w:right w:val="none" w:sz="0" w:space="0" w:color="auto"/>
                      </w:divBdr>
                    </w:div>
                    <w:div w:id="1898735431">
                      <w:marLeft w:val="0"/>
                      <w:marRight w:val="0"/>
                      <w:marTop w:val="0"/>
                      <w:marBottom w:val="0"/>
                      <w:divBdr>
                        <w:top w:val="none" w:sz="0" w:space="0" w:color="auto"/>
                        <w:left w:val="none" w:sz="0" w:space="0" w:color="auto"/>
                        <w:bottom w:val="none" w:sz="0" w:space="0" w:color="auto"/>
                        <w:right w:val="none" w:sz="0" w:space="0" w:color="auto"/>
                      </w:divBdr>
                    </w:div>
                    <w:div w:id="1915234628">
                      <w:marLeft w:val="0"/>
                      <w:marRight w:val="0"/>
                      <w:marTop w:val="0"/>
                      <w:marBottom w:val="0"/>
                      <w:divBdr>
                        <w:top w:val="none" w:sz="0" w:space="0" w:color="auto"/>
                        <w:left w:val="none" w:sz="0" w:space="0" w:color="auto"/>
                        <w:bottom w:val="none" w:sz="0" w:space="0" w:color="auto"/>
                        <w:right w:val="none" w:sz="0" w:space="0" w:color="auto"/>
                      </w:divBdr>
                    </w:div>
                  </w:divsChild>
                </w:div>
                <w:div w:id="968710460">
                  <w:marLeft w:val="0"/>
                  <w:marRight w:val="0"/>
                  <w:marTop w:val="0"/>
                  <w:marBottom w:val="0"/>
                  <w:divBdr>
                    <w:top w:val="none" w:sz="0" w:space="0" w:color="auto"/>
                    <w:left w:val="none" w:sz="0" w:space="0" w:color="auto"/>
                    <w:bottom w:val="none" w:sz="0" w:space="0" w:color="auto"/>
                    <w:right w:val="none" w:sz="0" w:space="0" w:color="auto"/>
                  </w:divBdr>
                  <w:divsChild>
                    <w:div w:id="435909311">
                      <w:marLeft w:val="0"/>
                      <w:marRight w:val="0"/>
                      <w:marTop w:val="0"/>
                      <w:marBottom w:val="0"/>
                      <w:divBdr>
                        <w:top w:val="none" w:sz="0" w:space="0" w:color="auto"/>
                        <w:left w:val="none" w:sz="0" w:space="0" w:color="auto"/>
                        <w:bottom w:val="none" w:sz="0" w:space="0" w:color="auto"/>
                        <w:right w:val="none" w:sz="0" w:space="0" w:color="auto"/>
                      </w:divBdr>
                    </w:div>
                  </w:divsChild>
                </w:div>
                <w:div w:id="1027100076">
                  <w:marLeft w:val="0"/>
                  <w:marRight w:val="0"/>
                  <w:marTop w:val="0"/>
                  <w:marBottom w:val="0"/>
                  <w:divBdr>
                    <w:top w:val="none" w:sz="0" w:space="0" w:color="auto"/>
                    <w:left w:val="none" w:sz="0" w:space="0" w:color="auto"/>
                    <w:bottom w:val="none" w:sz="0" w:space="0" w:color="auto"/>
                    <w:right w:val="none" w:sz="0" w:space="0" w:color="auto"/>
                  </w:divBdr>
                  <w:divsChild>
                    <w:div w:id="968708383">
                      <w:marLeft w:val="0"/>
                      <w:marRight w:val="0"/>
                      <w:marTop w:val="0"/>
                      <w:marBottom w:val="0"/>
                      <w:divBdr>
                        <w:top w:val="none" w:sz="0" w:space="0" w:color="auto"/>
                        <w:left w:val="none" w:sz="0" w:space="0" w:color="auto"/>
                        <w:bottom w:val="none" w:sz="0" w:space="0" w:color="auto"/>
                        <w:right w:val="none" w:sz="0" w:space="0" w:color="auto"/>
                      </w:divBdr>
                    </w:div>
                  </w:divsChild>
                </w:div>
                <w:div w:id="1118066597">
                  <w:marLeft w:val="0"/>
                  <w:marRight w:val="0"/>
                  <w:marTop w:val="0"/>
                  <w:marBottom w:val="0"/>
                  <w:divBdr>
                    <w:top w:val="none" w:sz="0" w:space="0" w:color="auto"/>
                    <w:left w:val="none" w:sz="0" w:space="0" w:color="auto"/>
                    <w:bottom w:val="none" w:sz="0" w:space="0" w:color="auto"/>
                    <w:right w:val="none" w:sz="0" w:space="0" w:color="auto"/>
                  </w:divBdr>
                  <w:divsChild>
                    <w:div w:id="2094620413">
                      <w:marLeft w:val="0"/>
                      <w:marRight w:val="0"/>
                      <w:marTop w:val="0"/>
                      <w:marBottom w:val="0"/>
                      <w:divBdr>
                        <w:top w:val="none" w:sz="0" w:space="0" w:color="auto"/>
                        <w:left w:val="none" w:sz="0" w:space="0" w:color="auto"/>
                        <w:bottom w:val="none" w:sz="0" w:space="0" w:color="auto"/>
                        <w:right w:val="none" w:sz="0" w:space="0" w:color="auto"/>
                      </w:divBdr>
                    </w:div>
                    <w:div w:id="2121487212">
                      <w:marLeft w:val="0"/>
                      <w:marRight w:val="0"/>
                      <w:marTop w:val="0"/>
                      <w:marBottom w:val="0"/>
                      <w:divBdr>
                        <w:top w:val="none" w:sz="0" w:space="0" w:color="auto"/>
                        <w:left w:val="none" w:sz="0" w:space="0" w:color="auto"/>
                        <w:bottom w:val="none" w:sz="0" w:space="0" w:color="auto"/>
                        <w:right w:val="none" w:sz="0" w:space="0" w:color="auto"/>
                      </w:divBdr>
                    </w:div>
                  </w:divsChild>
                </w:div>
                <w:div w:id="1121344134">
                  <w:marLeft w:val="0"/>
                  <w:marRight w:val="0"/>
                  <w:marTop w:val="0"/>
                  <w:marBottom w:val="0"/>
                  <w:divBdr>
                    <w:top w:val="none" w:sz="0" w:space="0" w:color="auto"/>
                    <w:left w:val="none" w:sz="0" w:space="0" w:color="auto"/>
                    <w:bottom w:val="none" w:sz="0" w:space="0" w:color="auto"/>
                    <w:right w:val="none" w:sz="0" w:space="0" w:color="auto"/>
                  </w:divBdr>
                  <w:divsChild>
                    <w:div w:id="1479103415">
                      <w:marLeft w:val="0"/>
                      <w:marRight w:val="0"/>
                      <w:marTop w:val="0"/>
                      <w:marBottom w:val="0"/>
                      <w:divBdr>
                        <w:top w:val="none" w:sz="0" w:space="0" w:color="auto"/>
                        <w:left w:val="none" w:sz="0" w:space="0" w:color="auto"/>
                        <w:bottom w:val="none" w:sz="0" w:space="0" w:color="auto"/>
                        <w:right w:val="none" w:sz="0" w:space="0" w:color="auto"/>
                      </w:divBdr>
                    </w:div>
                  </w:divsChild>
                </w:div>
                <w:div w:id="1160543016">
                  <w:marLeft w:val="0"/>
                  <w:marRight w:val="0"/>
                  <w:marTop w:val="0"/>
                  <w:marBottom w:val="0"/>
                  <w:divBdr>
                    <w:top w:val="none" w:sz="0" w:space="0" w:color="auto"/>
                    <w:left w:val="none" w:sz="0" w:space="0" w:color="auto"/>
                    <w:bottom w:val="none" w:sz="0" w:space="0" w:color="auto"/>
                    <w:right w:val="none" w:sz="0" w:space="0" w:color="auto"/>
                  </w:divBdr>
                  <w:divsChild>
                    <w:div w:id="73935978">
                      <w:marLeft w:val="0"/>
                      <w:marRight w:val="0"/>
                      <w:marTop w:val="0"/>
                      <w:marBottom w:val="0"/>
                      <w:divBdr>
                        <w:top w:val="none" w:sz="0" w:space="0" w:color="auto"/>
                        <w:left w:val="none" w:sz="0" w:space="0" w:color="auto"/>
                        <w:bottom w:val="none" w:sz="0" w:space="0" w:color="auto"/>
                        <w:right w:val="none" w:sz="0" w:space="0" w:color="auto"/>
                      </w:divBdr>
                    </w:div>
                    <w:div w:id="319383442">
                      <w:marLeft w:val="0"/>
                      <w:marRight w:val="0"/>
                      <w:marTop w:val="0"/>
                      <w:marBottom w:val="0"/>
                      <w:divBdr>
                        <w:top w:val="none" w:sz="0" w:space="0" w:color="auto"/>
                        <w:left w:val="none" w:sz="0" w:space="0" w:color="auto"/>
                        <w:bottom w:val="none" w:sz="0" w:space="0" w:color="auto"/>
                        <w:right w:val="none" w:sz="0" w:space="0" w:color="auto"/>
                      </w:divBdr>
                    </w:div>
                    <w:div w:id="870609800">
                      <w:marLeft w:val="0"/>
                      <w:marRight w:val="0"/>
                      <w:marTop w:val="0"/>
                      <w:marBottom w:val="0"/>
                      <w:divBdr>
                        <w:top w:val="none" w:sz="0" w:space="0" w:color="auto"/>
                        <w:left w:val="none" w:sz="0" w:space="0" w:color="auto"/>
                        <w:bottom w:val="none" w:sz="0" w:space="0" w:color="auto"/>
                        <w:right w:val="none" w:sz="0" w:space="0" w:color="auto"/>
                      </w:divBdr>
                    </w:div>
                    <w:div w:id="1314021577">
                      <w:marLeft w:val="0"/>
                      <w:marRight w:val="0"/>
                      <w:marTop w:val="0"/>
                      <w:marBottom w:val="0"/>
                      <w:divBdr>
                        <w:top w:val="none" w:sz="0" w:space="0" w:color="auto"/>
                        <w:left w:val="none" w:sz="0" w:space="0" w:color="auto"/>
                        <w:bottom w:val="none" w:sz="0" w:space="0" w:color="auto"/>
                        <w:right w:val="none" w:sz="0" w:space="0" w:color="auto"/>
                      </w:divBdr>
                    </w:div>
                    <w:div w:id="1670592745">
                      <w:marLeft w:val="0"/>
                      <w:marRight w:val="0"/>
                      <w:marTop w:val="0"/>
                      <w:marBottom w:val="0"/>
                      <w:divBdr>
                        <w:top w:val="none" w:sz="0" w:space="0" w:color="auto"/>
                        <w:left w:val="none" w:sz="0" w:space="0" w:color="auto"/>
                        <w:bottom w:val="none" w:sz="0" w:space="0" w:color="auto"/>
                        <w:right w:val="none" w:sz="0" w:space="0" w:color="auto"/>
                      </w:divBdr>
                    </w:div>
                  </w:divsChild>
                </w:div>
                <w:div w:id="1732465905">
                  <w:marLeft w:val="0"/>
                  <w:marRight w:val="0"/>
                  <w:marTop w:val="0"/>
                  <w:marBottom w:val="0"/>
                  <w:divBdr>
                    <w:top w:val="none" w:sz="0" w:space="0" w:color="auto"/>
                    <w:left w:val="none" w:sz="0" w:space="0" w:color="auto"/>
                    <w:bottom w:val="none" w:sz="0" w:space="0" w:color="auto"/>
                    <w:right w:val="none" w:sz="0" w:space="0" w:color="auto"/>
                  </w:divBdr>
                  <w:divsChild>
                    <w:div w:id="1797405533">
                      <w:marLeft w:val="0"/>
                      <w:marRight w:val="0"/>
                      <w:marTop w:val="0"/>
                      <w:marBottom w:val="0"/>
                      <w:divBdr>
                        <w:top w:val="none" w:sz="0" w:space="0" w:color="auto"/>
                        <w:left w:val="none" w:sz="0" w:space="0" w:color="auto"/>
                        <w:bottom w:val="none" w:sz="0" w:space="0" w:color="auto"/>
                        <w:right w:val="none" w:sz="0" w:space="0" w:color="auto"/>
                      </w:divBdr>
                    </w:div>
                  </w:divsChild>
                </w:div>
                <w:div w:id="1775663845">
                  <w:marLeft w:val="0"/>
                  <w:marRight w:val="0"/>
                  <w:marTop w:val="0"/>
                  <w:marBottom w:val="0"/>
                  <w:divBdr>
                    <w:top w:val="none" w:sz="0" w:space="0" w:color="auto"/>
                    <w:left w:val="none" w:sz="0" w:space="0" w:color="auto"/>
                    <w:bottom w:val="none" w:sz="0" w:space="0" w:color="auto"/>
                    <w:right w:val="none" w:sz="0" w:space="0" w:color="auto"/>
                  </w:divBdr>
                  <w:divsChild>
                    <w:div w:id="1672829300">
                      <w:marLeft w:val="0"/>
                      <w:marRight w:val="0"/>
                      <w:marTop w:val="0"/>
                      <w:marBottom w:val="0"/>
                      <w:divBdr>
                        <w:top w:val="none" w:sz="0" w:space="0" w:color="auto"/>
                        <w:left w:val="none" w:sz="0" w:space="0" w:color="auto"/>
                        <w:bottom w:val="none" w:sz="0" w:space="0" w:color="auto"/>
                        <w:right w:val="none" w:sz="0" w:space="0" w:color="auto"/>
                      </w:divBdr>
                    </w:div>
                  </w:divsChild>
                </w:div>
                <w:div w:id="2042783245">
                  <w:marLeft w:val="0"/>
                  <w:marRight w:val="0"/>
                  <w:marTop w:val="0"/>
                  <w:marBottom w:val="0"/>
                  <w:divBdr>
                    <w:top w:val="none" w:sz="0" w:space="0" w:color="auto"/>
                    <w:left w:val="none" w:sz="0" w:space="0" w:color="auto"/>
                    <w:bottom w:val="none" w:sz="0" w:space="0" w:color="auto"/>
                    <w:right w:val="none" w:sz="0" w:space="0" w:color="auto"/>
                  </w:divBdr>
                  <w:divsChild>
                    <w:div w:id="60523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254557">
      <w:bodyDiv w:val="1"/>
      <w:marLeft w:val="0"/>
      <w:marRight w:val="0"/>
      <w:marTop w:val="0"/>
      <w:marBottom w:val="0"/>
      <w:divBdr>
        <w:top w:val="none" w:sz="0" w:space="0" w:color="auto"/>
        <w:left w:val="none" w:sz="0" w:space="0" w:color="auto"/>
        <w:bottom w:val="none" w:sz="0" w:space="0" w:color="auto"/>
        <w:right w:val="none" w:sz="0" w:space="0" w:color="auto"/>
      </w:divBdr>
    </w:div>
    <w:div w:id="1116409667">
      <w:bodyDiv w:val="1"/>
      <w:marLeft w:val="0"/>
      <w:marRight w:val="0"/>
      <w:marTop w:val="0"/>
      <w:marBottom w:val="0"/>
      <w:divBdr>
        <w:top w:val="none" w:sz="0" w:space="0" w:color="auto"/>
        <w:left w:val="none" w:sz="0" w:space="0" w:color="auto"/>
        <w:bottom w:val="none" w:sz="0" w:space="0" w:color="auto"/>
        <w:right w:val="none" w:sz="0" w:space="0" w:color="auto"/>
      </w:divBdr>
    </w:div>
    <w:div w:id="1145703277">
      <w:bodyDiv w:val="1"/>
      <w:marLeft w:val="0"/>
      <w:marRight w:val="0"/>
      <w:marTop w:val="0"/>
      <w:marBottom w:val="0"/>
      <w:divBdr>
        <w:top w:val="none" w:sz="0" w:space="0" w:color="auto"/>
        <w:left w:val="none" w:sz="0" w:space="0" w:color="auto"/>
        <w:bottom w:val="none" w:sz="0" w:space="0" w:color="auto"/>
        <w:right w:val="none" w:sz="0" w:space="0" w:color="auto"/>
      </w:divBdr>
    </w:div>
    <w:div w:id="1174683720">
      <w:bodyDiv w:val="1"/>
      <w:marLeft w:val="0"/>
      <w:marRight w:val="0"/>
      <w:marTop w:val="0"/>
      <w:marBottom w:val="0"/>
      <w:divBdr>
        <w:top w:val="none" w:sz="0" w:space="0" w:color="auto"/>
        <w:left w:val="none" w:sz="0" w:space="0" w:color="auto"/>
        <w:bottom w:val="none" w:sz="0" w:space="0" w:color="auto"/>
        <w:right w:val="none" w:sz="0" w:space="0" w:color="auto"/>
      </w:divBdr>
    </w:div>
    <w:div w:id="1229923230">
      <w:bodyDiv w:val="1"/>
      <w:marLeft w:val="0"/>
      <w:marRight w:val="0"/>
      <w:marTop w:val="0"/>
      <w:marBottom w:val="0"/>
      <w:divBdr>
        <w:top w:val="none" w:sz="0" w:space="0" w:color="auto"/>
        <w:left w:val="none" w:sz="0" w:space="0" w:color="auto"/>
        <w:bottom w:val="none" w:sz="0" w:space="0" w:color="auto"/>
        <w:right w:val="none" w:sz="0" w:space="0" w:color="auto"/>
      </w:divBdr>
      <w:divsChild>
        <w:div w:id="303390245">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 w:id="552276206">
          <w:marLeft w:val="0"/>
          <w:marRight w:val="0"/>
          <w:marTop w:val="0"/>
          <w:marBottom w:val="0"/>
          <w:divBdr>
            <w:top w:val="none" w:sz="0" w:space="0" w:color="auto"/>
            <w:left w:val="none" w:sz="0" w:space="0" w:color="auto"/>
            <w:bottom w:val="none" w:sz="0" w:space="0" w:color="auto"/>
            <w:right w:val="none" w:sz="0" w:space="0" w:color="auto"/>
          </w:divBdr>
        </w:div>
        <w:div w:id="600532397">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
        <w:div w:id="1147673099">
          <w:marLeft w:val="-75"/>
          <w:marRight w:val="0"/>
          <w:marTop w:val="30"/>
          <w:marBottom w:val="30"/>
          <w:divBdr>
            <w:top w:val="none" w:sz="0" w:space="0" w:color="auto"/>
            <w:left w:val="none" w:sz="0" w:space="0" w:color="auto"/>
            <w:bottom w:val="none" w:sz="0" w:space="0" w:color="auto"/>
            <w:right w:val="none" w:sz="0" w:space="0" w:color="auto"/>
          </w:divBdr>
          <w:divsChild>
            <w:div w:id="3171253">
              <w:marLeft w:val="0"/>
              <w:marRight w:val="0"/>
              <w:marTop w:val="0"/>
              <w:marBottom w:val="0"/>
              <w:divBdr>
                <w:top w:val="none" w:sz="0" w:space="0" w:color="auto"/>
                <w:left w:val="none" w:sz="0" w:space="0" w:color="auto"/>
                <w:bottom w:val="none" w:sz="0" w:space="0" w:color="auto"/>
                <w:right w:val="none" w:sz="0" w:space="0" w:color="auto"/>
              </w:divBdr>
              <w:divsChild>
                <w:div w:id="1056970014">
                  <w:marLeft w:val="0"/>
                  <w:marRight w:val="0"/>
                  <w:marTop w:val="0"/>
                  <w:marBottom w:val="0"/>
                  <w:divBdr>
                    <w:top w:val="none" w:sz="0" w:space="0" w:color="auto"/>
                    <w:left w:val="none" w:sz="0" w:space="0" w:color="auto"/>
                    <w:bottom w:val="none" w:sz="0" w:space="0" w:color="auto"/>
                    <w:right w:val="none" w:sz="0" w:space="0" w:color="auto"/>
                  </w:divBdr>
                </w:div>
                <w:div w:id="1562861696">
                  <w:marLeft w:val="0"/>
                  <w:marRight w:val="0"/>
                  <w:marTop w:val="0"/>
                  <w:marBottom w:val="0"/>
                  <w:divBdr>
                    <w:top w:val="none" w:sz="0" w:space="0" w:color="auto"/>
                    <w:left w:val="none" w:sz="0" w:space="0" w:color="auto"/>
                    <w:bottom w:val="none" w:sz="0" w:space="0" w:color="auto"/>
                    <w:right w:val="none" w:sz="0" w:space="0" w:color="auto"/>
                  </w:divBdr>
                </w:div>
                <w:div w:id="2104910037">
                  <w:marLeft w:val="0"/>
                  <w:marRight w:val="0"/>
                  <w:marTop w:val="0"/>
                  <w:marBottom w:val="0"/>
                  <w:divBdr>
                    <w:top w:val="none" w:sz="0" w:space="0" w:color="auto"/>
                    <w:left w:val="none" w:sz="0" w:space="0" w:color="auto"/>
                    <w:bottom w:val="none" w:sz="0" w:space="0" w:color="auto"/>
                    <w:right w:val="none" w:sz="0" w:space="0" w:color="auto"/>
                  </w:divBdr>
                </w:div>
              </w:divsChild>
            </w:div>
            <w:div w:id="17125333">
              <w:marLeft w:val="0"/>
              <w:marRight w:val="0"/>
              <w:marTop w:val="0"/>
              <w:marBottom w:val="0"/>
              <w:divBdr>
                <w:top w:val="none" w:sz="0" w:space="0" w:color="auto"/>
                <w:left w:val="none" w:sz="0" w:space="0" w:color="auto"/>
                <w:bottom w:val="none" w:sz="0" w:space="0" w:color="auto"/>
                <w:right w:val="none" w:sz="0" w:space="0" w:color="auto"/>
              </w:divBdr>
              <w:divsChild>
                <w:div w:id="1871801348">
                  <w:marLeft w:val="0"/>
                  <w:marRight w:val="0"/>
                  <w:marTop w:val="0"/>
                  <w:marBottom w:val="0"/>
                  <w:divBdr>
                    <w:top w:val="none" w:sz="0" w:space="0" w:color="auto"/>
                    <w:left w:val="none" w:sz="0" w:space="0" w:color="auto"/>
                    <w:bottom w:val="none" w:sz="0" w:space="0" w:color="auto"/>
                    <w:right w:val="none" w:sz="0" w:space="0" w:color="auto"/>
                  </w:divBdr>
                </w:div>
              </w:divsChild>
            </w:div>
            <w:div w:id="35667871">
              <w:marLeft w:val="0"/>
              <w:marRight w:val="0"/>
              <w:marTop w:val="0"/>
              <w:marBottom w:val="0"/>
              <w:divBdr>
                <w:top w:val="none" w:sz="0" w:space="0" w:color="auto"/>
                <w:left w:val="none" w:sz="0" w:space="0" w:color="auto"/>
                <w:bottom w:val="none" w:sz="0" w:space="0" w:color="auto"/>
                <w:right w:val="none" w:sz="0" w:space="0" w:color="auto"/>
              </w:divBdr>
              <w:divsChild>
                <w:div w:id="2104455129">
                  <w:marLeft w:val="0"/>
                  <w:marRight w:val="0"/>
                  <w:marTop w:val="0"/>
                  <w:marBottom w:val="0"/>
                  <w:divBdr>
                    <w:top w:val="none" w:sz="0" w:space="0" w:color="auto"/>
                    <w:left w:val="none" w:sz="0" w:space="0" w:color="auto"/>
                    <w:bottom w:val="none" w:sz="0" w:space="0" w:color="auto"/>
                    <w:right w:val="none" w:sz="0" w:space="0" w:color="auto"/>
                  </w:divBdr>
                </w:div>
              </w:divsChild>
            </w:div>
            <w:div w:id="40373854">
              <w:marLeft w:val="0"/>
              <w:marRight w:val="0"/>
              <w:marTop w:val="0"/>
              <w:marBottom w:val="0"/>
              <w:divBdr>
                <w:top w:val="none" w:sz="0" w:space="0" w:color="auto"/>
                <w:left w:val="none" w:sz="0" w:space="0" w:color="auto"/>
                <w:bottom w:val="none" w:sz="0" w:space="0" w:color="auto"/>
                <w:right w:val="none" w:sz="0" w:space="0" w:color="auto"/>
              </w:divBdr>
              <w:divsChild>
                <w:div w:id="1502811004">
                  <w:marLeft w:val="0"/>
                  <w:marRight w:val="0"/>
                  <w:marTop w:val="0"/>
                  <w:marBottom w:val="0"/>
                  <w:divBdr>
                    <w:top w:val="none" w:sz="0" w:space="0" w:color="auto"/>
                    <w:left w:val="none" w:sz="0" w:space="0" w:color="auto"/>
                    <w:bottom w:val="none" w:sz="0" w:space="0" w:color="auto"/>
                    <w:right w:val="none" w:sz="0" w:space="0" w:color="auto"/>
                  </w:divBdr>
                </w:div>
              </w:divsChild>
            </w:div>
            <w:div w:id="58868557">
              <w:marLeft w:val="0"/>
              <w:marRight w:val="0"/>
              <w:marTop w:val="0"/>
              <w:marBottom w:val="0"/>
              <w:divBdr>
                <w:top w:val="none" w:sz="0" w:space="0" w:color="auto"/>
                <w:left w:val="none" w:sz="0" w:space="0" w:color="auto"/>
                <w:bottom w:val="none" w:sz="0" w:space="0" w:color="auto"/>
                <w:right w:val="none" w:sz="0" w:space="0" w:color="auto"/>
              </w:divBdr>
              <w:divsChild>
                <w:div w:id="445082271">
                  <w:marLeft w:val="0"/>
                  <w:marRight w:val="0"/>
                  <w:marTop w:val="0"/>
                  <w:marBottom w:val="0"/>
                  <w:divBdr>
                    <w:top w:val="none" w:sz="0" w:space="0" w:color="auto"/>
                    <w:left w:val="none" w:sz="0" w:space="0" w:color="auto"/>
                    <w:bottom w:val="none" w:sz="0" w:space="0" w:color="auto"/>
                    <w:right w:val="none" w:sz="0" w:space="0" w:color="auto"/>
                  </w:divBdr>
                </w:div>
              </w:divsChild>
            </w:div>
            <w:div w:id="62988180">
              <w:marLeft w:val="0"/>
              <w:marRight w:val="0"/>
              <w:marTop w:val="0"/>
              <w:marBottom w:val="0"/>
              <w:divBdr>
                <w:top w:val="none" w:sz="0" w:space="0" w:color="auto"/>
                <w:left w:val="none" w:sz="0" w:space="0" w:color="auto"/>
                <w:bottom w:val="none" w:sz="0" w:space="0" w:color="auto"/>
                <w:right w:val="none" w:sz="0" w:space="0" w:color="auto"/>
              </w:divBdr>
              <w:divsChild>
                <w:div w:id="2086174656">
                  <w:marLeft w:val="0"/>
                  <w:marRight w:val="0"/>
                  <w:marTop w:val="0"/>
                  <w:marBottom w:val="0"/>
                  <w:divBdr>
                    <w:top w:val="none" w:sz="0" w:space="0" w:color="auto"/>
                    <w:left w:val="none" w:sz="0" w:space="0" w:color="auto"/>
                    <w:bottom w:val="none" w:sz="0" w:space="0" w:color="auto"/>
                    <w:right w:val="none" w:sz="0" w:space="0" w:color="auto"/>
                  </w:divBdr>
                </w:div>
              </w:divsChild>
            </w:div>
            <w:div w:id="76555832">
              <w:marLeft w:val="0"/>
              <w:marRight w:val="0"/>
              <w:marTop w:val="0"/>
              <w:marBottom w:val="0"/>
              <w:divBdr>
                <w:top w:val="none" w:sz="0" w:space="0" w:color="auto"/>
                <w:left w:val="none" w:sz="0" w:space="0" w:color="auto"/>
                <w:bottom w:val="none" w:sz="0" w:space="0" w:color="auto"/>
                <w:right w:val="none" w:sz="0" w:space="0" w:color="auto"/>
              </w:divBdr>
              <w:divsChild>
                <w:div w:id="1664580857">
                  <w:marLeft w:val="0"/>
                  <w:marRight w:val="0"/>
                  <w:marTop w:val="0"/>
                  <w:marBottom w:val="0"/>
                  <w:divBdr>
                    <w:top w:val="none" w:sz="0" w:space="0" w:color="auto"/>
                    <w:left w:val="none" w:sz="0" w:space="0" w:color="auto"/>
                    <w:bottom w:val="none" w:sz="0" w:space="0" w:color="auto"/>
                    <w:right w:val="none" w:sz="0" w:space="0" w:color="auto"/>
                  </w:divBdr>
                </w:div>
              </w:divsChild>
            </w:div>
            <w:div w:id="80492188">
              <w:marLeft w:val="0"/>
              <w:marRight w:val="0"/>
              <w:marTop w:val="0"/>
              <w:marBottom w:val="0"/>
              <w:divBdr>
                <w:top w:val="none" w:sz="0" w:space="0" w:color="auto"/>
                <w:left w:val="none" w:sz="0" w:space="0" w:color="auto"/>
                <w:bottom w:val="none" w:sz="0" w:space="0" w:color="auto"/>
                <w:right w:val="none" w:sz="0" w:space="0" w:color="auto"/>
              </w:divBdr>
              <w:divsChild>
                <w:div w:id="170491429">
                  <w:marLeft w:val="0"/>
                  <w:marRight w:val="0"/>
                  <w:marTop w:val="0"/>
                  <w:marBottom w:val="0"/>
                  <w:divBdr>
                    <w:top w:val="none" w:sz="0" w:space="0" w:color="auto"/>
                    <w:left w:val="none" w:sz="0" w:space="0" w:color="auto"/>
                    <w:bottom w:val="none" w:sz="0" w:space="0" w:color="auto"/>
                    <w:right w:val="none" w:sz="0" w:space="0" w:color="auto"/>
                  </w:divBdr>
                </w:div>
              </w:divsChild>
            </w:div>
            <w:div w:id="84617340">
              <w:marLeft w:val="0"/>
              <w:marRight w:val="0"/>
              <w:marTop w:val="0"/>
              <w:marBottom w:val="0"/>
              <w:divBdr>
                <w:top w:val="none" w:sz="0" w:space="0" w:color="auto"/>
                <w:left w:val="none" w:sz="0" w:space="0" w:color="auto"/>
                <w:bottom w:val="none" w:sz="0" w:space="0" w:color="auto"/>
                <w:right w:val="none" w:sz="0" w:space="0" w:color="auto"/>
              </w:divBdr>
              <w:divsChild>
                <w:div w:id="1352682678">
                  <w:marLeft w:val="0"/>
                  <w:marRight w:val="0"/>
                  <w:marTop w:val="0"/>
                  <w:marBottom w:val="0"/>
                  <w:divBdr>
                    <w:top w:val="none" w:sz="0" w:space="0" w:color="auto"/>
                    <w:left w:val="none" w:sz="0" w:space="0" w:color="auto"/>
                    <w:bottom w:val="none" w:sz="0" w:space="0" w:color="auto"/>
                    <w:right w:val="none" w:sz="0" w:space="0" w:color="auto"/>
                  </w:divBdr>
                </w:div>
              </w:divsChild>
            </w:div>
            <w:div w:id="110517952">
              <w:marLeft w:val="0"/>
              <w:marRight w:val="0"/>
              <w:marTop w:val="0"/>
              <w:marBottom w:val="0"/>
              <w:divBdr>
                <w:top w:val="none" w:sz="0" w:space="0" w:color="auto"/>
                <w:left w:val="none" w:sz="0" w:space="0" w:color="auto"/>
                <w:bottom w:val="none" w:sz="0" w:space="0" w:color="auto"/>
                <w:right w:val="none" w:sz="0" w:space="0" w:color="auto"/>
              </w:divBdr>
              <w:divsChild>
                <w:div w:id="1099302522">
                  <w:marLeft w:val="0"/>
                  <w:marRight w:val="0"/>
                  <w:marTop w:val="0"/>
                  <w:marBottom w:val="0"/>
                  <w:divBdr>
                    <w:top w:val="none" w:sz="0" w:space="0" w:color="auto"/>
                    <w:left w:val="none" w:sz="0" w:space="0" w:color="auto"/>
                    <w:bottom w:val="none" w:sz="0" w:space="0" w:color="auto"/>
                    <w:right w:val="none" w:sz="0" w:space="0" w:color="auto"/>
                  </w:divBdr>
                </w:div>
              </w:divsChild>
            </w:div>
            <w:div w:id="122895586">
              <w:marLeft w:val="0"/>
              <w:marRight w:val="0"/>
              <w:marTop w:val="0"/>
              <w:marBottom w:val="0"/>
              <w:divBdr>
                <w:top w:val="none" w:sz="0" w:space="0" w:color="auto"/>
                <w:left w:val="none" w:sz="0" w:space="0" w:color="auto"/>
                <w:bottom w:val="none" w:sz="0" w:space="0" w:color="auto"/>
                <w:right w:val="none" w:sz="0" w:space="0" w:color="auto"/>
              </w:divBdr>
              <w:divsChild>
                <w:div w:id="2042977226">
                  <w:marLeft w:val="0"/>
                  <w:marRight w:val="0"/>
                  <w:marTop w:val="0"/>
                  <w:marBottom w:val="0"/>
                  <w:divBdr>
                    <w:top w:val="none" w:sz="0" w:space="0" w:color="auto"/>
                    <w:left w:val="none" w:sz="0" w:space="0" w:color="auto"/>
                    <w:bottom w:val="none" w:sz="0" w:space="0" w:color="auto"/>
                    <w:right w:val="none" w:sz="0" w:space="0" w:color="auto"/>
                  </w:divBdr>
                </w:div>
              </w:divsChild>
            </w:div>
            <w:div w:id="128478171">
              <w:marLeft w:val="0"/>
              <w:marRight w:val="0"/>
              <w:marTop w:val="0"/>
              <w:marBottom w:val="0"/>
              <w:divBdr>
                <w:top w:val="none" w:sz="0" w:space="0" w:color="auto"/>
                <w:left w:val="none" w:sz="0" w:space="0" w:color="auto"/>
                <w:bottom w:val="none" w:sz="0" w:space="0" w:color="auto"/>
                <w:right w:val="none" w:sz="0" w:space="0" w:color="auto"/>
              </w:divBdr>
              <w:divsChild>
                <w:div w:id="1215895774">
                  <w:marLeft w:val="0"/>
                  <w:marRight w:val="0"/>
                  <w:marTop w:val="0"/>
                  <w:marBottom w:val="0"/>
                  <w:divBdr>
                    <w:top w:val="none" w:sz="0" w:space="0" w:color="auto"/>
                    <w:left w:val="none" w:sz="0" w:space="0" w:color="auto"/>
                    <w:bottom w:val="none" w:sz="0" w:space="0" w:color="auto"/>
                    <w:right w:val="none" w:sz="0" w:space="0" w:color="auto"/>
                  </w:divBdr>
                </w:div>
              </w:divsChild>
            </w:div>
            <w:div w:id="161356160">
              <w:marLeft w:val="0"/>
              <w:marRight w:val="0"/>
              <w:marTop w:val="0"/>
              <w:marBottom w:val="0"/>
              <w:divBdr>
                <w:top w:val="none" w:sz="0" w:space="0" w:color="auto"/>
                <w:left w:val="none" w:sz="0" w:space="0" w:color="auto"/>
                <w:bottom w:val="none" w:sz="0" w:space="0" w:color="auto"/>
                <w:right w:val="none" w:sz="0" w:space="0" w:color="auto"/>
              </w:divBdr>
              <w:divsChild>
                <w:div w:id="373968888">
                  <w:marLeft w:val="0"/>
                  <w:marRight w:val="0"/>
                  <w:marTop w:val="0"/>
                  <w:marBottom w:val="0"/>
                  <w:divBdr>
                    <w:top w:val="none" w:sz="0" w:space="0" w:color="auto"/>
                    <w:left w:val="none" w:sz="0" w:space="0" w:color="auto"/>
                    <w:bottom w:val="none" w:sz="0" w:space="0" w:color="auto"/>
                    <w:right w:val="none" w:sz="0" w:space="0" w:color="auto"/>
                  </w:divBdr>
                </w:div>
              </w:divsChild>
            </w:div>
            <w:div w:id="168106477">
              <w:marLeft w:val="0"/>
              <w:marRight w:val="0"/>
              <w:marTop w:val="0"/>
              <w:marBottom w:val="0"/>
              <w:divBdr>
                <w:top w:val="none" w:sz="0" w:space="0" w:color="auto"/>
                <w:left w:val="none" w:sz="0" w:space="0" w:color="auto"/>
                <w:bottom w:val="none" w:sz="0" w:space="0" w:color="auto"/>
                <w:right w:val="none" w:sz="0" w:space="0" w:color="auto"/>
              </w:divBdr>
              <w:divsChild>
                <w:div w:id="1678850299">
                  <w:marLeft w:val="0"/>
                  <w:marRight w:val="0"/>
                  <w:marTop w:val="0"/>
                  <w:marBottom w:val="0"/>
                  <w:divBdr>
                    <w:top w:val="none" w:sz="0" w:space="0" w:color="auto"/>
                    <w:left w:val="none" w:sz="0" w:space="0" w:color="auto"/>
                    <w:bottom w:val="none" w:sz="0" w:space="0" w:color="auto"/>
                    <w:right w:val="none" w:sz="0" w:space="0" w:color="auto"/>
                  </w:divBdr>
                </w:div>
              </w:divsChild>
            </w:div>
            <w:div w:id="190653439">
              <w:marLeft w:val="0"/>
              <w:marRight w:val="0"/>
              <w:marTop w:val="0"/>
              <w:marBottom w:val="0"/>
              <w:divBdr>
                <w:top w:val="none" w:sz="0" w:space="0" w:color="auto"/>
                <w:left w:val="none" w:sz="0" w:space="0" w:color="auto"/>
                <w:bottom w:val="none" w:sz="0" w:space="0" w:color="auto"/>
                <w:right w:val="none" w:sz="0" w:space="0" w:color="auto"/>
              </w:divBdr>
              <w:divsChild>
                <w:div w:id="191965514">
                  <w:marLeft w:val="0"/>
                  <w:marRight w:val="0"/>
                  <w:marTop w:val="0"/>
                  <w:marBottom w:val="0"/>
                  <w:divBdr>
                    <w:top w:val="none" w:sz="0" w:space="0" w:color="auto"/>
                    <w:left w:val="none" w:sz="0" w:space="0" w:color="auto"/>
                    <w:bottom w:val="none" w:sz="0" w:space="0" w:color="auto"/>
                    <w:right w:val="none" w:sz="0" w:space="0" w:color="auto"/>
                  </w:divBdr>
                </w:div>
              </w:divsChild>
            </w:div>
            <w:div w:id="198786777">
              <w:marLeft w:val="0"/>
              <w:marRight w:val="0"/>
              <w:marTop w:val="0"/>
              <w:marBottom w:val="0"/>
              <w:divBdr>
                <w:top w:val="none" w:sz="0" w:space="0" w:color="auto"/>
                <w:left w:val="none" w:sz="0" w:space="0" w:color="auto"/>
                <w:bottom w:val="none" w:sz="0" w:space="0" w:color="auto"/>
                <w:right w:val="none" w:sz="0" w:space="0" w:color="auto"/>
              </w:divBdr>
              <w:divsChild>
                <w:div w:id="2145194709">
                  <w:marLeft w:val="0"/>
                  <w:marRight w:val="0"/>
                  <w:marTop w:val="0"/>
                  <w:marBottom w:val="0"/>
                  <w:divBdr>
                    <w:top w:val="none" w:sz="0" w:space="0" w:color="auto"/>
                    <w:left w:val="none" w:sz="0" w:space="0" w:color="auto"/>
                    <w:bottom w:val="none" w:sz="0" w:space="0" w:color="auto"/>
                    <w:right w:val="none" w:sz="0" w:space="0" w:color="auto"/>
                  </w:divBdr>
                </w:div>
              </w:divsChild>
            </w:div>
            <w:div w:id="210267912">
              <w:marLeft w:val="0"/>
              <w:marRight w:val="0"/>
              <w:marTop w:val="0"/>
              <w:marBottom w:val="0"/>
              <w:divBdr>
                <w:top w:val="none" w:sz="0" w:space="0" w:color="auto"/>
                <w:left w:val="none" w:sz="0" w:space="0" w:color="auto"/>
                <w:bottom w:val="none" w:sz="0" w:space="0" w:color="auto"/>
                <w:right w:val="none" w:sz="0" w:space="0" w:color="auto"/>
              </w:divBdr>
              <w:divsChild>
                <w:div w:id="1167600590">
                  <w:marLeft w:val="0"/>
                  <w:marRight w:val="0"/>
                  <w:marTop w:val="0"/>
                  <w:marBottom w:val="0"/>
                  <w:divBdr>
                    <w:top w:val="none" w:sz="0" w:space="0" w:color="auto"/>
                    <w:left w:val="none" w:sz="0" w:space="0" w:color="auto"/>
                    <w:bottom w:val="none" w:sz="0" w:space="0" w:color="auto"/>
                    <w:right w:val="none" w:sz="0" w:space="0" w:color="auto"/>
                  </w:divBdr>
                </w:div>
              </w:divsChild>
            </w:div>
            <w:div w:id="213811161">
              <w:marLeft w:val="0"/>
              <w:marRight w:val="0"/>
              <w:marTop w:val="0"/>
              <w:marBottom w:val="0"/>
              <w:divBdr>
                <w:top w:val="none" w:sz="0" w:space="0" w:color="auto"/>
                <w:left w:val="none" w:sz="0" w:space="0" w:color="auto"/>
                <w:bottom w:val="none" w:sz="0" w:space="0" w:color="auto"/>
                <w:right w:val="none" w:sz="0" w:space="0" w:color="auto"/>
              </w:divBdr>
              <w:divsChild>
                <w:div w:id="1111510829">
                  <w:marLeft w:val="0"/>
                  <w:marRight w:val="0"/>
                  <w:marTop w:val="0"/>
                  <w:marBottom w:val="0"/>
                  <w:divBdr>
                    <w:top w:val="none" w:sz="0" w:space="0" w:color="auto"/>
                    <w:left w:val="none" w:sz="0" w:space="0" w:color="auto"/>
                    <w:bottom w:val="none" w:sz="0" w:space="0" w:color="auto"/>
                    <w:right w:val="none" w:sz="0" w:space="0" w:color="auto"/>
                  </w:divBdr>
                </w:div>
              </w:divsChild>
            </w:div>
            <w:div w:id="217787213">
              <w:marLeft w:val="0"/>
              <w:marRight w:val="0"/>
              <w:marTop w:val="0"/>
              <w:marBottom w:val="0"/>
              <w:divBdr>
                <w:top w:val="none" w:sz="0" w:space="0" w:color="auto"/>
                <w:left w:val="none" w:sz="0" w:space="0" w:color="auto"/>
                <w:bottom w:val="none" w:sz="0" w:space="0" w:color="auto"/>
                <w:right w:val="none" w:sz="0" w:space="0" w:color="auto"/>
              </w:divBdr>
              <w:divsChild>
                <w:div w:id="1215240574">
                  <w:marLeft w:val="0"/>
                  <w:marRight w:val="0"/>
                  <w:marTop w:val="0"/>
                  <w:marBottom w:val="0"/>
                  <w:divBdr>
                    <w:top w:val="none" w:sz="0" w:space="0" w:color="auto"/>
                    <w:left w:val="none" w:sz="0" w:space="0" w:color="auto"/>
                    <w:bottom w:val="none" w:sz="0" w:space="0" w:color="auto"/>
                    <w:right w:val="none" w:sz="0" w:space="0" w:color="auto"/>
                  </w:divBdr>
                </w:div>
              </w:divsChild>
            </w:div>
            <w:div w:id="238056935">
              <w:marLeft w:val="0"/>
              <w:marRight w:val="0"/>
              <w:marTop w:val="0"/>
              <w:marBottom w:val="0"/>
              <w:divBdr>
                <w:top w:val="none" w:sz="0" w:space="0" w:color="auto"/>
                <w:left w:val="none" w:sz="0" w:space="0" w:color="auto"/>
                <w:bottom w:val="none" w:sz="0" w:space="0" w:color="auto"/>
                <w:right w:val="none" w:sz="0" w:space="0" w:color="auto"/>
              </w:divBdr>
              <w:divsChild>
                <w:div w:id="304355353">
                  <w:marLeft w:val="0"/>
                  <w:marRight w:val="0"/>
                  <w:marTop w:val="0"/>
                  <w:marBottom w:val="0"/>
                  <w:divBdr>
                    <w:top w:val="none" w:sz="0" w:space="0" w:color="auto"/>
                    <w:left w:val="none" w:sz="0" w:space="0" w:color="auto"/>
                    <w:bottom w:val="none" w:sz="0" w:space="0" w:color="auto"/>
                    <w:right w:val="none" w:sz="0" w:space="0" w:color="auto"/>
                  </w:divBdr>
                </w:div>
              </w:divsChild>
            </w:div>
            <w:div w:id="245266451">
              <w:marLeft w:val="0"/>
              <w:marRight w:val="0"/>
              <w:marTop w:val="0"/>
              <w:marBottom w:val="0"/>
              <w:divBdr>
                <w:top w:val="none" w:sz="0" w:space="0" w:color="auto"/>
                <w:left w:val="none" w:sz="0" w:space="0" w:color="auto"/>
                <w:bottom w:val="none" w:sz="0" w:space="0" w:color="auto"/>
                <w:right w:val="none" w:sz="0" w:space="0" w:color="auto"/>
              </w:divBdr>
              <w:divsChild>
                <w:div w:id="22362944">
                  <w:marLeft w:val="0"/>
                  <w:marRight w:val="0"/>
                  <w:marTop w:val="0"/>
                  <w:marBottom w:val="0"/>
                  <w:divBdr>
                    <w:top w:val="none" w:sz="0" w:space="0" w:color="auto"/>
                    <w:left w:val="none" w:sz="0" w:space="0" w:color="auto"/>
                    <w:bottom w:val="none" w:sz="0" w:space="0" w:color="auto"/>
                    <w:right w:val="none" w:sz="0" w:space="0" w:color="auto"/>
                  </w:divBdr>
                </w:div>
              </w:divsChild>
            </w:div>
            <w:div w:id="256989935">
              <w:marLeft w:val="0"/>
              <w:marRight w:val="0"/>
              <w:marTop w:val="0"/>
              <w:marBottom w:val="0"/>
              <w:divBdr>
                <w:top w:val="none" w:sz="0" w:space="0" w:color="auto"/>
                <w:left w:val="none" w:sz="0" w:space="0" w:color="auto"/>
                <w:bottom w:val="none" w:sz="0" w:space="0" w:color="auto"/>
                <w:right w:val="none" w:sz="0" w:space="0" w:color="auto"/>
              </w:divBdr>
              <w:divsChild>
                <w:div w:id="1470517271">
                  <w:marLeft w:val="0"/>
                  <w:marRight w:val="0"/>
                  <w:marTop w:val="0"/>
                  <w:marBottom w:val="0"/>
                  <w:divBdr>
                    <w:top w:val="none" w:sz="0" w:space="0" w:color="auto"/>
                    <w:left w:val="none" w:sz="0" w:space="0" w:color="auto"/>
                    <w:bottom w:val="none" w:sz="0" w:space="0" w:color="auto"/>
                    <w:right w:val="none" w:sz="0" w:space="0" w:color="auto"/>
                  </w:divBdr>
                </w:div>
              </w:divsChild>
            </w:div>
            <w:div w:id="267584886">
              <w:marLeft w:val="0"/>
              <w:marRight w:val="0"/>
              <w:marTop w:val="0"/>
              <w:marBottom w:val="0"/>
              <w:divBdr>
                <w:top w:val="none" w:sz="0" w:space="0" w:color="auto"/>
                <w:left w:val="none" w:sz="0" w:space="0" w:color="auto"/>
                <w:bottom w:val="none" w:sz="0" w:space="0" w:color="auto"/>
                <w:right w:val="none" w:sz="0" w:space="0" w:color="auto"/>
              </w:divBdr>
              <w:divsChild>
                <w:div w:id="1912887479">
                  <w:marLeft w:val="0"/>
                  <w:marRight w:val="0"/>
                  <w:marTop w:val="0"/>
                  <w:marBottom w:val="0"/>
                  <w:divBdr>
                    <w:top w:val="none" w:sz="0" w:space="0" w:color="auto"/>
                    <w:left w:val="none" w:sz="0" w:space="0" w:color="auto"/>
                    <w:bottom w:val="none" w:sz="0" w:space="0" w:color="auto"/>
                    <w:right w:val="none" w:sz="0" w:space="0" w:color="auto"/>
                  </w:divBdr>
                </w:div>
              </w:divsChild>
            </w:div>
            <w:div w:id="275799667">
              <w:marLeft w:val="0"/>
              <w:marRight w:val="0"/>
              <w:marTop w:val="0"/>
              <w:marBottom w:val="0"/>
              <w:divBdr>
                <w:top w:val="none" w:sz="0" w:space="0" w:color="auto"/>
                <w:left w:val="none" w:sz="0" w:space="0" w:color="auto"/>
                <w:bottom w:val="none" w:sz="0" w:space="0" w:color="auto"/>
                <w:right w:val="none" w:sz="0" w:space="0" w:color="auto"/>
              </w:divBdr>
              <w:divsChild>
                <w:div w:id="1164590084">
                  <w:marLeft w:val="0"/>
                  <w:marRight w:val="0"/>
                  <w:marTop w:val="0"/>
                  <w:marBottom w:val="0"/>
                  <w:divBdr>
                    <w:top w:val="none" w:sz="0" w:space="0" w:color="auto"/>
                    <w:left w:val="none" w:sz="0" w:space="0" w:color="auto"/>
                    <w:bottom w:val="none" w:sz="0" w:space="0" w:color="auto"/>
                    <w:right w:val="none" w:sz="0" w:space="0" w:color="auto"/>
                  </w:divBdr>
                </w:div>
              </w:divsChild>
            </w:div>
            <w:div w:id="280766799">
              <w:marLeft w:val="0"/>
              <w:marRight w:val="0"/>
              <w:marTop w:val="0"/>
              <w:marBottom w:val="0"/>
              <w:divBdr>
                <w:top w:val="none" w:sz="0" w:space="0" w:color="auto"/>
                <w:left w:val="none" w:sz="0" w:space="0" w:color="auto"/>
                <w:bottom w:val="none" w:sz="0" w:space="0" w:color="auto"/>
                <w:right w:val="none" w:sz="0" w:space="0" w:color="auto"/>
              </w:divBdr>
              <w:divsChild>
                <w:div w:id="1332831863">
                  <w:marLeft w:val="0"/>
                  <w:marRight w:val="0"/>
                  <w:marTop w:val="0"/>
                  <w:marBottom w:val="0"/>
                  <w:divBdr>
                    <w:top w:val="none" w:sz="0" w:space="0" w:color="auto"/>
                    <w:left w:val="none" w:sz="0" w:space="0" w:color="auto"/>
                    <w:bottom w:val="none" w:sz="0" w:space="0" w:color="auto"/>
                    <w:right w:val="none" w:sz="0" w:space="0" w:color="auto"/>
                  </w:divBdr>
                </w:div>
              </w:divsChild>
            </w:div>
            <w:div w:id="292247354">
              <w:marLeft w:val="0"/>
              <w:marRight w:val="0"/>
              <w:marTop w:val="0"/>
              <w:marBottom w:val="0"/>
              <w:divBdr>
                <w:top w:val="none" w:sz="0" w:space="0" w:color="auto"/>
                <w:left w:val="none" w:sz="0" w:space="0" w:color="auto"/>
                <w:bottom w:val="none" w:sz="0" w:space="0" w:color="auto"/>
                <w:right w:val="none" w:sz="0" w:space="0" w:color="auto"/>
              </w:divBdr>
              <w:divsChild>
                <w:div w:id="340161311">
                  <w:marLeft w:val="0"/>
                  <w:marRight w:val="0"/>
                  <w:marTop w:val="0"/>
                  <w:marBottom w:val="0"/>
                  <w:divBdr>
                    <w:top w:val="none" w:sz="0" w:space="0" w:color="auto"/>
                    <w:left w:val="none" w:sz="0" w:space="0" w:color="auto"/>
                    <w:bottom w:val="none" w:sz="0" w:space="0" w:color="auto"/>
                    <w:right w:val="none" w:sz="0" w:space="0" w:color="auto"/>
                  </w:divBdr>
                </w:div>
              </w:divsChild>
            </w:div>
            <w:div w:id="297953625">
              <w:marLeft w:val="0"/>
              <w:marRight w:val="0"/>
              <w:marTop w:val="0"/>
              <w:marBottom w:val="0"/>
              <w:divBdr>
                <w:top w:val="none" w:sz="0" w:space="0" w:color="auto"/>
                <w:left w:val="none" w:sz="0" w:space="0" w:color="auto"/>
                <w:bottom w:val="none" w:sz="0" w:space="0" w:color="auto"/>
                <w:right w:val="none" w:sz="0" w:space="0" w:color="auto"/>
              </w:divBdr>
              <w:divsChild>
                <w:div w:id="513958045">
                  <w:marLeft w:val="0"/>
                  <w:marRight w:val="0"/>
                  <w:marTop w:val="0"/>
                  <w:marBottom w:val="0"/>
                  <w:divBdr>
                    <w:top w:val="none" w:sz="0" w:space="0" w:color="auto"/>
                    <w:left w:val="none" w:sz="0" w:space="0" w:color="auto"/>
                    <w:bottom w:val="none" w:sz="0" w:space="0" w:color="auto"/>
                    <w:right w:val="none" w:sz="0" w:space="0" w:color="auto"/>
                  </w:divBdr>
                </w:div>
              </w:divsChild>
            </w:div>
            <w:div w:id="325868013">
              <w:marLeft w:val="0"/>
              <w:marRight w:val="0"/>
              <w:marTop w:val="0"/>
              <w:marBottom w:val="0"/>
              <w:divBdr>
                <w:top w:val="none" w:sz="0" w:space="0" w:color="auto"/>
                <w:left w:val="none" w:sz="0" w:space="0" w:color="auto"/>
                <w:bottom w:val="none" w:sz="0" w:space="0" w:color="auto"/>
                <w:right w:val="none" w:sz="0" w:space="0" w:color="auto"/>
              </w:divBdr>
              <w:divsChild>
                <w:div w:id="1288507984">
                  <w:marLeft w:val="0"/>
                  <w:marRight w:val="0"/>
                  <w:marTop w:val="0"/>
                  <w:marBottom w:val="0"/>
                  <w:divBdr>
                    <w:top w:val="none" w:sz="0" w:space="0" w:color="auto"/>
                    <w:left w:val="none" w:sz="0" w:space="0" w:color="auto"/>
                    <w:bottom w:val="none" w:sz="0" w:space="0" w:color="auto"/>
                    <w:right w:val="none" w:sz="0" w:space="0" w:color="auto"/>
                  </w:divBdr>
                </w:div>
              </w:divsChild>
            </w:div>
            <w:div w:id="387655133">
              <w:marLeft w:val="0"/>
              <w:marRight w:val="0"/>
              <w:marTop w:val="0"/>
              <w:marBottom w:val="0"/>
              <w:divBdr>
                <w:top w:val="none" w:sz="0" w:space="0" w:color="auto"/>
                <w:left w:val="none" w:sz="0" w:space="0" w:color="auto"/>
                <w:bottom w:val="none" w:sz="0" w:space="0" w:color="auto"/>
                <w:right w:val="none" w:sz="0" w:space="0" w:color="auto"/>
              </w:divBdr>
              <w:divsChild>
                <w:div w:id="728265199">
                  <w:marLeft w:val="0"/>
                  <w:marRight w:val="0"/>
                  <w:marTop w:val="0"/>
                  <w:marBottom w:val="0"/>
                  <w:divBdr>
                    <w:top w:val="none" w:sz="0" w:space="0" w:color="auto"/>
                    <w:left w:val="none" w:sz="0" w:space="0" w:color="auto"/>
                    <w:bottom w:val="none" w:sz="0" w:space="0" w:color="auto"/>
                    <w:right w:val="none" w:sz="0" w:space="0" w:color="auto"/>
                  </w:divBdr>
                </w:div>
              </w:divsChild>
            </w:div>
            <w:div w:id="392893368">
              <w:marLeft w:val="0"/>
              <w:marRight w:val="0"/>
              <w:marTop w:val="0"/>
              <w:marBottom w:val="0"/>
              <w:divBdr>
                <w:top w:val="none" w:sz="0" w:space="0" w:color="auto"/>
                <w:left w:val="none" w:sz="0" w:space="0" w:color="auto"/>
                <w:bottom w:val="none" w:sz="0" w:space="0" w:color="auto"/>
                <w:right w:val="none" w:sz="0" w:space="0" w:color="auto"/>
              </w:divBdr>
              <w:divsChild>
                <w:div w:id="213541972">
                  <w:marLeft w:val="0"/>
                  <w:marRight w:val="0"/>
                  <w:marTop w:val="0"/>
                  <w:marBottom w:val="0"/>
                  <w:divBdr>
                    <w:top w:val="none" w:sz="0" w:space="0" w:color="auto"/>
                    <w:left w:val="none" w:sz="0" w:space="0" w:color="auto"/>
                    <w:bottom w:val="none" w:sz="0" w:space="0" w:color="auto"/>
                    <w:right w:val="none" w:sz="0" w:space="0" w:color="auto"/>
                  </w:divBdr>
                </w:div>
              </w:divsChild>
            </w:div>
            <w:div w:id="397284867">
              <w:marLeft w:val="0"/>
              <w:marRight w:val="0"/>
              <w:marTop w:val="0"/>
              <w:marBottom w:val="0"/>
              <w:divBdr>
                <w:top w:val="none" w:sz="0" w:space="0" w:color="auto"/>
                <w:left w:val="none" w:sz="0" w:space="0" w:color="auto"/>
                <w:bottom w:val="none" w:sz="0" w:space="0" w:color="auto"/>
                <w:right w:val="none" w:sz="0" w:space="0" w:color="auto"/>
              </w:divBdr>
              <w:divsChild>
                <w:div w:id="1247575338">
                  <w:marLeft w:val="0"/>
                  <w:marRight w:val="0"/>
                  <w:marTop w:val="0"/>
                  <w:marBottom w:val="0"/>
                  <w:divBdr>
                    <w:top w:val="none" w:sz="0" w:space="0" w:color="auto"/>
                    <w:left w:val="none" w:sz="0" w:space="0" w:color="auto"/>
                    <w:bottom w:val="none" w:sz="0" w:space="0" w:color="auto"/>
                    <w:right w:val="none" w:sz="0" w:space="0" w:color="auto"/>
                  </w:divBdr>
                </w:div>
                <w:div w:id="1745756446">
                  <w:marLeft w:val="0"/>
                  <w:marRight w:val="0"/>
                  <w:marTop w:val="0"/>
                  <w:marBottom w:val="0"/>
                  <w:divBdr>
                    <w:top w:val="none" w:sz="0" w:space="0" w:color="auto"/>
                    <w:left w:val="none" w:sz="0" w:space="0" w:color="auto"/>
                    <w:bottom w:val="none" w:sz="0" w:space="0" w:color="auto"/>
                    <w:right w:val="none" w:sz="0" w:space="0" w:color="auto"/>
                  </w:divBdr>
                </w:div>
              </w:divsChild>
            </w:div>
            <w:div w:id="415831277">
              <w:marLeft w:val="0"/>
              <w:marRight w:val="0"/>
              <w:marTop w:val="0"/>
              <w:marBottom w:val="0"/>
              <w:divBdr>
                <w:top w:val="none" w:sz="0" w:space="0" w:color="auto"/>
                <w:left w:val="none" w:sz="0" w:space="0" w:color="auto"/>
                <w:bottom w:val="none" w:sz="0" w:space="0" w:color="auto"/>
                <w:right w:val="none" w:sz="0" w:space="0" w:color="auto"/>
              </w:divBdr>
              <w:divsChild>
                <w:div w:id="593786749">
                  <w:marLeft w:val="0"/>
                  <w:marRight w:val="0"/>
                  <w:marTop w:val="0"/>
                  <w:marBottom w:val="0"/>
                  <w:divBdr>
                    <w:top w:val="none" w:sz="0" w:space="0" w:color="auto"/>
                    <w:left w:val="none" w:sz="0" w:space="0" w:color="auto"/>
                    <w:bottom w:val="none" w:sz="0" w:space="0" w:color="auto"/>
                    <w:right w:val="none" w:sz="0" w:space="0" w:color="auto"/>
                  </w:divBdr>
                </w:div>
              </w:divsChild>
            </w:div>
            <w:div w:id="416903812">
              <w:marLeft w:val="0"/>
              <w:marRight w:val="0"/>
              <w:marTop w:val="0"/>
              <w:marBottom w:val="0"/>
              <w:divBdr>
                <w:top w:val="none" w:sz="0" w:space="0" w:color="auto"/>
                <w:left w:val="none" w:sz="0" w:space="0" w:color="auto"/>
                <w:bottom w:val="none" w:sz="0" w:space="0" w:color="auto"/>
                <w:right w:val="none" w:sz="0" w:space="0" w:color="auto"/>
              </w:divBdr>
              <w:divsChild>
                <w:div w:id="280232360">
                  <w:marLeft w:val="0"/>
                  <w:marRight w:val="0"/>
                  <w:marTop w:val="0"/>
                  <w:marBottom w:val="0"/>
                  <w:divBdr>
                    <w:top w:val="none" w:sz="0" w:space="0" w:color="auto"/>
                    <w:left w:val="none" w:sz="0" w:space="0" w:color="auto"/>
                    <w:bottom w:val="none" w:sz="0" w:space="0" w:color="auto"/>
                    <w:right w:val="none" w:sz="0" w:space="0" w:color="auto"/>
                  </w:divBdr>
                </w:div>
              </w:divsChild>
            </w:div>
            <w:div w:id="417293633">
              <w:marLeft w:val="0"/>
              <w:marRight w:val="0"/>
              <w:marTop w:val="0"/>
              <w:marBottom w:val="0"/>
              <w:divBdr>
                <w:top w:val="none" w:sz="0" w:space="0" w:color="auto"/>
                <w:left w:val="none" w:sz="0" w:space="0" w:color="auto"/>
                <w:bottom w:val="none" w:sz="0" w:space="0" w:color="auto"/>
                <w:right w:val="none" w:sz="0" w:space="0" w:color="auto"/>
              </w:divBdr>
              <w:divsChild>
                <w:div w:id="1105231137">
                  <w:marLeft w:val="0"/>
                  <w:marRight w:val="0"/>
                  <w:marTop w:val="0"/>
                  <w:marBottom w:val="0"/>
                  <w:divBdr>
                    <w:top w:val="none" w:sz="0" w:space="0" w:color="auto"/>
                    <w:left w:val="none" w:sz="0" w:space="0" w:color="auto"/>
                    <w:bottom w:val="none" w:sz="0" w:space="0" w:color="auto"/>
                    <w:right w:val="none" w:sz="0" w:space="0" w:color="auto"/>
                  </w:divBdr>
                </w:div>
              </w:divsChild>
            </w:div>
            <w:div w:id="428086615">
              <w:marLeft w:val="0"/>
              <w:marRight w:val="0"/>
              <w:marTop w:val="0"/>
              <w:marBottom w:val="0"/>
              <w:divBdr>
                <w:top w:val="none" w:sz="0" w:space="0" w:color="auto"/>
                <w:left w:val="none" w:sz="0" w:space="0" w:color="auto"/>
                <w:bottom w:val="none" w:sz="0" w:space="0" w:color="auto"/>
                <w:right w:val="none" w:sz="0" w:space="0" w:color="auto"/>
              </w:divBdr>
              <w:divsChild>
                <w:div w:id="1027023611">
                  <w:marLeft w:val="0"/>
                  <w:marRight w:val="0"/>
                  <w:marTop w:val="0"/>
                  <w:marBottom w:val="0"/>
                  <w:divBdr>
                    <w:top w:val="none" w:sz="0" w:space="0" w:color="auto"/>
                    <w:left w:val="none" w:sz="0" w:space="0" w:color="auto"/>
                    <w:bottom w:val="none" w:sz="0" w:space="0" w:color="auto"/>
                    <w:right w:val="none" w:sz="0" w:space="0" w:color="auto"/>
                  </w:divBdr>
                </w:div>
              </w:divsChild>
            </w:div>
            <w:div w:id="439910000">
              <w:marLeft w:val="0"/>
              <w:marRight w:val="0"/>
              <w:marTop w:val="0"/>
              <w:marBottom w:val="0"/>
              <w:divBdr>
                <w:top w:val="none" w:sz="0" w:space="0" w:color="auto"/>
                <w:left w:val="none" w:sz="0" w:space="0" w:color="auto"/>
                <w:bottom w:val="none" w:sz="0" w:space="0" w:color="auto"/>
                <w:right w:val="none" w:sz="0" w:space="0" w:color="auto"/>
              </w:divBdr>
              <w:divsChild>
                <w:div w:id="881556316">
                  <w:marLeft w:val="0"/>
                  <w:marRight w:val="0"/>
                  <w:marTop w:val="0"/>
                  <w:marBottom w:val="0"/>
                  <w:divBdr>
                    <w:top w:val="none" w:sz="0" w:space="0" w:color="auto"/>
                    <w:left w:val="none" w:sz="0" w:space="0" w:color="auto"/>
                    <w:bottom w:val="none" w:sz="0" w:space="0" w:color="auto"/>
                    <w:right w:val="none" w:sz="0" w:space="0" w:color="auto"/>
                  </w:divBdr>
                </w:div>
              </w:divsChild>
            </w:div>
            <w:div w:id="497769871">
              <w:marLeft w:val="0"/>
              <w:marRight w:val="0"/>
              <w:marTop w:val="0"/>
              <w:marBottom w:val="0"/>
              <w:divBdr>
                <w:top w:val="none" w:sz="0" w:space="0" w:color="auto"/>
                <w:left w:val="none" w:sz="0" w:space="0" w:color="auto"/>
                <w:bottom w:val="none" w:sz="0" w:space="0" w:color="auto"/>
                <w:right w:val="none" w:sz="0" w:space="0" w:color="auto"/>
              </w:divBdr>
              <w:divsChild>
                <w:div w:id="1316186137">
                  <w:marLeft w:val="0"/>
                  <w:marRight w:val="0"/>
                  <w:marTop w:val="0"/>
                  <w:marBottom w:val="0"/>
                  <w:divBdr>
                    <w:top w:val="none" w:sz="0" w:space="0" w:color="auto"/>
                    <w:left w:val="none" w:sz="0" w:space="0" w:color="auto"/>
                    <w:bottom w:val="none" w:sz="0" w:space="0" w:color="auto"/>
                    <w:right w:val="none" w:sz="0" w:space="0" w:color="auto"/>
                  </w:divBdr>
                </w:div>
              </w:divsChild>
            </w:div>
            <w:div w:id="498352524">
              <w:marLeft w:val="0"/>
              <w:marRight w:val="0"/>
              <w:marTop w:val="0"/>
              <w:marBottom w:val="0"/>
              <w:divBdr>
                <w:top w:val="none" w:sz="0" w:space="0" w:color="auto"/>
                <w:left w:val="none" w:sz="0" w:space="0" w:color="auto"/>
                <w:bottom w:val="none" w:sz="0" w:space="0" w:color="auto"/>
                <w:right w:val="none" w:sz="0" w:space="0" w:color="auto"/>
              </w:divBdr>
              <w:divsChild>
                <w:div w:id="1348098368">
                  <w:marLeft w:val="0"/>
                  <w:marRight w:val="0"/>
                  <w:marTop w:val="0"/>
                  <w:marBottom w:val="0"/>
                  <w:divBdr>
                    <w:top w:val="none" w:sz="0" w:space="0" w:color="auto"/>
                    <w:left w:val="none" w:sz="0" w:space="0" w:color="auto"/>
                    <w:bottom w:val="none" w:sz="0" w:space="0" w:color="auto"/>
                    <w:right w:val="none" w:sz="0" w:space="0" w:color="auto"/>
                  </w:divBdr>
                </w:div>
              </w:divsChild>
            </w:div>
            <w:div w:id="500118792">
              <w:marLeft w:val="0"/>
              <w:marRight w:val="0"/>
              <w:marTop w:val="0"/>
              <w:marBottom w:val="0"/>
              <w:divBdr>
                <w:top w:val="none" w:sz="0" w:space="0" w:color="auto"/>
                <w:left w:val="none" w:sz="0" w:space="0" w:color="auto"/>
                <w:bottom w:val="none" w:sz="0" w:space="0" w:color="auto"/>
                <w:right w:val="none" w:sz="0" w:space="0" w:color="auto"/>
              </w:divBdr>
              <w:divsChild>
                <w:div w:id="1002780169">
                  <w:marLeft w:val="0"/>
                  <w:marRight w:val="0"/>
                  <w:marTop w:val="0"/>
                  <w:marBottom w:val="0"/>
                  <w:divBdr>
                    <w:top w:val="none" w:sz="0" w:space="0" w:color="auto"/>
                    <w:left w:val="none" w:sz="0" w:space="0" w:color="auto"/>
                    <w:bottom w:val="none" w:sz="0" w:space="0" w:color="auto"/>
                    <w:right w:val="none" w:sz="0" w:space="0" w:color="auto"/>
                  </w:divBdr>
                </w:div>
              </w:divsChild>
            </w:div>
            <w:div w:id="574243166">
              <w:marLeft w:val="0"/>
              <w:marRight w:val="0"/>
              <w:marTop w:val="0"/>
              <w:marBottom w:val="0"/>
              <w:divBdr>
                <w:top w:val="none" w:sz="0" w:space="0" w:color="auto"/>
                <w:left w:val="none" w:sz="0" w:space="0" w:color="auto"/>
                <w:bottom w:val="none" w:sz="0" w:space="0" w:color="auto"/>
                <w:right w:val="none" w:sz="0" w:space="0" w:color="auto"/>
              </w:divBdr>
              <w:divsChild>
                <w:div w:id="777145887">
                  <w:marLeft w:val="0"/>
                  <w:marRight w:val="0"/>
                  <w:marTop w:val="0"/>
                  <w:marBottom w:val="0"/>
                  <w:divBdr>
                    <w:top w:val="none" w:sz="0" w:space="0" w:color="auto"/>
                    <w:left w:val="none" w:sz="0" w:space="0" w:color="auto"/>
                    <w:bottom w:val="none" w:sz="0" w:space="0" w:color="auto"/>
                    <w:right w:val="none" w:sz="0" w:space="0" w:color="auto"/>
                  </w:divBdr>
                </w:div>
              </w:divsChild>
            </w:div>
            <w:div w:id="610673042">
              <w:marLeft w:val="0"/>
              <w:marRight w:val="0"/>
              <w:marTop w:val="0"/>
              <w:marBottom w:val="0"/>
              <w:divBdr>
                <w:top w:val="none" w:sz="0" w:space="0" w:color="auto"/>
                <w:left w:val="none" w:sz="0" w:space="0" w:color="auto"/>
                <w:bottom w:val="none" w:sz="0" w:space="0" w:color="auto"/>
                <w:right w:val="none" w:sz="0" w:space="0" w:color="auto"/>
              </w:divBdr>
              <w:divsChild>
                <w:div w:id="576014272">
                  <w:marLeft w:val="0"/>
                  <w:marRight w:val="0"/>
                  <w:marTop w:val="0"/>
                  <w:marBottom w:val="0"/>
                  <w:divBdr>
                    <w:top w:val="none" w:sz="0" w:space="0" w:color="auto"/>
                    <w:left w:val="none" w:sz="0" w:space="0" w:color="auto"/>
                    <w:bottom w:val="none" w:sz="0" w:space="0" w:color="auto"/>
                    <w:right w:val="none" w:sz="0" w:space="0" w:color="auto"/>
                  </w:divBdr>
                </w:div>
              </w:divsChild>
            </w:div>
            <w:div w:id="618880038">
              <w:marLeft w:val="0"/>
              <w:marRight w:val="0"/>
              <w:marTop w:val="0"/>
              <w:marBottom w:val="0"/>
              <w:divBdr>
                <w:top w:val="none" w:sz="0" w:space="0" w:color="auto"/>
                <w:left w:val="none" w:sz="0" w:space="0" w:color="auto"/>
                <w:bottom w:val="none" w:sz="0" w:space="0" w:color="auto"/>
                <w:right w:val="none" w:sz="0" w:space="0" w:color="auto"/>
              </w:divBdr>
              <w:divsChild>
                <w:div w:id="110249119">
                  <w:marLeft w:val="0"/>
                  <w:marRight w:val="0"/>
                  <w:marTop w:val="0"/>
                  <w:marBottom w:val="0"/>
                  <w:divBdr>
                    <w:top w:val="none" w:sz="0" w:space="0" w:color="auto"/>
                    <w:left w:val="none" w:sz="0" w:space="0" w:color="auto"/>
                    <w:bottom w:val="none" w:sz="0" w:space="0" w:color="auto"/>
                    <w:right w:val="none" w:sz="0" w:space="0" w:color="auto"/>
                  </w:divBdr>
                </w:div>
              </w:divsChild>
            </w:div>
            <w:div w:id="620116838">
              <w:marLeft w:val="0"/>
              <w:marRight w:val="0"/>
              <w:marTop w:val="0"/>
              <w:marBottom w:val="0"/>
              <w:divBdr>
                <w:top w:val="none" w:sz="0" w:space="0" w:color="auto"/>
                <w:left w:val="none" w:sz="0" w:space="0" w:color="auto"/>
                <w:bottom w:val="none" w:sz="0" w:space="0" w:color="auto"/>
                <w:right w:val="none" w:sz="0" w:space="0" w:color="auto"/>
              </w:divBdr>
              <w:divsChild>
                <w:div w:id="2031948672">
                  <w:marLeft w:val="0"/>
                  <w:marRight w:val="0"/>
                  <w:marTop w:val="0"/>
                  <w:marBottom w:val="0"/>
                  <w:divBdr>
                    <w:top w:val="none" w:sz="0" w:space="0" w:color="auto"/>
                    <w:left w:val="none" w:sz="0" w:space="0" w:color="auto"/>
                    <w:bottom w:val="none" w:sz="0" w:space="0" w:color="auto"/>
                    <w:right w:val="none" w:sz="0" w:space="0" w:color="auto"/>
                  </w:divBdr>
                </w:div>
              </w:divsChild>
            </w:div>
            <w:div w:id="634486256">
              <w:marLeft w:val="0"/>
              <w:marRight w:val="0"/>
              <w:marTop w:val="0"/>
              <w:marBottom w:val="0"/>
              <w:divBdr>
                <w:top w:val="none" w:sz="0" w:space="0" w:color="auto"/>
                <w:left w:val="none" w:sz="0" w:space="0" w:color="auto"/>
                <w:bottom w:val="none" w:sz="0" w:space="0" w:color="auto"/>
                <w:right w:val="none" w:sz="0" w:space="0" w:color="auto"/>
              </w:divBdr>
              <w:divsChild>
                <w:div w:id="1344160520">
                  <w:marLeft w:val="0"/>
                  <w:marRight w:val="0"/>
                  <w:marTop w:val="0"/>
                  <w:marBottom w:val="0"/>
                  <w:divBdr>
                    <w:top w:val="none" w:sz="0" w:space="0" w:color="auto"/>
                    <w:left w:val="none" w:sz="0" w:space="0" w:color="auto"/>
                    <w:bottom w:val="none" w:sz="0" w:space="0" w:color="auto"/>
                    <w:right w:val="none" w:sz="0" w:space="0" w:color="auto"/>
                  </w:divBdr>
                </w:div>
              </w:divsChild>
            </w:div>
            <w:div w:id="639071097">
              <w:marLeft w:val="0"/>
              <w:marRight w:val="0"/>
              <w:marTop w:val="0"/>
              <w:marBottom w:val="0"/>
              <w:divBdr>
                <w:top w:val="none" w:sz="0" w:space="0" w:color="auto"/>
                <w:left w:val="none" w:sz="0" w:space="0" w:color="auto"/>
                <w:bottom w:val="none" w:sz="0" w:space="0" w:color="auto"/>
                <w:right w:val="none" w:sz="0" w:space="0" w:color="auto"/>
              </w:divBdr>
              <w:divsChild>
                <w:div w:id="177816562">
                  <w:marLeft w:val="0"/>
                  <w:marRight w:val="0"/>
                  <w:marTop w:val="0"/>
                  <w:marBottom w:val="0"/>
                  <w:divBdr>
                    <w:top w:val="none" w:sz="0" w:space="0" w:color="auto"/>
                    <w:left w:val="none" w:sz="0" w:space="0" w:color="auto"/>
                    <w:bottom w:val="none" w:sz="0" w:space="0" w:color="auto"/>
                    <w:right w:val="none" w:sz="0" w:space="0" w:color="auto"/>
                  </w:divBdr>
                </w:div>
              </w:divsChild>
            </w:div>
            <w:div w:id="643658556">
              <w:marLeft w:val="0"/>
              <w:marRight w:val="0"/>
              <w:marTop w:val="0"/>
              <w:marBottom w:val="0"/>
              <w:divBdr>
                <w:top w:val="none" w:sz="0" w:space="0" w:color="auto"/>
                <w:left w:val="none" w:sz="0" w:space="0" w:color="auto"/>
                <w:bottom w:val="none" w:sz="0" w:space="0" w:color="auto"/>
                <w:right w:val="none" w:sz="0" w:space="0" w:color="auto"/>
              </w:divBdr>
              <w:divsChild>
                <w:div w:id="2018120326">
                  <w:marLeft w:val="0"/>
                  <w:marRight w:val="0"/>
                  <w:marTop w:val="0"/>
                  <w:marBottom w:val="0"/>
                  <w:divBdr>
                    <w:top w:val="none" w:sz="0" w:space="0" w:color="auto"/>
                    <w:left w:val="none" w:sz="0" w:space="0" w:color="auto"/>
                    <w:bottom w:val="none" w:sz="0" w:space="0" w:color="auto"/>
                    <w:right w:val="none" w:sz="0" w:space="0" w:color="auto"/>
                  </w:divBdr>
                </w:div>
              </w:divsChild>
            </w:div>
            <w:div w:id="654264227">
              <w:marLeft w:val="0"/>
              <w:marRight w:val="0"/>
              <w:marTop w:val="0"/>
              <w:marBottom w:val="0"/>
              <w:divBdr>
                <w:top w:val="none" w:sz="0" w:space="0" w:color="auto"/>
                <w:left w:val="none" w:sz="0" w:space="0" w:color="auto"/>
                <w:bottom w:val="none" w:sz="0" w:space="0" w:color="auto"/>
                <w:right w:val="none" w:sz="0" w:space="0" w:color="auto"/>
              </w:divBdr>
              <w:divsChild>
                <w:div w:id="1360735309">
                  <w:marLeft w:val="0"/>
                  <w:marRight w:val="0"/>
                  <w:marTop w:val="0"/>
                  <w:marBottom w:val="0"/>
                  <w:divBdr>
                    <w:top w:val="none" w:sz="0" w:space="0" w:color="auto"/>
                    <w:left w:val="none" w:sz="0" w:space="0" w:color="auto"/>
                    <w:bottom w:val="none" w:sz="0" w:space="0" w:color="auto"/>
                    <w:right w:val="none" w:sz="0" w:space="0" w:color="auto"/>
                  </w:divBdr>
                </w:div>
              </w:divsChild>
            </w:div>
            <w:div w:id="666251006">
              <w:marLeft w:val="0"/>
              <w:marRight w:val="0"/>
              <w:marTop w:val="0"/>
              <w:marBottom w:val="0"/>
              <w:divBdr>
                <w:top w:val="none" w:sz="0" w:space="0" w:color="auto"/>
                <w:left w:val="none" w:sz="0" w:space="0" w:color="auto"/>
                <w:bottom w:val="none" w:sz="0" w:space="0" w:color="auto"/>
                <w:right w:val="none" w:sz="0" w:space="0" w:color="auto"/>
              </w:divBdr>
              <w:divsChild>
                <w:div w:id="1099985052">
                  <w:marLeft w:val="0"/>
                  <w:marRight w:val="0"/>
                  <w:marTop w:val="0"/>
                  <w:marBottom w:val="0"/>
                  <w:divBdr>
                    <w:top w:val="none" w:sz="0" w:space="0" w:color="auto"/>
                    <w:left w:val="none" w:sz="0" w:space="0" w:color="auto"/>
                    <w:bottom w:val="none" w:sz="0" w:space="0" w:color="auto"/>
                    <w:right w:val="none" w:sz="0" w:space="0" w:color="auto"/>
                  </w:divBdr>
                </w:div>
              </w:divsChild>
            </w:div>
            <w:div w:id="671030112">
              <w:marLeft w:val="0"/>
              <w:marRight w:val="0"/>
              <w:marTop w:val="0"/>
              <w:marBottom w:val="0"/>
              <w:divBdr>
                <w:top w:val="none" w:sz="0" w:space="0" w:color="auto"/>
                <w:left w:val="none" w:sz="0" w:space="0" w:color="auto"/>
                <w:bottom w:val="none" w:sz="0" w:space="0" w:color="auto"/>
                <w:right w:val="none" w:sz="0" w:space="0" w:color="auto"/>
              </w:divBdr>
              <w:divsChild>
                <w:div w:id="1929263586">
                  <w:marLeft w:val="0"/>
                  <w:marRight w:val="0"/>
                  <w:marTop w:val="0"/>
                  <w:marBottom w:val="0"/>
                  <w:divBdr>
                    <w:top w:val="none" w:sz="0" w:space="0" w:color="auto"/>
                    <w:left w:val="none" w:sz="0" w:space="0" w:color="auto"/>
                    <w:bottom w:val="none" w:sz="0" w:space="0" w:color="auto"/>
                    <w:right w:val="none" w:sz="0" w:space="0" w:color="auto"/>
                  </w:divBdr>
                </w:div>
              </w:divsChild>
            </w:div>
            <w:div w:id="685517311">
              <w:marLeft w:val="0"/>
              <w:marRight w:val="0"/>
              <w:marTop w:val="0"/>
              <w:marBottom w:val="0"/>
              <w:divBdr>
                <w:top w:val="none" w:sz="0" w:space="0" w:color="auto"/>
                <w:left w:val="none" w:sz="0" w:space="0" w:color="auto"/>
                <w:bottom w:val="none" w:sz="0" w:space="0" w:color="auto"/>
                <w:right w:val="none" w:sz="0" w:space="0" w:color="auto"/>
              </w:divBdr>
              <w:divsChild>
                <w:div w:id="1171529995">
                  <w:marLeft w:val="0"/>
                  <w:marRight w:val="0"/>
                  <w:marTop w:val="0"/>
                  <w:marBottom w:val="0"/>
                  <w:divBdr>
                    <w:top w:val="none" w:sz="0" w:space="0" w:color="auto"/>
                    <w:left w:val="none" w:sz="0" w:space="0" w:color="auto"/>
                    <w:bottom w:val="none" w:sz="0" w:space="0" w:color="auto"/>
                    <w:right w:val="none" w:sz="0" w:space="0" w:color="auto"/>
                  </w:divBdr>
                </w:div>
              </w:divsChild>
            </w:div>
            <w:div w:id="687223472">
              <w:marLeft w:val="0"/>
              <w:marRight w:val="0"/>
              <w:marTop w:val="0"/>
              <w:marBottom w:val="0"/>
              <w:divBdr>
                <w:top w:val="none" w:sz="0" w:space="0" w:color="auto"/>
                <w:left w:val="none" w:sz="0" w:space="0" w:color="auto"/>
                <w:bottom w:val="none" w:sz="0" w:space="0" w:color="auto"/>
                <w:right w:val="none" w:sz="0" w:space="0" w:color="auto"/>
              </w:divBdr>
              <w:divsChild>
                <w:div w:id="1271624977">
                  <w:marLeft w:val="0"/>
                  <w:marRight w:val="0"/>
                  <w:marTop w:val="0"/>
                  <w:marBottom w:val="0"/>
                  <w:divBdr>
                    <w:top w:val="none" w:sz="0" w:space="0" w:color="auto"/>
                    <w:left w:val="none" w:sz="0" w:space="0" w:color="auto"/>
                    <w:bottom w:val="none" w:sz="0" w:space="0" w:color="auto"/>
                    <w:right w:val="none" w:sz="0" w:space="0" w:color="auto"/>
                  </w:divBdr>
                </w:div>
              </w:divsChild>
            </w:div>
            <w:div w:id="691997656">
              <w:marLeft w:val="0"/>
              <w:marRight w:val="0"/>
              <w:marTop w:val="0"/>
              <w:marBottom w:val="0"/>
              <w:divBdr>
                <w:top w:val="none" w:sz="0" w:space="0" w:color="auto"/>
                <w:left w:val="none" w:sz="0" w:space="0" w:color="auto"/>
                <w:bottom w:val="none" w:sz="0" w:space="0" w:color="auto"/>
                <w:right w:val="none" w:sz="0" w:space="0" w:color="auto"/>
              </w:divBdr>
              <w:divsChild>
                <w:div w:id="1996639885">
                  <w:marLeft w:val="0"/>
                  <w:marRight w:val="0"/>
                  <w:marTop w:val="0"/>
                  <w:marBottom w:val="0"/>
                  <w:divBdr>
                    <w:top w:val="none" w:sz="0" w:space="0" w:color="auto"/>
                    <w:left w:val="none" w:sz="0" w:space="0" w:color="auto"/>
                    <w:bottom w:val="none" w:sz="0" w:space="0" w:color="auto"/>
                    <w:right w:val="none" w:sz="0" w:space="0" w:color="auto"/>
                  </w:divBdr>
                </w:div>
              </w:divsChild>
            </w:div>
            <w:div w:id="713653300">
              <w:marLeft w:val="0"/>
              <w:marRight w:val="0"/>
              <w:marTop w:val="0"/>
              <w:marBottom w:val="0"/>
              <w:divBdr>
                <w:top w:val="none" w:sz="0" w:space="0" w:color="auto"/>
                <w:left w:val="none" w:sz="0" w:space="0" w:color="auto"/>
                <w:bottom w:val="none" w:sz="0" w:space="0" w:color="auto"/>
                <w:right w:val="none" w:sz="0" w:space="0" w:color="auto"/>
              </w:divBdr>
              <w:divsChild>
                <w:div w:id="1586840855">
                  <w:marLeft w:val="0"/>
                  <w:marRight w:val="0"/>
                  <w:marTop w:val="0"/>
                  <w:marBottom w:val="0"/>
                  <w:divBdr>
                    <w:top w:val="none" w:sz="0" w:space="0" w:color="auto"/>
                    <w:left w:val="none" w:sz="0" w:space="0" w:color="auto"/>
                    <w:bottom w:val="none" w:sz="0" w:space="0" w:color="auto"/>
                    <w:right w:val="none" w:sz="0" w:space="0" w:color="auto"/>
                  </w:divBdr>
                </w:div>
              </w:divsChild>
            </w:div>
            <w:div w:id="736633375">
              <w:marLeft w:val="0"/>
              <w:marRight w:val="0"/>
              <w:marTop w:val="0"/>
              <w:marBottom w:val="0"/>
              <w:divBdr>
                <w:top w:val="none" w:sz="0" w:space="0" w:color="auto"/>
                <w:left w:val="none" w:sz="0" w:space="0" w:color="auto"/>
                <w:bottom w:val="none" w:sz="0" w:space="0" w:color="auto"/>
                <w:right w:val="none" w:sz="0" w:space="0" w:color="auto"/>
              </w:divBdr>
              <w:divsChild>
                <w:div w:id="964501013">
                  <w:marLeft w:val="0"/>
                  <w:marRight w:val="0"/>
                  <w:marTop w:val="0"/>
                  <w:marBottom w:val="0"/>
                  <w:divBdr>
                    <w:top w:val="none" w:sz="0" w:space="0" w:color="auto"/>
                    <w:left w:val="none" w:sz="0" w:space="0" w:color="auto"/>
                    <w:bottom w:val="none" w:sz="0" w:space="0" w:color="auto"/>
                    <w:right w:val="none" w:sz="0" w:space="0" w:color="auto"/>
                  </w:divBdr>
                </w:div>
              </w:divsChild>
            </w:div>
            <w:div w:id="739256273">
              <w:marLeft w:val="0"/>
              <w:marRight w:val="0"/>
              <w:marTop w:val="0"/>
              <w:marBottom w:val="0"/>
              <w:divBdr>
                <w:top w:val="none" w:sz="0" w:space="0" w:color="auto"/>
                <w:left w:val="none" w:sz="0" w:space="0" w:color="auto"/>
                <w:bottom w:val="none" w:sz="0" w:space="0" w:color="auto"/>
                <w:right w:val="none" w:sz="0" w:space="0" w:color="auto"/>
              </w:divBdr>
              <w:divsChild>
                <w:div w:id="459306207">
                  <w:marLeft w:val="0"/>
                  <w:marRight w:val="0"/>
                  <w:marTop w:val="0"/>
                  <w:marBottom w:val="0"/>
                  <w:divBdr>
                    <w:top w:val="none" w:sz="0" w:space="0" w:color="auto"/>
                    <w:left w:val="none" w:sz="0" w:space="0" w:color="auto"/>
                    <w:bottom w:val="none" w:sz="0" w:space="0" w:color="auto"/>
                    <w:right w:val="none" w:sz="0" w:space="0" w:color="auto"/>
                  </w:divBdr>
                </w:div>
              </w:divsChild>
            </w:div>
            <w:div w:id="777413591">
              <w:marLeft w:val="0"/>
              <w:marRight w:val="0"/>
              <w:marTop w:val="0"/>
              <w:marBottom w:val="0"/>
              <w:divBdr>
                <w:top w:val="none" w:sz="0" w:space="0" w:color="auto"/>
                <w:left w:val="none" w:sz="0" w:space="0" w:color="auto"/>
                <w:bottom w:val="none" w:sz="0" w:space="0" w:color="auto"/>
                <w:right w:val="none" w:sz="0" w:space="0" w:color="auto"/>
              </w:divBdr>
              <w:divsChild>
                <w:div w:id="1374770153">
                  <w:marLeft w:val="0"/>
                  <w:marRight w:val="0"/>
                  <w:marTop w:val="0"/>
                  <w:marBottom w:val="0"/>
                  <w:divBdr>
                    <w:top w:val="none" w:sz="0" w:space="0" w:color="auto"/>
                    <w:left w:val="none" w:sz="0" w:space="0" w:color="auto"/>
                    <w:bottom w:val="none" w:sz="0" w:space="0" w:color="auto"/>
                    <w:right w:val="none" w:sz="0" w:space="0" w:color="auto"/>
                  </w:divBdr>
                </w:div>
              </w:divsChild>
            </w:div>
            <w:div w:id="778528594">
              <w:marLeft w:val="0"/>
              <w:marRight w:val="0"/>
              <w:marTop w:val="0"/>
              <w:marBottom w:val="0"/>
              <w:divBdr>
                <w:top w:val="none" w:sz="0" w:space="0" w:color="auto"/>
                <w:left w:val="none" w:sz="0" w:space="0" w:color="auto"/>
                <w:bottom w:val="none" w:sz="0" w:space="0" w:color="auto"/>
                <w:right w:val="none" w:sz="0" w:space="0" w:color="auto"/>
              </w:divBdr>
              <w:divsChild>
                <w:div w:id="1710841353">
                  <w:marLeft w:val="0"/>
                  <w:marRight w:val="0"/>
                  <w:marTop w:val="0"/>
                  <w:marBottom w:val="0"/>
                  <w:divBdr>
                    <w:top w:val="none" w:sz="0" w:space="0" w:color="auto"/>
                    <w:left w:val="none" w:sz="0" w:space="0" w:color="auto"/>
                    <w:bottom w:val="none" w:sz="0" w:space="0" w:color="auto"/>
                    <w:right w:val="none" w:sz="0" w:space="0" w:color="auto"/>
                  </w:divBdr>
                </w:div>
              </w:divsChild>
            </w:div>
            <w:div w:id="809859573">
              <w:marLeft w:val="0"/>
              <w:marRight w:val="0"/>
              <w:marTop w:val="0"/>
              <w:marBottom w:val="0"/>
              <w:divBdr>
                <w:top w:val="none" w:sz="0" w:space="0" w:color="auto"/>
                <w:left w:val="none" w:sz="0" w:space="0" w:color="auto"/>
                <w:bottom w:val="none" w:sz="0" w:space="0" w:color="auto"/>
                <w:right w:val="none" w:sz="0" w:space="0" w:color="auto"/>
              </w:divBdr>
              <w:divsChild>
                <w:div w:id="762603835">
                  <w:marLeft w:val="0"/>
                  <w:marRight w:val="0"/>
                  <w:marTop w:val="0"/>
                  <w:marBottom w:val="0"/>
                  <w:divBdr>
                    <w:top w:val="none" w:sz="0" w:space="0" w:color="auto"/>
                    <w:left w:val="none" w:sz="0" w:space="0" w:color="auto"/>
                    <w:bottom w:val="none" w:sz="0" w:space="0" w:color="auto"/>
                    <w:right w:val="none" w:sz="0" w:space="0" w:color="auto"/>
                  </w:divBdr>
                </w:div>
              </w:divsChild>
            </w:div>
            <w:div w:id="816726172">
              <w:marLeft w:val="0"/>
              <w:marRight w:val="0"/>
              <w:marTop w:val="0"/>
              <w:marBottom w:val="0"/>
              <w:divBdr>
                <w:top w:val="none" w:sz="0" w:space="0" w:color="auto"/>
                <w:left w:val="none" w:sz="0" w:space="0" w:color="auto"/>
                <w:bottom w:val="none" w:sz="0" w:space="0" w:color="auto"/>
                <w:right w:val="none" w:sz="0" w:space="0" w:color="auto"/>
              </w:divBdr>
              <w:divsChild>
                <w:div w:id="1211261680">
                  <w:marLeft w:val="0"/>
                  <w:marRight w:val="0"/>
                  <w:marTop w:val="0"/>
                  <w:marBottom w:val="0"/>
                  <w:divBdr>
                    <w:top w:val="none" w:sz="0" w:space="0" w:color="auto"/>
                    <w:left w:val="none" w:sz="0" w:space="0" w:color="auto"/>
                    <w:bottom w:val="none" w:sz="0" w:space="0" w:color="auto"/>
                    <w:right w:val="none" w:sz="0" w:space="0" w:color="auto"/>
                  </w:divBdr>
                </w:div>
              </w:divsChild>
            </w:div>
            <w:div w:id="835847237">
              <w:marLeft w:val="0"/>
              <w:marRight w:val="0"/>
              <w:marTop w:val="0"/>
              <w:marBottom w:val="0"/>
              <w:divBdr>
                <w:top w:val="none" w:sz="0" w:space="0" w:color="auto"/>
                <w:left w:val="none" w:sz="0" w:space="0" w:color="auto"/>
                <w:bottom w:val="none" w:sz="0" w:space="0" w:color="auto"/>
                <w:right w:val="none" w:sz="0" w:space="0" w:color="auto"/>
              </w:divBdr>
              <w:divsChild>
                <w:div w:id="44263149">
                  <w:marLeft w:val="0"/>
                  <w:marRight w:val="0"/>
                  <w:marTop w:val="0"/>
                  <w:marBottom w:val="0"/>
                  <w:divBdr>
                    <w:top w:val="none" w:sz="0" w:space="0" w:color="auto"/>
                    <w:left w:val="none" w:sz="0" w:space="0" w:color="auto"/>
                    <w:bottom w:val="none" w:sz="0" w:space="0" w:color="auto"/>
                    <w:right w:val="none" w:sz="0" w:space="0" w:color="auto"/>
                  </w:divBdr>
                </w:div>
              </w:divsChild>
            </w:div>
            <w:div w:id="878515358">
              <w:marLeft w:val="0"/>
              <w:marRight w:val="0"/>
              <w:marTop w:val="0"/>
              <w:marBottom w:val="0"/>
              <w:divBdr>
                <w:top w:val="none" w:sz="0" w:space="0" w:color="auto"/>
                <w:left w:val="none" w:sz="0" w:space="0" w:color="auto"/>
                <w:bottom w:val="none" w:sz="0" w:space="0" w:color="auto"/>
                <w:right w:val="none" w:sz="0" w:space="0" w:color="auto"/>
              </w:divBdr>
              <w:divsChild>
                <w:div w:id="435642476">
                  <w:marLeft w:val="0"/>
                  <w:marRight w:val="0"/>
                  <w:marTop w:val="0"/>
                  <w:marBottom w:val="0"/>
                  <w:divBdr>
                    <w:top w:val="none" w:sz="0" w:space="0" w:color="auto"/>
                    <w:left w:val="none" w:sz="0" w:space="0" w:color="auto"/>
                    <w:bottom w:val="none" w:sz="0" w:space="0" w:color="auto"/>
                    <w:right w:val="none" w:sz="0" w:space="0" w:color="auto"/>
                  </w:divBdr>
                </w:div>
              </w:divsChild>
            </w:div>
            <w:div w:id="900673876">
              <w:marLeft w:val="0"/>
              <w:marRight w:val="0"/>
              <w:marTop w:val="0"/>
              <w:marBottom w:val="0"/>
              <w:divBdr>
                <w:top w:val="none" w:sz="0" w:space="0" w:color="auto"/>
                <w:left w:val="none" w:sz="0" w:space="0" w:color="auto"/>
                <w:bottom w:val="none" w:sz="0" w:space="0" w:color="auto"/>
                <w:right w:val="none" w:sz="0" w:space="0" w:color="auto"/>
              </w:divBdr>
              <w:divsChild>
                <w:div w:id="800537659">
                  <w:marLeft w:val="0"/>
                  <w:marRight w:val="0"/>
                  <w:marTop w:val="0"/>
                  <w:marBottom w:val="0"/>
                  <w:divBdr>
                    <w:top w:val="none" w:sz="0" w:space="0" w:color="auto"/>
                    <w:left w:val="none" w:sz="0" w:space="0" w:color="auto"/>
                    <w:bottom w:val="none" w:sz="0" w:space="0" w:color="auto"/>
                    <w:right w:val="none" w:sz="0" w:space="0" w:color="auto"/>
                  </w:divBdr>
                </w:div>
              </w:divsChild>
            </w:div>
            <w:div w:id="914245572">
              <w:marLeft w:val="0"/>
              <w:marRight w:val="0"/>
              <w:marTop w:val="0"/>
              <w:marBottom w:val="0"/>
              <w:divBdr>
                <w:top w:val="none" w:sz="0" w:space="0" w:color="auto"/>
                <w:left w:val="none" w:sz="0" w:space="0" w:color="auto"/>
                <w:bottom w:val="none" w:sz="0" w:space="0" w:color="auto"/>
                <w:right w:val="none" w:sz="0" w:space="0" w:color="auto"/>
              </w:divBdr>
              <w:divsChild>
                <w:div w:id="827748044">
                  <w:marLeft w:val="0"/>
                  <w:marRight w:val="0"/>
                  <w:marTop w:val="0"/>
                  <w:marBottom w:val="0"/>
                  <w:divBdr>
                    <w:top w:val="none" w:sz="0" w:space="0" w:color="auto"/>
                    <w:left w:val="none" w:sz="0" w:space="0" w:color="auto"/>
                    <w:bottom w:val="none" w:sz="0" w:space="0" w:color="auto"/>
                    <w:right w:val="none" w:sz="0" w:space="0" w:color="auto"/>
                  </w:divBdr>
                </w:div>
              </w:divsChild>
            </w:div>
            <w:div w:id="918098147">
              <w:marLeft w:val="0"/>
              <w:marRight w:val="0"/>
              <w:marTop w:val="0"/>
              <w:marBottom w:val="0"/>
              <w:divBdr>
                <w:top w:val="none" w:sz="0" w:space="0" w:color="auto"/>
                <w:left w:val="none" w:sz="0" w:space="0" w:color="auto"/>
                <w:bottom w:val="none" w:sz="0" w:space="0" w:color="auto"/>
                <w:right w:val="none" w:sz="0" w:space="0" w:color="auto"/>
              </w:divBdr>
              <w:divsChild>
                <w:div w:id="2133093498">
                  <w:marLeft w:val="0"/>
                  <w:marRight w:val="0"/>
                  <w:marTop w:val="0"/>
                  <w:marBottom w:val="0"/>
                  <w:divBdr>
                    <w:top w:val="none" w:sz="0" w:space="0" w:color="auto"/>
                    <w:left w:val="none" w:sz="0" w:space="0" w:color="auto"/>
                    <w:bottom w:val="none" w:sz="0" w:space="0" w:color="auto"/>
                    <w:right w:val="none" w:sz="0" w:space="0" w:color="auto"/>
                  </w:divBdr>
                </w:div>
              </w:divsChild>
            </w:div>
            <w:div w:id="967979712">
              <w:marLeft w:val="0"/>
              <w:marRight w:val="0"/>
              <w:marTop w:val="0"/>
              <w:marBottom w:val="0"/>
              <w:divBdr>
                <w:top w:val="none" w:sz="0" w:space="0" w:color="auto"/>
                <w:left w:val="none" w:sz="0" w:space="0" w:color="auto"/>
                <w:bottom w:val="none" w:sz="0" w:space="0" w:color="auto"/>
                <w:right w:val="none" w:sz="0" w:space="0" w:color="auto"/>
              </w:divBdr>
              <w:divsChild>
                <w:div w:id="1019351426">
                  <w:marLeft w:val="0"/>
                  <w:marRight w:val="0"/>
                  <w:marTop w:val="0"/>
                  <w:marBottom w:val="0"/>
                  <w:divBdr>
                    <w:top w:val="none" w:sz="0" w:space="0" w:color="auto"/>
                    <w:left w:val="none" w:sz="0" w:space="0" w:color="auto"/>
                    <w:bottom w:val="none" w:sz="0" w:space="0" w:color="auto"/>
                    <w:right w:val="none" w:sz="0" w:space="0" w:color="auto"/>
                  </w:divBdr>
                </w:div>
              </w:divsChild>
            </w:div>
            <w:div w:id="973370914">
              <w:marLeft w:val="0"/>
              <w:marRight w:val="0"/>
              <w:marTop w:val="0"/>
              <w:marBottom w:val="0"/>
              <w:divBdr>
                <w:top w:val="none" w:sz="0" w:space="0" w:color="auto"/>
                <w:left w:val="none" w:sz="0" w:space="0" w:color="auto"/>
                <w:bottom w:val="none" w:sz="0" w:space="0" w:color="auto"/>
                <w:right w:val="none" w:sz="0" w:space="0" w:color="auto"/>
              </w:divBdr>
              <w:divsChild>
                <w:div w:id="1973510789">
                  <w:marLeft w:val="0"/>
                  <w:marRight w:val="0"/>
                  <w:marTop w:val="0"/>
                  <w:marBottom w:val="0"/>
                  <w:divBdr>
                    <w:top w:val="none" w:sz="0" w:space="0" w:color="auto"/>
                    <w:left w:val="none" w:sz="0" w:space="0" w:color="auto"/>
                    <w:bottom w:val="none" w:sz="0" w:space="0" w:color="auto"/>
                    <w:right w:val="none" w:sz="0" w:space="0" w:color="auto"/>
                  </w:divBdr>
                </w:div>
              </w:divsChild>
            </w:div>
            <w:div w:id="976757988">
              <w:marLeft w:val="0"/>
              <w:marRight w:val="0"/>
              <w:marTop w:val="0"/>
              <w:marBottom w:val="0"/>
              <w:divBdr>
                <w:top w:val="none" w:sz="0" w:space="0" w:color="auto"/>
                <w:left w:val="none" w:sz="0" w:space="0" w:color="auto"/>
                <w:bottom w:val="none" w:sz="0" w:space="0" w:color="auto"/>
                <w:right w:val="none" w:sz="0" w:space="0" w:color="auto"/>
              </w:divBdr>
              <w:divsChild>
                <w:div w:id="1212573901">
                  <w:marLeft w:val="0"/>
                  <w:marRight w:val="0"/>
                  <w:marTop w:val="0"/>
                  <w:marBottom w:val="0"/>
                  <w:divBdr>
                    <w:top w:val="none" w:sz="0" w:space="0" w:color="auto"/>
                    <w:left w:val="none" w:sz="0" w:space="0" w:color="auto"/>
                    <w:bottom w:val="none" w:sz="0" w:space="0" w:color="auto"/>
                    <w:right w:val="none" w:sz="0" w:space="0" w:color="auto"/>
                  </w:divBdr>
                </w:div>
              </w:divsChild>
            </w:div>
            <w:div w:id="983582128">
              <w:marLeft w:val="0"/>
              <w:marRight w:val="0"/>
              <w:marTop w:val="0"/>
              <w:marBottom w:val="0"/>
              <w:divBdr>
                <w:top w:val="none" w:sz="0" w:space="0" w:color="auto"/>
                <w:left w:val="none" w:sz="0" w:space="0" w:color="auto"/>
                <w:bottom w:val="none" w:sz="0" w:space="0" w:color="auto"/>
                <w:right w:val="none" w:sz="0" w:space="0" w:color="auto"/>
              </w:divBdr>
              <w:divsChild>
                <w:div w:id="1146628934">
                  <w:marLeft w:val="0"/>
                  <w:marRight w:val="0"/>
                  <w:marTop w:val="0"/>
                  <w:marBottom w:val="0"/>
                  <w:divBdr>
                    <w:top w:val="none" w:sz="0" w:space="0" w:color="auto"/>
                    <w:left w:val="none" w:sz="0" w:space="0" w:color="auto"/>
                    <w:bottom w:val="none" w:sz="0" w:space="0" w:color="auto"/>
                    <w:right w:val="none" w:sz="0" w:space="0" w:color="auto"/>
                  </w:divBdr>
                </w:div>
              </w:divsChild>
            </w:div>
            <w:div w:id="1012343753">
              <w:marLeft w:val="0"/>
              <w:marRight w:val="0"/>
              <w:marTop w:val="0"/>
              <w:marBottom w:val="0"/>
              <w:divBdr>
                <w:top w:val="none" w:sz="0" w:space="0" w:color="auto"/>
                <w:left w:val="none" w:sz="0" w:space="0" w:color="auto"/>
                <w:bottom w:val="none" w:sz="0" w:space="0" w:color="auto"/>
                <w:right w:val="none" w:sz="0" w:space="0" w:color="auto"/>
              </w:divBdr>
              <w:divsChild>
                <w:div w:id="1279946151">
                  <w:marLeft w:val="0"/>
                  <w:marRight w:val="0"/>
                  <w:marTop w:val="0"/>
                  <w:marBottom w:val="0"/>
                  <w:divBdr>
                    <w:top w:val="none" w:sz="0" w:space="0" w:color="auto"/>
                    <w:left w:val="none" w:sz="0" w:space="0" w:color="auto"/>
                    <w:bottom w:val="none" w:sz="0" w:space="0" w:color="auto"/>
                    <w:right w:val="none" w:sz="0" w:space="0" w:color="auto"/>
                  </w:divBdr>
                </w:div>
              </w:divsChild>
            </w:div>
            <w:div w:id="1022318825">
              <w:marLeft w:val="0"/>
              <w:marRight w:val="0"/>
              <w:marTop w:val="0"/>
              <w:marBottom w:val="0"/>
              <w:divBdr>
                <w:top w:val="none" w:sz="0" w:space="0" w:color="auto"/>
                <w:left w:val="none" w:sz="0" w:space="0" w:color="auto"/>
                <w:bottom w:val="none" w:sz="0" w:space="0" w:color="auto"/>
                <w:right w:val="none" w:sz="0" w:space="0" w:color="auto"/>
              </w:divBdr>
              <w:divsChild>
                <w:div w:id="1084959218">
                  <w:marLeft w:val="0"/>
                  <w:marRight w:val="0"/>
                  <w:marTop w:val="0"/>
                  <w:marBottom w:val="0"/>
                  <w:divBdr>
                    <w:top w:val="none" w:sz="0" w:space="0" w:color="auto"/>
                    <w:left w:val="none" w:sz="0" w:space="0" w:color="auto"/>
                    <w:bottom w:val="none" w:sz="0" w:space="0" w:color="auto"/>
                    <w:right w:val="none" w:sz="0" w:space="0" w:color="auto"/>
                  </w:divBdr>
                </w:div>
              </w:divsChild>
            </w:div>
            <w:div w:id="1031686704">
              <w:marLeft w:val="0"/>
              <w:marRight w:val="0"/>
              <w:marTop w:val="0"/>
              <w:marBottom w:val="0"/>
              <w:divBdr>
                <w:top w:val="none" w:sz="0" w:space="0" w:color="auto"/>
                <w:left w:val="none" w:sz="0" w:space="0" w:color="auto"/>
                <w:bottom w:val="none" w:sz="0" w:space="0" w:color="auto"/>
                <w:right w:val="none" w:sz="0" w:space="0" w:color="auto"/>
              </w:divBdr>
              <w:divsChild>
                <w:div w:id="1179388773">
                  <w:marLeft w:val="0"/>
                  <w:marRight w:val="0"/>
                  <w:marTop w:val="0"/>
                  <w:marBottom w:val="0"/>
                  <w:divBdr>
                    <w:top w:val="none" w:sz="0" w:space="0" w:color="auto"/>
                    <w:left w:val="none" w:sz="0" w:space="0" w:color="auto"/>
                    <w:bottom w:val="none" w:sz="0" w:space="0" w:color="auto"/>
                    <w:right w:val="none" w:sz="0" w:space="0" w:color="auto"/>
                  </w:divBdr>
                </w:div>
              </w:divsChild>
            </w:div>
            <w:div w:id="1100183230">
              <w:marLeft w:val="0"/>
              <w:marRight w:val="0"/>
              <w:marTop w:val="0"/>
              <w:marBottom w:val="0"/>
              <w:divBdr>
                <w:top w:val="none" w:sz="0" w:space="0" w:color="auto"/>
                <w:left w:val="none" w:sz="0" w:space="0" w:color="auto"/>
                <w:bottom w:val="none" w:sz="0" w:space="0" w:color="auto"/>
                <w:right w:val="none" w:sz="0" w:space="0" w:color="auto"/>
              </w:divBdr>
              <w:divsChild>
                <w:div w:id="1853490031">
                  <w:marLeft w:val="0"/>
                  <w:marRight w:val="0"/>
                  <w:marTop w:val="0"/>
                  <w:marBottom w:val="0"/>
                  <w:divBdr>
                    <w:top w:val="none" w:sz="0" w:space="0" w:color="auto"/>
                    <w:left w:val="none" w:sz="0" w:space="0" w:color="auto"/>
                    <w:bottom w:val="none" w:sz="0" w:space="0" w:color="auto"/>
                    <w:right w:val="none" w:sz="0" w:space="0" w:color="auto"/>
                  </w:divBdr>
                </w:div>
              </w:divsChild>
            </w:div>
            <w:div w:id="1165975962">
              <w:marLeft w:val="0"/>
              <w:marRight w:val="0"/>
              <w:marTop w:val="0"/>
              <w:marBottom w:val="0"/>
              <w:divBdr>
                <w:top w:val="none" w:sz="0" w:space="0" w:color="auto"/>
                <w:left w:val="none" w:sz="0" w:space="0" w:color="auto"/>
                <w:bottom w:val="none" w:sz="0" w:space="0" w:color="auto"/>
                <w:right w:val="none" w:sz="0" w:space="0" w:color="auto"/>
              </w:divBdr>
              <w:divsChild>
                <w:div w:id="125129202">
                  <w:marLeft w:val="0"/>
                  <w:marRight w:val="0"/>
                  <w:marTop w:val="0"/>
                  <w:marBottom w:val="0"/>
                  <w:divBdr>
                    <w:top w:val="none" w:sz="0" w:space="0" w:color="auto"/>
                    <w:left w:val="none" w:sz="0" w:space="0" w:color="auto"/>
                    <w:bottom w:val="none" w:sz="0" w:space="0" w:color="auto"/>
                    <w:right w:val="none" w:sz="0" w:space="0" w:color="auto"/>
                  </w:divBdr>
                </w:div>
                <w:div w:id="332340134">
                  <w:marLeft w:val="0"/>
                  <w:marRight w:val="0"/>
                  <w:marTop w:val="0"/>
                  <w:marBottom w:val="0"/>
                  <w:divBdr>
                    <w:top w:val="none" w:sz="0" w:space="0" w:color="auto"/>
                    <w:left w:val="none" w:sz="0" w:space="0" w:color="auto"/>
                    <w:bottom w:val="none" w:sz="0" w:space="0" w:color="auto"/>
                    <w:right w:val="none" w:sz="0" w:space="0" w:color="auto"/>
                  </w:divBdr>
                </w:div>
                <w:div w:id="427390730">
                  <w:marLeft w:val="0"/>
                  <w:marRight w:val="0"/>
                  <w:marTop w:val="0"/>
                  <w:marBottom w:val="0"/>
                  <w:divBdr>
                    <w:top w:val="none" w:sz="0" w:space="0" w:color="auto"/>
                    <w:left w:val="none" w:sz="0" w:space="0" w:color="auto"/>
                    <w:bottom w:val="none" w:sz="0" w:space="0" w:color="auto"/>
                    <w:right w:val="none" w:sz="0" w:space="0" w:color="auto"/>
                  </w:divBdr>
                </w:div>
                <w:div w:id="1704788740">
                  <w:marLeft w:val="0"/>
                  <w:marRight w:val="0"/>
                  <w:marTop w:val="0"/>
                  <w:marBottom w:val="0"/>
                  <w:divBdr>
                    <w:top w:val="none" w:sz="0" w:space="0" w:color="auto"/>
                    <w:left w:val="none" w:sz="0" w:space="0" w:color="auto"/>
                    <w:bottom w:val="none" w:sz="0" w:space="0" w:color="auto"/>
                    <w:right w:val="none" w:sz="0" w:space="0" w:color="auto"/>
                  </w:divBdr>
                </w:div>
              </w:divsChild>
            </w:div>
            <w:div w:id="1166752406">
              <w:marLeft w:val="0"/>
              <w:marRight w:val="0"/>
              <w:marTop w:val="0"/>
              <w:marBottom w:val="0"/>
              <w:divBdr>
                <w:top w:val="none" w:sz="0" w:space="0" w:color="auto"/>
                <w:left w:val="none" w:sz="0" w:space="0" w:color="auto"/>
                <w:bottom w:val="none" w:sz="0" w:space="0" w:color="auto"/>
                <w:right w:val="none" w:sz="0" w:space="0" w:color="auto"/>
              </w:divBdr>
              <w:divsChild>
                <w:div w:id="1443456002">
                  <w:marLeft w:val="0"/>
                  <w:marRight w:val="0"/>
                  <w:marTop w:val="0"/>
                  <w:marBottom w:val="0"/>
                  <w:divBdr>
                    <w:top w:val="none" w:sz="0" w:space="0" w:color="auto"/>
                    <w:left w:val="none" w:sz="0" w:space="0" w:color="auto"/>
                    <w:bottom w:val="none" w:sz="0" w:space="0" w:color="auto"/>
                    <w:right w:val="none" w:sz="0" w:space="0" w:color="auto"/>
                  </w:divBdr>
                </w:div>
              </w:divsChild>
            </w:div>
            <w:div w:id="1185629808">
              <w:marLeft w:val="0"/>
              <w:marRight w:val="0"/>
              <w:marTop w:val="0"/>
              <w:marBottom w:val="0"/>
              <w:divBdr>
                <w:top w:val="none" w:sz="0" w:space="0" w:color="auto"/>
                <w:left w:val="none" w:sz="0" w:space="0" w:color="auto"/>
                <w:bottom w:val="none" w:sz="0" w:space="0" w:color="auto"/>
                <w:right w:val="none" w:sz="0" w:space="0" w:color="auto"/>
              </w:divBdr>
              <w:divsChild>
                <w:div w:id="1090076415">
                  <w:marLeft w:val="0"/>
                  <w:marRight w:val="0"/>
                  <w:marTop w:val="0"/>
                  <w:marBottom w:val="0"/>
                  <w:divBdr>
                    <w:top w:val="none" w:sz="0" w:space="0" w:color="auto"/>
                    <w:left w:val="none" w:sz="0" w:space="0" w:color="auto"/>
                    <w:bottom w:val="none" w:sz="0" w:space="0" w:color="auto"/>
                    <w:right w:val="none" w:sz="0" w:space="0" w:color="auto"/>
                  </w:divBdr>
                </w:div>
              </w:divsChild>
            </w:div>
            <w:div w:id="1189299973">
              <w:marLeft w:val="0"/>
              <w:marRight w:val="0"/>
              <w:marTop w:val="0"/>
              <w:marBottom w:val="0"/>
              <w:divBdr>
                <w:top w:val="none" w:sz="0" w:space="0" w:color="auto"/>
                <w:left w:val="none" w:sz="0" w:space="0" w:color="auto"/>
                <w:bottom w:val="none" w:sz="0" w:space="0" w:color="auto"/>
                <w:right w:val="none" w:sz="0" w:space="0" w:color="auto"/>
              </w:divBdr>
              <w:divsChild>
                <w:div w:id="1305889392">
                  <w:marLeft w:val="0"/>
                  <w:marRight w:val="0"/>
                  <w:marTop w:val="0"/>
                  <w:marBottom w:val="0"/>
                  <w:divBdr>
                    <w:top w:val="none" w:sz="0" w:space="0" w:color="auto"/>
                    <w:left w:val="none" w:sz="0" w:space="0" w:color="auto"/>
                    <w:bottom w:val="none" w:sz="0" w:space="0" w:color="auto"/>
                    <w:right w:val="none" w:sz="0" w:space="0" w:color="auto"/>
                  </w:divBdr>
                </w:div>
              </w:divsChild>
            </w:div>
            <w:div w:id="1228422057">
              <w:marLeft w:val="0"/>
              <w:marRight w:val="0"/>
              <w:marTop w:val="0"/>
              <w:marBottom w:val="0"/>
              <w:divBdr>
                <w:top w:val="none" w:sz="0" w:space="0" w:color="auto"/>
                <w:left w:val="none" w:sz="0" w:space="0" w:color="auto"/>
                <w:bottom w:val="none" w:sz="0" w:space="0" w:color="auto"/>
                <w:right w:val="none" w:sz="0" w:space="0" w:color="auto"/>
              </w:divBdr>
              <w:divsChild>
                <w:div w:id="742994139">
                  <w:marLeft w:val="0"/>
                  <w:marRight w:val="0"/>
                  <w:marTop w:val="0"/>
                  <w:marBottom w:val="0"/>
                  <w:divBdr>
                    <w:top w:val="none" w:sz="0" w:space="0" w:color="auto"/>
                    <w:left w:val="none" w:sz="0" w:space="0" w:color="auto"/>
                    <w:bottom w:val="none" w:sz="0" w:space="0" w:color="auto"/>
                    <w:right w:val="none" w:sz="0" w:space="0" w:color="auto"/>
                  </w:divBdr>
                </w:div>
              </w:divsChild>
            </w:div>
            <w:div w:id="1239168739">
              <w:marLeft w:val="0"/>
              <w:marRight w:val="0"/>
              <w:marTop w:val="0"/>
              <w:marBottom w:val="0"/>
              <w:divBdr>
                <w:top w:val="none" w:sz="0" w:space="0" w:color="auto"/>
                <w:left w:val="none" w:sz="0" w:space="0" w:color="auto"/>
                <w:bottom w:val="none" w:sz="0" w:space="0" w:color="auto"/>
                <w:right w:val="none" w:sz="0" w:space="0" w:color="auto"/>
              </w:divBdr>
              <w:divsChild>
                <w:div w:id="1845626348">
                  <w:marLeft w:val="0"/>
                  <w:marRight w:val="0"/>
                  <w:marTop w:val="0"/>
                  <w:marBottom w:val="0"/>
                  <w:divBdr>
                    <w:top w:val="none" w:sz="0" w:space="0" w:color="auto"/>
                    <w:left w:val="none" w:sz="0" w:space="0" w:color="auto"/>
                    <w:bottom w:val="none" w:sz="0" w:space="0" w:color="auto"/>
                    <w:right w:val="none" w:sz="0" w:space="0" w:color="auto"/>
                  </w:divBdr>
                </w:div>
              </w:divsChild>
            </w:div>
            <w:div w:id="1241254146">
              <w:marLeft w:val="0"/>
              <w:marRight w:val="0"/>
              <w:marTop w:val="0"/>
              <w:marBottom w:val="0"/>
              <w:divBdr>
                <w:top w:val="none" w:sz="0" w:space="0" w:color="auto"/>
                <w:left w:val="none" w:sz="0" w:space="0" w:color="auto"/>
                <w:bottom w:val="none" w:sz="0" w:space="0" w:color="auto"/>
                <w:right w:val="none" w:sz="0" w:space="0" w:color="auto"/>
              </w:divBdr>
              <w:divsChild>
                <w:div w:id="162165797">
                  <w:marLeft w:val="0"/>
                  <w:marRight w:val="0"/>
                  <w:marTop w:val="0"/>
                  <w:marBottom w:val="0"/>
                  <w:divBdr>
                    <w:top w:val="none" w:sz="0" w:space="0" w:color="auto"/>
                    <w:left w:val="none" w:sz="0" w:space="0" w:color="auto"/>
                    <w:bottom w:val="none" w:sz="0" w:space="0" w:color="auto"/>
                    <w:right w:val="none" w:sz="0" w:space="0" w:color="auto"/>
                  </w:divBdr>
                </w:div>
              </w:divsChild>
            </w:div>
            <w:div w:id="1252397165">
              <w:marLeft w:val="0"/>
              <w:marRight w:val="0"/>
              <w:marTop w:val="0"/>
              <w:marBottom w:val="0"/>
              <w:divBdr>
                <w:top w:val="none" w:sz="0" w:space="0" w:color="auto"/>
                <w:left w:val="none" w:sz="0" w:space="0" w:color="auto"/>
                <w:bottom w:val="none" w:sz="0" w:space="0" w:color="auto"/>
                <w:right w:val="none" w:sz="0" w:space="0" w:color="auto"/>
              </w:divBdr>
              <w:divsChild>
                <w:div w:id="1242594361">
                  <w:marLeft w:val="0"/>
                  <w:marRight w:val="0"/>
                  <w:marTop w:val="0"/>
                  <w:marBottom w:val="0"/>
                  <w:divBdr>
                    <w:top w:val="none" w:sz="0" w:space="0" w:color="auto"/>
                    <w:left w:val="none" w:sz="0" w:space="0" w:color="auto"/>
                    <w:bottom w:val="none" w:sz="0" w:space="0" w:color="auto"/>
                    <w:right w:val="none" w:sz="0" w:space="0" w:color="auto"/>
                  </w:divBdr>
                </w:div>
              </w:divsChild>
            </w:div>
            <w:div w:id="1255632527">
              <w:marLeft w:val="0"/>
              <w:marRight w:val="0"/>
              <w:marTop w:val="0"/>
              <w:marBottom w:val="0"/>
              <w:divBdr>
                <w:top w:val="none" w:sz="0" w:space="0" w:color="auto"/>
                <w:left w:val="none" w:sz="0" w:space="0" w:color="auto"/>
                <w:bottom w:val="none" w:sz="0" w:space="0" w:color="auto"/>
                <w:right w:val="none" w:sz="0" w:space="0" w:color="auto"/>
              </w:divBdr>
              <w:divsChild>
                <w:div w:id="131756075">
                  <w:marLeft w:val="0"/>
                  <w:marRight w:val="0"/>
                  <w:marTop w:val="0"/>
                  <w:marBottom w:val="0"/>
                  <w:divBdr>
                    <w:top w:val="none" w:sz="0" w:space="0" w:color="auto"/>
                    <w:left w:val="none" w:sz="0" w:space="0" w:color="auto"/>
                    <w:bottom w:val="none" w:sz="0" w:space="0" w:color="auto"/>
                    <w:right w:val="none" w:sz="0" w:space="0" w:color="auto"/>
                  </w:divBdr>
                </w:div>
              </w:divsChild>
            </w:div>
            <w:div w:id="1258099153">
              <w:marLeft w:val="0"/>
              <w:marRight w:val="0"/>
              <w:marTop w:val="0"/>
              <w:marBottom w:val="0"/>
              <w:divBdr>
                <w:top w:val="none" w:sz="0" w:space="0" w:color="auto"/>
                <w:left w:val="none" w:sz="0" w:space="0" w:color="auto"/>
                <w:bottom w:val="none" w:sz="0" w:space="0" w:color="auto"/>
                <w:right w:val="none" w:sz="0" w:space="0" w:color="auto"/>
              </w:divBdr>
              <w:divsChild>
                <w:div w:id="2088574343">
                  <w:marLeft w:val="0"/>
                  <w:marRight w:val="0"/>
                  <w:marTop w:val="0"/>
                  <w:marBottom w:val="0"/>
                  <w:divBdr>
                    <w:top w:val="none" w:sz="0" w:space="0" w:color="auto"/>
                    <w:left w:val="none" w:sz="0" w:space="0" w:color="auto"/>
                    <w:bottom w:val="none" w:sz="0" w:space="0" w:color="auto"/>
                    <w:right w:val="none" w:sz="0" w:space="0" w:color="auto"/>
                  </w:divBdr>
                </w:div>
              </w:divsChild>
            </w:div>
            <w:div w:id="1260873205">
              <w:marLeft w:val="0"/>
              <w:marRight w:val="0"/>
              <w:marTop w:val="0"/>
              <w:marBottom w:val="0"/>
              <w:divBdr>
                <w:top w:val="none" w:sz="0" w:space="0" w:color="auto"/>
                <w:left w:val="none" w:sz="0" w:space="0" w:color="auto"/>
                <w:bottom w:val="none" w:sz="0" w:space="0" w:color="auto"/>
                <w:right w:val="none" w:sz="0" w:space="0" w:color="auto"/>
              </w:divBdr>
              <w:divsChild>
                <w:div w:id="1305306828">
                  <w:marLeft w:val="0"/>
                  <w:marRight w:val="0"/>
                  <w:marTop w:val="0"/>
                  <w:marBottom w:val="0"/>
                  <w:divBdr>
                    <w:top w:val="none" w:sz="0" w:space="0" w:color="auto"/>
                    <w:left w:val="none" w:sz="0" w:space="0" w:color="auto"/>
                    <w:bottom w:val="none" w:sz="0" w:space="0" w:color="auto"/>
                    <w:right w:val="none" w:sz="0" w:space="0" w:color="auto"/>
                  </w:divBdr>
                </w:div>
              </w:divsChild>
            </w:div>
            <w:div w:id="1265920018">
              <w:marLeft w:val="0"/>
              <w:marRight w:val="0"/>
              <w:marTop w:val="0"/>
              <w:marBottom w:val="0"/>
              <w:divBdr>
                <w:top w:val="none" w:sz="0" w:space="0" w:color="auto"/>
                <w:left w:val="none" w:sz="0" w:space="0" w:color="auto"/>
                <w:bottom w:val="none" w:sz="0" w:space="0" w:color="auto"/>
                <w:right w:val="none" w:sz="0" w:space="0" w:color="auto"/>
              </w:divBdr>
              <w:divsChild>
                <w:div w:id="15236333">
                  <w:marLeft w:val="0"/>
                  <w:marRight w:val="0"/>
                  <w:marTop w:val="0"/>
                  <w:marBottom w:val="0"/>
                  <w:divBdr>
                    <w:top w:val="none" w:sz="0" w:space="0" w:color="auto"/>
                    <w:left w:val="none" w:sz="0" w:space="0" w:color="auto"/>
                    <w:bottom w:val="none" w:sz="0" w:space="0" w:color="auto"/>
                    <w:right w:val="none" w:sz="0" w:space="0" w:color="auto"/>
                  </w:divBdr>
                </w:div>
              </w:divsChild>
            </w:div>
            <w:div w:id="1275553329">
              <w:marLeft w:val="0"/>
              <w:marRight w:val="0"/>
              <w:marTop w:val="0"/>
              <w:marBottom w:val="0"/>
              <w:divBdr>
                <w:top w:val="none" w:sz="0" w:space="0" w:color="auto"/>
                <w:left w:val="none" w:sz="0" w:space="0" w:color="auto"/>
                <w:bottom w:val="none" w:sz="0" w:space="0" w:color="auto"/>
                <w:right w:val="none" w:sz="0" w:space="0" w:color="auto"/>
              </w:divBdr>
              <w:divsChild>
                <w:div w:id="1505513526">
                  <w:marLeft w:val="0"/>
                  <w:marRight w:val="0"/>
                  <w:marTop w:val="0"/>
                  <w:marBottom w:val="0"/>
                  <w:divBdr>
                    <w:top w:val="none" w:sz="0" w:space="0" w:color="auto"/>
                    <w:left w:val="none" w:sz="0" w:space="0" w:color="auto"/>
                    <w:bottom w:val="none" w:sz="0" w:space="0" w:color="auto"/>
                    <w:right w:val="none" w:sz="0" w:space="0" w:color="auto"/>
                  </w:divBdr>
                </w:div>
              </w:divsChild>
            </w:div>
            <w:div w:id="1297837705">
              <w:marLeft w:val="0"/>
              <w:marRight w:val="0"/>
              <w:marTop w:val="0"/>
              <w:marBottom w:val="0"/>
              <w:divBdr>
                <w:top w:val="none" w:sz="0" w:space="0" w:color="auto"/>
                <w:left w:val="none" w:sz="0" w:space="0" w:color="auto"/>
                <w:bottom w:val="none" w:sz="0" w:space="0" w:color="auto"/>
                <w:right w:val="none" w:sz="0" w:space="0" w:color="auto"/>
              </w:divBdr>
              <w:divsChild>
                <w:div w:id="881135646">
                  <w:marLeft w:val="0"/>
                  <w:marRight w:val="0"/>
                  <w:marTop w:val="0"/>
                  <w:marBottom w:val="0"/>
                  <w:divBdr>
                    <w:top w:val="none" w:sz="0" w:space="0" w:color="auto"/>
                    <w:left w:val="none" w:sz="0" w:space="0" w:color="auto"/>
                    <w:bottom w:val="none" w:sz="0" w:space="0" w:color="auto"/>
                    <w:right w:val="none" w:sz="0" w:space="0" w:color="auto"/>
                  </w:divBdr>
                </w:div>
              </w:divsChild>
            </w:div>
            <w:div w:id="1299997212">
              <w:marLeft w:val="0"/>
              <w:marRight w:val="0"/>
              <w:marTop w:val="0"/>
              <w:marBottom w:val="0"/>
              <w:divBdr>
                <w:top w:val="none" w:sz="0" w:space="0" w:color="auto"/>
                <w:left w:val="none" w:sz="0" w:space="0" w:color="auto"/>
                <w:bottom w:val="none" w:sz="0" w:space="0" w:color="auto"/>
                <w:right w:val="none" w:sz="0" w:space="0" w:color="auto"/>
              </w:divBdr>
              <w:divsChild>
                <w:div w:id="1028409084">
                  <w:marLeft w:val="0"/>
                  <w:marRight w:val="0"/>
                  <w:marTop w:val="0"/>
                  <w:marBottom w:val="0"/>
                  <w:divBdr>
                    <w:top w:val="none" w:sz="0" w:space="0" w:color="auto"/>
                    <w:left w:val="none" w:sz="0" w:space="0" w:color="auto"/>
                    <w:bottom w:val="none" w:sz="0" w:space="0" w:color="auto"/>
                    <w:right w:val="none" w:sz="0" w:space="0" w:color="auto"/>
                  </w:divBdr>
                </w:div>
              </w:divsChild>
            </w:div>
            <w:div w:id="1304430496">
              <w:marLeft w:val="0"/>
              <w:marRight w:val="0"/>
              <w:marTop w:val="0"/>
              <w:marBottom w:val="0"/>
              <w:divBdr>
                <w:top w:val="none" w:sz="0" w:space="0" w:color="auto"/>
                <w:left w:val="none" w:sz="0" w:space="0" w:color="auto"/>
                <w:bottom w:val="none" w:sz="0" w:space="0" w:color="auto"/>
                <w:right w:val="none" w:sz="0" w:space="0" w:color="auto"/>
              </w:divBdr>
              <w:divsChild>
                <w:div w:id="222757720">
                  <w:marLeft w:val="0"/>
                  <w:marRight w:val="0"/>
                  <w:marTop w:val="0"/>
                  <w:marBottom w:val="0"/>
                  <w:divBdr>
                    <w:top w:val="none" w:sz="0" w:space="0" w:color="auto"/>
                    <w:left w:val="none" w:sz="0" w:space="0" w:color="auto"/>
                    <w:bottom w:val="none" w:sz="0" w:space="0" w:color="auto"/>
                    <w:right w:val="none" w:sz="0" w:space="0" w:color="auto"/>
                  </w:divBdr>
                </w:div>
              </w:divsChild>
            </w:div>
            <w:div w:id="1307933214">
              <w:marLeft w:val="0"/>
              <w:marRight w:val="0"/>
              <w:marTop w:val="0"/>
              <w:marBottom w:val="0"/>
              <w:divBdr>
                <w:top w:val="none" w:sz="0" w:space="0" w:color="auto"/>
                <w:left w:val="none" w:sz="0" w:space="0" w:color="auto"/>
                <w:bottom w:val="none" w:sz="0" w:space="0" w:color="auto"/>
                <w:right w:val="none" w:sz="0" w:space="0" w:color="auto"/>
              </w:divBdr>
              <w:divsChild>
                <w:div w:id="1717503489">
                  <w:marLeft w:val="0"/>
                  <w:marRight w:val="0"/>
                  <w:marTop w:val="0"/>
                  <w:marBottom w:val="0"/>
                  <w:divBdr>
                    <w:top w:val="none" w:sz="0" w:space="0" w:color="auto"/>
                    <w:left w:val="none" w:sz="0" w:space="0" w:color="auto"/>
                    <w:bottom w:val="none" w:sz="0" w:space="0" w:color="auto"/>
                    <w:right w:val="none" w:sz="0" w:space="0" w:color="auto"/>
                  </w:divBdr>
                </w:div>
              </w:divsChild>
            </w:div>
            <w:div w:id="1321272318">
              <w:marLeft w:val="0"/>
              <w:marRight w:val="0"/>
              <w:marTop w:val="0"/>
              <w:marBottom w:val="0"/>
              <w:divBdr>
                <w:top w:val="none" w:sz="0" w:space="0" w:color="auto"/>
                <w:left w:val="none" w:sz="0" w:space="0" w:color="auto"/>
                <w:bottom w:val="none" w:sz="0" w:space="0" w:color="auto"/>
                <w:right w:val="none" w:sz="0" w:space="0" w:color="auto"/>
              </w:divBdr>
              <w:divsChild>
                <w:div w:id="2127918387">
                  <w:marLeft w:val="0"/>
                  <w:marRight w:val="0"/>
                  <w:marTop w:val="0"/>
                  <w:marBottom w:val="0"/>
                  <w:divBdr>
                    <w:top w:val="none" w:sz="0" w:space="0" w:color="auto"/>
                    <w:left w:val="none" w:sz="0" w:space="0" w:color="auto"/>
                    <w:bottom w:val="none" w:sz="0" w:space="0" w:color="auto"/>
                    <w:right w:val="none" w:sz="0" w:space="0" w:color="auto"/>
                  </w:divBdr>
                </w:div>
              </w:divsChild>
            </w:div>
            <w:div w:id="1328485407">
              <w:marLeft w:val="0"/>
              <w:marRight w:val="0"/>
              <w:marTop w:val="0"/>
              <w:marBottom w:val="0"/>
              <w:divBdr>
                <w:top w:val="none" w:sz="0" w:space="0" w:color="auto"/>
                <w:left w:val="none" w:sz="0" w:space="0" w:color="auto"/>
                <w:bottom w:val="none" w:sz="0" w:space="0" w:color="auto"/>
                <w:right w:val="none" w:sz="0" w:space="0" w:color="auto"/>
              </w:divBdr>
              <w:divsChild>
                <w:div w:id="1861313215">
                  <w:marLeft w:val="0"/>
                  <w:marRight w:val="0"/>
                  <w:marTop w:val="0"/>
                  <w:marBottom w:val="0"/>
                  <w:divBdr>
                    <w:top w:val="none" w:sz="0" w:space="0" w:color="auto"/>
                    <w:left w:val="none" w:sz="0" w:space="0" w:color="auto"/>
                    <w:bottom w:val="none" w:sz="0" w:space="0" w:color="auto"/>
                    <w:right w:val="none" w:sz="0" w:space="0" w:color="auto"/>
                  </w:divBdr>
                </w:div>
              </w:divsChild>
            </w:div>
            <w:div w:id="1357077724">
              <w:marLeft w:val="0"/>
              <w:marRight w:val="0"/>
              <w:marTop w:val="0"/>
              <w:marBottom w:val="0"/>
              <w:divBdr>
                <w:top w:val="none" w:sz="0" w:space="0" w:color="auto"/>
                <w:left w:val="none" w:sz="0" w:space="0" w:color="auto"/>
                <w:bottom w:val="none" w:sz="0" w:space="0" w:color="auto"/>
                <w:right w:val="none" w:sz="0" w:space="0" w:color="auto"/>
              </w:divBdr>
              <w:divsChild>
                <w:div w:id="2017534884">
                  <w:marLeft w:val="0"/>
                  <w:marRight w:val="0"/>
                  <w:marTop w:val="0"/>
                  <w:marBottom w:val="0"/>
                  <w:divBdr>
                    <w:top w:val="none" w:sz="0" w:space="0" w:color="auto"/>
                    <w:left w:val="none" w:sz="0" w:space="0" w:color="auto"/>
                    <w:bottom w:val="none" w:sz="0" w:space="0" w:color="auto"/>
                    <w:right w:val="none" w:sz="0" w:space="0" w:color="auto"/>
                  </w:divBdr>
                </w:div>
              </w:divsChild>
            </w:div>
            <w:div w:id="1371110959">
              <w:marLeft w:val="0"/>
              <w:marRight w:val="0"/>
              <w:marTop w:val="0"/>
              <w:marBottom w:val="0"/>
              <w:divBdr>
                <w:top w:val="none" w:sz="0" w:space="0" w:color="auto"/>
                <w:left w:val="none" w:sz="0" w:space="0" w:color="auto"/>
                <w:bottom w:val="none" w:sz="0" w:space="0" w:color="auto"/>
                <w:right w:val="none" w:sz="0" w:space="0" w:color="auto"/>
              </w:divBdr>
              <w:divsChild>
                <w:div w:id="23486883">
                  <w:marLeft w:val="0"/>
                  <w:marRight w:val="0"/>
                  <w:marTop w:val="0"/>
                  <w:marBottom w:val="0"/>
                  <w:divBdr>
                    <w:top w:val="none" w:sz="0" w:space="0" w:color="auto"/>
                    <w:left w:val="none" w:sz="0" w:space="0" w:color="auto"/>
                    <w:bottom w:val="none" w:sz="0" w:space="0" w:color="auto"/>
                    <w:right w:val="none" w:sz="0" w:space="0" w:color="auto"/>
                  </w:divBdr>
                </w:div>
              </w:divsChild>
            </w:div>
            <w:div w:id="1384334231">
              <w:marLeft w:val="0"/>
              <w:marRight w:val="0"/>
              <w:marTop w:val="0"/>
              <w:marBottom w:val="0"/>
              <w:divBdr>
                <w:top w:val="none" w:sz="0" w:space="0" w:color="auto"/>
                <w:left w:val="none" w:sz="0" w:space="0" w:color="auto"/>
                <w:bottom w:val="none" w:sz="0" w:space="0" w:color="auto"/>
                <w:right w:val="none" w:sz="0" w:space="0" w:color="auto"/>
              </w:divBdr>
              <w:divsChild>
                <w:div w:id="614141605">
                  <w:marLeft w:val="0"/>
                  <w:marRight w:val="0"/>
                  <w:marTop w:val="0"/>
                  <w:marBottom w:val="0"/>
                  <w:divBdr>
                    <w:top w:val="none" w:sz="0" w:space="0" w:color="auto"/>
                    <w:left w:val="none" w:sz="0" w:space="0" w:color="auto"/>
                    <w:bottom w:val="none" w:sz="0" w:space="0" w:color="auto"/>
                    <w:right w:val="none" w:sz="0" w:space="0" w:color="auto"/>
                  </w:divBdr>
                </w:div>
              </w:divsChild>
            </w:div>
            <w:div w:id="1391802456">
              <w:marLeft w:val="0"/>
              <w:marRight w:val="0"/>
              <w:marTop w:val="0"/>
              <w:marBottom w:val="0"/>
              <w:divBdr>
                <w:top w:val="none" w:sz="0" w:space="0" w:color="auto"/>
                <w:left w:val="none" w:sz="0" w:space="0" w:color="auto"/>
                <w:bottom w:val="none" w:sz="0" w:space="0" w:color="auto"/>
                <w:right w:val="none" w:sz="0" w:space="0" w:color="auto"/>
              </w:divBdr>
              <w:divsChild>
                <w:div w:id="1418818347">
                  <w:marLeft w:val="0"/>
                  <w:marRight w:val="0"/>
                  <w:marTop w:val="0"/>
                  <w:marBottom w:val="0"/>
                  <w:divBdr>
                    <w:top w:val="none" w:sz="0" w:space="0" w:color="auto"/>
                    <w:left w:val="none" w:sz="0" w:space="0" w:color="auto"/>
                    <w:bottom w:val="none" w:sz="0" w:space="0" w:color="auto"/>
                    <w:right w:val="none" w:sz="0" w:space="0" w:color="auto"/>
                  </w:divBdr>
                </w:div>
              </w:divsChild>
            </w:div>
            <w:div w:id="1399858580">
              <w:marLeft w:val="0"/>
              <w:marRight w:val="0"/>
              <w:marTop w:val="0"/>
              <w:marBottom w:val="0"/>
              <w:divBdr>
                <w:top w:val="none" w:sz="0" w:space="0" w:color="auto"/>
                <w:left w:val="none" w:sz="0" w:space="0" w:color="auto"/>
                <w:bottom w:val="none" w:sz="0" w:space="0" w:color="auto"/>
                <w:right w:val="none" w:sz="0" w:space="0" w:color="auto"/>
              </w:divBdr>
              <w:divsChild>
                <w:div w:id="1141577658">
                  <w:marLeft w:val="0"/>
                  <w:marRight w:val="0"/>
                  <w:marTop w:val="0"/>
                  <w:marBottom w:val="0"/>
                  <w:divBdr>
                    <w:top w:val="none" w:sz="0" w:space="0" w:color="auto"/>
                    <w:left w:val="none" w:sz="0" w:space="0" w:color="auto"/>
                    <w:bottom w:val="none" w:sz="0" w:space="0" w:color="auto"/>
                    <w:right w:val="none" w:sz="0" w:space="0" w:color="auto"/>
                  </w:divBdr>
                </w:div>
              </w:divsChild>
            </w:div>
            <w:div w:id="1404137192">
              <w:marLeft w:val="0"/>
              <w:marRight w:val="0"/>
              <w:marTop w:val="0"/>
              <w:marBottom w:val="0"/>
              <w:divBdr>
                <w:top w:val="none" w:sz="0" w:space="0" w:color="auto"/>
                <w:left w:val="none" w:sz="0" w:space="0" w:color="auto"/>
                <w:bottom w:val="none" w:sz="0" w:space="0" w:color="auto"/>
                <w:right w:val="none" w:sz="0" w:space="0" w:color="auto"/>
              </w:divBdr>
              <w:divsChild>
                <w:div w:id="212693402">
                  <w:marLeft w:val="0"/>
                  <w:marRight w:val="0"/>
                  <w:marTop w:val="0"/>
                  <w:marBottom w:val="0"/>
                  <w:divBdr>
                    <w:top w:val="none" w:sz="0" w:space="0" w:color="auto"/>
                    <w:left w:val="none" w:sz="0" w:space="0" w:color="auto"/>
                    <w:bottom w:val="none" w:sz="0" w:space="0" w:color="auto"/>
                    <w:right w:val="none" w:sz="0" w:space="0" w:color="auto"/>
                  </w:divBdr>
                </w:div>
              </w:divsChild>
            </w:div>
            <w:div w:id="1415399154">
              <w:marLeft w:val="0"/>
              <w:marRight w:val="0"/>
              <w:marTop w:val="0"/>
              <w:marBottom w:val="0"/>
              <w:divBdr>
                <w:top w:val="none" w:sz="0" w:space="0" w:color="auto"/>
                <w:left w:val="none" w:sz="0" w:space="0" w:color="auto"/>
                <w:bottom w:val="none" w:sz="0" w:space="0" w:color="auto"/>
                <w:right w:val="none" w:sz="0" w:space="0" w:color="auto"/>
              </w:divBdr>
              <w:divsChild>
                <w:div w:id="715590465">
                  <w:marLeft w:val="0"/>
                  <w:marRight w:val="0"/>
                  <w:marTop w:val="0"/>
                  <w:marBottom w:val="0"/>
                  <w:divBdr>
                    <w:top w:val="none" w:sz="0" w:space="0" w:color="auto"/>
                    <w:left w:val="none" w:sz="0" w:space="0" w:color="auto"/>
                    <w:bottom w:val="none" w:sz="0" w:space="0" w:color="auto"/>
                    <w:right w:val="none" w:sz="0" w:space="0" w:color="auto"/>
                  </w:divBdr>
                </w:div>
              </w:divsChild>
            </w:div>
            <w:div w:id="1419251859">
              <w:marLeft w:val="0"/>
              <w:marRight w:val="0"/>
              <w:marTop w:val="0"/>
              <w:marBottom w:val="0"/>
              <w:divBdr>
                <w:top w:val="none" w:sz="0" w:space="0" w:color="auto"/>
                <w:left w:val="none" w:sz="0" w:space="0" w:color="auto"/>
                <w:bottom w:val="none" w:sz="0" w:space="0" w:color="auto"/>
                <w:right w:val="none" w:sz="0" w:space="0" w:color="auto"/>
              </w:divBdr>
              <w:divsChild>
                <w:div w:id="626544187">
                  <w:marLeft w:val="0"/>
                  <w:marRight w:val="0"/>
                  <w:marTop w:val="0"/>
                  <w:marBottom w:val="0"/>
                  <w:divBdr>
                    <w:top w:val="none" w:sz="0" w:space="0" w:color="auto"/>
                    <w:left w:val="none" w:sz="0" w:space="0" w:color="auto"/>
                    <w:bottom w:val="none" w:sz="0" w:space="0" w:color="auto"/>
                    <w:right w:val="none" w:sz="0" w:space="0" w:color="auto"/>
                  </w:divBdr>
                </w:div>
              </w:divsChild>
            </w:div>
            <w:div w:id="1428964300">
              <w:marLeft w:val="0"/>
              <w:marRight w:val="0"/>
              <w:marTop w:val="0"/>
              <w:marBottom w:val="0"/>
              <w:divBdr>
                <w:top w:val="none" w:sz="0" w:space="0" w:color="auto"/>
                <w:left w:val="none" w:sz="0" w:space="0" w:color="auto"/>
                <w:bottom w:val="none" w:sz="0" w:space="0" w:color="auto"/>
                <w:right w:val="none" w:sz="0" w:space="0" w:color="auto"/>
              </w:divBdr>
              <w:divsChild>
                <w:div w:id="1114907606">
                  <w:marLeft w:val="0"/>
                  <w:marRight w:val="0"/>
                  <w:marTop w:val="0"/>
                  <w:marBottom w:val="0"/>
                  <w:divBdr>
                    <w:top w:val="none" w:sz="0" w:space="0" w:color="auto"/>
                    <w:left w:val="none" w:sz="0" w:space="0" w:color="auto"/>
                    <w:bottom w:val="none" w:sz="0" w:space="0" w:color="auto"/>
                    <w:right w:val="none" w:sz="0" w:space="0" w:color="auto"/>
                  </w:divBdr>
                </w:div>
              </w:divsChild>
            </w:div>
            <w:div w:id="1429697934">
              <w:marLeft w:val="0"/>
              <w:marRight w:val="0"/>
              <w:marTop w:val="0"/>
              <w:marBottom w:val="0"/>
              <w:divBdr>
                <w:top w:val="none" w:sz="0" w:space="0" w:color="auto"/>
                <w:left w:val="none" w:sz="0" w:space="0" w:color="auto"/>
                <w:bottom w:val="none" w:sz="0" w:space="0" w:color="auto"/>
                <w:right w:val="none" w:sz="0" w:space="0" w:color="auto"/>
              </w:divBdr>
              <w:divsChild>
                <w:div w:id="331841053">
                  <w:marLeft w:val="0"/>
                  <w:marRight w:val="0"/>
                  <w:marTop w:val="0"/>
                  <w:marBottom w:val="0"/>
                  <w:divBdr>
                    <w:top w:val="none" w:sz="0" w:space="0" w:color="auto"/>
                    <w:left w:val="none" w:sz="0" w:space="0" w:color="auto"/>
                    <w:bottom w:val="none" w:sz="0" w:space="0" w:color="auto"/>
                    <w:right w:val="none" w:sz="0" w:space="0" w:color="auto"/>
                  </w:divBdr>
                </w:div>
              </w:divsChild>
            </w:div>
            <w:div w:id="1440682292">
              <w:marLeft w:val="0"/>
              <w:marRight w:val="0"/>
              <w:marTop w:val="0"/>
              <w:marBottom w:val="0"/>
              <w:divBdr>
                <w:top w:val="none" w:sz="0" w:space="0" w:color="auto"/>
                <w:left w:val="none" w:sz="0" w:space="0" w:color="auto"/>
                <w:bottom w:val="none" w:sz="0" w:space="0" w:color="auto"/>
                <w:right w:val="none" w:sz="0" w:space="0" w:color="auto"/>
              </w:divBdr>
              <w:divsChild>
                <w:div w:id="795290809">
                  <w:marLeft w:val="0"/>
                  <w:marRight w:val="0"/>
                  <w:marTop w:val="0"/>
                  <w:marBottom w:val="0"/>
                  <w:divBdr>
                    <w:top w:val="none" w:sz="0" w:space="0" w:color="auto"/>
                    <w:left w:val="none" w:sz="0" w:space="0" w:color="auto"/>
                    <w:bottom w:val="none" w:sz="0" w:space="0" w:color="auto"/>
                    <w:right w:val="none" w:sz="0" w:space="0" w:color="auto"/>
                  </w:divBdr>
                </w:div>
              </w:divsChild>
            </w:div>
            <w:div w:id="1446467337">
              <w:marLeft w:val="0"/>
              <w:marRight w:val="0"/>
              <w:marTop w:val="0"/>
              <w:marBottom w:val="0"/>
              <w:divBdr>
                <w:top w:val="none" w:sz="0" w:space="0" w:color="auto"/>
                <w:left w:val="none" w:sz="0" w:space="0" w:color="auto"/>
                <w:bottom w:val="none" w:sz="0" w:space="0" w:color="auto"/>
                <w:right w:val="none" w:sz="0" w:space="0" w:color="auto"/>
              </w:divBdr>
              <w:divsChild>
                <w:div w:id="1739018414">
                  <w:marLeft w:val="0"/>
                  <w:marRight w:val="0"/>
                  <w:marTop w:val="0"/>
                  <w:marBottom w:val="0"/>
                  <w:divBdr>
                    <w:top w:val="none" w:sz="0" w:space="0" w:color="auto"/>
                    <w:left w:val="none" w:sz="0" w:space="0" w:color="auto"/>
                    <w:bottom w:val="none" w:sz="0" w:space="0" w:color="auto"/>
                    <w:right w:val="none" w:sz="0" w:space="0" w:color="auto"/>
                  </w:divBdr>
                </w:div>
              </w:divsChild>
            </w:div>
            <w:div w:id="1472402155">
              <w:marLeft w:val="0"/>
              <w:marRight w:val="0"/>
              <w:marTop w:val="0"/>
              <w:marBottom w:val="0"/>
              <w:divBdr>
                <w:top w:val="none" w:sz="0" w:space="0" w:color="auto"/>
                <w:left w:val="none" w:sz="0" w:space="0" w:color="auto"/>
                <w:bottom w:val="none" w:sz="0" w:space="0" w:color="auto"/>
                <w:right w:val="none" w:sz="0" w:space="0" w:color="auto"/>
              </w:divBdr>
              <w:divsChild>
                <w:div w:id="422845090">
                  <w:marLeft w:val="0"/>
                  <w:marRight w:val="0"/>
                  <w:marTop w:val="0"/>
                  <w:marBottom w:val="0"/>
                  <w:divBdr>
                    <w:top w:val="none" w:sz="0" w:space="0" w:color="auto"/>
                    <w:left w:val="none" w:sz="0" w:space="0" w:color="auto"/>
                    <w:bottom w:val="none" w:sz="0" w:space="0" w:color="auto"/>
                    <w:right w:val="none" w:sz="0" w:space="0" w:color="auto"/>
                  </w:divBdr>
                </w:div>
              </w:divsChild>
            </w:div>
            <w:div w:id="1509061829">
              <w:marLeft w:val="0"/>
              <w:marRight w:val="0"/>
              <w:marTop w:val="0"/>
              <w:marBottom w:val="0"/>
              <w:divBdr>
                <w:top w:val="none" w:sz="0" w:space="0" w:color="auto"/>
                <w:left w:val="none" w:sz="0" w:space="0" w:color="auto"/>
                <w:bottom w:val="none" w:sz="0" w:space="0" w:color="auto"/>
                <w:right w:val="none" w:sz="0" w:space="0" w:color="auto"/>
              </w:divBdr>
              <w:divsChild>
                <w:div w:id="1553422254">
                  <w:marLeft w:val="0"/>
                  <w:marRight w:val="0"/>
                  <w:marTop w:val="0"/>
                  <w:marBottom w:val="0"/>
                  <w:divBdr>
                    <w:top w:val="none" w:sz="0" w:space="0" w:color="auto"/>
                    <w:left w:val="none" w:sz="0" w:space="0" w:color="auto"/>
                    <w:bottom w:val="none" w:sz="0" w:space="0" w:color="auto"/>
                    <w:right w:val="none" w:sz="0" w:space="0" w:color="auto"/>
                  </w:divBdr>
                </w:div>
              </w:divsChild>
            </w:div>
            <w:div w:id="1540780800">
              <w:marLeft w:val="0"/>
              <w:marRight w:val="0"/>
              <w:marTop w:val="0"/>
              <w:marBottom w:val="0"/>
              <w:divBdr>
                <w:top w:val="none" w:sz="0" w:space="0" w:color="auto"/>
                <w:left w:val="none" w:sz="0" w:space="0" w:color="auto"/>
                <w:bottom w:val="none" w:sz="0" w:space="0" w:color="auto"/>
                <w:right w:val="none" w:sz="0" w:space="0" w:color="auto"/>
              </w:divBdr>
              <w:divsChild>
                <w:div w:id="189615552">
                  <w:marLeft w:val="0"/>
                  <w:marRight w:val="0"/>
                  <w:marTop w:val="0"/>
                  <w:marBottom w:val="0"/>
                  <w:divBdr>
                    <w:top w:val="none" w:sz="0" w:space="0" w:color="auto"/>
                    <w:left w:val="none" w:sz="0" w:space="0" w:color="auto"/>
                    <w:bottom w:val="none" w:sz="0" w:space="0" w:color="auto"/>
                    <w:right w:val="none" w:sz="0" w:space="0" w:color="auto"/>
                  </w:divBdr>
                </w:div>
              </w:divsChild>
            </w:div>
            <w:div w:id="1555578356">
              <w:marLeft w:val="0"/>
              <w:marRight w:val="0"/>
              <w:marTop w:val="0"/>
              <w:marBottom w:val="0"/>
              <w:divBdr>
                <w:top w:val="none" w:sz="0" w:space="0" w:color="auto"/>
                <w:left w:val="none" w:sz="0" w:space="0" w:color="auto"/>
                <w:bottom w:val="none" w:sz="0" w:space="0" w:color="auto"/>
                <w:right w:val="none" w:sz="0" w:space="0" w:color="auto"/>
              </w:divBdr>
              <w:divsChild>
                <w:div w:id="776407603">
                  <w:marLeft w:val="0"/>
                  <w:marRight w:val="0"/>
                  <w:marTop w:val="0"/>
                  <w:marBottom w:val="0"/>
                  <w:divBdr>
                    <w:top w:val="none" w:sz="0" w:space="0" w:color="auto"/>
                    <w:left w:val="none" w:sz="0" w:space="0" w:color="auto"/>
                    <w:bottom w:val="none" w:sz="0" w:space="0" w:color="auto"/>
                    <w:right w:val="none" w:sz="0" w:space="0" w:color="auto"/>
                  </w:divBdr>
                </w:div>
              </w:divsChild>
            </w:div>
            <w:div w:id="1556355873">
              <w:marLeft w:val="0"/>
              <w:marRight w:val="0"/>
              <w:marTop w:val="0"/>
              <w:marBottom w:val="0"/>
              <w:divBdr>
                <w:top w:val="none" w:sz="0" w:space="0" w:color="auto"/>
                <w:left w:val="none" w:sz="0" w:space="0" w:color="auto"/>
                <w:bottom w:val="none" w:sz="0" w:space="0" w:color="auto"/>
                <w:right w:val="none" w:sz="0" w:space="0" w:color="auto"/>
              </w:divBdr>
              <w:divsChild>
                <w:div w:id="74322641">
                  <w:marLeft w:val="0"/>
                  <w:marRight w:val="0"/>
                  <w:marTop w:val="0"/>
                  <w:marBottom w:val="0"/>
                  <w:divBdr>
                    <w:top w:val="none" w:sz="0" w:space="0" w:color="auto"/>
                    <w:left w:val="none" w:sz="0" w:space="0" w:color="auto"/>
                    <w:bottom w:val="none" w:sz="0" w:space="0" w:color="auto"/>
                    <w:right w:val="none" w:sz="0" w:space="0" w:color="auto"/>
                  </w:divBdr>
                </w:div>
              </w:divsChild>
            </w:div>
            <w:div w:id="1599945377">
              <w:marLeft w:val="0"/>
              <w:marRight w:val="0"/>
              <w:marTop w:val="0"/>
              <w:marBottom w:val="0"/>
              <w:divBdr>
                <w:top w:val="none" w:sz="0" w:space="0" w:color="auto"/>
                <w:left w:val="none" w:sz="0" w:space="0" w:color="auto"/>
                <w:bottom w:val="none" w:sz="0" w:space="0" w:color="auto"/>
                <w:right w:val="none" w:sz="0" w:space="0" w:color="auto"/>
              </w:divBdr>
              <w:divsChild>
                <w:div w:id="1621719301">
                  <w:marLeft w:val="0"/>
                  <w:marRight w:val="0"/>
                  <w:marTop w:val="0"/>
                  <w:marBottom w:val="0"/>
                  <w:divBdr>
                    <w:top w:val="none" w:sz="0" w:space="0" w:color="auto"/>
                    <w:left w:val="none" w:sz="0" w:space="0" w:color="auto"/>
                    <w:bottom w:val="none" w:sz="0" w:space="0" w:color="auto"/>
                    <w:right w:val="none" w:sz="0" w:space="0" w:color="auto"/>
                  </w:divBdr>
                </w:div>
              </w:divsChild>
            </w:div>
            <w:div w:id="1606231041">
              <w:marLeft w:val="0"/>
              <w:marRight w:val="0"/>
              <w:marTop w:val="0"/>
              <w:marBottom w:val="0"/>
              <w:divBdr>
                <w:top w:val="none" w:sz="0" w:space="0" w:color="auto"/>
                <w:left w:val="none" w:sz="0" w:space="0" w:color="auto"/>
                <w:bottom w:val="none" w:sz="0" w:space="0" w:color="auto"/>
                <w:right w:val="none" w:sz="0" w:space="0" w:color="auto"/>
              </w:divBdr>
              <w:divsChild>
                <w:div w:id="44793187">
                  <w:marLeft w:val="0"/>
                  <w:marRight w:val="0"/>
                  <w:marTop w:val="0"/>
                  <w:marBottom w:val="0"/>
                  <w:divBdr>
                    <w:top w:val="none" w:sz="0" w:space="0" w:color="auto"/>
                    <w:left w:val="none" w:sz="0" w:space="0" w:color="auto"/>
                    <w:bottom w:val="none" w:sz="0" w:space="0" w:color="auto"/>
                    <w:right w:val="none" w:sz="0" w:space="0" w:color="auto"/>
                  </w:divBdr>
                </w:div>
              </w:divsChild>
            </w:div>
            <w:div w:id="1612782005">
              <w:marLeft w:val="0"/>
              <w:marRight w:val="0"/>
              <w:marTop w:val="0"/>
              <w:marBottom w:val="0"/>
              <w:divBdr>
                <w:top w:val="none" w:sz="0" w:space="0" w:color="auto"/>
                <w:left w:val="none" w:sz="0" w:space="0" w:color="auto"/>
                <w:bottom w:val="none" w:sz="0" w:space="0" w:color="auto"/>
                <w:right w:val="none" w:sz="0" w:space="0" w:color="auto"/>
              </w:divBdr>
              <w:divsChild>
                <w:div w:id="1236279628">
                  <w:marLeft w:val="0"/>
                  <w:marRight w:val="0"/>
                  <w:marTop w:val="0"/>
                  <w:marBottom w:val="0"/>
                  <w:divBdr>
                    <w:top w:val="none" w:sz="0" w:space="0" w:color="auto"/>
                    <w:left w:val="none" w:sz="0" w:space="0" w:color="auto"/>
                    <w:bottom w:val="none" w:sz="0" w:space="0" w:color="auto"/>
                    <w:right w:val="none" w:sz="0" w:space="0" w:color="auto"/>
                  </w:divBdr>
                </w:div>
              </w:divsChild>
            </w:div>
            <w:div w:id="1650861476">
              <w:marLeft w:val="0"/>
              <w:marRight w:val="0"/>
              <w:marTop w:val="0"/>
              <w:marBottom w:val="0"/>
              <w:divBdr>
                <w:top w:val="none" w:sz="0" w:space="0" w:color="auto"/>
                <w:left w:val="none" w:sz="0" w:space="0" w:color="auto"/>
                <w:bottom w:val="none" w:sz="0" w:space="0" w:color="auto"/>
                <w:right w:val="none" w:sz="0" w:space="0" w:color="auto"/>
              </w:divBdr>
              <w:divsChild>
                <w:div w:id="447435554">
                  <w:marLeft w:val="0"/>
                  <w:marRight w:val="0"/>
                  <w:marTop w:val="0"/>
                  <w:marBottom w:val="0"/>
                  <w:divBdr>
                    <w:top w:val="none" w:sz="0" w:space="0" w:color="auto"/>
                    <w:left w:val="none" w:sz="0" w:space="0" w:color="auto"/>
                    <w:bottom w:val="none" w:sz="0" w:space="0" w:color="auto"/>
                    <w:right w:val="none" w:sz="0" w:space="0" w:color="auto"/>
                  </w:divBdr>
                </w:div>
              </w:divsChild>
            </w:div>
            <w:div w:id="1656831936">
              <w:marLeft w:val="0"/>
              <w:marRight w:val="0"/>
              <w:marTop w:val="0"/>
              <w:marBottom w:val="0"/>
              <w:divBdr>
                <w:top w:val="none" w:sz="0" w:space="0" w:color="auto"/>
                <w:left w:val="none" w:sz="0" w:space="0" w:color="auto"/>
                <w:bottom w:val="none" w:sz="0" w:space="0" w:color="auto"/>
                <w:right w:val="none" w:sz="0" w:space="0" w:color="auto"/>
              </w:divBdr>
              <w:divsChild>
                <w:div w:id="1440223596">
                  <w:marLeft w:val="0"/>
                  <w:marRight w:val="0"/>
                  <w:marTop w:val="0"/>
                  <w:marBottom w:val="0"/>
                  <w:divBdr>
                    <w:top w:val="none" w:sz="0" w:space="0" w:color="auto"/>
                    <w:left w:val="none" w:sz="0" w:space="0" w:color="auto"/>
                    <w:bottom w:val="none" w:sz="0" w:space="0" w:color="auto"/>
                    <w:right w:val="none" w:sz="0" w:space="0" w:color="auto"/>
                  </w:divBdr>
                </w:div>
              </w:divsChild>
            </w:div>
            <w:div w:id="1724789355">
              <w:marLeft w:val="0"/>
              <w:marRight w:val="0"/>
              <w:marTop w:val="0"/>
              <w:marBottom w:val="0"/>
              <w:divBdr>
                <w:top w:val="none" w:sz="0" w:space="0" w:color="auto"/>
                <w:left w:val="none" w:sz="0" w:space="0" w:color="auto"/>
                <w:bottom w:val="none" w:sz="0" w:space="0" w:color="auto"/>
                <w:right w:val="none" w:sz="0" w:space="0" w:color="auto"/>
              </w:divBdr>
              <w:divsChild>
                <w:div w:id="957950830">
                  <w:marLeft w:val="0"/>
                  <w:marRight w:val="0"/>
                  <w:marTop w:val="0"/>
                  <w:marBottom w:val="0"/>
                  <w:divBdr>
                    <w:top w:val="none" w:sz="0" w:space="0" w:color="auto"/>
                    <w:left w:val="none" w:sz="0" w:space="0" w:color="auto"/>
                    <w:bottom w:val="none" w:sz="0" w:space="0" w:color="auto"/>
                    <w:right w:val="none" w:sz="0" w:space="0" w:color="auto"/>
                  </w:divBdr>
                </w:div>
                <w:div w:id="1231648028">
                  <w:marLeft w:val="0"/>
                  <w:marRight w:val="0"/>
                  <w:marTop w:val="0"/>
                  <w:marBottom w:val="0"/>
                  <w:divBdr>
                    <w:top w:val="none" w:sz="0" w:space="0" w:color="auto"/>
                    <w:left w:val="none" w:sz="0" w:space="0" w:color="auto"/>
                    <w:bottom w:val="none" w:sz="0" w:space="0" w:color="auto"/>
                    <w:right w:val="none" w:sz="0" w:space="0" w:color="auto"/>
                  </w:divBdr>
                </w:div>
                <w:div w:id="1444110565">
                  <w:marLeft w:val="0"/>
                  <w:marRight w:val="0"/>
                  <w:marTop w:val="0"/>
                  <w:marBottom w:val="0"/>
                  <w:divBdr>
                    <w:top w:val="none" w:sz="0" w:space="0" w:color="auto"/>
                    <w:left w:val="none" w:sz="0" w:space="0" w:color="auto"/>
                    <w:bottom w:val="none" w:sz="0" w:space="0" w:color="auto"/>
                    <w:right w:val="none" w:sz="0" w:space="0" w:color="auto"/>
                  </w:divBdr>
                </w:div>
              </w:divsChild>
            </w:div>
            <w:div w:id="1725834017">
              <w:marLeft w:val="0"/>
              <w:marRight w:val="0"/>
              <w:marTop w:val="0"/>
              <w:marBottom w:val="0"/>
              <w:divBdr>
                <w:top w:val="none" w:sz="0" w:space="0" w:color="auto"/>
                <w:left w:val="none" w:sz="0" w:space="0" w:color="auto"/>
                <w:bottom w:val="none" w:sz="0" w:space="0" w:color="auto"/>
                <w:right w:val="none" w:sz="0" w:space="0" w:color="auto"/>
              </w:divBdr>
              <w:divsChild>
                <w:div w:id="159319206">
                  <w:marLeft w:val="0"/>
                  <w:marRight w:val="0"/>
                  <w:marTop w:val="0"/>
                  <w:marBottom w:val="0"/>
                  <w:divBdr>
                    <w:top w:val="none" w:sz="0" w:space="0" w:color="auto"/>
                    <w:left w:val="none" w:sz="0" w:space="0" w:color="auto"/>
                    <w:bottom w:val="none" w:sz="0" w:space="0" w:color="auto"/>
                    <w:right w:val="none" w:sz="0" w:space="0" w:color="auto"/>
                  </w:divBdr>
                </w:div>
              </w:divsChild>
            </w:div>
            <w:div w:id="1771706206">
              <w:marLeft w:val="0"/>
              <w:marRight w:val="0"/>
              <w:marTop w:val="0"/>
              <w:marBottom w:val="0"/>
              <w:divBdr>
                <w:top w:val="none" w:sz="0" w:space="0" w:color="auto"/>
                <w:left w:val="none" w:sz="0" w:space="0" w:color="auto"/>
                <w:bottom w:val="none" w:sz="0" w:space="0" w:color="auto"/>
                <w:right w:val="none" w:sz="0" w:space="0" w:color="auto"/>
              </w:divBdr>
              <w:divsChild>
                <w:div w:id="2111924317">
                  <w:marLeft w:val="0"/>
                  <w:marRight w:val="0"/>
                  <w:marTop w:val="0"/>
                  <w:marBottom w:val="0"/>
                  <w:divBdr>
                    <w:top w:val="none" w:sz="0" w:space="0" w:color="auto"/>
                    <w:left w:val="none" w:sz="0" w:space="0" w:color="auto"/>
                    <w:bottom w:val="none" w:sz="0" w:space="0" w:color="auto"/>
                    <w:right w:val="none" w:sz="0" w:space="0" w:color="auto"/>
                  </w:divBdr>
                </w:div>
              </w:divsChild>
            </w:div>
            <w:div w:id="1775788302">
              <w:marLeft w:val="0"/>
              <w:marRight w:val="0"/>
              <w:marTop w:val="0"/>
              <w:marBottom w:val="0"/>
              <w:divBdr>
                <w:top w:val="none" w:sz="0" w:space="0" w:color="auto"/>
                <w:left w:val="none" w:sz="0" w:space="0" w:color="auto"/>
                <w:bottom w:val="none" w:sz="0" w:space="0" w:color="auto"/>
                <w:right w:val="none" w:sz="0" w:space="0" w:color="auto"/>
              </w:divBdr>
              <w:divsChild>
                <w:div w:id="1112473706">
                  <w:marLeft w:val="0"/>
                  <w:marRight w:val="0"/>
                  <w:marTop w:val="0"/>
                  <w:marBottom w:val="0"/>
                  <w:divBdr>
                    <w:top w:val="none" w:sz="0" w:space="0" w:color="auto"/>
                    <w:left w:val="none" w:sz="0" w:space="0" w:color="auto"/>
                    <w:bottom w:val="none" w:sz="0" w:space="0" w:color="auto"/>
                    <w:right w:val="none" w:sz="0" w:space="0" w:color="auto"/>
                  </w:divBdr>
                </w:div>
              </w:divsChild>
            </w:div>
            <w:div w:id="1796367880">
              <w:marLeft w:val="0"/>
              <w:marRight w:val="0"/>
              <w:marTop w:val="0"/>
              <w:marBottom w:val="0"/>
              <w:divBdr>
                <w:top w:val="none" w:sz="0" w:space="0" w:color="auto"/>
                <w:left w:val="none" w:sz="0" w:space="0" w:color="auto"/>
                <w:bottom w:val="none" w:sz="0" w:space="0" w:color="auto"/>
                <w:right w:val="none" w:sz="0" w:space="0" w:color="auto"/>
              </w:divBdr>
              <w:divsChild>
                <w:div w:id="1774280373">
                  <w:marLeft w:val="0"/>
                  <w:marRight w:val="0"/>
                  <w:marTop w:val="0"/>
                  <w:marBottom w:val="0"/>
                  <w:divBdr>
                    <w:top w:val="none" w:sz="0" w:space="0" w:color="auto"/>
                    <w:left w:val="none" w:sz="0" w:space="0" w:color="auto"/>
                    <w:bottom w:val="none" w:sz="0" w:space="0" w:color="auto"/>
                    <w:right w:val="none" w:sz="0" w:space="0" w:color="auto"/>
                  </w:divBdr>
                </w:div>
              </w:divsChild>
            </w:div>
            <w:div w:id="1807165485">
              <w:marLeft w:val="0"/>
              <w:marRight w:val="0"/>
              <w:marTop w:val="0"/>
              <w:marBottom w:val="0"/>
              <w:divBdr>
                <w:top w:val="none" w:sz="0" w:space="0" w:color="auto"/>
                <w:left w:val="none" w:sz="0" w:space="0" w:color="auto"/>
                <w:bottom w:val="none" w:sz="0" w:space="0" w:color="auto"/>
                <w:right w:val="none" w:sz="0" w:space="0" w:color="auto"/>
              </w:divBdr>
              <w:divsChild>
                <w:div w:id="1153720146">
                  <w:marLeft w:val="0"/>
                  <w:marRight w:val="0"/>
                  <w:marTop w:val="0"/>
                  <w:marBottom w:val="0"/>
                  <w:divBdr>
                    <w:top w:val="none" w:sz="0" w:space="0" w:color="auto"/>
                    <w:left w:val="none" w:sz="0" w:space="0" w:color="auto"/>
                    <w:bottom w:val="none" w:sz="0" w:space="0" w:color="auto"/>
                    <w:right w:val="none" w:sz="0" w:space="0" w:color="auto"/>
                  </w:divBdr>
                </w:div>
              </w:divsChild>
            </w:div>
            <w:div w:id="1820994464">
              <w:marLeft w:val="0"/>
              <w:marRight w:val="0"/>
              <w:marTop w:val="0"/>
              <w:marBottom w:val="0"/>
              <w:divBdr>
                <w:top w:val="none" w:sz="0" w:space="0" w:color="auto"/>
                <w:left w:val="none" w:sz="0" w:space="0" w:color="auto"/>
                <w:bottom w:val="none" w:sz="0" w:space="0" w:color="auto"/>
                <w:right w:val="none" w:sz="0" w:space="0" w:color="auto"/>
              </w:divBdr>
              <w:divsChild>
                <w:div w:id="769399265">
                  <w:marLeft w:val="0"/>
                  <w:marRight w:val="0"/>
                  <w:marTop w:val="0"/>
                  <w:marBottom w:val="0"/>
                  <w:divBdr>
                    <w:top w:val="none" w:sz="0" w:space="0" w:color="auto"/>
                    <w:left w:val="none" w:sz="0" w:space="0" w:color="auto"/>
                    <w:bottom w:val="none" w:sz="0" w:space="0" w:color="auto"/>
                    <w:right w:val="none" w:sz="0" w:space="0" w:color="auto"/>
                  </w:divBdr>
                </w:div>
              </w:divsChild>
            </w:div>
            <w:div w:id="1837114562">
              <w:marLeft w:val="0"/>
              <w:marRight w:val="0"/>
              <w:marTop w:val="0"/>
              <w:marBottom w:val="0"/>
              <w:divBdr>
                <w:top w:val="none" w:sz="0" w:space="0" w:color="auto"/>
                <w:left w:val="none" w:sz="0" w:space="0" w:color="auto"/>
                <w:bottom w:val="none" w:sz="0" w:space="0" w:color="auto"/>
                <w:right w:val="none" w:sz="0" w:space="0" w:color="auto"/>
              </w:divBdr>
              <w:divsChild>
                <w:div w:id="749618010">
                  <w:marLeft w:val="0"/>
                  <w:marRight w:val="0"/>
                  <w:marTop w:val="0"/>
                  <w:marBottom w:val="0"/>
                  <w:divBdr>
                    <w:top w:val="none" w:sz="0" w:space="0" w:color="auto"/>
                    <w:left w:val="none" w:sz="0" w:space="0" w:color="auto"/>
                    <w:bottom w:val="none" w:sz="0" w:space="0" w:color="auto"/>
                    <w:right w:val="none" w:sz="0" w:space="0" w:color="auto"/>
                  </w:divBdr>
                </w:div>
              </w:divsChild>
            </w:div>
            <w:div w:id="1857302535">
              <w:marLeft w:val="0"/>
              <w:marRight w:val="0"/>
              <w:marTop w:val="0"/>
              <w:marBottom w:val="0"/>
              <w:divBdr>
                <w:top w:val="none" w:sz="0" w:space="0" w:color="auto"/>
                <w:left w:val="none" w:sz="0" w:space="0" w:color="auto"/>
                <w:bottom w:val="none" w:sz="0" w:space="0" w:color="auto"/>
                <w:right w:val="none" w:sz="0" w:space="0" w:color="auto"/>
              </w:divBdr>
              <w:divsChild>
                <w:div w:id="1675960342">
                  <w:marLeft w:val="0"/>
                  <w:marRight w:val="0"/>
                  <w:marTop w:val="0"/>
                  <w:marBottom w:val="0"/>
                  <w:divBdr>
                    <w:top w:val="none" w:sz="0" w:space="0" w:color="auto"/>
                    <w:left w:val="none" w:sz="0" w:space="0" w:color="auto"/>
                    <w:bottom w:val="none" w:sz="0" w:space="0" w:color="auto"/>
                    <w:right w:val="none" w:sz="0" w:space="0" w:color="auto"/>
                  </w:divBdr>
                </w:div>
              </w:divsChild>
            </w:div>
            <w:div w:id="1865748245">
              <w:marLeft w:val="0"/>
              <w:marRight w:val="0"/>
              <w:marTop w:val="0"/>
              <w:marBottom w:val="0"/>
              <w:divBdr>
                <w:top w:val="none" w:sz="0" w:space="0" w:color="auto"/>
                <w:left w:val="none" w:sz="0" w:space="0" w:color="auto"/>
                <w:bottom w:val="none" w:sz="0" w:space="0" w:color="auto"/>
                <w:right w:val="none" w:sz="0" w:space="0" w:color="auto"/>
              </w:divBdr>
              <w:divsChild>
                <w:div w:id="1487823448">
                  <w:marLeft w:val="0"/>
                  <w:marRight w:val="0"/>
                  <w:marTop w:val="0"/>
                  <w:marBottom w:val="0"/>
                  <w:divBdr>
                    <w:top w:val="none" w:sz="0" w:space="0" w:color="auto"/>
                    <w:left w:val="none" w:sz="0" w:space="0" w:color="auto"/>
                    <w:bottom w:val="none" w:sz="0" w:space="0" w:color="auto"/>
                    <w:right w:val="none" w:sz="0" w:space="0" w:color="auto"/>
                  </w:divBdr>
                </w:div>
              </w:divsChild>
            </w:div>
            <w:div w:id="1921062816">
              <w:marLeft w:val="0"/>
              <w:marRight w:val="0"/>
              <w:marTop w:val="0"/>
              <w:marBottom w:val="0"/>
              <w:divBdr>
                <w:top w:val="none" w:sz="0" w:space="0" w:color="auto"/>
                <w:left w:val="none" w:sz="0" w:space="0" w:color="auto"/>
                <w:bottom w:val="none" w:sz="0" w:space="0" w:color="auto"/>
                <w:right w:val="none" w:sz="0" w:space="0" w:color="auto"/>
              </w:divBdr>
              <w:divsChild>
                <w:div w:id="1342202006">
                  <w:marLeft w:val="0"/>
                  <w:marRight w:val="0"/>
                  <w:marTop w:val="0"/>
                  <w:marBottom w:val="0"/>
                  <w:divBdr>
                    <w:top w:val="none" w:sz="0" w:space="0" w:color="auto"/>
                    <w:left w:val="none" w:sz="0" w:space="0" w:color="auto"/>
                    <w:bottom w:val="none" w:sz="0" w:space="0" w:color="auto"/>
                    <w:right w:val="none" w:sz="0" w:space="0" w:color="auto"/>
                  </w:divBdr>
                </w:div>
              </w:divsChild>
            </w:div>
            <w:div w:id="1933246782">
              <w:marLeft w:val="0"/>
              <w:marRight w:val="0"/>
              <w:marTop w:val="0"/>
              <w:marBottom w:val="0"/>
              <w:divBdr>
                <w:top w:val="none" w:sz="0" w:space="0" w:color="auto"/>
                <w:left w:val="none" w:sz="0" w:space="0" w:color="auto"/>
                <w:bottom w:val="none" w:sz="0" w:space="0" w:color="auto"/>
                <w:right w:val="none" w:sz="0" w:space="0" w:color="auto"/>
              </w:divBdr>
              <w:divsChild>
                <w:div w:id="160320700">
                  <w:marLeft w:val="0"/>
                  <w:marRight w:val="0"/>
                  <w:marTop w:val="0"/>
                  <w:marBottom w:val="0"/>
                  <w:divBdr>
                    <w:top w:val="none" w:sz="0" w:space="0" w:color="auto"/>
                    <w:left w:val="none" w:sz="0" w:space="0" w:color="auto"/>
                    <w:bottom w:val="none" w:sz="0" w:space="0" w:color="auto"/>
                    <w:right w:val="none" w:sz="0" w:space="0" w:color="auto"/>
                  </w:divBdr>
                </w:div>
              </w:divsChild>
            </w:div>
            <w:div w:id="1949503633">
              <w:marLeft w:val="0"/>
              <w:marRight w:val="0"/>
              <w:marTop w:val="0"/>
              <w:marBottom w:val="0"/>
              <w:divBdr>
                <w:top w:val="none" w:sz="0" w:space="0" w:color="auto"/>
                <w:left w:val="none" w:sz="0" w:space="0" w:color="auto"/>
                <w:bottom w:val="none" w:sz="0" w:space="0" w:color="auto"/>
                <w:right w:val="none" w:sz="0" w:space="0" w:color="auto"/>
              </w:divBdr>
              <w:divsChild>
                <w:div w:id="969093423">
                  <w:marLeft w:val="0"/>
                  <w:marRight w:val="0"/>
                  <w:marTop w:val="0"/>
                  <w:marBottom w:val="0"/>
                  <w:divBdr>
                    <w:top w:val="none" w:sz="0" w:space="0" w:color="auto"/>
                    <w:left w:val="none" w:sz="0" w:space="0" w:color="auto"/>
                    <w:bottom w:val="none" w:sz="0" w:space="0" w:color="auto"/>
                    <w:right w:val="none" w:sz="0" w:space="0" w:color="auto"/>
                  </w:divBdr>
                </w:div>
              </w:divsChild>
            </w:div>
            <w:div w:id="1967661504">
              <w:marLeft w:val="0"/>
              <w:marRight w:val="0"/>
              <w:marTop w:val="0"/>
              <w:marBottom w:val="0"/>
              <w:divBdr>
                <w:top w:val="none" w:sz="0" w:space="0" w:color="auto"/>
                <w:left w:val="none" w:sz="0" w:space="0" w:color="auto"/>
                <w:bottom w:val="none" w:sz="0" w:space="0" w:color="auto"/>
                <w:right w:val="none" w:sz="0" w:space="0" w:color="auto"/>
              </w:divBdr>
              <w:divsChild>
                <w:div w:id="1988629949">
                  <w:marLeft w:val="0"/>
                  <w:marRight w:val="0"/>
                  <w:marTop w:val="0"/>
                  <w:marBottom w:val="0"/>
                  <w:divBdr>
                    <w:top w:val="none" w:sz="0" w:space="0" w:color="auto"/>
                    <w:left w:val="none" w:sz="0" w:space="0" w:color="auto"/>
                    <w:bottom w:val="none" w:sz="0" w:space="0" w:color="auto"/>
                    <w:right w:val="none" w:sz="0" w:space="0" w:color="auto"/>
                  </w:divBdr>
                </w:div>
              </w:divsChild>
            </w:div>
            <w:div w:id="1971208746">
              <w:marLeft w:val="0"/>
              <w:marRight w:val="0"/>
              <w:marTop w:val="0"/>
              <w:marBottom w:val="0"/>
              <w:divBdr>
                <w:top w:val="none" w:sz="0" w:space="0" w:color="auto"/>
                <w:left w:val="none" w:sz="0" w:space="0" w:color="auto"/>
                <w:bottom w:val="none" w:sz="0" w:space="0" w:color="auto"/>
                <w:right w:val="none" w:sz="0" w:space="0" w:color="auto"/>
              </w:divBdr>
              <w:divsChild>
                <w:div w:id="1482499154">
                  <w:marLeft w:val="0"/>
                  <w:marRight w:val="0"/>
                  <w:marTop w:val="0"/>
                  <w:marBottom w:val="0"/>
                  <w:divBdr>
                    <w:top w:val="none" w:sz="0" w:space="0" w:color="auto"/>
                    <w:left w:val="none" w:sz="0" w:space="0" w:color="auto"/>
                    <w:bottom w:val="none" w:sz="0" w:space="0" w:color="auto"/>
                    <w:right w:val="none" w:sz="0" w:space="0" w:color="auto"/>
                  </w:divBdr>
                </w:div>
              </w:divsChild>
            </w:div>
            <w:div w:id="2045592892">
              <w:marLeft w:val="0"/>
              <w:marRight w:val="0"/>
              <w:marTop w:val="0"/>
              <w:marBottom w:val="0"/>
              <w:divBdr>
                <w:top w:val="none" w:sz="0" w:space="0" w:color="auto"/>
                <w:left w:val="none" w:sz="0" w:space="0" w:color="auto"/>
                <w:bottom w:val="none" w:sz="0" w:space="0" w:color="auto"/>
                <w:right w:val="none" w:sz="0" w:space="0" w:color="auto"/>
              </w:divBdr>
              <w:divsChild>
                <w:div w:id="310868557">
                  <w:marLeft w:val="0"/>
                  <w:marRight w:val="0"/>
                  <w:marTop w:val="0"/>
                  <w:marBottom w:val="0"/>
                  <w:divBdr>
                    <w:top w:val="none" w:sz="0" w:space="0" w:color="auto"/>
                    <w:left w:val="none" w:sz="0" w:space="0" w:color="auto"/>
                    <w:bottom w:val="none" w:sz="0" w:space="0" w:color="auto"/>
                    <w:right w:val="none" w:sz="0" w:space="0" w:color="auto"/>
                  </w:divBdr>
                </w:div>
              </w:divsChild>
            </w:div>
            <w:div w:id="2050716655">
              <w:marLeft w:val="0"/>
              <w:marRight w:val="0"/>
              <w:marTop w:val="0"/>
              <w:marBottom w:val="0"/>
              <w:divBdr>
                <w:top w:val="none" w:sz="0" w:space="0" w:color="auto"/>
                <w:left w:val="none" w:sz="0" w:space="0" w:color="auto"/>
                <w:bottom w:val="none" w:sz="0" w:space="0" w:color="auto"/>
                <w:right w:val="none" w:sz="0" w:space="0" w:color="auto"/>
              </w:divBdr>
              <w:divsChild>
                <w:div w:id="1941571771">
                  <w:marLeft w:val="0"/>
                  <w:marRight w:val="0"/>
                  <w:marTop w:val="0"/>
                  <w:marBottom w:val="0"/>
                  <w:divBdr>
                    <w:top w:val="none" w:sz="0" w:space="0" w:color="auto"/>
                    <w:left w:val="none" w:sz="0" w:space="0" w:color="auto"/>
                    <w:bottom w:val="none" w:sz="0" w:space="0" w:color="auto"/>
                    <w:right w:val="none" w:sz="0" w:space="0" w:color="auto"/>
                  </w:divBdr>
                </w:div>
                <w:div w:id="2129541240">
                  <w:marLeft w:val="0"/>
                  <w:marRight w:val="0"/>
                  <w:marTop w:val="0"/>
                  <w:marBottom w:val="0"/>
                  <w:divBdr>
                    <w:top w:val="none" w:sz="0" w:space="0" w:color="auto"/>
                    <w:left w:val="none" w:sz="0" w:space="0" w:color="auto"/>
                    <w:bottom w:val="none" w:sz="0" w:space="0" w:color="auto"/>
                    <w:right w:val="none" w:sz="0" w:space="0" w:color="auto"/>
                  </w:divBdr>
                </w:div>
              </w:divsChild>
            </w:div>
            <w:div w:id="2056856938">
              <w:marLeft w:val="0"/>
              <w:marRight w:val="0"/>
              <w:marTop w:val="0"/>
              <w:marBottom w:val="0"/>
              <w:divBdr>
                <w:top w:val="none" w:sz="0" w:space="0" w:color="auto"/>
                <w:left w:val="none" w:sz="0" w:space="0" w:color="auto"/>
                <w:bottom w:val="none" w:sz="0" w:space="0" w:color="auto"/>
                <w:right w:val="none" w:sz="0" w:space="0" w:color="auto"/>
              </w:divBdr>
              <w:divsChild>
                <w:div w:id="22439969">
                  <w:marLeft w:val="0"/>
                  <w:marRight w:val="0"/>
                  <w:marTop w:val="0"/>
                  <w:marBottom w:val="0"/>
                  <w:divBdr>
                    <w:top w:val="none" w:sz="0" w:space="0" w:color="auto"/>
                    <w:left w:val="none" w:sz="0" w:space="0" w:color="auto"/>
                    <w:bottom w:val="none" w:sz="0" w:space="0" w:color="auto"/>
                    <w:right w:val="none" w:sz="0" w:space="0" w:color="auto"/>
                  </w:divBdr>
                </w:div>
                <w:div w:id="200824181">
                  <w:marLeft w:val="0"/>
                  <w:marRight w:val="0"/>
                  <w:marTop w:val="0"/>
                  <w:marBottom w:val="0"/>
                  <w:divBdr>
                    <w:top w:val="none" w:sz="0" w:space="0" w:color="auto"/>
                    <w:left w:val="none" w:sz="0" w:space="0" w:color="auto"/>
                    <w:bottom w:val="none" w:sz="0" w:space="0" w:color="auto"/>
                    <w:right w:val="none" w:sz="0" w:space="0" w:color="auto"/>
                  </w:divBdr>
                </w:div>
                <w:div w:id="1340503757">
                  <w:marLeft w:val="0"/>
                  <w:marRight w:val="0"/>
                  <w:marTop w:val="0"/>
                  <w:marBottom w:val="0"/>
                  <w:divBdr>
                    <w:top w:val="none" w:sz="0" w:space="0" w:color="auto"/>
                    <w:left w:val="none" w:sz="0" w:space="0" w:color="auto"/>
                    <w:bottom w:val="none" w:sz="0" w:space="0" w:color="auto"/>
                    <w:right w:val="none" w:sz="0" w:space="0" w:color="auto"/>
                  </w:divBdr>
                </w:div>
                <w:div w:id="1838423032">
                  <w:marLeft w:val="0"/>
                  <w:marRight w:val="0"/>
                  <w:marTop w:val="0"/>
                  <w:marBottom w:val="0"/>
                  <w:divBdr>
                    <w:top w:val="none" w:sz="0" w:space="0" w:color="auto"/>
                    <w:left w:val="none" w:sz="0" w:space="0" w:color="auto"/>
                    <w:bottom w:val="none" w:sz="0" w:space="0" w:color="auto"/>
                    <w:right w:val="none" w:sz="0" w:space="0" w:color="auto"/>
                  </w:divBdr>
                </w:div>
              </w:divsChild>
            </w:div>
            <w:div w:id="2060586186">
              <w:marLeft w:val="0"/>
              <w:marRight w:val="0"/>
              <w:marTop w:val="0"/>
              <w:marBottom w:val="0"/>
              <w:divBdr>
                <w:top w:val="none" w:sz="0" w:space="0" w:color="auto"/>
                <w:left w:val="none" w:sz="0" w:space="0" w:color="auto"/>
                <w:bottom w:val="none" w:sz="0" w:space="0" w:color="auto"/>
                <w:right w:val="none" w:sz="0" w:space="0" w:color="auto"/>
              </w:divBdr>
              <w:divsChild>
                <w:div w:id="519245865">
                  <w:marLeft w:val="0"/>
                  <w:marRight w:val="0"/>
                  <w:marTop w:val="0"/>
                  <w:marBottom w:val="0"/>
                  <w:divBdr>
                    <w:top w:val="none" w:sz="0" w:space="0" w:color="auto"/>
                    <w:left w:val="none" w:sz="0" w:space="0" w:color="auto"/>
                    <w:bottom w:val="none" w:sz="0" w:space="0" w:color="auto"/>
                    <w:right w:val="none" w:sz="0" w:space="0" w:color="auto"/>
                  </w:divBdr>
                </w:div>
              </w:divsChild>
            </w:div>
            <w:div w:id="2068213634">
              <w:marLeft w:val="0"/>
              <w:marRight w:val="0"/>
              <w:marTop w:val="0"/>
              <w:marBottom w:val="0"/>
              <w:divBdr>
                <w:top w:val="none" w:sz="0" w:space="0" w:color="auto"/>
                <w:left w:val="none" w:sz="0" w:space="0" w:color="auto"/>
                <w:bottom w:val="none" w:sz="0" w:space="0" w:color="auto"/>
                <w:right w:val="none" w:sz="0" w:space="0" w:color="auto"/>
              </w:divBdr>
              <w:divsChild>
                <w:div w:id="292171953">
                  <w:marLeft w:val="0"/>
                  <w:marRight w:val="0"/>
                  <w:marTop w:val="0"/>
                  <w:marBottom w:val="0"/>
                  <w:divBdr>
                    <w:top w:val="none" w:sz="0" w:space="0" w:color="auto"/>
                    <w:left w:val="none" w:sz="0" w:space="0" w:color="auto"/>
                    <w:bottom w:val="none" w:sz="0" w:space="0" w:color="auto"/>
                    <w:right w:val="none" w:sz="0" w:space="0" w:color="auto"/>
                  </w:divBdr>
                </w:div>
              </w:divsChild>
            </w:div>
            <w:div w:id="2090342630">
              <w:marLeft w:val="0"/>
              <w:marRight w:val="0"/>
              <w:marTop w:val="0"/>
              <w:marBottom w:val="0"/>
              <w:divBdr>
                <w:top w:val="none" w:sz="0" w:space="0" w:color="auto"/>
                <w:left w:val="none" w:sz="0" w:space="0" w:color="auto"/>
                <w:bottom w:val="none" w:sz="0" w:space="0" w:color="auto"/>
                <w:right w:val="none" w:sz="0" w:space="0" w:color="auto"/>
              </w:divBdr>
              <w:divsChild>
                <w:div w:id="904993360">
                  <w:marLeft w:val="0"/>
                  <w:marRight w:val="0"/>
                  <w:marTop w:val="0"/>
                  <w:marBottom w:val="0"/>
                  <w:divBdr>
                    <w:top w:val="none" w:sz="0" w:space="0" w:color="auto"/>
                    <w:left w:val="none" w:sz="0" w:space="0" w:color="auto"/>
                    <w:bottom w:val="none" w:sz="0" w:space="0" w:color="auto"/>
                    <w:right w:val="none" w:sz="0" w:space="0" w:color="auto"/>
                  </w:divBdr>
                </w:div>
              </w:divsChild>
            </w:div>
            <w:div w:id="2091391842">
              <w:marLeft w:val="0"/>
              <w:marRight w:val="0"/>
              <w:marTop w:val="0"/>
              <w:marBottom w:val="0"/>
              <w:divBdr>
                <w:top w:val="none" w:sz="0" w:space="0" w:color="auto"/>
                <w:left w:val="none" w:sz="0" w:space="0" w:color="auto"/>
                <w:bottom w:val="none" w:sz="0" w:space="0" w:color="auto"/>
                <w:right w:val="none" w:sz="0" w:space="0" w:color="auto"/>
              </w:divBdr>
              <w:divsChild>
                <w:div w:id="1292058258">
                  <w:marLeft w:val="0"/>
                  <w:marRight w:val="0"/>
                  <w:marTop w:val="0"/>
                  <w:marBottom w:val="0"/>
                  <w:divBdr>
                    <w:top w:val="none" w:sz="0" w:space="0" w:color="auto"/>
                    <w:left w:val="none" w:sz="0" w:space="0" w:color="auto"/>
                    <w:bottom w:val="none" w:sz="0" w:space="0" w:color="auto"/>
                    <w:right w:val="none" w:sz="0" w:space="0" w:color="auto"/>
                  </w:divBdr>
                </w:div>
              </w:divsChild>
            </w:div>
            <w:div w:id="2091655349">
              <w:marLeft w:val="0"/>
              <w:marRight w:val="0"/>
              <w:marTop w:val="0"/>
              <w:marBottom w:val="0"/>
              <w:divBdr>
                <w:top w:val="none" w:sz="0" w:space="0" w:color="auto"/>
                <w:left w:val="none" w:sz="0" w:space="0" w:color="auto"/>
                <w:bottom w:val="none" w:sz="0" w:space="0" w:color="auto"/>
                <w:right w:val="none" w:sz="0" w:space="0" w:color="auto"/>
              </w:divBdr>
              <w:divsChild>
                <w:div w:id="2924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946531">
          <w:marLeft w:val="0"/>
          <w:marRight w:val="0"/>
          <w:marTop w:val="0"/>
          <w:marBottom w:val="0"/>
          <w:divBdr>
            <w:top w:val="none" w:sz="0" w:space="0" w:color="auto"/>
            <w:left w:val="none" w:sz="0" w:space="0" w:color="auto"/>
            <w:bottom w:val="none" w:sz="0" w:space="0" w:color="auto"/>
            <w:right w:val="none" w:sz="0" w:space="0" w:color="auto"/>
          </w:divBdr>
        </w:div>
        <w:div w:id="2140829926">
          <w:marLeft w:val="0"/>
          <w:marRight w:val="0"/>
          <w:marTop w:val="0"/>
          <w:marBottom w:val="0"/>
          <w:divBdr>
            <w:top w:val="none" w:sz="0" w:space="0" w:color="auto"/>
            <w:left w:val="none" w:sz="0" w:space="0" w:color="auto"/>
            <w:bottom w:val="none" w:sz="0" w:space="0" w:color="auto"/>
            <w:right w:val="none" w:sz="0" w:space="0" w:color="auto"/>
          </w:divBdr>
        </w:div>
      </w:divsChild>
    </w:div>
    <w:div w:id="1242134881">
      <w:bodyDiv w:val="1"/>
      <w:marLeft w:val="0"/>
      <w:marRight w:val="0"/>
      <w:marTop w:val="0"/>
      <w:marBottom w:val="0"/>
      <w:divBdr>
        <w:top w:val="none" w:sz="0" w:space="0" w:color="auto"/>
        <w:left w:val="none" w:sz="0" w:space="0" w:color="auto"/>
        <w:bottom w:val="none" w:sz="0" w:space="0" w:color="auto"/>
        <w:right w:val="none" w:sz="0" w:space="0" w:color="auto"/>
      </w:divBdr>
    </w:div>
    <w:div w:id="1377199620">
      <w:bodyDiv w:val="1"/>
      <w:marLeft w:val="0"/>
      <w:marRight w:val="0"/>
      <w:marTop w:val="0"/>
      <w:marBottom w:val="0"/>
      <w:divBdr>
        <w:top w:val="none" w:sz="0" w:space="0" w:color="auto"/>
        <w:left w:val="none" w:sz="0" w:space="0" w:color="auto"/>
        <w:bottom w:val="none" w:sz="0" w:space="0" w:color="auto"/>
        <w:right w:val="none" w:sz="0" w:space="0" w:color="auto"/>
      </w:divBdr>
    </w:div>
    <w:div w:id="1380012435">
      <w:bodyDiv w:val="1"/>
      <w:marLeft w:val="0"/>
      <w:marRight w:val="0"/>
      <w:marTop w:val="0"/>
      <w:marBottom w:val="0"/>
      <w:divBdr>
        <w:top w:val="none" w:sz="0" w:space="0" w:color="auto"/>
        <w:left w:val="none" w:sz="0" w:space="0" w:color="auto"/>
        <w:bottom w:val="none" w:sz="0" w:space="0" w:color="auto"/>
        <w:right w:val="none" w:sz="0" w:space="0" w:color="auto"/>
      </w:divBdr>
    </w:div>
    <w:div w:id="1403524742">
      <w:bodyDiv w:val="1"/>
      <w:marLeft w:val="0"/>
      <w:marRight w:val="0"/>
      <w:marTop w:val="0"/>
      <w:marBottom w:val="0"/>
      <w:divBdr>
        <w:top w:val="none" w:sz="0" w:space="0" w:color="auto"/>
        <w:left w:val="none" w:sz="0" w:space="0" w:color="auto"/>
        <w:bottom w:val="none" w:sz="0" w:space="0" w:color="auto"/>
        <w:right w:val="none" w:sz="0" w:space="0" w:color="auto"/>
      </w:divBdr>
    </w:div>
    <w:div w:id="1442185266">
      <w:bodyDiv w:val="1"/>
      <w:marLeft w:val="0"/>
      <w:marRight w:val="0"/>
      <w:marTop w:val="0"/>
      <w:marBottom w:val="0"/>
      <w:divBdr>
        <w:top w:val="none" w:sz="0" w:space="0" w:color="auto"/>
        <w:left w:val="none" w:sz="0" w:space="0" w:color="auto"/>
        <w:bottom w:val="none" w:sz="0" w:space="0" w:color="auto"/>
        <w:right w:val="none" w:sz="0" w:space="0" w:color="auto"/>
      </w:divBdr>
      <w:divsChild>
        <w:div w:id="936211833">
          <w:marLeft w:val="0"/>
          <w:marRight w:val="0"/>
          <w:marTop w:val="0"/>
          <w:marBottom w:val="0"/>
          <w:divBdr>
            <w:top w:val="none" w:sz="0" w:space="0" w:color="auto"/>
            <w:left w:val="none" w:sz="0" w:space="0" w:color="auto"/>
            <w:bottom w:val="none" w:sz="0" w:space="0" w:color="auto"/>
            <w:right w:val="none" w:sz="0" w:space="0" w:color="auto"/>
          </w:divBdr>
        </w:div>
        <w:div w:id="1444156228">
          <w:marLeft w:val="0"/>
          <w:marRight w:val="0"/>
          <w:marTop w:val="0"/>
          <w:marBottom w:val="0"/>
          <w:divBdr>
            <w:top w:val="none" w:sz="0" w:space="0" w:color="auto"/>
            <w:left w:val="none" w:sz="0" w:space="0" w:color="auto"/>
            <w:bottom w:val="none" w:sz="0" w:space="0" w:color="auto"/>
            <w:right w:val="none" w:sz="0" w:space="0" w:color="auto"/>
          </w:divBdr>
        </w:div>
        <w:div w:id="2074497299">
          <w:marLeft w:val="0"/>
          <w:marRight w:val="0"/>
          <w:marTop w:val="0"/>
          <w:marBottom w:val="0"/>
          <w:divBdr>
            <w:top w:val="none" w:sz="0" w:space="0" w:color="auto"/>
            <w:left w:val="none" w:sz="0" w:space="0" w:color="auto"/>
            <w:bottom w:val="none" w:sz="0" w:space="0" w:color="auto"/>
            <w:right w:val="none" w:sz="0" w:space="0" w:color="auto"/>
          </w:divBdr>
        </w:div>
      </w:divsChild>
    </w:div>
    <w:div w:id="1468350523">
      <w:bodyDiv w:val="1"/>
      <w:marLeft w:val="0"/>
      <w:marRight w:val="0"/>
      <w:marTop w:val="0"/>
      <w:marBottom w:val="0"/>
      <w:divBdr>
        <w:top w:val="none" w:sz="0" w:space="0" w:color="auto"/>
        <w:left w:val="none" w:sz="0" w:space="0" w:color="auto"/>
        <w:bottom w:val="none" w:sz="0" w:space="0" w:color="auto"/>
        <w:right w:val="none" w:sz="0" w:space="0" w:color="auto"/>
      </w:divBdr>
    </w:div>
    <w:div w:id="1506479937">
      <w:bodyDiv w:val="1"/>
      <w:marLeft w:val="0"/>
      <w:marRight w:val="0"/>
      <w:marTop w:val="0"/>
      <w:marBottom w:val="0"/>
      <w:divBdr>
        <w:top w:val="none" w:sz="0" w:space="0" w:color="auto"/>
        <w:left w:val="none" w:sz="0" w:space="0" w:color="auto"/>
        <w:bottom w:val="none" w:sz="0" w:space="0" w:color="auto"/>
        <w:right w:val="none" w:sz="0" w:space="0" w:color="auto"/>
      </w:divBdr>
    </w:div>
    <w:div w:id="1509364468">
      <w:bodyDiv w:val="1"/>
      <w:marLeft w:val="0"/>
      <w:marRight w:val="0"/>
      <w:marTop w:val="0"/>
      <w:marBottom w:val="0"/>
      <w:divBdr>
        <w:top w:val="none" w:sz="0" w:space="0" w:color="auto"/>
        <w:left w:val="none" w:sz="0" w:space="0" w:color="auto"/>
        <w:bottom w:val="none" w:sz="0" w:space="0" w:color="auto"/>
        <w:right w:val="none" w:sz="0" w:space="0" w:color="auto"/>
      </w:divBdr>
    </w:div>
    <w:div w:id="1529371641">
      <w:bodyDiv w:val="1"/>
      <w:marLeft w:val="0"/>
      <w:marRight w:val="0"/>
      <w:marTop w:val="0"/>
      <w:marBottom w:val="0"/>
      <w:divBdr>
        <w:top w:val="none" w:sz="0" w:space="0" w:color="auto"/>
        <w:left w:val="none" w:sz="0" w:space="0" w:color="auto"/>
        <w:bottom w:val="none" w:sz="0" w:space="0" w:color="auto"/>
        <w:right w:val="none" w:sz="0" w:space="0" w:color="auto"/>
      </w:divBdr>
    </w:div>
    <w:div w:id="1535390485">
      <w:bodyDiv w:val="1"/>
      <w:marLeft w:val="0"/>
      <w:marRight w:val="0"/>
      <w:marTop w:val="0"/>
      <w:marBottom w:val="0"/>
      <w:divBdr>
        <w:top w:val="none" w:sz="0" w:space="0" w:color="auto"/>
        <w:left w:val="none" w:sz="0" w:space="0" w:color="auto"/>
        <w:bottom w:val="none" w:sz="0" w:space="0" w:color="auto"/>
        <w:right w:val="none" w:sz="0" w:space="0" w:color="auto"/>
      </w:divBdr>
    </w:div>
    <w:div w:id="1566840667">
      <w:bodyDiv w:val="1"/>
      <w:marLeft w:val="0"/>
      <w:marRight w:val="0"/>
      <w:marTop w:val="0"/>
      <w:marBottom w:val="0"/>
      <w:divBdr>
        <w:top w:val="none" w:sz="0" w:space="0" w:color="auto"/>
        <w:left w:val="none" w:sz="0" w:space="0" w:color="auto"/>
        <w:bottom w:val="none" w:sz="0" w:space="0" w:color="auto"/>
        <w:right w:val="none" w:sz="0" w:space="0" w:color="auto"/>
      </w:divBdr>
      <w:divsChild>
        <w:div w:id="313797901">
          <w:marLeft w:val="0"/>
          <w:marRight w:val="0"/>
          <w:marTop w:val="0"/>
          <w:marBottom w:val="0"/>
          <w:divBdr>
            <w:top w:val="none" w:sz="0" w:space="0" w:color="auto"/>
            <w:left w:val="none" w:sz="0" w:space="0" w:color="auto"/>
            <w:bottom w:val="none" w:sz="0" w:space="0" w:color="auto"/>
            <w:right w:val="none" w:sz="0" w:space="0" w:color="auto"/>
          </w:divBdr>
          <w:divsChild>
            <w:div w:id="762920906">
              <w:marLeft w:val="0"/>
              <w:marRight w:val="0"/>
              <w:marTop w:val="0"/>
              <w:marBottom w:val="0"/>
              <w:divBdr>
                <w:top w:val="none" w:sz="0" w:space="0" w:color="auto"/>
                <w:left w:val="none" w:sz="0" w:space="0" w:color="auto"/>
                <w:bottom w:val="none" w:sz="0" w:space="0" w:color="auto"/>
                <w:right w:val="none" w:sz="0" w:space="0" w:color="auto"/>
              </w:divBdr>
            </w:div>
          </w:divsChild>
        </w:div>
        <w:div w:id="504442754">
          <w:marLeft w:val="0"/>
          <w:marRight w:val="0"/>
          <w:marTop w:val="0"/>
          <w:marBottom w:val="0"/>
          <w:divBdr>
            <w:top w:val="none" w:sz="0" w:space="0" w:color="auto"/>
            <w:left w:val="none" w:sz="0" w:space="0" w:color="auto"/>
            <w:bottom w:val="none" w:sz="0" w:space="0" w:color="auto"/>
            <w:right w:val="none" w:sz="0" w:space="0" w:color="auto"/>
          </w:divBdr>
          <w:divsChild>
            <w:div w:id="212330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266407">
      <w:bodyDiv w:val="1"/>
      <w:marLeft w:val="0"/>
      <w:marRight w:val="0"/>
      <w:marTop w:val="0"/>
      <w:marBottom w:val="0"/>
      <w:divBdr>
        <w:top w:val="none" w:sz="0" w:space="0" w:color="auto"/>
        <w:left w:val="none" w:sz="0" w:space="0" w:color="auto"/>
        <w:bottom w:val="none" w:sz="0" w:space="0" w:color="auto"/>
        <w:right w:val="none" w:sz="0" w:space="0" w:color="auto"/>
      </w:divBdr>
    </w:div>
    <w:div w:id="1668901845">
      <w:bodyDiv w:val="1"/>
      <w:marLeft w:val="0"/>
      <w:marRight w:val="0"/>
      <w:marTop w:val="0"/>
      <w:marBottom w:val="0"/>
      <w:divBdr>
        <w:top w:val="none" w:sz="0" w:space="0" w:color="auto"/>
        <w:left w:val="none" w:sz="0" w:space="0" w:color="auto"/>
        <w:bottom w:val="none" w:sz="0" w:space="0" w:color="auto"/>
        <w:right w:val="none" w:sz="0" w:space="0" w:color="auto"/>
      </w:divBdr>
    </w:div>
    <w:div w:id="1669750032">
      <w:bodyDiv w:val="1"/>
      <w:marLeft w:val="0"/>
      <w:marRight w:val="0"/>
      <w:marTop w:val="0"/>
      <w:marBottom w:val="0"/>
      <w:divBdr>
        <w:top w:val="none" w:sz="0" w:space="0" w:color="auto"/>
        <w:left w:val="none" w:sz="0" w:space="0" w:color="auto"/>
        <w:bottom w:val="none" w:sz="0" w:space="0" w:color="auto"/>
        <w:right w:val="none" w:sz="0" w:space="0" w:color="auto"/>
      </w:divBdr>
    </w:div>
    <w:div w:id="1676497426">
      <w:bodyDiv w:val="1"/>
      <w:marLeft w:val="0"/>
      <w:marRight w:val="0"/>
      <w:marTop w:val="0"/>
      <w:marBottom w:val="0"/>
      <w:divBdr>
        <w:top w:val="none" w:sz="0" w:space="0" w:color="auto"/>
        <w:left w:val="none" w:sz="0" w:space="0" w:color="auto"/>
        <w:bottom w:val="none" w:sz="0" w:space="0" w:color="auto"/>
        <w:right w:val="none" w:sz="0" w:space="0" w:color="auto"/>
      </w:divBdr>
    </w:div>
    <w:div w:id="1728451495">
      <w:bodyDiv w:val="1"/>
      <w:marLeft w:val="0"/>
      <w:marRight w:val="0"/>
      <w:marTop w:val="0"/>
      <w:marBottom w:val="0"/>
      <w:divBdr>
        <w:top w:val="none" w:sz="0" w:space="0" w:color="auto"/>
        <w:left w:val="none" w:sz="0" w:space="0" w:color="auto"/>
        <w:bottom w:val="none" w:sz="0" w:space="0" w:color="auto"/>
        <w:right w:val="none" w:sz="0" w:space="0" w:color="auto"/>
      </w:divBdr>
    </w:div>
    <w:div w:id="1736777190">
      <w:bodyDiv w:val="1"/>
      <w:marLeft w:val="0"/>
      <w:marRight w:val="0"/>
      <w:marTop w:val="0"/>
      <w:marBottom w:val="0"/>
      <w:divBdr>
        <w:top w:val="none" w:sz="0" w:space="0" w:color="auto"/>
        <w:left w:val="none" w:sz="0" w:space="0" w:color="auto"/>
        <w:bottom w:val="none" w:sz="0" w:space="0" w:color="auto"/>
        <w:right w:val="none" w:sz="0" w:space="0" w:color="auto"/>
      </w:divBdr>
      <w:divsChild>
        <w:div w:id="499974403">
          <w:marLeft w:val="0"/>
          <w:marRight w:val="0"/>
          <w:marTop w:val="0"/>
          <w:marBottom w:val="0"/>
          <w:divBdr>
            <w:top w:val="none" w:sz="0" w:space="0" w:color="auto"/>
            <w:left w:val="none" w:sz="0" w:space="0" w:color="auto"/>
            <w:bottom w:val="none" w:sz="0" w:space="0" w:color="auto"/>
            <w:right w:val="none" w:sz="0" w:space="0" w:color="auto"/>
          </w:divBdr>
          <w:divsChild>
            <w:div w:id="90827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34638">
      <w:bodyDiv w:val="1"/>
      <w:marLeft w:val="0"/>
      <w:marRight w:val="0"/>
      <w:marTop w:val="0"/>
      <w:marBottom w:val="0"/>
      <w:divBdr>
        <w:top w:val="none" w:sz="0" w:space="0" w:color="auto"/>
        <w:left w:val="none" w:sz="0" w:space="0" w:color="auto"/>
        <w:bottom w:val="none" w:sz="0" w:space="0" w:color="auto"/>
        <w:right w:val="none" w:sz="0" w:space="0" w:color="auto"/>
      </w:divBdr>
    </w:div>
    <w:div w:id="1796605511">
      <w:bodyDiv w:val="1"/>
      <w:marLeft w:val="0"/>
      <w:marRight w:val="0"/>
      <w:marTop w:val="0"/>
      <w:marBottom w:val="0"/>
      <w:divBdr>
        <w:top w:val="none" w:sz="0" w:space="0" w:color="auto"/>
        <w:left w:val="none" w:sz="0" w:space="0" w:color="auto"/>
        <w:bottom w:val="none" w:sz="0" w:space="0" w:color="auto"/>
        <w:right w:val="none" w:sz="0" w:space="0" w:color="auto"/>
      </w:divBdr>
    </w:div>
    <w:div w:id="1854031846">
      <w:bodyDiv w:val="1"/>
      <w:marLeft w:val="0"/>
      <w:marRight w:val="0"/>
      <w:marTop w:val="0"/>
      <w:marBottom w:val="0"/>
      <w:divBdr>
        <w:top w:val="none" w:sz="0" w:space="0" w:color="auto"/>
        <w:left w:val="none" w:sz="0" w:space="0" w:color="auto"/>
        <w:bottom w:val="none" w:sz="0" w:space="0" w:color="auto"/>
        <w:right w:val="none" w:sz="0" w:space="0" w:color="auto"/>
      </w:divBdr>
    </w:div>
    <w:div w:id="1863126010">
      <w:bodyDiv w:val="1"/>
      <w:marLeft w:val="0"/>
      <w:marRight w:val="0"/>
      <w:marTop w:val="0"/>
      <w:marBottom w:val="0"/>
      <w:divBdr>
        <w:top w:val="none" w:sz="0" w:space="0" w:color="auto"/>
        <w:left w:val="none" w:sz="0" w:space="0" w:color="auto"/>
        <w:bottom w:val="none" w:sz="0" w:space="0" w:color="auto"/>
        <w:right w:val="none" w:sz="0" w:space="0" w:color="auto"/>
      </w:divBdr>
    </w:div>
    <w:div w:id="1873348241">
      <w:bodyDiv w:val="1"/>
      <w:marLeft w:val="0"/>
      <w:marRight w:val="0"/>
      <w:marTop w:val="0"/>
      <w:marBottom w:val="0"/>
      <w:divBdr>
        <w:top w:val="none" w:sz="0" w:space="0" w:color="auto"/>
        <w:left w:val="none" w:sz="0" w:space="0" w:color="auto"/>
        <w:bottom w:val="none" w:sz="0" w:space="0" w:color="auto"/>
        <w:right w:val="none" w:sz="0" w:space="0" w:color="auto"/>
      </w:divBdr>
    </w:div>
    <w:div w:id="1965887035">
      <w:bodyDiv w:val="1"/>
      <w:marLeft w:val="0"/>
      <w:marRight w:val="0"/>
      <w:marTop w:val="0"/>
      <w:marBottom w:val="0"/>
      <w:divBdr>
        <w:top w:val="none" w:sz="0" w:space="0" w:color="auto"/>
        <w:left w:val="none" w:sz="0" w:space="0" w:color="auto"/>
        <w:bottom w:val="none" w:sz="0" w:space="0" w:color="auto"/>
        <w:right w:val="none" w:sz="0" w:space="0" w:color="auto"/>
      </w:divBdr>
    </w:div>
    <w:div w:id="2008240919">
      <w:bodyDiv w:val="1"/>
      <w:marLeft w:val="0"/>
      <w:marRight w:val="0"/>
      <w:marTop w:val="0"/>
      <w:marBottom w:val="0"/>
      <w:divBdr>
        <w:top w:val="none" w:sz="0" w:space="0" w:color="auto"/>
        <w:left w:val="none" w:sz="0" w:space="0" w:color="auto"/>
        <w:bottom w:val="none" w:sz="0" w:space="0" w:color="auto"/>
        <w:right w:val="none" w:sz="0" w:space="0" w:color="auto"/>
      </w:divBdr>
    </w:div>
    <w:div w:id="2069261607">
      <w:bodyDiv w:val="1"/>
      <w:marLeft w:val="0"/>
      <w:marRight w:val="0"/>
      <w:marTop w:val="0"/>
      <w:marBottom w:val="0"/>
      <w:divBdr>
        <w:top w:val="none" w:sz="0" w:space="0" w:color="auto"/>
        <w:left w:val="none" w:sz="0" w:space="0" w:color="auto"/>
        <w:bottom w:val="none" w:sz="0" w:space="0" w:color="auto"/>
        <w:right w:val="none" w:sz="0" w:space="0" w:color="auto"/>
      </w:divBdr>
    </w:div>
    <w:div w:id="2110739385">
      <w:bodyDiv w:val="1"/>
      <w:marLeft w:val="0"/>
      <w:marRight w:val="0"/>
      <w:marTop w:val="0"/>
      <w:marBottom w:val="0"/>
      <w:divBdr>
        <w:top w:val="none" w:sz="0" w:space="0" w:color="auto"/>
        <w:left w:val="none" w:sz="0" w:space="0" w:color="auto"/>
        <w:bottom w:val="none" w:sz="0" w:space="0" w:color="auto"/>
        <w:right w:val="none" w:sz="0" w:space="0" w:color="auto"/>
      </w:divBdr>
    </w:div>
    <w:div w:id="2111468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news/zimbabwe-concludes-evaluation-of-national-phytosanitary-system-starts-developing-strategy-to-enhance-plant-health/" TargetMode="External"/><Relationship Id="rId18" Type="http://schemas.openxmlformats.org/officeDocument/2006/relationships/hyperlink" Target="https://www.ippc.int/en/news/healthy-plants-healthy-planet-the-key-to-one-health-succes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ippc.int/en/news/south-south-cooperation-end-of-project-heralds-positive-changes-for-plant-health-in-cambodia-and-sri-lanka/" TargetMode="External"/><Relationship Id="rId17" Type="http://schemas.openxmlformats.org/officeDocument/2006/relationships/hyperlink" Target="https://www.ippc.int/en/news/uganda-to-undertake-a-phytosanitary-capacity-evaluation-to-boost-agricultural-trad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ppc.int/en/news/spotlight-building-a-resilient-plant-health-system-in-senega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news/how-the-ippcs-phytosanitary-capacity-evaluation-exercises-boosted-plant-health-in-2023/"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www.ippc.int/en/news/phytosanitary-capacity-evaluation-to-strengthen-egypts-food-security-and-agricultural-trade/" TargetMode="External"/><Relationship Id="rId23" Type="http://schemas.openxmlformats.org/officeDocument/2006/relationships/header" Target="header3.xml"/><Relationship Id="rId28"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news/spotlight-rethinking-and-strengthening-kenyas-approach-to-its-phytosanitary-system/" TargetMode="External"/><Relationship Id="rId22" Type="http://schemas.openxmlformats.org/officeDocument/2006/relationships/footer" Target="footer2.xml"/><Relationship Id="rId27"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about/core-activities/capacity-development/phytosanitary-capacity-evaluation/" TargetMode="External"/><Relationship Id="rId7" Type="http://schemas.openxmlformats.org/officeDocument/2006/relationships/hyperlink" Target="https://www.ippc.int/en/news/healthy-plants-healthy-planet-the-key-to-one-health-success/" TargetMode="External"/><Relationship Id="rId2" Type="http://schemas.openxmlformats.org/officeDocument/2006/relationships/hyperlink" Target="https://openknowledge.fao.org/items/a01aa160-a92d-40dd-9384-b6c9c0b62d79" TargetMode="External"/><Relationship Id="rId1" Type="http://schemas.openxmlformats.org/officeDocument/2006/relationships/hyperlink" Target="https://www.ippc.int/en/about/core-activities/capacity-development/phytosanitary-capacity-evaluation/" TargetMode="External"/><Relationship Id="rId6" Type="http://schemas.openxmlformats.org/officeDocument/2006/relationships/hyperlink" Target="https://www.ippc.int/en/work-area-pages/capacity-development/implementation-and-capacity-development-committee-ic/2024-ic-meetings/2024-ic-may-meeting/" TargetMode="External"/><Relationship Id="rId5" Type="http://schemas.openxmlformats.org/officeDocument/2006/relationships/hyperlink" Target="https://assets.ippc.int/static/media/files/publication/en/2024/05/Terms_and_conditions_for_using_the_online_PCE_system.pdf" TargetMode="External"/><Relationship Id="rId4" Type="http://schemas.openxmlformats.org/officeDocument/2006/relationships/hyperlink" Target="https://assets.ippc.int/static/media/uploads/pce/pce_facilitators_certified_2022.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documenttasks/documenttasks1.xml><?xml version="1.0" encoding="utf-8"?>
<t:Tasks xmlns:t="http://schemas.microsoft.com/office/tasks/2019/documenttasks" xmlns:oel="http://schemas.microsoft.com/office/2019/extlst">
  <t:Task id="{7CD183CE-CB09-40FD-9280-80BC79FBA53D}">
    <t:Anchor>
      <t:Comment id="10469189"/>
    </t:Anchor>
    <t:History>
      <t:Event id="{A3299342-C0A7-4C41-A20B-63C598ABBFCE}" time="2024-05-02T08:57:11.232Z">
        <t:Attribution userId="S::dominique.menon@fao.org::f4d8880f-41fd-4c40-96b7-0160556f023d" userProvider="AD" userName="Menon, Dominique (NSPD)"/>
        <t:Anchor>
          <t:Comment id="304527528"/>
        </t:Anchor>
        <t:Create/>
      </t:Event>
      <t:Event id="{5193A9C1-8DE3-437B-9C4E-442551B7A6AC}" time="2024-05-02T08:57:11.232Z">
        <t:Attribution userId="S::dominique.menon@fao.org::f4d8880f-41fd-4c40-96b7-0160556f023d" userProvider="AD" userName="Menon, Dominique (NSPD)"/>
        <t:Anchor>
          <t:Comment id="304527528"/>
        </t:Anchor>
        <t:Assign userId="S::Camilo.BeltranMontoya@fao.org::c6617a72-ddab-40a4-ab08-9da8697dd87c" userProvider="AD" userName="BeltranMontoya, Camilo (NSP)"/>
      </t:Event>
      <t:Event id="{383061D2-EB19-49F3-9F57-78503185FF31}" time="2024-05-02T08:57:11.232Z">
        <t:Attribution userId="S::dominique.menon@fao.org::f4d8880f-41fd-4c40-96b7-0160556f023d" userProvider="AD" userName="Menon, Dominique (NSPD)"/>
        <t:Anchor>
          <t:Comment id="304527528"/>
        </t:Anchor>
        <t:SetTitle title="@BeltranMontoya, Camilo (NSP)"/>
      </t:Event>
    </t:History>
  </t:Task>
  <t:Task id="{32C7512B-7FA3-4CF4-BEB0-089BB1F11F1D}">
    <t:Anchor>
      <t:Comment id="1951381647"/>
    </t:Anchor>
    <t:History>
      <t:Event id="{DB0BF80B-4F06-47CD-9854-176C69E8288F}" time="2024-05-02T10:42:50.382Z">
        <t:Attribution userId="S::Dominique.Menon@fao.org::f4d8880f-41fd-4c40-96b7-0160556f023d" userProvider="AD" userName="Menon, Dominique (NSPD)"/>
        <t:Anchor>
          <t:Comment id="543195170"/>
        </t:Anchor>
        <t:Create/>
      </t:Event>
      <t:Event id="{95ED3203-058B-4B15-A551-D870C5BB60F8}" time="2024-05-02T10:42:50.382Z">
        <t:Attribution userId="S::Dominique.Menon@fao.org::f4d8880f-41fd-4c40-96b7-0160556f023d" userProvider="AD" userName="Menon, Dominique (NSPD)"/>
        <t:Anchor>
          <t:Comment id="543195170"/>
        </t:Anchor>
        <t:Assign userId="S::Camilo.BeltranMontoya@fao.org::c6617a72-ddab-40a4-ab08-9da8697dd87c" userProvider="AD" userName="BeltranMontoya, Camilo (NSP)"/>
      </t:Event>
      <t:Event id="{66810F4C-1376-4134-A937-542FD66BADBC}" time="2024-05-02T10:42:50.382Z">
        <t:Attribution userId="S::Dominique.Menon@fao.org::f4d8880f-41fd-4c40-96b7-0160556f023d" userProvider="AD" userName="Menon, Dominique (NSPD)"/>
        <t:Anchor>
          <t:Comment id="543195170"/>
        </t:Anchor>
        <t:SetTitle title="@BeltranMontoya, Camilo (NSP) "/>
      </t:Event>
      <t:Event id="{12E44AC9-237D-4E12-831A-2BDE3CF3D22C}" time="2024-05-02T12:28:18.979Z">
        <t:Attribution userId="S::Camilo.BeltranMontoya@fao.org::c6617a72-ddab-40a4-ab08-9da8697dd87c" userProvider="AD" userName="BeltranMontoya, Camilo (NSP)"/>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6B88-5633-4079-A8C5-4C390AD307B3}">
  <ds:schemaRef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www.w3.org/XML/1998/namespace"/>
    <ds:schemaRef ds:uri="http://purl.org/dc/dcmitype/"/>
    <ds:schemaRef ds:uri="a05d7f75-f42e-4288-8809-604fd4d9691f"/>
    <ds:schemaRef ds:uri="http://schemas.microsoft.com/office/infopath/2007/PartnerControls"/>
    <ds:schemaRef ds:uri="ea6feb38-a85a-45e8-92e9-814486bbe375"/>
    <ds:schemaRef ds:uri="http://purl.org/dc/terms/"/>
  </ds:schemaRefs>
</ds:datastoreItem>
</file>

<file path=customXml/itemProps2.xml><?xml version="1.0" encoding="utf-8"?>
<ds:datastoreItem xmlns:ds="http://schemas.openxmlformats.org/officeDocument/2006/customXml" ds:itemID="{066E5008-9C26-4DB1-A931-547040F9FAF3}">
  <ds:schemaRefs>
    <ds:schemaRef ds:uri="http://schemas.microsoft.com/sharepoint/v3/contenttype/forms"/>
  </ds:schemaRefs>
</ds:datastoreItem>
</file>

<file path=customXml/itemProps3.xml><?xml version="1.0" encoding="utf-8"?>
<ds:datastoreItem xmlns:ds="http://schemas.openxmlformats.org/officeDocument/2006/customXml" ds:itemID="{2D5BBD81-0A37-46D6-A6CD-B16925257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B7383-1F92-42D6-B455-F8E7DB9D9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IPPC_2024-06-17.dotx</Template>
  <TotalTime>391</TotalTime>
  <Pages>8</Pages>
  <Words>2819</Words>
  <Characters>17189</Characters>
  <Application>Microsoft Office Word</Application>
  <DocSecurity>0</DocSecurity>
  <Lines>477</Lines>
  <Paragraphs>294</Paragraphs>
  <ScaleCrop>false</ScaleCrop>
  <Company>FAO of the UN</Company>
  <LinksUpToDate>false</LinksUpToDate>
  <CharactersWithSpaces>19714</CharactersWithSpaces>
  <SharedDoc>false</SharedDoc>
  <HLinks>
    <vt:vector size="90" baseType="variant">
      <vt:variant>
        <vt:i4>1179731</vt:i4>
      </vt:variant>
      <vt:variant>
        <vt:i4>21</vt:i4>
      </vt:variant>
      <vt:variant>
        <vt:i4>0</vt:i4>
      </vt:variant>
      <vt:variant>
        <vt:i4>5</vt:i4>
      </vt:variant>
      <vt:variant>
        <vt:lpwstr>https://www.ippc.int/en/news/healthy-plants-healthy-planet-the-key-to-one-health-success/</vt:lpwstr>
      </vt:variant>
      <vt:variant>
        <vt:lpwstr/>
      </vt:variant>
      <vt:variant>
        <vt:i4>262163</vt:i4>
      </vt:variant>
      <vt:variant>
        <vt:i4>18</vt:i4>
      </vt:variant>
      <vt:variant>
        <vt:i4>0</vt:i4>
      </vt:variant>
      <vt:variant>
        <vt:i4>5</vt:i4>
      </vt:variant>
      <vt:variant>
        <vt:lpwstr>https://www.ippc.int/en/news/uganda-to-undertake-a-phytosanitary-capacity-evaluation-to-boost-agricultural-trade/</vt:lpwstr>
      </vt:variant>
      <vt:variant>
        <vt:lpwstr/>
      </vt:variant>
      <vt:variant>
        <vt:i4>2097212</vt:i4>
      </vt:variant>
      <vt:variant>
        <vt:i4>15</vt:i4>
      </vt:variant>
      <vt:variant>
        <vt:i4>0</vt:i4>
      </vt:variant>
      <vt:variant>
        <vt:i4>5</vt:i4>
      </vt:variant>
      <vt:variant>
        <vt:lpwstr>https://www.ippc.int/en/news/spotlight-building-a-resilient-plant-health-system-in-senegal/</vt:lpwstr>
      </vt:variant>
      <vt:variant>
        <vt:lpwstr/>
      </vt:variant>
      <vt:variant>
        <vt:i4>4653145</vt:i4>
      </vt:variant>
      <vt:variant>
        <vt:i4>12</vt:i4>
      </vt:variant>
      <vt:variant>
        <vt:i4>0</vt:i4>
      </vt:variant>
      <vt:variant>
        <vt:i4>5</vt:i4>
      </vt:variant>
      <vt:variant>
        <vt:lpwstr>https://www.ippc.int/en/news/phytosanitary-capacity-evaluation-to-strengthen-egypts-food-security-and-agricultural-trade/</vt:lpwstr>
      </vt:variant>
      <vt:variant>
        <vt:lpwstr/>
      </vt:variant>
      <vt:variant>
        <vt:i4>5767254</vt:i4>
      </vt:variant>
      <vt:variant>
        <vt:i4>9</vt:i4>
      </vt:variant>
      <vt:variant>
        <vt:i4>0</vt:i4>
      </vt:variant>
      <vt:variant>
        <vt:i4>5</vt:i4>
      </vt:variant>
      <vt:variant>
        <vt:lpwstr>https://www.ippc.int/en/news/spotlight-rethinking-and-strengthening-kenyas-approach-to-its-phytosanitary-system/</vt:lpwstr>
      </vt:variant>
      <vt:variant>
        <vt:lpwstr/>
      </vt:variant>
      <vt:variant>
        <vt:i4>6946850</vt:i4>
      </vt:variant>
      <vt:variant>
        <vt:i4>6</vt:i4>
      </vt:variant>
      <vt:variant>
        <vt:i4>0</vt:i4>
      </vt:variant>
      <vt:variant>
        <vt:i4>5</vt:i4>
      </vt:variant>
      <vt:variant>
        <vt:lpwstr>https://www.ippc.int/en/news/zimbabwe-concludes-evaluation-of-national-phytosanitary-system-starts-developing-strategy-to-enhance-plant-health/</vt:lpwstr>
      </vt:variant>
      <vt:variant>
        <vt:lpwstr/>
      </vt:variant>
      <vt:variant>
        <vt:i4>131147</vt:i4>
      </vt:variant>
      <vt:variant>
        <vt:i4>3</vt:i4>
      </vt:variant>
      <vt:variant>
        <vt:i4>0</vt:i4>
      </vt:variant>
      <vt:variant>
        <vt:i4>5</vt:i4>
      </vt:variant>
      <vt:variant>
        <vt:lpwstr>https://www.ippc.int/en/news/south-south-cooperation-end-of-project-heralds-positive-changes-for-plant-health-in-cambodia-and-sri-lanka/</vt:lpwstr>
      </vt:variant>
      <vt:variant>
        <vt:lpwstr/>
      </vt:variant>
      <vt:variant>
        <vt:i4>5701724</vt:i4>
      </vt:variant>
      <vt:variant>
        <vt:i4>0</vt:i4>
      </vt:variant>
      <vt:variant>
        <vt:i4>0</vt:i4>
      </vt:variant>
      <vt:variant>
        <vt:i4>5</vt:i4>
      </vt:variant>
      <vt:variant>
        <vt:lpwstr>https://www.ippc.int/en/news/how-the-ippcs-phytosanitary-capacity-evaluation-exercises-boosted-plant-health-in-2023/</vt:lpwstr>
      </vt:variant>
      <vt:variant>
        <vt:lpwstr/>
      </vt:variant>
      <vt:variant>
        <vt:i4>3276845</vt:i4>
      </vt:variant>
      <vt:variant>
        <vt:i4>15</vt:i4>
      </vt:variant>
      <vt:variant>
        <vt:i4>0</vt:i4>
      </vt:variant>
      <vt:variant>
        <vt:i4>5</vt:i4>
      </vt:variant>
      <vt:variant>
        <vt:lpwstr>https://www.ippc.int/en/work-area-pages/capacity-development/implementation-and-capacity-development-committee-ic/2024-ic-meetings/2024-ic-may-meeting/</vt:lpwstr>
      </vt:variant>
      <vt:variant>
        <vt:lpwstr/>
      </vt:variant>
      <vt:variant>
        <vt:i4>4128825</vt:i4>
      </vt:variant>
      <vt:variant>
        <vt:i4>12</vt:i4>
      </vt:variant>
      <vt:variant>
        <vt:i4>0</vt:i4>
      </vt:variant>
      <vt:variant>
        <vt:i4>5</vt:i4>
      </vt:variant>
      <vt:variant>
        <vt:lpwstr>https://assets.ippc.int/static/media/files/publication/en/2024/05/Terms_and_conditions_for_using_the_online_PCE_system.pdf</vt:lpwstr>
      </vt:variant>
      <vt:variant>
        <vt:lpwstr/>
      </vt:variant>
      <vt:variant>
        <vt:i4>2031734</vt:i4>
      </vt:variant>
      <vt:variant>
        <vt:i4>9</vt:i4>
      </vt:variant>
      <vt:variant>
        <vt:i4>0</vt:i4>
      </vt:variant>
      <vt:variant>
        <vt:i4>5</vt:i4>
      </vt:variant>
      <vt:variant>
        <vt:lpwstr>https://assets.ippc.int/static/media/uploads/pce/pce_facilitators_certified_2022.pdf</vt:lpwstr>
      </vt:variant>
      <vt:variant>
        <vt:lpwstr/>
      </vt:variant>
      <vt:variant>
        <vt:i4>5177404</vt:i4>
      </vt:variant>
      <vt:variant>
        <vt:i4>6</vt:i4>
      </vt:variant>
      <vt:variant>
        <vt:i4>0</vt:i4>
      </vt:variant>
      <vt:variant>
        <vt:i4>5</vt:i4>
      </vt:variant>
      <vt:variant>
        <vt:lpwstr>https://www.ippc.int/en/about/core-activities/capacity-development/phytosanitary-capacity-evaluation/</vt:lpwstr>
      </vt:variant>
      <vt:variant>
        <vt:lpwstr>a</vt:lpwstr>
      </vt:variant>
      <vt:variant>
        <vt:i4>1835093</vt:i4>
      </vt:variant>
      <vt:variant>
        <vt:i4>3</vt:i4>
      </vt:variant>
      <vt:variant>
        <vt:i4>0</vt:i4>
      </vt:variant>
      <vt:variant>
        <vt:i4>5</vt:i4>
      </vt:variant>
      <vt:variant>
        <vt:lpwstr>https://openknowledge.fao.org/items/a01aa160-a92d-40dd-9384-b6c9c0b62d79</vt:lpwstr>
      </vt:variant>
      <vt:variant>
        <vt:lpwstr/>
      </vt:variant>
      <vt:variant>
        <vt:i4>5177437</vt:i4>
      </vt:variant>
      <vt:variant>
        <vt:i4>0</vt:i4>
      </vt:variant>
      <vt:variant>
        <vt:i4>0</vt:i4>
      </vt:variant>
      <vt:variant>
        <vt:i4>5</vt:i4>
      </vt:variant>
      <vt:variant>
        <vt:lpwstr>https://www.ippc.int/en/about/core-activities/capacity-development/phytosanitary-capacity-evaluation/</vt:lpwstr>
      </vt:variant>
      <vt:variant>
        <vt:lpwstr/>
      </vt:variant>
      <vt:variant>
        <vt:i4>5373984</vt:i4>
      </vt:variant>
      <vt:variant>
        <vt:i4>0</vt:i4>
      </vt:variant>
      <vt:variant>
        <vt:i4>0</vt:i4>
      </vt:variant>
      <vt:variant>
        <vt:i4>5</vt:i4>
      </vt:variant>
      <vt:variant>
        <vt:lpwstr>mailto:Camilo.BeltranMontoya@fao.org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 Natsumi (NSPDD)</dc:creator>
  <cp:keywords/>
  <dc:description/>
  <cp:lastModifiedBy>Cassin, Aoife (NSP)</cp:lastModifiedBy>
  <cp:revision>164</cp:revision>
  <cp:lastPrinted>2024-05-05T06:24:00Z</cp:lastPrinted>
  <dcterms:created xsi:type="dcterms:W3CDTF">2024-10-15T17:08:00Z</dcterms:created>
  <dcterms:modified xsi:type="dcterms:W3CDTF">2024-10-17T09:03:00Z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GrammarlyDocumentId">
    <vt:lpwstr>2450f9fed6f00ae409bb270e136c3889eb5465ec1514acb4a3e88509adf4e2fa</vt:lpwstr>
  </property>
</Properties>
</file>