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6E0A5" w14:textId="77777777" w:rsidR="008A6983" w:rsidRDefault="008A6983" w:rsidP="008A6983">
      <w:pPr>
        <w:spacing w:before="360" w:after="120"/>
        <w:ind w:left="851" w:hanging="851"/>
        <w:jc w:val="center"/>
      </w:pPr>
      <w:bookmarkStart w:id="0" w:name="_Hlk180679856"/>
      <w:r w:rsidRPr="1B01F3E4">
        <w:rPr>
          <w:rFonts w:eastAsia="Times New Roman"/>
          <w:b/>
          <w:bCs/>
          <w:caps/>
          <w:sz w:val="24"/>
        </w:rPr>
        <w:t>Commission on Phytosanitary Measures</w:t>
      </w:r>
      <w:r>
        <w:t xml:space="preserve"> </w:t>
      </w:r>
    </w:p>
    <w:p w14:paraId="5384D12A" w14:textId="77777777" w:rsidR="008A6983" w:rsidRDefault="008A6983" w:rsidP="008A6983">
      <w:pPr>
        <w:pStyle w:val="IPPHeadSection"/>
        <w:jc w:val="center"/>
      </w:pPr>
      <w:r>
        <w:t>STRATEGIC PLANNING GROUP</w:t>
      </w:r>
    </w:p>
    <w:p w14:paraId="29590D14" w14:textId="77777777" w:rsidR="008A6983" w:rsidRDefault="008A6983" w:rsidP="008A6983">
      <w:pPr>
        <w:pStyle w:val="IPPHeadSection"/>
        <w:jc w:val="center"/>
      </w:pPr>
      <w:r>
        <w:t>DISCISSION PAPER</w:t>
      </w:r>
    </w:p>
    <w:p w14:paraId="4BBBF561" w14:textId="20CC45BE" w:rsidR="008A6983" w:rsidRDefault="008A6983" w:rsidP="008A6983">
      <w:pPr>
        <w:pStyle w:val="IPPHeading1"/>
        <w:jc w:val="center"/>
        <w:rPr>
          <w:bCs/>
          <w:caps/>
        </w:rPr>
      </w:pPr>
      <w:r w:rsidRPr="008A6983">
        <w:rPr>
          <w:bCs/>
          <w:caps/>
        </w:rPr>
        <w:t xml:space="preserve">Consideration of IPPC work on seaweed moved in trade </w:t>
      </w:r>
    </w:p>
    <w:p w14:paraId="305980D4" w14:textId="6F1CAAA6" w:rsidR="008A6983" w:rsidRPr="00992647" w:rsidRDefault="008A6983" w:rsidP="008A6983">
      <w:pPr>
        <w:pStyle w:val="IPPHeading1"/>
        <w:jc w:val="center"/>
        <w:rPr>
          <w:b w:val="0"/>
          <w:bCs/>
        </w:rPr>
      </w:pPr>
      <w:r w:rsidRPr="00992647">
        <w:rPr>
          <w:b w:val="0"/>
          <w:bCs/>
        </w:rPr>
        <w:t>(</w:t>
      </w:r>
      <w:r w:rsidRPr="00992647">
        <w:rPr>
          <w:b w:val="0"/>
          <w:bCs/>
          <w:i/>
          <w:iCs/>
        </w:rPr>
        <w:t>Submitted by the</w:t>
      </w:r>
      <w:r w:rsidR="003426A5">
        <w:rPr>
          <w:b w:val="0"/>
          <w:bCs/>
          <w:i/>
          <w:iCs/>
        </w:rPr>
        <w:t xml:space="preserve"> CPM</w:t>
      </w:r>
      <w:r w:rsidRPr="00992647">
        <w:rPr>
          <w:b w:val="0"/>
          <w:bCs/>
          <w:i/>
          <w:iCs/>
        </w:rPr>
        <w:t xml:space="preserve"> </w:t>
      </w:r>
      <w:r w:rsidR="003426A5">
        <w:rPr>
          <w:b w:val="0"/>
          <w:bCs/>
          <w:i/>
          <w:iCs/>
        </w:rPr>
        <w:t>C</w:t>
      </w:r>
      <w:r>
        <w:rPr>
          <w:b w:val="0"/>
          <w:bCs/>
          <w:i/>
          <w:iCs/>
        </w:rPr>
        <w:t>hairperson</w:t>
      </w:r>
      <w:r w:rsidRPr="00992647">
        <w:rPr>
          <w:b w:val="0"/>
          <w:bCs/>
        </w:rPr>
        <w:t>)</w:t>
      </w:r>
    </w:p>
    <w:bookmarkEnd w:id="0"/>
    <w:p w14:paraId="14121B27" w14:textId="77777777" w:rsidR="00E43631" w:rsidRPr="00E4259E" w:rsidRDefault="00E43631">
      <w:pPr>
        <w:rPr>
          <w:sz w:val="24"/>
        </w:rPr>
      </w:pPr>
    </w:p>
    <w:p w14:paraId="31EC1309" w14:textId="4ADAAA33" w:rsidR="00755395" w:rsidRDefault="00655022" w:rsidP="003426A5">
      <w:pPr>
        <w:pStyle w:val="IPPParagraphnumbering"/>
      </w:pPr>
      <w:r>
        <w:t xml:space="preserve">On the margins </w:t>
      </w:r>
      <w:r w:rsidR="00755395" w:rsidRPr="00755395">
        <w:t xml:space="preserve">of the </w:t>
      </w:r>
      <w:r>
        <w:t xml:space="preserve">8th World </w:t>
      </w:r>
      <w:r w:rsidR="00755395" w:rsidRPr="00755395">
        <w:t>One Health Congress</w:t>
      </w:r>
      <w:r w:rsidR="00755395">
        <w:t>,</w:t>
      </w:r>
      <w:r w:rsidR="00755395" w:rsidRPr="00755395">
        <w:t xml:space="preserve"> </w:t>
      </w:r>
      <w:r w:rsidR="00755395">
        <w:t xml:space="preserve">a representative of the </w:t>
      </w:r>
      <w:r w:rsidR="00755395" w:rsidRPr="00755395">
        <w:t>Centre for Environment, Fisheries and Aquaculture Science</w:t>
      </w:r>
      <w:r w:rsidR="00755395">
        <w:t xml:space="preserve"> </w:t>
      </w:r>
      <w:r w:rsidR="00721C97">
        <w:t xml:space="preserve">(CEFAS) </w:t>
      </w:r>
      <w:r w:rsidR="00FC21B1">
        <w:t xml:space="preserve">identified plant pest concerns regarding </w:t>
      </w:r>
      <w:r w:rsidR="00755395">
        <w:t xml:space="preserve">seaweed.  </w:t>
      </w:r>
      <w:r w:rsidR="007B75E5">
        <w:t xml:space="preserve">IPPC Recommendation 4, </w:t>
      </w:r>
      <w:r w:rsidR="007B75E5" w:rsidRPr="007B75E5">
        <w:rPr>
          <w:i/>
          <w:iCs/>
        </w:rPr>
        <w:t>IPPC coverage of aquatic plants</w:t>
      </w:r>
      <w:r w:rsidR="007B75E5">
        <w:t xml:space="preserve"> encourages contracting parties to </w:t>
      </w:r>
      <w:r w:rsidR="007B75E5" w:rsidRPr="007B75E5">
        <w:t>include an assessment of pest risks to aquatic plants in their pest risk analysis processes</w:t>
      </w:r>
      <w:r w:rsidR="00B44981">
        <w:t xml:space="preserve"> and that, based on this, </w:t>
      </w:r>
      <w:r w:rsidR="00B44981" w:rsidRPr="00B44981">
        <w:t xml:space="preserve">aquatic plants </w:t>
      </w:r>
      <w:r w:rsidR="00B44981">
        <w:t>that may be</w:t>
      </w:r>
      <w:r w:rsidR="00B44981" w:rsidRPr="00B44981">
        <w:t xml:space="preserve"> </w:t>
      </w:r>
      <w:r w:rsidR="00B44981">
        <w:t xml:space="preserve">pest </w:t>
      </w:r>
      <w:r w:rsidR="00B44981" w:rsidRPr="00B44981">
        <w:t xml:space="preserve">pathways </w:t>
      </w:r>
      <w:r w:rsidR="00B44981">
        <w:t>(</w:t>
      </w:r>
      <w:r w:rsidR="00B44981" w:rsidRPr="00B44981">
        <w:t>or</w:t>
      </w:r>
      <w:r w:rsidR="00B44981">
        <w:t xml:space="preserve"> </w:t>
      </w:r>
      <w:r w:rsidR="00B44981" w:rsidRPr="00B44981">
        <w:t xml:space="preserve">pests </w:t>
      </w:r>
      <w:r w:rsidR="00B44981">
        <w:t xml:space="preserve">in themselves) </w:t>
      </w:r>
      <w:r w:rsidR="00B44981" w:rsidRPr="00B44981">
        <w:t>become subject to official contro</w:t>
      </w:r>
      <w:r w:rsidR="00B44981">
        <w:t>l</w:t>
      </w:r>
      <w:r w:rsidR="007B75E5">
        <w:t xml:space="preserve">.  </w:t>
      </w:r>
      <w:r w:rsidR="00F6324A">
        <w:t>Recommendation 4 states that the convention text “</w:t>
      </w:r>
      <w:r w:rsidR="00F6324A" w:rsidRPr="00F6324A">
        <w:t>does not</w:t>
      </w:r>
      <w:r w:rsidR="00F6324A">
        <w:t xml:space="preserve"> </w:t>
      </w:r>
      <w:r w:rsidR="00F6324A" w:rsidRPr="00F6324A">
        <w:t>distinguish between terrestrial and aquatic plants and does not specifically refer to aquatic plants</w:t>
      </w:r>
      <w:r w:rsidR="00F6324A">
        <w:t xml:space="preserve">”.  </w:t>
      </w:r>
      <w:r w:rsidR="00F65449">
        <w:t>Most species of seaweed are capable of photosynthesis and appear to be classified as plant</w:t>
      </w:r>
      <w:r w:rsidR="00083B4E">
        <w:t>s</w:t>
      </w:r>
      <w:r w:rsidR="00F65449">
        <w:t xml:space="preserve">, albeit as algae.  </w:t>
      </w:r>
      <w:r w:rsidR="00F6324A">
        <w:t>However, s</w:t>
      </w:r>
      <w:r w:rsidR="00755395">
        <w:t xml:space="preserve">ome species of seaweed </w:t>
      </w:r>
      <w:r w:rsidR="005C3F12">
        <w:t>may not be considered to reside in the kingdom plantae</w:t>
      </w:r>
      <w:r w:rsidR="002B0C78">
        <w:rPr>
          <w:rStyle w:val="FootnoteReference"/>
          <w:sz w:val="24"/>
        </w:rPr>
        <w:footnoteReference w:id="1"/>
      </w:r>
      <w:r w:rsidR="00083B4E">
        <w:t>.  I</w:t>
      </w:r>
      <w:r w:rsidR="00F65449">
        <w:t xml:space="preserve">t would appear that, </w:t>
      </w:r>
      <w:r w:rsidR="00973088">
        <w:t>other than developing</w:t>
      </w:r>
      <w:r w:rsidR="00F65449">
        <w:t xml:space="preserve"> Recommendation 4, </w:t>
      </w:r>
      <w:r w:rsidR="009D0104">
        <w:t xml:space="preserve">the IPPC has focused on terrestrial plants to </w:t>
      </w:r>
      <w:proofErr w:type="gramStart"/>
      <w:r w:rsidR="009D0104">
        <w:t>date</w:t>
      </w:r>
      <w:proofErr w:type="gramEnd"/>
      <w:r w:rsidR="009D0104">
        <w:t xml:space="preserve"> and so seaweed may be considered </w:t>
      </w:r>
      <w:r w:rsidR="00696315">
        <w:t xml:space="preserve">to be </w:t>
      </w:r>
      <w:r w:rsidR="009D0104">
        <w:t>out</w:t>
      </w:r>
      <w:r w:rsidR="00696315">
        <w:t>side the scope</w:t>
      </w:r>
      <w:r w:rsidR="009D0104">
        <w:t xml:space="preserve"> of our </w:t>
      </w:r>
      <w:r w:rsidR="00F65449">
        <w:t>current focus of work</w:t>
      </w:r>
      <w:r w:rsidR="009D0104">
        <w:t>.</w:t>
      </w:r>
    </w:p>
    <w:p w14:paraId="77062494" w14:textId="7D7F9678" w:rsidR="009D0104" w:rsidRPr="00755395" w:rsidRDefault="002D60E0" w:rsidP="003426A5">
      <w:pPr>
        <w:pStyle w:val="IPPParagraphnumbering"/>
      </w:pPr>
      <w:r>
        <w:t>I</w:t>
      </w:r>
      <w:r w:rsidR="009D0104">
        <w:t xml:space="preserve">t seems unclear </w:t>
      </w:r>
      <w:r>
        <w:t xml:space="preserve">or perhaps doubtful </w:t>
      </w:r>
      <w:r w:rsidR="009D0104">
        <w:t xml:space="preserve">that any other groups would be responsible for providing </w:t>
      </w:r>
      <w:r w:rsidR="00083B4E">
        <w:t xml:space="preserve">internationally harmonised </w:t>
      </w:r>
      <w:r w:rsidR="009D0104">
        <w:t xml:space="preserve">guidance relating to </w:t>
      </w:r>
      <w:r w:rsidR="00083B4E">
        <w:t xml:space="preserve">plant </w:t>
      </w:r>
      <w:r w:rsidR="009D0104">
        <w:t>pests of seaweed and the biological relationship between seaweed and pests seems to reflect that of terrestrial plants and their pests</w:t>
      </w:r>
      <w:r w:rsidR="00023CAD">
        <w:t>.  Therefore,</w:t>
      </w:r>
      <w:r w:rsidR="009D0104">
        <w:t xml:space="preserve"> the IPPC may indeed be the best-placed and appropriate body to </w:t>
      </w:r>
      <w:r w:rsidR="00721C97">
        <w:t>undertake</w:t>
      </w:r>
      <w:r w:rsidR="009D0104">
        <w:t xml:space="preserve"> related work.</w:t>
      </w:r>
    </w:p>
    <w:p w14:paraId="33C03AC2" w14:textId="3D1A2A2C" w:rsidR="00755395" w:rsidRPr="00755395" w:rsidRDefault="00304F28" w:rsidP="003426A5">
      <w:pPr>
        <w:pStyle w:val="IPPParagraphnumbering"/>
      </w:pPr>
      <w:r>
        <w:t xml:space="preserve">The representative from </w:t>
      </w:r>
      <w:proofErr w:type="gramStart"/>
      <w:r>
        <w:t>CEFAS</w:t>
      </w:r>
      <w:proofErr w:type="gramEnd"/>
      <w:r>
        <w:t xml:space="preserve"> with whom </w:t>
      </w:r>
      <w:r w:rsidR="00D62773">
        <w:t>Bureau members</w:t>
      </w:r>
      <w:r>
        <w:t xml:space="preserve"> met at the One Health Congress </w:t>
      </w:r>
      <w:r w:rsidR="00755395" w:rsidRPr="00755395">
        <w:t>comment</w:t>
      </w:r>
      <w:r>
        <w:t>ed</w:t>
      </w:r>
      <w:r w:rsidR="00755395" w:rsidRPr="00755395">
        <w:t xml:space="preserve"> on </w:t>
      </w:r>
      <w:r>
        <w:t xml:space="preserve">the absence of </w:t>
      </w:r>
      <w:r w:rsidR="00755395" w:rsidRPr="00755395">
        <w:t>pest lists for seaweed</w:t>
      </w:r>
      <w:r>
        <w:t xml:space="preserve"> and also the difficulty in attempting to create such </w:t>
      </w:r>
      <w:proofErr w:type="gramStart"/>
      <w:r>
        <w:t>pests</w:t>
      </w:r>
      <w:proofErr w:type="gramEnd"/>
      <w:r>
        <w:t xml:space="preserve"> lists</w:t>
      </w:r>
      <w:r w:rsidR="00025B4A">
        <w:t xml:space="preserve">.  </w:t>
      </w:r>
      <w:r w:rsidR="006B4B0D">
        <w:t>A</w:t>
      </w:r>
      <w:r w:rsidR="00025B4A">
        <w:t xml:space="preserve"> representative of an Asian country</w:t>
      </w:r>
      <w:r w:rsidR="006B4B0D">
        <w:t xml:space="preserve"> has also </w:t>
      </w:r>
      <w:r w:rsidR="005D2EAC">
        <w:t xml:space="preserve">recently </w:t>
      </w:r>
      <w:r w:rsidR="006B4B0D">
        <w:t xml:space="preserve">raised </w:t>
      </w:r>
      <w:r w:rsidR="00025B4A">
        <w:t xml:space="preserve">similar comments </w:t>
      </w:r>
      <w:r w:rsidR="006B4B0D">
        <w:t xml:space="preserve">on challenges that </w:t>
      </w:r>
      <w:r w:rsidR="00755395" w:rsidRPr="00755395">
        <w:t>several countries in the Asia-Pacific region are facing relating to trade in seaweed</w:t>
      </w:r>
      <w:r w:rsidR="00025B4A">
        <w:t>.  In this regard, i</w:t>
      </w:r>
      <w:r w:rsidR="00755395" w:rsidRPr="00755395">
        <w:t xml:space="preserve">t seems that many countries </w:t>
      </w:r>
      <w:r w:rsidR="00A12E1F" w:rsidRPr="00755395">
        <w:t xml:space="preserve">importing </w:t>
      </w:r>
      <w:r w:rsidR="00A12E1F">
        <w:t xml:space="preserve">seaweed </w:t>
      </w:r>
      <w:r w:rsidR="00755395" w:rsidRPr="00755395">
        <w:t>require a</w:t>
      </w:r>
      <w:r w:rsidR="006B4B0D">
        <w:t xml:space="preserve"> </w:t>
      </w:r>
      <w:r w:rsidR="00755395" w:rsidRPr="00755395">
        <w:t xml:space="preserve">phytosanitary certificate to be issued by the exporting country, and </w:t>
      </w:r>
      <w:r w:rsidR="00A12E1F">
        <w:t xml:space="preserve">that </w:t>
      </w:r>
      <w:r w:rsidR="00755395" w:rsidRPr="00755395">
        <w:t xml:space="preserve">the relevant pests and any treatments to be identified on such certificates are not readily </w:t>
      </w:r>
      <w:r w:rsidR="00A12E1F">
        <w:t xml:space="preserve">available or </w:t>
      </w:r>
      <w:r w:rsidR="00755395" w:rsidRPr="00755395">
        <w:t>understood.</w:t>
      </w:r>
    </w:p>
    <w:p w14:paraId="6A13DC87" w14:textId="1B1F19A4" w:rsidR="00755395" w:rsidRPr="00755395" w:rsidRDefault="006A2DFC" w:rsidP="003426A5">
      <w:pPr>
        <w:pStyle w:val="IPPParagraphnumbering"/>
      </w:pPr>
      <w:r>
        <w:t>T</w:t>
      </w:r>
      <w:r w:rsidR="00604758">
        <w:t xml:space="preserve">rade </w:t>
      </w:r>
      <w:r>
        <w:t xml:space="preserve">in seaweed </w:t>
      </w:r>
      <w:r w:rsidR="00604758">
        <w:t xml:space="preserve">may include </w:t>
      </w:r>
      <w:r w:rsidR="009B1561">
        <w:t xml:space="preserve">end uses </w:t>
      </w:r>
      <w:proofErr w:type="gramStart"/>
      <w:r w:rsidR="009B1561">
        <w:t>of</w:t>
      </w:r>
      <w:r w:rsidR="0017789D">
        <w:t>:</w:t>
      </w:r>
      <w:proofErr w:type="gramEnd"/>
      <w:r w:rsidR="009B1561">
        <w:t xml:space="preserve"> </w:t>
      </w:r>
      <w:r w:rsidR="00604758">
        <w:t>consumption</w:t>
      </w:r>
      <w:r w:rsidR="0017789D">
        <w:t>;</w:t>
      </w:r>
      <w:r w:rsidR="009B1561">
        <w:t xml:space="preserve"> propagative material between seaweed production sites</w:t>
      </w:r>
      <w:r w:rsidR="0017789D">
        <w:t>,</w:t>
      </w:r>
      <w:r w:rsidR="009B1561">
        <w:t xml:space="preserve"> representing a pathway for the potential movement and possibility of an increased range of subsequent spread</w:t>
      </w:r>
      <w:r w:rsidR="0017789D">
        <w:t>;</w:t>
      </w:r>
      <w:r w:rsidR="00604758">
        <w:t xml:space="preserve"> </w:t>
      </w:r>
      <w:r w:rsidR="00990BB5">
        <w:t>and</w:t>
      </w:r>
      <w:r w:rsidR="00604758">
        <w:t xml:space="preserve">, </w:t>
      </w:r>
      <w:r w:rsidR="009B1561">
        <w:t xml:space="preserve">for potential </w:t>
      </w:r>
      <w:r w:rsidR="00604758">
        <w:t>pest pathways</w:t>
      </w:r>
      <w:r w:rsidR="009B1561">
        <w:t xml:space="preserve"> to terrestrial plants</w:t>
      </w:r>
      <w:r w:rsidR="00604758">
        <w:t>, trade with an end use of fertili</w:t>
      </w:r>
      <w:r w:rsidR="00291252">
        <w:t>s</w:t>
      </w:r>
      <w:r w:rsidR="00604758">
        <w:t>er</w:t>
      </w:r>
      <w:r w:rsidR="002E7ECA">
        <w:t xml:space="preserve"> and for use as animal feed</w:t>
      </w:r>
      <w:r w:rsidR="00291252">
        <w:t>.  Trade volumes for seaweed with an end use of fertiliser are expected to increase significantly in the coming years</w:t>
      </w:r>
      <w:r w:rsidR="00604758">
        <w:t>.</w:t>
      </w:r>
      <w:r w:rsidR="00A12E1F">
        <w:t xml:space="preserve">  </w:t>
      </w:r>
      <w:r w:rsidR="00934700">
        <w:t xml:space="preserve">The emerging role of seaweed in carbon sequestration as part of climate change mitigation may also result in significant increases in the movement of seaweed propagative material.  </w:t>
      </w:r>
      <w:r w:rsidR="000344B9">
        <w:t>T</w:t>
      </w:r>
      <w:r w:rsidR="00A12E1F">
        <w:t xml:space="preserve">he call for topics for commodity standards will take place in 2025 and a proposal </w:t>
      </w:r>
      <w:r w:rsidR="000344B9">
        <w:t>for a commodity standard</w:t>
      </w:r>
      <w:r w:rsidR="00696B19">
        <w:t xml:space="preserve"> on seaweed</w:t>
      </w:r>
      <w:r w:rsidR="000344B9">
        <w:t xml:space="preserve"> </w:t>
      </w:r>
      <w:r w:rsidR="00A12E1F">
        <w:t>could be submitted at that time</w:t>
      </w:r>
      <w:r>
        <w:t xml:space="preserve">.  </w:t>
      </w:r>
      <w:r w:rsidR="000344B9">
        <w:t xml:space="preserve">However, </w:t>
      </w:r>
      <w:r w:rsidR="000344B9">
        <w:lastRenderedPageBreak/>
        <w:t>a</w:t>
      </w:r>
      <w:r w:rsidR="00597E66">
        <w:t>lthough the</w:t>
      </w:r>
      <w:r w:rsidR="00597E66" w:rsidRPr="00755395">
        <w:t xml:space="preserve"> comments on there being no readily available pest lists and </w:t>
      </w:r>
      <w:r w:rsidR="00597E66">
        <w:t xml:space="preserve">the related </w:t>
      </w:r>
      <w:r w:rsidR="00597E66" w:rsidRPr="00755395">
        <w:t xml:space="preserve">trade concerns would seem to identify seaweed moved in trade as a </w:t>
      </w:r>
      <w:r w:rsidR="00597E66">
        <w:t xml:space="preserve">potentially </w:t>
      </w:r>
      <w:r w:rsidR="00597E66" w:rsidRPr="00755395">
        <w:t>good subject for a commodity standard</w:t>
      </w:r>
      <w:r w:rsidR="000344B9">
        <w:t>,</w:t>
      </w:r>
      <w:r w:rsidR="00597E66">
        <w:t xml:space="preserve"> equally they also identify the difficulty in preparing one due to lack of pest information</w:t>
      </w:r>
      <w:r w:rsidR="00597E66" w:rsidRPr="00755395">
        <w:t>.</w:t>
      </w:r>
      <w:r w:rsidR="00597E66">
        <w:t xml:space="preserve">  In addition, </w:t>
      </w:r>
      <w:r>
        <w:t>g</w:t>
      </w:r>
      <w:r w:rsidR="00A12E1F">
        <w:t>iven th</w:t>
      </w:r>
      <w:r>
        <w:t xml:space="preserve">at not all </w:t>
      </w:r>
      <w:r w:rsidR="00755395" w:rsidRPr="00755395">
        <w:t xml:space="preserve">seaweed </w:t>
      </w:r>
      <w:r>
        <w:t xml:space="preserve">species </w:t>
      </w:r>
      <w:proofErr w:type="gramStart"/>
      <w:r w:rsidR="00755395" w:rsidRPr="00755395">
        <w:t>are considered to be</w:t>
      </w:r>
      <w:proofErr w:type="gramEnd"/>
      <w:r w:rsidR="00755395" w:rsidRPr="00755395">
        <w:t xml:space="preserve"> true plants</w:t>
      </w:r>
      <w:r w:rsidR="000344B9">
        <w:t>,</w:t>
      </w:r>
      <w:r w:rsidR="00A12E1F">
        <w:t xml:space="preserve"> and that they are not terrestrial plants</w:t>
      </w:r>
      <w:r w:rsidR="004F71A9">
        <w:t>,</w:t>
      </w:r>
      <w:r w:rsidR="00A12E1F">
        <w:t xml:space="preserve"> some discussion </w:t>
      </w:r>
      <w:r w:rsidR="00597E66">
        <w:t xml:space="preserve">on the potential for work by the IPPC on seaweed </w:t>
      </w:r>
      <w:r w:rsidR="00A12E1F">
        <w:t>in advance of the call for topics would seem warranted</w:t>
      </w:r>
      <w:r w:rsidR="00755395" w:rsidRPr="00755395">
        <w:t xml:space="preserve">.  </w:t>
      </w:r>
      <w:r>
        <w:t>In light of</w:t>
      </w:r>
      <w:r w:rsidR="00A12E1F">
        <w:t xml:space="preserve"> the concerns </w:t>
      </w:r>
      <w:r>
        <w:t xml:space="preserve">noted </w:t>
      </w:r>
      <w:r w:rsidR="00A12E1F">
        <w:t xml:space="preserve">above, </w:t>
      </w:r>
      <w:r w:rsidR="00755395" w:rsidRPr="00755395">
        <w:t>a</w:t>
      </w:r>
      <w:r w:rsidR="00A12E1F">
        <w:t xml:space="preserve">n IPPC </w:t>
      </w:r>
      <w:r w:rsidR="00755395" w:rsidRPr="00755395">
        <w:t>commodity standard could</w:t>
      </w:r>
      <w:r>
        <w:t xml:space="preserve"> provide some much</w:t>
      </w:r>
      <w:r w:rsidR="000344B9">
        <w:t>-</w:t>
      </w:r>
      <w:r>
        <w:t>needed guidance</w:t>
      </w:r>
      <w:r w:rsidR="00597E66">
        <w:t xml:space="preserve"> </w:t>
      </w:r>
      <w:proofErr w:type="gramStart"/>
      <w:r w:rsidR="00597E66">
        <w:t>but</w:t>
      </w:r>
      <w:r w:rsidR="000344B9">
        <w:t>,</w:t>
      </w:r>
      <w:proofErr w:type="gramEnd"/>
      <w:r w:rsidR="00597E66">
        <w:t xml:space="preserve"> as noted</w:t>
      </w:r>
      <w:r w:rsidR="00990BB5">
        <w:t xml:space="preserve">, it </w:t>
      </w:r>
      <w:proofErr w:type="gramStart"/>
      <w:r w:rsidR="00990BB5">
        <w:t>appears that</w:t>
      </w:r>
      <w:proofErr w:type="gramEnd"/>
      <w:r w:rsidR="00990BB5">
        <w:t xml:space="preserve"> </w:t>
      </w:r>
      <w:r w:rsidR="00990BB5" w:rsidRPr="00990BB5">
        <w:t xml:space="preserve">that there </w:t>
      </w:r>
      <w:r w:rsidR="00990BB5">
        <w:t>may</w:t>
      </w:r>
      <w:r w:rsidR="00990BB5" w:rsidRPr="00990BB5">
        <w:t xml:space="preserve"> not </w:t>
      </w:r>
      <w:r w:rsidR="00990BB5">
        <w:t xml:space="preserve">be </w:t>
      </w:r>
      <w:r w:rsidR="00990BB5" w:rsidRPr="00990BB5">
        <w:t xml:space="preserve">enough readily available </w:t>
      </w:r>
      <w:r w:rsidR="00990BB5">
        <w:t xml:space="preserve">pest and treatment </w:t>
      </w:r>
      <w:r w:rsidR="00990BB5" w:rsidRPr="00990BB5">
        <w:t>information</w:t>
      </w:r>
      <w:r w:rsidR="00990BB5">
        <w:t xml:space="preserve"> at present</w:t>
      </w:r>
      <w:r w:rsidR="00990BB5" w:rsidRPr="00990BB5">
        <w:t xml:space="preserve"> to assemble a commodity standard in reasonable time frames.  </w:t>
      </w:r>
      <w:r w:rsidR="009B1561">
        <w:t>I</w:t>
      </w:r>
      <w:r w:rsidR="00990BB5">
        <w:t>f this is the case, g</w:t>
      </w:r>
      <w:r w:rsidR="00990BB5" w:rsidRPr="00990BB5">
        <w:t>iven the information gaps,</w:t>
      </w:r>
      <w:r w:rsidR="00990BB5">
        <w:t xml:space="preserve"> and the growing </w:t>
      </w:r>
      <w:r w:rsidR="000D4C33">
        <w:t xml:space="preserve">international </w:t>
      </w:r>
      <w:r w:rsidR="00990BB5">
        <w:t xml:space="preserve">trade </w:t>
      </w:r>
      <w:r w:rsidR="000D4C33">
        <w:t>and aquaculture of</w:t>
      </w:r>
      <w:r w:rsidR="00990BB5">
        <w:t xml:space="preserve"> seaweed and concerns being raised over pest transmission</w:t>
      </w:r>
      <w:r w:rsidR="000344B9">
        <w:t>,</w:t>
      </w:r>
      <w:r w:rsidR="00990BB5" w:rsidRPr="00990BB5">
        <w:t xml:space="preserve"> it would </w:t>
      </w:r>
      <w:r w:rsidR="00990BB5">
        <w:t xml:space="preserve">seem appropriate to discuss </w:t>
      </w:r>
      <w:r w:rsidR="009B1561">
        <w:t>if the</w:t>
      </w:r>
      <w:r w:rsidR="00990BB5">
        <w:t xml:space="preserve"> IPPC should be </w:t>
      </w:r>
      <w:r w:rsidR="000C63E0">
        <w:t>conducting work</w:t>
      </w:r>
      <w:r w:rsidR="009B1561">
        <w:t xml:space="preserve"> </w:t>
      </w:r>
      <w:r w:rsidR="00990BB5">
        <w:t>in this regard</w:t>
      </w:r>
      <w:r w:rsidR="009B1561">
        <w:t xml:space="preserve"> and</w:t>
      </w:r>
      <w:r w:rsidR="000C63E0">
        <w:t>, if so,</w:t>
      </w:r>
      <w:r w:rsidR="009B1561">
        <w:t xml:space="preserve"> what the scope of such work should be</w:t>
      </w:r>
      <w:r w:rsidR="00990BB5">
        <w:t>.</w:t>
      </w:r>
    </w:p>
    <w:p w14:paraId="0195F6D5" w14:textId="201FA15B" w:rsidR="00F35544" w:rsidRDefault="00F35544" w:rsidP="00F35544">
      <w:pPr>
        <w:pStyle w:val="IPPHeading1"/>
      </w:pPr>
      <w:r>
        <w:t>Recommendations</w:t>
      </w:r>
    </w:p>
    <w:p w14:paraId="0618858D" w14:textId="45950963" w:rsidR="00A12E1F" w:rsidRPr="00E4259E" w:rsidRDefault="00A12E1F" w:rsidP="00F35544">
      <w:pPr>
        <w:pStyle w:val="IPPParagraphnumberingclose"/>
      </w:pPr>
      <w:r w:rsidRPr="00E4259E">
        <w:t xml:space="preserve">The Strategic Planning Group </w:t>
      </w:r>
      <w:r w:rsidR="000F0D2C">
        <w:t xml:space="preserve">(SPG) </w:t>
      </w:r>
      <w:r w:rsidRPr="00E4259E">
        <w:t>is invited to:</w:t>
      </w:r>
    </w:p>
    <w:p w14:paraId="75C8179C" w14:textId="11C4FC70" w:rsidR="00A12E1F" w:rsidRDefault="00A12E1F" w:rsidP="00F35544">
      <w:pPr>
        <w:pStyle w:val="IPPNumberedList"/>
      </w:pPr>
      <w:r w:rsidRPr="00B83F1F">
        <w:rPr>
          <w:i/>
          <w:iCs/>
        </w:rPr>
        <w:t>Discuss</w:t>
      </w:r>
      <w:r w:rsidRPr="00B83F1F">
        <w:t xml:space="preserve"> the</w:t>
      </w:r>
      <w:r>
        <w:t xml:space="preserve"> role and scope of the IPPC as it relates to seaweed, including species that may not be considered true </w:t>
      </w:r>
      <w:proofErr w:type="gramStart"/>
      <w:r>
        <w:t>plants</w:t>
      </w:r>
      <w:r w:rsidR="000F0D2C">
        <w:t>;</w:t>
      </w:r>
      <w:proofErr w:type="gramEnd"/>
    </w:p>
    <w:p w14:paraId="2EF76532" w14:textId="3E9E3AC5" w:rsidR="00774B42" w:rsidRDefault="000F0D2C" w:rsidP="00F35544">
      <w:pPr>
        <w:pStyle w:val="IPPNumberedList"/>
      </w:pPr>
      <w:r>
        <w:t xml:space="preserve">If SPG considers that seaweed does fall within the scope of IPPC work, </w:t>
      </w:r>
      <w:r w:rsidRPr="000F0D2C">
        <w:rPr>
          <w:i/>
          <w:iCs/>
        </w:rPr>
        <w:t>discuss</w:t>
      </w:r>
      <w:r w:rsidR="00242E5B">
        <w:rPr>
          <w:i/>
          <w:iCs/>
        </w:rPr>
        <w:t xml:space="preserve"> </w:t>
      </w:r>
      <w:r w:rsidR="002B3579">
        <w:t xml:space="preserve">the appropriate type of activities for the IPPC on this </w:t>
      </w:r>
      <w:proofErr w:type="gramStart"/>
      <w:r w:rsidR="002B3579">
        <w:t>subject</w:t>
      </w:r>
      <w:r w:rsidR="002F55AF">
        <w:t>;</w:t>
      </w:r>
      <w:proofErr w:type="gramEnd"/>
    </w:p>
    <w:p w14:paraId="1322BB3D" w14:textId="77777777" w:rsidR="002F55AF" w:rsidRDefault="004F71A9" w:rsidP="00F35544">
      <w:pPr>
        <w:pStyle w:val="IPPNumberedList"/>
      </w:pPr>
      <w:r>
        <w:rPr>
          <w:i/>
          <w:iCs/>
        </w:rPr>
        <w:t>Report</w:t>
      </w:r>
      <w:r w:rsidR="000F0D2C">
        <w:t xml:space="preserve"> key comments on this subject in the SPG’s report in order that, should a proposal for </w:t>
      </w:r>
      <w:r w:rsidR="00D23F8A">
        <w:t>IPPC work</w:t>
      </w:r>
      <w:r w:rsidR="007E7BF7">
        <w:t xml:space="preserve"> </w:t>
      </w:r>
      <w:r w:rsidR="000F0D2C">
        <w:t xml:space="preserve">on this subject be </w:t>
      </w:r>
      <w:r w:rsidR="00D23F8A">
        <w:t>made</w:t>
      </w:r>
      <w:r w:rsidR="000F0D2C">
        <w:t xml:space="preserve">, SPG viewpoints can be taken into account in its </w:t>
      </w:r>
      <w:proofErr w:type="gramStart"/>
      <w:r w:rsidR="000F0D2C">
        <w:t>review</w:t>
      </w:r>
      <w:r w:rsidR="002F55AF">
        <w:t>;</w:t>
      </w:r>
      <w:proofErr w:type="gramEnd"/>
    </w:p>
    <w:p w14:paraId="64745BC1" w14:textId="4F706324" w:rsidR="000F0D2C" w:rsidRPr="000F0D2C" w:rsidRDefault="000C63E0" w:rsidP="00F35544">
      <w:pPr>
        <w:pStyle w:val="IPPNumberedList"/>
      </w:pPr>
      <w:r w:rsidRPr="000C63E0">
        <w:rPr>
          <w:i/>
          <w:iCs/>
        </w:rPr>
        <w:t>Discuss</w:t>
      </w:r>
      <w:r>
        <w:t xml:space="preserve"> and </w:t>
      </w:r>
      <w:r w:rsidRPr="000C63E0">
        <w:rPr>
          <w:i/>
          <w:iCs/>
        </w:rPr>
        <w:t>advise on</w:t>
      </w:r>
      <w:r>
        <w:t xml:space="preserve"> </w:t>
      </w:r>
      <w:r w:rsidR="003C47EC">
        <w:t>the potential</w:t>
      </w:r>
      <w:r>
        <w:t xml:space="preserve"> usefulness of a CPM side session on seaweed in relation to the IPPC’s mission and objectives.</w:t>
      </w:r>
    </w:p>
    <w:sectPr w:rsidR="000F0D2C" w:rsidRPr="000F0D2C" w:rsidSect="00A56C8A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BD5CD" w14:textId="77777777" w:rsidR="00EA5854" w:rsidRDefault="00EA5854" w:rsidP="00EA5854">
      <w:r>
        <w:separator/>
      </w:r>
    </w:p>
  </w:endnote>
  <w:endnote w:type="continuationSeparator" w:id="0">
    <w:p w14:paraId="260AB3CC" w14:textId="77777777" w:rsidR="00EA5854" w:rsidRDefault="00EA5854" w:rsidP="00EA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F7086" w14:textId="7D64DA08" w:rsidR="009768C7" w:rsidRPr="009435B7" w:rsidRDefault="009435B7" w:rsidP="009435B7">
    <w:pPr>
      <w:pStyle w:val="IPPFooter"/>
      <w:rPr>
        <w:szCs w:val="18"/>
      </w:rPr>
    </w:pPr>
    <w:r>
      <w:t>International Plant Protection Convention</w:t>
    </w:r>
    <w:r>
      <w:tab/>
    </w:r>
    <w:r w:rsidRPr="00377B19">
      <w:rPr>
        <w:szCs w:val="18"/>
      </w:rPr>
      <w:t xml:space="preserve">Page </w:t>
    </w:r>
    <w:r w:rsidRPr="00377B19">
      <w:rPr>
        <w:szCs w:val="18"/>
      </w:rPr>
      <w:fldChar w:fldCharType="begin"/>
    </w:r>
    <w:r w:rsidRPr="00377B19">
      <w:rPr>
        <w:szCs w:val="18"/>
      </w:rPr>
      <w:instrText xml:space="preserve"> PAGE </w:instrText>
    </w:r>
    <w:r w:rsidRPr="00377B19">
      <w:rPr>
        <w:szCs w:val="18"/>
      </w:rPr>
      <w:fldChar w:fldCharType="separate"/>
    </w:r>
    <w:r>
      <w:rPr>
        <w:szCs w:val="18"/>
      </w:rPr>
      <w:t>1</w:t>
    </w:r>
    <w:r w:rsidRPr="00377B19">
      <w:rPr>
        <w:szCs w:val="18"/>
      </w:rPr>
      <w:fldChar w:fldCharType="end"/>
    </w:r>
    <w:r>
      <w:rPr>
        <w:szCs w:val="18"/>
      </w:rPr>
      <w:t xml:space="preserve"> of </w:t>
    </w:r>
    <w:r>
      <w:rPr>
        <w:szCs w:val="18"/>
      </w:rPr>
      <w:fldChar w:fldCharType="begin"/>
    </w:r>
    <w:r>
      <w:rPr>
        <w:szCs w:val="18"/>
      </w:rPr>
      <w:instrText>NUMPAGES</w:instrText>
    </w:r>
    <w:r>
      <w:rPr>
        <w:szCs w:val="18"/>
      </w:rPr>
      <w:fldChar w:fldCharType="separate"/>
    </w:r>
    <w:r>
      <w:rPr>
        <w:szCs w:val="18"/>
      </w:rPr>
      <w:t>7</w:t>
    </w:r>
    <w:r>
      <w:rPr>
        <w:szCs w:val="18"/>
      </w:rPr>
      <w:fldChar w:fldCharType="end"/>
    </w:r>
    <w:r>
      <w:rPr>
        <w:szCs w:val="18"/>
      </w:rPr>
      <w:fldChar w:fldCharType="begin"/>
    </w:r>
    <w:r>
      <w:rPr>
        <w:szCs w:val="18"/>
      </w:rPr>
      <w:instrText>NUMPAGE</w:instrText>
    </w:r>
    <w:r>
      <w:rPr>
        <w:szCs w:val="18"/>
      </w:rPr>
      <w:fldChar w:fldCharType="end"/>
    </w:r>
    <w:r>
      <w:rPr>
        <w:szCs w:val="18"/>
      </w:rPr>
      <w:fldChar w:fldCharType="begin"/>
    </w:r>
    <w:r>
      <w:rPr>
        <w:szCs w:val="18"/>
      </w:rPr>
      <w:instrText xml:space="preserve"> NUMPAGE </w:instrText>
    </w:r>
    <w:r>
      <w:rPr>
        <w:szCs w:val="18"/>
      </w:rPr>
      <w:fldChar w:fldCharType="end"/>
    </w:r>
  </w:p>
  <w:p w14:paraId="27F22E09" w14:textId="77777777" w:rsidR="009768C7" w:rsidRDefault="009768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424F" w14:textId="2A2256D0" w:rsidR="009435B7" w:rsidRPr="009435B7" w:rsidRDefault="009435B7" w:rsidP="009435B7">
    <w:pPr>
      <w:pStyle w:val="IPPFooter"/>
      <w:rPr>
        <w:szCs w:val="18"/>
      </w:rPr>
    </w:pPr>
    <w:r>
      <w:t>International Plant Protection Convention</w:t>
    </w:r>
    <w:r>
      <w:tab/>
    </w:r>
    <w:r w:rsidRPr="00377B19">
      <w:rPr>
        <w:szCs w:val="18"/>
      </w:rPr>
      <w:t xml:space="preserve">Page </w:t>
    </w:r>
    <w:r w:rsidRPr="00377B19">
      <w:rPr>
        <w:szCs w:val="18"/>
      </w:rPr>
      <w:fldChar w:fldCharType="begin"/>
    </w:r>
    <w:r w:rsidRPr="00377B19">
      <w:rPr>
        <w:szCs w:val="18"/>
      </w:rPr>
      <w:instrText xml:space="preserve"> PAGE </w:instrText>
    </w:r>
    <w:r w:rsidRPr="00377B19">
      <w:rPr>
        <w:szCs w:val="18"/>
      </w:rPr>
      <w:fldChar w:fldCharType="separate"/>
    </w:r>
    <w:r>
      <w:rPr>
        <w:szCs w:val="18"/>
      </w:rPr>
      <w:t>1</w:t>
    </w:r>
    <w:r w:rsidRPr="00377B19">
      <w:rPr>
        <w:szCs w:val="18"/>
      </w:rPr>
      <w:fldChar w:fldCharType="end"/>
    </w:r>
    <w:r>
      <w:rPr>
        <w:szCs w:val="18"/>
      </w:rPr>
      <w:t xml:space="preserve"> of </w:t>
    </w:r>
    <w:r>
      <w:rPr>
        <w:szCs w:val="18"/>
      </w:rPr>
      <w:fldChar w:fldCharType="begin"/>
    </w:r>
    <w:r>
      <w:rPr>
        <w:szCs w:val="18"/>
      </w:rPr>
      <w:instrText>NUMPAGES</w:instrText>
    </w:r>
    <w:r>
      <w:rPr>
        <w:szCs w:val="18"/>
      </w:rPr>
      <w:fldChar w:fldCharType="separate"/>
    </w:r>
    <w:r>
      <w:rPr>
        <w:szCs w:val="18"/>
      </w:rPr>
      <w:t>7</w:t>
    </w:r>
    <w:r>
      <w:rPr>
        <w:szCs w:val="18"/>
      </w:rPr>
      <w:fldChar w:fldCharType="end"/>
    </w:r>
    <w:r>
      <w:rPr>
        <w:szCs w:val="18"/>
      </w:rPr>
      <w:fldChar w:fldCharType="begin"/>
    </w:r>
    <w:r>
      <w:rPr>
        <w:szCs w:val="18"/>
      </w:rPr>
      <w:instrText>NUMPAGE</w:instrText>
    </w:r>
    <w:r>
      <w:rPr>
        <w:szCs w:val="18"/>
      </w:rPr>
      <w:fldChar w:fldCharType="end"/>
    </w:r>
    <w:r>
      <w:rPr>
        <w:szCs w:val="18"/>
      </w:rPr>
      <w:fldChar w:fldCharType="begin"/>
    </w:r>
    <w:r>
      <w:rPr>
        <w:szCs w:val="18"/>
      </w:rPr>
      <w:instrText xml:space="preserve"> NUMPAGE </w:instrText>
    </w:r>
    <w:r>
      <w:rPr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A69F4" w14:textId="77777777" w:rsidR="00EA5854" w:rsidRDefault="00EA5854" w:rsidP="00EA5854">
      <w:r>
        <w:separator/>
      </w:r>
    </w:p>
  </w:footnote>
  <w:footnote w:type="continuationSeparator" w:id="0">
    <w:p w14:paraId="5AE3F902" w14:textId="77777777" w:rsidR="00EA5854" w:rsidRDefault="00EA5854" w:rsidP="00EA5854">
      <w:r>
        <w:continuationSeparator/>
      </w:r>
    </w:p>
  </w:footnote>
  <w:footnote w:id="1">
    <w:p w14:paraId="55D1C425" w14:textId="2FF58FB7" w:rsidR="002B0C78" w:rsidRDefault="002B0C78" w:rsidP="00F35544">
      <w:pPr>
        <w:pStyle w:val="IPPFootnote"/>
      </w:pPr>
      <w:r>
        <w:rPr>
          <w:rStyle w:val="FootnoteReference"/>
        </w:rPr>
        <w:footnoteRef/>
      </w:r>
      <w:r>
        <w:t xml:space="preserve"> “</w:t>
      </w:r>
      <w:r w:rsidRPr="002B0C78">
        <w:t xml:space="preserve">Algae are not a single taxonomic entity. Molecular phylogeny (gene sequencing) and other characters show they belong to four kingdoms: Kingdom Plantae (e.g. chlorophytes and rhodophytes - green and red algae), the Kingdom </w:t>
      </w:r>
      <w:proofErr w:type="spellStart"/>
      <w:r w:rsidRPr="002B0C78">
        <w:t>Chromista</w:t>
      </w:r>
      <w:proofErr w:type="spellEnd"/>
      <w:r w:rsidRPr="002B0C78">
        <w:t xml:space="preserve"> (e.g. phaeophytes - brown algae - dinoflagellates, and diatoms), the Kingdom Protozoa (e.g. Euglenozoa), and the Kingdom Bacteria (Blue-green algae)</w:t>
      </w:r>
      <w:r>
        <w:t xml:space="preserve">” from: </w:t>
      </w:r>
      <w:hyperlink r:id="rId1" w:history="1">
        <w:r w:rsidRPr="007B5E2A">
          <w:rPr>
            <w:rStyle w:val="Hyperlink"/>
          </w:rPr>
          <w:t>https://www.seaweed.ie/qanda/index.html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2234A" w14:textId="3D7FCC8B" w:rsidR="000411AD" w:rsidRPr="002B4ADC" w:rsidRDefault="000411AD" w:rsidP="000411AD">
    <w:pPr>
      <w:pStyle w:val="IPPHeader"/>
      <w:tabs>
        <w:tab w:val="clear" w:pos="1134"/>
      </w:tabs>
      <w:spacing w:after="0"/>
    </w:pPr>
    <w:bookmarkStart w:id="1" w:name="_Hlk38797139"/>
    <w:r>
      <w:t>23_SPG_2024_Oct (6.5)</w:t>
    </w:r>
    <w:r>
      <w:tab/>
    </w:r>
    <w:r w:rsidRPr="00B20FB9">
      <w:t>Consideration of IPPC work on seaweed</w:t>
    </w:r>
    <w:r w:rsidR="00FD3A7E" w:rsidRPr="00FD3A7E">
      <w:t xml:space="preserve"> </w:t>
    </w:r>
    <w:r w:rsidR="00FD3A7E">
      <w:t>moved in trade</w:t>
    </w:r>
  </w:p>
  <w:bookmarkEnd w:id="1"/>
  <w:p w14:paraId="509F1B1F" w14:textId="77777777" w:rsidR="009435B7" w:rsidRDefault="009435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14118" w14:textId="54544FBE" w:rsidR="005A2B85" w:rsidRDefault="005A2B85" w:rsidP="005A2B85">
    <w:pPr>
      <w:pStyle w:val="IPPHeader"/>
      <w:tabs>
        <w:tab w:val="clear" w:pos="1134"/>
      </w:tabs>
      <w:spacing w:before="240" w:after="0"/>
    </w:pPr>
    <w:bookmarkStart w:id="2" w:name="_Hlk38796923"/>
    <w:bookmarkStart w:id="3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562899AB" wp14:editId="6E9C1D45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61BCC56" wp14:editId="237AEB37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FA87D1"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3D9E6D14" wp14:editId="01CB78C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75E51BF8" wp14:editId="716EE357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>23_SPG_2024</w:t>
    </w:r>
    <w:r w:rsidRPr="00606019">
      <w:t>_</w:t>
    </w:r>
    <w:r>
      <w:t>Oct</w:t>
    </w:r>
  </w:p>
  <w:p w14:paraId="5E2B06CA" w14:textId="64F5997A" w:rsidR="005A2B85" w:rsidRDefault="005A2B85" w:rsidP="005A2B85">
    <w:pPr>
      <w:pStyle w:val="IPPHeader"/>
      <w:tabs>
        <w:tab w:val="clear" w:pos="1134"/>
      </w:tabs>
      <w:spacing w:after="0"/>
    </w:pPr>
    <w:r w:rsidRPr="0076596B">
      <w:tab/>
      <w:t xml:space="preserve">Agenda item: </w:t>
    </w:r>
    <w:r>
      <w:t>6.</w:t>
    </w:r>
    <w:r w:rsidR="00A56C8A">
      <w:t>5</w:t>
    </w:r>
  </w:p>
  <w:p w14:paraId="33B061C1" w14:textId="77777777" w:rsidR="005A2B85" w:rsidRDefault="005A2B85" w:rsidP="005A2B85">
    <w:pPr>
      <w:pStyle w:val="IPPHeader"/>
      <w:tabs>
        <w:tab w:val="clear" w:pos="1134"/>
      </w:tabs>
      <w:spacing w:after="260"/>
    </w:pPr>
  </w:p>
  <w:p w14:paraId="10A2F1F2" w14:textId="6500FA9B" w:rsidR="005A2B85" w:rsidRPr="0076596B" w:rsidRDefault="00B20FB9" w:rsidP="005A2B85">
    <w:pPr>
      <w:pStyle w:val="IPPHeader"/>
      <w:tabs>
        <w:tab w:val="clear" w:pos="1134"/>
      </w:tabs>
      <w:spacing w:after="0"/>
    </w:pPr>
    <w:r w:rsidRPr="00B20FB9">
      <w:t xml:space="preserve">Consideration of IPPC work on seaweed </w:t>
    </w:r>
    <w:r w:rsidR="00FD3A7E">
      <w:t>moved in trade</w:t>
    </w:r>
  </w:p>
  <w:bookmarkEnd w:id="2"/>
  <w:bookmarkEnd w:id="3"/>
  <w:p w14:paraId="72F3DA2E" w14:textId="77777777" w:rsidR="005A2B85" w:rsidRDefault="005A2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E055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BA03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CE7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D804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2600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F0A1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3CC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BE47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A64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10C0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4C0A6C"/>
    <w:multiLevelType w:val="multilevel"/>
    <w:tmpl w:val="06E871E4"/>
    <w:numStyleLink w:val="IPPParagraphnumberedlist"/>
  </w:abstractNum>
  <w:abstractNum w:abstractNumId="1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515BA"/>
    <w:multiLevelType w:val="hybridMultilevel"/>
    <w:tmpl w:val="7BE20C0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35436"/>
    <w:multiLevelType w:val="hybridMultilevel"/>
    <w:tmpl w:val="E5C8C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01DD6"/>
    <w:multiLevelType w:val="hybridMultilevel"/>
    <w:tmpl w:val="AD7E4398"/>
    <w:lvl w:ilvl="0" w:tplc="6622B6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49DD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43A04A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6016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75877B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FECC8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0764AD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2667DA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236F6B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94037292">
    <w:abstractNumId w:val="14"/>
  </w:num>
  <w:num w:numId="2" w16cid:durableId="1226531976">
    <w:abstractNumId w:val="21"/>
  </w:num>
  <w:num w:numId="3" w16cid:durableId="1749381087">
    <w:abstractNumId w:val="12"/>
  </w:num>
  <w:num w:numId="4" w16cid:durableId="1634940127">
    <w:abstractNumId w:val="11"/>
  </w:num>
  <w:num w:numId="5" w16cid:durableId="1189366223">
    <w:abstractNumId w:val="16"/>
  </w:num>
  <w:num w:numId="6" w16cid:durableId="1358458346">
    <w:abstractNumId w:val="23"/>
  </w:num>
  <w:num w:numId="7" w16cid:durableId="636107580">
    <w:abstractNumId w:val="20"/>
  </w:num>
  <w:num w:numId="8" w16cid:durableId="735201531">
    <w:abstractNumId w:val="17"/>
  </w:num>
  <w:num w:numId="9" w16cid:durableId="625426921">
    <w:abstractNumId w:val="24"/>
  </w:num>
  <w:num w:numId="10" w16cid:durableId="751855798">
    <w:abstractNumId w:val="13"/>
  </w:num>
  <w:num w:numId="11" w16cid:durableId="678849787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875580671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866791825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976033951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230070415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977955482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752699161">
    <w:abstractNumId w:val="10"/>
  </w:num>
  <w:num w:numId="18" w16cid:durableId="1096559190">
    <w:abstractNumId w:val="19"/>
  </w:num>
  <w:num w:numId="19" w16cid:durableId="259989354">
    <w:abstractNumId w:val="22"/>
  </w:num>
  <w:num w:numId="20" w16cid:durableId="1712146357">
    <w:abstractNumId w:val="9"/>
  </w:num>
  <w:num w:numId="21" w16cid:durableId="1722557205">
    <w:abstractNumId w:val="7"/>
  </w:num>
  <w:num w:numId="22" w16cid:durableId="1201271">
    <w:abstractNumId w:val="6"/>
  </w:num>
  <w:num w:numId="23" w16cid:durableId="185826108">
    <w:abstractNumId w:val="5"/>
  </w:num>
  <w:num w:numId="24" w16cid:durableId="257298398">
    <w:abstractNumId w:val="4"/>
  </w:num>
  <w:num w:numId="25" w16cid:durableId="1676423577">
    <w:abstractNumId w:val="8"/>
  </w:num>
  <w:num w:numId="26" w16cid:durableId="125778737">
    <w:abstractNumId w:val="3"/>
  </w:num>
  <w:num w:numId="27" w16cid:durableId="776291828">
    <w:abstractNumId w:val="2"/>
  </w:num>
  <w:num w:numId="28" w16cid:durableId="410125225">
    <w:abstractNumId w:val="1"/>
  </w:num>
  <w:num w:numId="29" w16cid:durableId="128011168">
    <w:abstractNumId w:val="0"/>
  </w:num>
  <w:num w:numId="30" w16cid:durableId="324750812">
    <w:abstractNumId w:val="15"/>
  </w:num>
  <w:num w:numId="31" w16cid:durableId="1120214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linkStyl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95F"/>
    <w:rsid w:val="00023CAD"/>
    <w:rsid w:val="00025885"/>
    <w:rsid w:val="00025B4A"/>
    <w:rsid w:val="000327C7"/>
    <w:rsid w:val="000344B9"/>
    <w:rsid w:val="000411AD"/>
    <w:rsid w:val="00083B4E"/>
    <w:rsid w:val="000A1233"/>
    <w:rsid w:val="000C63E0"/>
    <w:rsid w:val="000D4C33"/>
    <w:rsid w:val="000E7B2C"/>
    <w:rsid w:val="000F0D2C"/>
    <w:rsid w:val="000F6274"/>
    <w:rsid w:val="001016EC"/>
    <w:rsid w:val="00113E2E"/>
    <w:rsid w:val="0011711C"/>
    <w:rsid w:val="001228E8"/>
    <w:rsid w:val="0017789D"/>
    <w:rsid w:val="00197626"/>
    <w:rsid w:val="001C1F5E"/>
    <w:rsid w:val="00211010"/>
    <w:rsid w:val="00215425"/>
    <w:rsid w:val="00233F76"/>
    <w:rsid w:val="00242E5B"/>
    <w:rsid w:val="0026670A"/>
    <w:rsid w:val="00290826"/>
    <w:rsid w:val="00291252"/>
    <w:rsid w:val="002A21AB"/>
    <w:rsid w:val="002B0C78"/>
    <w:rsid w:val="002B3579"/>
    <w:rsid w:val="002D50EF"/>
    <w:rsid w:val="002D60E0"/>
    <w:rsid w:val="002E7ECA"/>
    <w:rsid w:val="002F55AF"/>
    <w:rsid w:val="00304F28"/>
    <w:rsid w:val="003426A5"/>
    <w:rsid w:val="003702D3"/>
    <w:rsid w:val="00374C84"/>
    <w:rsid w:val="003A77C2"/>
    <w:rsid w:val="003C47EC"/>
    <w:rsid w:val="003E5544"/>
    <w:rsid w:val="00443AB7"/>
    <w:rsid w:val="0045237C"/>
    <w:rsid w:val="00493356"/>
    <w:rsid w:val="004F71A9"/>
    <w:rsid w:val="00532911"/>
    <w:rsid w:val="00535AEE"/>
    <w:rsid w:val="00564293"/>
    <w:rsid w:val="00573E7A"/>
    <w:rsid w:val="00583EDF"/>
    <w:rsid w:val="00597E66"/>
    <w:rsid w:val="005A2B85"/>
    <w:rsid w:val="005C3F12"/>
    <w:rsid w:val="005D2EAC"/>
    <w:rsid w:val="005E5E0D"/>
    <w:rsid w:val="005E7706"/>
    <w:rsid w:val="005F5AF4"/>
    <w:rsid w:val="00604758"/>
    <w:rsid w:val="0064520C"/>
    <w:rsid w:val="00655022"/>
    <w:rsid w:val="00696315"/>
    <w:rsid w:val="0069678F"/>
    <w:rsid w:val="00696B19"/>
    <w:rsid w:val="006A2DFC"/>
    <w:rsid w:val="006B4B0D"/>
    <w:rsid w:val="006C4010"/>
    <w:rsid w:val="006D0DFB"/>
    <w:rsid w:val="006E1CCD"/>
    <w:rsid w:val="00721C97"/>
    <w:rsid w:val="00755395"/>
    <w:rsid w:val="00762262"/>
    <w:rsid w:val="00774B42"/>
    <w:rsid w:val="0078314A"/>
    <w:rsid w:val="00785B4A"/>
    <w:rsid w:val="00794BF3"/>
    <w:rsid w:val="007B22D9"/>
    <w:rsid w:val="007B6B3B"/>
    <w:rsid w:val="007B75E5"/>
    <w:rsid w:val="007B7795"/>
    <w:rsid w:val="007D50E9"/>
    <w:rsid w:val="007E7BF7"/>
    <w:rsid w:val="00851EA4"/>
    <w:rsid w:val="00887A14"/>
    <w:rsid w:val="008A1984"/>
    <w:rsid w:val="008A6983"/>
    <w:rsid w:val="008D25D5"/>
    <w:rsid w:val="00934700"/>
    <w:rsid w:val="009435B7"/>
    <w:rsid w:val="00953FF6"/>
    <w:rsid w:val="00960DAE"/>
    <w:rsid w:val="00973088"/>
    <w:rsid w:val="009768C7"/>
    <w:rsid w:val="0098417B"/>
    <w:rsid w:val="00990BB5"/>
    <w:rsid w:val="009B1561"/>
    <w:rsid w:val="009C0366"/>
    <w:rsid w:val="009C0EE3"/>
    <w:rsid w:val="009C633C"/>
    <w:rsid w:val="009D0104"/>
    <w:rsid w:val="00A060DB"/>
    <w:rsid w:val="00A12E1F"/>
    <w:rsid w:val="00A148CB"/>
    <w:rsid w:val="00A460FF"/>
    <w:rsid w:val="00A56C8A"/>
    <w:rsid w:val="00A80535"/>
    <w:rsid w:val="00AA3867"/>
    <w:rsid w:val="00AA7D5E"/>
    <w:rsid w:val="00B106B3"/>
    <w:rsid w:val="00B20FB9"/>
    <w:rsid w:val="00B250D9"/>
    <w:rsid w:val="00B44981"/>
    <w:rsid w:val="00B8295F"/>
    <w:rsid w:val="00B83F1F"/>
    <w:rsid w:val="00BB4843"/>
    <w:rsid w:val="00C25B10"/>
    <w:rsid w:val="00C3509E"/>
    <w:rsid w:val="00C36DE2"/>
    <w:rsid w:val="00C661EF"/>
    <w:rsid w:val="00C9380B"/>
    <w:rsid w:val="00C94E65"/>
    <w:rsid w:val="00CB22A1"/>
    <w:rsid w:val="00D23F8A"/>
    <w:rsid w:val="00D24FC7"/>
    <w:rsid w:val="00D62773"/>
    <w:rsid w:val="00D86FF0"/>
    <w:rsid w:val="00DA37F4"/>
    <w:rsid w:val="00DF040E"/>
    <w:rsid w:val="00E30B97"/>
    <w:rsid w:val="00E4259E"/>
    <w:rsid w:val="00E43631"/>
    <w:rsid w:val="00E83199"/>
    <w:rsid w:val="00EA5854"/>
    <w:rsid w:val="00EF7FF6"/>
    <w:rsid w:val="00F35544"/>
    <w:rsid w:val="00F42C18"/>
    <w:rsid w:val="00F60C40"/>
    <w:rsid w:val="00F6324A"/>
    <w:rsid w:val="00F65449"/>
    <w:rsid w:val="00F739D6"/>
    <w:rsid w:val="00FB028E"/>
    <w:rsid w:val="00FC21B1"/>
    <w:rsid w:val="00FD3A7E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A68B9F"/>
  <w15:chartTrackingRefBased/>
  <w15:docId w15:val="{71685C79-9DAB-4278-92BC-51284BF61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A7E"/>
    <w:pPr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D3A7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D3A7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D3A7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D3A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3A7E"/>
  </w:style>
  <w:style w:type="paragraph" w:styleId="FootnoteText">
    <w:name w:val="footnote text"/>
    <w:basedOn w:val="Normal"/>
    <w:link w:val="FootnoteTextChar"/>
    <w:semiHidden/>
    <w:rsid w:val="00FD3A7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D3A7E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FD3A7E"/>
    <w:rPr>
      <w:vertAlign w:val="superscript"/>
    </w:rPr>
  </w:style>
  <w:style w:type="character" w:styleId="Hyperlink">
    <w:name w:val="Hyperlink"/>
    <w:basedOn w:val="DefaultParagraphFont"/>
    <w:unhideWhenUsed/>
    <w:rsid w:val="00FD3A7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3F7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D3A7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FD3A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D3A7E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FD3A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D3A7E"/>
    <w:rPr>
      <w:rFonts w:ascii="Times New Roman" w:eastAsia="MS Mincho" w:hAnsi="Times New Roman" w:cs="Times New Roman"/>
      <w:szCs w:val="24"/>
      <w:lang w:val="en-GB"/>
    </w:rPr>
  </w:style>
  <w:style w:type="paragraph" w:styleId="Revision">
    <w:name w:val="Revision"/>
    <w:hidden/>
    <w:uiPriority w:val="99"/>
    <w:semiHidden/>
    <w:rsid w:val="00EF7FF6"/>
  </w:style>
  <w:style w:type="character" w:styleId="CommentReference">
    <w:name w:val="annotation reference"/>
    <w:basedOn w:val="DefaultParagraphFont"/>
    <w:uiPriority w:val="99"/>
    <w:semiHidden/>
    <w:unhideWhenUsed/>
    <w:rsid w:val="006A2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D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DFC"/>
    <w:rPr>
      <w:b/>
      <w:bCs/>
      <w:sz w:val="20"/>
      <w:szCs w:val="20"/>
    </w:rPr>
  </w:style>
  <w:style w:type="paragraph" w:customStyle="1" w:styleId="IPPHeader">
    <w:name w:val="IPP Header"/>
    <w:basedOn w:val="Normal"/>
    <w:qFormat/>
    <w:rsid w:val="00FD3A7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FD3A7E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FD3A7E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FD3A7E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FD3A7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FD3A7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FD3A7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D3A7E"/>
    <w:pPr>
      <w:spacing w:after="240"/>
    </w:pPr>
    <w:rPr>
      <w:sz w:val="24"/>
    </w:rPr>
  </w:style>
  <w:style w:type="table" w:styleId="TableGrid">
    <w:name w:val="Table Grid"/>
    <w:basedOn w:val="TableNormal"/>
    <w:rsid w:val="00FD3A7E"/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D3A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3A7E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FD3A7E"/>
    <w:pPr>
      <w:numPr>
        <w:numId w:val="6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FD3A7E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FD3A7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D3A7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D3A7E"/>
    <w:pPr>
      <w:spacing w:after="180"/>
    </w:pPr>
  </w:style>
  <w:style w:type="paragraph" w:customStyle="1" w:styleId="IPPFootnote">
    <w:name w:val="IPP Footnote"/>
    <w:basedOn w:val="IPPArialFootnote"/>
    <w:qFormat/>
    <w:rsid w:val="00FD3A7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FD3A7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FD3A7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FD3A7E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FD3A7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D3A7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FD3A7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FD3A7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D3A7E"/>
    <w:pPr>
      <w:numPr>
        <w:numId w:val="19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qFormat/>
    <w:rsid w:val="00FD3A7E"/>
    <w:pPr>
      <w:numPr>
        <w:numId w:val="7"/>
      </w:numPr>
    </w:pPr>
  </w:style>
  <w:style w:type="character" w:customStyle="1" w:styleId="IPPNormalstrikethrough">
    <w:name w:val="IPP Normal strikethrough"/>
    <w:rsid w:val="00FD3A7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D3A7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D3A7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FD3A7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D3A7E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FD3A7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D3A7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FD3A7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FD3A7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D3A7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D3A7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D3A7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D3A7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D3A7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D3A7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D3A7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D3A7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D3A7E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D3A7E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D3A7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D3A7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FD3A7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FD3A7E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D3A7E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FD3A7E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FD3A7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D3A7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D3A7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D3A7E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FD3A7E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FD3A7E"/>
    <w:pPr>
      <w:numPr>
        <w:numId w:val="17"/>
      </w:numPr>
    </w:pPr>
  </w:style>
  <w:style w:type="character" w:styleId="Strong">
    <w:name w:val="Strong"/>
    <w:basedOn w:val="DefaultParagraphFont"/>
    <w:qFormat/>
    <w:rsid w:val="00FD3A7E"/>
    <w:rPr>
      <w:b/>
      <w:bCs/>
    </w:rPr>
  </w:style>
  <w:style w:type="paragraph" w:customStyle="1" w:styleId="IPPParagraphnumbering">
    <w:name w:val="IPP Paragraph numbering"/>
    <w:basedOn w:val="IPPNormal"/>
    <w:qFormat/>
    <w:rsid w:val="00FD3A7E"/>
    <w:pPr>
      <w:numPr>
        <w:numId w:val="16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FD3A7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FD3A7E"/>
    <w:pPr>
      <w:spacing w:after="180"/>
    </w:pPr>
  </w:style>
  <w:style w:type="character" w:styleId="FollowedHyperlink">
    <w:name w:val="FollowedHyperlink"/>
    <w:basedOn w:val="DefaultParagraphFont"/>
    <w:semiHidden/>
    <w:unhideWhenUsed/>
    <w:rsid w:val="00FD3A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aweed.ie/qanda/index.html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ownloads\IPPC_2024-06-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0EC273-800D-44DE-97C4-ADA5D06644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832723-6113-457D-9010-BC99CE525F23}">
  <ds:schemaRefs>
    <ds:schemaRef ds:uri="http://schemas.microsoft.com/office/2006/metadata/properties"/>
    <ds:schemaRef ds:uri="http://www.w3.org/XML/1998/namespace"/>
    <ds:schemaRef ds:uri="a05d7f75-f42e-4288-8809-604fd4d9691f"/>
    <ds:schemaRef ds:uri="http://schemas.microsoft.com/office/2006/documentManagement/types"/>
    <ds:schemaRef ds:uri="http://purl.org/dc/elements/1.1/"/>
    <ds:schemaRef ds:uri="ea6feb38-a85a-45e8-92e9-814486bbe375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30B2376-4D69-421A-B03B-68F39C1162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E96E-3403-419A-8799-470177381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IPPC_2024-06-17.dotx</Template>
  <TotalTime>9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CFIA-ACIA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Wolff, Greg (CFIA/ACIA)</dc:creator>
  <cp:keywords/>
  <dc:description/>
  <cp:lastModifiedBy>Cassin, Aoife (NSP)</cp:lastModifiedBy>
  <cp:revision>12</cp:revision>
  <cp:lastPrinted>2024-10-16T18:19:00Z</cp:lastPrinted>
  <dcterms:created xsi:type="dcterms:W3CDTF">2024-10-24T14:27:00Z</dcterms:created>
  <dcterms:modified xsi:type="dcterms:W3CDTF">2024-10-25T07:05:00Z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