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E83" w:rsidRDefault="0050782C">
      <w:pPr>
        <w:jc w:val="center"/>
      </w:pPr>
      <w:bookmarkStart w:id="0" w:name="_GoBack"/>
      <w:bookmarkEnd w:id="0"/>
      <w:r>
        <w:rPr>
          <w:rStyle w:val="PleaseReviewParagraphId"/>
          <w:noProof/>
          <w:sz w:val="20"/>
        </w:rPr>
        <w:t>[PleaseReview document review. Review title: 2019 First Consultation: Draft PT Cold treatment for Bactrocera tryoni on Prunus avium, Prunus domestica and Prunus persica . Document title: 2017-022B_DraftPT_CT_B_tryoni_stonefruit_2019-05-09_es.docx]</w:t>
      </w:r>
    </w:p>
    <w:p w:rsidR="00E22E83" w:rsidRDefault="0050782C">
      <w:pPr>
        <w:pStyle w:val="IPPHeadSection"/>
        <w:rPr>
          <w:caps w:val="0"/>
          <w:szCs w:val="18"/>
        </w:rPr>
      </w:pPr>
      <w:r>
        <w:rPr>
          <w:rStyle w:val="PleaseReviewParagraphId"/>
          <w:b w:val="0"/>
        </w:rPr>
        <w:t>[1]</w:t>
      </w:r>
      <w:r>
        <w:t xml:space="preserve">PROYECTO DE ANEXO DE LA NIMF 28: </w:t>
      </w:r>
      <w:r>
        <w:rPr>
          <w:caps w:val="0"/>
        </w:rPr>
        <w:t xml:space="preserve">Tratamiento con frío contra </w:t>
      </w:r>
      <w:r>
        <w:rPr>
          <w:i/>
          <w:caps w:val="0"/>
        </w:rPr>
        <w:t>Bactrocera tryoni</w:t>
      </w:r>
      <w:r>
        <w:rPr>
          <w:caps w:val="0"/>
        </w:rPr>
        <w:t xml:space="preserve"> en </w:t>
      </w:r>
      <w:r>
        <w:rPr>
          <w:i/>
          <w:caps w:val="0"/>
        </w:rPr>
        <w:t>Prunus avium</w:t>
      </w:r>
      <w:r>
        <w:rPr>
          <w:caps w:val="0"/>
        </w:rPr>
        <w:t xml:space="preserve">, </w:t>
      </w:r>
      <w:r>
        <w:rPr>
          <w:i/>
          <w:caps w:val="0"/>
        </w:rPr>
        <w:t>Prunus domestica</w:t>
      </w:r>
      <w:r>
        <w:rPr>
          <w:caps w:val="0"/>
        </w:rPr>
        <w:t xml:space="preserve"> y </w:t>
      </w:r>
      <w:r>
        <w:rPr>
          <w:i/>
          <w:caps w:val="0"/>
        </w:rPr>
        <w:t>Prunus persica</w:t>
      </w:r>
      <w:r>
        <w:rPr>
          <w:caps w:val="0"/>
        </w:rPr>
        <w:t xml:space="preserve"> (2017-022B)</w:t>
      </w:r>
    </w:p>
    <w:tbl>
      <w:tblPr>
        <w:tblStyle w:val="TableGrid"/>
        <w:tblW w:w="0" w:type="auto"/>
        <w:tblLook w:val="04A0" w:firstRow="1" w:lastRow="0" w:firstColumn="1" w:lastColumn="0" w:noHBand="0" w:noVBand="1"/>
      </w:tblPr>
      <w:tblGrid>
        <w:gridCol w:w="3085"/>
        <w:gridCol w:w="5617"/>
      </w:tblGrid>
      <w:tr w:rsidR="00E22E83">
        <w:tc>
          <w:tcPr>
            <w:tcW w:w="8702" w:type="dxa"/>
            <w:gridSpan w:val="2"/>
          </w:tcPr>
          <w:p w:rsidR="00E22E83" w:rsidRDefault="0050782C">
            <w:pPr>
              <w:rPr>
                <w:rFonts w:asciiTheme="majorHAnsi" w:hAnsiTheme="majorHAnsi" w:cstheme="majorHAnsi"/>
                <w:sz w:val="18"/>
                <w:szCs w:val="18"/>
              </w:rPr>
            </w:pPr>
            <w:r>
              <w:rPr>
                <w:rStyle w:val="PleaseReviewParagraphId"/>
              </w:rPr>
              <w:t>[2]</w:t>
            </w:r>
            <w:r>
              <w:rPr>
                <w:rFonts w:asciiTheme="majorHAnsi" w:hAnsiTheme="majorHAnsi" w:cstheme="majorHAnsi"/>
                <w:b/>
                <w:sz w:val="18"/>
              </w:rPr>
              <w:t xml:space="preserve">Estado de la elaboración </w:t>
            </w:r>
          </w:p>
        </w:tc>
      </w:tr>
      <w:tr w:rsidR="00E22E83">
        <w:tc>
          <w:tcPr>
            <w:tcW w:w="8702" w:type="dxa"/>
            <w:gridSpan w:val="2"/>
          </w:tcPr>
          <w:p w:rsidR="00E22E83" w:rsidRDefault="0050782C">
            <w:pPr>
              <w:rPr>
                <w:rFonts w:asciiTheme="majorHAnsi" w:hAnsiTheme="majorHAnsi" w:cstheme="majorHAnsi"/>
                <w:sz w:val="18"/>
                <w:szCs w:val="18"/>
              </w:rPr>
            </w:pPr>
            <w:r>
              <w:rPr>
                <w:rStyle w:val="PleaseReviewParagraphId"/>
              </w:rPr>
              <w:t>[3]</w:t>
            </w:r>
            <w:r>
              <w:rPr>
                <w:rFonts w:asciiTheme="majorHAnsi" w:hAnsiTheme="majorHAnsi" w:cstheme="majorHAnsi"/>
                <w:sz w:val="18"/>
              </w:rPr>
              <w:t>Esta no es una parte oficial de la norma; después de la adopción será modificada por la Secretaría de la CIPF.</w:t>
            </w:r>
          </w:p>
        </w:tc>
      </w:tr>
      <w:tr w:rsidR="00E22E83">
        <w:tc>
          <w:tcPr>
            <w:tcW w:w="3085" w:type="dxa"/>
          </w:tcPr>
          <w:p w:rsidR="00E22E83" w:rsidRDefault="0050782C">
            <w:pPr>
              <w:rPr>
                <w:rFonts w:asciiTheme="majorHAnsi" w:hAnsiTheme="majorHAnsi" w:cstheme="majorHAnsi"/>
                <w:sz w:val="18"/>
                <w:szCs w:val="18"/>
              </w:rPr>
            </w:pPr>
            <w:r>
              <w:rPr>
                <w:rStyle w:val="PleaseReviewParagraphId"/>
              </w:rPr>
              <w:t>[4]</w:t>
            </w:r>
            <w:r>
              <w:rPr>
                <w:rFonts w:asciiTheme="majorHAnsi" w:hAnsiTheme="majorHAnsi" w:cstheme="majorHAnsi"/>
                <w:b/>
                <w:sz w:val="18"/>
              </w:rPr>
              <w:t>Fecha de este documento</w:t>
            </w:r>
          </w:p>
        </w:tc>
        <w:tc>
          <w:tcPr>
            <w:tcW w:w="5617" w:type="dxa"/>
          </w:tcPr>
          <w:p w:rsidR="00E22E83" w:rsidRDefault="0050782C">
            <w:pPr>
              <w:rPr>
                <w:rFonts w:asciiTheme="majorHAnsi" w:hAnsiTheme="majorHAnsi" w:cstheme="majorHAnsi"/>
                <w:sz w:val="18"/>
                <w:szCs w:val="18"/>
              </w:rPr>
            </w:pPr>
            <w:r>
              <w:rPr>
                <w:rStyle w:val="PleaseReviewParagraphId"/>
              </w:rPr>
              <w:t>[5]</w:t>
            </w:r>
            <w:r>
              <w:rPr>
                <w:rFonts w:asciiTheme="majorHAnsi" w:hAnsiTheme="majorHAnsi" w:cstheme="majorHAnsi"/>
                <w:sz w:val="18"/>
              </w:rPr>
              <w:t>2019-03-21</w:t>
            </w:r>
          </w:p>
        </w:tc>
      </w:tr>
      <w:tr w:rsidR="00E22E83">
        <w:tc>
          <w:tcPr>
            <w:tcW w:w="3085" w:type="dxa"/>
          </w:tcPr>
          <w:p w:rsidR="00E22E83" w:rsidRDefault="0050782C">
            <w:pPr>
              <w:rPr>
                <w:rFonts w:asciiTheme="majorHAnsi" w:hAnsiTheme="majorHAnsi" w:cstheme="majorHAnsi"/>
                <w:sz w:val="18"/>
                <w:szCs w:val="18"/>
              </w:rPr>
            </w:pPr>
            <w:r>
              <w:rPr>
                <w:rStyle w:val="PleaseReviewParagraphId"/>
              </w:rPr>
              <w:t>[6]</w:t>
            </w:r>
            <w:r>
              <w:rPr>
                <w:rFonts w:asciiTheme="majorHAnsi" w:hAnsiTheme="majorHAnsi" w:cstheme="majorHAnsi"/>
                <w:b/>
                <w:sz w:val="18"/>
              </w:rPr>
              <w:t>Categoría del documento</w:t>
            </w:r>
          </w:p>
        </w:tc>
        <w:tc>
          <w:tcPr>
            <w:tcW w:w="5617" w:type="dxa"/>
          </w:tcPr>
          <w:p w:rsidR="00E22E83" w:rsidRDefault="0050782C">
            <w:pPr>
              <w:rPr>
                <w:rFonts w:asciiTheme="majorHAnsi" w:hAnsiTheme="majorHAnsi" w:cstheme="majorHAnsi"/>
                <w:sz w:val="18"/>
                <w:szCs w:val="18"/>
              </w:rPr>
            </w:pPr>
            <w:r>
              <w:rPr>
                <w:rStyle w:val="PleaseReviewParagraphId"/>
              </w:rPr>
              <w:t>[7]</w:t>
            </w:r>
            <w:r>
              <w:rPr>
                <w:rFonts w:asciiTheme="majorHAnsi" w:hAnsiTheme="majorHAnsi" w:cstheme="majorHAnsi"/>
                <w:sz w:val="18"/>
              </w:rPr>
              <w:t>Proyecto de anexo de la NIMF 28</w:t>
            </w:r>
          </w:p>
        </w:tc>
      </w:tr>
      <w:tr w:rsidR="00E22E83">
        <w:tc>
          <w:tcPr>
            <w:tcW w:w="3085" w:type="dxa"/>
          </w:tcPr>
          <w:p w:rsidR="00E22E83" w:rsidRDefault="0050782C">
            <w:pPr>
              <w:rPr>
                <w:rFonts w:asciiTheme="majorHAnsi" w:hAnsiTheme="majorHAnsi" w:cstheme="majorHAnsi"/>
                <w:sz w:val="18"/>
                <w:szCs w:val="18"/>
              </w:rPr>
            </w:pPr>
            <w:r>
              <w:rPr>
                <w:rStyle w:val="PleaseReviewParagraphId"/>
              </w:rPr>
              <w:t>[8]</w:t>
            </w:r>
            <w:r>
              <w:rPr>
                <w:rFonts w:asciiTheme="majorHAnsi" w:hAnsiTheme="majorHAnsi" w:cstheme="majorHAnsi"/>
                <w:b/>
                <w:sz w:val="18"/>
              </w:rPr>
              <w:t>Etapa actual del documento</w:t>
            </w:r>
          </w:p>
        </w:tc>
        <w:tc>
          <w:tcPr>
            <w:tcW w:w="5617" w:type="dxa"/>
          </w:tcPr>
          <w:p w:rsidR="00E22E83" w:rsidRDefault="0050782C">
            <w:pPr>
              <w:rPr>
                <w:rFonts w:asciiTheme="majorHAnsi" w:hAnsiTheme="majorHAnsi" w:cstheme="majorHAnsi"/>
                <w:sz w:val="18"/>
                <w:szCs w:val="18"/>
              </w:rPr>
            </w:pPr>
            <w:r>
              <w:rPr>
                <w:rStyle w:val="PleaseReviewParagraphId"/>
              </w:rPr>
              <w:t>[9]</w:t>
            </w:r>
            <w:r>
              <w:rPr>
                <w:rFonts w:asciiTheme="majorHAnsi" w:hAnsiTheme="majorHAnsi" w:cstheme="majorHAnsi"/>
                <w:i/>
                <w:sz w:val="18"/>
              </w:rPr>
              <w:t>Para</w:t>
            </w:r>
            <w:r>
              <w:rPr>
                <w:rFonts w:asciiTheme="majorHAnsi" w:hAnsiTheme="majorHAnsi" w:cstheme="majorHAnsi"/>
                <w:sz w:val="18"/>
              </w:rPr>
              <w:t xml:space="preserve"> primera consulta</w:t>
            </w:r>
          </w:p>
        </w:tc>
      </w:tr>
      <w:tr w:rsidR="00E22E83">
        <w:tc>
          <w:tcPr>
            <w:tcW w:w="3085" w:type="dxa"/>
          </w:tcPr>
          <w:p w:rsidR="00E22E83" w:rsidRDefault="0050782C">
            <w:pPr>
              <w:rPr>
                <w:rFonts w:asciiTheme="majorHAnsi" w:hAnsiTheme="majorHAnsi" w:cstheme="majorHAnsi"/>
                <w:sz w:val="18"/>
                <w:szCs w:val="18"/>
              </w:rPr>
            </w:pPr>
            <w:r>
              <w:rPr>
                <w:rStyle w:val="PleaseReviewParagraphId"/>
              </w:rPr>
              <w:t>[10]</w:t>
            </w:r>
            <w:r>
              <w:rPr>
                <w:rFonts w:asciiTheme="majorHAnsi" w:hAnsiTheme="majorHAnsi" w:cstheme="majorHAnsi"/>
                <w:b/>
                <w:sz w:val="18"/>
              </w:rPr>
              <w:t>Etapas principales</w:t>
            </w:r>
          </w:p>
        </w:tc>
        <w:tc>
          <w:tcPr>
            <w:tcW w:w="5617" w:type="dxa"/>
          </w:tcPr>
          <w:p w:rsidR="00E22E83" w:rsidRDefault="0050782C">
            <w:pPr>
              <w:rPr>
                <w:rFonts w:asciiTheme="majorHAnsi" w:hAnsiTheme="majorHAnsi" w:cstheme="majorHAnsi"/>
                <w:sz w:val="18"/>
                <w:szCs w:val="18"/>
              </w:rPr>
            </w:pPr>
            <w:r>
              <w:rPr>
                <w:rStyle w:val="PleaseReviewParagraphId"/>
              </w:rPr>
              <w:t>[11]</w:t>
            </w:r>
            <w:r>
              <w:rPr>
                <w:rFonts w:asciiTheme="majorHAnsi" w:hAnsiTheme="majorHAnsi" w:cstheme="majorHAnsi"/>
                <w:sz w:val="18"/>
              </w:rPr>
              <w:t>2017-06: El tratamiento se presentó en respuesta a la solicitud de tratamientos de 2017-02 (</w:t>
            </w:r>
            <w:r>
              <w:rPr>
                <w:rFonts w:asciiTheme="majorHAnsi" w:hAnsiTheme="majorHAnsi" w:cstheme="majorHAnsi"/>
                <w:i/>
                <w:sz w:val="18"/>
              </w:rPr>
              <w:t>Tratamiento con frío de las frutas de hueso australianas contra la mosca mediterránea de la fruta y la mosca de la fruta de Queensland</w:t>
            </w:r>
            <w:r>
              <w:rPr>
                <w:rFonts w:asciiTheme="majorHAnsi" w:hAnsiTheme="majorHAnsi" w:cstheme="majorHAnsi"/>
                <w:sz w:val="18"/>
              </w:rPr>
              <w:t>).</w:t>
            </w:r>
          </w:p>
          <w:p w:rsidR="00E22E83" w:rsidRDefault="0050782C">
            <w:pPr>
              <w:rPr>
                <w:rFonts w:asciiTheme="majorHAnsi" w:hAnsiTheme="majorHAnsi" w:cstheme="majorHAnsi"/>
                <w:sz w:val="18"/>
                <w:szCs w:val="18"/>
              </w:rPr>
            </w:pPr>
            <w:r>
              <w:rPr>
                <w:rStyle w:val="PleaseReviewParagraphId"/>
              </w:rPr>
              <w:t>[12]</w:t>
            </w:r>
            <w:r>
              <w:rPr>
                <w:rFonts w:asciiTheme="majorHAnsi" w:hAnsiTheme="majorHAnsi" w:cstheme="majorHAnsi"/>
                <w:sz w:val="18"/>
              </w:rPr>
              <w:t>2017-10: El Grupo técnico sobre tratamientos fitosanitarios (GTTF) examinó la propuesta (reunión virtual).</w:t>
            </w:r>
          </w:p>
          <w:p w:rsidR="00E22E83" w:rsidRDefault="0050782C">
            <w:pPr>
              <w:rPr>
                <w:rFonts w:asciiTheme="majorHAnsi" w:hAnsiTheme="majorHAnsi" w:cstheme="majorHAnsi"/>
                <w:sz w:val="18"/>
                <w:szCs w:val="18"/>
              </w:rPr>
            </w:pPr>
            <w:r>
              <w:rPr>
                <w:rStyle w:val="PleaseReviewParagraphId"/>
              </w:rPr>
              <w:t>[13]</w:t>
            </w:r>
            <w:r>
              <w:rPr>
                <w:rFonts w:asciiTheme="majorHAnsi" w:hAnsiTheme="majorHAnsi" w:cstheme="majorHAnsi"/>
                <w:sz w:val="18"/>
              </w:rPr>
              <w:t>2018-05: El Comité de Normas (CN) añadió el tema</w:t>
            </w:r>
            <w:r>
              <w:rPr>
                <w:b/>
              </w:rPr>
              <w:t xml:space="preserve"> </w:t>
            </w:r>
            <w:r>
              <w:rPr>
                <w:rFonts w:asciiTheme="majorHAnsi" w:hAnsiTheme="majorHAnsi" w:cstheme="majorHAnsi"/>
                <w:i/>
                <w:sz w:val="18"/>
              </w:rPr>
              <w:t>Tratamiento con frío de las frutas de hueso contra</w:t>
            </w:r>
            <w:r>
              <w:rPr>
                <w:rFonts w:asciiTheme="majorHAnsi" w:hAnsiTheme="majorHAnsi" w:cstheme="majorHAnsi"/>
                <w:sz w:val="18"/>
              </w:rPr>
              <w:t xml:space="preserve"> Bactrocera tryoni (2017-022B) al programa de trabajo del GTTF con prioridad 1.</w:t>
            </w:r>
          </w:p>
          <w:p w:rsidR="00E22E83" w:rsidRDefault="0050782C">
            <w:pPr>
              <w:rPr>
                <w:rFonts w:asciiTheme="majorHAnsi" w:hAnsiTheme="majorHAnsi" w:cstheme="majorHAnsi"/>
                <w:sz w:val="18"/>
                <w:szCs w:val="18"/>
              </w:rPr>
            </w:pPr>
            <w:r>
              <w:rPr>
                <w:rStyle w:val="PleaseReviewParagraphId"/>
              </w:rPr>
              <w:t>[14]</w:t>
            </w:r>
            <w:r>
              <w:rPr>
                <w:rFonts w:asciiTheme="majorHAnsi" w:hAnsiTheme="majorHAnsi" w:cstheme="majorHAnsi"/>
                <w:sz w:val="18"/>
              </w:rPr>
              <w:t>2018-06: El GTTF revisó el proyecto y lo recomendó al CN para consulta.</w:t>
            </w:r>
          </w:p>
          <w:p w:rsidR="00E22E83" w:rsidRDefault="0050782C">
            <w:pPr>
              <w:rPr>
                <w:rFonts w:asciiTheme="majorHAnsi" w:hAnsiTheme="majorHAnsi" w:cstheme="majorHAnsi"/>
                <w:sz w:val="18"/>
                <w:szCs w:val="18"/>
              </w:rPr>
            </w:pPr>
            <w:r>
              <w:rPr>
                <w:rStyle w:val="PleaseReviewParagraphId"/>
              </w:rPr>
              <w:t>[15]</w:t>
            </w:r>
            <w:r>
              <w:rPr>
                <w:rFonts w:asciiTheme="majorHAnsi" w:hAnsiTheme="majorHAnsi" w:cstheme="majorHAnsi"/>
                <w:sz w:val="18"/>
              </w:rPr>
              <w:t>2018-11: Examen final por el GTTF mediante foro electrónico (2018_eTPPT_Oct_01).</w:t>
            </w:r>
          </w:p>
          <w:p w:rsidR="00E22E83" w:rsidRDefault="0050782C">
            <w:pPr>
              <w:rPr>
                <w:rFonts w:asciiTheme="majorHAnsi" w:hAnsiTheme="majorHAnsi" w:cstheme="majorHAnsi"/>
                <w:sz w:val="18"/>
                <w:szCs w:val="18"/>
              </w:rPr>
            </w:pPr>
            <w:r>
              <w:rPr>
                <w:rStyle w:val="PleaseReviewParagraphId"/>
              </w:rPr>
              <w:t>[16]</w:t>
            </w:r>
            <w:r>
              <w:rPr>
                <w:rFonts w:asciiTheme="majorHAnsi" w:hAnsiTheme="majorHAnsi" w:cstheme="majorHAnsi"/>
                <w:sz w:val="18"/>
              </w:rPr>
              <w:t>2019-03: El CN aprobó, mediante decisión por vía electrónica, el proyecto para consulta (2019_eSC_May_09).</w:t>
            </w:r>
          </w:p>
        </w:tc>
      </w:tr>
      <w:tr w:rsidR="00E22E83">
        <w:tc>
          <w:tcPr>
            <w:tcW w:w="3085" w:type="dxa"/>
          </w:tcPr>
          <w:p w:rsidR="00E22E83" w:rsidRDefault="0050782C">
            <w:pPr>
              <w:rPr>
                <w:rFonts w:asciiTheme="majorHAnsi" w:hAnsiTheme="majorHAnsi" w:cstheme="majorHAnsi"/>
                <w:sz w:val="18"/>
                <w:szCs w:val="18"/>
              </w:rPr>
            </w:pPr>
            <w:r>
              <w:rPr>
                <w:rStyle w:val="PleaseReviewParagraphId"/>
              </w:rPr>
              <w:t>[17]</w:t>
            </w:r>
            <w:r>
              <w:rPr>
                <w:rFonts w:asciiTheme="majorHAnsi" w:hAnsiTheme="majorHAnsi" w:cstheme="majorHAnsi"/>
                <w:b/>
                <w:sz w:val="18"/>
              </w:rPr>
              <w:t>Experto principal del tratamiento</w:t>
            </w:r>
          </w:p>
        </w:tc>
        <w:tc>
          <w:tcPr>
            <w:tcW w:w="5617" w:type="dxa"/>
          </w:tcPr>
          <w:p w:rsidR="00E22E83" w:rsidRDefault="0050782C">
            <w:pPr>
              <w:rPr>
                <w:rFonts w:asciiTheme="majorHAnsi" w:hAnsiTheme="majorHAnsi" w:cstheme="majorHAnsi"/>
                <w:sz w:val="18"/>
                <w:szCs w:val="18"/>
              </w:rPr>
            </w:pPr>
            <w:r>
              <w:rPr>
                <w:rStyle w:val="PleaseReviewParagraphId"/>
              </w:rPr>
              <w:t>[18]</w:t>
            </w:r>
            <w:r>
              <w:rPr>
                <w:rFonts w:asciiTheme="majorHAnsi" w:hAnsiTheme="majorHAnsi" w:cstheme="majorHAnsi"/>
                <w:sz w:val="18"/>
              </w:rPr>
              <w:t>2017-07: Sr. Toshiyuki DOHINO (JP)</w:t>
            </w:r>
          </w:p>
        </w:tc>
      </w:tr>
      <w:tr w:rsidR="00E22E83">
        <w:tc>
          <w:tcPr>
            <w:tcW w:w="3085" w:type="dxa"/>
          </w:tcPr>
          <w:p w:rsidR="00E22E83" w:rsidRDefault="0050782C">
            <w:pPr>
              <w:rPr>
                <w:rFonts w:asciiTheme="majorHAnsi" w:hAnsiTheme="majorHAnsi" w:cstheme="majorHAnsi"/>
                <w:sz w:val="18"/>
                <w:szCs w:val="18"/>
              </w:rPr>
            </w:pPr>
            <w:r>
              <w:rPr>
                <w:rStyle w:val="PleaseReviewParagraphId"/>
              </w:rPr>
              <w:lastRenderedPageBreak/>
              <w:t>[19]</w:t>
            </w:r>
            <w:r>
              <w:rPr>
                <w:rFonts w:asciiTheme="majorHAnsi" w:hAnsiTheme="majorHAnsi" w:cstheme="majorHAnsi"/>
                <w:b/>
                <w:sz w:val="18"/>
              </w:rPr>
              <w:t>Notas</w:t>
            </w:r>
          </w:p>
        </w:tc>
        <w:tc>
          <w:tcPr>
            <w:tcW w:w="5617" w:type="dxa"/>
          </w:tcPr>
          <w:p w:rsidR="00E22E83" w:rsidRDefault="0050782C">
            <w:pPr>
              <w:rPr>
                <w:rFonts w:asciiTheme="majorHAnsi" w:hAnsiTheme="majorHAnsi" w:cstheme="majorHAnsi"/>
                <w:sz w:val="18"/>
                <w:szCs w:val="18"/>
              </w:rPr>
            </w:pPr>
            <w:r>
              <w:rPr>
                <w:rStyle w:val="PleaseReviewParagraphId"/>
              </w:rPr>
              <w:t>[20]</w:t>
            </w:r>
            <w:r>
              <w:rPr>
                <w:rFonts w:asciiTheme="majorHAnsi" w:hAnsiTheme="majorHAnsi" w:cstheme="majorHAnsi"/>
                <w:sz w:val="18"/>
                <w:szCs w:val="18"/>
              </w:rPr>
              <w:t xml:space="preserve">2018-06: Reunión del GTTF: </w:t>
            </w:r>
          </w:p>
          <w:p w:rsidR="00E22E83" w:rsidRDefault="0050782C">
            <w:pPr>
              <w:pStyle w:val="ListParagraph"/>
              <w:numPr>
                <w:ilvl w:val="0"/>
                <w:numId w:val="20"/>
              </w:numPr>
              <w:ind w:leftChars="0"/>
              <w:rPr>
                <w:rFonts w:asciiTheme="majorHAnsi" w:hAnsiTheme="majorHAnsi" w:cstheme="majorHAnsi"/>
                <w:sz w:val="18"/>
                <w:szCs w:val="18"/>
              </w:rPr>
            </w:pPr>
            <w:r>
              <w:rPr>
                <w:rStyle w:val="PleaseReviewParagraphId"/>
              </w:rPr>
              <w:t>[21]</w:t>
            </w:r>
            <w:r>
              <w:rPr>
                <w:rFonts w:asciiTheme="majorHAnsi" w:hAnsiTheme="majorHAnsi" w:cstheme="majorHAnsi"/>
                <w:sz w:val="18"/>
                <w:szCs w:val="18"/>
              </w:rPr>
              <w:t xml:space="preserve">En el presente proyecto de tratamiento fitosanitario, </w:t>
            </w:r>
            <w:r>
              <w:rPr>
                <w:rFonts w:asciiTheme="majorHAnsi" w:hAnsiTheme="majorHAnsi" w:cstheme="majorHAnsi"/>
                <w:i/>
                <w:sz w:val="18"/>
                <w:szCs w:val="18"/>
              </w:rPr>
              <w:t xml:space="preserve">Prunus persica </w:t>
            </w:r>
            <w:r>
              <w:rPr>
                <w:rFonts w:asciiTheme="majorHAnsi" w:hAnsiTheme="majorHAnsi" w:cstheme="majorHAnsi"/>
                <w:sz w:val="18"/>
                <w:szCs w:val="18"/>
              </w:rPr>
              <w:t>incluye los melocotoneros/durazneros y los nectarinos.</w:t>
            </w:r>
          </w:p>
          <w:p w:rsidR="00E22E83" w:rsidRDefault="0050782C">
            <w:pPr>
              <w:pStyle w:val="ListParagraph"/>
              <w:numPr>
                <w:ilvl w:val="0"/>
                <w:numId w:val="20"/>
              </w:numPr>
              <w:ind w:leftChars="0"/>
              <w:rPr>
                <w:rFonts w:asciiTheme="majorHAnsi" w:hAnsiTheme="majorHAnsi" w:cstheme="majorHAnsi"/>
                <w:sz w:val="18"/>
                <w:szCs w:val="18"/>
              </w:rPr>
            </w:pPr>
            <w:r>
              <w:rPr>
                <w:rStyle w:val="PleaseReviewParagraphId"/>
              </w:rPr>
              <w:t>[22]</w:t>
            </w:r>
            <w:r>
              <w:rPr>
                <w:rFonts w:asciiTheme="majorHAnsi" w:hAnsiTheme="majorHAnsi" w:cstheme="majorHAnsi"/>
                <w:sz w:val="18"/>
                <w:szCs w:val="18"/>
              </w:rPr>
              <w:t xml:space="preserve">El protocolo propuesto originalmente de tratamiento a 1 °C para </w:t>
            </w:r>
            <w:r>
              <w:rPr>
                <w:rFonts w:asciiTheme="majorHAnsi" w:hAnsiTheme="majorHAnsi" w:cstheme="majorHAnsi"/>
                <w:i/>
                <w:sz w:val="18"/>
                <w:szCs w:val="18"/>
              </w:rPr>
              <w:t>P. domestica</w:t>
            </w:r>
            <w:r>
              <w:rPr>
                <w:rFonts w:asciiTheme="majorHAnsi" w:hAnsiTheme="majorHAnsi" w:cstheme="majorHAnsi"/>
                <w:sz w:val="18"/>
                <w:szCs w:val="18"/>
              </w:rPr>
              <w:t xml:space="preserve"> y </w:t>
            </w:r>
            <w:r>
              <w:rPr>
                <w:rFonts w:asciiTheme="majorHAnsi" w:hAnsiTheme="majorHAnsi" w:cstheme="majorHAnsi"/>
                <w:i/>
                <w:sz w:val="18"/>
                <w:szCs w:val="18"/>
              </w:rPr>
              <w:t>P. avium</w:t>
            </w:r>
            <w:r>
              <w:rPr>
                <w:rFonts w:asciiTheme="majorHAnsi" w:hAnsiTheme="majorHAnsi" w:cstheme="majorHAnsi"/>
                <w:sz w:val="18"/>
                <w:szCs w:val="18"/>
              </w:rPr>
              <w:t xml:space="preserve"> se suprimió porque su eficacia demostró ser menor que la del tratamiento a 3 °C.</w:t>
            </w:r>
          </w:p>
          <w:p w:rsidR="00E22E83" w:rsidRDefault="0050782C">
            <w:pPr>
              <w:rPr>
                <w:rFonts w:asciiTheme="majorHAnsi" w:hAnsiTheme="majorHAnsi" w:cstheme="majorHAnsi"/>
                <w:sz w:val="18"/>
                <w:szCs w:val="18"/>
              </w:rPr>
            </w:pPr>
            <w:r>
              <w:rPr>
                <w:rStyle w:val="PleaseReviewParagraphId"/>
              </w:rPr>
              <w:t>[23]</w:t>
            </w:r>
            <w:r>
              <w:rPr>
                <w:rFonts w:asciiTheme="majorHAnsi" w:hAnsiTheme="majorHAnsi" w:cstheme="majorHAnsi"/>
                <w:sz w:val="18"/>
                <w:szCs w:val="18"/>
              </w:rPr>
              <w:t>2018-07: Editado.</w:t>
            </w:r>
          </w:p>
        </w:tc>
      </w:tr>
    </w:tbl>
    <w:p w:rsidR="00E22E83" w:rsidRDefault="0050782C">
      <w:pPr>
        <w:pStyle w:val="IPPHeading1"/>
      </w:pPr>
      <w:r>
        <w:rPr>
          <w:rStyle w:val="PleaseReviewParagraphId"/>
          <w:b w:val="0"/>
        </w:rPr>
        <w:t>[24]</w:t>
      </w:r>
      <w:r>
        <w:t>Ámbito del tratamiento</w:t>
      </w:r>
    </w:p>
    <w:p w:rsidR="00E22E83" w:rsidRDefault="0050782C">
      <w:pPr>
        <w:pStyle w:val="IPPParagraphnumbering"/>
        <w:numPr>
          <w:ilvl w:val="0"/>
          <w:numId w:val="0"/>
        </w:numPr>
      </w:pPr>
      <w:r>
        <w:rPr>
          <w:rStyle w:val="PleaseReviewParagraphId"/>
        </w:rPr>
        <w:t>[25]</w:t>
      </w:r>
      <w:r>
        <w:t xml:space="preserve">Este tratamiento describe la aplicación de frío a frutos de </w:t>
      </w:r>
      <w:r>
        <w:rPr>
          <w:i/>
        </w:rPr>
        <w:t xml:space="preserve">Prunus avium </w:t>
      </w:r>
      <w:r>
        <w:t xml:space="preserve">(cerezo), </w:t>
      </w:r>
      <w:r>
        <w:rPr>
          <w:i/>
        </w:rPr>
        <w:t xml:space="preserve">Prunus domestica </w:t>
      </w:r>
      <w:r>
        <w:t xml:space="preserve">(ciruelo) y </w:t>
      </w:r>
      <w:r>
        <w:rPr>
          <w:i/>
        </w:rPr>
        <w:t xml:space="preserve">Prunus persica </w:t>
      </w:r>
      <w:r>
        <w:t xml:space="preserve">(melocotonero/duraznero y nectarino) para inducir la mortalidad de los huevos y larvas de </w:t>
      </w:r>
      <w:r>
        <w:rPr>
          <w:i/>
        </w:rPr>
        <w:t xml:space="preserve">Bactrocera tryoni </w:t>
      </w:r>
      <w:r>
        <w:t>con la eficacia indicada</w:t>
      </w:r>
      <w:r>
        <w:rPr>
          <w:rStyle w:val="FootnoteReference"/>
          <w:rFonts w:asciiTheme="majorHAnsi" w:hAnsiTheme="majorHAnsi" w:cstheme="majorHAnsi"/>
          <w:sz w:val="18"/>
        </w:rPr>
        <w:footnoteReference w:id="1"/>
      </w:r>
      <w:r>
        <w:t>.</w:t>
      </w:r>
    </w:p>
    <w:p w:rsidR="00E22E83" w:rsidRDefault="0050782C">
      <w:pPr>
        <w:pStyle w:val="IPPHeading1"/>
      </w:pPr>
      <w:r>
        <w:rPr>
          <w:rStyle w:val="PleaseReviewParagraphId"/>
          <w:b w:val="0"/>
        </w:rPr>
        <w:t>[27]</w:t>
      </w:r>
      <w:r>
        <w:t>Descripción del tratamiento</w:t>
      </w:r>
    </w:p>
    <w:p w:rsidR="00E22E83" w:rsidRDefault="0050782C">
      <w:pPr>
        <w:pStyle w:val="IPPParagraphnumbering"/>
        <w:numPr>
          <w:ilvl w:val="0"/>
          <w:numId w:val="0"/>
        </w:numPr>
        <w:tabs>
          <w:tab w:val="num" w:pos="2552"/>
        </w:tabs>
        <w:ind w:left="2517" w:hanging="2517"/>
      </w:pPr>
      <w:r>
        <w:rPr>
          <w:rStyle w:val="PleaseReviewParagraphId"/>
        </w:rPr>
        <w:t>[28]</w:t>
      </w:r>
      <w:r>
        <w:rPr>
          <w:b/>
        </w:rPr>
        <w:t>Nombre del tratamiento</w:t>
      </w:r>
      <w:r>
        <w:tab/>
        <w:t xml:space="preserve">Tratamiento con frío contra </w:t>
      </w:r>
      <w:r>
        <w:rPr>
          <w:i/>
        </w:rPr>
        <w:t>Bactrocera tryoni</w:t>
      </w:r>
      <w:r>
        <w:t xml:space="preserve"> en </w:t>
      </w:r>
      <w:r>
        <w:rPr>
          <w:i/>
        </w:rPr>
        <w:t>Prunus avium</w:t>
      </w:r>
      <w:r>
        <w:t xml:space="preserve">, </w:t>
      </w:r>
      <w:r>
        <w:rPr>
          <w:i/>
        </w:rPr>
        <w:t>Prunus domestica</w:t>
      </w:r>
      <w:r>
        <w:t xml:space="preserve"> y </w:t>
      </w:r>
      <w:r>
        <w:rPr>
          <w:i/>
        </w:rPr>
        <w:t>Prunus persica</w:t>
      </w:r>
      <w:r>
        <w:t xml:space="preserve"> </w:t>
      </w:r>
    </w:p>
    <w:p w:rsidR="00E22E83" w:rsidRDefault="0050782C">
      <w:pPr>
        <w:pStyle w:val="IPPParagraphnumbering"/>
        <w:numPr>
          <w:ilvl w:val="0"/>
          <w:numId w:val="0"/>
        </w:numPr>
        <w:tabs>
          <w:tab w:val="num" w:pos="2552"/>
        </w:tabs>
      </w:pPr>
      <w:r>
        <w:rPr>
          <w:rStyle w:val="PleaseReviewParagraphId"/>
        </w:rPr>
        <w:t>[29]</w:t>
      </w:r>
      <w:r>
        <w:rPr>
          <w:b/>
        </w:rPr>
        <w:t>Ingrediente activo</w:t>
      </w:r>
      <w:r>
        <w:tab/>
        <w:t>No aplicable</w:t>
      </w:r>
    </w:p>
    <w:p w:rsidR="00E22E83" w:rsidRDefault="0050782C">
      <w:pPr>
        <w:pStyle w:val="IPPParagraphnumbering"/>
        <w:numPr>
          <w:ilvl w:val="0"/>
          <w:numId w:val="0"/>
        </w:numPr>
        <w:tabs>
          <w:tab w:val="num" w:pos="2552"/>
        </w:tabs>
      </w:pPr>
      <w:r>
        <w:rPr>
          <w:rStyle w:val="PleaseReviewParagraphId"/>
        </w:rPr>
        <w:t>[30]</w:t>
      </w:r>
      <w:r>
        <w:rPr>
          <w:b/>
        </w:rPr>
        <w:t>Tipo de tratamiento</w:t>
      </w:r>
      <w:r>
        <w:tab/>
        <w:t>Físico (frío)</w:t>
      </w:r>
    </w:p>
    <w:p w:rsidR="00E22E83" w:rsidRDefault="0050782C">
      <w:pPr>
        <w:pStyle w:val="IPPParagraphnumbering"/>
        <w:numPr>
          <w:ilvl w:val="0"/>
          <w:numId w:val="0"/>
        </w:numPr>
        <w:tabs>
          <w:tab w:val="num" w:pos="2552"/>
        </w:tabs>
      </w:pPr>
      <w:r>
        <w:rPr>
          <w:rStyle w:val="PleaseReviewParagraphId"/>
        </w:rPr>
        <w:t>[31]</w:t>
      </w:r>
      <w:r>
        <w:rPr>
          <w:b/>
        </w:rPr>
        <w:t>Plaga objetivo</w:t>
      </w:r>
      <w:r>
        <w:tab/>
      </w:r>
      <w:r>
        <w:rPr>
          <w:i/>
        </w:rPr>
        <w:t xml:space="preserve">Bactrocera tryoni </w:t>
      </w:r>
      <w:r>
        <w:t>(Froggatt, 1897) (Diptera: Tephritidae)</w:t>
      </w:r>
    </w:p>
    <w:p w:rsidR="00E22E83" w:rsidRDefault="0050782C">
      <w:pPr>
        <w:pStyle w:val="IPPParagraphnumbering"/>
        <w:numPr>
          <w:ilvl w:val="0"/>
          <w:numId w:val="0"/>
        </w:numPr>
        <w:tabs>
          <w:tab w:val="num" w:pos="2552"/>
        </w:tabs>
        <w:ind w:left="2517" w:hanging="2517"/>
      </w:pPr>
      <w:r>
        <w:rPr>
          <w:rStyle w:val="PleaseReviewParagraphId"/>
        </w:rPr>
        <w:lastRenderedPageBreak/>
        <w:t>[32]</w:t>
      </w:r>
      <w:r>
        <w:rPr>
          <w:b/>
        </w:rPr>
        <w:t>Artículos reglamentados objeto del tratamiento</w:t>
      </w:r>
      <w:r>
        <w:tab/>
        <w:t xml:space="preserve">Frutos de </w:t>
      </w:r>
      <w:r>
        <w:rPr>
          <w:i/>
        </w:rPr>
        <w:t>Prunus avium</w:t>
      </w:r>
      <w:r>
        <w:t xml:space="preserve"> (cerezo), </w:t>
      </w:r>
      <w:r>
        <w:rPr>
          <w:i/>
        </w:rPr>
        <w:t>Prunus domestica</w:t>
      </w:r>
      <w:r>
        <w:t xml:space="preserve"> (ciruelo) y </w:t>
      </w:r>
      <w:r>
        <w:rPr>
          <w:i/>
        </w:rPr>
        <w:t>Prunus persica</w:t>
      </w:r>
      <w:r>
        <w:t xml:space="preserve"> (melocotonero/duraznero y nectarino)</w:t>
      </w:r>
    </w:p>
    <w:p w:rsidR="00E22E83" w:rsidRDefault="0050782C">
      <w:pPr>
        <w:pStyle w:val="IPPHeading1"/>
      </w:pPr>
      <w:r>
        <w:rPr>
          <w:rStyle w:val="PleaseReviewParagraphId"/>
          <w:b w:val="0"/>
        </w:rPr>
        <w:t>[33]</w:t>
      </w:r>
      <w:r>
        <w:t xml:space="preserve">Protocolo de tratamiento </w:t>
      </w:r>
    </w:p>
    <w:p w:rsidR="00E22E83" w:rsidRDefault="0050782C">
      <w:pPr>
        <w:pStyle w:val="IPPParagraphnumbering"/>
        <w:numPr>
          <w:ilvl w:val="0"/>
          <w:numId w:val="0"/>
        </w:numPr>
        <w:rPr>
          <w:b/>
        </w:rPr>
      </w:pPr>
      <w:r>
        <w:rPr>
          <w:rStyle w:val="PleaseReviewParagraphId"/>
        </w:rPr>
        <w:t>[34]</w:t>
      </w:r>
      <w:r>
        <w:rPr>
          <w:b/>
        </w:rPr>
        <w:t>Protocolo 1: 14 días consecutivos a 1 °C o temperatura inferior</w:t>
      </w:r>
    </w:p>
    <w:p w:rsidR="00E22E83" w:rsidRDefault="0050782C">
      <w:pPr>
        <w:pStyle w:val="IPPParagraphnumbering"/>
        <w:numPr>
          <w:ilvl w:val="0"/>
          <w:numId w:val="0"/>
        </w:numPr>
        <w:rPr>
          <w:iCs/>
        </w:rPr>
      </w:pPr>
      <w:r>
        <w:rPr>
          <w:rStyle w:val="PleaseReviewParagraphId"/>
        </w:rPr>
        <w:t>[35]</w:t>
      </w:r>
      <w:r>
        <w:t xml:space="preserve">Respecto de </w:t>
      </w:r>
      <w:r>
        <w:rPr>
          <w:i/>
        </w:rPr>
        <w:t>Prunus persica</w:t>
      </w:r>
      <w:r>
        <w:t xml:space="preserve">, se tiene un nivel de confianza del 95 % en que el tratamiento conforme a este protocolo prevenga el desarrollo de puparios en no menos del 99,9928 % de los huevos y las larvas de </w:t>
      </w:r>
      <w:r>
        <w:rPr>
          <w:i/>
        </w:rPr>
        <w:t>Bactrocera tryoni</w:t>
      </w:r>
      <w:r>
        <w:t>.</w:t>
      </w:r>
    </w:p>
    <w:p w:rsidR="00E22E83" w:rsidRDefault="0050782C">
      <w:pPr>
        <w:pStyle w:val="IPPParagraphnumbering"/>
        <w:numPr>
          <w:ilvl w:val="0"/>
          <w:numId w:val="0"/>
        </w:numPr>
        <w:rPr>
          <w:b/>
        </w:rPr>
      </w:pPr>
      <w:r>
        <w:rPr>
          <w:rStyle w:val="PleaseReviewParagraphId"/>
        </w:rPr>
        <w:t>[36]</w:t>
      </w:r>
      <w:r>
        <w:rPr>
          <w:b/>
        </w:rPr>
        <w:t>Protocolo 2: 14 días consecutivos a 3 °C o temperatura inferior</w:t>
      </w:r>
    </w:p>
    <w:p w:rsidR="00E22E83" w:rsidRDefault="0050782C">
      <w:pPr>
        <w:pStyle w:val="IPPParagraphnumbering"/>
        <w:numPr>
          <w:ilvl w:val="0"/>
          <w:numId w:val="0"/>
        </w:numPr>
        <w:rPr>
          <w:i/>
        </w:rPr>
      </w:pPr>
      <w:r>
        <w:rPr>
          <w:rStyle w:val="PleaseReviewParagraphId"/>
        </w:rPr>
        <w:t>[37]</w:t>
      </w:r>
      <w:r>
        <w:t xml:space="preserve">Respecto de </w:t>
      </w:r>
      <w:r>
        <w:rPr>
          <w:i/>
        </w:rPr>
        <w:t>Prunus avium</w:t>
      </w:r>
      <w:r>
        <w:t xml:space="preserve">, se tiene un nivel de confianza del 95 % en que el tratamiento conforme a este protocolo prevenga el desarrollo de puparios en no menos del 99,9966 % de los huevos y las larvas de </w:t>
      </w:r>
      <w:r>
        <w:rPr>
          <w:i/>
        </w:rPr>
        <w:t>Bactrocera tryoni</w:t>
      </w:r>
      <w:r>
        <w:t>.</w:t>
      </w:r>
    </w:p>
    <w:p w:rsidR="00E22E83" w:rsidRDefault="0050782C">
      <w:pPr>
        <w:pStyle w:val="IPPParagraphnumbering"/>
        <w:numPr>
          <w:ilvl w:val="0"/>
          <w:numId w:val="0"/>
        </w:numPr>
        <w:rPr>
          <w:i/>
        </w:rPr>
      </w:pPr>
      <w:r>
        <w:rPr>
          <w:rStyle w:val="PleaseReviewParagraphId"/>
        </w:rPr>
        <w:t>[38]</w:t>
      </w:r>
      <w:r>
        <w:t xml:space="preserve">Respecto de </w:t>
      </w:r>
      <w:r>
        <w:rPr>
          <w:i/>
        </w:rPr>
        <w:t>Prunus domestica</w:t>
      </w:r>
      <w:r>
        <w:t xml:space="preserve">, se tiene un nivel de confianza del 95 % en que el tratamiento conforme a este protocolo prevenga el desarrollo de puparios en no menos del 99,9953 % de los huevos y las larvas de </w:t>
      </w:r>
      <w:r>
        <w:rPr>
          <w:i/>
        </w:rPr>
        <w:t>Bactrocera tryoni</w:t>
      </w:r>
      <w:r>
        <w:t>.</w:t>
      </w:r>
    </w:p>
    <w:p w:rsidR="00E22E83" w:rsidRDefault="0050782C">
      <w:pPr>
        <w:pStyle w:val="IPPParagraphnumbering"/>
        <w:numPr>
          <w:ilvl w:val="0"/>
          <w:numId w:val="0"/>
        </w:numPr>
        <w:rPr>
          <w:iCs/>
        </w:rPr>
      </w:pPr>
      <w:r>
        <w:rPr>
          <w:rStyle w:val="PleaseReviewParagraphId"/>
        </w:rPr>
        <w:t>[39]</w:t>
      </w:r>
      <w:r>
        <w:t xml:space="preserve">Respecto de </w:t>
      </w:r>
      <w:r>
        <w:rPr>
          <w:i/>
        </w:rPr>
        <w:t>Prunus persica</w:t>
      </w:r>
      <w:r>
        <w:t xml:space="preserve">, se tiene un nivel de confianza del 95 % en que el tratamiento conforme a este protocolo prevenga el desarrollo de puparios en no menos del 99,9917 % de los huevos y las larvas de </w:t>
      </w:r>
      <w:r>
        <w:rPr>
          <w:i/>
        </w:rPr>
        <w:t>Bactrocera tryoni</w:t>
      </w:r>
      <w:r>
        <w:t>.</w:t>
      </w:r>
    </w:p>
    <w:p w:rsidR="00E22E83" w:rsidRDefault="0050782C">
      <w:pPr>
        <w:pStyle w:val="IPPParagraphnumbering"/>
        <w:numPr>
          <w:ilvl w:val="0"/>
          <w:numId w:val="0"/>
        </w:numPr>
      </w:pPr>
      <w:r>
        <w:rPr>
          <w:rStyle w:val="PleaseReviewParagraphId"/>
        </w:rPr>
        <w:t>[40]</w:t>
      </w:r>
      <w:r>
        <w:t>En ambos protocolos, la fruta debe alcanzar la temperatura de tratamiento antes de que comience a registrarse el tiempo de exposición. Debería controlarse y registrarse la temperatura de la fruta, que no debería superar el nivel especificado en toda la duración del tratamiento.</w:t>
      </w:r>
    </w:p>
    <w:p w:rsidR="00E22E83" w:rsidRDefault="0050782C">
      <w:pPr>
        <w:pStyle w:val="IPPParagraphnumbering"/>
        <w:numPr>
          <w:ilvl w:val="0"/>
          <w:numId w:val="0"/>
        </w:numPr>
      </w:pPr>
      <w:r>
        <w:rPr>
          <w:rStyle w:val="PleaseReviewParagraphId"/>
        </w:rPr>
        <w:t>[41]</w:t>
      </w:r>
      <w:r>
        <w:t>Este tratamiento debería aplicarse de conformidad con los requisitos establecidos en la NIMF 42 (</w:t>
      </w:r>
      <w:r>
        <w:rPr>
          <w:i/>
        </w:rPr>
        <w:t>Requisitos para el uso de tratamientos térmicos como medidas fitosanitarias</w:t>
      </w:r>
      <w:r>
        <w:t>).</w:t>
      </w:r>
    </w:p>
    <w:p w:rsidR="00E22E83" w:rsidRDefault="0050782C">
      <w:pPr>
        <w:pStyle w:val="IPPHeading1"/>
      </w:pPr>
      <w:r>
        <w:rPr>
          <w:rStyle w:val="PleaseReviewParagraphId"/>
          <w:b w:val="0"/>
        </w:rPr>
        <w:t>[42]</w:t>
      </w:r>
      <w:r>
        <w:t>Otra información pertinente</w:t>
      </w:r>
    </w:p>
    <w:p w:rsidR="00E22E83" w:rsidRDefault="0050782C">
      <w:pPr>
        <w:pStyle w:val="IPPParagraphnumbering"/>
        <w:numPr>
          <w:ilvl w:val="0"/>
          <w:numId w:val="0"/>
        </w:numPr>
      </w:pPr>
      <w:r>
        <w:rPr>
          <w:rStyle w:val="PleaseReviewParagraphId"/>
        </w:rPr>
        <w:t>[43]</w:t>
      </w:r>
      <w:r>
        <w:t>Al evaluar este tratamiento, el Grupo técnico sobre tratamientos fitosanitarios consideró cuestiones relativas a los regímenes de temperaturas y el acondicionamiento térmico, teniendo en cuenta el trabajo de Hallman y Mangan (1997).</w:t>
      </w:r>
    </w:p>
    <w:p w:rsidR="00E22E83" w:rsidRDefault="0050782C">
      <w:pPr>
        <w:pStyle w:val="IPPParagraphnumbering"/>
        <w:numPr>
          <w:ilvl w:val="0"/>
          <w:numId w:val="0"/>
        </w:numPr>
      </w:pPr>
      <w:r>
        <w:rPr>
          <w:rStyle w:val="PleaseReviewParagraphId"/>
        </w:rPr>
        <w:lastRenderedPageBreak/>
        <w:t>[44]</w:t>
      </w:r>
      <w:r>
        <w:t>Los protocolos 1 y 2, que se basan en el trabajo del NSW DPI (2008, 2012), se elaboraron utilizando la ausencia de desarrollo del pupario como medida de la mortalidad.</w:t>
      </w:r>
    </w:p>
    <w:p w:rsidR="00E22E83" w:rsidRDefault="0050782C">
      <w:pPr>
        <w:pStyle w:val="IPPParagraphnumberingclose"/>
        <w:numPr>
          <w:ilvl w:val="0"/>
          <w:numId w:val="0"/>
        </w:numPr>
      </w:pPr>
      <w:r>
        <w:rPr>
          <w:rStyle w:val="PleaseReviewParagraphId"/>
        </w:rPr>
        <w:t>[45]</w:t>
      </w:r>
      <w:r>
        <w:t>La eficacia del protocolo 1 se calculó sobre la base de las siguientes cifras estimadas de individuos tratados sin supervivientes:</w:t>
      </w:r>
    </w:p>
    <w:p w:rsidR="00E22E83" w:rsidRDefault="0050782C">
      <w:pPr>
        <w:pStyle w:val="IPPBullet1"/>
      </w:pPr>
      <w:r>
        <w:rPr>
          <w:rStyle w:val="PleaseReviewParagraphId"/>
        </w:rPr>
        <w:t>[46]</w:t>
      </w:r>
      <w:r>
        <w:t xml:space="preserve">respecto de </w:t>
      </w:r>
      <w:r>
        <w:rPr>
          <w:i/>
        </w:rPr>
        <w:t>P. persica</w:t>
      </w:r>
      <w:r>
        <w:t>: 41 820.</w:t>
      </w:r>
    </w:p>
    <w:p w:rsidR="00E22E83" w:rsidRDefault="0050782C">
      <w:pPr>
        <w:pStyle w:val="IPPParagraphnumberingclose"/>
        <w:numPr>
          <w:ilvl w:val="0"/>
          <w:numId w:val="0"/>
        </w:numPr>
      </w:pPr>
      <w:r>
        <w:rPr>
          <w:rStyle w:val="PleaseReviewParagraphId"/>
        </w:rPr>
        <w:t>[47]</w:t>
      </w:r>
      <w:r>
        <w:t>La eficacia del protocolo 2 se calculó sobre la base de las siguientes cifras estimadas de individuos tratados sin supervivientes:</w:t>
      </w:r>
    </w:p>
    <w:p w:rsidR="00E22E83" w:rsidRDefault="0050782C">
      <w:pPr>
        <w:pStyle w:val="IPPBullet1"/>
      </w:pPr>
      <w:r>
        <w:rPr>
          <w:rStyle w:val="PleaseReviewParagraphId"/>
        </w:rPr>
        <w:t>[48]</w:t>
      </w:r>
      <w:r>
        <w:t xml:space="preserve">respecto de </w:t>
      </w:r>
      <w:r>
        <w:rPr>
          <w:i/>
        </w:rPr>
        <w:t>P. avium</w:t>
      </w:r>
      <w:r>
        <w:t>: 89 322</w:t>
      </w:r>
    </w:p>
    <w:p w:rsidR="00E22E83" w:rsidRDefault="0050782C">
      <w:pPr>
        <w:pStyle w:val="IPPBullet1"/>
      </w:pPr>
      <w:r>
        <w:rPr>
          <w:rStyle w:val="PleaseReviewParagraphId"/>
        </w:rPr>
        <w:t>[49]</w:t>
      </w:r>
      <w:r>
        <w:t xml:space="preserve">respecto de </w:t>
      </w:r>
      <w:r>
        <w:rPr>
          <w:i/>
        </w:rPr>
        <w:t>P. domestica</w:t>
      </w:r>
      <w:r>
        <w:t>: 64 226</w:t>
      </w:r>
    </w:p>
    <w:p w:rsidR="00E22E83" w:rsidRDefault="0050782C">
      <w:pPr>
        <w:pStyle w:val="IPPBullet1"/>
      </w:pPr>
      <w:r>
        <w:rPr>
          <w:rStyle w:val="PleaseReviewParagraphId"/>
        </w:rPr>
        <w:t>[50]</w:t>
      </w:r>
      <w:r>
        <w:t xml:space="preserve">respecto de </w:t>
      </w:r>
      <w:r>
        <w:rPr>
          <w:i/>
        </w:rPr>
        <w:t>P. persica</w:t>
      </w:r>
      <w:r>
        <w:t>:</w:t>
      </w:r>
      <w:r>
        <w:rPr>
          <w:i/>
        </w:rPr>
        <w:t xml:space="preserve"> </w:t>
      </w:r>
      <w:r>
        <w:t>35 987.</w:t>
      </w:r>
    </w:p>
    <w:p w:rsidR="00E22E83" w:rsidRDefault="0050782C">
      <w:pPr>
        <w:pStyle w:val="IPPParagraphnumberingclose"/>
        <w:numPr>
          <w:ilvl w:val="0"/>
          <w:numId w:val="0"/>
        </w:numPr>
      </w:pPr>
      <w:r>
        <w:rPr>
          <w:rStyle w:val="PleaseReviewParagraphId"/>
        </w:rPr>
        <w:t>[51]</w:t>
      </w:r>
      <w:r>
        <w:t xml:space="preserve">Los protocolos 1 y 2 se elaboraron utilizando los siguientes productos y cultivares: </w:t>
      </w:r>
    </w:p>
    <w:p w:rsidR="00E22E83" w:rsidRDefault="0050782C">
      <w:pPr>
        <w:pStyle w:val="IPPBullet1"/>
      </w:pPr>
      <w:r>
        <w:rPr>
          <w:rStyle w:val="PleaseReviewParagraphId"/>
        </w:rPr>
        <w:t>[52]</w:t>
      </w:r>
      <w:r>
        <w:rPr>
          <w:i/>
        </w:rPr>
        <w:t>Prunus avium</w:t>
      </w:r>
      <w:r>
        <w:t xml:space="preserve"> (cerezo) (cultivar ‘Sweetheart’) </w:t>
      </w:r>
    </w:p>
    <w:p w:rsidR="00E22E83" w:rsidRDefault="0050782C">
      <w:pPr>
        <w:pStyle w:val="IPPBullet1"/>
      </w:pPr>
      <w:r>
        <w:rPr>
          <w:rStyle w:val="PleaseReviewParagraphId"/>
        </w:rPr>
        <w:t>[53]</w:t>
      </w:r>
      <w:r>
        <w:rPr>
          <w:i/>
        </w:rPr>
        <w:t>Prunus domestica</w:t>
      </w:r>
      <w:r>
        <w:t xml:space="preserve"> (ciruelo) (cultivar ‘Angelino’) </w:t>
      </w:r>
    </w:p>
    <w:p w:rsidR="00E22E83" w:rsidRDefault="0050782C">
      <w:pPr>
        <w:pStyle w:val="IPPBullet1"/>
      </w:pPr>
      <w:r>
        <w:rPr>
          <w:rStyle w:val="PleaseReviewParagraphId"/>
        </w:rPr>
        <w:t>[54]</w:t>
      </w:r>
      <w:r>
        <w:rPr>
          <w:i/>
        </w:rPr>
        <w:t>Prunus persica</w:t>
      </w:r>
      <w:r>
        <w:t xml:space="preserve"> var. </w:t>
      </w:r>
      <w:r>
        <w:rPr>
          <w:i/>
        </w:rPr>
        <w:t>nectarina</w:t>
      </w:r>
      <w:r>
        <w:t xml:space="preserve"> (nectarino) (cultivar ‘Arctic Snow’) </w:t>
      </w:r>
    </w:p>
    <w:p w:rsidR="00E22E83" w:rsidRDefault="0050782C">
      <w:pPr>
        <w:pStyle w:val="IPPParagraphnumberingclose"/>
        <w:numPr>
          <w:ilvl w:val="0"/>
          <w:numId w:val="0"/>
        </w:numPr>
      </w:pPr>
      <w:r>
        <w:rPr>
          <w:rStyle w:val="PleaseReviewParagraphId"/>
        </w:rPr>
        <w:t>[55]</w:t>
      </w:r>
      <w:r>
        <w:t xml:space="preserve">En el presente tratamiento, </w:t>
      </w:r>
      <w:r>
        <w:rPr>
          <w:i/>
        </w:rPr>
        <w:t>Prunus persica</w:t>
      </w:r>
      <w:r>
        <w:t xml:space="preserve"> incluye todos los cultivares y variedades, incluidos los nectarinos (Vendramin </w:t>
      </w:r>
      <w:r>
        <w:rPr>
          <w:i/>
        </w:rPr>
        <w:t>et al.</w:t>
      </w:r>
      <w:r>
        <w:t xml:space="preserve"> 2014).</w:t>
      </w:r>
    </w:p>
    <w:p w:rsidR="00E22E83" w:rsidRDefault="0050782C">
      <w:pPr>
        <w:pStyle w:val="IPPHeading1"/>
      </w:pPr>
      <w:r>
        <w:rPr>
          <w:rStyle w:val="PleaseReviewParagraphId"/>
          <w:b w:val="0"/>
        </w:rPr>
        <w:t>[56]</w:t>
      </w:r>
      <w:r>
        <w:t>Referencias</w:t>
      </w:r>
    </w:p>
    <w:p w:rsidR="00E22E83" w:rsidRDefault="0050782C">
      <w:pPr>
        <w:pStyle w:val="IPPParagraphnumbering"/>
        <w:numPr>
          <w:ilvl w:val="0"/>
          <w:numId w:val="0"/>
        </w:numPr>
        <w:rPr>
          <w:b/>
          <w:bCs/>
        </w:rPr>
      </w:pPr>
      <w:r>
        <w:rPr>
          <w:rStyle w:val="PleaseReviewParagraphId"/>
        </w:rPr>
        <w:t>[57]</w:t>
      </w:r>
      <w:r>
        <w:t xml:space="preserve">En el presente anexo puede hacerse referencia a NIMF. Las NIMF están disponibles en el Portal fitosanitario internacional (PFI): </w:t>
      </w:r>
      <w:hyperlink r:id="rId8">
        <w:r>
          <w:rPr>
            <w:rStyle w:val="Hyperlink"/>
          </w:rPr>
          <w:t>https://www.ippc.int/es/core-activities/standards-setting/ispms</w:t>
        </w:r>
      </w:hyperlink>
      <w:r>
        <w:t>.</w:t>
      </w:r>
    </w:p>
    <w:p w:rsidR="00E22E83" w:rsidRDefault="0050782C">
      <w:pPr>
        <w:pStyle w:val="IPPReferences"/>
      </w:pPr>
      <w:r>
        <w:rPr>
          <w:rStyle w:val="PleaseReviewParagraphId"/>
        </w:rPr>
        <w:t>[58]</w:t>
      </w:r>
      <w:r>
        <w:rPr>
          <w:b/>
        </w:rPr>
        <w:t xml:space="preserve">Hallman, G.J. y Mangan, R.L. </w:t>
      </w:r>
      <w:r>
        <w:t>1997. Concerns with temperature quarantine treatment research. En: G.L. Obenauf, ed. Proceedings of the Annual International Research Conference on Methyl Bromide Alternatives and Emissions Reduction, San Diego, CA, 3-5 de noviembre de 1997, págs. 79-1 a 79-4.</w:t>
      </w:r>
    </w:p>
    <w:p w:rsidR="00E22E83" w:rsidRDefault="0050782C">
      <w:pPr>
        <w:pStyle w:val="IPPReferences"/>
      </w:pPr>
      <w:r>
        <w:rPr>
          <w:rStyle w:val="PleaseReviewParagraphId"/>
        </w:rPr>
        <w:t>[59]</w:t>
      </w:r>
      <w:r>
        <w:rPr>
          <w:b/>
        </w:rPr>
        <w:t xml:space="preserve">NSW DPI </w:t>
      </w:r>
      <w:r>
        <w:t xml:space="preserve">(Departamento de Industrias Primarias de Nueva Gales del Sur). 2008. </w:t>
      </w:r>
      <w:r>
        <w:rPr>
          <w:i/>
        </w:rPr>
        <w:t>Cold treatment of Australian summerfruit (plums, nectarines / peaches) infested with eggs and larvae of the Queensland fruit fly (</w:t>
      </w:r>
      <w:r>
        <w:t>Bactrocera tryoni</w:t>
      </w:r>
      <w:r>
        <w:rPr>
          <w:i/>
        </w:rPr>
        <w:t xml:space="preserve"> (Froggatt)) Diptera: Tephritidae</w:t>
      </w:r>
      <w:r>
        <w:t>. Gosford (Australia), NSW DPI. 132 págs.</w:t>
      </w:r>
    </w:p>
    <w:p w:rsidR="00E22E83" w:rsidRDefault="0050782C">
      <w:pPr>
        <w:pStyle w:val="IPPReferences"/>
      </w:pPr>
      <w:r>
        <w:rPr>
          <w:rStyle w:val="PleaseReviewParagraphId"/>
        </w:rPr>
        <w:t>[60]</w:t>
      </w:r>
      <w:r>
        <w:rPr>
          <w:b/>
        </w:rPr>
        <w:t xml:space="preserve">NSW DPI </w:t>
      </w:r>
      <w:r>
        <w:t xml:space="preserve">(Departamento de Industrias Primarias de Nueva Gales del Sur). 2012. </w:t>
      </w:r>
      <w:r>
        <w:rPr>
          <w:i/>
        </w:rPr>
        <w:t xml:space="preserve">Cold treatment of Australian cherries infested with eggs and larvae of the </w:t>
      </w:r>
      <w:r>
        <w:rPr>
          <w:i/>
        </w:rPr>
        <w:lastRenderedPageBreak/>
        <w:t>Queensland fruit fly (</w:t>
      </w:r>
      <w:r>
        <w:t>Bactrocera tryoni</w:t>
      </w:r>
      <w:r>
        <w:rPr>
          <w:i/>
        </w:rPr>
        <w:t xml:space="preserve"> (Froggatt)) Diptera: Tephritidae</w:t>
      </w:r>
      <w:r>
        <w:t>. Gosford (Australia), NSW DPI. 89 págs.</w:t>
      </w:r>
    </w:p>
    <w:p w:rsidR="00E22E83" w:rsidRDefault="0050782C">
      <w:pPr>
        <w:pStyle w:val="IPPReferences"/>
        <w:spacing w:after="240"/>
        <w:rPr>
          <w:rFonts w:eastAsiaTheme="minorEastAsia"/>
        </w:rPr>
      </w:pPr>
      <w:r>
        <w:rPr>
          <w:rStyle w:val="PleaseReviewParagraphId"/>
        </w:rPr>
        <w:t>[61]</w:t>
      </w:r>
      <w:r>
        <w:rPr>
          <w:b/>
        </w:rPr>
        <w:t>Vendramin E., Pea G., Dondini L., Pacheco I., Dettori MT., Gazza L., Scalabrin S., Strozzi F., Tartarini S., Bassi D., Verde I., Rossini L.,</w:t>
      </w:r>
      <w:r>
        <w:t xml:space="preserve"> 2014. A Unique Mutation in a MYB Gene Cosegregates with the Nectarine Phenotype in Peach. PLoS One, marzo de 2014 9(3); e90574., doi: 10,1371/journal.pone.0090574.</w:t>
      </w:r>
    </w:p>
    <w:sectPr w:rsidR="00E22E83">
      <w:pgSz w:w="11906" w:h="16838" w:code="9"/>
      <w:pgMar w:top="1559" w:right="1418" w:bottom="1418" w:left="1418" w:header="851" w:footer="851" w:gutter="0"/>
      <w:cols w:space="425"/>
      <w:titlePg/>
      <w:docGrid w:type="lines"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F597DA" w16cid:durableId="1EFB174D"/>
  <w16cid:commentId w16cid:paraId="128ACF0B" w16cid:durableId="1EFB1760"/>
  <w16cid:commentId w16cid:paraId="50F2C335" w16cid:durableId="1EFE2B33"/>
  <w16cid:commentId w16cid:paraId="70F151DA" w16cid:durableId="1EFB1AB8"/>
  <w16cid:commentId w16cid:paraId="015F135F" w16cid:durableId="1EFB15DC"/>
  <w16cid:commentId w16cid:paraId="720A3206" w16cid:durableId="1EFE2B9B"/>
  <w16cid:commentId w16cid:paraId="023892AD" w16cid:durableId="1F005F66"/>
  <w16cid:commentId w16cid:paraId="3E0F0362" w16cid:durableId="1EF9C7BD"/>
  <w16cid:commentId w16cid:paraId="4D4E64B8" w16cid:durableId="1F005F34"/>
  <w16cid:commentId w16cid:paraId="1CFE6D9E" w16cid:durableId="1F040109"/>
  <w16cid:commentId w16cid:paraId="0BCCF2BF" w16cid:durableId="1F0401D1"/>
  <w16cid:commentId w16cid:paraId="6F577E10" w16cid:durableId="1EF9C7BE"/>
  <w16cid:commentId w16cid:paraId="7894F2BD" w16cid:durableId="1EF9C7BF"/>
  <w16cid:commentId w16cid:paraId="4DA6C415" w16cid:durableId="1EFC72E0"/>
  <w16cid:commentId w16cid:paraId="1D78DD71" w16cid:durableId="1EFCE82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15B" w:rsidRDefault="0056515B">
      <w:r>
        <w:rPr>
          <w:rStyle w:val="PleaseReviewParagraphId"/>
        </w:rPr>
        <w:t>[]</w:t>
      </w:r>
      <w:r>
        <w:separator/>
      </w:r>
    </w:p>
  </w:endnote>
  <w:endnote w:type="continuationSeparator" w:id="0">
    <w:p w:rsidR="0056515B" w:rsidRDefault="0056515B">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Italic">
    <w:altName w:val="Arial"/>
    <w:panose1 w:val="020B0604020202090204"/>
    <w:charset w:val="00"/>
    <w:family w:val="auto"/>
    <w:pitch w:val="variable"/>
    <w:sig w:usb0="E0000AFF" w:usb1="00007843" w:usb2="00000001" w:usb3="00000000" w:csb0="000001B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15B" w:rsidRDefault="0056515B">
      <w:r>
        <w:rPr>
          <w:rStyle w:val="PleaseReviewParagraphId"/>
        </w:rPr>
        <w:t>[]</w:t>
      </w:r>
      <w:r>
        <w:separator/>
      </w:r>
    </w:p>
  </w:footnote>
  <w:footnote w:type="continuationSeparator" w:id="0">
    <w:p w:rsidR="0056515B" w:rsidRDefault="0056515B">
      <w:r>
        <w:rPr>
          <w:rStyle w:val="PleaseReviewParagraphId"/>
        </w:rPr>
        <w:t>[]</w:t>
      </w:r>
      <w:r>
        <w:continuationSeparator/>
      </w:r>
    </w:p>
  </w:footnote>
  <w:footnote w:id="1">
    <w:p w:rsidR="00E22E83" w:rsidRDefault="0050782C">
      <w:pPr>
        <w:pStyle w:val="IPPFootnote"/>
      </w:pPr>
      <w:r>
        <w:rPr>
          <w:rStyle w:val="PleaseReviewParagraphId"/>
        </w:rPr>
        <w:t>[26]</w:t>
      </w:r>
      <w:r>
        <w:rPr>
          <w:rStyle w:val="FootnoteReference"/>
        </w:rPr>
        <w:footnoteRef/>
      </w:r>
      <w:r>
        <w:t xml:space="preserve"> El ámbito de los tratamientos fitosanitarios no abarca aspectos relacionados con el registro de plaguicidas u otros requisitos nacionales para la aprobación de tratamientos por las Partes Contratantes. Los tratamientos adoptados por la Comisión de Medidas Fitosanitarias pueden no proporcionar información sobre efectos específicos en la salud humana o la inocuidad alimentaria, los cuales deberían abordarse mediante procedimientos nacionales antes de que las Partes Contratantes aprueben un tratamiento. Por otra parte, respecto de ciertos productos hospedantes se consideran, antes de la adopción internacional del tratamiento, sus posibles repercusiones en la calidad de los productos. Sin embargo, la evaluación de los efectos de un tratamiento sobre la calidad de los productos podrá requerir un examen adicional. Las Partes Contratantes no tienen obligación de aprobar, registrar o adoptar los tratamientos con vistas a su utilización en su territorio.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BB78D1"/>
    <w:multiLevelType w:val="hybridMultilevel"/>
    <w:tmpl w:val="874864B8"/>
    <w:lvl w:ilvl="0" w:tplc="422E29DE">
      <w:start w:val="201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901B51"/>
    <w:multiLevelType w:val="hybridMultilevel"/>
    <w:tmpl w:val="9B582DBC"/>
    <w:lvl w:ilvl="0" w:tplc="CDF49AD0">
      <w:start w:val="2018"/>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2"/>
  </w:num>
  <w:num w:numId="3">
    <w:abstractNumId w:val="1"/>
  </w:num>
  <w:num w:numId="4">
    <w:abstractNumId w:val="6"/>
  </w:num>
  <w:num w:numId="5">
    <w:abstractNumId w:val="12"/>
  </w:num>
  <w:num w:numId="6">
    <w:abstractNumId w:val="9"/>
  </w:num>
  <w:num w:numId="7">
    <w:abstractNumId w:val="7"/>
  </w:num>
  <w:num w:numId="8">
    <w:abstractNumId w:val="13"/>
  </w:num>
  <w:num w:numId="9">
    <w:abstractNumId w:val="4"/>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8"/>
  </w:num>
  <w:num w:numId="18">
    <w:abstractNumId w:val="11"/>
  </w:num>
  <w:num w:numId="19">
    <w:abstractNumId w:val="5"/>
  </w:num>
  <w:num w:numId="20">
    <w:abstractNumId w:val="3"/>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linkStyles/>
  <w:defaultTabStop w:val="839"/>
  <w:hyphenationZone w:val="425"/>
  <w:evenAndOddHeaders/>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B9F"/>
    <w:rsid w:val="0000461C"/>
    <w:rsid w:val="00013D7D"/>
    <w:rsid w:val="000252D7"/>
    <w:rsid w:val="00037DC7"/>
    <w:rsid w:val="00060204"/>
    <w:rsid w:val="000637DC"/>
    <w:rsid w:val="00073DE0"/>
    <w:rsid w:val="0007785C"/>
    <w:rsid w:val="000830E9"/>
    <w:rsid w:val="00086B62"/>
    <w:rsid w:val="0009779D"/>
    <w:rsid w:val="000B7E55"/>
    <w:rsid w:val="000C3250"/>
    <w:rsid w:val="000D05D7"/>
    <w:rsid w:val="000E378A"/>
    <w:rsid w:val="000F0E6C"/>
    <w:rsid w:val="00106DFA"/>
    <w:rsid w:val="00121FEF"/>
    <w:rsid w:val="001272F5"/>
    <w:rsid w:val="00140790"/>
    <w:rsid w:val="001407D1"/>
    <w:rsid w:val="00153714"/>
    <w:rsid w:val="001A2436"/>
    <w:rsid w:val="001A302E"/>
    <w:rsid w:val="001A6955"/>
    <w:rsid w:val="001B58AF"/>
    <w:rsid w:val="001B70AE"/>
    <w:rsid w:val="001E295D"/>
    <w:rsid w:val="002047FF"/>
    <w:rsid w:val="0020483A"/>
    <w:rsid w:val="00206D65"/>
    <w:rsid w:val="00210370"/>
    <w:rsid w:val="002235E0"/>
    <w:rsid w:val="00250913"/>
    <w:rsid w:val="00254382"/>
    <w:rsid w:val="00284B1B"/>
    <w:rsid w:val="002900F6"/>
    <w:rsid w:val="002A49E3"/>
    <w:rsid w:val="002D229D"/>
    <w:rsid w:val="002E322C"/>
    <w:rsid w:val="00303921"/>
    <w:rsid w:val="00305C40"/>
    <w:rsid w:val="003066DE"/>
    <w:rsid w:val="003246FD"/>
    <w:rsid w:val="00360909"/>
    <w:rsid w:val="00370CBC"/>
    <w:rsid w:val="00371A81"/>
    <w:rsid w:val="00372805"/>
    <w:rsid w:val="00373624"/>
    <w:rsid w:val="0038291B"/>
    <w:rsid w:val="00397479"/>
    <w:rsid w:val="003A1B42"/>
    <w:rsid w:val="003A2EF7"/>
    <w:rsid w:val="003B1546"/>
    <w:rsid w:val="003C6A39"/>
    <w:rsid w:val="003D3BE8"/>
    <w:rsid w:val="003F6224"/>
    <w:rsid w:val="00415DD4"/>
    <w:rsid w:val="00425CFD"/>
    <w:rsid w:val="00425ECD"/>
    <w:rsid w:val="00426ACC"/>
    <w:rsid w:val="00430540"/>
    <w:rsid w:val="004756D5"/>
    <w:rsid w:val="004877C3"/>
    <w:rsid w:val="004971EE"/>
    <w:rsid w:val="004A1639"/>
    <w:rsid w:val="004A41FB"/>
    <w:rsid w:val="004C7BCF"/>
    <w:rsid w:val="004E6414"/>
    <w:rsid w:val="0050782C"/>
    <w:rsid w:val="0051352B"/>
    <w:rsid w:val="00526C54"/>
    <w:rsid w:val="00532089"/>
    <w:rsid w:val="005332F0"/>
    <w:rsid w:val="00534792"/>
    <w:rsid w:val="00557E07"/>
    <w:rsid w:val="00561B9F"/>
    <w:rsid w:val="005646C4"/>
    <w:rsid w:val="0056515B"/>
    <w:rsid w:val="005708FA"/>
    <w:rsid w:val="005837F5"/>
    <w:rsid w:val="005924DF"/>
    <w:rsid w:val="00597A27"/>
    <w:rsid w:val="005A06D6"/>
    <w:rsid w:val="005A59AE"/>
    <w:rsid w:val="005A73AE"/>
    <w:rsid w:val="005D56CE"/>
    <w:rsid w:val="005E7EB6"/>
    <w:rsid w:val="005F31BC"/>
    <w:rsid w:val="005F7AE5"/>
    <w:rsid w:val="00625F3F"/>
    <w:rsid w:val="00654133"/>
    <w:rsid w:val="00660379"/>
    <w:rsid w:val="00691A6A"/>
    <w:rsid w:val="006D0B50"/>
    <w:rsid w:val="00701C60"/>
    <w:rsid w:val="00712A24"/>
    <w:rsid w:val="00716E4F"/>
    <w:rsid w:val="0072151D"/>
    <w:rsid w:val="00730CB4"/>
    <w:rsid w:val="00731308"/>
    <w:rsid w:val="0073530F"/>
    <w:rsid w:val="00753E91"/>
    <w:rsid w:val="007603CD"/>
    <w:rsid w:val="00780E4F"/>
    <w:rsid w:val="00781365"/>
    <w:rsid w:val="007B57A8"/>
    <w:rsid w:val="007C4DCD"/>
    <w:rsid w:val="007E58DB"/>
    <w:rsid w:val="00806A0F"/>
    <w:rsid w:val="008209A0"/>
    <w:rsid w:val="00820A03"/>
    <w:rsid w:val="00821691"/>
    <w:rsid w:val="00821F2B"/>
    <w:rsid w:val="00822C21"/>
    <w:rsid w:val="0082491A"/>
    <w:rsid w:val="008306BC"/>
    <w:rsid w:val="008379D7"/>
    <w:rsid w:val="00842A7F"/>
    <w:rsid w:val="00855F2D"/>
    <w:rsid w:val="00871497"/>
    <w:rsid w:val="0089555D"/>
    <w:rsid w:val="008C4324"/>
    <w:rsid w:val="008D63F2"/>
    <w:rsid w:val="008D7FA9"/>
    <w:rsid w:val="008F0BC8"/>
    <w:rsid w:val="008F33CF"/>
    <w:rsid w:val="008F639A"/>
    <w:rsid w:val="008F7CC6"/>
    <w:rsid w:val="0091761C"/>
    <w:rsid w:val="00920D1B"/>
    <w:rsid w:val="009246EE"/>
    <w:rsid w:val="00927B8E"/>
    <w:rsid w:val="00935AF6"/>
    <w:rsid w:val="009415F1"/>
    <w:rsid w:val="009548E1"/>
    <w:rsid w:val="00973F72"/>
    <w:rsid w:val="0099229E"/>
    <w:rsid w:val="009B4288"/>
    <w:rsid w:val="009C43FD"/>
    <w:rsid w:val="009C4C3F"/>
    <w:rsid w:val="009E0D0C"/>
    <w:rsid w:val="009E327C"/>
    <w:rsid w:val="00A02B5F"/>
    <w:rsid w:val="00A113BD"/>
    <w:rsid w:val="00A15FD1"/>
    <w:rsid w:val="00A1737D"/>
    <w:rsid w:val="00A26FA4"/>
    <w:rsid w:val="00A46BA6"/>
    <w:rsid w:val="00A526E3"/>
    <w:rsid w:val="00A52955"/>
    <w:rsid w:val="00A56479"/>
    <w:rsid w:val="00A56A02"/>
    <w:rsid w:val="00AA3231"/>
    <w:rsid w:val="00AA44DB"/>
    <w:rsid w:val="00AB6BD0"/>
    <w:rsid w:val="00AC399B"/>
    <w:rsid w:val="00AC68F6"/>
    <w:rsid w:val="00AE7855"/>
    <w:rsid w:val="00B0239B"/>
    <w:rsid w:val="00B11871"/>
    <w:rsid w:val="00B24E28"/>
    <w:rsid w:val="00B44C46"/>
    <w:rsid w:val="00B53B29"/>
    <w:rsid w:val="00B83647"/>
    <w:rsid w:val="00B95661"/>
    <w:rsid w:val="00B9590D"/>
    <w:rsid w:val="00BB4CA1"/>
    <w:rsid w:val="00BC3AAE"/>
    <w:rsid w:val="00BC56D2"/>
    <w:rsid w:val="00BD329A"/>
    <w:rsid w:val="00BF1DA7"/>
    <w:rsid w:val="00C13B14"/>
    <w:rsid w:val="00C30FA3"/>
    <w:rsid w:val="00C47774"/>
    <w:rsid w:val="00C52EBD"/>
    <w:rsid w:val="00C6644D"/>
    <w:rsid w:val="00C7025F"/>
    <w:rsid w:val="00C72C58"/>
    <w:rsid w:val="00CB17E3"/>
    <w:rsid w:val="00CB4E30"/>
    <w:rsid w:val="00CB7D83"/>
    <w:rsid w:val="00CC05C2"/>
    <w:rsid w:val="00CC13C2"/>
    <w:rsid w:val="00CC3C17"/>
    <w:rsid w:val="00CC71B3"/>
    <w:rsid w:val="00CE3C90"/>
    <w:rsid w:val="00CF3E57"/>
    <w:rsid w:val="00D17B5B"/>
    <w:rsid w:val="00D30796"/>
    <w:rsid w:val="00D37287"/>
    <w:rsid w:val="00D45DDB"/>
    <w:rsid w:val="00D47DF5"/>
    <w:rsid w:val="00D62C36"/>
    <w:rsid w:val="00D7053F"/>
    <w:rsid w:val="00D9672E"/>
    <w:rsid w:val="00DA4DC1"/>
    <w:rsid w:val="00DA5013"/>
    <w:rsid w:val="00DC00FC"/>
    <w:rsid w:val="00DE6FAA"/>
    <w:rsid w:val="00E17A04"/>
    <w:rsid w:val="00E2105D"/>
    <w:rsid w:val="00E22E83"/>
    <w:rsid w:val="00E47840"/>
    <w:rsid w:val="00E633C2"/>
    <w:rsid w:val="00E85DAB"/>
    <w:rsid w:val="00E91AFC"/>
    <w:rsid w:val="00EB291C"/>
    <w:rsid w:val="00EC0413"/>
    <w:rsid w:val="00EC5B6F"/>
    <w:rsid w:val="00ED1225"/>
    <w:rsid w:val="00EE2D76"/>
    <w:rsid w:val="00EF2CBF"/>
    <w:rsid w:val="00EF37E4"/>
    <w:rsid w:val="00F079DA"/>
    <w:rsid w:val="00F11E41"/>
    <w:rsid w:val="00F13434"/>
    <w:rsid w:val="00F406A3"/>
    <w:rsid w:val="00F40BE1"/>
    <w:rsid w:val="00F42C72"/>
    <w:rsid w:val="00F60169"/>
    <w:rsid w:val="00F77115"/>
    <w:rsid w:val="00F8054D"/>
    <w:rsid w:val="00FE0114"/>
    <w:rsid w:val="00FE1E6B"/>
    <w:rsid w:val="00FE7F0E"/>
    <w:rsid w:val="00FF01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0F993EB1-2EAF-4E22-8951-7FF8E7079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s-ES" w:eastAsia="es-ES" w:bidi="es-ES"/>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85C"/>
    <w:pPr>
      <w:spacing w:after="160" w:line="259" w:lineRule="auto"/>
    </w:pPr>
    <w:rPr>
      <w:rFonts w:eastAsiaTheme="minorHAnsi"/>
      <w:kern w:val="0"/>
      <w:sz w:val="22"/>
      <w:lang w:val="en-US" w:eastAsia="en-US" w:bidi="ar-SA"/>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0778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785C"/>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kern w:val="0"/>
      <w:sz w:val="22"/>
      <w:szCs w:val="24"/>
      <w:lang w:val="es-ES" w:eastAsia="es-E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kern w:val="0"/>
      <w:sz w:val="22"/>
      <w:szCs w:val="24"/>
      <w:lang w:val="es-ES" w:eastAsia="es-E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kern w:val="0"/>
      <w:sz w:val="16"/>
      <w:szCs w:val="16"/>
      <w:lang w:val="es-ES" w:eastAsia="es-ES"/>
    </w:rPr>
  </w:style>
  <w:style w:type="table" w:styleId="TableGrid">
    <w:name w:val="Table Grid"/>
    <w:basedOn w:val="TableNormal"/>
    <w:rPr>
      <w:rFonts w:ascii="Cambria" w:eastAsia="MS Mincho" w:hAnsi="Cambria"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STableArialRegular">
    <w:name w:val="IPS Table Arial Regular"/>
    <w:basedOn w:val="Normal"/>
    <w:qFormat/>
    <w:pPr>
      <w:spacing w:before="60" w:after="60"/>
    </w:pPr>
    <w:rPr>
      <w:rFonts w:ascii="Arial" w:eastAsia="Times" w:hAnsi="Arial"/>
      <w:sz w:val="18"/>
      <w:lang w:eastAsia="es-E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kern w:val="0"/>
      <w:sz w:val="20"/>
      <w:szCs w:val="24"/>
      <w:lang w:val="es-ES" w:eastAsia="es-ES"/>
    </w:rPr>
  </w:style>
  <w:style w:type="character" w:styleId="FootnoteReference">
    <w:name w:val="footnote reference"/>
    <w:basedOn w:val="DefaultParagraphFont"/>
    <w:semiHidden/>
    <w:rPr>
      <w:vertAlign w:val="superscript"/>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character" w:customStyle="1" w:styleId="Heading1Char">
    <w:name w:val="Heading 1 Char"/>
    <w:basedOn w:val="DefaultParagraphFont"/>
    <w:link w:val="Heading1"/>
    <w:rPr>
      <w:rFonts w:ascii="Times New Roman" w:eastAsia="MS Mincho" w:hAnsi="Times New Roman" w:cs="Times New Roman"/>
      <w:b/>
      <w:bCs/>
      <w:kern w:val="0"/>
      <w:sz w:val="22"/>
      <w:szCs w:val="24"/>
      <w:lang w:val="es-ES" w:eastAsia="es-ES"/>
    </w:rPr>
  </w:style>
  <w:style w:type="character" w:customStyle="1" w:styleId="Heading2Char">
    <w:name w:val="Heading 2 Char"/>
    <w:basedOn w:val="DefaultParagraphFont"/>
    <w:link w:val="Heading2"/>
    <w:rPr>
      <w:rFonts w:ascii="Calibri" w:eastAsia="MS Mincho" w:hAnsi="Calibri" w:cs="Times New Roman"/>
      <w:b/>
      <w:bCs/>
      <w:i/>
      <w:iCs/>
      <w:kern w:val="0"/>
      <w:sz w:val="28"/>
      <w:szCs w:val="28"/>
      <w:lang w:val="es-ES" w:eastAsia="es-ES"/>
    </w:rPr>
  </w:style>
  <w:style w:type="character" w:customStyle="1" w:styleId="Heading3Char">
    <w:name w:val="Heading 3 Char"/>
    <w:basedOn w:val="DefaultParagraphFont"/>
    <w:link w:val="Heading3"/>
    <w:rPr>
      <w:rFonts w:ascii="Calibri" w:eastAsia="MS Mincho" w:hAnsi="Calibri" w:cs="Times New Roman"/>
      <w:b/>
      <w:bCs/>
      <w:kern w:val="0"/>
      <w:sz w:val="26"/>
      <w:szCs w:val="26"/>
      <w:lang w:val="es-ES" w:eastAsia="es-E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eastAsia="es-ES"/>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cs="Times New Roman"/>
      <w:b/>
      <w:kern w:val="0"/>
      <w:sz w:val="22"/>
      <w:szCs w:val="21"/>
      <w:lang w:val="es-ES" w:eastAsia="es-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qFormat/>
    <w:pPr>
      <w:numPr>
        <w:numId w:val="18"/>
      </w:numPr>
      <w:spacing w:after="60"/>
      <w:ind w:left="567" w:hanging="567"/>
    </w:pPr>
  </w:style>
  <w:style w:type="paragraph" w:customStyle="1" w:styleId="IPPBullet1Last">
    <w:name w:val="IPP Bullet1Last"/>
    <w:basedOn w:val="IPPNormal"/>
    <w:next w:val="IPPNormal"/>
    <w:autoRedefine/>
    <w:qFormat/>
    <w:pPr>
      <w:numPr>
        <w:numId w:val="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kern w:val="0"/>
      <w:szCs w:val="21"/>
      <w:lang w:val="es-ES" w:eastAsia="es-ES"/>
    </w:rPr>
  </w:style>
  <w:style w:type="paragraph" w:customStyle="1" w:styleId="IPPLetterList">
    <w:name w:val="IPP LetterList"/>
    <w:basedOn w:val="IPPBullet2"/>
    <w:qFormat/>
    <w:pPr>
      <w:numPr>
        <w:numId w:val="1"/>
      </w:numPr>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7"/>
      </w:numPr>
    </w:pPr>
  </w:style>
  <w:style w:type="paragraph" w:customStyle="1" w:styleId="IPPHdg2Num">
    <w:name w:val="IPP Hdg2Num"/>
    <w:basedOn w:val="IPPHeading2"/>
    <w:next w:val="IPPNormal"/>
    <w:qFormat/>
    <w:pPr>
      <w:numPr>
        <w:ilvl w:val="1"/>
        <w:numId w:val="8"/>
      </w:numPr>
    </w:pPr>
  </w:style>
  <w:style w:type="paragraph" w:customStyle="1" w:styleId="IPPNumberedList">
    <w:name w:val="IPP NumberedList"/>
    <w:basedOn w:val="IPPBullet1"/>
    <w:qFormat/>
    <w:pPr>
      <w:numPr>
        <w:numId w:val="16"/>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es-ES"/>
    </w:rPr>
  </w:style>
  <w:style w:type="paragraph" w:customStyle="1" w:styleId="IPPParagraphnumbering">
    <w:name w:val="IPP Paragraph numbering"/>
    <w:basedOn w:val="IPPNormal"/>
    <w:qFormat/>
    <w:pPr>
      <w:numPr>
        <w:numId w:val="10"/>
      </w:numPr>
    </w:p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MS Mincho" w:hAnsi="Times New Roman" w:cs="Times New Roman"/>
      <w:kern w:val="0"/>
      <w:sz w:val="20"/>
      <w:szCs w:val="20"/>
      <w:lang w:val="es-ES" w:eastAsia="es-E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kern w:val="0"/>
      <w:sz w:val="20"/>
      <w:szCs w:val="20"/>
      <w:lang w:val="es-ES" w:eastAsia="es-ES"/>
    </w:rPr>
  </w:style>
  <w:style w:type="paragraph" w:customStyle="1" w:styleId="Default">
    <w:name w:val="Default"/>
    <w:pPr>
      <w:autoSpaceDE w:val="0"/>
      <w:autoSpaceDN w:val="0"/>
      <w:adjustRightInd w:val="0"/>
    </w:pPr>
    <w:rPr>
      <w:rFonts w:ascii="Times New Roman" w:hAnsi="Times New Roman" w:cs="Times New Roman"/>
      <w:color w:val="000000"/>
      <w:kern w:val="0"/>
      <w:sz w:val="24"/>
      <w:szCs w:val="24"/>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Pr>
      <w:rFonts w:ascii="Times New Roman" w:eastAsia="MS Mincho" w:hAnsi="Times New Roman" w:cs="Times New Roman"/>
      <w:kern w:val="0"/>
      <w:sz w:val="22"/>
      <w:szCs w:val="24"/>
    </w:rPr>
  </w:style>
  <w:style w:type="character" w:customStyle="1" w:styleId="IPPNormalChar">
    <w:name w:val="IPP Normal Char"/>
    <w:link w:val="IPPNormal"/>
    <w:rPr>
      <w:rFonts w:ascii="Times New Roman" w:eastAsia="Times" w:hAnsi="Times New Roman" w:cs="Times New Roman"/>
      <w:kern w:val="0"/>
      <w:sz w:val="22"/>
      <w:szCs w:val="24"/>
      <w:lang w:val="es-ES" w:eastAsia="es-ES"/>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5514">
      <w:bodyDiv w:val="1"/>
      <w:marLeft w:val="0"/>
      <w:marRight w:val="0"/>
      <w:marTop w:val="0"/>
      <w:marBottom w:val="0"/>
      <w:divBdr>
        <w:top w:val="none" w:sz="0" w:space="0" w:color="auto"/>
        <w:left w:val="none" w:sz="0" w:space="0" w:color="auto"/>
        <w:bottom w:val="none" w:sz="0" w:space="0" w:color="auto"/>
        <w:right w:val="none" w:sz="0" w:space="0" w:color="auto"/>
      </w:divBdr>
    </w:div>
    <w:div w:id="164056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s/core-activities/standards-setting/isp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3FDC569D-8FB5-4492-A35B-E537D2CDF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1046</Words>
  <Characters>5966</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TD</dc:creator>
  <cp:lastModifiedBy>Cassin, Aoife (AGDI)</cp:lastModifiedBy>
  <cp:revision>2</cp:revision>
  <dcterms:created xsi:type="dcterms:W3CDTF">2020-06-29T09:20:00Z</dcterms:created>
  <dcterms:modified xsi:type="dcterms:W3CDTF">2020-06-29T09:20:00Z</dcterms:modified>
</cp:coreProperties>
</file>