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F25B9" w14:textId="77777777" w:rsidR="00373B3E" w:rsidRDefault="00391E0C">
      <w:pPr>
        <w:pStyle w:val="a0"/>
        <w:spacing w:beforeLines="50" w:before="217" w:afterLines="50" w:after="217" w:line="240" w:lineRule="auto"/>
        <w:ind w:firstLineChars="0" w:firstLine="0"/>
        <w:jc w:val="center"/>
        <w:rPr>
          <w:rFonts w:ascii="Arial" w:eastAsiaTheme="minorEastAsia" w:hAnsi="Arial" w:cs="Arial"/>
          <w:b/>
          <w:spacing w:val="14"/>
          <w:kern w:val="0"/>
          <w:sz w:val="40"/>
          <w:szCs w:val="40"/>
          <w:lang w:val="en-GB"/>
        </w:rPr>
      </w:pPr>
      <w:r>
        <w:rPr>
          <w:rFonts w:ascii="Arial" w:eastAsiaTheme="minorEastAsia" w:hAnsi="Arial" w:cs="Arial" w:hint="eastAsia"/>
          <w:b/>
          <w:spacing w:val="14"/>
          <w:kern w:val="0"/>
          <w:sz w:val="40"/>
          <w:szCs w:val="40"/>
          <w:lang w:val="en-GB"/>
        </w:rPr>
        <w:t xml:space="preserve">More </w:t>
      </w:r>
      <w:r>
        <w:rPr>
          <w:rFonts w:ascii="Arial" w:eastAsiaTheme="minorEastAsia" w:hAnsi="Arial" w:cs="Arial"/>
          <w:b/>
          <w:spacing w:val="14"/>
          <w:kern w:val="0"/>
          <w:sz w:val="40"/>
          <w:szCs w:val="40"/>
          <w:lang w:val="en-GB"/>
        </w:rPr>
        <w:t>Positive Action</w:t>
      </w:r>
      <w:r>
        <w:rPr>
          <w:rFonts w:ascii="Arial" w:eastAsiaTheme="minorEastAsia" w:hAnsi="Arial" w:cs="Arial" w:hint="eastAsia"/>
          <w:b/>
          <w:spacing w:val="14"/>
          <w:kern w:val="0"/>
          <w:sz w:val="40"/>
          <w:szCs w:val="40"/>
          <w:lang w:val="en-GB"/>
        </w:rPr>
        <w:t>s</w:t>
      </w:r>
      <w:r>
        <w:rPr>
          <w:rFonts w:ascii="Arial" w:eastAsiaTheme="minorEastAsia" w:hAnsi="Arial" w:cs="Arial"/>
          <w:b/>
          <w:spacing w:val="14"/>
          <w:kern w:val="0"/>
          <w:sz w:val="40"/>
          <w:szCs w:val="40"/>
          <w:lang w:val="en-GB"/>
        </w:rPr>
        <w:t xml:space="preserve"> </w:t>
      </w:r>
      <w:r>
        <w:rPr>
          <w:rFonts w:ascii="Arial" w:eastAsiaTheme="minorEastAsia" w:hAnsi="Arial" w:cs="Arial" w:hint="eastAsia"/>
          <w:b/>
          <w:spacing w:val="14"/>
          <w:kern w:val="0"/>
          <w:sz w:val="40"/>
          <w:szCs w:val="40"/>
          <w:lang w:val="en-GB"/>
        </w:rPr>
        <w:t>to Address</w:t>
      </w:r>
      <w:r>
        <w:rPr>
          <w:rFonts w:ascii="Arial" w:eastAsiaTheme="minorEastAsia" w:hAnsi="Arial" w:cs="Arial"/>
          <w:b/>
          <w:spacing w:val="14"/>
          <w:kern w:val="0"/>
          <w:sz w:val="40"/>
          <w:szCs w:val="40"/>
          <w:lang w:val="en-GB"/>
        </w:rPr>
        <w:t xml:space="preserve"> Pest Risks Associated with </w:t>
      </w:r>
      <w:r>
        <w:rPr>
          <w:rFonts w:ascii="Arial" w:eastAsiaTheme="minorEastAsia" w:hAnsi="Arial" w:cs="Arial" w:hint="eastAsia"/>
          <w:b/>
          <w:spacing w:val="14"/>
          <w:kern w:val="0"/>
          <w:sz w:val="40"/>
          <w:szCs w:val="40"/>
          <w:lang w:val="en-GB"/>
        </w:rPr>
        <w:t>Sea</w:t>
      </w:r>
      <w:r>
        <w:rPr>
          <w:rFonts w:ascii="Arial" w:eastAsiaTheme="minorEastAsia" w:hAnsi="Arial" w:cs="Arial"/>
          <w:b/>
          <w:spacing w:val="14"/>
          <w:kern w:val="0"/>
          <w:sz w:val="40"/>
          <w:szCs w:val="40"/>
          <w:lang w:val="en-GB"/>
        </w:rPr>
        <w:t xml:space="preserve"> </w:t>
      </w:r>
      <w:r>
        <w:rPr>
          <w:rFonts w:ascii="Arial" w:eastAsiaTheme="minorEastAsia" w:hAnsi="Arial" w:cs="Arial" w:hint="eastAsia"/>
          <w:b/>
          <w:spacing w:val="14"/>
          <w:kern w:val="0"/>
          <w:sz w:val="40"/>
          <w:szCs w:val="40"/>
          <w:lang w:val="en-GB"/>
        </w:rPr>
        <w:t>Containers</w:t>
      </w:r>
    </w:p>
    <w:p w14:paraId="23C70060" w14:textId="77777777" w:rsidR="00373B3E" w:rsidRDefault="006C4868" w:rsidP="006C4868">
      <w:pPr>
        <w:pStyle w:val="a1"/>
        <w:spacing w:beforeLines="50" w:before="217" w:afterLines="50" w:after="217" w:line="240" w:lineRule="auto"/>
        <w:ind w:firstLineChars="0" w:firstLine="0"/>
        <w:jc w:val="center"/>
      </w:pPr>
      <w:r>
        <w:rPr>
          <w:rFonts w:hint="eastAsia"/>
        </w:rPr>
        <w:t>Gu Guanghao, CHINA</w:t>
      </w:r>
    </w:p>
    <w:p w14:paraId="2466385F" w14:textId="77777777" w:rsidR="00373B3E" w:rsidRDefault="00391E0C">
      <w:pPr>
        <w:pStyle w:val="Heading1"/>
        <w:keepLines w:val="0"/>
        <w:spacing w:before="360" w:after="240" w:line="360" w:lineRule="auto"/>
        <w:ind w:right="284" w:firstLineChars="0" w:firstLine="0"/>
        <w:jc w:val="left"/>
        <w:rPr>
          <w:rFonts w:ascii="Arial" w:eastAsiaTheme="minorEastAsia" w:hAnsi="Arial" w:cs="Arial"/>
          <w:color w:val="000000"/>
          <w:kern w:val="0"/>
          <w:sz w:val="36"/>
          <w:szCs w:val="24"/>
          <w:lang w:val="en-GB" w:eastAsia="en-US"/>
        </w:rPr>
      </w:pPr>
      <w:r>
        <w:rPr>
          <w:rFonts w:ascii="Arial" w:eastAsiaTheme="minorEastAsia" w:hAnsi="Arial" w:cs="Arial"/>
          <w:color w:val="000000"/>
          <w:kern w:val="0"/>
          <w:sz w:val="36"/>
          <w:szCs w:val="24"/>
        </w:rPr>
        <w:t>1</w:t>
      </w:r>
      <w:r w:rsidR="00AC1EBE">
        <w:rPr>
          <w:rFonts w:ascii="Arial" w:eastAsiaTheme="minorEastAsia" w:hAnsi="Arial" w:cs="Arial" w:hint="eastAsia"/>
          <w:color w:val="000000"/>
          <w:kern w:val="0"/>
          <w:sz w:val="36"/>
          <w:szCs w:val="24"/>
        </w:rPr>
        <w:t>.</w:t>
      </w:r>
      <w:r>
        <w:rPr>
          <w:rFonts w:ascii="Arial" w:eastAsiaTheme="minorEastAsia" w:hAnsi="Arial" w:cs="Arial"/>
          <w:color w:val="000000"/>
          <w:kern w:val="0"/>
          <w:sz w:val="36"/>
          <w:szCs w:val="24"/>
          <w:lang w:val="en-GB" w:eastAsia="en-US"/>
        </w:rPr>
        <w:t>Background</w:t>
      </w:r>
    </w:p>
    <w:p w14:paraId="008D51A8" w14:textId="77777777" w:rsidR="00373B3E" w:rsidRDefault="00391E0C">
      <w:pPr>
        <w:pStyle w:val="a1"/>
        <w:spacing w:line="240" w:lineRule="auto"/>
        <w:ind w:firstLineChars="0" w:firstLine="0"/>
        <w:rPr>
          <w:rFonts w:eastAsiaTheme="minorEastAsia" w:cs="Times New Roman"/>
          <w:kern w:val="0"/>
          <w:sz w:val="24"/>
          <w:lang w:val="en-GB" w:eastAsia="en-US"/>
        </w:rPr>
      </w:pPr>
      <w:r>
        <w:rPr>
          <w:rFonts w:eastAsiaTheme="minorEastAsia" w:cs="Times New Roman"/>
          <w:kern w:val="0"/>
          <w:sz w:val="24"/>
          <w:lang w:val="en-GB" w:eastAsia="en-US"/>
        </w:rPr>
        <w:t xml:space="preserve">According to Article I, paragraph 4, of the International Plant Protection Convention (IPPC), Where appropriate, the </w:t>
      </w:r>
      <w:r>
        <w:rPr>
          <w:rFonts w:eastAsiaTheme="minorEastAsia" w:cs="Times New Roman"/>
          <w:kern w:val="0"/>
          <w:sz w:val="24"/>
          <w:lang w:val="en-GB" w:eastAsia="en-US"/>
        </w:rPr>
        <w:t>provisions of this Convention may be deemed by contracting parties to extend, in addition to plants and plant products, to storage places, packaging, conveyances, containers, soil and any other organism, object or material capable of harbouring or spreading plant pests, particularly where international transportation is involved.</w:t>
      </w:r>
    </w:p>
    <w:p w14:paraId="488255E6" w14:textId="77777777" w:rsidR="00373B3E" w:rsidRDefault="00373B3E">
      <w:pPr>
        <w:pStyle w:val="a1"/>
        <w:spacing w:line="240" w:lineRule="auto"/>
        <w:ind w:firstLineChars="0" w:firstLine="0"/>
        <w:rPr>
          <w:rFonts w:ascii="Times New Roman Regular" w:hAnsi="Times New Roman Regular" w:cs="Times New Roman Regular"/>
        </w:rPr>
      </w:pPr>
    </w:p>
    <w:p w14:paraId="4B26376A" w14:textId="77777777" w:rsidR="00373B3E" w:rsidRDefault="00391E0C">
      <w:pPr>
        <w:pStyle w:val="a1"/>
        <w:spacing w:line="240" w:lineRule="auto"/>
        <w:ind w:firstLineChars="0" w:firstLine="0"/>
        <w:rPr>
          <w:rFonts w:eastAsiaTheme="minorEastAsia" w:cs="Times New Roman"/>
          <w:kern w:val="0"/>
          <w:sz w:val="24"/>
          <w:lang w:val="en-GB" w:eastAsia="en-US"/>
        </w:rPr>
      </w:pPr>
      <w:r>
        <w:rPr>
          <w:rFonts w:eastAsiaTheme="minorEastAsia" w:cs="Times New Roman"/>
          <w:kern w:val="0"/>
          <w:sz w:val="24"/>
          <w:lang w:val="en-GB" w:eastAsia="en-US"/>
        </w:rPr>
        <w:t>The IPPC has consistently emphasized the importance of addressing pest risks associated with international transport containers. Over the years, it has collaborated closely with national plant protection organizations (NPPOs), regional plant protection organizations (RPPOs), the World Customs Organization (WCO), the World Bank</w:t>
      </w:r>
      <w:r>
        <w:rPr>
          <w:rFonts w:eastAsiaTheme="minorEastAsia" w:cs="Times New Roman" w:hint="eastAsia"/>
          <w:kern w:val="0"/>
          <w:sz w:val="24"/>
        </w:rPr>
        <w:t xml:space="preserve"> Group(WBG)</w:t>
      </w:r>
      <w:r>
        <w:rPr>
          <w:rFonts w:eastAsiaTheme="minorEastAsia" w:cs="Times New Roman"/>
          <w:kern w:val="0"/>
          <w:sz w:val="24"/>
          <w:lang w:val="en-GB" w:eastAsia="en-US"/>
        </w:rPr>
        <w:t xml:space="preserve">, and key industry stakeholders, such as the World Shipping Council (WSC). In 2007, the </w:t>
      </w:r>
      <w:r w:rsidRPr="00D17539">
        <w:rPr>
          <w:rFonts w:eastAsiaTheme="minorEastAsia" w:cs="Times New Roman"/>
          <w:kern w:val="0"/>
          <w:sz w:val="24"/>
          <w:lang w:val="en-GB" w:eastAsia="en-US"/>
        </w:rPr>
        <w:t>topic titled "</w:t>
      </w:r>
      <w:r w:rsidR="00D17539" w:rsidRPr="00D17539">
        <w:rPr>
          <w:rFonts w:eastAsiaTheme="minorEastAsia" w:cs="Times New Roman" w:hint="eastAsia"/>
          <w:kern w:val="0"/>
          <w:sz w:val="24"/>
          <w:lang w:val="en-GB"/>
        </w:rPr>
        <w:t xml:space="preserve">Minimizing pest movement by sea </w:t>
      </w:r>
      <w:r w:rsidR="00D17539" w:rsidRPr="00D17539">
        <w:rPr>
          <w:rFonts w:eastAsiaTheme="minorEastAsia" w:cs="Times New Roman"/>
          <w:kern w:val="0"/>
          <w:sz w:val="24"/>
          <w:lang w:val="en-GB"/>
        </w:rPr>
        <w:t>containers”</w:t>
      </w:r>
      <w:r w:rsidR="00D17539" w:rsidRPr="00D17539">
        <w:rPr>
          <w:rFonts w:eastAsiaTheme="minorEastAsia" w:cs="Times New Roman" w:hint="eastAsia"/>
          <w:kern w:val="0"/>
          <w:sz w:val="24"/>
          <w:lang w:val="en-GB"/>
        </w:rPr>
        <w:t xml:space="preserve"> </w:t>
      </w:r>
      <w:r w:rsidRPr="00D17539">
        <w:rPr>
          <w:rFonts w:eastAsiaTheme="minorEastAsia" w:cs="Times New Roman"/>
          <w:kern w:val="0"/>
          <w:sz w:val="24"/>
          <w:lang w:val="en-GB" w:eastAsia="en-US"/>
        </w:rPr>
        <w:t xml:space="preserve">was </w:t>
      </w:r>
      <w:r w:rsidR="00D17539" w:rsidRPr="00D17539">
        <w:rPr>
          <w:rFonts w:eastAsiaTheme="minorEastAsia" w:cs="Times New Roman" w:hint="eastAsia"/>
          <w:kern w:val="0"/>
          <w:sz w:val="24"/>
          <w:lang w:val="en-GB"/>
        </w:rPr>
        <w:t>added into the list</w:t>
      </w:r>
      <w:r w:rsidRPr="00D17539">
        <w:rPr>
          <w:rFonts w:eastAsiaTheme="minorEastAsia" w:cs="Times New Roman"/>
          <w:kern w:val="0"/>
          <w:sz w:val="24"/>
          <w:lang w:val="en-GB" w:eastAsia="en-US"/>
        </w:rPr>
        <w:t xml:space="preserve"> of International Stand</w:t>
      </w:r>
      <w:r>
        <w:rPr>
          <w:rFonts w:eastAsiaTheme="minorEastAsia" w:cs="Times New Roman"/>
          <w:kern w:val="0"/>
          <w:sz w:val="24"/>
          <w:lang w:val="en-GB" w:eastAsia="en-US"/>
        </w:rPr>
        <w:t>ards for Phytosanitary Measures (ISPM). In 2011, the IPPC established an expert working group, and a draft standard was completed in 2013. However, progress on standard-setting was subsequently halted due to industry objections.</w:t>
      </w:r>
    </w:p>
    <w:p w14:paraId="1428C12A" w14:textId="77777777" w:rsidR="00373B3E" w:rsidRDefault="00373B3E">
      <w:pPr>
        <w:pStyle w:val="a1"/>
        <w:spacing w:line="240" w:lineRule="auto"/>
        <w:ind w:firstLineChars="0" w:firstLine="0"/>
        <w:rPr>
          <w:rFonts w:eastAsiaTheme="minorEastAsia" w:cs="Times New Roman"/>
          <w:kern w:val="0"/>
          <w:sz w:val="24"/>
          <w:lang w:val="en-GB" w:eastAsia="en-US"/>
        </w:rPr>
      </w:pPr>
    </w:p>
    <w:p w14:paraId="7A87320F" w14:textId="77777777" w:rsidR="00373B3E" w:rsidRDefault="00391E0C">
      <w:pPr>
        <w:pStyle w:val="a1"/>
        <w:spacing w:line="240" w:lineRule="auto"/>
        <w:ind w:firstLineChars="0" w:firstLine="0"/>
        <w:rPr>
          <w:rFonts w:eastAsiaTheme="minorEastAsia" w:cs="Times New Roman"/>
          <w:kern w:val="0"/>
          <w:sz w:val="24"/>
          <w:lang w:val="en-GB" w:eastAsia="en-US"/>
        </w:rPr>
      </w:pPr>
      <w:r>
        <w:rPr>
          <w:rFonts w:eastAsiaTheme="minorEastAsia" w:cs="Times New Roman"/>
          <w:kern w:val="0"/>
          <w:sz w:val="24"/>
          <w:lang w:val="en-GB" w:eastAsia="en-US"/>
        </w:rPr>
        <w:t xml:space="preserve">In 2015, the IPPC issued the CPM Recommendations on sea containers (R-06). Since 2017, the IPPC has been implementing a five-year complementary action plan. </w:t>
      </w:r>
      <w:r w:rsidR="00D17539">
        <w:rPr>
          <w:rFonts w:eastAsiaTheme="minorEastAsia" w:cs="Times New Roman" w:hint="eastAsia"/>
          <w:kern w:val="0"/>
          <w:sz w:val="24"/>
          <w:lang w:val="en-GB"/>
        </w:rPr>
        <w:t>From</w:t>
      </w:r>
      <w:r>
        <w:rPr>
          <w:rFonts w:eastAsiaTheme="minorEastAsia" w:cs="Times New Roman"/>
          <w:kern w:val="0"/>
          <w:sz w:val="24"/>
          <w:lang w:val="en-GB" w:eastAsia="en-US"/>
        </w:rPr>
        <w:t xml:space="preserve"> 2019, the organization has released several policy tools, including the "Sea Container Supply Chains and Cleanliness Guide," the "Sea Container Su</w:t>
      </w:r>
      <w:r w:rsidRPr="00D17539">
        <w:rPr>
          <w:rFonts w:eastAsiaTheme="minorEastAsia" w:cs="Times New Roman"/>
          <w:kern w:val="0"/>
          <w:sz w:val="24"/>
          <w:lang w:val="en-GB" w:eastAsia="en-US"/>
        </w:rPr>
        <w:t>rveys Guide for National Plant Protection Organizations," and</w:t>
      </w:r>
      <w:r w:rsidR="00D17539" w:rsidRPr="00D17539">
        <w:rPr>
          <w:rFonts w:eastAsiaTheme="minorEastAsia" w:cs="Times New Roman" w:hint="eastAsia"/>
          <w:kern w:val="0"/>
          <w:sz w:val="24"/>
          <w:lang w:val="en-GB"/>
        </w:rPr>
        <w:t xml:space="preserve"> </w:t>
      </w:r>
      <w:r w:rsidR="00D17539" w:rsidRPr="00D17539">
        <w:rPr>
          <w:rFonts w:eastAsiaTheme="minorEastAsia" w:cs="Times New Roman"/>
          <w:kern w:val="0"/>
          <w:sz w:val="24"/>
          <w:lang w:val="en-GB"/>
        </w:rPr>
        <w:t>“</w:t>
      </w:r>
      <w:r w:rsidR="00D17539" w:rsidRPr="00D17539">
        <w:rPr>
          <w:rFonts w:eastAsiaTheme="minorEastAsia" w:cs="Times New Roman" w:hint="eastAsia"/>
          <w:kern w:val="0"/>
          <w:sz w:val="24"/>
          <w:lang w:val="en-GB"/>
        </w:rPr>
        <w:t xml:space="preserve">IPPC Guidance on Sea Container </w:t>
      </w:r>
      <w:r w:rsidR="00D17539" w:rsidRPr="00D17539">
        <w:rPr>
          <w:rFonts w:eastAsiaTheme="minorEastAsia" w:cs="Times New Roman"/>
          <w:kern w:val="0"/>
          <w:sz w:val="24"/>
          <w:lang w:val="en-GB"/>
        </w:rPr>
        <w:t>Cleanness</w:t>
      </w:r>
      <w:r w:rsidR="00D17539" w:rsidRPr="00D17539">
        <w:rPr>
          <w:rFonts w:eastAsiaTheme="minorEastAsia" w:cs="Times New Roman" w:hint="eastAsia"/>
          <w:kern w:val="0"/>
          <w:sz w:val="24"/>
          <w:lang w:val="en-GB"/>
        </w:rPr>
        <w:t xml:space="preserve"> (factsheet)</w:t>
      </w:r>
      <w:r w:rsidR="00D17539" w:rsidRPr="00D17539">
        <w:rPr>
          <w:rFonts w:eastAsiaTheme="minorEastAsia" w:cs="Times New Roman"/>
          <w:kern w:val="0"/>
          <w:sz w:val="24"/>
          <w:lang w:val="en-GB"/>
        </w:rPr>
        <w:t>”</w:t>
      </w:r>
      <w:r w:rsidRPr="00D17539">
        <w:rPr>
          <w:rFonts w:eastAsiaTheme="minorEastAsia" w:cs="Times New Roman"/>
          <w:kern w:val="0"/>
          <w:sz w:val="24"/>
          <w:lang w:val="en-GB" w:eastAsia="en-US"/>
        </w:rPr>
        <w:t>. In 2022, the IPPC established a focus group on sea containers</w:t>
      </w:r>
      <w:r w:rsidR="00D17539" w:rsidRPr="00D17539">
        <w:rPr>
          <w:rFonts w:eastAsiaTheme="minorEastAsia" w:cs="Times New Roman" w:hint="eastAsia"/>
          <w:kern w:val="0"/>
          <w:sz w:val="24"/>
          <w:lang w:val="en-GB"/>
        </w:rPr>
        <w:t xml:space="preserve"> to</w:t>
      </w:r>
      <w:r w:rsidRPr="00D17539">
        <w:rPr>
          <w:rFonts w:eastAsiaTheme="minorEastAsia" w:cs="Times New Roman"/>
          <w:kern w:val="0"/>
          <w:sz w:val="24"/>
          <w:lang w:val="en-GB" w:eastAsia="en-US"/>
        </w:rPr>
        <w:t xml:space="preserve"> revise R-06 and </w:t>
      </w:r>
      <w:r w:rsidR="00D17539">
        <w:rPr>
          <w:rFonts w:eastAsiaTheme="minorEastAsia" w:cs="Times New Roman"/>
          <w:kern w:val="0"/>
          <w:sz w:val="24"/>
          <w:lang w:val="en-GB"/>
        </w:rPr>
        <w:t>organise</w:t>
      </w:r>
      <w:r>
        <w:rPr>
          <w:rFonts w:eastAsiaTheme="minorEastAsia" w:cs="Times New Roman"/>
          <w:kern w:val="0"/>
          <w:sz w:val="24"/>
          <w:lang w:val="en-GB" w:eastAsia="en-US"/>
        </w:rPr>
        <w:t xml:space="preserve"> two workshops that significantly enhanced public awareness regarding the pest risks linked to these containers.</w:t>
      </w:r>
    </w:p>
    <w:p w14:paraId="2F98666E" w14:textId="77777777" w:rsidR="00373B3E" w:rsidRDefault="00373B3E">
      <w:pPr>
        <w:pStyle w:val="a1"/>
        <w:spacing w:line="240" w:lineRule="auto"/>
        <w:ind w:firstLineChars="0" w:firstLine="0"/>
        <w:rPr>
          <w:rFonts w:eastAsiaTheme="minorEastAsia" w:cs="Times New Roman"/>
          <w:kern w:val="0"/>
          <w:sz w:val="24"/>
          <w:lang w:val="en-GB" w:eastAsia="en-US"/>
        </w:rPr>
      </w:pPr>
    </w:p>
    <w:p w14:paraId="049E62E8" w14:textId="77777777" w:rsidR="00373B3E" w:rsidRDefault="00391E0C">
      <w:pPr>
        <w:pStyle w:val="a1"/>
        <w:spacing w:line="240" w:lineRule="auto"/>
        <w:ind w:firstLineChars="0" w:firstLine="0"/>
        <w:rPr>
          <w:rFonts w:eastAsiaTheme="minorEastAsia" w:cs="Times New Roman"/>
          <w:kern w:val="0"/>
          <w:sz w:val="24"/>
          <w:lang w:val="en-GB" w:eastAsia="en-US"/>
        </w:rPr>
      </w:pPr>
      <w:r>
        <w:rPr>
          <w:rFonts w:eastAsiaTheme="minorEastAsia" w:cs="Times New Roman"/>
          <w:kern w:val="0"/>
          <w:sz w:val="24"/>
          <w:lang w:val="en-GB" w:eastAsia="en-US"/>
        </w:rPr>
        <w:lastRenderedPageBreak/>
        <w:t>This article aims to delineate the factors contributing to pest risks within sea containers while analyzing the challenges and key strategies associated with mitigation efforts. Furthermore, it highlights the achievements and obstacles encountered in China since 2017. The paper also proposes the establishment of a global governance framework designed to address the pest risks associated with these containers.</w:t>
      </w:r>
    </w:p>
    <w:p w14:paraId="31854B25" w14:textId="77777777" w:rsidR="00373B3E" w:rsidRDefault="00391E0C">
      <w:pPr>
        <w:pStyle w:val="Heading1"/>
        <w:keepLines w:val="0"/>
        <w:spacing w:before="360" w:after="240" w:line="360" w:lineRule="auto"/>
        <w:ind w:right="284" w:firstLineChars="0" w:firstLine="0"/>
        <w:jc w:val="left"/>
        <w:rPr>
          <w:rFonts w:ascii="Arial" w:eastAsiaTheme="minorEastAsia" w:hAnsi="Arial" w:cs="Arial"/>
          <w:color w:val="000000"/>
          <w:kern w:val="0"/>
          <w:sz w:val="36"/>
          <w:szCs w:val="24"/>
        </w:rPr>
      </w:pPr>
      <w:r>
        <w:rPr>
          <w:rFonts w:ascii="Arial" w:eastAsiaTheme="minorEastAsia" w:hAnsi="Arial" w:cs="Arial"/>
          <w:color w:val="000000"/>
          <w:kern w:val="0"/>
          <w:sz w:val="36"/>
          <w:szCs w:val="24"/>
        </w:rPr>
        <w:t>2</w:t>
      </w:r>
      <w:r w:rsidR="00AC1EBE">
        <w:rPr>
          <w:rFonts w:ascii="Arial" w:eastAsiaTheme="minorEastAsia" w:hAnsi="Arial" w:cs="Arial" w:hint="eastAsia"/>
          <w:color w:val="000000"/>
          <w:kern w:val="0"/>
          <w:sz w:val="36"/>
          <w:szCs w:val="24"/>
        </w:rPr>
        <w:t>.</w:t>
      </w:r>
      <w:r>
        <w:rPr>
          <w:rFonts w:ascii="Arial" w:eastAsiaTheme="minorEastAsia" w:hAnsi="Arial" w:cs="Arial"/>
          <w:color w:val="000000"/>
          <w:kern w:val="0"/>
          <w:sz w:val="36"/>
          <w:szCs w:val="24"/>
        </w:rPr>
        <w:t xml:space="preserve"> Overview of Pest Risk </w:t>
      </w:r>
      <w:r>
        <w:rPr>
          <w:rFonts w:ascii="Arial" w:eastAsiaTheme="minorEastAsia" w:hAnsi="Arial" w:cs="Arial" w:hint="eastAsia"/>
          <w:color w:val="000000"/>
          <w:kern w:val="0"/>
          <w:sz w:val="36"/>
          <w:szCs w:val="24"/>
        </w:rPr>
        <w:t>in</w:t>
      </w:r>
      <w:r>
        <w:rPr>
          <w:rFonts w:ascii="Arial" w:eastAsiaTheme="minorEastAsia" w:hAnsi="Arial" w:cs="Arial"/>
          <w:color w:val="000000"/>
          <w:kern w:val="0"/>
          <w:sz w:val="36"/>
          <w:szCs w:val="24"/>
        </w:rPr>
        <w:t xml:space="preserve"> Sea Containers</w:t>
      </w:r>
    </w:p>
    <w:p w14:paraId="61A0942B" w14:textId="77777777" w:rsidR="00373B3E" w:rsidRDefault="00391E0C">
      <w:pPr>
        <w:pStyle w:val="Heading2"/>
        <w:keepLines w:val="0"/>
        <w:spacing w:before="360" w:after="60" w:line="360" w:lineRule="auto"/>
        <w:ind w:right="284" w:firstLineChars="0" w:firstLine="0"/>
        <w:jc w:val="left"/>
        <w:rPr>
          <w:rFonts w:ascii="Arial" w:eastAsiaTheme="minorEastAsia" w:hAnsi="Arial" w:cs="Arial"/>
          <w:iCs/>
          <w:kern w:val="0"/>
          <w:sz w:val="24"/>
          <w:szCs w:val="28"/>
          <w:lang w:val="en-GB" w:eastAsia="en-US"/>
        </w:rPr>
      </w:pPr>
      <w:r>
        <w:rPr>
          <w:rFonts w:ascii="Arial" w:eastAsiaTheme="minorEastAsia" w:hAnsi="Arial" w:cs="Arial"/>
          <w:iCs/>
          <w:kern w:val="0"/>
          <w:sz w:val="24"/>
          <w:szCs w:val="28"/>
        </w:rPr>
        <w:t>2.1 Causes of Pest Risk in Containers</w:t>
      </w:r>
    </w:p>
    <w:p w14:paraId="68612BA2" w14:textId="77777777" w:rsidR="00373B3E" w:rsidRDefault="00391E0C">
      <w:pPr>
        <w:pStyle w:val="a1"/>
        <w:spacing w:line="240" w:lineRule="auto"/>
        <w:ind w:firstLineChars="0" w:firstLine="0"/>
        <w:rPr>
          <w:rFonts w:eastAsiaTheme="minorEastAsia" w:cs="Times New Roman"/>
          <w:kern w:val="0"/>
          <w:sz w:val="24"/>
        </w:rPr>
      </w:pPr>
      <w:r>
        <w:rPr>
          <w:rFonts w:eastAsiaTheme="minorEastAsia" w:cs="Times New Roman"/>
          <w:kern w:val="0"/>
          <w:sz w:val="24"/>
        </w:rPr>
        <w:t xml:space="preserve">From the perspective of container structure, logistics transportation, and transfer storage, there are four main reasons for the formation of </w:t>
      </w:r>
      <w:r>
        <w:rPr>
          <w:rFonts w:eastAsiaTheme="minorEastAsia" w:cs="Times New Roman"/>
          <w:kern w:val="0"/>
          <w:sz w:val="24"/>
        </w:rPr>
        <w:t>container pest risk.</w:t>
      </w:r>
    </w:p>
    <w:p w14:paraId="40E95569" w14:textId="77777777" w:rsidR="00373B3E" w:rsidRDefault="00391E0C" w:rsidP="007B6AC6">
      <w:pPr>
        <w:pStyle w:val="Heading3"/>
        <w:spacing w:before="0" w:after="0" w:line="360" w:lineRule="auto"/>
        <w:ind w:right="284" w:firstLineChars="0" w:firstLine="0"/>
        <w:jc w:val="left"/>
        <w:rPr>
          <w:rFonts w:eastAsiaTheme="minorEastAsia"/>
          <w:kern w:val="0"/>
        </w:rPr>
      </w:pPr>
      <w:r>
        <w:rPr>
          <w:rFonts w:eastAsiaTheme="minorEastAsia"/>
          <w:kern w:val="0"/>
        </w:rPr>
        <w:t xml:space="preserve">2.1.1 The material and structure of the container creates conducive conditions for harboring and </w:t>
      </w:r>
      <w:r>
        <w:rPr>
          <w:rFonts w:eastAsiaTheme="minorEastAsia"/>
          <w:kern w:val="0"/>
        </w:rPr>
        <w:t>r</w:t>
      </w:r>
      <w:r>
        <w:rPr>
          <w:rFonts w:eastAsiaTheme="minorEastAsia"/>
          <w:kern w:val="0"/>
        </w:rPr>
        <w:t>eproducing pest.</w:t>
      </w:r>
    </w:p>
    <w:p w14:paraId="527E8538" w14:textId="77777777" w:rsidR="00373B3E" w:rsidRDefault="00391E0C">
      <w:pPr>
        <w:pStyle w:val="a1"/>
        <w:spacing w:line="240" w:lineRule="auto"/>
        <w:ind w:firstLineChars="0" w:firstLine="0"/>
        <w:rPr>
          <w:rFonts w:eastAsiaTheme="minorEastAsia" w:cs="Times New Roman"/>
          <w:kern w:val="0"/>
          <w:sz w:val="24"/>
        </w:rPr>
      </w:pPr>
      <w:r>
        <w:rPr>
          <w:rFonts w:eastAsiaTheme="minorEastAsia" w:cs="Times New Roman"/>
          <w:kern w:val="0"/>
          <w:sz w:val="24"/>
        </w:rPr>
        <w:t>Containers constructed from plant-based materials, such as wooden floors, create favourable conditions for pest habitation and reproduction. When these materials lack adequate moisture-proofing and biological erosion resistance, they become increasingly susceptible to pest infestations. Moreover, the structural design of containers is critical; they are often not completely sealed, and vents typically do not incorporate insect screens. Over time, the effectiveness of container door seals diminishes, allowin</w:t>
      </w:r>
      <w:r>
        <w:rPr>
          <w:rFonts w:eastAsiaTheme="minorEastAsia" w:cs="Times New Roman"/>
          <w:kern w:val="0"/>
          <w:sz w:val="24"/>
        </w:rPr>
        <w:t>g external pests to enter through gaps and vents. This situation enables existing pests to increase during the transportation process.</w:t>
      </w:r>
    </w:p>
    <w:p w14:paraId="5AC99AA5" w14:textId="77777777" w:rsidR="00373B3E" w:rsidRDefault="00373B3E">
      <w:pPr>
        <w:pStyle w:val="a1"/>
        <w:spacing w:line="240" w:lineRule="auto"/>
        <w:ind w:firstLineChars="0" w:firstLine="0"/>
        <w:rPr>
          <w:rFonts w:ascii="Times New Roman Regular" w:hAnsi="Times New Roman Regular" w:cs="Times New Roman Regular"/>
        </w:rPr>
      </w:pPr>
    </w:p>
    <w:p w14:paraId="033E9BF7" w14:textId="77777777" w:rsidR="00373B3E" w:rsidRDefault="00391E0C">
      <w:pPr>
        <w:pStyle w:val="Heading3"/>
        <w:spacing w:line="360" w:lineRule="auto"/>
        <w:ind w:right="284" w:firstLineChars="0" w:firstLine="0"/>
        <w:jc w:val="left"/>
        <w:rPr>
          <w:rFonts w:eastAsiaTheme="minorEastAsia"/>
          <w:kern w:val="0"/>
        </w:rPr>
      </w:pPr>
      <w:r>
        <w:rPr>
          <w:rFonts w:eastAsiaTheme="minorEastAsia"/>
          <w:kern w:val="0"/>
        </w:rPr>
        <w:t>2.1.2 The</w:t>
      </w:r>
      <w:r w:rsidR="00D17539">
        <w:rPr>
          <w:rFonts w:eastAsiaTheme="minorEastAsia" w:hint="eastAsia"/>
          <w:kern w:val="0"/>
        </w:rPr>
        <w:t xml:space="preserve"> Loaded</w:t>
      </w:r>
      <w:r>
        <w:rPr>
          <w:rFonts w:eastAsiaTheme="minorEastAsia"/>
          <w:kern w:val="0"/>
        </w:rPr>
        <w:t xml:space="preserve"> </w:t>
      </w:r>
      <w:r w:rsidRPr="00D17539">
        <w:rPr>
          <w:rFonts w:eastAsiaTheme="minorEastAsia"/>
          <w:kern w:val="0"/>
        </w:rPr>
        <w:t>Cargo</w:t>
      </w:r>
      <w:r>
        <w:rPr>
          <w:rFonts w:eastAsiaTheme="minorEastAsia"/>
          <w:kern w:val="0"/>
        </w:rPr>
        <w:t xml:space="preserve"> increases the pest</w:t>
      </w:r>
      <w:r>
        <w:rPr>
          <w:rFonts w:eastAsiaTheme="minorEastAsia" w:hint="eastAsia"/>
          <w:kern w:val="0"/>
        </w:rPr>
        <w:t xml:space="preserve"> risks</w:t>
      </w:r>
      <w:r>
        <w:rPr>
          <w:rFonts w:eastAsiaTheme="minorEastAsia"/>
          <w:kern w:val="0"/>
        </w:rPr>
        <w:t xml:space="preserve"> </w:t>
      </w:r>
      <w:r w:rsidR="00D17539">
        <w:rPr>
          <w:rFonts w:eastAsiaTheme="minorEastAsia" w:hint="eastAsia"/>
          <w:kern w:val="0"/>
        </w:rPr>
        <w:t>associated</w:t>
      </w:r>
      <w:r>
        <w:rPr>
          <w:rFonts w:eastAsiaTheme="minorEastAsia"/>
          <w:kern w:val="0"/>
        </w:rPr>
        <w:t xml:space="preserve"> </w:t>
      </w:r>
      <w:r w:rsidR="00D17539">
        <w:rPr>
          <w:rFonts w:eastAsiaTheme="minorEastAsia" w:hint="eastAsia"/>
          <w:kern w:val="0"/>
        </w:rPr>
        <w:t xml:space="preserve">with </w:t>
      </w:r>
      <w:r>
        <w:rPr>
          <w:rFonts w:eastAsiaTheme="minorEastAsia"/>
          <w:kern w:val="0"/>
        </w:rPr>
        <w:t>containers</w:t>
      </w:r>
    </w:p>
    <w:p w14:paraId="13F1F50D" w14:textId="77777777" w:rsidR="00373B3E" w:rsidRDefault="00391E0C">
      <w:pPr>
        <w:pStyle w:val="a1"/>
        <w:spacing w:line="240" w:lineRule="auto"/>
        <w:ind w:firstLineChars="0" w:firstLine="0"/>
        <w:rPr>
          <w:rFonts w:eastAsiaTheme="minorEastAsia" w:cs="Times New Roman"/>
          <w:kern w:val="0"/>
          <w:sz w:val="24"/>
        </w:rPr>
      </w:pPr>
      <w:r>
        <w:rPr>
          <w:rFonts w:eastAsiaTheme="minorEastAsia" w:cs="Times New Roman"/>
          <w:kern w:val="0"/>
          <w:sz w:val="24"/>
        </w:rPr>
        <w:t>The primary agricultural products involved in international trade</w:t>
      </w:r>
      <w:r w:rsidR="00D17539">
        <w:rPr>
          <w:rFonts w:eastAsiaTheme="minorEastAsia" w:cs="Times New Roman" w:hint="eastAsia"/>
          <w:kern w:val="0"/>
          <w:sz w:val="24"/>
        </w:rPr>
        <w:t xml:space="preserve"> </w:t>
      </w:r>
      <w:r>
        <w:rPr>
          <w:rFonts w:eastAsiaTheme="minorEastAsia" w:cs="Times New Roman"/>
          <w:kern w:val="0"/>
          <w:sz w:val="24"/>
        </w:rPr>
        <w:t>significantly elevates the risk of pest transmission. Goods such as grains, wood products, tobacco, flower seedlings, and substandard wooden packaging materials are particularly vulnerable. These agricultural products are frequently transported in containers, which may permit pests to enter during the loading process or to hide and breed within compromised packaging. Consequently, pests may escape and disseminate upon arrival at their destination during the unloading phase. Although many countries have esta</w:t>
      </w:r>
      <w:r>
        <w:rPr>
          <w:rFonts w:eastAsiaTheme="minorEastAsia" w:cs="Times New Roman"/>
          <w:kern w:val="0"/>
          <w:sz w:val="24"/>
        </w:rPr>
        <w:t xml:space="preserve">blished rigorous </w:t>
      </w:r>
      <w:r>
        <w:rPr>
          <w:rFonts w:eastAsiaTheme="minorEastAsia" w:cs="Times New Roman"/>
          <w:kern w:val="0"/>
          <w:sz w:val="24"/>
        </w:rPr>
        <w:lastRenderedPageBreak/>
        <w:t>import plant quarantine systems to inspect agricultural products and containers, instances of overlooked inspection</w:t>
      </w:r>
      <w:r w:rsidR="00D17539">
        <w:rPr>
          <w:rFonts w:eastAsiaTheme="minorEastAsia" w:cs="Times New Roman" w:hint="eastAsia"/>
          <w:kern w:val="0"/>
          <w:sz w:val="24"/>
        </w:rPr>
        <w:t xml:space="preserve"> on containers</w:t>
      </w:r>
      <w:r>
        <w:rPr>
          <w:rFonts w:eastAsiaTheme="minorEastAsia" w:cs="Times New Roman"/>
          <w:kern w:val="0"/>
          <w:sz w:val="24"/>
        </w:rPr>
        <w:t xml:space="preserve"> can result in the unintended international spread of pests.</w:t>
      </w:r>
    </w:p>
    <w:p w14:paraId="4452AE8B" w14:textId="77777777" w:rsidR="00373B3E" w:rsidRDefault="00373B3E">
      <w:pPr>
        <w:pStyle w:val="a1"/>
        <w:spacing w:line="240" w:lineRule="auto"/>
        <w:ind w:firstLineChars="0" w:firstLine="0"/>
        <w:rPr>
          <w:rFonts w:ascii="Times New Roman Regular" w:hAnsi="Times New Roman Regular" w:cs="Times New Roman Regular"/>
        </w:rPr>
      </w:pPr>
    </w:p>
    <w:p w14:paraId="32FEEB88" w14:textId="77777777" w:rsidR="00373B3E" w:rsidRDefault="00391E0C">
      <w:pPr>
        <w:pStyle w:val="Heading3"/>
        <w:spacing w:line="360" w:lineRule="auto"/>
        <w:ind w:right="284" w:firstLineChars="0" w:firstLine="0"/>
        <w:jc w:val="left"/>
        <w:rPr>
          <w:rFonts w:eastAsiaTheme="minorEastAsia"/>
          <w:kern w:val="0"/>
        </w:rPr>
      </w:pPr>
      <w:r>
        <w:rPr>
          <w:rFonts w:eastAsiaTheme="minorEastAsia"/>
          <w:kern w:val="0"/>
        </w:rPr>
        <w:t>2.1.3</w:t>
      </w:r>
      <w:r w:rsidR="00AC1EBE">
        <w:rPr>
          <w:rFonts w:eastAsiaTheme="minorEastAsia" w:hint="eastAsia"/>
          <w:kern w:val="0"/>
        </w:rPr>
        <w:t xml:space="preserve"> </w:t>
      </w:r>
      <w:r>
        <w:rPr>
          <w:rFonts w:eastAsiaTheme="minorEastAsia"/>
          <w:kern w:val="0"/>
        </w:rPr>
        <w:t>The logistics operation mode contributes to the cross-border spread of pests carried by empty containers.</w:t>
      </w:r>
    </w:p>
    <w:p w14:paraId="789E7C7F" w14:textId="77777777" w:rsidR="00373B3E" w:rsidRDefault="00391E0C">
      <w:pPr>
        <w:pStyle w:val="a1"/>
        <w:spacing w:line="240" w:lineRule="auto"/>
        <w:ind w:firstLineChars="0" w:firstLine="0"/>
        <w:rPr>
          <w:rFonts w:eastAsiaTheme="minorEastAsia" w:cs="Times New Roman"/>
          <w:kern w:val="0"/>
          <w:sz w:val="24"/>
        </w:rPr>
      </w:pPr>
      <w:r>
        <w:rPr>
          <w:rFonts w:eastAsiaTheme="minorEastAsia" w:cs="Times New Roman"/>
          <w:kern w:val="0"/>
          <w:sz w:val="24"/>
        </w:rPr>
        <w:t xml:space="preserve">The prevailing operational practices in the international container logistics chain typically prioritize cleaning containers before cargo loading. </w:t>
      </w:r>
      <w:r w:rsidR="00584AC1" w:rsidRPr="00584AC1">
        <w:rPr>
          <w:rFonts w:eastAsiaTheme="minorEastAsia" w:cs="Times New Roman" w:hint="eastAsia"/>
          <w:kern w:val="0"/>
          <w:sz w:val="24"/>
        </w:rPr>
        <w:t xml:space="preserve">Empty containers are exported to other countries without being cleaned or cleaned thoroughly </w:t>
      </w:r>
      <w:r w:rsidR="00584AC1">
        <w:rPr>
          <w:rFonts w:eastAsiaTheme="minorEastAsia" w:cs="Times New Roman" w:hint="eastAsia"/>
          <w:kern w:val="0"/>
          <w:sz w:val="24"/>
        </w:rPr>
        <w:t>after</w:t>
      </w:r>
      <w:r w:rsidR="00584AC1" w:rsidRPr="00584AC1">
        <w:rPr>
          <w:rFonts w:eastAsiaTheme="minorEastAsia" w:cs="Times New Roman" w:hint="eastAsia"/>
          <w:kern w:val="0"/>
          <w:sz w:val="24"/>
        </w:rPr>
        <w:t xml:space="preserve"> discharge</w:t>
      </w:r>
      <w:r w:rsidR="00584AC1">
        <w:rPr>
          <w:rFonts w:eastAsiaTheme="minorEastAsia" w:cs="Times New Roman" w:hint="eastAsia"/>
          <w:kern w:val="0"/>
          <w:sz w:val="24"/>
        </w:rPr>
        <w:t xml:space="preserve">. </w:t>
      </w:r>
      <w:r>
        <w:rPr>
          <w:rFonts w:eastAsiaTheme="minorEastAsia" w:cs="Times New Roman"/>
          <w:kern w:val="0"/>
          <w:sz w:val="24"/>
        </w:rPr>
        <w:t xml:space="preserve">In many </w:t>
      </w:r>
      <w:r w:rsidR="00584AC1">
        <w:rPr>
          <w:rFonts w:eastAsiaTheme="minorEastAsia" w:cs="Times New Roman" w:hint="eastAsia"/>
          <w:kern w:val="0"/>
          <w:sz w:val="24"/>
        </w:rPr>
        <w:t>countries or regions</w:t>
      </w:r>
      <w:r>
        <w:rPr>
          <w:rFonts w:eastAsiaTheme="minorEastAsia" w:cs="Times New Roman"/>
          <w:kern w:val="0"/>
          <w:sz w:val="24"/>
        </w:rPr>
        <w:t>, empty imported containers are not subjected to inspection, resulting in situations where these containers remain uncleaned until they are reloaded</w:t>
      </w:r>
      <w:r w:rsidR="00584AC1">
        <w:rPr>
          <w:rFonts w:eastAsiaTheme="minorEastAsia" w:cs="Times New Roman" w:hint="eastAsia"/>
          <w:kern w:val="0"/>
          <w:sz w:val="24"/>
        </w:rPr>
        <w:t xml:space="preserve"> new goods, thus</w:t>
      </w:r>
      <w:r>
        <w:rPr>
          <w:rFonts w:eastAsiaTheme="minorEastAsia" w:cs="Times New Roman"/>
          <w:kern w:val="0"/>
          <w:sz w:val="24"/>
        </w:rPr>
        <w:t xml:space="preserve"> facilitate the international transmission of pests carried by these empty containers.</w:t>
      </w:r>
    </w:p>
    <w:p w14:paraId="731B07E6" w14:textId="77777777" w:rsidR="00373B3E" w:rsidRDefault="00373B3E">
      <w:pPr>
        <w:pStyle w:val="a1"/>
        <w:spacing w:line="240" w:lineRule="auto"/>
        <w:ind w:firstLineChars="0" w:firstLine="0"/>
        <w:rPr>
          <w:rFonts w:ascii="Times New Roman Regular" w:hAnsi="Times New Roman Regular" w:cs="Times New Roman Regular"/>
        </w:rPr>
      </w:pPr>
    </w:p>
    <w:p w14:paraId="6F0AF4D1" w14:textId="77777777" w:rsidR="00373B3E" w:rsidRDefault="00391E0C">
      <w:pPr>
        <w:pStyle w:val="Heading3"/>
        <w:spacing w:line="360" w:lineRule="auto"/>
        <w:ind w:right="284" w:firstLineChars="0" w:firstLine="0"/>
        <w:jc w:val="left"/>
        <w:rPr>
          <w:rFonts w:eastAsiaTheme="minorEastAsia"/>
          <w:kern w:val="0"/>
        </w:rPr>
      </w:pPr>
      <w:r>
        <w:rPr>
          <w:rFonts w:eastAsiaTheme="minorEastAsia"/>
          <w:kern w:val="0"/>
        </w:rPr>
        <w:t>2.1.4 Poor pest control in container yard</w:t>
      </w:r>
      <w:r w:rsidR="00584AC1">
        <w:rPr>
          <w:rFonts w:eastAsiaTheme="minorEastAsia" w:hint="eastAsia"/>
          <w:kern w:val="0"/>
        </w:rPr>
        <w:t>s</w:t>
      </w:r>
      <w:r>
        <w:rPr>
          <w:rFonts w:eastAsiaTheme="minorEastAsia"/>
          <w:kern w:val="0"/>
        </w:rPr>
        <w:t xml:space="preserve"> results in contamination of containers.</w:t>
      </w:r>
    </w:p>
    <w:p w14:paraId="125EF648" w14:textId="77777777" w:rsidR="00373B3E" w:rsidRDefault="00391E0C">
      <w:pPr>
        <w:pStyle w:val="a1"/>
        <w:spacing w:line="240" w:lineRule="auto"/>
        <w:ind w:firstLineChars="0" w:firstLine="0"/>
        <w:rPr>
          <w:rFonts w:ascii="Times New Roman Regular" w:hAnsi="Times New Roman Regular" w:cs="Times New Roman Regular"/>
          <w:sz w:val="24"/>
        </w:rPr>
      </w:pPr>
      <w:r>
        <w:rPr>
          <w:rFonts w:ascii="Times New Roman Regular" w:hAnsi="Times New Roman Regular" w:cs="Times New Roman Regular"/>
          <w:sz w:val="24"/>
        </w:rPr>
        <w:t xml:space="preserve">Container yards act as critical distribution </w:t>
      </w:r>
      <w:r>
        <w:rPr>
          <w:rFonts w:ascii="Times New Roman Regular" w:hAnsi="Times New Roman Regular" w:cs="Times New Roman Regular" w:hint="eastAsia"/>
          <w:sz w:val="24"/>
        </w:rPr>
        <w:t>centers</w:t>
      </w:r>
      <w:r>
        <w:rPr>
          <w:rFonts w:ascii="Times New Roman Regular" w:hAnsi="Times New Roman Regular" w:cs="Times New Roman Regular"/>
          <w:sz w:val="24"/>
        </w:rPr>
        <w:t xml:space="preserve"> for both containers and goods. Insufficient pest control and management measures in these facilities can create environments that are conducive to pest breeding and spreading. Common issues in container yards include stagnant water, overgrown vegetation, and the accumulation of leftover goods or refuse, all of which serve as potential habitats for pests. When containers are loaded in such facilities, there is a risk of pests entering and subsequently spreading during transportation.</w:t>
      </w:r>
    </w:p>
    <w:p w14:paraId="601AE17A" w14:textId="77777777" w:rsidR="00373B3E" w:rsidRDefault="00373B3E">
      <w:pPr>
        <w:pStyle w:val="a1"/>
        <w:spacing w:line="240" w:lineRule="auto"/>
        <w:ind w:firstLineChars="0" w:firstLine="0"/>
        <w:rPr>
          <w:rFonts w:ascii="Times New Roman Regular" w:hAnsi="Times New Roman Regular" w:cs="Times New Roman Regular"/>
        </w:rPr>
      </w:pPr>
    </w:p>
    <w:p w14:paraId="0248DD71" w14:textId="77777777" w:rsidR="00373B3E" w:rsidRDefault="00391E0C">
      <w:pPr>
        <w:pStyle w:val="Heading2"/>
        <w:keepLines w:val="0"/>
        <w:spacing w:before="360" w:after="60" w:line="360" w:lineRule="auto"/>
        <w:ind w:right="284" w:firstLineChars="0" w:firstLine="0"/>
        <w:jc w:val="left"/>
        <w:rPr>
          <w:rFonts w:ascii="Arial" w:eastAsiaTheme="minorEastAsia" w:hAnsi="Arial" w:cs="Arial"/>
          <w:iCs/>
          <w:kern w:val="0"/>
          <w:sz w:val="24"/>
          <w:szCs w:val="28"/>
        </w:rPr>
      </w:pPr>
      <w:r>
        <w:rPr>
          <w:rFonts w:ascii="Arial" w:eastAsiaTheme="minorEastAsia" w:hAnsi="Arial" w:cs="Arial"/>
          <w:iCs/>
          <w:kern w:val="0"/>
          <w:sz w:val="24"/>
          <w:szCs w:val="28"/>
        </w:rPr>
        <w:t xml:space="preserve">2.2 Challenges and Key Measures in </w:t>
      </w:r>
      <w:r>
        <w:rPr>
          <w:rFonts w:ascii="Arial" w:eastAsiaTheme="minorEastAsia" w:hAnsi="Arial" w:cs="Arial"/>
          <w:iCs/>
          <w:kern w:val="0"/>
          <w:sz w:val="24"/>
          <w:szCs w:val="28"/>
        </w:rPr>
        <w:t>Controlling Container Pest Risks</w:t>
      </w:r>
    </w:p>
    <w:p w14:paraId="4063DC8B" w14:textId="77777777" w:rsidR="00373B3E" w:rsidRDefault="00391E0C">
      <w:pPr>
        <w:pStyle w:val="a1"/>
        <w:spacing w:line="240" w:lineRule="auto"/>
        <w:ind w:firstLineChars="0" w:firstLine="0"/>
        <w:rPr>
          <w:rFonts w:ascii="Times New Roman Regular" w:hAnsi="Times New Roman Regular" w:cs="Times New Roman Regular"/>
          <w:sz w:val="24"/>
        </w:rPr>
      </w:pPr>
      <w:r>
        <w:rPr>
          <w:rFonts w:ascii="Times New Roman Regular" w:hAnsi="Times New Roman Regular" w:cs="Times New Roman Regular"/>
          <w:sz w:val="24"/>
        </w:rPr>
        <w:t>Based on the analysis regarding factors contributing to container pest risks formation, it is evident that due attention from industry stakeholders towards post-unloading cleansing is difficult</w:t>
      </w:r>
      <w:r>
        <w:rPr>
          <w:rFonts w:ascii="Times New Roman Regular" w:hAnsi="Times New Roman Regular" w:cs="Times New Roman Regular" w:hint="eastAsia"/>
          <w:sz w:val="24"/>
        </w:rPr>
        <w:t>.</w:t>
      </w:r>
      <w:r>
        <w:rPr>
          <w:rFonts w:ascii="Times New Roman Regular" w:hAnsi="Times New Roman Regular" w:cs="Times New Roman Regular"/>
          <w:sz w:val="24"/>
        </w:rPr>
        <w:t xml:space="preserve"> This situation is largely attributed to the absence of regulatory measures by numerous NPPOs regarding the export and import of empty containers. To effectively address this issue, it is essential for NPPOs to implement a systematic approach that includes conducting a designated proportion of inspections on empty containers during both export and import, as well as establishing </w:t>
      </w:r>
      <w:r w:rsidR="00584AC1">
        <w:rPr>
          <w:rFonts w:ascii="Times New Roman Regular" w:hAnsi="Times New Roman Regular" w:cs="Times New Roman Regular"/>
          <w:sz w:val="24"/>
        </w:rPr>
        <w:t>necessary</w:t>
      </w:r>
      <w:r>
        <w:rPr>
          <w:rFonts w:ascii="Times New Roman Regular" w:hAnsi="Times New Roman Regular" w:cs="Times New Roman Regular"/>
          <w:sz w:val="24"/>
        </w:rPr>
        <w:t xml:space="preserve"> supervisory measures.</w:t>
      </w:r>
    </w:p>
    <w:p w14:paraId="52108595" w14:textId="77777777" w:rsidR="00373B3E" w:rsidRDefault="00373B3E">
      <w:pPr>
        <w:pStyle w:val="a1"/>
        <w:spacing w:line="240" w:lineRule="auto"/>
        <w:ind w:firstLineChars="0" w:firstLine="0"/>
        <w:rPr>
          <w:rFonts w:ascii="Times New Roman Regular" w:hAnsi="Times New Roman Regular" w:cs="Times New Roman Regular"/>
        </w:rPr>
      </w:pPr>
    </w:p>
    <w:p w14:paraId="5EE181BD" w14:textId="77777777" w:rsidR="00373B3E" w:rsidRDefault="00391E0C">
      <w:pPr>
        <w:pStyle w:val="a1"/>
        <w:spacing w:line="240" w:lineRule="auto"/>
        <w:ind w:firstLineChars="0" w:firstLine="0"/>
        <w:outlineLvl w:val="0"/>
        <w:rPr>
          <w:rFonts w:ascii="Arial" w:eastAsiaTheme="minorEastAsia" w:hAnsi="Arial" w:cs="Arial"/>
          <w:b/>
          <w:bCs/>
          <w:color w:val="000000"/>
          <w:kern w:val="0"/>
          <w:sz w:val="36"/>
        </w:rPr>
      </w:pPr>
      <w:r>
        <w:rPr>
          <w:rFonts w:ascii="Arial" w:eastAsiaTheme="minorEastAsia" w:hAnsi="Arial" w:cs="Arial"/>
          <w:b/>
          <w:bCs/>
          <w:color w:val="000000"/>
          <w:kern w:val="0"/>
          <w:sz w:val="36"/>
        </w:rPr>
        <w:t>3. China’s Actions to Mitigate Pest Risks Associated with Sea Containers</w:t>
      </w:r>
    </w:p>
    <w:p w14:paraId="0C3B1CFC" w14:textId="77777777" w:rsidR="00373B3E" w:rsidRDefault="00391E0C">
      <w:pPr>
        <w:pStyle w:val="Heading2"/>
        <w:keepLines w:val="0"/>
        <w:spacing w:before="360" w:after="60" w:line="360" w:lineRule="auto"/>
        <w:ind w:right="284" w:firstLineChars="0" w:firstLine="0"/>
        <w:jc w:val="left"/>
        <w:rPr>
          <w:rFonts w:ascii="Arial" w:eastAsiaTheme="minorEastAsia" w:hAnsi="Arial" w:cs="Arial"/>
          <w:iCs/>
          <w:kern w:val="0"/>
          <w:sz w:val="24"/>
          <w:szCs w:val="28"/>
        </w:rPr>
      </w:pPr>
      <w:r>
        <w:rPr>
          <w:rFonts w:ascii="Arial" w:eastAsiaTheme="minorEastAsia" w:hAnsi="Arial" w:cs="Arial"/>
          <w:iCs/>
          <w:kern w:val="0"/>
          <w:sz w:val="24"/>
          <w:szCs w:val="28"/>
        </w:rPr>
        <w:t>3.1 China’s Container Quarantine Laws, Regulations, and Implementation Agencies</w:t>
      </w:r>
    </w:p>
    <w:p w14:paraId="52D3A38C"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China has established a comprehensive legal framework governing the quarantine and management of pest risks associated with sea containers. This framework includes the "Biosecurity Law of the People's Republic of China," the "Law of the People's Republic of China on the Entry and Exit of Animals and Plants," as well as the implementing regulation, the "</w:t>
      </w:r>
      <w:r w:rsidR="00584AC1">
        <w:rPr>
          <w:rFonts w:ascii="Times New Roman Regular" w:hAnsi="Times New Roman Regular" w:cs="Times New Roman Regular" w:hint="eastAsia"/>
          <w:sz w:val="24"/>
          <w:szCs w:val="21"/>
        </w:rPr>
        <w:t xml:space="preserve">The Rule of </w:t>
      </w:r>
      <w:r>
        <w:rPr>
          <w:rFonts w:ascii="Times New Roman Regular" w:hAnsi="Times New Roman Regular" w:cs="Times New Roman Regular"/>
          <w:sz w:val="24"/>
          <w:szCs w:val="21"/>
        </w:rPr>
        <w:t>Administrative Measures for the Inspection and Quarantine of Entry and Exit Containers," issued by the General Administration of Customs of the People's Republic of China (GACC). These documents delineate detailed provisions related to the quarantine process, treatment protocols, release procedures, and overall supervision and management of both imported and exported containers.</w:t>
      </w:r>
    </w:p>
    <w:p w14:paraId="1C360DF3" w14:textId="77777777" w:rsidR="00373B3E" w:rsidRDefault="00373B3E">
      <w:pPr>
        <w:spacing w:line="240" w:lineRule="auto"/>
        <w:ind w:firstLineChars="0" w:firstLine="0"/>
        <w:rPr>
          <w:rFonts w:ascii="Times New Roman Regular" w:hAnsi="Times New Roman Regular" w:cs="Times New Roman Regular"/>
        </w:rPr>
      </w:pPr>
    </w:p>
    <w:p w14:paraId="60C1DFD1" w14:textId="77777777" w:rsidR="00373B3E" w:rsidRDefault="00391E0C">
      <w:pPr>
        <w:pStyle w:val="Heading2"/>
        <w:keepLines w:val="0"/>
        <w:spacing w:before="360" w:after="60" w:line="360" w:lineRule="auto"/>
        <w:ind w:right="284" w:firstLineChars="0" w:firstLine="0"/>
        <w:jc w:val="left"/>
        <w:rPr>
          <w:rFonts w:ascii="Arial" w:eastAsiaTheme="minorEastAsia" w:hAnsi="Arial" w:cs="Arial"/>
          <w:iCs/>
          <w:kern w:val="0"/>
          <w:sz w:val="24"/>
          <w:szCs w:val="28"/>
        </w:rPr>
      </w:pPr>
      <w:r>
        <w:rPr>
          <w:rFonts w:ascii="Arial" w:eastAsiaTheme="minorEastAsia" w:hAnsi="Arial" w:cs="Arial"/>
          <w:iCs/>
          <w:kern w:val="0"/>
          <w:sz w:val="24"/>
          <w:szCs w:val="28"/>
        </w:rPr>
        <w:t>3.2 China's participation in ISPM setting since 2017</w:t>
      </w:r>
    </w:p>
    <w:p w14:paraId="08B44C24"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China abides by its responsibilities as a contracting party of IPPC and always places its focus on pest risks associated with sea containers. Since 2011, China has assigned special personnel to participate in and track IPPC’s activities against pest risks associated with sea containers, and actively advanced effective works under its domestic legal frameworks.</w:t>
      </w:r>
    </w:p>
    <w:p w14:paraId="07D9B42F" w14:textId="77777777" w:rsidR="00373B3E" w:rsidRDefault="00373B3E">
      <w:pPr>
        <w:spacing w:line="240" w:lineRule="auto"/>
        <w:ind w:firstLineChars="0" w:firstLine="0"/>
        <w:rPr>
          <w:rFonts w:ascii="Times New Roman Regular" w:hAnsi="Times New Roman Regular" w:cs="Times New Roman Regular"/>
          <w:sz w:val="24"/>
          <w:szCs w:val="21"/>
        </w:rPr>
      </w:pPr>
    </w:p>
    <w:p w14:paraId="45E21DE8"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In 2017, China began to draft national standards for container plant quarantine. Now, 6 years later, we have established a standard system for plant quarantine of entry and exit containers, including 3 national standards [</w:t>
      </w:r>
      <w:r>
        <w:rPr>
          <w:rFonts w:ascii="Times New Roman Regular" w:hAnsi="Times New Roman Regular" w:cs="Times New Roman Regular"/>
          <w:i/>
          <w:sz w:val="24"/>
          <w:szCs w:val="21"/>
        </w:rPr>
        <w:t>Code of Practice for the Plant Quarantine of Import Freight Containers</w:t>
      </w:r>
      <w:r>
        <w:rPr>
          <w:rFonts w:ascii="Times New Roman Regular" w:hAnsi="Times New Roman Regular" w:cs="Times New Roman Regular"/>
          <w:sz w:val="24"/>
          <w:szCs w:val="21"/>
        </w:rPr>
        <w:t xml:space="preserve"> (GB/T39921-2021), </w:t>
      </w:r>
      <w:r>
        <w:rPr>
          <w:rFonts w:ascii="Times New Roman Regular" w:hAnsi="Times New Roman Regular" w:cs="Times New Roman Regular"/>
          <w:i/>
          <w:sz w:val="24"/>
          <w:szCs w:val="21"/>
        </w:rPr>
        <w:t>Code of Practice for the Plant Quarantine of Exit Freight Containers</w:t>
      </w:r>
      <w:r>
        <w:rPr>
          <w:rFonts w:ascii="Times New Roman Regular" w:hAnsi="Times New Roman Regular" w:cs="Times New Roman Regular"/>
          <w:sz w:val="24"/>
          <w:szCs w:val="21"/>
        </w:rPr>
        <w:t xml:space="preserve"> (GB/T 39919-2021) and </w:t>
      </w:r>
      <w:r>
        <w:rPr>
          <w:rFonts w:ascii="Times New Roman Regular" w:hAnsi="Times New Roman Regular" w:cs="Times New Roman Regular"/>
          <w:i/>
          <w:sz w:val="24"/>
          <w:szCs w:val="21"/>
        </w:rPr>
        <w:t>Guidelines for the Establishment of Plant Quarantine System in Entry and Exit Container Depot</w:t>
      </w:r>
      <w:r>
        <w:rPr>
          <w:rFonts w:ascii="Times New Roman Regular" w:hAnsi="Times New Roman Regular" w:cs="Times New Roman Regular"/>
          <w:sz w:val="24"/>
          <w:szCs w:val="21"/>
        </w:rPr>
        <w:t xml:space="preserve"> (GB/T 39916-2021)] and 2 local standards [</w:t>
      </w:r>
      <w:r>
        <w:rPr>
          <w:rFonts w:ascii="Times New Roman Regular" w:hAnsi="Times New Roman Regular" w:cs="Times New Roman Regular"/>
          <w:i/>
          <w:sz w:val="24"/>
          <w:szCs w:val="21"/>
        </w:rPr>
        <w:t>Container Loading Operation Requirements</w:t>
      </w:r>
      <w:r>
        <w:rPr>
          <w:rFonts w:ascii="Times New Roman Regular" w:hAnsi="Times New Roman Regular" w:cs="Times New Roman Regular"/>
          <w:sz w:val="24"/>
          <w:szCs w:val="21"/>
        </w:rPr>
        <w:t xml:space="preserve"> (DB4403/T 365-2023) and </w:t>
      </w:r>
      <w:r>
        <w:rPr>
          <w:rFonts w:ascii="Times New Roman Regular" w:hAnsi="Times New Roman Regular" w:cs="Times New Roman Regular"/>
          <w:i/>
          <w:sz w:val="24"/>
          <w:szCs w:val="21"/>
        </w:rPr>
        <w:t>Construction and Management Requirements for Entry and Exit Container Stations</w:t>
      </w:r>
      <w:r>
        <w:rPr>
          <w:rFonts w:ascii="Times New Roman Regular" w:hAnsi="Times New Roman Regular" w:cs="Times New Roman Regular"/>
          <w:sz w:val="24"/>
          <w:szCs w:val="21"/>
        </w:rPr>
        <w:t xml:space="preserve"> (DB4403/T 366-2023)].</w:t>
      </w:r>
    </w:p>
    <w:p w14:paraId="0EA214EB" w14:textId="77777777" w:rsidR="00373B3E" w:rsidRDefault="00373B3E">
      <w:pPr>
        <w:spacing w:line="240" w:lineRule="auto"/>
        <w:ind w:firstLineChars="0" w:firstLine="0"/>
        <w:rPr>
          <w:rFonts w:ascii="Times New Roman Regular" w:hAnsi="Times New Roman Regular" w:cs="Times New Roman Regular"/>
          <w:sz w:val="24"/>
          <w:szCs w:val="21"/>
        </w:rPr>
      </w:pPr>
    </w:p>
    <w:p w14:paraId="7B09215B"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lastRenderedPageBreak/>
        <w:t>China hosted Sea Container Task Force (SCTF) meetings in Shanghai (2017) and Shenzhen (2018).</w:t>
      </w:r>
    </w:p>
    <w:p w14:paraId="2851A3C9" w14:textId="77777777" w:rsidR="00373B3E" w:rsidRDefault="00373B3E">
      <w:pPr>
        <w:spacing w:line="240" w:lineRule="auto"/>
        <w:ind w:firstLineChars="0" w:firstLine="0"/>
        <w:rPr>
          <w:rFonts w:ascii="Times New Roman Regular" w:hAnsi="Times New Roman Regular" w:cs="Times New Roman Regular"/>
          <w:sz w:val="24"/>
          <w:szCs w:val="21"/>
        </w:rPr>
      </w:pPr>
    </w:p>
    <w:p w14:paraId="5F051615"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 xml:space="preserve">In October, 2020, </w:t>
      </w:r>
      <w:r>
        <w:rPr>
          <w:rFonts w:ascii="Times New Roman Regular" w:hAnsi="Times New Roman Regular" w:cs="Times New Roman Regular"/>
          <w:sz w:val="24"/>
          <w:szCs w:val="21"/>
        </w:rPr>
        <w:t>China promulgated its Biosecurity Law, which further consolidated the legal basis for plant quarantine of entry and exit containers.</w:t>
      </w:r>
    </w:p>
    <w:p w14:paraId="612D0915" w14:textId="77777777" w:rsidR="00373B3E" w:rsidRDefault="00373B3E">
      <w:pPr>
        <w:spacing w:line="240" w:lineRule="auto"/>
        <w:ind w:firstLineChars="0" w:firstLine="0"/>
        <w:rPr>
          <w:rFonts w:ascii="Times New Roman Regular" w:hAnsi="Times New Roman Regular" w:cs="Times New Roman Regular"/>
          <w:sz w:val="24"/>
          <w:szCs w:val="21"/>
        </w:rPr>
      </w:pPr>
    </w:p>
    <w:p w14:paraId="17C24239"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In 2023, China established an Expert Group for Research on Plant Quarantine Requirements of Sea Containers under the General Administration of Customs to enhance the supervision of plant quarantine of containers and actively participate in IPPC’s activities against pest risks of sea containers.</w:t>
      </w:r>
    </w:p>
    <w:p w14:paraId="12734526" w14:textId="77777777" w:rsidR="00373B3E" w:rsidRDefault="00373B3E">
      <w:pPr>
        <w:spacing w:line="240" w:lineRule="auto"/>
        <w:ind w:firstLineChars="0" w:firstLine="0"/>
        <w:rPr>
          <w:rFonts w:ascii="Times New Roman Regular" w:hAnsi="Times New Roman Regular" w:cs="Times New Roman Regular"/>
          <w:sz w:val="24"/>
          <w:szCs w:val="21"/>
        </w:rPr>
      </w:pPr>
    </w:p>
    <w:p w14:paraId="6B307E5F"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In 2024, China is cooperating with the industry to collect information about pest risks of sea containers. It is planned to monitor and study the biosecurity risk factors of entry empty containers from all continents in the next 18 months, and put 3 categories of 36 containers with different material structures into the logistics chain for tracking and monitoring.</w:t>
      </w:r>
    </w:p>
    <w:p w14:paraId="3E6CEBDD" w14:textId="77777777" w:rsidR="00373B3E" w:rsidRDefault="00373B3E">
      <w:pPr>
        <w:spacing w:line="240" w:lineRule="auto"/>
        <w:ind w:firstLineChars="0" w:firstLine="0"/>
        <w:rPr>
          <w:rFonts w:ascii="Times New Roman Regular" w:hAnsi="Times New Roman Regular" w:cs="Times New Roman Regular"/>
          <w:sz w:val="24"/>
          <w:szCs w:val="21"/>
        </w:rPr>
      </w:pPr>
    </w:p>
    <w:p w14:paraId="73A13FBE" w14:textId="77777777" w:rsidR="00373B3E" w:rsidRDefault="00391E0C">
      <w:pPr>
        <w:pStyle w:val="a1"/>
        <w:spacing w:line="240" w:lineRule="auto"/>
        <w:ind w:firstLineChars="0" w:firstLine="0"/>
        <w:outlineLvl w:val="0"/>
        <w:rPr>
          <w:rFonts w:ascii="Arial" w:eastAsiaTheme="minorEastAsia" w:hAnsi="Arial" w:cs="Arial"/>
          <w:b/>
          <w:bCs/>
          <w:color w:val="000000"/>
          <w:kern w:val="0"/>
          <w:sz w:val="36"/>
        </w:rPr>
      </w:pPr>
      <w:r>
        <w:rPr>
          <w:rFonts w:ascii="Arial" w:eastAsiaTheme="minorEastAsia" w:hAnsi="Arial" w:cs="Arial"/>
          <w:b/>
          <w:bCs/>
          <w:color w:val="000000"/>
          <w:kern w:val="0"/>
          <w:sz w:val="36"/>
        </w:rPr>
        <w:t>4.Summary of the interception of China import empty containers</w:t>
      </w:r>
    </w:p>
    <w:p w14:paraId="0C1760A6" w14:textId="77777777" w:rsidR="00373B3E" w:rsidRDefault="00391E0C">
      <w:pPr>
        <w:pStyle w:val="Heading2"/>
        <w:keepLines w:val="0"/>
        <w:spacing w:before="360" w:after="60" w:line="360" w:lineRule="auto"/>
        <w:ind w:right="284" w:firstLineChars="0" w:firstLine="0"/>
        <w:jc w:val="left"/>
        <w:rPr>
          <w:rFonts w:ascii="Arial" w:eastAsiaTheme="minorEastAsia" w:hAnsi="Arial" w:cs="Arial"/>
          <w:iCs/>
          <w:kern w:val="0"/>
          <w:sz w:val="24"/>
          <w:szCs w:val="28"/>
        </w:rPr>
      </w:pPr>
      <w:r>
        <w:rPr>
          <w:rFonts w:ascii="Arial" w:eastAsiaTheme="minorEastAsia" w:hAnsi="Arial" w:cs="Arial"/>
          <w:iCs/>
          <w:kern w:val="0"/>
          <w:sz w:val="24"/>
          <w:szCs w:val="28"/>
        </w:rPr>
        <w:t>4.1</w:t>
      </w:r>
      <w:r w:rsidR="00AC1EBE">
        <w:rPr>
          <w:rFonts w:ascii="Arial" w:eastAsiaTheme="minorEastAsia" w:hAnsi="Arial" w:cs="Arial" w:hint="eastAsia"/>
          <w:iCs/>
          <w:kern w:val="0"/>
          <w:sz w:val="24"/>
          <w:szCs w:val="28"/>
        </w:rPr>
        <w:t xml:space="preserve"> </w:t>
      </w:r>
      <w:r>
        <w:rPr>
          <w:rFonts w:ascii="Arial" w:eastAsiaTheme="minorEastAsia" w:hAnsi="Arial" w:cs="Arial"/>
          <w:iCs/>
          <w:kern w:val="0"/>
          <w:sz w:val="24"/>
          <w:szCs w:val="28"/>
        </w:rPr>
        <w:t>Overview of the intercepted empty containers entering China from 2019 to 2023</w:t>
      </w:r>
    </w:p>
    <w:p w14:paraId="77E38742" w14:textId="77777777" w:rsidR="00373B3E" w:rsidRDefault="00391E0C">
      <w:pPr>
        <w:pStyle w:val="a1"/>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In 2019-2023, China Customs had neither well-defined proportion of random checks on empty containers nor unified control. Only extremely low proportions of random checks were conducted at ports. Nevertheless, a variety of pests (1997 species and 210236 times) in empty containers were intercepted at ports. As shown in the following figure, the species of pests intercepted in the empty containers entering China from 2019 to 2023 were maintained at more than 500 species every year. The number of pest intercept</w:t>
      </w:r>
      <w:r>
        <w:rPr>
          <w:rFonts w:ascii="Times New Roman Regular" w:hAnsi="Times New Roman Regular" w:cs="Times New Roman Regular"/>
          <w:sz w:val="24"/>
          <w:szCs w:val="21"/>
        </w:rPr>
        <w:t xml:space="preserve">ions decreased slightly in 2020 and 2021, and increased significantly in 2022 and 2023 at an increase rate of 103.94%. The most pests detected were </w:t>
      </w:r>
      <w:r>
        <w:rPr>
          <w:rFonts w:ascii="Times New Roman Regular" w:hAnsi="Times New Roman Regular" w:cs="Times New Roman Regular"/>
          <w:i/>
          <w:sz w:val="24"/>
          <w:szCs w:val="21"/>
        </w:rPr>
        <w:t>Sitophilus zeamais</w:t>
      </w:r>
      <w:r>
        <w:rPr>
          <w:rFonts w:ascii="Times New Roman Regular" w:hAnsi="Times New Roman Regular" w:cs="Times New Roman Regular"/>
          <w:sz w:val="24"/>
          <w:szCs w:val="21"/>
        </w:rPr>
        <w:t xml:space="preserve">, </w:t>
      </w:r>
      <w:r>
        <w:rPr>
          <w:rFonts w:ascii="Times New Roman Regular" w:hAnsi="Times New Roman Regular" w:cs="Times New Roman Regular"/>
          <w:i/>
          <w:sz w:val="24"/>
          <w:szCs w:val="21"/>
        </w:rPr>
        <w:t>Tribolium castaneum</w:t>
      </w:r>
      <w:r>
        <w:rPr>
          <w:rFonts w:ascii="Times New Roman Regular" w:hAnsi="Times New Roman Regular" w:cs="Times New Roman Regular"/>
          <w:sz w:val="24"/>
          <w:szCs w:val="21"/>
        </w:rPr>
        <w:t xml:space="preserve">, </w:t>
      </w:r>
      <w:r>
        <w:rPr>
          <w:rFonts w:ascii="Times New Roman Regular" w:hAnsi="Times New Roman Regular" w:cs="Times New Roman Regular"/>
          <w:i/>
          <w:sz w:val="24"/>
          <w:szCs w:val="21"/>
        </w:rPr>
        <w:t>Rhizopertha dominica</w:t>
      </w:r>
      <w:r>
        <w:rPr>
          <w:rFonts w:ascii="Times New Roman Regular" w:hAnsi="Times New Roman Regular" w:cs="Times New Roman Regular"/>
          <w:sz w:val="24"/>
          <w:szCs w:val="21"/>
        </w:rPr>
        <w:t xml:space="preserve">, </w:t>
      </w:r>
      <w:r>
        <w:rPr>
          <w:rFonts w:ascii="Times New Roman Regular" w:hAnsi="Times New Roman Regular" w:cs="Times New Roman Regular"/>
          <w:i/>
          <w:sz w:val="24"/>
          <w:szCs w:val="21"/>
        </w:rPr>
        <w:t>Lasioderma serricorne</w:t>
      </w:r>
      <w:r>
        <w:rPr>
          <w:rFonts w:ascii="Times New Roman Regular" w:hAnsi="Times New Roman Regular" w:cs="Times New Roman Regular"/>
          <w:sz w:val="24"/>
          <w:szCs w:val="21"/>
        </w:rPr>
        <w:t xml:space="preserve"> and </w:t>
      </w:r>
      <w:r>
        <w:rPr>
          <w:rFonts w:ascii="Times New Roman Regular" w:hAnsi="Times New Roman Regular" w:cs="Times New Roman Regular"/>
          <w:i/>
          <w:sz w:val="24"/>
          <w:szCs w:val="21"/>
        </w:rPr>
        <w:t>Oryzaephilus surinamensis</w:t>
      </w:r>
      <w:r>
        <w:rPr>
          <w:rFonts w:ascii="Times New Roman Regular" w:hAnsi="Times New Roman Regular" w:cs="Times New Roman Regular"/>
          <w:sz w:val="24"/>
          <w:szCs w:val="21"/>
        </w:rPr>
        <w:t>.</w:t>
      </w:r>
    </w:p>
    <w:p w14:paraId="6EC8EFB3" w14:textId="77777777" w:rsidR="00373B3E" w:rsidRDefault="00391E0C">
      <w:pPr>
        <w:pStyle w:val="a1"/>
        <w:spacing w:line="240" w:lineRule="auto"/>
        <w:ind w:firstLineChars="0" w:firstLine="0"/>
        <w:jc w:val="center"/>
        <w:rPr>
          <w:rFonts w:ascii="Times New Roman Regular" w:hAnsi="Times New Roman Regular" w:cs="Times New Roman Regular"/>
          <w:sz w:val="24"/>
          <w:szCs w:val="21"/>
        </w:rPr>
      </w:pPr>
      <w:r>
        <w:rPr>
          <w:rFonts w:ascii="Times New Roman Regular" w:hAnsi="Times New Roman Regular" w:cs="Times New Roman Regular"/>
          <w:noProof/>
          <w:sz w:val="24"/>
          <w:szCs w:val="21"/>
        </w:rPr>
        <w:lastRenderedPageBreak/>
        <w:drawing>
          <wp:inline distT="0" distB="0" distL="0" distR="0" wp14:anchorId="475B92A2" wp14:editId="1F151A22">
            <wp:extent cx="5539740" cy="3240405"/>
            <wp:effectExtent l="0" t="0" r="2286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539740" cy="3240405"/>
                    </a:xfrm>
                    <a:prstGeom prst="rect">
                      <a:avLst/>
                    </a:prstGeom>
                  </pic:spPr>
                </pic:pic>
              </a:graphicData>
            </a:graphic>
          </wp:inline>
        </w:drawing>
      </w:r>
    </w:p>
    <w:p w14:paraId="2DA0A8A1" w14:textId="77777777" w:rsidR="00373B3E" w:rsidRDefault="00391E0C">
      <w:pPr>
        <w:pStyle w:val="NormalWeb"/>
        <w:widowControl/>
        <w:shd w:val="clear" w:color="auto" w:fill="FFFFFF"/>
        <w:spacing w:before="0" w:beforeAutospacing="0" w:after="0" w:afterAutospacing="0"/>
        <w:ind w:left="0" w:firstLineChars="0" w:firstLine="0"/>
        <w:jc w:val="center"/>
        <w:rPr>
          <w:rFonts w:ascii="Times New Roman Regular" w:eastAsia="FZFangSong-Z02" w:hAnsi="Times New Roman Regular" w:cs="Times New Roman Regular"/>
          <w:kern w:val="2"/>
          <w:szCs w:val="21"/>
          <w14:ligatures w14:val="none"/>
        </w:rPr>
      </w:pPr>
      <w:r>
        <w:rPr>
          <w:rFonts w:ascii="Times New Roman Regular" w:eastAsia="FZFangSong-Z02" w:hAnsi="Times New Roman Regular" w:cs="Times New Roman Regular"/>
          <w:kern w:val="2"/>
          <w:szCs w:val="21"/>
          <w14:ligatures w14:val="none"/>
        </w:rPr>
        <w:t xml:space="preserve">Figure The species and the times of the pests intercepted in </w:t>
      </w:r>
      <w:r>
        <w:rPr>
          <w:rFonts w:ascii="Times New Roman Regular" w:eastAsia="FZFangSong-Z02" w:hAnsi="Times New Roman Regular" w:cs="Times New Roman Regular"/>
          <w:kern w:val="2"/>
          <w:szCs w:val="21"/>
          <w14:ligatures w14:val="none"/>
        </w:rPr>
        <w:t>empty containers from 2019 to 2023</w:t>
      </w:r>
    </w:p>
    <w:p w14:paraId="0771F30C" w14:textId="77777777" w:rsidR="00373B3E" w:rsidRDefault="00373B3E">
      <w:pPr>
        <w:pStyle w:val="NormalWeb"/>
        <w:widowControl/>
        <w:shd w:val="clear" w:color="auto" w:fill="FFFFFF"/>
        <w:spacing w:before="0" w:beforeAutospacing="0" w:after="0" w:afterAutospacing="0"/>
        <w:ind w:left="0" w:firstLineChars="0" w:firstLine="0"/>
        <w:jc w:val="both"/>
        <w:rPr>
          <w:rFonts w:ascii="Times New Roman Regular" w:eastAsia="FZFangSong-Z02" w:hAnsi="Times New Roman Regular" w:cs="Times New Roman Regular"/>
          <w:kern w:val="2"/>
          <w:szCs w:val="21"/>
          <w14:ligatures w14:val="none"/>
        </w:rPr>
      </w:pPr>
    </w:p>
    <w:p w14:paraId="3985BC92"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 xml:space="preserve">From 2019 to 2023, 86 species and 661 times of quarantine pests were intercepted in empty containers at Chinese ports. The top 10 quarantine pests were </w:t>
      </w:r>
      <w:r>
        <w:rPr>
          <w:rFonts w:ascii="Times New Roman Regular" w:hAnsi="Times New Roman Regular" w:cs="Times New Roman Regular"/>
          <w:i/>
          <w:sz w:val="24"/>
          <w:szCs w:val="21"/>
        </w:rPr>
        <w:t>Solenopsis invicta</w:t>
      </w:r>
      <w:r>
        <w:rPr>
          <w:rFonts w:ascii="Times New Roman Regular" w:hAnsi="Times New Roman Regular" w:cs="Times New Roman Regular"/>
          <w:sz w:val="24"/>
          <w:szCs w:val="21"/>
        </w:rPr>
        <w:t xml:space="preserve">, </w:t>
      </w:r>
      <w:r>
        <w:rPr>
          <w:rFonts w:ascii="Times New Roman Regular" w:hAnsi="Times New Roman Regular" w:cs="Times New Roman Regular"/>
          <w:i/>
          <w:sz w:val="24"/>
          <w:szCs w:val="21"/>
        </w:rPr>
        <w:t>Xanthium sp.</w:t>
      </w:r>
      <w:r>
        <w:rPr>
          <w:rFonts w:ascii="Times New Roman Regular" w:hAnsi="Times New Roman Regular" w:cs="Times New Roman Regular"/>
          <w:sz w:val="24"/>
          <w:szCs w:val="21"/>
        </w:rPr>
        <w:t xml:space="preserve"> (non-China species), </w:t>
      </w:r>
      <w:r>
        <w:rPr>
          <w:rFonts w:ascii="Times New Roman Regular" w:hAnsi="Times New Roman Regular" w:cs="Times New Roman Regular"/>
          <w:i/>
          <w:sz w:val="24"/>
          <w:szCs w:val="21"/>
        </w:rPr>
        <w:t>Ips typographus</w:t>
      </w:r>
      <w:r>
        <w:rPr>
          <w:rFonts w:ascii="Times New Roman Regular" w:hAnsi="Times New Roman Regular" w:cs="Times New Roman Regular"/>
          <w:sz w:val="24"/>
          <w:szCs w:val="21"/>
        </w:rPr>
        <w:t xml:space="preserve">, </w:t>
      </w:r>
      <w:r>
        <w:rPr>
          <w:rFonts w:ascii="Times New Roman Regular" w:hAnsi="Times New Roman Regular" w:cs="Times New Roman Regular"/>
          <w:i/>
          <w:sz w:val="24"/>
          <w:szCs w:val="21"/>
        </w:rPr>
        <w:t>Callosobruchus maculatus</w:t>
      </w:r>
      <w:r>
        <w:rPr>
          <w:rFonts w:ascii="Times New Roman Regular" w:hAnsi="Times New Roman Regular" w:cs="Times New Roman Regular"/>
          <w:sz w:val="24"/>
          <w:szCs w:val="21"/>
        </w:rPr>
        <w:t xml:space="preserve">, </w:t>
      </w:r>
      <w:r>
        <w:rPr>
          <w:rFonts w:ascii="Times New Roman Regular" w:hAnsi="Times New Roman Regular" w:cs="Times New Roman Regular"/>
          <w:i/>
          <w:sz w:val="24"/>
          <w:szCs w:val="21"/>
        </w:rPr>
        <w:t>Cuscuta australis</w:t>
      </w:r>
      <w:r>
        <w:rPr>
          <w:rFonts w:ascii="Times New Roman Regular" w:hAnsi="Times New Roman Regular" w:cs="Times New Roman Regular"/>
          <w:sz w:val="24"/>
          <w:szCs w:val="21"/>
        </w:rPr>
        <w:t xml:space="preserve">, </w:t>
      </w:r>
      <w:r>
        <w:rPr>
          <w:rFonts w:ascii="Times New Roman Regular" w:hAnsi="Times New Roman Regular" w:cs="Times New Roman Regular"/>
          <w:i/>
          <w:sz w:val="24"/>
          <w:szCs w:val="21"/>
        </w:rPr>
        <w:t>Ambrosia trifida</w:t>
      </w:r>
      <w:r>
        <w:rPr>
          <w:rFonts w:ascii="Times New Roman Regular" w:hAnsi="Times New Roman Regular" w:cs="Times New Roman Regular"/>
          <w:sz w:val="24"/>
          <w:szCs w:val="21"/>
        </w:rPr>
        <w:t xml:space="preserve">, </w:t>
      </w:r>
      <w:r>
        <w:rPr>
          <w:rFonts w:ascii="Times New Roman Regular" w:hAnsi="Times New Roman Regular" w:cs="Times New Roman Regular"/>
          <w:i/>
          <w:sz w:val="24"/>
          <w:szCs w:val="21"/>
        </w:rPr>
        <w:t>Cenchrus echinatus</w:t>
      </w:r>
      <w:r>
        <w:rPr>
          <w:rFonts w:ascii="Times New Roman Regular" w:hAnsi="Times New Roman Regular" w:cs="Times New Roman Regular"/>
          <w:sz w:val="24"/>
          <w:szCs w:val="21"/>
        </w:rPr>
        <w:t xml:space="preserve">, </w:t>
      </w:r>
      <w:r>
        <w:rPr>
          <w:rFonts w:ascii="Times New Roman Regular" w:hAnsi="Times New Roman Regular" w:cs="Times New Roman Regular"/>
          <w:i/>
          <w:sz w:val="24"/>
          <w:szCs w:val="21"/>
        </w:rPr>
        <w:t>Xanthium spinosum</w:t>
      </w:r>
      <w:r>
        <w:rPr>
          <w:rFonts w:ascii="Times New Roman Regular" w:hAnsi="Times New Roman Regular" w:cs="Times New Roman Regular"/>
          <w:sz w:val="24"/>
          <w:szCs w:val="21"/>
        </w:rPr>
        <w:t xml:space="preserve">, </w:t>
      </w:r>
      <w:r>
        <w:rPr>
          <w:rFonts w:ascii="Times New Roman Regular" w:hAnsi="Times New Roman Regular" w:cs="Times New Roman Regular"/>
          <w:i/>
          <w:sz w:val="24"/>
          <w:szCs w:val="21"/>
        </w:rPr>
        <w:t>Ambrosia artemisiifolia</w:t>
      </w:r>
      <w:r>
        <w:rPr>
          <w:rFonts w:ascii="Times New Roman Regular" w:hAnsi="Times New Roman Regular" w:cs="Times New Roman Regular"/>
          <w:sz w:val="24"/>
          <w:szCs w:val="21"/>
        </w:rPr>
        <w:t xml:space="preserve">, and </w:t>
      </w:r>
      <w:r>
        <w:rPr>
          <w:rFonts w:ascii="Times New Roman Regular" w:hAnsi="Times New Roman Regular" w:cs="Times New Roman Regular"/>
          <w:i/>
          <w:sz w:val="24"/>
          <w:szCs w:val="21"/>
        </w:rPr>
        <w:t>Sorghum halepense</w:t>
      </w:r>
      <w:r>
        <w:rPr>
          <w:rFonts w:ascii="Times New Roman Regular" w:hAnsi="Times New Roman Regular" w:cs="Times New Roman Regular"/>
          <w:sz w:val="24"/>
          <w:szCs w:val="21"/>
        </w:rPr>
        <w:t xml:space="preserve"> (its hybrids).</w:t>
      </w:r>
    </w:p>
    <w:p w14:paraId="5AA00321" w14:textId="77777777" w:rsidR="00373B3E" w:rsidRDefault="00373B3E">
      <w:pPr>
        <w:spacing w:line="240" w:lineRule="auto"/>
        <w:ind w:firstLineChars="0" w:firstLine="0"/>
        <w:rPr>
          <w:rFonts w:ascii="Times New Roman Regular" w:hAnsi="Times New Roman Regular" w:cs="Times New Roman Regular"/>
          <w:sz w:val="24"/>
          <w:szCs w:val="21"/>
        </w:rPr>
      </w:pPr>
    </w:p>
    <w:p w14:paraId="47A4FDE0"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International repositioning of empty containers has increasingly been accepted as an important carrier of pest transmission and “porters” of alien invasive species.</w:t>
      </w:r>
    </w:p>
    <w:p w14:paraId="1FAC6201" w14:textId="77777777" w:rsidR="00373B3E" w:rsidRDefault="00373B3E">
      <w:pPr>
        <w:spacing w:line="240" w:lineRule="auto"/>
        <w:ind w:firstLineChars="0" w:firstLine="0"/>
        <w:rPr>
          <w:rFonts w:ascii="Times New Roman Regular" w:hAnsi="Times New Roman Regular" w:cs="Times New Roman Regular"/>
        </w:rPr>
      </w:pPr>
    </w:p>
    <w:p w14:paraId="33387BDC" w14:textId="77777777" w:rsidR="00373B3E" w:rsidRDefault="00391E0C">
      <w:pPr>
        <w:pStyle w:val="Heading2"/>
        <w:keepLines w:val="0"/>
        <w:spacing w:before="360" w:after="60" w:line="360" w:lineRule="auto"/>
        <w:ind w:right="284" w:firstLineChars="0" w:firstLine="0"/>
        <w:jc w:val="left"/>
        <w:rPr>
          <w:rFonts w:ascii="Arial" w:eastAsiaTheme="minorEastAsia" w:hAnsi="Arial" w:cs="Arial"/>
          <w:iCs/>
          <w:kern w:val="0"/>
          <w:sz w:val="24"/>
          <w:szCs w:val="28"/>
        </w:rPr>
      </w:pPr>
      <w:r>
        <w:rPr>
          <w:rFonts w:ascii="Arial" w:eastAsiaTheme="minorEastAsia" w:hAnsi="Arial" w:cs="Arial"/>
          <w:iCs/>
          <w:kern w:val="0"/>
          <w:sz w:val="24"/>
          <w:szCs w:val="28"/>
        </w:rPr>
        <w:t>4.2 Progress Report and Preliminary Conclusions of China's Global Biosafety Risk Factors Monitoring and Research Project for Sea Containers</w:t>
      </w:r>
    </w:p>
    <w:p w14:paraId="18F462F1"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In alignment with the IPPC</w:t>
      </w:r>
      <w:r>
        <w:rPr>
          <w:rFonts w:ascii="Times New Roman Regular" w:hAnsi="Times New Roman Regular" w:cs="Times New Roman Regular" w:hint="eastAsia"/>
          <w:sz w:val="24"/>
          <w:szCs w:val="21"/>
        </w:rPr>
        <w:t xml:space="preserve"> </w:t>
      </w:r>
      <w:r>
        <w:rPr>
          <w:rFonts w:ascii="Times New Roman Regular" w:hAnsi="Times New Roman Regular" w:cs="Times New Roman Regular"/>
          <w:sz w:val="24"/>
          <w:szCs w:val="21"/>
        </w:rPr>
        <w:t>initiative aimed at enhancing collaboration between NPPOs and the industry in the collection of pest risk information relating to sea containers, China Customs has undertaken a comprehensive study on the monitoring of global biosafety risk factors associated with these containers. This initiative is part of the IPPC international joint trial led by the Sea Container Focus Group (SCFG).</w:t>
      </w:r>
    </w:p>
    <w:p w14:paraId="72847DFB" w14:textId="77777777" w:rsidR="00373B3E" w:rsidRDefault="00373B3E">
      <w:pPr>
        <w:spacing w:line="240" w:lineRule="auto"/>
        <w:ind w:firstLineChars="0" w:firstLine="0"/>
        <w:rPr>
          <w:rFonts w:ascii="Times New Roman Regular" w:hAnsi="Times New Roman Regular" w:cs="Times New Roman Regular"/>
          <w:sz w:val="24"/>
          <w:szCs w:val="21"/>
        </w:rPr>
      </w:pPr>
    </w:p>
    <w:p w14:paraId="5FE1FC7E"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lastRenderedPageBreak/>
        <w:t>The project is divided into three parts:</w:t>
      </w:r>
    </w:p>
    <w:p w14:paraId="7BA066C8" w14:textId="77777777" w:rsidR="00373B3E" w:rsidRDefault="00373B3E">
      <w:pPr>
        <w:spacing w:line="240" w:lineRule="auto"/>
        <w:ind w:firstLineChars="0" w:firstLine="0"/>
        <w:rPr>
          <w:rFonts w:ascii="Times New Roman Regular" w:hAnsi="Times New Roman Regular" w:cs="Times New Roman Regular"/>
          <w:sz w:val="24"/>
          <w:szCs w:val="21"/>
        </w:rPr>
      </w:pPr>
    </w:p>
    <w:p w14:paraId="5393EDE8"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Bold" w:hAnsi="Times New Roman Bold" w:cs="Times New Roman Bold"/>
          <w:b/>
          <w:bCs/>
          <w:sz w:val="24"/>
          <w:szCs w:val="21"/>
        </w:rPr>
        <w:t xml:space="preserve">A. </w:t>
      </w:r>
      <w:r>
        <w:rPr>
          <w:rFonts w:ascii="Times New Roman Regular" w:hAnsi="Times New Roman Regular" w:cs="Times New Roman Regular"/>
          <w:sz w:val="24"/>
          <w:szCs w:val="21"/>
        </w:rPr>
        <w:t>The first part involves the customs officer conducting regular inspections of empty containers to gather information about potential contaminants.</w:t>
      </w:r>
    </w:p>
    <w:p w14:paraId="6D1AC2CF" w14:textId="77777777" w:rsidR="00373B3E" w:rsidRDefault="00373B3E">
      <w:pPr>
        <w:spacing w:line="240" w:lineRule="auto"/>
        <w:ind w:firstLineChars="0" w:firstLine="0"/>
        <w:rPr>
          <w:rFonts w:ascii="Times New Roman Regular" w:hAnsi="Times New Roman Regular" w:cs="Times New Roman Regular"/>
          <w:sz w:val="24"/>
          <w:szCs w:val="21"/>
        </w:rPr>
      </w:pPr>
    </w:p>
    <w:p w14:paraId="36B05DC2"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Bold" w:hAnsi="Times New Roman Bold" w:cs="Times New Roman Bold"/>
          <w:b/>
          <w:bCs/>
          <w:sz w:val="24"/>
          <w:szCs w:val="21"/>
        </w:rPr>
        <w:t>B.</w:t>
      </w:r>
      <w:r>
        <w:rPr>
          <w:rFonts w:ascii="Times New Roman Regular" w:hAnsi="Times New Roman Regular" w:cs="Times New Roman Regular"/>
          <w:sz w:val="24"/>
          <w:szCs w:val="21"/>
        </w:rPr>
        <w:t xml:space="preserve"> In the second part, the customs officer selects a specific number of empty import containers for a thorough inspection. During this phase, bio</w:t>
      </w:r>
      <w:r>
        <w:rPr>
          <w:rFonts w:ascii="Times New Roman Regular" w:hAnsi="Times New Roman Regular" w:cs="Times New Roman Regular" w:hint="eastAsia"/>
          <w:sz w:val="24"/>
          <w:szCs w:val="21"/>
        </w:rPr>
        <w:t>-</w:t>
      </w:r>
      <w:r>
        <w:rPr>
          <w:rFonts w:ascii="Times New Roman Regular" w:hAnsi="Times New Roman Regular" w:cs="Times New Roman Regular"/>
          <w:sz w:val="24"/>
          <w:szCs w:val="21"/>
        </w:rPr>
        <w:t>saf</w:t>
      </w:r>
      <w:r>
        <w:rPr>
          <w:rFonts w:ascii="Times New Roman Regular" w:hAnsi="Times New Roman Regular" w:cs="Times New Roman Regular" w:hint="eastAsia"/>
          <w:sz w:val="24"/>
          <w:szCs w:val="21"/>
        </w:rPr>
        <w:t>ety</w:t>
      </w:r>
      <w:r>
        <w:rPr>
          <w:rFonts w:ascii="Times New Roman Regular" w:hAnsi="Times New Roman Regular" w:cs="Times New Roman Regular"/>
          <w:sz w:val="24"/>
          <w:szCs w:val="21"/>
        </w:rPr>
        <w:t xml:space="preserve"> risk factor information is collected from twelve different </w:t>
      </w:r>
      <w:r w:rsidR="00584AC1">
        <w:rPr>
          <w:rFonts w:ascii="Times New Roman Regular" w:hAnsi="Times New Roman Regular" w:cs="Times New Roman Regular" w:hint="eastAsia"/>
          <w:sz w:val="24"/>
          <w:szCs w:val="21"/>
        </w:rPr>
        <w:t>sides</w:t>
      </w:r>
      <w:r>
        <w:rPr>
          <w:rFonts w:ascii="Times New Roman Regular" w:hAnsi="Times New Roman Regular" w:cs="Times New Roman Regular"/>
          <w:sz w:val="24"/>
          <w:szCs w:val="21"/>
        </w:rPr>
        <w:t xml:space="preserve"> of each container.</w:t>
      </w:r>
      <w:r w:rsidR="00584AC1">
        <w:rPr>
          <w:rFonts w:ascii="Times New Roman Regular" w:hAnsi="Times New Roman Regular" w:cs="Times New Roman Regular" w:hint="eastAsia"/>
          <w:sz w:val="24"/>
          <w:szCs w:val="21"/>
        </w:rPr>
        <w:t xml:space="preserve"> </w:t>
      </w:r>
    </w:p>
    <w:p w14:paraId="2709BE4F" w14:textId="77777777" w:rsidR="00373B3E" w:rsidRDefault="00373B3E">
      <w:pPr>
        <w:spacing w:line="240" w:lineRule="auto"/>
        <w:ind w:firstLineChars="0" w:firstLine="0"/>
        <w:rPr>
          <w:rFonts w:ascii="Times New Roman Regular" w:hAnsi="Times New Roman Regular" w:cs="Times New Roman Regular"/>
          <w:sz w:val="24"/>
          <w:szCs w:val="21"/>
        </w:rPr>
      </w:pPr>
    </w:p>
    <w:p w14:paraId="3BD6A694"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Bold" w:hAnsi="Times New Roman Bold" w:cs="Times New Roman Bold"/>
          <w:b/>
          <w:bCs/>
          <w:sz w:val="24"/>
          <w:szCs w:val="21"/>
        </w:rPr>
        <w:t>C.</w:t>
      </w:r>
      <w:r>
        <w:rPr>
          <w:rFonts w:ascii="Times New Roman Regular" w:hAnsi="Times New Roman Regular" w:cs="Times New Roman Regular"/>
          <w:sz w:val="24"/>
          <w:szCs w:val="21"/>
        </w:rPr>
        <w:t xml:space="preserve"> The third part entails a complete inspection of twelve sides of various design test containers to gather information on contamination and structural damage.In addition to customs, other participating units include the container production company and the shipping company.</w:t>
      </w:r>
    </w:p>
    <w:p w14:paraId="34C1595A" w14:textId="77777777" w:rsidR="00373B3E" w:rsidRDefault="00373B3E">
      <w:pPr>
        <w:spacing w:line="240" w:lineRule="auto"/>
        <w:ind w:firstLineChars="0" w:firstLine="0"/>
        <w:rPr>
          <w:rFonts w:ascii="Times New Roman Regular" w:hAnsi="Times New Roman Regular" w:cs="Times New Roman Regular"/>
          <w:sz w:val="24"/>
          <w:szCs w:val="21"/>
        </w:rPr>
      </w:pPr>
    </w:p>
    <w:p w14:paraId="788DA683"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The project was initiated in March 2024. Between March and September 2024, customs districts in Shenzhen, Shanghai, and Ningbo conducted random inspections of 12,771 empty containers. This effort resulted in the identification of contaminants in 1,541 instances, involving 1,046 empty containers originating from 66 countries or regions across Asia, Africa, Europe, North America, South America, and Oceania. The overall interception rate was calculated at 8.20%. The identified contaminants encompassed seeds, p</w:t>
      </w:r>
      <w:r>
        <w:rPr>
          <w:rFonts w:ascii="Times New Roman Regular" w:hAnsi="Times New Roman Regular" w:cs="Times New Roman Regular"/>
          <w:sz w:val="24"/>
          <w:szCs w:val="21"/>
        </w:rPr>
        <w:t xml:space="preserve">lant materials, insect eggs, insects, and residues from goods not documented in the shipping manifest. Within this timeframe, </w:t>
      </w:r>
      <w:r w:rsidR="00CC421D">
        <w:rPr>
          <w:rFonts w:ascii="Times New Roman Regular" w:hAnsi="Times New Roman Regular" w:cs="Times New Roman Regular" w:hint="eastAsia"/>
          <w:sz w:val="24"/>
          <w:szCs w:val="21"/>
        </w:rPr>
        <w:t>7</w:t>
      </w:r>
      <w:r>
        <w:rPr>
          <w:rFonts w:ascii="Times New Roman Regular" w:hAnsi="Times New Roman Regular" w:cs="Times New Roman Regular"/>
          <w:sz w:val="24"/>
          <w:szCs w:val="21"/>
        </w:rPr>
        <w:t xml:space="preserve"> </w:t>
      </w:r>
      <w:r w:rsidR="00CC421D">
        <w:rPr>
          <w:rFonts w:ascii="Times New Roman Regular" w:hAnsi="Times New Roman Regular" w:cs="Times New Roman Regular"/>
          <w:sz w:val="24"/>
          <w:szCs w:val="21"/>
        </w:rPr>
        <w:t>species</w:t>
      </w:r>
      <w:r>
        <w:rPr>
          <w:rFonts w:ascii="Times New Roman Regular" w:hAnsi="Times New Roman Regular" w:cs="Times New Roman Regular"/>
          <w:sz w:val="24"/>
          <w:szCs w:val="21"/>
        </w:rPr>
        <w:t xml:space="preserve"> of quarantine pests were intercepted 15 times, and </w:t>
      </w:r>
      <w:r w:rsidR="00CC421D">
        <w:rPr>
          <w:rFonts w:ascii="Times New Roman Regular" w:hAnsi="Times New Roman Regular" w:cs="Times New Roman Regular" w:hint="eastAsia"/>
          <w:sz w:val="24"/>
          <w:szCs w:val="21"/>
        </w:rPr>
        <w:t>7</w:t>
      </w:r>
      <w:r>
        <w:rPr>
          <w:rFonts w:ascii="Times New Roman Regular" w:hAnsi="Times New Roman Regular" w:cs="Times New Roman Regular"/>
          <w:sz w:val="24"/>
          <w:szCs w:val="21"/>
        </w:rPr>
        <w:t xml:space="preserve"> species of invasive alien organisms were encountered 62 times. The findings underscore the significant risk posed by pests and alien species disseminated via empty containers in international transport.</w:t>
      </w:r>
    </w:p>
    <w:p w14:paraId="6D39E11B" w14:textId="77777777" w:rsidR="00373B3E" w:rsidRDefault="00373B3E">
      <w:pPr>
        <w:spacing w:line="240" w:lineRule="auto"/>
        <w:ind w:firstLineChars="0" w:firstLine="0"/>
        <w:rPr>
          <w:rFonts w:ascii="Times New Roman Regular" w:hAnsi="Times New Roman Regular" w:cs="Times New Roman Regular"/>
          <w:sz w:val="24"/>
          <w:szCs w:val="21"/>
        </w:rPr>
      </w:pPr>
    </w:p>
    <w:p w14:paraId="607DA9D7"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 xml:space="preserve">Remarkably, in August 2024, the Dapeng Customs House intercepted the alien species </w:t>
      </w:r>
      <w:r>
        <w:rPr>
          <w:rFonts w:ascii="Times New Roman Italic" w:hAnsi="Times New Roman Italic" w:cs="Times New Roman Italic"/>
          <w:i/>
          <w:iCs/>
          <w:sz w:val="24"/>
          <w:szCs w:val="21"/>
        </w:rPr>
        <w:t>Camponotus pennsylvanicus</w:t>
      </w:r>
      <w:r>
        <w:rPr>
          <w:rFonts w:ascii="Times New Roman Regular" w:hAnsi="Times New Roman Regular" w:cs="Times New Roman Regular"/>
          <w:sz w:val="24"/>
          <w:szCs w:val="21"/>
        </w:rPr>
        <w:t xml:space="preserve"> from 41 imported empty containers. These containers were traced back to two countries in Asia, one in North America, and one in Western Europe. A considerable number of live ants were discovered within each container, with population estimates ranging from hundreds to thousands. </w:t>
      </w:r>
    </w:p>
    <w:p w14:paraId="4FE97FA3" w14:textId="77777777" w:rsidR="00373B3E" w:rsidRDefault="00373B3E">
      <w:pPr>
        <w:spacing w:line="240" w:lineRule="auto"/>
        <w:ind w:firstLineChars="0" w:firstLine="0"/>
        <w:rPr>
          <w:rFonts w:ascii="Times New Roman Regular" w:hAnsi="Times New Roman Regular" w:cs="Times New Roman Regular"/>
          <w:sz w:val="24"/>
          <w:szCs w:val="21"/>
        </w:rPr>
      </w:pPr>
    </w:p>
    <w:p w14:paraId="4BD26495"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These results highlight the pressing need for enhanced monitoring and preventive measures to mitigate bio</w:t>
      </w:r>
      <w:r>
        <w:rPr>
          <w:rFonts w:ascii="Times New Roman Regular" w:hAnsi="Times New Roman Regular" w:cs="Times New Roman Regular" w:hint="eastAsia"/>
          <w:sz w:val="24"/>
          <w:szCs w:val="21"/>
        </w:rPr>
        <w:t>-</w:t>
      </w:r>
      <w:r>
        <w:rPr>
          <w:rFonts w:ascii="Times New Roman Regular" w:hAnsi="Times New Roman Regular" w:cs="Times New Roman Regular"/>
          <w:sz w:val="24"/>
          <w:szCs w:val="21"/>
        </w:rPr>
        <w:t>safety risks associated with international container transport.</w:t>
      </w:r>
    </w:p>
    <w:p w14:paraId="61699632" w14:textId="77777777" w:rsidR="00373B3E" w:rsidRDefault="00373B3E">
      <w:pPr>
        <w:spacing w:line="240" w:lineRule="auto"/>
        <w:ind w:firstLineChars="0" w:firstLine="0"/>
        <w:rPr>
          <w:rFonts w:ascii="Times New Roman Regular" w:hAnsi="Times New Roman Regular" w:cs="Times New Roman Regular"/>
        </w:rPr>
      </w:pPr>
    </w:p>
    <w:p w14:paraId="2AB3F5D9" w14:textId="77777777" w:rsidR="00373B3E" w:rsidRDefault="00391E0C">
      <w:pPr>
        <w:pStyle w:val="a1"/>
        <w:spacing w:line="240" w:lineRule="auto"/>
        <w:ind w:firstLineChars="0" w:firstLine="0"/>
        <w:outlineLvl w:val="0"/>
        <w:rPr>
          <w:rFonts w:ascii="Arial" w:eastAsiaTheme="minorEastAsia" w:hAnsi="Arial" w:cs="Arial"/>
          <w:b/>
          <w:bCs/>
          <w:color w:val="000000"/>
          <w:kern w:val="0"/>
          <w:sz w:val="36"/>
        </w:rPr>
      </w:pPr>
      <w:r>
        <w:rPr>
          <w:rFonts w:ascii="Arial" w:eastAsiaTheme="minorEastAsia" w:hAnsi="Arial" w:cs="Arial"/>
          <w:b/>
          <w:bCs/>
          <w:color w:val="000000"/>
          <w:kern w:val="0"/>
          <w:sz w:val="36"/>
        </w:rPr>
        <w:t>5.Suggestions for</w:t>
      </w:r>
      <w:r>
        <w:rPr>
          <w:rFonts w:ascii="Arial" w:eastAsiaTheme="minorEastAsia" w:hAnsi="Arial" w:cs="Arial" w:hint="eastAsia"/>
          <w:b/>
          <w:bCs/>
          <w:color w:val="000000"/>
          <w:kern w:val="0"/>
          <w:sz w:val="36"/>
        </w:rPr>
        <w:t xml:space="preserve"> the</w:t>
      </w:r>
      <w:r>
        <w:rPr>
          <w:rFonts w:ascii="Arial" w:eastAsiaTheme="minorEastAsia" w:hAnsi="Arial" w:cs="Arial"/>
          <w:b/>
          <w:bCs/>
          <w:color w:val="000000"/>
          <w:kern w:val="0"/>
          <w:sz w:val="36"/>
        </w:rPr>
        <w:t xml:space="preserve"> Sea Container Focus Group</w:t>
      </w:r>
    </w:p>
    <w:p w14:paraId="54EB5F12"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 xml:space="preserve">In light of the complexities associated with container logistics, it is crucial to acknowledge that while the complete elimination of pest risks may not be feasible, we can strive to reduce these risks to an </w:t>
      </w:r>
      <w:r w:rsidR="006C4868">
        <w:rPr>
          <w:rFonts w:ascii="Times New Roman Regular" w:hAnsi="Times New Roman Regular" w:cs="Times New Roman Regular" w:hint="eastAsia"/>
          <w:sz w:val="24"/>
          <w:szCs w:val="21"/>
        </w:rPr>
        <w:t>a</w:t>
      </w:r>
      <w:r w:rsidRPr="006C4868">
        <w:rPr>
          <w:rFonts w:ascii="Times New Roman Regular" w:hAnsi="Times New Roman Regular" w:cs="Times New Roman Regular"/>
          <w:sz w:val="24"/>
          <w:szCs w:val="21"/>
        </w:rPr>
        <w:t xml:space="preserve">cceptable </w:t>
      </w:r>
      <w:r w:rsidR="006C4868">
        <w:rPr>
          <w:rFonts w:ascii="Times New Roman Regular" w:hAnsi="Times New Roman Regular" w:cs="Times New Roman Regular" w:hint="eastAsia"/>
          <w:sz w:val="24"/>
          <w:szCs w:val="21"/>
        </w:rPr>
        <w:t>l</w:t>
      </w:r>
      <w:r w:rsidRPr="006C4868">
        <w:rPr>
          <w:rFonts w:ascii="Times New Roman Regular" w:hAnsi="Times New Roman Regular" w:cs="Times New Roman Regular"/>
          <w:sz w:val="24"/>
          <w:szCs w:val="21"/>
        </w:rPr>
        <w:t>evel</w:t>
      </w:r>
      <w:r w:rsidR="00CC421D" w:rsidRPr="006C4868">
        <w:rPr>
          <w:rFonts w:ascii="Times New Roman Regular" w:hAnsi="Times New Roman Regular" w:cs="Times New Roman Regular" w:hint="eastAsia"/>
          <w:sz w:val="24"/>
          <w:szCs w:val="21"/>
        </w:rPr>
        <w:t xml:space="preserve"> </w:t>
      </w:r>
      <w:r w:rsidR="006C4868">
        <w:rPr>
          <w:rFonts w:ascii="Times New Roman Regular" w:hAnsi="Times New Roman Regular" w:cs="Times New Roman Regular" w:hint="eastAsia"/>
          <w:sz w:val="24"/>
          <w:szCs w:val="21"/>
        </w:rPr>
        <w:t>for NPPOs</w:t>
      </w:r>
      <w:r w:rsidRPr="006C4868">
        <w:rPr>
          <w:rFonts w:ascii="Times New Roman Regular" w:hAnsi="Times New Roman Regular" w:cs="Times New Roman Regular"/>
          <w:sz w:val="24"/>
          <w:szCs w:val="21"/>
        </w:rPr>
        <w:t xml:space="preserve"> through the initiatives of the SCFG. Currently, the existing</w:t>
      </w:r>
      <w:r>
        <w:rPr>
          <w:rFonts w:ascii="Times New Roman Regular" w:hAnsi="Times New Roman Regular" w:cs="Times New Roman Regular"/>
          <w:sz w:val="24"/>
          <w:szCs w:val="21"/>
        </w:rPr>
        <w:t xml:space="preserve"> policy tools provided by the IPPC</w:t>
      </w:r>
      <w:r>
        <w:rPr>
          <w:rFonts w:ascii="Times New Roman Regular" w:hAnsi="Times New Roman Regular" w:cs="Times New Roman Regular" w:hint="eastAsia"/>
          <w:sz w:val="24"/>
          <w:szCs w:val="21"/>
        </w:rPr>
        <w:t xml:space="preserve"> </w:t>
      </w:r>
      <w:r>
        <w:rPr>
          <w:rFonts w:ascii="Times New Roman Regular" w:hAnsi="Times New Roman Regular" w:cs="Times New Roman Regular"/>
          <w:sz w:val="24"/>
          <w:szCs w:val="21"/>
        </w:rPr>
        <w:t>are insufficient for effectively addressing the pest risks linked to the international repositioning of empty containers.</w:t>
      </w:r>
    </w:p>
    <w:p w14:paraId="64AB1C30" w14:textId="77777777" w:rsidR="00373B3E" w:rsidRDefault="00373B3E">
      <w:pPr>
        <w:spacing w:line="240" w:lineRule="auto"/>
        <w:ind w:firstLineChars="0" w:firstLine="0"/>
        <w:rPr>
          <w:rFonts w:ascii="Times New Roman Regular" w:hAnsi="Times New Roman Regular" w:cs="Times New Roman Regular"/>
          <w:sz w:val="24"/>
          <w:szCs w:val="21"/>
        </w:rPr>
      </w:pPr>
    </w:p>
    <w:p w14:paraId="136557CC"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Several key concerns warrant attention:</w:t>
      </w:r>
    </w:p>
    <w:p w14:paraId="31E5F857" w14:textId="77777777" w:rsidR="00373B3E" w:rsidRDefault="00373B3E">
      <w:pPr>
        <w:spacing w:line="240" w:lineRule="auto"/>
        <w:ind w:firstLineChars="0" w:firstLine="0"/>
        <w:rPr>
          <w:rFonts w:ascii="Times New Roman Regular" w:hAnsi="Times New Roman Regular" w:cs="Times New Roman Regular"/>
          <w:sz w:val="24"/>
          <w:szCs w:val="21"/>
        </w:rPr>
      </w:pPr>
    </w:p>
    <w:p w14:paraId="5E74E32B" w14:textId="77777777" w:rsidR="00373B3E" w:rsidRDefault="00391E0C">
      <w:pPr>
        <w:spacing w:line="240" w:lineRule="auto"/>
        <w:ind w:firstLineChars="0" w:firstLine="0"/>
        <w:rPr>
          <w:rFonts w:ascii="Times New Roman Bold" w:hAnsi="Times New Roman Bold" w:cs="Times New Roman Bold"/>
          <w:b/>
          <w:bCs/>
          <w:sz w:val="24"/>
          <w:szCs w:val="21"/>
        </w:rPr>
      </w:pPr>
      <w:r>
        <w:rPr>
          <w:rFonts w:ascii="Times New Roman Bold" w:hAnsi="Times New Roman Bold" w:cs="Times New Roman Bold"/>
          <w:b/>
          <w:bCs/>
          <w:sz w:val="24"/>
          <w:szCs w:val="21"/>
        </w:rPr>
        <w:t>A.Underutilization of IPPC Policy Tools.</w:t>
      </w:r>
    </w:p>
    <w:p w14:paraId="453BBFFD"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The IPPC has issued guidelines, including ‘CPM Recommendation 6</w:t>
      </w:r>
      <w:r>
        <w:rPr>
          <w:rFonts w:ascii="Times New Roman Regular" w:hAnsi="Times New Roman Regular" w:cs="Times New Roman Regular" w:hint="eastAsia"/>
          <w:sz w:val="24"/>
          <w:szCs w:val="21"/>
        </w:rPr>
        <w:t xml:space="preserve"> (R-06)</w:t>
      </w:r>
      <w:r>
        <w:rPr>
          <w:rFonts w:ascii="Times New Roman Regular" w:hAnsi="Times New Roman Regular" w:cs="Times New Roman Regular"/>
          <w:sz w:val="24"/>
          <w:szCs w:val="21"/>
        </w:rPr>
        <w:t>’, ‘Sea Container Surveys for National Plant Protection Organizations’, and ‘Sea Container Supply Chains and Cleanliness’. However, there has yet to be a resumption of the timetable for drafting ISPM</w:t>
      </w:r>
      <w:r>
        <w:rPr>
          <w:rFonts w:ascii="Times New Roman Regular" w:hAnsi="Times New Roman Regular" w:cs="Times New Roman Regular" w:hint="eastAsia"/>
          <w:sz w:val="24"/>
          <w:szCs w:val="21"/>
        </w:rPr>
        <w:t>,</w:t>
      </w:r>
      <w:r>
        <w:rPr>
          <w:rFonts w:ascii="Times New Roman Regular" w:hAnsi="Times New Roman Regular" w:cs="Times New Roman Regular"/>
          <w:sz w:val="24"/>
          <w:szCs w:val="21"/>
        </w:rPr>
        <w:t xml:space="preserve"> which is essential for effective risk management.</w:t>
      </w:r>
    </w:p>
    <w:p w14:paraId="20411ECF" w14:textId="77777777" w:rsidR="00373B3E" w:rsidRDefault="00373B3E">
      <w:pPr>
        <w:spacing w:line="240" w:lineRule="auto"/>
        <w:ind w:firstLineChars="0" w:firstLine="0"/>
        <w:rPr>
          <w:rFonts w:ascii="Times New Roman Regular" w:hAnsi="Times New Roman Regular" w:cs="Times New Roman Regular"/>
          <w:sz w:val="24"/>
          <w:szCs w:val="21"/>
        </w:rPr>
      </w:pPr>
    </w:p>
    <w:p w14:paraId="7D47B321" w14:textId="77777777" w:rsidR="00373B3E" w:rsidRDefault="00391E0C">
      <w:pPr>
        <w:spacing w:line="240" w:lineRule="auto"/>
        <w:ind w:firstLineChars="0" w:firstLine="0"/>
        <w:rPr>
          <w:rFonts w:ascii="Times New Roman Bold" w:hAnsi="Times New Roman Bold" w:cs="Times New Roman Bold"/>
          <w:b/>
          <w:bCs/>
          <w:sz w:val="24"/>
          <w:szCs w:val="21"/>
        </w:rPr>
      </w:pPr>
      <w:r>
        <w:rPr>
          <w:rFonts w:ascii="Times New Roman Bold" w:hAnsi="Times New Roman Bold" w:cs="Times New Roman Bold"/>
          <w:b/>
          <w:bCs/>
          <w:sz w:val="24"/>
          <w:szCs w:val="21"/>
        </w:rPr>
        <w:t>B.Insufficient Advocacy for Regulatory Tools by NPPOs</w:t>
      </w:r>
    </w:p>
    <w:p w14:paraId="42AFE137"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The focus group report from 2023 did not adequately encourage NPPOs</w:t>
      </w:r>
      <w:r>
        <w:rPr>
          <w:rFonts w:ascii="Times New Roman Regular" w:hAnsi="Times New Roman Regular" w:cs="Times New Roman Regular" w:hint="eastAsia"/>
          <w:sz w:val="24"/>
          <w:szCs w:val="21"/>
        </w:rPr>
        <w:t xml:space="preserve"> </w:t>
      </w:r>
      <w:r>
        <w:rPr>
          <w:rFonts w:ascii="Times New Roman Regular" w:hAnsi="Times New Roman Regular" w:cs="Times New Roman Regular"/>
          <w:sz w:val="24"/>
          <w:szCs w:val="21"/>
        </w:rPr>
        <w:t>to implement monitoring tools or to perform inspections on empty sea containers for both import and export activities. The report primarily suggested that NPPOs collect information on pest risks and foster communication with industry representatives.</w:t>
      </w:r>
    </w:p>
    <w:p w14:paraId="705FC7EE" w14:textId="77777777" w:rsidR="00373B3E" w:rsidRDefault="00373B3E">
      <w:pPr>
        <w:spacing w:line="240" w:lineRule="auto"/>
        <w:ind w:firstLineChars="0" w:firstLine="0"/>
        <w:rPr>
          <w:rFonts w:ascii="Times New Roman Regular" w:hAnsi="Times New Roman Regular" w:cs="Times New Roman Regular"/>
          <w:sz w:val="24"/>
          <w:szCs w:val="21"/>
        </w:rPr>
      </w:pPr>
    </w:p>
    <w:p w14:paraId="2585E435" w14:textId="77777777" w:rsidR="00373B3E" w:rsidRDefault="00391E0C">
      <w:pPr>
        <w:numPr>
          <w:ilvl w:val="0"/>
          <w:numId w:val="5"/>
        </w:numPr>
        <w:spacing w:line="240" w:lineRule="auto"/>
        <w:ind w:firstLineChars="0" w:firstLine="0"/>
        <w:rPr>
          <w:rFonts w:ascii="Times New Roman Bold" w:hAnsi="Times New Roman Bold" w:cs="Times New Roman Bold"/>
          <w:b/>
          <w:bCs/>
          <w:sz w:val="24"/>
          <w:szCs w:val="21"/>
        </w:rPr>
      </w:pPr>
      <w:r>
        <w:rPr>
          <w:rFonts w:ascii="Times New Roman Bold" w:hAnsi="Times New Roman Bold" w:cs="Times New Roman Bold"/>
          <w:b/>
          <w:bCs/>
          <w:sz w:val="24"/>
          <w:szCs w:val="21"/>
        </w:rPr>
        <w:t>Overestimated Impact of the Regulatory Responsibility Program</w:t>
      </w:r>
    </w:p>
    <w:p w14:paraId="1C908AB7" w14:textId="77777777" w:rsidR="00373B3E" w:rsidRDefault="00391E0C">
      <w:p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hint="eastAsia"/>
          <w:sz w:val="24"/>
          <w:szCs w:val="21"/>
        </w:rPr>
        <w:t xml:space="preserve">Presently, there are approximately ten regulatory and non-regulatory measures, including the development of ISPMs. The evaluation framework, which involves multiple industries and institutions, has become overly complex, rendering it challenging to draw conclusive insights. The Regulatory Responsibility Program, particularly concerning the evaluation of the Standard Operating Procedure for Loading/Unloading Operations (CTU Code) and its effect on reducing pest risks associated with </w:t>
      </w:r>
      <w:r w:rsidR="00CC421D">
        <w:rPr>
          <w:rFonts w:ascii="Times New Roman Regular" w:hAnsi="Times New Roman Regular" w:cs="Times New Roman Regular" w:hint="eastAsia"/>
          <w:sz w:val="24"/>
          <w:szCs w:val="21"/>
        </w:rPr>
        <w:t xml:space="preserve">sea </w:t>
      </w:r>
      <w:r>
        <w:rPr>
          <w:rFonts w:ascii="Times New Roman Regular" w:hAnsi="Times New Roman Regular" w:cs="Times New Roman Regular" w:hint="eastAsia"/>
          <w:sz w:val="24"/>
          <w:szCs w:val="21"/>
        </w:rPr>
        <w:t>containers, is currently experiencing significant deliberation and uncertainty, which hinders progress in developing ISPMs.</w:t>
      </w:r>
    </w:p>
    <w:p w14:paraId="70265091" w14:textId="77777777" w:rsidR="00373B3E" w:rsidRDefault="00373B3E">
      <w:pPr>
        <w:spacing w:line="240" w:lineRule="auto"/>
        <w:ind w:firstLineChars="0" w:firstLine="0"/>
        <w:rPr>
          <w:rFonts w:ascii="Times New Roman Regular" w:hAnsi="Times New Roman Regular" w:cs="Times New Roman Regular"/>
          <w:sz w:val="24"/>
          <w:szCs w:val="21"/>
        </w:rPr>
      </w:pPr>
    </w:p>
    <w:p w14:paraId="08EDAC76" w14:textId="77777777" w:rsidR="00373B3E" w:rsidRDefault="00391E0C">
      <w:pPr>
        <w:pStyle w:val="a1"/>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lastRenderedPageBreak/>
        <w:t>Given these challenges, it is imperative that we do not solely rely on the Regulatory Responsibility Program. Without ISPMs and robust NPPO regulatory measures, it is unrealistic to expect the industry to adopt voluntary measures effectively. Therefore, it is recommended that the SCFG focus on the strategic and comprehensive application of various policy tools within the IPPC framework. Additionally, collaboration with the WCO and the Convention on Biological Diversity (CBD) will be essential in establishin</w:t>
      </w:r>
      <w:r>
        <w:rPr>
          <w:rFonts w:ascii="Times New Roman Regular" w:hAnsi="Times New Roman Regular" w:cs="Times New Roman Regular"/>
          <w:sz w:val="24"/>
          <w:szCs w:val="21"/>
        </w:rPr>
        <w:t>g a comprehensive and effective global governance system. This system should encompass six key components, which are outlined below.</w:t>
      </w:r>
    </w:p>
    <w:p w14:paraId="20FDDFFE" w14:textId="77777777" w:rsidR="00373B3E" w:rsidRDefault="00373B3E">
      <w:pPr>
        <w:pStyle w:val="a1"/>
        <w:spacing w:line="240" w:lineRule="auto"/>
        <w:ind w:firstLineChars="0" w:firstLine="0"/>
        <w:rPr>
          <w:rFonts w:ascii="Times New Roman Regular" w:hAnsi="Times New Roman Regular" w:cs="Times New Roman Regular"/>
          <w:sz w:val="24"/>
          <w:szCs w:val="21"/>
        </w:rPr>
      </w:pPr>
    </w:p>
    <w:p w14:paraId="4686E4CC" w14:textId="77777777" w:rsidR="00373B3E" w:rsidRDefault="00391E0C">
      <w:pPr>
        <w:pStyle w:val="a1"/>
        <w:spacing w:line="240" w:lineRule="auto"/>
        <w:ind w:firstLineChars="0" w:firstLine="0"/>
        <w:rPr>
          <w:rFonts w:ascii="Times New Roman Bold" w:hAnsi="Times New Roman Bold" w:cs="Times New Roman Bold"/>
          <w:b/>
          <w:bCs/>
          <w:sz w:val="24"/>
          <w:szCs w:val="21"/>
        </w:rPr>
      </w:pPr>
      <w:r>
        <w:rPr>
          <w:rFonts w:ascii="Times New Roman Bold" w:hAnsi="Times New Roman Bold" w:cs="Times New Roman Bold"/>
          <w:b/>
          <w:bCs/>
          <w:sz w:val="24"/>
          <w:szCs w:val="21"/>
        </w:rPr>
        <w:t>A.The IPPC should issue long-term guidance and reinitiate the development of ISPMs for sea containers.</w:t>
      </w:r>
    </w:p>
    <w:p w14:paraId="40043190" w14:textId="77777777" w:rsidR="00373B3E" w:rsidRDefault="00391E0C">
      <w:pPr>
        <w:pStyle w:val="a1"/>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It is recommended that IPPC publish guidance addressing container bio</w:t>
      </w:r>
      <w:r>
        <w:rPr>
          <w:rFonts w:ascii="Times New Roman Regular" w:hAnsi="Times New Roman Regular" w:cs="Times New Roman Regular" w:hint="eastAsia"/>
          <w:sz w:val="24"/>
          <w:szCs w:val="21"/>
        </w:rPr>
        <w:t>-</w:t>
      </w:r>
      <w:r>
        <w:rPr>
          <w:rFonts w:ascii="Times New Roman Regular" w:hAnsi="Times New Roman Regular" w:cs="Times New Roman Regular"/>
          <w:sz w:val="24"/>
          <w:szCs w:val="21"/>
        </w:rPr>
        <w:t>safety risks and establish a permanent working group to coordinate related activities, which would include the revision of R-06. The setting of ISPMs for sea containers should be expedited, and an integrated pest risk management system for containers should be developed in accordance with ISPM 15.</w:t>
      </w:r>
    </w:p>
    <w:p w14:paraId="7BEE37C7" w14:textId="77777777" w:rsidR="00373B3E" w:rsidRDefault="00373B3E">
      <w:pPr>
        <w:pStyle w:val="a1"/>
        <w:spacing w:line="240" w:lineRule="auto"/>
        <w:ind w:firstLineChars="0" w:firstLine="0"/>
        <w:rPr>
          <w:rFonts w:ascii="Times New Roman Regular" w:hAnsi="Times New Roman Regular" w:cs="Times New Roman Regular"/>
          <w:sz w:val="24"/>
          <w:szCs w:val="21"/>
        </w:rPr>
      </w:pPr>
    </w:p>
    <w:p w14:paraId="7CDEBEA8" w14:textId="77777777" w:rsidR="00373B3E" w:rsidRDefault="00391E0C">
      <w:pPr>
        <w:pStyle w:val="a1"/>
        <w:spacing w:line="240" w:lineRule="auto"/>
        <w:ind w:firstLineChars="0" w:firstLine="0"/>
        <w:rPr>
          <w:rFonts w:ascii="Times New Roman Regular" w:hAnsi="Times New Roman Regular" w:cs="Times New Roman Regular"/>
          <w:sz w:val="24"/>
          <w:szCs w:val="21"/>
        </w:rPr>
      </w:pPr>
      <w:r>
        <w:rPr>
          <w:rFonts w:ascii="Times New Roman Bold" w:hAnsi="Times New Roman Bold" w:cs="Times New Roman Bold"/>
          <w:b/>
          <w:bCs/>
          <w:sz w:val="24"/>
          <w:szCs w:val="21"/>
        </w:rPr>
        <w:t>B.</w:t>
      </w:r>
      <w:r>
        <w:rPr>
          <w:rFonts w:ascii="Times New Roman Regular" w:hAnsi="Times New Roman Regular" w:cs="Times New Roman Regular"/>
          <w:sz w:val="24"/>
          <w:szCs w:val="21"/>
        </w:rPr>
        <w:t>NPPOs should be encouraged to conduct a specific percentage of inspections on both import and export containers.</w:t>
      </w:r>
    </w:p>
    <w:p w14:paraId="08452C7E" w14:textId="77777777" w:rsidR="00373B3E" w:rsidRDefault="00373B3E">
      <w:pPr>
        <w:pStyle w:val="a1"/>
        <w:spacing w:line="240" w:lineRule="auto"/>
        <w:ind w:firstLineChars="0" w:firstLine="0"/>
        <w:rPr>
          <w:rFonts w:ascii="Times New Roman Regular" w:hAnsi="Times New Roman Regular" w:cs="Times New Roman Regular"/>
          <w:sz w:val="24"/>
          <w:szCs w:val="21"/>
        </w:rPr>
      </w:pPr>
    </w:p>
    <w:p w14:paraId="60C8A22E" w14:textId="77777777" w:rsidR="00373B3E" w:rsidRDefault="00391E0C">
      <w:pPr>
        <w:pStyle w:val="a1"/>
        <w:spacing w:line="240" w:lineRule="auto"/>
        <w:ind w:firstLineChars="0" w:firstLine="0"/>
        <w:rPr>
          <w:rFonts w:ascii="Times New Roman Regular" w:hAnsi="Times New Roman Regular" w:cs="Times New Roman Regular"/>
          <w:sz w:val="24"/>
          <w:szCs w:val="21"/>
        </w:rPr>
      </w:pPr>
      <w:r>
        <w:rPr>
          <w:rFonts w:ascii="Times New Roman Bold" w:hAnsi="Times New Roman Bold" w:cs="Times New Roman Bold"/>
          <w:b/>
          <w:bCs/>
          <w:sz w:val="24"/>
          <w:szCs w:val="21"/>
        </w:rPr>
        <w:t>C</w:t>
      </w:r>
      <w:r>
        <w:rPr>
          <w:rFonts w:ascii="Times New Roman Regular" w:hAnsi="Times New Roman Regular" w:cs="Times New Roman Regular" w:hint="eastAsia"/>
          <w:sz w:val="24"/>
          <w:szCs w:val="21"/>
        </w:rPr>
        <w:t>.</w:t>
      </w:r>
      <w:r>
        <w:rPr>
          <w:rFonts w:ascii="Times New Roman Regular" w:hAnsi="Times New Roman Regular" w:cs="Times New Roman Regular"/>
          <w:sz w:val="24"/>
          <w:szCs w:val="21"/>
        </w:rPr>
        <w:t>All stakeholders in the logistics chain should collectively assume responsibility for ensuring the cleanliness of export containers, particularly when they are empty.</w:t>
      </w:r>
    </w:p>
    <w:p w14:paraId="0C02B8B3" w14:textId="77777777" w:rsidR="00373B3E" w:rsidRDefault="00373B3E">
      <w:pPr>
        <w:pStyle w:val="a1"/>
        <w:spacing w:line="240" w:lineRule="auto"/>
        <w:ind w:firstLineChars="0" w:firstLine="0"/>
        <w:rPr>
          <w:rFonts w:ascii="Times New Roman Regular" w:hAnsi="Times New Roman Regular" w:cs="Times New Roman Regular"/>
          <w:sz w:val="24"/>
          <w:szCs w:val="21"/>
        </w:rPr>
      </w:pPr>
    </w:p>
    <w:p w14:paraId="5F745369" w14:textId="77777777" w:rsidR="00373B3E" w:rsidRDefault="00391E0C">
      <w:pPr>
        <w:pStyle w:val="a1"/>
        <w:numPr>
          <w:ilvl w:val="0"/>
          <w:numId w:val="5"/>
        </w:numPr>
        <w:spacing w:line="240" w:lineRule="auto"/>
        <w:ind w:firstLineChars="0" w:firstLine="0"/>
        <w:rPr>
          <w:rFonts w:ascii="Times New Roman Regular" w:hAnsi="Times New Roman Regular" w:cs="Times New Roman Regular"/>
          <w:sz w:val="24"/>
          <w:szCs w:val="21"/>
        </w:rPr>
      </w:pPr>
      <w:r>
        <w:rPr>
          <w:rFonts w:ascii="Times New Roman Regular" w:hAnsi="Times New Roman Regular" w:cs="Times New Roman Regular"/>
          <w:sz w:val="24"/>
          <w:szCs w:val="21"/>
        </w:rPr>
        <w:t>Container manufacturers should be motivated to design "bio-safety containers" that mitigate pest risk.</w:t>
      </w:r>
    </w:p>
    <w:p w14:paraId="0CB0DFAE" w14:textId="77777777" w:rsidR="00373B3E" w:rsidRDefault="00373B3E">
      <w:pPr>
        <w:pStyle w:val="a1"/>
        <w:spacing w:line="240" w:lineRule="auto"/>
        <w:ind w:firstLineChars="0" w:firstLine="0"/>
        <w:rPr>
          <w:rFonts w:ascii="Times New Roman Regular" w:hAnsi="Times New Roman Regular" w:cs="Times New Roman Regular"/>
          <w:sz w:val="24"/>
          <w:szCs w:val="21"/>
        </w:rPr>
      </w:pPr>
    </w:p>
    <w:p w14:paraId="7881C556" w14:textId="77777777" w:rsidR="00373B3E" w:rsidRDefault="00391E0C">
      <w:pPr>
        <w:pStyle w:val="a1"/>
        <w:spacing w:line="240" w:lineRule="auto"/>
        <w:ind w:firstLineChars="0" w:firstLine="0"/>
        <w:rPr>
          <w:rFonts w:ascii="Times New Roman Regular" w:hAnsi="Times New Roman Regular" w:cs="Times New Roman Regular"/>
          <w:sz w:val="24"/>
          <w:szCs w:val="21"/>
        </w:rPr>
      </w:pPr>
      <w:r>
        <w:rPr>
          <w:rFonts w:ascii="Times New Roman Bold" w:hAnsi="Times New Roman Bold" w:cs="Times New Roman Bold"/>
          <w:b/>
          <w:bCs/>
          <w:sz w:val="24"/>
          <w:szCs w:val="21"/>
        </w:rPr>
        <w:t>E</w:t>
      </w:r>
      <w:r>
        <w:rPr>
          <w:rFonts w:ascii="Times New Roman Regular" w:hAnsi="Times New Roman Regular" w:cs="Times New Roman Regular" w:hint="eastAsia"/>
          <w:sz w:val="24"/>
          <w:szCs w:val="21"/>
        </w:rPr>
        <w:t>.</w:t>
      </w:r>
      <w:r>
        <w:rPr>
          <w:rFonts w:ascii="Times New Roman Regular" w:hAnsi="Times New Roman Regular" w:cs="Times New Roman Regular"/>
          <w:sz w:val="24"/>
          <w:szCs w:val="21"/>
        </w:rPr>
        <w:t>NPPOs ought to strengthen their collaboration with the industry to facilitate risk information exchange. They should continue to compile information regarding the spread of bio</w:t>
      </w:r>
      <w:r>
        <w:rPr>
          <w:rFonts w:ascii="Times New Roman Regular" w:hAnsi="Times New Roman Regular" w:cs="Times New Roman Regular" w:hint="eastAsia"/>
          <w:sz w:val="24"/>
          <w:szCs w:val="21"/>
        </w:rPr>
        <w:t>-</w:t>
      </w:r>
      <w:r>
        <w:rPr>
          <w:rFonts w:ascii="Times New Roman Regular" w:hAnsi="Times New Roman Regular" w:cs="Times New Roman Regular"/>
          <w:sz w:val="24"/>
          <w:szCs w:val="21"/>
        </w:rPr>
        <w:t>safety risk factors associated with containers by working alongside relevant stakeholders. To enhance public awareness, the IPPC may consider creating a dedicated section on its official website to disseminate pest risk data.</w:t>
      </w:r>
    </w:p>
    <w:p w14:paraId="257C7E1D" w14:textId="77777777" w:rsidR="00373B3E" w:rsidRDefault="00373B3E">
      <w:pPr>
        <w:pStyle w:val="a1"/>
        <w:spacing w:line="240" w:lineRule="auto"/>
        <w:ind w:firstLineChars="0" w:firstLine="0"/>
        <w:rPr>
          <w:rFonts w:ascii="Times New Roman Regular" w:hAnsi="Times New Roman Regular" w:cs="Times New Roman Regular"/>
          <w:sz w:val="24"/>
          <w:szCs w:val="21"/>
        </w:rPr>
      </w:pPr>
    </w:p>
    <w:p w14:paraId="33FEDA67" w14:textId="77777777" w:rsidR="00373B3E" w:rsidRDefault="00391E0C">
      <w:pPr>
        <w:pStyle w:val="a1"/>
        <w:spacing w:line="240" w:lineRule="auto"/>
        <w:ind w:firstLineChars="0" w:firstLine="0"/>
        <w:rPr>
          <w:rFonts w:ascii="Times New Roman Regular" w:hAnsi="Times New Roman Regular" w:cs="Times New Roman Regular"/>
          <w:sz w:val="24"/>
          <w:szCs w:val="21"/>
        </w:rPr>
      </w:pPr>
      <w:r>
        <w:rPr>
          <w:rFonts w:ascii="Times New Roman Bold" w:hAnsi="Times New Roman Bold" w:cs="Times New Roman Bold"/>
          <w:b/>
          <w:bCs/>
          <w:sz w:val="24"/>
          <w:szCs w:val="21"/>
        </w:rPr>
        <w:t>F</w:t>
      </w:r>
      <w:r>
        <w:rPr>
          <w:rFonts w:ascii="Times New Roman Regular" w:hAnsi="Times New Roman Regular" w:cs="Times New Roman Regular" w:hint="eastAsia"/>
          <w:sz w:val="24"/>
          <w:szCs w:val="21"/>
        </w:rPr>
        <w:t>.</w:t>
      </w:r>
      <w:r>
        <w:rPr>
          <w:rFonts w:ascii="Times New Roman Regular" w:hAnsi="Times New Roman Regular" w:cs="Times New Roman Regular"/>
          <w:sz w:val="24"/>
          <w:szCs w:val="21"/>
        </w:rPr>
        <w:t xml:space="preserve">The IPPC should maintain its cooperation with the WCO, International Maritime Organization (IMO), CBD, WBG, and World Organisation for Animal Health (WOAH) through the IPPC </w:t>
      </w:r>
      <w:r>
        <w:rPr>
          <w:rFonts w:ascii="Times New Roman Regular" w:hAnsi="Times New Roman Regular" w:cs="Times New Roman Regular"/>
          <w:sz w:val="24"/>
          <w:szCs w:val="21"/>
        </w:rPr>
        <w:lastRenderedPageBreak/>
        <w:t>Secretariat. This collaboration will promote coordinated and harmonized responses to container bio</w:t>
      </w:r>
      <w:r>
        <w:rPr>
          <w:rFonts w:ascii="Times New Roman Regular" w:hAnsi="Times New Roman Regular" w:cs="Times New Roman Regular" w:hint="eastAsia"/>
          <w:sz w:val="24"/>
          <w:szCs w:val="21"/>
        </w:rPr>
        <w:t>-</w:t>
      </w:r>
      <w:r>
        <w:rPr>
          <w:rFonts w:ascii="Times New Roman Regular" w:hAnsi="Times New Roman Regular" w:cs="Times New Roman Regular"/>
          <w:sz w:val="24"/>
          <w:szCs w:val="21"/>
        </w:rPr>
        <w:t>safety risks, thereby preventing the emergence of redundant or conflicting measures.</w:t>
      </w:r>
    </w:p>
    <w:p w14:paraId="530D8047" w14:textId="77777777" w:rsidR="00373B3E" w:rsidRDefault="00373B3E">
      <w:pPr>
        <w:pStyle w:val="a1"/>
        <w:spacing w:line="240" w:lineRule="auto"/>
        <w:ind w:firstLineChars="0" w:firstLine="0"/>
        <w:rPr>
          <w:rFonts w:ascii="Times New Roman Regular" w:hAnsi="Times New Roman Regular" w:cs="Times New Roman Regular"/>
          <w:sz w:val="24"/>
          <w:szCs w:val="21"/>
        </w:rPr>
      </w:pPr>
    </w:p>
    <w:p w14:paraId="47FEFBFC" w14:textId="77777777" w:rsidR="00373B3E" w:rsidRDefault="00391E0C">
      <w:pPr>
        <w:pStyle w:val="a1"/>
        <w:spacing w:beforeLines="50" w:before="217" w:afterLines="50" w:after="217" w:line="240" w:lineRule="auto"/>
        <w:ind w:firstLineChars="0" w:firstLine="0"/>
        <w:rPr>
          <w:sz w:val="24"/>
          <w:szCs w:val="21"/>
        </w:rPr>
      </w:pPr>
      <w:r>
        <w:rPr>
          <w:rFonts w:hint="eastAsia"/>
          <w:sz w:val="24"/>
          <w:szCs w:val="21"/>
        </w:rPr>
        <w:t>In the future, the IPPC and all relevant stakeholders should prioritize raising awareness of the risks associated with container pests. It is essential to acknowledge and respect the perspectives of all parties involved and to foster a sense of shared responsibility. A systematic approach to risk management should be adopted, leading to a collaborative strategy that is rooted in scientific principles and thorough risk assessment. This unified approach will better equip us to address these challenges effecti</w:t>
      </w:r>
      <w:r>
        <w:rPr>
          <w:rFonts w:hint="eastAsia"/>
          <w:sz w:val="24"/>
          <w:szCs w:val="21"/>
        </w:rPr>
        <w:t>vely.</w:t>
      </w:r>
    </w:p>
    <w:p w14:paraId="1C15C45F" w14:textId="77777777" w:rsidR="006C4868" w:rsidRDefault="006C4868">
      <w:pPr>
        <w:pStyle w:val="a1"/>
        <w:spacing w:beforeLines="50" w:before="217" w:afterLines="50" w:after="217" w:line="240" w:lineRule="auto"/>
        <w:ind w:firstLineChars="0" w:firstLine="0"/>
        <w:rPr>
          <w:sz w:val="24"/>
          <w:szCs w:val="21"/>
        </w:rPr>
      </w:pPr>
    </w:p>
    <w:sectPr w:rsidR="006C4868">
      <w:headerReference w:type="even" r:id="rId11"/>
      <w:headerReference w:type="default" r:id="rId12"/>
      <w:footerReference w:type="even" r:id="rId13"/>
      <w:footerReference w:type="default" r:id="rId14"/>
      <w:headerReference w:type="first" r:id="rId15"/>
      <w:footerReference w:type="first" r:id="rId16"/>
      <w:pgSz w:w="11900" w:h="16840"/>
      <w:pgMar w:top="1134" w:right="1134" w:bottom="1134" w:left="1134" w:header="851" w:footer="992" w:gutter="0"/>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58B86B" w14:textId="77777777" w:rsidR="00D74D05" w:rsidRDefault="00D74D05">
      <w:pPr>
        <w:spacing w:line="240" w:lineRule="auto"/>
        <w:ind w:firstLine="640"/>
      </w:pPr>
      <w:r>
        <w:separator/>
      </w:r>
    </w:p>
  </w:endnote>
  <w:endnote w:type="continuationSeparator" w:id="0">
    <w:p w14:paraId="39A7C3B4" w14:textId="77777777" w:rsidR="00D74D05" w:rsidRDefault="00D74D05">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Bold">
    <w:panose1 w:val="02020803070505020304"/>
    <w:charset w:val="00"/>
    <w:family w:val="auto"/>
    <w:pitch w:val="default"/>
    <w:sig w:usb0="E0002AEF" w:usb1="C0007841"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ZFangSong-Z02">
    <w:altName w:val="Microsoft YaHei"/>
    <w:charset w:val="86"/>
    <w:family w:val="auto"/>
    <w:pitch w:val="variable"/>
    <w:sig w:usb0="A00002BF" w:usb1="38CF7CFA" w:usb2="00082016" w:usb3="00000000" w:csb0="00040001" w:csb1="00000000"/>
  </w:font>
  <w:font w:name="Times New Roman (正文 CS 字体)">
    <w:altName w:val="SimSun"/>
    <w:charset w:val="86"/>
    <w:family w:val="roman"/>
    <w:pitch w:val="default"/>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FZXiaoBiaoSong-B05">
    <w:altName w:val="Microsoft YaHei"/>
    <w:charset w:val="86"/>
    <w:family w:val="auto"/>
    <w:pitch w:val="variable"/>
    <w:sig w:usb0="A00002BF" w:usb1="38CF7CFA" w:usb2="00080016" w:usb3="00000000" w:csb0="00040001" w:csb1="00000000"/>
  </w:font>
  <w:font w:name="FZHei-B01">
    <w:altName w:val="Microsoft YaHei"/>
    <w:charset w:val="86"/>
    <w:family w:val="auto"/>
    <w:pitch w:val="variable"/>
    <w:sig w:usb0="A00002BF" w:usb1="38CF7CFA" w:usb2="00082016" w:usb3="00000000" w:csb0="00040001" w:csb1="00000000"/>
  </w:font>
  <w:font w:name="FZKai-Z03">
    <w:altName w:val="Microsoft YaHei"/>
    <w:charset w:val="86"/>
    <w:family w:val="auto"/>
    <w:pitch w:val="variable"/>
    <w:sig w:usb0="A00002BF" w:usb1="38CF7CFA" w:usb2="00082016" w:usb3="00000000" w:csb0="00040001" w:csb1="00000000"/>
  </w:font>
  <w:font w:name="AppleSystemUIFont">
    <w:altName w:val="Sylfae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Regular">
    <w:altName w:val="Times New Roman"/>
    <w:charset w:val="00"/>
    <w:family w:val="auto"/>
    <w:pitch w:val="default"/>
    <w:sig w:usb0="E0002AEF" w:usb1="C0007841" w:usb2="00000009" w:usb3="00000000" w:csb0="400001FF" w:csb1="FFFF0000"/>
  </w:font>
  <w:font w:name="Times New Roman Italic">
    <w:panose1 w:val="0202050305040509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71D63" w14:textId="77777777" w:rsidR="00373B3E" w:rsidRDefault="00373B3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5842917"/>
      <w:docPartObj>
        <w:docPartGallery w:val="Page Numbers (Bottom of Page)"/>
        <w:docPartUnique/>
      </w:docPartObj>
    </w:sdtPr>
    <w:sdtEndPr/>
    <w:sdtContent>
      <w:p w14:paraId="58CACA51" w14:textId="77777777" w:rsidR="006C4868" w:rsidRDefault="006C4868">
        <w:pPr>
          <w:pStyle w:val="Footer"/>
          <w:ind w:firstLine="360"/>
          <w:jc w:val="center"/>
        </w:pPr>
        <w:r>
          <w:fldChar w:fldCharType="begin"/>
        </w:r>
        <w:r>
          <w:instrText>PAGE   \* MERGEFORMAT</w:instrText>
        </w:r>
        <w:r>
          <w:fldChar w:fldCharType="separate"/>
        </w:r>
        <w:r>
          <w:rPr>
            <w:lang w:val="zh-CN"/>
          </w:rPr>
          <w:t>2</w:t>
        </w:r>
        <w:r>
          <w:fldChar w:fldCharType="end"/>
        </w:r>
      </w:p>
    </w:sdtContent>
  </w:sdt>
  <w:p w14:paraId="76C07225" w14:textId="77777777" w:rsidR="00373B3E" w:rsidRDefault="00373B3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745FB" w14:textId="77777777" w:rsidR="00373B3E" w:rsidRDefault="00373B3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493C9" w14:textId="77777777" w:rsidR="00D74D05" w:rsidRDefault="00D74D05">
      <w:pPr>
        <w:spacing w:line="240" w:lineRule="auto"/>
        <w:ind w:firstLine="640"/>
      </w:pPr>
      <w:r>
        <w:separator/>
      </w:r>
    </w:p>
  </w:footnote>
  <w:footnote w:type="continuationSeparator" w:id="0">
    <w:p w14:paraId="76066B8B" w14:textId="77777777" w:rsidR="00D74D05" w:rsidRDefault="00D74D05">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5DB4D" w14:textId="77777777" w:rsidR="00373B3E" w:rsidRDefault="00373B3E">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FCA7A" w14:textId="31CB2B89" w:rsidR="008F2457" w:rsidRPr="007E205D" w:rsidRDefault="008F2457" w:rsidP="008F2457">
    <w:pPr>
      <w:pStyle w:val="IPPHeader"/>
      <w:tabs>
        <w:tab w:val="clear" w:pos="1134"/>
        <w:tab w:val="left" w:pos="180"/>
      </w:tabs>
      <w:spacing w:after="0"/>
    </w:pPr>
    <w:bookmarkStart w:id="0" w:name="_Hlk76548889"/>
    <w:bookmarkStart w:id="1" w:name="_Hlk76548890"/>
    <w:bookmarkStart w:id="2" w:name="_Hlk76548912"/>
    <w:bookmarkStart w:id="3" w:name="_Hlk76548913"/>
    <w:bookmarkStart w:id="4" w:name="_Hlk76549578"/>
    <w:bookmarkStart w:id="5" w:name="_Hlk76549579"/>
    <w:bookmarkStart w:id="6" w:name="_Hlk76551018"/>
    <w:bookmarkStart w:id="7" w:name="_Hlk76551019"/>
    <w:bookmarkStart w:id="8" w:name="_Hlk76551047"/>
    <w:bookmarkStart w:id="9" w:name="_Hlk76551048"/>
    <w:r>
      <w:rPr>
        <w:noProof/>
        <w:lang w:eastAsia="en-US"/>
      </w:rPr>
      <w:drawing>
        <wp:anchor distT="0" distB="0" distL="114300" distR="114300" simplePos="0" relativeHeight="251660288" behindDoc="0" locked="0" layoutInCell="1" allowOverlap="1" wp14:anchorId="0350758C" wp14:editId="0526F391">
          <wp:simplePos x="0" y="0"/>
          <wp:positionH relativeFrom="margin">
            <wp:posOffset>-590526</wp:posOffset>
          </wp:positionH>
          <wp:positionV relativeFrom="margin">
            <wp:posOffset>-668787</wp:posOffset>
          </wp:positionV>
          <wp:extent cx="647065" cy="333375"/>
          <wp:effectExtent l="0" t="0" r="635" b="9525"/>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en-US"/>
      </w:rPr>
      <w:drawing>
        <wp:anchor distT="0" distB="0" distL="114300" distR="114300" simplePos="0" relativeHeight="251659264" behindDoc="0" locked="0" layoutInCell="1" allowOverlap="0" wp14:anchorId="41664B8A" wp14:editId="0C6CB777">
          <wp:simplePos x="0" y="0"/>
          <wp:positionH relativeFrom="page">
            <wp:posOffset>3175</wp:posOffset>
          </wp:positionH>
          <wp:positionV relativeFrom="paragraph">
            <wp:posOffset>-557473</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t>0</w:t>
    </w:r>
    <w:r>
      <w:t>4</w:t>
    </w:r>
    <w:r w:rsidRPr="000C5879">
      <w:t>_</w:t>
    </w:r>
    <w:r>
      <w:t>CPMFG_SC</w:t>
    </w:r>
    <w:r w:rsidRPr="000C5879">
      <w:t>_202</w:t>
    </w:r>
    <w:r>
      <w:t>4_Dec</w:t>
    </w:r>
  </w:p>
  <w:p w14:paraId="7B97A2E0" w14:textId="2FE05895" w:rsidR="008F2457" w:rsidRPr="00596B3E" w:rsidRDefault="008F2457" w:rsidP="008F2457">
    <w:pPr>
      <w:pStyle w:val="IPPHeader"/>
      <w:tabs>
        <w:tab w:val="clear" w:pos="1134"/>
      </w:tabs>
      <w:rPr>
        <w:i/>
      </w:rPr>
    </w:pPr>
    <w:r>
      <w:rPr>
        <w:i/>
      </w:rPr>
      <w:t>More Positive Action to Address Pest Risks Associated with Sea Containers</w:t>
    </w:r>
    <w:r w:rsidRPr="007E205D">
      <w:rPr>
        <w:i/>
      </w:rPr>
      <w:tab/>
      <w:t xml:space="preserve">Agenda item: </w:t>
    </w:r>
    <w:bookmarkEnd w:id="0"/>
    <w:bookmarkEnd w:id="1"/>
    <w:bookmarkEnd w:id="2"/>
    <w:bookmarkEnd w:id="3"/>
    <w:bookmarkEnd w:id="4"/>
    <w:bookmarkEnd w:id="5"/>
    <w:bookmarkEnd w:id="6"/>
    <w:bookmarkEnd w:id="7"/>
    <w:bookmarkEnd w:id="8"/>
    <w:bookmarkEnd w:id="9"/>
    <w:r w:rsidR="00391E0C">
      <w:rPr>
        <w:i/>
      </w:rPr>
      <w:t>16.1</w:t>
    </w:r>
  </w:p>
  <w:p w14:paraId="1401FC0B" w14:textId="77777777" w:rsidR="00373B3E" w:rsidRDefault="00373B3E">
    <w:pPr>
      <w:pStyle w:val="Header"/>
      <w:spacing w:before="120" w:after="120"/>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0C9DD" w14:textId="77777777" w:rsidR="00373B3E" w:rsidRDefault="00373B3E">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D6E103"/>
    <w:multiLevelType w:val="singleLevel"/>
    <w:tmpl w:val="EED6E103"/>
    <w:lvl w:ilvl="0">
      <w:start w:val="3"/>
      <w:numFmt w:val="upperLetter"/>
      <w:lvlText w:val="%1."/>
      <w:lvlJc w:val="left"/>
      <w:pPr>
        <w:tabs>
          <w:tab w:val="left" w:pos="312"/>
        </w:tabs>
      </w:pPr>
      <w:rPr>
        <w:rFonts w:ascii="Times New Roman Bold" w:hAnsi="Times New Roman Bold" w:cs="Times New Roman Bold" w:hint="default"/>
        <w:b/>
        <w:bCs/>
      </w:rPr>
    </w:lvl>
  </w:abstractNum>
  <w:abstractNum w:abstractNumId="1" w15:restartNumberingAfterBreak="0">
    <w:nsid w:val="1CED5AF3"/>
    <w:multiLevelType w:val="multilevel"/>
    <w:tmpl w:val="1CED5AF3"/>
    <w:lvl w:ilvl="0">
      <w:start w:val="1"/>
      <w:numFmt w:val="decimal"/>
      <w:pStyle w:val="E"/>
      <w:lvlText w:val="%1."/>
      <w:lvlJc w:val="left"/>
      <w:pPr>
        <w:tabs>
          <w:tab w:val="left" w:pos="0"/>
        </w:tabs>
        <w:ind w:left="0" w:firstLine="640"/>
      </w:pPr>
    </w:lvl>
    <w:lvl w:ilvl="1">
      <w:start w:val="1"/>
      <w:numFmt w:val="lowerLetter"/>
      <w:lvlText w:val="%2)"/>
      <w:lvlJc w:val="left"/>
      <w:pPr>
        <w:ind w:left="1080" w:hanging="440"/>
      </w:pPr>
    </w:lvl>
    <w:lvl w:ilvl="2">
      <w:start w:val="1"/>
      <w:numFmt w:val="lowerRoman"/>
      <w:lvlText w:val="%3."/>
      <w:lvlJc w:val="right"/>
      <w:pPr>
        <w:ind w:left="1520" w:hanging="440"/>
      </w:pPr>
    </w:lvl>
    <w:lvl w:ilvl="3">
      <w:start w:val="1"/>
      <w:numFmt w:val="decimal"/>
      <w:lvlText w:val="%4."/>
      <w:lvlJc w:val="left"/>
      <w:pPr>
        <w:ind w:left="1960" w:hanging="440"/>
      </w:pPr>
    </w:lvl>
    <w:lvl w:ilvl="4">
      <w:start w:val="1"/>
      <w:numFmt w:val="lowerLetter"/>
      <w:lvlText w:val="%5)"/>
      <w:lvlJc w:val="left"/>
      <w:pPr>
        <w:ind w:left="2400" w:hanging="440"/>
      </w:pPr>
    </w:lvl>
    <w:lvl w:ilvl="5">
      <w:start w:val="1"/>
      <w:numFmt w:val="lowerRoman"/>
      <w:lvlText w:val="%6."/>
      <w:lvlJc w:val="right"/>
      <w:pPr>
        <w:ind w:left="2840" w:hanging="440"/>
      </w:pPr>
    </w:lvl>
    <w:lvl w:ilvl="6">
      <w:start w:val="1"/>
      <w:numFmt w:val="decimal"/>
      <w:lvlText w:val="%7."/>
      <w:lvlJc w:val="left"/>
      <w:pPr>
        <w:ind w:left="3280" w:hanging="440"/>
      </w:pPr>
    </w:lvl>
    <w:lvl w:ilvl="7">
      <w:start w:val="1"/>
      <w:numFmt w:val="lowerLetter"/>
      <w:lvlText w:val="%8)"/>
      <w:lvlJc w:val="left"/>
      <w:pPr>
        <w:ind w:left="3720" w:hanging="440"/>
      </w:pPr>
    </w:lvl>
    <w:lvl w:ilvl="8">
      <w:start w:val="1"/>
      <w:numFmt w:val="lowerRoman"/>
      <w:lvlText w:val="%9."/>
      <w:lvlJc w:val="right"/>
      <w:pPr>
        <w:ind w:left="4160" w:hanging="440"/>
      </w:pPr>
    </w:lvl>
  </w:abstractNum>
  <w:abstractNum w:abstractNumId="2" w15:restartNumberingAfterBreak="0">
    <w:nsid w:val="306A1229"/>
    <w:multiLevelType w:val="multilevel"/>
    <w:tmpl w:val="306A1229"/>
    <w:lvl w:ilvl="0">
      <w:start w:val="1"/>
      <w:numFmt w:val="chineseCountingThousand"/>
      <w:pStyle w:val="D"/>
      <w:lvlText w:val="（%1）"/>
      <w:lvlJc w:val="left"/>
      <w:pPr>
        <w:tabs>
          <w:tab w:val="left" w:pos="710"/>
        </w:tabs>
        <w:ind w:left="69" w:firstLine="6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4B427159"/>
    <w:multiLevelType w:val="multilevel"/>
    <w:tmpl w:val="4B427159"/>
    <w:lvl w:ilvl="0">
      <w:start w:val="1"/>
      <w:numFmt w:val="decimal"/>
      <w:pStyle w:val="F"/>
      <w:lvlText w:val="（%1）"/>
      <w:lvlJc w:val="left"/>
      <w:pPr>
        <w:tabs>
          <w:tab w:val="left" w:pos="641"/>
        </w:tabs>
        <w:ind w:left="0" w:firstLine="641"/>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BE47FA9"/>
    <w:multiLevelType w:val="multilevel"/>
    <w:tmpl w:val="5BE47FA9"/>
    <w:lvl w:ilvl="0">
      <w:start w:val="1"/>
      <w:numFmt w:val="chineseCountingThousand"/>
      <w:pStyle w:val="C"/>
      <w:lvlText w:val="%1、"/>
      <w:lvlJc w:val="left"/>
      <w:pPr>
        <w:tabs>
          <w:tab w:val="left" w:pos="142"/>
        </w:tabs>
        <w:ind w:left="1049" w:hanging="907"/>
      </w:pPr>
      <w:rPr>
        <w:rFonts w:hint="eastAsia"/>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num w:numId="1" w16cid:durableId="1947541302">
    <w:abstractNumId w:val="4"/>
  </w:num>
  <w:num w:numId="2" w16cid:durableId="667447099">
    <w:abstractNumId w:val="2"/>
  </w:num>
  <w:num w:numId="3" w16cid:durableId="1725711112">
    <w:abstractNumId w:val="1"/>
  </w:num>
  <w:num w:numId="4" w16cid:durableId="1870949989">
    <w:abstractNumId w:val="3"/>
  </w:num>
  <w:num w:numId="5" w16cid:durableId="1089738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0"/>
  <w:drawingGridHorizontalSpacing w:val="160"/>
  <w:drawingGridVerticalSpacing w:val="435"/>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88A"/>
    <w:rsid w:val="BFF6D685"/>
    <w:rsid w:val="F45BD29E"/>
    <w:rsid w:val="000463D7"/>
    <w:rsid w:val="00093E2E"/>
    <w:rsid w:val="001037D7"/>
    <w:rsid w:val="001255FD"/>
    <w:rsid w:val="00146B31"/>
    <w:rsid w:val="00147EBE"/>
    <w:rsid w:val="001B02E5"/>
    <w:rsid w:val="001C27BE"/>
    <w:rsid w:val="001E279E"/>
    <w:rsid w:val="001E4A34"/>
    <w:rsid w:val="001E688A"/>
    <w:rsid w:val="002036E7"/>
    <w:rsid w:val="00240A4C"/>
    <w:rsid w:val="00272448"/>
    <w:rsid w:val="00305363"/>
    <w:rsid w:val="00324EB0"/>
    <w:rsid w:val="00360042"/>
    <w:rsid w:val="00372185"/>
    <w:rsid w:val="00373B3E"/>
    <w:rsid w:val="003779B5"/>
    <w:rsid w:val="00391E0C"/>
    <w:rsid w:val="003B0FD5"/>
    <w:rsid w:val="003C03DF"/>
    <w:rsid w:val="0040392A"/>
    <w:rsid w:val="0044707E"/>
    <w:rsid w:val="0048389B"/>
    <w:rsid w:val="00500E37"/>
    <w:rsid w:val="0050358B"/>
    <w:rsid w:val="0055222D"/>
    <w:rsid w:val="005735F6"/>
    <w:rsid w:val="00584AC1"/>
    <w:rsid w:val="005F2B7E"/>
    <w:rsid w:val="00601338"/>
    <w:rsid w:val="00652BF3"/>
    <w:rsid w:val="00657051"/>
    <w:rsid w:val="006804D6"/>
    <w:rsid w:val="006C3279"/>
    <w:rsid w:val="006C4868"/>
    <w:rsid w:val="006E59E1"/>
    <w:rsid w:val="00736ACC"/>
    <w:rsid w:val="00756C23"/>
    <w:rsid w:val="0076317D"/>
    <w:rsid w:val="007B6AC6"/>
    <w:rsid w:val="007D592D"/>
    <w:rsid w:val="007D5ABB"/>
    <w:rsid w:val="00801BEC"/>
    <w:rsid w:val="00813D8A"/>
    <w:rsid w:val="00837FFC"/>
    <w:rsid w:val="00872757"/>
    <w:rsid w:val="008754DB"/>
    <w:rsid w:val="00883856"/>
    <w:rsid w:val="008959D8"/>
    <w:rsid w:val="008C7134"/>
    <w:rsid w:val="008E132A"/>
    <w:rsid w:val="008F2457"/>
    <w:rsid w:val="009020D2"/>
    <w:rsid w:val="0090695F"/>
    <w:rsid w:val="00980F66"/>
    <w:rsid w:val="0098636D"/>
    <w:rsid w:val="009E42FC"/>
    <w:rsid w:val="00A42A85"/>
    <w:rsid w:val="00A70AF5"/>
    <w:rsid w:val="00AA428E"/>
    <w:rsid w:val="00AC1EBE"/>
    <w:rsid w:val="00B0026C"/>
    <w:rsid w:val="00B31179"/>
    <w:rsid w:val="00B845AC"/>
    <w:rsid w:val="00B84DB3"/>
    <w:rsid w:val="00BE265B"/>
    <w:rsid w:val="00C662B7"/>
    <w:rsid w:val="00C74761"/>
    <w:rsid w:val="00C82DA0"/>
    <w:rsid w:val="00C832DB"/>
    <w:rsid w:val="00CC421D"/>
    <w:rsid w:val="00CE4AFC"/>
    <w:rsid w:val="00CF33BF"/>
    <w:rsid w:val="00D14EBF"/>
    <w:rsid w:val="00D17539"/>
    <w:rsid w:val="00D204CE"/>
    <w:rsid w:val="00D74D05"/>
    <w:rsid w:val="00D93F74"/>
    <w:rsid w:val="00DC5B8C"/>
    <w:rsid w:val="00E148FB"/>
    <w:rsid w:val="00E22368"/>
    <w:rsid w:val="00E71772"/>
    <w:rsid w:val="00E73245"/>
    <w:rsid w:val="00E819C5"/>
    <w:rsid w:val="00EF399D"/>
    <w:rsid w:val="00F371E1"/>
    <w:rsid w:val="00F53E5A"/>
    <w:rsid w:val="00F56F5C"/>
    <w:rsid w:val="00F96221"/>
    <w:rsid w:val="00FB6377"/>
    <w:rsid w:val="00FD6286"/>
    <w:rsid w:val="377BF00E"/>
    <w:rsid w:val="6F98D833"/>
    <w:rsid w:val="6FF95A73"/>
    <w:rsid w:val="7FBD9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9E86C"/>
  <w15:docId w15:val="{B9517C60-3EA7-43D6-8D2B-A9AFC80E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560" w:lineRule="exact"/>
      <w:ind w:firstLineChars="200" w:firstLine="200"/>
      <w:jc w:val="both"/>
    </w:pPr>
    <w:rPr>
      <w:rFonts w:eastAsia="FZFangSong-Z02" w:cs="Times New Roman (正文 CS 字体)"/>
      <w:kern w:val="2"/>
      <w:sz w:val="32"/>
      <w:szCs w:val="24"/>
    </w:rPr>
  </w:style>
  <w:style w:type="paragraph" w:styleId="Heading1">
    <w:name w:val="heading 1"/>
    <w:basedOn w:val="Normal"/>
    <w:next w:val="Normal"/>
    <w:link w:val="Heading1Char"/>
    <w:uiPriority w:val="9"/>
    <w:qFormat/>
    <w:pPr>
      <w:keepNext/>
      <w:keepLines/>
      <w:spacing w:before="340" w:after="330" w:line="578" w:lineRule="atLeast"/>
      <w:outlineLvl w:val="0"/>
    </w:pPr>
    <w:rPr>
      <w:b/>
      <w:bCs/>
      <w:kern w:val="44"/>
      <w:sz w:val="44"/>
      <w:szCs w:val="44"/>
    </w:rPr>
  </w:style>
  <w:style w:type="paragraph" w:styleId="Heading2">
    <w:name w:val="heading 2"/>
    <w:basedOn w:val="Normal"/>
    <w:next w:val="Normal"/>
    <w:link w:val="Heading2Char"/>
    <w:uiPriority w:val="9"/>
    <w:semiHidden/>
    <w:unhideWhenUsed/>
    <w:qFormat/>
    <w:pPr>
      <w:keepNext/>
      <w:keepLines/>
      <w:spacing w:before="260" w:after="260" w:line="416" w:lineRule="atLeast"/>
      <w:outlineLvl w:val="1"/>
    </w:pPr>
    <w:rPr>
      <w:rFonts w:asciiTheme="majorHAnsi" w:eastAsiaTheme="majorEastAsia" w:hAnsiTheme="majorHAnsi" w:cstheme="majorBidi"/>
      <w:b/>
      <w:bCs/>
      <w:szCs w:val="32"/>
    </w:rPr>
  </w:style>
  <w:style w:type="paragraph" w:styleId="Heading3">
    <w:name w:val="heading 3"/>
    <w:basedOn w:val="Normal"/>
    <w:next w:val="Normal"/>
    <w:uiPriority w:val="1"/>
    <w:qFormat/>
    <w:pPr>
      <w:keepNext/>
      <w:spacing w:before="240" w:after="60"/>
      <w:outlineLvl w:val="2"/>
    </w:pPr>
    <w:rPr>
      <w:rFonts w:ascii="Arial" w:hAnsi="Arial" w:cs="Arial"/>
      <w:b/>
      <w:bCs/>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153"/>
        <w:tab w:val="right" w:pos="8306"/>
      </w:tabs>
      <w:snapToGrid w:val="0"/>
      <w:spacing w:line="240" w:lineRule="atLeast"/>
      <w:jc w:val="left"/>
    </w:pPr>
    <w:rPr>
      <w:sz w:val="18"/>
      <w:szCs w:val="18"/>
    </w:rPr>
  </w:style>
  <w:style w:type="paragraph" w:styleId="Header">
    <w:name w:val="header"/>
    <w:basedOn w:val="Normal"/>
    <w:link w:val="HeaderChar"/>
    <w:uiPriority w:val="99"/>
    <w:unhideWhenUsed/>
    <w:pPr>
      <w:tabs>
        <w:tab w:val="center" w:pos="4153"/>
        <w:tab w:val="right" w:pos="8306"/>
      </w:tabs>
      <w:snapToGrid w:val="0"/>
      <w:spacing w:line="240" w:lineRule="atLeast"/>
      <w:jc w:val="center"/>
    </w:pPr>
    <w:rPr>
      <w:sz w:val="18"/>
      <w:szCs w:val="18"/>
    </w:rPr>
  </w:style>
  <w:style w:type="paragraph" w:styleId="FootnoteText">
    <w:name w:val="footnote text"/>
    <w:basedOn w:val="Normal"/>
    <w:link w:val="FootnoteTextChar"/>
    <w:uiPriority w:val="99"/>
    <w:semiHidden/>
    <w:unhideWhenUsed/>
    <w:qFormat/>
    <w:pPr>
      <w:snapToGrid w:val="0"/>
      <w:jc w:val="left"/>
    </w:pPr>
    <w:rPr>
      <w:sz w:val="18"/>
      <w:szCs w:val="18"/>
    </w:rPr>
  </w:style>
  <w:style w:type="paragraph" w:styleId="NormalWeb">
    <w:name w:val="Normal (Web)"/>
    <w:basedOn w:val="Normal"/>
    <w:qFormat/>
    <w:pPr>
      <w:widowControl w:val="0"/>
      <w:tabs>
        <w:tab w:val="left" w:pos="6480"/>
      </w:tabs>
      <w:spacing w:before="100" w:beforeAutospacing="1" w:after="100" w:afterAutospacing="1" w:line="240" w:lineRule="auto"/>
      <w:ind w:left="6480" w:hanging="720"/>
      <w:jc w:val="left"/>
    </w:pPr>
    <w:rPr>
      <w:rFonts w:asciiTheme="minorHAnsi" w:eastAsiaTheme="minorEastAsia" w:hAnsiTheme="minorHAnsi" w:cs="Times New Roman"/>
      <w:kern w:val="0"/>
      <w:sz w:val="24"/>
      <w:szCs w:val="22"/>
      <w14:ligatures w14:val="standardContextual"/>
    </w:rPr>
  </w:style>
  <w:style w:type="paragraph" w:styleId="Title">
    <w:name w:val="Title"/>
    <w:basedOn w:val="Normal"/>
    <w:next w:val="Normal"/>
    <w:link w:val="TitleChar"/>
    <w:uiPriority w:val="10"/>
    <w:qFormat/>
    <w:pPr>
      <w:spacing w:before="240" w:after="60"/>
      <w:jc w:val="center"/>
      <w:outlineLvl w:val="0"/>
    </w:pPr>
    <w:rPr>
      <w:rFonts w:asciiTheme="majorHAnsi" w:eastAsiaTheme="majorEastAsia" w:hAnsiTheme="majorHAnsi" w:cstheme="majorBidi"/>
      <w:b/>
      <w:bCs/>
      <w:szCs w:val="32"/>
    </w:rPr>
  </w:style>
  <w:style w:type="character" w:styleId="FootnoteReference">
    <w:name w:val="footnote reference"/>
    <w:basedOn w:val="DefaultParagraphFont"/>
    <w:uiPriority w:val="99"/>
    <w:semiHidden/>
    <w:unhideWhenUsed/>
    <w:qFormat/>
    <w:rPr>
      <w:vertAlign w:val="superscript"/>
    </w:rPr>
  </w:style>
  <w:style w:type="table" w:customStyle="1" w:styleId="2">
    <w:name w:val="三线表2"/>
    <w:basedOn w:val="TableNormal"/>
    <w:uiPriority w:val="99"/>
    <w:qFormat/>
    <w:pPr>
      <w:jc w:val="center"/>
    </w:pPr>
    <w:tblPr/>
    <w:tcPr>
      <w:vAlign w:val="center"/>
    </w:tcPr>
    <w:tblStylePr w:type="firstRow">
      <w:tblPr/>
      <w:tcPr>
        <w:tcBorders>
          <w:top w:val="single" w:sz="4" w:space="0" w:color="auto"/>
          <w:bottom w:val="single" w:sz="4" w:space="0" w:color="auto"/>
        </w:tcBorders>
      </w:tcPr>
    </w:tblStylePr>
    <w:tblStylePr w:type="lastRow">
      <w:tblPr/>
      <w:tcPr>
        <w:tcBorders>
          <w:bottom w:val="single" w:sz="4" w:space="0" w:color="auto"/>
        </w:tcBorders>
      </w:tcPr>
    </w:tblStylePr>
  </w:style>
  <w:style w:type="paragraph" w:customStyle="1" w:styleId="a">
    <w:name w:val="公文标题"/>
    <w:basedOn w:val="Title"/>
    <w:next w:val="a0"/>
    <w:qFormat/>
    <w:pPr>
      <w:spacing w:beforeLines="200" w:before="200" w:afterLines="100" w:after="100"/>
    </w:pPr>
    <w:rPr>
      <w:rFonts w:ascii="Times New Roman" w:eastAsia="FZXiaoBiaoSong-B05" w:hAnsi="Times New Roman"/>
      <w:b w:val="0"/>
      <w:sz w:val="44"/>
    </w:rPr>
  </w:style>
  <w:style w:type="paragraph" w:customStyle="1" w:styleId="a0">
    <w:name w:val="公文主送机关"/>
    <w:basedOn w:val="Normal"/>
    <w:next w:val="Normal"/>
    <w:qFormat/>
    <w:pPr>
      <w:jc w:val="left"/>
    </w:pPr>
  </w:style>
  <w:style w:type="character" w:customStyle="1" w:styleId="TitleChar">
    <w:name w:val="Title Char"/>
    <w:basedOn w:val="DefaultParagraphFont"/>
    <w:link w:val="Title"/>
    <w:uiPriority w:val="10"/>
    <w:qFormat/>
    <w:rPr>
      <w:rFonts w:asciiTheme="majorHAnsi" w:eastAsiaTheme="majorEastAsia" w:hAnsiTheme="majorHAnsi" w:cstheme="majorBidi"/>
      <w:b/>
      <w:bCs/>
      <w:szCs w:val="32"/>
    </w:rPr>
  </w:style>
  <w:style w:type="paragraph" w:customStyle="1" w:styleId="C">
    <w:name w:val="C公文一级标题"/>
    <w:next w:val="a1"/>
    <w:qFormat/>
    <w:pPr>
      <w:numPr>
        <w:numId w:val="1"/>
      </w:numPr>
      <w:spacing w:line="560" w:lineRule="exact"/>
      <w:ind w:left="0" w:firstLineChars="200" w:firstLine="640"/>
      <w:jc w:val="both"/>
      <w:outlineLvl w:val="0"/>
    </w:pPr>
    <w:rPr>
      <w:rFonts w:eastAsia="FZHei-B01" w:cs="Times New Roman (正文 CS 字体)"/>
      <w:bCs/>
      <w:sz w:val="32"/>
      <w:szCs w:val="44"/>
    </w:rPr>
  </w:style>
  <w:style w:type="paragraph" w:customStyle="1" w:styleId="a1">
    <w:name w:val="公文正文"/>
    <w:basedOn w:val="Normal"/>
    <w:qFormat/>
    <w:pPr>
      <w:ind w:firstLine="640"/>
    </w:pPr>
  </w:style>
  <w:style w:type="character" w:customStyle="1" w:styleId="Heading1Char">
    <w:name w:val="Heading 1 Char"/>
    <w:basedOn w:val="DefaultParagraphFont"/>
    <w:link w:val="Heading1"/>
    <w:uiPriority w:val="9"/>
    <w:qFormat/>
    <w:rPr>
      <w:b/>
      <w:bCs/>
      <w:kern w:val="44"/>
      <w:sz w:val="44"/>
      <w:szCs w:val="44"/>
    </w:rPr>
  </w:style>
  <w:style w:type="paragraph" w:customStyle="1" w:styleId="a2">
    <w:name w:val="公文二级标题"/>
    <w:next w:val="a1"/>
    <w:qFormat/>
    <w:pPr>
      <w:spacing w:line="560" w:lineRule="exact"/>
      <w:jc w:val="both"/>
    </w:pPr>
    <w:rPr>
      <w:rFonts w:eastAsia="FZKai-Z03" w:cstheme="majorBidi"/>
      <w:b/>
      <w:bCs/>
      <w:kern w:val="2"/>
      <w:sz w:val="32"/>
      <w:szCs w:val="32"/>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szCs w:val="32"/>
    </w:rPr>
  </w:style>
  <w:style w:type="paragraph" w:customStyle="1" w:styleId="a3">
    <w:name w:val="公文三级标题"/>
    <w:next w:val="a1"/>
    <w:qFormat/>
    <w:pPr>
      <w:spacing w:line="560" w:lineRule="exact"/>
      <w:jc w:val="both"/>
      <w:outlineLvl w:val="2"/>
    </w:pPr>
    <w:rPr>
      <w:rFonts w:eastAsia="FZFangSong-Z02" w:cs="Times New Roman (正文 CS 字体)"/>
      <w:b/>
      <w:kern w:val="2"/>
      <w:sz w:val="32"/>
      <w:szCs w:val="24"/>
    </w:rPr>
  </w:style>
  <w:style w:type="paragraph" w:customStyle="1" w:styleId="a4">
    <w:name w:val="公文四级标题"/>
    <w:next w:val="a1"/>
    <w:qFormat/>
    <w:pPr>
      <w:spacing w:line="560" w:lineRule="exact"/>
      <w:jc w:val="both"/>
      <w:outlineLvl w:val="3"/>
    </w:pPr>
    <w:rPr>
      <w:rFonts w:eastAsia="FZFangSong-Z02" w:cs="Times New Roman (正文 CS 字体)"/>
      <w:b/>
      <w:kern w:val="2"/>
      <w:sz w:val="32"/>
      <w:szCs w:val="24"/>
    </w:rPr>
  </w:style>
  <w:style w:type="paragraph" w:customStyle="1" w:styleId="a5">
    <w:name w:val="公文落款日期"/>
    <w:basedOn w:val="Normal"/>
    <w:next w:val="Normal"/>
    <w:qFormat/>
    <w:pPr>
      <w:ind w:rightChars="200" w:right="200"/>
      <w:jc w:val="right"/>
    </w:pPr>
    <w:rPr>
      <w:rFonts w:cs="AppleSystemUIFont"/>
      <w:kern w:val="0"/>
      <w:szCs w:val="26"/>
    </w:rPr>
  </w:style>
  <w:style w:type="paragraph" w:customStyle="1" w:styleId="H">
    <w:name w:val="H公文落款"/>
    <w:basedOn w:val="Normal"/>
    <w:next w:val="a5"/>
    <w:qFormat/>
    <w:pPr>
      <w:spacing w:beforeLines="100" w:before="100"/>
      <w:ind w:rightChars="200" w:right="200" w:firstLineChars="0" w:firstLine="0"/>
      <w:jc w:val="right"/>
    </w:pPr>
    <w:rPr>
      <w:rFonts w:cs="AppleSystemUIFont"/>
      <w:kern w:val="0"/>
      <w:szCs w:val="26"/>
    </w:rPr>
  </w:style>
  <w:style w:type="paragraph" w:customStyle="1" w:styleId="a6">
    <w:name w:val="附件"/>
    <w:qFormat/>
    <w:pPr>
      <w:spacing w:line="560" w:lineRule="exact"/>
    </w:pPr>
    <w:rPr>
      <w:rFonts w:eastAsia="FZHei-B01" w:cs="Times New Roman (正文 CS 字体)"/>
      <w:kern w:val="2"/>
      <w:sz w:val="32"/>
      <w:szCs w:val="24"/>
    </w:rPr>
  </w:style>
  <w:style w:type="paragraph" w:customStyle="1" w:styleId="A7">
    <w:name w:val="A公文标题"/>
    <w:next w:val="a0"/>
    <w:qFormat/>
    <w:pPr>
      <w:spacing w:beforeLines="200" w:before="200" w:afterLines="100" w:after="100" w:line="560" w:lineRule="exact"/>
      <w:jc w:val="center"/>
    </w:pPr>
    <w:rPr>
      <w:rFonts w:eastAsia="FZXiaoBiaoSong-B05" w:cstheme="majorBidi"/>
      <w:bCs/>
      <w:kern w:val="2"/>
      <w:sz w:val="44"/>
      <w:szCs w:val="32"/>
    </w:rPr>
  </w:style>
  <w:style w:type="paragraph" w:customStyle="1" w:styleId="B">
    <w:name w:val="B公文主送机关"/>
    <w:next w:val="G"/>
    <w:qFormat/>
    <w:pPr>
      <w:spacing w:line="560" w:lineRule="exact"/>
    </w:pPr>
    <w:rPr>
      <w:rFonts w:eastAsia="FZFangSong-Z02" w:cs="Times New Roman (正文 CS 字体)"/>
      <w:kern w:val="2"/>
      <w:sz w:val="32"/>
      <w:szCs w:val="24"/>
    </w:rPr>
  </w:style>
  <w:style w:type="paragraph" w:customStyle="1" w:styleId="G">
    <w:name w:val="G公文正文"/>
    <w:qFormat/>
    <w:pPr>
      <w:spacing w:line="560" w:lineRule="exact"/>
      <w:ind w:firstLineChars="200" w:firstLine="200"/>
      <w:jc w:val="both"/>
    </w:pPr>
    <w:rPr>
      <w:rFonts w:eastAsia="FZFangSong-Z02" w:cs="Times New Roman (正文 CS 字体)"/>
      <w:kern w:val="2"/>
      <w:sz w:val="32"/>
      <w:szCs w:val="24"/>
    </w:rPr>
  </w:style>
  <w:style w:type="paragraph" w:customStyle="1" w:styleId="D">
    <w:name w:val="D公文二级标题"/>
    <w:next w:val="a1"/>
    <w:qFormat/>
    <w:pPr>
      <w:numPr>
        <w:numId w:val="2"/>
      </w:numPr>
      <w:tabs>
        <w:tab w:val="clear" w:pos="710"/>
        <w:tab w:val="left" w:pos="641"/>
      </w:tabs>
      <w:spacing w:line="560" w:lineRule="exact"/>
      <w:ind w:left="0" w:firstLine="641"/>
      <w:jc w:val="both"/>
      <w:outlineLvl w:val="1"/>
    </w:pPr>
    <w:rPr>
      <w:rFonts w:eastAsia="FZKai-Z03" w:cstheme="majorBidi"/>
      <w:b/>
      <w:sz w:val="32"/>
      <w:szCs w:val="32"/>
    </w:rPr>
  </w:style>
  <w:style w:type="paragraph" w:customStyle="1" w:styleId="E">
    <w:name w:val="E公文三级标题"/>
    <w:next w:val="a1"/>
    <w:qFormat/>
    <w:pPr>
      <w:numPr>
        <w:numId w:val="3"/>
      </w:numPr>
      <w:spacing w:line="560" w:lineRule="exact"/>
      <w:jc w:val="both"/>
      <w:outlineLvl w:val="2"/>
    </w:pPr>
    <w:rPr>
      <w:rFonts w:eastAsia="FZFangSong-Z02" w:cs="Times New Roman (正文 CS 字体)"/>
      <w:b/>
      <w:kern w:val="2"/>
      <w:sz w:val="32"/>
      <w:szCs w:val="24"/>
    </w:rPr>
  </w:style>
  <w:style w:type="paragraph" w:customStyle="1" w:styleId="F">
    <w:name w:val="F公文四级标题"/>
    <w:next w:val="a1"/>
    <w:qFormat/>
    <w:pPr>
      <w:numPr>
        <w:numId w:val="4"/>
      </w:numPr>
      <w:spacing w:line="560" w:lineRule="exact"/>
      <w:jc w:val="both"/>
      <w:outlineLvl w:val="3"/>
    </w:pPr>
    <w:rPr>
      <w:rFonts w:eastAsia="FZFangSong-Z02" w:cs="Times New Roman (正文 CS 字体)"/>
      <w:b/>
      <w:kern w:val="2"/>
      <w:sz w:val="32"/>
      <w:szCs w:val="24"/>
    </w:rPr>
  </w:style>
  <w:style w:type="paragraph" w:customStyle="1" w:styleId="G0">
    <w:name w:val="G公文正文无缩进"/>
    <w:basedOn w:val="G"/>
    <w:qFormat/>
    <w:pPr>
      <w:ind w:firstLine="0"/>
    </w:pPr>
  </w:style>
  <w:style w:type="paragraph" w:customStyle="1" w:styleId="I">
    <w:name w:val="I公文落款日期"/>
    <w:basedOn w:val="Normal"/>
    <w:next w:val="G"/>
    <w:qFormat/>
    <w:pPr>
      <w:ind w:rightChars="200" w:right="200"/>
      <w:jc w:val="right"/>
    </w:pPr>
    <w:rPr>
      <w:rFonts w:cs="AppleSystemUIFont"/>
      <w:kern w:val="0"/>
      <w:szCs w:val="26"/>
    </w:rPr>
  </w:style>
  <w:style w:type="paragraph" w:customStyle="1" w:styleId="J">
    <w:name w:val="J附件"/>
    <w:qFormat/>
    <w:pPr>
      <w:spacing w:line="560" w:lineRule="exact"/>
    </w:pPr>
    <w:rPr>
      <w:rFonts w:eastAsia="FZHei-B01" w:cs="Times New Roman (正文 CS 字体)"/>
      <w:kern w:val="2"/>
      <w:sz w:val="32"/>
      <w:szCs w:val="24"/>
    </w:rPr>
  </w:style>
  <w:style w:type="character" w:customStyle="1" w:styleId="FootnoteTextChar">
    <w:name w:val="Footnote Text Char"/>
    <w:basedOn w:val="DefaultParagraphFont"/>
    <w:link w:val="FootnoteText"/>
    <w:uiPriority w:val="99"/>
    <w:semiHidden/>
    <w:qFormat/>
    <w:rPr>
      <w:sz w:val="18"/>
      <w:szCs w:val="18"/>
    </w:rPr>
  </w:style>
  <w:style w:type="paragraph" w:customStyle="1" w:styleId="Default">
    <w:name w:val="Default"/>
    <w:pPr>
      <w:widowControl w:val="0"/>
      <w:autoSpaceDE w:val="0"/>
      <w:autoSpaceDN w:val="0"/>
      <w:adjustRightInd w:val="0"/>
    </w:pPr>
    <w:rPr>
      <w:rFonts w:ascii="SimSun" w:hAnsiTheme="minorHAnsi" w:cs="SimSun"/>
      <w:color w:val="000000"/>
      <w:sz w:val="24"/>
      <w:szCs w:val="24"/>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paragraph" w:customStyle="1" w:styleId="KUtitel">
    <w:name w:val="KU titel"/>
    <w:basedOn w:val="KUundertitel"/>
    <w:uiPriority w:val="99"/>
    <w:qFormat/>
    <w:pPr>
      <w:spacing w:line="480" w:lineRule="exact"/>
    </w:pPr>
    <w:rPr>
      <w:b/>
      <w:sz w:val="40"/>
    </w:rPr>
  </w:style>
  <w:style w:type="paragraph" w:customStyle="1" w:styleId="KUundertitel">
    <w:name w:val="KU undertitel"/>
    <w:basedOn w:val="Normal"/>
    <w:uiPriority w:val="99"/>
    <w:qFormat/>
    <w:pPr>
      <w:spacing w:before="120" w:line="360" w:lineRule="exact"/>
    </w:pPr>
    <w:rPr>
      <w:rFonts w:ascii="Arial" w:hAnsi="Arial" w:cs="Arial"/>
      <w:spacing w:val="14"/>
      <w:sz w:val="28"/>
      <w:szCs w:val="40"/>
    </w:rPr>
  </w:style>
  <w:style w:type="paragraph" w:customStyle="1" w:styleId="IPPHeader">
    <w:name w:val="IPP Header"/>
    <w:basedOn w:val="Normal"/>
    <w:qFormat/>
    <w:rsid w:val="008F2457"/>
    <w:pPr>
      <w:pBdr>
        <w:bottom w:val="single" w:sz="4" w:space="4" w:color="auto"/>
      </w:pBdr>
      <w:tabs>
        <w:tab w:val="left" w:pos="1134"/>
        <w:tab w:val="right" w:pos="9072"/>
      </w:tabs>
      <w:spacing w:after="120" w:line="240" w:lineRule="auto"/>
      <w:ind w:firstLineChars="0" w:firstLine="0"/>
      <w:jc w:val="left"/>
    </w:pPr>
    <w:rPr>
      <w:rFonts w:ascii="Arial" w:eastAsia="MS Mincho" w:hAnsi="Arial" w:cstheme="minorBidi"/>
      <w:kern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355B3B-1CF4-47FE-82D9-C5E3008F7761}">
  <ds:schemaRefs>
    <ds:schemaRef ds:uri="http://purl.org/dc/dcmitype/"/>
    <ds:schemaRef ds:uri="http://purl.org/dc/terms/"/>
    <ds:schemaRef ds:uri="http://schemas.microsoft.com/office/2006/documentManagement/types"/>
    <ds:schemaRef ds:uri="a05d7f75-f42e-4288-8809-604fd4d9691f"/>
    <ds:schemaRef ds:uri="http://schemas.openxmlformats.org/package/2006/metadata/core-properties"/>
    <ds:schemaRef ds:uri="http://purl.org/dc/elements/1.1/"/>
    <ds:schemaRef ds:uri="http://schemas.microsoft.com/office/infopath/2007/PartnerControls"/>
    <ds:schemaRef ds:uri="ea6feb38-a85a-45e8-92e9-814486bbe37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89209C9-6411-4B6C-8A17-0F7C8696B9F5}">
  <ds:schemaRefs>
    <ds:schemaRef ds:uri="http://schemas.microsoft.com/sharepoint/v3/contenttype/forms"/>
  </ds:schemaRefs>
</ds:datastoreItem>
</file>

<file path=customXml/itemProps3.xml><?xml version="1.0" encoding="utf-8"?>
<ds:datastoreItem xmlns:ds="http://schemas.openxmlformats.org/officeDocument/2006/customXml" ds:itemID="{6BFFC0C0-8523-4339-9AA0-56F33A7E2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2712</Words>
  <Characters>15462</Characters>
  <Application>Microsoft Office Word</Application>
  <DocSecurity>0</DocSecurity>
  <Lines>128</Lines>
  <Paragraphs>36</Paragraphs>
  <ScaleCrop>false</ScaleCrop>
  <Company/>
  <LinksUpToDate>false</LinksUpToDate>
  <CharactersWithSpaces>18138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Yijia Lin</dc:creator>
  <cp:lastModifiedBy>Stirling, Colleen (NSPD)</cp:lastModifiedBy>
  <cp:revision>7</cp:revision>
  <dcterms:created xsi:type="dcterms:W3CDTF">2024-11-01T03:42:00Z</dcterms:created>
  <dcterms:modified xsi:type="dcterms:W3CDTF">2024-12-04T14:56:00Z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2052-6.10.1.8873</vt:lpwstr>
  </property>
  <property fmtid="{D5CDD505-2E9C-101B-9397-08002B2CF9AE}" pid="3" name="ICV">
    <vt:lpwstr>53EBDBAA1ACBAF38944C24675DBC3B3F_43</vt:lpwstr>
  </property>
  <property fmtid="{D5CDD505-2E9C-101B-9397-08002B2CF9AE}" pid="4" name="ContentTypeId">
    <vt:lpwstr>0x010100299519679B1A8B4091DBA33CE26F55F5</vt:lpwstr>
  </property>
  <property fmtid="{D5CDD505-2E9C-101B-9397-08002B2CF9AE}" pid="5" name="MediaServiceImageTags">
    <vt:lpwstr/>
  </property>
</Properties>
</file>