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BFF3D" w14:textId="66BBD2ED" w:rsidR="00F96052" w:rsidRDefault="00B5195D">
      <w:pPr>
        <w:rPr>
          <w:b/>
          <w:bCs/>
          <w:color w:val="008938"/>
          <w:sz w:val="28"/>
          <w:szCs w:val="28"/>
        </w:rPr>
      </w:pPr>
      <w:r w:rsidRPr="00B5195D">
        <w:rPr>
          <w:b/>
          <w:bCs/>
          <w:color w:val="008938"/>
          <w:sz w:val="28"/>
          <w:szCs w:val="28"/>
        </w:rPr>
        <w:t xml:space="preserve">TERMS OF REFERENCE FOR THE EMERGING PEST </w:t>
      </w:r>
      <w:r w:rsidR="00DE633B">
        <w:rPr>
          <w:b/>
          <w:bCs/>
          <w:color w:val="008938"/>
          <w:sz w:val="28"/>
          <w:szCs w:val="28"/>
        </w:rPr>
        <w:t xml:space="preserve">CRITERIA </w:t>
      </w:r>
      <w:r w:rsidRPr="00B5195D">
        <w:rPr>
          <w:b/>
          <w:bCs/>
          <w:color w:val="008938"/>
          <w:sz w:val="28"/>
          <w:szCs w:val="28"/>
        </w:rPr>
        <w:t xml:space="preserve">EXPERT WORKING GROUP </w:t>
      </w:r>
    </w:p>
    <w:p w14:paraId="69DF0721" w14:textId="77777777" w:rsidR="00B5195D" w:rsidRDefault="00B5195D">
      <w:pPr>
        <w:rPr>
          <w:b/>
          <w:bCs/>
          <w:color w:val="008938"/>
          <w:sz w:val="28"/>
          <w:szCs w:val="28"/>
        </w:rPr>
      </w:pPr>
    </w:p>
    <w:p w14:paraId="72CB157C" w14:textId="735E27C2" w:rsidR="00B5195D" w:rsidRPr="00B5195D" w:rsidRDefault="00B5195D" w:rsidP="00B5195D">
      <w:pPr>
        <w:pStyle w:val="ListParagraph"/>
        <w:numPr>
          <w:ilvl w:val="0"/>
          <w:numId w:val="1"/>
        </w:numPr>
        <w:spacing w:before="240" w:after="120" w:line="276" w:lineRule="auto"/>
        <w:rPr>
          <w:b/>
          <w:bCs/>
          <w:color w:val="008938"/>
          <w:sz w:val="28"/>
          <w:szCs w:val="28"/>
        </w:rPr>
      </w:pPr>
      <w:r>
        <w:rPr>
          <w:b/>
          <w:bCs/>
          <w:color w:val="008938"/>
          <w:sz w:val="28"/>
          <w:szCs w:val="28"/>
        </w:rPr>
        <w:t>Background</w:t>
      </w:r>
    </w:p>
    <w:p w14:paraId="5E15B010" w14:textId="32AC9B9B" w:rsidR="00B5195D" w:rsidRDefault="00B5195D" w:rsidP="00B5195D">
      <w:pPr>
        <w:spacing w:before="240" w:after="120" w:line="276" w:lineRule="auto"/>
        <w:rPr>
          <w:sz w:val="22"/>
          <w:szCs w:val="22"/>
        </w:rPr>
      </w:pPr>
      <w:r w:rsidRPr="00B5195D">
        <w:rPr>
          <w:sz w:val="22"/>
          <w:szCs w:val="22"/>
          <w:lang w:val="en-US"/>
        </w:rPr>
        <w:t xml:space="preserve">Strengthening Pest Outbreak Alert and Response Systems (POARS) is one of the eight development agenda items (DAIs) under the IPPC Strategic Framework 2020-2030. </w:t>
      </w:r>
      <w:r>
        <w:rPr>
          <w:sz w:val="22"/>
          <w:szCs w:val="22"/>
          <w:lang w:val="en-US"/>
        </w:rPr>
        <w:t xml:space="preserve">Work on the POARS </w:t>
      </w:r>
      <w:r w:rsidRPr="00B5195D">
        <w:rPr>
          <w:sz w:val="22"/>
          <w:szCs w:val="22"/>
          <w:lang w:val="en-US"/>
        </w:rPr>
        <w:t>was initiated in 2020 when the C</w:t>
      </w:r>
      <w:r>
        <w:rPr>
          <w:sz w:val="22"/>
          <w:szCs w:val="22"/>
          <w:lang w:val="en-US"/>
        </w:rPr>
        <w:t xml:space="preserve">ommission on </w:t>
      </w:r>
      <w:r w:rsidRPr="00B5195D">
        <w:rPr>
          <w:sz w:val="22"/>
          <w:szCs w:val="22"/>
          <w:lang w:val="en-US"/>
        </w:rPr>
        <w:t>P</w:t>
      </w:r>
      <w:r>
        <w:rPr>
          <w:sz w:val="22"/>
          <w:szCs w:val="22"/>
          <w:lang w:val="en-US"/>
        </w:rPr>
        <w:t xml:space="preserve">hytosanitary </w:t>
      </w:r>
      <w:r w:rsidRPr="00B5195D">
        <w:rPr>
          <w:sz w:val="22"/>
          <w:szCs w:val="22"/>
          <w:lang w:val="en-US"/>
        </w:rPr>
        <w:t>M</w:t>
      </w:r>
      <w:r>
        <w:rPr>
          <w:sz w:val="22"/>
          <w:szCs w:val="22"/>
          <w:lang w:val="en-US"/>
        </w:rPr>
        <w:t>easures (CPM)</w:t>
      </w:r>
      <w:r w:rsidRPr="00B5195D">
        <w:rPr>
          <w:sz w:val="22"/>
          <w:szCs w:val="22"/>
          <w:lang w:val="en-US"/>
        </w:rPr>
        <w:t xml:space="preserve"> Bureau established a CPM Focus Group on POARS</w:t>
      </w:r>
      <w:r>
        <w:rPr>
          <w:sz w:val="22"/>
          <w:szCs w:val="22"/>
          <w:lang w:val="en-US"/>
        </w:rPr>
        <w:t>.</w:t>
      </w:r>
      <w:r w:rsidRPr="00B5195D">
        <w:rPr>
          <w:sz w:val="22"/>
          <w:szCs w:val="22"/>
          <w:lang w:val="en-US"/>
        </w:rPr>
        <w:t xml:space="preserve"> </w:t>
      </w:r>
      <w:r>
        <w:rPr>
          <w:sz w:val="22"/>
          <w:szCs w:val="22"/>
          <w:lang w:val="en-US"/>
        </w:rPr>
        <w:t>The Focus Group</w:t>
      </w:r>
      <w:r w:rsidRPr="00B5195D">
        <w:rPr>
          <w:sz w:val="22"/>
          <w:szCs w:val="22"/>
          <w:lang w:val="en-US"/>
        </w:rPr>
        <w:t xml:space="preserve"> produced recommendations that were presented to CPM-16 (2022) and </w:t>
      </w:r>
      <w:r>
        <w:rPr>
          <w:sz w:val="22"/>
          <w:szCs w:val="22"/>
          <w:lang w:val="en-US"/>
        </w:rPr>
        <w:t xml:space="preserve">were </w:t>
      </w:r>
      <w:r w:rsidRPr="00B5195D">
        <w:rPr>
          <w:sz w:val="22"/>
          <w:szCs w:val="22"/>
          <w:lang w:val="en-US"/>
        </w:rPr>
        <w:t xml:space="preserve">published on the </w:t>
      </w:r>
      <w:r>
        <w:rPr>
          <w:sz w:val="22"/>
          <w:szCs w:val="22"/>
          <w:lang w:val="en-US"/>
        </w:rPr>
        <w:t>International Phytosanitary Portal</w:t>
      </w:r>
      <w:r w:rsidRPr="00B5195D">
        <w:rPr>
          <w:sz w:val="22"/>
          <w:szCs w:val="22"/>
          <w:lang w:val="en-US"/>
        </w:rPr>
        <w:t>.</w:t>
      </w:r>
      <w:r w:rsidRPr="00B5195D">
        <w:rPr>
          <w:sz w:val="22"/>
          <w:szCs w:val="22"/>
        </w:rPr>
        <w:t> </w:t>
      </w:r>
    </w:p>
    <w:p w14:paraId="2DBEAA20" w14:textId="13D5BBDC" w:rsidR="00B5195D" w:rsidRDefault="00B5195D" w:rsidP="00B5195D">
      <w:pPr>
        <w:spacing w:before="240" w:after="120" w:line="276" w:lineRule="auto"/>
        <w:rPr>
          <w:sz w:val="22"/>
          <w:szCs w:val="22"/>
        </w:rPr>
      </w:pPr>
      <w:r>
        <w:rPr>
          <w:sz w:val="22"/>
          <w:szCs w:val="22"/>
        </w:rPr>
        <w:t xml:space="preserve">During CPM-16, it was agreed that </w:t>
      </w:r>
      <w:r w:rsidRPr="00B5195D">
        <w:rPr>
          <w:sz w:val="22"/>
          <w:szCs w:val="22"/>
        </w:rPr>
        <w:t xml:space="preserve">a POARS Steering Group (SG) could be established as an interim measure, </w:t>
      </w:r>
      <w:r w:rsidR="00A125F8">
        <w:rPr>
          <w:sz w:val="22"/>
          <w:szCs w:val="22"/>
        </w:rPr>
        <w:t>with t</w:t>
      </w:r>
      <w:r w:rsidR="00A125F8" w:rsidRPr="00A125F8">
        <w:rPr>
          <w:sz w:val="22"/>
          <w:szCs w:val="22"/>
        </w:rPr>
        <w:t>he purpose of provid</w:t>
      </w:r>
      <w:r w:rsidR="00A125F8">
        <w:rPr>
          <w:sz w:val="22"/>
          <w:szCs w:val="22"/>
        </w:rPr>
        <w:t>ing</w:t>
      </w:r>
      <w:r w:rsidR="00A125F8" w:rsidRPr="00A125F8">
        <w:rPr>
          <w:sz w:val="22"/>
          <w:szCs w:val="22"/>
        </w:rPr>
        <w:t xml:space="preserve"> coordination, guidance, and advice on IPPC actions to develop and implement a Global Pest Outbreak Alert and Response System.</w:t>
      </w:r>
      <w:r w:rsidR="00A125F8">
        <w:rPr>
          <w:sz w:val="22"/>
          <w:szCs w:val="22"/>
        </w:rPr>
        <w:t xml:space="preserve"> </w:t>
      </w:r>
      <w:r w:rsidRPr="00B5195D">
        <w:rPr>
          <w:sz w:val="22"/>
          <w:szCs w:val="22"/>
        </w:rPr>
        <w:t>The POARS SG</w:t>
      </w:r>
      <w:r w:rsidR="00A125F8">
        <w:rPr>
          <w:sz w:val="22"/>
          <w:szCs w:val="22"/>
        </w:rPr>
        <w:t xml:space="preserve"> </w:t>
      </w:r>
      <w:r w:rsidRPr="00B5195D">
        <w:rPr>
          <w:sz w:val="22"/>
          <w:szCs w:val="22"/>
        </w:rPr>
        <w:t>was established in March 2024, consisting of 11 experts from around the world.</w:t>
      </w:r>
      <w:r w:rsidR="00A125F8">
        <w:rPr>
          <w:sz w:val="22"/>
          <w:szCs w:val="22"/>
        </w:rPr>
        <w:t xml:space="preserve"> </w:t>
      </w:r>
    </w:p>
    <w:p w14:paraId="383A5C42" w14:textId="50F979F3" w:rsidR="00A125F8" w:rsidRDefault="00A125F8" w:rsidP="00B5195D">
      <w:pPr>
        <w:spacing w:before="240" w:after="120" w:line="276" w:lineRule="auto"/>
        <w:rPr>
          <w:sz w:val="22"/>
          <w:szCs w:val="22"/>
        </w:rPr>
      </w:pPr>
      <w:r w:rsidRPr="00A125F8">
        <w:rPr>
          <w:sz w:val="22"/>
          <w:szCs w:val="22"/>
        </w:rPr>
        <w:t>The POARS S</w:t>
      </w:r>
      <w:r>
        <w:rPr>
          <w:sz w:val="22"/>
          <w:szCs w:val="22"/>
        </w:rPr>
        <w:t>G</w:t>
      </w:r>
      <w:r w:rsidRPr="00A125F8">
        <w:rPr>
          <w:sz w:val="22"/>
          <w:szCs w:val="22"/>
        </w:rPr>
        <w:t xml:space="preserve"> has outlined a process for identifying, nominating, and assessing potential emerging pests of IPPC global concern. This process includes 1) identifying emerging pests through </w:t>
      </w:r>
      <w:r w:rsidR="00196743">
        <w:rPr>
          <w:sz w:val="22"/>
          <w:szCs w:val="22"/>
        </w:rPr>
        <w:t xml:space="preserve">pest reports and </w:t>
      </w:r>
      <w:r w:rsidRPr="00A125F8">
        <w:rPr>
          <w:sz w:val="22"/>
          <w:szCs w:val="22"/>
        </w:rPr>
        <w:t xml:space="preserve">horizon scanning, 2) nominating them via National Plant Protection Organisations (NPPOs), </w:t>
      </w:r>
      <w:r w:rsidR="00716A1F">
        <w:rPr>
          <w:sz w:val="22"/>
          <w:szCs w:val="22"/>
        </w:rPr>
        <w:t>Regional Plant Protection Organisations (</w:t>
      </w:r>
      <w:r w:rsidRPr="00A125F8">
        <w:rPr>
          <w:sz w:val="22"/>
          <w:szCs w:val="22"/>
        </w:rPr>
        <w:t>RPPOs</w:t>
      </w:r>
      <w:r w:rsidR="00716A1F">
        <w:rPr>
          <w:sz w:val="22"/>
          <w:szCs w:val="22"/>
        </w:rPr>
        <w:t>)</w:t>
      </w:r>
      <w:r w:rsidRPr="00A125F8">
        <w:rPr>
          <w:sz w:val="22"/>
          <w:szCs w:val="22"/>
        </w:rPr>
        <w:t xml:space="preserve">, or the IPPC Secretariat, and 3) assessing them against established criteria. Pests meeting the relevant criteria are designated as emerging pests of IPPC global concern, triggering alerts and targeted </w:t>
      </w:r>
      <w:r w:rsidR="00C43554">
        <w:rPr>
          <w:sz w:val="22"/>
          <w:szCs w:val="22"/>
        </w:rPr>
        <w:t xml:space="preserve">prevention, preparedness and </w:t>
      </w:r>
      <w:r w:rsidRPr="00A125F8">
        <w:rPr>
          <w:sz w:val="22"/>
          <w:szCs w:val="22"/>
        </w:rPr>
        <w:t xml:space="preserve">response activities, while others may be added to a watch list or excluded. </w:t>
      </w:r>
    </w:p>
    <w:p w14:paraId="784C1A43" w14:textId="2672BB8E" w:rsidR="00A125F8" w:rsidRPr="00A125F8" w:rsidRDefault="00A125F8" w:rsidP="00A125F8">
      <w:pPr>
        <w:spacing w:before="240" w:after="120" w:line="276" w:lineRule="auto"/>
        <w:rPr>
          <w:sz w:val="22"/>
          <w:szCs w:val="22"/>
        </w:rPr>
      </w:pPr>
      <w:r>
        <w:rPr>
          <w:sz w:val="22"/>
          <w:szCs w:val="22"/>
        </w:rPr>
        <w:t xml:space="preserve">For this process, the POARS SG developed emerging pest criteria to assess potential emerging pests against. </w:t>
      </w:r>
      <w:r w:rsidRPr="00A125F8">
        <w:rPr>
          <w:sz w:val="22"/>
          <w:szCs w:val="22"/>
        </w:rPr>
        <w:t>The emerging pest criteria are split into three steps:</w:t>
      </w:r>
    </w:p>
    <w:p w14:paraId="1A987EA5" w14:textId="77777777" w:rsidR="00A125F8" w:rsidRPr="00A125F8" w:rsidRDefault="00A125F8" w:rsidP="00A125F8">
      <w:pPr>
        <w:numPr>
          <w:ilvl w:val="0"/>
          <w:numId w:val="2"/>
        </w:numPr>
        <w:spacing w:before="240" w:after="120" w:line="276" w:lineRule="auto"/>
        <w:ind w:left="714" w:hanging="357"/>
        <w:contextualSpacing/>
        <w:rPr>
          <w:sz w:val="22"/>
          <w:szCs w:val="22"/>
        </w:rPr>
      </w:pPr>
      <w:r w:rsidRPr="00A125F8">
        <w:rPr>
          <w:sz w:val="22"/>
          <w:szCs w:val="22"/>
        </w:rPr>
        <w:t>Initiation – to show the pest is spreading and is not yet widespread</w:t>
      </w:r>
    </w:p>
    <w:p w14:paraId="673F2E9F" w14:textId="77777777" w:rsidR="00A125F8" w:rsidRPr="00A125F8" w:rsidRDefault="00A125F8" w:rsidP="00A125F8">
      <w:pPr>
        <w:numPr>
          <w:ilvl w:val="0"/>
          <w:numId w:val="2"/>
        </w:numPr>
        <w:spacing w:before="240" w:after="120" w:line="276" w:lineRule="auto"/>
        <w:ind w:left="714" w:hanging="357"/>
        <w:contextualSpacing/>
        <w:rPr>
          <w:sz w:val="22"/>
          <w:szCs w:val="22"/>
        </w:rPr>
      </w:pPr>
      <w:r w:rsidRPr="00A125F8">
        <w:rPr>
          <w:sz w:val="22"/>
          <w:szCs w:val="22"/>
        </w:rPr>
        <w:t>Current impact – to show the pest is already economically and/or environmentally damaging</w:t>
      </w:r>
    </w:p>
    <w:p w14:paraId="7DEC69D1" w14:textId="0B01AAAE" w:rsidR="00A125F8" w:rsidRPr="00A125F8" w:rsidRDefault="00A125F8" w:rsidP="00A125F8">
      <w:pPr>
        <w:numPr>
          <w:ilvl w:val="0"/>
          <w:numId w:val="2"/>
        </w:numPr>
        <w:spacing w:before="240" w:after="120" w:line="276" w:lineRule="auto"/>
        <w:ind w:left="714" w:hanging="357"/>
        <w:contextualSpacing/>
        <w:rPr>
          <w:sz w:val="22"/>
          <w:szCs w:val="22"/>
        </w:rPr>
      </w:pPr>
      <w:r w:rsidRPr="00A125F8">
        <w:rPr>
          <w:sz w:val="22"/>
          <w:szCs w:val="22"/>
        </w:rPr>
        <w:t>Risk evidence – to show the pest is capable of entering</w:t>
      </w:r>
      <w:r w:rsidR="00681716">
        <w:rPr>
          <w:sz w:val="22"/>
          <w:szCs w:val="22"/>
        </w:rPr>
        <w:t>, establishing</w:t>
      </w:r>
      <w:r w:rsidRPr="00A125F8">
        <w:rPr>
          <w:sz w:val="22"/>
          <w:szCs w:val="22"/>
        </w:rPr>
        <w:t xml:space="preserve"> and causing substantial impacts in new areas, and will be difficult to manage once introduced</w:t>
      </w:r>
    </w:p>
    <w:p w14:paraId="30AC3662" w14:textId="028A85AB" w:rsidR="00A125F8" w:rsidRPr="00B5195D" w:rsidRDefault="00A125F8" w:rsidP="00B5195D">
      <w:pPr>
        <w:spacing w:before="240" w:after="120" w:line="276" w:lineRule="auto"/>
        <w:rPr>
          <w:sz w:val="22"/>
          <w:szCs w:val="22"/>
        </w:rPr>
      </w:pPr>
      <w:r>
        <w:rPr>
          <w:sz w:val="22"/>
          <w:szCs w:val="22"/>
        </w:rPr>
        <w:t>To carry out the assessment, the POARS SG recommended that an expert working group be created.</w:t>
      </w:r>
    </w:p>
    <w:p w14:paraId="50037158" w14:textId="0407C39C" w:rsidR="00B5195D" w:rsidRDefault="00B5195D" w:rsidP="00B5195D">
      <w:pPr>
        <w:pStyle w:val="ListParagraph"/>
        <w:numPr>
          <w:ilvl w:val="0"/>
          <w:numId w:val="1"/>
        </w:numPr>
        <w:spacing w:before="240" w:after="120" w:line="276" w:lineRule="auto"/>
        <w:rPr>
          <w:b/>
          <w:bCs/>
          <w:color w:val="008938"/>
          <w:sz w:val="28"/>
          <w:szCs w:val="28"/>
        </w:rPr>
      </w:pPr>
      <w:r>
        <w:rPr>
          <w:b/>
          <w:bCs/>
          <w:color w:val="008938"/>
          <w:sz w:val="28"/>
          <w:szCs w:val="28"/>
        </w:rPr>
        <w:t>Purpose</w:t>
      </w:r>
    </w:p>
    <w:p w14:paraId="14C87217" w14:textId="2E8F34A2" w:rsidR="00A125F8" w:rsidRPr="00A125F8" w:rsidRDefault="00A125F8" w:rsidP="37B73FB9">
      <w:pPr>
        <w:spacing w:after="200" w:line="276" w:lineRule="auto"/>
        <w:rPr>
          <w:rFonts w:eastAsia="Arial"/>
          <w:kern w:val="0"/>
          <w:sz w:val="22"/>
          <w:szCs w:val="22"/>
          <w:highlight w:val="yellow"/>
          <w14:ligatures w14:val="none"/>
        </w:rPr>
      </w:pPr>
      <w:r w:rsidRPr="37B73FB9">
        <w:rPr>
          <w:rFonts w:eastAsia="Arial"/>
          <w:kern w:val="0"/>
          <w:sz w:val="22"/>
          <w:szCs w:val="22"/>
          <w14:ligatures w14:val="none"/>
        </w:rPr>
        <w:t xml:space="preserve">The expert working group is responsible for the assessment of potential emerging pests against the emerging pest criteria. The group provides a recommendation on whether a pest meets the criteria based on the information </w:t>
      </w:r>
      <w:r w:rsidRPr="0046487D">
        <w:rPr>
          <w:rFonts w:eastAsia="Arial"/>
          <w:kern w:val="0"/>
          <w:sz w:val="22"/>
          <w:szCs w:val="22"/>
          <w14:ligatures w14:val="none"/>
        </w:rPr>
        <w:t>provided in the nomination form and any other information they collect.</w:t>
      </w:r>
      <w:r w:rsidRPr="37B73FB9">
        <w:rPr>
          <w:rFonts w:eastAsia="Arial"/>
          <w:kern w:val="0"/>
          <w:sz w:val="22"/>
          <w:szCs w:val="22"/>
          <w14:ligatures w14:val="none"/>
        </w:rPr>
        <w:t xml:space="preserve"> </w:t>
      </w:r>
    </w:p>
    <w:p w14:paraId="33B67F29" w14:textId="0C499894" w:rsidR="00B5195D" w:rsidRDefault="00B5195D" w:rsidP="00B5195D">
      <w:pPr>
        <w:pStyle w:val="ListParagraph"/>
        <w:numPr>
          <w:ilvl w:val="0"/>
          <w:numId w:val="1"/>
        </w:numPr>
        <w:spacing w:before="240" w:after="120" w:line="276" w:lineRule="auto"/>
        <w:rPr>
          <w:b/>
          <w:bCs/>
          <w:color w:val="008938"/>
          <w:sz w:val="28"/>
          <w:szCs w:val="28"/>
        </w:rPr>
      </w:pPr>
      <w:r>
        <w:rPr>
          <w:b/>
          <w:bCs/>
          <w:color w:val="008938"/>
          <w:sz w:val="28"/>
          <w:szCs w:val="28"/>
        </w:rPr>
        <w:t>Duration and review</w:t>
      </w:r>
    </w:p>
    <w:p w14:paraId="6256D745" w14:textId="4C9B3193" w:rsidR="00A125F8" w:rsidRPr="00A125F8" w:rsidRDefault="00DE633B" w:rsidP="00A125F8">
      <w:pPr>
        <w:spacing w:before="240" w:after="120" w:line="276" w:lineRule="auto"/>
        <w:rPr>
          <w:sz w:val="22"/>
          <w:szCs w:val="22"/>
        </w:rPr>
      </w:pPr>
      <w:r w:rsidRPr="2A94C8F2">
        <w:rPr>
          <w:sz w:val="22"/>
          <w:szCs w:val="22"/>
        </w:rPr>
        <w:t xml:space="preserve">The expert working group will initially be established for two years, at which point it will be reviewed by the POARS SG. </w:t>
      </w:r>
    </w:p>
    <w:p w14:paraId="073C504B" w14:textId="54567126" w:rsidR="00B5195D" w:rsidRDefault="00B5195D" w:rsidP="00B5195D">
      <w:pPr>
        <w:pStyle w:val="ListParagraph"/>
        <w:numPr>
          <w:ilvl w:val="0"/>
          <w:numId w:val="1"/>
        </w:numPr>
        <w:spacing w:before="240" w:after="120" w:line="276" w:lineRule="auto"/>
        <w:rPr>
          <w:b/>
          <w:bCs/>
          <w:color w:val="008938"/>
          <w:sz w:val="28"/>
          <w:szCs w:val="28"/>
        </w:rPr>
      </w:pPr>
      <w:r>
        <w:rPr>
          <w:b/>
          <w:bCs/>
          <w:color w:val="008938"/>
          <w:sz w:val="28"/>
          <w:szCs w:val="28"/>
        </w:rPr>
        <w:lastRenderedPageBreak/>
        <w:t>Composition of the expert working group</w:t>
      </w:r>
    </w:p>
    <w:p w14:paraId="6E44FA23" w14:textId="1D345746" w:rsidR="00DE633B" w:rsidRDefault="00DE633B" w:rsidP="00DE633B">
      <w:pPr>
        <w:spacing w:before="240" w:after="120" w:line="276" w:lineRule="auto"/>
        <w:rPr>
          <w:sz w:val="22"/>
          <w:szCs w:val="22"/>
        </w:rPr>
      </w:pPr>
      <w:r w:rsidRPr="210C2455">
        <w:rPr>
          <w:sz w:val="22"/>
          <w:szCs w:val="22"/>
        </w:rPr>
        <w:t>The expert working group is skills and knowledge-based, composed of the following members:</w:t>
      </w:r>
    </w:p>
    <w:p w14:paraId="62B58AEC" w14:textId="3D68F0D6" w:rsidR="00DE633B" w:rsidRDefault="00CB146A" w:rsidP="00DE633B">
      <w:pPr>
        <w:pStyle w:val="ListParagraph"/>
        <w:numPr>
          <w:ilvl w:val="0"/>
          <w:numId w:val="3"/>
        </w:numPr>
        <w:spacing w:before="240" w:after="120" w:line="276" w:lineRule="auto"/>
        <w:rPr>
          <w:sz w:val="22"/>
          <w:szCs w:val="22"/>
        </w:rPr>
      </w:pPr>
      <w:r>
        <w:rPr>
          <w:sz w:val="22"/>
          <w:szCs w:val="22"/>
        </w:rPr>
        <w:t>At least o</w:t>
      </w:r>
      <w:r w:rsidR="00DE633B">
        <w:rPr>
          <w:sz w:val="22"/>
          <w:szCs w:val="22"/>
        </w:rPr>
        <w:t>ne expert from an RPPO</w:t>
      </w:r>
    </w:p>
    <w:p w14:paraId="70C8F0B4" w14:textId="3C9FA475" w:rsidR="00DE633B" w:rsidRDefault="00CB146A" w:rsidP="00DE633B">
      <w:pPr>
        <w:pStyle w:val="ListParagraph"/>
        <w:numPr>
          <w:ilvl w:val="0"/>
          <w:numId w:val="3"/>
        </w:numPr>
        <w:spacing w:before="240" w:after="120" w:line="276" w:lineRule="auto"/>
        <w:rPr>
          <w:sz w:val="22"/>
          <w:szCs w:val="22"/>
        </w:rPr>
      </w:pPr>
      <w:r>
        <w:rPr>
          <w:sz w:val="22"/>
          <w:szCs w:val="22"/>
        </w:rPr>
        <w:t xml:space="preserve">At least </w:t>
      </w:r>
      <w:r w:rsidR="0027765D">
        <w:rPr>
          <w:sz w:val="22"/>
          <w:szCs w:val="22"/>
        </w:rPr>
        <w:t xml:space="preserve">four </w:t>
      </w:r>
      <w:r w:rsidR="00DE633B">
        <w:rPr>
          <w:sz w:val="22"/>
          <w:szCs w:val="22"/>
        </w:rPr>
        <w:t>experts from NPPOs</w:t>
      </w:r>
      <w:r w:rsidR="0027765D">
        <w:rPr>
          <w:sz w:val="22"/>
          <w:szCs w:val="22"/>
        </w:rPr>
        <w:t xml:space="preserve"> </w:t>
      </w:r>
    </w:p>
    <w:p w14:paraId="4588C826" w14:textId="77C89544" w:rsidR="00DE633B" w:rsidRDefault="00DE633B" w:rsidP="00DE633B">
      <w:pPr>
        <w:pStyle w:val="ListParagraph"/>
        <w:numPr>
          <w:ilvl w:val="0"/>
          <w:numId w:val="3"/>
        </w:numPr>
        <w:spacing w:before="240" w:after="120" w:line="276" w:lineRule="auto"/>
        <w:rPr>
          <w:sz w:val="22"/>
          <w:szCs w:val="22"/>
        </w:rPr>
      </w:pPr>
      <w:r>
        <w:rPr>
          <w:sz w:val="22"/>
          <w:szCs w:val="22"/>
        </w:rPr>
        <w:t>One representative from the POARS SG</w:t>
      </w:r>
    </w:p>
    <w:p w14:paraId="2EA4E0C6" w14:textId="6573191B" w:rsidR="00DE633B" w:rsidRDefault="00DE633B" w:rsidP="00DE633B">
      <w:pPr>
        <w:spacing w:before="240" w:after="120" w:line="276" w:lineRule="auto"/>
        <w:rPr>
          <w:sz w:val="22"/>
          <w:szCs w:val="22"/>
        </w:rPr>
      </w:pPr>
      <w:r w:rsidRPr="37B73FB9">
        <w:rPr>
          <w:sz w:val="22"/>
          <w:szCs w:val="22"/>
        </w:rPr>
        <w:t xml:space="preserve">The IPPC Secretariat supports equity, diversity, and inclusiveness and encourages all interested experts to submit their candidature to participate in the emerging pest criteria expert working group. The expert working group members will be selected based on their </w:t>
      </w:r>
      <w:commentRangeStart w:id="0"/>
      <w:commentRangeStart w:id="1"/>
      <w:r w:rsidRPr="37B73FB9">
        <w:rPr>
          <w:sz w:val="22"/>
          <w:szCs w:val="22"/>
        </w:rPr>
        <w:t>technical and practica</w:t>
      </w:r>
      <w:commentRangeEnd w:id="0"/>
      <w:r>
        <w:commentReference w:id="0"/>
      </w:r>
      <w:commentRangeEnd w:id="1"/>
      <w:r w:rsidR="005C768D">
        <w:rPr>
          <w:rStyle w:val="CommentReference"/>
        </w:rPr>
        <w:commentReference w:id="1"/>
      </w:r>
      <w:r w:rsidRPr="37B73FB9">
        <w:rPr>
          <w:sz w:val="22"/>
          <w:szCs w:val="22"/>
        </w:rPr>
        <w:t xml:space="preserve">l expertise in the subject matter. Geographical representation from both developing and developed countries will also be considered to ensure that the outputs are globally relevant, </w:t>
      </w:r>
      <w:commentRangeStart w:id="2"/>
      <w:commentRangeStart w:id="3"/>
      <w:r w:rsidRPr="37B73FB9">
        <w:rPr>
          <w:sz w:val="22"/>
          <w:szCs w:val="22"/>
        </w:rPr>
        <w:t>applicable, and reflect best practices from all over the world</w:t>
      </w:r>
      <w:commentRangeEnd w:id="2"/>
      <w:r>
        <w:commentReference w:id="2"/>
      </w:r>
      <w:commentRangeEnd w:id="3"/>
      <w:r w:rsidR="00E43DF5">
        <w:rPr>
          <w:rStyle w:val="CommentReference"/>
        </w:rPr>
        <w:commentReference w:id="3"/>
      </w:r>
      <w:r w:rsidRPr="37B73FB9">
        <w:rPr>
          <w:sz w:val="22"/>
          <w:szCs w:val="22"/>
        </w:rPr>
        <w:t>.</w:t>
      </w:r>
    </w:p>
    <w:p w14:paraId="3D172194" w14:textId="01CD942C" w:rsidR="00DE633B" w:rsidRDefault="00DE633B" w:rsidP="00DE633B">
      <w:pPr>
        <w:spacing w:before="240" w:after="120" w:line="276" w:lineRule="auto"/>
        <w:rPr>
          <w:sz w:val="22"/>
          <w:szCs w:val="22"/>
        </w:rPr>
      </w:pPr>
      <w:r w:rsidRPr="00DE633B">
        <w:rPr>
          <w:sz w:val="22"/>
          <w:szCs w:val="22"/>
        </w:rPr>
        <w:t xml:space="preserve">The following criteria should be used for selecting </w:t>
      </w:r>
      <w:r>
        <w:rPr>
          <w:sz w:val="22"/>
          <w:szCs w:val="22"/>
        </w:rPr>
        <w:t>expert working group</w:t>
      </w:r>
      <w:r w:rsidRPr="00DE633B">
        <w:rPr>
          <w:sz w:val="22"/>
          <w:szCs w:val="22"/>
        </w:rPr>
        <w:t xml:space="preserve"> members:</w:t>
      </w:r>
    </w:p>
    <w:p w14:paraId="3D1A3FB9" w14:textId="550A6199" w:rsidR="00DE633B" w:rsidRDefault="00DE633B" w:rsidP="00DE633B">
      <w:pPr>
        <w:pStyle w:val="ListParagraph"/>
        <w:numPr>
          <w:ilvl w:val="0"/>
          <w:numId w:val="4"/>
        </w:numPr>
        <w:spacing w:before="240" w:after="120" w:line="276" w:lineRule="auto"/>
        <w:rPr>
          <w:sz w:val="22"/>
          <w:szCs w:val="22"/>
        </w:rPr>
      </w:pPr>
      <w:r>
        <w:rPr>
          <w:sz w:val="22"/>
          <w:szCs w:val="22"/>
        </w:rPr>
        <w:t>Experience with conducting pest risk analysis</w:t>
      </w:r>
    </w:p>
    <w:p w14:paraId="175D72E5" w14:textId="22BA1FFD" w:rsidR="00DE633B" w:rsidRDefault="00DE633B" w:rsidP="00DE633B">
      <w:pPr>
        <w:pStyle w:val="ListParagraph"/>
        <w:numPr>
          <w:ilvl w:val="0"/>
          <w:numId w:val="4"/>
        </w:numPr>
        <w:spacing w:before="240" w:after="120" w:line="276" w:lineRule="auto"/>
        <w:rPr>
          <w:sz w:val="22"/>
          <w:szCs w:val="22"/>
        </w:rPr>
      </w:pPr>
      <w:r>
        <w:rPr>
          <w:sz w:val="22"/>
          <w:szCs w:val="22"/>
        </w:rPr>
        <w:t>Experience in risk management</w:t>
      </w:r>
      <w:r w:rsidR="00B619CA">
        <w:rPr>
          <w:sz w:val="22"/>
          <w:szCs w:val="22"/>
        </w:rPr>
        <w:t xml:space="preserve">, </w:t>
      </w:r>
      <w:r w:rsidR="00013BFE">
        <w:rPr>
          <w:sz w:val="22"/>
          <w:szCs w:val="22"/>
        </w:rPr>
        <w:t>including the provision of biosecurity advice</w:t>
      </w:r>
      <w:r w:rsidR="00353F2E">
        <w:rPr>
          <w:sz w:val="22"/>
          <w:szCs w:val="22"/>
        </w:rPr>
        <w:t xml:space="preserve"> and involvement in policy development</w:t>
      </w:r>
    </w:p>
    <w:p w14:paraId="3E78289B" w14:textId="73B3C5D6" w:rsidR="00E06E23" w:rsidRPr="00B62A3A" w:rsidRDefault="00DE633B" w:rsidP="00B62A3A">
      <w:pPr>
        <w:pStyle w:val="ListParagraph"/>
        <w:numPr>
          <w:ilvl w:val="0"/>
          <w:numId w:val="4"/>
        </w:numPr>
        <w:spacing w:before="240" w:after="120" w:line="276" w:lineRule="auto"/>
        <w:rPr>
          <w:sz w:val="22"/>
          <w:szCs w:val="22"/>
        </w:rPr>
      </w:pPr>
      <w:r w:rsidRPr="00DE633B">
        <w:rPr>
          <w:sz w:val="22"/>
          <w:szCs w:val="22"/>
        </w:rPr>
        <w:t xml:space="preserve">Full understanding of international phytosanitary standards </w:t>
      </w:r>
    </w:p>
    <w:p w14:paraId="60A0947C" w14:textId="4C9B9D90" w:rsidR="00DE633B" w:rsidRDefault="009C68E7" w:rsidP="00DE633B">
      <w:pPr>
        <w:spacing w:before="240" w:after="120" w:line="276" w:lineRule="auto"/>
        <w:rPr>
          <w:sz w:val="22"/>
          <w:szCs w:val="22"/>
        </w:rPr>
      </w:pPr>
      <w:r w:rsidRPr="009C68E7">
        <w:rPr>
          <w:sz w:val="22"/>
          <w:szCs w:val="22"/>
        </w:rPr>
        <w:t xml:space="preserve">The Chair will be selected by the membership and remain Chair for the duration of the </w:t>
      </w:r>
      <w:r>
        <w:rPr>
          <w:sz w:val="22"/>
          <w:szCs w:val="22"/>
        </w:rPr>
        <w:t>expert working group.</w:t>
      </w:r>
    </w:p>
    <w:p w14:paraId="3D05FB9A" w14:textId="30538A6A" w:rsidR="009C68E7" w:rsidRDefault="009C68E7" w:rsidP="00DE633B">
      <w:pPr>
        <w:spacing w:before="240" w:after="120" w:line="276" w:lineRule="auto"/>
        <w:rPr>
          <w:sz w:val="22"/>
          <w:szCs w:val="22"/>
        </w:rPr>
      </w:pPr>
      <w:r w:rsidRPr="009C68E7">
        <w:rPr>
          <w:sz w:val="22"/>
          <w:szCs w:val="22"/>
        </w:rPr>
        <w:t xml:space="preserve">The IPPC Secretariat will support, coordinate and facilitate the functions of the </w:t>
      </w:r>
      <w:r>
        <w:rPr>
          <w:sz w:val="22"/>
          <w:szCs w:val="22"/>
        </w:rPr>
        <w:t>expert working group.</w:t>
      </w:r>
    </w:p>
    <w:p w14:paraId="0C36E7F1" w14:textId="7981ECD3" w:rsidR="00B5195D" w:rsidRDefault="00B5195D" w:rsidP="00B5195D">
      <w:pPr>
        <w:pStyle w:val="ListParagraph"/>
        <w:numPr>
          <w:ilvl w:val="0"/>
          <w:numId w:val="1"/>
        </w:numPr>
        <w:spacing w:before="240" w:after="120" w:line="276" w:lineRule="auto"/>
        <w:rPr>
          <w:b/>
          <w:bCs/>
          <w:color w:val="008938"/>
          <w:sz w:val="28"/>
          <w:szCs w:val="28"/>
        </w:rPr>
      </w:pPr>
      <w:r>
        <w:rPr>
          <w:b/>
          <w:bCs/>
          <w:color w:val="008938"/>
          <w:sz w:val="28"/>
          <w:szCs w:val="28"/>
        </w:rPr>
        <w:t>Reporting</w:t>
      </w:r>
    </w:p>
    <w:p w14:paraId="0C07D1CA" w14:textId="75192780" w:rsidR="009C68E7" w:rsidRPr="009C68E7" w:rsidRDefault="009C68E7" w:rsidP="009C68E7">
      <w:pPr>
        <w:spacing w:before="240" w:after="120" w:line="276" w:lineRule="auto"/>
        <w:rPr>
          <w:sz w:val="22"/>
          <w:szCs w:val="22"/>
        </w:rPr>
      </w:pPr>
      <w:r>
        <w:rPr>
          <w:sz w:val="22"/>
          <w:szCs w:val="22"/>
        </w:rPr>
        <w:t>The expert working group reports directly to the POARS SG.</w:t>
      </w:r>
    </w:p>
    <w:p w14:paraId="7DDF0EDB" w14:textId="74E69102" w:rsidR="00B5195D" w:rsidRDefault="00B5195D" w:rsidP="00B5195D">
      <w:pPr>
        <w:pStyle w:val="ListParagraph"/>
        <w:numPr>
          <w:ilvl w:val="0"/>
          <w:numId w:val="1"/>
        </w:numPr>
        <w:spacing w:before="240" w:after="120" w:line="276" w:lineRule="auto"/>
        <w:rPr>
          <w:b/>
          <w:bCs/>
          <w:color w:val="008938"/>
          <w:sz w:val="28"/>
          <w:szCs w:val="28"/>
        </w:rPr>
      </w:pPr>
      <w:r>
        <w:rPr>
          <w:b/>
          <w:bCs/>
          <w:color w:val="008938"/>
          <w:sz w:val="28"/>
          <w:szCs w:val="28"/>
        </w:rPr>
        <w:t>Process</w:t>
      </w:r>
    </w:p>
    <w:p w14:paraId="2793ABC1" w14:textId="77777777" w:rsidR="009C68E7" w:rsidRDefault="009C68E7" w:rsidP="009C68E7">
      <w:pPr>
        <w:spacing w:before="240" w:after="120" w:line="276" w:lineRule="auto"/>
        <w:rPr>
          <w:sz w:val="22"/>
          <w:szCs w:val="22"/>
        </w:rPr>
      </w:pPr>
      <w:r w:rsidRPr="009C68E7">
        <w:rPr>
          <w:sz w:val="22"/>
          <w:szCs w:val="22"/>
        </w:rPr>
        <w:t xml:space="preserve">The member selection for the </w:t>
      </w:r>
      <w:r>
        <w:rPr>
          <w:sz w:val="22"/>
          <w:szCs w:val="22"/>
        </w:rPr>
        <w:t xml:space="preserve">expert working group </w:t>
      </w:r>
      <w:r w:rsidRPr="009C68E7">
        <w:rPr>
          <w:sz w:val="22"/>
          <w:szCs w:val="22"/>
        </w:rPr>
        <w:t xml:space="preserve">shall be carried out in accordance with the following guidelines: </w:t>
      </w:r>
    </w:p>
    <w:p w14:paraId="18D919A6" w14:textId="5A015302" w:rsidR="009C68E7" w:rsidRDefault="009C68E7" w:rsidP="009C68E7">
      <w:pPr>
        <w:pStyle w:val="ListParagraph"/>
        <w:numPr>
          <w:ilvl w:val="0"/>
          <w:numId w:val="5"/>
        </w:numPr>
        <w:spacing w:before="240" w:after="120" w:line="276" w:lineRule="auto"/>
        <w:rPr>
          <w:sz w:val="22"/>
          <w:szCs w:val="22"/>
        </w:rPr>
      </w:pPr>
      <w:r w:rsidRPr="009C68E7">
        <w:rPr>
          <w:sz w:val="22"/>
          <w:szCs w:val="22"/>
        </w:rPr>
        <w:t>A call for nominations will be published on the IPPC website to allow contracting parties</w:t>
      </w:r>
      <w:r>
        <w:rPr>
          <w:sz w:val="22"/>
          <w:szCs w:val="22"/>
        </w:rPr>
        <w:t xml:space="preserve"> and</w:t>
      </w:r>
      <w:r w:rsidRPr="009C68E7">
        <w:rPr>
          <w:sz w:val="22"/>
          <w:szCs w:val="22"/>
        </w:rPr>
        <w:t xml:space="preserve"> RPPOs</w:t>
      </w:r>
      <w:r>
        <w:rPr>
          <w:sz w:val="22"/>
          <w:szCs w:val="22"/>
        </w:rPr>
        <w:t xml:space="preserve"> </w:t>
      </w:r>
      <w:r w:rsidRPr="009C68E7">
        <w:rPr>
          <w:sz w:val="22"/>
          <w:szCs w:val="22"/>
        </w:rPr>
        <w:t>to nominate their representatives to be part of the</w:t>
      </w:r>
      <w:r>
        <w:rPr>
          <w:sz w:val="22"/>
          <w:szCs w:val="22"/>
        </w:rPr>
        <w:t xml:space="preserve"> expert working group</w:t>
      </w:r>
      <w:r w:rsidRPr="009C68E7">
        <w:rPr>
          <w:sz w:val="22"/>
          <w:szCs w:val="22"/>
        </w:rPr>
        <w:t xml:space="preserve">. </w:t>
      </w:r>
    </w:p>
    <w:p w14:paraId="08BE3423" w14:textId="729C550A" w:rsidR="009C68E7" w:rsidRDefault="009C68E7" w:rsidP="009C68E7">
      <w:pPr>
        <w:pStyle w:val="ListParagraph"/>
        <w:numPr>
          <w:ilvl w:val="0"/>
          <w:numId w:val="5"/>
        </w:numPr>
        <w:spacing w:before="240" w:after="120" w:line="276" w:lineRule="auto"/>
        <w:rPr>
          <w:sz w:val="22"/>
          <w:szCs w:val="22"/>
        </w:rPr>
      </w:pPr>
      <w:r w:rsidRPr="009C68E7">
        <w:rPr>
          <w:sz w:val="22"/>
          <w:szCs w:val="22"/>
        </w:rPr>
        <w:t xml:space="preserve">The IPPC Secretariat will review the nominations and submit them to the </w:t>
      </w:r>
      <w:r>
        <w:rPr>
          <w:sz w:val="22"/>
          <w:szCs w:val="22"/>
        </w:rPr>
        <w:t>POARS SG</w:t>
      </w:r>
      <w:r w:rsidRPr="009C68E7">
        <w:rPr>
          <w:sz w:val="22"/>
          <w:szCs w:val="22"/>
        </w:rPr>
        <w:t xml:space="preserve"> for selection, ensuring gender and geographical balance. </w:t>
      </w:r>
    </w:p>
    <w:p w14:paraId="403F5496" w14:textId="7ABD9DAA" w:rsidR="002D69BA" w:rsidRPr="002D69BA" w:rsidRDefault="009C68E7" w:rsidP="002D69BA">
      <w:pPr>
        <w:pStyle w:val="ListParagraph"/>
        <w:numPr>
          <w:ilvl w:val="0"/>
          <w:numId w:val="5"/>
        </w:numPr>
        <w:spacing w:before="240" w:after="120" w:line="276" w:lineRule="auto"/>
        <w:rPr>
          <w:sz w:val="22"/>
          <w:szCs w:val="22"/>
        </w:rPr>
      </w:pPr>
      <w:r>
        <w:rPr>
          <w:sz w:val="22"/>
          <w:szCs w:val="22"/>
        </w:rPr>
        <w:t>T</w:t>
      </w:r>
      <w:r w:rsidRPr="009C68E7">
        <w:rPr>
          <w:sz w:val="22"/>
          <w:szCs w:val="22"/>
        </w:rPr>
        <w:t xml:space="preserve">he </w:t>
      </w:r>
      <w:r>
        <w:rPr>
          <w:sz w:val="22"/>
          <w:szCs w:val="22"/>
        </w:rPr>
        <w:t>expert working group</w:t>
      </w:r>
      <w:r w:rsidRPr="009C68E7">
        <w:rPr>
          <w:sz w:val="22"/>
          <w:szCs w:val="22"/>
        </w:rPr>
        <w:t xml:space="preserve"> will convene virtually for the first time at least to select its chairperson, discuss its functions, and plan the work described under “functions”.</w:t>
      </w:r>
    </w:p>
    <w:p w14:paraId="17B5A48E" w14:textId="464890DB" w:rsidR="00B5195D" w:rsidRDefault="00B5195D" w:rsidP="002D69BA">
      <w:pPr>
        <w:pStyle w:val="ListParagraph"/>
        <w:numPr>
          <w:ilvl w:val="0"/>
          <w:numId w:val="1"/>
        </w:numPr>
        <w:spacing w:before="240" w:after="120" w:line="276" w:lineRule="auto"/>
        <w:ind w:left="357" w:hanging="357"/>
        <w:contextualSpacing w:val="0"/>
        <w:rPr>
          <w:b/>
          <w:bCs/>
          <w:color w:val="008938"/>
          <w:sz w:val="28"/>
          <w:szCs w:val="28"/>
        </w:rPr>
      </w:pPr>
      <w:r w:rsidRPr="2A94C8F2">
        <w:rPr>
          <w:b/>
          <w:bCs/>
          <w:color w:val="008938"/>
          <w:sz w:val="28"/>
          <w:szCs w:val="28"/>
        </w:rPr>
        <w:t>Functions</w:t>
      </w:r>
    </w:p>
    <w:p w14:paraId="6D6FBC71" w14:textId="7A0DAFDF" w:rsidR="00FF226B" w:rsidRPr="00FF226B" w:rsidRDefault="00FF226B" w:rsidP="00FF226B">
      <w:pPr>
        <w:spacing w:before="240" w:after="120" w:line="276" w:lineRule="auto"/>
        <w:rPr>
          <w:sz w:val="22"/>
          <w:szCs w:val="22"/>
        </w:rPr>
      </w:pPr>
      <w:r w:rsidRPr="37B73FB9">
        <w:rPr>
          <w:sz w:val="22"/>
          <w:szCs w:val="22"/>
        </w:rPr>
        <w:t>The functions of the expert working group will be to:</w:t>
      </w:r>
    </w:p>
    <w:p w14:paraId="10F36D14" w14:textId="57F033E1" w:rsidR="00881BF4" w:rsidRDefault="00881BF4" w:rsidP="00881BF4">
      <w:pPr>
        <w:pStyle w:val="ListParagraph"/>
        <w:numPr>
          <w:ilvl w:val="0"/>
          <w:numId w:val="6"/>
        </w:numPr>
        <w:spacing w:before="240" w:after="120" w:line="276" w:lineRule="auto"/>
        <w:ind w:hanging="357"/>
        <w:rPr>
          <w:sz w:val="22"/>
          <w:szCs w:val="22"/>
        </w:rPr>
      </w:pPr>
      <w:r>
        <w:rPr>
          <w:sz w:val="22"/>
          <w:szCs w:val="22"/>
        </w:rPr>
        <w:lastRenderedPageBreak/>
        <w:t xml:space="preserve">Review nomination forms of potential emerging pests and identify knowledge gaps </w:t>
      </w:r>
    </w:p>
    <w:p w14:paraId="5259FCDE" w14:textId="41FB093D" w:rsidR="00881BF4" w:rsidRDefault="00881BF4" w:rsidP="00881BF4">
      <w:pPr>
        <w:pStyle w:val="ListParagraph"/>
        <w:numPr>
          <w:ilvl w:val="0"/>
          <w:numId w:val="6"/>
        </w:numPr>
        <w:spacing w:before="240" w:after="120" w:line="276" w:lineRule="auto"/>
        <w:ind w:hanging="357"/>
        <w:rPr>
          <w:sz w:val="22"/>
          <w:szCs w:val="22"/>
        </w:rPr>
      </w:pPr>
      <w:r>
        <w:rPr>
          <w:sz w:val="22"/>
          <w:szCs w:val="22"/>
        </w:rPr>
        <w:t>Collect information to supplement the nomination form, including any risk assessments</w:t>
      </w:r>
    </w:p>
    <w:p w14:paraId="2248F13D" w14:textId="281304CF" w:rsidR="005D6A7A" w:rsidRDefault="005D6A7A" w:rsidP="00881BF4">
      <w:pPr>
        <w:pStyle w:val="ListParagraph"/>
        <w:numPr>
          <w:ilvl w:val="0"/>
          <w:numId w:val="6"/>
        </w:numPr>
        <w:spacing w:before="240" w:after="120" w:line="276" w:lineRule="auto"/>
        <w:ind w:hanging="357"/>
        <w:rPr>
          <w:sz w:val="22"/>
          <w:szCs w:val="22"/>
        </w:rPr>
      </w:pPr>
      <w:r>
        <w:rPr>
          <w:sz w:val="22"/>
          <w:szCs w:val="22"/>
        </w:rPr>
        <w:t xml:space="preserve">Consult subject matter experts </w:t>
      </w:r>
      <w:r w:rsidR="00C30C22">
        <w:rPr>
          <w:sz w:val="22"/>
          <w:szCs w:val="22"/>
        </w:rPr>
        <w:t>as necessary</w:t>
      </w:r>
      <w:r w:rsidR="00E44A0A">
        <w:rPr>
          <w:sz w:val="22"/>
          <w:szCs w:val="22"/>
        </w:rPr>
        <w:t>, including experts on specific pest groups</w:t>
      </w:r>
    </w:p>
    <w:p w14:paraId="09CF5CA2" w14:textId="1A6232A0" w:rsidR="00A04684" w:rsidRDefault="00881BF4" w:rsidP="00881BF4">
      <w:pPr>
        <w:pStyle w:val="ListParagraph"/>
        <w:numPr>
          <w:ilvl w:val="0"/>
          <w:numId w:val="6"/>
        </w:numPr>
        <w:spacing w:before="240" w:after="120" w:line="276" w:lineRule="auto"/>
        <w:ind w:hanging="357"/>
        <w:rPr>
          <w:sz w:val="22"/>
          <w:szCs w:val="22"/>
        </w:rPr>
      </w:pPr>
      <w:r w:rsidRPr="37B73FB9">
        <w:rPr>
          <w:sz w:val="22"/>
          <w:szCs w:val="22"/>
        </w:rPr>
        <w:t xml:space="preserve">Assess the potential emerging pest against the emerging pest criteria </w:t>
      </w:r>
    </w:p>
    <w:p w14:paraId="1088A828" w14:textId="208C1EF5" w:rsidR="00881BF4" w:rsidRDefault="00E127DF" w:rsidP="00881BF4">
      <w:pPr>
        <w:pStyle w:val="ListParagraph"/>
        <w:numPr>
          <w:ilvl w:val="0"/>
          <w:numId w:val="6"/>
        </w:numPr>
        <w:spacing w:before="240" w:after="120" w:line="276" w:lineRule="auto"/>
        <w:ind w:hanging="357"/>
        <w:rPr>
          <w:sz w:val="22"/>
          <w:szCs w:val="22"/>
        </w:rPr>
      </w:pPr>
      <w:r>
        <w:rPr>
          <w:sz w:val="22"/>
          <w:szCs w:val="22"/>
        </w:rPr>
        <w:t>Document</w:t>
      </w:r>
      <w:r w:rsidR="00881BF4" w:rsidRPr="37B73FB9">
        <w:rPr>
          <w:sz w:val="22"/>
          <w:szCs w:val="22"/>
        </w:rPr>
        <w:t xml:space="preserve"> justification</w:t>
      </w:r>
      <w:r w:rsidR="00FF226B" w:rsidRPr="37B73FB9">
        <w:rPr>
          <w:sz w:val="22"/>
          <w:szCs w:val="22"/>
        </w:rPr>
        <w:t xml:space="preserve"> for decisions</w:t>
      </w:r>
      <w:r w:rsidR="00881BF4" w:rsidRPr="37B73FB9">
        <w:rPr>
          <w:sz w:val="22"/>
          <w:szCs w:val="22"/>
        </w:rPr>
        <w:t xml:space="preserve"> and any uncertainties for each criterion </w:t>
      </w:r>
    </w:p>
    <w:p w14:paraId="6E0DA84C" w14:textId="76B35953" w:rsidR="00FF226B" w:rsidRDefault="00881BF4" w:rsidP="00FF226B">
      <w:pPr>
        <w:pStyle w:val="ListParagraph"/>
        <w:numPr>
          <w:ilvl w:val="0"/>
          <w:numId w:val="6"/>
        </w:numPr>
        <w:spacing w:before="240" w:after="120" w:line="276" w:lineRule="auto"/>
        <w:ind w:hanging="357"/>
        <w:rPr>
          <w:sz w:val="22"/>
          <w:szCs w:val="22"/>
        </w:rPr>
      </w:pPr>
      <w:r>
        <w:rPr>
          <w:sz w:val="22"/>
          <w:szCs w:val="22"/>
        </w:rPr>
        <w:t xml:space="preserve">Provide a recommendation </w:t>
      </w:r>
      <w:r w:rsidR="0087731E">
        <w:rPr>
          <w:sz w:val="22"/>
          <w:szCs w:val="22"/>
        </w:rPr>
        <w:t xml:space="preserve">to the POARS SG </w:t>
      </w:r>
      <w:r>
        <w:rPr>
          <w:sz w:val="22"/>
          <w:szCs w:val="22"/>
        </w:rPr>
        <w:t xml:space="preserve">on whether the pest qualifies as an emerging pest, a non-emerging pest for the watch list or a non-emerging pest with no follow-up actions </w:t>
      </w:r>
    </w:p>
    <w:p w14:paraId="54FE91A2" w14:textId="3EC17259" w:rsidR="00E421C7" w:rsidRPr="00B62A3A" w:rsidRDefault="00982C15" w:rsidP="00B62A3A">
      <w:pPr>
        <w:pStyle w:val="ListParagraph"/>
        <w:numPr>
          <w:ilvl w:val="0"/>
          <w:numId w:val="6"/>
        </w:numPr>
        <w:spacing w:before="240" w:after="120" w:line="276" w:lineRule="auto"/>
        <w:ind w:hanging="357"/>
        <w:rPr>
          <w:sz w:val="22"/>
          <w:szCs w:val="22"/>
        </w:rPr>
      </w:pPr>
      <w:r>
        <w:rPr>
          <w:sz w:val="22"/>
          <w:szCs w:val="22"/>
        </w:rPr>
        <w:t xml:space="preserve">Provide feedback to </w:t>
      </w:r>
      <w:r w:rsidR="0087731E">
        <w:rPr>
          <w:sz w:val="22"/>
          <w:szCs w:val="22"/>
        </w:rPr>
        <w:t xml:space="preserve">the POARS </w:t>
      </w:r>
      <w:r>
        <w:rPr>
          <w:sz w:val="22"/>
          <w:szCs w:val="22"/>
        </w:rPr>
        <w:t>SG on the implementation of the criteria</w:t>
      </w:r>
      <w:r w:rsidR="0087731E">
        <w:rPr>
          <w:sz w:val="22"/>
          <w:szCs w:val="22"/>
        </w:rPr>
        <w:t xml:space="preserve"> and guidance</w:t>
      </w:r>
    </w:p>
    <w:p w14:paraId="7582A6DC" w14:textId="017F4572" w:rsidR="00B5195D" w:rsidRDefault="00B5195D" w:rsidP="00B62A3A">
      <w:pPr>
        <w:pStyle w:val="ListParagraph"/>
        <w:numPr>
          <w:ilvl w:val="0"/>
          <w:numId w:val="1"/>
        </w:numPr>
        <w:spacing w:before="240" w:after="120" w:line="276" w:lineRule="auto"/>
        <w:ind w:left="363" w:hanging="357"/>
        <w:contextualSpacing w:val="0"/>
        <w:rPr>
          <w:b/>
          <w:bCs/>
          <w:color w:val="008938"/>
          <w:sz w:val="28"/>
          <w:szCs w:val="28"/>
        </w:rPr>
      </w:pPr>
      <w:r>
        <w:rPr>
          <w:b/>
          <w:bCs/>
          <w:color w:val="008938"/>
          <w:sz w:val="28"/>
          <w:szCs w:val="28"/>
        </w:rPr>
        <w:t>Meetings</w:t>
      </w:r>
    </w:p>
    <w:p w14:paraId="40C71F07" w14:textId="4B4E240C" w:rsidR="009C68E7" w:rsidRPr="009C68E7" w:rsidRDefault="009C68E7" w:rsidP="009C68E7">
      <w:pPr>
        <w:spacing w:before="240" w:after="120" w:line="276" w:lineRule="auto"/>
        <w:rPr>
          <w:sz w:val="22"/>
          <w:szCs w:val="22"/>
        </w:rPr>
      </w:pPr>
      <w:r w:rsidRPr="37B73FB9">
        <w:rPr>
          <w:sz w:val="22"/>
          <w:szCs w:val="22"/>
        </w:rPr>
        <w:t>The expert working group will</w:t>
      </w:r>
      <w:r w:rsidR="006656C3">
        <w:rPr>
          <w:sz w:val="22"/>
          <w:szCs w:val="22"/>
        </w:rPr>
        <w:t xml:space="preserve"> meet at least twice per year, to perform the functions outlined above.</w:t>
      </w:r>
      <w:r w:rsidRPr="37B73FB9">
        <w:rPr>
          <w:sz w:val="22"/>
          <w:szCs w:val="22"/>
        </w:rPr>
        <w:t xml:space="preserve"> </w:t>
      </w:r>
      <w:r w:rsidR="00E1257C">
        <w:rPr>
          <w:sz w:val="22"/>
          <w:szCs w:val="22"/>
        </w:rPr>
        <w:t xml:space="preserve">The group will </w:t>
      </w:r>
      <w:r w:rsidR="001D6AFD">
        <w:rPr>
          <w:sz w:val="22"/>
          <w:szCs w:val="22"/>
        </w:rPr>
        <w:t>mainly</w:t>
      </w:r>
      <w:r w:rsidR="00123456">
        <w:rPr>
          <w:sz w:val="22"/>
          <w:szCs w:val="22"/>
        </w:rPr>
        <w:t xml:space="preserve"> meet</w:t>
      </w:r>
      <w:r w:rsidRPr="37B73FB9">
        <w:rPr>
          <w:sz w:val="22"/>
          <w:szCs w:val="22"/>
        </w:rPr>
        <w:t xml:space="preserve"> virtually</w:t>
      </w:r>
      <w:r w:rsidR="00E1257C">
        <w:rPr>
          <w:sz w:val="22"/>
          <w:szCs w:val="22"/>
        </w:rPr>
        <w:t xml:space="preserve"> and </w:t>
      </w:r>
      <w:r w:rsidR="001C7050">
        <w:rPr>
          <w:sz w:val="22"/>
          <w:szCs w:val="22"/>
        </w:rPr>
        <w:t>will only meet</w:t>
      </w:r>
      <w:r w:rsidR="001D6AFD">
        <w:rPr>
          <w:sz w:val="22"/>
          <w:szCs w:val="22"/>
        </w:rPr>
        <w:t xml:space="preserve"> face to face</w:t>
      </w:r>
      <w:r w:rsidR="001C7050">
        <w:rPr>
          <w:sz w:val="22"/>
          <w:szCs w:val="22"/>
        </w:rPr>
        <w:t xml:space="preserve"> under exceptional circumstances</w:t>
      </w:r>
      <w:r w:rsidRPr="37B73FB9">
        <w:rPr>
          <w:sz w:val="22"/>
          <w:szCs w:val="22"/>
        </w:rPr>
        <w:t>.</w:t>
      </w:r>
    </w:p>
    <w:p w14:paraId="29EA95B9" w14:textId="485B55F3" w:rsidR="00B5195D" w:rsidRDefault="00B5195D" w:rsidP="00B62A3A">
      <w:pPr>
        <w:pStyle w:val="ListParagraph"/>
        <w:numPr>
          <w:ilvl w:val="0"/>
          <w:numId w:val="1"/>
        </w:numPr>
        <w:spacing w:before="240" w:after="120" w:line="276" w:lineRule="auto"/>
        <w:ind w:left="357" w:hanging="357"/>
        <w:contextualSpacing w:val="0"/>
        <w:rPr>
          <w:b/>
          <w:bCs/>
          <w:color w:val="008938"/>
          <w:sz w:val="28"/>
          <w:szCs w:val="28"/>
        </w:rPr>
      </w:pPr>
      <w:r>
        <w:rPr>
          <w:b/>
          <w:bCs/>
          <w:color w:val="008938"/>
          <w:sz w:val="28"/>
          <w:szCs w:val="28"/>
        </w:rPr>
        <w:t>Funding</w:t>
      </w:r>
    </w:p>
    <w:p w14:paraId="67855F82" w14:textId="3616F168" w:rsidR="009C68E7" w:rsidRPr="009C68E7" w:rsidRDefault="009C68E7" w:rsidP="009C68E7">
      <w:pPr>
        <w:spacing w:before="240" w:after="120" w:line="276" w:lineRule="auto"/>
        <w:rPr>
          <w:sz w:val="22"/>
          <w:szCs w:val="22"/>
        </w:rPr>
      </w:pPr>
      <w:r w:rsidRPr="009C68E7">
        <w:rPr>
          <w:sz w:val="22"/>
          <w:szCs w:val="22"/>
        </w:rPr>
        <w:t>The organization that employs an IPPC meeting participant is responsible for funding the travel and daily subsistence allowance for that person to attend. If the employer is unable to allocate sufficient funds, participants are first encouraged to seek assistance from sources other than the IPPC Secretariat. Where such demonstrated efforts to secure assistance have been unsuccessful, requests for assistance (i.e. travel and subsistence costs) from the IPPC Secretariat may be made. However, any support is subject to available funds. The IPPC Secretariat will consider funding assistance for participants following IPPC criteria for funding. Full details on these criteria can be found on the IPP (https://www.ippc.int/publications/criteria-used-prioritizing-participants-receive-travelassistanceattend-meetings)</w:t>
      </w:r>
    </w:p>
    <w:sectPr w:rsidR="009C68E7" w:rsidRPr="009C68E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anagiota.mylona@ec.europa.eu" w:date="2025-01-08T15:55:00Z" w:initials="pa">
    <w:p w14:paraId="7E22FBB7" w14:textId="0B20BE02" w:rsidR="001D6AFD" w:rsidRDefault="001D6AFD">
      <w:r>
        <w:annotationRef/>
      </w:r>
      <w:r w:rsidRPr="5DC48EC1">
        <w:t>unclear</w:t>
      </w:r>
    </w:p>
  </w:comment>
  <w:comment w:id="1" w:author="BeltranMontoya, Camilo (NSP)" w:date="2025-01-23T21:31:00Z" w:initials="CB">
    <w:p w14:paraId="591A28AA" w14:textId="77777777" w:rsidR="005C768D" w:rsidRDefault="005C768D" w:rsidP="005C768D">
      <w:pPr>
        <w:pStyle w:val="CommentText"/>
      </w:pPr>
      <w:r>
        <w:rPr>
          <w:rStyle w:val="CommentReference"/>
        </w:rPr>
        <w:annotationRef/>
      </w:r>
      <w:r>
        <w:t xml:space="preserve">To check </w:t>
      </w:r>
    </w:p>
  </w:comment>
  <w:comment w:id="2" w:author="panagiota.mylona@ec.europa.eu" w:date="2025-01-08T15:56:00Z" w:initials="pa">
    <w:p w14:paraId="1239B5CE" w14:textId="696B7C5B" w:rsidR="001D6AFD" w:rsidRDefault="001D6AFD">
      <w:r>
        <w:annotationRef/>
      </w:r>
      <w:r w:rsidRPr="779F555D">
        <w:t>is this relevant for this call?</w:t>
      </w:r>
    </w:p>
  </w:comment>
  <w:comment w:id="3" w:author="BeltranMontoya, Camilo (NSP)" w:date="2025-01-23T21:34:00Z" w:initials="CB">
    <w:p w14:paraId="2C7C3B90" w14:textId="77777777" w:rsidR="00E43DF5" w:rsidRDefault="00E43DF5" w:rsidP="00E43DF5">
      <w:pPr>
        <w:pStyle w:val="CommentText"/>
      </w:pPr>
      <w:r>
        <w:rPr>
          <w:rStyle w:val="CommentReference"/>
        </w:rPr>
        <w:annotationRef/>
      </w:r>
      <w:r>
        <w:t>To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22FBB7" w15:done="0"/>
  <w15:commentEx w15:paraId="591A28AA" w15:paraIdParent="7E22FBB7" w15:done="0"/>
  <w15:commentEx w15:paraId="1239B5CE" w15:done="0"/>
  <w15:commentEx w15:paraId="2C7C3B90" w15:paraIdParent="1239B5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82CB82" w16cex:dateUtc="2025-01-08T14:55:00Z"/>
  <w16cex:commentExtensible w16cex:durableId="3FF9871E" w16cex:dateUtc="2025-01-23T20:31:00Z"/>
  <w16cex:commentExtensible w16cex:durableId="4B7FFAD9" w16cex:dateUtc="2025-01-08T14:56:00Z"/>
  <w16cex:commentExtensible w16cex:durableId="21F5086E" w16cex:dateUtc="2025-01-23T2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22FBB7" w16cid:durableId="4382CB82"/>
  <w16cid:commentId w16cid:paraId="591A28AA" w16cid:durableId="3FF9871E"/>
  <w16cid:commentId w16cid:paraId="1239B5CE" w16cid:durableId="4B7FFAD9"/>
  <w16cid:commentId w16cid:paraId="2C7C3B90" w16cid:durableId="21F5086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204709"/>
    <w:multiLevelType w:val="hybridMultilevel"/>
    <w:tmpl w:val="D1567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0A1A79"/>
    <w:multiLevelType w:val="hybridMultilevel"/>
    <w:tmpl w:val="82F2F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C041C2"/>
    <w:multiLevelType w:val="hybridMultilevel"/>
    <w:tmpl w:val="D020D6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6931AFD"/>
    <w:multiLevelType w:val="hybridMultilevel"/>
    <w:tmpl w:val="411E91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5DC63F99"/>
    <w:multiLevelType w:val="hybridMultilevel"/>
    <w:tmpl w:val="1CE87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50053C"/>
    <w:multiLevelType w:val="hybridMultilevel"/>
    <w:tmpl w:val="F378D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7119697">
    <w:abstractNumId w:val="3"/>
  </w:num>
  <w:num w:numId="2" w16cid:durableId="1313367057">
    <w:abstractNumId w:val="2"/>
  </w:num>
  <w:num w:numId="3" w16cid:durableId="1165439117">
    <w:abstractNumId w:val="4"/>
  </w:num>
  <w:num w:numId="4" w16cid:durableId="94835113">
    <w:abstractNumId w:val="0"/>
  </w:num>
  <w:num w:numId="5" w16cid:durableId="1565019979">
    <w:abstractNumId w:val="1"/>
  </w:num>
  <w:num w:numId="6" w16cid:durableId="12537086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agiota.mylona@ec.europa.eu">
    <w15:presenceInfo w15:providerId="AD" w15:userId="S::urn:spo:guest#panagiota.mylona@ec.europa.eu::"/>
  </w15:person>
  <w15:person w15:author="BeltranMontoya, Camilo (NSP)">
    <w15:presenceInfo w15:providerId="AD" w15:userId="S::Camilo.BeltranMontoya@fao.org::c6617a72-ddab-40a4-ab08-9da8697dd8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I0NrOwMDI2MLc0MDFX0lEKTi0uzszPAykwrAUAULR6hCwAAAA="/>
  </w:docVars>
  <w:rsids>
    <w:rsidRoot w:val="00B5195D"/>
    <w:rsid w:val="00013BFE"/>
    <w:rsid w:val="000E3F40"/>
    <w:rsid w:val="00123456"/>
    <w:rsid w:val="00196743"/>
    <w:rsid w:val="001C7050"/>
    <w:rsid w:val="001D6AFD"/>
    <w:rsid w:val="00252265"/>
    <w:rsid w:val="0027765D"/>
    <w:rsid w:val="002C6109"/>
    <w:rsid w:val="002D69BA"/>
    <w:rsid w:val="00353F2E"/>
    <w:rsid w:val="00456EB4"/>
    <w:rsid w:val="0046487D"/>
    <w:rsid w:val="0047159C"/>
    <w:rsid w:val="00534B9A"/>
    <w:rsid w:val="005556FC"/>
    <w:rsid w:val="005C768D"/>
    <w:rsid w:val="005D6A7A"/>
    <w:rsid w:val="00617FEB"/>
    <w:rsid w:val="00642939"/>
    <w:rsid w:val="006656C3"/>
    <w:rsid w:val="00681716"/>
    <w:rsid w:val="00716A1F"/>
    <w:rsid w:val="0087731E"/>
    <w:rsid w:val="00881BF4"/>
    <w:rsid w:val="00982C15"/>
    <w:rsid w:val="009C68E7"/>
    <w:rsid w:val="009F1C04"/>
    <w:rsid w:val="00A04684"/>
    <w:rsid w:val="00A125F8"/>
    <w:rsid w:val="00A6178C"/>
    <w:rsid w:val="00A66849"/>
    <w:rsid w:val="00AB1707"/>
    <w:rsid w:val="00B5195D"/>
    <w:rsid w:val="00B619CA"/>
    <w:rsid w:val="00B62A3A"/>
    <w:rsid w:val="00C0551F"/>
    <w:rsid w:val="00C30C22"/>
    <w:rsid w:val="00C43554"/>
    <w:rsid w:val="00CB146A"/>
    <w:rsid w:val="00DA725D"/>
    <w:rsid w:val="00DE633B"/>
    <w:rsid w:val="00E06E23"/>
    <w:rsid w:val="00E1257C"/>
    <w:rsid w:val="00E127DF"/>
    <w:rsid w:val="00E421C7"/>
    <w:rsid w:val="00E43DF5"/>
    <w:rsid w:val="00E44A0A"/>
    <w:rsid w:val="00EE17A5"/>
    <w:rsid w:val="00F37E45"/>
    <w:rsid w:val="00F96052"/>
    <w:rsid w:val="00FF226B"/>
    <w:rsid w:val="04528839"/>
    <w:rsid w:val="067C9DE5"/>
    <w:rsid w:val="06D9E018"/>
    <w:rsid w:val="135D687E"/>
    <w:rsid w:val="14FF7B84"/>
    <w:rsid w:val="1D304730"/>
    <w:rsid w:val="210C2455"/>
    <w:rsid w:val="2A94C8F2"/>
    <w:rsid w:val="2C6DAC0E"/>
    <w:rsid w:val="2C9C4CF4"/>
    <w:rsid w:val="37B73FB9"/>
    <w:rsid w:val="43B7B40B"/>
    <w:rsid w:val="44F6D9DD"/>
    <w:rsid w:val="677103B6"/>
    <w:rsid w:val="6C6A9A80"/>
    <w:rsid w:val="72BB6EAB"/>
    <w:rsid w:val="73D2193D"/>
    <w:rsid w:val="7C8283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3DBDF"/>
  <w15:chartTrackingRefBased/>
  <w15:docId w15:val="{5AF49F4A-13D3-4D16-98FC-AED0AFDC5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kern w:val="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6FC"/>
  </w:style>
  <w:style w:type="paragraph" w:styleId="Heading1">
    <w:name w:val="heading 1"/>
    <w:basedOn w:val="Normal"/>
    <w:next w:val="Normal"/>
    <w:link w:val="Heading1Char"/>
    <w:uiPriority w:val="9"/>
    <w:qFormat/>
    <w:rsid w:val="00B519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19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195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195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5195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5195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5195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5195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5195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2265"/>
    <w:rPr>
      <w:rFonts w:ascii="Tahoma" w:eastAsia="Times New Roman" w:hAnsi="Tahoma" w:cs="Tahoma"/>
      <w:kern w:val="0"/>
      <w:sz w:val="16"/>
      <w:szCs w:val="16"/>
      <w:lang w:val="en-IE"/>
      <w14:ligatures w14:val="none"/>
    </w:rPr>
  </w:style>
  <w:style w:type="character" w:customStyle="1" w:styleId="BalloonTextChar">
    <w:name w:val="Balloon Text Char"/>
    <w:basedOn w:val="DefaultParagraphFont"/>
    <w:link w:val="BalloonText"/>
    <w:uiPriority w:val="99"/>
    <w:semiHidden/>
    <w:rsid w:val="00252265"/>
    <w:rPr>
      <w:rFonts w:ascii="Tahoma" w:eastAsia="Times New Roman" w:hAnsi="Tahoma" w:cs="Tahoma"/>
      <w:kern w:val="0"/>
      <w:sz w:val="16"/>
      <w:szCs w:val="16"/>
      <w:lang w:val="en-IE"/>
      <w14:ligatures w14:val="none"/>
    </w:rPr>
  </w:style>
  <w:style w:type="character" w:customStyle="1" w:styleId="Heading1Char">
    <w:name w:val="Heading 1 Char"/>
    <w:basedOn w:val="DefaultParagraphFont"/>
    <w:link w:val="Heading1"/>
    <w:uiPriority w:val="9"/>
    <w:rsid w:val="00B519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19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195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195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5195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5195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5195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5195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5195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5195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19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195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195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5195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5195D"/>
    <w:rPr>
      <w:i/>
      <w:iCs/>
      <w:color w:val="404040" w:themeColor="text1" w:themeTint="BF"/>
    </w:rPr>
  </w:style>
  <w:style w:type="paragraph" w:styleId="ListParagraph">
    <w:name w:val="List Paragraph"/>
    <w:basedOn w:val="Normal"/>
    <w:uiPriority w:val="34"/>
    <w:qFormat/>
    <w:rsid w:val="00B5195D"/>
    <w:pPr>
      <w:ind w:left="720"/>
      <w:contextualSpacing/>
    </w:pPr>
  </w:style>
  <w:style w:type="character" w:styleId="IntenseEmphasis">
    <w:name w:val="Intense Emphasis"/>
    <w:basedOn w:val="DefaultParagraphFont"/>
    <w:uiPriority w:val="21"/>
    <w:qFormat/>
    <w:rsid w:val="00B5195D"/>
    <w:rPr>
      <w:i/>
      <w:iCs/>
      <w:color w:val="0F4761" w:themeColor="accent1" w:themeShade="BF"/>
    </w:rPr>
  </w:style>
  <w:style w:type="paragraph" w:styleId="IntenseQuote">
    <w:name w:val="Intense Quote"/>
    <w:basedOn w:val="Normal"/>
    <w:next w:val="Normal"/>
    <w:link w:val="IntenseQuoteChar"/>
    <w:uiPriority w:val="30"/>
    <w:qFormat/>
    <w:rsid w:val="00B519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195D"/>
    <w:rPr>
      <w:i/>
      <w:iCs/>
      <w:color w:val="0F4761" w:themeColor="accent1" w:themeShade="BF"/>
    </w:rPr>
  </w:style>
  <w:style w:type="character" w:styleId="IntenseReference">
    <w:name w:val="Intense Reference"/>
    <w:basedOn w:val="DefaultParagraphFont"/>
    <w:uiPriority w:val="32"/>
    <w:qFormat/>
    <w:rsid w:val="00B5195D"/>
    <w:rPr>
      <w:b/>
      <w:bCs/>
      <w:smallCaps/>
      <w:color w:val="0F4761" w:themeColor="accent1" w:themeShade="BF"/>
      <w:spacing w:val="5"/>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CB146A"/>
  </w:style>
  <w:style w:type="paragraph" w:styleId="CommentSubject">
    <w:name w:val="annotation subject"/>
    <w:basedOn w:val="CommentText"/>
    <w:next w:val="CommentText"/>
    <w:link w:val="CommentSubjectChar"/>
    <w:uiPriority w:val="99"/>
    <w:semiHidden/>
    <w:unhideWhenUsed/>
    <w:rsid w:val="005C768D"/>
    <w:rPr>
      <w:b/>
      <w:bCs/>
    </w:rPr>
  </w:style>
  <w:style w:type="character" w:customStyle="1" w:styleId="CommentSubjectChar">
    <w:name w:val="Comment Subject Char"/>
    <w:basedOn w:val="CommentTextChar"/>
    <w:link w:val="CommentSubject"/>
    <w:uiPriority w:val="99"/>
    <w:semiHidden/>
    <w:rsid w:val="005C76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343BC02F-6816-4B44-9588-5B1A1F16F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663CC-DCB6-489B-AB91-9712C40A8B56}">
  <ds:schemaRefs>
    <ds:schemaRef ds:uri="http://schemas.microsoft.com/sharepoint/v3/contenttype/forms"/>
  </ds:schemaRefs>
</ds:datastoreItem>
</file>

<file path=customXml/itemProps3.xml><?xml version="1.0" encoding="utf-8"?>
<ds:datastoreItem xmlns:ds="http://schemas.openxmlformats.org/officeDocument/2006/customXml" ds:itemID="{66A456E3-3BEE-4517-BE9E-9E95403BBD5A}">
  <ds:schemaRefs>
    <ds:schemaRef ds:uri="http://purl.org/dc/elements/1.1/"/>
    <ds:schemaRef ds:uri="http://www.w3.org/XML/1998/namespace"/>
    <ds:schemaRef ds:uri="http://schemas.microsoft.com/office/2006/metadata/properties"/>
    <ds:schemaRef ds:uri="a05d7f75-f42e-4288-8809-604fd4d9691f"/>
    <ds:schemaRef ds:uri="http://schemas.openxmlformats.org/package/2006/metadata/core-properties"/>
    <ds:schemaRef ds:uri="http://schemas.microsoft.com/office/2006/documentManagement/types"/>
    <ds:schemaRef ds:uri="ea6feb38-a85a-45e8-92e9-814486bbe375"/>
    <ds:schemaRef ds:uri="http://schemas.microsoft.com/office/infopath/2007/PartnerControl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944</Words>
  <Characters>5352</Characters>
  <Application>Microsoft Office Word</Application>
  <DocSecurity>0</DocSecurity>
  <Lines>44</Lines>
  <Paragraphs>12</Paragraphs>
  <ScaleCrop>false</ScaleCrop>
  <Company>Defra</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Everatt, Matthew</dc:creator>
  <cp:keywords/>
  <dc:description/>
  <cp:lastModifiedBy>Everatt, Matthew</cp:lastModifiedBy>
  <cp:revision>3</cp:revision>
  <dcterms:created xsi:type="dcterms:W3CDTF">2025-01-28T14:34:00Z</dcterms:created>
  <dcterms:modified xsi:type="dcterms:W3CDTF">2025-01-28T14:58:00Z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