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8FC8D" w14:textId="77777777" w:rsidR="001577D5" w:rsidRDefault="001577D5" w:rsidP="001577D5">
      <w:pPr>
        <w:tabs>
          <w:tab w:val="num" w:pos="720"/>
        </w:tabs>
        <w:jc w:val="center"/>
        <w:rPr>
          <w:b/>
          <w:bCs/>
        </w:rPr>
      </w:pPr>
    </w:p>
    <w:p w14:paraId="45AEF538" w14:textId="77777777" w:rsidR="00227E69" w:rsidRPr="0010621C" w:rsidRDefault="00227E69" w:rsidP="00227E69">
      <w:pPr>
        <w:pStyle w:val="IPPHeadSection"/>
        <w:jc w:val="center"/>
        <w:rPr>
          <w:smallCaps/>
        </w:rPr>
      </w:pPr>
      <w:bookmarkStart w:id="0" w:name="_Hlk210637828"/>
      <w:bookmarkStart w:id="1" w:name="_Hlk210634284"/>
      <w:r w:rsidRPr="0010621C">
        <w:t>Commission on Phytosanitary Measures</w:t>
      </w:r>
    </w:p>
    <w:p w14:paraId="64023E95" w14:textId="77777777" w:rsidR="00227E69" w:rsidRPr="00227E69" w:rsidRDefault="00227E69" w:rsidP="00227E69">
      <w:pPr>
        <w:pStyle w:val="IPPHeadSection"/>
        <w:jc w:val="center"/>
      </w:pPr>
      <w:r w:rsidRPr="00227E69">
        <w:t>STRATEGIC PLANNING GROUP</w:t>
      </w:r>
    </w:p>
    <w:bookmarkEnd w:id="1"/>
    <w:p w14:paraId="36FACFA6" w14:textId="26CC3000" w:rsidR="003B3C21" w:rsidRPr="00227E69" w:rsidRDefault="00710E83" w:rsidP="00227E69">
      <w:pPr>
        <w:pStyle w:val="IPPHeadSection"/>
        <w:jc w:val="center"/>
      </w:pPr>
      <w:r>
        <w:t>Rethinking ISPMs</w:t>
      </w:r>
      <w:r w:rsidR="0080686E" w:rsidRPr="0031292D">
        <w:t xml:space="preserve">: </w:t>
      </w:r>
      <w:r>
        <w:t>Enhancing Relevance and Accessibility for the Pacific Region</w:t>
      </w:r>
    </w:p>
    <w:bookmarkEnd w:id="0"/>
    <w:p w14:paraId="3C442C6C" w14:textId="472F3E14" w:rsidR="007A5A29" w:rsidRPr="0031292D" w:rsidRDefault="007A5A29" w:rsidP="000D09EB">
      <w:pPr>
        <w:tabs>
          <w:tab w:val="num" w:pos="720"/>
        </w:tabs>
        <w:spacing w:after="600"/>
        <w:jc w:val="center"/>
        <w:rPr>
          <w:i/>
          <w:iCs/>
        </w:rPr>
      </w:pPr>
      <w:r w:rsidRPr="0031292D">
        <w:rPr>
          <w:i/>
          <w:iCs/>
        </w:rPr>
        <w:t xml:space="preserve">(Prepared by the member countries of the </w:t>
      </w:r>
      <w:r w:rsidR="00F32BB7">
        <w:rPr>
          <w:i/>
          <w:iCs/>
        </w:rPr>
        <w:t>Pacific Plant Protection Organization (</w:t>
      </w:r>
      <w:r w:rsidRPr="0031292D">
        <w:rPr>
          <w:i/>
          <w:iCs/>
        </w:rPr>
        <w:t>PPPO)</w:t>
      </w:r>
      <w:r w:rsidR="00F32BB7">
        <w:rPr>
          <w:i/>
          <w:iCs/>
        </w:rPr>
        <w:t>)</w:t>
      </w:r>
      <w:r w:rsidR="003F544A" w:rsidRPr="003F544A">
        <w:rPr>
          <w:b/>
          <w:bCs/>
          <w:noProof/>
        </w:rPr>
        <w:t xml:space="preserve"> </w:t>
      </w:r>
      <w:r w:rsidR="003F544A" w:rsidRPr="006115FC">
        <w:rPr>
          <w:b/>
          <w:bCs/>
          <w:noProof/>
        </w:rPr>
        <w:drawing>
          <wp:inline distT="0" distB="0" distL="0" distR="0" wp14:anchorId="2E9867C8" wp14:editId="27D23B07">
            <wp:extent cx="1170533" cy="896190"/>
            <wp:effectExtent l="0" t="0" r="0" b="0"/>
            <wp:docPr id="3" name="Picture 2" descr="A logo of a plant&#10;&#10;AI-generated content may be incorrect.">
              <a:extLst xmlns:a="http://schemas.openxmlformats.org/drawingml/2006/main">
                <a:ext uri="{FF2B5EF4-FFF2-40B4-BE49-F238E27FC236}">
                  <a16:creationId xmlns:a16="http://schemas.microsoft.com/office/drawing/2014/main" id="{ABD76731-AC9E-BD67-3DB9-EEEBDCF30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logo of a plant&#10;&#10;AI-generated content may be incorrect.">
                      <a:extLst>
                        <a:ext uri="{FF2B5EF4-FFF2-40B4-BE49-F238E27FC236}">
                          <a16:creationId xmlns:a16="http://schemas.microsoft.com/office/drawing/2014/main" id="{ABD76731-AC9E-BD67-3DB9-EEEBDCF30241}"/>
                        </a:ext>
                      </a:extLst>
                    </pic:cNvPr>
                    <pic:cNvPicPr>
                      <a:picLocks noChangeAspect="1"/>
                    </pic:cNvPicPr>
                  </pic:nvPicPr>
                  <pic:blipFill>
                    <a:blip r:embed="rId11"/>
                    <a:stretch>
                      <a:fillRect/>
                    </a:stretch>
                  </pic:blipFill>
                  <pic:spPr>
                    <a:xfrm>
                      <a:off x="0" y="0"/>
                      <a:ext cx="1170533" cy="896190"/>
                    </a:xfrm>
                    <a:prstGeom prst="rect">
                      <a:avLst/>
                    </a:prstGeom>
                  </pic:spPr>
                </pic:pic>
              </a:graphicData>
            </a:graphic>
          </wp:inline>
        </w:drawing>
      </w:r>
    </w:p>
    <w:p w14:paraId="4B90A034" w14:textId="3825EB60" w:rsidR="00800E8A" w:rsidRDefault="00E814EB" w:rsidP="00227E69">
      <w:pPr>
        <w:pStyle w:val="IPPParagraphnumbering"/>
        <w:rPr>
          <w:i/>
          <w:iCs/>
        </w:rPr>
      </w:pPr>
      <w:r w:rsidRPr="0031292D">
        <w:t xml:space="preserve">This paper </w:t>
      </w:r>
      <w:r w:rsidR="00582C81">
        <w:t xml:space="preserve">was developed </w:t>
      </w:r>
      <w:r w:rsidRPr="0031292D">
        <w:t xml:space="preserve">by </w:t>
      </w:r>
      <w:r>
        <w:t xml:space="preserve">the </w:t>
      </w:r>
      <w:r w:rsidR="004F2CF1" w:rsidRPr="0031292D">
        <w:t xml:space="preserve">Pacific </w:t>
      </w:r>
      <w:r w:rsidR="004F2CF1">
        <w:t>Plant Protection Organisation</w:t>
      </w:r>
      <w:r w:rsidR="004F2CF1" w:rsidRPr="0031292D">
        <w:t xml:space="preserve"> </w:t>
      </w:r>
      <w:r w:rsidR="004F2CF1">
        <w:t>(</w:t>
      </w:r>
      <w:r w:rsidRPr="0031292D">
        <w:t>PPPO</w:t>
      </w:r>
      <w:r w:rsidR="004F2CF1">
        <w:t>)</w:t>
      </w:r>
      <w:r w:rsidRPr="0031292D">
        <w:t xml:space="preserve"> </w:t>
      </w:r>
      <w:r>
        <w:t xml:space="preserve">members </w:t>
      </w:r>
      <w:r w:rsidRPr="0031292D">
        <w:t xml:space="preserve">during the PPPO Regional Workshop held in Fiji in August 2025, in response to the </w:t>
      </w:r>
      <w:r>
        <w:t>five</w:t>
      </w:r>
      <w:r w:rsidRPr="0031292D">
        <w:t xml:space="preserve"> guiding questions presented in the IPPC presentation titled </w:t>
      </w:r>
      <w:r w:rsidRPr="0031292D">
        <w:rPr>
          <w:i/>
          <w:iCs/>
        </w:rPr>
        <w:t>“Rethinking ISPMs.”</w:t>
      </w:r>
    </w:p>
    <w:p w14:paraId="0D99E167" w14:textId="3A15F504" w:rsidR="00E956AE" w:rsidRDefault="00E956AE" w:rsidP="001C0C43">
      <w:pPr>
        <w:pStyle w:val="IPPNumberedList"/>
        <w:rPr>
          <w:b/>
          <w:bCs/>
        </w:rPr>
      </w:pPr>
      <w:r>
        <w:rPr>
          <w:b/>
          <w:bCs/>
        </w:rPr>
        <w:t>Regional relevance</w:t>
      </w:r>
      <w:r w:rsidRPr="001C0C43">
        <w:rPr>
          <w:b/>
          <w:bCs/>
          <w:i/>
          <w:iCs/>
        </w:rPr>
        <w:t xml:space="preserve">: </w:t>
      </w:r>
      <w:r w:rsidRPr="001C0C43">
        <w:rPr>
          <w:i/>
          <w:iCs/>
        </w:rPr>
        <w:t>do the issues outlined in the CPM 2025/47 paper present challenges or concerns specific to your region</w:t>
      </w:r>
      <w:r w:rsidR="00751FF5" w:rsidRPr="001C0C43">
        <w:rPr>
          <w:i/>
          <w:iCs/>
        </w:rPr>
        <w:t>?</w:t>
      </w:r>
    </w:p>
    <w:p w14:paraId="762BE9FE" w14:textId="22B82616" w:rsidR="0080686E" w:rsidRPr="00E956AE" w:rsidRDefault="0080686E" w:rsidP="001C0C43">
      <w:pPr>
        <w:pStyle w:val="IPPHeading1"/>
      </w:pPr>
      <w:r w:rsidRPr="00E956AE">
        <w:t>The PPPO and the Pacific Context</w:t>
      </w:r>
      <w:r w:rsidR="00B652D6" w:rsidRPr="00E956AE">
        <w:t xml:space="preserve"> </w:t>
      </w:r>
    </w:p>
    <w:p w14:paraId="3DD99126" w14:textId="2FA09658" w:rsidR="0080686E" w:rsidRDefault="00A05EBF" w:rsidP="001C0C43">
      <w:pPr>
        <w:pStyle w:val="IPPParagraphnumbering"/>
      </w:pPr>
      <w:r w:rsidRPr="0031292D">
        <w:t xml:space="preserve">The </w:t>
      </w:r>
      <w:r w:rsidR="00014266">
        <w:t xml:space="preserve">PPPO is the regional plant protection organisation (RPPO) for the FAO’s </w:t>
      </w:r>
      <w:r w:rsidR="009B7298">
        <w:t>Southwest</w:t>
      </w:r>
      <w:r w:rsidR="00014266">
        <w:t xml:space="preserve"> Pacific region. PPPO members include </w:t>
      </w:r>
      <w:r w:rsidR="00582C81">
        <w:t xml:space="preserve">all </w:t>
      </w:r>
      <w:r w:rsidRPr="0031292D">
        <w:t>2</w:t>
      </w:r>
      <w:r w:rsidR="001B3508" w:rsidRPr="0031292D">
        <w:t>4</w:t>
      </w:r>
      <w:r w:rsidRPr="0031292D">
        <w:t xml:space="preserve"> Pacific Island </w:t>
      </w:r>
      <w:r w:rsidR="00D87F35">
        <w:t>C</w:t>
      </w:r>
      <w:r w:rsidRPr="0031292D">
        <w:t>ountries and Territories</w:t>
      </w:r>
      <w:r w:rsidR="0089222F" w:rsidRPr="0031292D">
        <w:t xml:space="preserve"> </w:t>
      </w:r>
      <w:r w:rsidR="00D87F35">
        <w:t xml:space="preserve">(PICTs) </w:t>
      </w:r>
      <w:r w:rsidR="000E3216">
        <w:t xml:space="preserve">across </w:t>
      </w:r>
      <w:r w:rsidR="003213D0">
        <w:t xml:space="preserve">the </w:t>
      </w:r>
      <w:r w:rsidR="000E3216" w:rsidRPr="0031292D">
        <w:t>Melanesia</w:t>
      </w:r>
      <w:r w:rsidR="003213D0">
        <w:t>n</w:t>
      </w:r>
      <w:r w:rsidR="000E3216">
        <w:t>,</w:t>
      </w:r>
      <w:r w:rsidR="000E3216" w:rsidRPr="0031292D">
        <w:t xml:space="preserve"> Micronesia</w:t>
      </w:r>
      <w:r w:rsidR="003213D0">
        <w:t>n</w:t>
      </w:r>
      <w:r w:rsidR="000E3216" w:rsidRPr="0031292D">
        <w:t xml:space="preserve"> </w:t>
      </w:r>
      <w:r w:rsidR="000E3216">
        <w:t>and Polynesia</w:t>
      </w:r>
      <w:r w:rsidR="003213D0">
        <w:t>n</w:t>
      </w:r>
      <w:r w:rsidR="000173D0">
        <w:t xml:space="preserve"> subregions</w:t>
      </w:r>
      <w:r w:rsidR="00014266">
        <w:t>, Australia and New Zealand</w:t>
      </w:r>
      <w:r w:rsidR="000E3216">
        <w:t xml:space="preserve">. </w:t>
      </w:r>
      <w:r w:rsidR="00014266">
        <w:t>PPPO m</w:t>
      </w:r>
      <w:r w:rsidR="00014266" w:rsidRPr="0031292D">
        <w:t>ember</w:t>
      </w:r>
      <w:r w:rsidR="00582C81">
        <w:t>s</w:t>
      </w:r>
      <w:r w:rsidR="00014266" w:rsidRPr="0031292D">
        <w:t xml:space="preserve"> </w:t>
      </w:r>
      <w:r w:rsidR="0080686E" w:rsidRPr="0031292D">
        <w:t>vary widely in size</w:t>
      </w:r>
      <w:r w:rsidR="00582C81">
        <w:t xml:space="preserve"> (geographical and population)</w:t>
      </w:r>
      <w:r w:rsidR="0080686E" w:rsidRPr="0031292D">
        <w:t xml:space="preserve">, capacity, and governance structures, but share common </w:t>
      </w:r>
      <w:r w:rsidR="001B3508" w:rsidRPr="0031292D">
        <w:t>goals</w:t>
      </w:r>
      <w:r w:rsidR="001F72A8">
        <w:t xml:space="preserve">, </w:t>
      </w:r>
      <w:r w:rsidR="0080686E" w:rsidRPr="0031292D">
        <w:t>challenges</w:t>
      </w:r>
      <w:r w:rsidR="001208DD">
        <w:t xml:space="preserve"> and opportunities</w:t>
      </w:r>
      <w:r w:rsidR="00133BDE">
        <w:t xml:space="preserve"> through </w:t>
      </w:r>
      <w:r w:rsidR="00DF1F6C">
        <w:t xml:space="preserve">a </w:t>
      </w:r>
      <w:r w:rsidR="00981FA4">
        <w:t xml:space="preserve">coordinated regional </w:t>
      </w:r>
      <w:r w:rsidR="00BD3E6B">
        <w:t>approach</w:t>
      </w:r>
      <w:r w:rsidR="0080686E" w:rsidRPr="0031292D">
        <w:t xml:space="preserve"> in managing plant health across</w:t>
      </w:r>
      <w:r w:rsidR="00582C81">
        <w:t xml:space="preserve"> numerous islands and</w:t>
      </w:r>
      <w:r w:rsidR="0080686E" w:rsidRPr="0031292D">
        <w:t xml:space="preserve"> vast distances.</w:t>
      </w:r>
    </w:p>
    <w:p w14:paraId="76416178" w14:textId="0E6F7609" w:rsidR="00AD3CDF" w:rsidRPr="0031292D" w:rsidRDefault="00582C81" w:rsidP="001C0C43">
      <w:pPr>
        <w:pStyle w:val="IPPParagraphnumberingclose"/>
      </w:pPr>
      <w:r>
        <w:t>PPPO members</w:t>
      </w:r>
      <w:r w:rsidR="00873530">
        <w:t xml:space="preserve"> </w:t>
      </w:r>
      <w:r w:rsidR="0080686E" w:rsidRPr="0031292D">
        <w:t>face a distinct set of constraints and vulnerabilities</w:t>
      </w:r>
      <w:r w:rsidR="00087629">
        <w:t>,</w:t>
      </w:r>
      <w:r w:rsidR="0080686E" w:rsidRPr="0031292D">
        <w:t xml:space="preserve"> </w:t>
      </w:r>
      <w:r w:rsidR="001B3508" w:rsidRPr="0031292D">
        <w:t xml:space="preserve">compared to </w:t>
      </w:r>
      <w:r w:rsidR="00762D14" w:rsidRPr="0031292D">
        <w:t xml:space="preserve">many </w:t>
      </w:r>
      <w:r w:rsidR="001B3508" w:rsidRPr="0031292D">
        <w:t>continental countries</w:t>
      </w:r>
      <w:r w:rsidR="00087629">
        <w:t>,</w:t>
      </w:r>
      <w:r w:rsidR="001B3508" w:rsidRPr="0031292D">
        <w:t xml:space="preserve"> </w:t>
      </w:r>
      <w:r w:rsidR="0080686E" w:rsidRPr="0031292D">
        <w:t xml:space="preserve">that </w:t>
      </w:r>
      <w:r w:rsidR="00CD09A7" w:rsidRPr="0031292D">
        <w:t>affect</w:t>
      </w:r>
      <w:r w:rsidR="0080686E" w:rsidRPr="0031292D">
        <w:t xml:space="preserve"> the implementation and effectiveness of ISPMs</w:t>
      </w:r>
      <w:r w:rsidR="001B3508" w:rsidRPr="0031292D">
        <w:t>. These include:</w:t>
      </w:r>
    </w:p>
    <w:p w14:paraId="0AC45F7D" w14:textId="2CED073C" w:rsidR="00B303D1" w:rsidRPr="0031292D" w:rsidRDefault="0080686E" w:rsidP="001C0C43">
      <w:pPr>
        <w:pStyle w:val="IPPBullet1"/>
      </w:pPr>
      <w:r w:rsidRPr="0031292D">
        <w:t xml:space="preserve">Limited </w:t>
      </w:r>
      <w:r w:rsidR="009F631F" w:rsidRPr="0031292D">
        <w:t>t</w:t>
      </w:r>
      <w:r w:rsidRPr="0031292D">
        <w:t xml:space="preserve">echnical and </w:t>
      </w:r>
      <w:r w:rsidR="009F631F" w:rsidRPr="0031292D">
        <w:t>h</w:t>
      </w:r>
      <w:r w:rsidRPr="0031292D">
        <w:t xml:space="preserve">uman </w:t>
      </w:r>
      <w:r w:rsidR="00582C81">
        <w:t>re</w:t>
      </w:r>
      <w:r w:rsidR="00AE4B49">
        <w:t>s</w:t>
      </w:r>
      <w:r w:rsidR="00582C81">
        <w:t>ources</w:t>
      </w:r>
    </w:p>
    <w:p w14:paraId="168CB381" w14:textId="77777777" w:rsidR="002303BF" w:rsidRDefault="00B303D1" w:rsidP="001C0C43">
      <w:pPr>
        <w:pStyle w:val="IPPBullet1"/>
      </w:pPr>
      <w:r w:rsidRPr="0031292D">
        <w:t>Language diversity and accessibility</w:t>
      </w:r>
      <w:r w:rsidR="002303BF" w:rsidRPr="002303BF">
        <w:t xml:space="preserve"> </w:t>
      </w:r>
    </w:p>
    <w:p w14:paraId="44B3DA4B" w14:textId="17E3BB14" w:rsidR="002303BF" w:rsidRPr="0031292D" w:rsidRDefault="002303BF" w:rsidP="001C0C43">
      <w:pPr>
        <w:pStyle w:val="IPPBullet1"/>
      </w:pPr>
      <w:r w:rsidRPr="0031292D">
        <w:t>Trade and border management complexity</w:t>
      </w:r>
    </w:p>
    <w:p w14:paraId="4FCD9AE1" w14:textId="6A1BF8B5" w:rsidR="00B303D1" w:rsidRPr="0031292D" w:rsidRDefault="00B303D1" w:rsidP="001C0C43">
      <w:pPr>
        <w:pStyle w:val="IPPBullet1"/>
      </w:pPr>
      <w:r w:rsidRPr="0031292D">
        <w:t>Geographic isolation and</w:t>
      </w:r>
      <w:r w:rsidR="00431930">
        <w:t xml:space="preserve"> small</w:t>
      </w:r>
      <w:r w:rsidRPr="0031292D">
        <w:t xml:space="preserve"> scale</w:t>
      </w:r>
    </w:p>
    <w:p w14:paraId="44811154" w14:textId="53DF1E6A" w:rsidR="0080686E" w:rsidRPr="0031292D" w:rsidRDefault="0080686E" w:rsidP="001C0C43">
      <w:pPr>
        <w:pStyle w:val="IPPBullet1"/>
      </w:pPr>
      <w:r w:rsidRPr="0031292D">
        <w:t xml:space="preserve">High </w:t>
      </w:r>
      <w:r w:rsidR="009F631F" w:rsidRPr="0031292D">
        <w:t>b</w:t>
      </w:r>
      <w:r w:rsidRPr="0031292D">
        <w:t xml:space="preserve">iodiversity and </w:t>
      </w:r>
      <w:r w:rsidR="009F631F" w:rsidRPr="0031292D">
        <w:t>f</w:t>
      </w:r>
      <w:r w:rsidRPr="0031292D">
        <w:t xml:space="preserve">ragile </w:t>
      </w:r>
      <w:r w:rsidR="009F631F" w:rsidRPr="0031292D">
        <w:t>e</w:t>
      </w:r>
      <w:r w:rsidRPr="0031292D">
        <w:t>cosystems</w:t>
      </w:r>
    </w:p>
    <w:p w14:paraId="7FC8C475" w14:textId="2457D8C6" w:rsidR="0080686E" w:rsidRPr="0031292D" w:rsidRDefault="0080686E" w:rsidP="001C0C43">
      <w:pPr>
        <w:pStyle w:val="IPPBullet1Last"/>
      </w:pPr>
      <w:r w:rsidRPr="0031292D">
        <w:t xml:space="preserve">Climate </w:t>
      </w:r>
      <w:r w:rsidR="009F631F" w:rsidRPr="0031292D">
        <w:t>v</w:t>
      </w:r>
      <w:r w:rsidRPr="0031292D">
        <w:t>ulnerability</w:t>
      </w:r>
    </w:p>
    <w:p w14:paraId="5DD43FFF" w14:textId="1F229012" w:rsidR="00E67D98" w:rsidRDefault="00E67D98" w:rsidP="001C0C43">
      <w:pPr>
        <w:pStyle w:val="IPPParagraphnumbering"/>
      </w:pPr>
      <w:r w:rsidRPr="0031292D">
        <w:t xml:space="preserve">The </w:t>
      </w:r>
      <w:r w:rsidR="00D87F35">
        <w:t>PPPO</w:t>
      </w:r>
      <w:r w:rsidRPr="0031292D">
        <w:t xml:space="preserve"> is deeply committed to the goals of the International Plant Protection Convention. However, to fully realise these goals, it is essential that ISPMs are written in a way that is readable, translatable</w:t>
      </w:r>
      <w:r w:rsidR="00582C81">
        <w:t xml:space="preserve"> with</w:t>
      </w:r>
      <w:r w:rsidRPr="0031292D">
        <w:t xml:space="preserve"> </w:t>
      </w:r>
      <w:r w:rsidR="00596F18" w:rsidRPr="0031292D">
        <w:t xml:space="preserve">requirements </w:t>
      </w:r>
      <w:r w:rsidR="00582C81">
        <w:t xml:space="preserve">that </w:t>
      </w:r>
      <w:r w:rsidR="00596F18" w:rsidRPr="0031292D">
        <w:t xml:space="preserve">are </w:t>
      </w:r>
      <w:r w:rsidR="00B303D1" w:rsidRPr="0031292D">
        <w:t xml:space="preserve">clear </w:t>
      </w:r>
      <w:r w:rsidRPr="0031292D">
        <w:t xml:space="preserve">and </w:t>
      </w:r>
      <w:r w:rsidR="00596F18" w:rsidRPr="0031292D">
        <w:t xml:space="preserve">can be </w:t>
      </w:r>
      <w:r w:rsidRPr="0031292D">
        <w:t>practically implement</w:t>
      </w:r>
      <w:r w:rsidR="00596F18" w:rsidRPr="0031292D">
        <w:t>ed</w:t>
      </w:r>
      <w:r w:rsidRPr="0031292D">
        <w:t>. Th</w:t>
      </w:r>
      <w:r w:rsidR="00BB7FAC">
        <w:t xml:space="preserve">e </w:t>
      </w:r>
      <w:r w:rsidR="00AE4B49">
        <w:t xml:space="preserve">Southwest </w:t>
      </w:r>
      <w:r w:rsidR="00BB7FAC">
        <w:t>Pacific</w:t>
      </w:r>
      <w:r w:rsidR="003E7861">
        <w:t>’s</w:t>
      </w:r>
      <w:r w:rsidRPr="0031292D">
        <w:t xml:space="preserve"> regional context highlights the urgent need to </w:t>
      </w:r>
      <w:r w:rsidR="00B303D1" w:rsidRPr="0031292D">
        <w:t>“</w:t>
      </w:r>
      <w:r w:rsidRPr="0031292D">
        <w:t>rethink ISPMs</w:t>
      </w:r>
      <w:r w:rsidR="00B303D1" w:rsidRPr="0031292D">
        <w:t>”</w:t>
      </w:r>
      <w:r w:rsidRPr="0031292D">
        <w:t xml:space="preserve"> so they are inclusive, accessible, and responsive to the realities faced by </w:t>
      </w:r>
      <w:r w:rsidR="00074027">
        <w:t xml:space="preserve">NPPOs of </w:t>
      </w:r>
      <w:r w:rsidRPr="0031292D">
        <w:t xml:space="preserve">small island </w:t>
      </w:r>
      <w:r w:rsidR="0077129D" w:rsidRPr="0031292D">
        <w:t>countries</w:t>
      </w:r>
      <w:r w:rsidRPr="0031292D">
        <w:t>.</w:t>
      </w:r>
    </w:p>
    <w:p w14:paraId="5C88B5CA" w14:textId="77777777" w:rsidR="00F038F0" w:rsidRPr="0031292D" w:rsidRDefault="00F038F0" w:rsidP="00DD57DE">
      <w:pPr>
        <w:tabs>
          <w:tab w:val="num" w:pos="720"/>
        </w:tabs>
      </w:pPr>
    </w:p>
    <w:p w14:paraId="700F8E92" w14:textId="77777777" w:rsidR="001836FC" w:rsidRPr="00822079" w:rsidRDefault="001836FC" w:rsidP="006A4D14">
      <w:pPr>
        <w:pStyle w:val="IPPNumberedListLast"/>
      </w:pPr>
      <w:r w:rsidRPr="00822079">
        <w:rPr>
          <w:b/>
          <w:bCs/>
        </w:rPr>
        <w:lastRenderedPageBreak/>
        <w:t xml:space="preserve">Gaps in the paper: </w:t>
      </w:r>
      <w:r w:rsidRPr="006A4D14">
        <w:rPr>
          <w:i/>
          <w:iCs/>
        </w:rPr>
        <w:t>Are there any additional issues or concerns not addressed in CPM 2025/47 that should be considered?</w:t>
      </w:r>
    </w:p>
    <w:p w14:paraId="6E7B20C1" w14:textId="0A30920F" w:rsidR="00F744C8" w:rsidRDefault="002324D7" w:rsidP="006A4D14">
      <w:pPr>
        <w:pStyle w:val="IPPParagraphnumbering"/>
      </w:pPr>
      <w:r w:rsidRPr="0031292D">
        <w:t>The</w:t>
      </w:r>
      <w:r w:rsidR="00F744C8" w:rsidRPr="0031292D">
        <w:t xml:space="preserve"> CPM 2025/47 </w:t>
      </w:r>
      <w:r w:rsidR="00F17340" w:rsidRPr="0031292D">
        <w:t xml:space="preserve">paper </w:t>
      </w:r>
      <w:r w:rsidR="00F744C8" w:rsidRPr="0031292D">
        <w:t xml:space="preserve">provides </w:t>
      </w:r>
      <w:r w:rsidRPr="0031292D">
        <w:t>a comprehensive analysis of the core issues with the ISPMs. However</w:t>
      </w:r>
      <w:r w:rsidR="00F744C8" w:rsidRPr="0031292D">
        <w:t xml:space="preserve">, feedback from the PPPO subregions </w:t>
      </w:r>
      <w:r w:rsidR="00074027">
        <w:t xml:space="preserve">during the regional workshops in both 2024 and 2025 </w:t>
      </w:r>
      <w:r w:rsidR="00F744C8" w:rsidRPr="0031292D">
        <w:t xml:space="preserve">suggests </w:t>
      </w:r>
      <w:r w:rsidRPr="0031292D">
        <w:t>there are other issues with the ISPMs that</w:t>
      </w:r>
      <w:r w:rsidR="00F744C8" w:rsidRPr="0031292D">
        <w:t xml:space="preserve"> warrant attention</w:t>
      </w:r>
      <w:r w:rsidR="001B2781" w:rsidRPr="0031292D">
        <w:t xml:space="preserve">. </w:t>
      </w:r>
    </w:p>
    <w:p w14:paraId="52EC0042" w14:textId="39288123" w:rsidR="004557CD" w:rsidRPr="00B91B23" w:rsidRDefault="00F744C8" w:rsidP="00960DA3">
      <w:pPr>
        <w:pStyle w:val="ListParagraph"/>
        <w:numPr>
          <w:ilvl w:val="0"/>
          <w:numId w:val="2"/>
        </w:numPr>
        <w:tabs>
          <w:tab w:val="num" w:pos="720"/>
        </w:tabs>
        <w:ind w:left="1240"/>
        <w:rPr>
          <w:rFonts w:ascii="Times New Roman" w:hAnsi="Times New Roman"/>
          <w:b/>
          <w:bCs/>
          <w:i/>
          <w:iCs/>
        </w:rPr>
      </w:pPr>
      <w:r w:rsidRPr="00B91B23">
        <w:rPr>
          <w:rFonts w:ascii="Times New Roman" w:hAnsi="Times New Roman"/>
          <w:b/>
          <w:bCs/>
          <w:i/>
          <w:iCs/>
        </w:rPr>
        <w:t>Lack of r</w:t>
      </w:r>
      <w:r w:rsidR="004557CD" w:rsidRPr="00B91B23">
        <w:rPr>
          <w:rFonts w:ascii="Times New Roman" w:hAnsi="Times New Roman"/>
          <w:b/>
          <w:bCs/>
          <w:i/>
          <w:iCs/>
        </w:rPr>
        <w:t>egional</w:t>
      </w:r>
      <w:r w:rsidRPr="00B91B23">
        <w:rPr>
          <w:rFonts w:ascii="Times New Roman" w:hAnsi="Times New Roman"/>
          <w:b/>
          <w:bCs/>
          <w:i/>
          <w:iCs/>
        </w:rPr>
        <w:t xml:space="preserve"> adaptability</w:t>
      </w:r>
    </w:p>
    <w:p w14:paraId="58DFFAE0" w14:textId="1DAFE86F" w:rsidR="001F72A8" w:rsidRPr="001F72A8" w:rsidRDefault="005307A5" w:rsidP="006A4D14">
      <w:pPr>
        <w:pStyle w:val="IPPParagraphnumbering"/>
      </w:pPr>
      <w:r w:rsidRPr="001F72A8">
        <w:t>ISPMs are designed to be globally harmonized,</w:t>
      </w:r>
      <w:r w:rsidR="00AB79FC" w:rsidRPr="00AB79FC">
        <w:t xml:space="preserve"> </w:t>
      </w:r>
      <w:r w:rsidR="00AB79FC" w:rsidRPr="001F72A8">
        <w:t xml:space="preserve">aiming to provide a consistent framework for managing plant health risks across all countries. </w:t>
      </w:r>
      <w:r w:rsidR="004D0FDF" w:rsidRPr="001F72A8">
        <w:t>However,</w:t>
      </w:r>
      <w:r w:rsidRPr="001F72A8">
        <w:t xml:space="preserve"> in practice, they often reflect assumptions about infrastructure, capacity, and trade volume that are more applicable to well-resourced or high-volume trading </w:t>
      </w:r>
      <w:r w:rsidR="00501F46" w:rsidRPr="001F72A8">
        <w:t>countries</w:t>
      </w:r>
      <w:r w:rsidRPr="001F72A8">
        <w:t xml:space="preserve">. This creates a disconnect for </w:t>
      </w:r>
      <w:r w:rsidR="00F17340" w:rsidRPr="001F72A8">
        <w:t xml:space="preserve">Pacific </w:t>
      </w:r>
      <w:r w:rsidR="00A87DAB" w:rsidRPr="001F72A8">
        <w:t>NPPOs</w:t>
      </w:r>
      <w:r w:rsidRPr="001F72A8">
        <w:t>, where the realities of plant health systems differ significantly</w:t>
      </w:r>
      <w:r w:rsidR="00C35B0E" w:rsidRPr="001F72A8">
        <w:t xml:space="preserve"> from </w:t>
      </w:r>
      <w:r w:rsidR="00F21D93" w:rsidRPr="001F72A8">
        <w:t xml:space="preserve">more populated developing or </w:t>
      </w:r>
      <w:r w:rsidR="00C35B0E" w:rsidRPr="001F72A8">
        <w:t>larger developed countries</w:t>
      </w:r>
      <w:r w:rsidRPr="001F72A8">
        <w:t xml:space="preserve">. </w:t>
      </w:r>
      <w:r w:rsidR="003A2486" w:rsidRPr="001F72A8">
        <w:t xml:space="preserve">Many Pacific NPPOs lack the human, financial, and technical resources to implement ISPMs as written. </w:t>
      </w:r>
      <w:r w:rsidR="00F2658C" w:rsidRPr="001F72A8">
        <w:t>This not only presents practical challenges but also undermines the core intent of ISPMs</w:t>
      </w:r>
      <w:r w:rsidR="001F72A8">
        <w:t xml:space="preserve"> </w:t>
      </w:r>
      <w:r w:rsidR="00F2658C" w:rsidRPr="001F72A8">
        <w:t xml:space="preserve">to provide a level playing field irrespective of a country's size or economic status. </w:t>
      </w:r>
      <w:r w:rsidRPr="001F72A8">
        <w:t xml:space="preserve">These challenges are </w:t>
      </w:r>
      <w:r w:rsidR="00C6434C" w:rsidRPr="001F72A8">
        <w:t xml:space="preserve">not </w:t>
      </w:r>
      <w:r w:rsidRPr="001F72A8">
        <w:t>likely to be unique to Pacific</w:t>
      </w:r>
      <w:r w:rsidR="001F72A8">
        <w:t xml:space="preserve"> countries</w:t>
      </w:r>
      <w:r w:rsidRPr="001F72A8">
        <w:t>.</w:t>
      </w:r>
    </w:p>
    <w:p w14:paraId="3C1CCF55" w14:textId="2533DB27" w:rsidR="003A2486" w:rsidRPr="001F72A8" w:rsidRDefault="002608C0" w:rsidP="001F72A8">
      <w:pPr>
        <w:pStyle w:val="ListParagraph"/>
        <w:numPr>
          <w:ilvl w:val="0"/>
          <w:numId w:val="2"/>
        </w:numPr>
        <w:tabs>
          <w:tab w:val="num" w:pos="720"/>
        </w:tabs>
        <w:ind w:left="1240"/>
        <w:rPr>
          <w:rFonts w:ascii="Times New Roman" w:hAnsi="Times New Roman"/>
          <w:b/>
          <w:bCs/>
          <w:i/>
          <w:iCs/>
        </w:rPr>
      </w:pPr>
      <w:r w:rsidRPr="001F72A8">
        <w:rPr>
          <w:rFonts w:ascii="Times New Roman" w:hAnsi="Times New Roman"/>
          <w:b/>
          <w:bCs/>
          <w:i/>
          <w:iCs/>
        </w:rPr>
        <w:t xml:space="preserve">Overly prescriptive </w:t>
      </w:r>
      <w:r w:rsidR="00812260" w:rsidRPr="001F72A8">
        <w:rPr>
          <w:rFonts w:ascii="Times New Roman" w:hAnsi="Times New Roman"/>
          <w:b/>
          <w:bCs/>
          <w:i/>
          <w:iCs/>
        </w:rPr>
        <w:t>ISPMs that are inflexible</w:t>
      </w:r>
      <w:r w:rsidR="003A2486" w:rsidRPr="001F72A8">
        <w:rPr>
          <w:rFonts w:ascii="Times New Roman" w:hAnsi="Times New Roman"/>
          <w:b/>
          <w:bCs/>
          <w:i/>
          <w:iCs/>
        </w:rPr>
        <w:t xml:space="preserve"> </w:t>
      </w:r>
    </w:p>
    <w:p w14:paraId="7229E8F1" w14:textId="0BFDC66D" w:rsidR="00081638" w:rsidRPr="0031292D" w:rsidRDefault="00CC2E92" w:rsidP="006A4D14">
      <w:pPr>
        <w:pStyle w:val="IPPParagraphnumbering"/>
      </w:pPr>
      <w:r w:rsidRPr="0031292D">
        <w:t>Many of the</w:t>
      </w:r>
      <w:r w:rsidR="005307A5" w:rsidRPr="0031292D">
        <w:t xml:space="preserve"> current ISPMs </w:t>
      </w:r>
      <w:r w:rsidR="00E85D57">
        <w:t>are</w:t>
      </w:r>
      <w:r w:rsidR="005307A5" w:rsidRPr="0031292D">
        <w:t xml:space="preserve"> overly prescriptive</w:t>
      </w:r>
      <w:r w:rsidR="00074027">
        <w:t>,</w:t>
      </w:r>
      <w:r w:rsidR="005307A5" w:rsidRPr="0031292D">
        <w:t xml:space="preserve"> </w:t>
      </w:r>
      <w:r w:rsidR="009E5E4F" w:rsidRPr="0031292D">
        <w:t>inflexible and</w:t>
      </w:r>
      <w:r w:rsidR="009E5E4F">
        <w:t xml:space="preserve"> are impractical </w:t>
      </w:r>
      <w:r w:rsidR="00E85D57">
        <w:t xml:space="preserve">to implement </w:t>
      </w:r>
      <w:r w:rsidR="009E5E4F">
        <w:t xml:space="preserve">in resource-constrained settings. </w:t>
      </w:r>
      <w:r w:rsidR="00E85D57">
        <w:t>These</w:t>
      </w:r>
      <w:r w:rsidR="00837F86">
        <w:t xml:space="preserve"> ISPMs</w:t>
      </w:r>
      <w:r w:rsidR="009E5E4F">
        <w:t xml:space="preserve"> leave little</w:t>
      </w:r>
      <w:r w:rsidR="005307A5" w:rsidRPr="0031292D">
        <w:t xml:space="preserve"> room for adaptation </w:t>
      </w:r>
      <w:r w:rsidR="00164D6A">
        <w:t>in</w:t>
      </w:r>
      <w:r w:rsidR="005307A5" w:rsidRPr="0031292D">
        <w:t xml:space="preserve"> local contexts. </w:t>
      </w:r>
    </w:p>
    <w:p w14:paraId="6F79FDE2" w14:textId="0A7F6056" w:rsidR="00CC2E92" w:rsidRPr="0031292D" w:rsidRDefault="005307A5" w:rsidP="006A4D14">
      <w:pPr>
        <w:pStyle w:val="IPPParagraphnumbering"/>
      </w:pPr>
      <w:r w:rsidRPr="001514D8">
        <w:rPr>
          <w:i/>
          <w:iCs/>
        </w:rPr>
        <w:t>For example</w:t>
      </w:r>
      <w:r w:rsidRPr="0031292D">
        <w:t>, ISPM 11 (</w:t>
      </w:r>
      <w:r w:rsidRPr="0031292D">
        <w:rPr>
          <w:i/>
          <w:iCs/>
        </w:rPr>
        <w:t>Pest risk analysis for quarantine pests</w:t>
      </w:r>
      <w:r w:rsidRPr="0031292D">
        <w:t xml:space="preserve">) </w:t>
      </w:r>
      <w:r w:rsidR="00581B78" w:rsidRPr="0031292D">
        <w:t>is</w:t>
      </w:r>
      <w:r w:rsidRPr="0031292D">
        <w:t xml:space="preserve"> technically sound but practically unachievable in settings with limited personnel</w:t>
      </w:r>
      <w:r w:rsidR="00581B78" w:rsidRPr="0031292D">
        <w:t xml:space="preserve"> and</w:t>
      </w:r>
      <w:r w:rsidRPr="0031292D">
        <w:t xml:space="preserve"> constrained budgets. </w:t>
      </w:r>
      <w:r w:rsidR="00081638" w:rsidRPr="0031292D">
        <w:t xml:space="preserve"> Even for larger countries in the Pacific that do have the resource to conduct </w:t>
      </w:r>
      <w:r w:rsidR="008A09BB">
        <w:t xml:space="preserve">comprehensive </w:t>
      </w:r>
      <w:r w:rsidR="00081638" w:rsidRPr="0031292D">
        <w:t>pest risk analysis</w:t>
      </w:r>
      <w:r w:rsidR="00931E90" w:rsidRPr="0031292D">
        <w:t xml:space="preserve">, the process is lengthy and </w:t>
      </w:r>
      <w:r w:rsidR="008C7AEC">
        <w:t>can</w:t>
      </w:r>
      <w:r w:rsidR="00931E90" w:rsidRPr="0031292D">
        <w:t xml:space="preserve"> restrict market access rather than enabling safe trade.</w:t>
      </w:r>
    </w:p>
    <w:p w14:paraId="144824AA" w14:textId="5DED7978" w:rsidR="00156EB2" w:rsidRPr="00837F86" w:rsidRDefault="00005C35" w:rsidP="00960DA3">
      <w:pPr>
        <w:pStyle w:val="ListParagraph"/>
        <w:numPr>
          <w:ilvl w:val="0"/>
          <w:numId w:val="2"/>
        </w:numPr>
        <w:ind w:left="1240"/>
        <w:rPr>
          <w:rFonts w:ascii="Times New Roman" w:hAnsi="Times New Roman"/>
          <w:b/>
          <w:bCs/>
          <w:i/>
          <w:iCs/>
        </w:rPr>
      </w:pPr>
      <w:r>
        <w:rPr>
          <w:rFonts w:ascii="Times New Roman" w:hAnsi="Times New Roman"/>
          <w:b/>
          <w:bCs/>
          <w:i/>
          <w:iCs/>
        </w:rPr>
        <w:t>ISPMs d</w:t>
      </w:r>
      <w:r w:rsidR="00156EB2" w:rsidRPr="00837F86">
        <w:rPr>
          <w:rFonts w:ascii="Times New Roman" w:hAnsi="Times New Roman"/>
          <w:b/>
          <w:bCs/>
          <w:i/>
          <w:iCs/>
        </w:rPr>
        <w:t>o not target all users/</w:t>
      </w:r>
      <w:r w:rsidR="001B2781" w:rsidRPr="00837F86">
        <w:rPr>
          <w:rFonts w:ascii="Times New Roman" w:hAnsi="Times New Roman"/>
          <w:b/>
          <w:bCs/>
          <w:i/>
          <w:iCs/>
        </w:rPr>
        <w:t xml:space="preserve">relevant </w:t>
      </w:r>
      <w:r w:rsidR="00156EB2" w:rsidRPr="00837F86">
        <w:rPr>
          <w:rFonts w:ascii="Times New Roman" w:hAnsi="Times New Roman"/>
          <w:b/>
          <w:bCs/>
          <w:i/>
          <w:iCs/>
        </w:rPr>
        <w:t>audiences</w:t>
      </w:r>
    </w:p>
    <w:p w14:paraId="69F5C14A" w14:textId="601188D1" w:rsidR="004D7541" w:rsidRPr="0031292D" w:rsidRDefault="00EF059F" w:rsidP="006A4D14">
      <w:pPr>
        <w:pStyle w:val="IPPParagraphnumbering"/>
      </w:pPr>
      <w:r w:rsidRPr="0031292D">
        <w:t xml:space="preserve">ISPMs are primarily </w:t>
      </w:r>
      <w:r w:rsidR="007035E7">
        <w:t>written for</w:t>
      </w:r>
      <w:r w:rsidR="00D44ABD" w:rsidRPr="0031292D">
        <w:t xml:space="preserve"> </w:t>
      </w:r>
      <w:r w:rsidRPr="0031292D">
        <w:t>NPPOs</w:t>
      </w:r>
      <w:r w:rsidR="00D44ABD" w:rsidRPr="0031292D">
        <w:t>. However,</w:t>
      </w:r>
      <w:r w:rsidRPr="0031292D">
        <w:t xml:space="preserve"> in practice</w:t>
      </w:r>
      <w:r w:rsidR="00D44ABD" w:rsidRPr="0031292D">
        <w:t xml:space="preserve"> in the Pacific</w:t>
      </w:r>
      <w:r w:rsidRPr="0031292D">
        <w:t xml:space="preserve">, the application </w:t>
      </w:r>
      <w:r w:rsidR="00D44ABD" w:rsidRPr="0031292D">
        <w:t>of ISPM</w:t>
      </w:r>
      <w:r w:rsidR="0043241E" w:rsidRPr="0031292D">
        <w:t xml:space="preserve">s </w:t>
      </w:r>
      <w:r w:rsidRPr="0031292D">
        <w:t>often involves a broader range of stakeholders</w:t>
      </w:r>
      <w:r w:rsidR="00D44ABD" w:rsidRPr="0031292D">
        <w:t>. T</w:t>
      </w:r>
      <w:r w:rsidRPr="0031292D">
        <w:t xml:space="preserve">he current structure and language of ISPMs </w:t>
      </w:r>
      <w:r w:rsidR="0043241E" w:rsidRPr="0031292D">
        <w:t>is</w:t>
      </w:r>
      <w:r w:rsidRPr="0031292D">
        <w:t xml:space="preserve"> highly technical and assume</w:t>
      </w:r>
      <w:r w:rsidR="004D7541" w:rsidRPr="0031292D">
        <w:t>s</w:t>
      </w:r>
      <w:r w:rsidRPr="0031292D">
        <w:t xml:space="preserve"> a level of regulatory </w:t>
      </w:r>
      <w:r w:rsidR="00B857E7" w:rsidRPr="0031292D">
        <w:t>or</w:t>
      </w:r>
      <w:r w:rsidRPr="0031292D">
        <w:t xml:space="preserve"> scientific expertise that many of these secondary</w:t>
      </w:r>
      <w:r w:rsidR="00A5627D">
        <w:t xml:space="preserve"> (non-NPPO)</w:t>
      </w:r>
      <w:r w:rsidRPr="0031292D">
        <w:t xml:space="preserve"> users may not possess.</w:t>
      </w:r>
      <w:r w:rsidR="004D7541" w:rsidRPr="0031292D">
        <w:t xml:space="preserve"> </w:t>
      </w:r>
      <w:r w:rsidRPr="0031292D">
        <w:t xml:space="preserve">This creates a significant communication and implementation gap. </w:t>
      </w:r>
    </w:p>
    <w:p w14:paraId="6314C282" w14:textId="33717D18" w:rsidR="00EF059F" w:rsidRDefault="00EF059F" w:rsidP="006A4D14">
      <w:pPr>
        <w:pStyle w:val="IPPParagraphnumbering"/>
      </w:pPr>
      <w:r w:rsidRPr="008C7AEC">
        <w:rPr>
          <w:i/>
          <w:iCs/>
        </w:rPr>
        <w:t>For example</w:t>
      </w:r>
      <w:r w:rsidRPr="0031292D">
        <w:t>, industry stakeholders</w:t>
      </w:r>
      <w:r w:rsidR="004D7541" w:rsidRPr="0031292D">
        <w:t xml:space="preserve">, </w:t>
      </w:r>
      <w:r w:rsidRPr="0031292D">
        <w:t xml:space="preserve">who </w:t>
      </w:r>
      <w:r w:rsidR="007E2A7D">
        <w:t>may not have</w:t>
      </w:r>
      <w:r w:rsidR="002D0FB2">
        <w:t xml:space="preserve"> the </w:t>
      </w:r>
      <w:r w:rsidR="003C2EF5">
        <w:t xml:space="preserve">same technical </w:t>
      </w:r>
      <w:r w:rsidR="0059461C">
        <w:t xml:space="preserve">capacity as NPPO officers </w:t>
      </w:r>
      <w:r w:rsidR="007E2A7D">
        <w:t>bu</w:t>
      </w:r>
      <w:r w:rsidR="003C2DEC">
        <w:t xml:space="preserve">t </w:t>
      </w:r>
      <w:r w:rsidRPr="0031292D">
        <w:t xml:space="preserve">play a critical role in </w:t>
      </w:r>
      <w:r w:rsidR="00223BD4" w:rsidRPr="0031292D">
        <w:t xml:space="preserve">biosecurity </w:t>
      </w:r>
      <w:r w:rsidRPr="0031292D">
        <w:t>compliance</w:t>
      </w:r>
      <w:r w:rsidR="000C438A">
        <w:t xml:space="preserve"> in the Pacific</w:t>
      </w:r>
      <w:r w:rsidR="004D7541" w:rsidRPr="0031292D">
        <w:t xml:space="preserve">, </w:t>
      </w:r>
      <w:r w:rsidRPr="0031292D">
        <w:t xml:space="preserve">often lack access to </w:t>
      </w:r>
      <w:r w:rsidR="002C65AA">
        <w:t xml:space="preserve">appropriate </w:t>
      </w:r>
      <w:r w:rsidRPr="0031292D">
        <w:t xml:space="preserve">guidance </w:t>
      </w:r>
      <w:r w:rsidR="004D7541" w:rsidRPr="0031292D">
        <w:t xml:space="preserve">information and are reliant on resource-deficient NPPOs to provide this </w:t>
      </w:r>
      <w:r w:rsidR="002C65AA">
        <w:t>support</w:t>
      </w:r>
      <w:r w:rsidRPr="0031292D">
        <w:t>.</w:t>
      </w:r>
      <w:r w:rsidR="00223BD4" w:rsidRPr="0031292D">
        <w:t xml:space="preserve"> Similarly, border staff responsible for inspecting cargo or enforcing phytosanitary measures may not have the background to interpret </w:t>
      </w:r>
      <w:r w:rsidR="002C65AA">
        <w:t xml:space="preserve">multiple </w:t>
      </w:r>
      <w:r w:rsidR="00223BD4" w:rsidRPr="0031292D">
        <w:t xml:space="preserve">complex provisions </w:t>
      </w:r>
      <w:r w:rsidR="002C65AA">
        <w:t xml:space="preserve">across ISPMs </w:t>
      </w:r>
      <w:r w:rsidR="00223BD4" w:rsidRPr="0031292D">
        <w:t>or understand the rationale behind specific requirements.</w:t>
      </w:r>
    </w:p>
    <w:p w14:paraId="2DC806D6" w14:textId="0CB7A946" w:rsidR="00046E2B" w:rsidRPr="00930CA3" w:rsidRDefault="00046E2B" w:rsidP="006A4D14">
      <w:pPr>
        <w:pStyle w:val="IPPParagraphnumbering"/>
      </w:pPr>
      <w:r w:rsidRPr="00046E2B">
        <w:lastRenderedPageBreak/>
        <w:t xml:space="preserve">Comprehension of ISPMs is often influenced more by language accessibility than by the reader’s level of education. Since ISPMs are </w:t>
      </w:r>
      <w:r w:rsidR="002C65AA">
        <w:t xml:space="preserve">developed in English and </w:t>
      </w:r>
      <w:r w:rsidRPr="00046E2B">
        <w:t xml:space="preserve">published only in the official languages of the FAO, their uptake can be limited in local contexts where these languages are not commonly spoken. </w:t>
      </w:r>
      <w:r w:rsidR="002F62A8">
        <w:t>Reducing the complexity of</w:t>
      </w:r>
      <w:r w:rsidRPr="00046E2B">
        <w:t xml:space="preserve"> the language used in ISPMs </w:t>
      </w:r>
      <w:r w:rsidR="002F62A8">
        <w:t>will</w:t>
      </w:r>
      <w:r w:rsidRPr="00046E2B">
        <w:t xml:space="preserve"> improve understanding and make it easier to translate them into</w:t>
      </w:r>
      <w:r w:rsidR="002C65AA">
        <w:t xml:space="preserve"> FAO as well as</w:t>
      </w:r>
      <w:r w:rsidRPr="00046E2B">
        <w:t xml:space="preserve"> local languages.</w:t>
      </w:r>
    </w:p>
    <w:p w14:paraId="6F51644D" w14:textId="6C3D9F0E" w:rsidR="00E513F1" w:rsidRPr="004D78FB" w:rsidRDefault="003A5EA1" w:rsidP="00960DA3">
      <w:pPr>
        <w:pStyle w:val="ListParagraph"/>
        <w:numPr>
          <w:ilvl w:val="0"/>
          <w:numId w:val="2"/>
        </w:numPr>
        <w:ind w:left="1240"/>
        <w:rPr>
          <w:rFonts w:ascii="Times New Roman" w:hAnsi="Times New Roman"/>
          <w:b/>
          <w:bCs/>
          <w:i/>
          <w:iCs/>
        </w:rPr>
      </w:pPr>
      <w:r w:rsidRPr="004D78FB">
        <w:rPr>
          <w:rFonts w:ascii="Times New Roman" w:hAnsi="Times New Roman"/>
          <w:b/>
          <w:bCs/>
          <w:i/>
          <w:iCs/>
        </w:rPr>
        <w:t>Lack of c</w:t>
      </w:r>
      <w:r w:rsidR="00E513F1" w:rsidRPr="004D78FB">
        <w:rPr>
          <w:rFonts w:ascii="Times New Roman" w:hAnsi="Times New Roman"/>
          <w:b/>
          <w:bCs/>
          <w:i/>
          <w:iCs/>
        </w:rPr>
        <w:t xml:space="preserve">ross-sector </w:t>
      </w:r>
      <w:r w:rsidRPr="004D78FB">
        <w:rPr>
          <w:rFonts w:ascii="Times New Roman" w:hAnsi="Times New Roman"/>
          <w:b/>
          <w:bCs/>
          <w:i/>
          <w:iCs/>
        </w:rPr>
        <w:t>i</w:t>
      </w:r>
      <w:r w:rsidR="00E513F1" w:rsidRPr="004D78FB">
        <w:rPr>
          <w:rFonts w:ascii="Times New Roman" w:hAnsi="Times New Roman"/>
          <w:b/>
          <w:bCs/>
          <w:i/>
          <w:iCs/>
        </w:rPr>
        <w:t>ntegration</w:t>
      </w:r>
    </w:p>
    <w:p w14:paraId="2F15EE9D" w14:textId="17159049" w:rsidR="00E513F1" w:rsidRPr="0031292D" w:rsidRDefault="00E513F1" w:rsidP="006A4D14">
      <w:pPr>
        <w:pStyle w:val="IPPParagraphnumbering"/>
      </w:pPr>
      <w:r w:rsidRPr="0031292D">
        <w:t>ISPMs are siloed within plant health</w:t>
      </w:r>
      <w:r w:rsidR="002324D7" w:rsidRPr="0031292D">
        <w:t>.</w:t>
      </w:r>
      <w:r w:rsidRPr="0031292D">
        <w:t xml:space="preserve"> Pacific </w:t>
      </w:r>
      <w:r w:rsidR="002A2D62">
        <w:t>NPPOs</w:t>
      </w:r>
      <w:r w:rsidRPr="0031292D">
        <w:t xml:space="preserve"> adopt </w:t>
      </w:r>
      <w:r w:rsidR="002324D7" w:rsidRPr="0031292D">
        <w:t xml:space="preserve">a </w:t>
      </w:r>
      <w:r w:rsidR="00E163F1" w:rsidRPr="0031292D">
        <w:t>‘</w:t>
      </w:r>
      <w:r w:rsidRPr="0031292D">
        <w:rPr>
          <w:i/>
          <w:iCs/>
        </w:rPr>
        <w:t>One Health</w:t>
      </w:r>
      <w:r w:rsidR="00E163F1" w:rsidRPr="0031292D">
        <w:t>’</w:t>
      </w:r>
      <w:r w:rsidRPr="0031292D">
        <w:t> and whole-of-border </w:t>
      </w:r>
      <w:r w:rsidR="00F21D93">
        <w:t>biosecurity</w:t>
      </w:r>
      <w:r w:rsidR="008807E5">
        <w:t xml:space="preserve"> </w:t>
      </w:r>
      <w:r w:rsidRPr="0031292D">
        <w:t>approach.</w:t>
      </w:r>
      <w:r w:rsidR="003A2486" w:rsidRPr="0031292D">
        <w:t xml:space="preserve"> </w:t>
      </w:r>
      <w:r w:rsidRPr="0031292D">
        <w:t xml:space="preserve">Greater integration </w:t>
      </w:r>
      <w:r w:rsidR="00E163F1" w:rsidRPr="0031292D">
        <w:t xml:space="preserve">of ISPMs </w:t>
      </w:r>
      <w:r w:rsidRPr="0031292D">
        <w:t>with animal health, environmental protection, and trade facilitation frameworks</w:t>
      </w:r>
      <w:r w:rsidR="00AD0611">
        <w:t>, where relevant,</w:t>
      </w:r>
      <w:r w:rsidRPr="0031292D">
        <w:t xml:space="preserve"> is needed</w:t>
      </w:r>
      <w:r w:rsidR="003A2486" w:rsidRPr="0031292D">
        <w:t xml:space="preserve"> to meet the intentions of the SPS Agreement</w:t>
      </w:r>
      <w:r w:rsidR="00A5627D">
        <w:t xml:space="preserve"> and </w:t>
      </w:r>
      <w:r w:rsidR="004A17A1">
        <w:t xml:space="preserve">meet the operational </w:t>
      </w:r>
      <w:r w:rsidR="00A5627D">
        <w:t>needs of NPPOs</w:t>
      </w:r>
      <w:r w:rsidR="004557CD" w:rsidRPr="0031292D">
        <w:t>.</w:t>
      </w:r>
      <w:r w:rsidR="008D1BEA" w:rsidRPr="008D1BEA">
        <w:t xml:space="preserve"> Given that biosecurity officers at </w:t>
      </w:r>
      <w:r w:rsidR="00733E8B">
        <w:t>Pacific</w:t>
      </w:r>
      <w:r w:rsidR="008D1BEA" w:rsidRPr="008D1BEA">
        <w:t xml:space="preserve"> </w:t>
      </w:r>
      <w:r w:rsidR="0015696D">
        <w:t>ports of entr</w:t>
      </w:r>
      <w:r w:rsidR="001F72A8">
        <w:t>y</w:t>
      </w:r>
      <w:r w:rsidR="008D1BEA" w:rsidRPr="008D1BEA">
        <w:t xml:space="preserve"> are responsible not only for plant health but </w:t>
      </w:r>
      <w:r w:rsidR="006945D0">
        <w:t>for overseeing</w:t>
      </w:r>
      <w:r w:rsidR="00BA410A">
        <w:t xml:space="preserve"> </w:t>
      </w:r>
      <w:r w:rsidR="008D1BEA" w:rsidRPr="008D1BEA">
        <w:t xml:space="preserve">animal health and food safety, a harmonized approach to standards and interventions is </w:t>
      </w:r>
      <w:r w:rsidR="00D02E27">
        <w:t>essential for</w:t>
      </w:r>
      <w:r w:rsidR="008D1BEA" w:rsidRPr="008D1BEA">
        <w:t xml:space="preserve"> effective, efficient, and coordinated </w:t>
      </w:r>
      <w:r w:rsidR="000D3F3A">
        <w:t xml:space="preserve">border </w:t>
      </w:r>
      <w:r w:rsidR="008D1BEA" w:rsidRPr="008D1BEA">
        <w:t>biosecurity outcomes.</w:t>
      </w:r>
    </w:p>
    <w:p w14:paraId="3FC3C2A2" w14:textId="610A9ED8" w:rsidR="004437D1" w:rsidRPr="0031292D" w:rsidRDefault="002324D7" w:rsidP="006A4D14">
      <w:pPr>
        <w:pStyle w:val="IPPParagraphnumbering"/>
      </w:pPr>
      <w:r w:rsidRPr="00EF72D0">
        <w:rPr>
          <w:i/>
          <w:iCs/>
        </w:rPr>
        <w:t>For example</w:t>
      </w:r>
      <w:r w:rsidRPr="0031292D">
        <w:t xml:space="preserve">, there are opportunities for the IPPC to work with </w:t>
      </w:r>
      <w:r w:rsidR="00C3636D" w:rsidRPr="0031292D">
        <w:t>sister</w:t>
      </w:r>
      <w:r w:rsidRPr="0031292D">
        <w:t xml:space="preserve"> organisations </w:t>
      </w:r>
      <w:r w:rsidR="00986E26">
        <w:t xml:space="preserve">(WOAH, CODEX) </w:t>
      </w:r>
      <w:r w:rsidRPr="0031292D">
        <w:t xml:space="preserve">to develop </w:t>
      </w:r>
      <w:r w:rsidR="00544AF1" w:rsidRPr="0031292D">
        <w:t>j</w:t>
      </w:r>
      <w:r w:rsidRPr="0031292D">
        <w:t>oint standard</w:t>
      </w:r>
      <w:r w:rsidR="00544AF1" w:rsidRPr="0031292D">
        <w:t>s</w:t>
      </w:r>
      <w:r w:rsidRPr="0031292D">
        <w:t xml:space="preserve"> for the </w:t>
      </w:r>
      <w:r w:rsidR="006A1FCC" w:rsidRPr="0031292D">
        <w:rPr>
          <w:i/>
          <w:iCs/>
        </w:rPr>
        <w:t>S</w:t>
      </w:r>
      <w:r w:rsidRPr="0031292D">
        <w:rPr>
          <w:i/>
          <w:iCs/>
        </w:rPr>
        <w:t xml:space="preserve">afe provision of </w:t>
      </w:r>
      <w:r w:rsidR="00544AF1" w:rsidRPr="0031292D">
        <w:rPr>
          <w:i/>
          <w:iCs/>
        </w:rPr>
        <w:t>food and other humanitarian aid</w:t>
      </w:r>
      <w:r w:rsidR="00544AF1" w:rsidRPr="0031292D">
        <w:t xml:space="preserve"> and </w:t>
      </w:r>
      <w:r w:rsidR="00785C5F" w:rsidRPr="0031292D">
        <w:rPr>
          <w:i/>
          <w:iCs/>
        </w:rPr>
        <w:t>Minimizing pest movement by sea containers</w:t>
      </w:r>
      <w:r w:rsidR="00544AF1" w:rsidRPr="0031292D">
        <w:t xml:space="preserve">. </w:t>
      </w:r>
      <w:r w:rsidR="004437D1" w:rsidRPr="0031292D">
        <w:t>Both topics have implications not only for plant health but also for animal and human health.</w:t>
      </w:r>
    </w:p>
    <w:p w14:paraId="29ED7B71" w14:textId="5B39904B" w:rsidR="002324D7" w:rsidRPr="0031292D" w:rsidRDefault="00F17340" w:rsidP="006A4D14">
      <w:pPr>
        <w:pStyle w:val="IPPParagraphnumbering"/>
      </w:pPr>
      <w:r w:rsidRPr="0031292D">
        <w:t>L</w:t>
      </w:r>
      <w:r w:rsidR="004437D1" w:rsidRPr="0031292D">
        <w:t>imit</w:t>
      </w:r>
      <w:r w:rsidRPr="0031292D">
        <w:t>ing</w:t>
      </w:r>
      <w:r w:rsidR="004437D1" w:rsidRPr="0031292D">
        <w:t xml:space="preserve"> future </w:t>
      </w:r>
      <w:r w:rsidR="00B67580" w:rsidRPr="0031292D">
        <w:t>ISPM</w:t>
      </w:r>
      <w:r w:rsidR="004437D1" w:rsidRPr="0031292D">
        <w:t>s to focusing solely on plant pests</w:t>
      </w:r>
      <w:r w:rsidRPr="0031292D">
        <w:t xml:space="preserve"> where there are similar implications to other sectors (e.g. animal health)</w:t>
      </w:r>
      <w:r w:rsidR="004437D1" w:rsidRPr="0031292D">
        <w:t>, constrain</w:t>
      </w:r>
      <w:r w:rsidRPr="0031292D">
        <w:t>s</w:t>
      </w:r>
      <w:r w:rsidR="004437D1" w:rsidRPr="0031292D">
        <w:t xml:space="preserve"> </w:t>
      </w:r>
      <w:r w:rsidR="00FF5BFC">
        <w:t xml:space="preserve">the ability of Pacific NPPO’s </w:t>
      </w:r>
      <w:r w:rsidR="004437D1" w:rsidRPr="0031292D">
        <w:t xml:space="preserve">to respond </w:t>
      </w:r>
      <w:r w:rsidR="002C65AA">
        <w:t xml:space="preserve">efficiently and </w:t>
      </w:r>
      <w:r w:rsidR="004437D1" w:rsidRPr="0031292D">
        <w:t xml:space="preserve">holistically to interconnected biosecurity risks. A more integrated, cross-sectoral approach, aligned with </w:t>
      </w:r>
      <w:r w:rsidR="004437D1" w:rsidRPr="0031292D">
        <w:rPr>
          <w:i/>
          <w:iCs/>
        </w:rPr>
        <w:t>One Health</w:t>
      </w:r>
      <w:r w:rsidR="004437D1" w:rsidRPr="0031292D">
        <w:t xml:space="preserve"> principles, would enable the IPPC to contribute more effectively to global efforts in managing transboundary threats, especially in complex </w:t>
      </w:r>
      <w:proofErr w:type="gramStart"/>
      <w:r w:rsidR="004437D1" w:rsidRPr="0031292D">
        <w:t>emergency</w:t>
      </w:r>
      <w:proofErr w:type="gramEnd"/>
      <w:r w:rsidR="004437D1" w:rsidRPr="0031292D">
        <w:t xml:space="preserve"> or high-risk trade environments.</w:t>
      </w:r>
    </w:p>
    <w:p w14:paraId="0B5608C7" w14:textId="32F8ED07" w:rsidR="00897478" w:rsidRPr="00C218DC" w:rsidRDefault="004557CD" w:rsidP="00960DA3">
      <w:pPr>
        <w:pStyle w:val="ListParagraph"/>
        <w:numPr>
          <w:ilvl w:val="0"/>
          <w:numId w:val="2"/>
        </w:numPr>
        <w:ind w:left="1240"/>
        <w:rPr>
          <w:rFonts w:ascii="Times New Roman" w:hAnsi="Times New Roman"/>
          <w:b/>
          <w:bCs/>
          <w:i/>
          <w:iCs/>
        </w:rPr>
      </w:pPr>
      <w:r w:rsidRPr="00C218DC">
        <w:rPr>
          <w:rFonts w:ascii="Times New Roman" w:hAnsi="Times New Roman"/>
          <w:b/>
          <w:bCs/>
          <w:i/>
          <w:iCs/>
        </w:rPr>
        <w:t xml:space="preserve">Lack of </w:t>
      </w:r>
      <w:r w:rsidR="008A6E40" w:rsidRPr="00C218DC">
        <w:rPr>
          <w:rFonts w:ascii="Times New Roman" w:hAnsi="Times New Roman"/>
          <w:b/>
          <w:bCs/>
          <w:i/>
          <w:iCs/>
        </w:rPr>
        <w:t xml:space="preserve">timely development of </w:t>
      </w:r>
      <w:r w:rsidRPr="00C218DC">
        <w:rPr>
          <w:rFonts w:ascii="Times New Roman" w:hAnsi="Times New Roman"/>
          <w:b/>
          <w:bCs/>
          <w:i/>
          <w:iCs/>
        </w:rPr>
        <w:t>guidance</w:t>
      </w:r>
      <w:r w:rsidR="00800E8A" w:rsidRPr="00C218DC">
        <w:rPr>
          <w:rFonts w:ascii="Times New Roman" w:hAnsi="Times New Roman"/>
          <w:b/>
          <w:bCs/>
          <w:i/>
          <w:iCs/>
        </w:rPr>
        <w:t xml:space="preserve"> for some ISPMs</w:t>
      </w:r>
    </w:p>
    <w:p w14:paraId="66C88695" w14:textId="7E027CF8" w:rsidR="00156EB2" w:rsidRPr="0031292D" w:rsidRDefault="00E44A80" w:rsidP="006A4D14">
      <w:pPr>
        <w:pStyle w:val="IPPParagraphnumbering"/>
      </w:pPr>
      <w:r w:rsidRPr="0031292D">
        <w:t xml:space="preserve">Pacific NPPOs often struggle with how to apply ISPMs in specific scenarios, particularly when national legislation, or operational contexts differ from those assumed in the standard. This challenge is compounded by the absence of </w:t>
      </w:r>
      <w:r w:rsidR="008D08BC" w:rsidRPr="0031292D">
        <w:t>implementation</w:t>
      </w:r>
      <w:r w:rsidRPr="0031292D">
        <w:t xml:space="preserve"> materials, such as case studies, decision trees, or annotated examples, that could help clarify intent and guide practical implementation</w:t>
      </w:r>
      <w:r w:rsidR="002C65AA">
        <w:t xml:space="preserve"> of the requirements</w:t>
      </w:r>
      <w:r w:rsidRPr="0031292D">
        <w:t>. Without this support, some Pacific NPPOs cannot implement ISPMs due to uncertainty.</w:t>
      </w:r>
    </w:p>
    <w:p w14:paraId="26F4292E" w14:textId="5C91E05C" w:rsidR="0039354C" w:rsidRPr="0031292D" w:rsidRDefault="0039354C" w:rsidP="006A4D14">
      <w:pPr>
        <w:pStyle w:val="IPPParagraphnumbering"/>
      </w:pPr>
      <w:r w:rsidRPr="0039354C">
        <w:t xml:space="preserve">Additionally, the requirements outlined in ISPMs can sometimes be unclear due to an </w:t>
      </w:r>
      <w:r w:rsidR="00F5086B">
        <w:t>excessive</w:t>
      </w:r>
      <w:r w:rsidRPr="0039354C">
        <w:t xml:space="preserve"> level of detail. This lack of clarity raises concerns within </w:t>
      </w:r>
      <w:r w:rsidR="00F21D93">
        <w:t>PPPO members</w:t>
      </w:r>
      <w:r w:rsidRPr="0039354C">
        <w:t xml:space="preserve"> about how effective guidance materials</w:t>
      </w:r>
      <w:r w:rsidR="00F5086B">
        <w:t xml:space="preserve"> can be developed</w:t>
      </w:r>
      <w:r w:rsidRPr="0039354C">
        <w:t xml:space="preserve"> to support implementation. If the core requirements are not clearly defined, it becomes difficult to create practical and relevant supporting resources.</w:t>
      </w:r>
    </w:p>
    <w:p w14:paraId="129E4676" w14:textId="4C182556" w:rsidR="003A5EA1" w:rsidRPr="00822079" w:rsidRDefault="001836FC" w:rsidP="00B45816">
      <w:pPr>
        <w:pStyle w:val="IPPNumberedListLast"/>
      </w:pPr>
      <w:r w:rsidRPr="00822079">
        <w:rPr>
          <w:b/>
          <w:bCs/>
        </w:rPr>
        <w:t xml:space="preserve">Improving ISPMs: </w:t>
      </w:r>
      <w:r w:rsidRPr="006A4D14">
        <w:t>What potential options or approaches should be explored to enhance the effectiveness and clarity of ISPMs?</w:t>
      </w:r>
    </w:p>
    <w:p w14:paraId="6E6B5A53" w14:textId="068E67E8" w:rsidR="00166D02" w:rsidRPr="001E07AE" w:rsidRDefault="00A3349D" w:rsidP="006E3383">
      <w:pPr>
        <w:pStyle w:val="IPPParagraphnumbering"/>
      </w:pPr>
      <w:r w:rsidRPr="001E07AE">
        <w:rPr>
          <w:b/>
          <w:bCs/>
          <w:i/>
          <w:iCs/>
        </w:rPr>
        <w:t>T</w:t>
      </w:r>
      <w:r w:rsidR="003A5EA1" w:rsidRPr="001E07AE">
        <w:rPr>
          <w:b/>
          <w:bCs/>
          <w:i/>
          <w:iCs/>
        </w:rPr>
        <w:t xml:space="preserve">iered or modular </w:t>
      </w:r>
      <w:r w:rsidR="004C5118" w:rsidRPr="001E07AE">
        <w:rPr>
          <w:b/>
          <w:bCs/>
          <w:i/>
          <w:iCs/>
        </w:rPr>
        <w:t>ISPM</w:t>
      </w:r>
      <w:r w:rsidR="003A5EA1" w:rsidRPr="001E07AE">
        <w:rPr>
          <w:b/>
          <w:bCs/>
          <w:i/>
          <w:iCs/>
        </w:rPr>
        <w:t>s</w:t>
      </w:r>
      <w:r w:rsidR="003A5EA1" w:rsidRPr="001E07AE">
        <w:t> </w:t>
      </w:r>
      <w:proofErr w:type="gramStart"/>
      <w:r w:rsidR="0092664C" w:rsidRPr="001E07AE">
        <w:t>to</w:t>
      </w:r>
      <w:r w:rsidR="003A5EA1" w:rsidRPr="001E07AE">
        <w:t xml:space="preserve"> allow</w:t>
      </w:r>
      <w:proofErr w:type="gramEnd"/>
      <w:r w:rsidR="003A5EA1" w:rsidRPr="001E07AE">
        <w:t xml:space="preserve"> phased implementation based on </w:t>
      </w:r>
      <w:r w:rsidR="0092664C" w:rsidRPr="001E07AE">
        <w:t xml:space="preserve">country </w:t>
      </w:r>
      <w:r w:rsidR="003A5EA1" w:rsidRPr="001E07AE">
        <w:t>capacity.</w:t>
      </w:r>
      <w:r w:rsidR="00CA5A35" w:rsidRPr="001E07AE">
        <w:t xml:space="preserve"> At present the ISPMs describe</w:t>
      </w:r>
      <w:r w:rsidR="00E5100C" w:rsidRPr="001E07AE">
        <w:t xml:space="preserve"> requirements </w:t>
      </w:r>
      <w:r w:rsidR="00AE0F9B" w:rsidRPr="001E07AE">
        <w:t xml:space="preserve">for ideal outcomes </w:t>
      </w:r>
      <w:r w:rsidR="00E5100C" w:rsidRPr="001E07AE">
        <w:t xml:space="preserve">rather than minimum </w:t>
      </w:r>
      <w:r w:rsidR="00AE0F9B" w:rsidRPr="001E07AE">
        <w:t xml:space="preserve">or essential </w:t>
      </w:r>
      <w:r w:rsidR="00E5100C" w:rsidRPr="001E07AE">
        <w:t>requirements</w:t>
      </w:r>
      <w:r w:rsidR="00AE0F9B" w:rsidRPr="001E07AE">
        <w:t xml:space="preserve"> that all countries can realistically meet</w:t>
      </w:r>
      <w:r w:rsidR="00E5100C" w:rsidRPr="001E07AE">
        <w:t>.</w:t>
      </w:r>
      <w:r w:rsidR="00275BFE" w:rsidRPr="001E07AE">
        <w:t xml:space="preserve"> ISPMs could be made better by introducing minimum, recommended and optional </w:t>
      </w:r>
      <w:r w:rsidR="003C7913" w:rsidRPr="001E07AE">
        <w:t xml:space="preserve">levels to guide countries at different stages of </w:t>
      </w:r>
      <w:r w:rsidR="00EF4A63" w:rsidRPr="001E07AE">
        <w:t>capacity development.</w:t>
      </w:r>
      <w:r w:rsidR="00166D02" w:rsidRPr="001E07AE">
        <w:t xml:space="preserve"> Guidance should be in a different document </w:t>
      </w:r>
      <w:r w:rsidR="00DE72DC">
        <w:t xml:space="preserve">or different section of the ISPMs </w:t>
      </w:r>
      <w:r w:rsidR="00166D02" w:rsidRPr="001E07AE">
        <w:t xml:space="preserve">so that it is easier for NPPOs to work </w:t>
      </w:r>
      <w:proofErr w:type="gramStart"/>
      <w:r w:rsidR="00166D02" w:rsidRPr="001E07AE">
        <w:t>from</w:t>
      </w:r>
      <w:proofErr w:type="gramEnd"/>
      <w:r w:rsidR="00166D02" w:rsidRPr="001E07AE">
        <w:t>.</w:t>
      </w:r>
    </w:p>
    <w:p w14:paraId="16B0F278" w14:textId="71672CE0" w:rsidR="002608C0" w:rsidRPr="001E07AE" w:rsidRDefault="002608C0" w:rsidP="006E3383">
      <w:pPr>
        <w:pStyle w:val="IPPParagraphnumbering"/>
      </w:pPr>
      <w:r w:rsidRPr="001E07AE">
        <w:rPr>
          <w:b/>
          <w:bCs/>
          <w:i/>
          <w:iCs/>
        </w:rPr>
        <w:t>The development of timely guidance documents</w:t>
      </w:r>
      <w:r w:rsidRPr="001E07AE">
        <w:t xml:space="preserve">, regionally tailored examples, or interactive tools could significantly improve understanding and consistency in </w:t>
      </w:r>
      <w:r w:rsidR="00DC12C3" w:rsidRPr="001E07AE">
        <w:t xml:space="preserve">the </w:t>
      </w:r>
      <w:r w:rsidRPr="001E07AE">
        <w:t>application</w:t>
      </w:r>
      <w:r w:rsidR="00DC12C3" w:rsidRPr="001E07AE">
        <w:t xml:space="preserve"> of ISPMs</w:t>
      </w:r>
      <w:r w:rsidRPr="001E07AE">
        <w:t xml:space="preserve">. Embedding </w:t>
      </w:r>
      <w:r w:rsidR="005B3970">
        <w:t>implementation</w:t>
      </w:r>
      <w:r w:rsidRPr="001E07AE">
        <w:t xml:space="preserve"> support into the ISPM development process would help ensure that </w:t>
      </w:r>
      <w:r w:rsidR="00DE1882">
        <w:t>ISPM</w:t>
      </w:r>
      <w:r w:rsidRPr="001E07AE">
        <w:t>s are not only technically robust but also practically usable across diverse contexts</w:t>
      </w:r>
      <w:r w:rsidR="00EB29BB">
        <w:t xml:space="preserve"> at the adoption of ISPMs</w:t>
      </w:r>
      <w:r w:rsidR="00DE1882">
        <w:t>,</w:t>
      </w:r>
      <w:r w:rsidR="00EB29BB">
        <w:t xml:space="preserve"> rather than years afterwards</w:t>
      </w:r>
      <w:r w:rsidRPr="001E07AE">
        <w:t>.</w:t>
      </w:r>
      <w:r w:rsidR="00B17766">
        <w:t xml:space="preserve"> Automatic addition of ISPM topics to the workplan of the Implementation and Capacity Development Committee (IC) with the same priority, and commencement of development of support materials after the first consultation of the ISPM could reduce the time delay between publications of these interconnected documents and tools.</w:t>
      </w:r>
    </w:p>
    <w:p w14:paraId="6FBACA64" w14:textId="05BA15CF" w:rsidR="001E0419" w:rsidRPr="001746A0" w:rsidRDefault="00B81B16" w:rsidP="006E3383">
      <w:pPr>
        <w:pStyle w:val="IPPParagraphnumbering"/>
        <w:rPr>
          <w:i/>
          <w:iCs/>
        </w:rPr>
      </w:pPr>
      <w:r w:rsidRPr="00E761F7">
        <w:rPr>
          <w:b/>
          <w:bCs/>
          <w:i/>
          <w:iCs/>
        </w:rPr>
        <w:t>Group ISPMs appropriately not numerically.</w:t>
      </w:r>
      <w:r w:rsidRPr="0031292D">
        <w:rPr>
          <w:b/>
          <w:bCs/>
        </w:rPr>
        <w:t xml:space="preserve"> </w:t>
      </w:r>
      <w:r w:rsidRPr="0031292D">
        <w:t>ISPM</w:t>
      </w:r>
      <w:r w:rsidR="007820EB" w:rsidRPr="0031292D">
        <w:t xml:space="preserve">s related to each other should be grouped together. </w:t>
      </w:r>
    </w:p>
    <w:p w14:paraId="2F692D6F" w14:textId="087B4116" w:rsidR="00112910" w:rsidRDefault="007820EB" w:rsidP="006E3383">
      <w:pPr>
        <w:pStyle w:val="IPPParagraphnumbering"/>
      </w:pPr>
      <w:r w:rsidRPr="001E0419">
        <w:rPr>
          <w:i/>
          <w:iCs/>
        </w:rPr>
        <w:t>For example</w:t>
      </w:r>
      <w:r w:rsidRPr="0031292D">
        <w:t>, ISPM</w:t>
      </w:r>
      <w:r w:rsidR="00B81B16" w:rsidRPr="0031292D">
        <w:t xml:space="preserve"> 26</w:t>
      </w:r>
      <w:r w:rsidR="004952D4">
        <w:t xml:space="preserve"> (</w:t>
      </w:r>
      <w:r w:rsidR="00FE4209">
        <w:rPr>
          <w:i/>
          <w:iCs/>
        </w:rPr>
        <w:t>E</w:t>
      </w:r>
      <w:r w:rsidR="001746A0">
        <w:rPr>
          <w:i/>
          <w:iCs/>
        </w:rPr>
        <w:t>stablishment of pest free areas for fruit flies (</w:t>
      </w:r>
      <w:proofErr w:type="spellStart"/>
      <w:r w:rsidR="001746A0">
        <w:rPr>
          <w:i/>
          <w:iCs/>
        </w:rPr>
        <w:t>Tephritidae</w:t>
      </w:r>
      <w:proofErr w:type="spellEnd"/>
      <w:r w:rsidR="001746A0">
        <w:rPr>
          <w:i/>
          <w:iCs/>
        </w:rPr>
        <w:t>)</w:t>
      </w:r>
      <w:r w:rsidR="001746A0">
        <w:t xml:space="preserve">) </w:t>
      </w:r>
      <w:r w:rsidR="00E001DC">
        <w:t>c</w:t>
      </w:r>
      <w:r w:rsidR="00B81B16" w:rsidRPr="0031292D">
        <w:t>ould be an annex to ISPM 4</w:t>
      </w:r>
      <w:r w:rsidR="00FE4209">
        <w:t xml:space="preserve"> (</w:t>
      </w:r>
      <w:r w:rsidR="00C715CF">
        <w:rPr>
          <w:i/>
          <w:iCs/>
        </w:rPr>
        <w:t>Requirements for the establishment of pest free areas</w:t>
      </w:r>
      <w:r w:rsidR="00C715CF">
        <w:t>)</w:t>
      </w:r>
      <w:r w:rsidRPr="0031292D">
        <w:t xml:space="preserve">, and any </w:t>
      </w:r>
      <w:r w:rsidRPr="006B233A">
        <w:t>redundancy</w:t>
      </w:r>
      <w:r w:rsidRPr="0031292D">
        <w:t xml:space="preserve"> removed.</w:t>
      </w:r>
      <w:r w:rsidR="004C70C8">
        <w:t xml:space="preserve"> </w:t>
      </w:r>
      <w:r w:rsidR="005378D8">
        <w:t>This would also allow for the annexation of other pest-specific</w:t>
      </w:r>
      <w:r w:rsidR="00EA34D7">
        <w:t xml:space="preserve"> </w:t>
      </w:r>
      <w:r w:rsidR="00A3415E">
        <w:t xml:space="preserve">or pest-group </w:t>
      </w:r>
      <w:r w:rsidR="00EA34D7">
        <w:t xml:space="preserve">examples where the establishment of a pest free area </w:t>
      </w:r>
      <w:r w:rsidR="00645794">
        <w:t xml:space="preserve">has unique features </w:t>
      </w:r>
      <w:r w:rsidR="0000007C">
        <w:t>(</w:t>
      </w:r>
      <w:r w:rsidR="00645794">
        <w:t xml:space="preserve">e.g. </w:t>
      </w:r>
      <w:r w:rsidR="0000007C">
        <w:t xml:space="preserve">establishing </w:t>
      </w:r>
      <w:r w:rsidR="00260EA9">
        <w:t xml:space="preserve">and maintaining </w:t>
      </w:r>
      <w:r w:rsidR="0000007C">
        <w:t xml:space="preserve">pest free areas </w:t>
      </w:r>
      <w:r w:rsidR="00645794">
        <w:t>for plant pathogens</w:t>
      </w:r>
      <w:r w:rsidR="0000007C">
        <w:t>)</w:t>
      </w:r>
      <w:r w:rsidR="00112910">
        <w:t>.</w:t>
      </w:r>
      <w:r w:rsidR="00531C22">
        <w:t xml:space="preserve"> Likewise,</w:t>
      </w:r>
      <w:r w:rsidR="00EA5D25">
        <w:t xml:space="preserve"> ISPM 35 (</w:t>
      </w:r>
      <w:r w:rsidR="00EA5D25">
        <w:rPr>
          <w:i/>
          <w:iCs/>
        </w:rPr>
        <w:t>Systems approach for pest risk management of fruit flies (</w:t>
      </w:r>
      <w:proofErr w:type="spellStart"/>
      <w:r w:rsidR="00EA5D25">
        <w:rPr>
          <w:i/>
          <w:iCs/>
        </w:rPr>
        <w:t>Tephritidae</w:t>
      </w:r>
      <w:proofErr w:type="spellEnd"/>
      <w:r w:rsidR="00EA5D25">
        <w:rPr>
          <w:i/>
          <w:iCs/>
        </w:rPr>
        <w:t>)</w:t>
      </w:r>
      <w:r w:rsidR="00EA5D25">
        <w:t xml:space="preserve">) could be </w:t>
      </w:r>
      <w:r w:rsidR="008C0BF5">
        <w:t>an annex</w:t>
      </w:r>
      <w:r w:rsidR="00EA5D25">
        <w:t xml:space="preserve"> to </w:t>
      </w:r>
      <w:r w:rsidR="000E4C7C">
        <w:t>ISPM 14 (</w:t>
      </w:r>
      <w:r w:rsidR="00DB362C">
        <w:rPr>
          <w:i/>
          <w:iCs/>
        </w:rPr>
        <w:t>The use of integrated measures in a</w:t>
      </w:r>
      <w:r w:rsidR="00A82D58">
        <w:rPr>
          <w:i/>
          <w:iCs/>
        </w:rPr>
        <w:t xml:space="preserve"> s</w:t>
      </w:r>
      <w:r w:rsidR="00DB362C">
        <w:rPr>
          <w:i/>
          <w:iCs/>
        </w:rPr>
        <w:t>ystems approach</w:t>
      </w:r>
      <w:r w:rsidR="00A82D58">
        <w:rPr>
          <w:i/>
          <w:iCs/>
        </w:rPr>
        <w:t xml:space="preserve"> for pest risk management</w:t>
      </w:r>
      <w:r w:rsidR="00A82D58">
        <w:t>)</w:t>
      </w:r>
      <w:r w:rsidR="00882426">
        <w:t>.</w:t>
      </w:r>
    </w:p>
    <w:p w14:paraId="28B12A09" w14:textId="77777777" w:rsidR="00094313" w:rsidRDefault="00882426" w:rsidP="006E3383">
      <w:pPr>
        <w:pStyle w:val="IPPParagraphnumbering"/>
      </w:pPr>
      <w:r>
        <w:t>At a higher level</w:t>
      </w:r>
      <w:r w:rsidR="00BD33A3">
        <w:t>,</w:t>
      </w:r>
      <w:r>
        <w:t xml:space="preserve"> </w:t>
      </w:r>
      <w:r w:rsidR="00061C54">
        <w:t xml:space="preserve">ISPMs could </w:t>
      </w:r>
      <w:r w:rsidR="009C076C">
        <w:t xml:space="preserve">be </w:t>
      </w:r>
      <w:r w:rsidR="00061C54">
        <w:t xml:space="preserve">grouped under broader functional headings </w:t>
      </w:r>
      <w:r w:rsidR="000363FE">
        <w:t>to make them easier to fi</w:t>
      </w:r>
      <w:r w:rsidR="002C65E2">
        <w:t>nd</w:t>
      </w:r>
      <w:r w:rsidR="00094313">
        <w:t>.</w:t>
      </w:r>
    </w:p>
    <w:p w14:paraId="482C7BDC" w14:textId="293C3724" w:rsidR="00112910" w:rsidRPr="00A70DED" w:rsidRDefault="004351CF" w:rsidP="006E3383">
      <w:pPr>
        <w:pStyle w:val="IPPParagraphnumbering"/>
      </w:pPr>
      <w:r>
        <w:t>For example,</w:t>
      </w:r>
      <w:r w:rsidR="003825A4">
        <w:t xml:space="preserve"> </w:t>
      </w:r>
      <w:r w:rsidR="003825A4" w:rsidRPr="00DC748C">
        <w:t xml:space="preserve">Phytosanitary </w:t>
      </w:r>
      <w:r w:rsidR="00053D85" w:rsidRPr="00DC748C">
        <w:t>s</w:t>
      </w:r>
      <w:r w:rsidR="003825A4" w:rsidRPr="00DC748C">
        <w:t xml:space="preserve">ystems </w:t>
      </w:r>
      <w:r w:rsidR="00053D85" w:rsidRPr="00DC748C">
        <w:t>f</w:t>
      </w:r>
      <w:r w:rsidR="003825A4" w:rsidRPr="00DC748C">
        <w:t>oundations</w:t>
      </w:r>
      <w:r w:rsidR="00C71372">
        <w:t xml:space="preserve"> (e.g. ISPM 1</w:t>
      </w:r>
      <w:r w:rsidR="004E18F5">
        <w:t xml:space="preserve">, 5, </w:t>
      </w:r>
      <w:r w:rsidR="00D61281">
        <w:t>24</w:t>
      </w:r>
      <w:r w:rsidR="006C5869">
        <w:t xml:space="preserve"> etc.)</w:t>
      </w:r>
      <w:r w:rsidR="00D540F7">
        <w:t xml:space="preserve">; </w:t>
      </w:r>
      <w:r w:rsidR="009C076C">
        <w:t>P</w:t>
      </w:r>
      <w:r w:rsidR="00EE07D5" w:rsidRPr="00DC748C">
        <w:t>hytosanitary measures</w:t>
      </w:r>
      <w:r w:rsidR="002A077A">
        <w:t xml:space="preserve"> (</w:t>
      </w:r>
      <w:r w:rsidR="000D0E54">
        <w:t>ISPM 14, 28</w:t>
      </w:r>
      <w:r w:rsidR="00053D85">
        <w:t>);</w:t>
      </w:r>
      <w:r w:rsidR="007917FA">
        <w:t xml:space="preserve"> </w:t>
      </w:r>
      <w:r w:rsidR="00DC748C" w:rsidRPr="00DC748C">
        <w:t>T</w:t>
      </w:r>
      <w:r w:rsidR="00B86140" w:rsidRPr="00DC748C">
        <w:t>reatment application</w:t>
      </w:r>
      <w:r w:rsidR="00B86140">
        <w:t xml:space="preserve"> (ISPM 18, </w:t>
      </w:r>
      <w:r w:rsidR="00E3471C">
        <w:t xml:space="preserve">42, 43, 44); </w:t>
      </w:r>
      <w:r w:rsidR="005F510B">
        <w:t>Certi</w:t>
      </w:r>
      <w:r w:rsidR="009C076C">
        <w:t>fication, inspection and compliance</w:t>
      </w:r>
      <w:r w:rsidR="007917FA">
        <w:t xml:space="preserve"> (e.g.</w:t>
      </w:r>
      <w:r w:rsidR="002A077A">
        <w:t xml:space="preserve"> ISPM </w:t>
      </w:r>
      <w:proofErr w:type="gramStart"/>
      <w:r w:rsidR="002A077A">
        <w:t>7,12</w:t>
      </w:r>
      <w:r w:rsidR="00F63C91">
        <w:t>,</w:t>
      </w:r>
      <w:r w:rsidR="002A077A">
        <w:t xml:space="preserve"> 13</w:t>
      </w:r>
      <w:proofErr w:type="gramEnd"/>
      <w:r w:rsidR="00CE2296">
        <w:t>, 23, 31</w:t>
      </w:r>
      <w:r w:rsidR="002A077A">
        <w:t>)</w:t>
      </w:r>
      <w:r w:rsidR="006E4FB7">
        <w:t xml:space="preserve"> etc.</w:t>
      </w:r>
    </w:p>
    <w:p w14:paraId="0C0F4FE6" w14:textId="77777777" w:rsidR="001836FC" w:rsidRPr="00822079" w:rsidRDefault="001836FC" w:rsidP="006E3383">
      <w:pPr>
        <w:pStyle w:val="IPPParagraphnumbering"/>
      </w:pPr>
      <w:r w:rsidRPr="00822079">
        <w:rPr>
          <w:b/>
          <w:bCs/>
        </w:rPr>
        <w:t xml:space="preserve">Implementation challenges: </w:t>
      </w:r>
      <w:r w:rsidRPr="00D253A8">
        <w:t xml:space="preserve">What are the main barriers to implementing these options, and what practical </w:t>
      </w:r>
      <w:r w:rsidRPr="00C33B47">
        <w:t>solutions could help overcome them?</w:t>
      </w:r>
    </w:p>
    <w:p w14:paraId="5ECD2286" w14:textId="2760D6D9" w:rsidR="004F696A" w:rsidRDefault="00B20F5E" w:rsidP="006E3383">
      <w:pPr>
        <w:pStyle w:val="IPPParagraphnumbering"/>
      </w:pPr>
      <w:r w:rsidRPr="00FE15C9">
        <w:rPr>
          <w:b/>
          <w:bCs/>
          <w:i/>
          <w:iCs/>
        </w:rPr>
        <w:t xml:space="preserve">Human </w:t>
      </w:r>
      <w:r w:rsidR="00FE15C9" w:rsidRPr="00FE15C9">
        <w:rPr>
          <w:b/>
          <w:bCs/>
          <w:i/>
          <w:iCs/>
        </w:rPr>
        <w:t>and financial resource</w:t>
      </w:r>
      <w:r w:rsidR="00BC66B2" w:rsidRPr="00FE15C9">
        <w:rPr>
          <w:b/>
          <w:bCs/>
          <w:i/>
          <w:iCs/>
        </w:rPr>
        <w:t>.</w:t>
      </w:r>
      <w:r w:rsidR="00BC66B2" w:rsidRPr="00FE15C9">
        <w:t xml:space="preserve"> </w:t>
      </w:r>
      <w:r w:rsidR="00BC2627" w:rsidRPr="00FE15C9">
        <w:t>The main barrier</w:t>
      </w:r>
      <w:r w:rsidR="00FE15C9" w:rsidRPr="00FE15C9">
        <w:t>s</w:t>
      </w:r>
      <w:r w:rsidR="00BC2627" w:rsidRPr="00FE15C9">
        <w:t xml:space="preserve"> to implementing any solutions</w:t>
      </w:r>
      <w:r w:rsidR="005D75C5">
        <w:t>, including those described above,</w:t>
      </w:r>
      <w:r w:rsidR="00BC2627" w:rsidRPr="00FE15C9">
        <w:t xml:space="preserve"> to </w:t>
      </w:r>
      <w:r w:rsidR="00AE5E19" w:rsidRPr="00FE15C9">
        <w:t xml:space="preserve">improve the ISPMs is </w:t>
      </w:r>
      <w:r w:rsidR="00103D20" w:rsidRPr="00FE15C9">
        <w:t xml:space="preserve">human </w:t>
      </w:r>
      <w:r w:rsidR="00F418FD">
        <w:t xml:space="preserve">and financial </w:t>
      </w:r>
      <w:proofErr w:type="gramStart"/>
      <w:r w:rsidR="00372570" w:rsidRPr="00FE15C9">
        <w:t>resource</w:t>
      </w:r>
      <w:proofErr w:type="gramEnd"/>
      <w:r w:rsidR="003E410A" w:rsidRPr="00FE15C9">
        <w:t>.</w:t>
      </w:r>
      <w:r w:rsidR="000C6C51">
        <w:t xml:space="preserve"> </w:t>
      </w:r>
    </w:p>
    <w:p w14:paraId="35B96D7E" w14:textId="48820474" w:rsidR="00896842" w:rsidRPr="00896842" w:rsidRDefault="00896842" w:rsidP="006E3383">
      <w:pPr>
        <w:pStyle w:val="IPPParagraphnumbering"/>
      </w:pPr>
      <w:r w:rsidRPr="00896842">
        <w:t>Appendix 1 outlines options to address additional issues identified by PPPO members in Question 2. While some options may require significant financial and human resources, others could be implemented more cost-effectively through targeted and innovative approaches. For example, the broader problem of low readability, low translatability, and unclear requirements in ISPMs</w:t>
      </w:r>
      <w:r w:rsidR="000D1B4E" w:rsidRPr="00F4714F">
        <w:t xml:space="preserve">, </w:t>
      </w:r>
      <w:r w:rsidRPr="00896842">
        <w:t>highlighted in the CPM 2025/47 paper</w:t>
      </w:r>
      <w:r w:rsidR="000D1B4E" w:rsidRPr="00F4714F">
        <w:t xml:space="preserve">, </w:t>
      </w:r>
      <w:r w:rsidRPr="00896842">
        <w:t xml:space="preserve">could be addressed </w:t>
      </w:r>
      <w:r w:rsidR="00A83464">
        <w:t>by redrafting with assistance from</w:t>
      </w:r>
      <w:r w:rsidRPr="00896842">
        <w:t xml:space="preserve"> Artificial Intelligence (AI)</w:t>
      </w:r>
      <w:r w:rsidR="00A83464">
        <w:t xml:space="preserve"> tools</w:t>
      </w:r>
      <w:r w:rsidRPr="00896842">
        <w:t>. Since the problematic ISPMs are already developed, full revision by an expert working group</w:t>
      </w:r>
      <w:r w:rsidR="00EE022D">
        <w:t xml:space="preserve"> (EWG), in our traditional way,</w:t>
      </w:r>
      <w:r w:rsidRPr="00896842">
        <w:t xml:space="preserve"> may not be necessary. AI could be used </w:t>
      </w:r>
      <w:r w:rsidR="00192EB3">
        <w:t xml:space="preserve">by an expert drafter </w:t>
      </w:r>
      <w:r w:rsidRPr="00896842">
        <w:t xml:space="preserve">to rephrase dense, jargon-heavy text into plain language suitable for all audiences, improve translatability, and identify core obligations by scanning entire standards and separating mandatory requirements from recommendations or ideal practices. This could support the development of a </w:t>
      </w:r>
      <w:r w:rsidR="004E214C">
        <w:t>tiered</w:t>
      </w:r>
      <w:r w:rsidR="00136E80">
        <w:t xml:space="preserve"> or modular</w:t>
      </w:r>
      <w:r w:rsidRPr="00896842">
        <w:t xml:space="preserve"> format that improves usability. As with any AI-generated content, outputs would require review and refinement by </w:t>
      </w:r>
      <w:r w:rsidR="00EE022D">
        <w:t>appropriately skilled EWG</w:t>
      </w:r>
      <w:r w:rsidR="00AD4E84">
        <w:t>s</w:t>
      </w:r>
      <w:r w:rsidR="00EE022D">
        <w:t xml:space="preserve"> or a</w:t>
      </w:r>
      <w:r w:rsidRPr="00896842">
        <w:t xml:space="preserve"> plain language expert to ensure accuracy and appropriateness.</w:t>
      </w:r>
    </w:p>
    <w:p w14:paraId="25AA548A" w14:textId="6799AD04" w:rsidR="00896842" w:rsidRPr="00896842" w:rsidRDefault="00896842" w:rsidP="006E3383">
      <w:pPr>
        <w:pStyle w:val="IPPParagraphnumbering"/>
      </w:pPr>
      <w:r w:rsidRPr="00896842">
        <w:t>Other cost-effective strategies include piloting revised materials in selected countries, leveraging regional networks for peer review, and using digital platforms to share tools and training resources. It is anticipated that better-resourced countries may be able to contribute in-kind support</w:t>
      </w:r>
      <w:r w:rsidR="00000B0E" w:rsidRPr="00F4714F">
        <w:t xml:space="preserve">, </w:t>
      </w:r>
      <w:r w:rsidRPr="00896842">
        <w:t>such as technical expertise, plain language editing, training materials, or translation assistance.</w:t>
      </w:r>
    </w:p>
    <w:p w14:paraId="1BB3CD55" w14:textId="542A4CD1" w:rsidR="00710F7C" w:rsidRPr="00BC66B2" w:rsidRDefault="00FB1F2C" w:rsidP="006E3383">
      <w:pPr>
        <w:pStyle w:val="IPPParagraphnumbering"/>
      </w:pPr>
      <w:r w:rsidRPr="00FB1F2C">
        <w:rPr>
          <w:b/>
          <w:bCs/>
          <w:i/>
          <w:iCs/>
        </w:rPr>
        <w:t>Prioritization.</w:t>
      </w:r>
      <w:r>
        <w:rPr>
          <w:i/>
          <w:iCs/>
        </w:rPr>
        <w:t xml:space="preserve"> </w:t>
      </w:r>
      <w:r w:rsidR="00F86358" w:rsidRPr="00BC66B2">
        <w:t>It is recommended that a</w:t>
      </w:r>
      <w:r w:rsidR="00116266" w:rsidRPr="00BC66B2">
        <w:t xml:space="preserve"> timeline for phased ISPM </w:t>
      </w:r>
      <w:proofErr w:type="gramStart"/>
      <w:r w:rsidR="00116266" w:rsidRPr="00BC66B2">
        <w:t>review</w:t>
      </w:r>
      <w:proofErr w:type="gramEnd"/>
      <w:r w:rsidR="00116266" w:rsidRPr="00BC66B2">
        <w:t xml:space="preserve"> and revision </w:t>
      </w:r>
      <w:r w:rsidR="00F86358" w:rsidRPr="00BC66B2">
        <w:t>is</w:t>
      </w:r>
      <w:r w:rsidR="00116266" w:rsidRPr="00BC66B2">
        <w:t xml:space="preserve"> developed. Th</w:t>
      </w:r>
      <w:r w:rsidR="00E13EC6">
        <w:t xml:space="preserve">is could be </w:t>
      </w:r>
      <w:r w:rsidR="00240E4B">
        <w:t>addressed through a process of regular revie</w:t>
      </w:r>
      <w:r w:rsidR="00653B31">
        <w:t>w</w:t>
      </w:r>
      <w:r w:rsidR="00240E4B">
        <w:t xml:space="preserve"> or</w:t>
      </w:r>
      <w:r w:rsidR="00EE4F51">
        <w:t>,</w:t>
      </w:r>
      <w:r w:rsidR="00240E4B">
        <w:t xml:space="preserve"> th</w:t>
      </w:r>
      <w:r w:rsidR="00116266" w:rsidRPr="00BC66B2">
        <w:t xml:space="preserve">e most used and problematic ISPMs </w:t>
      </w:r>
      <w:r w:rsidR="00240E4B">
        <w:t>c</w:t>
      </w:r>
      <w:r w:rsidR="00116266" w:rsidRPr="00BC66B2">
        <w:t xml:space="preserve">ould be prioritized </w:t>
      </w:r>
      <w:r w:rsidR="00C64E7A" w:rsidRPr="00BC66B2">
        <w:t xml:space="preserve">for revision </w:t>
      </w:r>
      <w:r w:rsidR="00116266" w:rsidRPr="00BC66B2">
        <w:t xml:space="preserve">ahead of </w:t>
      </w:r>
      <w:r w:rsidR="00C64E7A" w:rsidRPr="00BC66B2">
        <w:t>others.</w:t>
      </w:r>
      <w:r w:rsidR="00710F7C" w:rsidRPr="00BC66B2">
        <w:t xml:space="preserve"> </w:t>
      </w:r>
      <w:r w:rsidR="0032148C">
        <w:t>PPPO</w:t>
      </w:r>
      <w:r w:rsidR="00F21D93" w:rsidRPr="00BC66B2">
        <w:t xml:space="preserve"> members</w:t>
      </w:r>
      <w:r w:rsidR="006A40F5" w:rsidRPr="00BC66B2">
        <w:t xml:space="preserve"> </w:t>
      </w:r>
      <w:r w:rsidR="002A21EC">
        <w:t>recommend</w:t>
      </w:r>
      <w:r w:rsidR="006A40F5" w:rsidRPr="00BC66B2">
        <w:t xml:space="preserve"> </w:t>
      </w:r>
      <w:r w:rsidR="00A356FA">
        <w:t>prioritizing the revision of the</w:t>
      </w:r>
      <w:r w:rsidR="006A40F5" w:rsidRPr="00BC66B2">
        <w:t xml:space="preserve"> pest risk analysis ISPMs</w:t>
      </w:r>
      <w:r w:rsidR="00550A62">
        <w:t xml:space="preserve"> </w:t>
      </w:r>
      <w:r w:rsidR="00A124B0">
        <w:t xml:space="preserve">first, </w:t>
      </w:r>
      <w:r w:rsidR="00A124B0" w:rsidRPr="00BC66B2">
        <w:t>as</w:t>
      </w:r>
      <w:r w:rsidR="00550A62">
        <w:t xml:space="preserve"> </w:t>
      </w:r>
      <w:r w:rsidR="00A124B0">
        <w:t xml:space="preserve">these </w:t>
      </w:r>
      <w:r w:rsidR="00A124B0" w:rsidRPr="00BC66B2">
        <w:t>foundational</w:t>
      </w:r>
      <w:r w:rsidR="006A40F5" w:rsidRPr="00BC66B2">
        <w:t xml:space="preserve"> </w:t>
      </w:r>
      <w:r w:rsidR="00334DFD" w:rsidRPr="00BC66B2">
        <w:t>standard</w:t>
      </w:r>
      <w:r w:rsidR="00550A62">
        <w:t>s</w:t>
      </w:r>
      <w:r w:rsidR="00334DFD" w:rsidRPr="00BC66B2">
        <w:t xml:space="preserve"> </w:t>
      </w:r>
      <w:r w:rsidR="00550A62">
        <w:t xml:space="preserve">present </w:t>
      </w:r>
      <w:r w:rsidR="00795911">
        <w:t xml:space="preserve">significant implementation challenges </w:t>
      </w:r>
      <w:r w:rsidR="00140CE6">
        <w:t xml:space="preserve">for </w:t>
      </w:r>
      <w:r w:rsidR="00795911">
        <w:t>P</w:t>
      </w:r>
      <w:r w:rsidR="006A40F5" w:rsidRPr="00BC66B2">
        <w:t xml:space="preserve">acific </w:t>
      </w:r>
      <w:r w:rsidR="00B4429C" w:rsidRPr="00BC66B2">
        <w:t>NPPOs</w:t>
      </w:r>
      <w:r w:rsidR="00795911">
        <w:t xml:space="preserve">. The current requirements are </w:t>
      </w:r>
      <w:r w:rsidR="004022D9" w:rsidRPr="00BC66B2">
        <w:t xml:space="preserve">excessive </w:t>
      </w:r>
      <w:r w:rsidR="00A124B0">
        <w:t>and are actively</w:t>
      </w:r>
      <w:r w:rsidR="00263663" w:rsidRPr="00BC66B2">
        <w:t xml:space="preserve"> impeding market access.</w:t>
      </w:r>
      <w:r w:rsidR="00DC5288">
        <w:t xml:space="preserve"> </w:t>
      </w:r>
      <w:r w:rsidR="001B7A28">
        <w:t xml:space="preserve">Appendix </w:t>
      </w:r>
      <w:r w:rsidR="007430C6">
        <w:t>2</w:t>
      </w:r>
      <w:r w:rsidR="00D97E13">
        <w:t xml:space="preserve"> proposes a prioritization </w:t>
      </w:r>
      <w:r w:rsidR="007430C6">
        <w:t xml:space="preserve">process that could be used </w:t>
      </w:r>
      <w:r w:rsidR="00140CE6">
        <w:t xml:space="preserve">or adapted </w:t>
      </w:r>
      <w:r w:rsidR="007430C6">
        <w:t>to revise the ISPMs.</w:t>
      </w:r>
    </w:p>
    <w:p w14:paraId="4278F170" w14:textId="77777777" w:rsidR="001836FC" w:rsidRPr="003F544A" w:rsidRDefault="001836FC" w:rsidP="003F544A">
      <w:pPr>
        <w:pStyle w:val="IPPHeading1"/>
        <w:rPr>
          <w:i/>
          <w:iCs/>
        </w:rPr>
      </w:pPr>
      <w:r w:rsidRPr="003F544A">
        <w:rPr>
          <w:bCs/>
        </w:rPr>
        <w:t xml:space="preserve">Key messages for the SPG: </w:t>
      </w:r>
      <w:r w:rsidRPr="003F544A">
        <w:rPr>
          <w:i/>
          <w:iCs/>
        </w:rPr>
        <w:t>Are there any key points or regional perspectives that should be communicated to the SPG?</w:t>
      </w:r>
    </w:p>
    <w:p w14:paraId="17840F2A" w14:textId="6DE0BD14" w:rsidR="003B3C21" w:rsidRPr="0031292D" w:rsidRDefault="00F21D93" w:rsidP="003F544A">
      <w:pPr>
        <w:pStyle w:val="IPPParagraphnumberingclose"/>
      </w:pPr>
      <w:r w:rsidRPr="0031292D">
        <w:t>Pacific</w:t>
      </w:r>
      <w:r>
        <w:t xml:space="preserve"> Plant Protection Organisation members</w:t>
      </w:r>
      <w:r w:rsidRPr="0031292D" w:rsidDel="00F21D93">
        <w:t xml:space="preserve"> </w:t>
      </w:r>
      <w:r w:rsidR="00745EC7" w:rsidRPr="0031292D">
        <w:t>v</w:t>
      </w:r>
      <w:r w:rsidR="003B3C21" w:rsidRPr="0031292D">
        <w:t>ision for future ISPM</w:t>
      </w:r>
      <w:r w:rsidR="003654BA">
        <w:t>s</w:t>
      </w:r>
      <w:r w:rsidR="003B3C21" w:rsidRPr="0031292D">
        <w:t xml:space="preserve"> </w:t>
      </w:r>
      <w:r w:rsidR="00745EC7" w:rsidRPr="0031292D">
        <w:t>is that</w:t>
      </w:r>
      <w:r w:rsidR="003654BA">
        <w:t xml:space="preserve"> they</w:t>
      </w:r>
      <w:r w:rsidR="00745EC7" w:rsidRPr="0031292D">
        <w:t>:</w:t>
      </w:r>
    </w:p>
    <w:p w14:paraId="111972C5" w14:textId="731BA337" w:rsidR="003654BA" w:rsidRDefault="003654BA" w:rsidP="003F544A">
      <w:pPr>
        <w:pStyle w:val="IPPBullet1"/>
      </w:pPr>
      <w:proofErr w:type="gramStart"/>
      <w:r>
        <w:t>describe</w:t>
      </w:r>
      <w:proofErr w:type="gramEnd"/>
      <w:r>
        <w:t xml:space="preserve"> </w:t>
      </w:r>
      <w:r w:rsidR="001E4829">
        <w:t xml:space="preserve">the </w:t>
      </w:r>
      <w:proofErr w:type="gramStart"/>
      <w:r>
        <w:t>requirements;</w:t>
      </w:r>
      <w:proofErr w:type="gramEnd"/>
    </w:p>
    <w:p w14:paraId="0F4090B4" w14:textId="30F70F79" w:rsidR="002258ED" w:rsidRDefault="003654BA" w:rsidP="003F544A">
      <w:pPr>
        <w:pStyle w:val="IPPBullet1"/>
      </w:pPr>
      <w:r w:rsidRPr="0031292D">
        <w:t xml:space="preserve">will be </w:t>
      </w:r>
      <w:r>
        <w:t>m</w:t>
      </w:r>
      <w:r w:rsidR="003B3C21" w:rsidRPr="0031292D">
        <w:t xml:space="preserve">ore user-friendly, inclusive, </w:t>
      </w:r>
      <w:r w:rsidR="00320D02" w:rsidRPr="0031292D">
        <w:t xml:space="preserve">flexible </w:t>
      </w:r>
      <w:r w:rsidR="003B3C21" w:rsidRPr="0031292D">
        <w:t>and fit-for-</w:t>
      </w:r>
      <w:proofErr w:type="gramStart"/>
      <w:r w:rsidR="003B3C21" w:rsidRPr="0031292D">
        <w:t>purpose</w:t>
      </w:r>
      <w:r>
        <w:t>;</w:t>
      </w:r>
      <w:proofErr w:type="gramEnd"/>
    </w:p>
    <w:p w14:paraId="1F2CE1FD" w14:textId="3F457804" w:rsidR="003B3C21" w:rsidRPr="0031292D" w:rsidRDefault="003654BA" w:rsidP="003F544A">
      <w:pPr>
        <w:pStyle w:val="IPPBullet1Last"/>
      </w:pPr>
      <w:r>
        <w:t>b</w:t>
      </w:r>
      <w:r w:rsidR="003B3C21" w:rsidRPr="0031292D">
        <w:t>etter align with</w:t>
      </w:r>
      <w:r w:rsidR="001E4829">
        <w:t xml:space="preserve"> globally variable</w:t>
      </w:r>
      <w:r w:rsidR="003B3C21" w:rsidRPr="0031292D">
        <w:t> regional contexts and capacity levels.</w:t>
      </w:r>
    </w:p>
    <w:p w14:paraId="2219473D" w14:textId="0AAE950B" w:rsidR="00A26367" w:rsidRPr="00A26367" w:rsidRDefault="00F76C72" w:rsidP="003F544A">
      <w:pPr>
        <w:pStyle w:val="IPPParagraphnumbering"/>
      </w:pPr>
      <w:r w:rsidRPr="0031292D">
        <w:t xml:space="preserve">ISPMs remain foundational to global plant health. </w:t>
      </w:r>
      <w:r w:rsidR="00A26367" w:rsidRPr="00A26367">
        <w:t xml:space="preserve">However, to remain relevant and implementable, they must evolve to reflect the diverse capacities and contexts of </w:t>
      </w:r>
      <w:r w:rsidR="00440AB6">
        <w:t>all IPPC contracting parties</w:t>
      </w:r>
      <w:r w:rsidR="00A26367" w:rsidRPr="00A26367">
        <w:t>. The current one-size-fits-all approach limits the effectiveness</w:t>
      </w:r>
      <w:r w:rsidR="00C47CA3">
        <w:t xml:space="preserve"> of the ISPMs</w:t>
      </w:r>
      <w:r w:rsidR="00A26367" w:rsidRPr="00A26367">
        <w:t xml:space="preserve">, particularly for small island nations like </w:t>
      </w:r>
      <w:r w:rsidR="004116BF">
        <w:t>many</w:t>
      </w:r>
      <w:r w:rsidR="00A26367" w:rsidRPr="00A26367">
        <w:t xml:space="preserve"> in the </w:t>
      </w:r>
      <w:r w:rsidR="00607A5B">
        <w:t>Southwest</w:t>
      </w:r>
      <w:r w:rsidR="002B45E0">
        <w:t xml:space="preserve"> </w:t>
      </w:r>
      <w:r w:rsidR="00A26367" w:rsidRPr="00A26367">
        <w:t xml:space="preserve">Pacific. </w:t>
      </w:r>
      <w:r w:rsidR="008E6187">
        <w:t>A change in approach</w:t>
      </w:r>
      <w:r w:rsidR="00A71FDC">
        <w:t xml:space="preserve"> for ISPMs could</w:t>
      </w:r>
      <w:r w:rsidR="00A26367" w:rsidRPr="00A26367">
        <w:t xml:space="preserve"> improve uptake</w:t>
      </w:r>
      <w:r w:rsidR="001E4829">
        <w:t>,</w:t>
      </w:r>
      <w:r w:rsidR="00A26367" w:rsidRPr="00A26367">
        <w:t xml:space="preserve"> compliance</w:t>
      </w:r>
      <w:r w:rsidR="001E4829">
        <w:t xml:space="preserve"> and meeting of the vision and mission of the </w:t>
      </w:r>
      <w:r w:rsidR="009458B8">
        <w:t>IPPC but</w:t>
      </w:r>
      <w:r w:rsidR="00A26367" w:rsidRPr="00A26367">
        <w:t xml:space="preserve"> also reduce the need for frequent revisions.</w:t>
      </w:r>
    </w:p>
    <w:p w14:paraId="3ECEA170" w14:textId="4408DBDE" w:rsidR="00A26367" w:rsidRDefault="00A26367" w:rsidP="003F544A">
      <w:pPr>
        <w:pStyle w:val="IPPParagraphnumbering"/>
      </w:pPr>
      <w:r w:rsidRPr="00A26367">
        <w:t xml:space="preserve">Before new ISPMs are developed, it is </w:t>
      </w:r>
      <w:r w:rsidR="00710E83">
        <w:t>essential</w:t>
      </w:r>
      <w:r w:rsidRPr="00A26367">
        <w:t xml:space="preserve"> to address the existing challenges to avoid duplication of effort and ensure standards are fit-for-purpose. Equally important is the provision of </w:t>
      </w:r>
      <w:r w:rsidR="002B45E0">
        <w:t xml:space="preserve">timely </w:t>
      </w:r>
      <w:r w:rsidRPr="00A26367">
        <w:t>implementation support</w:t>
      </w:r>
      <w:r w:rsidR="009029B6">
        <w:t xml:space="preserve"> </w:t>
      </w:r>
      <w:r w:rsidR="00934854">
        <w:t>at the adoption of ISPMs</w:t>
      </w:r>
      <w:r w:rsidR="00775D41">
        <w:t xml:space="preserve">, </w:t>
      </w:r>
      <w:r w:rsidR="009029B6">
        <w:t xml:space="preserve">as </w:t>
      </w:r>
      <w:r w:rsidRPr="00A26367">
        <w:t>without practical tools</w:t>
      </w:r>
      <w:r w:rsidR="00CB6D30">
        <w:t xml:space="preserve"> and</w:t>
      </w:r>
      <w:r w:rsidRPr="00A26367">
        <w:t xml:space="preserve"> guidance</w:t>
      </w:r>
      <w:proofErr w:type="gramStart"/>
      <w:r w:rsidR="00CB6D30">
        <w:t>,</w:t>
      </w:r>
      <w:r w:rsidRPr="00A26367">
        <w:t xml:space="preserve"> even</w:t>
      </w:r>
      <w:proofErr w:type="gramEnd"/>
      <w:r w:rsidRPr="00A26367">
        <w:t xml:space="preserve"> well-designed </w:t>
      </w:r>
      <w:r w:rsidR="00CB6D30">
        <w:t>ISPMs</w:t>
      </w:r>
      <w:r w:rsidRPr="00A26367">
        <w:t xml:space="preserve"> risk being </w:t>
      </w:r>
      <w:r w:rsidR="001E4829">
        <w:t>poorly</w:t>
      </w:r>
      <w:r w:rsidR="0065286B">
        <w:t>-</w:t>
      </w:r>
      <w:r w:rsidR="001E4829">
        <w:t xml:space="preserve"> or </w:t>
      </w:r>
      <w:r w:rsidRPr="00A26367">
        <w:t>under</w:t>
      </w:r>
      <w:r w:rsidR="009029B6">
        <w:t>-used</w:t>
      </w:r>
      <w:r w:rsidRPr="00A26367">
        <w:t>.</w:t>
      </w:r>
    </w:p>
    <w:p w14:paraId="1804E5FF" w14:textId="77777777" w:rsidR="003F544A" w:rsidRDefault="003F544A" w:rsidP="001F72A8">
      <w:pPr>
        <w:rPr>
          <w:b/>
          <w:bCs/>
        </w:rPr>
        <w:sectPr w:rsidR="003F544A" w:rsidSect="008F2F2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titlePg/>
          <w:docGrid w:linePitch="360"/>
        </w:sectPr>
      </w:pPr>
    </w:p>
    <w:p w14:paraId="291EC258" w14:textId="77777777" w:rsidR="003F544A" w:rsidRDefault="003F544A" w:rsidP="001F72A8">
      <w:pPr>
        <w:rPr>
          <w:b/>
          <w:bCs/>
        </w:rPr>
      </w:pPr>
    </w:p>
    <w:p w14:paraId="3E6ED0B3" w14:textId="0FA78826" w:rsidR="00E875C4" w:rsidRDefault="00960DA3" w:rsidP="001F72A8">
      <w:r w:rsidRPr="00960DA3">
        <w:rPr>
          <w:b/>
          <w:bCs/>
        </w:rPr>
        <w:t>APPENDIX 1:</w:t>
      </w:r>
      <w:r>
        <w:t xml:space="preserve"> Possible solutions to barriers identified by the PPPO</w:t>
      </w:r>
    </w:p>
    <w:tbl>
      <w:tblPr>
        <w:tblW w:w="0" w:type="auto"/>
        <w:tblCellSpacing w:w="15" w:type="dxa"/>
        <w:tblInd w:w="-638" w:type="dxa"/>
        <w:tblLayout w:type="fixed"/>
        <w:tblCellMar>
          <w:top w:w="15" w:type="dxa"/>
          <w:left w:w="15" w:type="dxa"/>
          <w:bottom w:w="15" w:type="dxa"/>
          <w:right w:w="15" w:type="dxa"/>
        </w:tblCellMar>
        <w:tblLook w:val="04A0" w:firstRow="1" w:lastRow="0" w:firstColumn="1" w:lastColumn="0" w:noHBand="0" w:noVBand="1"/>
      </w:tblPr>
      <w:tblGrid>
        <w:gridCol w:w="2615"/>
        <w:gridCol w:w="2268"/>
        <w:gridCol w:w="2410"/>
        <w:gridCol w:w="2355"/>
      </w:tblGrid>
      <w:tr w:rsidR="009E13E2" w:rsidRPr="00657FBF" w14:paraId="408ECE11" w14:textId="77777777" w:rsidTr="00B45816">
        <w:trPr>
          <w:trHeight w:val="515"/>
          <w:tblHeader/>
          <w:tblCellSpacing w:w="15" w:type="dxa"/>
        </w:trPr>
        <w:tc>
          <w:tcPr>
            <w:tcW w:w="2570" w:type="dxa"/>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4B031EB3" w14:textId="77777777" w:rsidR="009E13E2" w:rsidRPr="00782FA4" w:rsidRDefault="009E13E2" w:rsidP="00657FBF">
            <w:pPr>
              <w:rPr>
                <w:rFonts w:ascii="Arial" w:eastAsia="Times New Roman" w:hAnsi="Arial" w:cs="Arial"/>
                <w:b/>
                <w:bCs/>
                <w:sz w:val="20"/>
                <w:szCs w:val="20"/>
                <w:lang w:eastAsia="en-NZ"/>
              </w:rPr>
            </w:pPr>
            <w:r w:rsidRPr="00782FA4">
              <w:rPr>
                <w:rFonts w:ascii="Arial" w:eastAsia="Times New Roman" w:hAnsi="Arial" w:cs="Arial"/>
                <w:b/>
                <w:bCs/>
                <w:sz w:val="20"/>
                <w:szCs w:val="20"/>
                <w:lang w:eastAsia="en-NZ"/>
              </w:rPr>
              <w:t>Barrier</w:t>
            </w:r>
          </w:p>
        </w:tc>
        <w:tc>
          <w:tcPr>
            <w:tcW w:w="2238"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51BD945D" w14:textId="77777777" w:rsidR="009E13E2" w:rsidRPr="00782FA4" w:rsidRDefault="009E13E2" w:rsidP="00C16AC5">
            <w:pPr>
              <w:jc w:val="center"/>
              <w:rPr>
                <w:rFonts w:ascii="Arial" w:eastAsia="Times New Roman" w:hAnsi="Arial" w:cs="Arial"/>
                <w:b/>
                <w:bCs/>
                <w:sz w:val="20"/>
                <w:szCs w:val="20"/>
                <w:lang w:eastAsia="en-NZ"/>
              </w:rPr>
            </w:pPr>
            <w:r w:rsidRPr="00782FA4">
              <w:rPr>
                <w:rFonts w:ascii="Arial" w:eastAsia="Times New Roman" w:hAnsi="Arial" w:cs="Arial"/>
                <w:b/>
                <w:bCs/>
                <w:sz w:val="20"/>
                <w:szCs w:val="20"/>
                <w:lang w:eastAsia="en-NZ"/>
              </w:rPr>
              <w:t>Description</w:t>
            </w:r>
          </w:p>
        </w:tc>
        <w:tc>
          <w:tcPr>
            <w:tcW w:w="2380"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70F19DBB" w14:textId="5114950E" w:rsidR="009E13E2" w:rsidRPr="00782FA4" w:rsidRDefault="00FE15C9" w:rsidP="00C16AC5">
            <w:pPr>
              <w:jc w:val="center"/>
              <w:rPr>
                <w:rFonts w:ascii="Arial" w:eastAsia="Times New Roman" w:hAnsi="Arial" w:cs="Arial"/>
                <w:b/>
                <w:bCs/>
                <w:sz w:val="20"/>
                <w:szCs w:val="20"/>
                <w:lang w:eastAsia="en-NZ"/>
              </w:rPr>
            </w:pPr>
            <w:r w:rsidRPr="00657FBF">
              <w:rPr>
                <w:rFonts w:ascii="Arial" w:eastAsia="Times New Roman" w:hAnsi="Arial" w:cs="Arial"/>
                <w:b/>
                <w:bCs/>
                <w:sz w:val="20"/>
                <w:szCs w:val="20"/>
                <w:lang w:eastAsia="en-NZ"/>
              </w:rPr>
              <w:t>Possible</w:t>
            </w:r>
            <w:r w:rsidR="009E13E2" w:rsidRPr="00782FA4">
              <w:rPr>
                <w:rFonts w:ascii="Arial" w:eastAsia="Times New Roman" w:hAnsi="Arial" w:cs="Arial"/>
                <w:b/>
                <w:bCs/>
                <w:sz w:val="20"/>
                <w:szCs w:val="20"/>
                <w:lang w:eastAsia="en-NZ"/>
              </w:rPr>
              <w:t xml:space="preserve"> Solutions</w:t>
            </w:r>
          </w:p>
        </w:tc>
        <w:tc>
          <w:tcPr>
            <w:tcW w:w="2310"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03D08FF" w14:textId="22811E09" w:rsidR="009E13E2" w:rsidRPr="00782FA4" w:rsidRDefault="009E13E2" w:rsidP="00C16AC5">
            <w:pPr>
              <w:jc w:val="center"/>
              <w:rPr>
                <w:rFonts w:ascii="Arial" w:eastAsia="Times New Roman" w:hAnsi="Arial" w:cs="Arial"/>
                <w:b/>
                <w:bCs/>
                <w:sz w:val="20"/>
                <w:szCs w:val="20"/>
                <w:lang w:eastAsia="en-NZ"/>
              </w:rPr>
            </w:pPr>
            <w:r w:rsidRPr="00782FA4">
              <w:rPr>
                <w:rFonts w:ascii="Arial" w:eastAsia="Times New Roman" w:hAnsi="Arial" w:cs="Arial"/>
                <w:b/>
                <w:bCs/>
                <w:sz w:val="20"/>
                <w:szCs w:val="20"/>
                <w:lang w:eastAsia="en-NZ"/>
              </w:rPr>
              <w:t>Who Could Lead or Support</w:t>
            </w:r>
            <w:r w:rsidR="00613153">
              <w:rPr>
                <w:rFonts w:ascii="Arial" w:eastAsia="Times New Roman" w:hAnsi="Arial" w:cs="Arial"/>
                <w:b/>
                <w:bCs/>
                <w:sz w:val="20"/>
                <w:szCs w:val="20"/>
                <w:lang w:eastAsia="en-NZ"/>
              </w:rPr>
              <w:t>?</w:t>
            </w:r>
          </w:p>
        </w:tc>
      </w:tr>
      <w:tr w:rsidR="009E13E2" w:rsidRPr="00782FA4" w14:paraId="4432053C" w14:textId="77777777" w:rsidTr="00B45816">
        <w:trPr>
          <w:tblCellSpacing w:w="15" w:type="dxa"/>
        </w:trPr>
        <w:tc>
          <w:tcPr>
            <w:tcW w:w="2570"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41843B31" w14:textId="77777777" w:rsidR="009E13E2" w:rsidRPr="005D7D11" w:rsidRDefault="009E13E2" w:rsidP="00960DA3">
            <w:pPr>
              <w:pStyle w:val="ListParagraph"/>
              <w:numPr>
                <w:ilvl w:val="0"/>
                <w:numId w:val="7"/>
              </w:numPr>
              <w:spacing w:line="240" w:lineRule="auto"/>
              <w:ind w:left="1164" w:hanging="284"/>
              <w:rPr>
                <w:rFonts w:ascii="Times New Roman" w:hAnsi="Times New Roman"/>
                <w:lang w:eastAsia="en-NZ"/>
              </w:rPr>
            </w:pPr>
            <w:r w:rsidRPr="005D7D11">
              <w:rPr>
                <w:rFonts w:ascii="Times New Roman" w:hAnsi="Times New Roman"/>
                <w:b/>
                <w:bCs/>
                <w:lang w:eastAsia="en-NZ"/>
              </w:rPr>
              <w:t xml:space="preserve">Lack of </w:t>
            </w:r>
            <w:r>
              <w:rPr>
                <w:rFonts w:ascii="Times New Roman" w:hAnsi="Times New Roman"/>
                <w:b/>
                <w:bCs/>
                <w:lang w:eastAsia="en-NZ"/>
              </w:rPr>
              <w:t>r</w:t>
            </w:r>
            <w:r w:rsidRPr="005D7D11">
              <w:rPr>
                <w:rFonts w:ascii="Times New Roman" w:hAnsi="Times New Roman"/>
                <w:b/>
                <w:bCs/>
                <w:lang w:eastAsia="en-NZ"/>
              </w:rPr>
              <w:t xml:space="preserve">egional </w:t>
            </w:r>
            <w:r>
              <w:rPr>
                <w:rFonts w:ascii="Times New Roman" w:hAnsi="Times New Roman"/>
                <w:b/>
                <w:bCs/>
                <w:lang w:eastAsia="en-NZ"/>
              </w:rPr>
              <w:t>a</w:t>
            </w:r>
            <w:r w:rsidRPr="005D7D11">
              <w:rPr>
                <w:rFonts w:ascii="Times New Roman" w:hAnsi="Times New Roman"/>
                <w:b/>
                <w:bCs/>
                <w:lang w:eastAsia="en-NZ"/>
              </w:rPr>
              <w:t>daptability</w:t>
            </w:r>
          </w:p>
        </w:tc>
        <w:tc>
          <w:tcPr>
            <w:tcW w:w="2238" w:type="dxa"/>
            <w:tcBorders>
              <w:bottom w:val="single" w:sz="6" w:space="0" w:color="E6E6E6"/>
              <w:right w:val="single" w:sz="6" w:space="0" w:color="E6E6E6"/>
            </w:tcBorders>
            <w:tcMar>
              <w:top w:w="120" w:type="dxa"/>
              <w:left w:w="180" w:type="dxa"/>
              <w:bottom w:w="105" w:type="dxa"/>
              <w:right w:w="120" w:type="dxa"/>
            </w:tcMar>
            <w:hideMark/>
          </w:tcPr>
          <w:p w14:paraId="08DFA6F0" w14:textId="77777777" w:rsidR="009E13E2" w:rsidRPr="00782FA4" w:rsidRDefault="009E13E2" w:rsidP="00C16AC5">
            <w:pPr>
              <w:rPr>
                <w:rFonts w:eastAsia="Times New Roman"/>
                <w:lang w:eastAsia="en-NZ"/>
              </w:rPr>
            </w:pPr>
            <w:r w:rsidRPr="00782FA4">
              <w:rPr>
                <w:rFonts w:eastAsia="Times New Roman"/>
                <w:lang w:eastAsia="en-NZ"/>
              </w:rPr>
              <w:t>ISPMs assume infrastructure and capacity typical of high-volume or well-resourced countries, making them difficult to implement in small or resource-constrained regions like the Pacific.</w:t>
            </w:r>
          </w:p>
        </w:tc>
        <w:tc>
          <w:tcPr>
            <w:tcW w:w="2380" w:type="dxa"/>
            <w:tcBorders>
              <w:bottom w:val="single" w:sz="6" w:space="0" w:color="E6E6E6"/>
              <w:right w:val="single" w:sz="6" w:space="0" w:color="E6E6E6"/>
            </w:tcBorders>
            <w:tcMar>
              <w:top w:w="120" w:type="dxa"/>
              <w:left w:w="180" w:type="dxa"/>
              <w:bottom w:w="105" w:type="dxa"/>
              <w:right w:w="120" w:type="dxa"/>
            </w:tcMar>
            <w:hideMark/>
          </w:tcPr>
          <w:p w14:paraId="0713FA64" w14:textId="15BFCA9D" w:rsidR="009E13E2" w:rsidRDefault="009E13E2" w:rsidP="00960DA3">
            <w:pPr>
              <w:pStyle w:val="ListParagraph"/>
              <w:numPr>
                <w:ilvl w:val="0"/>
                <w:numId w:val="5"/>
              </w:numPr>
              <w:spacing w:line="240" w:lineRule="auto"/>
              <w:ind w:left="1163" w:hanging="283"/>
              <w:rPr>
                <w:rFonts w:ascii="Times New Roman" w:hAnsi="Times New Roman"/>
                <w:lang w:eastAsia="en-NZ"/>
              </w:rPr>
            </w:pPr>
            <w:r w:rsidRPr="00DB0271">
              <w:rPr>
                <w:rFonts w:ascii="Times New Roman" w:hAnsi="Times New Roman"/>
                <w:lang w:eastAsia="en-NZ"/>
              </w:rPr>
              <w:t xml:space="preserve">Develop adaptable implementation </w:t>
            </w:r>
            <w:r>
              <w:rPr>
                <w:rFonts w:ascii="Times New Roman" w:hAnsi="Times New Roman"/>
                <w:lang w:eastAsia="en-NZ"/>
              </w:rPr>
              <w:t>material</w:t>
            </w:r>
            <w:r w:rsidRPr="00DB0271">
              <w:rPr>
                <w:rFonts w:ascii="Times New Roman" w:hAnsi="Times New Roman"/>
                <w:lang w:eastAsia="en-NZ"/>
              </w:rPr>
              <w:t>s.</w:t>
            </w:r>
          </w:p>
          <w:p w14:paraId="24798075" w14:textId="77777777" w:rsidR="009E13E2" w:rsidRPr="00DB0271" w:rsidRDefault="009E13E2" w:rsidP="00960DA3">
            <w:pPr>
              <w:pStyle w:val="ListParagraph"/>
              <w:numPr>
                <w:ilvl w:val="0"/>
                <w:numId w:val="5"/>
              </w:numPr>
              <w:spacing w:line="240" w:lineRule="auto"/>
              <w:ind w:left="1163" w:hanging="283"/>
              <w:rPr>
                <w:rFonts w:ascii="Times New Roman" w:hAnsi="Times New Roman"/>
                <w:lang w:eastAsia="en-NZ"/>
              </w:rPr>
            </w:pPr>
            <w:r w:rsidRPr="00DB0271">
              <w:rPr>
                <w:rFonts w:ascii="Times New Roman" w:hAnsi="Times New Roman"/>
                <w:lang w:eastAsia="en-NZ"/>
              </w:rPr>
              <w:t>Conduct regional impact assessments.</w:t>
            </w:r>
          </w:p>
        </w:tc>
        <w:tc>
          <w:tcPr>
            <w:tcW w:w="2310" w:type="dxa"/>
            <w:tcBorders>
              <w:bottom w:val="single" w:sz="6" w:space="0" w:color="E6E6E6"/>
              <w:right w:val="single" w:sz="6" w:space="0" w:color="E6E6E6"/>
            </w:tcBorders>
            <w:tcMar>
              <w:top w:w="120" w:type="dxa"/>
              <w:left w:w="180" w:type="dxa"/>
              <w:bottom w:w="105" w:type="dxa"/>
              <w:right w:w="120" w:type="dxa"/>
            </w:tcMar>
            <w:hideMark/>
          </w:tcPr>
          <w:p w14:paraId="6441CFD5" w14:textId="77777777" w:rsidR="009E13E2" w:rsidRPr="00DB0271" w:rsidRDefault="009E13E2" w:rsidP="00960DA3">
            <w:pPr>
              <w:pStyle w:val="ListParagraph"/>
              <w:numPr>
                <w:ilvl w:val="0"/>
                <w:numId w:val="6"/>
              </w:numPr>
              <w:spacing w:line="240" w:lineRule="auto"/>
              <w:ind w:left="1163" w:hanging="283"/>
              <w:rPr>
                <w:rFonts w:ascii="Times New Roman" w:hAnsi="Times New Roman"/>
                <w:lang w:eastAsia="en-NZ"/>
              </w:rPr>
            </w:pPr>
            <w:r w:rsidRPr="00DB0271">
              <w:rPr>
                <w:rFonts w:ascii="Times New Roman" w:hAnsi="Times New Roman"/>
                <w:lang w:eastAsia="en-NZ"/>
              </w:rPr>
              <w:t xml:space="preserve">IPPC </w:t>
            </w:r>
            <w:r>
              <w:rPr>
                <w:rFonts w:ascii="Times New Roman" w:hAnsi="Times New Roman"/>
                <w:lang w:eastAsia="en-NZ"/>
              </w:rPr>
              <w:t>SC</w:t>
            </w:r>
          </w:p>
          <w:p w14:paraId="4BCF1B95" w14:textId="77777777" w:rsidR="009E13E2" w:rsidRPr="00DB0271" w:rsidRDefault="009E13E2" w:rsidP="00960DA3">
            <w:pPr>
              <w:pStyle w:val="ListParagraph"/>
              <w:numPr>
                <w:ilvl w:val="0"/>
                <w:numId w:val="6"/>
              </w:numPr>
              <w:spacing w:line="240" w:lineRule="auto"/>
              <w:ind w:left="1163" w:hanging="283"/>
              <w:rPr>
                <w:rFonts w:ascii="Times New Roman" w:hAnsi="Times New Roman"/>
                <w:lang w:eastAsia="en-NZ"/>
              </w:rPr>
            </w:pPr>
            <w:r>
              <w:rPr>
                <w:rFonts w:ascii="Times New Roman" w:hAnsi="Times New Roman"/>
                <w:lang w:eastAsia="en-NZ"/>
              </w:rPr>
              <w:t>RPPOs</w:t>
            </w:r>
            <w:r w:rsidRPr="00DB0271">
              <w:rPr>
                <w:rFonts w:ascii="Times New Roman" w:hAnsi="Times New Roman"/>
                <w:lang w:eastAsia="en-NZ"/>
              </w:rPr>
              <w:t xml:space="preserve"> </w:t>
            </w:r>
          </w:p>
          <w:p w14:paraId="636210F9" w14:textId="77777777" w:rsidR="009E13E2" w:rsidRPr="00DB0271" w:rsidRDefault="009E13E2" w:rsidP="00960DA3">
            <w:pPr>
              <w:pStyle w:val="ListParagraph"/>
              <w:numPr>
                <w:ilvl w:val="0"/>
                <w:numId w:val="6"/>
              </w:numPr>
              <w:spacing w:line="240" w:lineRule="auto"/>
              <w:ind w:left="1163" w:hanging="283"/>
              <w:rPr>
                <w:rFonts w:ascii="Times New Roman" w:hAnsi="Times New Roman"/>
                <w:lang w:eastAsia="en-NZ"/>
              </w:rPr>
            </w:pPr>
            <w:r w:rsidRPr="00DB0271">
              <w:rPr>
                <w:rFonts w:ascii="Times New Roman" w:hAnsi="Times New Roman"/>
                <w:lang w:eastAsia="en-NZ"/>
              </w:rPr>
              <w:t>FAO/STDF-funded projects</w:t>
            </w:r>
          </w:p>
        </w:tc>
      </w:tr>
      <w:tr w:rsidR="009E13E2" w:rsidRPr="00782FA4" w14:paraId="1D5CACE9" w14:textId="77777777" w:rsidTr="00B45816">
        <w:trPr>
          <w:tblCellSpacing w:w="15" w:type="dxa"/>
        </w:trPr>
        <w:tc>
          <w:tcPr>
            <w:tcW w:w="2570"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4DFFB466" w14:textId="77777777" w:rsidR="009E13E2" w:rsidRPr="005D7D11" w:rsidRDefault="009E13E2" w:rsidP="00960DA3">
            <w:pPr>
              <w:pStyle w:val="ListParagraph"/>
              <w:numPr>
                <w:ilvl w:val="0"/>
                <w:numId w:val="7"/>
              </w:numPr>
              <w:spacing w:line="240" w:lineRule="auto"/>
              <w:ind w:left="1164" w:hanging="284"/>
              <w:rPr>
                <w:rFonts w:ascii="Times New Roman" w:hAnsi="Times New Roman"/>
                <w:lang w:eastAsia="en-NZ"/>
              </w:rPr>
            </w:pPr>
            <w:r w:rsidRPr="005D7D11">
              <w:rPr>
                <w:rFonts w:ascii="Times New Roman" w:hAnsi="Times New Roman"/>
                <w:b/>
                <w:bCs/>
                <w:lang w:eastAsia="en-NZ"/>
              </w:rPr>
              <w:t xml:space="preserve">Overly </w:t>
            </w:r>
            <w:r>
              <w:rPr>
                <w:rFonts w:ascii="Times New Roman" w:hAnsi="Times New Roman"/>
                <w:b/>
                <w:bCs/>
                <w:lang w:eastAsia="en-NZ"/>
              </w:rPr>
              <w:t>p</w:t>
            </w:r>
            <w:r w:rsidRPr="005D7D11">
              <w:rPr>
                <w:rFonts w:ascii="Times New Roman" w:hAnsi="Times New Roman"/>
                <w:b/>
                <w:bCs/>
                <w:lang w:eastAsia="en-NZ"/>
              </w:rPr>
              <w:t xml:space="preserve">rescriptive and </w:t>
            </w:r>
            <w:r>
              <w:rPr>
                <w:rFonts w:ascii="Times New Roman" w:hAnsi="Times New Roman"/>
                <w:b/>
                <w:bCs/>
                <w:lang w:eastAsia="en-NZ"/>
              </w:rPr>
              <w:t>i</w:t>
            </w:r>
            <w:r w:rsidRPr="005D7D11">
              <w:rPr>
                <w:rFonts w:ascii="Times New Roman" w:hAnsi="Times New Roman"/>
                <w:b/>
                <w:bCs/>
                <w:lang w:eastAsia="en-NZ"/>
              </w:rPr>
              <w:t xml:space="preserve">nflexible </w:t>
            </w:r>
            <w:r>
              <w:rPr>
                <w:rFonts w:ascii="Times New Roman" w:hAnsi="Times New Roman"/>
                <w:b/>
                <w:bCs/>
                <w:lang w:eastAsia="en-NZ"/>
              </w:rPr>
              <w:t>s</w:t>
            </w:r>
            <w:r w:rsidRPr="005D7D11">
              <w:rPr>
                <w:rFonts w:ascii="Times New Roman" w:hAnsi="Times New Roman"/>
                <w:b/>
                <w:bCs/>
                <w:lang w:eastAsia="en-NZ"/>
              </w:rPr>
              <w:t>tandards</w:t>
            </w:r>
          </w:p>
        </w:tc>
        <w:tc>
          <w:tcPr>
            <w:tcW w:w="2238" w:type="dxa"/>
            <w:tcBorders>
              <w:bottom w:val="single" w:sz="6" w:space="0" w:color="E6E6E6"/>
              <w:right w:val="single" w:sz="6" w:space="0" w:color="E6E6E6"/>
            </w:tcBorders>
            <w:tcMar>
              <w:top w:w="120" w:type="dxa"/>
              <w:left w:w="180" w:type="dxa"/>
              <w:bottom w:w="105" w:type="dxa"/>
              <w:right w:w="120" w:type="dxa"/>
            </w:tcMar>
            <w:hideMark/>
          </w:tcPr>
          <w:p w14:paraId="65B89295" w14:textId="77777777" w:rsidR="009E13E2" w:rsidRPr="00782FA4" w:rsidRDefault="009E13E2" w:rsidP="00C16AC5">
            <w:pPr>
              <w:rPr>
                <w:rFonts w:eastAsia="Times New Roman"/>
                <w:lang w:eastAsia="en-NZ"/>
              </w:rPr>
            </w:pPr>
            <w:r w:rsidRPr="00782FA4">
              <w:rPr>
                <w:rFonts w:eastAsia="Times New Roman"/>
                <w:lang w:eastAsia="en-NZ"/>
              </w:rPr>
              <w:t>ISPMs are often rigid and technically demanding, leaving little room for adaptation in local contexts.</w:t>
            </w:r>
          </w:p>
        </w:tc>
        <w:tc>
          <w:tcPr>
            <w:tcW w:w="2380" w:type="dxa"/>
            <w:tcBorders>
              <w:bottom w:val="single" w:sz="6" w:space="0" w:color="E6E6E6"/>
              <w:right w:val="single" w:sz="6" w:space="0" w:color="E6E6E6"/>
            </w:tcBorders>
            <w:tcMar>
              <w:top w:w="120" w:type="dxa"/>
              <w:left w:w="180" w:type="dxa"/>
              <w:bottom w:w="105" w:type="dxa"/>
              <w:right w:w="120" w:type="dxa"/>
            </w:tcMar>
            <w:hideMark/>
          </w:tcPr>
          <w:p w14:paraId="74DC3CAF" w14:textId="77777777" w:rsidR="009E13E2" w:rsidRPr="00DB0271" w:rsidRDefault="009E13E2" w:rsidP="00960DA3">
            <w:pPr>
              <w:pStyle w:val="ListParagraph"/>
              <w:numPr>
                <w:ilvl w:val="0"/>
                <w:numId w:val="6"/>
              </w:numPr>
              <w:spacing w:line="240" w:lineRule="auto"/>
              <w:ind w:left="1112" w:hanging="232"/>
              <w:rPr>
                <w:rFonts w:ascii="Times New Roman" w:hAnsi="Times New Roman"/>
                <w:lang w:eastAsia="en-NZ"/>
              </w:rPr>
            </w:pPr>
            <w:r w:rsidRPr="00DB0271">
              <w:rPr>
                <w:rFonts w:ascii="Times New Roman" w:hAnsi="Times New Roman"/>
                <w:lang w:eastAsia="en-NZ"/>
              </w:rPr>
              <w:t>Introduce tiered or modular approaches to implementation</w:t>
            </w:r>
            <w:r>
              <w:rPr>
                <w:rFonts w:ascii="Times New Roman" w:hAnsi="Times New Roman"/>
                <w:lang w:eastAsia="en-NZ"/>
              </w:rPr>
              <w:t>.</w:t>
            </w:r>
          </w:p>
          <w:p w14:paraId="40110E9E" w14:textId="77777777" w:rsidR="009E13E2" w:rsidRPr="00DB0271" w:rsidRDefault="009E13E2" w:rsidP="00960DA3">
            <w:pPr>
              <w:pStyle w:val="ListParagraph"/>
              <w:numPr>
                <w:ilvl w:val="0"/>
                <w:numId w:val="6"/>
              </w:numPr>
              <w:spacing w:line="240" w:lineRule="auto"/>
              <w:ind w:left="1112" w:hanging="232"/>
              <w:rPr>
                <w:rFonts w:ascii="Times New Roman" w:hAnsi="Times New Roman"/>
                <w:lang w:eastAsia="en-NZ"/>
              </w:rPr>
            </w:pPr>
            <w:r w:rsidRPr="00DB0271">
              <w:rPr>
                <w:rFonts w:ascii="Times New Roman" w:hAnsi="Times New Roman"/>
                <w:lang w:eastAsia="en-NZ"/>
              </w:rPr>
              <w:t>Allow for context-based options.</w:t>
            </w:r>
          </w:p>
          <w:p w14:paraId="696AA5C7" w14:textId="77777777" w:rsidR="009E13E2" w:rsidRPr="00DB0271" w:rsidRDefault="009E13E2" w:rsidP="00960DA3">
            <w:pPr>
              <w:pStyle w:val="ListParagraph"/>
              <w:numPr>
                <w:ilvl w:val="0"/>
                <w:numId w:val="6"/>
              </w:numPr>
              <w:spacing w:line="240" w:lineRule="auto"/>
              <w:ind w:left="1112" w:hanging="232"/>
              <w:rPr>
                <w:rFonts w:ascii="Times New Roman" w:hAnsi="Times New Roman"/>
                <w:lang w:eastAsia="en-NZ"/>
              </w:rPr>
            </w:pPr>
            <w:r w:rsidRPr="00DB0271">
              <w:rPr>
                <w:rFonts w:ascii="Times New Roman" w:hAnsi="Times New Roman"/>
                <w:lang w:eastAsia="en-NZ"/>
              </w:rPr>
              <w:t>Review ISPMs for flexibility during revision</w:t>
            </w:r>
            <w:r>
              <w:rPr>
                <w:rFonts w:ascii="Times New Roman" w:hAnsi="Times New Roman"/>
                <w:lang w:eastAsia="en-NZ"/>
              </w:rPr>
              <w:t>s</w:t>
            </w:r>
            <w:r w:rsidRPr="00DB0271">
              <w:rPr>
                <w:rFonts w:ascii="Times New Roman" w:hAnsi="Times New Roman"/>
                <w:lang w:eastAsia="en-NZ"/>
              </w:rPr>
              <w:t>.</w:t>
            </w:r>
          </w:p>
        </w:tc>
        <w:tc>
          <w:tcPr>
            <w:tcW w:w="2310" w:type="dxa"/>
            <w:tcBorders>
              <w:bottom w:val="single" w:sz="6" w:space="0" w:color="E6E6E6"/>
              <w:right w:val="single" w:sz="6" w:space="0" w:color="E6E6E6"/>
            </w:tcBorders>
            <w:tcMar>
              <w:top w:w="120" w:type="dxa"/>
              <w:left w:w="180" w:type="dxa"/>
              <w:bottom w:w="105" w:type="dxa"/>
              <w:right w:w="120" w:type="dxa"/>
            </w:tcMar>
            <w:hideMark/>
          </w:tcPr>
          <w:p w14:paraId="3B66B017" w14:textId="77777777" w:rsidR="009E13E2" w:rsidRPr="00DB0271" w:rsidRDefault="009E13E2" w:rsidP="00960DA3">
            <w:pPr>
              <w:pStyle w:val="ListParagraph"/>
              <w:numPr>
                <w:ilvl w:val="0"/>
                <w:numId w:val="6"/>
              </w:numPr>
              <w:spacing w:line="240" w:lineRule="auto"/>
              <w:ind w:left="1112" w:hanging="232"/>
              <w:rPr>
                <w:rFonts w:ascii="Times New Roman" w:hAnsi="Times New Roman"/>
                <w:lang w:eastAsia="en-NZ"/>
              </w:rPr>
            </w:pPr>
            <w:r w:rsidRPr="00DB0271">
              <w:rPr>
                <w:rFonts w:ascii="Times New Roman" w:hAnsi="Times New Roman"/>
                <w:lang w:eastAsia="en-NZ"/>
              </w:rPr>
              <w:t>IPPC Secretariat and Technical Panels</w:t>
            </w:r>
          </w:p>
          <w:p w14:paraId="6D7E324D" w14:textId="77777777" w:rsidR="009E13E2" w:rsidRPr="00DB0271" w:rsidRDefault="009E13E2" w:rsidP="00960DA3">
            <w:pPr>
              <w:pStyle w:val="ListParagraph"/>
              <w:numPr>
                <w:ilvl w:val="0"/>
                <w:numId w:val="6"/>
              </w:numPr>
              <w:spacing w:line="240" w:lineRule="auto"/>
              <w:ind w:left="1112" w:hanging="232"/>
              <w:rPr>
                <w:rFonts w:ascii="Times New Roman" w:hAnsi="Times New Roman"/>
                <w:lang w:eastAsia="en-NZ"/>
              </w:rPr>
            </w:pPr>
            <w:r w:rsidRPr="00DB0271">
              <w:rPr>
                <w:rFonts w:ascii="Times New Roman" w:hAnsi="Times New Roman"/>
                <w:lang w:eastAsia="en-NZ"/>
              </w:rPr>
              <w:t>NPPOs with implementation experience</w:t>
            </w:r>
          </w:p>
        </w:tc>
      </w:tr>
      <w:tr w:rsidR="009E13E2" w:rsidRPr="00782FA4" w14:paraId="0E7D5822" w14:textId="77777777" w:rsidTr="00B45816">
        <w:trPr>
          <w:trHeight w:val="860"/>
          <w:tblCellSpacing w:w="15" w:type="dxa"/>
        </w:trPr>
        <w:tc>
          <w:tcPr>
            <w:tcW w:w="2570"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076220B8" w14:textId="77777777" w:rsidR="009E13E2" w:rsidRPr="005D7D11" w:rsidRDefault="009E13E2" w:rsidP="00960DA3">
            <w:pPr>
              <w:pStyle w:val="ListParagraph"/>
              <w:numPr>
                <w:ilvl w:val="0"/>
                <w:numId w:val="7"/>
              </w:numPr>
              <w:spacing w:line="240" w:lineRule="auto"/>
              <w:ind w:left="1164" w:hanging="284"/>
              <w:rPr>
                <w:rFonts w:ascii="Times New Roman" w:hAnsi="Times New Roman"/>
                <w:lang w:eastAsia="en-NZ"/>
              </w:rPr>
            </w:pPr>
            <w:r w:rsidRPr="005D7D11">
              <w:rPr>
                <w:rFonts w:ascii="Times New Roman" w:hAnsi="Times New Roman"/>
                <w:b/>
                <w:bCs/>
                <w:lang w:eastAsia="en-NZ"/>
              </w:rPr>
              <w:t xml:space="preserve">Do </w:t>
            </w:r>
            <w:r>
              <w:rPr>
                <w:rFonts w:ascii="Times New Roman" w:hAnsi="Times New Roman"/>
                <w:b/>
                <w:bCs/>
                <w:lang w:eastAsia="en-NZ"/>
              </w:rPr>
              <w:t>n</w:t>
            </w:r>
            <w:r w:rsidRPr="005D7D11">
              <w:rPr>
                <w:rFonts w:ascii="Times New Roman" w:hAnsi="Times New Roman"/>
                <w:b/>
                <w:bCs/>
                <w:lang w:eastAsia="en-NZ"/>
              </w:rPr>
              <w:t xml:space="preserve">ot </w:t>
            </w:r>
            <w:r>
              <w:rPr>
                <w:rFonts w:ascii="Times New Roman" w:hAnsi="Times New Roman"/>
                <w:b/>
                <w:bCs/>
                <w:lang w:eastAsia="en-NZ"/>
              </w:rPr>
              <w:t>t</w:t>
            </w:r>
            <w:r w:rsidRPr="005D7D11">
              <w:rPr>
                <w:rFonts w:ascii="Times New Roman" w:hAnsi="Times New Roman"/>
                <w:b/>
                <w:bCs/>
                <w:lang w:eastAsia="en-NZ"/>
              </w:rPr>
              <w:t xml:space="preserve">arget </w:t>
            </w:r>
            <w:r>
              <w:rPr>
                <w:rFonts w:ascii="Times New Roman" w:hAnsi="Times New Roman"/>
                <w:b/>
                <w:bCs/>
                <w:lang w:eastAsia="en-NZ"/>
              </w:rPr>
              <w:t>a</w:t>
            </w:r>
            <w:r w:rsidRPr="005D7D11">
              <w:rPr>
                <w:rFonts w:ascii="Times New Roman" w:hAnsi="Times New Roman"/>
                <w:b/>
                <w:bCs/>
                <w:lang w:eastAsia="en-NZ"/>
              </w:rPr>
              <w:t xml:space="preserve">ll </w:t>
            </w:r>
            <w:r>
              <w:rPr>
                <w:rFonts w:ascii="Times New Roman" w:hAnsi="Times New Roman"/>
                <w:b/>
                <w:bCs/>
                <w:lang w:eastAsia="en-NZ"/>
              </w:rPr>
              <w:t>u</w:t>
            </w:r>
            <w:r w:rsidRPr="005D7D11">
              <w:rPr>
                <w:rFonts w:ascii="Times New Roman" w:hAnsi="Times New Roman"/>
                <w:b/>
                <w:bCs/>
                <w:lang w:eastAsia="en-NZ"/>
              </w:rPr>
              <w:t>sers/</w:t>
            </w:r>
            <w:r>
              <w:rPr>
                <w:rFonts w:ascii="Times New Roman" w:hAnsi="Times New Roman"/>
                <w:b/>
                <w:bCs/>
                <w:lang w:eastAsia="en-NZ"/>
              </w:rPr>
              <w:t xml:space="preserve"> r</w:t>
            </w:r>
            <w:r w:rsidRPr="005D7D11">
              <w:rPr>
                <w:rFonts w:ascii="Times New Roman" w:hAnsi="Times New Roman"/>
                <w:b/>
                <w:bCs/>
                <w:lang w:eastAsia="en-NZ"/>
              </w:rPr>
              <w:t xml:space="preserve">elevant </w:t>
            </w:r>
            <w:r>
              <w:rPr>
                <w:rFonts w:ascii="Times New Roman" w:hAnsi="Times New Roman"/>
                <w:b/>
                <w:bCs/>
                <w:lang w:eastAsia="en-NZ"/>
              </w:rPr>
              <w:t>a</w:t>
            </w:r>
            <w:r w:rsidRPr="005D7D11">
              <w:rPr>
                <w:rFonts w:ascii="Times New Roman" w:hAnsi="Times New Roman"/>
                <w:b/>
                <w:bCs/>
                <w:lang w:eastAsia="en-NZ"/>
              </w:rPr>
              <w:t>udiences</w:t>
            </w:r>
          </w:p>
        </w:tc>
        <w:tc>
          <w:tcPr>
            <w:tcW w:w="2238" w:type="dxa"/>
            <w:tcBorders>
              <w:bottom w:val="single" w:sz="6" w:space="0" w:color="E6E6E6"/>
              <w:right w:val="single" w:sz="6" w:space="0" w:color="E6E6E6"/>
            </w:tcBorders>
            <w:tcMar>
              <w:top w:w="120" w:type="dxa"/>
              <w:left w:w="180" w:type="dxa"/>
              <w:bottom w:w="105" w:type="dxa"/>
              <w:right w:w="120" w:type="dxa"/>
            </w:tcMar>
            <w:hideMark/>
          </w:tcPr>
          <w:p w14:paraId="5A8DDD8D" w14:textId="77777777" w:rsidR="009E13E2" w:rsidRPr="00782FA4" w:rsidRDefault="009E13E2" w:rsidP="00C16AC5">
            <w:pPr>
              <w:rPr>
                <w:rFonts w:eastAsia="Times New Roman"/>
                <w:lang w:eastAsia="en-NZ"/>
              </w:rPr>
            </w:pPr>
            <w:r w:rsidRPr="00782FA4">
              <w:rPr>
                <w:rFonts w:eastAsia="Times New Roman"/>
                <w:lang w:eastAsia="en-NZ"/>
              </w:rPr>
              <w:t>ISPMs are written for NPPOs but are used by a broader group (e.g., industry, border staff), many of whom lack technical expertise.</w:t>
            </w:r>
          </w:p>
        </w:tc>
        <w:tc>
          <w:tcPr>
            <w:tcW w:w="2380" w:type="dxa"/>
            <w:tcBorders>
              <w:bottom w:val="single" w:sz="6" w:space="0" w:color="E6E6E6"/>
              <w:right w:val="single" w:sz="6" w:space="0" w:color="E6E6E6"/>
            </w:tcBorders>
            <w:tcMar>
              <w:top w:w="120" w:type="dxa"/>
              <w:left w:w="180" w:type="dxa"/>
              <w:bottom w:w="105" w:type="dxa"/>
              <w:right w:w="120" w:type="dxa"/>
            </w:tcMar>
            <w:hideMark/>
          </w:tcPr>
          <w:p w14:paraId="0F795898"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Develop stakeholder-specific guidance and training.</w:t>
            </w:r>
          </w:p>
          <w:p w14:paraId="3D48880D"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Use plain language and visual formats.</w:t>
            </w:r>
          </w:p>
          <w:p w14:paraId="2298237B"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Translate ISPMs and materials into local languages.</w:t>
            </w:r>
          </w:p>
        </w:tc>
        <w:tc>
          <w:tcPr>
            <w:tcW w:w="2310" w:type="dxa"/>
            <w:tcBorders>
              <w:bottom w:val="single" w:sz="6" w:space="0" w:color="E6E6E6"/>
              <w:right w:val="single" w:sz="6" w:space="0" w:color="E6E6E6"/>
            </w:tcBorders>
            <w:tcMar>
              <w:top w:w="120" w:type="dxa"/>
              <w:left w:w="180" w:type="dxa"/>
              <w:bottom w:w="105" w:type="dxa"/>
              <w:right w:w="120" w:type="dxa"/>
            </w:tcMar>
            <w:hideMark/>
          </w:tcPr>
          <w:p w14:paraId="4195E779"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IPPC IC</w:t>
            </w:r>
          </w:p>
          <w:p w14:paraId="2EDDD2DE"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NPPOs and RPPOs</w:t>
            </w:r>
          </w:p>
          <w:p w14:paraId="0EEF542F"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 xml:space="preserve">Industry associations </w:t>
            </w:r>
          </w:p>
        </w:tc>
      </w:tr>
      <w:tr w:rsidR="009E13E2" w:rsidRPr="00782FA4" w14:paraId="1DF55499" w14:textId="77777777" w:rsidTr="00B45816">
        <w:trPr>
          <w:tblCellSpacing w:w="15" w:type="dxa"/>
        </w:trPr>
        <w:tc>
          <w:tcPr>
            <w:tcW w:w="2570" w:type="dxa"/>
            <w:tcBorders>
              <w:left w:val="single" w:sz="6" w:space="0" w:color="E6E6E6"/>
              <w:right w:val="single" w:sz="6" w:space="0" w:color="E6E6E6"/>
            </w:tcBorders>
            <w:tcMar>
              <w:top w:w="120" w:type="dxa"/>
              <w:left w:w="180" w:type="dxa"/>
              <w:bottom w:w="105" w:type="dxa"/>
              <w:right w:w="120" w:type="dxa"/>
            </w:tcMar>
            <w:hideMark/>
          </w:tcPr>
          <w:p w14:paraId="79AAC7A5" w14:textId="77777777" w:rsidR="009E13E2" w:rsidRPr="005D7D11" w:rsidRDefault="009E13E2" w:rsidP="00960DA3">
            <w:pPr>
              <w:pStyle w:val="ListParagraph"/>
              <w:numPr>
                <w:ilvl w:val="0"/>
                <w:numId w:val="7"/>
              </w:numPr>
              <w:spacing w:line="240" w:lineRule="auto"/>
              <w:ind w:left="1164" w:hanging="284"/>
              <w:rPr>
                <w:rFonts w:ascii="Times New Roman" w:hAnsi="Times New Roman"/>
                <w:lang w:eastAsia="en-NZ"/>
              </w:rPr>
            </w:pPr>
            <w:r w:rsidRPr="005D7D11">
              <w:rPr>
                <w:rFonts w:ascii="Times New Roman" w:hAnsi="Times New Roman"/>
                <w:b/>
                <w:bCs/>
                <w:lang w:eastAsia="en-NZ"/>
              </w:rPr>
              <w:t xml:space="preserve">Lack of </w:t>
            </w:r>
            <w:r>
              <w:rPr>
                <w:rFonts w:ascii="Times New Roman" w:hAnsi="Times New Roman"/>
                <w:b/>
                <w:bCs/>
                <w:lang w:eastAsia="en-NZ"/>
              </w:rPr>
              <w:t>c</w:t>
            </w:r>
            <w:r w:rsidRPr="005D7D11">
              <w:rPr>
                <w:rFonts w:ascii="Times New Roman" w:hAnsi="Times New Roman"/>
                <w:b/>
                <w:bCs/>
                <w:lang w:eastAsia="en-NZ"/>
              </w:rPr>
              <w:t>ross-</w:t>
            </w:r>
            <w:r>
              <w:rPr>
                <w:rFonts w:ascii="Times New Roman" w:hAnsi="Times New Roman"/>
                <w:b/>
                <w:bCs/>
                <w:lang w:eastAsia="en-NZ"/>
              </w:rPr>
              <w:t>s</w:t>
            </w:r>
            <w:r w:rsidRPr="005D7D11">
              <w:rPr>
                <w:rFonts w:ascii="Times New Roman" w:hAnsi="Times New Roman"/>
                <w:b/>
                <w:bCs/>
                <w:lang w:eastAsia="en-NZ"/>
              </w:rPr>
              <w:t xml:space="preserve">ector </w:t>
            </w:r>
            <w:r>
              <w:rPr>
                <w:rFonts w:ascii="Times New Roman" w:hAnsi="Times New Roman"/>
                <w:b/>
                <w:bCs/>
                <w:lang w:eastAsia="en-NZ"/>
              </w:rPr>
              <w:t>i</w:t>
            </w:r>
            <w:r w:rsidRPr="005D7D11">
              <w:rPr>
                <w:rFonts w:ascii="Times New Roman" w:hAnsi="Times New Roman"/>
                <w:b/>
                <w:bCs/>
                <w:lang w:eastAsia="en-NZ"/>
              </w:rPr>
              <w:t>ntegration</w:t>
            </w:r>
          </w:p>
        </w:tc>
        <w:tc>
          <w:tcPr>
            <w:tcW w:w="2238" w:type="dxa"/>
            <w:tcBorders>
              <w:right w:val="single" w:sz="6" w:space="0" w:color="E6E6E6"/>
            </w:tcBorders>
            <w:tcMar>
              <w:top w:w="120" w:type="dxa"/>
              <w:left w:w="180" w:type="dxa"/>
              <w:bottom w:w="105" w:type="dxa"/>
              <w:right w:w="120" w:type="dxa"/>
            </w:tcMar>
            <w:hideMark/>
          </w:tcPr>
          <w:p w14:paraId="27BA0718" w14:textId="77777777" w:rsidR="009E13E2" w:rsidRPr="00782FA4" w:rsidRDefault="009E13E2" w:rsidP="00C16AC5">
            <w:pPr>
              <w:rPr>
                <w:rFonts w:eastAsia="Times New Roman"/>
                <w:lang w:eastAsia="en-NZ"/>
              </w:rPr>
            </w:pPr>
            <w:r w:rsidRPr="00782FA4">
              <w:rPr>
                <w:rFonts w:eastAsia="Times New Roman"/>
                <w:lang w:eastAsia="en-NZ"/>
              </w:rPr>
              <w:t>ISPMs are siloed within plant health and do not align with broader biosecurity frameworks like One Health or whole-of-border approaches.</w:t>
            </w:r>
          </w:p>
        </w:tc>
        <w:tc>
          <w:tcPr>
            <w:tcW w:w="2380" w:type="dxa"/>
            <w:tcBorders>
              <w:right w:val="single" w:sz="6" w:space="0" w:color="E6E6E6"/>
            </w:tcBorders>
            <w:tcMar>
              <w:top w:w="120" w:type="dxa"/>
              <w:left w:w="180" w:type="dxa"/>
              <w:bottom w:w="105" w:type="dxa"/>
              <w:right w:w="120" w:type="dxa"/>
            </w:tcMar>
            <w:hideMark/>
          </w:tcPr>
          <w:p w14:paraId="26AEEAD4" w14:textId="7D5445E4"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 xml:space="preserve">Collaborate with sister organizations (e.g., </w:t>
            </w:r>
            <w:r w:rsidR="006C1AB0">
              <w:rPr>
                <w:rFonts w:ascii="Times New Roman" w:hAnsi="Times New Roman"/>
                <w:lang w:eastAsia="en-NZ"/>
              </w:rPr>
              <w:t>WOAH</w:t>
            </w:r>
            <w:r w:rsidRPr="005D7D11">
              <w:rPr>
                <w:rFonts w:ascii="Times New Roman" w:hAnsi="Times New Roman"/>
                <w:lang w:eastAsia="en-NZ"/>
              </w:rPr>
              <w:t>, WHO, WTO) to develop joint standards</w:t>
            </w:r>
            <w:r>
              <w:rPr>
                <w:rFonts w:ascii="Times New Roman" w:hAnsi="Times New Roman"/>
                <w:lang w:eastAsia="en-NZ"/>
              </w:rPr>
              <w:t xml:space="preserve"> where relevant cross-over exists</w:t>
            </w:r>
            <w:r w:rsidRPr="005D7D11">
              <w:rPr>
                <w:rFonts w:ascii="Times New Roman" w:hAnsi="Times New Roman"/>
                <w:lang w:eastAsia="en-NZ"/>
              </w:rPr>
              <w:t>.</w:t>
            </w:r>
          </w:p>
          <w:p w14:paraId="1F7388F4" w14:textId="77777777" w:rsidR="009E13E2" w:rsidRPr="00D75B02"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 xml:space="preserve">Promote cross-sectoral consultation </w:t>
            </w:r>
            <w:r>
              <w:rPr>
                <w:rFonts w:ascii="Times New Roman" w:hAnsi="Times New Roman"/>
                <w:lang w:eastAsia="en-NZ"/>
              </w:rPr>
              <w:t>on relevant ISPMs</w:t>
            </w:r>
            <w:r w:rsidRPr="00D75B02">
              <w:rPr>
                <w:rFonts w:ascii="Times New Roman" w:hAnsi="Times New Roman"/>
                <w:lang w:eastAsia="en-NZ"/>
              </w:rPr>
              <w:t>.</w:t>
            </w:r>
          </w:p>
          <w:p w14:paraId="2E59CC7D"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Align ISPMs with SPS Agreement goals.</w:t>
            </w:r>
          </w:p>
        </w:tc>
        <w:tc>
          <w:tcPr>
            <w:tcW w:w="2310" w:type="dxa"/>
            <w:tcBorders>
              <w:right w:val="single" w:sz="6" w:space="0" w:color="E6E6E6"/>
            </w:tcBorders>
            <w:tcMar>
              <w:top w:w="120" w:type="dxa"/>
              <w:left w:w="180" w:type="dxa"/>
              <w:bottom w:w="105" w:type="dxa"/>
              <w:right w:w="120" w:type="dxa"/>
            </w:tcMar>
            <w:hideMark/>
          </w:tcPr>
          <w:p w14:paraId="460694B4"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IPPC Bureau and Secretariat</w:t>
            </w:r>
          </w:p>
          <w:p w14:paraId="05838733"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Inter-agency working groups</w:t>
            </w:r>
          </w:p>
          <w:p w14:paraId="21E65FC9" w14:textId="77777777" w:rsidR="009E13E2" w:rsidRPr="005D7D11" w:rsidRDefault="009E13E2" w:rsidP="00960DA3">
            <w:pPr>
              <w:pStyle w:val="ListParagraph"/>
              <w:numPr>
                <w:ilvl w:val="0"/>
                <w:numId w:val="6"/>
              </w:numPr>
              <w:spacing w:line="240" w:lineRule="auto"/>
              <w:ind w:left="1112" w:hanging="232"/>
              <w:rPr>
                <w:rFonts w:ascii="Times New Roman" w:hAnsi="Times New Roman"/>
                <w:lang w:eastAsia="en-NZ"/>
              </w:rPr>
            </w:pPr>
            <w:r w:rsidRPr="005D7D11">
              <w:rPr>
                <w:rFonts w:ascii="Times New Roman" w:hAnsi="Times New Roman"/>
                <w:lang w:eastAsia="en-NZ"/>
              </w:rPr>
              <w:t>Regional biosecurity networks</w:t>
            </w:r>
          </w:p>
        </w:tc>
      </w:tr>
      <w:tr w:rsidR="009E13E2" w:rsidRPr="00782FA4" w14:paraId="5E13E5FB" w14:textId="77777777" w:rsidTr="00B45816">
        <w:trPr>
          <w:tblCellSpacing w:w="15" w:type="dxa"/>
        </w:trPr>
        <w:tc>
          <w:tcPr>
            <w:tcW w:w="2570" w:type="dxa"/>
            <w:tcBorders>
              <w:top w:val="single" w:sz="4" w:space="0" w:color="F2F2F2" w:themeColor="background1" w:themeShade="F2"/>
              <w:left w:val="single" w:sz="6" w:space="0" w:color="E6E6E6"/>
              <w:bottom w:val="single" w:sz="6" w:space="0" w:color="E6E6E6"/>
              <w:right w:val="single" w:sz="6" w:space="0" w:color="E6E6E6"/>
            </w:tcBorders>
            <w:tcMar>
              <w:top w:w="120" w:type="dxa"/>
              <w:left w:w="180" w:type="dxa"/>
              <w:bottom w:w="105" w:type="dxa"/>
              <w:right w:w="120" w:type="dxa"/>
            </w:tcMar>
          </w:tcPr>
          <w:p w14:paraId="67BB3C5C" w14:textId="77777777" w:rsidR="009E13E2" w:rsidRPr="00D75B02" w:rsidRDefault="009E13E2" w:rsidP="00960DA3">
            <w:pPr>
              <w:pStyle w:val="ListParagraph"/>
              <w:numPr>
                <w:ilvl w:val="0"/>
                <w:numId w:val="7"/>
              </w:numPr>
              <w:spacing w:line="240" w:lineRule="auto"/>
              <w:ind w:left="1164" w:hanging="284"/>
              <w:rPr>
                <w:rFonts w:ascii="Times New Roman" w:hAnsi="Times New Roman"/>
                <w:b/>
                <w:bCs/>
                <w:lang w:eastAsia="en-NZ"/>
              </w:rPr>
            </w:pPr>
            <w:r w:rsidRPr="00D75B02">
              <w:rPr>
                <w:rFonts w:ascii="Times New Roman" w:hAnsi="Times New Roman"/>
                <w:b/>
                <w:bCs/>
                <w:lang w:eastAsia="en-NZ"/>
              </w:rPr>
              <w:t xml:space="preserve">Lack of </w:t>
            </w:r>
            <w:r>
              <w:rPr>
                <w:rFonts w:ascii="Times New Roman" w:hAnsi="Times New Roman"/>
                <w:b/>
                <w:bCs/>
                <w:lang w:eastAsia="en-NZ"/>
              </w:rPr>
              <w:t>t</w:t>
            </w:r>
            <w:r w:rsidRPr="00D75B02">
              <w:rPr>
                <w:rFonts w:ascii="Times New Roman" w:hAnsi="Times New Roman"/>
                <w:b/>
                <w:bCs/>
                <w:lang w:eastAsia="en-NZ"/>
              </w:rPr>
              <w:t xml:space="preserve">imely </w:t>
            </w:r>
            <w:r>
              <w:rPr>
                <w:rFonts w:ascii="Times New Roman" w:hAnsi="Times New Roman"/>
                <w:b/>
                <w:bCs/>
                <w:lang w:eastAsia="en-NZ"/>
              </w:rPr>
              <w:t>d</w:t>
            </w:r>
            <w:r w:rsidRPr="00D75B02">
              <w:rPr>
                <w:rFonts w:ascii="Times New Roman" w:hAnsi="Times New Roman"/>
                <w:b/>
                <w:bCs/>
                <w:lang w:eastAsia="en-NZ"/>
              </w:rPr>
              <w:t xml:space="preserve">evelopment of </w:t>
            </w:r>
            <w:r>
              <w:rPr>
                <w:rFonts w:ascii="Times New Roman" w:hAnsi="Times New Roman"/>
                <w:b/>
                <w:bCs/>
                <w:lang w:eastAsia="en-NZ"/>
              </w:rPr>
              <w:t>g</w:t>
            </w:r>
            <w:r w:rsidRPr="00D75B02">
              <w:rPr>
                <w:rFonts w:ascii="Times New Roman" w:hAnsi="Times New Roman"/>
                <w:b/>
                <w:bCs/>
                <w:lang w:eastAsia="en-NZ"/>
              </w:rPr>
              <w:t>uidance</w:t>
            </w:r>
          </w:p>
        </w:tc>
        <w:tc>
          <w:tcPr>
            <w:tcW w:w="2238" w:type="dxa"/>
            <w:tcBorders>
              <w:top w:val="single" w:sz="4" w:space="0" w:color="F2F2F2" w:themeColor="background1" w:themeShade="F2"/>
              <w:bottom w:val="single" w:sz="6" w:space="0" w:color="E6E6E6"/>
              <w:right w:val="single" w:sz="6" w:space="0" w:color="E6E6E6"/>
            </w:tcBorders>
            <w:tcMar>
              <w:top w:w="120" w:type="dxa"/>
              <w:left w:w="180" w:type="dxa"/>
              <w:bottom w:w="105" w:type="dxa"/>
              <w:right w:w="120" w:type="dxa"/>
            </w:tcMar>
          </w:tcPr>
          <w:p w14:paraId="150779E7" w14:textId="77777777" w:rsidR="009E13E2" w:rsidRPr="00782FA4" w:rsidRDefault="009E13E2" w:rsidP="00C16AC5">
            <w:pPr>
              <w:rPr>
                <w:rFonts w:eastAsia="Times New Roman"/>
                <w:lang w:eastAsia="en-NZ"/>
              </w:rPr>
            </w:pPr>
            <w:r w:rsidRPr="00D75B02">
              <w:rPr>
                <w:rFonts w:eastAsia="Times New Roman"/>
                <w:lang w:eastAsia="en-NZ"/>
              </w:rPr>
              <w:t>Supporting materials are often delayed or missing, leaving NPPOs uncertain about how to implement ISPMs.</w:t>
            </w:r>
          </w:p>
        </w:tc>
        <w:tc>
          <w:tcPr>
            <w:tcW w:w="2380" w:type="dxa"/>
            <w:tcBorders>
              <w:top w:val="single" w:sz="4" w:space="0" w:color="F2F2F2" w:themeColor="background1" w:themeShade="F2"/>
              <w:bottom w:val="single" w:sz="6" w:space="0" w:color="E6E6E6"/>
              <w:right w:val="single" w:sz="6" w:space="0" w:color="E6E6E6"/>
            </w:tcBorders>
            <w:tcMar>
              <w:top w:w="120" w:type="dxa"/>
              <w:left w:w="180" w:type="dxa"/>
              <w:bottom w:w="105" w:type="dxa"/>
              <w:right w:w="120" w:type="dxa"/>
            </w:tcMar>
          </w:tcPr>
          <w:p w14:paraId="5ADC5CA5" w14:textId="77777777" w:rsidR="009E13E2" w:rsidRDefault="009E13E2" w:rsidP="00960DA3">
            <w:pPr>
              <w:pStyle w:val="ListParagraph"/>
              <w:numPr>
                <w:ilvl w:val="0"/>
                <w:numId w:val="6"/>
              </w:numPr>
              <w:spacing w:line="240" w:lineRule="auto"/>
              <w:ind w:left="1112" w:hanging="232"/>
              <w:rPr>
                <w:rFonts w:ascii="Times New Roman" w:hAnsi="Times New Roman"/>
                <w:lang w:eastAsia="en-NZ"/>
              </w:rPr>
            </w:pPr>
            <w:r w:rsidRPr="00D75B02">
              <w:rPr>
                <w:rFonts w:ascii="Times New Roman" w:hAnsi="Times New Roman"/>
                <w:lang w:eastAsia="en-NZ"/>
              </w:rPr>
              <w:t>Develop guidance in parallel with ISPMs.</w:t>
            </w:r>
          </w:p>
          <w:p w14:paraId="52DB1BF4" w14:textId="191BB009" w:rsidR="009E13E2" w:rsidRDefault="009E13E2" w:rsidP="00960DA3">
            <w:pPr>
              <w:pStyle w:val="ListParagraph"/>
              <w:numPr>
                <w:ilvl w:val="0"/>
                <w:numId w:val="6"/>
              </w:numPr>
              <w:spacing w:line="240" w:lineRule="auto"/>
              <w:ind w:left="1112" w:hanging="232"/>
              <w:rPr>
                <w:rFonts w:ascii="Times New Roman" w:hAnsi="Times New Roman"/>
                <w:lang w:eastAsia="en-NZ"/>
              </w:rPr>
            </w:pPr>
            <w:r w:rsidRPr="00D75B02">
              <w:rPr>
                <w:rFonts w:ascii="Times New Roman" w:hAnsi="Times New Roman"/>
                <w:lang w:eastAsia="en-NZ"/>
              </w:rPr>
              <w:t xml:space="preserve">Use </w:t>
            </w:r>
            <w:r w:rsidR="00F37B70">
              <w:rPr>
                <w:rFonts w:ascii="Times New Roman" w:hAnsi="Times New Roman"/>
                <w:lang w:eastAsia="en-NZ"/>
              </w:rPr>
              <w:t xml:space="preserve">an </w:t>
            </w:r>
            <w:r w:rsidRPr="00D75B02">
              <w:rPr>
                <w:rFonts w:ascii="Times New Roman" w:hAnsi="Times New Roman"/>
                <w:lang w:eastAsia="en-NZ"/>
              </w:rPr>
              <w:t>agile</w:t>
            </w:r>
            <w:r>
              <w:rPr>
                <w:rFonts w:ascii="Times New Roman" w:hAnsi="Times New Roman"/>
                <w:lang w:eastAsia="en-NZ"/>
              </w:rPr>
              <w:t xml:space="preserve">/ iterative approach to </w:t>
            </w:r>
            <w:r w:rsidRPr="00D75B02">
              <w:rPr>
                <w:rFonts w:ascii="Times New Roman" w:hAnsi="Times New Roman"/>
                <w:lang w:eastAsia="en-NZ"/>
              </w:rPr>
              <w:t xml:space="preserve">development </w:t>
            </w:r>
            <w:r>
              <w:rPr>
                <w:rFonts w:ascii="Times New Roman" w:hAnsi="Times New Roman"/>
                <w:lang w:eastAsia="en-NZ"/>
              </w:rPr>
              <w:t>including</w:t>
            </w:r>
            <w:r w:rsidRPr="00D75B02">
              <w:rPr>
                <w:rFonts w:ascii="Times New Roman" w:hAnsi="Times New Roman"/>
                <w:lang w:eastAsia="en-NZ"/>
              </w:rPr>
              <w:t xml:space="preserve"> pilot testing</w:t>
            </w:r>
            <w:r>
              <w:rPr>
                <w:rFonts w:ascii="Times New Roman" w:hAnsi="Times New Roman"/>
                <w:lang w:eastAsia="en-NZ"/>
              </w:rPr>
              <w:t>/ feedback loops</w:t>
            </w:r>
            <w:r w:rsidRPr="00D75B02">
              <w:rPr>
                <w:rFonts w:ascii="Times New Roman" w:hAnsi="Times New Roman"/>
                <w:lang w:eastAsia="en-NZ"/>
              </w:rPr>
              <w:t>.</w:t>
            </w:r>
          </w:p>
          <w:p w14:paraId="3ACC3CB4" w14:textId="77777777" w:rsidR="009E13E2" w:rsidRPr="00782FA4" w:rsidRDefault="009E13E2" w:rsidP="00960DA3">
            <w:pPr>
              <w:pStyle w:val="ListParagraph"/>
              <w:numPr>
                <w:ilvl w:val="0"/>
                <w:numId w:val="6"/>
              </w:numPr>
              <w:spacing w:line="240" w:lineRule="auto"/>
              <w:ind w:left="1112" w:hanging="232"/>
              <w:rPr>
                <w:rFonts w:ascii="Times New Roman" w:hAnsi="Times New Roman"/>
                <w:lang w:eastAsia="en-NZ"/>
              </w:rPr>
            </w:pPr>
            <w:r w:rsidRPr="00D75B02">
              <w:rPr>
                <w:rFonts w:ascii="Times New Roman" w:hAnsi="Times New Roman"/>
                <w:lang w:eastAsia="en-NZ"/>
              </w:rPr>
              <w:t>Create a</w:t>
            </w:r>
            <w:r>
              <w:rPr>
                <w:rFonts w:ascii="Times New Roman" w:hAnsi="Times New Roman"/>
                <w:lang w:eastAsia="en-NZ"/>
              </w:rPr>
              <w:t>n IPPC</w:t>
            </w:r>
            <w:r w:rsidRPr="00D75B02">
              <w:rPr>
                <w:rFonts w:ascii="Times New Roman" w:hAnsi="Times New Roman"/>
                <w:lang w:eastAsia="en-NZ"/>
              </w:rPr>
              <w:t xml:space="preserve"> repository of annotated examples and decision tools.</w:t>
            </w:r>
          </w:p>
        </w:tc>
        <w:tc>
          <w:tcPr>
            <w:tcW w:w="2310" w:type="dxa"/>
            <w:tcBorders>
              <w:top w:val="single" w:sz="4" w:space="0" w:color="F2F2F2" w:themeColor="background1" w:themeShade="F2"/>
              <w:bottom w:val="single" w:sz="6" w:space="0" w:color="E6E6E6"/>
              <w:right w:val="single" w:sz="6" w:space="0" w:color="E6E6E6"/>
            </w:tcBorders>
            <w:tcMar>
              <w:top w:w="120" w:type="dxa"/>
              <w:left w:w="180" w:type="dxa"/>
              <w:bottom w:w="105" w:type="dxa"/>
              <w:right w:w="120" w:type="dxa"/>
            </w:tcMar>
          </w:tcPr>
          <w:p w14:paraId="48418FCB" w14:textId="77777777" w:rsidR="009E13E2" w:rsidRPr="00D75B02" w:rsidRDefault="009E13E2" w:rsidP="00960DA3">
            <w:pPr>
              <w:pStyle w:val="ListParagraph"/>
              <w:numPr>
                <w:ilvl w:val="0"/>
                <w:numId w:val="6"/>
              </w:numPr>
              <w:spacing w:line="240" w:lineRule="auto"/>
              <w:ind w:left="1112" w:hanging="232"/>
              <w:rPr>
                <w:rFonts w:ascii="Times New Roman" w:hAnsi="Times New Roman"/>
                <w:lang w:eastAsia="en-NZ"/>
              </w:rPr>
            </w:pPr>
            <w:r w:rsidRPr="00D75B02">
              <w:rPr>
                <w:rFonts w:ascii="Times New Roman" w:hAnsi="Times New Roman"/>
                <w:lang w:eastAsia="en-NZ"/>
              </w:rPr>
              <w:t>IPPC IC</w:t>
            </w:r>
          </w:p>
          <w:p w14:paraId="163646C0" w14:textId="77777777" w:rsidR="009E13E2" w:rsidRPr="00D75B02" w:rsidRDefault="009E13E2" w:rsidP="00960DA3">
            <w:pPr>
              <w:pStyle w:val="ListParagraph"/>
              <w:numPr>
                <w:ilvl w:val="0"/>
                <w:numId w:val="6"/>
              </w:numPr>
              <w:spacing w:line="240" w:lineRule="auto"/>
              <w:ind w:left="1112" w:hanging="232"/>
              <w:rPr>
                <w:rFonts w:ascii="Times New Roman" w:hAnsi="Times New Roman"/>
                <w:lang w:eastAsia="en-NZ"/>
              </w:rPr>
            </w:pPr>
            <w:r w:rsidRPr="00D75B02">
              <w:rPr>
                <w:rFonts w:ascii="Times New Roman" w:hAnsi="Times New Roman"/>
                <w:lang w:eastAsia="en-NZ"/>
              </w:rPr>
              <w:t>NPPOs and RPPOs</w:t>
            </w:r>
          </w:p>
          <w:p w14:paraId="3B44EBB9" w14:textId="77777777" w:rsidR="009E13E2" w:rsidRPr="00782FA4" w:rsidRDefault="009E13E2" w:rsidP="00960DA3">
            <w:pPr>
              <w:pStyle w:val="ListParagraph"/>
              <w:numPr>
                <w:ilvl w:val="0"/>
                <w:numId w:val="6"/>
              </w:numPr>
              <w:spacing w:line="240" w:lineRule="auto"/>
              <w:ind w:left="1112" w:hanging="232"/>
              <w:rPr>
                <w:rFonts w:ascii="Times New Roman" w:hAnsi="Times New Roman"/>
                <w:lang w:eastAsia="en-NZ"/>
              </w:rPr>
            </w:pPr>
            <w:r w:rsidRPr="00D75B02">
              <w:rPr>
                <w:rFonts w:ascii="Times New Roman" w:hAnsi="Times New Roman"/>
                <w:lang w:eastAsia="en-NZ"/>
              </w:rPr>
              <w:t>Donor-funded technical assistance program</w:t>
            </w:r>
            <w:r>
              <w:rPr>
                <w:rFonts w:ascii="Times New Roman" w:hAnsi="Times New Roman"/>
                <w:lang w:eastAsia="en-NZ"/>
              </w:rPr>
              <w:t>me</w:t>
            </w:r>
            <w:r w:rsidRPr="00D75B02">
              <w:rPr>
                <w:rFonts w:ascii="Times New Roman" w:hAnsi="Times New Roman"/>
                <w:lang w:eastAsia="en-NZ"/>
              </w:rPr>
              <w:t>s</w:t>
            </w:r>
          </w:p>
        </w:tc>
      </w:tr>
    </w:tbl>
    <w:p w14:paraId="3C6ABCDA" w14:textId="77777777" w:rsidR="009E13E2" w:rsidRPr="00782FA4" w:rsidRDefault="009E13E2" w:rsidP="00C16AC5">
      <w:pPr>
        <w:rPr>
          <w:rFonts w:ascii="Segoe UI" w:eastAsia="Times New Roman" w:hAnsi="Segoe UI" w:cs="Segoe UI"/>
          <w:lang w:eastAsia="en-NZ"/>
        </w:rPr>
      </w:pPr>
    </w:p>
    <w:p w14:paraId="7CDF0464" w14:textId="77777777" w:rsidR="00B12ECA" w:rsidRDefault="00B12ECA">
      <w:pPr>
        <w:rPr>
          <w:b/>
          <w:bCs/>
        </w:rPr>
      </w:pPr>
      <w:r>
        <w:rPr>
          <w:b/>
          <w:bCs/>
        </w:rPr>
        <w:br w:type="page"/>
      </w:r>
    </w:p>
    <w:p w14:paraId="2B9A6062" w14:textId="7F1BB4A5" w:rsidR="00054B27" w:rsidRPr="002D2640" w:rsidRDefault="00960DA3" w:rsidP="00054B27">
      <w:r>
        <w:rPr>
          <w:b/>
          <w:bCs/>
        </w:rPr>
        <w:t>APPENDIX</w:t>
      </w:r>
      <w:r w:rsidR="00054B27" w:rsidRPr="00B12ECA">
        <w:rPr>
          <w:b/>
          <w:bCs/>
        </w:rPr>
        <w:t xml:space="preserve"> 2: </w:t>
      </w:r>
      <w:r w:rsidR="00D16779">
        <w:t>C</w:t>
      </w:r>
      <w:r w:rsidR="001E6CEC">
        <w:t>riteria-based prioritization</w:t>
      </w:r>
      <w:r w:rsidR="003E4F5B" w:rsidRPr="002D2640">
        <w:t xml:space="preserve"> process to r</w:t>
      </w:r>
      <w:r w:rsidR="00054B27" w:rsidRPr="00054B27">
        <w:t xml:space="preserve">eview and </w:t>
      </w:r>
      <w:r w:rsidR="003E4F5B" w:rsidRPr="002D2640">
        <w:t xml:space="preserve">revise </w:t>
      </w:r>
      <w:r w:rsidR="00B12ECA" w:rsidRPr="002D2640">
        <w:t>ISPMs</w:t>
      </w:r>
      <w:r w:rsidR="00255468">
        <w:t xml:space="preserve"> (which could be scaled based on need</w:t>
      </w:r>
      <w:r w:rsidR="009A1024">
        <w:t>)</w:t>
      </w:r>
    </w:p>
    <w:p w14:paraId="7C4DADB7" w14:textId="77777777" w:rsidR="00B12ECA" w:rsidRPr="00054B27" w:rsidRDefault="00B12ECA" w:rsidP="00054B27"/>
    <w:p w14:paraId="5C7056A2" w14:textId="54ECA693" w:rsidR="00054B27" w:rsidRPr="00054B27" w:rsidRDefault="00054B27" w:rsidP="00D50BD1">
      <w:pPr>
        <w:spacing w:after="120"/>
        <w:rPr>
          <w:b/>
          <w:bCs/>
        </w:rPr>
      </w:pPr>
      <w:r w:rsidRPr="00054B27">
        <w:rPr>
          <w:b/>
          <w:bCs/>
        </w:rPr>
        <w:t xml:space="preserve">Step 1: Establish </w:t>
      </w:r>
      <w:r w:rsidR="007B0813">
        <w:rPr>
          <w:b/>
          <w:bCs/>
        </w:rPr>
        <w:t>c</w:t>
      </w:r>
      <w:r w:rsidRPr="00054B27">
        <w:rPr>
          <w:b/>
          <w:bCs/>
        </w:rPr>
        <w:t xml:space="preserve">riteria for </w:t>
      </w:r>
      <w:r w:rsidR="007B0813">
        <w:rPr>
          <w:b/>
          <w:bCs/>
        </w:rPr>
        <w:t>p</w:t>
      </w:r>
      <w:r w:rsidRPr="00054B27">
        <w:rPr>
          <w:b/>
          <w:bCs/>
        </w:rPr>
        <w:t>rioritization</w:t>
      </w:r>
    </w:p>
    <w:p w14:paraId="325C57FC" w14:textId="33E666EE" w:rsidR="00E93960" w:rsidRPr="00054B27" w:rsidRDefault="00054B27" w:rsidP="00077142">
      <w:pPr>
        <w:spacing w:after="120"/>
      </w:pPr>
      <w:r w:rsidRPr="00054B27">
        <w:t>Develop a transparent, criteria-based framework to assess which ISPMs should be reviewed first. Suggested criteria</w:t>
      </w:r>
      <w:r w:rsidR="000F6873">
        <w:t xml:space="preserve"> could</w:t>
      </w:r>
      <w:r w:rsidRPr="00054B27">
        <w:t xml:space="preserve"> include</w:t>
      </w:r>
      <w:r w:rsidR="00013733">
        <w:t xml:space="preserve"> one or more of the following</w:t>
      </w:r>
      <w:r w:rsidRPr="00054B27">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15"/>
        <w:gridCol w:w="6595"/>
      </w:tblGrid>
      <w:tr w:rsidR="00054B27" w:rsidRPr="00054B27" w14:paraId="5173B155" w14:textId="77777777" w:rsidTr="00054B2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934F10B" w14:textId="77777777" w:rsidR="00054B27" w:rsidRPr="00054B27" w:rsidRDefault="00054B27" w:rsidP="00CE2C32">
            <w:pPr>
              <w:rPr>
                <w:rFonts w:ascii="Arial" w:eastAsia="Times New Roman" w:hAnsi="Arial" w:cs="Arial"/>
                <w:b/>
                <w:bCs/>
                <w:sz w:val="20"/>
                <w:szCs w:val="20"/>
                <w:lang w:eastAsia="en-NZ"/>
              </w:rPr>
            </w:pPr>
            <w:r w:rsidRPr="00054B27">
              <w:rPr>
                <w:rFonts w:ascii="Arial" w:eastAsia="Times New Roman" w:hAnsi="Arial" w:cs="Arial"/>
                <w:b/>
                <w:bCs/>
                <w:sz w:val="20"/>
                <w:szCs w:val="20"/>
                <w:lang w:eastAsia="en-NZ"/>
              </w:rPr>
              <w:t>Criteria</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6F0FEFE9" w14:textId="77777777" w:rsidR="00054B27" w:rsidRPr="00054B27" w:rsidRDefault="00054B27" w:rsidP="00CE2C32">
            <w:pPr>
              <w:jc w:val="center"/>
              <w:rPr>
                <w:rFonts w:ascii="Arial" w:eastAsia="Times New Roman" w:hAnsi="Arial" w:cs="Arial"/>
                <w:b/>
                <w:bCs/>
                <w:sz w:val="20"/>
                <w:szCs w:val="20"/>
                <w:lang w:eastAsia="en-NZ"/>
              </w:rPr>
            </w:pPr>
            <w:r w:rsidRPr="00054B27">
              <w:rPr>
                <w:rFonts w:ascii="Arial" w:eastAsia="Times New Roman" w:hAnsi="Arial" w:cs="Arial"/>
                <w:b/>
                <w:bCs/>
                <w:sz w:val="20"/>
                <w:szCs w:val="20"/>
                <w:lang w:eastAsia="en-NZ"/>
              </w:rPr>
              <w:t>Description</w:t>
            </w:r>
          </w:p>
        </w:tc>
      </w:tr>
      <w:tr w:rsidR="00054B27" w:rsidRPr="00054B27" w14:paraId="58D426FA"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5E66F51A" w14:textId="77777777" w:rsidR="00054B27" w:rsidRPr="00054B27" w:rsidRDefault="00054B27" w:rsidP="00054B27">
            <w:r w:rsidRPr="00054B27">
              <w:t>Frequency of Use</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2ED5BD83" w14:textId="2B8AD7D2" w:rsidR="00054B27" w:rsidRPr="00054B27" w:rsidRDefault="00054B27" w:rsidP="00054B27">
            <w:r w:rsidRPr="00054B27">
              <w:t>How often the ISPM is applied in trade</w:t>
            </w:r>
            <w:r w:rsidR="005C487C">
              <w:t>,</w:t>
            </w:r>
            <w:r w:rsidRPr="00054B27">
              <w:t xml:space="preserve"> regulatory </w:t>
            </w:r>
            <w:r w:rsidR="005C487C">
              <w:t xml:space="preserve">or </w:t>
            </w:r>
            <w:r w:rsidR="00312B2A">
              <w:t>scientific processes</w:t>
            </w:r>
            <w:r w:rsidRPr="00054B27">
              <w:t>.</w:t>
            </w:r>
          </w:p>
        </w:tc>
      </w:tr>
      <w:tr w:rsidR="00054B27" w:rsidRPr="00054B27" w14:paraId="6D9488A4"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5DE81D3C" w14:textId="77777777" w:rsidR="00054B27" w:rsidRPr="00054B27" w:rsidRDefault="00054B27" w:rsidP="00054B27">
            <w:r w:rsidRPr="00054B27">
              <w:t>Implementation Difficulty</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2CB66D86" w14:textId="77777777" w:rsidR="00054B27" w:rsidRPr="00054B27" w:rsidRDefault="00054B27" w:rsidP="00054B27">
            <w:r w:rsidRPr="00054B27">
              <w:t>Degree of challenge reported by NPPOs, especially from developing or small island countries.</w:t>
            </w:r>
          </w:p>
        </w:tc>
      </w:tr>
      <w:tr w:rsidR="00054B27" w:rsidRPr="00054B27" w14:paraId="240E5C30"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764AE90C" w14:textId="77777777" w:rsidR="00054B27" w:rsidRPr="00054B27" w:rsidRDefault="00054B27" w:rsidP="008429F3">
            <w:r w:rsidRPr="00054B27">
              <w:t>Impact on Market Access</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32DB59BC" w14:textId="77777777" w:rsidR="00054B27" w:rsidRPr="00054B27" w:rsidRDefault="00054B27" w:rsidP="00054B27">
            <w:r w:rsidRPr="00054B27">
              <w:t>Whether the ISPM is a barrier to trade or delays access to markets.</w:t>
            </w:r>
          </w:p>
        </w:tc>
      </w:tr>
      <w:tr w:rsidR="00054B27" w:rsidRPr="00054B27" w14:paraId="31ADBE20"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55F35D93" w14:textId="77777777" w:rsidR="00054B27" w:rsidRPr="00054B27" w:rsidRDefault="00054B27" w:rsidP="00054B27">
            <w:r w:rsidRPr="00054B27">
              <w:t>Foundational Nature</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7459BCD2" w14:textId="77777777" w:rsidR="00054B27" w:rsidRPr="00054B27" w:rsidRDefault="00054B27" w:rsidP="00054B27">
            <w:r w:rsidRPr="00054B27">
              <w:t>Whether the ISPM underpins other standards or regulatory systems (e.g., PRA standards).</w:t>
            </w:r>
          </w:p>
        </w:tc>
      </w:tr>
      <w:tr w:rsidR="00054B27" w:rsidRPr="00054B27" w14:paraId="3024B4C2"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71639296" w14:textId="77777777" w:rsidR="00054B27" w:rsidRPr="00054B27" w:rsidRDefault="00054B27" w:rsidP="00054B27">
            <w:r w:rsidRPr="00054B27">
              <w:t>Clarity and Flexibility</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13FB70D7" w14:textId="6B75BE45" w:rsidR="00054B27" w:rsidRPr="00054B27" w:rsidRDefault="00054B27" w:rsidP="00054B27">
            <w:r w:rsidRPr="00054B27">
              <w:t xml:space="preserve">Whether the ISPM is overly complex, prescriptive, or lacks </w:t>
            </w:r>
            <w:r w:rsidR="008D0A95">
              <w:t>implementation resources</w:t>
            </w:r>
            <w:r w:rsidRPr="00054B27">
              <w:t>.</w:t>
            </w:r>
          </w:p>
        </w:tc>
      </w:tr>
      <w:tr w:rsidR="00054B27" w:rsidRPr="00054B27" w14:paraId="6C68F1A3"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90" w:type="dxa"/>
              <w:right w:w="120" w:type="dxa"/>
            </w:tcMar>
            <w:hideMark/>
          </w:tcPr>
          <w:p w14:paraId="0B37495A" w14:textId="77777777" w:rsidR="00054B27" w:rsidRPr="00054B27" w:rsidRDefault="00054B27" w:rsidP="00054B27">
            <w:r w:rsidRPr="00054B27">
              <w:t>Stakeholder Reach</w:t>
            </w:r>
          </w:p>
        </w:tc>
        <w:tc>
          <w:tcPr>
            <w:tcW w:w="0" w:type="auto"/>
            <w:tcBorders>
              <w:bottom w:val="single" w:sz="6" w:space="0" w:color="E6E6E6"/>
              <w:right w:val="single" w:sz="6" w:space="0" w:color="E6E6E6"/>
            </w:tcBorders>
            <w:tcMar>
              <w:top w:w="120" w:type="dxa"/>
              <w:left w:w="180" w:type="dxa"/>
              <w:bottom w:w="90" w:type="dxa"/>
              <w:right w:w="120" w:type="dxa"/>
            </w:tcMar>
            <w:hideMark/>
          </w:tcPr>
          <w:p w14:paraId="6305B120" w14:textId="1424FD3F" w:rsidR="00054B27" w:rsidRPr="00054B27" w:rsidRDefault="00054B27" w:rsidP="00054B27">
            <w:r w:rsidRPr="00054B27">
              <w:t xml:space="preserve">Number and diversity of users affected (e.g., NPPOs, industry, </w:t>
            </w:r>
            <w:r w:rsidR="007E2001">
              <w:t>exporters, importers</w:t>
            </w:r>
            <w:r w:rsidRPr="00054B27">
              <w:t>).</w:t>
            </w:r>
          </w:p>
        </w:tc>
      </w:tr>
    </w:tbl>
    <w:p w14:paraId="110AF254" w14:textId="77777777" w:rsidR="00054B27" w:rsidRPr="00054B27" w:rsidRDefault="00D0205D" w:rsidP="00054B27">
      <w:r>
        <w:pict w14:anchorId="4942E854">
          <v:rect id="_x0000_i1025" style="width:8in;height:0" o:hrpct="0" o:hralign="center" o:hrstd="t" o:hrnoshade="t" o:hr="t" fillcolor="#424242" stroked="f"/>
        </w:pict>
      </w:r>
    </w:p>
    <w:p w14:paraId="6BFF3A95" w14:textId="4353FBDF" w:rsidR="00054B27" w:rsidRPr="00054B27" w:rsidRDefault="00054B27" w:rsidP="00D50BD1">
      <w:pPr>
        <w:spacing w:after="120"/>
        <w:rPr>
          <w:b/>
          <w:bCs/>
        </w:rPr>
      </w:pPr>
      <w:r w:rsidRPr="00054B27">
        <w:rPr>
          <w:b/>
          <w:bCs/>
        </w:rPr>
        <w:t xml:space="preserve">Step 2: Conduct a </w:t>
      </w:r>
      <w:r w:rsidR="00725DAC">
        <w:rPr>
          <w:b/>
          <w:bCs/>
        </w:rPr>
        <w:t>g</w:t>
      </w:r>
      <w:r w:rsidRPr="00054B27">
        <w:rPr>
          <w:b/>
          <w:bCs/>
        </w:rPr>
        <w:t xml:space="preserve">lobal </w:t>
      </w:r>
      <w:r w:rsidR="00725DAC">
        <w:rPr>
          <w:b/>
          <w:bCs/>
        </w:rPr>
        <w:t>s</w:t>
      </w:r>
      <w:r w:rsidRPr="00054B27">
        <w:rPr>
          <w:b/>
          <w:bCs/>
        </w:rPr>
        <w:t>urvey</w:t>
      </w:r>
    </w:p>
    <w:p w14:paraId="39775D91" w14:textId="2C51855D" w:rsidR="00054B27" w:rsidRPr="00054B27" w:rsidRDefault="00054B27" w:rsidP="00960DA3">
      <w:pPr>
        <w:numPr>
          <w:ilvl w:val="0"/>
          <w:numId w:val="8"/>
        </w:numPr>
      </w:pPr>
      <w:r w:rsidRPr="00054B27">
        <w:t>Use the </w:t>
      </w:r>
      <w:r w:rsidR="006C1AB0">
        <w:t xml:space="preserve">IPPC Observatory </w:t>
      </w:r>
      <w:r w:rsidRPr="00054B27">
        <w:t>to survey NPPOs and RPPOs.</w:t>
      </w:r>
    </w:p>
    <w:p w14:paraId="334D4BD5" w14:textId="77777777" w:rsidR="00054B27" w:rsidRPr="00054B27" w:rsidRDefault="00054B27" w:rsidP="00960DA3">
      <w:pPr>
        <w:numPr>
          <w:ilvl w:val="0"/>
          <w:numId w:val="8"/>
        </w:numPr>
      </w:pPr>
      <w:r w:rsidRPr="00054B27">
        <w:t>Collect data on which ISPMs are most used, most difficult to implement, and most in need of revision.</w:t>
      </w:r>
    </w:p>
    <w:p w14:paraId="37630126" w14:textId="104CF125" w:rsidR="00054B27" w:rsidRPr="00054B27" w:rsidRDefault="00054B27" w:rsidP="00960DA3">
      <w:pPr>
        <w:numPr>
          <w:ilvl w:val="0"/>
          <w:numId w:val="8"/>
        </w:numPr>
      </w:pPr>
      <w:r w:rsidRPr="00054B27">
        <w:t xml:space="preserve">Include qualitative feedback from underrepresented regions </w:t>
      </w:r>
      <w:r w:rsidR="00A9190A">
        <w:t>if needed</w:t>
      </w:r>
      <w:r w:rsidRPr="00054B27">
        <w:t>.</w:t>
      </w:r>
    </w:p>
    <w:p w14:paraId="6C2FCF51" w14:textId="77777777" w:rsidR="00054B27" w:rsidRPr="00054B27" w:rsidRDefault="00D0205D" w:rsidP="002D2640">
      <w:r>
        <w:pict w14:anchorId="26D7C6AB">
          <v:rect id="_x0000_i1026" style="width:8in;height:0" o:hrpct="0" o:hrstd="t" o:hrnoshade="t" o:hr="t" fillcolor="#424242" stroked="f"/>
        </w:pict>
      </w:r>
    </w:p>
    <w:p w14:paraId="01313F54" w14:textId="01861B3C" w:rsidR="00054B27" w:rsidRPr="00054B27" w:rsidRDefault="00054B27" w:rsidP="00D50BD1">
      <w:pPr>
        <w:spacing w:after="120"/>
        <w:rPr>
          <w:b/>
          <w:bCs/>
        </w:rPr>
      </w:pPr>
      <w:r w:rsidRPr="00054B27">
        <w:rPr>
          <w:b/>
          <w:bCs/>
        </w:rPr>
        <w:t xml:space="preserve">Step 3: Score and </w:t>
      </w:r>
      <w:r w:rsidR="00725DAC">
        <w:rPr>
          <w:b/>
          <w:bCs/>
        </w:rPr>
        <w:t>r</w:t>
      </w:r>
      <w:r w:rsidRPr="00054B27">
        <w:rPr>
          <w:b/>
          <w:bCs/>
        </w:rPr>
        <w:t>ank ISPMs</w:t>
      </w:r>
    </w:p>
    <w:p w14:paraId="59573861" w14:textId="77777777" w:rsidR="00054B27" w:rsidRPr="00054B27" w:rsidRDefault="00054B27" w:rsidP="00960DA3">
      <w:pPr>
        <w:numPr>
          <w:ilvl w:val="0"/>
          <w:numId w:val="9"/>
        </w:numPr>
      </w:pPr>
      <w:r w:rsidRPr="00054B27">
        <w:t>Apply the criteria to each ISPM using a scoring matrix.</w:t>
      </w:r>
    </w:p>
    <w:p w14:paraId="021ACA4B" w14:textId="0F8EDBEC" w:rsidR="00054B27" w:rsidRPr="00054B27" w:rsidRDefault="00054B27" w:rsidP="00960DA3">
      <w:pPr>
        <w:numPr>
          <w:ilvl w:val="0"/>
          <w:numId w:val="9"/>
        </w:numPr>
      </w:pPr>
      <w:r w:rsidRPr="00054B27">
        <w:t>Rank ISPMs based on total scores to identify high-priority candidate</w:t>
      </w:r>
      <w:r w:rsidR="00AC4A75">
        <w:t xml:space="preserve"> ISPM</w:t>
      </w:r>
      <w:r w:rsidRPr="00054B27">
        <w:t>s for revision.</w:t>
      </w:r>
    </w:p>
    <w:p w14:paraId="58CF5126" w14:textId="77777777" w:rsidR="00054B27" w:rsidRPr="00054B27" w:rsidRDefault="00D0205D" w:rsidP="002D2640">
      <w:r>
        <w:pict w14:anchorId="3EED5408">
          <v:rect id="_x0000_i1027" style="width:8in;height:0" o:hrpct="0" o:hrstd="t" o:hrnoshade="t" o:hr="t" fillcolor="#424242" stroked="f"/>
        </w:pict>
      </w:r>
    </w:p>
    <w:p w14:paraId="2468F799" w14:textId="503CDE72" w:rsidR="00054B27" w:rsidRPr="00054B27" w:rsidRDefault="00054B27" w:rsidP="00D50BD1">
      <w:pPr>
        <w:spacing w:after="120"/>
        <w:rPr>
          <w:b/>
          <w:bCs/>
        </w:rPr>
      </w:pPr>
      <w:r w:rsidRPr="00054B27">
        <w:rPr>
          <w:b/>
          <w:bCs/>
        </w:rPr>
        <w:t xml:space="preserve">Step </w:t>
      </w:r>
      <w:r w:rsidR="00D00C90">
        <w:rPr>
          <w:b/>
          <w:bCs/>
        </w:rPr>
        <w:t>4: Developed a phased</w:t>
      </w:r>
      <w:r w:rsidRPr="00054B27">
        <w:rPr>
          <w:b/>
          <w:bCs/>
        </w:rPr>
        <w:t xml:space="preserve"> </w:t>
      </w:r>
      <w:r w:rsidR="00725DAC">
        <w:rPr>
          <w:b/>
          <w:bCs/>
        </w:rPr>
        <w:t>t</w:t>
      </w:r>
      <w:r w:rsidRPr="00054B27">
        <w:rPr>
          <w:b/>
          <w:bCs/>
        </w:rPr>
        <w:t>imeline</w:t>
      </w:r>
      <w:r w:rsidR="00D00C90">
        <w:rPr>
          <w:b/>
          <w:bCs/>
        </w:rPr>
        <w:t xml:space="preserve"> of review </w:t>
      </w:r>
    </w:p>
    <w:p w14:paraId="69EF7C6D" w14:textId="2F66C992" w:rsidR="00054B27" w:rsidRPr="00054B27" w:rsidRDefault="00054B27" w:rsidP="002D2640">
      <w:r w:rsidRPr="00054B27">
        <w:t>Develop a multi-year timeline for ISPM review and revision, grouped into phases</w:t>
      </w:r>
      <w:r w:rsidR="00D00C90">
        <w:t>. 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1"/>
        <w:gridCol w:w="3263"/>
        <w:gridCol w:w="4086"/>
      </w:tblGrid>
      <w:tr w:rsidR="005C312A" w:rsidRPr="00054B27" w14:paraId="0B93EF5B" w14:textId="77777777" w:rsidTr="00054B27">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3854541" w14:textId="77777777" w:rsidR="00054B27" w:rsidRPr="00054B27" w:rsidRDefault="00054B27" w:rsidP="002D2640">
            <w:pPr>
              <w:rPr>
                <w:rFonts w:ascii="Arial" w:hAnsi="Arial" w:cs="Arial"/>
                <w:b/>
                <w:bCs/>
                <w:sz w:val="20"/>
                <w:szCs w:val="20"/>
              </w:rPr>
            </w:pPr>
            <w:r w:rsidRPr="00054B27">
              <w:rPr>
                <w:rFonts w:ascii="Arial" w:hAnsi="Arial" w:cs="Arial"/>
                <w:b/>
                <w:bCs/>
                <w:sz w:val="20"/>
                <w:szCs w:val="20"/>
              </w:rPr>
              <w:t>Phase</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4ABE986B" w14:textId="77777777" w:rsidR="00054B27" w:rsidRPr="00054B27" w:rsidRDefault="00054B27" w:rsidP="002D2640">
            <w:pPr>
              <w:rPr>
                <w:rFonts w:ascii="Arial" w:hAnsi="Arial" w:cs="Arial"/>
                <w:b/>
                <w:bCs/>
                <w:sz w:val="20"/>
                <w:szCs w:val="20"/>
              </w:rPr>
            </w:pPr>
            <w:r w:rsidRPr="00054B27">
              <w:rPr>
                <w:rFonts w:ascii="Arial" w:hAnsi="Arial" w:cs="Arial"/>
                <w:b/>
                <w:bCs/>
                <w:sz w:val="20"/>
                <w:szCs w:val="20"/>
              </w:rPr>
              <w:t>Focus</w:t>
            </w:r>
          </w:p>
        </w:tc>
        <w:tc>
          <w:tcPr>
            <w:tcW w:w="0" w:type="auto"/>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CEA177E" w14:textId="77777777" w:rsidR="00054B27" w:rsidRPr="00054B27" w:rsidRDefault="00054B27" w:rsidP="002D2640">
            <w:pPr>
              <w:rPr>
                <w:rFonts w:ascii="Arial" w:hAnsi="Arial" w:cs="Arial"/>
                <w:b/>
                <w:bCs/>
                <w:sz w:val="20"/>
                <w:szCs w:val="20"/>
              </w:rPr>
            </w:pPr>
            <w:r w:rsidRPr="00054B27">
              <w:rPr>
                <w:rFonts w:ascii="Arial" w:hAnsi="Arial" w:cs="Arial"/>
                <w:b/>
                <w:bCs/>
                <w:sz w:val="20"/>
                <w:szCs w:val="20"/>
              </w:rPr>
              <w:t>Example ISPMs</w:t>
            </w:r>
          </w:p>
        </w:tc>
      </w:tr>
      <w:tr w:rsidR="005C312A" w:rsidRPr="00054B27" w14:paraId="723B1A84"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45521A79" w14:textId="690206D5" w:rsidR="00054B27" w:rsidRPr="00054B27" w:rsidRDefault="00054B27" w:rsidP="002D2640">
            <w:r w:rsidRPr="00054B27">
              <w:rPr>
                <w:b/>
                <w:bCs/>
              </w:rPr>
              <w:t>Phase 1 (Years 1–</w:t>
            </w:r>
            <w:r w:rsidR="00586A76">
              <w:rPr>
                <w:b/>
                <w:bCs/>
              </w:rPr>
              <w:t>3</w:t>
            </w:r>
            <w:r w:rsidRPr="00054B27">
              <w:rPr>
                <w:b/>
                <w:bCs/>
              </w:rPr>
              <w:t>)</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79CE786F" w14:textId="77777777" w:rsidR="00054B27" w:rsidRPr="00054B27" w:rsidRDefault="00054B27" w:rsidP="002D2640">
            <w:r w:rsidRPr="00054B27">
              <w:t>High-use, high-impact, high-difficulty ISPMs</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00EF2A6C" w14:textId="291ACD58" w:rsidR="00054B27" w:rsidRPr="00054B27" w:rsidRDefault="00054B27" w:rsidP="002D2640">
            <w:r w:rsidRPr="00054B27">
              <w:t>ISPM 11 (</w:t>
            </w:r>
            <w:r w:rsidR="005C312A">
              <w:rPr>
                <w:i/>
                <w:iCs/>
              </w:rPr>
              <w:t>Pest risk analysis for quarantine pests</w:t>
            </w:r>
            <w:r w:rsidRPr="00054B27">
              <w:t>)</w:t>
            </w:r>
          </w:p>
        </w:tc>
      </w:tr>
      <w:tr w:rsidR="005C312A" w:rsidRPr="00054B27" w14:paraId="010BCA44"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0753D60" w14:textId="108DE5F2" w:rsidR="00054B27" w:rsidRPr="00054B27" w:rsidRDefault="00054B27" w:rsidP="002D2640">
            <w:r w:rsidRPr="00054B27">
              <w:rPr>
                <w:b/>
                <w:bCs/>
              </w:rPr>
              <w:t xml:space="preserve">Phase 2 (Years </w:t>
            </w:r>
            <w:r w:rsidR="00586A76">
              <w:rPr>
                <w:b/>
                <w:bCs/>
              </w:rPr>
              <w:t>4</w:t>
            </w:r>
            <w:r w:rsidRPr="00054B27">
              <w:rPr>
                <w:b/>
                <w:bCs/>
              </w:rPr>
              <w:t>–</w:t>
            </w:r>
            <w:r w:rsidR="00586A76">
              <w:rPr>
                <w:b/>
                <w:bCs/>
              </w:rPr>
              <w:t>6</w:t>
            </w:r>
            <w:r w:rsidRPr="00054B27">
              <w:rPr>
                <w:b/>
                <w:bCs/>
              </w:rPr>
              <w:t>)</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0CC0882F" w14:textId="77777777" w:rsidR="00054B27" w:rsidRPr="00054B27" w:rsidRDefault="00054B27" w:rsidP="002D2640">
            <w:r w:rsidRPr="00054B27">
              <w:t>Moderately used or moderately problematic ISPMs</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513533A9" w14:textId="7B1F9CE3" w:rsidR="00054B27" w:rsidRPr="00054B27" w:rsidRDefault="00054B27" w:rsidP="002D2640">
            <w:pPr>
              <w:rPr>
                <w:i/>
                <w:iCs/>
              </w:rPr>
            </w:pPr>
            <w:r w:rsidRPr="00054B27">
              <w:t>ISPM 20</w:t>
            </w:r>
            <w:r w:rsidR="00C34D30">
              <w:t xml:space="preserve"> (</w:t>
            </w:r>
            <w:r w:rsidR="005C312A">
              <w:rPr>
                <w:i/>
                <w:iCs/>
              </w:rPr>
              <w:t>Guidelines for a phytosanitary import regulatory system</w:t>
            </w:r>
          </w:p>
        </w:tc>
      </w:tr>
      <w:tr w:rsidR="005C312A" w:rsidRPr="00054B27" w14:paraId="1455BA62" w14:textId="77777777" w:rsidTr="00054B27">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90" w:type="dxa"/>
              <w:right w:w="120" w:type="dxa"/>
            </w:tcMar>
            <w:hideMark/>
          </w:tcPr>
          <w:p w14:paraId="3C5B4D73" w14:textId="601732D2" w:rsidR="00054B27" w:rsidRPr="00054B27" w:rsidRDefault="00054B27" w:rsidP="002D2640">
            <w:r w:rsidRPr="00054B27">
              <w:rPr>
                <w:b/>
                <w:bCs/>
              </w:rPr>
              <w:t xml:space="preserve">Phase 3 (Years </w:t>
            </w:r>
            <w:r w:rsidR="00586A76">
              <w:rPr>
                <w:b/>
                <w:bCs/>
              </w:rPr>
              <w:t>6</w:t>
            </w:r>
            <w:r w:rsidRPr="00054B27">
              <w:rPr>
                <w:b/>
                <w:bCs/>
              </w:rPr>
              <w:t>+)</w:t>
            </w:r>
          </w:p>
        </w:tc>
        <w:tc>
          <w:tcPr>
            <w:tcW w:w="0" w:type="auto"/>
            <w:tcBorders>
              <w:bottom w:val="single" w:sz="6" w:space="0" w:color="E6E6E6"/>
              <w:right w:val="single" w:sz="6" w:space="0" w:color="E6E6E6"/>
            </w:tcBorders>
            <w:tcMar>
              <w:top w:w="120" w:type="dxa"/>
              <w:left w:w="180" w:type="dxa"/>
              <w:bottom w:w="90" w:type="dxa"/>
              <w:right w:w="120" w:type="dxa"/>
            </w:tcMar>
            <w:hideMark/>
          </w:tcPr>
          <w:p w14:paraId="15B6F7D8" w14:textId="77777777" w:rsidR="00054B27" w:rsidRPr="00054B27" w:rsidRDefault="00054B27" w:rsidP="002D2640">
            <w:r w:rsidRPr="00054B27">
              <w:t>Lower-use or lower-priority ISPMs</w:t>
            </w:r>
          </w:p>
        </w:tc>
        <w:tc>
          <w:tcPr>
            <w:tcW w:w="0" w:type="auto"/>
            <w:tcBorders>
              <w:bottom w:val="single" w:sz="6" w:space="0" w:color="E6E6E6"/>
              <w:right w:val="single" w:sz="6" w:space="0" w:color="E6E6E6"/>
            </w:tcBorders>
            <w:tcMar>
              <w:top w:w="120" w:type="dxa"/>
              <w:left w:w="180" w:type="dxa"/>
              <w:bottom w:w="90" w:type="dxa"/>
              <w:right w:w="120" w:type="dxa"/>
            </w:tcMar>
            <w:hideMark/>
          </w:tcPr>
          <w:p w14:paraId="274EC7DA" w14:textId="2F6F0EB2" w:rsidR="00054B27" w:rsidRPr="00054B27" w:rsidRDefault="00B92F23" w:rsidP="002D2640">
            <w:r>
              <w:t>Diagnostic protocols</w:t>
            </w:r>
          </w:p>
        </w:tc>
      </w:tr>
    </w:tbl>
    <w:p w14:paraId="37DC0051" w14:textId="77777777" w:rsidR="00054B27" w:rsidRPr="00054B27" w:rsidRDefault="00D0205D" w:rsidP="002D2640">
      <w:r>
        <w:pict w14:anchorId="31BD7C71">
          <v:rect id="_x0000_i1028" style="width:8in;height:0" o:hrpct="0" o:hralign="center" o:hrstd="t" o:hrnoshade="t" o:hr="t" fillcolor="#424242" stroked="f"/>
        </w:pict>
      </w:r>
    </w:p>
    <w:p w14:paraId="0E04FE8B" w14:textId="19AE393A" w:rsidR="00054B27" w:rsidRPr="00054B27" w:rsidRDefault="00054B27" w:rsidP="008B66B4">
      <w:pPr>
        <w:spacing w:after="120"/>
        <w:rPr>
          <w:b/>
          <w:bCs/>
        </w:rPr>
      </w:pPr>
      <w:r w:rsidRPr="00054B27">
        <w:rPr>
          <w:b/>
          <w:bCs/>
        </w:rPr>
        <w:t xml:space="preserve">Step 5: Assign </w:t>
      </w:r>
      <w:r w:rsidR="00D00C90">
        <w:rPr>
          <w:b/>
          <w:bCs/>
        </w:rPr>
        <w:t>r</w:t>
      </w:r>
      <w:r w:rsidRPr="00054B27">
        <w:rPr>
          <w:b/>
          <w:bCs/>
        </w:rPr>
        <w:t xml:space="preserve">oles and </w:t>
      </w:r>
      <w:r w:rsidR="00D00C90">
        <w:rPr>
          <w:b/>
          <w:bCs/>
        </w:rPr>
        <w:t>r</w:t>
      </w:r>
      <w:r w:rsidRPr="00054B27">
        <w:rPr>
          <w:b/>
          <w:bCs/>
        </w:rPr>
        <w:t>esources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6608"/>
      </w:tblGrid>
      <w:tr w:rsidR="00783B73" w:rsidRPr="00783B73" w14:paraId="5ABCAA3A" w14:textId="77777777" w:rsidTr="00783B73">
        <w:trPr>
          <w:tblHeader/>
          <w:tblCellSpacing w:w="15" w:type="dxa"/>
        </w:trPr>
        <w:tc>
          <w:tcPr>
            <w:tcW w:w="2357" w:type="dxa"/>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23CAC390" w14:textId="77777777" w:rsidR="00783B73" w:rsidRPr="00783B73" w:rsidRDefault="00783B73" w:rsidP="008E1EC3">
            <w:pPr>
              <w:ind w:left="46"/>
              <w:rPr>
                <w:rFonts w:ascii="Arial" w:hAnsi="Arial" w:cs="Arial"/>
                <w:b/>
                <w:bCs/>
                <w:sz w:val="20"/>
                <w:szCs w:val="20"/>
              </w:rPr>
            </w:pPr>
            <w:r w:rsidRPr="00783B73">
              <w:rPr>
                <w:rFonts w:ascii="Arial" w:hAnsi="Arial" w:cs="Arial"/>
                <w:b/>
                <w:bCs/>
                <w:sz w:val="20"/>
                <w:szCs w:val="20"/>
              </w:rPr>
              <w:t>Entity</w:t>
            </w:r>
          </w:p>
        </w:tc>
        <w:tc>
          <w:tcPr>
            <w:tcW w:w="6563"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34BD3C3C" w14:textId="77777777" w:rsidR="00783B73" w:rsidRPr="00783B73" w:rsidRDefault="00783B73" w:rsidP="008E1EC3">
            <w:pPr>
              <w:ind w:left="90"/>
              <w:rPr>
                <w:rFonts w:ascii="Arial" w:hAnsi="Arial" w:cs="Arial"/>
                <w:b/>
                <w:bCs/>
                <w:sz w:val="20"/>
                <w:szCs w:val="20"/>
              </w:rPr>
            </w:pPr>
            <w:r w:rsidRPr="00783B73">
              <w:rPr>
                <w:rFonts w:ascii="Arial" w:hAnsi="Arial" w:cs="Arial"/>
                <w:b/>
                <w:bCs/>
                <w:sz w:val="20"/>
                <w:szCs w:val="20"/>
              </w:rPr>
              <w:t>Role</w:t>
            </w:r>
          </w:p>
        </w:tc>
      </w:tr>
      <w:tr w:rsidR="00783B73" w:rsidRPr="00783B73" w14:paraId="214857A1" w14:textId="77777777" w:rsidTr="00783B73">
        <w:trPr>
          <w:tblCellSpacing w:w="15" w:type="dxa"/>
        </w:trPr>
        <w:tc>
          <w:tcPr>
            <w:tcW w:w="2357"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12DB6A82" w14:textId="77777777" w:rsidR="00783B73" w:rsidRPr="00783B73" w:rsidRDefault="00783B73" w:rsidP="00783B73">
            <w:pPr>
              <w:ind w:left="46"/>
            </w:pPr>
            <w:r w:rsidRPr="00783B73">
              <w:t>IPPC Secretariat</w:t>
            </w:r>
          </w:p>
        </w:tc>
        <w:tc>
          <w:tcPr>
            <w:tcW w:w="6563" w:type="dxa"/>
            <w:tcBorders>
              <w:bottom w:val="single" w:sz="6" w:space="0" w:color="E6E6E6"/>
              <w:right w:val="single" w:sz="6" w:space="0" w:color="E6E6E6"/>
            </w:tcBorders>
            <w:tcMar>
              <w:top w:w="120" w:type="dxa"/>
              <w:left w:w="180" w:type="dxa"/>
              <w:bottom w:w="105" w:type="dxa"/>
              <w:right w:w="120" w:type="dxa"/>
            </w:tcMar>
            <w:hideMark/>
          </w:tcPr>
          <w:p w14:paraId="0691C53D" w14:textId="77777777" w:rsidR="00783B73" w:rsidRPr="00783B73" w:rsidRDefault="00783B73" w:rsidP="008E1EC3">
            <w:pPr>
              <w:ind w:left="90"/>
            </w:pPr>
            <w:r w:rsidRPr="00783B73">
              <w:t>Coordinate the process, manage timelines, facilitate working groups</w:t>
            </w:r>
          </w:p>
        </w:tc>
      </w:tr>
      <w:tr w:rsidR="00783B73" w:rsidRPr="00783B73" w14:paraId="040480E9" w14:textId="77777777" w:rsidTr="00783B73">
        <w:trPr>
          <w:tblCellSpacing w:w="15" w:type="dxa"/>
        </w:trPr>
        <w:tc>
          <w:tcPr>
            <w:tcW w:w="2357"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F56843E" w14:textId="7F8DD5D8" w:rsidR="00783B73" w:rsidRPr="00783B73" w:rsidRDefault="00051F6A" w:rsidP="00783B73">
            <w:pPr>
              <w:ind w:left="46"/>
            </w:pPr>
            <w:r>
              <w:t>SC</w:t>
            </w:r>
          </w:p>
        </w:tc>
        <w:tc>
          <w:tcPr>
            <w:tcW w:w="6563" w:type="dxa"/>
            <w:tcBorders>
              <w:bottom w:val="single" w:sz="6" w:space="0" w:color="E6E6E6"/>
              <w:right w:val="single" w:sz="6" w:space="0" w:color="E6E6E6"/>
            </w:tcBorders>
            <w:tcMar>
              <w:top w:w="120" w:type="dxa"/>
              <w:left w:w="180" w:type="dxa"/>
              <w:bottom w:w="105" w:type="dxa"/>
              <w:right w:w="120" w:type="dxa"/>
            </w:tcMar>
            <w:hideMark/>
          </w:tcPr>
          <w:p w14:paraId="651C26AC" w14:textId="2745F40A" w:rsidR="00783B73" w:rsidRPr="00783B73" w:rsidRDefault="00783B73" w:rsidP="008E1EC3">
            <w:pPr>
              <w:ind w:left="90"/>
            </w:pPr>
            <w:r w:rsidRPr="00783B73">
              <w:t xml:space="preserve">Lead technical review and revision of ISPMs </w:t>
            </w:r>
          </w:p>
        </w:tc>
      </w:tr>
      <w:tr w:rsidR="00783B73" w:rsidRPr="00783B73" w14:paraId="64CAED81" w14:textId="77777777" w:rsidTr="00783B73">
        <w:trPr>
          <w:tblCellSpacing w:w="15" w:type="dxa"/>
        </w:trPr>
        <w:tc>
          <w:tcPr>
            <w:tcW w:w="2357"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3BD217C0" w14:textId="6C4C9C76" w:rsidR="00783B73" w:rsidRPr="00783B73" w:rsidRDefault="00783B73" w:rsidP="00783B73">
            <w:pPr>
              <w:ind w:left="46"/>
            </w:pPr>
            <w:r w:rsidRPr="00783B73">
              <w:t>IC</w:t>
            </w:r>
          </w:p>
        </w:tc>
        <w:tc>
          <w:tcPr>
            <w:tcW w:w="6563" w:type="dxa"/>
            <w:tcBorders>
              <w:bottom w:val="single" w:sz="6" w:space="0" w:color="E6E6E6"/>
              <w:right w:val="single" w:sz="6" w:space="0" w:color="E6E6E6"/>
            </w:tcBorders>
            <w:tcMar>
              <w:top w:w="120" w:type="dxa"/>
              <w:left w:w="180" w:type="dxa"/>
              <w:bottom w:w="105" w:type="dxa"/>
              <w:right w:w="120" w:type="dxa"/>
            </w:tcMar>
            <w:hideMark/>
          </w:tcPr>
          <w:p w14:paraId="05E607EE" w14:textId="77777777" w:rsidR="00783B73" w:rsidRPr="00783B73" w:rsidRDefault="00783B73" w:rsidP="008E1EC3">
            <w:pPr>
              <w:ind w:left="90"/>
            </w:pPr>
            <w:r w:rsidRPr="00783B73">
              <w:t>Develop supporting materials and training resources</w:t>
            </w:r>
          </w:p>
        </w:tc>
      </w:tr>
      <w:tr w:rsidR="00783B73" w:rsidRPr="00783B73" w14:paraId="5B1E64A8" w14:textId="77777777" w:rsidTr="00783B73">
        <w:trPr>
          <w:tblCellSpacing w:w="15" w:type="dxa"/>
        </w:trPr>
        <w:tc>
          <w:tcPr>
            <w:tcW w:w="2357"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580668F8" w14:textId="77777777" w:rsidR="00783B73" w:rsidRPr="00783B73" w:rsidRDefault="00783B73" w:rsidP="00783B73">
            <w:pPr>
              <w:ind w:left="46"/>
            </w:pPr>
            <w:r w:rsidRPr="00783B73">
              <w:t>RPPOs and NPPOs</w:t>
            </w:r>
          </w:p>
        </w:tc>
        <w:tc>
          <w:tcPr>
            <w:tcW w:w="6563" w:type="dxa"/>
            <w:tcBorders>
              <w:bottom w:val="single" w:sz="6" w:space="0" w:color="E6E6E6"/>
              <w:right w:val="single" w:sz="6" w:space="0" w:color="E6E6E6"/>
            </w:tcBorders>
            <w:tcMar>
              <w:top w:w="120" w:type="dxa"/>
              <w:left w:w="180" w:type="dxa"/>
              <w:bottom w:w="105" w:type="dxa"/>
              <w:right w:w="120" w:type="dxa"/>
            </w:tcMar>
            <w:hideMark/>
          </w:tcPr>
          <w:p w14:paraId="08F5DCA5" w14:textId="77777777" w:rsidR="00783B73" w:rsidRPr="00783B73" w:rsidRDefault="00783B73" w:rsidP="008E1EC3">
            <w:pPr>
              <w:ind w:left="90"/>
            </w:pPr>
            <w:r w:rsidRPr="00783B73">
              <w:t>Provide regional perspectives, pilot revised standards</w:t>
            </w:r>
          </w:p>
        </w:tc>
      </w:tr>
      <w:tr w:rsidR="00783B73" w:rsidRPr="00783B73" w14:paraId="7988911A" w14:textId="77777777" w:rsidTr="00783B73">
        <w:trPr>
          <w:tblCellSpacing w:w="15" w:type="dxa"/>
        </w:trPr>
        <w:tc>
          <w:tcPr>
            <w:tcW w:w="2357" w:type="dxa"/>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38085C25" w14:textId="2EAE7E7A" w:rsidR="00783B73" w:rsidRPr="00783B73" w:rsidRDefault="00783B73" w:rsidP="00C2722A">
            <w:pPr>
              <w:ind w:left="46"/>
            </w:pPr>
            <w:r w:rsidRPr="00783B73">
              <w:t xml:space="preserve">Donors </w:t>
            </w:r>
            <w:r w:rsidR="001C0895">
              <w:t xml:space="preserve">/ industry / </w:t>
            </w:r>
            <w:r w:rsidR="00C2722A">
              <w:t xml:space="preserve">NPPO </w:t>
            </w:r>
            <w:r w:rsidR="001C0895">
              <w:t xml:space="preserve">in-kind </w:t>
            </w:r>
            <w:r w:rsidR="00C2722A">
              <w:t>contributions</w:t>
            </w:r>
          </w:p>
        </w:tc>
        <w:tc>
          <w:tcPr>
            <w:tcW w:w="6563" w:type="dxa"/>
            <w:tcBorders>
              <w:bottom w:val="single" w:sz="6" w:space="0" w:color="E6E6E6"/>
              <w:right w:val="single" w:sz="6" w:space="0" w:color="E6E6E6"/>
            </w:tcBorders>
            <w:tcMar>
              <w:top w:w="120" w:type="dxa"/>
              <w:left w:w="180" w:type="dxa"/>
              <w:bottom w:w="105" w:type="dxa"/>
              <w:right w:w="120" w:type="dxa"/>
            </w:tcMar>
            <w:hideMark/>
          </w:tcPr>
          <w:p w14:paraId="33C3CC7C" w14:textId="77777777" w:rsidR="00783B73" w:rsidRPr="00783B73" w:rsidRDefault="00783B73" w:rsidP="008E1EC3">
            <w:pPr>
              <w:ind w:left="90"/>
            </w:pPr>
            <w:r w:rsidRPr="00783B73">
              <w:t>Fund revision work, translation, and capacity building</w:t>
            </w:r>
          </w:p>
        </w:tc>
      </w:tr>
      <w:tr w:rsidR="00783B73" w:rsidRPr="00783B73" w14:paraId="11332ABD" w14:textId="77777777" w:rsidTr="00783B73">
        <w:trPr>
          <w:tblCellSpacing w:w="15" w:type="dxa"/>
        </w:trPr>
        <w:tc>
          <w:tcPr>
            <w:tcW w:w="2357" w:type="dxa"/>
            <w:tcBorders>
              <w:left w:val="single" w:sz="6" w:space="0" w:color="E6E6E6"/>
              <w:bottom w:val="single" w:sz="6" w:space="0" w:color="E6E6E6"/>
              <w:right w:val="single" w:sz="6" w:space="0" w:color="E6E6E6"/>
            </w:tcBorders>
            <w:tcMar>
              <w:top w:w="120" w:type="dxa"/>
              <w:left w:w="180" w:type="dxa"/>
              <w:bottom w:w="90" w:type="dxa"/>
              <w:right w:w="120" w:type="dxa"/>
            </w:tcMar>
            <w:hideMark/>
          </w:tcPr>
          <w:p w14:paraId="07338D68" w14:textId="77777777" w:rsidR="00783B73" w:rsidRPr="00783B73" w:rsidRDefault="00783B73" w:rsidP="008E1EC3">
            <w:pPr>
              <w:ind w:left="46"/>
            </w:pPr>
            <w:r w:rsidRPr="00783B73">
              <w:t>Technical Panels (e.g., TPDP)</w:t>
            </w:r>
          </w:p>
        </w:tc>
        <w:tc>
          <w:tcPr>
            <w:tcW w:w="6563" w:type="dxa"/>
            <w:tcBorders>
              <w:bottom w:val="single" w:sz="6" w:space="0" w:color="E6E6E6"/>
              <w:right w:val="single" w:sz="6" w:space="0" w:color="E6E6E6"/>
            </w:tcBorders>
            <w:tcMar>
              <w:top w:w="120" w:type="dxa"/>
              <w:left w:w="180" w:type="dxa"/>
              <w:bottom w:w="90" w:type="dxa"/>
              <w:right w:w="120" w:type="dxa"/>
            </w:tcMar>
            <w:hideMark/>
          </w:tcPr>
          <w:p w14:paraId="5FC4851A" w14:textId="6632D798" w:rsidR="00783B73" w:rsidRPr="00783B73" w:rsidRDefault="00783B73" w:rsidP="008E1EC3">
            <w:pPr>
              <w:ind w:left="90"/>
            </w:pPr>
            <w:r w:rsidRPr="00783B73">
              <w:t xml:space="preserve">Lead revision of </w:t>
            </w:r>
            <w:r w:rsidR="00E93B03">
              <w:t>ISPMs they are responsible for (e.g. diagnostic protocols)</w:t>
            </w:r>
          </w:p>
        </w:tc>
      </w:tr>
    </w:tbl>
    <w:p w14:paraId="4DF2F2FD" w14:textId="77777777" w:rsidR="00783B73" w:rsidRPr="00783B73" w:rsidRDefault="00783B73" w:rsidP="00783B73">
      <w:pPr>
        <w:ind w:left="720"/>
      </w:pPr>
    </w:p>
    <w:p w14:paraId="19CD1A6B" w14:textId="78933E85" w:rsidR="00054B27" w:rsidRPr="00054B27" w:rsidRDefault="00054B27" w:rsidP="00D50BD1">
      <w:pPr>
        <w:spacing w:after="120"/>
        <w:rPr>
          <w:b/>
          <w:bCs/>
        </w:rPr>
      </w:pPr>
      <w:r w:rsidRPr="00054B27">
        <w:rPr>
          <w:b/>
          <w:bCs/>
        </w:rPr>
        <w:t xml:space="preserve">Step 6: Pilot and </w:t>
      </w:r>
      <w:r w:rsidR="00D00C90">
        <w:rPr>
          <w:b/>
          <w:bCs/>
        </w:rPr>
        <w:t>i</w:t>
      </w:r>
      <w:r w:rsidRPr="00054B27">
        <w:rPr>
          <w:b/>
          <w:bCs/>
        </w:rPr>
        <w:t>terate</w:t>
      </w:r>
    </w:p>
    <w:p w14:paraId="6C7B3490" w14:textId="16FE29A3" w:rsidR="00054B27" w:rsidRPr="00054B27" w:rsidRDefault="00054B27" w:rsidP="00960DA3">
      <w:pPr>
        <w:numPr>
          <w:ilvl w:val="0"/>
          <w:numId w:val="11"/>
        </w:numPr>
      </w:pPr>
      <w:r w:rsidRPr="00054B27">
        <w:t xml:space="preserve">Pilot revised ISPMs (e.g., a </w:t>
      </w:r>
      <w:r w:rsidR="00A7397A">
        <w:t>less complex</w:t>
      </w:r>
      <w:r w:rsidRPr="00054B27">
        <w:t xml:space="preserve"> version of ISPM 11) in selected countries or regions.</w:t>
      </w:r>
    </w:p>
    <w:p w14:paraId="4D9C7345" w14:textId="65E77C7C" w:rsidR="00054B27" w:rsidRPr="00054B27" w:rsidRDefault="00054B27" w:rsidP="00960DA3">
      <w:pPr>
        <w:numPr>
          <w:ilvl w:val="0"/>
          <w:numId w:val="11"/>
        </w:numPr>
      </w:pPr>
      <w:r w:rsidRPr="00054B27">
        <w:t>Gather feedback</w:t>
      </w:r>
      <w:r w:rsidR="00A7397A">
        <w:t xml:space="preserve"> (i.e. including consultation) </w:t>
      </w:r>
      <w:r w:rsidRPr="00054B27">
        <w:t>and refine before global adoption.</w:t>
      </w:r>
    </w:p>
    <w:p w14:paraId="05FEFAC2" w14:textId="77777777" w:rsidR="00054B27" w:rsidRPr="00054B27" w:rsidRDefault="00D0205D" w:rsidP="002D2640">
      <w:r>
        <w:pict w14:anchorId="547F1D78">
          <v:rect id="_x0000_i1029" style="width:8in;height:0" o:hrpct="0" o:hralign="center" o:hrstd="t" o:hrnoshade="t" o:hr="t" fillcolor="#424242" stroked="f"/>
        </w:pict>
      </w:r>
    </w:p>
    <w:p w14:paraId="21E68C0A" w14:textId="77777777" w:rsidR="00054B27" w:rsidRPr="00054B27" w:rsidRDefault="00054B27" w:rsidP="00D50BD1">
      <w:pPr>
        <w:spacing w:after="120"/>
        <w:rPr>
          <w:b/>
          <w:bCs/>
        </w:rPr>
      </w:pPr>
      <w:r w:rsidRPr="00054B27">
        <w:rPr>
          <w:b/>
          <w:bCs/>
        </w:rPr>
        <w:t>Step 7: Communicate and Monitor</w:t>
      </w:r>
    </w:p>
    <w:p w14:paraId="249731E1" w14:textId="77777777" w:rsidR="00054B27" w:rsidRPr="00054B27" w:rsidRDefault="00054B27" w:rsidP="00960DA3">
      <w:pPr>
        <w:numPr>
          <w:ilvl w:val="0"/>
          <w:numId w:val="12"/>
        </w:numPr>
      </w:pPr>
      <w:r w:rsidRPr="00054B27">
        <w:t>Publish the prioritization framework and timeline on the IPPC website.</w:t>
      </w:r>
    </w:p>
    <w:p w14:paraId="57613AD6" w14:textId="77777777" w:rsidR="00054B27" w:rsidRPr="00054B27" w:rsidRDefault="00054B27" w:rsidP="00960DA3">
      <w:pPr>
        <w:numPr>
          <w:ilvl w:val="0"/>
          <w:numId w:val="12"/>
        </w:numPr>
      </w:pPr>
      <w:r w:rsidRPr="00054B27">
        <w:t>Provide regular updates to NPPOs and stakeholders.</w:t>
      </w:r>
    </w:p>
    <w:p w14:paraId="481B0320" w14:textId="134680E6" w:rsidR="00054B27" w:rsidRDefault="00054B27" w:rsidP="00960DA3">
      <w:pPr>
        <w:numPr>
          <w:ilvl w:val="0"/>
          <w:numId w:val="12"/>
        </w:numPr>
      </w:pPr>
      <w:r w:rsidRPr="00054B27">
        <w:t xml:space="preserve">Use </w:t>
      </w:r>
      <w:r w:rsidR="006C1AB0">
        <w:t>the IPPC Observatory</w:t>
      </w:r>
      <w:r w:rsidR="006C1AB0" w:rsidRPr="00054B27">
        <w:t xml:space="preserve"> </w:t>
      </w:r>
      <w:r w:rsidRPr="00054B27">
        <w:t>to monitor implementation and identify emerging issues.</w:t>
      </w:r>
    </w:p>
    <w:p w14:paraId="5BBA5D52" w14:textId="77777777" w:rsidR="00C760DA" w:rsidRDefault="00C760DA" w:rsidP="00C760DA"/>
    <w:p w14:paraId="644C95B1" w14:textId="786C56F9" w:rsidR="00181340" w:rsidRDefault="00181340"/>
    <w:sectPr w:rsidR="00181340" w:rsidSect="008F2F2C">
      <w:head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2065D" w14:textId="77777777" w:rsidR="003F2006" w:rsidRDefault="003F2006" w:rsidP="004C1A36">
      <w:r>
        <w:separator/>
      </w:r>
    </w:p>
  </w:endnote>
  <w:endnote w:type="continuationSeparator" w:id="0">
    <w:p w14:paraId="34FAF2FF" w14:textId="77777777" w:rsidR="003F2006" w:rsidRDefault="003F2006" w:rsidP="004C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66773" w14:textId="39D979EE" w:rsidR="00AE4B49" w:rsidRDefault="00AE4B49">
    <w:pPr>
      <w:pStyle w:val="Footer"/>
    </w:pPr>
    <w:r>
      <w:rPr>
        <w:noProof/>
      </w:rPr>
      <mc:AlternateContent>
        <mc:Choice Requires="wps">
          <w:drawing>
            <wp:anchor distT="0" distB="0" distL="0" distR="0" simplePos="0" relativeHeight="251658243" behindDoc="0" locked="0" layoutInCell="1" allowOverlap="1" wp14:anchorId="672764C4" wp14:editId="05DF4BD1">
              <wp:simplePos x="635" y="635"/>
              <wp:positionH relativeFrom="page">
                <wp:align>center</wp:align>
              </wp:positionH>
              <wp:positionV relativeFrom="page">
                <wp:align>bottom</wp:align>
              </wp:positionV>
              <wp:extent cx="551815" cy="405765"/>
              <wp:effectExtent l="0" t="0" r="635" b="0"/>
              <wp:wrapNone/>
              <wp:docPr id="1213382176"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405765"/>
                      </a:xfrm>
                      <a:prstGeom prst="rect">
                        <a:avLst/>
                      </a:prstGeom>
                      <a:noFill/>
                      <a:ln>
                        <a:noFill/>
                      </a:ln>
                    </wps:spPr>
                    <wps:txbx>
                      <w:txbxContent>
                        <w:p w14:paraId="3F7FEA9F" w14:textId="2958AE67" w:rsidR="00AE4B49" w:rsidRPr="00AE4B49" w:rsidRDefault="00AE4B49" w:rsidP="00AE4B49">
                          <w:pPr>
                            <w:rPr>
                              <w:rFonts w:ascii="Calibri" w:eastAsia="Calibri" w:hAnsi="Calibri" w:cs="Calibri"/>
                              <w:noProof/>
                              <w:color w:val="FF0000"/>
                            </w:rPr>
                          </w:pPr>
                          <w:r w:rsidRPr="00AE4B49">
                            <w:rPr>
                              <w:rFonts w:ascii="Calibri" w:eastAsia="Calibri" w:hAnsi="Calibri" w:cs="Calibri"/>
                              <w:noProof/>
                              <w:color w:val="FF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2764C4" id="_x0000_t202" coordsize="21600,21600" o:spt="202" path="m,l,21600r21600,l21600,xe">
              <v:stroke joinstyle="miter"/>
              <v:path gradientshapeok="t" o:connecttype="rect"/>
            </v:shapetype>
            <v:shape id="Text Box 5" o:spid="_x0000_s1027" type="#_x0000_t202" alt="OFFICIAL" style="position:absolute;left:0;text-align:left;margin-left:0;margin-top:0;width:43.45pt;height:31.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" filled="f" stroked="f">
              <v:textbox style="mso-fit-shape-to-text:t" inset="0,0,0,15pt">
                <w:txbxContent>
                  <w:p w14:paraId="3F7FEA9F" w14:textId="2958AE67" w:rsidR="00AE4B49" w:rsidRPr="00AE4B49" w:rsidRDefault="00AE4B49" w:rsidP="00AE4B49">
                    <w:pPr>
                      <w:rPr>
                        <w:rFonts w:ascii="Calibri" w:eastAsia="Calibri" w:hAnsi="Calibri" w:cs="Calibri"/>
                        <w:noProof/>
                        <w:color w:val="FF0000"/>
                      </w:rPr>
                    </w:pPr>
                    <w:r w:rsidRPr="00AE4B49">
                      <w:rPr>
                        <w:rFonts w:ascii="Calibri" w:eastAsia="Calibri" w:hAnsi="Calibri" w:cs="Calibri"/>
                        <w:noProof/>
                        <w:color w:val="FF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7991" w14:textId="41A427EF" w:rsidR="00AE4B49" w:rsidRDefault="00830F3A" w:rsidP="00830F3A">
    <w:pPr>
      <w:pStyle w:val="IPPFooter"/>
    </w:pPr>
    <w:r w:rsidRPr="00A62A0E">
      <w:t>International Plant Protection Convention</w:t>
    </w:r>
    <w:r w:rsidRPr="00A62A0E">
      <w:tab/>
    </w:r>
    <w:r w:rsidRPr="00830F3A">
      <w:rPr>
        <w:rStyle w:val="PageNumber"/>
        <w:b/>
        <w:bCs/>
      </w:rPr>
      <w:t xml:space="preserve">Page </w:t>
    </w:r>
    <w:r w:rsidRPr="00830F3A">
      <w:rPr>
        <w:rStyle w:val="PageNumber"/>
        <w:b/>
        <w:bCs/>
      </w:rPr>
      <w:fldChar w:fldCharType="begin"/>
    </w:r>
    <w:r w:rsidRPr="00830F3A">
      <w:rPr>
        <w:rStyle w:val="PageNumber"/>
        <w:b/>
        <w:bCs/>
      </w:rPr>
      <w:instrText xml:space="preserve"> PAGE </w:instrText>
    </w:r>
    <w:r w:rsidRPr="00830F3A">
      <w:rPr>
        <w:rStyle w:val="PageNumber"/>
        <w:b/>
        <w:bCs/>
      </w:rPr>
      <w:fldChar w:fldCharType="separate"/>
    </w:r>
    <w:r>
      <w:rPr>
        <w:rStyle w:val="PageNumber"/>
        <w:b/>
        <w:bCs/>
      </w:rPr>
      <w:t>1</w:t>
    </w:r>
    <w:r w:rsidRPr="00830F3A">
      <w:rPr>
        <w:rStyle w:val="PageNumber"/>
        <w:b/>
        <w:bCs/>
      </w:rPr>
      <w:fldChar w:fldCharType="end"/>
    </w:r>
    <w:r w:rsidRPr="00830F3A">
      <w:rPr>
        <w:rStyle w:val="PageNumber"/>
        <w:b/>
        <w:bCs/>
      </w:rPr>
      <w:t xml:space="preserve"> of </w:t>
    </w:r>
    <w:r w:rsidRPr="00830F3A">
      <w:rPr>
        <w:rStyle w:val="PageNumber"/>
        <w:b/>
        <w:bCs/>
      </w:rPr>
      <w:fldChar w:fldCharType="begin"/>
    </w:r>
    <w:r w:rsidRPr="00830F3A">
      <w:rPr>
        <w:rStyle w:val="PageNumber"/>
        <w:b/>
        <w:bCs/>
      </w:rPr>
      <w:instrText xml:space="preserve"> NUMPAGES </w:instrText>
    </w:r>
    <w:r w:rsidRPr="00830F3A">
      <w:rPr>
        <w:rStyle w:val="PageNumber"/>
        <w:b/>
        <w:bCs/>
      </w:rPr>
      <w:fldChar w:fldCharType="separate"/>
    </w:r>
    <w:r>
      <w:rPr>
        <w:rStyle w:val="PageNumber"/>
        <w:b/>
        <w:bCs/>
      </w:rPr>
      <w:t>8</w:t>
    </w:r>
    <w:r w:rsidRPr="00830F3A">
      <w:rPr>
        <w:rStyle w:val="PageNumber"/>
        <w:b/>
        <w:bCs/>
      </w:rPr>
      <w:fldChar w:fldCharType="end"/>
    </w:r>
    <w:r w:rsidR="00AE4B49">
      <w:rPr>
        <w:noProof/>
      </w:rPr>
      <mc:AlternateContent>
        <mc:Choice Requires="wps">
          <w:drawing>
            <wp:anchor distT="0" distB="0" distL="0" distR="0" simplePos="0" relativeHeight="251658244" behindDoc="0" locked="0" layoutInCell="1" allowOverlap="1" wp14:anchorId="5210BB44" wp14:editId="4A4A4CE1">
              <wp:simplePos x="914400" y="10058400"/>
              <wp:positionH relativeFrom="page">
                <wp:align>center</wp:align>
              </wp:positionH>
              <wp:positionV relativeFrom="page">
                <wp:align>bottom</wp:align>
              </wp:positionV>
              <wp:extent cx="551815" cy="405765"/>
              <wp:effectExtent l="0" t="0" r="635" b="0"/>
              <wp:wrapNone/>
              <wp:docPr id="79671624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405765"/>
                      </a:xfrm>
                      <a:prstGeom prst="rect">
                        <a:avLst/>
                      </a:prstGeom>
                      <a:noFill/>
                      <a:ln>
                        <a:noFill/>
                      </a:ln>
                    </wps:spPr>
                    <wps:txbx>
                      <w:txbxContent>
                        <w:p w14:paraId="31533152" w14:textId="688158C0" w:rsidR="00AE4B49" w:rsidRPr="00AE4B49" w:rsidRDefault="00AE4B49" w:rsidP="00AE4B49">
                          <w:pPr>
                            <w:rPr>
                              <w:rFonts w:ascii="Calibri" w:eastAsia="Calibri" w:hAnsi="Calibri" w:cs="Calibri"/>
                              <w:noProof/>
                              <w:color w:val="FF00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0BB44" id="_x0000_t202" coordsize="21600,21600" o:spt="202" path="m,l,21600r21600,l21600,xe">
              <v:stroke joinstyle="miter"/>
              <v:path gradientshapeok="t" o:connecttype="rect"/>
            </v:shapetype>
            <v:shape id="Text Box 6" o:spid="_x0000_s1028" type="#_x0000_t202" alt="OFFICIAL" style="position:absolute;left:0;text-align:left;margin-left:0;margin-top:0;width:43.45pt;height:31.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" filled="f" stroked="f">
              <v:textbox style="mso-fit-shape-to-text:t" inset="0,0,0,15pt">
                <w:txbxContent>
                  <w:p w14:paraId="31533152" w14:textId="688158C0" w:rsidR="00AE4B49" w:rsidRPr="00AE4B49" w:rsidRDefault="00AE4B49" w:rsidP="00AE4B49">
                    <w:pPr>
                      <w:rPr>
                        <w:rFonts w:ascii="Calibri" w:eastAsia="Calibri" w:hAnsi="Calibri" w:cs="Calibri"/>
                        <w:noProof/>
                        <w:color w:val="FF00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E8E9" w14:textId="21D01CEA" w:rsidR="00830F3A" w:rsidRDefault="00830F3A" w:rsidP="00830F3A">
    <w:pPr>
      <w:pStyle w:val="IPPFooter"/>
    </w:pPr>
    <w:r w:rsidRPr="00A62A0E">
      <w:t>International Plant Protection Convention</w:t>
    </w:r>
    <w:r w:rsidRPr="00A62A0E">
      <w:tab/>
    </w:r>
    <w:r w:rsidRPr="00830F3A">
      <w:rPr>
        <w:rStyle w:val="PageNumber"/>
        <w:b/>
        <w:bCs/>
      </w:rPr>
      <w:t xml:space="preserve">Page </w:t>
    </w:r>
    <w:r w:rsidRPr="00830F3A">
      <w:rPr>
        <w:rStyle w:val="PageNumber"/>
        <w:b/>
        <w:bCs/>
      </w:rPr>
      <w:fldChar w:fldCharType="begin"/>
    </w:r>
    <w:r w:rsidRPr="00830F3A">
      <w:rPr>
        <w:rStyle w:val="PageNumber"/>
        <w:b/>
        <w:bCs/>
      </w:rPr>
      <w:instrText xml:space="preserve"> PAGE </w:instrText>
    </w:r>
    <w:r w:rsidRPr="00830F3A">
      <w:rPr>
        <w:rStyle w:val="PageNumber"/>
        <w:b/>
        <w:bCs/>
      </w:rPr>
      <w:fldChar w:fldCharType="separate"/>
    </w:r>
    <w:r w:rsidRPr="00830F3A">
      <w:rPr>
        <w:rStyle w:val="PageNumber"/>
        <w:b/>
        <w:bCs/>
      </w:rPr>
      <w:t>1</w:t>
    </w:r>
    <w:r w:rsidRPr="00830F3A">
      <w:rPr>
        <w:rStyle w:val="PageNumber"/>
        <w:b/>
        <w:bCs/>
      </w:rPr>
      <w:fldChar w:fldCharType="end"/>
    </w:r>
    <w:r w:rsidRPr="00830F3A">
      <w:rPr>
        <w:rStyle w:val="PageNumber"/>
        <w:b/>
        <w:bCs/>
      </w:rPr>
      <w:t xml:space="preserve"> of </w:t>
    </w:r>
    <w:r w:rsidRPr="00830F3A">
      <w:rPr>
        <w:rStyle w:val="PageNumber"/>
        <w:b/>
        <w:bCs/>
      </w:rPr>
      <w:fldChar w:fldCharType="begin"/>
    </w:r>
    <w:r w:rsidRPr="00830F3A">
      <w:rPr>
        <w:rStyle w:val="PageNumber"/>
        <w:b/>
        <w:bCs/>
      </w:rPr>
      <w:instrText xml:space="preserve"> NUMPAGES </w:instrText>
    </w:r>
    <w:r w:rsidRPr="00830F3A">
      <w:rPr>
        <w:rStyle w:val="PageNumber"/>
        <w:b/>
        <w:bCs/>
      </w:rPr>
      <w:fldChar w:fldCharType="separate"/>
    </w:r>
    <w:r w:rsidRPr="00830F3A">
      <w:rPr>
        <w:rStyle w:val="PageNumber"/>
        <w:b/>
        <w:bCs/>
      </w:rPr>
      <w:t>2</w:t>
    </w:r>
    <w:r w:rsidRPr="00830F3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FC3CF" w14:textId="77777777" w:rsidR="003F2006" w:rsidRDefault="003F2006" w:rsidP="004C1A36">
      <w:r>
        <w:separator/>
      </w:r>
    </w:p>
  </w:footnote>
  <w:footnote w:type="continuationSeparator" w:id="0">
    <w:p w14:paraId="72355027" w14:textId="77777777" w:rsidR="003F2006" w:rsidRDefault="003F2006" w:rsidP="004C1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ED2B" w14:textId="4833851D" w:rsidR="00AE4B49" w:rsidRDefault="00AE4B49">
    <w:pPr>
      <w:pStyle w:val="Header"/>
    </w:pPr>
    <w:r>
      <w:rPr>
        <w:noProof/>
      </w:rPr>
      <mc:AlternateContent>
        <mc:Choice Requires="wps">
          <w:drawing>
            <wp:anchor distT="0" distB="0" distL="0" distR="0" simplePos="0" relativeHeight="251658241" behindDoc="0" locked="0" layoutInCell="1" allowOverlap="1" wp14:anchorId="7B867A01" wp14:editId="08BFB073">
              <wp:simplePos x="635" y="635"/>
              <wp:positionH relativeFrom="page">
                <wp:align>center</wp:align>
              </wp:positionH>
              <wp:positionV relativeFrom="page">
                <wp:align>top</wp:align>
              </wp:positionV>
              <wp:extent cx="551815" cy="405765"/>
              <wp:effectExtent l="0" t="0" r="635" b="13335"/>
              <wp:wrapNone/>
              <wp:docPr id="209155440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05765"/>
                      </a:xfrm>
                      <a:prstGeom prst="rect">
                        <a:avLst/>
                      </a:prstGeom>
                      <a:noFill/>
                      <a:ln>
                        <a:noFill/>
                      </a:ln>
                    </wps:spPr>
                    <wps:txbx>
                      <w:txbxContent>
                        <w:p w14:paraId="02508314" w14:textId="65C150B5" w:rsidR="00AE4B49" w:rsidRPr="00AE4B49" w:rsidRDefault="00AE4B49" w:rsidP="00AE4B49">
                          <w:pPr>
                            <w:rPr>
                              <w:rFonts w:ascii="Calibri" w:eastAsia="Calibri" w:hAnsi="Calibri" w:cs="Calibri"/>
                              <w:noProof/>
                              <w:color w:val="FF0000"/>
                            </w:rPr>
                          </w:pPr>
                          <w:r w:rsidRPr="00AE4B49">
                            <w:rPr>
                              <w:rFonts w:ascii="Calibri" w:eastAsia="Calibri" w:hAnsi="Calibri" w:cs="Calibri"/>
                              <w:noProof/>
                              <w:color w:val="FF000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867A01" id="_x0000_t202" coordsize="21600,21600" o:spt="202" path="m,l,21600r21600,l21600,xe">
              <v:stroke joinstyle="miter"/>
              <v:path gradientshapeok="t" o:connecttype="rect"/>
            </v:shapetype>
            <v:shape id="Text Box 2" o:spid="_x0000_s1026" type="#_x0000_t202" alt="OFFICIAL" style="position:absolute;left:0;text-align:left;margin-left:0;margin-top:0;width:43.4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" filled="f" stroked="f">
              <v:textbox style="mso-fit-shape-to-text:t" inset="0,15pt,0,0">
                <w:txbxContent>
                  <w:p w14:paraId="02508314" w14:textId="65C150B5" w:rsidR="00AE4B49" w:rsidRPr="00AE4B49" w:rsidRDefault="00AE4B49" w:rsidP="00AE4B49">
                    <w:pPr>
                      <w:rPr>
                        <w:rFonts w:ascii="Calibri" w:eastAsia="Calibri" w:hAnsi="Calibri" w:cs="Calibri"/>
                        <w:noProof/>
                        <w:color w:val="FF0000"/>
                      </w:rPr>
                    </w:pPr>
                    <w:r w:rsidRPr="00AE4B49">
                      <w:rPr>
                        <w:rFonts w:ascii="Calibri" w:eastAsia="Calibri" w:hAnsi="Calibri" w:cs="Calibri"/>
                        <w:noProof/>
                        <w:color w:val="FF000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5AE4" w14:textId="7A2A00BF" w:rsidR="003D07E3" w:rsidRDefault="003D07E3" w:rsidP="003D07E3">
    <w:pPr>
      <w:pStyle w:val="IPPHeader"/>
    </w:pPr>
    <w:r>
      <w:rPr>
        <w:rFonts w:cs="Arial"/>
        <w:szCs w:val="18"/>
      </w:rPr>
      <w:t>17</w:t>
    </w:r>
    <w:r w:rsidRPr="1B6BA12E">
      <w:rPr>
        <w:rFonts w:cs="Arial"/>
        <w:szCs w:val="18"/>
      </w:rPr>
      <w:t>_SPG_202</w:t>
    </w:r>
    <w:r>
      <w:rPr>
        <w:rFonts w:cs="Arial"/>
        <w:szCs w:val="18"/>
      </w:rPr>
      <w:t>5</w:t>
    </w:r>
    <w:r w:rsidRPr="1B6BA12E">
      <w:rPr>
        <w:rFonts w:cs="Arial"/>
        <w:szCs w:val="18"/>
      </w:rPr>
      <w:t>_Oct</w:t>
    </w:r>
    <w:r>
      <w:rPr>
        <w:rFonts w:cs="Arial"/>
        <w:szCs w:val="18"/>
      </w:rPr>
      <w:t xml:space="preserve"> (9.11)</w:t>
    </w:r>
    <w:r>
      <w:ptab w:relativeTo="margin" w:alignment="right" w:leader="none"/>
    </w:r>
    <w:r>
      <w:t>Rethinking ISPMs: Enhancing Relevance and Accessibility for the Pacific Region</w:t>
    </w:r>
  </w:p>
  <w:p w14:paraId="56959E4E" w14:textId="27174D49" w:rsidR="004C1A36" w:rsidRPr="00314D14" w:rsidRDefault="004C1A36" w:rsidP="00314D14">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7EF1B" w14:textId="77777777" w:rsidR="008F2F2C" w:rsidRDefault="008F2F2C" w:rsidP="008F2F2C">
    <w:pPr>
      <w:pStyle w:val="Header"/>
    </w:pPr>
  </w:p>
  <w:p w14:paraId="27EC9B94" w14:textId="7AE82E82" w:rsidR="008F2F2C" w:rsidRDefault="008F2F2C" w:rsidP="008F2F2C">
    <w:pPr>
      <w:pStyle w:val="IPPHeader"/>
      <w:tabs>
        <w:tab w:val="clear" w:pos="1134"/>
      </w:tabs>
      <w:spacing w:before="240" w:after="0"/>
      <w:ind w:left="880"/>
    </w:pPr>
    <w:bookmarkStart w:id="2" w:name="_Hlk38796923"/>
    <w:bookmarkStart w:id="3" w:name="_Hlk38796924"/>
    <w:r>
      <w:rPr>
        <w:i/>
        <w:iCs/>
        <w:noProof/>
        <w14:ligatures w14:val="standardContextual"/>
      </w:rPr>
      <w:drawing>
        <wp:anchor distT="0" distB="0" distL="114300" distR="114300" simplePos="0" relativeHeight="251662340" behindDoc="0" locked="0" layoutInCell="1" allowOverlap="1" wp14:anchorId="62DB6D0D" wp14:editId="16F366FD">
          <wp:simplePos x="0" y="0"/>
          <wp:positionH relativeFrom="page">
            <wp:posOffset>2520315</wp:posOffset>
          </wp:positionH>
          <wp:positionV relativeFrom="page">
            <wp:posOffset>558165</wp:posOffset>
          </wp:positionV>
          <wp:extent cx="1756800" cy="698400"/>
          <wp:effectExtent l="0" t="0" r="0" b="6985"/>
          <wp:wrapSquare wrapText="bothSides"/>
          <wp:docPr id="71870388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4" behindDoc="0" locked="0" layoutInCell="1" allowOverlap="1" wp14:anchorId="12C2B488" wp14:editId="529476DC">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79FA495" id="Straight Connector 1" o:spid="_x0000_s1026" style="position:absolute;z-index:251663364;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" strokecolor="black [3213]" strokeweight="1pt">
              <v:stroke joinstyle="miter"/>
              <w10:wrap anchorx="margin" anchory="page"/>
            </v:line>
          </w:pict>
        </mc:Fallback>
      </mc:AlternateContent>
    </w:r>
    <w:r w:rsidRPr="000321A6">
      <w:rPr>
        <w:noProof/>
      </w:rPr>
      <w:drawing>
        <wp:anchor distT="0" distB="0" distL="114300" distR="114300" simplePos="0" relativeHeight="251660292" behindDoc="0" locked="0" layoutInCell="1" allowOverlap="1" wp14:anchorId="24A0AB44" wp14:editId="42D72545">
          <wp:simplePos x="0" y="0"/>
          <wp:positionH relativeFrom="page">
            <wp:posOffset>0</wp:posOffset>
          </wp:positionH>
          <wp:positionV relativeFrom="page">
            <wp:posOffset>0</wp:posOffset>
          </wp:positionV>
          <wp:extent cx="7617600" cy="558000"/>
          <wp:effectExtent l="0" t="0" r="2540" b="0"/>
          <wp:wrapTopAndBottom/>
          <wp:docPr id="1316512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1316" behindDoc="0" locked="0" layoutInCell="1" allowOverlap="1" wp14:anchorId="52BDB28A" wp14:editId="5277363E">
          <wp:simplePos x="0" y="0"/>
          <wp:positionH relativeFrom="page">
            <wp:posOffset>742950</wp:posOffset>
          </wp:positionH>
          <wp:positionV relativeFrom="page">
            <wp:posOffset>558165</wp:posOffset>
          </wp:positionV>
          <wp:extent cx="1728000" cy="698400"/>
          <wp:effectExtent l="0" t="0" r="5715" b="6985"/>
          <wp:wrapSquare wrapText="bothSides"/>
          <wp:docPr id="25438747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1F6D34">
      <w:t>17</w:t>
    </w:r>
    <w:r>
      <w:t>_SPG_2025</w:t>
    </w:r>
    <w:r w:rsidRPr="00606019">
      <w:t>_</w:t>
    </w:r>
    <w:r>
      <w:t>Oct</w:t>
    </w:r>
  </w:p>
  <w:p w14:paraId="3B193C28" w14:textId="5CC6E618" w:rsidR="008F2F2C" w:rsidRDefault="008F2F2C" w:rsidP="008F2F2C">
    <w:pPr>
      <w:pStyle w:val="IPPHeader"/>
      <w:tabs>
        <w:tab w:val="clear" w:pos="1134"/>
      </w:tabs>
      <w:spacing w:after="0"/>
      <w:ind w:left="880"/>
    </w:pPr>
    <w:r w:rsidRPr="0076596B">
      <w:tab/>
      <w:t xml:space="preserve">Agenda item: </w:t>
    </w:r>
    <w:r w:rsidR="003D07E3">
      <w:t>9</w:t>
    </w:r>
    <w:r>
      <w:t>.</w:t>
    </w:r>
    <w:r w:rsidR="003D07E3">
      <w:t>1</w:t>
    </w:r>
    <w:r>
      <w:t>1</w:t>
    </w:r>
  </w:p>
  <w:p w14:paraId="522597A2" w14:textId="77777777" w:rsidR="008F2F2C" w:rsidRDefault="008F2F2C" w:rsidP="008F2F2C">
    <w:pPr>
      <w:pStyle w:val="IPPHeader"/>
      <w:tabs>
        <w:tab w:val="clear" w:pos="1134"/>
      </w:tabs>
      <w:spacing w:after="260"/>
      <w:ind w:left="880"/>
    </w:pPr>
  </w:p>
  <w:bookmarkEnd w:id="2"/>
  <w:bookmarkEnd w:id="3"/>
  <w:p w14:paraId="6D4B19EA" w14:textId="71078E63" w:rsidR="00AE4B49" w:rsidRDefault="003D07E3" w:rsidP="003D07E3">
    <w:pPr>
      <w:pStyle w:val="IPPHeader"/>
      <w:ind w:left="880"/>
    </w:pPr>
    <w:r>
      <w:t>Rethinking ISPMs: Enhancing Relevance and Accessibility for the Pacific Region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A7AD" w14:textId="77777777" w:rsidR="003F544A" w:rsidRDefault="003F544A" w:rsidP="003F544A">
    <w:pPr>
      <w:pStyle w:val="IPPHeader"/>
    </w:pPr>
    <w:r>
      <w:rPr>
        <w:rFonts w:cs="Arial"/>
        <w:szCs w:val="18"/>
      </w:rPr>
      <w:t>17</w:t>
    </w:r>
    <w:r w:rsidRPr="1B6BA12E">
      <w:rPr>
        <w:rFonts w:cs="Arial"/>
        <w:szCs w:val="18"/>
      </w:rPr>
      <w:t>_SPG_202</w:t>
    </w:r>
    <w:r>
      <w:rPr>
        <w:rFonts w:cs="Arial"/>
        <w:szCs w:val="18"/>
      </w:rPr>
      <w:t>5</w:t>
    </w:r>
    <w:r w:rsidRPr="1B6BA12E">
      <w:rPr>
        <w:rFonts w:cs="Arial"/>
        <w:szCs w:val="18"/>
      </w:rPr>
      <w:t>_Oct</w:t>
    </w:r>
    <w:r>
      <w:rPr>
        <w:rFonts w:cs="Arial"/>
        <w:szCs w:val="18"/>
      </w:rPr>
      <w:t xml:space="preserve"> (9.11)</w:t>
    </w:r>
    <w:r>
      <w:ptab w:relativeTo="margin" w:alignment="right" w:leader="none"/>
    </w:r>
    <w:r>
      <w:t>Rethinking ISPMs: Enhancing Relevance and Accessibility for the Pacific Region</w:t>
    </w:r>
  </w:p>
  <w:p w14:paraId="25D40634" w14:textId="7C13830E" w:rsidR="003F544A" w:rsidRPr="003F544A" w:rsidRDefault="003F544A" w:rsidP="003F5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4E2A6A"/>
    <w:multiLevelType w:val="hybridMultilevel"/>
    <w:tmpl w:val="FB00DF3C"/>
    <w:lvl w:ilvl="0" w:tplc="A5E82EFA">
      <w:start w:val="1"/>
      <w:numFmt w:val="lowerLetter"/>
      <w:lvlText w:val="%1."/>
      <w:lvlJc w:val="left"/>
      <w:pPr>
        <w:ind w:left="720" w:hanging="360"/>
      </w:pPr>
      <w:rPr>
        <w:rFonts w:hint="default"/>
        <w:b/>
        <w:bCs w:val="0"/>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B9C0579"/>
    <w:multiLevelType w:val="multilevel"/>
    <w:tmpl w:val="46C2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E27241B"/>
    <w:multiLevelType w:val="hybridMultilevel"/>
    <w:tmpl w:val="D6F039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0F3F1398"/>
    <w:multiLevelType w:val="multilevel"/>
    <w:tmpl w:val="A00C9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4E65DD2"/>
    <w:multiLevelType w:val="multilevel"/>
    <w:tmpl w:val="1A164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A317C5"/>
    <w:multiLevelType w:val="multilevel"/>
    <w:tmpl w:val="4E54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8C5743D"/>
    <w:multiLevelType w:val="multilevel"/>
    <w:tmpl w:val="005866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8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27883B69"/>
    <w:multiLevelType w:val="multilevel"/>
    <w:tmpl w:val="EFF4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37365F97"/>
    <w:multiLevelType w:val="multilevel"/>
    <w:tmpl w:val="DF1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B96A9D"/>
    <w:multiLevelType w:val="multilevel"/>
    <w:tmpl w:val="9A2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256CC9"/>
    <w:multiLevelType w:val="hybridMultilevel"/>
    <w:tmpl w:val="E3B4F0A6"/>
    <w:lvl w:ilvl="0" w:tplc="CAD4C58C">
      <w:start w:val="1"/>
      <w:numFmt w:val="decimal"/>
      <w:lvlText w:val="%1."/>
      <w:lvlJc w:val="left"/>
      <w:pPr>
        <w:ind w:left="360" w:hanging="360"/>
      </w:pPr>
      <w:rPr>
        <w:rFonts w:hint="default"/>
        <w:b/>
        <w:bCs/>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CC3925"/>
    <w:multiLevelType w:val="multilevel"/>
    <w:tmpl w:val="ECE6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88270E8"/>
    <w:multiLevelType w:val="hybridMultilevel"/>
    <w:tmpl w:val="F51016DE"/>
    <w:lvl w:ilvl="0" w:tplc="A3B62350">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8A35F3C"/>
    <w:multiLevelType w:val="multilevel"/>
    <w:tmpl w:val="7846A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1B3F84"/>
    <w:multiLevelType w:val="multilevel"/>
    <w:tmpl w:val="C2A01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0C2908"/>
    <w:multiLevelType w:val="multilevel"/>
    <w:tmpl w:val="ABFC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C0544C"/>
    <w:multiLevelType w:val="multilevel"/>
    <w:tmpl w:val="4FBE8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59C05FDE"/>
    <w:multiLevelType w:val="hybridMultilevel"/>
    <w:tmpl w:val="573CF902"/>
    <w:lvl w:ilvl="0" w:tplc="D4A08652">
      <w:start w:val="1"/>
      <w:numFmt w:val="lowerLetter"/>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D24001"/>
    <w:multiLevelType w:val="multilevel"/>
    <w:tmpl w:val="72A0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2C1D09"/>
    <w:multiLevelType w:val="hybridMultilevel"/>
    <w:tmpl w:val="E1DE9D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15:restartNumberingAfterBreak="0">
    <w:nsid w:val="74DA2345"/>
    <w:multiLevelType w:val="multilevel"/>
    <w:tmpl w:val="91448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514D4B"/>
    <w:multiLevelType w:val="multilevel"/>
    <w:tmpl w:val="0B366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0643977">
    <w:abstractNumId w:val="29"/>
  </w:num>
  <w:num w:numId="2" w16cid:durableId="1136680925">
    <w:abstractNumId w:val="11"/>
  </w:num>
  <w:num w:numId="3" w16cid:durableId="504784879">
    <w:abstractNumId w:val="19"/>
  </w:num>
  <w:num w:numId="4" w16cid:durableId="723329798">
    <w:abstractNumId w:val="26"/>
  </w:num>
  <w:num w:numId="5" w16cid:durableId="1368331652">
    <w:abstractNumId w:val="15"/>
  </w:num>
  <w:num w:numId="6" w16cid:durableId="672072456">
    <w:abstractNumId w:val="39"/>
  </w:num>
  <w:num w:numId="7" w16cid:durableId="520969668">
    <w:abstractNumId w:val="35"/>
  </w:num>
  <w:num w:numId="8" w16cid:durableId="573591445">
    <w:abstractNumId w:val="23"/>
  </w:num>
  <w:num w:numId="9" w16cid:durableId="1840535669">
    <w:abstractNumId w:val="33"/>
  </w:num>
  <w:num w:numId="10" w16cid:durableId="710345869">
    <w:abstractNumId w:val="16"/>
  </w:num>
  <w:num w:numId="11" w16cid:durableId="1344748875">
    <w:abstractNumId w:val="30"/>
  </w:num>
  <w:num w:numId="12" w16cid:durableId="940717880">
    <w:abstractNumId w:val="21"/>
  </w:num>
  <w:num w:numId="13" w16cid:durableId="531304071">
    <w:abstractNumId w:val="32"/>
  </w:num>
  <w:num w:numId="14" w16cid:durableId="582877697">
    <w:abstractNumId w:val="18"/>
  </w:num>
  <w:num w:numId="15" w16cid:durableId="1036008088">
    <w:abstractNumId w:val="17"/>
  </w:num>
  <w:num w:numId="16" w16cid:durableId="1839803627">
    <w:abstractNumId w:val="14"/>
  </w:num>
  <w:num w:numId="17" w16cid:durableId="1164902714">
    <w:abstractNumId w:val="38"/>
  </w:num>
  <w:num w:numId="18" w16cid:durableId="267005622">
    <w:abstractNumId w:val="25"/>
  </w:num>
  <w:num w:numId="19" w16cid:durableId="1740060360">
    <w:abstractNumId w:val="28"/>
  </w:num>
  <w:num w:numId="20" w16cid:durableId="106197409">
    <w:abstractNumId w:val="31"/>
  </w:num>
  <w:num w:numId="21" w16cid:durableId="13507234">
    <w:abstractNumId w:val="42"/>
  </w:num>
  <w:num w:numId="22" w16cid:durableId="892079613">
    <w:abstractNumId w:val="40"/>
  </w:num>
  <w:num w:numId="23" w16cid:durableId="1226531976">
    <w:abstractNumId w:val="36"/>
  </w:num>
  <w:num w:numId="24" w16cid:durableId="1749381087">
    <w:abstractNumId w:val="13"/>
  </w:num>
  <w:num w:numId="25" w16cid:durableId="1634940127">
    <w:abstractNumId w:val="12"/>
  </w:num>
  <w:num w:numId="26" w16cid:durableId="1189366223">
    <w:abstractNumId w:val="22"/>
  </w:num>
  <w:num w:numId="27" w16cid:durableId="1358458346">
    <w:abstractNumId w:val="41"/>
  </w:num>
  <w:num w:numId="28" w16cid:durableId="636107580">
    <w:abstractNumId w:val="34"/>
  </w:num>
  <w:num w:numId="29" w16cid:durableId="735201531">
    <w:abstractNumId w:val="24"/>
  </w:num>
  <w:num w:numId="30" w16cid:durableId="625426921">
    <w:abstractNumId w:val="43"/>
  </w:num>
  <w:num w:numId="31" w16cid:durableId="751855798">
    <w:abstractNumId w:val="20"/>
  </w:num>
  <w:num w:numId="32" w16cid:durableId="678849787">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87558067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86679182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16cid:durableId="976033951">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16cid:durableId="1230070415">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16cid:durableId="197795548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16cid:durableId="1752699161">
    <w:abstractNumId w:val="10"/>
  </w:num>
  <w:num w:numId="39" w16cid:durableId="1096559190">
    <w:abstractNumId w:val="27"/>
  </w:num>
  <w:num w:numId="40" w16cid:durableId="259989354">
    <w:abstractNumId w:val="37"/>
  </w:num>
  <w:num w:numId="41" w16cid:durableId="1712146357">
    <w:abstractNumId w:val="9"/>
  </w:num>
  <w:num w:numId="42" w16cid:durableId="1722557205">
    <w:abstractNumId w:val="7"/>
  </w:num>
  <w:num w:numId="43" w16cid:durableId="1201271">
    <w:abstractNumId w:val="6"/>
  </w:num>
  <w:num w:numId="44" w16cid:durableId="185826108">
    <w:abstractNumId w:val="5"/>
  </w:num>
  <w:num w:numId="45" w16cid:durableId="257298398">
    <w:abstractNumId w:val="4"/>
  </w:num>
  <w:num w:numId="46" w16cid:durableId="1676423577">
    <w:abstractNumId w:val="8"/>
  </w:num>
  <w:num w:numId="47" w16cid:durableId="125778737">
    <w:abstractNumId w:val="3"/>
  </w:num>
  <w:num w:numId="48" w16cid:durableId="776291828">
    <w:abstractNumId w:val="2"/>
  </w:num>
  <w:num w:numId="49" w16cid:durableId="410125225">
    <w:abstractNumId w:val="1"/>
  </w:num>
  <w:num w:numId="50" w16cid:durableId="12801116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194"/>
    <w:rsid w:val="0000007C"/>
    <w:rsid w:val="00000B0E"/>
    <w:rsid w:val="00005C35"/>
    <w:rsid w:val="000109C8"/>
    <w:rsid w:val="0001326A"/>
    <w:rsid w:val="00013733"/>
    <w:rsid w:val="00014266"/>
    <w:rsid w:val="000173D0"/>
    <w:rsid w:val="0002035E"/>
    <w:rsid w:val="000212EB"/>
    <w:rsid w:val="000363FE"/>
    <w:rsid w:val="00036A86"/>
    <w:rsid w:val="0003767F"/>
    <w:rsid w:val="00045FBD"/>
    <w:rsid w:val="00046E2B"/>
    <w:rsid w:val="00051F6A"/>
    <w:rsid w:val="00053D85"/>
    <w:rsid w:val="00054B27"/>
    <w:rsid w:val="00061C54"/>
    <w:rsid w:val="000632A5"/>
    <w:rsid w:val="0007151E"/>
    <w:rsid w:val="00074027"/>
    <w:rsid w:val="00077142"/>
    <w:rsid w:val="00081638"/>
    <w:rsid w:val="00087629"/>
    <w:rsid w:val="00094313"/>
    <w:rsid w:val="000A1596"/>
    <w:rsid w:val="000A7E92"/>
    <w:rsid w:val="000B1C4C"/>
    <w:rsid w:val="000C2932"/>
    <w:rsid w:val="000C438A"/>
    <w:rsid w:val="000C6C51"/>
    <w:rsid w:val="000D09EB"/>
    <w:rsid w:val="000D0E54"/>
    <w:rsid w:val="000D1B4E"/>
    <w:rsid w:val="000D1DD0"/>
    <w:rsid w:val="000D3F3A"/>
    <w:rsid w:val="000E3216"/>
    <w:rsid w:val="000E4C7C"/>
    <w:rsid w:val="000F6873"/>
    <w:rsid w:val="00103179"/>
    <w:rsid w:val="00103D20"/>
    <w:rsid w:val="00112910"/>
    <w:rsid w:val="001137F4"/>
    <w:rsid w:val="00116266"/>
    <w:rsid w:val="001208DD"/>
    <w:rsid w:val="00133BDE"/>
    <w:rsid w:val="00136E80"/>
    <w:rsid w:val="00140CE6"/>
    <w:rsid w:val="001427FF"/>
    <w:rsid w:val="00147E45"/>
    <w:rsid w:val="001514D8"/>
    <w:rsid w:val="0015696D"/>
    <w:rsid w:val="00156EB2"/>
    <w:rsid w:val="001577D5"/>
    <w:rsid w:val="00164D6A"/>
    <w:rsid w:val="00166D02"/>
    <w:rsid w:val="00170054"/>
    <w:rsid w:val="001746A0"/>
    <w:rsid w:val="00181340"/>
    <w:rsid w:val="001836FC"/>
    <w:rsid w:val="00186CB6"/>
    <w:rsid w:val="00192EB3"/>
    <w:rsid w:val="001A29B8"/>
    <w:rsid w:val="001A74AB"/>
    <w:rsid w:val="001B2781"/>
    <w:rsid w:val="001B3508"/>
    <w:rsid w:val="001B7777"/>
    <w:rsid w:val="001B7A28"/>
    <w:rsid w:val="001C0692"/>
    <w:rsid w:val="001C0895"/>
    <w:rsid w:val="001C0C43"/>
    <w:rsid w:val="001C413F"/>
    <w:rsid w:val="001C5718"/>
    <w:rsid w:val="001E0419"/>
    <w:rsid w:val="001E07AE"/>
    <w:rsid w:val="001E4829"/>
    <w:rsid w:val="001E6943"/>
    <w:rsid w:val="001E6CEC"/>
    <w:rsid w:val="001F2D0A"/>
    <w:rsid w:val="001F6D34"/>
    <w:rsid w:val="001F72A8"/>
    <w:rsid w:val="0020310F"/>
    <w:rsid w:val="002118E5"/>
    <w:rsid w:val="00220FC3"/>
    <w:rsid w:val="00223BD4"/>
    <w:rsid w:val="00224FC3"/>
    <w:rsid w:val="00225270"/>
    <w:rsid w:val="002258ED"/>
    <w:rsid w:val="00227E69"/>
    <w:rsid w:val="002303BF"/>
    <w:rsid w:val="002324D7"/>
    <w:rsid w:val="00237037"/>
    <w:rsid w:val="00240E4B"/>
    <w:rsid w:val="00242128"/>
    <w:rsid w:val="002510A9"/>
    <w:rsid w:val="00255468"/>
    <w:rsid w:val="00256448"/>
    <w:rsid w:val="002608C0"/>
    <w:rsid w:val="00260EA9"/>
    <w:rsid w:val="00263663"/>
    <w:rsid w:val="0026687C"/>
    <w:rsid w:val="00275BFE"/>
    <w:rsid w:val="00276BEC"/>
    <w:rsid w:val="00297D31"/>
    <w:rsid w:val="002A077A"/>
    <w:rsid w:val="002A21EC"/>
    <w:rsid w:val="002A2D62"/>
    <w:rsid w:val="002B4503"/>
    <w:rsid w:val="002B45E0"/>
    <w:rsid w:val="002C1CDA"/>
    <w:rsid w:val="002C65AA"/>
    <w:rsid w:val="002C65E2"/>
    <w:rsid w:val="002C6C1D"/>
    <w:rsid w:val="002D071B"/>
    <w:rsid w:val="002D0FB2"/>
    <w:rsid w:val="002D21F6"/>
    <w:rsid w:val="002D2640"/>
    <w:rsid w:val="002E0D42"/>
    <w:rsid w:val="002F62A8"/>
    <w:rsid w:val="00304BBD"/>
    <w:rsid w:val="0031292D"/>
    <w:rsid w:val="00312B2A"/>
    <w:rsid w:val="00314D14"/>
    <w:rsid w:val="00320D02"/>
    <w:rsid w:val="003213D0"/>
    <w:rsid w:val="0032148C"/>
    <w:rsid w:val="00326669"/>
    <w:rsid w:val="00332A18"/>
    <w:rsid w:val="00333695"/>
    <w:rsid w:val="00334DFD"/>
    <w:rsid w:val="00336F19"/>
    <w:rsid w:val="00341835"/>
    <w:rsid w:val="00355D77"/>
    <w:rsid w:val="00355F5D"/>
    <w:rsid w:val="003654BA"/>
    <w:rsid w:val="00371ADE"/>
    <w:rsid w:val="00371DB5"/>
    <w:rsid w:val="00372570"/>
    <w:rsid w:val="00376AB7"/>
    <w:rsid w:val="003825A4"/>
    <w:rsid w:val="00384AA9"/>
    <w:rsid w:val="0039354C"/>
    <w:rsid w:val="00395D60"/>
    <w:rsid w:val="003A015A"/>
    <w:rsid w:val="003A2486"/>
    <w:rsid w:val="003A5EA1"/>
    <w:rsid w:val="003A7D38"/>
    <w:rsid w:val="003B3C21"/>
    <w:rsid w:val="003C2DEC"/>
    <w:rsid w:val="003C2EF5"/>
    <w:rsid w:val="003C449E"/>
    <w:rsid w:val="003C5D2A"/>
    <w:rsid w:val="003C7913"/>
    <w:rsid w:val="003D07E3"/>
    <w:rsid w:val="003D7F47"/>
    <w:rsid w:val="003E410A"/>
    <w:rsid w:val="003E4F5B"/>
    <w:rsid w:val="003E7861"/>
    <w:rsid w:val="003F2006"/>
    <w:rsid w:val="003F544A"/>
    <w:rsid w:val="004022D9"/>
    <w:rsid w:val="004116BF"/>
    <w:rsid w:val="00412D6F"/>
    <w:rsid w:val="00423647"/>
    <w:rsid w:val="00431930"/>
    <w:rsid w:val="0043241E"/>
    <w:rsid w:val="004351CF"/>
    <w:rsid w:val="00436690"/>
    <w:rsid w:val="00440AB6"/>
    <w:rsid w:val="004431E7"/>
    <w:rsid w:val="004435DC"/>
    <w:rsid w:val="004437D1"/>
    <w:rsid w:val="004473AC"/>
    <w:rsid w:val="00453699"/>
    <w:rsid w:val="004557CD"/>
    <w:rsid w:val="00460348"/>
    <w:rsid w:val="00462AAF"/>
    <w:rsid w:val="0046558E"/>
    <w:rsid w:val="00466A03"/>
    <w:rsid w:val="0048362A"/>
    <w:rsid w:val="004952D4"/>
    <w:rsid w:val="004A17A1"/>
    <w:rsid w:val="004C1194"/>
    <w:rsid w:val="004C1A36"/>
    <w:rsid w:val="004C34C3"/>
    <w:rsid w:val="004C5118"/>
    <w:rsid w:val="004C70C8"/>
    <w:rsid w:val="004D0FDF"/>
    <w:rsid w:val="004D7541"/>
    <w:rsid w:val="004D78FB"/>
    <w:rsid w:val="004E18F5"/>
    <w:rsid w:val="004E214C"/>
    <w:rsid w:val="004E7688"/>
    <w:rsid w:val="004F1014"/>
    <w:rsid w:val="004F2CF1"/>
    <w:rsid w:val="004F696A"/>
    <w:rsid w:val="00501F46"/>
    <w:rsid w:val="00504704"/>
    <w:rsid w:val="00515ECB"/>
    <w:rsid w:val="00521909"/>
    <w:rsid w:val="005307A5"/>
    <w:rsid w:val="00531C22"/>
    <w:rsid w:val="00531F47"/>
    <w:rsid w:val="005378D8"/>
    <w:rsid w:val="00544AF1"/>
    <w:rsid w:val="00550A62"/>
    <w:rsid w:val="00562F9E"/>
    <w:rsid w:val="005721CD"/>
    <w:rsid w:val="00574364"/>
    <w:rsid w:val="00574AF2"/>
    <w:rsid w:val="00581B78"/>
    <w:rsid w:val="00582C81"/>
    <w:rsid w:val="00586A76"/>
    <w:rsid w:val="00592D2F"/>
    <w:rsid w:val="0059461C"/>
    <w:rsid w:val="00596F18"/>
    <w:rsid w:val="005B17F7"/>
    <w:rsid w:val="005B3970"/>
    <w:rsid w:val="005B7E7A"/>
    <w:rsid w:val="005C312A"/>
    <w:rsid w:val="005C487C"/>
    <w:rsid w:val="005D619D"/>
    <w:rsid w:val="005D75C5"/>
    <w:rsid w:val="005E0776"/>
    <w:rsid w:val="005E66F3"/>
    <w:rsid w:val="005F407C"/>
    <w:rsid w:val="005F510B"/>
    <w:rsid w:val="00607A5B"/>
    <w:rsid w:val="006115FC"/>
    <w:rsid w:val="00612E3C"/>
    <w:rsid w:val="00613153"/>
    <w:rsid w:val="00640C95"/>
    <w:rsid w:val="00641C0D"/>
    <w:rsid w:val="00645794"/>
    <w:rsid w:val="006470B5"/>
    <w:rsid w:val="0065286B"/>
    <w:rsid w:val="00653B31"/>
    <w:rsid w:val="00657FBF"/>
    <w:rsid w:val="00663A60"/>
    <w:rsid w:val="006756C8"/>
    <w:rsid w:val="006816D0"/>
    <w:rsid w:val="00691003"/>
    <w:rsid w:val="006945D0"/>
    <w:rsid w:val="0069721E"/>
    <w:rsid w:val="006A1FCC"/>
    <w:rsid w:val="006A40F5"/>
    <w:rsid w:val="006A4D14"/>
    <w:rsid w:val="006A72F3"/>
    <w:rsid w:val="006B233A"/>
    <w:rsid w:val="006B5D22"/>
    <w:rsid w:val="006C1AB0"/>
    <w:rsid w:val="006C1D21"/>
    <w:rsid w:val="006C4A29"/>
    <w:rsid w:val="006C5869"/>
    <w:rsid w:val="006D1A56"/>
    <w:rsid w:val="006E18BC"/>
    <w:rsid w:val="006E3383"/>
    <w:rsid w:val="006E4FB7"/>
    <w:rsid w:val="006F1E87"/>
    <w:rsid w:val="006F4808"/>
    <w:rsid w:val="006F6DFD"/>
    <w:rsid w:val="007035E7"/>
    <w:rsid w:val="00705558"/>
    <w:rsid w:val="00710E83"/>
    <w:rsid w:val="00710F7C"/>
    <w:rsid w:val="007119D7"/>
    <w:rsid w:val="00724B84"/>
    <w:rsid w:val="00725DAC"/>
    <w:rsid w:val="00732D13"/>
    <w:rsid w:val="00733E8B"/>
    <w:rsid w:val="00734042"/>
    <w:rsid w:val="007430C6"/>
    <w:rsid w:val="00743D21"/>
    <w:rsid w:val="00745EC7"/>
    <w:rsid w:val="00751424"/>
    <w:rsid w:val="00751FF5"/>
    <w:rsid w:val="0075721B"/>
    <w:rsid w:val="0076297B"/>
    <w:rsid w:val="00762D14"/>
    <w:rsid w:val="0077028B"/>
    <w:rsid w:val="00770929"/>
    <w:rsid w:val="0077129D"/>
    <w:rsid w:val="00775D41"/>
    <w:rsid w:val="0077696F"/>
    <w:rsid w:val="00780CC6"/>
    <w:rsid w:val="007820EB"/>
    <w:rsid w:val="00783B73"/>
    <w:rsid w:val="00785C5F"/>
    <w:rsid w:val="007917FA"/>
    <w:rsid w:val="00795911"/>
    <w:rsid w:val="007A002F"/>
    <w:rsid w:val="007A59FC"/>
    <w:rsid w:val="007A5A29"/>
    <w:rsid w:val="007A6F52"/>
    <w:rsid w:val="007B0813"/>
    <w:rsid w:val="007B6E8D"/>
    <w:rsid w:val="007C0126"/>
    <w:rsid w:val="007C25FC"/>
    <w:rsid w:val="007E2001"/>
    <w:rsid w:val="007E2A7D"/>
    <w:rsid w:val="007F22BF"/>
    <w:rsid w:val="007F2490"/>
    <w:rsid w:val="007F5361"/>
    <w:rsid w:val="007F766B"/>
    <w:rsid w:val="00800E8A"/>
    <w:rsid w:val="0080686E"/>
    <w:rsid w:val="00811B18"/>
    <w:rsid w:val="00812260"/>
    <w:rsid w:val="00820259"/>
    <w:rsid w:val="00821830"/>
    <w:rsid w:val="00822079"/>
    <w:rsid w:val="00824DDE"/>
    <w:rsid w:val="0082561C"/>
    <w:rsid w:val="00830F3A"/>
    <w:rsid w:val="00837F86"/>
    <w:rsid w:val="00840BFB"/>
    <w:rsid w:val="00840CA1"/>
    <w:rsid w:val="008429F3"/>
    <w:rsid w:val="0084668B"/>
    <w:rsid w:val="00852359"/>
    <w:rsid w:val="008623AB"/>
    <w:rsid w:val="008707A5"/>
    <w:rsid w:val="00873530"/>
    <w:rsid w:val="008807E5"/>
    <w:rsid w:val="00882426"/>
    <w:rsid w:val="0088362A"/>
    <w:rsid w:val="00885B09"/>
    <w:rsid w:val="0089072C"/>
    <w:rsid w:val="0089222F"/>
    <w:rsid w:val="00896842"/>
    <w:rsid w:val="00897478"/>
    <w:rsid w:val="008A0487"/>
    <w:rsid w:val="008A09BB"/>
    <w:rsid w:val="008A1BA5"/>
    <w:rsid w:val="008A3C7F"/>
    <w:rsid w:val="008A6E40"/>
    <w:rsid w:val="008B66B4"/>
    <w:rsid w:val="008C0BF5"/>
    <w:rsid w:val="008C7AEC"/>
    <w:rsid w:val="008D0178"/>
    <w:rsid w:val="008D072D"/>
    <w:rsid w:val="008D0863"/>
    <w:rsid w:val="008D08BC"/>
    <w:rsid w:val="008D0A95"/>
    <w:rsid w:val="008D1BEA"/>
    <w:rsid w:val="008E1EC3"/>
    <w:rsid w:val="008E6187"/>
    <w:rsid w:val="008F01C7"/>
    <w:rsid w:val="008F2860"/>
    <w:rsid w:val="008F2F2C"/>
    <w:rsid w:val="008F5FC2"/>
    <w:rsid w:val="008F6BB5"/>
    <w:rsid w:val="009029B6"/>
    <w:rsid w:val="00925616"/>
    <w:rsid w:val="0092664C"/>
    <w:rsid w:val="00926AF7"/>
    <w:rsid w:val="0092778D"/>
    <w:rsid w:val="00930CA3"/>
    <w:rsid w:val="00931E90"/>
    <w:rsid w:val="00934854"/>
    <w:rsid w:val="0093528C"/>
    <w:rsid w:val="00940A56"/>
    <w:rsid w:val="00941A25"/>
    <w:rsid w:val="009426BE"/>
    <w:rsid w:val="009458B8"/>
    <w:rsid w:val="009471E8"/>
    <w:rsid w:val="00951A69"/>
    <w:rsid w:val="00952339"/>
    <w:rsid w:val="00953A57"/>
    <w:rsid w:val="0095506E"/>
    <w:rsid w:val="0095626F"/>
    <w:rsid w:val="00957E86"/>
    <w:rsid w:val="00960DA3"/>
    <w:rsid w:val="00963D0F"/>
    <w:rsid w:val="00964220"/>
    <w:rsid w:val="009643E4"/>
    <w:rsid w:val="00970F5D"/>
    <w:rsid w:val="00981FA4"/>
    <w:rsid w:val="00986E26"/>
    <w:rsid w:val="009A1024"/>
    <w:rsid w:val="009A35DA"/>
    <w:rsid w:val="009A734A"/>
    <w:rsid w:val="009B090E"/>
    <w:rsid w:val="009B337E"/>
    <w:rsid w:val="009B7298"/>
    <w:rsid w:val="009C076C"/>
    <w:rsid w:val="009C64F5"/>
    <w:rsid w:val="009D40F6"/>
    <w:rsid w:val="009E13E2"/>
    <w:rsid w:val="009E384F"/>
    <w:rsid w:val="009E5E4F"/>
    <w:rsid w:val="009F631F"/>
    <w:rsid w:val="00A05EBF"/>
    <w:rsid w:val="00A10E3C"/>
    <w:rsid w:val="00A124B0"/>
    <w:rsid w:val="00A214E8"/>
    <w:rsid w:val="00A219F0"/>
    <w:rsid w:val="00A25F84"/>
    <w:rsid w:val="00A26367"/>
    <w:rsid w:val="00A272E2"/>
    <w:rsid w:val="00A319F9"/>
    <w:rsid w:val="00A3349D"/>
    <w:rsid w:val="00A34141"/>
    <w:rsid w:val="00A3415E"/>
    <w:rsid w:val="00A356FA"/>
    <w:rsid w:val="00A449E2"/>
    <w:rsid w:val="00A5627D"/>
    <w:rsid w:val="00A56573"/>
    <w:rsid w:val="00A70DED"/>
    <w:rsid w:val="00A71FDC"/>
    <w:rsid w:val="00A7397A"/>
    <w:rsid w:val="00A7690B"/>
    <w:rsid w:val="00A82D58"/>
    <w:rsid w:val="00A83464"/>
    <w:rsid w:val="00A87DAB"/>
    <w:rsid w:val="00A90258"/>
    <w:rsid w:val="00A9190A"/>
    <w:rsid w:val="00AA401B"/>
    <w:rsid w:val="00AA6CEB"/>
    <w:rsid w:val="00AB79FC"/>
    <w:rsid w:val="00AC1337"/>
    <w:rsid w:val="00AC4044"/>
    <w:rsid w:val="00AC4A75"/>
    <w:rsid w:val="00AD0611"/>
    <w:rsid w:val="00AD3CDF"/>
    <w:rsid w:val="00AD4E84"/>
    <w:rsid w:val="00AE0F9B"/>
    <w:rsid w:val="00AE18E4"/>
    <w:rsid w:val="00AE4B49"/>
    <w:rsid w:val="00AE5E19"/>
    <w:rsid w:val="00AF050C"/>
    <w:rsid w:val="00AF1FB5"/>
    <w:rsid w:val="00AF67EF"/>
    <w:rsid w:val="00AF6942"/>
    <w:rsid w:val="00B0444B"/>
    <w:rsid w:val="00B12ECA"/>
    <w:rsid w:val="00B17766"/>
    <w:rsid w:val="00B206DD"/>
    <w:rsid w:val="00B20F5E"/>
    <w:rsid w:val="00B24DB2"/>
    <w:rsid w:val="00B303D1"/>
    <w:rsid w:val="00B4429C"/>
    <w:rsid w:val="00B45816"/>
    <w:rsid w:val="00B5162E"/>
    <w:rsid w:val="00B55B9B"/>
    <w:rsid w:val="00B652D6"/>
    <w:rsid w:val="00B67580"/>
    <w:rsid w:val="00B719B1"/>
    <w:rsid w:val="00B7628A"/>
    <w:rsid w:val="00B81B16"/>
    <w:rsid w:val="00B8374A"/>
    <w:rsid w:val="00B857E7"/>
    <w:rsid w:val="00B86140"/>
    <w:rsid w:val="00B91B23"/>
    <w:rsid w:val="00B92064"/>
    <w:rsid w:val="00B92F23"/>
    <w:rsid w:val="00B959AC"/>
    <w:rsid w:val="00BA410A"/>
    <w:rsid w:val="00BB547A"/>
    <w:rsid w:val="00BB6593"/>
    <w:rsid w:val="00BB7FAC"/>
    <w:rsid w:val="00BC2627"/>
    <w:rsid w:val="00BC66B2"/>
    <w:rsid w:val="00BD1D43"/>
    <w:rsid w:val="00BD33A3"/>
    <w:rsid w:val="00BD3E6B"/>
    <w:rsid w:val="00BE6D01"/>
    <w:rsid w:val="00BF0530"/>
    <w:rsid w:val="00C16AC5"/>
    <w:rsid w:val="00C16AEC"/>
    <w:rsid w:val="00C202E3"/>
    <w:rsid w:val="00C218DC"/>
    <w:rsid w:val="00C24B20"/>
    <w:rsid w:val="00C2722A"/>
    <w:rsid w:val="00C33B47"/>
    <w:rsid w:val="00C34D30"/>
    <w:rsid w:val="00C35B0E"/>
    <w:rsid w:val="00C3636D"/>
    <w:rsid w:val="00C47CA3"/>
    <w:rsid w:val="00C52737"/>
    <w:rsid w:val="00C6434C"/>
    <w:rsid w:val="00C64653"/>
    <w:rsid w:val="00C64E7A"/>
    <w:rsid w:val="00C71372"/>
    <w:rsid w:val="00C715CF"/>
    <w:rsid w:val="00C760DA"/>
    <w:rsid w:val="00C77AA5"/>
    <w:rsid w:val="00C8133A"/>
    <w:rsid w:val="00C83866"/>
    <w:rsid w:val="00C868F3"/>
    <w:rsid w:val="00C9489D"/>
    <w:rsid w:val="00CA4FB8"/>
    <w:rsid w:val="00CA5A35"/>
    <w:rsid w:val="00CB08E1"/>
    <w:rsid w:val="00CB0BAC"/>
    <w:rsid w:val="00CB6D30"/>
    <w:rsid w:val="00CC1F2F"/>
    <w:rsid w:val="00CC2E92"/>
    <w:rsid w:val="00CC30A7"/>
    <w:rsid w:val="00CD09A7"/>
    <w:rsid w:val="00CE2296"/>
    <w:rsid w:val="00CE2C32"/>
    <w:rsid w:val="00D00C90"/>
    <w:rsid w:val="00D02E27"/>
    <w:rsid w:val="00D10F9B"/>
    <w:rsid w:val="00D13BCD"/>
    <w:rsid w:val="00D16779"/>
    <w:rsid w:val="00D22A8A"/>
    <w:rsid w:val="00D253A8"/>
    <w:rsid w:val="00D338E4"/>
    <w:rsid w:val="00D44ABD"/>
    <w:rsid w:val="00D50BD1"/>
    <w:rsid w:val="00D53AF5"/>
    <w:rsid w:val="00D540F7"/>
    <w:rsid w:val="00D61281"/>
    <w:rsid w:val="00D61AE0"/>
    <w:rsid w:val="00D63338"/>
    <w:rsid w:val="00D66E31"/>
    <w:rsid w:val="00D80D3A"/>
    <w:rsid w:val="00D87F35"/>
    <w:rsid w:val="00D9398E"/>
    <w:rsid w:val="00D97E13"/>
    <w:rsid w:val="00DA60AA"/>
    <w:rsid w:val="00DB362C"/>
    <w:rsid w:val="00DC12C3"/>
    <w:rsid w:val="00DC5288"/>
    <w:rsid w:val="00DC748C"/>
    <w:rsid w:val="00DD0749"/>
    <w:rsid w:val="00DD57DE"/>
    <w:rsid w:val="00DE0492"/>
    <w:rsid w:val="00DE1882"/>
    <w:rsid w:val="00DE72DC"/>
    <w:rsid w:val="00DF1F6C"/>
    <w:rsid w:val="00DF5EA2"/>
    <w:rsid w:val="00E001DC"/>
    <w:rsid w:val="00E0783C"/>
    <w:rsid w:val="00E13EC6"/>
    <w:rsid w:val="00E163F1"/>
    <w:rsid w:val="00E301BD"/>
    <w:rsid w:val="00E3471C"/>
    <w:rsid w:val="00E422D2"/>
    <w:rsid w:val="00E440B5"/>
    <w:rsid w:val="00E44A80"/>
    <w:rsid w:val="00E5100C"/>
    <w:rsid w:val="00E513F1"/>
    <w:rsid w:val="00E54424"/>
    <w:rsid w:val="00E655DF"/>
    <w:rsid w:val="00E67D98"/>
    <w:rsid w:val="00E70837"/>
    <w:rsid w:val="00E761F7"/>
    <w:rsid w:val="00E8054F"/>
    <w:rsid w:val="00E814EB"/>
    <w:rsid w:val="00E85D57"/>
    <w:rsid w:val="00E875C4"/>
    <w:rsid w:val="00E93960"/>
    <w:rsid w:val="00E93B03"/>
    <w:rsid w:val="00E956AE"/>
    <w:rsid w:val="00EA34D7"/>
    <w:rsid w:val="00EA51F7"/>
    <w:rsid w:val="00EA5D25"/>
    <w:rsid w:val="00EB25CA"/>
    <w:rsid w:val="00EB29BB"/>
    <w:rsid w:val="00ED3A24"/>
    <w:rsid w:val="00EE022D"/>
    <w:rsid w:val="00EE07D5"/>
    <w:rsid w:val="00EE4F51"/>
    <w:rsid w:val="00EF059F"/>
    <w:rsid w:val="00EF14CB"/>
    <w:rsid w:val="00EF3699"/>
    <w:rsid w:val="00EF4A63"/>
    <w:rsid w:val="00EF72D0"/>
    <w:rsid w:val="00F0387F"/>
    <w:rsid w:val="00F038F0"/>
    <w:rsid w:val="00F06198"/>
    <w:rsid w:val="00F0683E"/>
    <w:rsid w:val="00F17340"/>
    <w:rsid w:val="00F173BF"/>
    <w:rsid w:val="00F21D93"/>
    <w:rsid w:val="00F22751"/>
    <w:rsid w:val="00F2658C"/>
    <w:rsid w:val="00F31575"/>
    <w:rsid w:val="00F32BB7"/>
    <w:rsid w:val="00F37B70"/>
    <w:rsid w:val="00F418FD"/>
    <w:rsid w:val="00F4714F"/>
    <w:rsid w:val="00F5086B"/>
    <w:rsid w:val="00F53091"/>
    <w:rsid w:val="00F57E2E"/>
    <w:rsid w:val="00F63C91"/>
    <w:rsid w:val="00F72DFE"/>
    <w:rsid w:val="00F744C8"/>
    <w:rsid w:val="00F76C72"/>
    <w:rsid w:val="00F82D8C"/>
    <w:rsid w:val="00F86358"/>
    <w:rsid w:val="00F9324E"/>
    <w:rsid w:val="00FB1F2C"/>
    <w:rsid w:val="00FB7EFD"/>
    <w:rsid w:val="00FC080F"/>
    <w:rsid w:val="00FC3AF7"/>
    <w:rsid w:val="00FD147C"/>
    <w:rsid w:val="00FD381E"/>
    <w:rsid w:val="00FD4933"/>
    <w:rsid w:val="00FE15C9"/>
    <w:rsid w:val="00FE4209"/>
    <w:rsid w:val="00FF5537"/>
    <w:rsid w:val="00FF5BFC"/>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DDCB313"/>
  <w15:chartTrackingRefBased/>
  <w15:docId w15:val="{7865D226-9889-4C11-95DE-2E7B7578E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F2C"/>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8F2F2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F2F2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F2F2C"/>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4C11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11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11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11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11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11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8F2F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F2C"/>
  </w:style>
  <w:style w:type="character" w:customStyle="1" w:styleId="Heading1Char">
    <w:name w:val="Heading 1 Char"/>
    <w:basedOn w:val="DefaultParagraphFont"/>
    <w:link w:val="Heading1"/>
    <w:rsid w:val="008F2F2C"/>
    <w:rPr>
      <w:rFonts w:ascii="Times New Roman" w:eastAsia="MS Mincho" w:hAnsi="Times New Roman" w:cs="Times New Roman"/>
      <w:b/>
      <w:bCs/>
      <w:kern w:val="0"/>
      <w:sz w:val="22"/>
      <w:lang w:val="en-GB"/>
      <w14:ligatures w14:val="none"/>
    </w:rPr>
  </w:style>
  <w:style w:type="character" w:customStyle="1" w:styleId="Heading2Char">
    <w:name w:val="Heading 2 Char"/>
    <w:basedOn w:val="DefaultParagraphFont"/>
    <w:link w:val="Heading2"/>
    <w:rsid w:val="008F2F2C"/>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8F2F2C"/>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4C11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11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11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11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11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1194"/>
    <w:rPr>
      <w:rFonts w:eastAsiaTheme="majorEastAsia" w:cstheme="majorBidi"/>
      <w:color w:val="272727" w:themeColor="text1" w:themeTint="D8"/>
    </w:rPr>
  </w:style>
  <w:style w:type="paragraph" w:styleId="Title">
    <w:name w:val="Title"/>
    <w:basedOn w:val="Normal"/>
    <w:next w:val="Normal"/>
    <w:link w:val="TitleChar"/>
    <w:uiPriority w:val="10"/>
    <w:qFormat/>
    <w:rsid w:val="004C11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11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11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11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1194"/>
    <w:pPr>
      <w:spacing w:before="160"/>
      <w:jc w:val="center"/>
    </w:pPr>
    <w:rPr>
      <w:i/>
      <w:iCs/>
      <w:color w:val="404040" w:themeColor="text1" w:themeTint="BF"/>
    </w:rPr>
  </w:style>
  <w:style w:type="character" w:customStyle="1" w:styleId="QuoteChar">
    <w:name w:val="Quote Char"/>
    <w:basedOn w:val="DefaultParagraphFont"/>
    <w:link w:val="Quote"/>
    <w:uiPriority w:val="29"/>
    <w:rsid w:val="004C1194"/>
    <w:rPr>
      <w:i/>
      <w:iCs/>
      <w:color w:val="404040" w:themeColor="text1" w:themeTint="BF"/>
    </w:rPr>
  </w:style>
  <w:style w:type="paragraph" w:styleId="ListParagraph">
    <w:name w:val="List Paragraph"/>
    <w:basedOn w:val="Normal"/>
    <w:uiPriority w:val="34"/>
    <w:qFormat/>
    <w:rsid w:val="008F2F2C"/>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4C1194"/>
    <w:rPr>
      <w:i/>
      <w:iCs/>
      <w:color w:val="0F4761" w:themeColor="accent1" w:themeShade="BF"/>
    </w:rPr>
  </w:style>
  <w:style w:type="paragraph" w:styleId="IntenseQuote">
    <w:name w:val="Intense Quote"/>
    <w:basedOn w:val="Normal"/>
    <w:next w:val="Normal"/>
    <w:link w:val="IntenseQuoteChar"/>
    <w:uiPriority w:val="30"/>
    <w:qFormat/>
    <w:rsid w:val="004C11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1194"/>
    <w:rPr>
      <w:i/>
      <w:iCs/>
      <w:color w:val="0F4761" w:themeColor="accent1" w:themeShade="BF"/>
    </w:rPr>
  </w:style>
  <w:style w:type="character" w:styleId="IntenseReference">
    <w:name w:val="Intense Reference"/>
    <w:basedOn w:val="DefaultParagraphFont"/>
    <w:uiPriority w:val="32"/>
    <w:qFormat/>
    <w:rsid w:val="004C1194"/>
    <w:rPr>
      <w:b/>
      <w:bCs/>
      <w:smallCaps/>
      <w:color w:val="0F4761" w:themeColor="accent1" w:themeShade="BF"/>
      <w:spacing w:val="5"/>
    </w:rPr>
  </w:style>
  <w:style w:type="character" w:styleId="Strong">
    <w:name w:val="Strong"/>
    <w:basedOn w:val="DefaultParagraphFont"/>
    <w:qFormat/>
    <w:rsid w:val="008F2F2C"/>
    <w:rPr>
      <w:b/>
      <w:bCs/>
    </w:rPr>
  </w:style>
  <w:style w:type="character" w:styleId="Emphasis">
    <w:name w:val="Emphasis"/>
    <w:basedOn w:val="DefaultParagraphFont"/>
    <w:uiPriority w:val="20"/>
    <w:qFormat/>
    <w:rsid w:val="00951A69"/>
    <w:rPr>
      <w:i/>
      <w:iCs/>
    </w:rPr>
  </w:style>
  <w:style w:type="paragraph" w:styleId="NormalWeb">
    <w:name w:val="Normal (Web)"/>
    <w:basedOn w:val="Normal"/>
    <w:uiPriority w:val="99"/>
    <w:semiHidden/>
    <w:unhideWhenUsed/>
    <w:rsid w:val="00A26367"/>
  </w:style>
  <w:style w:type="paragraph" w:styleId="Header">
    <w:name w:val="header"/>
    <w:basedOn w:val="Normal"/>
    <w:link w:val="HeaderChar"/>
    <w:rsid w:val="008F2F2C"/>
    <w:pPr>
      <w:tabs>
        <w:tab w:val="center" w:pos="4680"/>
        <w:tab w:val="right" w:pos="9360"/>
      </w:tabs>
    </w:pPr>
  </w:style>
  <w:style w:type="character" w:customStyle="1" w:styleId="HeaderChar">
    <w:name w:val="Header Char"/>
    <w:basedOn w:val="DefaultParagraphFont"/>
    <w:link w:val="Header"/>
    <w:rsid w:val="008F2F2C"/>
    <w:rPr>
      <w:rFonts w:ascii="Times New Roman" w:eastAsia="MS Mincho" w:hAnsi="Times New Roman" w:cs="Times New Roman"/>
      <w:kern w:val="0"/>
      <w:sz w:val="22"/>
      <w:lang w:val="en-GB"/>
      <w14:ligatures w14:val="none"/>
    </w:rPr>
  </w:style>
  <w:style w:type="paragraph" w:styleId="Footer">
    <w:name w:val="footer"/>
    <w:basedOn w:val="Normal"/>
    <w:link w:val="FooterChar"/>
    <w:rsid w:val="008F2F2C"/>
    <w:pPr>
      <w:tabs>
        <w:tab w:val="center" w:pos="4680"/>
        <w:tab w:val="right" w:pos="9360"/>
      </w:tabs>
    </w:pPr>
  </w:style>
  <w:style w:type="character" w:customStyle="1" w:styleId="FooterChar">
    <w:name w:val="Footer Char"/>
    <w:basedOn w:val="DefaultParagraphFont"/>
    <w:link w:val="Footer"/>
    <w:rsid w:val="008F2F2C"/>
    <w:rPr>
      <w:rFonts w:ascii="Times New Roman" w:eastAsia="MS Mincho" w:hAnsi="Times New Roman" w:cs="Times New Roman"/>
      <w:kern w:val="0"/>
      <w:sz w:val="22"/>
      <w:lang w:val="en-GB"/>
      <w14:ligatures w14:val="none"/>
    </w:rPr>
  </w:style>
  <w:style w:type="character" w:styleId="CommentReference">
    <w:name w:val="annotation reference"/>
    <w:basedOn w:val="DefaultParagraphFont"/>
    <w:uiPriority w:val="99"/>
    <w:semiHidden/>
    <w:unhideWhenUsed/>
    <w:rsid w:val="00014266"/>
    <w:rPr>
      <w:sz w:val="16"/>
      <w:szCs w:val="16"/>
    </w:rPr>
  </w:style>
  <w:style w:type="paragraph" w:styleId="CommentText">
    <w:name w:val="annotation text"/>
    <w:basedOn w:val="Normal"/>
    <w:link w:val="CommentTextChar"/>
    <w:uiPriority w:val="99"/>
    <w:unhideWhenUsed/>
    <w:rsid w:val="00014266"/>
    <w:rPr>
      <w:sz w:val="20"/>
      <w:szCs w:val="20"/>
    </w:rPr>
  </w:style>
  <w:style w:type="character" w:customStyle="1" w:styleId="CommentTextChar">
    <w:name w:val="Comment Text Char"/>
    <w:basedOn w:val="DefaultParagraphFont"/>
    <w:link w:val="CommentText"/>
    <w:uiPriority w:val="99"/>
    <w:rsid w:val="00014266"/>
    <w:rPr>
      <w:sz w:val="20"/>
      <w:szCs w:val="20"/>
    </w:rPr>
  </w:style>
  <w:style w:type="paragraph" w:styleId="CommentSubject">
    <w:name w:val="annotation subject"/>
    <w:basedOn w:val="CommentText"/>
    <w:next w:val="CommentText"/>
    <w:link w:val="CommentSubjectChar"/>
    <w:uiPriority w:val="99"/>
    <w:semiHidden/>
    <w:unhideWhenUsed/>
    <w:rsid w:val="00014266"/>
    <w:rPr>
      <w:b/>
      <w:bCs/>
    </w:rPr>
  </w:style>
  <w:style w:type="character" w:customStyle="1" w:styleId="CommentSubjectChar">
    <w:name w:val="Comment Subject Char"/>
    <w:basedOn w:val="CommentTextChar"/>
    <w:link w:val="CommentSubject"/>
    <w:uiPriority w:val="99"/>
    <w:semiHidden/>
    <w:rsid w:val="00014266"/>
    <w:rPr>
      <w:b/>
      <w:bCs/>
      <w:sz w:val="20"/>
      <w:szCs w:val="20"/>
    </w:rPr>
  </w:style>
  <w:style w:type="paragraph" w:styleId="Revision">
    <w:name w:val="Revision"/>
    <w:hidden/>
    <w:uiPriority w:val="99"/>
    <w:semiHidden/>
    <w:rsid w:val="00014266"/>
    <w:pPr>
      <w:spacing w:after="0" w:line="240" w:lineRule="auto"/>
    </w:pPr>
  </w:style>
  <w:style w:type="paragraph" w:styleId="FootnoteText">
    <w:name w:val="footnote text"/>
    <w:basedOn w:val="Normal"/>
    <w:link w:val="FootnoteTextChar"/>
    <w:semiHidden/>
    <w:rsid w:val="008F2F2C"/>
    <w:pPr>
      <w:spacing w:before="60"/>
    </w:pPr>
    <w:rPr>
      <w:sz w:val="20"/>
    </w:rPr>
  </w:style>
  <w:style w:type="character" w:customStyle="1" w:styleId="FootnoteTextChar">
    <w:name w:val="Footnote Text Char"/>
    <w:basedOn w:val="DefaultParagraphFont"/>
    <w:link w:val="FootnoteText"/>
    <w:semiHidden/>
    <w:rsid w:val="008F2F2C"/>
    <w:rPr>
      <w:rFonts w:ascii="Times New Roman" w:eastAsia="MS Mincho" w:hAnsi="Times New Roman" w:cs="Times New Roman"/>
      <w:kern w:val="0"/>
      <w:sz w:val="20"/>
      <w:lang w:val="en-GB"/>
      <w14:ligatures w14:val="none"/>
    </w:rPr>
  </w:style>
  <w:style w:type="character" w:styleId="FootnoteReference">
    <w:name w:val="footnote reference"/>
    <w:basedOn w:val="DefaultParagraphFont"/>
    <w:semiHidden/>
    <w:rsid w:val="008F2F2C"/>
    <w:rPr>
      <w:vertAlign w:val="superscript"/>
    </w:rPr>
  </w:style>
  <w:style w:type="paragraph" w:customStyle="1" w:styleId="Style">
    <w:name w:val="Style"/>
    <w:basedOn w:val="Footer"/>
    <w:autoRedefine/>
    <w:qFormat/>
    <w:rsid w:val="008F2F2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F2F2C"/>
    <w:rPr>
      <w:rFonts w:ascii="Arial" w:hAnsi="Arial"/>
      <w:b/>
      <w:sz w:val="18"/>
    </w:rPr>
  </w:style>
  <w:style w:type="paragraph" w:customStyle="1" w:styleId="IPPArialFootnote">
    <w:name w:val="IPP Arial Footnote"/>
    <w:basedOn w:val="IPPArialTable"/>
    <w:qFormat/>
    <w:rsid w:val="008F2F2C"/>
    <w:pPr>
      <w:tabs>
        <w:tab w:val="left" w:pos="28"/>
      </w:tabs>
      <w:ind w:left="284" w:hanging="284"/>
    </w:pPr>
    <w:rPr>
      <w:sz w:val="16"/>
    </w:rPr>
  </w:style>
  <w:style w:type="paragraph" w:customStyle="1" w:styleId="IPPContentsHead">
    <w:name w:val="IPP ContentsHead"/>
    <w:basedOn w:val="IPPSubhead"/>
    <w:next w:val="IPPNormal"/>
    <w:qFormat/>
    <w:rsid w:val="008F2F2C"/>
    <w:pPr>
      <w:spacing w:after="240"/>
    </w:pPr>
    <w:rPr>
      <w:sz w:val="24"/>
    </w:rPr>
  </w:style>
  <w:style w:type="table" w:styleId="TableGrid">
    <w:name w:val="Table Grid"/>
    <w:basedOn w:val="TableNormal"/>
    <w:rsid w:val="008F2F2C"/>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F2F2C"/>
    <w:rPr>
      <w:rFonts w:ascii="Tahoma" w:hAnsi="Tahoma" w:cs="Tahoma"/>
      <w:sz w:val="16"/>
      <w:szCs w:val="16"/>
    </w:rPr>
  </w:style>
  <w:style w:type="character" w:customStyle="1" w:styleId="BalloonTextChar">
    <w:name w:val="Balloon Text Char"/>
    <w:basedOn w:val="DefaultParagraphFont"/>
    <w:link w:val="BalloonText"/>
    <w:rsid w:val="008F2F2C"/>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8F2F2C"/>
    <w:pPr>
      <w:numPr>
        <w:numId w:val="27"/>
      </w:numPr>
      <w:tabs>
        <w:tab w:val="left" w:pos="1134"/>
      </w:tabs>
      <w:spacing w:after="60"/>
      <w:ind w:left="1134" w:hanging="567"/>
    </w:pPr>
  </w:style>
  <w:style w:type="paragraph" w:customStyle="1" w:styleId="IPPQuote">
    <w:name w:val="IPP Quote"/>
    <w:basedOn w:val="IPPNormal"/>
    <w:qFormat/>
    <w:rsid w:val="008F2F2C"/>
    <w:pPr>
      <w:ind w:left="851" w:right="851"/>
    </w:pPr>
    <w:rPr>
      <w:sz w:val="18"/>
    </w:rPr>
  </w:style>
  <w:style w:type="paragraph" w:customStyle="1" w:styleId="IPPNormal">
    <w:name w:val="IPP Normal"/>
    <w:basedOn w:val="Normal"/>
    <w:qFormat/>
    <w:rsid w:val="008F2F2C"/>
    <w:pPr>
      <w:spacing w:after="180"/>
    </w:pPr>
    <w:rPr>
      <w:rFonts w:eastAsia="Times"/>
    </w:rPr>
  </w:style>
  <w:style w:type="paragraph" w:customStyle="1" w:styleId="IPPIndentClose">
    <w:name w:val="IPP Indent Close"/>
    <w:basedOn w:val="IPPNormal"/>
    <w:qFormat/>
    <w:rsid w:val="008F2F2C"/>
    <w:pPr>
      <w:tabs>
        <w:tab w:val="left" w:pos="2835"/>
      </w:tabs>
      <w:spacing w:after="60"/>
      <w:ind w:left="567"/>
    </w:pPr>
  </w:style>
  <w:style w:type="paragraph" w:customStyle="1" w:styleId="IPPIndent">
    <w:name w:val="IPP Indent"/>
    <w:basedOn w:val="IPPIndentClose"/>
    <w:qFormat/>
    <w:rsid w:val="008F2F2C"/>
    <w:pPr>
      <w:spacing w:after="180"/>
    </w:pPr>
  </w:style>
  <w:style w:type="paragraph" w:customStyle="1" w:styleId="IPPFootnote">
    <w:name w:val="IPP Footnote"/>
    <w:basedOn w:val="IPPArialFootnote"/>
    <w:qFormat/>
    <w:rsid w:val="008F2F2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F2F2C"/>
    <w:pPr>
      <w:keepNext/>
      <w:tabs>
        <w:tab w:val="left" w:pos="567"/>
      </w:tabs>
      <w:spacing w:before="120" w:after="120"/>
      <w:ind w:left="567" w:hanging="567"/>
    </w:pPr>
    <w:rPr>
      <w:b/>
      <w:i/>
    </w:rPr>
  </w:style>
  <w:style w:type="character" w:customStyle="1" w:styleId="IPPnormalitalics">
    <w:name w:val="IPP normal italics"/>
    <w:basedOn w:val="DefaultParagraphFont"/>
    <w:rsid w:val="008F2F2C"/>
    <w:rPr>
      <w:rFonts w:ascii="Times New Roman" w:hAnsi="Times New Roman"/>
      <w:i/>
      <w:sz w:val="22"/>
      <w:lang w:val="en-US"/>
    </w:rPr>
  </w:style>
  <w:style w:type="character" w:customStyle="1" w:styleId="IPPNormalbold">
    <w:name w:val="IPP Normal bold"/>
    <w:basedOn w:val="PlainTextChar"/>
    <w:rsid w:val="008F2F2C"/>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8F2F2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F2F2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F2F2C"/>
    <w:pPr>
      <w:keepNext/>
      <w:ind w:left="567" w:hanging="567"/>
      <w:jc w:val="left"/>
    </w:pPr>
    <w:rPr>
      <w:b/>
      <w:bCs/>
      <w:iCs/>
      <w:szCs w:val="22"/>
    </w:rPr>
  </w:style>
  <w:style w:type="character" w:customStyle="1" w:styleId="IPPNormalunderlined">
    <w:name w:val="IPP Normal underlined"/>
    <w:basedOn w:val="DefaultParagraphFont"/>
    <w:rsid w:val="008F2F2C"/>
    <w:rPr>
      <w:rFonts w:ascii="Times New Roman" w:hAnsi="Times New Roman"/>
      <w:sz w:val="22"/>
      <w:u w:val="single"/>
      <w:lang w:val="en-US"/>
    </w:rPr>
  </w:style>
  <w:style w:type="paragraph" w:customStyle="1" w:styleId="IPPBullet1">
    <w:name w:val="IPP Bullet1"/>
    <w:basedOn w:val="IPPBullet1Last"/>
    <w:qFormat/>
    <w:rsid w:val="008F2F2C"/>
    <w:pPr>
      <w:numPr>
        <w:numId w:val="40"/>
      </w:numPr>
      <w:spacing w:after="60"/>
      <w:ind w:left="567" w:hanging="567"/>
    </w:pPr>
    <w:rPr>
      <w:lang w:val="en-US"/>
    </w:rPr>
  </w:style>
  <w:style w:type="paragraph" w:customStyle="1" w:styleId="IPPBullet1Last">
    <w:name w:val="IPP Bullet1Last"/>
    <w:basedOn w:val="IPPNormal"/>
    <w:next w:val="IPPNormal"/>
    <w:qFormat/>
    <w:rsid w:val="008F2F2C"/>
    <w:pPr>
      <w:numPr>
        <w:numId w:val="28"/>
      </w:numPr>
    </w:pPr>
  </w:style>
  <w:style w:type="character" w:customStyle="1" w:styleId="IPPNormalstrikethrough">
    <w:name w:val="IPP Normal strikethrough"/>
    <w:rsid w:val="008F2F2C"/>
    <w:rPr>
      <w:rFonts w:ascii="Times New Roman" w:hAnsi="Times New Roman"/>
      <w:strike/>
      <w:dstrike w:val="0"/>
      <w:sz w:val="22"/>
    </w:rPr>
  </w:style>
  <w:style w:type="paragraph" w:customStyle="1" w:styleId="IPPTitle16pt">
    <w:name w:val="IPP Title16pt"/>
    <w:basedOn w:val="Normal"/>
    <w:qFormat/>
    <w:rsid w:val="008F2F2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F2F2C"/>
    <w:pPr>
      <w:spacing w:after="360"/>
      <w:jc w:val="center"/>
    </w:pPr>
    <w:rPr>
      <w:rFonts w:ascii="Arial" w:hAnsi="Arial" w:cs="Arial"/>
      <w:b/>
      <w:bCs/>
      <w:sz w:val="36"/>
      <w:szCs w:val="36"/>
    </w:rPr>
  </w:style>
  <w:style w:type="paragraph" w:customStyle="1" w:styleId="IPPHeader">
    <w:name w:val="IPP Header"/>
    <w:basedOn w:val="Normal"/>
    <w:qFormat/>
    <w:rsid w:val="008F2F2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F2F2C"/>
    <w:pPr>
      <w:keepNext/>
      <w:tabs>
        <w:tab w:val="left" w:pos="567"/>
      </w:tabs>
      <w:spacing w:before="120"/>
      <w:jc w:val="left"/>
      <w:outlineLvl w:val="1"/>
    </w:pPr>
    <w:rPr>
      <w:b/>
      <w:sz w:val="24"/>
    </w:rPr>
  </w:style>
  <w:style w:type="numbering" w:customStyle="1" w:styleId="IPPParagraphnumberedlist">
    <w:name w:val="IPP Paragraph numbered list"/>
    <w:rsid w:val="008F2F2C"/>
    <w:pPr>
      <w:numPr>
        <w:numId w:val="26"/>
      </w:numPr>
    </w:pPr>
  </w:style>
  <w:style w:type="paragraph" w:customStyle="1" w:styleId="IPPNormalCloseSpace">
    <w:name w:val="IPP NormalCloseSpace"/>
    <w:basedOn w:val="Normal"/>
    <w:qFormat/>
    <w:rsid w:val="008F2F2C"/>
    <w:pPr>
      <w:keepNext/>
      <w:spacing w:after="60"/>
    </w:pPr>
  </w:style>
  <w:style w:type="paragraph" w:customStyle="1" w:styleId="IPPHeading2">
    <w:name w:val="IPP Heading2"/>
    <w:basedOn w:val="IPPNormal"/>
    <w:next w:val="IPPNormal"/>
    <w:qFormat/>
    <w:rsid w:val="008F2F2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F2F2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F2F2C"/>
    <w:pPr>
      <w:tabs>
        <w:tab w:val="right" w:leader="dot" w:pos="9072"/>
      </w:tabs>
      <w:spacing w:before="240"/>
      <w:ind w:left="567" w:hanging="567"/>
    </w:pPr>
  </w:style>
  <w:style w:type="paragraph" w:styleId="TOC2">
    <w:name w:val="toc 2"/>
    <w:basedOn w:val="TOC1"/>
    <w:next w:val="Normal"/>
    <w:autoRedefine/>
    <w:uiPriority w:val="39"/>
    <w:rsid w:val="008F2F2C"/>
    <w:pPr>
      <w:keepNext w:val="0"/>
      <w:tabs>
        <w:tab w:val="left" w:pos="425"/>
      </w:tabs>
      <w:spacing w:before="120" w:after="0"/>
      <w:ind w:left="425" w:right="284" w:hanging="425"/>
    </w:pPr>
  </w:style>
  <w:style w:type="paragraph" w:styleId="TOC3">
    <w:name w:val="toc 3"/>
    <w:basedOn w:val="TOC2"/>
    <w:next w:val="Normal"/>
    <w:autoRedefine/>
    <w:uiPriority w:val="39"/>
    <w:rsid w:val="008F2F2C"/>
    <w:pPr>
      <w:tabs>
        <w:tab w:val="left" w:pos="1276"/>
      </w:tabs>
      <w:spacing w:before="60"/>
      <w:ind w:left="1276" w:hanging="851"/>
    </w:pPr>
    <w:rPr>
      <w:rFonts w:eastAsia="Times"/>
    </w:rPr>
  </w:style>
  <w:style w:type="paragraph" w:styleId="TOC4">
    <w:name w:val="toc 4"/>
    <w:basedOn w:val="Normal"/>
    <w:next w:val="Normal"/>
    <w:autoRedefine/>
    <w:uiPriority w:val="39"/>
    <w:rsid w:val="008F2F2C"/>
    <w:pPr>
      <w:spacing w:after="120"/>
      <w:ind w:left="660"/>
    </w:pPr>
    <w:rPr>
      <w:rFonts w:eastAsia="Times"/>
      <w:lang w:val="en-AU"/>
    </w:rPr>
  </w:style>
  <w:style w:type="paragraph" w:styleId="TOC5">
    <w:name w:val="toc 5"/>
    <w:basedOn w:val="Normal"/>
    <w:next w:val="Normal"/>
    <w:autoRedefine/>
    <w:uiPriority w:val="39"/>
    <w:rsid w:val="008F2F2C"/>
    <w:pPr>
      <w:spacing w:after="120"/>
      <w:ind w:left="880"/>
    </w:pPr>
    <w:rPr>
      <w:rFonts w:eastAsia="Times"/>
      <w:lang w:val="en-AU"/>
    </w:rPr>
  </w:style>
  <w:style w:type="paragraph" w:styleId="TOC6">
    <w:name w:val="toc 6"/>
    <w:basedOn w:val="Normal"/>
    <w:next w:val="Normal"/>
    <w:autoRedefine/>
    <w:uiPriority w:val="39"/>
    <w:rsid w:val="008F2F2C"/>
    <w:pPr>
      <w:spacing w:after="120"/>
      <w:ind w:left="1100"/>
    </w:pPr>
    <w:rPr>
      <w:rFonts w:eastAsia="Times"/>
      <w:lang w:val="en-AU"/>
    </w:rPr>
  </w:style>
  <w:style w:type="paragraph" w:styleId="TOC7">
    <w:name w:val="toc 7"/>
    <w:basedOn w:val="Normal"/>
    <w:next w:val="Normal"/>
    <w:autoRedefine/>
    <w:uiPriority w:val="39"/>
    <w:rsid w:val="008F2F2C"/>
    <w:pPr>
      <w:spacing w:after="120"/>
      <w:ind w:left="1320"/>
    </w:pPr>
    <w:rPr>
      <w:rFonts w:eastAsia="Times"/>
      <w:lang w:val="en-AU"/>
    </w:rPr>
  </w:style>
  <w:style w:type="paragraph" w:styleId="TOC8">
    <w:name w:val="toc 8"/>
    <w:basedOn w:val="Normal"/>
    <w:next w:val="Normal"/>
    <w:autoRedefine/>
    <w:uiPriority w:val="39"/>
    <w:rsid w:val="008F2F2C"/>
    <w:pPr>
      <w:spacing w:after="120"/>
      <w:ind w:left="1540"/>
    </w:pPr>
    <w:rPr>
      <w:rFonts w:eastAsia="Times"/>
      <w:lang w:val="en-AU"/>
    </w:rPr>
  </w:style>
  <w:style w:type="paragraph" w:styleId="TOC9">
    <w:name w:val="toc 9"/>
    <w:basedOn w:val="Normal"/>
    <w:next w:val="Normal"/>
    <w:autoRedefine/>
    <w:uiPriority w:val="39"/>
    <w:rsid w:val="008F2F2C"/>
    <w:pPr>
      <w:spacing w:after="120"/>
      <w:ind w:left="1760"/>
    </w:pPr>
    <w:rPr>
      <w:rFonts w:eastAsia="Times"/>
      <w:lang w:val="en-AU"/>
    </w:rPr>
  </w:style>
  <w:style w:type="paragraph" w:customStyle="1" w:styleId="IPPReferences">
    <w:name w:val="IPP References"/>
    <w:basedOn w:val="IPPNormal"/>
    <w:qFormat/>
    <w:rsid w:val="008F2F2C"/>
    <w:pPr>
      <w:spacing w:after="60"/>
      <w:ind w:left="567" w:hanging="567"/>
    </w:pPr>
  </w:style>
  <w:style w:type="paragraph" w:customStyle="1" w:styleId="IPPArial">
    <w:name w:val="IPP Arial"/>
    <w:basedOn w:val="IPPNormal"/>
    <w:qFormat/>
    <w:rsid w:val="008F2F2C"/>
    <w:pPr>
      <w:spacing w:after="0"/>
    </w:pPr>
    <w:rPr>
      <w:rFonts w:ascii="Arial" w:hAnsi="Arial"/>
      <w:sz w:val="18"/>
    </w:rPr>
  </w:style>
  <w:style w:type="paragraph" w:customStyle="1" w:styleId="IPPArialTable">
    <w:name w:val="IPP Arial Table"/>
    <w:basedOn w:val="IPPArial"/>
    <w:qFormat/>
    <w:rsid w:val="008F2F2C"/>
    <w:pPr>
      <w:spacing w:before="60" w:after="60"/>
      <w:jc w:val="left"/>
    </w:pPr>
  </w:style>
  <w:style w:type="paragraph" w:customStyle="1" w:styleId="IPPHeaderlandscape">
    <w:name w:val="IPP Header landscape"/>
    <w:basedOn w:val="IPPHeader"/>
    <w:qFormat/>
    <w:rsid w:val="008F2F2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F2F2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F2F2C"/>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8F2F2C"/>
    <w:pPr>
      <w:numPr>
        <w:numId w:val="23"/>
      </w:numPr>
      <w:jc w:val="left"/>
    </w:pPr>
  </w:style>
  <w:style w:type="paragraph" w:customStyle="1" w:styleId="IPPLetterListIndent">
    <w:name w:val="IPP LetterList Indent"/>
    <w:basedOn w:val="IPPLetterList"/>
    <w:qFormat/>
    <w:rsid w:val="008F2F2C"/>
    <w:pPr>
      <w:numPr>
        <w:numId w:val="24"/>
      </w:numPr>
    </w:pPr>
  </w:style>
  <w:style w:type="paragraph" w:customStyle="1" w:styleId="IPPFooterLandscape">
    <w:name w:val="IPP Footer Landscape"/>
    <w:basedOn w:val="IPPHeaderlandscape"/>
    <w:qFormat/>
    <w:rsid w:val="008F2F2C"/>
    <w:pPr>
      <w:pBdr>
        <w:top w:val="single" w:sz="4" w:space="1" w:color="auto"/>
        <w:bottom w:val="none" w:sz="0" w:space="0" w:color="auto"/>
      </w:pBdr>
      <w:jc w:val="right"/>
    </w:pPr>
    <w:rPr>
      <w:b/>
    </w:rPr>
  </w:style>
  <w:style w:type="paragraph" w:customStyle="1" w:styleId="IPPSubheadSpace">
    <w:name w:val="IPP Subhead Space"/>
    <w:basedOn w:val="IPPSubhead"/>
    <w:qFormat/>
    <w:rsid w:val="008F2F2C"/>
    <w:pPr>
      <w:tabs>
        <w:tab w:val="left" w:pos="567"/>
      </w:tabs>
      <w:spacing w:before="60" w:after="60"/>
    </w:pPr>
  </w:style>
  <w:style w:type="paragraph" w:customStyle="1" w:styleId="IPPSubheadSpaceAfter">
    <w:name w:val="IPP Subhead SpaceAfter"/>
    <w:basedOn w:val="IPPSubhead"/>
    <w:qFormat/>
    <w:rsid w:val="008F2F2C"/>
    <w:pPr>
      <w:spacing w:after="60"/>
    </w:pPr>
  </w:style>
  <w:style w:type="paragraph" w:customStyle="1" w:styleId="IPPHdg1Num">
    <w:name w:val="IPP Hdg1Num"/>
    <w:basedOn w:val="IPPHeading1"/>
    <w:next w:val="IPPNormal"/>
    <w:qFormat/>
    <w:rsid w:val="008F2F2C"/>
    <w:pPr>
      <w:numPr>
        <w:numId w:val="29"/>
      </w:numPr>
    </w:pPr>
  </w:style>
  <w:style w:type="paragraph" w:customStyle="1" w:styleId="IPPHdg2Num">
    <w:name w:val="IPP Hdg2Num"/>
    <w:basedOn w:val="IPPHeading2"/>
    <w:next w:val="IPPNormal"/>
    <w:qFormat/>
    <w:rsid w:val="008F2F2C"/>
    <w:pPr>
      <w:numPr>
        <w:ilvl w:val="1"/>
        <w:numId w:val="30"/>
      </w:numPr>
    </w:pPr>
  </w:style>
  <w:style w:type="paragraph" w:customStyle="1" w:styleId="IPPNumberedList">
    <w:name w:val="IPP NumberedList"/>
    <w:basedOn w:val="IPPBullet1"/>
    <w:qFormat/>
    <w:rsid w:val="008F2F2C"/>
    <w:pPr>
      <w:numPr>
        <w:numId w:val="38"/>
      </w:numPr>
    </w:pPr>
  </w:style>
  <w:style w:type="paragraph" w:customStyle="1" w:styleId="IPPParagraphnumbering">
    <w:name w:val="IPP Paragraph numbering"/>
    <w:basedOn w:val="IPPNormal"/>
    <w:qFormat/>
    <w:rsid w:val="008F2F2C"/>
    <w:pPr>
      <w:numPr>
        <w:numId w:val="25"/>
      </w:numPr>
    </w:pPr>
    <w:rPr>
      <w:lang w:val="en-US"/>
    </w:rPr>
  </w:style>
  <w:style w:type="paragraph" w:customStyle="1" w:styleId="IPPParagraphnumberingclose">
    <w:name w:val="IPP Paragraph numbering close"/>
    <w:basedOn w:val="IPPParagraphnumbering"/>
    <w:qFormat/>
    <w:rsid w:val="008F2F2C"/>
    <w:pPr>
      <w:keepNext/>
      <w:spacing w:after="60"/>
    </w:pPr>
  </w:style>
  <w:style w:type="paragraph" w:customStyle="1" w:styleId="IPPNumberedListLast">
    <w:name w:val="IPP NumberedListLast"/>
    <w:basedOn w:val="IPPNumberedList"/>
    <w:qFormat/>
    <w:rsid w:val="008F2F2C"/>
    <w:pPr>
      <w:spacing w:after="180"/>
    </w:pPr>
  </w:style>
  <w:style w:type="character" w:styleId="Hyperlink">
    <w:name w:val="Hyperlink"/>
    <w:basedOn w:val="DefaultParagraphFont"/>
    <w:unhideWhenUsed/>
    <w:rsid w:val="008F2F2C"/>
    <w:rPr>
      <w:color w:val="0000FF"/>
      <w:u w:val="single"/>
    </w:rPr>
  </w:style>
  <w:style w:type="character" w:styleId="FollowedHyperlink">
    <w:name w:val="FollowedHyperlink"/>
    <w:basedOn w:val="DefaultParagraphFont"/>
    <w:semiHidden/>
    <w:unhideWhenUsed/>
    <w:rsid w:val="008F2F2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9731">
      <w:bodyDiv w:val="1"/>
      <w:marLeft w:val="0"/>
      <w:marRight w:val="0"/>
      <w:marTop w:val="0"/>
      <w:marBottom w:val="0"/>
      <w:divBdr>
        <w:top w:val="none" w:sz="0" w:space="0" w:color="auto"/>
        <w:left w:val="none" w:sz="0" w:space="0" w:color="auto"/>
        <w:bottom w:val="none" w:sz="0" w:space="0" w:color="auto"/>
        <w:right w:val="none" w:sz="0" w:space="0" w:color="auto"/>
      </w:divBdr>
    </w:div>
    <w:div w:id="135101304">
      <w:bodyDiv w:val="1"/>
      <w:marLeft w:val="0"/>
      <w:marRight w:val="0"/>
      <w:marTop w:val="0"/>
      <w:marBottom w:val="0"/>
      <w:divBdr>
        <w:top w:val="none" w:sz="0" w:space="0" w:color="auto"/>
        <w:left w:val="none" w:sz="0" w:space="0" w:color="auto"/>
        <w:bottom w:val="none" w:sz="0" w:space="0" w:color="auto"/>
        <w:right w:val="none" w:sz="0" w:space="0" w:color="auto"/>
      </w:divBdr>
    </w:div>
    <w:div w:id="148056521">
      <w:bodyDiv w:val="1"/>
      <w:marLeft w:val="0"/>
      <w:marRight w:val="0"/>
      <w:marTop w:val="0"/>
      <w:marBottom w:val="0"/>
      <w:divBdr>
        <w:top w:val="none" w:sz="0" w:space="0" w:color="auto"/>
        <w:left w:val="none" w:sz="0" w:space="0" w:color="auto"/>
        <w:bottom w:val="none" w:sz="0" w:space="0" w:color="auto"/>
        <w:right w:val="none" w:sz="0" w:space="0" w:color="auto"/>
      </w:divBdr>
    </w:div>
    <w:div w:id="290139440">
      <w:bodyDiv w:val="1"/>
      <w:marLeft w:val="0"/>
      <w:marRight w:val="0"/>
      <w:marTop w:val="0"/>
      <w:marBottom w:val="0"/>
      <w:divBdr>
        <w:top w:val="none" w:sz="0" w:space="0" w:color="auto"/>
        <w:left w:val="none" w:sz="0" w:space="0" w:color="auto"/>
        <w:bottom w:val="none" w:sz="0" w:space="0" w:color="auto"/>
        <w:right w:val="none" w:sz="0" w:space="0" w:color="auto"/>
      </w:divBdr>
      <w:divsChild>
        <w:div w:id="1179345690">
          <w:marLeft w:val="-300"/>
          <w:marRight w:val="-300"/>
          <w:marTop w:val="0"/>
          <w:marBottom w:val="0"/>
          <w:divBdr>
            <w:top w:val="none" w:sz="0" w:space="0" w:color="auto"/>
            <w:left w:val="none" w:sz="0" w:space="0" w:color="auto"/>
            <w:bottom w:val="none" w:sz="0" w:space="0" w:color="auto"/>
            <w:right w:val="none" w:sz="0" w:space="0" w:color="auto"/>
          </w:divBdr>
        </w:div>
        <w:div w:id="1922063915">
          <w:marLeft w:val="-300"/>
          <w:marRight w:val="-300"/>
          <w:marTop w:val="0"/>
          <w:marBottom w:val="0"/>
          <w:divBdr>
            <w:top w:val="none" w:sz="0" w:space="0" w:color="auto"/>
            <w:left w:val="none" w:sz="0" w:space="0" w:color="auto"/>
            <w:bottom w:val="none" w:sz="0" w:space="0" w:color="auto"/>
            <w:right w:val="none" w:sz="0" w:space="0" w:color="auto"/>
          </w:divBdr>
        </w:div>
      </w:divsChild>
    </w:div>
    <w:div w:id="458383871">
      <w:bodyDiv w:val="1"/>
      <w:marLeft w:val="0"/>
      <w:marRight w:val="0"/>
      <w:marTop w:val="0"/>
      <w:marBottom w:val="0"/>
      <w:divBdr>
        <w:top w:val="none" w:sz="0" w:space="0" w:color="auto"/>
        <w:left w:val="none" w:sz="0" w:space="0" w:color="auto"/>
        <w:bottom w:val="none" w:sz="0" w:space="0" w:color="auto"/>
        <w:right w:val="none" w:sz="0" w:space="0" w:color="auto"/>
      </w:divBdr>
    </w:div>
    <w:div w:id="505900028">
      <w:bodyDiv w:val="1"/>
      <w:marLeft w:val="0"/>
      <w:marRight w:val="0"/>
      <w:marTop w:val="0"/>
      <w:marBottom w:val="0"/>
      <w:divBdr>
        <w:top w:val="none" w:sz="0" w:space="0" w:color="auto"/>
        <w:left w:val="none" w:sz="0" w:space="0" w:color="auto"/>
        <w:bottom w:val="none" w:sz="0" w:space="0" w:color="auto"/>
        <w:right w:val="none" w:sz="0" w:space="0" w:color="auto"/>
      </w:divBdr>
    </w:div>
    <w:div w:id="581110023">
      <w:bodyDiv w:val="1"/>
      <w:marLeft w:val="0"/>
      <w:marRight w:val="0"/>
      <w:marTop w:val="0"/>
      <w:marBottom w:val="0"/>
      <w:divBdr>
        <w:top w:val="none" w:sz="0" w:space="0" w:color="auto"/>
        <w:left w:val="none" w:sz="0" w:space="0" w:color="auto"/>
        <w:bottom w:val="none" w:sz="0" w:space="0" w:color="auto"/>
        <w:right w:val="none" w:sz="0" w:space="0" w:color="auto"/>
      </w:divBdr>
      <w:divsChild>
        <w:div w:id="47653822">
          <w:marLeft w:val="-300"/>
          <w:marRight w:val="-300"/>
          <w:marTop w:val="0"/>
          <w:marBottom w:val="0"/>
          <w:divBdr>
            <w:top w:val="none" w:sz="0" w:space="0" w:color="auto"/>
            <w:left w:val="none" w:sz="0" w:space="0" w:color="auto"/>
            <w:bottom w:val="none" w:sz="0" w:space="0" w:color="auto"/>
            <w:right w:val="none" w:sz="0" w:space="0" w:color="auto"/>
          </w:divBdr>
        </w:div>
        <w:div w:id="838038156">
          <w:marLeft w:val="-300"/>
          <w:marRight w:val="-300"/>
          <w:marTop w:val="0"/>
          <w:marBottom w:val="0"/>
          <w:divBdr>
            <w:top w:val="none" w:sz="0" w:space="0" w:color="auto"/>
            <w:left w:val="none" w:sz="0" w:space="0" w:color="auto"/>
            <w:bottom w:val="none" w:sz="0" w:space="0" w:color="auto"/>
            <w:right w:val="none" w:sz="0" w:space="0" w:color="auto"/>
          </w:divBdr>
        </w:div>
      </w:divsChild>
    </w:div>
    <w:div w:id="992952087">
      <w:bodyDiv w:val="1"/>
      <w:marLeft w:val="0"/>
      <w:marRight w:val="0"/>
      <w:marTop w:val="0"/>
      <w:marBottom w:val="0"/>
      <w:divBdr>
        <w:top w:val="none" w:sz="0" w:space="0" w:color="auto"/>
        <w:left w:val="none" w:sz="0" w:space="0" w:color="auto"/>
        <w:bottom w:val="none" w:sz="0" w:space="0" w:color="auto"/>
        <w:right w:val="none" w:sz="0" w:space="0" w:color="auto"/>
      </w:divBdr>
      <w:divsChild>
        <w:div w:id="121466360">
          <w:marLeft w:val="720"/>
          <w:marRight w:val="0"/>
          <w:marTop w:val="360"/>
          <w:marBottom w:val="0"/>
          <w:divBdr>
            <w:top w:val="none" w:sz="0" w:space="0" w:color="auto"/>
            <w:left w:val="none" w:sz="0" w:space="0" w:color="auto"/>
            <w:bottom w:val="none" w:sz="0" w:space="0" w:color="auto"/>
            <w:right w:val="none" w:sz="0" w:space="0" w:color="auto"/>
          </w:divBdr>
        </w:div>
        <w:div w:id="717898541">
          <w:marLeft w:val="720"/>
          <w:marRight w:val="0"/>
          <w:marTop w:val="360"/>
          <w:marBottom w:val="0"/>
          <w:divBdr>
            <w:top w:val="none" w:sz="0" w:space="0" w:color="auto"/>
            <w:left w:val="none" w:sz="0" w:space="0" w:color="auto"/>
            <w:bottom w:val="none" w:sz="0" w:space="0" w:color="auto"/>
            <w:right w:val="none" w:sz="0" w:space="0" w:color="auto"/>
          </w:divBdr>
        </w:div>
        <w:div w:id="1229344792">
          <w:marLeft w:val="720"/>
          <w:marRight w:val="0"/>
          <w:marTop w:val="360"/>
          <w:marBottom w:val="0"/>
          <w:divBdr>
            <w:top w:val="none" w:sz="0" w:space="0" w:color="auto"/>
            <w:left w:val="none" w:sz="0" w:space="0" w:color="auto"/>
            <w:bottom w:val="none" w:sz="0" w:space="0" w:color="auto"/>
            <w:right w:val="none" w:sz="0" w:space="0" w:color="auto"/>
          </w:divBdr>
        </w:div>
        <w:div w:id="2122147273">
          <w:marLeft w:val="720"/>
          <w:marRight w:val="0"/>
          <w:marTop w:val="360"/>
          <w:marBottom w:val="0"/>
          <w:divBdr>
            <w:top w:val="none" w:sz="0" w:space="0" w:color="auto"/>
            <w:left w:val="none" w:sz="0" w:space="0" w:color="auto"/>
            <w:bottom w:val="none" w:sz="0" w:space="0" w:color="auto"/>
            <w:right w:val="none" w:sz="0" w:space="0" w:color="auto"/>
          </w:divBdr>
        </w:div>
        <w:div w:id="193005580">
          <w:marLeft w:val="720"/>
          <w:marRight w:val="0"/>
          <w:marTop w:val="360"/>
          <w:marBottom w:val="0"/>
          <w:divBdr>
            <w:top w:val="none" w:sz="0" w:space="0" w:color="auto"/>
            <w:left w:val="none" w:sz="0" w:space="0" w:color="auto"/>
            <w:bottom w:val="none" w:sz="0" w:space="0" w:color="auto"/>
            <w:right w:val="none" w:sz="0" w:space="0" w:color="auto"/>
          </w:divBdr>
        </w:div>
      </w:divsChild>
    </w:div>
    <w:div w:id="1036849888">
      <w:bodyDiv w:val="1"/>
      <w:marLeft w:val="0"/>
      <w:marRight w:val="0"/>
      <w:marTop w:val="0"/>
      <w:marBottom w:val="0"/>
      <w:divBdr>
        <w:top w:val="none" w:sz="0" w:space="0" w:color="auto"/>
        <w:left w:val="none" w:sz="0" w:space="0" w:color="auto"/>
        <w:bottom w:val="none" w:sz="0" w:space="0" w:color="auto"/>
        <w:right w:val="none" w:sz="0" w:space="0" w:color="auto"/>
      </w:divBdr>
      <w:divsChild>
        <w:div w:id="400760410">
          <w:marLeft w:val="0"/>
          <w:marRight w:val="0"/>
          <w:marTop w:val="0"/>
          <w:marBottom w:val="180"/>
          <w:divBdr>
            <w:top w:val="none" w:sz="0" w:space="0" w:color="auto"/>
            <w:left w:val="none" w:sz="0" w:space="0" w:color="auto"/>
            <w:bottom w:val="none" w:sz="0" w:space="0" w:color="auto"/>
            <w:right w:val="none" w:sz="0" w:space="0" w:color="auto"/>
          </w:divBdr>
          <w:divsChild>
            <w:div w:id="148132707">
              <w:marLeft w:val="0"/>
              <w:marRight w:val="0"/>
              <w:marTop w:val="0"/>
              <w:marBottom w:val="0"/>
              <w:divBdr>
                <w:top w:val="none" w:sz="0" w:space="0" w:color="auto"/>
                <w:left w:val="none" w:sz="0" w:space="0" w:color="auto"/>
                <w:bottom w:val="none" w:sz="0" w:space="0" w:color="auto"/>
                <w:right w:val="none" w:sz="0" w:space="0" w:color="auto"/>
              </w:divBdr>
              <w:divsChild>
                <w:div w:id="433598998">
                  <w:marLeft w:val="30"/>
                  <w:marRight w:val="30"/>
                  <w:marTop w:val="0"/>
                  <w:marBottom w:val="0"/>
                  <w:divBdr>
                    <w:top w:val="none" w:sz="0" w:space="0" w:color="auto"/>
                    <w:left w:val="none" w:sz="0" w:space="0" w:color="auto"/>
                    <w:bottom w:val="none" w:sz="0" w:space="0" w:color="auto"/>
                    <w:right w:val="none" w:sz="0" w:space="0" w:color="auto"/>
                  </w:divBdr>
                  <w:divsChild>
                    <w:div w:id="375205488">
                      <w:marLeft w:val="0"/>
                      <w:marRight w:val="0"/>
                      <w:marTop w:val="0"/>
                      <w:marBottom w:val="0"/>
                      <w:divBdr>
                        <w:top w:val="none" w:sz="0" w:space="0" w:color="auto"/>
                        <w:left w:val="none" w:sz="0" w:space="0" w:color="auto"/>
                        <w:bottom w:val="none" w:sz="0" w:space="0" w:color="auto"/>
                        <w:right w:val="none" w:sz="0" w:space="0" w:color="auto"/>
                      </w:divBdr>
                      <w:divsChild>
                        <w:div w:id="973288495">
                          <w:marLeft w:val="0"/>
                          <w:marRight w:val="0"/>
                          <w:marTop w:val="0"/>
                          <w:marBottom w:val="0"/>
                          <w:divBdr>
                            <w:top w:val="none" w:sz="0" w:space="0" w:color="auto"/>
                            <w:left w:val="none" w:sz="0" w:space="0" w:color="auto"/>
                            <w:bottom w:val="none" w:sz="0" w:space="0" w:color="auto"/>
                            <w:right w:val="none" w:sz="0" w:space="0" w:color="auto"/>
                          </w:divBdr>
                          <w:divsChild>
                            <w:div w:id="433942047">
                              <w:marLeft w:val="0"/>
                              <w:marRight w:val="0"/>
                              <w:marTop w:val="120"/>
                              <w:marBottom w:val="480"/>
                              <w:divBdr>
                                <w:top w:val="none" w:sz="0" w:space="0" w:color="auto"/>
                                <w:left w:val="none" w:sz="0" w:space="0" w:color="auto"/>
                                <w:bottom w:val="none" w:sz="0" w:space="0" w:color="auto"/>
                                <w:right w:val="none" w:sz="0" w:space="0" w:color="auto"/>
                              </w:divBdr>
                              <w:divsChild>
                                <w:div w:id="1736901519">
                                  <w:marLeft w:val="0"/>
                                  <w:marRight w:val="0"/>
                                  <w:marTop w:val="0"/>
                                  <w:marBottom w:val="0"/>
                                  <w:divBdr>
                                    <w:top w:val="none" w:sz="0" w:space="0" w:color="auto"/>
                                    <w:left w:val="none" w:sz="0" w:space="0" w:color="auto"/>
                                    <w:bottom w:val="none" w:sz="0" w:space="0" w:color="auto"/>
                                    <w:right w:val="none" w:sz="0" w:space="0" w:color="auto"/>
                                  </w:divBdr>
                                  <w:divsChild>
                                    <w:div w:id="1390109942">
                                      <w:marLeft w:val="0"/>
                                      <w:marRight w:val="0"/>
                                      <w:marTop w:val="0"/>
                                      <w:marBottom w:val="0"/>
                                      <w:divBdr>
                                        <w:top w:val="none" w:sz="0" w:space="0" w:color="auto"/>
                                        <w:left w:val="none" w:sz="0" w:space="0" w:color="auto"/>
                                        <w:bottom w:val="none" w:sz="0" w:space="0" w:color="auto"/>
                                        <w:right w:val="none" w:sz="0" w:space="0" w:color="auto"/>
                                      </w:divBdr>
                                      <w:divsChild>
                                        <w:div w:id="1185049603">
                                          <w:marLeft w:val="0"/>
                                          <w:marRight w:val="0"/>
                                          <w:marTop w:val="0"/>
                                          <w:marBottom w:val="0"/>
                                          <w:divBdr>
                                            <w:top w:val="none" w:sz="0" w:space="0" w:color="auto"/>
                                            <w:left w:val="none" w:sz="0" w:space="0" w:color="auto"/>
                                            <w:bottom w:val="none" w:sz="0" w:space="0" w:color="auto"/>
                                            <w:right w:val="none" w:sz="0" w:space="0" w:color="auto"/>
                                          </w:divBdr>
                                          <w:divsChild>
                                            <w:div w:id="41057220">
                                              <w:marLeft w:val="0"/>
                                              <w:marRight w:val="0"/>
                                              <w:marTop w:val="0"/>
                                              <w:marBottom w:val="0"/>
                                              <w:divBdr>
                                                <w:top w:val="none" w:sz="0" w:space="0" w:color="auto"/>
                                                <w:left w:val="none" w:sz="0" w:space="0" w:color="auto"/>
                                                <w:bottom w:val="none" w:sz="0" w:space="0" w:color="auto"/>
                                                <w:right w:val="none" w:sz="0" w:space="0" w:color="auto"/>
                                              </w:divBdr>
                                              <w:divsChild>
                                                <w:div w:id="1688405476">
                                                  <w:marLeft w:val="0"/>
                                                  <w:marRight w:val="0"/>
                                                  <w:marTop w:val="0"/>
                                                  <w:marBottom w:val="0"/>
                                                  <w:divBdr>
                                                    <w:top w:val="none" w:sz="0" w:space="0" w:color="auto"/>
                                                    <w:left w:val="none" w:sz="0" w:space="0" w:color="auto"/>
                                                    <w:bottom w:val="none" w:sz="0" w:space="0" w:color="auto"/>
                                                    <w:right w:val="none" w:sz="0" w:space="0" w:color="auto"/>
                                                  </w:divBdr>
                                                  <w:divsChild>
                                                    <w:div w:id="589241732">
                                                      <w:marLeft w:val="0"/>
                                                      <w:marRight w:val="0"/>
                                                      <w:marTop w:val="0"/>
                                                      <w:marBottom w:val="0"/>
                                                      <w:divBdr>
                                                        <w:top w:val="none" w:sz="0" w:space="0" w:color="auto"/>
                                                        <w:left w:val="none" w:sz="0" w:space="0" w:color="auto"/>
                                                        <w:bottom w:val="none" w:sz="0" w:space="0" w:color="auto"/>
                                                        <w:right w:val="none" w:sz="0" w:space="0" w:color="auto"/>
                                                      </w:divBdr>
                                                      <w:divsChild>
                                                        <w:div w:id="2114857321">
                                                          <w:marLeft w:val="0"/>
                                                          <w:marRight w:val="0"/>
                                                          <w:marTop w:val="0"/>
                                                          <w:marBottom w:val="0"/>
                                                          <w:divBdr>
                                                            <w:top w:val="none" w:sz="0" w:space="0" w:color="auto"/>
                                                            <w:left w:val="none" w:sz="0" w:space="0" w:color="auto"/>
                                                            <w:bottom w:val="none" w:sz="0" w:space="0" w:color="auto"/>
                                                            <w:right w:val="none" w:sz="0" w:space="0" w:color="auto"/>
                                                          </w:divBdr>
                                                          <w:divsChild>
                                                            <w:div w:id="2179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39118249">
          <w:marLeft w:val="0"/>
          <w:marRight w:val="0"/>
          <w:marTop w:val="0"/>
          <w:marBottom w:val="180"/>
          <w:divBdr>
            <w:top w:val="none" w:sz="0" w:space="0" w:color="auto"/>
            <w:left w:val="none" w:sz="0" w:space="0" w:color="auto"/>
            <w:bottom w:val="none" w:sz="0" w:space="0" w:color="auto"/>
            <w:right w:val="none" w:sz="0" w:space="0" w:color="auto"/>
          </w:divBdr>
          <w:divsChild>
            <w:div w:id="1404986187">
              <w:marLeft w:val="0"/>
              <w:marRight w:val="0"/>
              <w:marTop w:val="0"/>
              <w:marBottom w:val="0"/>
              <w:divBdr>
                <w:top w:val="none" w:sz="0" w:space="0" w:color="auto"/>
                <w:left w:val="none" w:sz="0" w:space="0" w:color="auto"/>
                <w:bottom w:val="none" w:sz="0" w:space="0" w:color="auto"/>
                <w:right w:val="none" w:sz="0" w:space="0" w:color="auto"/>
              </w:divBdr>
              <w:divsChild>
                <w:div w:id="1485047033">
                  <w:marLeft w:val="0"/>
                  <w:marRight w:val="0"/>
                  <w:marTop w:val="0"/>
                  <w:marBottom w:val="0"/>
                  <w:divBdr>
                    <w:top w:val="none" w:sz="0" w:space="0" w:color="auto"/>
                    <w:left w:val="none" w:sz="0" w:space="0" w:color="auto"/>
                    <w:bottom w:val="none" w:sz="0" w:space="0" w:color="auto"/>
                    <w:right w:val="none" w:sz="0" w:space="0" w:color="auto"/>
                  </w:divBdr>
                  <w:divsChild>
                    <w:div w:id="1612934674">
                      <w:marLeft w:val="0"/>
                      <w:marRight w:val="0"/>
                      <w:marTop w:val="0"/>
                      <w:marBottom w:val="0"/>
                      <w:divBdr>
                        <w:top w:val="none" w:sz="0" w:space="0" w:color="auto"/>
                        <w:left w:val="none" w:sz="0" w:space="0" w:color="auto"/>
                        <w:bottom w:val="none" w:sz="0" w:space="0" w:color="auto"/>
                        <w:right w:val="none" w:sz="0" w:space="0" w:color="auto"/>
                      </w:divBdr>
                      <w:divsChild>
                        <w:div w:id="734164045">
                          <w:marLeft w:val="0"/>
                          <w:marRight w:val="0"/>
                          <w:marTop w:val="0"/>
                          <w:marBottom w:val="0"/>
                          <w:divBdr>
                            <w:top w:val="single" w:sz="4" w:space="6" w:color="auto"/>
                            <w:left w:val="single" w:sz="4" w:space="12" w:color="auto"/>
                            <w:bottom w:val="single" w:sz="4" w:space="6" w:color="auto"/>
                            <w:right w:val="single" w:sz="4" w:space="12" w:color="auto"/>
                          </w:divBdr>
                          <w:divsChild>
                            <w:div w:id="200239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218619">
              <w:marLeft w:val="0"/>
              <w:marRight w:val="0"/>
              <w:marTop w:val="0"/>
              <w:marBottom w:val="0"/>
              <w:divBdr>
                <w:top w:val="none" w:sz="0" w:space="0" w:color="auto"/>
                <w:left w:val="none" w:sz="0" w:space="0" w:color="auto"/>
                <w:bottom w:val="none" w:sz="0" w:space="0" w:color="auto"/>
                <w:right w:val="none" w:sz="0" w:space="0" w:color="auto"/>
              </w:divBdr>
              <w:divsChild>
                <w:div w:id="241261045">
                  <w:marLeft w:val="30"/>
                  <w:marRight w:val="30"/>
                  <w:marTop w:val="0"/>
                  <w:marBottom w:val="0"/>
                  <w:divBdr>
                    <w:top w:val="none" w:sz="0" w:space="0" w:color="auto"/>
                    <w:left w:val="none" w:sz="0" w:space="0" w:color="auto"/>
                    <w:bottom w:val="none" w:sz="0" w:space="0" w:color="auto"/>
                    <w:right w:val="none" w:sz="0" w:space="0" w:color="auto"/>
                  </w:divBdr>
                  <w:divsChild>
                    <w:div w:id="1857149">
                      <w:marLeft w:val="0"/>
                      <w:marRight w:val="0"/>
                      <w:marTop w:val="0"/>
                      <w:marBottom w:val="0"/>
                      <w:divBdr>
                        <w:top w:val="none" w:sz="0" w:space="0" w:color="auto"/>
                        <w:left w:val="none" w:sz="0" w:space="0" w:color="auto"/>
                        <w:bottom w:val="none" w:sz="0" w:space="0" w:color="auto"/>
                        <w:right w:val="none" w:sz="0" w:space="0" w:color="auto"/>
                      </w:divBdr>
                      <w:divsChild>
                        <w:div w:id="1291088984">
                          <w:marLeft w:val="0"/>
                          <w:marRight w:val="0"/>
                          <w:marTop w:val="0"/>
                          <w:marBottom w:val="0"/>
                          <w:divBdr>
                            <w:top w:val="none" w:sz="0" w:space="0" w:color="auto"/>
                            <w:left w:val="none" w:sz="0" w:space="0" w:color="auto"/>
                            <w:bottom w:val="none" w:sz="0" w:space="0" w:color="auto"/>
                            <w:right w:val="none" w:sz="0" w:space="0" w:color="auto"/>
                          </w:divBdr>
                          <w:divsChild>
                            <w:div w:id="1381247808">
                              <w:marLeft w:val="0"/>
                              <w:marRight w:val="0"/>
                              <w:marTop w:val="0"/>
                              <w:marBottom w:val="0"/>
                              <w:divBdr>
                                <w:top w:val="none" w:sz="0" w:space="0" w:color="auto"/>
                                <w:left w:val="none" w:sz="0" w:space="0" w:color="auto"/>
                                <w:bottom w:val="none" w:sz="0" w:space="0" w:color="auto"/>
                                <w:right w:val="none" w:sz="0" w:space="0" w:color="auto"/>
                              </w:divBdr>
                              <w:divsChild>
                                <w:div w:id="1411583880">
                                  <w:marLeft w:val="0"/>
                                  <w:marRight w:val="0"/>
                                  <w:marTop w:val="0"/>
                                  <w:marBottom w:val="0"/>
                                  <w:divBdr>
                                    <w:top w:val="none" w:sz="0" w:space="0" w:color="auto"/>
                                    <w:left w:val="none" w:sz="0" w:space="0" w:color="auto"/>
                                    <w:bottom w:val="none" w:sz="0" w:space="0" w:color="auto"/>
                                    <w:right w:val="none" w:sz="0" w:space="0" w:color="auto"/>
                                  </w:divBdr>
                                </w:div>
                              </w:divsChild>
                            </w:div>
                            <w:div w:id="395855662">
                              <w:marLeft w:val="0"/>
                              <w:marRight w:val="0"/>
                              <w:marTop w:val="120"/>
                              <w:marBottom w:val="480"/>
                              <w:divBdr>
                                <w:top w:val="none" w:sz="0" w:space="0" w:color="auto"/>
                                <w:left w:val="none" w:sz="0" w:space="0" w:color="auto"/>
                                <w:bottom w:val="none" w:sz="0" w:space="0" w:color="auto"/>
                                <w:right w:val="none" w:sz="0" w:space="0" w:color="auto"/>
                              </w:divBdr>
                              <w:divsChild>
                                <w:div w:id="1316302231">
                                  <w:marLeft w:val="0"/>
                                  <w:marRight w:val="0"/>
                                  <w:marTop w:val="0"/>
                                  <w:marBottom w:val="0"/>
                                  <w:divBdr>
                                    <w:top w:val="none" w:sz="0" w:space="0" w:color="auto"/>
                                    <w:left w:val="none" w:sz="0" w:space="0" w:color="auto"/>
                                    <w:bottom w:val="none" w:sz="0" w:space="0" w:color="auto"/>
                                    <w:right w:val="none" w:sz="0" w:space="0" w:color="auto"/>
                                  </w:divBdr>
                                  <w:divsChild>
                                    <w:div w:id="1689746389">
                                      <w:marLeft w:val="0"/>
                                      <w:marRight w:val="0"/>
                                      <w:marTop w:val="0"/>
                                      <w:marBottom w:val="0"/>
                                      <w:divBdr>
                                        <w:top w:val="none" w:sz="0" w:space="0" w:color="auto"/>
                                        <w:left w:val="none" w:sz="0" w:space="0" w:color="auto"/>
                                        <w:bottom w:val="none" w:sz="0" w:space="0" w:color="auto"/>
                                        <w:right w:val="none" w:sz="0" w:space="0" w:color="auto"/>
                                      </w:divBdr>
                                      <w:divsChild>
                                        <w:div w:id="2034458496">
                                          <w:marLeft w:val="0"/>
                                          <w:marRight w:val="0"/>
                                          <w:marTop w:val="0"/>
                                          <w:marBottom w:val="0"/>
                                          <w:divBdr>
                                            <w:top w:val="none" w:sz="0" w:space="0" w:color="auto"/>
                                            <w:left w:val="none" w:sz="0" w:space="0" w:color="auto"/>
                                            <w:bottom w:val="none" w:sz="0" w:space="0" w:color="auto"/>
                                            <w:right w:val="none" w:sz="0" w:space="0" w:color="auto"/>
                                          </w:divBdr>
                                          <w:divsChild>
                                            <w:div w:id="1930581531">
                                              <w:marLeft w:val="0"/>
                                              <w:marRight w:val="0"/>
                                              <w:marTop w:val="0"/>
                                              <w:marBottom w:val="0"/>
                                              <w:divBdr>
                                                <w:top w:val="none" w:sz="0" w:space="0" w:color="auto"/>
                                                <w:left w:val="none" w:sz="0" w:space="0" w:color="auto"/>
                                                <w:bottom w:val="none" w:sz="0" w:space="0" w:color="auto"/>
                                                <w:right w:val="none" w:sz="0" w:space="0" w:color="auto"/>
                                              </w:divBdr>
                                              <w:divsChild>
                                                <w:div w:id="1458601872">
                                                  <w:marLeft w:val="0"/>
                                                  <w:marRight w:val="0"/>
                                                  <w:marTop w:val="0"/>
                                                  <w:marBottom w:val="0"/>
                                                  <w:divBdr>
                                                    <w:top w:val="none" w:sz="0" w:space="0" w:color="auto"/>
                                                    <w:left w:val="none" w:sz="0" w:space="0" w:color="auto"/>
                                                    <w:bottom w:val="none" w:sz="0" w:space="0" w:color="auto"/>
                                                    <w:right w:val="none" w:sz="0" w:space="0" w:color="auto"/>
                                                  </w:divBdr>
                                                  <w:divsChild>
                                                    <w:div w:id="559487147">
                                                      <w:marLeft w:val="0"/>
                                                      <w:marRight w:val="0"/>
                                                      <w:marTop w:val="0"/>
                                                      <w:marBottom w:val="0"/>
                                                      <w:divBdr>
                                                        <w:top w:val="none" w:sz="0" w:space="0" w:color="auto"/>
                                                        <w:left w:val="none" w:sz="0" w:space="0" w:color="auto"/>
                                                        <w:bottom w:val="none" w:sz="0" w:space="0" w:color="auto"/>
                                                        <w:right w:val="none" w:sz="0" w:space="0" w:color="auto"/>
                                                      </w:divBdr>
                                                      <w:divsChild>
                                                        <w:div w:id="982612888">
                                                          <w:marLeft w:val="0"/>
                                                          <w:marRight w:val="0"/>
                                                          <w:marTop w:val="0"/>
                                                          <w:marBottom w:val="0"/>
                                                          <w:divBdr>
                                                            <w:top w:val="none" w:sz="0" w:space="0" w:color="auto"/>
                                                            <w:left w:val="none" w:sz="0" w:space="0" w:color="auto"/>
                                                            <w:bottom w:val="none" w:sz="0" w:space="0" w:color="auto"/>
                                                            <w:right w:val="none" w:sz="0" w:space="0" w:color="auto"/>
                                                          </w:divBdr>
                                                          <w:divsChild>
                                                            <w:div w:id="1874153115">
                                                              <w:marLeft w:val="0"/>
                                                              <w:marRight w:val="0"/>
                                                              <w:marTop w:val="0"/>
                                                              <w:marBottom w:val="0"/>
                                                              <w:divBdr>
                                                                <w:top w:val="none" w:sz="0" w:space="0" w:color="auto"/>
                                                                <w:left w:val="none" w:sz="0" w:space="0" w:color="auto"/>
                                                                <w:bottom w:val="none" w:sz="0" w:space="0" w:color="auto"/>
                                                                <w:right w:val="none" w:sz="0" w:space="0" w:color="auto"/>
                                                              </w:divBdr>
                                                              <w:divsChild>
                                                                <w:div w:id="1758942198">
                                                                  <w:blockQuote w:val="1"/>
                                                                  <w:marLeft w:val="0"/>
                                                                  <w:marRight w:val="0"/>
                                                                  <w:marTop w:val="0"/>
                                                                  <w:marBottom w:val="0"/>
                                                                  <w:divBdr>
                                                                    <w:top w:val="none" w:sz="0" w:space="0" w:color="auto"/>
                                                                    <w:left w:val="single" w:sz="6" w:space="18" w:color="707070"/>
                                                                    <w:bottom w:val="none" w:sz="0" w:space="0" w:color="auto"/>
                                                                    <w:right w:val="none" w:sz="0" w:space="0" w:color="auto"/>
                                                                  </w:divBdr>
                                                                </w:div>
                                                                <w:div w:id="1732540483">
                                                                  <w:blockQuote w:val="1"/>
                                                                  <w:marLeft w:val="0"/>
                                                                  <w:marRight w:val="0"/>
                                                                  <w:marTop w:val="0"/>
                                                                  <w:marBottom w:val="0"/>
                                                                  <w:divBdr>
                                                                    <w:top w:val="none" w:sz="0" w:space="0" w:color="auto"/>
                                                                    <w:left w:val="single" w:sz="6" w:space="18" w:color="707070"/>
                                                                    <w:bottom w:val="none" w:sz="0" w:space="0" w:color="auto"/>
                                                                    <w:right w:val="none" w:sz="0" w:space="0" w:color="auto"/>
                                                                  </w:divBdr>
                                                                </w:div>
                                                                <w:div w:id="1855999189">
                                                                  <w:blockQuote w:val="1"/>
                                                                  <w:marLeft w:val="0"/>
                                                                  <w:marRight w:val="0"/>
                                                                  <w:marTop w:val="0"/>
                                                                  <w:marBottom w:val="0"/>
                                                                  <w:divBdr>
                                                                    <w:top w:val="none" w:sz="0" w:space="0" w:color="auto"/>
                                                                    <w:left w:val="single" w:sz="6" w:space="18" w:color="707070"/>
                                                                    <w:bottom w:val="none" w:sz="0" w:space="0" w:color="auto"/>
                                                                    <w:right w:val="none" w:sz="0" w:space="0" w:color="auto"/>
                                                                  </w:divBdr>
                                                                </w:div>
                                                                <w:div w:id="837814010">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56609309">
      <w:bodyDiv w:val="1"/>
      <w:marLeft w:val="0"/>
      <w:marRight w:val="0"/>
      <w:marTop w:val="0"/>
      <w:marBottom w:val="0"/>
      <w:divBdr>
        <w:top w:val="none" w:sz="0" w:space="0" w:color="auto"/>
        <w:left w:val="none" w:sz="0" w:space="0" w:color="auto"/>
        <w:bottom w:val="none" w:sz="0" w:space="0" w:color="auto"/>
        <w:right w:val="none" w:sz="0" w:space="0" w:color="auto"/>
      </w:divBdr>
      <w:divsChild>
        <w:div w:id="1727947458">
          <w:marLeft w:val="-300"/>
          <w:marRight w:val="-300"/>
          <w:marTop w:val="0"/>
          <w:marBottom w:val="0"/>
          <w:divBdr>
            <w:top w:val="none" w:sz="0" w:space="0" w:color="auto"/>
            <w:left w:val="none" w:sz="0" w:space="0" w:color="auto"/>
            <w:bottom w:val="none" w:sz="0" w:space="0" w:color="auto"/>
            <w:right w:val="none" w:sz="0" w:space="0" w:color="auto"/>
          </w:divBdr>
        </w:div>
      </w:divsChild>
    </w:div>
    <w:div w:id="1316448930">
      <w:bodyDiv w:val="1"/>
      <w:marLeft w:val="0"/>
      <w:marRight w:val="0"/>
      <w:marTop w:val="0"/>
      <w:marBottom w:val="0"/>
      <w:divBdr>
        <w:top w:val="none" w:sz="0" w:space="0" w:color="auto"/>
        <w:left w:val="none" w:sz="0" w:space="0" w:color="auto"/>
        <w:bottom w:val="none" w:sz="0" w:space="0" w:color="auto"/>
        <w:right w:val="none" w:sz="0" w:space="0" w:color="auto"/>
      </w:divBdr>
    </w:div>
    <w:div w:id="1321234609">
      <w:bodyDiv w:val="1"/>
      <w:marLeft w:val="0"/>
      <w:marRight w:val="0"/>
      <w:marTop w:val="0"/>
      <w:marBottom w:val="0"/>
      <w:divBdr>
        <w:top w:val="none" w:sz="0" w:space="0" w:color="auto"/>
        <w:left w:val="none" w:sz="0" w:space="0" w:color="auto"/>
        <w:bottom w:val="none" w:sz="0" w:space="0" w:color="auto"/>
        <w:right w:val="none" w:sz="0" w:space="0" w:color="auto"/>
      </w:divBdr>
    </w:div>
    <w:div w:id="1337146294">
      <w:bodyDiv w:val="1"/>
      <w:marLeft w:val="0"/>
      <w:marRight w:val="0"/>
      <w:marTop w:val="0"/>
      <w:marBottom w:val="0"/>
      <w:divBdr>
        <w:top w:val="none" w:sz="0" w:space="0" w:color="auto"/>
        <w:left w:val="none" w:sz="0" w:space="0" w:color="auto"/>
        <w:bottom w:val="none" w:sz="0" w:space="0" w:color="auto"/>
        <w:right w:val="none" w:sz="0" w:space="0" w:color="auto"/>
      </w:divBdr>
    </w:div>
    <w:div w:id="1340346794">
      <w:bodyDiv w:val="1"/>
      <w:marLeft w:val="0"/>
      <w:marRight w:val="0"/>
      <w:marTop w:val="0"/>
      <w:marBottom w:val="0"/>
      <w:divBdr>
        <w:top w:val="none" w:sz="0" w:space="0" w:color="auto"/>
        <w:left w:val="none" w:sz="0" w:space="0" w:color="auto"/>
        <w:bottom w:val="none" w:sz="0" w:space="0" w:color="auto"/>
        <w:right w:val="none" w:sz="0" w:space="0" w:color="auto"/>
      </w:divBdr>
    </w:div>
    <w:div w:id="1373653335">
      <w:bodyDiv w:val="1"/>
      <w:marLeft w:val="0"/>
      <w:marRight w:val="0"/>
      <w:marTop w:val="0"/>
      <w:marBottom w:val="0"/>
      <w:divBdr>
        <w:top w:val="none" w:sz="0" w:space="0" w:color="auto"/>
        <w:left w:val="none" w:sz="0" w:space="0" w:color="auto"/>
        <w:bottom w:val="none" w:sz="0" w:space="0" w:color="auto"/>
        <w:right w:val="none" w:sz="0" w:space="0" w:color="auto"/>
      </w:divBdr>
    </w:div>
    <w:div w:id="1536310472">
      <w:bodyDiv w:val="1"/>
      <w:marLeft w:val="0"/>
      <w:marRight w:val="0"/>
      <w:marTop w:val="0"/>
      <w:marBottom w:val="0"/>
      <w:divBdr>
        <w:top w:val="none" w:sz="0" w:space="0" w:color="auto"/>
        <w:left w:val="none" w:sz="0" w:space="0" w:color="auto"/>
        <w:bottom w:val="none" w:sz="0" w:space="0" w:color="auto"/>
        <w:right w:val="none" w:sz="0" w:space="0" w:color="auto"/>
      </w:divBdr>
    </w:div>
    <w:div w:id="1568150470">
      <w:bodyDiv w:val="1"/>
      <w:marLeft w:val="0"/>
      <w:marRight w:val="0"/>
      <w:marTop w:val="0"/>
      <w:marBottom w:val="0"/>
      <w:divBdr>
        <w:top w:val="none" w:sz="0" w:space="0" w:color="auto"/>
        <w:left w:val="none" w:sz="0" w:space="0" w:color="auto"/>
        <w:bottom w:val="none" w:sz="0" w:space="0" w:color="auto"/>
        <w:right w:val="none" w:sz="0" w:space="0" w:color="auto"/>
      </w:divBdr>
    </w:div>
    <w:div w:id="1569412964">
      <w:bodyDiv w:val="1"/>
      <w:marLeft w:val="0"/>
      <w:marRight w:val="0"/>
      <w:marTop w:val="0"/>
      <w:marBottom w:val="0"/>
      <w:divBdr>
        <w:top w:val="none" w:sz="0" w:space="0" w:color="auto"/>
        <w:left w:val="none" w:sz="0" w:space="0" w:color="auto"/>
        <w:bottom w:val="none" w:sz="0" w:space="0" w:color="auto"/>
        <w:right w:val="none" w:sz="0" w:space="0" w:color="auto"/>
      </w:divBdr>
    </w:div>
    <w:div w:id="1733382420">
      <w:bodyDiv w:val="1"/>
      <w:marLeft w:val="0"/>
      <w:marRight w:val="0"/>
      <w:marTop w:val="0"/>
      <w:marBottom w:val="0"/>
      <w:divBdr>
        <w:top w:val="none" w:sz="0" w:space="0" w:color="auto"/>
        <w:left w:val="none" w:sz="0" w:space="0" w:color="auto"/>
        <w:bottom w:val="none" w:sz="0" w:space="0" w:color="auto"/>
        <w:right w:val="none" w:sz="0" w:space="0" w:color="auto"/>
      </w:divBdr>
    </w:div>
    <w:div w:id="1741517399">
      <w:bodyDiv w:val="1"/>
      <w:marLeft w:val="0"/>
      <w:marRight w:val="0"/>
      <w:marTop w:val="0"/>
      <w:marBottom w:val="0"/>
      <w:divBdr>
        <w:top w:val="none" w:sz="0" w:space="0" w:color="auto"/>
        <w:left w:val="none" w:sz="0" w:space="0" w:color="auto"/>
        <w:bottom w:val="none" w:sz="0" w:space="0" w:color="auto"/>
        <w:right w:val="none" w:sz="0" w:space="0" w:color="auto"/>
      </w:divBdr>
    </w:div>
    <w:div w:id="1861701856">
      <w:bodyDiv w:val="1"/>
      <w:marLeft w:val="0"/>
      <w:marRight w:val="0"/>
      <w:marTop w:val="0"/>
      <w:marBottom w:val="0"/>
      <w:divBdr>
        <w:top w:val="none" w:sz="0" w:space="0" w:color="auto"/>
        <w:left w:val="none" w:sz="0" w:space="0" w:color="auto"/>
        <w:bottom w:val="none" w:sz="0" w:space="0" w:color="auto"/>
        <w:right w:val="none" w:sz="0" w:space="0" w:color="auto"/>
      </w:divBdr>
    </w:div>
    <w:div w:id="1904565130">
      <w:bodyDiv w:val="1"/>
      <w:marLeft w:val="0"/>
      <w:marRight w:val="0"/>
      <w:marTop w:val="0"/>
      <w:marBottom w:val="0"/>
      <w:divBdr>
        <w:top w:val="none" w:sz="0" w:space="0" w:color="auto"/>
        <w:left w:val="none" w:sz="0" w:space="0" w:color="auto"/>
        <w:bottom w:val="none" w:sz="0" w:space="0" w:color="auto"/>
        <w:right w:val="none" w:sz="0" w:space="0" w:color="auto"/>
      </w:divBdr>
      <w:divsChild>
        <w:div w:id="1618948933">
          <w:marLeft w:val="-300"/>
          <w:marRight w:val="-300"/>
          <w:marTop w:val="0"/>
          <w:marBottom w:val="0"/>
          <w:divBdr>
            <w:top w:val="none" w:sz="0" w:space="0" w:color="auto"/>
            <w:left w:val="none" w:sz="0" w:space="0" w:color="auto"/>
            <w:bottom w:val="none" w:sz="0" w:space="0" w:color="auto"/>
            <w:right w:val="none" w:sz="0" w:space="0" w:color="auto"/>
          </w:divBdr>
        </w:div>
      </w:divsChild>
    </w:div>
    <w:div w:id="1918175733">
      <w:bodyDiv w:val="1"/>
      <w:marLeft w:val="0"/>
      <w:marRight w:val="0"/>
      <w:marTop w:val="0"/>
      <w:marBottom w:val="0"/>
      <w:divBdr>
        <w:top w:val="none" w:sz="0" w:space="0" w:color="auto"/>
        <w:left w:val="none" w:sz="0" w:space="0" w:color="auto"/>
        <w:bottom w:val="none" w:sz="0" w:space="0" w:color="auto"/>
        <w:right w:val="none" w:sz="0" w:space="0" w:color="auto"/>
      </w:divBdr>
      <w:divsChild>
        <w:div w:id="256980688">
          <w:marLeft w:val="0"/>
          <w:marRight w:val="0"/>
          <w:marTop w:val="0"/>
          <w:marBottom w:val="180"/>
          <w:divBdr>
            <w:top w:val="none" w:sz="0" w:space="0" w:color="auto"/>
            <w:left w:val="none" w:sz="0" w:space="0" w:color="auto"/>
            <w:bottom w:val="none" w:sz="0" w:space="0" w:color="auto"/>
            <w:right w:val="none" w:sz="0" w:space="0" w:color="auto"/>
          </w:divBdr>
          <w:divsChild>
            <w:div w:id="1716463599">
              <w:marLeft w:val="0"/>
              <w:marRight w:val="0"/>
              <w:marTop w:val="0"/>
              <w:marBottom w:val="0"/>
              <w:divBdr>
                <w:top w:val="none" w:sz="0" w:space="0" w:color="auto"/>
                <w:left w:val="none" w:sz="0" w:space="0" w:color="auto"/>
                <w:bottom w:val="none" w:sz="0" w:space="0" w:color="auto"/>
                <w:right w:val="none" w:sz="0" w:space="0" w:color="auto"/>
              </w:divBdr>
              <w:divsChild>
                <w:div w:id="398526981">
                  <w:marLeft w:val="30"/>
                  <w:marRight w:val="30"/>
                  <w:marTop w:val="0"/>
                  <w:marBottom w:val="0"/>
                  <w:divBdr>
                    <w:top w:val="none" w:sz="0" w:space="0" w:color="auto"/>
                    <w:left w:val="none" w:sz="0" w:space="0" w:color="auto"/>
                    <w:bottom w:val="none" w:sz="0" w:space="0" w:color="auto"/>
                    <w:right w:val="none" w:sz="0" w:space="0" w:color="auto"/>
                  </w:divBdr>
                  <w:divsChild>
                    <w:div w:id="155418393">
                      <w:marLeft w:val="0"/>
                      <w:marRight w:val="0"/>
                      <w:marTop w:val="0"/>
                      <w:marBottom w:val="0"/>
                      <w:divBdr>
                        <w:top w:val="none" w:sz="0" w:space="0" w:color="auto"/>
                        <w:left w:val="none" w:sz="0" w:space="0" w:color="auto"/>
                        <w:bottom w:val="none" w:sz="0" w:space="0" w:color="auto"/>
                        <w:right w:val="none" w:sz="0" w:space="0" w:color="auto"/>
                      </w:divBdr>
                      <w:divsChild>
                        <w:div w:id="646396198">
                          <w:marLeft w:val="0"/>
                          <w:marRight w:val="0"/>
                          <w:marTop w:val="0"/>
                          <w:marBottom w:val="0"/>
                          <w:divBdr>
                            <w:top w:val="none" w:sz="0" w:space="0" w:color="auto"/>
                            <w:left w:val="none" w:sz="0" w:space="0" w:color="auto"/>
                            <w:bottom w:val="none" w:sz="0" w:space="0" w:color="auto"/>
                            <w:right w:val="none" w:sz="0" w:space="0" w:color="auto"/>
                          </w:divBdr>
                          <w:divsChild>
                            <w:div w:id="4598574">
                              <w:marLeft w:val="0"/>
                              <w:marRight w:val="0"/>
                              <w:marTop w:val="120"/>
                              <w:marBottom w:val="480"/>
                              <w:divBdr>
                                <w:top w:val="none" w:sz="0" w:space="0" w:color="auto"/>
                                <w:left w:val="none" w:sz="0" w:space="0" w:color="auto"/>
                                <w:bottom w:val="none" w:sz="0" w:space="0" w:color="auto"/>
                                <w:right w:val="none" w:sz="0" w:space="0" w:color="auto"/>
                              </w:divBdr>
                              <w:divsChild>
                                <w:div w:id="1922983706">
                                  <w:marLeft w:val="0"/>
                                  <w:marRight w:val="0"/>
                                  <w:marTop w:val="0"/>
                                  <w:marBottom w:val="0"/>
                                  <w:divBdr>
                                    <w:top w:val="none" w:sz="0" w:space="0" w:color="auto"/>
                                    <w:left w:val="none" w:sz="0" w:space="0" w:color="auto"/>
                                    <w:bottom w:val="none" w:sz="0" w:space="0" w:color="auto"/>
                                    <w:right w:val="none" w:sz="0" w:space="0" w:color="auto"/>
                                  </w:divBdr>
                                  <w:divsChild>
                                    <w:div w:id="1205751239">
                                      <w:marLeft w:val="0"/>
                                      <w:marRight w:val="0"/>
                                      <w:marTop w:val="0"/>
                                      <w:marBottom w:val="0"/>
                                      <w:divBdr>
                                        <w:top w:val="none" w:sz="0" w:space="0" w:color="auto"/>
                                        <w:left w:val="none" w:sz="0" w:space="0" w:color="auto"/>
                                        <w:bottom w:val="none" w:sz="0" w:space="0" w:color="auto"/>
                                        <w:right w:val="none" w:sz="0" w:space="0" w:color="auto"/>
                                      </w:divBdr>
                                      <w:divsChild>
                                        <w:div w:id="482310451">
                                          <w:marLeft w:val="0"/>
                                          <w:marRight w:val="0"/>
                                          <w:marTop w:val="0"/>
                                          <w:marBottom w:val="0"/>
                                          <w:divBdr>
                                            <w:top w:val="none" w:sz="0" w:space="0" w:color="auto"/>
                                            <w:left w:val="none" w:sz="0" w:space="0" w:color="auto"/>
                                            <w:bottom w:val="none" w:sz="0" w:space="0" w:color="auto"/>
                                            <w:right w:val="none" w:sz="0" w:space="0" w:color="auto"/>
                                          </w:divBdr>
                                          <w:divsChild>
                                            <w:div w:id="1347707922">
                                              <w:marLeft w:val="0"/>
                                              <w:marRight w:val="0"/>
                                              <w:marTop w:val="0"/>
                                              <w:marBottom w:val="0"/>
                                              <w:divBdr>
                                                <w:top w:val="none" w:sz="0" w:space="0" w:color="auto"/>
                                                <w:left w:val="none" w:sz="0" w:space="0" w:color="auto"/>
                                                <w:bottom w:val="none" w:sz="0" w:space="0" w:color="auto"/>
                                                <w:right w:val="none" w:sz="0" w:space="0" w:color="auto"/>
                                              </w:divBdr>
                                              <w:divsChild>
                                                <w:div w:id="1176768298">
                                                  <w:marLeft w:val="0"/>
                                                  <w:marRight w:val="0"/>
                                                  <w:marTop w:val="0"/>
                                                  <w:marBottom w:val="0"/>
                                                  <w:divBdr>
                                                    <w:top w:val="none" w:sz="0" w:space="0" w:color="auto"/>
                                                    <w:left w:val="none" w:sz="0" w:space="0" w:color="auto"/>
                                                    <w:bottom w:val="none" w:sz="0" w:space="0" w:color="auto"/>
                                                    <w:right w:val="none" w:sz="0" w:space="0" w:color="auto"/>
                                                  </w:divBdr>
                                                  <w:divsChild>
                                                    <w:div w:id="104925873">
                                                      <w:marLeft w:val="0"/>
                                                      <w:marRight w:val="0"/>
                                                      <w:marTop w:val="0"/>
                                                      <w:marBottom w:val="0"/>
                                                      <w:divBdr>
                                                        <w:top w:val="none" w:sz="0" w:space="0" w:color="auto"/>
                                                        <w:left w:val="none" w:sz="0" w:space="0" w:color="auto"/>
                                                        <w:bottom w:val="none" w:sz="0" w:space="0" w:color="auto"/>
                                                        <w:right w:val="none" w:sz="0" w:space="0" w:color="auto"/>
                                                      </w:divBdr>
                                                      <w:divsChild>
                                                        <w:div w:id="331493820">
                                                          <w:marLeft w:val="0"/>
                                                          <w:marRight w:val="0"/>
                                                          <w:marTop w:val="0"/>
                                                          <w:marBottom w:val="0"/>
                                                          <w:divBdr>
                                                            <w:top w:val="none" w:sz="0" w:space="0" w:color="auto"/>
                                                            <w:left w:val="none" w:sz="0" w:space="0" w:color="auto"/>
                                                            <w:bottom w:val="none" w:sz="0" w:space="0" w:color="auto"/>
                                                            <w:right w:val="none" w:sz="0" w:space="0" w:color="auto"/>
                                                          </w:divBdr>
                                                          <w:divsChild>
                                                            <w:div w:id="45680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2570087">
          <w:marLeft w:val="0"/>
          <w:marRight w:val="0"/>
          <w:marTop w:val="0"/>
          <w:marBottom w:val="180"/>
          <w:divBdr>
            <w:top w:val="none" w:sz="0" w:space="0" w:color="auto"/>
            <w:left w:val="none" w:sz="0" w:space="0" w:color="auto"/>
            <w:bottom w:val="none" w:sz="0" w:space="0" w:color="auto"/>
            <w:right w:val="none" w:sz="0" w:space="0" w:color="auto"/>
          </w:divBdr>
          <w:divsChild>
            <w:div w:id="508982660">
              <w:marLeft w:val="0"/>
              <w:marRight w:val="0"/>
              <w:marTop w:val="0"/>
              <w:marBottom w:val="0"/>
              <w:divBdr>
                <w:top w:val="none" w:sz="0" w:space="0" w:color="auto"/>
                <w:left w:val="none" w:sz="0" w:space="0" w:color="auto"/>
                <w:bottom w:val="none" w:sz="0" w:space="0" w:color="auto"/>
                <w:right w:val="none" w:sz="0" w:space="0" w:color="auto"/>
              </w:divBdr>
              <w:divsChild>
                <w:div w:id="1006403347">
                  <w:marLeft w:val="0"/>
                  <w:marRight w:val="0"/>
                  <w:marTop w:val="0"/>
                  <w:marBottom w:val="0"/>
                  <w:divBdr>
                    <w:top w:val="none" w:sz="0" w:space="0" w:color="auto"/>
                    <w:left w:val="none" w:sz="0" w:space="0" w:color="auto"/>
                    <w:bottom w:val="none" w:sz="0" w:space="0" w:color="auto"/>
                    <w:right w:val="none" w:sz="0" w:space="0" w:color="auto"/>
                  </w:divBdr>
                  <w:divsChild>
                    <w:div w:id="2121991967">
                      <w:marLeft w:val="0"/>
                      <w:marRight w:val="0"/>
                      <w:marTop w:val="0"/>
                      <w:marBottom w:val="0"/>
                      <w:divBdr>
                        <w:top w:val="none" w:sz="0" w:space="0" w:color="auto"/>
                        <w:left w:val="none" w:sz="0" w:space="0" w:color="auto"/>
                        <w:bottom w:val="none" w:sz="0" w:space="0" w:color="auto"/>
                        <w:right w:val="none" w:sz="0" w:space="0" w:color="auto"/>
                      </w:divBdr>
                      <w:divsChild>
                        <w:div w:id="868758244">
                          <w:marLeft w:val="0"/>
                          <w:marRight w:val="0"/>
                          <w:marTop w:val="0"/>
                          <w:marBottom w:val="0"/>
                          <w:divBdr>
                            <w:top w:val="single" w:sz="4" w:space="6" w:color="auto"/>
                            <w:left w:val="single" w:sz="4" w:space="12" w:color="auto"/>
                            <w:bottom w:val="single" w:sz="4" w:space="6" w:color="auto"/>
                            <w:right w:val="single" w:sz="4" w:space="12" w:color="auto"/>
                          </w:divBdr>
                          <w:divsChild>
                            <w:div w:id="188016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873246">
              <w:marLeft w:val="0"/>
              <w:marRight w:val="0"/>
              <w:marTop w:val="0"/>
              <w:marBottom w:val="0"/>
              <w:divBdr>
                <w:top w:val="none" w:sz="0" w:space="0" w:color="auto"/>
                <w:left w:val="none" w:sz="0" w:space="0" w:color="auto"/>
                <w:bottom w:val="none" w:sz="0" w:space="0" w:color="auto"/>
                <w:right w:val="none" w:sz="0" w:space="0" w:color="auto"/>
              </w:divBdr>
              <w:divsChild>
                <w:div w:id="1511606801">
                  <w:marLeft w:val="30"/>
                  <w:marRight w:val="30"/>
                  <w:marTop w:val="0"/>
                  <w:marBottom w:val="0"/>
                  <w:divBdr>
                    <w:top w:val="none" w:sz="0" w:space="0" w:color="auto"/>
                    <w:left w:val="none" w:sz="0" w:space="0" w:color="auto"/>
                    <w:bottom w:val="none" w:sz="0" w:space="0" w:color="auto"/>
                    <w:right w:val="none" w:sz="0" w:space="0" w:color="auto"/>
                  </w:divBdr>
                  <w:divsChild>
                    <w:div w:id="121576118">
                      <w:marLeft w:val="0"/>
                      <w:marRight w:val="0"/>
                      <w:marTop w:val="0"/>
                      <w:marBottom w:val="0"/>
                      <w:divBdr>
                        <w:top w:val="none" w:sz="0" w:space="0" w:color="auto"/>
                        <w:left w:val="none" w:sz="0" w:space="0" w:color="auto"/>
                        <w:bottom w:val="none" w:sz="0" w:space="0" w:color="auto"/>
                        <w:right w:val="none" w:sz="0" w:space="0" w:color="auto"/>
                      </w:divBdr>
                      <w:divsChild>
                        <w:div w:id="1990860158">
                          <w:marLeft w:val="0"/>
                          <w:marRight w:val="0"/>
                          <w:marTop w:val="0"/>
                          <w:marBottom w:val="0"/>
                          <w:divBdr>
                            <w:top w:val="none" w:sz="0" w:space="0" w:color="auto"/>
                            <w:left w:val="none" w:sz="0" w:space="0" w:color="auto"/>
                            <w:bottom w:val="none" w:sz="0" w:space="0" w:color="auto"/>
                            <w:right w:val="none" w:sz="0" w:space="0" w:color="auto"/>
                          </w:divBdr>
                          <w:divsChild>
                            <w:div w:id="1667128246">
                              <w:marLeft w:val="0"/>
                              <w:marRight w:val="0"/>
                              <w:marTop w:val="0"/>
                              <w:marBottom w:val="0"/>
                              <w:divBdr>
                                <w:top w:val="none" w:sz="0" w:space="0" w:color="auto"/>
                                <w:left w:val="none" w:sz="0" w:space="0" w:color="auto"/>
                                <w:bottom w:val="none" w:sz="0" w:space="0" w:color="auto"/>
                                <w:right w:val="none" w:sz="0" w:space="0" w:color="auto"/>
                              </w:divBdr>
                              <w:divsChild>
                                <w:div w:id="1971933272">
                                  <w:marLeft w:val="0"/>
                                  <w:marRight w:val="0"/>
                                  <w:marTop w:val="0"/>
                                  <w:marBottom w:val="0"/>
                                  <w:divBdr>
                                    <w:top w:val="none" w:sz="0" w:space="0" w:color="auto"/>
                                    <w:left w:val="none" w:sz="0" w:space="0" w:color="auto"/>
                                    <w:bottom w:val="none" w:sz="0" w:space="0" w:color="auto"/>
                                    <w:right w:val="none" w:sz="0" w:space="0" w:color="auto"/>
                                  </w:divBdr>
                                </w:div>
                              </w:divsChild>
                            </w:div>
                            <w:div w:id="105317242">
                              <w:marLeft w:val="0"/>
                              <w:marRight w:val="0"/>
                              <w:marTop w:val="120"/>
                              <w:marBottom w:val="480"/>
                              <w:divBdr>
                                <w:top w:val="none" w:sz="0" w:space="0" w:color="auto"/>
                                <w:left w:val="none" w:sz="0" w:space="0" w:color="auto"/>
                                <w:bottom w:val="none" w:sz="0" w:space="0" w:color="auto"/>
                                <w:right w:val="none" w:sz="0" w:space="0" w:color="auto"/>
                              </w:divBdr>
                              <w:divsChild>
                                <w:div w:id="1170023804">
                                  <w:marLeft w:val="0"/>
                                  <w:marRight w:val="0"/>
                                  <w:marTop w:val="0"/>
                                  <w:marBottom w:val="0"/>
                                  <w:divBdr>
                                    <w:top w:val="none" w:sz="0" w:space="0" w:color="auto"/>
                                    <w:left w:val="none" w:sz="0" w:space="0" w:color="auto"/>
                                    <w:bottom w:val="none" w:sz="0" w:space="0" w:color="auto"/>
                                    <w:right w:val="none" w:sz="0" w:space="0" w:color="auto"/>
                                  </w:divBdr>
                                  <w:divsChild>
                                    <w:div w:id="156072276">
                                      <w:marLeft w:val="0"/>
                                      <w:marRight w:val="0"/>
                                      <w:marTop w:val="0"/>
                                      <w:marBottom w:val="0"/>
                                      <w:divBdr>
                                        <w:top w:val="none" w:sz="0" w:space="0" w:color="auto"/>
                                        <w:left w:val="none" w:sz="0" w:space="0" w:color="auto"/>
                                        <w:bottom w:val="none" w:sz="0" w:space="0" w:color="auto"/>
                                        <w:right w:val="none" w:sz="0" w:space="0" w:color="auto"/>
                                      </w:divBdr>
                                      <w:divsChild>
                                        <w:div w:id="639655202">
                                          <w:marLeft w:val="0"/>
                                          <w:marRight w:val="0"/>
                                          <w:marTop w:val="0"/>
                                          <w:marBottom w:val="0"/>
                                          <w:divBdr>
                                            <w:top w:val="none" w:sz="0" w:space="0" w:color="auto"/>
                                            <w:left w:val="none" w:sz="0" w:space="0" w:color="auto"/>
                                            <w:bottom w:val="none" w:sz="0" w:space="0" w:color="auto"/>
                                            <w:right w:val="none" w:sz="0" w:space="0" w:color="auto"/>
                                          </w:divBdr>
                                          <w:divsChild>
                                            <w:div w:id="1052658451">
                                              <w:marLeft w:val="0"/>
                                              <w:marRight w:val="0"/>
                                              <w:marTop w:val="0"/>
                                              <w:marBottom w:val="0"/>
                                              <w:divBdr>
                                                <w:top w:val="none" w:sz="0" w:space="0" w:color="auto"/>
                                                <w:left w:val="none" w:sz="0" w:space="0" w:color="auto"/>
                                                <w:bottom w:val="none" w:sz="0" w:space="0" w:color="auto"/>
                                                <w:right w:val="none" w:sz="0" w:space="0" w:color="auto"/>
                                              </w:divBdr>
                                              <w:divsChild>
                                                <w:div w:id="577591644">
                                                  <w:marLeft w:val="0"/>
                                                  <w:marRight w:val="0"/>
                                                  <w:marTop w:val="0"/>
                                                  <w:marBottom w:val="0"/>
                                                  <w:divBdr>
                                                    <w:top w:val="none" w:sz="0" w:space="0" w:color="auto"/>
                                                    <w:left w:val="none" w:sz="0" w:space="0" w:color="auto"/>
                                                    <w:bottom w:val="none" w:sz="0" w:space="0" w:color="auto"/>
                                                    <w:right w:val="none" w:sz="0" w:space="0" w:color="auto"/>
                                                  </w:divBdr>
                                                  <w:divsChild>
                                                    <w:div w:id="1003321240">
                                                      <w:marLeft w:val="0"/>
                                                      <w:marRight w:val="0"/>
                                                      <w:marTop w:val="0"/>
                                                      <w:marBottom w:val="0"/>
                                                      <w:divBdr>
                                                        <w:top w:val="none" w:sz="0" w:space="0" w:color="auto"/>
                                                        <w:left w:val="none" w:sz="0" w:space="0" w:color="auto"/>
                                                        <w:bottom w:val="none" w:sz="0" w:space="0" w:color="auto"/>
                                                        <w:right w:val="none" w:sz="0" w:space="0" w:color="auto"/>
                                                      </w:divBdr>
                                                      <w:divsChild>
                                                        <w:div w:id="49888215">
                                                          <w:marLeft w:val="0"/>
                                                          <w:marRight w:val="0"/>
                                                          <w:marTop w:val="0"/>
                                                          <w:marBottom w:val="0"/>
                                                          <w:divBdr>
                                                            <w:top w:val="none" w:sz="0" w:space="0" w:color="auto"/>
                                                            <w:left w:val="none" w:sz="0" w:space="0" w:color="auto"/>
                                                            <w:bottom w:val="none" w:sz="0" w:space="0" w:color="auto"/>
                                                            <w:right w:val="none" w:sz="0" w:space="0" w:color="auto"/>
                                                          </w:divBdr>
                                                          <w:divsChild>
                                                            <w:div w:id="554314858">
                                                              <w:marLeft w:val="0"/>
                                                              <w:marRight w:val="0"/>
                                                              <w:marTop w:val="0"/>
                                                              <w:marBottom w:val="0"/>
                                                              <w:divBdr>
                                                                <w:top w:val="none" w:sz="0" w:space="0" w:color="auto"/>
                                                                <w:left w:val="none" w:sz="0" w:space="0" w:color="auto"/>
                                                                <w:bottom w:val="none" w:sz="0" w:space="0" w:color="auto"/>
                                                                <w:right w:val="none" w:sz="0" w:space="0" w:color="auto"/>
                                                              </w:divBdr>
                                                              <w:divsChild>
                                                                <w:div w:id="1052000536">
                                                                  <w:blockQuote w:val="1"/>
                                                                  <w:marLeft w:val="0"/>
                                                                  <w:marRight w:val="0"/>
                                                                  <w:marTop w:val="0"/>
                                                                  <w:marBottom w:val="0"/>
                                                                  <w:divBdr>
                                                                    <w:top w:val="none" w:sz="0" w:space="0" w:color="auto"/>
                                                                    <w:left w:val="single" w:sz="6" w:space="18" w:color="707070"/>
                                                                    <w:bottom w:val="none" w:sz="0" w:space="0" w:color="auto"/>
                                                                    <w:right w:val="none" w:sz="0" w:space="0" w:color="auto"/>
                                                                  </w:divBdr>
                                                                </w:div>
                                                                <w:div w:id="1901821894">
                                                                  <w:blockQuote w:val="1"/>
                                                                  <w:marLeft w:val="0"/>
                                                                  <w:marRight w:val="0"/>
                                                                  <w:marTop w:val="0"/>
                                                                  <w:marBottom w:val="0"/>
                                                                  <w:divBdr>
                                                                    <w:top w:val="none" w:sz="0" w:space="0" w:color="auto"/>
                                                                    <w:left w:val="single" w:sz="6" w:space="18" w:color="707070"/>
                                                                    <w:bottom w:val="none" w:sz="0" w:space="0" w:color="auto"/>
                                                                    <w:right w:val="none" w:sz="0" w:space="0" w:color="auto"/>
                                                                  </w:divBdr>
                                                                </w:div>
                                                                <w:div w:id="1799105242">
                                                                  <w:blockQuote w:val="1"/>
                                                                  <w:marLeft w:val="0"/>
                                                                  <w:marRight w:val="0"/>
                                                                  <w:marTop w:val="0"/>
                                                                  <w:marBottom w:val="0"/>
                                                                  <w:divBdr>
                                                                    <w:top w:val="none" w:sz="0" w:space="0" w:color="auto"/>
                                                                    <w:left w:val="single" w:sz="6" w:space="18" w:color="707070"/>
                                                                    <w:bottom w:val="none" w:sz="0" w:space="0" w:color="auto"/>
                                                                    <w:right w:val="none" w:sz="0" w:space="0" w:color="auto"/>
                                                                  </w:divBdr>
                                                                </w:div>
                                                                <w:div w:id="2014331559">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0017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456F-BCA0-4E54-907E-0EC6A2543FDF}">
  <ds:schemaRefs>
    <ds:schemaRef ds:uri="http://schemas.microsoft.com/office/2006/documentManagement/types"/>
    <ds:schemaRef ds:uri="http://schemas.microsoft.com/office/infopath/2007/PartnerControls"/>
    <ds:schemaRef ds:uri="http://purl.org/dc/dcmitype/"/>
    <ds:schemaRef ds:uri="ea6feb38-a85a-45e8-92e9-814486bbe375"/>
    <ds:schemaRef ds:uri="http://schemas.microsoft.com/office/2006/metadata/properties"/>
    <ds:schemaRef ds:uri="http://purl.org/dc/terms/"/>
    <ds:schemaRef ds:uri="http://purl.org/dc/elements/1.1/"/>
    <ds:schemaRef ds:uri="http://schemas.openxmlformats.org/package/2006/metadata/core-properties"/>
    <ds:schemaRef ds:uri="a05d7f75-f42e-4288-8809-604fd4d9691f"/>
    <ds:schemaRef ds:uri="http://www.w3.org/XML/1998/namespace"/>
  </ds:schemaRefs>
</ds:datastoreItem>
</file>

<file path=customXml/itemProps2.xml><?xml version="1.0" encoding="utf-8"?>
<ds:datastoreItem xmlns:ds="http://schemas.openxmlformats.org/officeDocument/2006/customXml" ds:itemID="{F7C5F200-E16D-4814-9237-82C7DCDC59C4}">
  <ds:schemaRefs>
    <ds:schemaRef ds:uri="http://schemas.microsoft.com/sharepoint/v3/contenttype/forms"/>
  </ds:schemaRefs>
</ds:datastoreItem>
</file>

<file path=customXml/itemProps3.xml><?xml version="1.0" encoding="utf-8"?>
<ds:datastoreItem xmlns:ds="http://schemas.openxmlformats.org/officeDocument/2006/customXml" ds:itemID="{B4E9241F-E04D-42C1-80ED-3819F9584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11148-14C2-4F07-9899-982289A1C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Template>
  <TotalTime>13</TotalTime>
  <Pages>8</Pages>
  <Words>2815</Words>
  <Characters>16049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Ministry for Primary Industries</Company>
  <LinksUpToDate>false</LinksUpToDate>
  <CharactersWithSpaces>18827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Wilson</dc:creator>
  <cp:keywords/>
  <dc:description/>
  <cp:lastModifiedBy>Cassin, Aoife (NSPD)</cp:lastModifiedBy>
  <cp:revision>15</cp:revision>
  <dcterms:created xsi:type="dcterms:W3CDTF">2025-10-03T18:13:00Z</dcterms:created>
  <dcterms:modified xsi:type="dcterms:W3CDTF">2025-10-06T08:19:00Z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847d3a3,7caa9665,f9a63f7</vt:lpwstr>
  </property>
  <property fmtid="{D5CDD505-2E9C-101B-9397-08002B2CF9AE}" pid="3" name="ClassificationContentMarkingHeaderFontProps">
    <vt:lpwstr>#ff0000,12,Calibri</vt:lpwstr>
  </property>
  <property fmtid="{D5CDD505-2E9C-101B-9397-08002B2CF9AE}" pid="4" name="ClassificationContentMarkingHeaderText">
    <vt:lpwstr>OFFICIAL</vt:lpwstr>
  </property>
  <property fmtid="{D5CDD505-2E9C-101B-9397-08002B2CF9AE}" pid="5" name="ClassificationContentMarkingFooterShapeIds">
    <vt:lpwstr>72148034,4852be20,2f7cecd5</vt:lpwstr>
  </property>
  <property fmtid="{D5CDD505-2E9C-101B-9397-08002B2CF9AE}" pid="6" name="ClassificationContentMarkingFooterFontProps">
    <vt:lpwstr>#ff0000,12,Calibri</vt:lpwstr>
  </property>
  <property fmtid="{D5CDD505-2E9C-101B-9397-08002B2CF9AE}" pid="7" name="ClassificationContentMarkingFooterText">
    <vt:lpwstr>OFFICIAL</vt:lpwstr>
  </property>
  <property fmtid="{D5CDD505-2E9C-101B-9397-08002B2CF9AE}" pid="8" name="MSIP_Label_933d8be6-3c40-4052-87a2-9c2adcba8759_Enabled">
    <vt:lpwstr>true</vt:lpwstr>
  </property>
  <property fmtid="{D5CDD505-2E9C-101B-9397-08002B2CF9AE}" pid="9" name="MSIP_Label_933d8be6-3c40-4052-87a2-9c2adcba8759_SetDate">
    <vt:lpwstr>2025-09-09T11:55:44Z</vt:lpwstr>
  </property>
  <property fmtid="{D5CDD505-2E9C-101B-9397-08002B2CF9AE}" pid="10" name="MSIP_Label_933d8be6-3c40-4052-87a2-9c2adcba8759_Method">
    <vt:lpwstr>Privileged</vt:lpwstr>
  </property>
  <property fmtid="{D5CDD505-2E9C-101B-9397-08002B2CF9AE}" pid="11" name="MSIP_Label_933d8be6-3c40-4052-87a2-9c2adcba8759_Name">
    <vt:lpwstr>OFFICIAL</vt:lpwstr>
  </property>
  <property fmtid="{D5CDD505-2E9C-101B-9397-08002B2CF9AE}" pid="12" name="MSIP_Label_933d8be6-3c40-4052-87a2-9c2adcba8759_SiteId">
    <vt:lpwstr>2be67eb7-400c-4b3f-a5a1-1258c0da0696</vt:lpwstr>
  </property>
  <property fmtid="{D5CDD505-2E9C-101B-9397-08002B2CF9AE}" pid="13" name="MSIP_Label_933d8be6-3c40-4052-87a2-9c2adcba8759_ActionId">
    <vt:lpwstr>7ce413e4-bf19-4a1f-8eaf-0e72bd4fefeb</vt:lpwstr>
  </property>
  <property fmtid="{D5CDD505-2E9C-101B-9397-08002B2CF9AE}" pid="14" name="MSIP_Label_933d8be6-3c40-4052-87a2-9c2adcba8759_ContentBits">
    <vt:lpwstr>3</vt:lpwstr>
  </property>
  <property fmtid="{D5CDD505-2E9C-101B-9397-08002B2CF9AE}" pid="15" name="MSIP_Label_933d8be6-3c40-4052-87a2-9c2adcba8759_Tag">
    <vt:lpwstr>10, 0, 1, 1</vt:lpwstr>
  </property>
  <property fmtid="{D5CDD505-2E9C-101B-9397-08002B2CF9AE}" pid="16" name="ContentTypeId">
    <vt:lpwstr>0x010100299519679B1A8B4091DBA33CE26F55F5</vt:lpwstr>
  </property>
  <property fmtid="{D5CDD505-2E9C-101B-9397-08002B2CF9AE}" pid="17" name="MediaServiceImageTags">
    <vt:lpwstr/>
  </property>
</Properties>
</file>