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C0188" w14:textId="77777777" w:rsidR="00A74C41" w:rsidRDefault="00A74C41">
      <w:pPr>
        <w:jc w:val="center"/>
        <w:rPr>
          <w:rFonts w:ascii="Arial" w:hAnsi="Arial" w:cs="Arial"/>
          <w:b/>
          <w:bCs/>
        </w:rPr>
      </w:pPr>
    </w:p>
    <w:p w14:paraId="4D4AE71F" w14:textId="77777777" w:rsidR="00475F36" w:rsidRPr="0010621C" w:rsidRDefault="00475F36" w:rsidP="00475F36">
      <w:pPr>
        <w:pStyle w:val="IPPHeadSection"/>
        <w:jc w:val="center"/>
        <w:rPr>
          <w:smallCaps/>
        </w:rPr>
      </w:pPr>
      <w:bookmarkStart w:id="0" w:name="_Hlk210634284"/>
      <w:r w:rsidRPr="0010621C">
        <w:t>Commission on Phytosanitary Measures</w:t>
      </w:r>
    </w:p>
    <w:p w14:paraId="4D916D66" w14:textId="77777777" w:rsidR="00475F36" w:rsidRDefault="00475F36" w:rsidP="00475F36">
      <w:pPr>
        <w:pStyle w:val="IPPHeadSection"/>
        <w:jc w:val="center"/>
        <w:rPr>
          <w:lang w:val="en-US"/>
        </w:rPr>
      </w:pPr>
      <w:r w:rsidRPr="007F3810">
        <w:rPr>
          <w:lang w:val="en-US"/>
        </w:rPr>
        <w:t>STRATEGIC PLANNING GROUP</w:t>
      </w:r>
    </w:p>
    <w:bookmarkEnd w:id="0"/>
    <w:p w14:paraId="4B417609" w14:textId="1E4CBDD9" w:rsidR="00093135" w:rsidRPr="00475F36" w:rsidRDefault="000F1AB6" w:rsidP="00475F36">
      <w:pPr>
        <w:pStyle w:val="IPPHeadSection"/>
        <w:jc w:val="center"/>
        <w:rPr>
          <w:lang w:val="en-US"/>
        </w:rPr>
      </w:pPr>
      <w:r w:rsidRPr="00475F36">
        <w:rPr>
          <w:lang w:val="en-US"/>
        </w:rPr>
        <w:t>PROPOSE AS THE ANNEX: STANDARD COMMODITY OF SEAWEED (ISPM46)</w:t>
      </w:r>
    </w:p>
    <w:p w14:paraId="21EA3657" w14:textId="77777777" w:rsidR="00706431" w:rsidRPr="00475F36" w:rsidRDefault="00706431" w:rsidP="00706431">
      <w:pPr>
        <w:jc w:val="center"/>
        <w:rPr>
          <w:i/>
          <w:iCs/>
        </w:rPr>
      </w:pPr>
      <w:r w:rsidRPr="00475F36">
        <w:rPr>
          <w:i/>
          <w:iCs/>
        </w:rPr>
        <w:t>(Prepared by Antarjo Dikin, Indonesia)</w:t>
      </w:r>
    </w:p>
    <w:p w14:paraId="2B806440" w14:textId="7695A5D7" w:rsidR="00093135" w:rsidRPr="00706431" w:rsidRDefault="00706431" w:rsidP="00706431">
      <w:pPr>
        <w:pStyle w:val="IPPHeading1"/>
        <w:rPr>
          <w:rFonts w:ascii="Arial" w:hAnsi="Arial" w:cs="Arial"/>
          <w:bCs/>
        </w:rPr>
      </w:pPr>
      <w:r w:rsidRPr="00706431">
        <w:rPr>
          <w:bCs/>
        </w:rPr>
        <w:t>1.</w:t>
      </w:r>
      <w:r w:rsidRPr="00706431">
        <w:rPr>
          <w:bCs/>
        </w:rPr>
        <w:tab/>
      </w:r>
      <w:r w:rsidR="000F1AB6" w:rsidRPr="00706431">
        <w:rPr>
          <w:bCs/>
        </w:rPr>
        <w:t>Background</w:t>
      </w:r>
    </w:p>
    <w:p w14:paraId="7792A28B" w14:textId="77777777" w:rsidR="00093135" w:rsidRDefault="000F1AB6" w:rsidP="00706431">
      <w:pPr>
        <w:pStyle w:val="IPPParagraphnumbering"/>
      </w:pPr>
      <w:r>
        <w:t xml:space="preserve">The IPPC has responsibility to protect biodiversity of plant resources from the incursion and spread of pests and facilitates safe trade. Facilitation of safe trade in the harmonization through applicable development and adoption of international commodity standards for phytosanitary measures. IPPC significantly contribute to support the strategic agenda of United Nation. </w:t>
      </w:r>
    </w:p>
    <w:p w14:paraId="4F72B0A5" w14:textId="77777777" w:rsidR="00093135" w:rsidRDefault="000F1AB6" w:rsidP="00706431">
      <w:pPr>
        <w:pStyle w:val="IPPParagraphnumbering"/>
      </w:pPr>
      <w:r>
        <w:t xml:space="preserve">United Nations Agenda of 2030, Sustainable Development Goals (SDGs) target with one out of 17 priorities to end hunger and malnutrition. Seaweeds </w:t>
      </w:r>
      <w:proofErr w:type="gramStart"/>
      <w:r>
        <w:t>potentially</w:t>
      </w:r>
      <w:proofErr w:type="gramEnd"/>
      <w:r>
        <w:t xml:space="preserve"> recognized as alternative staple food at different parts of the world to </w:t>
      </w:r>
      <w:proofErr w:type="gramStart"/>
      <w:r>
        <w:t>replace of</w:t>
      </w:r>
      <w:proofErr w:type="gramEnd"/>
      <w:r>
        <w:t xml:space="preserve"> rice, wheat, corn, sago, cassava, millet, yam.  The producing country of seaweeds are Indonesia, China, Philippines, South Korea, Japan, Chili and Tanzania.</w:t>
      </w:r>
    </w:p>
    <w:p w14:paraId="7DEF9768" w14:textId="77777777" w:rsidR="00093135" w:rsidRDefault="000F1AB6" w:rsidP="00706431">
      <w:pPr>
        <w:pStyle w:val="IPPParagraphnumbering"/>
      </w:pPr>
      <w:proofErr w:type="gramStart"/>
      <w:r>
        <w:t>Seaweed cultivation or aquaculture,</w:t>
      </w:r>
      <w:proofErr w:type="gramEnd"/>
      <w:r>
        <w:t xml:space="preserve"> generally involves growing </w:t>
      </w:r>
      <w:proofErr w:type="gramStart"/>
      <w:r>
        <w:t>seaweeds</w:t>
      </w:r>
      <w:proofErr w:type="gramEnd"/>
      <w:r>
        <w:t xml:space="preserve"> in a controlled environment either in ocean or in ponds with the technique i.e. raft culture, </w:t>
      </w:r>
      <w:proofErr w:type="gramStart"/>
      <w:r>
        <w:t>longline</w:t>
      </w:r>
      <w:proofErr w:type="gramEnd"/>
      <w:r>
        <w:t xml:space="preserve"> culture or bottom culture. Around 844 species of seaweed have been reported from Indian sea. Out of those species are red alga, brown alga, green alga. </w:t>
      </w:r>
    </w:p>
    <w:p w14:paraId="6B907F71" w14:textId="77777777" w:rsidR="00093135" w:rsidRDefault="000F1AB6" w:rsidP="00706431">
      <w:pPr>
        <w:pStyle w:val="IPPParagraphnumbering"/>
      </w:pPr>
      <w:r>
        <w:t xml:space="preserve">Seaweeds with various species grow in the different aquacultural ecology. Well recognized seaweed has benefit for human consumption and other purposes of industry. These are number species of sea weed grow in the sea territorial of Japan, Korea, China  i.e. </w:t>
      </w:r>
      <w:r>
        <w:rPr>
          <w:i/>
          <w:iCs/>
        </w:rPr>
        <w:t>Porphyra</w:t>
      </w:r>
      <w:r>
        <w:t xml:space="preserve"> spp.(Nori of purple laver); </w:t>
      </w:r>
      <w:r>
        <w:rPr>
          <w:i/>
          <w:iCs/>
        </w:rPr>
        <w:t>Monostroma</w:t>
      </w:r>
      <w:r>
        <w:t xml:space="preserve"> spp and </w:t>
      </w:r>
      <w:r>
        <w:rPr>
          <w:i/>
          <w:iCs/>
        </w:rPr>
        <w:t>Enteromorpha</w:t>
      </w:r>
      <w:r>
        <w:t xml:space="preserve"> spp (Aonori or Green laver); </w:t>
      </w:r>
      <w:r>
        <w:rPr>
          <w:i/>
          <w:iCs/>
        </w:rPr>
        <w:t>Laminaria japonica</w:t>
      </w:r>
      <w:r>
        <w:t xml:space="preserve"> (Kombu or haida),  (</w:t>
      </w:r>
      <w:r>
        <w:rPr>
          <w:i/>
          <w:iCs/>
        </w:rPr>
        <w:t>L. longissima, L.angustata, L. coriacea, L. ochotensis</w:t>
      </w:r>
      <w:r>
        <w:t xml:space="preserve">); </w:t>
      </w:r>
      <w:r>
        <w:rPr>
          <w:i/>
          <w:iCs/>
        </w:rPr>
        <w:t>Undaria pinnatifida</w:t>
      </w:r>
      <w:r>
        <w:t xml:space="preserve"> (Wakame, Quandai-cai);  </w:t>
      </w:r>
      <w:r>
        <w:rPr>
          <w:i/>
          <w:iCs/>
        </w:rPr>
        <w:t xml:space="preserve">Hizikia fusiforma </w:t>
      </w:r>
      <w:r>
        <w:t xml:space="preserve">(Hiziki);  </w:t>
      </w:r>
      <w:r>
        <w:rPr>
          <w:i/>
          <w:iCs/>
        </w:rPr>
        <w:t>Cladosiphon okamuranus</w:t>
      </w:r>
      <w:r>
        <w:t xml:space="preserve"> (Mozuku); </w:t>
      </w:r>
      <w:r>
        <w:rPr>
          <w:i/>
          <w:iCs/>
        </w:rPr>
        <w:t>Caulerpa lentilifera</w:t>
      </w:r>
      <w:r>
        <w:t xml:space="preserve"> (Sea grapes or green caviar);  </w:t>
      </w:r>
      <w:r>
        <w:rPr>
          <w:i/>
          <w:iCs/>
        </w:rPr>
        <w:t>Palmaria palmata</w:t>
      </w:r>
      <w:r>
        <w:t xml:space="preserve">   (dulse); </w:t>
      </w:r>
      <w:r>
        <w:rPr>
          <w:i/>
          <w:iCs/>
        </w:rPr>
        <w:t>Chondrus crispus</w:t>
      </w:r>
      <w:r>
        <w:t xml:space="preserve"> (Irish moss or carrageenan moss); </w:t>
      </w:r>
      <w:r>
        <w:rPr>
          <w:i/>
          <w:iCs/>
        </w:rPr>
        <w:t>Alaria esculenta</w:t>
      </w:r>
      <w:r>
        <w:t xml:space="preserve"> (Winged kelp); </w:t>
      </w:r>
      <w:r>
        <w:rPr>
          <w:i/>
          <w:iCs/>
        </w:rPr>
        <w:t>Glacilaria</w:t>
      </w:r>
      <w:r>
        <w:t xml:space="preserve"> spp (Ogo, Ogonori, Sea moss); </w:t>
      </w:r>
      <w:r>
        <w:rPr>
          <w:i/>
          <w:iCs/>
        </w:rPr>
        <w:t>Callophyllis variegata</w:t>
      </w:r>
      <w:r>
        <w:t xml:space="preserve"> (edible in Chili);</w:t>
      </w:r>
    </w:p>
    <w:p w14:paraId="21760C43" w14:textId="77777777" w:rsidR="00093135" w:rsidRDefault="000F1AB6" w:rsidP="00706431">
      <w:pPr>
        <w:pStyle w:val="IPPParagraphnumbering"/>
      </w:pPr>
      <w:r>
        <w:t xml:space="preserve">In the growth area of sea weeds in </w:t>
      </w:r>
      <w:proofErr w:type="gramStart"/>
      <w:r>
        <w:t>South East</w:t>
      </w:r>
      <w:proofErr w:type="gramEnd"/>
      <w:r>
        <w:t xml:space="preserve"> Asia i.e. Philippine, Indonesia and Malaysia for human consumption: </w:t>
      </w:r>
      <w:r>
        <w:rPr>
          <w:i/>
          <w:iCs/>
        </w:rPr>
        <w:t>Eucheuma cottonii,</w:t>
      </w:r>
      <w:r>
        <w:t xml:space="preserve"> </w:t>
      </w:r>
      <w:r>
        <w:rPr>
          <w:i/>
          <w:iCs/>
        </w:rPr>
        <w:t>Glacilariopsis heteroclada, Kappalycus alvarezii, K. striatus, K. alvarezii</w:t>
      </w:r>
      <w:r>
        <w:t xml:space="preserve">. </w:t>
      </w:r>
    </w:p>
    <w:p w14:paraId="48C123B5" w14:textId="77777777" w:rsidR="00093135" w:rsidRDefault="000F1AB6" w:rsidP="00706431">
      <w:pPr>
        <w:pStyle w:val="IPPParagraphnumbering"/>
      </w:pPr>
      <w:r>
        <w:t xml:space="preserve">Number of country use as food from seaweed in coastal cuisines around the world i.e. East Asia, Southeast Asia, Pacific Islands, Hawaii, Iceland, western Norway, Atlantic coast of France, northern and western Ireland, Wales, coastal parts of </w:t>
      </w:r>
      <w:proofErr w:type="gramStart"/>
      <w:r>
        <w:t>South West</w:t>
      </w:r>
      <w:proofErr w:type="gramEnd"/>
      <w:r>
        <w:t xml:space="preserve"> England, New Brunswick, Nova Scotia, Labrador and other countries. The demand for seaweed as </w:t>
      </w:r>
      <w:proofErr w:type="gramStart"/>
      <w:r>
        <w:t>food</w:t>
      </w:r>
      <w:proofErr w:type="gramEnd"/>
      <w:r>
        <w:t xml:space="preserve"> which </w:t>
      </w:r>
      <w:proofErr w:type="gramStart"/>
      <w:r>
        <w:t>increasing</w:t>
      </w:r>
      <w:proofErr w:type="gramEnd"/>
      <w:r>
        <w:t xml:space="preserve"> in </w:t>
      </w:r>
      <w:proofErr w:type="gramStart"/>
      <w:r>
        <w:t>the volume</w:t>
      </w:r>
      <w:proofErr w:type="gramEnd"/>
      <w:r>
        <w:t xml:space="preserve"> is in line with the increased population. Other </w:t>
      </w:r>
      <w:proofErr w:type="gramStart"/>
      <w:r>
        <w:t>purpose</w:t>
      </w:r>
      <w:proofErr w:type="gramEnd"/>
      <w:r>
        <w:t xml:space="preserve"> of seaweed instead of for non-human consumption are use as feed in the livestock, f</w:t>
      </w:r>
      <w:bookmarkStart w:id="1" w:name="_Hlk197348402"/>
      <w:r>
        <w:t xml:space="preserve">ish farm, bio-herb, bio-pharmacy, cosmetic, biofuel, mulch, biofertilizer, and bio-pesticide </w:t>
      </w:r>
      <w:bookmarkEnd w:id="1"/>
      <w:proofErr w:type="gramStart"/>
      <w:r>
        <w:t>application</w:t>
      </w:r>
      <w:proofErr w:type="gramEnd"/>
      <w:r>
        <w:t xml:space="preserve"> use extracted seaweed for control mite. </w:t>
      </w:r>
    </w:p>
    <w:p w14:paraId="39BEB88A" w14:textId="0907FF8F" w:rsidR="00093135" w:rsidRDefault="000F1AB6" w:rsidP="00706431">
      <w:pPr>
        <w:pStyle w:val="IPPParagraphnumbering"/>
      </w:pPr>
      <w:r>
        <w:t xml:space="preserve">Indonesia’s export of raw materials from seaweed around the world reached 421,000 tonnes during 2024. The fact in global trade to export raw material of seaweed from Indonesia to at least 25 countries namely: China, Japan, Argentina, Vietnam, USA, Australia, Netherland, Denmark, Chile, Hungaria, India, UK and others. Most of consignments are accompanied </w:t>
      </w:r>
      <w:proofErr w:type="gramStart"/>
      <w:r>
        <w:t>with phytosanitary</w:t>
      </w:r>
      <w:proofErr w:type="gramEnd"/>
      <w:r>
        <w:t xml:space="preserve"> certificate based on the phytosanitary requirement of importing </w:t>
      </w:r>
      <w:r>
        <w:rPr>
          <w:i/>
          <w:iCs/>
        </w:rPr>
        <w:t>country</w:t>
      </w:r>
      <w:r>
        <w:t>.</w:t>
      </w:r>
    </w:p>
    <w:p w14:paraId="64BA5F72" w14:textId="77777777" w:rsidR="00093135" w:rsidRDefault="000F1AB6" w:rsidP="00706431">
      <w:pPr>
        <w:pStyle w:val="IPPParagraphnumbering"/>
      </w:pPr>
      <w:r>
        <w:t xml:space="preserve">Establishment of different species of </w:t>
      </w:r>
      <w:proofErr w:type="gramStart"/>
      <w:r>
        <w:t>seaweeds</w:t>
      </w:r>
      <w:proofErr w:type="gramEnd"/>
      <w:r>
        <w:t xml:space="preserve"> in various </w:t>
      </w:r>
      <w:proofErr w:type="gramStart"/>
      <w:r>
        <w:t>ecosystem</w:t>
      </w:r>
      <w:proofErr w:type="gramEnd"/>
      <w:r>
        <w:t xml:space="preserve"> may attack invasive species. Theoretically, natural interaction between seaweed as host with pests in the convenient condition as environmental </w:t>
      </w:r>
      <w:proofErr w:type="gramStart"/>
      <w:r>
        <w:t>factor</w:t>
      </w:r>
      <w:proofErr w:type="gramEnd"/>
      <w:r>
        <w:t xml:space="preserve"> may cause less growth of seaweed and loss of yield production. So far lost evident </w:t>
      </w:r>
      <w:r>
        <w:lastRenderedPageBreak/>
        <w:t xml:space="preserve">of seaweed production due to invasive species reached around 15-30 percent.  Pathogenic </w:t>
      </w:r>
      <w:r>
        <w:rPr>
          <w:i/>
          <w:iCs/>
        </w:rPr>
        <w:t>Vibrio</w:t>
      </w:r>
      <w:r>
        <w:t xml:space="preserve"> sp from ice-ice disease inoculated to seaweed Kappaphycus brown and green varieties in 10⁷CFU/ml were made to change clinical effect in thallus seaweed for 14 days of observation.</w:t>
      </w:r>
    </w:p>
    <w:p w14:paraId="5CEC8608" w14:textId="77777777" w:rsidR="00093135" w:rsidRPr="00C419B0" w:rsidRDefault="000F1AB6" w:rsidP="00706431">
      <w:pPr>
        <w:pStyle w:val="IPPParagraphnumbering"/>
      </w:pPr>
      <w:r>
        <w:t xml:space="preserve">Some studies on pathogenic </w:t>
      </w:r>
      <w:r>
        <w:rPr>
          <w:i/>
          <w:iCs/>
        </w:rPr>
        <w:t>Vibrio</w:t>
      </w:r>
      <w:r>
        <w:t xml:space="preserve"> sp., using artificial inoculation tissue necrosis and reduced growth, to form biofilms on seaweed surfaces, which may hinder nutrient absorption and photosynthesis. On the other hand, studies indicate that certain </w:t>
      </w:r>
      <w:r>
        <w:rPr>
          <w:i/>
          <w:iCs/>
        </w:rPr>
        <w:t>Vibrio</w:t>
      </w:r>
      <w:r>
        <w:t xml:space="preserve"> strains can negatively impact seaweed species, particularly under stress conditions such as high salinity or </w:t>
      </w:r>
      <w:r w:rsidRPr="00C419B0">
        <w:t xml:space="preserve">temperature changes. The extent of damage varies depending on the specific Vibrio species and the type of seaweed involved. </w:t>
      </w:r>
    </w:p>
    <w:p w14:paraId="17F0720C" w14:textId="42B093A1" w:rsidR="00093135" w:rsidRPr="00C419B0" w:rsidRDefault="000F1AB6" w:rsidP="00706431">
      <w:pPr>
        <w:pStyle w:val="IPPParagraphnumbering"/>
      </w:pPr>
      <w:r w:rsidRPr="00C419B0">
        <w:t xml:space="preserve">In case for further conducting a risk analysis of pathogenic bacteria against varied species </w:t>
      </w:r>
      <w:proofErr w:type="gramStart"/>
      <w:r w:rsidRPr="00C419B0">
        <w:t>of  seaweed</w:t>
      </w:r>
      <w:proofErr w:type="gramEnd"/>
      <w:r w:rsidRPr="00C419B0">
        <w:t xml:space="preserve"> has limiting </w:t>
      </w:r>
      <w:proofErr w:type="gramStart"/>
      <w:r w:rsidRPr="00C419B0">
        <w:t>factor</w:t>
      </w:r>
      <w:proofErr w:type="gramEnd"/>
      <w:r w:rsidRPr="00C419B0">
        <w:t xml:space="preserve"> due to un-sufficient scientific evidence on the cross-infection among varied species of seaweed, establishment in different </w:t>
      </w:r>
      <w:proofErr w:type="gramStart"/>
      <w:r w:rsidRPr="00C419B0">
        <w:t>area</w:t>
      </w:r>
      <w:proofErr w:type="gramEnd"/>
      <w:r w:rsidRPr="00C419B0">
        <w:t xml:space="preserve"> from the original established area, economic impact and the spread of pathogenic bacteria.  </w:t>
      </w:r>
      <w:r w:rsidRPr="00C419B0">
        <w:rPr>
          <w:rFonts w:eastAsia="SimSun"/>
        </w:rPr>
        <w:t xml:space="preserve">Current scientific knowledge on seaweed pathology shows that most bacterial pathogens are host-specific, and cross-infection among different seaweed species is rarely documented (Ward et al., 2020). However, the global expansion of seaweed aquaculture and the increasing transboundary movement of seaweed propagules pose a potential risk for novel pathogen emergence and host shifts. The establishment of pathogenic bacteria in new geographical areas is influenced by environmental factors such as temperature, salinity, and nutrient availability, which may enhance or suppress pathogen virulence (Egan et al., 2014). Furthermore, economic losses in seaweed industries have been reported due to bacterial diseases, such as </w:t>
      </w:r>
      <w:r w:rsidRPr="00C419B0">
        <w:rPr>
          <w:rStyle w:val="Emphasis"/>
          <w:rFonts w:ascii="Arial" w:eastAsia="SimSun" w:hAnsi="Arial" w:cs="Arial"/>
        </w:rPr>
        <w:t>Ice-Ice disease</w:t>
      </w:r>
      <w:r w:rsidRPr="00C419B0">
        <w:rPr>
          <w:rFonts w:eastAsia="SimSun"/>
        </w:rPr>
        <w:t xml:space="preserve"> in </w:t>
      </w:r>
      <w:r w:rsidRPr="00C419B0">
        <w:rPr>
          <w:rStyle w:val="Emphasis"/>
          <w:rFonts w:ascii="Arial" w:eastAsia="SimSun" w:hAnsi="Arial" w:cs="Arial"/>
        </w:rPr>
        <w:t>Kappaphycus</w:t>
      </w:r>
      <w:r w:rsidRPr="00C419B0">
        <w:rPr>
          <w:rFonts w:eastAsia="SimSun"/>
        </w:rPr>
        <w:t xml:space="preserve"> and </w:t>
      </w:r>
      <w:r w:rsidRPr="00C419B0">
        <w:rPr>
          <w:rStyle w:val="Emphasis"/>
          <w:rFonts w:ascii="Arial" w:eastAsia="SimSun" w:hAnsi="Arial" w:cs="Arial"/>
        </w:rPr>
        <w:t>Eucheuma</w:t>
      </w:r>
      <w:r w:rsidRPr="00C419B0">
        <w:rPr>
          <w:rFonts w:eastAsia="SimSun"/>
        </w:rPr>
        <w:t xml:space="preserve">, which is associated with </w:t>
      </w:r>
      <w:r w:rsidRPr="00C419B0">
        <w:rPr>
          <w:rStyle w:val="Emphasis"/>
          <w:rFonts w:ascii="Arial" w:eastAsia="SimSun" w:hAnsi="Arial" w:cs="Arial"/>
        </w:rPr>
        <w:t>Vibrio</w:t>
      </w:r>
      <w:r w:rsidRPr="00C419B0">
        <w:rPr>
          <w:rFonts w:eastAsia="SimSun"/>
        </w:rPr>
        <w:t xml:space="preserve"> spp. (Vairappan et al., 2008). Despite these observations, the scientific evidence on the exact mechanisms of cross-infection, host adaptation, and long-term epidemiological spread remains limited, thus constraining the robustness of pest risk analysis</w:t>
      </w:r>
      <w:r w:rsidRPr="00C419B0">
        <w:rPr>
          <w:rFonts w:eastAsia="SimSun"/>
          <w:lang w:val="en-GB"/>
        </w:rPr>
        <w:t>.</w:t>
      </w:r>
      <w:r w:rsidRPr="00C419B0">
        <w:t xml:space="preserve">  </w:t>
      </w:r>
    </w:p>
    <w:p w14:paraId="7E53F479" w14:textId="77777777" w:rsidR="00093135" w:rsidRPr="00C419B0" w:rsidRDefault="000F1AB6" w:rsidP="00706431">
      <w:pPr>
        <w:pStyle w:val="IPPParagraphnumbering"/>
      </w:pPr>
      <w:r w:rsidRPr="00C419B0">
        <w:t xml:space="preserve">The </w:t>
      </w:r>
      <w:proofErr w:type="gramStart"/>
      <w:r w:rsidRPr="00C419B0">
        <w:t>aqua-culture</w:t>
      </w:r>
      <w:proofErr w:type="gramEnd"/>
      <w:r w:rsidRPr="00C419B0">
        <w:t xml:space="preserve"> of seaweed needs intensive </w:t>
      </w:r>
      <w:proofErr w:type="gramStart"/>
      <w:r w:rsidRPr="00C419B0">
        <w:t>to control</w:t>
      </w:r>
      <w:proofErr w:type="gramEnd"/>
      <w:r w:rsidRPr="00C419B0">
        <w:t xml:space="preserve"> from infection of pathogen. This pathogen   </w:t>
      </w:r>
      <w:r w:rsidRPr="00C419B0">
        <w:rPr>
          <w:i/>
          <w:iCs/>
        </w:rPr>
        <w:t>Bacillus</w:t>
      </w:r>
      <w:r w:rsidRPr="00C419B0">
        <w:t xml:space="preserve"> spp. caused rottenthalus syndrome, </w:t>
      </w:r>
      <w:r w:rsidRPr="00C419B0">
        <w:rPr>
          <w:i/>
          <w:iCs/>
        </w:rPr>
        <w:t xml:space="preserve">Cytophaga-Flavobacterium </w:t>
      </w:r>
      <w:r w:rsidRPr="00C419B0">
        <w:t xml:space="preserve">complex, </w:t>
      </w:r>
      <w:r w:rsidRPr="00C419B0">
        <w:rPr>
          <w:i/>
          <w:iCs/>
        </w:rPr>
        <w:t>Vibrio</w:t>
      </w:r>
      <w:r w:rsidRPr="00C419B0">
        <w:t xml:space="preserve"> sp. caused ice-ice disease, </w:t>
      </w:r>
      <w:r w:rsidRPr="00C419B0">
        <w:rPr>
          <w:i/>
          <w:iCs/>
        </w:rPr>
        <w:t>Alteromonas, Pseudoalteromonas</w:t>
      </w:r>
      <w:r w:rsidRPr="00C419B0">
        <w:t xml:space="preserve">, </w:t>
      </w:r>
      <w:r w:rsidRPr="00C419B0">
        <w:rPr>
          <w:i/>
          <w:iCs/>
        </w:rPr>
        <w:t>Pythium porphyrae, Olpidiopsis porphyrae, Pythium chondricola</w:t>
      </w:r>
      <w:r w:rsidRPr="00C419B0">
        <w:t xml:space="preserve"> and </w:t>
      </w:r>
      <w:r w:rsidRPr="00C419B0">
        <w:rPr>
          <w:i/>
          <w:iCs/>
        </w:rPr>
        <w:t>Alternaria</w:t>
      </w:r>
      <w:r w:rsidRPr="00C419B0">
        <w:t xml:space="preserve"> sp. cause red rot and </w:t>
      </w:r>
      <w:r w:rsidRPr="00C419B0">
        <w:rPr>
          <w:i/>
          <w:iCs/>
        </w:rPr>
        <w:t>Olpidiopsis pyropia</w:t>
      </w:r>
      <w:r w:rsidRPr="00C419B0">
        <w:t xml:space="preserve"> causes olpidiopsis. Distribution of these pathogens in sea territorial of Philippine, Malaysia, Indonesia. </w:t>
      </w:r>
    </w:p>
    <w:p w14:paraId="75D6B60C" w14:textId="77777777" w:rsidR="00093135" w:rsidRPr="00C419B0" w:rsidRDefault="000F1AB6" w:rsidP="00706431">
      <w:pPr>
        <w:pStyle w:val="IPPParagraphnumbering"/>
      </w:pPr>
      <w:r w:rsidRPr="00C419B0">
        <w:t xml:space="preserve">In the </w:t>
      </w:r>
      <w:proofErr w:type="gramStart"/>
      <w:r w:rsidRPr="00C419B0">
        <w:t>aqua-culture</w:t>
      </w:r>
      <w:proofErr w:type="gramEnd"/>
      <w:r w:rsidRPr="00C419B0">
        <w:t xml:space="preserve"> often intercept</w:t>
      </w:r>
      <w:proofErr w:type="gramStart"/>
      <w:r w:rsidRPr="00C419B0">
        <w:t>:  Epiphyte</w:t>
      </w:r>
      <w:proofErr w:type="gramEnd"/>
      <w:r w:rsidRPr="00C419B0">
        <w:t xml:space="preserve">. Cyanobacteria, sea lice (Copepoda) as small crustaceans, shrimp, crayfish, turtle. Aphids may feed on seaweed. Scale insects feed plant sap. In the processing of dries material of </w:t>
      </w:r>
      <w:proofErr w:type="gramStart"/>
      <w:r w:rsidRPr="00C419B0">
        <w:t>sea weed</w:t>
      </w:r>
      <w:proofErr w:type="gramEnd"/>
      <w:r w:rsidRPr="00C419B0">
        <w:t xml:space="preserve"> intercept: Thrips, Aphids, </w:t>
      </w:r>
      <w:r w:rsidRPr="00C419B0">
        <w:rPr>
          <w:i/>
          <w:iCs/>
        </w:rPr>
        <w:t>Tribolium castaneum</w:t>
      </w:r>
      <w:r w:rsidRPr="00C419B0">
        <w:t xml:space="preserve">, </w:t>
      </w:r>
      <w:r w:rsidRPr="00C419B0">
        <w:rPr>
          <w:i/>
          <w:iCs/>
        </w:rPr>
        <w:t>Lasioderma serricorne, Sitotroga cerealella</w:t>
      </w:r>
      <w:r w:rsidRPr="00C419B0">
        <w:t>.</w:t>
      </w:r>
    </w:p>
    <w:p w14:paraId="4912E05F" w14:textId="77777777" w:rsidR="00093135" w:rsidRPr="00C419B0" w:rsidRDefault="000F1AB6" w:rsidP="00706431">
      <w:pPr>
        <w:pStyle w:val="IPPParagraphnumbering"/>
      </w:pPr>
      <w:r w:rsidRPr="00C419B0">
        <w:t xml:space="preserve">In the Indonesian tropical marine farms, number of pests intercepted seaweeds, however the economic impact, quantitatively has not yet been published. The importing country mitigates the risk of pests was confirmed by issuing phytosanitary certificate in </w:t>
      </w:r>
      <w:proofErr w:type="gramStart"/>
      <w:r w:rsidRPr="00C419B0">
        <w:t>the each</w:t>
      </w:r>
      <w:proofErr w:type="gramEnd"/>
      <w:r w:rsidRPr="00C419B0">
        <w:t xml:space="preserve"> of consignment. It believed the importing countries carried out risk analysis and to protect any potential risk based on their appropriate level of </w:t>
      </w:r>
      <w:proofErr w:type="gramStart"/>
      <w:r w:rsidRPr="00C419B0">
        <w:t>its protection</w:t>
      </w:r>
      <w:proofErr w:type="gramEnd"/>
      <w:r w:rsidRPr="00C419B0">
        <w:t>. These pests associated with consignment of raw material should be free from pests before issuing phytosanitary certificate.</w:t>
      </w:r>
    </w:p>
    <w:p w14:paraId="743679A5" w14:textId="77777777" w:rsidR="00093135" w:rsidRPr="00C419B0" w:rsidRDefault="000F1AB6" w:rsidP="00706431">
      <w:pPr>
        <w:pStyle w:val="IPPParagraphnumbering"/>
      </w:pPr>
      <w:r w:rsidRPr="00C419B0">
        <w:t xml:space="preserve">Furthermore, exporting sea weeds from Indonesia for the consumption. Out of human nutrition, the sea weeds are utilized animal feed, cosmetic bases, pharmaceutical, </w:t>
      </w:r>
      <w:proofErr w:type="gramStart"/>
      <w:r w:rsidRPr="00C419B0">
        <w:t>organic-fertilizer</w:t>
      </w:r>
      <w:proofErr w:type="gramEnd"/>
      <w:r w:rsidRPr="00C419B0">
        <w:t xml:space="preserve">, biopesticide, bioremediation.  </w:t>
      </w:r>
    </w:p>
    <w:p w14:paraId="68E5A6AD" w14:textId="77777777" w:rsidR="00093135" w:rsidRPr="00C419B0" w:rsidRDefault="000F1AB6" w:rsidP="00706431">
      <w:pPr>
        <w:pStyle w:val="IPPParagraphnumbering"/>
        <w:rPr>
          <w:lang w:val="en-GB"/>
        </w:rPr>
      </w:pPr>
      <w:r w:rsidRPr="00C419B0">
        <w:t>Many factors affect the presence of hazards in production of seaweed, including: the type of seaweed, its physiology, the production season, pest and disease, water quality, aquaculture practice, harvesting methods and processing.</w:t>
      </w:r>
      <w:r w:rsidRPr="00C419B0">
        <w:rPr>
          <w:lang w:val="en-GB"/>
        </w:rPr>
        <w:t xml:space="preserve"> </w:t>
      </w:r>
      <w:r w:rsidRPr="00C419B0">
        <w:rPr>
          <w:rFonts w:eastAsia="SimSun"/>
        </w:rPr>
        <w:t>These factors interact in a complex manner and can significantly determine the safety, quality, and marketability of seaweed products. For instance, the physiological traits of each seaweed species may influence its susceptibility to pests or accumulation of heavy metals. Seasonal variations in temperature and salinity can also affect growth rate and bioactive compound production, thereby altering potential hazards. Likewise, poor water quality resulting from pollution or eutrophication can lead to contamination with pathogenic microorganisms or harmful algal blooms</w:t>
      </w:r>
      <w:r w:rsidRPr="00C419B0">
        <w:rPr>
          <w:rFonts w:eastAsia="SimSun"/>
          <w:lang w:val="en-GB"/>
        </w:rPr>
        <w:t>.</w:t>
      </w:r>
    </w:p>
    <w:p w14:paraId="4D381EE0" w14:textId="77777777" w:rsidR="00093135" w:rsidRPr="00C419B0" w:rsidRDefault="000F1AB6" w:rsidP="00706431">
      <w:pPr>
        <w:pStyle w:val="IPPParagraphnumbering"/>
      </w:pPr>
      <w:r w:rsidRPr="00C419B0">
        <w:lastRenderedPageBreak/>
        <w:t xml:space="preserve">In marine ecosystem, seaweed produces oxygen from photosynthesis to support human life, ocean biota, other terrestrial flora and fauna. The economic impart for small holder economic </w:t>
      </w:r>
      <w:proofErr w:type="gramStart"/>
      <w:r w:rsidRPr="00C419B0">
        <w:t>enterprise</w:t>
      </w:r>
      <w:proofErr w:type="gramEnd"/>
      <w:r w:rsidRPr="00C419B0">
        <w:t>, down-stream food industries with seaweeds base may support farmers income, their improved property, human social life</w:t>
      </w:r>
      <w:proofErr w:type="gramStart"/>
      <w:r w:rsidRPr="00C419B0">
        <w:t>, opening</w:t>
      </w:r>
      <w:proofErr w:type="gramEnd"/>
      <w:r w:rsidRPr="00C419B0">
        <w:t xml:space="preserve"> job </w:t>
      </w:r>
      <w:proofErr w:type="gramStart"/>
      <w:r w:rsidRPr="00C419B0">
        <w:t>opportunity</w:t>
      </w:r>
      <w:proofErr w:type="gramEnd"/>
      <w:r w:rsidRPr="00C419B0">
        <w:t xml:space="preserve"> in downstream industry. </w:t>
      </w:r>
    </w:p>
    <w:p w14:paraId="7D056405" w14:textId="77777777" w:rsidR="00093135" w:rsidRPr="00C419B0" w:rsidRDefault="000F1AB6" w:rsidP="00706431">
      <w:pPr>
        <w:pStyle w:val="IPPParagraphnumbering"/>
      </w:pPr>
      <w:r w:rsidRPr="00C419B0">
        <w:t xml:space="preserve">Most culturing practice of seaweeds in Indonesia at marine areas along the coast are approved free from industrial waste and culturing practice far away from river mouth. Food safety requirement from importing to assure seaweeds consignment shall be tested for food safety to </w:t>
      </w:r>
      <w:proofErr w:type="gramStart"/>
      <w:r w:rsidRPr="00C419B0">
        <w:t>certified</w:t>
      </w:r>
      <w:proofErr w:type="gramEnd"/>
      <w:r w:rsidRPr="00C419B0">
        <w:t xml:space="preserve"> free from heavy metal and any toxic chemicals. </w:t>
      </w:r>
    </w:p>
    <w:p w14:paraId="52DAFC31" w14:textId="60E1F615" w:rsidR="00093135" w:rsidRPr="00C419B0" w:rsidRDefault="00706431" w:rsidP="00706431">
      <w:pPr>
        <w:pStyle w:val="IPPHeading1"/>
      </w:pPr>
      <w:r>
        <w:t>2.</w:t>
      </w:r>
      <w:r>
        <w:tab/>
      </w:r>
      <w:r w:rsidR="000F1AB6" w:rsidRPr="00C419B0">
        <w:t xml:space="preserve">Proposal for endorsement as in annex standard commodity. </w:t>
      </w:r>
    </w:p>
    <w:p w14:paraId="3609BEB1" w14:textId="77777777" w:rsidR="00093135" w:rsidRPr="00C419B0" w:rsidRDefault="000F1AB6" w:rsidP="00706431">
      <w:pPr>
        <w:pStyle w:val="IPPParagraphnumbering"/>
      </w:pPr>
      <w:r w:rsidRPr="00C419B0">
        <w:t xml:space="preserve">The fact on utilization of seaweed as food to support the end hunger and number of countries utilize seaweeds not the only for human consumption as well as other purposes in downstream industries.  NPPO’s Indonesia request to IPPC secretariat for taking consideration for setting up in annex standard of specific commodity of seaweed as part of the ISPM 46.  </w:t>
      </w:r>
    </w:p>
    <w:p w14:paraId="2EE54C71" w14:textId="77777777" w:rsidR="00093135" w:rsidRPr="00C419B0" w:rsidRDefault="000F1AB6" w:rsidP="00706431">
      <w:pPr>
        <w:pStyle w:val="IPPParagraphnumbering"/>
      </w:pPr>
      <w:r w:rsidRPr="00C419B0">
        <w:t xml:space="preserve">This annex of ISPM 46 supports the assurance for the phytosanitary certification and facilitate trade. Agro-industry of seaweeds produces serial number of products from seaweed base and need facilitation of quarantine clearance at </w:t>
      </w:r>
      <w:proofErr w:type="gramStart"/>
      <w:r w:rsidRPr="00C419B0">
        <w:t>sea port</w:t>
      </w:r>
      <w:proofErr w:type="gramEnd"/>
      <w:r w:rsidRPr="00C419B0">
        <w:t xml:space="preserve"> without any caused demurrage.  </w:t>
      </w:r>
    </w:p>
    <w:p w14:paraId="2DB2511C" w14:textId="77777777" w:rsidR="00093135" w:rsidRPr="00C419B0" w:rsidRDefault="000F1AB6" w:rsidP="00706431">
      <w:pPr>
        <w:pStyle w:val="IPPParagraphnumbering"/>
        <w:rPr>
          <w:szCs w:val="22"/>
        </w:rPr>
      </w:pPr>
      <w:r w:rsidRPr="00C419B0">
        <w:rPr>
          <w:szCs w:val="22"/>
        </w:rPr>
        <w:t xml:space="preserve">It is the reason phytosanitary certification for seaweeds shall fulfil general </w:t>
      </w:r>
      <w:proofErr w:type="gramStart"/>
      <w:r w:rsidRPr="00C419B0">
        <w:rPr>
          <w:szCs w:val="22"/>
        </w:rPr>
        <w:t>requirement</w:t>
      </w:r>
      <w:proofErr w:type="gramEnd"/>
      <w:r w:rsidRPr="00C419B0">
        <w:rPr>
          <w:szCs w:val="22"/>
        </w:rPr>
        <w:t xml:space="preserve"> to protect the human, animal, plant health and plant life. On the other purpose of </w:t>
      </w:r>
      <w:proofErr w:type="gramStart"/>
      <w:r w:rsidRPr="00C419B0">
        <w:rPr>
          <w:szCs w:val="22"/>
        </w:rPr>
        <w:t>annex</w:t>
      </w:r>
      <w:proofErr w:type="gramEnd"/>
      <w:r w:rsidRPr="00C419B0">
        <w:rPr>
          <w:szCs w:val="22"/>
        </w:rPr>
        <w:t xml:space="preserve"> standard commodity of seaweed is to fulfil </w:t>
      </w:r>
      <w:proofErr w:type="gramStart"/>
      <w:r w:rsidRPr="00C419B0">
        <w:rPr>
          <w:szCs w:val="22"/>
        </w:rPr>
        <w:t>a guidelines</w:t>
      </w:r>
      <w:proofErr w:type="gramEnd"/>
      <w:r w:rsidRPr="00C419B0">
        <w:rPr>
          <w:szCs w:val="22"/>
        </w:rPr>
        <w:t xml:space="preserve"> and standard of good manufacturing product (GMP). GMP guidelines ensure of products are made to consistent quality standard including free from pests and food safety assurance for seaweeds. Phytosanitary certification for seaweed commodities plays a dual role: first, in safeguarding biosecurity by preventing the introduction and spread of pests and pathogens through seaweed trade; and second, in ensuring compliance with international food safety and quality standards. The biological risks associated with seaweed are not limited to plant health but may extend to potential impacts on aquatic animal health and even human health due to the presence of microbial contaminants, heavy metals, or residual chemicals. Therefore, certification schemes must align with the principles of the International Plant Protection Convention (IPPC) and Codex Alimentarius standards.</w:t>
      </w:r>
    </w:p>
    <w:p w14:paraId="2CDE72A5" w14:textId="77777777" w:rsidR="00093135" w:rsidRPr="00C419B0" w:rsidRDefault="000F1AB6" w:rsidP="00706431">
      <w:pPr>
        <w:pStyle w:val="IPPParagraphnumbering"/>
        <w:rPr>
          <w:szCs w:val="22"/>
          <w:lang w:val="en-GB"/>
        </w:rPr>
      </w:pPr>
      <w:r w:rsidRPr="00C419B0">
        <w:rPr>
          <w:szCs w:val="22"/>
        </w:rPr>
        <w:t xml:space="preserve">The integration of </w:t>
      </w:r>
      <w:r w:rsidRPr="000377FA">
        <w:rPr>
          <w:rStyle w:val="Strong"/>
          <w:szCs w:val="22"/>
        </w:rPr>
        <w:t>Good Manufacturing Practices (GMP)</w:t>
      </w:r>
      <w:r w:rsidRPr="00C419B0">
        <w:rPr>
          <w:szCs w:val="22"/>
        </w:rPr>
        <w:t xml:space="preserve"> in the annex of seaweed commodity standards is essential to guarantee consistent product quality and traceability across the supply chain. GMP guidelines encompass hygienic harvesting, post-harvest handling, drying, packaging, and storage, which are critical in preventing pest contamination and ensuring food safety. By applying GMP, seaweed products can meet both phytosanitary and consumer safety expectations, thereby facilitating international trade while protecting biodiversity and public health</w:t>
      </w:r>
      <w:r w:rsidRPr="00C419B0">
        <w:rPr>
          <w:szCs w:val="22"/>
          <w:lang w:val="en-GB"/>
        </w:rPr>
        <w:t>.</w:t>
      </w:r>
    </w:p>
    <w:p w14:paraId="0AB49E87" w14:textId="77777777" w:rsidR="00093135" w:rsidRDefault="000F1AB6" w:rsidP="00706431">
      <w:pPr>
        <w:pStyle w:val="IPPParagraphnumbering"/>
      </w:pPr>
      <w:r>
        <w:t xml:space="preserve">Herewith, description data of seaweed for consideration are follows: </w:t>
      </w:r>
    </w:p>
    <w:tbl>
      <w:tblPr>
        <w:tblStyle w:val="TableGrid"/>
        <w:tblW w:w="0" w:type="auto"/>
        <w:tblLook w:val="04A0" w:firstRow="1" w:lastRow="0" w:firstColumn="1" w:lastColumn="0" w:noHBand="0" w:noVBand="1"/>
      </w:tblPr>
      <w:tblGrid>
        <w:gridCol w:w="2972"/>
        <w:gridCol w:w="6044"/>
      </w:tblGrid>
      <w:tr w:rsidR="00093135" w14:paraId="4145F9BC" w14:textId="77777777">
        <w:tc>
          <w:tcPr>
            <w:tcW w:w="2972" w:type="dxa"/>
          </w:tcPr>
          <w:p w14:paraId="4E324F6C" w14:textId="77777777" w:rsidR="00093135" w:rsidRPr="000377FA" w:rsidRDefault="000F1AB6">
            <w:pPr>
              <w:rPr>
                <w:rFonts w:ascii="Arial" w:hAnsi="Arial" w:cs="Arial"/>
                <w:b/>
                <w:bCs/>
                <w:sz w:val="18"/>
                <w:szCs w:val="18"/>
              </w:rPr>
            </w:pPr>
            <w:r w:rsidRPr="000377FA">
              <w:rPr>
                <w:rFonts w:ascii="Arial" w:hAnsi="Arial" w:cs="Arial"/>
                <w:b/>
                <w:bCs/>
                <w:sz w:val="18"/>
                <w:szCs w:val="18"/>
              </w:rPr>
              <w:t>Name of commodity</w:t>
            </w:r>
          </w:p>
        </w:tc>
        <w:tc>
          <w:tcPr>
            <w:tcW w:w="6044" w:type="dxa"/>
          </w:tcPr>
          <w:p w14:paraId="7B1DCCC7" w14:textId="77777777" w:rsidR="00093135" w:rsidRPr="000377FA" w:rsidRDefault="000F1AB6">
            <w:pPr>
              <w:rPr>
                <w:rFonts w:ascii="Arial" w:hAnsi="Arial" w:cs="Arial"/>
                <w:b/>
                <w:bCs/>
                <w:sz w:val="18"/>
                <w:szCs w:val="18"/>
              </w:rPr>
            </w:pPr>
            <w:r w:rsidRPr="000377FA">
              <w:rPr>
                <w:rFonts w:ascii="Arial" w:hAnsi="Arial" w:cs="Arial"/>
                <w:b/>
                <w:bCs/>
                <w:sz w:val="18"/>
                <w:szCs w:val="18"/>
              </w:rPr>
              <w:t xml:space="preserve">Seaweed </w:t>
            </w:r>
          </w:p>
        </w:tc>
      </w:tr>
      <w:tr w:rsidR="00093135" w:rsidRPr="00B541C4" w14:paraId="22888463" w14:textId="77777777">
        <w:tc>
          <w:tcPr>
            <w:tcW w:w="2972" w:type="dxa"/>
          </w:tcPr>
          <w:p w14:paraId="348A7C7C" w14:textId="77777777" w:rsidR="00093135" w:rsidRPr="00706431" w:rsidRDefault="000F1AB6">
            <w:pPr>
              <w:rPr>
                <w:rFonts w:ascii="Arial" w:hAnsi="Arial" w:cs="Arial"/>
                <w:sz w:val="18"/>
                <w:szCs w:val="18"/>
              </w:rPr>
            </w:pPr>
            <w:r w:rsidRPr="00706431">
              <w:rPr>
                <w:rFonts w:ascii="Arial" w:hAnsi="Arial" w:cs="Arial"/>
                <w:sz w:val="18"/>
                <w:szCs w:val="18"/>
              </w:rPr>
              <w:t>Scientific Name</w:t>
            </w:r>
          </w:p>
        </w:tc>
        <w:tc>
          <w:tcPr>
            <w:tcW w:w="6044" w:type="dxa"/>
          </w:tcPr>
          <w:p w14:paraId="3FD67D0F" w14:textId="77777777" w:rsidR="00093135" w:rsidRPr="00706431" w:rsidRDefault="000F1AB6">
            <w:pPr>
              <w:rPr>
                <w:rFonts w:ascii="Arial" w:hAnsi="Arial" w:cs="Arial"/>
                <w:sz w:val="18"/>
                <w:szCs w:val="18"/>
                <w:lang w:val="it-IT"/>
              </w:rPr>
            </w:pPr>
            <w:r w:rsidRPr="00706431">
              <w:rPr>
                <w:rFonts w:ascii="Arial" w:hAnsi="Arial" w:cs="Arial"/>
                <w:sz w:val="18"/>
                <w:szCs w:val="18"/>
                <w:lang w:val="it-IT"/>
              </w:rPr>
              <w:t>Eucheumatoids, Saccharina, Undaria, Pyropia, Gracilaria</w:t>
            </w:r>
          </w:p>
        </w:tc>
      </w:tr>
      <w:tr w:rsidR="00093135" w14:paraId="5FF85CB9" w14:textId="77777777">
        <w:tc>
          <w:tcPr>
            <w:tcW w:w="2972" w:type="dxa"/>
          </w:tcPr>
          <w:p w14:paraId="6A4B9EEE" w14:textId="77777777" w:rsidR="00093135" w:rsidRPr="00706431" w:rsidRDefault="000F1AB6">
            <w:pPr>
              <w:rPr>
                <w:rFonts w:ascii="Arial" w:hAnsi="Arial" w:cs="Arial"/>
                <w:sz w:val="18"/>
                <w:szCs w:val="18"/>
                <w:lang w:val="it-IT"/>
              </w:rPr>
            </w:pPr>
            <w:r w:rsidRPr="00706431">
              <w:rPr>
                <w:rFonts w:ascii="Arial" w:hAnsi="Arial" w:cs="Arial"/>
                <w:sz w:val="18"/>
                <w:szCs w:val="18"/>
                <w:lang w:val="it-IT"/>
              </w:rPr>
              <w:t>Intended Used of commodity</w:t>
            </w:r>
          </w:p>
        </w:tc>
        <w:tc>
          <w:tcPr>
            <w:tcW w:w="6044" w:type="dxa"/>
          </w:tcPr>
          <w:p w14:paraId="721D0FE9" w14:textId="77777777" w:rsidR="00093135" w:rsidRPr="00706431" w:rsidRDefault="000F1AB6">
            <w:pPr>
              <w:rPr>
                <w:rFonts w:ascii="Arial" w:hAnsi="Arial" w:cs="Arial"/>
                <w:sz w:val="18"/>
                <w:szCs w:val="18"/>
              </w:rPr>
            </w:pPr>
            <w:r w:rsidRPr="00706431">
              <w:rPr>
                <w:rFonts w:ascii="Arial" w:hAnsi="Arial" w:cs="Arial"/>
                <w:sz w:val="18"/>
                <w:szCs w:val="18"/>
              </w:rPr>
              <w:t>Food, Food Industry, Fish farm, Bio-herb, Bio-pharmacy, Cosmetic, Biofuel, mulch, biofertilizer, and bio-pesticide</w:t>
            </w:r>
          </w:p>
        </w:tc>
      </w:tr>
      <w:tr w:rsidR="00093135" w14:paraId="13BAE5CD" w14:textId="77777777">
        <w:tc>
          <w:tcPr>
            <w:tcW w:w="2972" w:type="dxa"/>
          </w:tcPr>
          <w:p w14:paraId="560A0171" w14:textId="77777777" w:rsidR="00093135" w:rsidRPr="00706431" w:rsidRDefault="000F1AB6">
            <w:pPr>
              <w:rPr>
                <w:rFonts w:ascii="Arial" w:hAnsi="Arial" w:cs="Arial"/>
                <w:sz w:val="18"/>
                <w:szCs w:val="18"/>
              </w:rPr>
            </w:pPr>
            <w:r w:rsidRPr="00706431">
              <w:rPr>
                <w:rFonts w:ascii="Arial" w:hAnsi="Arial" w:cs="Arial"/>
                <w:sz w:val="18"/>
                <w:szCs w:val="18"/>
              </w:rPr>
              <w:t xml:space="preserve">Description of intended use </w:t>
            </w:r>
            <w:r w:rsidRPr="00706431">
              <w:rPr>
                <w:rFonts w:ascii="Arial" w:hAnsi="Arial" w:cs="Arial"/>
                <w:sz w:val="18"/>
                <w:szCs w:val="18"/>
              </w:rPr>
              <w:tab/>
            </w:r>
          </w:p>
        </w:tc>
        <w:tc>
          <w:tcPr>
            <w:tcW w:w="6044" w:type="dxa"/>
          </w:tcPr>
          <w:p w14:paraId="58E63CE4" w14:textId="77777777" w:rsidR="00093135" w:rsidRPr="00706431" w:rsidRDefault="000F1AB6">
            <w:pPr>
              <w:rPr>
                <w:rFonts w:ascii="Arial" w:hAnsi="Arial" w:cs="Arial"/>
                <w:sz w:val="18"/>
                <w:szCs w:val="18"/>
              </w:rPr>
            </w:pPr>
            <w:r w:rsidRPr="00706431">
              <w:rPr>
                <w:rFonts w:ascii="Arial" w:hAnsi="Arial" w:cs="Arial"/>
                <w:sz w:val="18"/>
                <w:szCs w:val="18"/>
              </w:rPr>
              <w:t>Direct food – Seaweeds are cleaned from any contaminant of sand, organic debris, any physical damage, rotten, pathogen symptoms</w:t>
            </w:r>
          </w:p>
        </w:tc>
      </w:tr>
      <w:tr w:rsidR="00093135" w14:paraId="4EDA401F" w14:textId="77777777">
        <w:tc>
          <w:tcPr>
            <w:tcW w:w="2972" w:type="dxa"/>
          </w:tcPr>
          <w:p w14:paraId="040E9D54" w14:textId="77777777" w:rsidR="00093135" w:rsidRPr="00706431" w:rsidRDefault="00093135">
            <w:pPr>
              <w:rPr>
                <w:rFonts w:ascii="Arial" w:hAnsi="Arial" w:cs="Arial"/>
                <w:sz w:val="18"/>
                <w:szCs w:val="18"/>
              </w:rPr>
            </w:pPr>
          </w:p>
        </w:tc>
        <w:tc>
          <w:tcPr>
            <w:tcW w:w="6044" w:type="dxa"/>
          </w:tcPr>
          <w:p w14:paraId="3FB6474E" w14:textId="77777777" w:rsidR="00093135" w:rsidRPr="00706431" w:rsidRDefault="000F1AB6">
            <w:pPr>
              <w:rPr>
                <w:rFonts w:ascii="Arial" w:hAnsi="Arial" w:cs="Arial"/>
                <w:sz w:val="18"/>
                <w:szCs w:val="18"/>
              </w:rPr>
            </w:pPr>
            <w:r w:rsidRPr="00706431">
              <w:rPr>
                <w:rFonts w:ascii="Arial" w:hAnsi="Arial" w:cs="Arial"/>
                <w:sz w:val="18"/>
                <w:szCs w:val="18"/>
              </w:rPr>
              <w:t>Food for Industry – follow the good manufacturing practice</w:t>
            </w:r>
          </w:p>
        </w:tc>
      </w:tr>
      <w:tr w:rsidR="00093135" w14:paraId="244F0481" w14:textId="77777777">
        <w:tc>
          <w:tcPr>
            <w:tcW w:w="2972" w:type="dxa"/>
          </w:tcPr>
          <w:p w14:paraId="25DAB55D" w14:textId="77777777" w:rsidR="00093135" w:rsidRPr="00706431" w:rsidRDefault="00093135">
            <w:pPr>
              <w:rPr>
                <w:rFonts w:ascii="Arial" w:hAnsi="Arial" w:cs="Arial"/>
                <w:sz w:val="18"/>
                <w:szCs w:val="18"/>
              </w:rPr>
            </w:pPr>
          </w:p>
        </w:tc>
        <w:tc>
          <w:tcPr>
            <w:tcW w:w="6044" w:type="dxa"/>
          </w:tcPr>
          <w:p w14:paraId="526C6AEE" w14:textId="77777777" w:rsidR="00093135" w:rsidRPr="00706431" w:rsidRDefault="000F1AB6">
            <w:pPr>
              <w:rPr>
                <w:rFonts w:ascii="Arial" w:hAnsi="Arial" w:cs="Arial"/>
                <w:sz w:val="18"/>
                <w:szCs w:val="18"/>
              </w:rPr>
            </w:pPr>
            <w:r w:rsidRPr="00706431">
              <w:rPr>
                <w:rFonts w:ascii="Arial" w:hAnsi="Arial" w:cs="Arial"/>
                <w:sz w:val="18"/>
                <w:szCs w:val="18"/>
              </w:rPr>
              <w:t>Fish farm – processed products for feed and fit for fish</w:t>
            </w:r>
          </w:p>
        </w:tc>
      </w:tr>
      <w:tr w:rsidR="00093135" w14:paraId="46F3FE3D" w14:textId="77777777">
        <w:tc>
          <w:tcPr>
            <w:tcW w:w="2972" w:type="dxa"/>
          </w:tcPr>
          <w:p w14:paraId="066C8CC1" w14:textId="77777777" w:rsidR="00093135" w:rsidRPr="00706431" w:rsidRDefault="00093135">
            <w:pPr>
              <w:rPr>
                <w:rFonts w:ascii="Arial" w:hAnsi="Arial" w:cs="Arial"/>
                <w:sz w:val="18"/>
                <w:szCs w:val="18"/>
              </w:rPr>
            </w:pPr>
          </w:p>
        </w:tc>
        <w:tc>
          <w:tcPr>
            <w:tcW w:w="6044" w:type="dxa"/>
          </w:tcPr>
          <w:p w14:paraId="0D606AF5" w14:textId="77777777" w:rsidR="00093135" w:rsidRPr="00706431" w:rsidRDefault="000F1AB6">
            <w:pPr>
              <w:rPr>
                <w:rFonts w:ascii="Arial" w:hAnsi="Arial" w:cs="Arial"/>
                <w:sz w:val="18"/>
                <w:szCs w:val="18"/>
              </w:rPr>
            </w:pPr>
            <w:r w:rsidRPr="00706431">
              <w:rPr>
                <w:rFonts w:ascii="Arial" w:hAnsi="Arial" w:cs="Arial"/>
                <w:sz w:val="18"/>
                <w:szCs w:val="18"/>
              </w:rPr>
              <w:t>Bio-herb – processed products refer to Food Drug Agency’s standard.</w:t>
            </w:r>
          </w:p>
        </w:tc>
      </w:tr>
      <w:tr w:rsidR="00093135" w14:paraId="29653E92" w14:textId="77777777">
        <w:tc>
          <w:tcPr>
            <w:tcW w:w="2972" w:type="dxa"/>
          </w:tcPr>
          <w:p w14:paraId="196D3DB5" w14:textId="77777777" w:rsidR="00093135" w:rsidRPr="00706431" w:rsidRDefault="00093135">
            <w:pPr>
              <w:rPr>
                <w:rFonts w:ascii="Arial" w:hAnsi="Arial" w:cs="Arial"/>
                <w:sz w:val="18"/>
                <w:szCs w:val="18"/>
              </w:rPr>
            </w:pPr>
          </w:p>
        </w:tc>
        <w:tc>
          <w:tcPr>
            <w:tcW w:w="6044" w:type="dxa"/>
          </w:tcPr>
          <w:p w14:paraId="0EE5108A" w14:textId="77777777" w:rsidR="00093135" w:rsidRPr="00706431" w:rsidRDefault="000F1AB6">
            <w:pPr>
              <w:rPr>
                <w:rFonts w:ascii="Arial" w:hAnsi="Arial" w:cs="Arial"/>
                <w:sz w:val="18"/>
                <w:szCs w:val="18"/>
              </w:rPr>
            </w:pPr>
            <w:r w:rsidRPr="00706431">
              <w:rPr>
                <w:rFonts w:ascii="Arial" w:hAnsi="Arial" w:cs="Arial"/>
                <w:sz w:val="18"/>
                <w:szCs w:val="18"/>
              </w:rPr>
              <w:t xml:space="preserve">Biofertilizer – processed products to assure without any  </w:t>
            </w:r>
          </w:p>
          <w:p w14:paraId="04B83210" w14:textId="77777777" w:rsidR="00093135" w:rsidRPr="00706431" w:rsidRDefault="000F1AB6">
            <w:pPr>
              <w:rPr>
                <w:rFonts w:ascii="Arial" w:hAnsi="Arial" w:cs="Arial"/>
                <w:sz w:val="18"/>
                <w:szCs w:val="18"/>
              </w:rPr>
            </w:pPr>
            <w:r w:rsidRPr="00706431">
              <w:rPr>
                <w:rFonts w:ascii="Arial" w:hAnsi="Arial" w:cs="Arial"/>
                <w:sz w:val="18"/>
                <w:szCs w:val="18"/>
              </w:rPr>
              <w:t xml:space="preserve"> Contaminant of pests</w:t>
            </w:r>
          </w:p>
        </w:tc>
      </w:tr>
      <w:tr w:rsidR="00093135" w14:paraId="5FEF9F45" w14:textId="77777777">
        <w:tc>
          <w:tcPr>
            <w:tcW w:w="2972" w:type="dxa"/>
          </w:tcPr>
          <w:p w14:paraId="2C1E27B4" w14:textId="77777777" w:rsidR="00093135" w:rsidRPr="00706431" w:rsidRDefault="00093135">
            <w:pPr>
              <w:rPr>
                <w:rFonts w:ascii="Arial" w:hAnsi="Arial" w:cs="Arial"/>
                <w:sz w:val="18"/>
                <w:szCs w:val="18"/>
              </w:rPr>
            </w:pPr>
          </w:p>
        </w:tc>
        <w:tc>
          <w:tcPr>
            <w:tcW w:w="6044" w:type="dxa"/>
          </w:tcPr>
          <w:p w14:paraId="1BE5F4DE" w14:textId="77777777" w:rsidR="00093135" w:rsidRPr="00706431" w:rsidRDefault="00093135">
            <w:pPr>
              <w:rPr>
                <w:rFonts w:ascii="Arial" w:hAnsi="Arial" w:cs="Arial"/>
                <w:sz w:val="18"/>
                <w:szCs w:val="18"/>
              </w:rPr>
            </w:pPr>
          </w:p>
        </w:tc>
      </w:tr>
      <w:tr w:rsidR="00093135" w14:paraId="0526FA53" w14:textId="77777777">
        <w:tc>
          <w:tcPr>
            <w:tcW w:w="2972" w:type="dxa"/>
          </w:tcPr>
          <w:p w14:paraId="06BE03DE" w14:textId="77777777" w:rsidR="00093135" w:rsidRPr="00706431" w:rsidRDefault="000F1AB6">
            <w:pPr>
              <w:rPr>
                <w:rFonts w:ascii="Arial" w:hAnsi="Arial" w:cs="Arial"/>
                <w:sz w:val="18"/>
                <w:szCs w:val="18"/>
              </w:rPr>
            </w:pPr>
            <w:r w:rsidRPr="00706431">
              <w:rPr>
                <w:rFonts w:ascii="Arial" w:hAnsi="Arial" w:cs="Arial"/>
                <w:sz w:val="18"/>
                <w:szCs w:val="18"/>
              </w:rPr>
              <w:t xml:space="preserve">List of Pest </w:t>
            </w:r>
          </w:p>
        </w:tc>
        <w:tc>
          <w:tcPr>
            <w:tcW w:w="6044" w:type="dxa"/>
          </w:tcPr>
          <w:p w14:paraId="42A72168" w14:textId="77777777" w:rsidR="00093135" w:rsidRPr="00706431" w:rsidRDefault="000F1AB6">
            <w:pPr>
              <w:rPr>
                <w:rFonts w:ascii="Arial" w:hAnsi="Arial" w:cs="Arial"/>
                <w:sz w:val="18"/>
                <w:szCs w:val="18"/>
              </w:rPr>
            </w:pPr>
            <w:r w:rsidRPr="00706431">
              <w:rPr>
                <w:rFonts w:ascii="Arial" w:hAnsi="Arial" w:cs="Arial"/>
                <w:i/>
                <w:iCs/>
                <w:sz w:val="18"/>
                <w:szCs w:val="18"/>
              </w:rPr>
              <w:t xml:space="preserve">Tripneusteus gratilla, Echinometra mathaei, Bacillus </w:t>
            </w:r>
            <w:r w:rsidRPr="00706431">
              <w:rPr>
                <w:rFonts w:ascii="Arial" w:hAnsi="Arial" w:cs="Arial"/>
                <w:sz w:val="18"/>
                <w:szCs w:val="18"/>
              </w:rPr>
              <w:t>spp</w:t>
            </w:r>
            <w:r w:rsidRPr="00706431">
              <w:rPr>
                <w:rFonts w:ascii="Arial" w:hAnsi="Arial" w:cs="Arial"/>
                <w:i/>
                <w:iCs/>
                <w:sz w:val="18"/>
                <w:szCs w:val="18"/>
              </w:rPr>
              <w:t xml:space="preserve">. </w:t>
            </w:r>
            <w:r w:rsidRPr="00706431">
              <w:rPr>
                <w:rFonts w:ascii="Arial" w:hAnsi="Arial" w:cs="Arial"/>
                <w:sz w:val="18"/>
                <w:szCs w:val="18"/>
              </w:rPr>
              <w:t>causes</w:t>
            </w:r>
            <w:r w:rsidRPr="00706431">
              <w:rPr>
                <w:rFonts w:ascii="Arial" w:hAnsi="Arial" w:cs="Arial"/>
                <w:i/>
                <w:iCs/>
                <w:sz w:val="18"/>
                <w:szCs w:val="18"/>
              </w:rPr>
              <w:t xml:space="preserve"> rottenthalus syndrome, Cytophaga-Flavobacterium complex, Vibrio </w:t>
            </w:r>
            <w:r w:rsidRPr="00706431">
              <w:rPr>
                <w:rFonts w:ascii="Arial" w:hAnsi="Arial" w:cs="Arial"/>
                <w:sz w:val="18"/>
                <w:szCs w:val="18"/>
              </w:rPr>
              <w:t>sp</w:t>
            </w:r>
            <w:r w:rsidRPr="00706431">
              <w:rPr>
                <w:rFonts w:ascii="Arial" w:hAnsi="Arial" w:cs="Arial"/>
                <w:i/>
                <w:iCs/>
                <w:sz w:val="18"/>
                <w:szCs w:val="18"/>
              </w:rPr>
              <w:t xml:space="preserve">. </w:t>
            </w:r>
            <w:r w:rsidRPr="00706431">
              <w:rPr>
                <w:rFonts w:ascii="Arial" w:hAnsi="Arial" w:cs="Arial"/>
                <w:sz w:val="18"/>
                <w:szCs w:val="18"/>
              </w:rPr>
              <w:t>causes ice-ice disease</w:t>
            </w:r>
            <w:r w:rsidRPr="00706431">
              <w:rPr>
                <w:rFonts w:ascii="Arial" w:hAnsi="Arial" w:cs="Arial"/>
                <w:i/>
                <w:iCs/>
                <w:sz w:val="18"/>
                <w:szCs w:val="18"/>
              </w:rPr>
              <w:t xml:space="preserve">, Alteromonas, Pseudoalteromonas, Pythium porphyrae, Olpidiopsis porphyrae, Pythium chondricola and Alternaria </w:t>
            </w:r>
            <w:r w:rsidRPr="00706431">
              <w:rPr>
                <w:rFonts w:ascii="Arial" w:hAnsi="Arial" w:cs="Arial"/>
                <w:sz w:val="18"/>
                <w:szCs w:val="18"/>
              </w:rPr>
              <w:t xml:space="preserve">sp. cause red rot, </w:t>
            </w:r>
            <w:r w:rsidRPr="00706431">
              <w:rPr>
                <w:rFonts w:ascii="Arial" w:hAnsi="Arial" w:cs="Arial"/>
                <w:i/>
                <w:iCs/>
                <w:sz w:val="18"/>
                <w:szCs w:val="18"/>
              </w:rPr>
              <w:t xml:space="preserve">Olpidiopsis pyropia </w:t>
            </w:r>
            <w:r w:rsidRPr="00706431">
              <w:rPr>
                <w:rFonts w:ascii="Arial" w:hAnsi="Arial" w:cs="Arial"/>
                <w:sz w:val="18"/>
                <w:szCs w:val="18"/>
              </w:rPr>
              <w:t xml:space="preserve">causes olpidiopsis, </w:t>
            </w:r>
            <w:r w:rsidRPr="00706431">
              <w:rPr>
                <w:rFonts w:ascii="Arial" w:hAnsi="Arial" w:cs="Arial"/>
                <w:i/>
                <w:iCs/>
                <w:sz w:val="18"/>
                <w:szCs w:val="18"/>
              </w:rPr>
              <w:t>Pseudomonas</w:t>
            </w:r>
            <w:r w:rsidRPr="00706431">
              <w:rPr>
                <w:rFonts w:ascii="Arial" w:hAnsi="Arial" w:cs="Arial"/>
                <w:sz w:val="18"/>
                <w:szCs w:val="18"/>
              </w:rPr>
              <w:t xml:space="preserve"> sp, </w:t>
            </w:r>
            <w:r w:rsidRPr="00706431">
              <w:rPr>
                <w:rFonts w:ascii="Arial" w:hAnsi="Arial" w:cs="Arial"/>
                <w:i/>
                <w:iCs/>
                <w:sz w:val="18"/>
                <w:szCs w:val="18"/>
              </w:rPr>
              <w:t>Flagellaria</w:t>
            </w:r>
            <w:r w:rsidRPr="00706431">
              <w:rPr>
                <w:rFonts w:ascii="Arial" w:hAnsi="Arial" w:cs="Arial"/>
                <w:sz w:val="18"/>
                <w:szCs w:val="18"/>
              </w:rPr>
              <w:t xml:space="preserve"> sp., </w:t>
            </w:r>
            <w:r w:rsidRPr="00706431">
              <w:rPr>
                <w:rFonts w:ascii="Arial" w:hAnsi="Arial" w:cs="Arial"/>
                <w:i/>
                <w:iCs/>
                <w:sz w:val="18"/>
                <w:szCs w:val="18"/>
              </w:rPr>
              <w:t>Licmophora flagellate, Milosira</w:t>
            </w:r>
            <w:r w:rsidRPr="00706431">
              <w:rPr>
                <w:rFonts w:ascii="Arial" w:hAnsi="Arial" w:cs="Arial"/>
                <w:sz w:val="18"/>
                <w:szCs w:val="18"/>
              </w:rPr>
              <w:t xml:space="preserve"> sp., </w:t>
            </w:r>
            <w:r w:rsidRPr="00706431">
              <w:rPr>
                <w:rFonts w:ascii="Arial" w:hAnsi="Arial" w:cs="Arial"/>
                <w:i/>
                <w:iCs/>
                <w:sz w:val="18"/>
                <w:szCs w:val="18"/>
              </w:rPr>
              <w:t>Navicula</w:t>
            </w:r>
            <w:r w:rsidRPr="00706431">
              <w:rPr>
                <w:rFonts w:ascii="Arial" w:hAnsi="Arial" w:cs="Arial"/>
                <w:sz w:val="18"/>
                <w:szCs w:val="18"/>
              </w:rPr>
              <w:t xml:space="preserve"> sp., </w:t>
            </w:r>
            <w:r w:rsidRPr="00706431">
              <w:rPr>
                <w:rFonts w:ascii="Arial" w:hAnsi="Arial" w:cs="Arial"/>
                <w:i/>
                <w:iCs/>
                <w:sz w:val="18"/>
                <w:szCs w:val="18"/>
              </w:rPr>
              <w:t>Flavobacterium</w:t>
            </w:r>
            <w:r w:rsidRPr="00706431">
              <w:rPr>
                <w:rFonts w:ascii="Arial" w:hAnsi="Arial" w:cs="Arial"/>
                <w:sz w:val="18"/>
                <w:szCs w:val="18"/>
              </w:rPr>
              <w:t xml:space="preserve"> sp. PyroV1 (virus), </w:t>
            </w:r>
            <w:r w:rsidRPr="00706431">
              <w:rPr>
                <w:rFonts w:ascii="Arial" w:hAnsi="Arial" w:cs="Arial"/>
                <w:i/>
                <w:iCs/>
                <w:sz w:val="18"/>
                <w:szCs w:val="18"/>
              </w:rPr>
              <w:t xml:space="preserve">Eucampia zodiacus, Coscinodiscus granii, Asteroplanus karianus, </w:t>
            </w:r>
          </w:p>
          <w:p w14:paraId="20B970BE" w14:textId="77777777" w:rsidR="00093135" w:rsidRPr="00706431" w:rsidRDefault="000F1AB6">
            <w:pPr>
              <w:rPr>
                <w:rFonts w:ascii="Arial" w:hAnsi="Arial" w:cs="Arial"/>
                <w:sz w:val="18"/>
                <w:szCs w:val="18"/>
              </w:rPr>
            </w:pPr>
            <w:r w:rsidRPr="00706431">
              <w:rPr>
                <w:rFonts w:ascii="Arial" w:hAnsi="Arial" w:cs="Arial"/>
                <w:sz w:val="18"/>
                <w:szCs w:val="18"/>
              </w:rPr>
              <w:t xml:space="preserve">Cyanobacteria, sea lice (Copepoda), shrimp, crayfish, turtle, Aphids, Thrips, </w:t>
            </w:r>
            <w:r w:rsidRPr="00706431">
              <w:rPr>
                <w:rFonts w:ascii="Arial" w:hAnsi="Arial" w:cs="Arial"/>
                <w:i/>
                <w:iCs/>
                <w:sz w:val="18"/>
                <w:szCs w:val="18"/>
              </w:rPr>
              <w:t>Tribolium castaneum, Lasioderma serricorne, Sitotroga cerealella</w:t>
            </w:r>
            <w:r w:rsidRPr="00706431">
              <w:rPr>
                <w:rFonts w:ascii="Arial" w:hAnsi="Arial" w:cs="Arial"/>
                <w:sz w:val="18"/>
                <w:szCs w:val="18"/>
              </w:rPr>
              <w:t>.</w:t>
            </w:r>
          </w:p>
        </w:tc>
      </w:tr>
      <w:tr w:rsidR="00093135" w14:paraId="2A583ACE" w14:textId="77777777">
        <w:tc>
          <w:tcPr>
            <w:tcW w:w="2972" w:type="dxa"/>
          </w:tcPr>
          <w:p w14:paraId="435DF8B3" w14:textId="77777777" w:rsidR="00093135" w:rsidRPr="00706431" w:rsidRDefault="00093135">
            <w:pPr>
              <w:rPr>
                <w:rFonts w:ascii="Arial" w:hAnsi="Arial" w:cs="Arial"/>
                <w:sz w:val="18"/>
                <w:szCs w:val="18"/>
              </w:rPr>
            </w:pPr>
          </w:p>
        </w:tc>
        <w:tc>
          <w:tcPr>
            <w:tcW w:w="6044" w:type="dxa"/>
          </w:tcPr>
          <w:p w14:paraId="071ACDDD" w14:textId="77777777" w:rsidR="00093135" w:rsidRPr="00706431" w:rsidRDefault="000F1AB6">
            <w:pPr>
              <w:rPr>
                <w:rFonts w:ascii="Arial" w:hAnsi="Arial" w:cs="Arial"/>
                <w:sz w:val="18"/>
                <w:szCs w:val="18"/>
              </w:rPr>
            </w:pPr>
            <w:r w:rsidRPr="00706431">
              <w:rPr>
                <w:rFonts w:ascii="Arial" w:hAnsi="Arial" w:cs="Arial"/>
                <w:sz w:val="18"/>
                <w:szCs w:val="18"/>
              </w:rPr>
              <w:t xml:space="preserve">Rabbitfish, </w:t>
            </w:r>
          </w:p>
        </w:tc>
      </w:tr>
      <w:tr w:rsidR="00093135" w14:paraId="28894E39" w14:textId="77777777">
        <w:tc>
          <w:tcPr>
            <w:tcW w:w="2972" w:type="dxa"/>
          </w:tcPr>
          <w:p w14:paraId="15D4A810" w14:textId="77777777" w:rsidR="00093135" w:rsidRPr="00706431" w:rsidRDefault="00093135">
            <w:pPr>
              <w:rPr>
                <w:rFonts w:ascii="Arial" w:hAnsi="Arial" w:cs="Arial"/>
                <w:sz w:val="18"/>
                <w:szCs w:val="18"/>
              </w:rPr>
            </w:pPr>
          </w:p>
        </w:tc>
        <w:tc>
          <w:tcPr>
            <w:tcW w:w="6044" w:type="dxa"/>
          </w:tcPr>
          <w:p w14:paraId="1A401C45" w14:textId="77777777" w:rsidR="00093135" w:rsidRPr="00706431" w:rsidRDefault="000F1AB6">
            <w:pPr>
              <w:rPr>
                <w:rFonts w:ascii="Arial" w:hAnsi="Arial" w:cs="Arial"/>
                <w:sz w:val="18"/>
                <w:szCs w:val="18"/>
              </w:rPr>
            </w:pPr>
            <w:r w:rsidRPr="00706431">
              <w:rPr>
                <w:rFonts w:ascii="Arial" w:hAnsi="Arial" w:cs="Arial"/>
                <w:sz w:val="18"/>
                <w:szCs w:val="18"/>
              </w:rPr>
              <w:t>Epiphytes, Biofouler</w:t>
            </w:r>
          </w:p>
        </w:tc>
      </w:tr>
      <w:tr w:rsidR="00093135" w14:paraId="5E3BE463" w14:textId="77777777">
        <w:tc>
          <w:tcPr>
            <w:tcW w:w="2972" w:type="dxa"/>
          </w:tcPr>
          <w:p w14:paraId="368A9B4D" w14:textId="77777777" w:rsidR="00093135" w:rsidRPr="00706431" w:rsidRDefault="00093135">
            <w:pPr>
              <w:rPr>
                <w:rFonts w:ascii="Arial" w:hAnsi="Arial" w:cs="Arial"/>
                <w:sz w:val="18"/>
                <w:szCs w:val="18"/>
              </w:rPr>
            </w:pPr>
          </w:p>
        </w:tc>
        <w:tc>
          <w:tcPr>
            <w:tcW w:w="6044" w:type="dxa"/>
          </w:tcPr>
          <w:p w14:paraId="7E74B475" w14:textId="77777777" w:rsidR="00093135" w:rsidRPr="00706431" w:rsidRDefault="000F1AB6">
            <w:pPr>
              <w:rPr>
                <w:rFonts w:ascii="Arial" w:hAnsi="Arial" w:cs="Arial"/>
                <w:sz w:val="18"/>
                <w:szCs w:val="18"/>
              </w:rPr>
            </w:pPr>
            <w:r w:rsidRPr="00706431">
              <w:rPr>
                <w:rFonts w:ascii="Arial" w:hAnsi="Arial" w:cs="Arial"/>
                <w:sz w:val="18"/>
                <w:szCs w:val="18"/>
              </w:rPr>
              <w:t>Wild alga,</w:t>
            </w:r>
          </w:p>
        </w:tc>
      </w:tr>
      <w:tr w:rsidR="00093135" w14:paraId="255E7CA1" w14:textId="77777777">
        <w:tc>
          <w:tcPr>
            <w:tcW w:w="2972" w:type="dxa"/>
          </w:tcPr>
          <w:p w14:paraId="3AB59BC8" w14:textId="77777777" w:rsidR="00093135" w:rsidRPr="00706431" w:rsidRDefault="00093135">
            <w:pPr>
              <w:rPr>
                <w:rFonts w:ascii="Arial" w:hAnsi="Arial" w:cs="Arial"/>
                <w:sz w:val="18"/>
                <w:szCs w:val="18"/>
              </w:rPr>
            </w:pPr>
          </w:p>
        </w:tc>
        <w:tc>
          <w:tcPr>
            <w:tcW w:w="6044" w:type="dxa"/>
          </w:tcPr>
          <w:p w14:paraId="64261E1F" w14:textId="77777777" w:rsidR="00093135" w:rsidRPr="00706431" w:rsidRDefault="000F1AB6">
            <w:pPr>
              <w:rPr>
                <w:rFonts w:ascii="Arial" w:hAnsi="Arial" w:cs="Arial"/>
                <w:sz w:val="18"/>
                <w:szCs w:val="18"/>
              </w:rPr>
            </w:pPr>
            <w:r w:rsidRPr="00706431">
              <w:rPr>
                <w:rFonts w:ascii="Arial" w:hAnsi="Arial" w:cs="Arial"/>
                <w:sz w:val="18"/>
                <w:szCs w:val="18"/>
              </w:rPr>
              <w:t>Sponges</w:t>
            </w:r>
          </w:p>
        </w:tc>
      </w:tr>
      <w:tr w:rsidR="00093135" w14:paraId="6809E4C6" w14:textId="77777777">
        <w:tc>
          <w:tcPr>
            <w:tcW w:w="2972" w:type="dxa"/>
          </w:tcPr>
          <w:p w14:paraId="34DFFF83" w14:textId="77777777" w:rsidR="00093135" w:rsidRPr="00706431" w:rsidRDefault="00093135">
            <w:pPr>
              <w:rPr>
                <w:rFonts w:ascii="Arial" w:hAnsi="Arial" w:cs="Arial"/>
                <w:sz w:val="18"/>
                <w:szCs w:val="18"/>
              </w:rPr>
            </w:pPr>
          </w:p>
        </w:tc>
        <w:tc>
          <w:tcPr>
            <w:tcW w:w="6044" w:type="dxa"/>
          </w:tcPr>
          <w:p w14:paraId="105A01F6" w14:textId="77777777" w:rsidR="00093135" w:rsidRPr="00706431" w:rsidRDefault="000F1AB6">
            <w:pPr>
              <w:rPr>
                <w:rFonts w:ascii="Arial" w:hAnsi="Arial" w:cs="Arial"/>
                <w:sz w:val="18"/>
                <w:szCs w:val="18"/>
              </w:rPr>
            </w:pPr>
            <w:r w:rsidRPr="00706431">
              <w:rPr>
                <w:rFonts w:ascii="Arial" w:hAnsi="Arial" w:cs="Arial"/>
                <w:sz w:val="18"/>
                <w:szCs w:val="18"/>
              </w:rPr>
              <w:t>Epiphypes</w:t>
            </w:r>
          </w:p>
        </w:tc>
      </w:tr>
      <w:tr w:rsidR="00093135" w14:paraId="3A25B849" w14:textId="77777777">
        <w:tc>
          <w:tcPr>
            <w:tcW w:w="2972" w:type="dxa"/>
          </w:tcPr>
          <w:p w14:paraId="5E9A78CA" w14:textId="77777777" w:rsidR="00093135" w:rsidRPr="00706431" w:rsidRDefault="00093135">
            <w:pPr>
              <w:rPr>
                <w:rFonts w:ascii="Arial" w:hAnsi="Arial" w:cs="Arial"/>
                <w:sz w:val="18"/>
                <w:szCs w:val="18"/>
              </w:rPr>
            </w:pPr>
          </w:p>
        </w:tc>
        <w:tc>
          <w:tcPr>
            <w:tcW w:w="6044" w:type="dxa"/>
          </w:tcPr>
          <w:p w14:paraId="6718B6B2" w14:textId="77777777" w:rsidR="00093135" w:rsidRPr="00706431" w:rsidRDefault="000F1AB6">
            <w:pPr>
              <w:rPr>
                <w:rFonts w:ascii="Arial" w:hAnsi="Arial" w:cs="Arial"/>
                <w:sz w:val="18"/>
                <w:szCs w:val="18"/>
              </w:rPr>
            </w:pPr>
            <w:r w:rsidRPr="00706431">
              <w:rPr>
                <w:rFonts w:ascii="Arial" w:hAnsi="Arial" w:cs="Arial"/>
                <w:sz w:val="18"/>
                <w:szCs w:val="18"/>
              </w:rPr>
              <w:t xml:space="preserve">Shrimps, </w:t>
            </w:r>
          </w:p>
        </w:tc>
      </w:tr>
      <w:tr w:rsidR="00093135" w14:paraId="6A73EFA6" w14:textId="77777777">
        <w:tc>
          <w:tcPr>
            <w:tcW w:w="2972" w:type="dxa"/>
          </w:tcPr>
          <w:p w14:paraId="541B9864" w14:textId="77777777" w:rsidR="00093135" w:rsidRPr="00706431" w:rsidRDefault="00093135">
            <w:pPr>
              <w:rPr>
                <w:rFonts w:ascii="Arial" w:hAnsi="Arial" w:cs="Arial"/>
                <w:sz w:val="18"/>
                <w:szCs w:val="18"/>
              </w:rPr>
            </w:pPr>
          </w:p>
        </w:tc>
        <w:tc>
          <w:tcPr>
            <w:tcW w:w="6044" w:type="dxa"/>
          </w:tcPr>
          <w:p w14:paraId="41B2264B" w14:textId="77777777" w:rsidR="00093135" w:rsidRPr="00706431" w:rsidRDefault="00093135">
            <w:pPr>
              <w:rPr>
                <w:rFonts w:ascii="Arial" w:hAnsi="Arial" w:cs="Arial"/>
                <w:sz w:val="18"/>
                <w:szCs w:val="18"/>
              </w:rPr>
            </w:pPr>
          </w:p>
        </w:tc>
      </w:tr>
      <w:tr w:rsidR="00093135" w14:paraId="0E7A8E6F" w14:textId="77777777">
        <w:tc>
          <w:tcPr>
            <w:tcW w:w="2972" w:type="dxa"/>
          </w:tcPr>
          <w:p w14:paraId="7CBD9C6D" w14:textId="77777777" w:rsidR="00093135" w:rsidRPr="00706431" w:rsidRDefault="000F1AB6">
            <w:pPr>
              <w:rPr>
                <w:rFonts w:ascii="Arial" w:hAnsi="Arial" w:cs="Arial"/>
                <w:sz w:val="18"/>
                <w:szCs w:val="18"/>
              </w:rPr>
            </w:pPr>
            <w:r w:rsidRPr="00706431">
              <w:rPr>
                <w:rFonts w:ascii="Arial" w:hAnsi="Arial" w:cs="Arial"/>
                <w:sz w:val="18"/>
                <w:szCs w:val="18"/>
              </w:rPr>
              <w:t xml:space="preserve">Non-Pest, </w:t>
            </w:r>
          </w:p>
          <w:p w14:paraId="1126FBBC" w14:textId="77777777" w:rsidR="00093135" w:rsidRPr="00706431" w:rsidRDefault="000F1AB6">
            <w:pPr>
              <w:rPr>
                <w:rFonts w:ascii="Arial" w:hAnsi="Arial" w:cs="Arial"/>
                <w:sz w:val="18"/>
                <w:szCs w:val="18"/>
              </w:rPr>
            </w:pPr>
            <w:r w:rsidRPr="00706431">
              <w:rPr>
                <w:rFonts w:ascii="Arial" w:hAnsi="Arial" w:cs="Arial"/>
                <w:sz w:val="18"/>
                <w:szCs w:val="18"/>
              </w:rPr>
              <w:t>Environment causal impact</w:t>
            </w:r>
          </w:p>
        </w:tc>
        <w:tc>
          <w:tcPr>
            <w:tcW w:w="6044" w:type="dxa"/>
          </w:tcPr>
          <w:p w14:paraId="1F9411C6" w14:textId="77777777" w:rsidR="00093135" w:rsidRPr="00706431" w:rsidRDefault="000F1AB6">
            <w:pPr>
              <w:rPr>
                <w:rFonts w:ascii="Arial" w:hAnsi="Arial" w:cs="Arial"/>
                <w:sz w:val="18"/>
                <w:szCs w:val="18"/>
              </w:rPr>
            </w:pPr>
            <w:r w:rsidRPr="00706431">
              <w:rPr>
                <w:rFonts w:ascii="Arial" w:hAnsi="Arial" w:cs="Arial"/>
                <w:sz w:val="18"/>
                <w:szCs w:val="18"/>
              </w:rPr>
              <w:t>Silt settlement</w:t>
            </w:r>
          </w:p>
        </w:tc>
      </w:tr>
      <w:tr w:rsidR="00093135" w14:paraId="4F07AF1B" w14:textId="77777777">
        <w:tc>
          <w:tcPr>
            <w:tcW w:w="2972" w:type="dxa"/>
          </w:tcPr>
          <w:p w14:paraId="0EB6DFF7" w14:textId="77777777" w:rsidR="00093135" w:rsidRPr="00706431" w:rsidRDefault="00093135">
            <w:pPr>
              <w:rPr>
                <w:rFonts w:ascii="Arial" w:hAnsi="Arial" w:cs="Arial"/>
                <w:sz w:val="18"/>
                <w:szCs w:val="18"/>
              </w:rPr>
            </w:pPr>
          </w:p>
        </w:tc>
        <w:tc>
          <w:tcPr>
            <w:tcW w:w="6044" w:type="dxa"/>
          </w:tcPr>
          <w:p w14:paraId="18BABD95" w14:textId="77777777" w:rsidR="00093135" w:rsidRPr="00706431" w:rsidRDefault="000F1AB6">
            <w:pPr>
              <w:rPr>
                <w:rFonts w:ascii="Arial" w:hAnsi="Arial" w:cs="Arial"/>
                <w:sz w:val="18"/>
                <w:szCs w:val="18"/>
              </w:rPr>
            </w:pPr>
            <w:r w:rsidRPr="00706431">
              <w:rPr>
                <w:rFonts w:ascii="Arial" w:hAnsi="Arial" w:cs="Arial"/>
                <w:sz w:val="18"/>
                <w:szCs w:val="18"/>
              </w:rPr>
              <w:t>Green rot disease</w:t>
            </w:r>
          </w:p>
        </w:tc>
      </w:tr>
      <w:tr w:rsidR="00093135" w14:paraId="751782A5" w14:textId="77777777">
        <w:tc>
          <w:tcPr>
            <w:tcW w:w="2972" w:type="dxa"/>
          </w:tcPr>
          <w:p w14:paraId="74D57E90" w14:textId="77777777" w:rsidR="00093135" w:rsidRPr="00706431" w:rsidRDefault="00093135">
            <w:pPr>
              <w:rPr>
                <w:rFonts w:ascii="Arial" w:hAnsi="Arial" w:cs="Arial"/>
                <w:sz w:val="18"/>
                <w:szCs w:val="18"/>
              </w:rPr>
            </w:pPr>
          </w:p>
        </w:tc>
        <w:tc>
          <w:tcPr>
            <w:tcW w:w="6044" w:type="dxa"/>
          </w:tcPr>
          <w:p w14:paraId="3D655FC3" w14:textId="77777777" w:rsidR="00093135" w:rsidRPr="00706431" w:rsidRDefault="000F1AB6">
            <w:pPr>
              <w:rPr>
                <w:rFonts w:ascii="Arial" w:hAnsi="Arial" w:cs="Arial"/>
                <w:sz w:val="18"/>
                <w:szCs w:val="18"/>
              </w:rPr>
            </w:pPr>
            <w:r w:rsidRPr="00706431">
              <w:rPr>
                <w:rFonts w:ascii="Arial" w:hAnsi="Arial" w:cs="Arial"/>
                <w:sz w:val="18"/>
                <w:szCs w:val="18"/>
              </w:rPr>
              <w:t>White rot disease</w:t>
            </w:r>
          </w:p>
        </w:tc>
      </w:tr>
      <w:tr w:rsidR="00093135" w14:paraId="4D45847F" w14:textId="77777777">
        <w:tc>
          <w:tcPr>
            <w:tcW w:w="2972" w:type="dxa"/>
          </w:tcPr>
          <w:p w14:paraId="21FBE6BC" w14:textId="77777777" w:rsidR="00093135" w:rsidRPr="00706431" w:rsidRDefault="00093135">
            <w:pPr>
              <w:rPr>
                <w:rFonts w:ascii="Arial" w:hAnsi="Arial" w:cs="Arial"/>
                <w:sz w:val="18"/>
                <w:szCs w:val="18"/>
              </w:rPr>
            </w:pPr>
          </w:p>
        </w:tc>
        <w:tc>
          <w:tcPr>
            <w:tcW w:w="6044" w:type="dxa"/>
          </w:tcPr>
          <w:p w14:paraId="57CF7843" w14:textId="77777777" w:rsidR="00093135" w:rsidRPr="00706431" w:rsidRDefault="000F1AB6">
            <w:pPr>
              <w:rPr>
                <w:rFonts w:ascii="Arial" w:hAnsi="Arial" w:cs="Arial"/>
                <w:sz w:val="18"/>
                <w:szCs w:val="18"/>
              </w:rPr>
            </w:pPr>
            <w:r w:rsidRPr="00706431">
              <w:rPr>
                <w:rFonts w:ascii="Arial" w:hAnsi="Arial" w:cs="Arial"/>
                <w:sz w:val="18"/>
                <w:szCs w:val="18"/>
              </w:rPr>
              <w:t>Blister disease</w:t>
            </w:r>
          </w:p>
        </w:tc>
      </w:tr>
      <w:tr w:rsidR="00093135" w14:paraId="118D5F02" w14:textId="77777777">
        <w:tc>
          <w:tcPr>
            <w:tcW w:w="2972" w:type="dxa"/>
          </w:tcPr>
          <w:p w14:paraId="7EF8D406" w14:textId="77777777" w:rsidR="00093135" w:rsidRPr="00706431" w:rsidRDefault="00093135">
            <w:pPr>
              <w:rPr>
                <w:rFonts w:ascii="Arial" w:hAnsi="Arial" w:cs="Arial"/>
                <w:sz w:val="18"/>
                <w:szCs w:val="18"/>
              </w:rPr>
            </w:pPr>
          </w:p>
        </w:tc>
        <w:tc>
          <w:tcPr>
            <w:tcW w:w="6044" w:type="dxa"/>
          </w:tcPr>
          <w:p w14:paraId="2AEAECDB" w14:textId="77777777" w:rsidR="00093135" w:rsidRPr="00706431" w:rsidRDefault="000F1AB6">
            <w:pPr>
              <w:rPr>
                <w:rFonts w:ascii="Arial" w:hAnsi="Arial" w:cs="Arial"/>
                <w:sz w:val="18"/>
                <w:szCs w:val="18"/>
              </w:rPr>
            </w:pPr>
            <w:r w:rsidRPr="00706431">
              <w:rPr>
                <w:rFonts w:ascii="Arial" w:hAnsi="Arial" w:cs="Arial"/>
                <w:sz w:val="18"/>
                <w:szCs w:val="18"/>
              </w:rPr>
              <w:t>Twisted blade disease</w:t>
            </w:r>
          </w:p>
        </w:tc>
      </w:tr>
      <w:tr w:rsidR="00093135" w14:paraId="3666D9F5" w14:textId="77777777">
        <w:tc>
          <w:tcPr>
            <w:tcW w:w="2972" w:type="dxa"/>
          </w:tcPr>
          <w:p w14:paraId="77829435" w14:textId="77777777" w:rsidR="00093135" w:rsidRPr="00706431" w:rsidRDefault="00093135">
            <w:pPr>
              <w:rPr>
                <w:rFonts w:ascii="Arial" w:hAnsi="Arial" w:cs="Arial"/>
                <w:sz w:val="18"/>
                <w:szCs w:val="18"/>
              </w:rPr>
            </w:pPr>
          </w:p>
        </w:tc>
        <w:tc>
          <w:tcPr>
            <w:tcW w:w="6044" w:type="dxa"/>
          </w:tcPr>
          <w:p w14:paraId="677CB634" w14:textId="77777777" w:rsidR="00093135" w:rsidRPr="00706431" w:rsidRDefault="000F1AB6">
            <w:pPr>
              <w:rPr>
                <w:rFonts w:ascii="Arial" w:hAnsi="Arial" w:cs="Arial"/>
                <w:sz w:val="18"/>
                <w:szCs w:val="18"/>
              </w:rPr>
            </w:pPr>
            <w:r w:rsidRPr="00706431">
              <w:rPr>
                <w:rFonts w:ascii="Arial" w:hAnsi="Arial" w:cs="Arial"/>
                <w:sz w:val="18"/>
                <w:szCs w:val="18"/>
              </w:rPr>
              <w:t>Malformation disease</w:t>
            </w:r>
          </w:p>
        </w:tc>
      </w:tr>
      <w:tr w:rsidR="00093135" w14:paraId="2985BC37" w14:textId="77777777">
        <w:tc>
          <w:tcPr>
            <w:tcW w:w="2972" w:type="dxa"/>
          </w:tcPr>
          <w:p w14:paraId="22C46984" w14:textId="77777777" w:rsidR="00093135" w:rsidRPr="00706431" w:rsidRDefault="000F1AB6">
            <w:pPr>
              <w:rPr>
                <w:rFonts w:ascii="Arial" w:hAnsi="Arial" w:cs="Arial"/>
                <w:sz w:val="18"/>
                <w:szCs w:val="18"/>
              </w:rPr>
            </w:pPr>
            <w:r w:rsidRPr="00706431">
              <w:rPr>
                <w:rFonts w:ascii="Arial" w:hAnsi="Arial" w:cs="Arial"/>
                <w:sz w:val="18"/>
                <w:szCs w:val="18"/>
              </w:rPr>
              <w:t xml:space="preserve">Practical to mitigate potential risk in seaweeds </w:t>
            </w:r>
          </w:p>
        </w:tc>
        <w:tc>
          <w:tcPr>
            <w:tcW w:w="6044" w:type="dxa"/>
          </w:tcPr>
          <w:p w14:paraId="6410BACD" w14:textId="77777777" w:rsidR="00093135" w:rsidRPr="00706431" w:rsidRDefault="000F1AB6">
            <w:pPr>
              <w:rPr>
                <w:rFonts w:ascii="Arial" w:hAnsi="Arial" w:cs="Arial"/>
                <w:b/>
                <w:bCs/>
                <w:sz w:val="18"/>
                <w:szCs w:val="18"/>
              </w:rPr>
            </w:pPr>
            <w:r w:rsidRPr="00706431">
              <w:rPr>
                <w:rFonts w:ascii="Arial" w:hAnsi="Arial" w:cs="Arial"/>
                <w:b/>
                <w:bCs/>
                <w:sz w:val="18"/>
                <w:szCs w:val="18"/>
              </w:rPr>
              <w:t>Good Aquaculture Practice:</w:t>
            </w:r>
          </w:p>
          <w:p w14:paraId="70DB401B" w14:textId="77777777" w:rsidR="00093135" w:rsidRPr="00706431" w:rsidRDefault="000F1AB6">
            <w:pPr>
              <w:rPr>
                <w:rFonts w:ascii="Arial" w:hAnsi="Arial" w:cs="Arial"/>
                <w:i/>
                <w:iCs/>
                <w:sz w:val="18"/>
                <w:szCs w:val="18"/>
              </w:rPr>
            </w:pPr>
            <w:r w:rsidRPr="00706431">
              <w:rPr>
                <w:rFonts w:ascii="Arial" w:hAnsi="Arial" w:cs="Arial"/>
                <w:i/>
                <w:iCs/>
                <w:sz w:val="18"/>
                <w:szCs w:val="18"/>
              </w:rPr>
              <w:t>Site Selection</w:t>
            </w:r>
          </w:p>
          <w:p w14:paraId="263752C2" w14:textId="77777777" w:rsidR="00093135" w:rsidRPr="00706431" w:rsidRDefault="000F1AB6">
            <w:pPr>
              <w:rPr>
                <w:rFonts w:ascii="Arial" w:hAnsi="Arial" w:cs="Arial"/>
                <w:sz w:val="18"/>
                <w:szCs w:val="18"/>
              </w:rPr>
            </w:pPr>
            <w:r w:rsidRPr="00706431">
              <w:rPr>
                <w:rFonts w:ascii="Arial" w:hAnsi="Arial" w:cs="Arial"/>
                <w:sz w:val="18"/>
                <w:szCs w:val="18"/>
              </w:rPr>
              <w:t>Choose locations with good water quality without pollutant, sufficient for salinity, pH water, light availability, and sufficient available of nitrogen and phosphorus. The culturing areas with high pollution or conflicting marine activities.</w:t>
            </w:r>
          </w:p>
          <w:p w14:paraId="336E9533" w14:textId="77777777" w:rsidR="00093135" w:rsidRPr="00706431" w:rsidRDefault="000F1AB6">
            <w:pPr>
              <w:rPr>
                <w:rFonts w:ascii="Arial" w:hAnsi="Arial" w:cs="Arial"/>
                <w:i/>
                <w:iCs/>
                <w:sz w:val="18"/>
                <w:szCs w:val="18"/>
              </w:rPr>
            </w:pPr>
            <w:r w:rsidRPr="00706431">
              <w:rPr>
                <w:rFonts w:ascii="Arial" w:hAnsi="Arial" w:cs="Arial"/>
                <w:i/>
                <w:iCs/>
                <w:sz w:val="18"/>
                <w:szCs w:val="18"/>
              </w:rPr>
              <w:t>Seed Stock for cultivation</w:t>
            </w:r>
          </w:p>
          <w:p w14:paraId="345E8C43" w14:textId="77777777" w:rsidR="00093135" w:rsidRPr="00706431" w:rsidRDefault="000F1AB6">
            <w:pPr>
              <w:rPr>
                <w:rFonts w:ascii="Arial" w:hAnsi="Arial" w:cs="Arial"/>
                <w:sz w:val="18"/>
                <w:szCs w:val="18"/>
              </w:rPr>
            </w:pPr>
            <w:r w:rsidRPr="00706431">
              <w:rPr>
                <w:rFonts w:ascii="Arial" w:hAnsi="Arial" w:cs="Arial"/>
                <w:sz w:val="18"/>
                <w:szCs w:val="18"/>
              </w:rPr>
              <w:t>Use healthy, disease-free seed stock to ensure robust growth, local strains that are well-adapted to the environment.</w:t>
            </w:r>
          </w:p>
          <w:p w14:paraId="2A37ABCD" w14:textId="77777777" w:rsidR="00093135" w:rsidRPr="00706431" w:rsidRDefault="000F1AB6">
            <w:pPr>
              <w:rPr>
                <w:rFonts w:ascii="Arial" w:hAnsi="Arial" w:cs="Arial"/>
                <w:i/>
                <w:iCs/>
                <w:sz w:val="18"/>
                <w:szCs w:val="18"/>
              </w:rPr>
            </w:pPr>
            <w:r w:rsidRPr="00706431">
              <w:rPr>
                <w:rFonts w:ascii="Arial" w:hAnsi="Arial" w:cs="Arial"/>
                <w:i/>
                <w:iCs/>
                <w:sz w:val="18"/>
                <w:szCs w:val="18"/>
              </w:rPr>
              <w:t>Environmental Monitoring</w:t>
            </w:r>
          </w:p>
          <w:p w14:paraId="34C6998F" w14:textId="77777777" w:rsidR="00093135" w:rsidRPr="00706431" w:rsidRDefault="000F1AB6">
            <w:pPr>
              <w:rPr>
                <w:rFonts w:ascii="Arial" w:hAnsi="Arial" w:cs="Arial"/>
                <w:sz w:val="18"/>
                <w:szCs w:val="18"/>
              </w:rPr>
            </w:pPr>
            <w:r w:rsidRPr="00706431">
              <w:rPr>
                <w:rFonts w:ascii="Arial" w:hAnsi="Arial" w:cs="Arial"/>
                <w:sz w:val="18"/>
                <w:szCs w:val="18"/>
              </w:rPr>
              <w:t>Regularly assess water quality parameters (temperature, salinity, nutrient levels).</w:t>
            </w:r>
          </w:p>
          <w:p w14:paraId="41FDE4BB" w14:textId="77777777" w:rsidR="00093135" w:rsidRPr="00706431" w:rsidRDefault="000F1AB6">
            <w:pPr>
              <w:rPr>
                <w:rFonts w:ascii="Arial" w:hAnsi="Arial" w:cs="Arial"/>
                <w:sz w:val="18"/>
                <w:szCs w:val="18"/>
              </w:rPr>
            </w:pPr>
            <w:r w:rsidRPr="00706431">
              <w:rPr>
                <w:rFonts w:ascii="Arial" w:hAnsi="Arial" w:cs="Arial"/>
                <w:sz w:val="18"/>
                <w:szCs w:val="18"/>
              </w:rPr>
              <w:t>Monitor for harmful algal blooms or other ecological changes.</w:t>
            </w:r>
          </w:p>
          <w:p w14:paraId="443CB559" w14:textId="77777777" w:rsidR="00093135" w:rsidRPr="00706431" w:rsidRDefault="000F1AB6">
            <w:pPr>
              <w:rPr>
                <w:rFonts w:ascii="Arial" w:hAnsi="Arial" w:cs="Arial"/>
                <w:i/>
                <w:iCs/>
                <w:sz w:val="18"/>
                <w:szCs w:val="18"/>
              </w:rPr>
            </w:pPr>
            <w:r w:rsidRPr="00706431">
              <w:rPr>
                <w:rFonts w:ascii="Arial" w:hAnsi="Arial" w:cs="Arial"/>
                <w:i/>
                <w:iCs/>
                <w:sz w:val="18"/>
                <w:szCs w:val="18"/>
              </w:rPr>
              <w:t>Sustainable Harvesting</w:t>
            </w:r>
          </w:p>
          <w:p w14:paraId="6805E1E2" w14:textId="77777777" w:rsidR="00093135" w:rsidRPr="00706431" w:rsidRDefault="000F1AB6">
            <w:pPr>
              <w:rPr>
                <w:rFonts w:ascii="Arial" w:hAnsi="Arial" w:cs="Arial"/>
                <w:sz w:val="18"/>
                <w:szCs w:val="18"/>
              </w:rPr>
            </w:pPr>
            <w:r w:rsidRPr="00706431">
              <w:rPr>
                <w:rFonts w:ascii="Arial" w:hAnsi="Arial" w:cs="Arial"/>
                <w:sz w:val="18"/>
                <w:szCs w:val="18"/>
              </w:rPr>
              <w:t>Harvest at the right time to maximize yield while allowing for regrowth, without overharvesting and ensure long-term sustainability.</w:t>
            </w:r>
          </w:p>
          <w:p w14:paraId="44B7910A" w14:textId="77777777" w:rsidR="00093135" w:rsidRPr="00706431" w:rsidRDefault="000F1AB6">
            <w:pPr>
              <w:rPr>
                <w:rFonts w:ascii="Arial" w:hAnsi="Arial" w:cs="Arial"/>
                <w:b/>
                <w:bCs/>
                <w:sz w:val="18"/>
                <w:szCs w:val="18"/>
              </w:rPr>
            </w:pPr>
            <w:r w:rsidRPr="00706431">
              <w:rPr>
                <w:rFonts w:ascii="Arial" w:hAnsi="Arial" w:cs="Arial"/>
                <w:b/>
                <w:bCs/>
                <w:sz w:val="18"/>
                <w:szCs w:val="18"/>
              </w:rPr>
              <w:t>Good Handling Practice:</w:t>
            </w:r>
          </w:p>
          <w:p w14:paraId="514402BA" w14:textId="77777777" w:rsidR="00093135" w:rsidRPr="00706431" w:rsidRDefault="000F1AB6">
            <w:pPr>
              <w:rPr>
                <w:rFonts w:ascii="Arial" w:hAnsi="Arial" w:cs="Arial"/>
                <w:i/>
                <w:iCs/>
                <w:sz w:val="18"/>
                <w:szCs w:val="18"/>
              </w:rPr>
            </w:pPr>
            <w:r w:rsidRPr="00706431">
              <w:rPr>
                <w:rFonts w:ascii="Arial" w:hAnsi="Arial" w:cs="Arial"/>
                <w:i/>
                <w:iCs/>
                <w:sz w:val="18"/>
                <w:szCs w:val="18"/>
              </w:rPr>
              <w:t xml:space="preserve">Harvesting: </w:t>
            </w:r>
          </w:p>
          <w:p w14:paraId="39296819" w14:textId="77777777" w:rsidR="00093135" w:rsidRPr="00706431" w:rsidRDefault="000F1AB6">
            <w:pPr>
              <w:rPr>
                <w:rFonts w:ascii="Arial" w:hAnsi="Arial" w:cs="Arial"/>
                <w:sz w:val="18"/>
                <w:szCs w:val="18"/>
              </w:rPr>
            </w:pPr>
            <w:r w:rsidRPr="00706431">
              <w:rPr>
                <w:rFonts w:ascii="Arial" w:hAnsi="Arial" w:cs="Arial"/>
                <w:sz w:val="18"/>
                <w:szCs w:val="18"/>
              </w:rPr>
              <w:t>Seaweed is typically harvested by hand or using mechanical methods.</w:t>
            </w:r>
          </w:p>
          <w:p w14:paraId="048B4859" w14:textId="77777777" w:rsidR="00093135" w:rsidRPr="00706431" w:rsidRDefault="000F1AB6">
            <w:pPr>
              <w:rPr>
                <w:rFonts w:ascii="Arial" w:hAnsi="Arial" w:cs="Arial"/>
                <w:i/>
                <w:iCs/>
                <w:sz w:val="18"/>
                <w:szCs w:val="18"/>
              </w:rPr>
            </w:pPr>
            <w:r w:rsidRPr="00706431">
              <w:rPr>
                <w:rFonts w:ascii="Arial" w:hAnsi="Arial" w:cs="Arial"/>
                <w:i/>
                <w:iCs/>
                <w:sz w:val="18"/>
                <w:szCs w:val="18"/>
              </w:rPr>
              <w:t>Cleaning</w:t>
            </w:r>
            <w:r w:rsidRPr="00706431">
              <w:rPr>
                <w:rFonts w:ascii="Arial" w:hAnsi="Arial" w:cs="Arial"/>
                <w:i/>
                <w:iCs/>
                <w:sz w:val="18"/>
                <w:szCs w:val="18"/>
              </w:rPr>
              <w:tab/>
            </w:r>
          </w:p>
          <w:p w14:paraId="6E6339D3" w14:textId="77777777" w:rsidR="00093135" w:rsidRPr="00706431" w:rsidRDefault="000F1AB6">
            <w:pPr>
              <w:rPr>
                <w:rFonts w:ascii="Arial" w:hAnsi="Arial" w:cs="Arial"/>
                <w:sz w:val="18"/>
                <w:szCs w:val="18"/>
              </w:rPr>
            </w:pPr>
            <w:r w:rsidRPr="00706431">
              <w:rPr>
                <w:rFonts w:ascii="Arial" w:hAnsi="Arial" w:cs="Arial"/>
                <w:sz w:val="18"/>
                <w:szCs w:val="18"/>
              </w:rPr>
              <w:t>Rinse harvested seaweed in seawater or fresh water to remove debris, sand, any sponges and salt.</w:t>
            </w:r>
          </w:p>
          <w:p w14:paraId="6FAE3608" w14:textId="77777777" w:rsidR="00093135" w:rsidRPr="00706431" w:rsidRDefault="000F1AB6">
            <w:pPr>
              <w:rPr>
                <w:rFonts w:ascii="Arial" w:hAnsi="Arial" w:cs="Arial"/>
                <w:sz w:val="18"/>
                <w:szCs w:val="18"/>
              </w:rPr>
            </w:pPr>
            <w:r w:rsidRPr="00706431">
              <w:rPr>
                <w:rFonts w:ascii="Arial" w:hAnsi="Arial" w:cs="Arial"/>
                <w:sz w:val="18"/>
                <w:szCs w:val="18"/>
              </w:rPr>
              <w:t>Avoid using chemicals to maintain the natural quality of the seaweed.</w:t>
            </w:r>
          </w:p>
          <w:p w14:paraId="095BBDC8" w14:textId="77777777" w:rsidR="00093135" w:rsidRPr="00706431" w:rsidRDefault="000F1AB6">
            <w:pPr>
              <w:rPr>
                <w:rFonts w:ascii="Arial" w:hAnsi="Arial" w:cs="Arial"/>
                <w:i/>
                <w:iCs/>
                <w:sz w:val="18"/>
                <w:szCs w:val="18"/>
              </w:rPr>
            </w:pPr>
            <w:r w:rsidRPr="00706431">
              <w:rPr>
                <w:rFonts w:ascii="Arial" w:hAnsi="Arial" w:cs="Arial"/>
                <w:i/>
                <w:iCs/>
                <w:sz w:val="18"/>
                <w:szCs w:val="18"/>
              </w:rPr>
              <w:t>Drying</w:t>
            </w:r>
          </w:p>
          <w:p w14:paraId="1F8C5249" w14:textId="77777777" w:rsidR="00093135" w:rsidRPr="00706431" w:rsidRDefault="000F1AB6">
            <w:pPr>
              <w:rPr>
                <w:rFonts w:ascii="Arial" w:hAnsi="Arial" w:cs="Arial"/>
                <w:sz w:val="18"/>
                <w:szCs w:val="18"/>
              </w:rPr>
            </w:pPr>
            <w:r w:rsidRPr="00706431">
              <w:rPr>
                <w:rFonts w:ascii="Arial" w:hAnsi="Arial" w:cs="Arial"/>
                <w:sz w:val="18"/>
                <w:szCs w:val="18"/>
              </w:rPr>
              <w:t xml:space="preserve">Drying is to preserve seaweed and prevent spoilage </w:t>
            </w:r>
            <w:r w:rsidRPr="00706431">
              <w:rPr>
                <w:rFonts w:ascii="Arial" w:hAnsi="Arial" w:cs="Arial"/>
                <w:i/>
                <w:iCs/>
                <w:sz w:val="18"/>
                <w:szCs w:val="18"/>
              </w:rPr>
              <w:t>i.e</w:t>
            </w:r>
            <w:r w:rsidRPr="00706431">
              <w:rPr>
                <w:rFonts w:ascii="Arial" w:hAnsi="Arial" w:cs="Arial"/>
                <w:sz w:val="18"/>
                <w:szCs w:val="18"/>
              </w:rPr>
              <w:t>.</w:t>
            </w:r>
          </w:p>
          <w:p w14:paraId="653D8FF0" w14:textId="77777777" w:rsidR="00093135" w:rsidRPr="00706431" w:rsidRDefault="000F1AB6">
            <w:pPr>
              <w:rPr>
                <w:rFonts w:ascii="Arial" w:hAnsi="Arial" w:cs="Arial"/>
                <w:sz w:val="18"/>
                <w:szCs w:val="18"/>
              </w:rPr>
            </w:pPr>
            <w:r w:rsidRPr="00706431">
              <w:rPr>
                <w:rFonts w:ascii="Arial" w:hAnsi="Arial" w:cs="Arial"/>
                <w:sz w:val="18"/>
                <w:szCs w:val="18"/>
              </w:rPr>
              <w:t>air drying, sun drying, or using dehydrators. Drying may prevent mold growth.</w:t>
            </w:r>
          </w:p>
          <w:p w14:paraId="05C7C6BA" w14:textId="77777777" w:rsidR="00093135" w:rsidRPr="00706431" w:rsidRDefault="000F1AB6">
            <w:pPr>
              <w:rPr>
                <w:rFonts w:ascii="Arial" w:hAnsi="Arial" w:cs="Arial"/>
                <w:i/>
                <w:iCs/>
                <w:sz w:val="18"/>
                <w:szCs w:val="18"/>
              </w:rPr>
            </w:pPr>
            <w:r w:rsidRPr="00706431">
              <w:rPr>
                <w:rFonts w:ascii="Arial" w:hAnsi="Arial" w:cs="Arial"/>
                <w:i/>
                <w:iCs/>
                <w:sz w:val="18"/>
                <w:szCs w:val="18"/>
              </w:rPr>
              <w:t>Sortation and Quality Control</w:t>
            </w:r>
          </w:p>
          <w:p w14:paraId="5C1F8D8F" w14:textId="77777777" w:rsidR="00093135" w:rsidRPr="00706431" w:rsidRDefault="000F1AB6">
            <w:pPr>
              <w:rPr>
                <w:rFonts w:ascii="Arial" w:hAnsi="Arial" w:cs="Arial"/>
                <w:sz w:val="18"/>
                <w:szCs w:val="18"/>
              </w:rPr>
            </w:pPr>
            <w:r w:rsidRPr="00706431">
              <w:rPr>
                <w:rFonts w:ascii="Arial" w:hAnsi="Arial" w:cs="Arial"/>
                <w:sz w:val="18"/>
                <w:szCs w:val="18"/>
              </w:rPr>
              <w:t xml:space="preserve">Sorting seaweeds to remove any infected thallus (necrosis, spoilage, rotten), abnormal, physical damage, to assure the quality free from bed smell.  </w:t>
            </w:r>
          </w:p>
          <w:p w14:paraId="4186856F" w14:textId="77777777" w:rsidR="00093135" w:rsidRPr="00706431" w:rsidRDefault="000F1AB6">
            <w:pPr>
              <w:rPr>
                <w:rFonts w:ascii="Arial" w:hAnsi="Arial" w:cs="Arial"/>
                <w:i/>
                <w:iCs/>
                <w:sz w:val="18"/>
                <w:szCs w:val="18"/>
              </w:rPr>
            </w:pPr>
            <w:r w:rsidRPr="00706431">
              <w:rPr>
                <w:rFonts w:ascii="Arial" w:hAnsi="Arial" w:cs="Arial"/>
                <w:i/>
                <w:iCs/>
                <w:sz w:val="18"/>
                <w:szCs w:val="18"/>
              </w:rPr>
              <w:t>Storage</w:t>
            </w:r>
          </w:p>
          <w:p w14:paraId="60B9CF09" w14:textId="77777777" w:rsidR="00093135" w:rsidRPr="00706431" w:rsidRDefault="000F1AB6">
            <w:pPr>
              <w:rPr>
                <w:rFonts w:ascii="Arial" w:hAnsi="Arial" w:cs="Arial"/>
                <w:sz w:val="18"/>
                <w:szCs w:val="18"/>
              </w:rPr>
            </w:pPr>
            <w:r w:rsidRPr="00706431">
              <w:rPr>
                <w:rFonts w:ascii="Arial" w:hAnsi="Arial" w:cs="Arial"/>
                <w:sz w:val="18"/>
                <w:szCs w:val="18"/>
              </w:rPr>
              <w:t>Store processed seaweed in a cool, dry place to maintain freshness, using airtight containers to prevent moisture absorption.</w:t>
            </w:r>
          </w:p>
          <w:p w14:paraId="534872B2" w14:textId="77777777" w:rsidR="00093135" w:rsidRPr="00706431" w:rsidRDefault="000F1AB6">
            <w:pPr>
              <w:rPr>
                <w:rFonts w:ascii="Arial" w:hAnsi="Arial" w:cs="Arial"/>
                <w:i/>
                <w:iCs/>
                <w:sz w:val="18"/>
                <w:szCs w:val="18"/>
              </w:rPr>
            </w:pPr>
            <w:r w:rsidRPr="00706431">
              <w:rPr>
                <w:rFonts w:ascii="Arial" w:hAnsi="Arial" w:cs="Arial"/>
                <w:i/>
                <w:iCs/>
                <w:sz w:val="18"/>
                <w:szCs w:val="18"/>
              </w:rPr>
              <w:t xml:space="preserve">Other Attention: </w:t>
            </w:r>
          </w:p>
          <w:p w14:paraId="1D64FC1F" w14:textId="77777777" w:rsidR="00093135" w:rsidRPr="00706431" w:rsidRDefault="000F1AB6">
            <w:pPr>
              <w:rPr>
                <w:rFonts w:ascii="Arial" w:hAnsi="Arial" w:cs="Arial"/>
                <w:sz w:val="18"/>
                <w:szCs w:val="18"/>
              </w:rPr>
            </w:pPr>
            <w:r w:rsidRPr="00706431">
              <w:rPr>
                <w:rFonts w:ascii="Arial" w:hAnsi="Arial" w:cs="Arial"/>
                <w:sz w:val="18"/>
                <w:szCs w:val="18"/>
              </w:rPr>
              <w:t>Assurance compliance with food safety standards if intended for human consumption or animal feed.</w:t>
            </w:r>
          </w:p>
          <w:p w14:paraId="4628E27D" w14:textId="77777777" w:rsidR="00093135" w:rsidRPr="00706431" w:rsidRDefault="00093135">
            <w:pPr>
              <w:rPr>
                <w:rFonts w:ascii="Arial" w:hAnsi="Arial" w:cs="Arial"/>
                <w:sz w:val="18"/>
                <w:szCs w:val="18"/>
              </w:rPr>
            </w:pPr>
          </w:p>
        </w:tc>
      </w:tr>
    </w:tbl>
    <w:p w14:paraId="0A92458D" w14:textId="77777777" w:rsidR="00093135" w:rsidRDefault="00093135">
      <w:pPr>
        <w:rPr>
          <w:rFonts w:ascii="Arial" w:hAnsi="Arial" w:cs="Arial"/>
        </w:rPr>
      </w:pPr>
    </w:p>
    <w:p w14:paraId="34572DA2" w14:textId="77777777" w:rsidR="000377FA" w:rsidRDefault="000377FA">
      <w:pPr>
        <w:jc w:val="left"/>
        <w:rPr>
          <w:rFonts w:eastAsia="Times"/>
        </w:rPr>
      </w:pPr>
      <w:r>
        <w:br w:type="page"/>
      </w:r>
    </w:p>
    <w:p w14:paraId="2882F536" w14:textId="15CB53B6" w:rsidR="00093135" w:rsidRDefault="000F1AB6" w:rsidP="000377FA">
      <w:pPr>
        <w:pStyle w:val="IPPHeading1"/>
      </w:pPr>
      <w:r>
        <w:t>Reference:</w:t>
      </w:r>
    </w:p>
    <w:p w14:paraId="4305DAEE" w14:textId="25C33366" w:rsidR="00093135" w:rsidRPr="00176F44" w:rsidRDefault="000F1AB6" w:rsidP="00706431">
      <w:pPr>
        <w:pStyle w:val="IPPReferences"/>
        <w:rPr>
          <w:rFonts w:eastAsia="SimSun"/>
        </w:rPr>
      </w:pPr>
      <w:r w:rsidRPr="00176F44">
        <w:rPr>
          <w:rFonts w:eastAsia="SimSun"/>
        </w:rPr>
        <w:t>Ward, G. M., Faisan Jr, J. P., Cottier</w:t>
      </w:r>
      <w:r w:rsidRPr="00176F44">
        <w:rPr>
          <w:rFonts w:ascii="Cambria Math" w:eastAsia="SimSun" w:hAnsi="Cambria Math" w:cs="Cambria Math"/>
        </w:rPr>
        <w:t>‐</w:t>
      </w:r>
      <w:r w:rsidRPr="00176F44">
        <w:rPr>
          <w:rFonts w:eastAsia="SimSun"/>
        </w:rPr>
        <w:t xml:space="preserve">Cook, E. J., (2020). A review of reported seaweed diseases and pests in aquaculture in Asia. </w:t>
      </w:r>
      <w:r w:rsidRPr="00B541C4">
        <w:rPr>
          <w:i/>
          <w:iCs/>
        </w:rPr>
        <w:t>Journal of the World Aquaculture Society</w:t>
      </w:r>
      <w:r w:rsidRPr="00176F44">
        <w:rPr>
          <w:rFonts w:eastAsia="SimSun"/>
        </w:rPr>
        <w:t>, 51(4), 815–828.</w:t>
      </w:r>
    </w:p>
    <w:p w14:paraId="52ACACC9" w14:textId="77777777" w:rsidR="00093135" w:rsidRPr="00B541C4" w:rsidRDefault="000F1AB6" w:rsidP="00706431">
      <w:pPr>
        <w:pStyle w:val="IPPReferences"/>
        <w:rPr>
          <w:rFonts w:eastAsia="SimSun"/>
        </w:rPr>
      </w:pPr>
      <w:r w:rsidRPr="00B541C4">
        <w:rPr>
          <w:rFonts w:eastAsia="SimSun"/>
        </w:rPr>
        <w:t xml:space="preserve">Egan, S., Harder, T., Burke, C., Steinberg, P., </w:t>
      </w:r>
      <w:proofErr w:type="spellStart"/>
      <w:r w:rsidRPr="00B541C4">
        <w:rPr>
          <w:rFonts w:eastAsia="SimSun"/>
        </w:rPr>
        <w:t>Kjelleberg</w:t>
      </w:r>
      <w:proofErr w:type="spellEnd"/>
      <w:r w:rsidRPr="00B541C4">
        <w:rPr>
          <w:rFonts w:eastAsia="SimSun"/>
        </w:rPr>
        <w:t xml:space="preserve">, S., &amp; Thomas, T. (2014). The seaweed holobiont: understanding seaweed–bacteria interactions. </w:t>
      </w:r>
      <w:r w:rsidRPr="00B541C4">
        <w:rPr>
          <w:rFonts w:eastAsia="SimSun"/>
          <w:i/>
          <w:iCs/>
        </w:rPr>
        <w:t>FEMS Microbiology Reviews</w:t>
      </w:r>
      <w:r w:rsidRPr="00B541C4">
        <w:rPr>
          <w:rFonts w:eastAsia="SimSun"/>
        </w:rPr>
        <w:t>, 38(4), 906–932.</w:t>
      </w:r>
    </w:p>
    <w:p w14:paraId="456D6A12" w14:textId="77777777" w:rsidR="00093135" w:rsidRPr="00176F44" w:rsidRDefault="000F1AB6" w:rsidP="00706431">
      <w:pPr>
        <w:pStyle w:val="IPPReferences"/>
        <w:rPr>
          <w:szCs w:val="22"/>
        </w:rPr>
      </w:pPr>
      <w:proofErr w:type="spellStart"/>
      <w:r w:rsidRPr="00176F44">
        <w:rPr>
          <w:szCs w:val="22"/>
        </w:rPr>
        <w:t>Vairappan</w:t>
      </w:r>
      <w:proofErr w:type="spellEnd"/>
      <w:r w:rsidRPr="00176F44">
        <w:rPr>
          <w:szCs w:val="22"/>
        </w:rPr>
        <w:t xml:space="preserve">, C. S., Chung, C. S., Hurtado, A. Q., Soya, F. E., </w:t>
      </w:r>
      <w:proofErr w:type="spellStart"/>
      <w:r w:rsidRPr="00176F44">
        <w:rPr>
          <w:szCs w:val="22"/>
        </w:rPr>
        <w:t>Lhonneur</w:t>
      </w:r>
      <w:proofErr w:type="spellEnd"/>
      <w:r w:rsidRPr="00176F44">
        <w:rPr>
          <w:szCs w:val="22"/>
        </w:rPr>
        <w:t xml:space="preserve">, G. B., &amp; Critchley, A. T. (2008). Distribution and symptoms of epiphyte infection in major </w:t>
      </w:r>
      <w:proofErr w:type="spellStart"/>
      <w:r w:rsidRPr="00176F44">
        <w:rPr>
          <w:szCs w:val="22"/>
        </w:rPr>
        <w:t>carrageenophyte</w:t>
      </w:r>
      <w:proofErr w:type="spellEnd"/>
      <w:r w:rsidRPr="00176F44">
        <w:rPr>
          <w:szCs w:val="22"/>
        </w:rPr>
        <w:t xml:space="preserve">-producing farms. </w:t>
      </w:r>
      <w:r w:rsidRPr="00B541C4">
        <w:rPr>
          <w:i/>
          <w:iCs/>
        </w:rPr>
        <w:t>Journal of Applied Phycology</w:t>
      </w:r>
      <w:r w:rsidRPr="00176F44">
        <w:rPr>
          <w:szCs w:val="22"/>
        </w:rPr>
        <w:t>, 20(5), 477–483.</w:t>
      </w:r>
    </w:p>
    <w:p w14:paraId="118B0038" w14:textId="33A2A02B" w:rsidR="00093135" w:rsidRDefault="00093135" w:rsidP="007224E5">
      <w:pPr>
        <w:pStyle w:val="IPPReferences"/>
        <w:ind w:left="0" w:firstLine="0"/>
        <w:rPr>
          <w:rFonts w:ascii="SimSun" w:eastAsia="SimSun" w:hAnsi="SimSun" w:cs="SimSun"/>
          <w:sz w:val="24"/>
        </w:rPr>
      </w:pPr>
    </w:p>
    <w:sectPr w:rsidR="00093135" w:rsidSect="00DF7C6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4E89" w14:textId="77777777" w:rsidR="00B11F36" w:rsidRDefault="00B11F36">
      <w:r>
        <w:separator/>
      </w:r>
    </w:p>
  </w:endnote>
  <w:endnote w:type="continuationSeparator" w:id="0">
    <w:p w14:paraId="08079281" w14:textId="77777777" w:rsidR="00B11F36" w:rsidRDefault="00B1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604F" w14:textId="50651EF5" w:rsidR="00764B07" w:rsidRPr="00764B07" w:rsidRDefault="00764B07" w:rsidP="00764B07">
    <w:pPr>
      <w:pStyle w:val="IPPFooterLandscape"/>
      <w:jc w:val="both"/>
      <w:rPr>
        <w:b w:val="0"/>
      </w:rPr>
    </w:pPr>
    <w:r w:rsidRPr="00764B07">
      <w:rPr>
        <w:rStyle w:val="PageNumber"/>
        <w:b/>
      </w:rPr>
      <w:t xml:space="preserve">Page </w:t>
    </w:r>
    <w:r w:rsidRPr="00764B07">
      <w:rPr>
        <w:rStyle w:val="PageNumber"/>
        <w:b/>
      </w:rPr>
      <w:fldChar w:fldCharType="begin"/>
    </w:r>
    <w:r w:rsidRPr="00764B07">
      <w:rPr>
        <w:rStyle w:val="PageNumber"/>
        <w:b/>
      </w:rPr>
      <w:instrText xml:space="preserve"> PAGE </w:instrText>
    </w:r>
    <w:r w:rsidRPr="00764B07">
      <w:rPr>
        <w:rStyle w:val="PageNumber"/>
        <w:b/>
      </w:rPr>
      <w:fldChar w:fldCharType="separate"/>
    </w:r>
    <w:r>
      <w:rPr>
        <w:rStyle w:val="PageNumber"/>
        <w:b/>
      </w:rPr>
      <w:t>2</w:t>
    </w:r>
    <w:r w:rsidRPr="00764B07">
      <w:rPr>
        <w:rStyle w:val="PageNumber"/>
        <w:b/>
      </w:rPr>
      <w:fldChar w:fldCharType="end"/>
    </w:r>
    <w:r w:rsidRPr="00764B07">
      <w:rPr>
        <w:rStyle w:val="PageNumber"/>
        <w:b/>
      </w:rPr>
      <w:t xml:space="preserve"> of </w:t>
    </w:r>
    <w:r w:rsidRPr="00764B07">
      <w:rPr>
        <w:rStyle w:val="PageNumber"/>
        <w:b/>
      </w:rPr>
      <w:fldChar w:fldCharType="begin"/>
    </w:r>
    <w:r w:rsidRPr="00764B07">
      <w:rPr>
        <w:rStyle w:val="PageNumber"/>
        <w:b/>
      </w:rPr>
      <w:instrText xml:space="preserve"> NUMPAGES </w:instrText>
    </w:r>
    <w:r w:rsidRPr="00764B07">
      <w:rPr>
        <w:rStyle w:val="PageNumber"/>
        <w:b/>
      </w:rPr>
      <w:fldChar w:fldCharType="separate"/>
    </w:r>
    <w:r>
      <w:rPr>
        <w:rStyle w:val="PageNumber"/>
        <w:b/>
      </w:rPr>
      <w:t>5</w:t>
    </w:r>
    <w:r w:rsidRPr="00764B07">
      <w:rPr>
        <w:rStyle w:val="PageNumber"/>
        <w:b/>
      </w:rPr>
      <w:fldChar w:fldCharType="end"/>
    </w:r>
    <w:r>
      <w:rPr>
        <w:rStyle w:val="PageNumber"/>
        <w:b/>
      </w:rPr>
      <w:tab/>
    </w:r>
    <w:r>
      <w:rPr>
        <w:rStyle w:val="PageNumber"/>
        <w:b/>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4B17" w14:textId="2AF49040" w:rsidR="00764B07" w:rsidRPr="00764B07" w:rsidRDefault="00764B07" w:rsidP="00764B07">
    <w:pPr>
      <w:pStyle w:val="IPPFooterLandscape"/>
      <w:jc w:val="both"/>
      <w:rPr>
        <w:b w:val="0"/>
      </w:rPr>
    </w:pPr>
    <w:r w:rsidRPr="00A62A0E">
      <w:t>Internatio</w:t>
    </w:r>
    <w:r>
      <w:t xml:space="preserve">nal Plant Protection Convention </w:t>
    </w:r>
    <w:r>
      <w:tab/>
    </w:r>
    <w:r w:rsidRPr="00764B07">
      <w:rPr>
        <w:rStyle w:val="PageNumber"/>
        <w:b/>
      </w:rPr>
      <w:t xml:space="preserve">Page </w:t>
    </w:r>
    <w:r w:rsidRPr="00764B07">
      <w:rPr>
        <w:rStyle w:val="PageNumber"/>
        <w:b/>
      </w:rPr>
      <w:fldChar w:fldCharType="begin"/>
    </w:r>
    <w:r w:rsidRPr="00764B07">
      <w:rPr>
        <w:rStyle w:val="PageNumber"/>
        <w:b/>
      </w:rPr>
      <w:instrText xml:space="preserve"> PAGE </w:instrText>
    </w:r>
    <w:r w:rsidRPr="00764B07">
      <w:rPr>
        <w:rStyle w:val="PageNumber"/>
        <w:b/>
      </w:rPr>
      <w:fldChar w:fldCharType="separate"/>
    </w:r>
    <w:r>
      <w:rPr>
        <w:rStyle w:val="PageNumber"/>
        <w:b/>
      </w:rPr>
      <w:t>1</w:t>
    </w:r>
    <w:r w:rsidRPr="00764B07">
      <w:rPr>
        <w:rStyle w:val="PageNumber"/>
        <w:b/>
      </w:rPr>
      <w:fldChar w:fldCharType="end"/>
    </w:r>
    <w:r w:rsidRPr="00764B07">
      <w:rPr>
        <w:rStyle w:val="PageNumber"/>
        <w:b/>
      </w:rPr>
      <w:t xml:space="preserve"> of </w:t>
    </w:r>
    <w:r w:rsidRPr="00764B07">
      <w:rPr>
        <w:rStyle w:val="PageNumber"/>
        <w:b/>
      </w:rPr>
      <w:fldChar w:fldCharType="begin"/>
    </w:r>
    <w:r w:rsidRPr="00764B07">
      <w:rPr>
        <w:rStyle w:val="PageNumber"/>
        <w:b/>
      </w:rPr>
      <w:instrText xml:space="preserve"> NUMPAGES </w:instrText>
    </w:r>
    <w:r w:rsidRPr="00764B07">
      <w:rPr>
        <w:rStyle w:val="PageNumber"/>
        <w:b/>
      </w:rPr>
      <w:fldChar w:fldCharType="separate"/>
    </w:r>
    <w:r>
      <w:rPr>
        <w:rStyle w:val="PageNumber"/>
        <w:b/>
      </w:rPr>
      <w:t>5</w:t>
    </w:r>
    <w:r w:rsidRPr="00764B07">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C384" w14:textId="576B5D00" w:rsidR="00764B07" w:rsidRPr="00764B07" w:rsidRDefault="00764B07" w:rsidP="00764B07">
    <w:pPr>
      <w:pStyle w:val="IPPFooterLandscape"/>
      <w:jc w:val="both"/>
      <w:rPr>
        <w:b w:val="0"/>
      </w:rPr>
    </w:pPr>
    <w:r w:rsidRPr="00A62A0E">
      <w:t>Internatio</w:t>
    </w:r>
    <w:r>
      <w:t xml:space="preserve">nal Plant Protection Convention </w:t>
    </w:r>
    <w:r>
      <w:tab/>
    </w:r>
    <w:r w:rsidRPr="00764B07">
      <w:rPr>
        <w:rStyle w:val="PageNumber"/>
        <w:b/>
      </w:rPr>
      <w:t xml:space="preserve">Page </w:t>
    </w:r>
    <w:r w:rsidRPr="00764B07">
      <w:rPr>
        <w:rStyle w:val="PageNumber"/>
        <w:b/>
      </w:rPr>
      <w:fldChar w:fldCharType="begin"/>
    </w:r>
    <w:r w:rsidRPr="00764B07">
      <w:rPr>
        <w:rStyle w:val="PageNumber"/>
        <w:b/>
      </w:rPr>
      <w:instrText xml:space="preserve"> PAGE </w:instrText>
    </w:r>
    <w:r w:rsidRPr="00764B07">
      <w:rPr>
        <w:rStyle w:val="PageNumber"/>
        <w:b/>
      </w:rPr>
      <w:fldChar w:fldCharType="separate"/>
    </w:r>
    <w:r w:rsidRPr="00764B07">
      <w:rPr>
        <w:rStyle w:val="PageNumber"/>
        <w:b/>
      </w:rPr>
      <w:t>1</w:t>
    </w:r>
    <w:r w:rsidRPr="00764B07">
      <w:rPr>
        <w:rStyle w:val="PageNumber"/>
        <w:b/>
      </w:rPr>
      <w:fldChar w:fldCharType="end"/>
    </w:r>
    <w:r w:rsidRPr="00764B07">
      <w:rPr>
        <w:rStyle w:val="PageNumber"/>
        <w:b/>
      </w:rPr>
      <w:t xml:space="preserve"> of </w:t>
    </w:r>
    <w:r w:rsidRPr="00764B07">
      <w:rPr>
        <w:rStyle w:val="PageNumber"/>
        <w:b/>
      </w:rPr>
      <w:fldChar w:fldCharType="begin"/>
    </w:r>
    <w:r w:rsidRPr="00764B07">
      <w:rPr>
        <w:rStyle w:val="PageNumber"/>
        <w:b/>
      </w:rPr>
      <w:instrText xml:space="preserve"> NUMPAGES </w:instrText>
    </w:r>
    <w:r w:rsidRPr="00764B07">
      <w:rPr>
        <w:rStyle w:val="PageNumber"/>
        <w:b/>
      </w:rPr>
      <w:fldChar w:fldCharType="separate"/>
    </w:r>
    <w:r w:rsidRPr="00764B07">
      <w:rPr>
        <w:rStyle w:val="PageNumber"/>
        <w:b/>
      </w:rPr>
      <w:t>4</w:t>
    </w:r>
    <w:r w:rsidRPr="00764B07">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91AF" w14:textId="77777777" w:rsidR="00B11F36" w:rsidRDefault="00B11F36">
      <w:r>
        <w:separator/>
      </w:r>
    </w:p>
  </w:footnote>
  <w:footnote w:type="continuationSeparator" w:id="0">
    <w:p w14:paraId="755186BE" w14:textId="77777777" w:rsidR="00B11F36" w:rsidRDefault="00B1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D1D1" w14:textId="18109BCA" w:rsidR="007224E5" w:rsidRPr="007224E5" w:rsidRDefault="000377FA" w:rsidP="007224E5">
    <w:pPr>
      <w:pStyle w:val="IPPHeader"/>
    </w:pPr>
    <w:r>
      <w:t>20</w:t>
    </w:r>
    <w:r w:rsidR="007224E5" w:rsidRPr="007224E5">
      <w:t>_SPG_2025_Oct</w:t>
    </w:r>
    <w:r>
      <w:t xml:space="preserve"> (11.3)</w:t>
    </w:r>
    <w:r w:rsidR="007224E5" w:rsidRPr="007224E5">
      <w:tab/>
      <w:t>Proposed annex ISPM46 - Indonesia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BDF7F" w14:textId="64AD0447" w:rsidR="007224E5" w:rsidRPr="007224E5" w:rsidRDefault="007224E5" w:rsidP="007224E5">
    <w:pPr>
      <w:pStyle w:val="IPPHeader"/>
    </w:pPr>
    <w:r w:rsidRPr="007224E5">
      <w:t xml:space="preserve">Proposed annex ISPM46 </w:t>
    </w:r>
    <w:r>
      <w:t>–</w:t>
    </w:r>
    <w:r w:rsidRPr="007224E5">
      <w:t xml:space="preserve"> Indonesia</w:t>
    </w:r>
    <w:r>
      <w:tab/>
    </w:r>
    <w:r w:rsidR="000377FA">
      <w:t>20</w:t>
    </w:r>
    <w:r w:rsidRPr="007224E5">
      <w:t>_SPG_2025_Oct</w:t>
    </w:r>
    <w:r w:rsidR="000377FA">
      <w:t xml:space="preserve"> (11.3)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392D" w14:textId="3D2ECD09" w:rsidR="00E02C92" w:rsidRDefault="00E02C92" w:rsidP="00E02C92">
    <w:pPr>
      <w:pStyle w:val="IPPHeader"/>
      <w:tabs>
        <w:tab w:val="clear" w:pos="1134"/>
      </w:tabs>
      <w:spacing w:before="240" w:after="0"/>
      <w:ind w:left="880"/>
    </w:pPr>
    <w:bookmarkStart w:id="2" w:name="_Hlk38796923"/>
    <w:bookmarkStart w:id="3" w:name="_Hlk38796924"/>
    <w:r>
      <w:rPr>
        <w:i/>
        <w:iCs/>
        <w:noProof/>
        <w14:ligatures w14:val="standardContextual"/>
      </w:rPr>
      <w:drawing>
        <wp:anchor distT="0" distB="0" distL="114300" distR="114300" simplePos="0" relativeHeight="251661312" behindDoc="0" locked="0" layoutInCell="1" allowOverlap="1" wp14:anchorId="6DE126FD" wp14:editId="71A1B962">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6451E002" wp14:editId="340B8CDC">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3CD68"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3A27AF7C" wp14:editId="1F84008A">
          <wp:simplePos x="0" y="0"/>
          <wp:positionH relativeFrom="page">
            <wp:posOffset>0</wp:posOffset>
          </wp:positionH>
          <wp:positionV relativeFrom="page">
            <wp:posOffset>0</wp:posOffset>
          </wp:positionV>
          <wp:extent cx="7617600" cy="558000"/>
          <wp:effectExtent l="0" t="0" r="254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26157577" wp14:editId="20482D13">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475F36">
      <w:t>20</w:t>
    </w:r>
    <w:r>
      <w:t>_SPG</w:t>
    </w:r>
    <w:r w:rsidRPr="00606019">
      <w:t>_</w:t>
    </w:r>
    <w:r>
      <w:t>2025_Oct</w:t>
    </w:r>
  </w:p>
  <w:p w14:paraId="033549E5" w14:textId="396B06D2" w:rsidR="00E02C92" w:rsidRDefault="00E02C92" w:rsidP="00E02C92">
    <w:pPr>
      <w:pStyle w:val="IPPHeader"/>
      <w:tabs>
        <w:tab w:val="clear" w:pos="1134"/>
      </w:tabs>
      <w:spacing w:after="0"/>
      <w:ind w:left="880"/>
    </w:pPr>
    <w:r w:rsidRPr="0076596B">
      <w:tab/>
      <w:t xml:space="preserve">Agenda item: </w:t>
    </w:r>
    <w:bookmarkEnd w:id="2"/>
    <w:bookmarkEnd w:id="3"/>
    <w:r w:rsidR="00475F36">
      <w:t>11.3</w:t>
    </w:r>
  </w:p>
  <w:p w14:paraId="2E6081CD" w14:textId="77777777" w:rsidR="00E02C92" w:rsidRDefault="00E02C92" w:rsidP="00E02C92">
    <w:pPr>
      <w:pStyle w:val="IPPHeader"/>
      <w:tabs>
        <w:tab w:val="clear" w:pos="1134"/>
      </w:tabs>
      <w:spacing w:after="0"/>
      <w:ind w:left="880"/>
    </w:pPr>
  </w:p>
  <w:p w14:paraId="47606460" w14:textId="77777777" w:rsidR="00E02C92" w:rsidRDefault="00E02C92" w:rsidP="00E02C92">
    <w:pPr>
      <w:pStyle w:val="IPPHeader"/>
      <w:tabs>
        <w:tab w:val="clear" w:pos="1134"/>
      </w:tabs>
      <w:spacing w:after="0"/>
      <w:ind w:left="880"/>
    </w:pPr>
  </w:p>
  <w:p w14:paraId="57F78B9E" w14:textId="77777777" w:rsidR="00E02C92" w:rsidRDefault="00E02C92" w:rsidP="00E02C92">
    <w:pPr>
      <w:pStyle w:val="IPPHeader"/>
      <w:tabs>
        <w:tab w:val="clear" w:pos="1134"/>
      </w:tabs>
      <w:spacing w:after="0"/>
      <w:ind w:left="880"/>
    </w:pPr>
  </w:p>
  <w:p w14:paraId="257606D1" w14:textId="6B1D9CC8" w:rsidR="00DF7C6F" w:rsidRDefault="00E02C92" w:rsidP="00E02C92">
    <w:pPr>
      <w:pStyle w:val="IPPHeader"/>
      <w:tabs>
        <w:tab w:val="clear" w:pos="1134"/>
      </w:tabs>
      <w:spacing w:after="0"/>
      <w:ind w:left="880"/>
    </w:pPr>
    <w:r>
      <w:t xml:space="preserve">Proposed </w:t>
    </w:r>
    <w:r w:rsidR="00206235">
      <w:t>annex</w:t>
    </w:r>
    <w:r>
      <w:t xml:space="preserve"> ISPM</w:t>
    </w:r>
    <w:r w:rsidR="00206235">
      <w:t>46</w:t>
    </w:r>
    <w:r>
      <w:t xml:space="preserve"> - Indonesia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C331784"/>
    <w:multiLevelType w:val="hybridMultilevel"/>
    <w:tmpl w:val="F25C591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E9F7857"/>
    <w:multiLevelType w:val="hybridMultilevel"/>
    <w:tmpl w:val="AA5E61C4"/>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76A77"/>
    <w:multiLevelType w:val="hybridMultilevel"/>
    <w:tmpl w:val="80B4F0A4"/>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E801A4F"/>
    <w:multiLevelType w:val="hybridMultilevel"/>
    <w:tmpl w:val="E90AE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5E32B9"/>
    <w:multiLevelType w:val="hybridMultilevel"/>
    <w:tmpl w:val="1304C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66ED1"/>
    <w:multiLevelType w:val="hybridMultilevel"/>
    <w:tmpl w:val="62246F72"/>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605B03"/>
    <w:multiLevelType w:val="hybridMultilevel"/>
    <w:tmpl w:val="B9347F2A"/>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76623247">
    <w:abstractNumId w:val="10"/>
  </w:num>
  <w:num w:numId="2" w16cid:durableId="315455127">
    <w:abstractNumId w:val="1"/>
  </w:num>
  <w:num w:numId="3" w16cid:durableId="79520713">
    <w:abstractNumId w:val="4"/>
  </w:num>
  <w:num w:numId="4" w16cid:durableId="1577280186">
    <w:abstractNumId w:val="8"/>
  </w:num>
  <w:num w:numId="5" w16cid:durableId="280763718">
    <w:abstractNumId w:val="18"/>
  </w:num>
  <w:num w:numId="6" w16cid:durableId="1292903261">
    <w:abstractNumId w:val="3"/>
  </w:num>
  <w:num w:numId="7" w16cid:durableId="638847168">
    <w:abstractNumId w:val="2"/>
  </w:num>
  <w:num w:numId="8" w16cid:durableId="604775870">
    <w:abstractNumId w:val="9"/>
  </w:num>
  <w:num w:numId="9" w16cid:durableId="1256212346">
    <w:abstractNumId w:val="21"/>
  </w:num>
  <w:num w:numId="10" w16cid:durableId="1827739327">
    <w:abstractNumId w:val="16"/>
  </w:num>
  <w:num w:numId="11" w16cid:durableId="1137603254">
    <w:abstractNumId w:val="12"/>
  </w:num>
  <w:num w:numId="12" w16cid:durableId="292568007">
    <w:abstractNumId w:val="23"/>
  </w:num>
  <w:num w:numId="13" w16cid:durableId="1542935101">
    <w:abstractNumId w:val="5"/>
  </w:num>
  <w:num w:numId="14" w16cid:durableId="1367242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463810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5510656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0941946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204081615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0040177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26908355">
    <w:abstractNumId w:val="0"/>
  </w:num>
  <w:num w:numId="21" w16cid:durableId="625546059">
    <w:abstractNumId w:val="14"/>
  </w:num>
  <w:num w:numId="22" w16cid:durableId="1200246193">
    <w:abstractNumId w:val="19"/>
  </w:num>
  <w:num w:numId="23" w16cid:durableId="1902210887">
    <w:abstractNumId w:val="15"/>
  </w:num>
  <w:num w:numId="24" w16cid:durableId="748574246">
    <w:abstractNumId w:val="11"/>
  </w:num>
  <w:num w:numId="25" w16cid:durableId="1939177119">
    <w:abstractNumId w:val="6"/>
  </w:num>
  <w:num w:numId="26" w16cid:durableId="1796945585">
    <w:abstractNumId w:val="7"/>
  </w:num>
  <w:num w:numId="27" w16cid:durableId="1280264530">
    <w:abstractNumId w:val="20"/>
  </w:num>
  <w:num w:numId="28" w16cid:durableId="10571886">
    <w:abstractNumId w:val="24"/>
  </w:num>
  <w:num w:numId="29" w16cid:durableId="1909221922">
    <w:abstractNumId w:val="17"/>
  </w:num>
  <w:num w:numId="30" w16cid:durableId="806241886">
    <w:abstractNumId w:val="13"/>
  </w:num>
  <w:num w:numId="31" w16cid:durableId="12419885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40D"/>
    <w:rsid w:val="00023701"/>
    <w:rsid w:val="00035FF5"/>
    <w:rsid w:val="000377FA"/>
    <w:rsid w:val="00046F76"/>
    <w:rsid w:val="000632FE"/>
    <w:rsid w:val="00065E39"/>
    <w:rsid w:val="00087CAC"/>
    <w:rsid w:val="0009104D"/>
    <w:rsid w:val="00093135"/>
    <w:rsid w:val="000964D5"/>
    <w:rsid w:val="000B5A28"/>
    <w:rsid w:val="000B7896"/>
    <w:rsid w:val="000C25BC"/>
    <w:rsid w:val="000D4749"/>
    <w:rsid w:val="000D6E13"/>
    <w:rsid w:val="000E45D5"/>
    <w:rsid w:val="000E501C"/>
    <w:rsid w:val="000F1AB6"/>
    <w:rsid w:val="0010701E"/>
    <w:rsid w:val="001074FA"/>
    <w:rsid w:val="00111908"/>
    <w:rsid w:val="00117243"/>
    <w:rsid w:val="001215C3"/>
    <w:rsid w:val="001355CC"/>
    <w:rsid w:val="00140D23"/>
    <w:rsid w:val="00145790"/>
    <w:rsid w:val="00153798"/>
    <w:rsid w:val="00155DBC"/>
    <w:rsid w:val="0016239E"/>
    <w:rsid w:val="00165F83"/>
    <w:rsid w:val="00176F44"/>
    <w:rsid w:val="001C707C"/>
    <w:rsid w:val="00206235"/>
    <w:rsid w:val="00217700"/>
    <w:rsid w:val="00221B65"/>
    <w:rsid w:val="002521D5"/>
    <w:rsid w:val="00277890"/>
    <w:rsid w:val="00286519"/>
    <w:rsid w:val="002B2147"/>
    <w:rsid w:val="002D2A69"/>
    <w:rsid w:val="002E44FE"/>
    <w:rsid w:val="002F6C65"/>
    <w:rsid w:val="002F7459"/>
    <w:rsid w:val="00302219"/>
    <w:rsid w:val="00351754"/>
    <w:rsid w:val="00354EF9"/>
    <w:rsid w:val="00371580"/>
    <w:rsid w:val="0038760D"/>
    <w:rsid w:val="003B255B"/>
    <w:rsid w:val="003C0B8C"/>
    <w:rsid w:val="003D0FD2"/>
    <w:rsid w:val="003E03F9"/>
    <w:rsid w:val="003E5ED6"/>
    <w:rsid w:val="00401C60"/>
    <w:rsid w:val="00403212"/>
    <w:rsid w:val="00475F36"/>
    <w:rsid w:val="0048774B"/>
    <w:rsid w:val="00492CA4"/>
    <w:rsid w:val="004941D4"/>
    <w:rsid w:val="004B0700"/>
    <w:rsid w:val="004D7E1C"/>
    <w:rsid w:val="004F2DF9"/>
    <w:rsid w:val="00502C92"/>
    <w:rsid w:val="0051669D"/>
    <w:rsid w:val="00530992"/>
    <w:rsid w:val="005331FA"/>
    <w:rsid w:val="005524C2"/>
    <w:rsid w:val="00560B71"/>
    <w:rsid w:val="00570542"/>
    <w:rsid w:val="00585E14"/>
    <w:rsid w:val="005948E8"/>
    <w:rsid w:val="005A4B90"/>
    <w:rsid w:val="005D1B89"/>
    <w:rsid w:val="005D5900"/>
    <w:rsid w:val="005D5D7B"/>
    <w:rsid w:val="006015C9"/>
    <w:rsid w:val="006058CF"/>
    <w:rsid w:val="00621C6A"/>
    <w:rsid w:val="00622547"/>
    <w:rsid w:val="00623312"/>
    <w:rsid w:val="00634D59"/>
    <w:rsid w:val="00637AC6"/>
    <w:rsid w:val="00647048"/>
    <w:rsid w:val="00681901"/>
    <w:rsid w:val="006D0880"/>
    <w:rsid w:val="006D09CD"/>
    <w:rsid w:val="006E5243"/>
    <w:rsid w:val="006F547A"/>
    <w:rsid w:val="006F734A"/>
    <w:rsid w:val="007025CE"/>
    <w:rsid w:val="00706431"/>
    <w:rsid w:val="007224E5"/>
    <w:rsid w:val="00761A5E"/>
    <w:rsid w:val="00764B07"/>
    <w:rsid w:val="0076532E"/>
    <w:rsid w:val="007853CA"/>
    <w:rsid w:val="0078651C"/>
    <w:rsid w:val="0079584B"/>
    <w:rsid w:val="007A34B3"/>
    <w:rsid w:val="007B01E7"/>
    <w:rsid w:val="007B6C03"/>
    <w:rsid w:val="007E3BF2"/>
    <w:rsid w:val="007F07E0"/>
    <w:rsid w:val="00817C42"/>
    <w:rsid w:val="00817FB9"/>
    <w:rsid w:val="00820D9B"/>
    <w:rsid w:val="00821756"/>
    <w:rsid w:val="00821D5E"/>
    <w:rsid w:val="0084640D"/>
    <w:rsid w:val="008813C1"/>
    <w:rsid w:val="0088362A"/>
    <w:rsid w:val="008E549A"/>
    <w:rsid w:val="008F10BC"/>
    <w:rsid w:val="008F7CFD"/>
    <w:rsid w:val="009061CC"/>
    <w:rsid w:val="00913208"/>
    <w:rsid w:val="00924262"/>
    <w:rsid w:val="009265A5"/>
    <w:rsid w:val="00975D55"/>
    <w:rsid w:val="009A794C"/>
    <w:rsid w:val="009B7C69"/>
    <w:rsid w:val="009E6186"/>
    <w:rsid w:val="00A03780"/>
    <w:rsid w:val="00A27593"/>
    <w:rsid w:val="00A47F84"/>
    <w:rsid w:val="00A675C6"/>
    <w:rsid w:val="00A7172A"/>
    <w:rsid w:val="00A74C41"/>
    <w:rsid w:val="00A90625"/>
    <w:rsid w:val="00A926F2"/>
    <w:rsid w:val="00AA31A0"/>
    <w:rsid w:val="00AD22C8"/>
    <w:rsid w:val="00AE38A3"/>
    <w:rsid w:val="00AE6A5C"/>
    <w:rsid w:val="00AF36CC"/>
    <w:rsid w:val="00AF36EC"/>
    <w:rsid w:val="00B05EA7"/>
    <w:rsid w:val="00B11F36"/>
    <w:rsid w:val="00B40045"/>
    <w:rsid w:val="00B541C4"/>
    <w:rsid w:val="00B62EDA"/>
    <w:rsid w:val="00B63882"/>
    <w:rsid w:val="00B74222"/>
    <w:rsid w:val="00B934BF"/>
    <w:rsid w:val="00B95A82"/>
    <w:rsid w:val="00BB0121"/>
    <w:rsid w:val="00C16C1F"/>
    <w:rsid w:val="00C32259"/>
    <w:rsid w:val="00C40DF0"/>
    <w:rsid w:val="00C419B0"/>
    <w:rsid w:val="00C6672D"/>
    <w:rsid w:val="00D20361"/>
    <w:rsid w:val="00D268E0"/>
    <w:rsid w:val="00D6731B"/>
    <w:rsid w:val="00D77749"/>
    <w:rsid w:val="00D87D3A"/>
    <w:rsid w:val="00D93E13"/>
    <w:rsid w:val="00DA7AA4"/>
    <w:rsid w:val="00DA7D0F"/>
    <w:rsid w:val="00DB0C08"/>
    <w:rsid w:val="00DB6014"/>
    <w:rsid w:val="00DB7347"/>
    <w:rsid w:val="00DC3162"/>
    <w:rsid w:val="00DC3AB1"/>
    <w:rsid w:val="00DD11E4"/>
    <w:rsid w:val="00DD6D5B"/>
    <w:rsid w:val="00DE38A8"/>
    <w:rsid w:val="00DF6940"/>
    <w:rsid w:val="00DF7C6F"/>
    <w:rsid w:val="00E012B5"/>
    <w:rsid w:val="00E02C92"/>
    <w:rsid w:val="00E0561C"/>
    <w:rsid w:val="00E071AC"/>
    <w:rsid w:val="00E11A53"/>
    <w:rsid w:val="00E24101"/>
    <w:rsid w:val="00E3310F"/>
    <w:rsid w:val="00E42CB1"/>
    <w:rsid w:val="00E94731"/>
    <w:rsid w:val="00EC6F97"/>
    <w:rsid w:val="00ED52E3"/>
    <w:rsid w:val="00EF3885"/>
    <w:rsid w:val="00EF63BE"/>
    <w:rsid w:val="00F12624"/>
    <w:rsid w:val="00F12B9F"/>
    <w:rsid w:val="00F165B4"/>
    <w:rsid w:val="00F428F2"/>
    <w:rsid w:val="00F47483"/>
    <w:rsid w:val="00F4761A"/>
    <w:rsid w:val="00F513AF"/>
    <w:rsid w:val="00F5253F"/>
    <w:rsid w:val="00F638EC"/>
    <w:rsid w:val="00F86694"/>
    <w:rsid w:val="00F928F8"/>
    <w:rsid w:val="00FC36B1"/>
    <w:rsid w:val="38CD22C5"/>
    <w:rsid w:val="67486472"/>
    <w:rsid w:val="79B73D7A"/>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1174BE"/>
  <w15:docId w15:val="{FAD13C2A-A0B6-434A-90F3-3D7CA660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1C4"/>
    <w:pPr>
      <w:jc w:val="both"/>
    </w:pPr>
    <w:rPr>
      <w:rFonts w:eastAsia="MS Mincho"/>
      <w:sz w:val="22"/>
      <w:szCs w:val="24"/>
      <w:lang w:val="en-GB" w:eastAsia="en-US"/>
    </w:rPr>
  </w:style>
  <w:style w:type="paragraph" w:styleId="Heading1">
    <w:name w:val="heading 1"/>
    <w:basedOn w:val="Normal"/>
    <w:next w:val="Normal"/>
    <w:link w:val="Heading1Char"/>
    <w:qFormat/>
    <w:rsid w:val="00B541C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541C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541C4"/>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paragraph" w:styleId="NormalWeb">
    <w:name w:val="Normal (Web)"/>
    <w:uiPriority w:val="99"/>
    <w:semiHidden/>
    <w:unhideWhenUsed/>
    <w:pPr>
      <w:spacing w:beforeAutospacing="1" w:afterAutospacing="1"/>
    </w:pPr>
    <w:rPr>
      <w:sz w:val="24"/>
      <w:szCs w:val="24"/>
      <w:lang w:val="en-US" w:eastAsia="zh-CN"/>
    </w:rPr>
  </w:style>
  <w:style w:type="character" w:styleId="Strong">
    <w:name w:val="Strong"/>
    <w:basedOn w:val="DefaultParagraphFont"/>
    <w:qFormat/>
    <w:rsid w:val="00B541C4"/>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rsid w:val="00B541C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B541C4"/>
    <w:rPr>
      <w:rFonts w:eastAsia="MS Mincho"/>
      <w:b/>
      <w:bCs/>
      <w:sz w:val="22"/>
      <w:szCs w:val="24"/>
      <w:lang w:val="en-GB" w:eastAsia="en-US"/>
    </w:rPr>
  </w:style>
  <w:style w:type="character" w:customStyle="1" w:styleId="Heading2Char">
    <w:name w:val="Heading 2 Char"/>
    <w:basedOn w:val="DefaultParagraphFont"/>
    <w:link w:val="Heading2"/>
    <w:rsid w:val="00B541C4"/>
    <w:rPr>
      <w:rFonts w:ascii="Calibri" w:eastAsia="MS Mincho" w:hAnsi="Calibri"/>
      <w:b/>
      <w:bCs/>
      <w:i/>
      <w:iCs/>
      <w:sz w:val="28"/>
      <w:szCs w:val="28"/>
      <w:lang w:val="en-GB" w:eastAsia="en-US"/>
    </w:rPr>
  </w:style>
  <w:style w:type="character" w:customStyle="1" w:styleId="Heading3Char">
    <w:name w:val="Heading 3 Char"/>
    <w:basedOn w:val="DefaultParagraphFont"/>
    <w:link w:val="Heading3"/>
    <w:rsid w:val="00B541C4"/>
    <w:rPr>
      <w:rFonts w:ascii="Calibri" w:eastAsia="MS Mincho" w:hAnsi="Calibri"/>
      <w:b/>
      <w:bCs/>
      <w:sz w:val="26"/>
      <w:szCs w:val="26"/>
      <w:lang w:val="en-GB" w:eastAsia="en-US"/>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rsid w:val="00B541C4"/>
    <w:pPr>
      <w:spacing w:line="240" w:lineRule="atLeast"/>
      <w:ind w:leftChars="400" w:left="800"/>
    </w:pPr>
    <w:rPr>
      <w:rFonts w:ascii="Verdana" w:eastAsia="Times New Roman" w:hAnsi="Verdana"/>
      <w:sz w:val="20"/>
      <w:lang w:val="nl-NL" w:eastAsia="nl-NL"/>
    </w:r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EndnoteTextChar">
    <w:name w:val="Endnote Text Char"/>
    <w:basedOn w:val="DefaultParagraphFont"/>
    <w:link w:val="EndnoteText"/>
    <w:uiPriority w:val="99"/>
    <w:semiHidden/>
    <w:qFormat/>
    <w:rPr>
      <w:sz w:val="20"/>
      <w:szCs w:val="20"/>
    </w:rPr>
  </w:style>
  <w:style w:type="paragraph" w:styleId="Header">
    <w:name w:val="header"/>
    <w:basedOn w:val="Normal"/>
    <w:link w:val="HeaderChar"/>
    <w:rsid w:val="00B541C4"/>
    <w:pPr>
      <w:tabs>
        <w:tab w:val="center" w:pos="4680"/>
        <w:tab w:val="right" w:pos="9360"/>
      </w:tabs>
    </w:pPr>
  </w:style>
  <w:style w:type="character" w:customStyle="1" w:styleId="HeaderChar">
    <w:name w:val="Header Char"/>
    <w:basedOn w:val="DefaultParagraphFont"/>
    <w:link w:val="Header"/>
    <w:rsid w:val="00B541C4"/>
    <w:rPr>
      <w:rFonts w:eastAsia="MS Mincho"/>
      <w:sz w:val="22"/>
      <w:szCs w:val="24"/>
      <w:lang w:val="en-GB" w:eastAsia="en-US"/>
    </w:rPr>
  </w:style>
  <w:style w:type="paragraph" w:styleId="Footer">
    <w:name w:val="footer"/>
    <w:basedOn w:val="Normal"/>
    <w:link w:val="FooterChar"/>
    <w:rsid w:val="00B541C4"/>
    <w:pPr>
      <w:tabs>
        <w:tab w:val="center" w:pos="4680"/>
        <w:tab w:val="right" w:pos="9360"/>
      </w:tabs>
    </w:pPr>
  </w:style>
  <w:style w:type="character" w:customStyle="1" w:styleId="FooterChar">
    <w:name w:val="Footer Char"/>
    <w:basedOn w:val="DefaultParagraphFont"/>
    <w:link w:val="Footer"/>
    <w:rsid w:val="00B541C4"/>
    <w:rPr>
      <w:rFonts w:eastAsia="MS Mincho"/>
      <w:sz w:val="22"/>
      <w:szCs w:val="24"/>
      <w:lang w:val="en-GB" w:eastAsia="en-US"/>
    </w:rPr>
  </w:style>
  <w:style w:type="character" w:styleId="CommentReference">
    <w:name w:val="annotation reference"/>
    <w:basedOn w:val="DefaultParagraphFont"/>
    <w:unhideWhenUsed/>
    <w:qFormat/>
    <w:rsid w:val="00B541C4"/>
    <w:rPr>
      <w:sz w:val="16"/>
      <w:szCs w:val="16"/>
    </w:rPr>
  </w:style>
  <w:style w:type="paragraph" w:styleId="CommentText">
    <w:name w:val="annotation text"/>
    <w:basedOn w:val="Normal"/>
    <w:link w:val="CommentTextChar"/>
    <w:uiPriority w:val="99"/>
    <w:unhideWhenUsed/>
    <w:qFormat/>
    <w:rsid w:val="00B541C4"/>
    <w:rPr>
      <w:sz w:val="20"/>
      <w:szCs w:val="20"/>
    </w:rPr>
  </w:style>
  <w:style w:type="character" w:customStyle="1" w:styleId="CommentTextChar">
    <w:name w:val="Comment Text Char"/>
    <w:basedOn w:val="DefaultParagraphFont"/>
    <w:link w:val="CommentText"/>
    <w:uiPriority w:val="99"/>
    <w:qFormat/>
    <w:rsid w:val="00B541C4"/>
    <w:rPr>
      <w:rFonts w:eastAsia="MS Mincho"/>
      <w:lang w:val="en-GB" w:eastAsia="en-US"/>
    </w:rPr>
  </w:style>
  <w:style w:type="paragraph" w:styleId="CommentSubject">
    <w:name w:val="annotation subject"/>
    <w:basedOn w:val="CommentText"/>
    <w:next w:val="CommentText"/>
    <w:link w:val="CommentSubjectChar"/>
    <w:uiPriority w:val="99"/>
    <w:semiHidden/>
    <w:unhideWhenUsed/>
    <w:rsid w:val="00B541C4"/>
    <w:rPr>
      <w:b/>
      <w:bCs/>
    </w:rPr>
  </w:style>
  <w:style w:type="character" w:customStyle="1" w:styleId="CommentSubjectChar">
    <w:name w:val="Comment Subject Char"/>
    <w:basedOn w:val="CommentTextChar"/>
    <w:link w:val="CommentSubject"/>
    <w:uiPriority w:val="99"/>
    <w:semiHidden/>
    <w:rsid w:val="00B541C4"/>
    <w:rPr>
      <w:rFonts w:eastAsia="MS Mincho"/>
      <w:b/>
      <w:bCs/>
      <w:lang w:val="en-GB" w:eastAsia="en-US"/>
    </w:rPr>
  </w:style>
  <w:style w:type="paragraph" w:styleId="BalloonText">
    <w:name w:val="Balloon Text"/>
    <w:basedOn w:val="Normal"/>
    <w:link w:val="BalloonTextChar"/>
    <w:rsid w:val="00B541C4"/>
    <w:rPr>
      <w:rFonts w:ascii="Tahoma" w:hAnsi="Tahoma" w:cs="Tahoma"/>
      <w:sz w:val="16"/>
      <w:szCs w:val="16"/>
    </w:rPr>
  </w:style>
  <w:style w:type="character" w:customStyle="1" w:styleId="BalloonTextChar">
    <w:name w:val="Balloon Text Char"/>
    <w:basedOn w:val="DefaultParagraphFont"/>
    <w:link w:val="BalloonText"/>
    <w:rsid w:val="00B541C4"/>
    <w:rPr>
      <w:rFonts w:ascii="Tahoma" w:eastAsia="MS Mincho" w:hAnsi="Tahoma" w:cs="Tahoma"/>
      <w:sz w:val="16"/>
      <w:szCs w:val="16"/>
      <w:lang w:val="en-GB" w:eastAsia="en-US"/>
    </w:rPr>
  </w:style>
  <w:style w:type="paragraph" w:styleId="FootnoteText">
    <w:name w:val="footnote text"/>
    <w:basedOn w:val="Normal"/>
    <w:link w:val="FootnoteTextChar"/>
    <w:semiHidden/>
    <w:rsid w:val="00B541C4"/>
    <w:pPr>
      <w:spacing w:before="60"/>
    </w:pPr>
    <w:rPr>
      <w:sz w:val="20"/>
    </w:rPr>
  </w:style>
  <w:style w:type="character" w:customStyle="1" w:styleId="FootnoteTextChar">
    <w:name w:val="Footnote Text Char"/>
    <w:basedOn w:val="DefaultParagraphFont"/>
    <w:link w:val="FootnoteText"/>
    <w:semiHidden/>
    <w:rsid w:val="00B541C4"/>
    <w:rPr>
      <w:rFonts w:eastAsia="MS Mincho"/>
      <w:szCs w:val="24"/>
      <w:lang w:val="en-GB" w:eastAsia="en-US"/>
    </w:rPr>
  </w:style>
  <w:style w:type="character" w:styleId="FootnoteReference">
    <w:name w:val="footnote reference"/>
    <w:basedOn w:val="DefaultParagraphFont"/>
    <w:semiHidden/>
    <w:rsid w:val="00B541C4"/>
    <w:rPr>
      <w:vertAlign w:val="superscript"/>
    </w:rPr>
  </w:style>
  <w:style w:type="paragraph" w:customStyle="1" w:styleId="Style">
    <w:name w:val="Style"/>
    <w:basedOn w:val="Footer"/>
    <w:autoRedefine/>
    <w:qFormat/>
    <w:rsid w:val="00B541C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541C4"/>
    <w:rPr>
      <w:rFonts w:ascii="Arial" w:hAnsi="Arial"/>
      <w:b/>
      <w:sz w:val="18"/>
    </w:rPr>
  </w:style>
  <w:style w:type="paragraph" w:customStyle="1" w:styleId="IPPArialFootnote">
    <w:name w:val="IPP Arial Footnote"/>
    <w:basedOn w:val="IPPArialTable"/>
    <w:qFormat/>
    <w:rsid w:val="00B541C4"/>
    <w:pPr>
      <w:tabs>
        <w:tab w:val="left" w:pos="28"/>
      </w:tabs>
      <w:ind w:left="284" w:hanging="284"/>
    </w:pPr>
    <w:rPr>
      <w:sz w:val="16"/>
    </w:rPr>
  </w:style>
  <w:style w:type="paragraph" w:customStyle="1" w:styleId="IPPContentsHead">
    <w:name w:val="IPP ContentsHead"/>
    <w:basedOn w:val="IPPSubhead"/>
    <w:next w:val="IPPNormal"/>
    <w:qFormat/>
    <w:rsid w:val="00B541C4"/>
    <w:pPr>
      <w:spacing w:after="240"/>
    </w:pPr>
    <w:rPr>
      <w:sz w:val="24"/>
    </w:rPr>
  </w:style>
  <w:style w:type="paragraph" w:customStyle="1" w:styleId="IPPBullet2">
    <w:name w:val="IPP Bullet2"/>
    <w:basedOn w:val="IPPNormal"/>
    <w:next w:val="IPPBullet1"/>
    <w:qFormat/>
    <w:rsid w:val="00B541C4"/>
    <w:pPr>
      <w:numPr>
        <w:numId w:val="9"/>
      </w:numPr>
      <w:tabs>
        <w:tab w:val="left" w:pos="1134"/>
      </w:tabs>
      <w:spacing w:after="60"/>
      <w:ind w:left="1134" w:hanging="567"/>
    </w:pPr>
  </w:style>
  <w:style w:type="paragraph" w:customStyle="1" w:styleId="IPPQuote">
    <w:name w:val="IPP Quote"/>
    <w:basedOn w:val="IPPNormal"/>
    <w:qFormat/>
    <w:rsid w:val="00B541C4"/>
    <w:pPr>
      <w:ind w:left="851" w:right="851"/>
    </w:pPr>
    <w:rPr>
      <w:sz w:val="18"/>
    </w:rPr>
  </w:style>
  <w:style w:type="paragraph" w:customStyle="1" w:styleId="IPPNormal">
    <w:name w:val="IPP Normal"/>
    <w:basedOn w:val="Normal"/>
    <w:link w:val="IPPNormalChar"/>
    <w:qFormat/>
    <w:rsid w:val="00B541C4"/>
    <w:pPr>
      <w:spacing w:after="180"/>
    </w:pPr>
    <w:rPr>
      <w:rFonts w:eastAsia="Times"/>
    </w:rPr>
  </w:style>
  <w:style w:type="paragraph" w:customStyle="1" w:styleId="IPPIndentClose">
    <w:name w:val="IPP Indent Close"/>
    <w:basedOn w:val="IPPNormal"/>
    <w:qFormat/>
    <w:rsid w:val="00B541C4"/>
    <w:pPr>
      <w:tabs>
        <w:tab w:val="left" w:pos="2835"/>
      </w:tabs>
      <w:spacing w:after="60"/>
      <w:ind w:left="567"/>
    </w:pPr>
  </w:style>
  <w:style w:type="paragraph" w:customStyle="1" w:styleId="IPPIndent">
    <w:name w:val="IPP Indent"/>
    <w:basedOn w:val="IPPIndentClose"/>
    <w:qFormat/>
    <w:rsid w:val="00B541C4"/>
    <w:pPr>
      <w:spacing w:after="180"/>
    </w:pPr>
  </w:style>
  <w:style w:type="paragraph" w:customStyle="1" w:styleId="IPPFootnote">
    <w:name w:val="IPP Footnote"/>
    <w:basedOn w:val="IPPArialFootnote"/>
    <w:qFormat/>
    <w:rsid w:val="00B541C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541C4"/>
    <w:pPr>
      <w:keepNext/>
      <w:tabs>
        <w:tab w:val="left" w:pos="567"/>
      </w:tabs>
      <w:spacing w:before="120" w:after="120"/>
      <w:ind w:left="567" w:hanging="567"/>
    </w:pPr>
    <w:rPr>
      <w:b/>
      <w:i/>
    </w:rPr>
  </w:style>
  <w:style w:type="character" w:customStyle="1" w:styleId="IPPnormalitalics">
    <w:name w:val="IPP normal italics"/>
    <w:basedOn w:val="DefaultParagraphFont"/>
    <w:rsid w:val="00B541C4"/>
    <w:rPr>
      <w:rFonts w:ascii="Times New Roman" w:hAnsi="Times New Roman"/>
      <w:i/>
      <w:sz w:val="22"/>
      <w:lang w:val="en-US"/>
    </w:rPr>
  </w:style>
  <w:style w:type="character" w:customStyle="1" w:styleId="IPPNormalbold">
    <w:name w:val="IPP Normal bold"/>
    <w:basedOn w:val="PlainTextChar"/>
    <w:rsid w:val="00B541C4"/>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B541C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541C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541C4"/>
    <w:pPr>
      <w:keepNext/>
      <w:ind w:left="567" w:hanging="567"/>
      <w:jc w:val="left"/>
    </w:pPr>
    <w:rPr>
      <w:b/>
      <w:bCs/>
      <w:iCs/>
      <w:szCs w:val="22"/>
    </w:rPr>
  </w:style>
  <w:style w:type="character" w:customStyle="1" w:styleId="IPPNormalunderlined">
    <w:name w:val="IPP Normal underlined"/>
    <w:basedOn w:val="DefaultParagraphFont"/>
    <w:rsid w:val="00B541C4"/>
    <w:rPr>
      <w:rFonts w:ascii="Times New Roman" w:hAnsi="Times New Roman"/>
      <w:sz w:val="22"/>
      <w:u w:val="single"/>
      <w:lang w:val="en-US"/>
    </w:rPr>
  </w:style>
  <w:style w:type="paragraph" w:customStyle="1" w:styleId="IPPBullet1">
    <w:name w:val="IPP Bullet1"/>
    <w:basedOn w:val="IPPBullet1Last"/>
    <w:qFormat/>
    <w:rsid w:val="00B541C4"/>
    <w:pPr>
      <w:numPr>
        <w:numId w:val="22"/>
      </w:numPr>
      <w:spacing w:after="60"/>
      <w:ind w:left="567" w:hanging="567"/>
    </w:pPr>
    <w:rPr>
      <w:lang w:val="en-US"/>
    </w:rPr>
  </w:style>
  <w:style w:type="paragraph" w:customStyle="1" w:styleId="IPPBullet1Last">
    <w:name w:val="IPP Bullet1Last"/>
    <w:basedOn w:val="IPPNormal"/>
    <w:next w:val="IPPNormal"/>
    <w:autoRedefine/>
    <w:qFormat/>
    <w:rsid w:val="00B541C4"/>
    <w:pPr>
      <w:numPr>
        <w:numId w:val="10"/>
      </w:numPr>
    </w:pPr>
  </w:style>
  <w:style w:type="character" w:customStyle="1" w:styleId="IPPNormalstrikethrough">
    <w:name w:val="IPP Normal strikethrough"/>
    <w:rsid w:val="00B541C4"/>
    <w:rPr>
      <w:rFonts w:ascii="Times New Roman" w:hAnsi="Times New Roman"/>
      <w:strike/>
      <w:dstrike w:val="0"/>
      <w:sz w:val="22"/>
    </w:rPr>
  </w:style>
  <w:style w:type="paragraph" w:customStyle="1" w:styleId="IPPTitle16pt">
    <w:name w:val="IPP Title16pt"/>
    <w:basedOn w:val="Normal"/>
    <w:qFormat/>
    <w:rsid w:val="00B541C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541C4"/>
    <w:pPr>
      <w:spacing w:after="360"/>
      <w:jc w:val="center"/>
    </w:pPr>
    <w:rPr>
      <w:rFonts w:ascii="Arial" w:hAnsi="Arial" w:cs="Arial"/>
      <w:b/>
      <w:bCs/>
      <w:sz w:val="36"/>
      <w:szCs w:val="36"/>
    </w:rPr>
  </w:style>
  <w:style w:type="paragraph" w:customStyle="1" w:styleId="IPPHeader">
    <w:name w:val="IPP Header"/>
    <w:basedOn w:val="Normal"/>
    <w:qFormat/>
    <w:rsid w:val="00B541C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541C4"/>
    <w:pPr>
      <w:keepNext/>
      <w:tabs>
        <w:tab w:val="left" w:pos="567"/>
      </w:tabs>
      <w:spacing w:before="120"/>
      <w:jc w:val="left"/>
      <w:outlineLvl w:val="1"/>
    </w:pPr>
    <w:rPr>
      <w:b/>
      <w:sz w:val="24"/>
    </w:rPr>
  </w:style>
  <w:style w:type="numbering" w:customStyle="1" w:styleId="IPPParagraphnumberedlist">
    <w:name w:val="IPP Paragraph numbered list"/>
    <w:rsid w:val="00B541C4"/>
    <w:pPr>
      <w:numPr>
        <w:numId w:val="8"/>
      </w:numPr>
    </w:pPr>
  </w:style>
  <w:style w:type="paragraph" w:customStyle="1" w:styleId="IPPNormalCloseSpace">
    <w:name w:val="IPP NormalCloseSpace"/>
    <w:basedOn w:val="Normal"/>
    <w:qFormat/>
    <w:rsid w:val="00B541C4"/>
    <w:pPr>
      <w:keepNext/>
      <w:spacing w:after="60"/>
    </w:pPr>
  </w:style>
  <w:style w:type="paragraph" w:customStyle="1" w:styleId="IPPHeading2">
    <w:name w:val="IPP Heading2"/>
    <w:basedOn w:val="IPPNormal"/>
    <w:next w:val="IPPNormal"/>
    <w:qFormat/>
    <w:rsid w:val="00B541C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541C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541C4"/>
    <w:pPr>
      <w:tabs>
        <w:tab w:val="right" w:leader="dot" w:pos="9072"/>
      </w:tabs>
      <w:spacing w:before="240"/>
      <w:ind w:left="567" w:hanging="567"/>
    </w:pPr>
  </w:style>
  <w:style w:type="paragraph" w:styleId="TOC2">
    <w:name w:val="toc 2"/>
    <w:basedOn w:val="TOC1"/>
    <w:next w:val="Normal"/>
    <w:autoRedefine/>
    <w:uiPriority w:val="39"/>
    <w:rsid w:val="00B541C4"/>
    <w:pPr>
      <w:keepNext w:val="0"/>
      <w:tabs>
        <w:tab w:val="left" w:pos="425"/>
      </w:tabs>
      <w:spacing w:before="120" w:after="0"/>
      <w:ind w:left="425" w:right="284" w:hanging="425"/>
    </w:pPr>
  </w:style>
  <w:style w:type="paragraph" w:styleId="TOC3">
    <w:name w:val="toc 3"/>
    <w:basedOn w:val="TOC2"/>
    <w:next w:val="Normal"/>
    <w:autoRedefine/>
    <w:uiPriority w:val="39"/>
    <w:rsid w:val="00B541C4"/>
    <w:pPr>
      <w:tabs>
        <w:tab w:val="left" w:pos="1276"/>
      </w:tabs>
      <w:spacing w:before="60"/>
      <w:ind w:left="1276" w:hanging="851"/>
    </w:pPr>
    <w:rPr>
      <w:rFonts w:eastAsia="Times"/>
    </w:rPr>
  </w:style>
  <w:style w:type="paragraph" w:styleId="TOC4">
    <w:name w:val="toc 4"/>
    <w:basedOn w:val="Normal"/>
    <w:next w:val="Normal"/>
    <w:autoRedefine/>
    <w:uiPriority w:val="39"/>
    <w:rsid w:val="00B541C4"/>
    <w:pPr>
      <w:spacing w:after="120"/>
      <w:ind w:left="660"/>
    </w:pPr>
    <w:rPr>
      <w:rFonts w:eastAsia="Times"/>
      <w:lang w:val="en-AU"/>
    </w:rPr>
  </w:style>
  <w:style w:type="paragraph" w:styleId="TOC5">
    <w:name w:val="toc 5"/>
    <w:basedOn w:val="Normal"/>
    <w:next w:val="Normal"/>
    <w:autoRedefine/>
    <w:uiPriority w:val="39"/>
    <w:rsid w:val="00B541C4"/>
    <w:pPr>
      <w:spacing w:after="120"/>
      <w:ind w:left="880"/>
    </w:pPr>
    <w:rPr>
      <w:rFonts w:eastAsia="Times"/>
      <w:lang w:val="en-AU"/>
    </w:rPr>
  </w:style>
  <w:style w:type="paragraph" w:styleId="TOC6">
    <w:name w:val="toc 6"/>
    <w:basedOn w:val="Normal"/>
    <w:next w:val="Normal"/>
    <w:autoRedefine/>
    <w:uiPriority w:val="39"/>
    <w:rsid w:val="00B541C4"/>
    <w:pPr>
      <w:spacing w:after="120"/>
      <w:ind w:left="1100"/>
    </w:pPr>
    <w:rPr>
      <w:rFonts w:eastAsia="Times"/>
      <w:lang w:val="en-AU"/>
    </w:rPr>
  </w:style>
  <w:style w:type="paragraph" w:styleId="TOC7">
    <w:name w:val="toc 7"/>
    <w:basedOn w:val="Normal"/>
    <w:next w:val="Normal"/>
    <w:autoRedefine/>
    <w:uiPriority w:val="39"/>
    <w:rsid w:val="00B541C4"/>
    <w:pPr>
      <w:spacing w:after="120"/>
      <w:ind w:left="1320"/>
    </w:pPr>
    <w:rPr>
      <w:rFonts w:eastAsia="Times"/>
      <w:lang w:val="en-AU"/>
    </w:rPr>
  </w:style>
  <w:style w:type="paragraph" w:styleId="TOC8">
    <w:name w:val="toc 8"/>
    <w:basedOn w:val="Normal"/>
    <w:next w:val="Normal"/>
    <w:autoRedefine/>
    <w:uiPriority w:val="39"/>
    <w:rsid w:val="00B541C4"/>
    <w:pPr>
      <w:spacing w:after="120"/>
      <w:ind w:left="1540"/>
    </w:pPr>
    <w:rPr>
      <w:rFonts w:eastAsia="Times"/>
      <w:lang w:val="en-AU"/>
    </w:rPr>
  </w:style>
  <w:style w:type="paragraph" w:styleId="TOC9">
    <w:name w:val="toc 9"/>
    <w:basedOn w:val="Normal"/>
    <w:next w:val="Normal"/>
    <w:autoRedefine/>
    <w:uiPriority w:val="39"/>
    <w:rsid w:val="00B541C4"/>
    <w:pPr>
      <w:spacing w:after="120"/>
      <w:ind w:left="1760"/>
    </w:pPr>
    <w:rPr>
      <w:rFonts w:eastAsia="Times"/>
      <w:lang w:val="en-AU"/>
    </w:rPr>
  </w:style>
  <w:style w:type="paragraph" w:customStyle="1" w:styleId="IPPReferences">
    <w:name w:val="IPP References"/>
    <w:basedOn w:val="IPPNormal"/>
    <w:qFormat/>
    <w:rsid w:val="00B541C4"/>
    <w:pPr>
      <w:spacing w:after="60"/>
      <w:ind w:left="567" w:hanging="567"/>
    </w:pPr>
  </w:style>
  <w:style w:type="paragraph" w:customStyle="1" w:styleId="IPPArial">
    <w:name w:val="IPP Arial"/>
    <w:basedOn w:val="IPPNormal"/>
    <w:qFormat/>
    <w:rsid w:val="00B541C4"/>
    <w:pPr>
      <w:spacing w:after="0"/>
    </w:pPr>
    <w:rPr>
      <w:rFonts w:ascii="Arial" w:hAnsi="Arial"/>
      <w:sz w:val="18"/>
    </w:rPr>
  </w:style>
  <w:style w:type="paragraph" w:customStyle="1" w:styleId="IPPArialTable">
    <w:name w:val="IPP Arial Table"/>
    <w:basedOn w:val="IPPArial"/>
    <w:qFormat/>
    <w:rsid w:val="00B541C4"/>
    <w:pPr>
      <w:spacing w:before="60" w:after="60"/>
      <w:jc w:val="left"/>
    </w:pPr>
  </w:style>
  <w:style w:type="paragraph" w:customStyle="1" w:styleId="IPPHeaderlandscape">
    <w:name w:val="IPP Header landscape"/>
    <w:basedOn w:val="IPPHeader"/>
    <w:qFormat/>
    <w:rsid w:val="00B541C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541C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541C4"/>
    <w:rPr>
      <w:rFonts w:ascii="Courier" w:eastAsia="Times" w:hAnsi="Courier"/>
      <w:sz w:val="21"/>
      <w:szCs w:val="21"/>
      <w:lang w:val="en-AU" w:eastAsia="en-US"/>
    </w:rPr>
  </w:style>
  <w:style w:type="paragraph" w:customStyle="1" w:styleId="IPPLetterList">
    <w:name w:val="IPP LetterList"/>
    <w:basedOn w:val="IPPBullet2"/>
    <w:qFormat/>
    <w:rsid w:val="00B541C4"/>
    <w:pPr>
      <w:tabs>
        <w:tab w:val="num" w:pos="1134"/>
      </w:tabs>
      <w:jc w:val="left"/>
    </w:pPr>
  </w:style>
  <w:style w:type="paragraph" w:customStyle="1" w:styleId="IPPLetterListIndent">
    <w:name w:val="IPP LetterList Indent"/>
    <w:basedOn w:val="IPPLetterList"/>
    <w:qFormat/>
    <w:rsid w:val="00B541C4"/>
    <w:pPr>
      <w:numPr>
        <w:numId w:val="6"/>
      </w:numPr>
    </w:pPr>
  </w:style>
  <w:style w:type="paragraph" w:customStyle="1" w:styleId="IPPFooterLandscape">
    <w:name w:val="IPP Footer Landscape"/>
    <w:basedOn w:val="IPPHeaderlandscape"/>
    <w:qFormat/>
    <w:rsid w:val="00B541C4"/>
    <w:pPr>
      <w:pBdr>
        <w:top w:val="single" w:sz="4" w:space="1" w:color="auto"/>
        <w:bottom w:val="none" w:sz="0" w:space="0" w:color="auto"/>
      </w:pBdr>
      <w:jc w:val="right"/>
    </w:pPr>
    <w:rPr>
      <w:b/>
    </w:rPr>
  </w:style>
  <w:style w:type="paragraph" w:customStyle="1" w:styleId="IPPSubheadSpace">
    <w:name w:val="IPP Subhead Space"/>
    <w:basedOn w:val="IPPSubhead"/>
    <w:qFormat/>
    <w:rsid w:val="00B541C4"/>
    <w:pPr>
      <w:tabs>
        <w:tab w:val="left" w:pos="567"/>
      </w:tabs>
      <w:spacing w:before="60" w:after="60"/>
    </w:pPr>
  </w:style>
  <w:style w:type="paragraph" w:customStyle="1" w:styleId="IPPSubheadSpaceAfter">
    <w:name w:val="IPP Subhead SpaceAfter"/>
    <w:basedOn w:val="IPPSubhead"/>
    <w:qFormat/>
    <w:rsid w:val="00B541C4"/>
    <w:pPr>
      <w:spacing w:after="60"/>
    </w:pPr>
  </w:style>
  <w:style w:type="paragraph" w:customStyle="1" w:styleId="IPPHdg1Num">
    <w:name w:val="IPP Hdg1Num"/>
    <w:basedOn w:val="IPPHeading1"/>
    <w:next w:val="IPPNormal"/>
    <w:qFormat/>
    <w:rsid w:val="00B541C4"/>
    <w:pPr>
      <w:numPr>
        <w:numId w:val="11"/>
      </w:numPr>
    </w:pPr>
  </w:style>
  <w:style w:type="paragraph" w:customStyle="1" w:styleId="IPPHdg2Num">
    <w:name w:val="IPP Hdg2Num"/>
    <w:basedOn w:val="IPPHeading2"/>
    <w:next w:val="IPPNormal"/>
    <w:qFormat/>
    <w:rsid w:val="00B541C4"/>
    <w:pPr>
      <w:numPr>
        <w:ilvl w:val="1"/>
        <w:numId w:val="12"/>
      </w:numPr>
    </w:pPr>
  </w:style>
  <w:style w:type="paragraph" w:customStyle="1" w:styleId="IPPNumberedList">
    <w:name w:val="IPP NumberedList"/>
    <w:basedOn w:val="IPPBullet1"/>
    <w:qFormat/>
    <w:rsid w:val="00B541C4"/>
    <w:pPr>
      <w:numPr>
        <w:numId w:val="20"/>
      </w:numPr>
    </w:pPr>
  </w:style>
  <w:style w:type="paragraph" w:customStyle="1" w:styleId="IPPParagraphnumbering">
    <w:name w:val="IPP Paragraph numbering"/>
    <w:basedOn w:val="IPPNormal"/>
    <w:qFormat/>
    <w:rsid w:val="00B541C4"/>
    <w:pPr>
      <w:numPr>
        <w:numId w:val="19"/>
      </w:numPr>
    </w:pPr>
    <w:rPr>
      <w:lang w:val="en-US"/>
    </w:rPr>
  </w:style>
  <w:style w:type="paragraph" w:customStyle="1" w:styleId="IPPParagraphnumberingclose">
    <w:name w:val="IPP Paragraph numbering close"/>
    <w:basedOn w:val="IPPParagraphnumbering"/>
    <w:qFormat/>
    <w:rsid w:val="00B541C4"/>
    <w:pPr>
      <w:keepNext/>
      <w:spacing w:after="60"/>
    </w:pPr>
  </w:style>
  <w:style w:type="paragraph" w:customStyle="1" w:styleId="IPPNumberedListLast">
    <w:name w:val="IPP NumberedListLast"/>
    <w:basedOn w:val="IPPNumberedList"/>
    <w:qFormat/>
    <w:rsid w:val="00B541C4"/>
    <w:pPr>
      <w:spacing w:after="180"/>
    </w:pPr>
  </w:style>
  <w:style w:type="character" w:customStyle="1" w:styleId="IPPNormalChar">
    <w:name w:val="IPP Normal Char"/>
    <w:link w:val="IPPNormal"/>
    <w:rsid w:val="00B541C4"/>
    <w:rPr>
      <w:rFonts w:eastAsia="Times"/>
      <w:sz w:val="22"/>
      <w:szCs w:val="24"/>
      <w:lang w:val="en-GB" w:eastAsia="en-US"/>
    </w:rPr>
  </w:style>
  <w:style w:type="paragraph" w:styleId="NoSpacing">
    <w:name w:val="No Spacing"/>
    <w:uiPriority w:val="1"/>
    <w:qFormat/>
    <w:rsid w:val="00B541C4"/>
    <w:rPr>
      <w:rFonts w:asciiTheme="minorHAnsi" w:eastAsiaTheme="minorHAnsi" w:hAnsiTheme="minorHAnsi" w:cstheme="minorBidi"/>
      <w:sz w:val="22"/>
      <w:szCs w:val="22"/>
      <w:lang w:val="ru-RU" w:eastAsia="en-US"/>
    </w:rPr>
  </w:style>
  <w:style w:type="paragraph" w:styleId="Revision">
    <w:name w:val="Revision"/>
    <w:hidden/>
    <w:uiPriority w:val="99"/>
    <w:semiHidden/>
    <w:rsid w:val="00B541C4"/>
    <w:rPr>
      <w:rFonts w:eastAsia="MS Mincho"/>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D2039-929C-4C40-86C3-74BA2C8A1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2FF3D-66FC-4849-9F4D-568786BEAF14}">
  <ds:schemaRefs>
    <ds:schemaRef ds:uri="http://schemas.openxmlformats.org/officeDocument/2006/bibliography"/>
  </ds:schemaRefs>
</ds:datastoreItem>
</file>

<file path=customXml/itemProps3.xml><?xml version="1.0" encoding="utf-8"?>
<ds:datastoreItem xmlns:ds="http://schemas.openxmlformats.org/officeDocument/2006/customXml" ds:itemID="{DB247827-2321-4E3A-A728-5F6DED4994F4}">
  <ds:schemaRefs>
    <ds:schemaRef ds:uri="ea6feb38-a85a-45e8-92e9-814486bbe375"/>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a05d7f75-f42e-4288-8809-604fd4d9691f"/>
    <ds:schemaRef ds:uri="http://www.w3.org/XML/1998/namespace"/>
  </ds:schemaRefs>
</ds:datastoreItem>
</file>

<file path=customXml/itemProps4.xml><?xml version="1.0" encoding="utf-8"?>
<ds:datastoreItem xmlns:ds="http://schemas.openxmlformats.org/officeDocument/2006/customXml" ds:itemID="{0D337B2A-249C-4CB1-A979-7B56983214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Template_MeetingDocuments_2025-01-14 (1) - Copy</Template>
  <TotalTime>31</TotalTime>
  <Pages>5</Pages>
  <Words>2279</Words>
  <Characters>12995</Characters>
  <Application>Microsoft Office Word</Application>
  <DocSecurity>0</DocSecurity>
  <Lines>108</Lines>
  <Paragraphs>30</Paragraphs>
  <ScaleCrop>false</ScaleCrop>
  <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Antarjo Dikin</dc:creator>
  <cp:lastModifiedBy>Cassin, Aoife (NSPD)</cp:lastModifiedBy>
  <cp:revision>13</cp:revision>
  <dcterms:created xsi:type="dcterms:W3CDTF">2025-09-25T09:15:00Z</dcterms:created>
  <dcterms:modified xsi:type="dcterms:W3CDTF">2025-10-06T08:39:00Z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2057-12.2.0.21931</vt:lpwstr>
  </property>
  <property fmtid="{D5CDD505-2E9C-101B-9397-08002B2CF9AE}" pid="3" name="ICV">
    <vt:lpwstr>7CA1A5F0B32E47E1920E90E34AB7E195_13</vt:lpwstr>
  </property>
  <property fmtid="{D5CDD505-2E9C-101B-9397-08002B2CF9AE}" pid="4" name="ContentTypeId">
    <vt:lpwstr>0x010100299519679B1A8B4091DBA33CE26F55F5</vt:lpwstr>
  </property>
  <property fmtid="{D5CDD505-2E9C-101B-9397-08002B2CF9AE}" pid="5" name="MediaServiceImageTags">
    <vt:lpwstr/>
  </property>
</Properties>
</file>