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50013" w14:textId="77777777" w:rsidR="001A54BC" w:rsidRPr="0010621C" w:rsidRDefault="001A54BC" w:rsidP="001A54BC">
      <w:pPr>
        <w:pStyle w:val="IPPHeadSection"/>
        <w:jc w:val="center"/>
        <w:rPr>
          <w:smallCaps/>
        </w:rPr>
      </w:pPr>
      <w:bookmarkStart w:id="0" w:name="_Toc210831706"/>
      <w:bookmarkStart w:id="1" w:name="_Hlk38797077"/>
      <w:r w:rsidRPr="0010621C">
        <w:t>Commission on Phytosanitary Measures</w:t>
      </w:r>
    </w:p>
    <w:p w14:paraId="26709EBD" w14:textId="77777777" w:rsidR="001A54BC" w:rsidRDefault="001A54BC" w:rsidP="001A54BC">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w:t>
      </w:r>
    </w:p>
    <w:p w14:paraId="0D26CB46" w14:textId="5379DFC3" w:rsidR="0033372E" w:rsidRDefault="006D5A94" w:rsidP="00D84789">
      <w:pPr>
        <w:pStyle w:val="IPPHeadSection"/>
        <w:tabs>
          <w:tab w:val="clear" w:pos="851"/>
        </w:tabs>
        <w:ind w:left="0" w:firstLine="0"/>
        <w:jc w:val="center"/>
      </w:pPr>
      <w:r>
        <w:t>building and strengthening plant health diagnostic network</w:t>
      </w:r>
      <w:r w:rsidR="00D60CE4">
        <w:t>s</w:t>
      </w:r>
      <w:r w:rsidR="00C22523">
        <w:t>: a global approach</w:t>
      </w:r>
      <w:bookmarkEnd w:id="0"/>
    </w:p>
    <w:p w14:paraId="7A281F35" w14:textId="77777777" w:rsidR="00AC13DB" w:rsidRPr="00AC13DB" w:rsidRDefault="00AC13DB" w:rsidP="00AC13DB"/>
    <w:p w14:paraId="0DD21731" w14:textId="5F930955" w:rsidR="00A64DA6" w:rsidRDefault="00F14A9F" w:rsidP="604A1900">
      <w:pPr>
        <w:pStyle w:val="IPPNormal"/>
        <w:jc w:val="center"/>
        <w:rPr>
          <w:i/>
          <w:iCs/>
        </w:rPr>
      </w:pPr>
      <w:r w:rsidRPr="604A1900">
        <w:rPr>
          <w:i/>
          <w:iCs/>
        </w:rPr>
        <w:t>(Pre</w:t>
      </w:r>
      <w:r w:rsidR="005E53FD" w:rsidRPr="604A1900">
        <w:rPr>
          <w:i/>
          <w:iCs/>
        </w:rPr>
        <w:t xml:space="preserve">pared by </w:t>
      </w:r>
      <w:r w:rsidR="002A54F0" w:rsidRPr="604A1900">
        <w:rPr>
          <w:i/>
          <w:iCs/>
        </w:rPr>
        <w:t>Nolan AFRICANDER, in-kind consultant from South Africa</w:t>
      </w:r>
      <w:r w:rsidRPr="604A1900">
        <w:rPr>
          <w:i/>
          <w:iCs/>
        </w:rPr>
        <w:t>)</w:t>
      </w:r>
      <w:bookmarkEnd w:id="1"/>
    </w:p>
    <w:p w14:paraId="2D7F349B" w14:textId="77777777" w:rsidR="00976876" w:rsidRDefault="00976876" w:rsidP="00976876">
      <w:pPr>
        <w:pStyle w:val="IPPHeading1"/>
      </w:pPr>
    </w:p>
    <w:p w14:paraId="47145E9E" w14:textId="47088911" w:rsidR="00976876" w:rsidRDefault="00976876" w:rsidP="00976876">
      <w:pPr>
        <w:pStyle w:val="IPPHeading1"/>
      </w:pPr>
      <w:bookmarkStart w:id="2" w:name="_Toc210831707"/>
      <w:r>
        <w:t>Background</w:t>
      </w:r>
      <w:bookmarkEnd w:id="2"/>
    </w:p>
    <w:p w14:paraId="2019E5E5" w14:textId="77777777" w:rsidR="00F60E3D" w:rsidRDefault="00E82825" w:rsidP="00F60E3D">
      <w:pPr>
        <w:pStyle w:val="IPPParagraphnumbering"/>
      </w:pPr>
      <w:r w:rsidRPr="00E82825">
        <w:t xml:space="preserve">The </w:t>
      </w:r>
      <w:hyperlink r:id="rId11" w:history="1">
        <w:r w:rsidRPr="00AB0B36">
          <w:rPr>
            <w:rStyle w:val="Hyperlink"/>
            <w:rFonts w:eastAsiaTheme="minorEastAsia"/>
            <w:lang w:val="en-GB"/>
          </w:rPr>
          <w:t>IPPC Strategic Framework 2020–2030</w:t>
        </w:r>
      </w:hyperlink>
      <w:r w:rsidRPr="00E82825">
        <w:t xml:space="preserve"> identifies the development of a global network of diagnostic laboratory services and diagnostic protocols as a priority to support timely and reliable plant pest identification. </w:t>
      </w:r>
    </w:p>
    <w:p w14:paraId="3188F944" w14:textId="77777777" w:rsidR="00DD3814" w:rsidRDefault="00E82825" w:rsidP="009554AE">
      <w:pPr>
        <w:pStyle w:val="IPPParagraphnumbering"/>
        <w:rPr>
          <w:rFonts w:eastAsiaTheme="minorEastAsia"/>
        </w:rPr>
      </w:pPr>
      <w:r w:rsidRPr="00E82825">
        <w:rPr>
          <w:rFonts w:eastAsiaTheme="minorEastAsia"/>
          <w:lang w:val="en-GB"/>
        </w:rPr>
        <w:t>To advance this agenda</w:t>
      </w:r>
      <w:r w:rsidR="004B1081">
        <w:rPr>
          <w:rFonts w:eastAsiaTheme="minorEastAsia"/>
        </w:rPr>
        <w:t xml:space="preserve"> item</w:t>
      </w:r>
      <w:r w:rsidRPr="00E82825">
        <w:rPr>
          <w:rFonts w:eastAsiaTheme="minorEastAsia"/>
          <w:lang w:val="en-GB"/>
        </w:rPr>
        <w:t xml:space="preserve">, the IPPC Secretariat initiated work in 2021 by drafting terms of reference for an international consultant to gather information on existing laboratory networks, best practices, and expectations from NPPOs. This included literature reviews, stakeholder interviews, and a gap analysis. </w:t>
      </w:r>
    </w:p>
    <w:p w14:paraId="7F8F5F21" w14:textId="056EE931" w:rsidR="009411F4" w:rsidRPr="009411F4" w:rsidRDefault="009411F4" w:rsidP="00F879E5">
      <w:pPr>
        <w:pStyle w:val="IPPParagraphnumbering"/>
        <w:rPr>
          <w:rFonts w:eastAsiaTheme="minorEastAsia"/>
        </w:rPr>
      </w:pPr>
      <w:r w:rsidRPr="009411F4">
        <w:rPr>
          <w:lang w:val="en-GB"/>
        </w:rPr>
        <w:t>The international consultant, Nolan Africander</w:t>
      </w:r>
      <w:r>
        <w:rPr>
          <w:lang w:val="en-GB"/>
        </w:rPr>
        <w:t xml:space="preserve">, </w:t>
      </w:r>
      <w:r w:rsidRPr="009411F4">
        <w:rPr>
          <w:lang w:val="en-GB"/>
        </w:rPr>
        <w:t>provided as an in-kind contribution by the South African NPPO</w:t>
      </w:r>
      <w:r>
        <w:rPr>
          <w:lang w:val="en-GB"/>
        </w:rPr>
        <w:t xml:space="preserve">, </w:t>
      </w:r>
      <w:r w:rsidRPr="009411F4">
        <w:rPr>
          <w:lang w:val="en-GB"/>
        </w:rPr>
        <w:t>began work in early 2025 with a case study of South Africa’s diagnostic laboratory network. This was followed by a broader literature review and a series of interviews with several NPPOs and RPPOs to gather insights into the status, operations, and practices of existing laboratory networks. The resulting report, containing initial findings and recommendations, is presented in this paper for the attention of the SPG.</w:t>
      </w:r>
    </w:p>
    <w:p w14:paraId="1630D242" w14:textId="79B3CA2C" w:rsidR="00AC13DB" w:rsidRDefault="00CB104D" w:rsidP="604A1900">
      <w:pPr>
        <w:pStyle w:val="IPPParagraphnumbering"/>
        <w:rPr>
          <w:rFonts w:eastAsiaTheme="minorEastAsia"/>
        </w:rPr>
      </w:pPr>
      <w:r w:rsidRPr="604A1900">
        <w:rPr>
          <w:rFonts w:eastAsiaTheme="minorEastAsia"/>
        </w:rPr>
        <w:t xml:space="preserve">Following the decision by CPM-17 (2023) to establish a Focus Group on Diagnostic Laboratory Networking, and the subsequent adoption of its </w:t>
      </w:r>
      <w:hyperlink r:id="rId12" w:history="1">
        <w:r w:rsidR="00510167" w:rsidRPr="002357EE">
          <w:rPr>
            <w:rStyle w:val="Hyperlink"/>
          </w:rPr>
          <w:t>Terms of Reference</w:t>
        </w:r>
      </w:hyperlink>
      <w:r w:rsidR="00510167" w:rsidRPr="002357EE">
        <w:rPr>
          <w:rStyle w:val="FootnoteReference"/>
        </w:rPr>
        <w:footnoteReference w:id="1"/>
      </w:r>
      <w:r w:rsidR="00510167" w:rsidRPr="002357EE">
        <w:t xml:space="preserve"> </w:t>
      </w:r>
      <w:r w:rsidRPr="604A1900">
        <w:rPr>
          <w:rFonts w:eastAsiaTheme="minorEastAsia"/>
        </w:rPr>
        <w:t xml:space="preserve">by CPM-18 (2024), the IPPC Secretariat launched a </w:t>
      </w:r>
      <w:hyperlink r:id="rId13" w:history="1">
        <w:r w:rsidR="00F879E5" w:rsidRPr="604A1900">
          <w:rPr>
            <w:rStyle w:val="Hyperlink"/>
            <w:rFonts w:eastAsiaTheme="minorEastAsia"/>
          </w:rPr>
          <w:t>C</w:t>
        </w:r>
        <w:r w:rsidRPr="604A1900">
          <w:rPr>
            <w:rStyle w:val="Hyperlink"/>
            <w:rFonts w:eastAsiaTheme="minorEastAsia"/>
          </w:rPr>
          <w:t xml:space="preserve">all for </w:t>
        </w:r>
        <w:r w:rsidR="00F879E5" w:rsidRPr="604A1900">
          <w:rPr>
            <w:rStyle w:val="Hyperlink"/>
            <w:rFonts w:eastAsiaTheme="minorEastAsia"/>
          </w:rPr>
          <w:t>E</w:t>
        </w:r>
        <w:r w:rsidRPr="604A1900">
          <w:rPr>
            <w:rStyle w:val="Hyperlink"/>
            <w:rFonts w:eastAsiaTheme="minorEastAsia"/>
          </w:rPr>
          <w:t>xperts</w:t>
        </w:r>
      </w:hyperlink>
      <w:r w:rsidR="009D7E42" w:rsidRPr="604A1900">
        <w:rPr>
          <w:rStyle w:val="FootnoteReference"/>
          <w:rFonts w:eastAsiaTheme="minorEastAsia"/>
        </w:rPr>
        <w:footnoteReference w:id="2"/>
      </w:r>
      <w:r w:rsidRPr="604A1900">
        <w:rPr>
          <w:rFonts w:eastAsiaTheme="minorEastAsia"/>
        </w:rPr>
        <w:t xml:space="preserve">. The call yielded </w:t>
      </w:r>
      <w:r w:rsidR="00064A4F" w:rsidRPr="604A1900">
        <w:rPr>
          <w:rFonts w:eastAsiaTheme="minorEastAsia"/>
        </w:rPr>
        <w:t>several</w:t>
      </w:r>
      <w:r w:rsidRPr="604A1900">
        <w:rPr>
          <w:rFonts w:eastAsiaTheme="minorEastAsia"/>
        </w:rPr>
        <w:t xml:space="preserve"> nominations with strong regional </w:t>
      </w:r>
      <w:proofErr w:type="gramStart"/>
      <w:r w:rsidR="0023002C" w:rsidRPr="604A1900">
        <w:rPr>
          <w:rFonts w:eastAsiaTheme="minorEastAsia"/>
        </w:rPr>
        <w:t>representation</w:t>
      </w:r>
      <w:proofErr w:type="gramEnd"/>
      <w:r w:rsidR="0023002C" w:rsidRPr="604A1900">
        <w:rPr>
          <w:rFonts w:eastAsiaTheme="minorEastAsia"/>
        </w:rPr>
        <w:t xml:space="preserve"> </w:t>
      </w:r>
      <w:r w:rsidR="00064A4F" w:rsidRPr="604A1900">
        <w:rPr>
          <w:rFonts w:eastAsiaTheme="minorEastAsia"/>
        </w:rPr>
        <w:t>and,</w:t>
      </w:r>
      <w:r w:rsidRPr="604A1900">
        <w:rPr>
          <w:rFonts w:eastAsiaTheme="minorEastAsia"/>
        </w:rPr>
        <w:t xml:space="preserve"> </w:t>
      </w:r>
      <w:r w:rsidR="00064A4F" w:rsidRPr="604A1900">
        <w:rPr>
          <w:rFonts w:eastAsiaTheme="minorEastAsia"/>
        </w:rPr>
        <w:t>a</w:t>
      </w:r>
      <w:r w:rsidRPr="604A1900">
        <w:rPr>
          <w:rFonts w:eastAsiaTheme="minorEastAsia"/>
        </w:rPr>
        <w:t xml:space="preserve">t the time of this paper’s submission, the CPM Bureau is in the process of </w:t>
      </w:r>
      <w:r w:rsidR="00064A4F" w:rsidRPr="604A1900">
        <w:rPr>
          <w:rFonts w:eastAsiaTheme="minorEastAsia"/>
        </w:rPr>
        <w:t>finalizing the selection</w:t>
      </w:r>
      <w:r w:rsidRPr="604A1900">
        <w:rPr>
          <w:rFonts w:eastAsiaTheme="minorEastAsia"/>
        </w:rPr>
        <w:t xml:space="preserve">. The group is </w:t>
      </w:r>
      <w:r w:rsidR="5FBEABD2" w:rsidRPr="604A1900">
        <w:rPr>
          <w:rFonts w:eastAsiaTheme="minorEastAsia"/>
        </w:rPr>
        <w:t xml:space="preserve">now </w:t>
      </w:r>
      <w:r w:rsidRPr="604A1900">
        <w:rPr>
          <w:rFonts w:eastAsiaTheme="minorEastAsia"/>
        </w:rPr>
        <w:t>expected to hold its first in-person meeting in the second quarter of 2026 and will develop an implementation plan and defin</w:t>
      </w:r>
      <w:r w:rsidR="00A953F7" w:rsidRPr="604A1900">
        <w:rPr>
          <w:rFonts w:eastAsiaTheme="minorEastAsia"/>
        </w:rPr>
        <w:t>e</w:t>
      </w:r>
      <w:r w:rsidRPr="604A1900">
        <w:rPr>
          <w:rFonts w:eastAsiaTheme="minorEastAsia"/>
        </w:rPr>
        <w:t xml:space="preserve"> the scope of IPPC laboratory diagnostic networking</w:t>
      </w:r>
      <w:r w:rsidR="00F879E5" w:rsidRPr="604A1900">
        <w:rPr>
          <w:rFonts w:eastAsiaTheme="minorEastAsia"/>
        </w:rPr>
        <w:t xml:space="preserve">, building on the findings and recommendations of </w:t>
      </w:r>
      <w:r w:rsidR="007578B2" w:rsidRPr="604A1900">
        <w:rPr>
          <w:rFonts w:eastAsiaTheme="minorEastAsia"/>
        </w:rPr>
        <w:t>the</w:t>
      </w:r>
      <w:r w:rsidR="00F879E5" w:rsidRPr="604A1900">
        <w:rPr>
          <w:rFonts w:eastAsiaTheme="minorEastAsia"/>
        </w:rPr>
        <w:t xml:space="preserve"> report presented in this paper.</w:t>
      </w:r>
      <w:r w:rsidR="44352FEF" w:rsidRPr="604A1900">
        <w:rPr>
          <w:rFonts w:eastAsiaTheme="minorEastAsia"/>
        </w:rPr>
        <w:t xml:space="preserve"> To point out that virtual meetings will be called for the focus group to meet. </w:t>
      </w:r>
    </w:p>
    <w:p w14:paraId="7A2A89D9" w14:textId="77777777" w:rsidR="0089154B" w:rsidRDefault="0089154B" w:rsidP="008C4C1B">
      <w:pPr>
        <w:pStyle w:val="IPPHeading1"/>
      </w:pPr>
      <w:bookmarkStart w:id="3" w:name="_Toc210831708"/>
      <w:r>
        <w:t>Recommendations</w:t>
      </w:r>
      <w:bookmarkEnd w:id="3"/>
    </w:p>
    <w:p w14:paraId="5A8F7C6F" w14:textId="77777777" w:rsidR="009739C6" w:rsidRPr="009739C6" w:rsidRDefault="009739C6" w:rsidP="009739C6">
      <w:pPr>
        <w:pStyle w:val="IPPParagraphnumbering"/>
        <w:spacing w:after="60"/>
        <w:rPr>
          <w:lang w:val="en-GB"/>
        </w:rPr>
      </w:pPr>
      <w:r w:rsidRPr="009739C6">
        <w:rPr>
          <w:lang w:val="en-GB"/>
        </w:rPr>
        <w:t>The SPG is invited to:</w:t>
      </w:r>
    </w:p>
    <w:p w14:paraId="7EF960DE" w14:textId="434DE511" w:rsidR="00BB2460" w:rsidRDefault="00251DEE" w:rsidP="00320B09">
      <w:pPr>
        <w:pStyle w:val="IPPNumberedList"/>
      </w:pPr>
      <w:r>
        <w:rPr>
          <w:i/>
          <w:iCs/>
        </w:rPr>
        <w:t>review</w:t>
      </w:r>
      <w:r w:rsidR="00BB2460" w:rsidRPr="00BB2460">
        <w:rPr>
          <w:i/>
          <w:iCs/>
        </w:rPr>
        <w:t xml:space="preserve"> </w:t>
      </w:r>
      <w:r>
        <w:t xml:space="preserve">the </w:t>
      </w:r>
      <w:r w:rsidR="00CD205B" w:rsidRPr="00CD205B">
        <w:rPr>
          <w:lang w:val="en-GB"/>
        </w:rPr>
        <w:t xml:space="preserve">consultant’s report presented in this </w:t>
      </w:r>
      <w:proofErr w:type="gramStart"/>
      <w:r w:rsidR="00CD205B" w:rsidRPr="00CD205B">
        <w:rPr>
          <w:lang w:val="en-GB"/>
        </w:rPr>
        <w:t>paper</w:t>
      </w:r>
      <w:r w:rsidR="00BB2460">
        <w:t>;</w:t>
      </w:r>
      <w:proofErr w:type="gramEnd"/>
    </w:p>
    <w:p w14:paraId="7EEBCF70" w14:textId="15C8A91F" w:rsidR="00A953F7" w:rsidRDefault="00A953F7" w:rsidP="00320B09">
      <w:pPr>
        <w:pStyle w:val="IPPNumberedList"/>
      </w:pPr>
      <w:r w:rsidRPr="00DB01C2">
        <w:rPr>
          <w:i/>
          <w:iCs/>
        </w:rPr>
        <w:t>provide</w:t>
      </w:r>
      <w:r>
        <w:t xml:space="preserve"> </w:t>
      </w:r>
      <w:r w:rsidR="00CD205B" w:rsidRPr="00CD205B">
        <w:rPr>
          <w:lang w:val="en-GB"/>
        </w:rPr>
        <w:t>comments and feedback on its findings and recommendations</w:t>
      </w:r>
      <w:r w:rsidR="00DB01C2">
        <w:t>;</w:t>
      </w:r>
      <w:r w:rsidR="00CD205B">
        <w:t xml:space="preserve"> and</w:t>
      </w:r>
    </w:p>
    <w:p w14:paraId="75C8D609" w14:textId="14ECAD5A" w:rsidR="00DB01C2" w:rsidRPr="00B05CFF" w:rsidRDefault="00DB01C2" w:rsidP="604A1900">
      <w:pPr>
        <w:pStyle w:val="IPPNumberedList"/>
        <w:rPr>
          <w:rFonts w:eastAsiaTheme="minorEastAsia"/>
        </w:rPr>
      </w:pPr>
      <w:r w:rsidRPr="604A1900">
        <w:rPr>
          <w:i/>
          <w:iCs/>
        </w:rPr>
        <w:lastRenderedPageBreak/>
        <w:t>provide</w:t>
      </w:r>
      <w:r>
        <w:t xml:space="preserve"> </w:t>
      </w:r>
      <w:r w:rsidR="002E013D" w:rsidRPr="604A1900">
        <w:rPr>
          <w:lang w:val="en-GB"/>
        </w:rPr>
        <w:t xml:space="preserve">strategic direction for the work of the Focus Group on Diagnostic Laboratory </w:t>
      </w:r>
      <w:proofErr w:type="gramStart"/>
      <w:r w:rsidR="002E013D" w:rsidRPr="604A1900">
        <w:rPr>
          <w:lang w:val="en-GB"/>
        </w:rPr>
        <w:t>Networking</w:t>
      </w:r>
      <w:r w:rsidR="13C0AC19" w:rsidRPr="604A1900">
        <w:rPr>
          <w:lang w:val="en-GB"/>
        </w:rPr>
        <w:t>;</w:t>
      </w:r>
      <w:proofErr w:type="gramEnd"/>
    </w:p>
    <w:p w14:paraId="2762C36F" w14:textId="494600BB" w:rsidR="13C0AC19" w:rsidRDefault="13C0AC19" w:rsidP="604A1900">
      <w:pPr>
        <w:pStyle w:val="IPPNumberedList"/>
        <w:rPr>
          <w:rFonts w:eastAsiaTheme="minorEastAsia"/>
          <w:lang w:val="en-GB"/>
        </w:rPr>
      </w:pPr>
      <w:r w:rsidRPr="604A1900">
        <w:rPr>
          <w:rFonts w:eastAsiaTheme="minorEastAsia"/>
          <w:i/>
          <w:iCs/>
          <w:lang w:val="en-GB"/>
        </w:rPr>
        <w:t>consider</w:t>
      </w:r>
      <w:r w:rsidRPr="604A1900">
        <w:rPr>
          <w:rFonts w:eastAsiaTheme="minorEastAsia"/>
          <w:lang w:val="en-GB"/>
        </w:rPr>
        <w:t xml:space="preserve"> funding options and financial contributions for the work of the focus group.</w:t>
      </w:r>
    </w:p>
    <w:p w14:paraId="5028861A" w14:textId="77777777" w:rsidR="008A6DD4" w:rsidRPr="00F879E5" w:rsidRDefault="008A6DD4" w:rsidP="00A953F7">
      <w:pPr>
        <w:pStyle w:val="IPPParagraphnumbering"/>
        <w:numPr>
          <w:ilvl w:val="0"/>
          <w:numId w:val="0"/>
        </w:numPr>
        <w:rPr>
          <w:rFonts w:eastAsiaTheme="minorEastAsia"/>
        </w:rPr>
      </w:pPr>
    </w:p>
    <w:p w14:paraId="71886591" w14:textId="77777777" w:rsidR="008A6DD4" w:rsidRDefault="008A6DD4">
      <w:pPr>
        <w:spacing w:after="160" w:line="259" w:lineRule="auto"/>
        <w:jc w:val="left"/>
      </w:pPr>
      <w:r>
        <w:br w:type="page"/>
      </w:r>
    </w:p>
    <w:sdt>
      <w:sdtPr>
        <w:rPr>
          <w:rFonts w:ascii="Times New Roman" w:eastAsia="MS Mincho" w:hAnsi="Times New Roman" w:cs="Times New Roman"/>
          <w:color w:val="auto"/>
          <w:sz w:val="22"/>
          <w:szCs w:val="24"/>
          <w:lang w:val="en-GB"/>
        </w:rPr>
        <w:id w:val="-1951379712"/>
        <w:docPartObj>
          <w:docPartGallery w:val="Table of Contents"/>
          <w:docPartUnique/>
        </w:docPartObj>
      </w:sdtPr>
      <w:sdtEndPr>
        <w:rPr>
          <w:b/>
          <w:bCs/>
          <w:noProof/>
          <w:szCs w:val="22"/>
        </w:rPr>
      </w:sdtEndPr>
      <w:sdtContent>
        <w:p w14:paraId="6786EBA8" w14:textId="77777777" w:rsidR="00F405C2" w:rsidRDefault="009B2F32" w:rsidP="00A64DA6">
          <w:pPr>
            <w:pStyle w:val="TOCHeading"/>
            <w:rPr>
              <w:noProof/>
            </w:rPr>
          </w:pPr>
          <w:r w:rsidRPr="009B2F32">
            <w:rPr>
              <w:rStyle w:val="IPPNormalChar"/>
              <w:b/>
              <w:bCs/>
              <w:color w:val="000000" w:themeColor="text1"/>
              <w:sz w:val="22"/>
              <w:szCs w:val="18"/>
            </w:rPr>
            <w:t>Table of Content</w:t>
          </w:r>
          <w:r>
            <w:fldChar w:fldCharType="begin"/>
          </w:r>
          <w:r>
            <w:instrText xml:space="preserve"> TOC \o "1-3" \h \z \u </w:instrText>
          </w:r>
          <w:r>
            <w:fldChar w:fldCharType="separate"/>
          </w:r>
        </w:p>
        <w:p w14:paraId="6DB020D3" w14:textId="4A537650"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09" w:history="1">
            <w:r w:rsidRPr="001835AF">
              <w:rPr>
                <w:rStyle w:val="Hyperlink"/>
                <w:noProof/>
              </w:rPr>
              <w:t>1.</w:t>
            </w:r>
            <w:r>
              <w:rPr>
                <w:rFonts w:asciiTheme="minorHAnsi" w:eastAsiaTheme="minorEastAsia" w:hAnsiTheme="minorHAnsi" w:cstheme="minorBidi"/>
                <w:noProof/>
                <w:kern w:val="2"/>
                <w:sz w:val="24"/>
                <w:lang w:val="en-US"/>
                <w14:ligatures w14:val="standardContextual"/>
              </w:rPr>
              <w:tab/>
            </w:r>
            <w:r w:rsidRPr="001835AF">
              <w:rPr>
                <w:rStyle w:val="Hyperlink"/>
                <w:noProof/>
              </w:rPr>
              <w:t>Introduction</w:t>
            </w:r>
            <w:r>
              <w:rPr>
                <w:noProof/>
                <w:webHidden/>
              </w:rPr>
              <w:tab/>
            </w:r>
            <w:r>
              <w:rPr>
                <w:noProof/>
                <w:webHidden/>
              </w:rPr>
              <w:fldChar w:fldCharType="begin"/>
            </w:r>
            <w:r>
              <w:rPr>
                <w:noProof/>
                <w:webHidden/>
              </w:rPr>
              <w:instrText xml:space="preserve"> PAGEREF _Toc210831709 \h </w:instrText>
            </w:r>
            <w:r>
              <w:rPr>
                <w:noProof/>
                <w:webHidden/>
              </w:rPr>
            </w:r>
            <w:r>
              <w:rPr>
                <w:noProof/>
                <w:webHidden/>
              </w:rPr>
              <w:fldChar w:fldCharType="separate"/>
            </w:r>
            <w:r>
              <w:rPr>
                <w:noProof/>
                <w:webHidden/>
              </w:rPr>
              <w:t>4</w:t>
            </w:r>
            <w:r>
              <w:rPr>
                <w:noProof/>
                <w:webHidden/>
              </w:rPr>
              <w:fldChar w:fldCharType="end"/>
            </w:r>
          </w:hyperlink>
        </w:p>
        <w:p w14:paraId="18E833FE" w14:textId="27008F32"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0" w:history="1">
            <w:r w:rsidRPr="001835AF">
              <w:rPr>
                <w:rStyle w:val="Hyperlink"/>
                <w:noProof/>
              </w:rPr>
              <w:t>2.</w:t>
            </w:r>
            <w:r>
              <w:rPr>
                <w:rFonts w:asciiTheme="minorHAnsi" w:eastAsiaTheme="minorEastAsia" w:hAnsiTheme="minorHAnsi" w:cstheme="minorBidi"/>
                <w:noProof/>
                <w:kern w:val="2"/>
                <w:sz w:val="24"/>
                <w:lang w:val="en-US"/>
                <w14:ligatures w14:val="standardContextual"/>
              </w:rPr>
              <w:tab/>
            </w:r>
            <w:r w:rsidRPr="001835AF">
              <w:rPr>
                <w:rStyle w:val="Hyperlink"/>
                <w:noProof/>
              </w:rPr>
              <w:t>Importance of Plant Health Diagnostics in Strengthening Networks</w:t>
            </w:r>
            <w:r>
              <w:rPr>
                <w:noProof/>
                <w:webHidden/>
              </w:rPr>
              <w:tab/>
            </w:r>
            <w:r>
              <w:rPr>
                <w:noProof/>
                <w:webHidden/>
              </w:rPr>
              <w:fldChar w:fldCharType="begin"/>
            </w:r>
            <w:r>
              <w:rPr>
                <w:noProof/>
                <w:webHidden/>
              </w:rPr>
              <w:instrText xml:space="preserve"> PAGEREF _Toc210831710 \h </w:instrText>
            </w:r>
            <w:r>
              <w:rPr>
                <w:noProof/>
                <w:webHidden/>
              </w:rPr>
            </w:r>
            <w:r>
              <w:rPr>
                <w:noProof/>
                <w:webHidden/>
              </w:rPr>
              <w:fldChar w:fldCharType="separate"/>
            </w:r>
            <w:r>
              <w:rPr>
                <w:noProof/>
                <w:webHidden/>
              </w:rPr>
              <w:t>5</w:t>
            </w:r>
            <w:r>
              <w:rPr>
                <w:noProof/>
                <w:webHidden/>
              </w:rPr>
              <w:fldChar w:fldCharType="end"/>
            </w:r>
          </w:hyperlink>
        </w:p>
        <w:p w14:paraId="1F1F5C23" w14:textId="2CB2E302"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1" w:history="1">
            <w:r w:rsidRPr="001835AF">
              <w:rPr>
                <w:rStyle w:val="Hyperlink"/>
                <w:noProof/>
              </w:rPr>
              <w:t>3.</w:t>
            </w:r>
            <w:r>
              <w:rPr>
                <w:rFonts w:asciiTheme="minorHAnsi" w:eastAsiaTheme="minorEastAsia" w:hAnsiTheme="minorHAnsi" w:cstheme="minorBidi"/>
                <w:noProof/>
                <w:kern w:val="2"/>
                <w:sz w:val="24"/>
                <w:lang w:val="en-US"/>
                <w14:ligatures w14:val="standardContextual"/>
              </w:rPr>
              <w:tab/>
            </w:r>
            <w:r w:rsidRPr="001835AF">
              <w:rPr>
                <w:rStyle w:val="Hyperlink"/>
                <w:noProof/>
              </w:rPr>
              <w:t>Establishment and Evolution of Plant Health Diagnostic Networks</w:t>
            </w:r>
            <w:r>
              <w:rPr>
                <w:noProof/>
                <w:webHidden/>
              </w:rPr>
              <w:tab/>
            </w:r>
            <w:r>
              <w:rPr>
                <w:noProof/>
                <w:webHidden/>
              </w:rPr>
              <w:fldChar w:fldCharType="begin"/>
            </w:r>
            <w:r>
              <w:rPr>
                <w:noProof/>
                <w:webHidden/>
              </w:rPr>
              <w:instrText xml:space="preserve"> PAGEREF _Toc210831711 \h </w:instrText>
            </w:r>
            <w:r>
              <w:rPr>
                <w:noProof/>
                <w:webHidden/>
              </w:rPr>
            </w:r>
            <w:r>
              <w:rPr>
                <w:noProof/>
                <w:webHidden/>
              </w:rPr>
              <w:fldChar w:fldCharType="separate"/>
            </w:r>
            <w:r>
              <w:rPr>
                <w:noProof/>
                <w:webHidden/>
              </w:rPr>
              <w:t>5</w:t>
            </w:r>
            <w:r>
              <w:rPr>
                <w:noProof/>
                <w:webHidden/>
              </w:rPr>
              <w:fldChar w:fldCharType="end"/>
            </w:r>
          </w:hyperlink>
        </w:p>
        <w:p w14:paraId="111E5B6C" w14:textId="66C9F5AD"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2" w:history="1">
            <w:r w:rsidRPr="001835AF">
              <w:rPr>
                <w:rStyle w:val="Hyperlink"/>
                <w:noProof/>
              </w:rPr>
              <w:t>4.</w:t>
            </w:r>
            <w:r>
              <w:rPr>
                <w:rFonts w:asciiTheme="minorHAnsi" w:eastAsiaTheme="minorEastAsia" w:hAnsiTheme="minorHAnsi" w:cstheme="minorBidi"/>
                <w:noProof/>
                <w:kern w:val="2"/>
                <w:sz w:val="24"/>
                <w:lang w:val="en-US"/>
                <w14:ligatures w14:val="standardContextual"/>
              </w:rPr>
              <w:tab/>
            </w:r>
            <w:r w:rsidRPr="001835AF">
              <w:rPr>
                <w:rStyle w:val="Hyperlink"/>
                <w:noProof/>
              </w:rPr>
              <w:t>Global Examples and other Types of successfully implemented networks</w:t>
            </w:r>
            <w:r>
              <w:rPr>
                <w:noProof/>
                <w:webHidden/>
              </w:rPr>
              <w:tab/>
            </w:r>
            <w:r>
              <w:rPr>
                <w:noProof/>
                <w:webHidden/>
              </w:rPr>
              <w:fldChar w:fldCharType="begin"/>
            </w:r>
            <w:r>
              <w:rPr>
                <w:noProof/>
                <w:webHidden/>
              </w:rPr>
              <w:instrText xml:space="preserve"> PAGEREF _Toc210831712 \h </w:instrText>
            </w:r>
            <w:r>
              <w:rPr>
                <w:noProof/>
                <w:webHidden/>
              </w:rPr>
            </w:r>
            <w:r>
              <w:rPr>
                <w:noProof/>
                <w:webHidden/>
              </w:rPr>
              <w:fldChar w:fldCharType="separate"/>
            </w:r>
            <w:r>
              <w:rPr>
                <w:noProof/>
                <w:webHidden/>
              </w:rPr>
              <w:t>6</w:t>
            </w:r>
            <w:r>
              <w:rPr>
                <w:noProof/>
                <w:webHidden/>
              </w:rPr>
              <w:fldChar w:fldCharType="end"/>
            </w:r>
          </w:hyperlink>
        </w:p>
        <w:p w14:paraId="54A5F442" w14:textId="57ED44BD"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3" w:history="1">
            <w:r w:rsidRPr="001835AF">
              <w:rPr>
                <w:rStyle w:val="Hyperlink"/>
                <w:noProof/>
              </w:rPr>
              <w:t>5. Fundamental and Administrative Requirements for Plant Health Diagnostic Networks</w:t>
            </w:r>
            <w:r>
              <w:rPr>
                <w:noProof/>
                <w:webHidden/>
              </w:rPr>
              <w:tab/>
            </w:r>
            <w:r>
              <w:rPr>
                <w:noProof/>
                <w:webHidden/>
              </w:rPr>
              <w:fldChar w:fldCharType="begin"/>
            </w:r>
            <w:r>
              <w:rPr>
                <w:noProof/>
                <w:webHidden/>
              </w:rPr>
              <w:instrText xml:space="preserve"> PAGEREF _Toc210831713 \h </w:instrText>
            </w:r>
            <w:r>
              <w:rPr>
                <w:noProof/>
                <w:webHidden/>
              </w:rPr>
            </w:r>
            <w:r>
              <w:rPr>
                <w:noProof/>
                <w:webHidden/>
              </w:rPr>
              <w:fldChar w:fldCharType="separate"/>
            </w:r>
            <w:r>
              <w:rPr>
                <w:noProof/>
                <w:webHidden/>
              </w:rPr>
              <w:t>7</w:t>
            </w:r>
            <w:r>
              <w:rPr>
                <w:noProof/>
                <w:webHidden/>
              </w:rPr>
              <w:fldChar w:fldCharType="end"/>
            </w:r>
          </w:hyperlink>
        </w:p>
        <w:p w14:paraId="7D986063" w14:textId="0979B961"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4" w:history="1">
            <w:r w:rsidRPr="001835AF">
              <w:rPr>
                <w:rStyle w:val="Hyperlink"/>
                <w:noProof/>
              </w:rPr>
              <w:t>6. Legal and Regulatory Frameworks supporting Plant Health Diagnostic Networks</w:t>
            </w:r>
            <w:r>
              <w:rPr>
                <w:noProof/>
                <w:webHidden/>
              </w:rPr>
              <w:tab/>
            </w:r>
            <w:r>
              <w:rPr>
                <w:noProof/>
                <w:webHidden/>
              </w:rPr>
              <w:fldChar w:fldCharType="begin"/>
            </w:r>
            <w:r>
              <w:rPr>
                <w:noProof/>
                <w:webHidden/>
              </w:rPr>
              <w:instrText xml:space="preserve"> PAGEREF _Toc210831714 \h </w:instrText>
            </w:r>
            <w:r>
              <w:rPr>
                <w:noProof/>
                <w:webHidden/>
              </w:rPr>
            </w:r>
            <w:r>
              <w:rPr>
                <w:noProof/>
                <w:webHidden/>
              </w:rPr>
              <w:fldChar w:fldCharType="separate"/>
            </w:r>
            <w:r>
              <w:rPr>
                <w:noProof/>
                <w:webHidden/>
              </w:rPr>
              <w:t>8</w:t>
            </w:r>
            <w:r>
              <w:rPr>
                <w:noProof/>
                <w:webHidden/>
              </w:rPr>
              <w:fldChar w:fldCharType="end"/>
            </w:r>
          </w:hyperlink>
        </w:p>
        <w:p w14:paraId="59B6C30E" w14:textId="52BD9AEE"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5" w:history="1">
            <w:r w:rsidRPr="001835AF">
              <w:rPr>
                <w:rStyle w:val="Hyperlink"/>
                <w:noProof/>
              </w:rPr>
              <w:t>7. Resources Required for Regional and International Plant Health Diagnostic Laboratory Networks</w:t>
            </w:r>
            <w:r>
              <w:rPr>
                <w:noProof/>
                <w:webHidden/>
              </w:rPr>
              <w:tab/>
            </w:r>
            <w:r>
              <w:rPr>
                <w:noProof/>
                <w:webHidden/>
              </w:rPr>
              <w:fldChar w:fldCharType="begin"/>
            </w:r>
            <w:r>
              <w:rPr>
                <w:noProof/>
                <w:webHidden/>
              </w:rPr>
              <w:instrText xml:space="preserve"> PAGEREF _Toc210831715 \h </w:instrText>
            </w:r>
            <w:r>
              <w:rPr>
                <w:noProof/>
                <w:webHidden/>
              </w:rPr>
            </w:r>
            <w:r>
              <w:rPr>
                <w:noProof/>
                <w:webHidden/>
              </w:rPr>
              <w:fldChar w:fldCharType="separate"/>
            </w:r>
            <w:r>
              <w:rPr>
                <w:noProof/>
                <w:webHidden/>
              </w:rPr>
              <w:t>9</w:t>
            </w:r>
            <w:r>
              <w:rPr>
                <w:noProof/>
                <w:webHidden/>
              </w:rPr>
              <w:fldChar w:fldCharType="end"/>
            </w:r>
          </w:hyperlink>
        </w:p>
        <w:p w14:paraId="5365CB1F" w14:textId="076A3371"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6" w:history="1">
            <w:r w:rsidRPr="001835AF">
              <w:rPr>
                <w:rStyle w:val="Hyperlink"/>
                <w:noProof/>
                <w:lang w:val="en-ZA" w:eastAsia="en-ZA"/>
              </w:rPr>
              <w:t>8. SWOT Analysis of Plant Health Diagnostic Networks</w:t>
            </w:r>
            <w:r>
              <w:rPr>
                <w:noProof/>
                <w:webHidden/>
              </w:rPr>
              <w:tab/>
            </w:r>
            <w:r>
              <w:rPr>
                <w:noProof/>
                <w:webHidden/>
              </w:rPr>
              <w:fldChar w:fldCharType="begin"/>
            </w:r>
            <w:r>
              <w:rPr>
                <w:noProof/>
                <w:webHidden/>
              </w:rPr>
              <w:instrText xml:space="preserve"> PAGEREF _Toc210831716 \h </w:instrText>
            </w:r>
            <w:r>
              <w:rPr>
                <w:noProof/>
                <w:webHidden/>
              </w:rPr>
            </w:r>
            <w:r>
              <w:rPr>
                <w:noProof/>
                <w:webHidden/>
              </w:rPr>
              <w:fldChar w:fldCharType="separate"/>
            </w:r>
            <w:r>
              <w:rPr>
                <w:noProof/>
                <w:webHidden/>
              </w:rPr>
              <w:t>10</w:t>
            </w:r>
            <w:r>
              <w:rPr>
                <w:noProof/>
                <w:webHidden/>
              </w:rPr>
              <w:fldChar w:fldCharType="end"/>
            </w:r>
          </w:hyperlink>
        </w:p>
        <w:p w14:paraId="032E58B4" w14:textId="2102BCD7"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7" w:history="1">
            <w:r w:rsidRPr="001835AF">
              <w:rPr>
                <w:rStyle w:val="Hyperlink"/>
                <w:noProof/>
              </w:rPr>
              <w:t>9. Strategic Value and Benefits from Plant Health Diagnostic Networks</w:t>
            </w:r>
            <w:r>
              <w:rPr>
                <w:noProof/>
                <w:webHidden/>
              </w:rPr>
              <w:tab/>
            </w:r>
            <w:r>
              <w:rPr>
                <w:noProof/>
                <w:webHidden/>
              </w:rPr>
              <w:fldChar w:fldCharType="begin"/>
            </w:r>
            <w:r>
              <w:rPr>
                <w:noProof/>
                <w:webHidden/>
              </w:rPr>
              <w:instrText xml:space="preserve"> PAGEREF _Toc210831717 \h </w:instrText>
            </w:r>
            <w:r>
              <w:rPr>
                <w:noProof/>
                <w:webHidden/>
              </w:rPr>
            </w:r>
            <w:r>
              <w:rPr>
                <w:noProof/>
                <w:webHidden/>
              </w:rPr>
              <w:fldChar w:fldCharType="separate"/>
            </w:r>
            <w:r>
              <w:rPr>
                <w:noProof/>
                <w:webHidden/>
              </w:rPr>
              <w:t>10</w:t>
            </w:r>
            <w:r>
              <w:rPr>
                <w:noProof/>
                <w:webHidden/>
              </w:rPr>
              <w:fldChar w:fldCharType="end"/>
            </w:r>
          </w:hyperlink>
        </w:p>
        <w:p w14:paraId="240DAF35" w14:textId="5A9591CC"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8" w:history="1">
            <w:r w:rsidRPr="001835AF">
              <w:rPr>
                <w:rStyle w:val="Hyperlink"/>
                <w:noProof/>
                <w:lang w:val="en-ZA" w:eastAsia="en-ZA"/>
              </w:rPr>
              <w:t>10. Successes and Economic gains from Plant Health Diagnostic Networks</w:t>
            </w:r>
            <w:r>
              <w:rPr>
                <w:noProof/>
                <w:webHidden/>
              </w:rPr>
              <w:tab/>
            </w:r>
            <w:r>
              <w:rPr>
                <w:noProof/>
                <w:webHidden/>
              </w:rPr>
              <w:fldChar w:fldCharType="begin"/>
            </w:r>
            <w:r>
              <w:rPr>
                <w:noProof/>
                <w:webHidden/>
              </w:rPr>
              <w:instrText xml:space="preserve"> PAGEREF _Toc210831718 \h </w:instrText>
            </w:r>
            <w:r>
              <w:rPr>
                <w:noProof/>
                <w:webHidden/>
              </w:rPr>
            </w:r>
            <w:r>
              <w:rPr>
                <w:noProof/>
                <w:webHidden/>
              </w:rPr>
              <w:fldChar w:fldCharType="separate"/>
            </w:r>
            <w:r>
              <w:rPr>
                <w:noProof/>
                <w:webHidden/>
              </w:rPr>
              <w:t>11</w:t>
            </w:r>
            <w:r>
              <w:rPr>
                <w:noProof/>
                <w:webHidden/>
              </w:rPr>
              <w:fldChar w:fldCharType="end"/>
            </w:r>
          </w:hyperlink>
        </w:p>
        <w:p w14:paraId="3C07587A" w14:textId="295D1C7F"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19" w:history="1">
            <w:r w:rsidRPr="001835AF">
              <w:rPr>
                <w:rStyle w:val="Hyperlink"/>
                <w:noProof/>
              </w:rPr>
              <w:t>11.</w:t>
            </w:r>
            <w:r>
              <w:rPr>
                <w:rFonts w:asciiTheme="minorHAnsi" w:eastAsiaTheme="minorEastAsia" w:hAnsiTheme="minorHAnsi" w:cstheme="minorBidi"/>
                <w:noProof/>
                <w:kern w:val="2"/>
                <w:sz w:val="24"/>
                <w:lang w:val="en-US"/>
                <w14:ligatures w14:val="standardContextual"/>
              </w:rPr>
              <w:tab/>
            </w:r>
            <w:r w:rsidRPr="001835AF">
              <w:rPr>
                <w:rStyle w:val="Hyperlink"/>
                <w:noProof/>
              </w:rPr>
              <w:t>South African perspective on Plant Health Diagnostic Networks</w:t>
            </w:r>
            <w:r>
              <w:rPr>
                <w:noProof/>
                <w:webHidden/>
              </w:rPr>
              <w:tab/>
            </w:r>
            <w:r>
              <w:rPr>
                <w:noProof/>
                <w:webHidden/>
              </w:rPr>
              <w:fldChar w:fldCharType="begin"/>
            </w:r>
            <w:r>
              <w:rPr>
                <w:noProof/>
                <w:webHidden/>
              </w:rPr>
              <w:instrText xml:space="preserve"> PAGEREF _Toc210831719 \h </w:instrText>
            </w:r>
            <w:r>
              <w:rPr>
                <w:noProof/>
                <w:webHidden/>
              </w:rPr>
            </w:r>
            <w:r>
              <w:rPr>
                <w:noProof/>
                <w:webHidden/>
              </w:rPr>
              <w:fldChar w:fldCharType="separate"/>
            </w:r>
            <w:r>
              <w:rPr>
                <w:noProof/>
                <w:webHidden/>
              </w:rPr>
              <w:t>11</w:t>
            </w:r>
            <w:r>
              <w:rPr>
                <w:noProof/>
                <w:webHidden/>
              </w:rPr>
              <w:fldChar w:fldCharType="end"/>
            </w:r>
          </w:hyperlink>
        </w:p>
        <w:p w14:paraId="00DA1119" w14:textId="4BA9705D"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20" w:history="1">
            <w:r w:rsidRPr="001835AF">
              <w:rPr>
                <w:rStyle w:val="Hyperlink"/>
                <w:noProof/>
              </w:rPr>
              <w:t>12.</w:t>
            </w:r>
            <w:r>
              <w:rPr>
                <w:rFonts w:asciiTheme="minorHAnsi" w:eastAsiaTheme="minorEastAsia" w:hAnsiTheme="minorHAnsi" w:cstheme="minorBidi"/>
                <w:noProof/>
                <w:kern w:val="2"/>
                <w:sz w:val="24"/>
                <w:lang w:val="en-US"/>
                <w14:ligatures w14:val="standardContextual"/>
              </w:rPr>
              <w:tab/>
            </w:r>
            <w:r w:rsidRPr="001835AF">
              <w:rPr>
                <w:rStyle w:val="Hyperlink"/>
                <w:noProof/>
              </w:rPr>
              <w:t xml:space="preserve"> Stakeholder Interviews, Questionnaires and Perspectives</w:t>
            </w:r>
            <w:r>
              <w:rPr>
                <w:noProof/>
                <w:webHidden/>
              </w:rPr>
              <w:tab/>
            </w:r>
            <w:r>
              <w:rPr>
                <w:noProof/>
                <w:webHidden/>
              </w:rPr>
              <w:fldChar w:fldCharType="begin"/>
            </w:r>
            <w:r>
              <w:rPr>
                <w:noProof/>
                <w:webHidden/>
              </w:rPr>
              <w:instrText xml:space="preserve"> PAGEREF _Toc210831720 \h </w:instrText>
            </w:r>
            <w:r>
              <w:rPr>
                <w:noProof/>
                <w:webHidden/>
              </w:rPr>
            </w:r>
            <w:r>
              <w:rPr>
                <w:noProof/>
                <w:webHidden/>
              </w:rPr>
              <w:fldChar w:fldCharType="separate"/>
            </w:r>
            <w:r>
              <w:rPr>
                <w:noProof/>
                <w:webHidden/>
              </w:rPr>
              <w:t>13</w:t>
            </w:r>
            <w:r>
              <w:rPr>
                <w:noProof/>
                <w:webHidden/>
              </w:rPr>
              <w:fldChar w:fldCharType="end"/>
            </w:r>
          </w:hyperlink>
        </w:p>
        <w:p w14:paraId="48CE9837" w14:textId="7F68AA08"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1" w:history="1">
            <w:r w:rsidRPr="001835AF">
              <w:rPr>
                <w:rStyle w:val="Hyperlink"/>
                <w:noProof/>
                <w:lang w:val="en-ZA" w:eastAsia="en-ZA"/>
              </w:rPr>
              <w:t>12.1 Strategic Perspectives on Network Design</w:t>
            </w:r>
            <w:r>
              <w:rPr>
                <w:noProof/>
                <w:webHidden/>
              </w:rPr>
              <w:tab/>
            </w:r>
            <w:r>
              <w:rPr>
                <w:noProof/>
                <w:webHidden/>
              </w:rPr>
              <w:fldChar w:fldCharType="begin"/>
            </w:r>
            <w:r>
              <w:rPr>
                <w:noProof/>
                <w:webHidden/>
              </w:rPr>
              <w:instrText xml:space="preserve"> PAGEREF _Toc210831721 \h </w:instrText>
            </w:r>
            <w:r>
              <w:rPr>
                <w:noProof/>
                <w:webHidden/>
              </w:rPr>
            </w:r>
            <w:r>
              <w:rPr>
                <w:noProof/>
                <w:webHidden/>
              </w:rPr>
              <w:fldChar w:fldCharType="separate"/>
            </w:r>
            <w:r>
              <w:rPr>
                <w:noProof/>
                <w:webHidden/>
              </w:rPr>
              <w:t>13</w:t>
            </w:r>
            <w:r>
              <w:rPr>
                <w:noProof/>
                <w:webHidden/>
              </w:rPr>
              <w:fldChar w:fldCharType="end"/>
            </w:r>
          </w:hyperlink>
        </w:p>
        <w:p w14:paraId="38B24F4C" w14:textId="2FF3BF7D"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2" w:history="1">
            <w:r w:rsidRPr="001835AF">
              <w:rPr>
                <w:rStyle w:val="Hyperlink"/>
                <w:noProof/>
                <w:lang w:val="en-ZA" w:eastAsia="en-ZA"/>
              </w:rPr>
              <w:t>12.2. Capacity and Infrastructure Perspectives</w:t>
            </w:r>
            <w:r>
              <w:rPr>
                <w:noProof/>
                <w:webHidden/>
              </w:rPr>
              <w:tab/>
            </w:r>
            <w:r>
              <w:rPr>
                <w:noProof/>
                <w:webHidden/>
              </w:rPr>
              <w:fldChar w:fldCharType="begin"/>
            </w:r>
            <w:r>
              <w:rPr>
                <w:noProof/>
                <w:webHidden/>
              </w:rPr>
              <w:instrText xml:space="preserve"> PAGEREF _Toc210831722 \h </w:instrText>
            </w:r>
            <w:r>
              <w:rPr>
                <w:noProof/>
                <w:webHidden/>
              </w:rPr>
            </w:r>
            <w:r>
              <w:rPr>
                <w:noProof/>
                <w:webHidden/>
              </w:rPr>
              <w:fldChar w:fldCharType="separate"/>
            </w:r>
            <w:r>
              <w:rPr>
                <w:noProof/>
                <w:webHidden/>
              </w:rPr>
              <w:t>13</w:t>
            </w:r>
            <w:r>
              <w:rPr>
                <w:noProof/>
                <w:webHidden/>
              </w:rPr>
              <w:fldChar w:fldCharType="end"/>
            </w:r>
          </w:hyperlink>
        </w:p>
        <w:p w14:paraId="2B98E955" w14:textId="3F1D576D"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3" w:history="1">
            <w:r w:rsidRPr="001835AF">
              <w:rPr>
                <w:rStyle w:val="Hyperlink"/>
                <w:noProof/>
                <w:lang w:val="en-ZA" w:eastAsia="en-ZA"/>
              </w:rPr>
              <w:t>12.3 Governance and Collaboration Perspectives</w:t>
            </w:r>
            <w:r>
              <w:rPr>
                <w:noProof/>
                <w:webHidden/>
              </w:rPr>
              <w:tab/>
            </w:r>
            <w:r>
              <w:rPr>
                <w:noProof/>
                <w:webHidden/>
              </w:rPr>
              <w:fldChar w:fldCharType="begin"/>
            </w:r>
            <w:r>
              <w:rPr>
                <w:noProof/>
                <w:webHidden/>
              </w:rPr>
              <w:instrText xml:space="preserve"> PAGEREF _Toc210831723 \h </w:instrText>
            </w:r>
            <w:r>
              <w:rPr>
                <w:noProof/>
                <w:webHidden/>
              </w:rPr>
            </w:r>
            <w:r>
              <w:rPr>
                <w:noProof/>
                <w:webHidden/>
              </w:rPr>
              <w:fldChar w:fldCharType="separate"/>
            </w:r>
            <w:r>
              <w:rPr>
                <w:noProof/>
                <w:webHidden/>
              </w:rPr>
              <w:t>13</w:t>
            </w:r>
            <w:r>
              <w:rPr>
                <w:noProof/>
                <w:webHidden/>
              </w:rPr>
              <w:fldChar w:fldCharType="end"/>
            </w:r>
          </w:hyperlink>
        </w:p>
        <w:p w14:paraId="243C29BD" w14:textId="681E9191"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4" w:history="1">
            <w:r w:rsidRPr="001835AF">
              <w:rPr>
                <w:rStyle w:val="Hyperlink"/>
                <w:noProof/>
                <w:lang w:val="en-ZA" w:eastAsia="en-ZA"/>
              </w:rPr>
              <w:t>12.4. Funding and Sustainability Perspectives</w:t>
            </w:r>
            <w:r>
              <w:rPr>
                <w:noProof/>
                <w:webHidden/>
              </w:rPr>
              <w:tab/>
            </w:r>
            <w:r>
              <w:rPr>
                <w:noProof/>
                <w:webHidden/>
              </w:rPr>
              <w:fldChar w:fldCharType="begin"/>
            </w:r>
            <w:r>
              <w:rPr>
                <w:noProof/>
                <w:webHidden/>
              </w:rPr>
              <w:instrText xml:space="preserve"> PAGEREF _Toc210831724 \h </w:instrText>
            </w:r>
            <w:r>
              <w:rPr>
                <w:noProof/>
                <w:webHidden/>
              </w:rPr>
            </w:r>
            <w:r>
              <w:rPr>
                <w:noProof/>
                <w:webHidden/>
              </w:rPr>
              <w:fldChar w:fldCharType="separate"/>
            </w:r>
            <w:r>
              <w:rPr>
                <w:noProof/>
                <w:webHidden/>
              </w:rPr>
              <w:t>13</w:t>
            </w:r>
            <w:r>
              <w:rPr>
                <w:noProof/>
                <w:webHidden/>
              </w:rPr>
              <w:fldChar w:fldCharType="end"/>
            </w:r>
          </w:hyperlink>
        </w:p>
        <w:p w14:paraId="3319F28E" w14:textId="1C304E89"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5" w:history="1">
            <w:r w:rsidRPr="001835AF">
              <w:rPr>
                <w:rStyle w:val="Hyperlink"/>
                <w:noProof/>
                <w:lang w:val="en-ZA" w:eastAsia="en-ZA"/>
              </w:rPr>
              <w:t>12.5 Data Management and Information Sharing Perspectives</w:t>
            </w:r>
            <w:r>
              <w:rPr>
                <w:noProof/>
                <w:webHidden/>
              </w:rPr>
              <w:tab/>
            </w:r>
            <w:r>
              <w:rPr>
                <w:noProof/>
                <w:webHidden/>
              </w:rPr>
              <w:fldChar w:fldCharType="begin"/>
            </w:r>
            <w:r>
              <w:rPr>
                <w:noProof/>
                <w:webHidden/>
              </w:rPr>
              <w:instrText xml:space="preserve"> PAGEREF _Toc210831725 \h </w:instrText>
            </w:r>
            <w:r>
              <w:rPr>
                <w:noProof/>
                <w:webHidden/>
              </w:rPr>
            </w:r>
            <w:r>
              <w:rPr>
                <w:noProof/>
                <w:webHidden/>
              </w:rPr>
              <w:fldChar w:fldCharType="separate"/>
            </w:r>
            <w:r>
              <w:rPr>
                <w:noProof/>
                <w:webHidden/>
              </w:rPr>
              <w:t>14</w:t>
            </w:r>
            <w:r>
              <w:rPr>
                <w:noProof/>
                <w:webHidden/>
              </w:rPr>
              <w:fldChar w:fldCharType="end"/>
            </w:r>
          </w:hyperlink>
        </w:p>
        <w:p w14:paraId="057B0296" w14:textId="6661C209"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6" w:history="1">
            <w:r w:rsidRPr="001835AF">
              <w:rPr>
                <w:rStyle w:val="Hyperlink"/>
                <w:noProof/>
                <w:lang w:val="en-ZA" w:eastAsia="en-ZA"/>
              </w:rPr>
              <w:t>12.6 Industry and Stakeholder Engagement Perspectives</w:t>
            </w:r>
            <w:r>
              <w:rPr>
                <w:noProof/>
                <w:webHidden/>
              </w:rPr>
              <w:tab/>
            </w:r>
            <w:r>
              <w:rPr>
                <w:noProof/>
                <w:webHidden/>
              </w:rPr>
              <w:fldChar w:fldCharType="begin"/>
            </w:r>
            <w:r>
              <w:rPr>
                <w:noProof/>
                <w:webHidden/>
              </w:rPr>
              <w:instrText xml:space="preserve"> PAGEREF _Toc210831726 \h </w:instrText>
            </w:r>
            <w:r>
              <w:rPr>
                <w:noProof/>
                <w:webHidden/>
              </w:rPr>
            </w:r>
            <w:r>
              <w:rPr>
                <w:noProof/>
                <w:webHidden/>
              </w:rPr>
              <w:fldChar w:fldCharType="separate"/>
            </w:r>
            <w:r>
              <w:rPr>
                <w:noProof/>
                <w:webHidden/>
              </w:rPr>
              <w:t>14</w:t>
            </w:r>
            <w:r>
              <w:rPr>
                <w:noProof/>
                <w:webHidden/>
              </w:rPr>
              <w:fldChar w:fldCharType="end"/>
            </w:r>
          </w:hyperlink>
        </w:p>
        <w:p w14:paraId="5B1EF587" w14:textId="58C99134"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7" w:history="1">
            <w:r w:rsidRPr="001835AF">
              <w:rPr>
                <w:rStyle w:val="Hyperlink"/>
                <w:noProof/>
                <w:lang w:val="en-ZA" w:eastAsia="en-ZA"/>
              </w:rPr>
              <w:t>12.7 Innovation and Future-Readiness Perspectives</w:t>
            </w:r>
            <w:r>
              <w:rPr>
                <w:noProof/>
                <w:webHidden/>
              </w:rPr>
              <w:tab/>
            </w:r>
            <w:r>
              <w:rPr>
                <w:noProof/>
                <w:webHidden/>
              </w:rPr>
              <w:fldChar w:fldCharType="begin"/>
            </w:r>
            <w:r>
              <w:rPr>
                <w:noProof/>
                <w:webHidden/>
              </w:rPr>
              <w:instrText xml:space="preserve"> PAGEREF _Toc210831727 \h </w:instrText>
            </w:r>
            <w:r>
              <w:rPr>
                <w:noProof/>
                <w:webHidden/>
              </w:rPr>
            </w:r>
            <w:r>
              <w:rPr>
                <w:noProof/>
                <w:webHidden/>
              </w:rPr>
              <w:fldChar w:fldCharType="separate"/>
            </w:r>
            <w:r>
              <w:rPr>
                <w:noProof/>
                <w:webHidden/>
              </w:rPr>
              <w:t>14</w:t>
            </w:r>
            <w:r>
              <w:rPr>
                <w:noProof/>
                <w:webHidden/>
              </w:rPr>
              <w:fldChar w:fldCharType="end"/>
            </w:r>
          </w:hyperlink>
        </w:p>
        <w:p w14:paraId="4DBE2F5B" w14:textId="3927AF66" w:rsidR="00F405C2" w:rsidRDefault="00F405C2">
          <w:pPr>
            <w:pStyle w:val="TOC3"/>
            <w:rPr>
              <w:rFonts w:asciiTheme="minorHAnsi" w:eastAsiaTheme="minorEastAsia" w:hAnsiTheme="minorHAnsi" w:cstheme="minorBidi"/>
              <w:noProof/>
              <w:kern w:val="2"/>
              <w:sz w:val="24"/>
              <w:lang w:val="en-US"/>
              <w14:ligatures w14:val="standardContextual"/>
            </w:rPr>
          </w:pPr>
          <w:hyperlink w:anchor="_Toc210831728" w:history="1">
            <w:r w:rsidRPr="001835AF">
              <w:rPr>
                <w:rStyle w:val="Hyperlink"/>
                <w:noProof/>
                <w:lang w:val="en-ZA" w:eastAsia="en-ZA"/>
              </w:rPr>
              <w:t>12.8 Trade and Economic Perspectives</w:t>
            </w:r>
            <w:r>
              <w:rPr>
                <w:noProof/>
                <w:webHidden/>
              </w:rPr>
              <w:tab/>
            </w:r>
            <w:r>
              <w:rPr>
                <w:noProof/>
                <w:webHidden/>
              </w:rPr>
              <w:fldChar w:fldCharType="begin"/>
            </w:r>
            <w:r>
              <w:rPr>
                <w:noProof/>
                <w:webHidden/>
              </w:rPr>
              <w:instrText xml:space="preserve"> PAGEREF _Toc210831728 \h </w:instrText>
            </w:r>
            <w:r>
              <w:rPr>
                <w:noProof/>
                <w:webHidden/>
              </w:rPr>
            </w:r>
            <w:r>
              <w:rPr>
                <w:noProof/>
                <w:webHidden/>
              </w:rPr>
              <w:fldChar w:fldCharType="separate"/>
            </w:r>
            <w:r>
              <w:rPr>
                <w:noProof/>
                <w:webHidden/>
              </w:rPr>
              <w:t>14</w:t>
            </w:r>
            <w:r>
              <w:rPr>
                <w:noProof/>
                <w:webHidden/>
              </w:rPr>
              <w:fldChar w:fldCharType="end"/>
            </w:r>
          </w:hyperlink>
        </w:p>
        <w:p w14:paraId="142BA4CE" w14:textId="5B314D81"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29" w:history="1">
            <w:r w:rsidRPr="001835AF">
              <w:rPr>
                <w:rStyle w:val="Hyperlink"/>
                <w:noProof/>
              </w:rPr>
              <w:t>13.</w:t>
            </w:r>
            <w:r>
              <w:rPr>
                <w:rFonts w:asciiTheme="minorHAnsi" w:eastAsiaTheme="minorEastAsia" w:hAnsiTheme="minorHAnsi" w:cstheme="minorBidi"/>
                <w:noProof/>
                <w:kern w:val="2"/>
                <w:sz w:val="24"/>
                <w:lang w:val="en-US"/>
                <w14:ligatures w14:val="standardContextual"/>
              </w:rPr>
              <w:tab/>
            </w:r>
            <w:r w:rsidRPr="001835AF">
              <w:rPr>
                <w:rStyle w:val="Hyperlink"/>
                <w:noProof/>
              </w:rPr>
              <w:t>Conclusion and Recommendations</w:t>
            </w:r>
            <w:r>
              <w:rPr>
                <w:noProof/>
                <w:webHidden/>
              </w:rPr>
              <w:tab/>
            </w:r>
            <w:r>
              <w:rPr>
                <w:noProof/>
                <w:webHidden/>
              </w:rPr>
              <w:fldChar w:fldCharType="begin"/>
            </w:r>
            <w:r>
              <w:rPr>
                <w:noProof/>
                <w:webHidden/>
              </w:rPr>
              <w:instrText xml:space="preserve"> PAGEREF _Toc210831729 \h </w:instrText>
            </w:r>
            <w:r>
              <w:rPr>
                <w:noProof/>
                <w:webHidden/>
              </w:rPr>
            </w:r>
            <w:r>
              <w:rPr>
                <w:noProof/>
                <w:webHidden/>
              </w:rPr>
              <w:fldChar w:fldCharType="separate"/>
            </w:r>
            <w:r>
              <w:rPr>
                <w:noProof/>
                <w:webHidden/>
              </w:rPr>
              <w:t>14</w:t>
            </w:r>
            <w:r>
              <w:rPr>
                <w:noProof/>
                <w:webHidden/>
              </w:rPr>
              <w:fldChar w:fldCharType="end"/>
            </w:r>
          </w:hyperlink>
        </w:p>
        <w:p w14:paraId="695E3824" w14:textId="328DCFC8"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0" w:history="1">
            <w:r w:rsidRPr="001835AF">
              <w:rPr>
                <w:rStyle w:val="Hyperlink"/>
                <w:noProof/>
              </w:rPr>
              <w:t>14.</w:t>
            </w:r>
            <w:r>
              <w:rPr>
                <w:rFonts w:asciiTheme="minorHAnsi" w:eastAsiaTheme="minorEastAsia" w:hAnsiTheme="minorHAnsi" w:cstheme="minorBidi"/>
                <w:noProof/>
                <w:kern w:val="2"/>
                <w:sz w:val="24"/>
                <w:lang w:val="en-US"/>
                <w14:ligatures w14:val="standardContextual"/>
              </w:rPr>
              <w:tab/>
            </w:r>
            <w:r w:rsidRPr="001835AF">
              <w:rPr>
                <w:rStyle w:val="Hyperlink"/>
                <w:noProof/>
              </w:rPr>
              <w:t>References</w:t>
            </w:r>
            <w:r>
              <w:rPr>
                <w:noProof/>
                <w:webHidden/>
              </w:rPr>
              <w:tab/>
            </w:r>
            <w:r>
              <w:rPr>
                <w:noProof/>
                <w:webHidden/>
              </w:rPr>
              <w:fldChar w:fldCharType="begin"/>
            </w:r>
            <w:r>
              <w:rPr>
                <w:noProof/>
                <w:webHidden/>
              </w:rPr>
              <w:instrText xml:space="preserve"> PAGEREF _Toc210831730 \h </w:instrText>
            </w:r>
            <w:r>
              <w:rPr>
                <w:noProof/>
                <w:webHidden/>
              </w:rPr>
            </w:r>
            <w:r>
              <w:rPr>
                <w:noProof/>
                <w:webHidden/>
              </w:rPr>
              <w:fldChar w:fldCharType="separate"/>
            </w:r>
            <w:r>
              <w:rPr>
                <w:noProof/>
                <w:webHidden/>
              </w:rPr>
              <w:t>17</w:t>
            </w:r>
            <w:r>
              <w:rPr>
                <w:noProof/>
                <w:webHidden/>
              </w:rPr>
              <w:fldChar w:fldCharType="end"/>
            </w:r>
          </w:hyperlink>
        </w:p>
        <w:p w14:paraId="5E9CBDF4" w14:textId="2A1E5E23"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1" w:history="1">
            <w:r w:rsidRPr="001835AF">
              <w:rPr>
                <w:rStyle w:val="Hyperlink"/>
                <w:noProof/>
              </w:rPr>
              <w:t>Appendix 1: Interview summary with Dr. Shiroma Sathyapala on 13 May 2025</w:t>
            </w:r>
            <w:r>
              <w:rPr>
                <w:noProof/>
                <w:webHidden/>
              </w:rPr>
              <w:tab/>
            </w:r>
            <w:r>
              <w:rPr>
                <w:noProof/>
                <w:webHidden/>
              </w:rPr>
              <w:fldChar w:fldCharType="begin"/>
            </w:r>
            <w:r>
              <w:rPr>
                <w:noProof/>
                <w:webHidden/>
              </w:rPr>
              <w:instrText xml:space="preserve"> PAGEREF _Toc210831731 \h </w:instrText>
            </w:r>
            <w:r>
              <w:rPr>
                <w:noProof/>
                <w:webHidden/>
              </w:rPr>
            </w:r>
            <w:r>
              <w:rPr>
                <w:noProof/>
                <w:webHidden/>
              </w:rPr>
              <w:fldChar w:fldCharType="separate"/>
            </w:r>
            <w:r>
              <w:rPr>
                <w:noProof/>
                <w:webHidden/>
              </w:rPr>
              <w:t>21</w:t>
            </w:r>
            <w:r>
              <w:rPr>
                <w:noProof/>
                <w:webHidden/>
              </w:rPr>
              <w:fldChar w:fldCharType="end"/>
            </w:r>
          </w:hyperlink>
        </w:p>
        <w:p w14:paraId="3E3023AA" w14:textId="3C6942F4"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2" w:history="1">
            <w:r w:rsidRPr="001835AF">
              <w:rPr>
                <w:rStyle w:val="Hyperlink"/>
                <w:bCs/>
                <w:noProof/>
              </w:rPr>
              <w:t>Appendix 2: Interview summary with Dr Fathiya Khamis from ICIPE on Plant Health Diagnostic Networking</w:t>
            </w:r>
            <w:r>
              <w:rPr>
                <w:noProof/>
                <w:webHidden/>
              </w:rPr>
              <w:tab/>
            </w:r>
            <w:r>
              <w:rPr>
                <w:noProof/>
                <w:webHidden/>
              </w:rPr>
              <w:fldChar w:fldCharType="begin"/>
            </w:r>
            <w:r>
              <w:rPr>
                <w:noProof/>
                <w:webHidden/>
              </w:rPr>
              <w:instrText xml:space="preserve"> PAGEREF _Toc210831732 \h </w:instrText>
            </w:r>
            <w:r>
              <w:rPr>
                <w:noProof/>
                <w:webHidden/>
              </w:rPr>
            </w:r>
            <w:r>
              <w:rPr>
                <w:noProof/>
                <w:webHidden/>
              </w:rPr>
              <w:fldChar w:fldCharType="separate"/>
            </w:r>
            <w:r>
              <w:rPr>
                <w:noProof/>
                <w:webHidden/>
              </w:rPr>
              <w:t>22</w:t>
            </w:r>
            <w:r>
              <w:rPr>
                <w:noProof/>
                <w:webHidden/>
              </w:rPr>
              <w:fldChar w:fldCharType="end"/>
            </w:r>
          </w:hyperlink>
        </w:p>
        <w:p w14:paraId="57D50B6B" w14:textId="3216EC69"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3" w:history="1">
            <w:r w:rsidRPr="001835AF">
              <w:rPr>
                <w:rStyle w:val="Hyperlink"/>
                <w:bCs/>
                <w:noProof/>
              </w:rPr>
              <w:t>Appendix 3: Interview summary with Ms Juliet Goldsmith from CAHFSA on Plant Health Diagnostic Networking, Regional Coordination, and Industry Collaboration</w:t>
            </w:r>
            <w:r>
              <w:rPr>
                <w:noProof/>
                <w:webHidden/>
              </w:rPr>
              <w:tab/>
            </w:r>
            <w:r>
              <w:rPr>
                <w:noProof/>
                <w:webHidden/>
              </w:rPr>
              <w:fldChar w:fldCharType="begin"/>
            </w:r>
            <w:r>
              <w:rPr>
                <w:noProof/>
                <w:webHidden/>
              </w:rPr>
              <w:instrText xml:space="preserve"> PAGEREF _Toc210831733 \h </w:instrText>
            </w:r>
            <w:r>
              <w:rPr>
                <w:noProof/>
                <w:webHidden/>
              </w:rPr>
            </w:r>
            <w:r>
              <w:rPr>
                <w:noProof/>
                <w:webHidden/>
              </w:rPr>
              <w:fldChar w:fldCharType="separate"/>
            </w:r>
            <w:r>
              <w:rPr>
                <w:noProof/>
                <w:webHidden/>
              </w:rPr>
              <w:t>24</w:t>
            </w:r>
            <w:r>
              <w:rPr>
                <w:noProof/>
                <w:webHidden/>
              </w:rPr>
              <w:fldChar w:fldCharType="end"/>
            </w:r>
          </w:hyperlink>
        </w:p>
        <w:p w14:paraId="2323FFD5" w14:textId="06C0044B"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4" w:history="1">
            <w:r w:rsidRPr="001835AF">
              <w:rPr>
                <w:rStyle w:val="Hyperlink"/>
                <w:bCs/>
                <w:noProof/>
              </w:rPr>
              <w:t>Appendix 4: Interview summary with Dr Fiona Constable on Australian Plant Health Diagnostic Network (SPHD / SPID)</w:t>
            </w:r>
            <w:r>
              <w:rPr>
                <w:noProof/>
                <w:webHidden/>
              </w:rPr>
              <w:tab/>
            </w:r>
            <w:r>
              <w:rPr>
                <w:noProof/>
                <w:webHidden/>
              </w:rPr>
              <w:fldChar w:fldCharType="begin"/>
            </w:r>
            <w:r>
              <w:rPr>
                <w:noProof/>
                <w:webHidden/>
              </w:rPr>
              <w:instrText xml:space="preserve"> PAGEREF _Toc210831734 \h </w:instrText>
            </w:r>
            <w:r>
              <w:rPr>
                <w:noProof/>
                <w:webHidden/>
              </w:rPr>
            </w:r>
            <w:r>
              <w:rPr>
                <w:noProof/>
                <w:webHidden/>
              </w:rPr>
              <w:fldChar w:fldCharType="separate"/>
            </w:r>
            <w:r>
              <w:rPr>
                <w:noProof/>
                <w:webHidden/>
              </w:rPr>
              <w:t>26</w:t>
            </w:r>
            <w:r>
              <w:rPr>
                <w:noProof/>
                <w:webHidden/>
              </w:rPr>
              <w:fldChar w:fldCharType="end"/>
            </w:r>
          </w:hyperlink>
        </w:p>
        <w:p w14:paraId="371A60CD" w14:textId="0A82B248"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5" w:history="1">
            <w:r w:rsidRPr="001835AF">
              <w:rPr>
                <w:rStyle w:val="Hyperlink"/>
                <w:bCs/>
                <w:noProof/>
              </w:rPr>
              <w:t>Appendix 5: Interview  summary with Beatriz Melcho of COSAVE on 15 September 2025</w:t>
            </w:r>
            <w:r>
              <w:rPr>
                <w:noProof/>
                <w:webHidden/>
              </w:rPr>
              <w:tab/>
            </w:r>
            <w:r>
              <w:rPr>
                <w:noProof/>
                <w:webHidden/>
              </w:rPr>
              <w:fldChar w:fldCharType="begin"/>
            </w:r>
            <w:r>
              <w:rPr>
                <w:noProof/>
                <w:webHidden/>
              </w:rPr>
              <w:instrText xml:space="preserve"> PAGEREF _Toc210831735 \h </w:instrText>
            </w:r>
            <w:r>
              <w:rPr>
                <w:noProof/>
                <w:webHidden/>
              </w:rPr>
            </w:r>
            <w:r>
              <w:rPr>
                <w:noProof/>
                <w:webHidden/>
              </w:rPr>
              <w:fldChar w:fldCharType="separate"/>
            </w:r>
            <w:r>
              <w:rPr>
                <w:noProof/>
                <w:webHidden/>
              </w:rPr>
              <w:t>29</w:t>
            </w:r>
            <w:r>
              <w:rPr>
                <w:noProof/>
                <w:webHidden/>
              </w:rPr>
              <w:fldChar w:fldCharType="end"/>
            </w:r>
          </w:hyperlink>
        </w:p>
        <w:p w14:paraId="0A006AD3" w14:textId="7BD8BCCC"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6" w:history="1">
            <w:r w:rsidRPr="001835AF">
              <w:rPr>
                <w:rStyle w:val="Hyperlink"/>
                <w:bCs/>
                <w:noProof/>
              </w:rPr>
              <w:t>Appendix 6: Interview Summary  with CAN / Comunidad Andina on Plant Health Diagnostic Networking</w:t>
            </w:r>
            <w:r>
              <w:rPr>
                <w:noProof/>
                <w:webHidden/>
              </w:rPr>
              <w:tab/>
            </w:r>
            <w:r>
              <w:rPr>
                <w:noProof/>
                <w:webHidden/>
              </w:rPr>
              <w:fldChar w:fldCharType="begin"/>
            </w:r>
            <w:r>
              <w:rPr>
                <w:noProof/>
                <w:webHidden/>
              </w:rPr>
              <w:instrText xml:space="preserve"> PAGEREF _Toc210831736 \h </w:instrText>
            </w:r>
            <w:r>
              <w:rPr>
                <w:noProof/>
                <w:webHidden/>
              </w:rPr>
            </w:r>
            <w:r>
              <w:rPr>
                <w:noProof/>
                <w:webHidden/>
              </w:rPr>
              <w:fldChar w:fldCharType="separate"/>
            </w:r>
            <w:r>
              <w:rPr>
                <w:noProof/>
                <w:webHidden/>
              </w:rPr>
              <w:t>30</w:t>
            </w:r>
            <w:r>
              <w:rPr>
                <w:noProof/>
                <w:webHidden/>
              </w:rPr>
              <w:fldChar w:fldCharType="end"/>
            </w:r>
          </w:hyperlink>
        </w:p>
        <w:p w14:paraId="4D0EC5AB" w14:textId="7220DC61" w:rsidR="00F405C2" w:rsidRDefault="00F405C2">
          <w:pPr>
            <w:pStyle w:val="TOC2"/>
            <w:rPr>
              <w:rFonts w:asciiTheme="minorHAnsi" w:eastAsiaTheme="minorEastAsia" w:hAnsiTheme="minorHAnsi" w:cstheme="minorBidi"/>
              <w:noProof/>
              <w:kern w:val="2"/>
              <w:sz w:val="24"/>
              <w:lang w:val="en-US"/>
              <w14:ligatures w14:val="standardContextual"/>
            </w:rPr>
          </w:pPr>
          <w:hyperlink w:anchor="_Toc210831737" w:history="1">
            <w:r w:rsidRPr="001835AF">
              <w:rPr>
                <w:rStyle w:val="Hyperlink"/>
                <w:bCs/>
                <w:noProof/>
              </w:rPr>
              <w:t>Appendix 7: Interview Summary with Dr. Florence Munguti from Kenya NPPO on 30 September 2025</w:t>
            </w:r>
            <w:r>
              <w:rPr>
                <w:noProof/>
                <w:webHidden/>
              </w:rPr>
              <w:tab/>
            </w:r>
            <w:r>
              <w:rPr>
                <w:noProof/>
                <w:webHidden/>
              </w:rPr>
              <w:fldChar w:fldCharType="begin"/>
            </w:r>
            <w:r>
              <w:rPr>
                <w:noProof/>
                <w:webHidden/>
              </w:rPr>
              <w:instrText xml:space="preserve"> PAGEREF _Toc210831737 \h </w:instrText>
            </w:r>
            <w:r>
              <w:rPr>
                <w:noProof/>
                <w:webHidden/>
              </w:rPr>
            </w:r>
            <w:r>
              <w:rPr>
                <w:noProof/>
                <w:webHidden/>
              </w:rPr>
              <w:fldChar w:fldCharType="separate"/>
            </w:r>
            <w:r>
              <w:rPr>
                <w:noProof/>
                <w:webHidden/>
              </w:rPr>
              <w:t>32</w:t>
            </w:r>
            <w:r>
              <w:rPr>
                <w:noProof/>
                <w:webHidden/>
              </w:rPr>
              <w:fldChar w:fldCharType="end"/>
            </w:r>
          </w:hyperlink>
        </w:p>
        <w:p w14:paraId="298A62BB" w14:textId="23B13F9E" w:rsidR="00991C06" w:rsidRDefault="009B2F32" w:rsidP="00F405C2">
          <w:r>
            <w:rPr>
              <w:b/>
              <w:bCs/>
              <w:noProof/>
            </w:rPr>
            <w:fldChar w:fldCharType="end"/>
          </w:r>
        </w:p>
      </w:sdtContent>
    </w:sdt>
    <w:p w14:paraId="70215278" w14:textId="77777777" w:rsidR="00991C06" w:rsidRDefault="00991C06" w:rsidP="00991C06">
      <w:pPr>
        <w:pStyle w:val="IPPNumberedListLast"/>
        <w:numPr>
          <w:ilvl w:val="0"/>
          <w:numId w:val="0"/>
        </w:numPr>
        <w:ind w:left="567" w:hanging="567"/>
      </w:pPr>
    </w:p>
    <w:p w14:paraId="7C6A05DA" w14:textId="77777777" w:rsidR="00991C06" w:rsidRPr="002926DA" w:rsidRDefault="00991C06" w:rsidP="00991C06">
      <w:pPr>
        <w:pStyle w:val="IPPNumberedListLast"/>
        <w:numPr>
          <w:ilvl w:val="0"/>
          <w:numId w:val="0"/>
        </w:numPr>
        <w:ind w:left="567" w:hanging="567"/>
        <w:sectPr w:rsidR="00991C06" w:rsidRPr="002926DA" w:rsidSect="00391F60">
          <w:headerReference w:type="even" r:id="rId14"/>
          <w:headerReference w:type="default" r:id="rId15"/>
          <w:footerReference w:type="even" r:id="rId16"/>
          <w:footerReference w:type="default" r:id="rId17"/>
          <w:headerReference w:type="first" r:id="rId18"/>
          <w:footerReference w:type="first" r:id="rId19"/>
          <w:pgSz w:w="11906" w:h="16838" w:code="9"/>
          <w:pgMar w:top="1411" w:right="1555" w:bottom="1411" w:left="1411" w:header="720" w:footer="720" w:gutter="0"/>
          <w:cols w:space="708"/>
          <w:titlePg/>
          <w:docGrid w:linePitch="360"/>
        </w:sectPr>
      </w:pPr>
    </w:p>
    <w:p w14:paraId="36ECC37D" w14:textId="1F5396E0" w:rsidR="00900975" w:rsidRDefault="00874AF4" w:rsidP="002A54F0">
      <w:pPr>
        <w:pStyle w:val="IPPHeading1"/>
        <w:numPr>
          <w:ilvl w:val="0"/>
          <w:numId w:val="24"/>
        </w:numPr>
        <w:ind w:hanging="720"/>
      </w:pPr>
      <w:bookmarkStart w:id="6" w:name="_Toc210831709"/>
      <w:r>
        <w:lastRenderedPageBreak/>
        <w:t>Introduction</w:t>
      </w:r>
      <w:bookmarkEnd w:id="6"/>
    </w:p>
    <w:p w14:paraId="54371F3B" w14:textId="47D4CA60" w:rsidR="00340636" w:rsidRDefault="00340636" w:rsidP="002A54F0">
      <w:pPr>
        <w:pStyle w:val="IPPParagraphnumbering"/>
      </w:pPr>
      <w:r>
        <w:t>Most countries rely on the trade of agricultural goods to promote economic growth and ensure food security. With the increase in international trade of plants and plant products, the movement of people across continents and the impact of climate change, many countries have been exposed to the establishment and spread of exotic plant pests associated with various crop commodities that can cause major damage to a country's agricultural sector and its natural resources (Miller</w:t>
      </w:r>
      <w:r w:rsidR="00F85BA7">
        <w:t xml:space="preserve"> et al.</w:t>
      </w:r>
      <w:r>
        <w:t xml:space="preserve"> 2009</w:t>
      </w:r>
      <w:r w:rsidR="00F85BA7">
        <w:t>)</w:t>
      </w:r>
      <w:r>
        <w:t xml:space="preserve">. </w:t>
      </w:r>
    </w:p>
    <w:p w14:paraId="61B5EB0E" w14:textId="77777777" w:rsidR="00340636" w:rsidRDefault="00340636" w:rsidP="002A54F0">
      <w:pPr>
        <w:pStyle w:val="IPPParagraphnumbering"/>
      </w:pPr>
      <w:r>
        <w:t xml:space="preserve">National Plant Protection Organisations (NPPOs) or countries need to put measures in place to safeguard against the impact of these harmful exotic pests. Over time, the measures employed can become constrained and less effective as pests adapt to changing environments and find new host material. It is for this reason that, countries increasingly rely on support </w:t>
      </w:r>
      <w:proofErr w:type="gramStart"/>
      <w:r>
        <w:t>systems  that</w:t>
      </w:r>
      <w:proofErr w:type="gramEnd"/>
      <w:r>
        <w:t xml:space="preserve"> have strong diagnostic skills, up-to-date expertise and resources to detect pests of economic importance (IPPC/FAO guidance on phytosanitary capacity; Miller et al., 2009). </w:t>
      </w:r>
    </w:p>
    <w:p w14:paraId="1B076303" w14:textId="77777777" w:rsidR="00340636" w:rsidRDefault="00340636" w:rsidP="002A54F0">
      <w:pPr>
        <w:pStyle w:val="IPPParagraphnumbering"/>
      </w:pPr>
      <w:r>
        <w:t xml:space="preserve">In response to the new advancements in science, new diagnostic methodology and technology needs to be developed and adopted to bolster a country’s diagnostic capability, because failure to rapidly detect and respond to new threats puts countries at risk of food insecurity and loss of markets that support employment and economic growth.  </w:t>
      </w:r>
    </w:p>
    <w:p w14:paraId="056E2549" w14:textId="77777777" w:rsidR="00340636" w:rsidRDefault="00340636" w:rsidP="002A54F0">
      <w:pPr>
        <w:pStyle w:val="IPPParagraphnumbering"/>
      </w:pPr>
      <w:r>
        <w:t xml:space="preserve">Due to these challenges many countries have created Plant Health Diagnostic Networks (PHDNs) to address lack of expertise, outdated or non-existent diagnostic techniques, research prioritization gaps, and inadequate infrastructure. Successful examples at national and regional scales includes the United States National Plant Diagnostic Network, regional centres of excellence, and international programmes that build local capacity. These networks at various </w:t>
      </w:r>
      <w:proofErr w:type="gramStart"/>
      <w:r>
        <w:t>levels,</w:t>
      </w:r>
      <w:proofErr w:type="gramEnd"/>
      <w:r>
        <w:t xml:space="preserve"> </w:t>
      </w:r>
      <w:proofErr w:type="gramStart"/>
      <w:r>
        <w:t>illustrates</w:t>
      </w:r>
      <w:proofErr w:type="gramEnd"/>
      <w:r>
        <w:t xml:space="preserve"> how networking, standard operating procedures, accreditation and coordinated training can improve detection, surveillance and response capacity. </w:t>
      </w:r>
    </w:p>
    <w:p w14:paraId="6D992806" w14:textId="77777777" w:rsidR="00340636" w:rsidRDefault="00340636" w:rsidP="002A54F0">
      <w:pPr>
        <w:pStyle w:val="IPPParagraphnumbering"/>
      </w:pPr>
      <w:r w:rsidRPr="002A54F0">
        <w:t>Some countries have good infrastructure and diagnosticians in both the official and private sectors and</w:t>
      </w:r>
      <w:r>
        <w:t xml:space="preserve"> have leveraged these resources to develop PHDNs within their countries or regions. These networks increasingly utilize advanced technologies (molecular and sequencing tools), data sharing, citizen science and interdisciplinary collaborations to monitor and diagnose plant health issues, enabling timely interventions that minimise crop losses and enhance food security. </w:t>
      </w:r>
    </w:p>
    <w:p w14:paraId="27A16B76" w14:textId="72BFA0E8" w:rsidR="00340636" w:rsidRDefault="00340636" w:rsidP="002A54F0">
      <w:pPr>
        <w:pStyle w:val="IPPParagraphnumbering"/>
      </w:pPr>
      <w:r>
        <w:t xml:space="preserve">A number </w:t>
      </w:r>
      <w:proofErr w:type="gramStart"/>
      <w:r>
        <w:t>of  countries</w:t>
      </w:r>
      <w:proofErr w:type="gramEnd"/>
      <w:r>
        <w:t xml:space="preserve"> have no diagnostic infrastructure or </w:t>
      </w:r>
      <w:proofErr w:type="gramStart"/>
      <w:r>
        <w:t>have limited</w:t>
      </w:r>
      <w:proofErr w:type="gramEnd"/>
      <w:r>
        <w:t xml:space="preserve"> resources that </w:t>
      </w:r>
      <w:proofErr w:type="gramStart"/>
      <w:r>
        <w:t>is</w:t>
      </w:r>
      <w:proofErr w:type="gramEnd"/>
      <w:r>
        <w:t xml:space="preserve"> not able to support their biosecurity mandates. Within countries you would find the phenomenon where major agricultural industries and research institutions have made huge investments in bolstering diagnostic capacity, with governments failing to follow suite. Some countries do not yet have a comprehensive framework to develop a plant health diagnostic network (PHDN</w:t>
      </w:r>
      <w:proofErr w:type="gramStart"/>
      <w:r>
        <w:t>)</w:t>
      </w:r>
      <w:proofErr w:type="gramEnd"/>
      <w:r w:rsidR="00F85BA7">
        <w:t xml:space="preserve"> and they</w:t>
      </w:r>
      <w:r>
        <w:t xml:space="preserve"> may lack adequate legislation, infrastructure and human capacity and often operate in silos. Collaborations between governments and the private sector should be established and bolstered to develop diagnostic networks that support phytosanitary risk management. The IPPC and FAO’s guidance emphasise the role of NPPOs as regulators and the benefits of authorised partnerships to expand surveillance and diagnostic reach</w:t>
      </w:r>
      <w:r w:rsidR="00F85BA7">
        <w:t>.</w:t>
      </w:r>
    </w:p>
    <w:p w14:paraId="76A45C50" w14:textId="77777777" w:rsidR="00340636" w:rsidRDefault="00340636" w:rsidP="002A54F0">
      <w:pPr>
        <w:pStyle w:val="IPPParagraphnumbering"/>
      </w:pPr>
      <w:r>
        <w:t xml:space="preserve">All parties should recognise the NPPO of a country as the regulator and custodian in managing PHDNs, and there should be political will among signatory countries to support such efforts. The creation of strong partnerships and trust between recognised stakeholders, together with clear goals and outcomes, will advance the establishment and functioning of robust PHDNs. </w:t>
      </w:r>
    </w:p>
    <w:p w14:paraId="5B496FCE" w14:textId="1A767016" w:rsidR="00874AF4" w:rsidRDefault="00340636" w:rsidP="002A54F0">
      <w:pPr>
        <w:pStyle w:val="IPPParagraphnumbering"/>
      </w:pPr>
      <w:r>
        <w:t>A capable disease diagnostic system or network should be viewed as a fundamental pillar of a supportive plant health risk-management system. Investing in diagnostics, networks, accreditation and human capacity is essential to safeguard food security and enable safe trade of agricultural goods.</w:t>
      </w:r>
    </w:p>
    <w:p w14:paraId="0F437EB7" w14:textId="77777777" w:rsidR="0014255A" w:rsidRDefault="0014255A" w:rsidP="00340636">
      <w:pPr>
        <w:pStyle w:val="IPPNormal"/>
      </w:pPr>
    </w:p>
    <w:p w14:paraId="1D0013F6" w14:textId="77777777" w:rsidR="008D3373" w:rsidRDefault="008D3373" w:rsidP="00340636">
      <w:pPr>
        <w:pStyle w:val="IPPNormal"/>
      </w:pPr>
    </w:p>
    <w:p w14:paraId="4173A1E1" w14:textId="362E765A" w:rsidR="0014255A" w:rsidRPr="004D4ADA" w:rsidRDefault="0014255A" w:rsidP="002A54F0">
      <w:pPr>
        <w:pStyle w:val="IPPHeading1"/>
        <w:numPr>
          <w:ilvl w:val="0"/>
          <w:numId w:val="24"/>
        </w:numPr>
        <w:ind w:hanging="720"/>
      </w:pPr>
      <w:bookmarkStart w:id="7" w:name="_Toc210831710"/>
      <w:r w:rsidRPr="004D4ADA">
        <w:lastRenderedPageBreak/>
        <w:t>Importance of Plant Hea</w:t>
      </w:r>
      <w:r w:rsidR="00510D34" w:rsidRPr="004D4ADA">
        <w:t>lth Diagnostics in Strengthening Networks</w:t>
      </w:r>
      <w:bookmarkEnd w:id="7"/>
    </w:p>
    <w:p w14:paraId="7AFB4CE3" w14:textId="1868FBBE" w:rsidR="00510D34" w:rsidRDefault="00510D34" w:rsidP="002A54F0">
      <w:pPr>
        <w:pStyle w:val="IPPParagraphnumbering"/>
      </w:pPr>
      <w:r>
        <w:t xml:space="preserve">Diagnostics is a key pillar </w:t>
      </w:r>
      <w:r w:rsidR="00521609">
        <w:t>in plant</w:t>
      </w:r>
      <w:r>
        <w:t xml:space="preserve"> biosecurity in providing </w:t>
      </w:r>
      <w:proofErr w:type="gramStart"/>
      <w:r>
        <w:t>the evidence</w:t>
      </w:r>
      <w:proofErr w:type="gramEnd"/>
      <w:r>
        <w:t xml:space="preserve"> that a particular pest is present in plant propagation material or products thereof. It allows for early detection of pests and supports surveillance, risk analysis, and rapid responses to plant health threats. Investments in high-quality diagnostic capacity </w:t>
      </w:r>
      <w:proofErr w:type="gramStart"/>
      <w:r>
        <w:t>enables</w:t>
      </w:r>
      <w:proofErr w:type="gramEnd"/>
      <w:r>
        <w:t xml:space="preserve"> quick and </w:t>
      </w:r>
      <w:proofErr w:type="gramStart"/>
      <w:r>
        <w:t>accurate  confirmation</w:t>
      </w:r>
      <w:proofErr w:type="gramEnd"/>
      <w:r>
        <w:t xml:space="preserve"> of </w:t>
      </w:r>
      <w:proofErr w:type="gramStart"/>
      <w:r>
        <w:t>pests ,</w:t>
      </w:r>
      <w:proofErr w:type="gramEnd"/>
      <w:r>
        <w:t xml:space="preserve"> which in turn </w:t>
      </w:r>
      <w:proofErr w:type="gramStart"/>
      <w:r>
        <w:t>allows  for</w:t>
      </w:r>
      <w:proofErr w:type="gramEnd"/>
      <w:r>
        <w:t xml:space="preserve"> swift initiation of emergency response, delimiting surveys, and eradication plans to prevent establishment and minimize the damaging impact on the agricultural environment and economies (Stack et al., 2006).</w:t>
      </w:r>
    </w:p>
    <w:p w14:paraId="15C1A098" w14:textId="32AC290D" w:rsidR="00510D34" w:rsidRDefault="00510D34" w:rsidP="002A54F0">
      <w:pPr>
        <w:pStyle w:val="IPPParagraphnumbering"/>
      </w:pPr>
      <w:r>
        <w:t xml:space="preserve">Surveillance relies on accurate diagnostic results to justify pest-free area claims and guide phytosanitary decision-making (FAO, 2018a). Similarly, pest risk analysis (PRA) depends on diagnostically confirmed data regarding pest identity, distribution, and host associations, enabling evidence-based </w:t>
      </w:r>
      <w:r w:rsidR="008D3373">
        <w:t xml:space="preserve">decision to be taken </w:t>
      </w:r>
      <w:r>
        <w:t>(FAO, 2019).</w:t>
      </w:r>
    </w:p>
    <w:p w14:paraId="403AB213" w14:textId="77777777" w:rsidR="00510D34" w:rsidRDefault="00510D34" w:rsidP="002A54F0">
      <w:pPr>
        <w:pStyle w:val="IPPParagraphnumbering"/>
      </w:pPr>
      <w:r>
        <w:t xml:space="preserve">Harmonization of diagnostics is crucial for international trade. ISPM 27 provides standardized Diagnostic Protocols for Regulated Pests, which enhance mutual confidence and reduce trade disputes by ensuring comparability of results. To date, a number </w:t>
      </w:r>
      <w:proofErr w:type="gramStart"/>
      <w:r>
        <w:t>of  Diagnostic</w:t>
      </w:r>
      <w:proofErr w:type="gramEnd"/>
      <w:r>
        <w:t xml:space="preserve"> Protocols cover key pests of international concern, including </w:t>
      </w:r>
      <w:r w:rsidRPr="00CA29FC">
        <w:rPr>
          <w:i/>
          <w:iCs/>
        </w:rPr>
        <w:t>Xylella fastidiosa</w:t>
      </w:r>
      <w:r>
        <w:t xml:space="preserve"> and </w:t>
      </w:r>
      <w:proofErr w:type="spellStart"/>
      <w:r w:rsidRPr="00CA29FC">
        <w:rPr>
          <w:i/>
          <w:iCs/>
        </w:rPr>
        <w:t>Austropuccinia</w:t>
      </w:r>
      <w:proofErr w:type="spellEnd"/>
      <w:r w:rsidRPr="00CA29FC">
        <w:rPr>
          <w:i/>
          <w:iCs/>
        </w:rPr>
        <w:t xml:space="preserve"> </w:t>
      </w:r>
      <w:proofErr w:type="spellStart"/>
      <w:r w:rsidRPr="00CA29FC">
        <w:rPr>
          <w:i/>
          <w:iCs/>
        </w:rPr>
        <w:t>psidii</w:t>
      </w:r>
      <w:proofErr w:type="spellEnd"/>
      <w:r>
        <w:t xml:space="preserve"> (FAO, 2020).</w:t>
      </w:r>
    </w:p>
    <w:p w14:paraId="26CE47FD" w14:textId="77777777" w:rsidR="00510D34" w:rsidRDefault="00510D34" w:rsidP="002A54F0">
      <w:pPr>
        <w:pStyle w:val="IPPParagraphnumbering"/>
      </w:pPr>
      <w:r>
        <w:t xml:space="preserve">Emerging technologies, such as high-throughput sequencing (HTS), are revolutionizing plant diagnostics by enabling simultaneous detection of known and new pathogens. HTS is increasingly applied in certification programs and outbreak investigations, although challenges remain in validation, interpretation, and regulatory acceptance (Adams et al., 2023; Massart et al., 2019; </w:t>
      </w:r>
      <w:proofErr w:type="spellStart"/>
      <w:r>
        <w:t>Mehetre</w:t>
      </w:r>
      <w:proofErr w:type="spellEnd"/>
      <w:r>
        <w:t xml:space="preserve"> et al., 2021).</w:t>
      </w:r>
    </w:p>
    <w:p w14:paraId="52AC7A85" w14:textId="77777777" w:rsidR="00510D34" w:rsidRDefault="00510D34" w:rsidP="002A54F0">
      <w:pPr>
        <w:pStyle w:val="IPPParagraphnumbering"/>
      </w:pPr>
      <w:r>
        <w:t>The use of advanced technologies, including artificial intelligence, needs to be promoted and thus also requires continuous training for alignment and harmonisation with protocols for quick detection and identification of pests.</w:t>
      </w:r>
    </w:p>
    <w:p w14:paraId="3DE51057" w14:textId="25503014" w:rsidR="00510D34" w:rsidRDefault="00510D34" w:rsidP="002A54F0">
      <w:pPr>
        <w:pStyle w:val="IPPParagraphnumbering"/>
      </w:pPr>
      <w:r>
        <w:t xml:space="preserve">Diagnostic networks </w:t>
      </w:r>
      <w:r w:rsidR="004B7AFD">
        <w:t>are beneficial</w:t>
      </w:r>
      <w:r>
        <w:t xml:space="preserve"> by harmonizing methods across laboratories, enabling proficiency testing, ensuring </w:t>
      </w:r>
      <w:proofErr w:type="gramStart"/>
      <w:r>
        <w:t>diagnostic  capacity</w:t>
      </w:r>
      <w:proofErr w:type="gramEnd"/>
      <w:r>
        <w:t xml:space="preserve"> during outbreaks, and providing continuous training opportunities. Evidence from established networks, such as the U.S. National Plant Diagnostic Network, demonstrates that shared protocols and reference materials improve diagnostic coverage and speed of response (Stack et al., 2006; USDA-PPQ, 2023).</w:t>
      </w:r>
    </w:p>
    <w:p w14:paraId="05626B7E" w14:textId="5F821601" w:rsidR="009F7A17" w:rsidRDefault="004B7AFD" w:rsidP="00510D34">
      <w:pPr>
        <w:pStyle w:val="IPPParagraphnumbering"/>
      </w:pPr>
      <w:r>
        <w:t xml:space="preserve">Considering all the benefits, </w:t>
      </w:r>
      <w:r w:rsidR="00510D34">
        <w:t xml:space="preserve">challenges </w:t>
      </w:r>
      <w:proofErr w:type="gramStart"/>
      <w:r>
        <w:t xml:space="preserve">still </w:t>
      </w:r>
      <w:r w:rsidR="008D6D44">
        <w:t>persist</w:t>
      </w:r>
      <w:proofErr w:type="gramEnd"/>
      <w:r w:rsidR="00510D34">
        <w:t xml:space="preserve"> which </w:t>
      </w:r>
      <w:proofErr w:type="gramStart"/>
      <w:r w:rsidR="00510D34">
        <w:t>includes</w:t>
      </w:r>
      <w:proofErr w:type="gramEnd"/>
      <w:r w:rsidR="00510D34">
        <w:t xml:space="preserve"> limited laboratory capacity </w:t>
      </w:r>
      <w:proofErr w:type="gramStart"/>
      <w:r w:rsidR="00510D34">
        <w:t>and  access</w:t>
      </w:r>
      <w:proofErr w:type="gramEnd"/>
      <w:r w:rsidR="00510D34">
        <w:t xml:space="preserve"> to reference materials, as well as gaps in standardization for new methods. Strengthening diagnostic capacity through adoption of ISPM 27 protocols, investment in QA/QC systems, and integration of diagnostics into surveillance and PRA workflows is widely recognized as a priority </w:t>
      </w:r>
      <w:r>
        <w:t xml:space="preserve">to advance </w:t>
      </w:r>
      <w:r w:rsidR="00510D34">
        <w:t>robust plant biosecurity systems (FAO, 2018b; FAO, 2020).</w:t>
      </w:r>
    </w:p>
    <w:p w14:paraId="2C5E7BEA" w14:textId="39D2B87B" w:rsidR="009F7A17" w:rsidRPr="002A54F0" w:rsidRDefault="009E681B" w:rsidP="002A54F0">
      <w:pPr>
        <w:pStyle w:val="IPPHeading1"/>
        <w:numPr>
          <w:ilvl w:val="0"/>
          <w:numId w:val="24"/>
        </w:numPr>
        <w:tabs>
          <w:tab w:val="clear" w:pos="567"/>
          <w:tab w:val="left" w:pos="284"/>
        </w:tabs>
        <w:ind w:hanging="720"/>
      </w:pPr>
      <w:bookmarkStart w:id="8" w:name="_Toc210831711"/>
      <w:r w:rsidRPr="002A54F0">
        <w:t xml:space="preserve">Establishment and </w:t>
      </w:r>
      <w:r w:rsidR="009F7A17" w:rsidRPr="002A54F0">
        <w:t xml:space="preserve">Evolution </w:t>
      </w:r>
      <w:r w:rsidR="00C869EE" w:rsidRPr="002A54F0">
        <w:t>of</w:t>
      </w:r>
      <w:r w:rsidR="009F7A17" w:rsidRPr="002A54F0">
        <w:t xml:space="preserve"> Plant Health Diagnostic Networks</w:t>
      </w:r>
      <w:bookmarkEnd w:id="8"/>
    </w:p>
    <w:p w14:paraId="3FC486BE" w14:textId="1397A4AE" w:rsidR="009F7A17" w:rsidRDefault="009F7A17" w:rsidP="002A54F0">
      <w:pPr>
        <w:pStyle w:val="IPPParagraphnumbering"/>
      </w:pPr>
      <w:r>
        <w:t xml:space="preserve">The most recognized example of an established PHDN is the United States National Plant Diagnostic Network (NPDN) which was established in 2002 </w:t>
      </w:r>
      <w:r w:rsidR="00107E7B">
        <w:t>due to</w:t>
      </w:r>
      <w:r>
        <w:t xml:space="preserve"> concerns about agricultural biosecurity. The NPDN links land-grant universities, state departments of agriculture, and federal agencies into a coordinated diagnostic and reporting system for plant health. It provides standardized protocols, quality assurance, training, and secure data sharing across five regional hubs (Bostock et al., 2014). The network has evolved over time into an effective and efficient central pillar for rapid detection and response to exotic pests and pathogens in the United States (Stack et al., 2006).</w:t>
      </w:r>
    </w:p>
    <w:p w14:paraId="7171EC7B" w14:textId="4D6C5D32" w:rsidR="009F7A17" w:rsidRDefault="009F7A17" w:rsidP="002A54F0">
      <w:pPr>
        <w:pStyle w:val="IPPParagraphnumbering"/>
      </w:pPr>
      <w:r>
        <w:t xml:space="preserve">Plant health diagnostics in Europe are strengthened through coordinated efforts amongst member countries of the European Union. The European and Mediterranean Plant Protection Organization (EPPO) has developed a comprehensive diagnostic programme to harmonize testing methods across its member states. The organisation provides standardised and validated methods for detecting regulated pests through the publication of the EPPO Diagnostic Protocols (PM 7 series), In addition, EPPO maintains a database of diagnostic expertise to map laboratory capacities and conducts regular interlaboratory comparisons to enhance quality management and accreditation under ISO/IEC 17025 </w:t>
      </w:r>
      <w:r>
        <w:lastRenderedPageBreak/>
        <w:t>(EPPO, 2021). These initiatives have significantly improved the harmonization and reliability of plant health diagnostics across the EPPO region.</w:t>
      </w:r>
    </w:p>
    <w:p w14:paraId="5E0CE148" w14:textId="67C9B8C8" w:rsidR="009F7A17" w:rsidRDefault="009F7A17" w:rsidP="002A54F0">
      <w:pPr>
        <w:pStyle w:val="IPPParagraphnumbering"/>
      </w:pPr>
      <w:r>
        <w:t xml:space="preserve">The European Union (EU) regional diagnostic framework works on a three-tier system where ordinary laboratories conduct routine diagnostics for pests. Where there is a presence of a suspicious or </w:t>
      </w:r>
      <w:r w:rsidR="00CA29FC">
        <w:t>regulated</w:t>
      </w:r>
      <w:r>
        <w:t xml:space="preserve"> pest these </w:t>
      </w:r>
      <w:proofErr w:type="gramStart"/>
      <w:r>
        <w:t>finding</w:t>
      </w:r>
      <w:proofErr w:type="gramEnd"/>
      <w:r>
        <w:t xml:space="preserve"> are referred to a National Reference Laboratory (NRL) for confirmation. NRLs report confirmed findings to competent national authorities and, when necessary, to European Union Reference Laboratories (EURLs). Operating at the EU level, EURLs coordinate the harmonization of diagnostic methods, distribute reference materials, organize proficiency testing, and offer scientific and technical support to NRLs and ordinary laboratories.</w:t>
      </w:r>
    </w:p>
    <w:p w14:paraId="3087ED8A" w14:textId="3B6903A8" w:rsidR="009F7A17" w:rsidRDefault="009F7A17" w:rsidP="002A54F0">
      <w:pPr>
        <w:pStyle w:val="IPPParagraphnumbering"/>
      </w:pPr>
      <w:r>
        <w:t xml:space="preserve">This structured, multi-level </w:t>
      </w:r>
      <w:proofErr w:type="gramStart"/>
      <w:r>
        <w:t>system</w:t>
      </w:r>
      <w:r w:rsidR="00B41BC9">
        <w:t>,</w:t>
      </w:r>
      <w:proofErr w:type="gramEnd"/>
      <w:r w:rsidR="00B41BC9">
        <w:t xml:space="preserve"> </w:t>
      </w:r>
      <w:r>
        <w:t xml:space="preserve">ensures standardization, reliability, and rapid detection of emerging pests. and strengthens plant health surveillance, supports international trade, and facilitates compliance with global phytosanitary obligations </w:t>
      </w:r>
      <w:r w:rsidR="008A2E0A">
        <w:t>and can ultimately also deal with disputes of diagnostic results.</w:t>
      </w:r>
    </w:p>
    <w:p w14:paraId="36AF328E" w14:textId="124D54C6" w:rsidR="009F7A17" w:rsidRDefault="009F7A17" w:rsidP="002A54F0">
      <w:pPr>
        <w:pStyle w:val="IPPParagraphnumbering"/>
      </w:pPr>
      <w:r>
        <w:t>In Australia, the National Plant Biosecurity Diagnostic Network (NPBDN) was formally established in 2012 as a platform to link diagnosticians across government, universities, and industry. The NPBDN coordinates diagnostic protocols, runs national proficiency testing schemes, and provides professional development activities such as diagnostic residentials and workshops. In terms of governance</w:t>
      </w:r>
      <w:r w:rsidR="009E681B">
        <w:t>.</w:t>
      </w:r>
      <w:r>
        <w:t xml:space="preserve"> it operates under the Subcommittee on Plant Health Diagnostics (SPHD), which oversees technical standards and facilitates needed diagnostic capacity during pest outbreaks (Plant Health Australia, 2018).</w:t>
      </w:r>
    </w:p>
    <w:p w14:paraId="0296AB15" w14:textId="77777777" w:rsidR="00C15B51" w:rsidRDefault="009F7A17" w:rsidP="002A54F0">
      <w:pPr>
        <w:pStyle w:val="IPPParagraphnumbering"/>
      </w:pPr>
      <w:r>
        <w:t xml:space="preserve">In Asia, the ASEAN Regional Diagnostic Network (ARDN) was developed to enhance regional diagnostic capability across ASEAN Member States. The ARDN provides a collaborative mechanism for sharing protocols, conducting regional training, and strengthening pest identification capacity. It also supports harmonization of diagnostic methods to facilitate safe trade in plant products under ASEAN agreements (ASEAN, 2019). </w:t>
      </w:r>
    </w:p>
    <w:p w14:paraId="33214F7A" w14:textId="0A8BC2D5" w:rsidR="00A33ECD" w:rsidRPr="00874AF4" w:rsidRDefault="00C15B51" w:rsidP="009F7A17">
      <w:pPr>
        <w:pStyle w:val="IPPParagraphnumbering"/>
      </w:pPr>
      <w:r>
        <w:t xml:space="preserve">In terms of Africa, the International Plant Diagnostic Networks (IPDN) was established in 2006 to bolster plant health diagnostics. The focus was to address challenges experienced regarding diagnostics, assessing diagnostic </w:t>
      </w:r>
      <w:r w:rsidR="00521609">
        <w:t>capacity as</w:t>
      </w:r>
      <w:r>
        <w:t xml:space="preserve"> well as developing a diagnostic system for plant health experts in East and West Africa (Miller et. al., 200</w:t>
      </w:r>
      <w:r w:rsidR="008A2E0A">
        <w:t>9</w:t>
      </w:r>
      <w:r>
        <w:t>).</w:t>
      </w:r>
    </w:p>
    <w:p w14:paraId="4AA128AC" w14:textId="672C2858" w:rsidR="00E767DC" w:rsidRDefault="00E767DC" w:rsidP="002A54F0">
      <w:pPr>
        <w:pStyle w:val="IPPHeading1"/>
      </w:pPr>
      <w:bookmarkStart w:id="9" w:name="_Toc210831712"/>
      <w:r>
        <w:t>4.</w:t>
      </w:r>
      <w:r>
        <w:tab/>
        <w:t xml:space="preserve">Global </w:t>
      </w:r>
      <w:r w:rsidR="00741A01">
        <w:t>E</w:t>
      </w:r>
      <w:r>
        <w:t xml:space="preserve">xamples and other </w:t>
      </w:r>
      <w:r w:rsidR="00741A01">
        <w:t>T</w:t>
      </w:r>
      <w:r>
        <w:t>ypes of successfully implemented networks</w:t>
      </w:r>
      <w:bookmarkEnd w:id="9"/>
    </w:p>
    <w:p w14:paraId="23A2397C" w14:textId="77777777" w:rsidR="00E767DC" w:rsidRPr="004D4ADA" w:rsidRDefault="00E767DC" w:rsidP="002A54F0">
      <w:pPr>
        <w:pStyle w:val="IPPParagraphnumbering"/>
        <w:rPr>
          <w:b/>
        </w:rPr>
      </w:pPr>
      <w:proofErr w:type="spellStart"/>
      <w:r w:rsidRPr="004D4ADA">
        <w:t>Euphresco</w:t>
      </w:r>
      <w:proofErr w:type="spellEnd"/>
      <w:r w:rsidRPr="004D4ADA">
        <w:t>, a European phytosanitary research coordination network, though not solely diagnostic, plays a critical role in supporting diagnostic networks by funding and coordinating collaborative research on diagnostic methods. Its projects link European national reference laboratories and NPPOs, fostering alignment of methodologies and the sharing of resources across borders (</w:t>
      </w:r>
      <w:proofErr w:type="spellStart"/>
      <w:r w:rsidRPr="004D4ADA">
        <w:t>Euphresco</w:t>
      </w:r>
      <w:proofErr w:type="spellEnd"/>
      <w:r w:rsidRPr="004D4ADA">
        <w:t>, 2020).</w:t>
      </w:r>
    </w:p>
    <w:p w14:paraId="61D53600" w14:textId="15AE0122" w:rsidR="00E767DC" w:rsidRPr="004D4ADA" w:rsidRDefault="00E767DC" w:rsidP="002A54F0">
      <w:pPr>
        <w:pStyle w:val="IPPParagraphnumbering"/>
        <w:rPr>
          <w:b/>
        </w:rPr>
      </w:pPr>
      <w:r w:rsidRPr="004D4ADA">
        <w:t xml:space="preserve">The PlantwisePlus programme, led by CABI, complements formal plant health diagnostic networks by strengthening frontline surveillance and advisory systems. Building on the original </w:t>
      </w:r>
      <w:proofErr w:type="spellStart"/>
      <w:r w:rsidRPr="004D4ADA">
        <w:t>Plantwise</w:t>
      </w:r>
      <w:proofErr w:type="spellEnd"/>
      <w:r w:rsidRPr="004D4ADA">
        <w:t xml:space="preserve"> initiative, PlantwisePlus expands the network of plant clinics</w:t>
      </w:r>
      <w:r w:rsidR="008A2E0A">
        <w:t xml:space="preserve"> which are</w:t>
      </w:r>
      <w:r w:rsidR="00BC6E73">
        <w:t xml:space="preserve"> operated by</w:t>
      </w:r>
      <w:r w:rsidRPr="004D4ADA">
        <w:t xml:space="preserve"> trained “plant doctors”</w:t>
      </w:r>
      <w:r w:rsidR="00BC6E73">
        <w:t xml:space="preserve"> </w:t>
      </w:r>
      <w:r w:rsidRPr="004D4ADA">
        <w:t xml:space="preserve">that provide farmers with free, science-based crop health advice, thereby increasing early detection of pests and diseases (CABI, 2023). The programme integrates diagnostic support, digital tools such as the </w:t>
      </w:r>
      <w:proofErr w:type="spellStart"/>
      <w:r w:rsidRPr="004D4ADA">
        <w:t>Plantwise</w:t>
      </w:r>
      <w:proofErr w:type="spellEnd"/>
      <w:r w:rsidRPr="004D4ADA">
        <w:t xml:space="preserve"> Knowledge Bank and Pest Risk Information Service, and promotes safer, low-risk pest management solutions, including biological control and integrated pest management (IPM). By partnering with national plant protection organizations, extension services, and universities, PlantwisePlus enhances diagnostic capacity, supports pest surveillance, and contributes to climate-smart, sustainable crop production and food security outcomes (CABI, 2023).</w:t>
      </w:r>
      <w:r w:rsidR="0012440A" w:rsidRPr="004D4ADA">
        <w:t xml:space="preserve"> </w:t>
      </w:r>
    </w:p>
    <w:p w14:paraId="5FB146F5" w14:textId="4F6E406E" w:rsidR="00E767DC" w:rsidRPr="004D4ADA" w:rsidRDefault="0012440A" w:rsidP="002A54F0">
      <w:pPr>
        <w:pStyle w:val="IPPParagraphnumbering"/>
        <w:rPr>
          <w:b/>
        </w:rPr>
      </w:pPr>
      <w:r w:rsidRPr="004D4ADA">
        <w:t>Animal diagnostic systems are w</w:t>
      </w:r>
      <w:r w:rsidRPr="00175464">
        <w:rPr>
          <w:color w:val="000000" w:themeColor="text1"/>
        </w:rPr>
        <w:t xml:space="preserve">ell </w:t>
      </w:r>
      <w:r w:rsidR="00AC36A5" w:rsidRPr="00175464">
        <w:rPr>
          <w:color w:val="000000" w:themeColor="text1"/>
        </w:rPr>
        <w:t>established</w:t>
      </w:r>
      <w:r w:rsidRPr="00175464">
        <w:rPr>
          <w:color w:val="000000" w:themeColor="text1"/>
        </w:rPr>
        <w:t xml:space="preserve"> by </w:t>
      </w:r>
      <w:r w:rsidR="00E767DC" w:rsidRPr="004D4ADA">
        <w:t>the World Organisation for Animal Health (WOAH)</w:t>
      </w:r>
      <w:r w:rsidRPr="004D4ADA">
        <w:t>.</w:t>
      </w:r>
      <w:r w:rsidR="00E767DC" w:rsidRPr="004D4ADA">
        <w:t xml:space="preserve"> WOAH’s model assigns </w:t>
      </w:r>
      <w:r w:rsidRPr="004D4ADA">
        <w:t>identified</w:t>
      </w:r>
      <w:r w:rsidR="00E767DC" w:rsidRPr="004D4ADA">
        <w:t xml:space="preserve"> reference laboratories and experts for specific diseases, links their responsibilities to official manuals and expects high technical leadership, external assistance to countries, and participation in proficiency testing and method harmonization. </w:t>
      </w:r>
      <w:r w:rsidR="00AC36A5">
        <w:t>This system</w:t>
      </w:r>
      <w:r w:rsidR="00E767DC" w:rsidRPr="004D4ADA">
        <w:t xml:space="preserve"> produces rapid, authoritative technical advice and a durable mechanism for global coordination of diagnostics </w:t>
      </w:r>
      <w:r w:rsidR="00E767DC" w:rsidRPr="004D4ADA">
        <w:lastRenderedPageBreak/>
        <w:t>and standards. WOAH’s approach shows that a nominated-lab model backed by international standards and formal reporting pathways builds trust among countries and supports harmonized diagnostics and rapid response</w:t>
      </w:r>
      <w:r w:rsidR="00AC36A5">
        <w:t>s to animal diseases</w:t>
      </w:r>
      <w:r w:rsidR="00E767DC" w:rsidRPr="004D4ADA">
        <w:t xml:space="preserve">. </w:t>
      </w:r>
    </w:p>
    <w:p w14:paraId="2EFC176C" w14:textId="68297916" w:rsidR="00E767DC" w:rsidRPr="004D4ADA" w:rsidRDefault="00E767DC" w:rsidP="002A54F0">
      <w:pPr>
        <w:pStyle w:val="IPPParagraphnumbering"/>
        <w:rPr>
          <w:b/>
        </w:rPr>
      </w:pPr>
      <w:r w:rsidRPr="004D4ADA">
        <w:t xml:space="preserve">The Convention on Biological Diversity’s Global Taxonomy Initiative (GTI) highlights complementary lessons for laboratory networks that depend on taxonomy and identification capacity. GTI emphasizes capacity building, standardized workflows (including DNA barcoding guidance), and regional training to close taxonomic gaps. In practice this means investing in human capital, reference collections, and accessible taxonomic tools so that laboratory outputs (identifications, occurrence records) can be used confidently by policy makers and surveillance systems. GTI’s programme materials and training guides illustrate how targeted investments in taxonomic infrastructure increase the accuracy and utility of diagnostic outputs for biodiversity and biosecurity purposes. </w:t>
      </w:r>
    </w:p>
    <w:p w14:paraId="64AC3612" w14:textId="77777777" w:rsidR="00E767DC" w:rsidRPr="004D4ADA" w:rsidRDefault="00E767DC" w:rsidP="002A54F0">
      <w:pPr>
        <w:pStyle w:val="IPPParagraphnumbering"/>
        <w:rPr>
          <w:b/>
        </w:rPr>
      </w:pPr>
      <w:r w:rsidRPr="004D4ADA">
        <w:t xml:space="preserve">FAO’s Global Soil Laboratory Network (GLOSOLAN) demonstrates </w:t>
      </w:r>
      <w:proofErr w:type="gramStart"/>
      <w:r w:rsidRPr="004D4ADA">
        <w:t>important best</w:t>
      </w:r>
      <w:proofErr w:type="gramEnd"/>
      <w:r w:rsidRPr="004D4ADA">
        <w:t xml:space="preserve"> practices for harmonizing laboratory chemistry and methods across countries. GLOSOLAN was established to harmonize soil analysis methods, units and metadata, and it produces standard operating procedure libraries and best-practice manuals. The network’s achievements show that (a) creating and curating an accessible SOP repository, (b) running proficiency testing and inter-laboratory comparisons, and (c) developing simple guidance documents for data harmonization, are high-impact activities when the scientific community must produce comparable environmental or compositional data across jurisdictions. GLOSOLAN also shows the value of linking laboratories to a central data-harmonization agenda so outputs can feed global monitoring and policymaking.</w:t>
      </w:r>
    </w:p>
    <w:p w14:paraId="3A4C9E00" w14:textId="64BE1981" w:rsidR="00E767DC" w:rsidRPr="004D4ADA" w:rsidRDefault="00E767DC" w:rsidP="002A54F0">
      <w:pPr>
        <w:pStyle w:val="IPPParagraphnumbering"/>
        <w:rPr>
          <w:b/>
        </w:rPr>
      </w:pPr>
      <w:r w:rsidRPr="004D4ADA">
        <w:t xml:space="preserve">Disease-specific consortia such as the Borlaug Global Rust Initiative (BGRI) and the broader global work on Puccinia graminis (wheat stem rust) give a clear success story for rapid global coordination focused on a single high-impact pathogen. The BGRI combined surveillance, shared germplasm evaluation, coordinated breeding programmes and rapid data sharing to mitigate the threat of Ug99 and other virulent races. That coordinated </w:t>
      </w:r>
      <w:r w:rsidR="00BC6E73">
        <w:t xml:space="preserve">system </w:t>
      </w:r>
      <w:r w:rsidRPr="004D4ADA">
        <w:t>link</w:t>
      </w:r>
      <w:r w:rsidR="00BC6E73">
        <w:t>s</w:t>
      </w:r>
      <w:r w:rsidRPr="004D4ADA">
        <w:t xml:space="preserve"> surveillance, diagnostics, centralized genotyping, resistance screening and breeding delivery</w:t>
      </w:r>
      <w:r w:rsidR="00BC6E73">
        <w:t xml:space="preserve"> to p</w:t>
      </w:r>
      <w:r w:rsidRPr="004D4ADA">
        <w:t>roduce tangible successes</w:t>
      </w:r>
      <w:r w:rsidR="00BC6E73">
        <w:t>.</w:t>
      </w:r>
      <w:r w:rsidRPr="004D4ADA">
        <w:t xml:space="preserve"> </w:t>
      </w:r>
      <w:r w:rsidR="00BC6E73">
        <w:t>This highlights</w:t>
      </w:r>
      <w:r w:rsidRPr="004D4ADA">
        <w:t xml:space="preserve"> monitoring, identification of resistance sources, and accelerated deployment of rust-resistant varieties. The rust-response case shows that pathogen-focused networks that integrate diagnostics with breeding and deployment pathways can turn surveillance data quickly into on-farm impact. </w:t>
      </w:r>
    </w:p>
    <w:p w14:paraId="5FCD6C4E" w14:textId="4914F043" w:rsidR="00A33ECD" w:rsidRPr="002A54F0" w:rsidRDefault="00E767DC" w:rsidP="00165A28">
      <w:pPr>
        <w:pStyle w:val="IPPParagraphnumbering"/>
        <w:rPr>
          <w:b/>
        </w:rPr>
      </w:pPr>
      <w:r w:rsidRPr="004D4ADA">
        <w:t>CGIAR’s plant health programmes emphasize integrated pest management, coordinated research and policy engagement to protect key crops across regions</w:t>
      </w:r>
      <w:r w:rsidR="00BC6E73">
        <w:t>.</w:t>
      </w:r>
    </w:p>
    <w:p w14:paraId="776E46D5" w14:textId="6501DAEF" w:rsidR="00D3152A" w:rsidRDefault="009B2F32" w:rsidP="00521609">
      <w:pPr>
        <w:pStyle w:val="IPPHeading1"/>
        <w:jc w:val="both"/>
      </w:pPr>
      <w:bookmarkStart w:id="10" w:name="_Toc210831713"/>
      <w:r>
        <w:t xml:space="preserve">5. </w:t>
      </w:r>
      <w:r w:rsidR="00D3152A">
        <w:t>Fundamental and Administrative Requirements for Plant Health Diagnostic Networks</w:t>
      </w:r>
      <w:bookmarkEnd w:id="10"/>
    </w:p>
    <w:p w14:paraId="5CA05516" w14:textId="16D426E6" w:rsidR="00D3152A" w:rsidRPr="004D4ADA" w:rsidRDefault="00D3152A" w:rsidP="002A54F0">
      <w:pPr>
        <w:pStyle w:val="IPPParagraphnumbering"/>
        <w:rPr>
          <w:b/>
        </w:rPr>
      </w:pPr>
      <w:r w:rsidRPr="004D4ADA">
        <w:t xml:space="preserve">The effectiveness of Plant Health Diagnostic Networks (PHDNs) depends on the integration of </w:t>
      </w:r>
      <w:r w:rsidR="0012440A" w:rsidRPr="004D4ADA">
        <w:t xml:space="preserve">fundamental </w:t>
      </w:r>
      <w:r w:rsidR="00521609" w:rsidRPr="004D4ADA">
        <w:t>requirements with</w:t>
      </w:r>
      <w:r w:rsidRPr="004D4ADA">
        <w:t xml:space="preserve"> </w:t>
      </w:r>
      <w:r w:rsidR="0012440A" w:rsidRPr="004D4ADA">
        <w:t>solid</w:t>
      </w:r>
      <w:r w:rsidRPr="004D4ADA">
        <w:t xml:space="preserve"> administrative structures</w:t>
      </w:r>
      <w:r w:rsidR="0012440A" w:rsidRPr="004D4ADA">
        <w:t xml:space="preserve"> and</w:t>
      </w:r>
      <w:r w:rsidR="00521609">
        <w:t xml:space="preserve"> </w:t>
      </w:r>
      <w:r w:rsidRPr="004D4ADA">
        <w:t>provide</w:t>
      </w:r>
      <w:r w:rsidR="0012440A" w:rsidRPr="004D4ADA">
        <w:t>s</w:t>
      </w:r>
      <w:r w:rsidRPr="004D4ADA">
        <w:t xml:space="preserve"> a comprehensive framework for early detection, accurate diagnostics, and timely phytosanitary interventions, thereby safeguarding agricultural production and contributing to global food security.</w:t>
      </w:r>
    </w:p>
    <w:p w14:paraId="0DED02A3" w14:textId="6A4C9802" w:rsidR="00D3152A" w:rsidRPr="004D4ADA" w:rsidRDefault="00D3152A" w:rsidP="002A54F0">
      <w:pPr>
        <w:pStyle w:val="IPPParagraphnumbering"/>
        <w:rPr>
          <w:b/>
        </w:rPr>
      </w:pPr>
      <w:r w:rsidRPr="004D4ADA">
        <w:t>A</w:t>
      </w:r>
      <w:r w:rsidR="006300E5" w:rsidRPr="004D4ADA">
        <w:t xml:space="preserve">n </w:t>
      </w:r>
      <w:r w:rsidR="00521609" w:rsidRPr="004D4ADA">
        <w:t>important requirement</w:t>
      </w:r>
      <w:r w:rsidRPr="004D4ADA">
        <w:t xml:space="preserve"> </w:t>
      </w:r>
      <w:r w:rsidR="006300E5" w:rsidRPr="004D4ADA">
        <w:t xml:space="preserve">for any PHDN </w:t>
      </w:r>
      <w:r w:rsidRPr="004D4ADA">
        <w:t>is institutional capacity</w:t>
      </w:r>
      <w:r w:rsidR="006300E5" w:rsidRPr="004D4ADA">
        <w:t>.</w:t>
      </w:r>
      <w:r w:rsidRPr="004D4ADA">
        <w:t xml:space="preserve"> </w:t>
      </w:r>
      <w:r w:rsidR="006300E5" w:rsidRPr="004D4ADA">
        <w:t>It</w:t>
      </w:r>
      <w:r w:rsidRPr="004D4ADA">
        <w:t xml:space="preserve"> includes strong governance structures, NPPOs with clear mandates, and mechanisms for stakeholder </w:t>
      </w:r>
      <w:r w:rsidR="006300E5" w:rsidRPr="004D4ADA">
        <w:t xml:space="preserve">engagement and </w:t>
      </w:r>
      <w:r w:rsidRPr="004D4ADA">
        <w:t>coordination (Miller et al., 2009). This institutional strength must be supported by an enabling legal framework that facilitates pest reporting, quarantine enforcement, and eradication efforts.</w:t>
      </w:r>
    </w:p>
    <w:p w14:paraId="588AF24B" w14:textId="4DA9F500" w:rsidR="00D3152A" w:rsidRPr="004D4ADA" w:rsidRDefault="00D3152A" w:rsidP="002A54F0">
      <w:pPr>
        <w:pStyle w:val="IPPParagraphnumbering"/>
        <w:rPr>
          <w:b/>
        </w:rPr>
      </w:pPr>
      <w:r w:rsidRPr="004D4ADA">
        <w:t xml:space="preserve">Human resource capacity is equally essential. Skilled diagnosticians with expertise in taxonomy and molecular biology are needed to identify pests of economic and regulatory concern. Continuous training and professional development programs help maintain diagnostic </w:t>
      </w:r>
      <w:r w:rsidR="006300E5" w:rsidRPr="004D4ADA">
        <w:t>competency</w:t>
      </w:r>
      <w:r w:rsidRPr="004D4ADA">
        <w:t xml:space="preserve"> and ensure preparedness for emerging threats (</w:t>
      </w:r>
      <w:r w:rsidR="00BC6E73">
        <w:t>Constable et al., 2016</w:t>
      </w:r>
      <w:r w:rsidRPr="004D4ADA">
        <w:t>).</w:t>
      </w:r>
    </w:p>
    <w:p w14:paraId="657E013C" w14:textId="3492AA88" w:rsidR="00D3152A" w:rsidRPr="00E52207" w:rsidRDefault="00D3152A" w:rsidP="002A54F0">
      <w:pPr>
        <w:pStyle w:val="IPPParagraphnumbering"/>
        <w:rPr>
          <w:b/>
        </w:rPr>
      </w:pPr>
      <w:r w:rsidRPr="004D4ADA">
        <w:t xml:space="preserve">Adequate laboratory infrastructure is another cornerstone of </w:t>
      </w:r>
      <w:proofErr w:type="gramStart"/>
      <w:r w:rsidRPr="004D4ADA">
        <w:t>an effective</w:t>
      </w:r>
      <w:proofErr w:type="gramEnd"/>
      <w:r w:rsidRPr="004D4ADA">
        <w:t xml:space="preserve"> PHDN. </w:t>
      </w:r>
      <w:r w:rsidR="00521609" w:rsidRPr="004D4ADA">
        <w:t>Diagnostic facilities</w:t>
      </w:r>
      <w:r w:rsidRPr="004D4ADA">
        <w:t xml:space="preserve"> should be equipped with microscopy, molecular diagnostic tools, and information and communication technology (ICT) systems for data management and secure sharing (FAO, 2020). Access to reference materials, curated collections, and validated databases further </w:t>
      </w:r>
      <w:r w:rsidR="00521609" w:rsidRPr="004D4ADA">
        <w:t>support</w:t>
      </w:r>
      <w:r w:rsidRPr="004D4ADA">
        <w:t xml:space="preserve"> diagnostic accuracy</w:t>
      </w:r>
      <w:r w:rsidRPr="00AC36A5">
        <w:rPr>
          <w:color w:val="EE0000"/>
        </w:rPr>
        <w:t xml:space="preserve">.  </w:t>
      </w:r>
      <w:r w:rsidR="00E52207" w:rsidRPr="00E52207">
        <w:t xml:space="preserve">Logistical </w:t>
      </w:r>
      <w:r w:rsidR="00E52207" w:rsidRPr="00E52207">
        <w:lastRenderedPageBreak/>
        <w:t xml:space="preserve">infrastructure is necessary to ensure that the integrity of samples for diagnostic analysis </w:t>
      </w:r>
      <w:proofErr w:type="gramStart"/>
      <w:r w:rsidR="00E52207" w:rsidRPr="00E52207">
        <w:t>are</w:t>
      </w:r>
      <w:proofErr w:type="gramEnd"/>
      <w:r w:rsidR="00E52207" w:rsidRPr="00E52207">
        <w:t xml:space="preserve"> not affected and that they are delivered to their intended destinations.</w:t>
      </w:r>
    </w:p>
    <w:p w14:paraId="2E023A68" w14:textId="4AF48F33" w:rsidR="00D3152A" w:rsidRPr="004D4ADA" w:rsidRDefault="00D3152A" w:rsidP="002A54F0">
      <w:pPr>
        <w:pStyle w:val="IPPParagraphnumbering"/>
        <w:rPr>
          <w:b/>
        </w:rPr>
      </w:pPr>
      <w:r w:rsidRPr="004D4ADA">
        <w:t xml:space="preserve">The </w:t>
      </w:r>
      <w:r w:rsidR="00521609" w:rsidRPr="004D4ADA">
        <w:t>use of</w:t>
      </w:r>
      <w:r w:rsidRPr="004D4ADA">
        <w:t xml:space="preserve"> standardized diagnostic protocols</w:t>
      </w:r>
      <w:r w:rsidR="006300E5" w:rsidRPr="004D4ADA">
        <w:t xml:space="preserve"> that are scientifically justified and validated with the integration of</w:t>
      </w:r>
      <w:r w:rsidRPr="004D4ADA">
        <w:t xml:space="preserve"> quality assurance systems ensures consistency of results across laboratories. Harmonized international procedures, such as those provided in ISPM 27, enable comparability and enhance trust in diagnostic outcomes (IPPC, 2021).</w:t>
      </w:r>
      <w:r w:rsidR="006300E5" w:rsidRPr="004D4ADA">
        <w:t xml:space="preserve"> </w:t>
      </w:r>
    </w:p>
    <w:p w14:paraId="268778EE" w14:textId="046B30A8" w:rsidR="00D3152A" w:rsidRPr="004D4ADA" w:rsidRDefault="006300E5" w:rsidP="002A54F0">
      <w:pPr>
        <w:pStyle w:val="IPPParagraphnumbering"/>
        <w:rPr>
          <w:b/>
        </w:rPr>
      </w:pPr>
      <w:r w:rsidRPr="004D4ADA">
        <w:t>Furthermore,</w:t>
      </w:r>
      <w:r w:rsidR="00D3152A" w:rsidRPr="004D4ADA">
        <w:t xml:space="preserve"> technological innovation strengthens network efficiency. Integrating artificial intelligence (AI)-driven identification tools and real-time data platforms can improve diagnostic precision, accelerate pest reporting, and optimize surveillance systems (Harmon et al., 2020).</w:t>
      </w:r>
      <w:r w:rsidRPr="004D4ADA">
        <w:t xml:space="preserve"> The incorporation of AI must be widely supported and accepted by the scientific community and advanced in research programmes.</w:t>
      </w:r>
    </w:p>
    <w:p w14:paraId="3F8FA42F" w14:textId="7A91E499" w:rsidR="00D3152A" w:rsidRPr="004D4ADA" w:rsidRDefault="00D3152A" w:rsidP="002A54F0">
      <w:pPr>
        <w:pStyle w:val="IPPParagraphnumbering"/>
        <w:rPr>
          <w:b/>
        </w:rPr>
      </w:pPr>
      <w:r w:rsidRPr="004D4ADA">
        <w:t xml:space="preserve">Sustained funding and resource mobilization are vital for the continuity of operations. Initiatives such as the USDA’s Food and Agriculture </w:t>
      </w:r>
      <w:r w:rsidR="00CA29FC" w:rsidRPr="004D4ADA">
        <w:t>Defence</w:t>
      </w:r>
      <w:r w:rsidRPr="004D4ADA">
        <w:t xml:space="preserve"> Initiative (FADI) illustrate how dedicated funding can support infrastructure, training, and rapid response capabilities (USDA-NIFA, 2022).</w:t>
      </w:r>
      <w:r w:rsidR="00AC36A5">
        <w:t xml:space="preserve"> </w:t>
      </w:r>
      <w:r w:rsidR="006300E5" w:rsidRPr="004D4ADA">
        <w:t xml:space="preserve">To </w:t>
      </w:r>
      <w:r w:rsidR="00521609" w:rsidRPr="004D4ADA">
        <w:t>manage these</w:t>
      </w:r>
      <w:r w:rsidRPr="004D4ADA">
        <w:t xml:space="preserve"> resources and capacities</w:t>
      </w:r>
      <w:r w:rsidR="006300E5" w:rsidRPr="004D4ADA">
        <w:t>,</w:t>
      </w:r>
      <w:r w:rsidRPr="004D4ADA">
        <w:t xml:space="preserve"> effective </w:t>
      </w:r>
      <w:r w:rsidR="006300E5" w:rsidRPr="004D4ADA">
        <w:t xml:space="preserve">administrative functions need to be in </w:t>
      </w:r>
      <w:proofErr w:type="gramStart"/>
      <w:r w:rsidR="006300E5" w:rsidRPr="004D4ADA">
        <w:t xml:space="preserve">place </w:t>
      </w:r>
      <w:r w:rsidRPr="004D4ADA">
        <w:t xml:space="preserve"> At</w:t>
      </w:r>
      <w:proofErr w:type="gramEnd"/>
      <w:r w:rsidRPr="004D4ADA">
        <w:t xml:space="preserve"> </w:t>
      </w:r>
      <w:r w:rsidR="006300E5" w:rsidRPr="004D4ADA">
        <w:t>an</w:t>
      </w:r>
      <w:r w:rsidRPr="004D4ADA">
        <w:t xml:space="preserve"> international level, the International Plant Protection Convention (IPPC) provides a governance framework through its Commission on Phytosanitary Measures (CPM)</w:t>
      </w:r>
      <w:r w:rsidR="006300E5" w:rsidRPr="004D4ADA">
        <w:t>.</w:t>
      </w:r>
      <w:r w:rsidRPr="004D4ADA">
        <w:t xml:space="preserve"> </w:t>
      </w:r>
      <w:proofErr w:type="gramStart"/>
      <w:r w:rsidR="006300E5" w:rsidRPr="004D4ADA">
        <w:t>it</w:t>
      </w:r>
      <w:proofErr w:type="gramEnd"/>
      <w:r w:rsidR="006300E5" w:rsidRPr="004D4ADA">
        <w:t xml:space="preserve"> in </w:t>
      </w:r>
      <w:r w:rsidR="00521609" w:rsidRPr="004D4ADA">
        <w:t>turn develops</w:t>
      </w:r>
      <w:r w:rsidRPr="004D4ADA">
        <w:t xml:space="preserve"> International Standards for Phytosanitary Measures (ISPMs)</w:t>
      </w:r>
      <w:r w:rsidR="006300E5" w:rsidRPr="004D4ADA">
        <w:t>.</w:t>
      </w:r>
    </w:p>
    <w:p w14:paraId="69547B99" w14:textId="4704C31C" w:rsidR="00AC36A5" w:rsidRPr="00AC36A5" w:rsidRDefault="00D3152A" w:rsidP="002A54F0">
      <w:pPr>
        <w:pStyle w:val="IPPParagraphnumbering"/>
      </w:pPr>
      <w:r w:rsidRPr="004D4ADA">
        <w:t>Regional organizations further strengthen standardization efforts. The European and Mediterranean Plant Protection Organization (EPPO) develops diagnostic protocols, convenes expert working groups, and maintains harmonized coding systems (EPPO, 2022). Capacity building initiatives such as the Global Plant Clinic (GPC)</w:t>
      </w:r>
      <w:r w:rsidR="00542639" w:rsidRPr="004D4ADA">
        <w:t>, which is</w:t>
      </w:r>
      <w:r w:rsidR="00CA29FC" w:rsidRPr="004D4ADA">
        <w:t xml:space="preserve"> </w:t>
      </w:r>
      <w:r w:rsidRPr="004D4ADA">
        <w:t>managed by CABI in collaboration with Rothamsted Research and FERA Science</w:t>
      </w:r>
      <w:r w:rsidR="00542639" w:rsidRPr="004D4ADA">
        <w:t xml:space="preserve"> </w:t>
      </w:r>
      <w:r w:rsidRPr="004D4ADA">
        <w:t>support local plant clinics in Africa, Asia, and Latin America (CABI, 2021).</w:t>
      </w:r>
      <w:r w:rsidR="00AC36A5">
        <w:t xml:space="preserve"> </w:t>
      </w:r>
      <w:r w:rsidRPr="004D4ADA">
        <w:t>At the national level, coordinated networks such as the U.S. National Plant Diagnostic Network (NPDN) serve as models for integrated surveillance and rapid response. NPDN emphasizes early detection, standardized reporting, and secure data sharing across state and federal laboratories (Stack et al., 2006; NPDN, 2023).</w:t>
      </w:r>
      <w:r w:rsidR="00AC36A5">
        <w:t xml:space="preserve"> </w:t>
      </w:r>
    </w:p>
    <w:p w14:paraId="4E93CEDB" w14:textId="083EAB64" w:rsidR="00D3152A" w:rsidRPr="004D4ADA" w:rsidRDefault="00D3152A" w:rsidP="002A54F0">
      <w:pPr>
        <w:pStyle w:val="IPPParagraphnumbering"/>
        <w:rPr>
          <w:b/>
        </w:rPr>
      </w:pPr>
      <w:r w:rsidRPr="004D4ADA">
        <w:t>Finally, administrative functions extend beyond diagnostics to include policy advocacy and stakeholder engagement. Public awareness campaigns and farmer education further strengthen networks by ensuring that stakeholders are engaged in surveillance, reporting, and coordinated response strategies.</w:t>
      </w:r>
      <w:r w:rsidR="00542639" w:rsidRPr="004D4ADA">
        <w:t xml:space="preserve"> The Australian diagnostic network extends training beyond borders to capacitate trading partners in </w:t>
      </w:r>
      <w:r w:rsidR="00AC36A5">
        <w:t>t</w:t>
      </w:r>
      <w:r w:rsidR="00542639" w:rsidRPr="004D4ADA">
        <w:t>erms of diagnostic expertise. A similar exercise was extended by South Africa to provide training to SADC countries on the identification of False Army Worm.</w:t>
      </w:r>
    </w:p>
    <w:p w14:paraId="45F2C7D5" w14:textId="159F0BB7" w:rsidR="00A33ECD" w:rsidRPr="002A54F0" w:rsidRDefault="00D3152A" w:rsidP="00165A28">
      <w:pPr>
        <w:pStyle w:val="IPPParagraphnumbering"/>
        <w:rPr>
          <w:b/>
        </w:rPr>
      </w:pPr>
      <w:r w:rsidRPr="004D4ADA">
        <w:t xml:space="preserve">Collectively, these fundamental and administrative requirements provide an integrated framework that builds diagnostic capacity, enhances </w:t>
      </w:r>
      <w:proofErr w:type="gramStart"/>
      <w:r w:rsidRPr="004D4ADA">
        <w:t>preparedness</w:t>
      </w:r>
      <w:proofErr w:type="gramEnd"/>
      <w:r w:rsidRPr="004D4ADA">
        <w:t xml:space="preserve"> for pest incursions, and supports phytosanitary systems worldwide.</w:t>
      </w:r>
    </w:p>
    <w:p w14:paraId="0ABD7D0A" w14:textId="5B9EFE3F" w:rsidR="009A4FD3" w:rsidRDefault="009A4FD3" w:rsidP="009B2F32">
      <w:pPr>
        <w:pStyle w:val="IPPHeading1"/>
      </w:pPr>
      <w:bookmarkStart w:id="11" w:name="_Toc210831714"/>
      <w:r>
        <w:t xml:space="preserve">6. Legal and Regulatory Frameworks </w:t>
      </w:r>
      <w:r w:rsidR="00521609">
        <w:t>supporting Plant</w:t>
      </w:r>
      <w:r>
        <w:t xml:space="preserve"> Health Diagnostic Networks</w:t>
      </w:r>
      <w:bookmarkEnd w:id="11"/>
    </w:p>
    <w:p w14:paraId="1E24B5D0" w14:textId="41C7FD62" w:rsidR="00EB1122" w:rsidRPr="004D4ADA" w:rsidRDefault="00EB1122" w:rsidP="002A54F0">
      <w:pPr>
        <w:pStyle w:val="IPPParagraphnumbering"/>
        <w:rPr>
          <w:b/>
        </w:rPr>
      </w:pPr>
      <w:r w:rsidRPr="004D4ADA">
        <w:t xml:space="preserve">At </w:t>
      </w:r>
      <w:r>
        <w:t>a</w:t>
      </w:r>
      <w:r w:rsidRPr="004D4ADA">
        <w:t xml:space="preserve"> country level, most nations have Plant Health Acts or Biosecurity Acts that legally empower NPPOs to regulate plant health activities, including diagnostics, surveillance, and quarantine measures. </w:t>
      </w:r>
      <w:r w:rsidR="00A14EDD">
        <w:t>Some of t</w:t>
      </w:r>
      <w:r w:rsidRPr="004D4ADA">
        <w:t xml:space="preserve">hese </w:t>
      </w:r>
      <w:r w:rsidR="00A14EDD">
        <w:t>A</w:t>
      </w:r>
      <w:r w:rsidRPr="004D4ADA">
        <w:t xml:space="preserve">cts often require laboratories to be accredited under ISO/IEC 17025:2017, ensuring technical competence and international acceptance of diagnostic results. National regulations may also cover biosafety, quality assurance systems, and data governance, which guide how diagnostic information is shared domestically and reported internationally (e.g., through the IPPC’s International Phytosanitary Portal). </w:t>
      </w:r>
    </w:p>
    <w:p w14:paraId="3C7A4706" w14:textId="5F33AAEC" w:rsidR="00EB1122" w:rsidRPr="004D4ADA" w:rsidRDefault="00EB1122" w:rsidP="002A54F0">
      <w:pPr>
        <w:pStyle w:val="IPPParagraphnumbering"/>
        <w:rPr>
          <w:b/>
        </w:rPr>
      </w:pPr>
      <w:r w:rsidRPr="004D4ADA">
        <w:t xml:space="preserve">Regional Plant Protection Organizations (RPPOs) </w:t>
      </w:r>
      <w:proofErr w:type="gramStart"/>
      <w:r w:rsidRPr="004D4ADA">
        <w:t>also  play</w:t>
      </w:r>
      <w:proofErr w:type="gramEnd"/>
      <w:r w:rsidRPr="004D4ADA">
        <w:t xml:space="preserve"> a critical role in harmonizing plant health diagnostics across member states. Organizations such as the European and Mediterranean Plant Protection Organization (EPPO)</w:t>
      </w:r>
      <w:r w:rsidR="00A14EDD">
        <w:t>,</w:t>
      </w:r>
      <w:r w:rsidRPr="004D4ADA">
        <w:t xml:space="preserve"> COSAVE (South American Plant Health Committee)</w:t>
      </w:r>
      <w:r w:rsidR="00A14EDD">
        <w:t xml:space="preserve"> and CAN (Andean Community)</w:t>
      </w:r>
      <w:r w:rsidRPr="004D4ADA">
        <w:t xml:space="preserve"> have developed regional diagnostic protocols, pest databases, and laboratory </w:t>
      </w:r>
      <w:r w:rsidRPr="004D4ADA">
        <w:lastRenderedPageBreak/>
        <w:t>accreditation guidelines that enable collaborative surveillance and ensure mutual recognition of diagnostic results (EPPO, 2021). Regional trade agreements also incorporate phytosanitary measures that require coordinated diagnostics to facilitate safe trade while preventing the spread of pests. These regional frameworks encourage the development of laboratory networks, training programs and shared reference collections that strengthen collective diagnostic capacity.</w:t>
      </w:r>
    </w:p>
    <w:p w14:paraId="05817505" w14:textId="5B8555A8" w:rsidR="00A33ECD" w:rsidRPr="002A54F0" w:rsidRDefault="004D4ADA" w:rsidP="00165A28">
      <w:pPr>
        <w:pStyle w:val="IPPParagraphnumbering"/>
        <w:rPr>
          <w:b/>
        </w:rPr>
      </w:pPr>
      <w:r w:rsidRPr="004D4ADA">
        <w:t>T</w:t>
      </w:r>
      <w:r w:rsidR="009A4FD3" w:rsidRPr="004D4ADA">
        <w:t xml:space="preserve">he International Plant Protection Convention (IPPC) provides the primary legal foundation for plant health diagnostic networks. The IPPC obliges contracting parties to establish National Plant Protection Organisations (NPPOs) and maintain diagnostic capacity to support phytosanitary measures (FAO, 1997). Its International Standards for Phytosanitary Measures (ISPMs), notably ISPM 27: Diagnostic Protocols for Regulated Pests, provide harmonized diagnostic procedures that enhance consistency and reliability of pest identification across countries (IPPC, 2016). The World Trade Organization’s Sanitary and Phytosanitary (SPS) Agreement legally obliges members to base phytosanitary measures on scientific evidence, making robust diagnostics a prerequisite for justifying plant health measures that impact trade (WTO, 1995). </w:t>
      </w:r>
    </w:p>
    <w:p w14:paraId="2B82679E" w14:textId="24A6CD3C" w:rsidR="0040369F" w:rsidRPr="0065584F" w:rsidRDefault="003E7ED2" w:rsidP="00521609">
      <w:pPr>
        <w:pStyle w:val="IPPHeading1"/>
        <w:jc w:val="both"/>
      </w:pPr>
      <w:bookmarkStart w:id="12" w:name="_Toc210831715"/>
      <w:r>
        <w:t>7</w:t>
      </w:r>
      <w:r w:rsidR="0040369F" w:rsidRPr="0065584F">
        <w:t>.</w:t>
      </w:r>
      <w:r w:rsidR="004D4ADA">
        <w:t xml:space="preserve"> </w:t>
      </w:r>
      <w:r w:rsidR="0040369F" w:rsidRPr="0065584F">
        <w:t>Resources Required for Regional and International Plant Health Diagnostic Laboratory Network</w:t>
      </w:r>
      <w:r w:rsidR="0065584F">
        <w:t>s</w:t>
      </w:r>
      <w:bookmarkEnd w:id="12"/>
    </w:p>
    <w:p w14:paraId="44CDDD2F" w14:textId="34B00435" w:rsidR="0040369F" w:rsidRPr="004D4ADA" w:rsidRDefault="009318D7" w:rsidP="002A54F0">
      <w:pPr>
        <w:pStyle w:val="IPPParagraphnumbering"/>
        <w:rPr>
          <w:b/>
        </w:rPr>
      </w:pPr>
      <w:r>
        <w:t xml:space="preserve">Once the principle or fundamental requirements for a PHDN </w:t>
      </w:r>
      <w:proofErr w:type="gramStart"/>
      <w:r>
        <w:t>has</w:t>
      </w:r>
      <w:proofErr w:type="gramEnd"/>
      <w:r>
        <w:t xml:space="preserve"> been established, the determination and implementation of various practical and operational </w:t>
      </w:r>
      <w:r w:rsidR="00521609">
        <w:t>requirements becomes</w:t>
      </w:r>
      <w:r>
        <w:t xml:space="preserve"> imperative to the success of the </w:t>
      </w:r>
      <w:r w:rsidR="009E681B">
        <w:t>network.</w:t>
      </w:r>
      <w:r>
        <w:t xml:space="preserve"> These standard criteria must be established and </w:t>
      </w:r>
      <w:r w:rsidR="00521609">
        <w:t xml:space="preserve">must </w:t>
      </w:r>
      <w:r w:rsidR="00521609" w:rsidRPr="004D4ADA">
        <w:t>ensure</w:t>
      </w:r>
      <w:r w:rsidR="0040369F" w:rsidRPr="004D4ADA">
        <w:t xml:space="preserve"> that the network delivers timely, reliable, and standardized diagnostic outputs that support phytosanitary decision-making.</w:t>
      </w:r>
    </w:p>
    <w:p w14:paraId="48978C7E" w14:textId="528FB777" w:rsidR="0040369F" w:rsidRPr="004D4ADA" w:rsidRDefault="0040369F" w:rsidP="002A54F0">
      <w:pPr>
        <w:pStyle w:val="IPPParagraphnumbering"/>
        <w:rPr>
          <w:b/>
        </w:rPr>
      </w:pPr>
      <w:r w:rsidRPr="004D4ADA">
        <w:t>F</w:t>
      </w:r>
      <w:r w:rsidR="009318D7">
        <w:t>or the network, the f</w:t>
      </w:r>
      <w:r w:rsidRPr="004D4ADA">
        <w:t>irst</w:t>
      </w:r>
      <w:r w:rsidR="009318D7">
        <w:t xml:space="preserve"> essential requirement </w:t>
      </w:r>
      <w:r w:rsidR="00521609">
        <w:t xml:space="preserve">is </w:t>
      </w:r>
      <w:r w:rsidR="00521609" w:rsidRPr="004D4ADA">
        <w:t>adequate</w:t>
      </w:r>
      <w:r w:rsidRPr="004D4ADA">
        <w:t xml:space="preserve"> infrastructure and laboratory capacity</w:t>
      </w:r>
      <w:r w:rsidR="009318D7">
        <w:t>.</w:t>
      </w:r>
      <w:r w:rsidRPr="004D4ADA">
        <w:t xml:space="preserve"> </w:t>
      </w:r>
      <w:r w:rsidR="00E17731">
        <w:t xml:space="preserve">Various types of laboratories can also be </w:t>
      </w:r>
      <w:proofErr w:type="gramStart"/>
      <w:r w:rsidR="00E17731">
        <w:t>identified</w:t>
      </w:r>
      <w:proofErr w:type="gramEnd"/>
      <w:r w:rsidR="00E17731">
        <w:t xml:space="preserve"> and it can be determined in the network on which tier level it should operate such as tiered systems that exist in the EPPO and Australian PHDNs. </w:t>
      </w:r>
      <w:r w:rsidR="009318D7">
        <w:t xml:space="preserve">The facility must include capacity </w:t>
      </w:r>
      <w:r w:rsidRPr="004D4ADA">
        <w:t xml:space="preserve">for classical and molecular diagnostics, including PCR platforms, sequencing capabilities, and microscopy facilities (FAO, 2021). </w:t>
      </w:r>
      <w:r w:rsidR="009318D7">
        <w:t xml:space="preserve">as well as systems for sample </w:t>
      </w:r>
      <w:r w:rsidRPr="004D4ADA">
        <w:t>handling, storage, and disposal</w:t>
      </w:r>
      <w:r w:rsidR="009318D7">
        <w:t xml:space="preserve">. It </w:t>
      </w:r>
      <w:proofErr w:type="spellStart"/>
      <w:r w:rsidR="009318D7">
        <w:t>aslo</w:t>
      </w:r>
      <w:proofErr w:type="spellEnd"/>
      <w:r w:rsidR="009318D7">
        <w:t xml:space="preserve"> requires a logistical system for the movement of samples.</w:t>
      </w:r>
      <w:r w:rsidRPr="004D4ADA">
        <w:t xml:space="preserve"> </w:t>
      </w:r>
      <w:r w:rsidR="00E17731">
        <w:t>Ensure that competent diagnostic staff is in place to perform the various operational requirements.</w:t>
      </w:r>
    </w:p>
    <w:p w14:paraId="008136D1" w14:textId="1585163C" w:rsidR="0040369F" w:rsidRPr="004D4ADA" w:rsidRDefault="009318D7" w:rsidP="002A54F0">
      <w:pPr>
        <w:pStyle w:val="IPPParagraphnumbering"/>
        <w:rPr>
          <w:b/>
        </w:rPr>
      </w:pPr>
      <w:r>
        <w:t xml:space="preserve">For a </w:t>
      </w:r>
      <w:r w:rsidR="0040369F" w:rsidRPr="004D4ADA">
        <w:t>PHDN standardized diagnostic protocols and quality assurance systems</w:t>
      </w:r>
      <w:r>
        <w:t xml:space="preserve"> must be established</w:t>
      </w:r>
      <w:r w:rsidR="0040369F" w:rsidRPr="004D4ADA">
        <w:t xml:space="preserve">. Harmonized Standard Operating Procedures (SOPs), reference materials, and participation in proficiency testing schemes are essential for ensuring that results are consistent across network laboratories (IPPC, 2022; </w:t>
      </w:r>
      <w:proofErr w:type="spellStart"/>
      <w:r w:rsidR="0040369F" w:rsidRPr="004D4ADA">
        <w:t>Euphresco</w:t>
      </w:r>
      <w:proofErr w:type="spellEnd"/>
      <w:r w:rsidR="0040369F" w:rsidRPr="004D4ADA">
        <w:t>, 202</w:t>
      </w:r>
      <w:r w:rsidR="00BC6E73">
        <w:t>0</w:t>
      </w:r>
      <w:r w:rsidR="0040369F" w:rsidRPr="004D4ADA">
        <w:t xml:space="preserve">). The use of validated methods, combined with accreditation </w:t>
      </w:r>
      <w:r>
        <w:t>(</w:t>
      </w:r>
      <w:r w:rsidRPr="004D4ADA">
        <w:t>ISO/IEC 17025</w:t>
      </w:r>
      <w:r>
        <w:t xml:space="preserve">) </w:t>
      </w:r>
      <w:r w:rsidR="0040369F" w:rsidRPr="004D4ADA">
        <w:t>or certification schemes, builds trust in diagnostic outputs and facilitates international recognition of phytosanitary determinations under the WTO-SPS Agreement (WTO, 2020</w:t>
      </w:r>
      <w:r w:rsidR="00EC0C43">
        <w:t>).</w:t>
      </w:r>
    </w:p>
    <w:p w14:paraId="14B1148C" w14:textId="2DB2C621" w:rsidR="0040369F" w:rsidRPr="004D4ADA" w:rsidRDefault="0040369F" w:rsidP="002A54F0">
      <w:pPr>
        <w:pStyle w:val="IPPParagraphnumbering"/>
        <w:rPr>
          <w:b/>
        </w:rPr>
      </w:pPr>
      <w:r w:rsidRPr="004D4ADA">
        <w:t xml:space="preserve">Another key requirement is sustainable financing and resource mobilization. </w:t>
      </w:r>
      <w:r w:rsidR="00E17731">
        <w:t>PHDN</w:t>
      </w:r>
      <w:r w:rsidRPr="004D4ADA">
        <w:t xml:space="preserve"> must secure funding streams for routine operations, research and development, equipment maintenance, and capacity-building activities. This often </w:t>
      </w:r>
      <w:r w:rsidR="00E82337">
        <w:t xml:space="preserve">a blended approach that </w:t>
      </w:r>
      <w:proofErr w:type="gramStart"/>
      <w:r w:rsidRPr="004D4ADA">
        <w:t>involves  public</w:t>
      </w:r>
      <w:proofErr w:type="gramEnd"/>
      <w:r w:rsidRPr="004D4ADA">
        <w:t xml:space="preserve"> sector investment, donor support, and cost-recovery mechanisms such as fee-for-service models for commercial diagnostics (Miller et al., 2009). Financial sustainability is particularly important to maintain readiness during periods without outbreaks and to enable rapid scale-up during emergencies.</w:t>
      </w:r>
      <w:r w:rsidR="00E82337">
        <w:t xml:space="preserve"> </w:t>
      </w:r>
    </w:p>
    <w:p w14:paraId="5C83A416" w14:textId="3463CA49" w:rsidR="0040369F" w:rsidRPr="004D4ADA" w:rsidRDefault="0040369F" w:rsidP="002A54F0">
      <w:pPr>
        <w:pStyle w:val="IPPParagraphnumbering"/>
        <w:rPr>
          <w:b/>
        </w:rPr>
      </w:pPr>
      <w:r w:rsidRPr="004D4ADA">
        <w:t xml:space="preserve">Robust information management and communication systems are also critical. PHDNs require secure digital platforms for data collection, storage, and sharing, enabling real-time reporting of pest detections and facilitating coordinated responses (Brennan et al., 2020). Such systems should be </w:t>
      </w:r>
      <w:r w:rsidR="00EC0C43">
        <w:t>able to l</w:t>
      </w:r>
      <w:r w:rsidRPr="004D4ADA">
        <w:t>in</w:t>
      </w:r>
      <w:r w:rsidR="00EC0C43">
        <w:t xml:space="preserve">k </w:t>
      </w:r>
      <w:r w:rsidRPr="004D4ADA">
        <w:t>with national surveillance databases and global initiatives like IPPC’s International Phytosanitary Portal, ensuring that information flows seamlessly from local to international levels.</w:t>
      </w:r>
    </w:p>
    <w:p w14:paraId="069B9F2C" w14:textId="77777777" w:rsidR="0040369F" w:rsidRPr="004D4ADA" w:rsidRDefault="0040369F" w:rsidP="002A54F0">
      <w:pPr>
        <w:pStyle w:val="IPPParagraphnumbering"/>
        <w:rPr>
          <w:b/>
        </w:rPr>
      </w:pPr>
      <w:r w:rsidRPr="004D4ADA">
        <w:t>Moreover, training and continuous professional development form a core requirement. Beyond initial capacity building, ongoing skill enhancement in emerging diagnostic technologies, data interpretation, and risk communication ensures that the workforce remains competent and adaptive to new challenges (FAO, 2020).</w:t>
      </w:r>
    </w:p>
    <w:p w14:paraId="0596025E" w14:textId="01640C4C" w:rsidR="0040369F" w:rsidRPr="004D4ADA" w:rsidRDefault="0040369F" w:rsidP="002A54F0">
      <w:pPr>
        <w:pStyle w:val="IPPParagraphnumbering"/>
        <w:rPr>
          <w:b/>
        </w:rPr>
      </w:pPr>
      <w:r w:rsidRPr="004D4ADA">
        <w:lastRenderedPageBreak/>
        <w:t xml:space="preserve">Finally, governance and coordination mechanisms must be operationalized. This includes establishing steering committees, technical working groups, and clear lines of </w:t>
      </w:r>
      <w:proofErr w:type="gramStart"/>
      <w:r w:rsidRPr="004D4ADA">
        <w:t>accountability</w:t>
      </w:r>
      <w:r w:rsidR="00CD6C72">
        <w:t xml:space="preserve"> </w:t>
      </w:r>
      <w:r w:rsidRPr="004D4ADA">
        <w:t>.</w:t>
      </w:r>
      <w:proofErr w:type="gramEnd"/>
      <w:r w:rsidRPr="004D4ADA">
        <w:t xml:space="preserve"> Regular meetings, joint reviews, and stakeholder consultations ensure that network activities remain aligned with national plant health priorities and international obligations (IPPC, 2022).</w:t>
      </w:r>
    </w:p>
    <w:p w14:paraId="3D06B99D" w14:textId="1D573ABB" w:rsidR="00423B8A" w:rsidRPr="002A54F0" w:rsidRDefault="0040369F" w:rsidP="00423B8A">
      <w:pPr>
        <w:pStyle w:val="IPPParagraphnumbering"/>
        <w:rPr>
          <w:b/>
        </w:rPr>
      </w:pPr>
      <w:r w:rsidRPr="004D4ADA">
        <w:t>Together, these requirements constitute a comprehensive framework for operationalizing a PHDN, bridging the gap between theoretical principles and practical implementation. Without these elements in place, even networks with strong conceptual foundations may fail to deliver timely and accurate diagnostics when most needed.</w:t>
      </w:r>
    </w:p>
    <w:p w14:paraId="738FED30" w14:textId="7630D872" w:rsidR="00F65535" w:rsidRPr="00F65535" w:rsidRDefault="00B2331F" w:rsidP="009B2F32">
      <w:pPr>
        <w:pStyle w:val="IPPHeading1"/>
        <w:rPr>
          <w:lang w:val="en-ZA" w:eastAsia="en-ZA"/>
        </w:rPr>
      </w:pPr>
      <w:bookmarkStart w:id="13" w:name="_Toc210831716"/>
      <w:r>
        <w:rPr>
          <w:lang w:val="en-ZA" w:eastAsia="en-ZA"/>
        </w:rPr>
        <w:t xml:space="preserve">8. </w:t>
      </w:r>
      <w:r w:rsidR="00F65535" w:rsidRPr="00F65535">
        <w:rPr>
          <w:lang w:val="en-ZA" w:eastAsia="en-ZA"/>
        </w:rPr>
        <w:t>SWOT Analysis of Plant Health Diagnostic Networks</w:t>
      </w:r>
      <w:bookmarkEnd w:id="13"/>
      <w:r w:rsidR="00F65535" w:rsidRPr="00F65535">
        <w:rPr>
          <w:lang w:val="en-ZA" w:eastAsia="en-ZA"/>
        </w:rPr>
        <w:t xml:space="preserve"> </w:t>
      </w:r>
    </w:p>
    <w:p w14:paraId="2A542DA4" w14:textId="7C12AB4C" w:rsidR="00AF4355" w:rsidRDefault="00F65535" w:rsidP="002A54F0">
      <w:pPr>
        <w:pStyle w:val="IPPParagraphnumbering"/>
        <w:rPr>
          <w:lang w:eastAsia="en-ZA"/>
        </w:rPr>
      </w:pPr>
      <w:r w:rsidRPr="00F65535">
        <w:rPr>
          <w:lang w:eastAsia="en-ZA"/>
        </w:rPr>
        <w:t xml:space="preserve">Plant Health Diagnostic Networks (PHDNs) have become </w:t>
      </w:r>
      <w:r w:rsidR="00A33ECD">
        <w:rPr>
          <w:lang w:eastAsia="en-ZA"/>
        </w:rPr>
        <w:t xml:space="preserve">a cornerstone for </w:t>
      </w:r>
      <w:proofErr w:type="gramStart"/>
      <w:r w:rsidR="00A33ECD">
        <w:rPr>
          <w:lang w:eastAsia="en-ZA"/>
        </w:rPr>
        <w:t xml:space="preserve">strengthening </w:t>
      </w:r>
      <w:r w:rsidRPr="00F65535">
        <w:rPr>
          <w:lang w:eastAsia="en-ZA"/>
        </w:rPr>
        <w:t xml:space="preserve"> agricultural</w:t>
      </w:r>
      <w:proofErr w:type="gramEnd"/>
      <w:r w:rsidRPr="00F65535">
        <w:rPr>
          <w:lang w:eastAsia="en-ZA"/>
        </w:rPr>
        <w:t xml:space="preserve"> biosecurity, </w:t>
      </w:r>
      <w:r w:rsidR="00A33ECD">
        <w:rPr>
          <w:lang w:eastAsia="en-ZA"/>
        </w:rPr>
        <w:t xml:space="preserve">surveillance and providing diagnostic capacity for </w:t>
      </w:r>
      <w:r w:rsidR="008B4973">
        <w:rPr>
          <w:lang w:eastAsia="en-ZA"/>
        </w:rPr>
        <w:t>the</w:t>
      </w:r>
      <w:r w:rsidR="008B4973" w:rsidRPr="00F65535">
        <w:rPr>
          <w:lang w:eastAsia="en-ZA"/>
        </w:rPr>
        <w:t xml:space="preserve"> rapid</w:t>
      </w:r>
      <w:r w:rsidRPr="00F65535">
        <w:rPr>
          <w:lang w:eastAsia="en-ZA"/>
        </w:rPr>
        <w:t xml:space="preserve"> and accurate detection of pests and pathogens while facilitating coordinated responses. </w:t>
      </w:r>
      <w:r w:rsidR="00A33ECD">
        <w:rPr>
          <w:lang w:eastAsia="en-ZA"/>
        </w:rPr>
        <w:t>In terms of</w:t>
      </w:r>
      <w:r w:rsidRPr="00F65535">
        <w:rPr>
          <w:lang w:eastAsia="en-ZA"/>
        </w:rPr>
        <w:t xml:space="preserve"> strengths</w:t>
      </w:r>
      <w:r w:rsidR="00A33ECD">
        <w:rPr>
          <w:lang w:eastAsia="en-ZA"/>
        </w:rPr>
        <w:t xml:space="preserve">, </w:t>
      </w:r>
      <w:r w:rsidRPr="00F65535">
        <w:rPr>
          <w:lang w:eastAsia="en-ZA"/>
        </w:rPr>
        <w:t xml:space="preserve">PHDNs </w:t>
      </w:r>
      <w:r w:rsidR="008B4973">
        <w:rPr>
          <w:lang w:eastAsia="en-ZA"/>
        </w:rPr>
        <w:t>can</w:t>
      </w:r>
      <w:r w:rsidRPr="00F65535">
        <w:rPr>
          <w:lang w:eastAsia="en-ZA"/>
        </w:rPr>
        <w:t xml:space="preserve"> enhance diagnostic capacity and standardize procedures across laboratories. </w:t>
      </w:r>
      <w:r w:rsidR="00A33ECD">
        <w:rPr>
          <w:lang w:eastAsia="en-ZA"/>
        </w:rPr>
        <w:t>This in return</w:t>
      </w:r>
      <w:r w:rsidRPr="00F65535">
        <w:rPr>
          <w:lang w:eastAsia="en-ZA"/>
        </w:rPr>
        <w:t xml:space="preserve"> </w:t>
      </w:r>
      <w:proofErr w:type="gramStart"/>
      <w:r w:rsidRPr="00F65535">
        <w:rPr>
          <w:lang w:eastAsia="en-ZA"/>
        </w:rPr>
        <w:t>increase</w:t>
      </w:r>
      <w:proofErr w:type="gramEnd"/>
      <w:r w:rsidRPr="00F65535">
        <w:rPr>
          <w:lang w:eastAsia="en-ZA"/>
        </w:rPr>
        <w:t xml:space="preserve"> the reliability of results and </w:t>
      </w:r>
      <w:proofErr w:type="gramStart"/>
      <w:r w:rsidRPr="00F65535">
        <w:rPr>
          <w:lang w:eastAsia="en-ZA"/>
        </w:rPr>
        <w:t>enable</w:t>
      </w:r>
      <w:proofErr w:type="gramEnd"/>
      <w:r w:rsidRPr="00F65535">
        <w:rPr>
          <w:lang w:eastAsia="en-ZA"/>
        </w:rPr>
        <w:t xml:space="preserve"> early detection of emerging threats</w:t>
      </w:r>
      <w:r w:rsidR="00AF4355">
        <w:rPr>
          <w:lang w:eastAsia="en-ZA"/>
        </w:rPr>
        <w:t xml:space="preserve"> thereby</w:t>
      </w:r>
      <w:r w:rsidRPr="00F65535">
        <w:rPr>
          <w:lang w:eastAsia="en-ZA"/>
        </w:rPr>
        <w:t xml:space="preserve"> reducing the risk of widespread crop losses (Adams</w:t>
      </w:r>
      <w:r w:rsidR="00EC0C43">
        <w:rPr>
          <w:lang w:eastAsia="en-ZA"/>
        </w:rPr>
        <w:t xml:space="preserve"> et al., </w:t>
      </w:r>
      <w:r w:rsidRPr="00F65535">
        <w:rPr>
          <w:lang w:eastAsia="en-ZA"/>
        </w:rPr>
        <w:t xml:space="preserve">2023). </w:t>
      </w:r>
    </w:p>
    <w:p w14:paraId="738B423F" w14:textId="3629FDF3" w:rsidR="00F65535" w:rsidRPr="00F65535" w:rsidRDefault="00F65535" w:rsidP="002A54F0">
      <w:pPr>
        <w:pStyle w:val="IPPParagraphnumbering"/>
        <w:rPr>
          <w:lang w:eastAsia="en-ZA"/>
        </w:rPr>
      </w:pPr>
      <w:r w:rsidRPr="00F65535">
        <w:rPr>
          <w:lang w:eastAsia="en-ZA"/>
        </w:rPr>
        <w:t xml:space="preserve">Furthermore, networks foster resource and knowledge sharing, including access to high-throughput equipment, specialized reagents, and technical expertise, which is particularly beneficial for laboratories with limited capacity (ASEAN, 2019). </w:t>
      </w:r>
      <w:r w:rsidR="00AF4355">
        <w:rPr>
          <w:lang w:eastAsia="en-ZA"/>
        </w:rPr>
        <w:t>Additionally, c</w:t>
      </w:r>
      <w:r w:rsidRPr="00F65535">
        <w:rPr>
          <w:lang w:eastAsia="en-ZA"/>
        </w:rPr>
        <w:t xml:space="preserve">oordinated communication and </w:t>
      </w:r>
      <w:r w:rsidR="00AF4355">
        <w:rPr>
          <w:lang w:eastAsia="en-ZA"/>
        </w:rPr>
        <w:t xml:space="preserve">harmonised </w:t>
      </w:r>
      <w:r w:rsidRPr="00F65535">
        <w:rPr>
          <w:lang w:eastAsia="en-ZA"/>
        </w:rPr>
        <w:t xml:space="preserve">data </w:t>
      </w:r>
      <w:r w:rsidR="00AF4355">
        <w:rPr>
          <w:lang w:eastAsia="en-ZA"/>
        </w:rPr>
        <w:t>collection</w:t>
      </w:r>
      <w:r w:rsidRPr="00F65535">
        <w:rPr>
          <w:lang w:eastAsia="en-ZA"/>
        </w:rPr>
        <w:t xml:space="preserve"> within PHDNs </w:t>
      </w:r>
      <w:proofErr w:type="gramStart"/>
      <w:r w:rsidR="00AF4355">
        <w:rPr>
          <w:lang w:eastAsia="en-ZA"/>
        </w:rPr>
        <w:t xml:space="preserve">improves </w:t>
      </w:r>
      <w:r w:rsidRPr="00F65535">
        <w:rPr>
          <w:lang w:eastAsia="en-ZA"/>
        </w:rPr>
        <w:t xml:space="preserve"> surveillance</w:t>
      </w:r>
      <w:proofErr w:type="gramEnd"/>
      <w:r w:rsidRPr="00F65535">
        <w:rPr>
          <w:lang w:eastAsia="en-ZA"/>
        </w:rPr>
        <w:t xml:space="preserve"> and </w:t>
      </w:r>
      <w:proofErr w:type="gramStart"/>
      <w:r w:rsidRPr="00F65535">
        <w:rPr>
          <w:lang w:eastAsia="en-ZA"/>
        </w:rPr>
        <w:t>support</w:t>
      </w:r>
      <w:proofErr w:type="gramEnd"/>
      <w:r w:rsidRPr="00F65535">
        <w:rPr>
          <w:lang w:eastAsia="en-ZA"/>
        </w:rPr>
        <w:t xml:space="preserve"> evidence-based decision-making</w:t>
      </w:r>
      <w:r w:rsidR="00AF4355">
        <w:rPr>
          <w:lang w:eastAsia="en-ZA"/>
        </w:rPr>
        <w:t>.</w:t>
      </w:r>
    </w:p>
    <w:p w14:paraId="407955CF" w14:textId="2D74C330" w:rsidR="00F65535" w:rsidRPr="00F65535" w:rsidRDefault="00F65535" w:rsidP="002A54F0">
      <w:pPr>
        <w:pStyle w:val="IPPParagraphnumbering"/>
        <w:rPr>
          <w:lang w:eastAsia="en-ZA"/>
        </w:rPr>
      </w:pPr>
      <w:r w:rsidRPr="00F65535">
        <w:rPr>
          <w:lang w:eastAsia="en-ZA"/>
        </w:rPr>
        <w:t>Despite th</w:t>
      </w:r>
      <w:r w:rsidR="007167B7">
        <w:rPr>
          <w:lang w:eastAsia="en-ZA"/>
        </w:rPr>
        <w:t>e identified</w:t>
      </w:r>
      <w:r w:rsidRPr="00F65535">
        <w:rPr>
          <w:lang w:eastAsia="en-ZA"/>
        </w:rPr>
        <w:t xml:space="preserve"> strengths, several weaknesses challenge the operational effectiveness of PHDNs. High initial investment and ongoing operational costs can constrain network expansion, particularly in low-resource </w:t>
      </w:r>
      <w:r w:rsidR="008525BA">
        <w:rPr>
          <w:lang w:eastAsia="en-ZA"/>
        </w:rPr>
        <w:t>diagnostic environments</w:t>
      </w:r>
      <w:r w:rsidRPr="00F65535">
        <w:rPr>
          <w:lang w:eastAsia="en-ZA"/>
        </w:rPr>
        <w:t xml:space="preserve">. </w:t>
      </w:r>
      <w:r w:rsidR="008525BA">
        <w:rPr>
          <w:lang w:eastAsia="en-ZA"/>
        </w:rPr>
        <w:t>Differences</w:t>
      </w:r>
      <w:r w:rsidRPr="00F65535">
        <w:rPr>
          <w:lang w:eastAsia="en-ZA"/>
        </w:rPr>
        <w:t xml:space="preserve"> in laboratory capacity, technical expertise, and accreditation standards may lead to inconsistencies in diagnostic quality (Adams et al., 2023). Moreover, governance and coordination across multiple stakeholders can be complex, and insufficient awareness of network benefits among potential members may limit engagement.</w:t>
      </w:r>
    </w:p>
    <w:p w14:paraId="09DDC7D6" w14:textId="1A547ABE" w:rsidR="00F65535" w:rsidRPr="00F65535" w:rsidRDefault="00F65535" w:rsidP="002A54F0">
      <w:pPr>
        <w:pStyle w:val="IPPParagraphnumbering"/>
        <w:rPr>
          <w:lang w:eastAsia="en-ZA"/>
        </w:rPr>
      </w:pPr>
      <w:r w:rsidRPr="00F65535">
        <w:rPr>
          <w:lang w:eastAsia="en-ZA"/>
        </w:rPr>
        <w:t>PHDNs also present significant opportunities for advancing plant health management. Integration of advanced technologies, such as high-throughput sequencing, digital diagnostic platforms, and AI-assisted analysis, can improve diagnostic accuracy and turnaround times (Adams et al., 2023). Networks provide a structured mechanism for capacity building</w:t>
      </w:r>
      <w:r w:rsidR="007167B7">
        <w:rPr>
          <w:lang w:eastAsia="en-ZA"/>
        </w:rPr>
        <w:t>.</w:t>
      </w:r>
      <w:r w:rsidRPr="00F65535">
        <w:rPr>
          <w:lang w:eastAsia="en-ZA"/>
        </w:rPr>
        <w:t xml:space="preserve"> Alignment with regulatory frameworks such as the International Plant Protection Convention (IPPC) and FAO guidelines enhances credibility, facilitates international collaboration, and </w:t>
      </w:r>
      <w:r w:rsidR="007167B7">
        <w:rPr>
          <w:lang w:eastAsia="en-ZA"/>
        </w:rPr>
        <w:t xml:space="preserve">provides </w:t>
      </w:r>
      <w:proofErr w:type="gramStart"/>
      <w:r w:rsidR="007167B7">
        <w:rPr>
          <w:lang w:eastAsia="en-ZA"/>
        </w:rPr>
        <w:t xml:space="preserve">opportunities </w:t>
      </w:r>
      <w:r w:rsidRPr="00F65535">
        <w:rPr>
          <w:lang w:eastAsia="en-ZA"/>
        </w:rPr>
        <w:t xml:space="preserve"> for</w:t>
      </w:r>
      <w:proofErr w:type="gramEnd"/>
      <w:r w:rsidRPr="00F65535">
        <w:rPr>
          <w:lang w:eastAsia="en-ZA"/>
        </w:rPr>
        <w:t xml:space="preserve"> sustainable funding. Additionally, reliable diagnostics support trade compliance</w:t>
      </w:r>
      <w:r w:rsidR="009E681B">
        <w:rPr>
          <w:lang w:eastAsia="en-ZA"/>
        </w:rPr>
        <w:t>,</w:t>
      </w:r>
      <w:r w:rsidRPr="00F65535">
        <w:rPr>
          <w:lang w:eastAsia="en-ZA"/>
        </w:rPr>
        <w:t xml:space="preserve"> food security and foster collaborative research initiatives that advance plant health science.</w:t>
      </w:r>
    </w:p>
    <w:p w14:paraId="1C4803DB" w14:textId="6DF05CDD" w:rsidR="00F65535" w:rsidRPr="00F65535" w:rsidRDefault="00F65535" w:rsidP="002A54F0">
      <w:pPr>
        <w:pStyle w:val="IPPParagraphnumbering"/>
        <w:rPr>
          <w:lang w:eastAsia="en-ZA"/>
        </w:rPr>
      </w:pPr>
      <w:r w:rsidRPr="00F65535">
        <w:rPr>
          <w:lang w:eastAsia="en-ZA"/>
        </w:rPr>
        <w:t xml:space="preserve">However, PHDNs face potential threats that may undermine their effectiveness. </w:t>
      </w:r>
      <w:r w:rsidR="007167B7">
        <w:rPr>
          <w:lang w:eastAsia="en-ZA"/>
        </w:rPr>
        <w:t xml:space="preserve">Where there is no support from governments with emphasis on </w:t>
      </w:r>
      <w:proofErr w:type="gramStart"/>
      <w:r w:rsidR="007167B7">
        <w:rPr>
          <w:lang w:eastAsia="en-ZA"/>
        </w:rPr>
        <w:t xml:space="preserve">funding </w:t>
      </w:r>
      <w:r w:rsidRPr="00F65535">
        <w:rPr>
          <w:lang w:eastAsia="en-ZA"/>
        </w:rPr>
        <w:t xml:space="preserve"> or</w:t>
      </w:r>
      <w:proofErr w:type="gramEnd"/>
      <w:r w:rsidRPr="00F65535">
        <w:rPr>
          <w:lang w:eastAsia="en-ZA"/>
        </w:rPr>
        <w:t xml:space="preserve"> donor support, sustainability</w:t>
      </w:r>
      <w:r w:rsidR="008525BA">
        <w:rPr>
          <w:lang w:eastAsia="en-ZA"/>
        </w:rPr>
        <w:t xml:space="preserve"> can be negatively affected</w:t>
      </w:r>
      <w:r w:rsidRPr="00F65535">
        <w:rPr>
          <w:lang w:eastAsia="en-ZA"/>
        </w:rPr>
        <w:t xml:space="preserve">. Cross-border data sharing and material transfer present biosecurity and intellectual property challenges. Rapid technological advancement may render existing laboratory infrastructure obsolete if continual upgrades are not implemented (Adams et al., 2023). Resistance to standardized protocols or changes in operational procedures may also occur among participating laboratories. </w:t>
      </w:r>
    </w:p>
    <w:p w14:paraId="2280729F" w14:textId="4068F453" w:rsidR="00B41BC9" w:rsidRPr="002A54F0" w:rsidRDefault="00F65535" w:rsidP="002A54F0">
      <w:pPr>
        <w:pStyle w:val="IPPParagraphnumbering"/>
        <w:rPr>
          <w:lang w:eastAsia="en-ZA"/>
        </w:rPr>
      </w:pPr>
      <w:r w:rsidRPr="00F65535">
        <w:rPr>
          <w:lang w:eastAsia="en-ZA"/>
        </w:rPr>
        <w:t>In conclusion, PHDNs provide substantial strategic value for agricultural biosecurity through enhanced diagnostic capacity, knowledge sharing, and coordinated surveillance. However, to realize their full potential, careful attention to funding, governance, capacity building, and technological adaptation is necessary. Understanding these strengths, weaknesses, opportunities, and threats provides a foundation for strategic planning and effective network implementation.</w:t>
      </w:r>
    </w:p>
    <w:p w14:paraId="2EE71218" w14:textId="5782C370" w:rsidR="00AD2DED" w:rsidRPr="008B4973" w:rsidRDefault="00165A28" w:rsidP="009B2F32">
      <w:pPr>
        <w:pStyle w:val="IPPHeading1"/>
        <w:rPr>
          <w:color w:val="EE0000"/>
        </w:rPr>
      </w:pPr>
      <w:bookmarkStart w:id="14" w:name="_Toc210831717"/>
      <w:r w:rsidRPr="008B4973">
        <w:t>9</w:t>
      </w:r>
      <w:r w:rsidR="00AD2DED" w:rsidRPr="008B4973">
        <w:t>.</w:t>
      </w:r>
      <w:r w:rsidR="00395913" w:rsidRPr="008B4973">
        <w:t xml:space="preserve"> </w:t>
      </w:r>
      <w:r w:rsidR="00B35FF4" w:rsidRPr="008B4973">
        <w:t xml:space="preserve">Strategic </w:t>
      </w:r>
      <w:r w:rsidR="00414F39" w:rsidRPr="008B4973">
        <w:t>Value</w:t>
      </w:r>
      <w:r w:rsidR="00414F39">
        <w:t xml:space="preserve"> and</w:t>
      </w:r>
      <w:r w:rsidR="00621E96">
        <w:t xml:space="preserve"> </w:t>
      </w:r>
      <w:r w:rsidR="00B35FF4" w:rsidRPr="008B4973">
        <w:t xml:space="preserve">Benefits from </w:t>
      </w:r>
      <w:r w:rsidR="00AD2DED" w:rsidRPr="008B4973">
        <w:t>Plant Health Diagnostic Networks</w:t>
      </w:r>
      <w:bookmarkEnd w:id="14"/>
      <w:r w:rsidR="00AD2DED" w:rsidRPr="008B4973">
        <w:t xml:space="preserve"> </w:t>
      </w:r>
      <w:r w:rsidR="003C47DA" w:rsidRPr="008B4973">
        <w:t xml:space="preserve"> </w:t>
      </w:r>
    </w:p>
    <w:p w14:paraId="579607BE" w14:textId="55C5BD35" w:rsidR="00505066" w:rsidRPr="00505066" w:rsidRDefault="00505066" w:rsidP="002A54F0">
      <w:pPr>
        <w:pStyle w:val="IPPParagraphnumbering"/>
        <w:rPr>
          <w:lang w:eastAsia="en-ZA"/>
        </w:rPr>
      </w:pPr>
      <w:r w:rsidRPr="00505066">
        <w:rPr>
          <w:lang w:eastAsia="en-ZA"/>
        </w:rPr>
        <w:t xml:space="preserve">Plant Health Diagnostic Networks (PHDNs) are underpinned by strategic values such as protecting food security and human health, strengthening biosecurity and early warning, enabling trade and economic </w:t>
      </w:r>
      <w:r w:rsidRPr="00505066">
        <w:rPr>
          <w:lang w:eastAsia="en-ZA"/>
        </w:rPr>
        <w:lastRenderedPageBreak/>
        <w:t>growth</w:t>
      </w:r>
      <w:proofErr w:type="gramStart"/>
      <w:r w:rsidRPr="00505066">
        <w:rPr>
          <w:lang w:eastAsia="en-ZA"/>
        </w:rPr>
        <w:t>, building</w:t>
      </w:r>
      <w:proofErr w:type="gramEnd"/>
      <w:r w:rsidRPr="00505066">
        <w:rPr>
          <w:lang w:eastAsia="en-ZA"/>
        </w:rPr>
        <w:t xml:space="preserve"> capacity, facilitating scientific innovation and information sharing, </w:t>
      </w:r>
      <w:r w:rsidR="008525BA">
        <w:rPr>
          <w:lang w:eastAsia="en-ZA"/>
        </w:rPr>
        <w:t>being able to adapt to pest insurgences</w:t>
      </w:r>
      <w:r w:rsidRPr="00505066">
        <w:rPr>
          <w:lang w:eastAsia="en-ZA"/>
        </w:rPr>
        <w:t xml:space="preserve">, aligning with international policy frameworks, and ensuring return on investment (FAO, 2021; IPPC, 2023). </w:t>
      </w:r>
    </w:p>
    <w:p w14:paraId="430DEAEE" w14:textId="5C0FBC42" w:rsidR="00F85421" w:rsidRPr="002A54F0" w:rsidRDefault="00505066" w:rsidP="002A54F0">
      <w:pPr>
        <w:pStyle w:val="IPPParagraphnumbering"/>
        <w:rPr>
          <w:lang w:eastAsia="en-ZA"/>
        </w:rPr>
      </w:pPr>
      <w:r w:rsidRPr="00505066">
        <w:rPr>
          <w:lang w:eastAsia="en-ZA"/>
        </w:rPr>
        <w:t xml:space="preserve">The benefits and advantages of PHDNs are </w:t>
      </w:r>
      <w:r w:rsidR="008525BA">
        <w:rPr>
          <w:lang w:eastAsia="en-ZA"/>
        </w:rPr>
        <w:t>vast in nature</w:t>
      </w:r>
      <w:r w:rsidRPr="00505066">
        <w:rPr>
          <w:lang w:eastAsia="en-ZA"/>
        </w:rPr>
        <w:t>. By enhancing diagnostic accuracy and speed, networks strengthen biosecurity and early warning systems, which are essential for preventing the establishment of invasive pests and diseases (Adams</w:t>
      </w:r>
      <w:r w:rsidR="008525BA">
        <w:rPr>
          <w:lang w:eastAsia="en-ZA"/>
        </w:rPr>
        <w:t xml:space="preserve"> et al.</w:t>
      </w:r>
      <w:proofErr w:type="gramStart"/>
      <w:r w:rsidRPr="00505066">
        <w:rPr>
          <w:lang w:eastAsia="en-ZA"/>
        </w:rPr>
        <w:t>,  2023</w:t>
      </w:r>
      <w:proofErr w:type="gramEnd"/>
      <w:r w:rsidRPr="00505066">
        <w:rPr>
          <w:lang w:eastAsia="en-ZA"/>
        </w:rPr>
        <w:t>). They also protect food security and human health by enabling timely identification of threats to staple crops, thereby reducing the risk of food shortages (FAO, 2021). PHDNs foster capacity building through training programs, workshops, and harmonization of diagnostic protocols, which contribute to improved technical expertise across member institutions (ASEAN, 2019; AU-IAPSC, 2022). Furthermore, PHDNs promote scientific innovation and information sharing through collaborative research and adoption of advanced diagnostic technologies such as high-throughput sequencing (</w:t>
      </w:r>
      <w:proofErr w:type="spellStart"/>
      <w:r w:rsidRPr="00505066">
        <w:rPr>
          <w:lang w:eastAsia="en-ZA"/>
        </w:rPr>
        <w:t>Boonham</w:t>
      </w:r>
      <w:proofErr w:type="spellEnd"/>
      <w:r w:rsidRPr="00505066">
        <w:rPr>
          <w:lang w:eastAsia="en-ZA"/>
        </w:rPr>
        <w:t xml:space="preserve"> et al., 2021).</w:t>
      </w:r>
    </w:p>
    <w:p w14:paraId="401CD214" w14:textId="6641A7D3" w:rsidR="00621E96" w:rsidRPr="00B41BC9" w:rsidRDefault="00621E96" w:rsidP="009B2F32">
      <w:pPr>
        <w:pStyle w:val="IPPHeading1"/>
        <w:rPr>
          <w:lang w:val="en-ZA" w:eastAsia="en-ZA"/>
        </w:rPr>
      </w:pPr>
      <w:bookmarkStart w:id="15" w:name="_Toc210831718"/>
      <w:r w:rsidRPr="00B41BC9">
        <w:rPr>
          <w:lang w:val="en-ZA" w:eastAsia="en-ZA"/>
        </w:rPr>
        <w:t>10. Successes and Economic gains from Plant Health Diagnostic Networks</w:t>
      </w:r>
      <w:bookmarkEnd w:id="15"/>
    </w:p>
    <w:p w14:paraId="5D10F06C" w14:textId="69D67AF2" w:rsidR="00505066" w:rsidRPr="00505066" w:rsidRDefault="00505066" w:rsidP="002A54F0">
      <w:pPr>
        <w:pStyle w:val="IPPParagraphnumbering"/>
        <w:rPr>
          <w:lang w:eastAsia="en-ZA"/>
        </w:rPr>
      </w:pPr>
      <w:r w:rsidRPr="00505066">
        <w:rPr>
          <w:lang w:eastAsia="en-ZA"/>
        </w:rPr>
        <w:t xml:space="preserve">In terms of </w:t>
      </w:r>
      <w:proofErr w:type="gramStart"/>
      <w:r w:rsidRPr="00505066">
        <w:rPr>
          <w:lang w:eastAsia="en-ZA"/>
        </w:rPr>
        <w:t>successes</w:t>
      </w:r>
      <w:proofErr w:type="gramEnd"/>
      <w:r w:rsidRPr="00505066">
        <w:rPr>
          <w:lang w:eastAsia="en-ZA"/>
        </w:rPr>
        <w:t xml:space="preserve">, PHDNs have demonstrated tangible impacts in various contexts. For example, the U.S. NPDN was </w:t>
      </w:r>
      <w:r w:rsidR="00A34762">
        <w:rPr>
          <w:lang w:eastAsia="en-ZA"/>
        </w:rPr>
        <w:t>key</w:t>
      </w:r>
      <w:r w:rsidRPr="00505066">
        <w:rPr>
          <w:lang w:eastAsia="en-ZA"/>
        </w:rPr>
        <w:t xml:space="preserve"> in the early detection and response to </w:t>
      </w:r>
      <w:r w:rsidRPr="00505066">
        <w:rPr>
          <w:i/>
          <w:iCs/>
          <w:lang w:eastAsia="en-ZA"/>
        </w:rPr>
        <w:t xml:space="preserve">Phytophthora </w:t>
      </w:r>
      <w:proofErr w:type="spellStart"/>
      <w:r w:rsidRPr="00505066">
        <w:rPr>
          <w:i/>
          <w:iCs/>
          <w:lang w:eastAsia="en-ZA"/>
        </w:rPr>
        <w:t>ramorum</w:t>
      </w:r>
      <w:proofErr w:type="spellEnd"/>
      <w:r w:rsidRPr="00505066">
        <w:rPr>
          <w:lang w:eastAsia="en-ZA"/>
        </w:rPr>
        <w:t>, the pathogen responsible for sudden oak death, thereby preventing its uncontrolled spread (Stack et al., 2014). Similarly, EPPO has successfully developed and disseminated standardized diagnostic protocols, facilitating regional resilience and alignment with international frameworks (EPPO, 2020). The ASEAN Regional Diagnostic Network has advanced pest diagnostic capacity in Southeast Asia, leading to more consistent identification and reporting of quarantine pests (ASEAN, 2019). In Africa, diagnostic initiatives supported by the African Union have strengthened monitoring of invasive pests such as Fall Armyworm (</w:t>
      </w:r>
      <w:r w:rsidRPr="00505066">
        <w:rPr>
          <w:i/>
          <w:iCs/>
          <w:lang w:eastAsia="en-ZA"/>
        </w:rPr>
        <w:t xml:space="preserve">Spodoptera </w:t>
      </w:r>
      <w:proofErr w:type="spellStart"/>
      <w:r w:rsidRPr="00505066">
        <w:rPr>
          <w:i/>
          <w:iCs/>
          <w:lang w:eastAsia="en-ZA"/>
        </w:rPr>
        <w:t>frugiperda</w:t>
      </w:r>
      <w:proofErr w:type="spellEnd"/>
      <w:r w:rsidRPr="00505066">
        <w:rPr>
          <w:lang w:eastAsia="en-ZA"/>
        </w:rPr>
        <w:t>) and Cassava Brown Streak Virus, directly contributing to food security protection and adaptive capacity (AU-IAPSC, 2022).</w:t>
      </w:r>
    </w:p>
    <w:p w14:paraId="7F4ED4B2" w14:textId="03E1FEE6" w:rsidR="00423B8A" w:rsidRPr="002A54F0" w:rsidRDefault="00505066" w:rsidP="002A54F0">
      <w:pPr>
        <w:pStyle w:val="IPPParagraphnumbering"/>
        <w:rPr>
          <w:lang w:eastAsia="en-ZA"/>
        </w:rPr>
      </w:pPr>
      <w:r w:rsidRPr="00505066">
        <w:rPr>
          <w:lang w:eastAsia="en-ZA"/>
        </w:rPr>
        <w:t>The economic gains of PHDNs are equally significant. Early detection and coordinated responses reduce the costs of pest eradication and management, generating substantial savings compared to delayed action (McCann, 2020). For instance, preventing the spread of invasive pests safeguards agricultural productivity and minimizes trade disruptions, thus enabling economic growth and market access (IPPC, 2023). Harmonized diagnostic capacity also supports return on investment by reducing duplicati</w:t>
      </w:r>
      <w:r w:rsidR="00A34762">
        <w:rPr>
          <w:lang w:eastAsia="en-ZA"/>
        </w:rPr>
        <w:t>on in</w:t>
      </w:r>
      <w:r w:rsidRPr="00505066">
        <w:rPr>
          <w:lang w:eastAsia="en-ZA"/>
        </w:rPr>
        <w:t xml:space="preserve"> testing, ensuring compliance with phytosanitary standards, and </w:t>
      </w:r>
      <w:r w:rsidR="00A34762">
        <w:rPr>
          <w:lang w:eastAsia="en-ZA"/>
        </w:rPr>
        <w:t>maintaining market access</w:t>
      </w:r>
      <w:r w:rsidRPr="00505066">
        <w:rPr>
          <w:lang w:eastAsia="en-ZA"/>
        </w:rPr>
        <w:t xml:space="preserve"> (FAO, 2021). </w:t>
      </w:r>
      <w:r w:rsidR="00A34762">
        <w:rPr>
          <w:lang w:eastAsia="en-ZA"/>
        </w:rPr>
        <w:t>T</w:t>
      </w:r>
      <w:r w:rsidRPr="00505066">
        <w:rPr>
          <w:lang w:eastAsia="en-ZA"/>
        </w:rPr>
        <w:t xml:space="preserve">hese economic benefits </w:t>
      </w:r>
      <w:r w:rsidR="00A34762">
        <w:rPr>
          <w:lang w:eastAsia="en-ZA"/>
        </w:rPr>
        <w:t>show</w:t>
      </w:r>
      <w:r w:rsidRPr="00505066">
        <w:rPr>
          <w:lang w:eastAsia="en-ZA"/>
        </w:rPr>
        <w:t xml:space="preserve"> that investments in PHDNs are both cost-effective and strategically vital for maintaining resilient agricultural systems.</w:t>
      </w:r>
    </w:p>
    <w:p w14:paraId="68FC9A3D" w14:textId="1E7A26B1" w:rsidR="0021474A" w:rsidRPr="0038155A" w:rsidRDefault="0021474A" w:rsidP="009B2F32">
      <w:pPr>
        <w:pStyle w:val="IPPHeading1"/>
      </w:pPr>
      <w:bookmarkStart w:id="16" w:name="_Toc210831719"/>
      <w:r w:rsidRPr="007A434F">
        <w:t>1</w:t>
      </w:r>
      <w:r w:rsidR="00ED2066">
        <w:t>1</w:t>
      </w:r>
      <w:r w:rsidRPr="007A434F">
        <w:t>.</w:t>
      </w:r>
      <w:r w:rsidRPr="007A434F">
        <w:tab/>
      </w:r>
      <w:r w:rsidRPr="0038155A">
        <w:t xml:space="preserve">South African </w:t>
      </w:r>
      <w:r w:rsidR="00621E96" w:rsidRPr="0038155A">
        <w:t>perspective on Plant Health Diagnostic Networks</w:t>
      </w:r>
      <w:bookmarkEnd w:id="16"/>
    </w:p>
    <w:p w14:paraId="1E8175B8" w14:textId="22BAA2C0" w:rsidR="0073449D" w:rsidRDefault="0073449D" w:rsidP="002A54F0">
      <w:pPr>
        <w:pStyle w:val="IPPParagraphnumbering"/>
      </w:pPr>
      <w:r>
        <w:t xml:space="preserve">A Plant Health Diagnostic Network does not exist in South Africa. Capacities in terms of diagnostics exist in the National Plant Protection </w:t>
      </w:r>
      <w:proofErr w:type="spellStart"/>
      <w:r>
        <w:t>Organisation</w:t>
      </w:r>
      <w:proofErr w:type="spellEnd"/>
      <w:r>
        <w:t xml:space="preserve"> of South Africa, within the National Department of </w:t>
      </w:r>
      <w:proofErr w:type="spellStart"/>
      <w:r>
        <w:t>Agricuture</w:t>
      </w:r>
      <w:proofErr w:type="spellEnd"/>
      <w:r w:rsidR="00101296">
        <w:t xml:space="preserve"> (</w:t>
      </w:r>
      <w:proofErr w:type="spellStart"/>
      <w:r w:rsidR="00101296">
        <w:t>DoA</w:t>
      </w:r>
      <w:proofErr w:type="spellEnd"/>
      <w:r w:rsidR="00101296">
        <w:t>)</w:t>
      </w:r>
      <w:r>
        <w:t xml:space="preserve">, various agricultural industries, research institutions, universities and private laboratories. Various levels of infrastructure and resources exist within these </w:t>
      </w:r>
      <w:proofErr w:type="spellStart"/>
      <w:r>
        <w:t>organisations</w:t>
      </w:r>
      <w:proofErr w:type="spellEnd"/>
      <w:r>
        <w:t xml:space="preserve">. </w:t>
      </w:r>
    </w:p>
    <w:p w14:paraId="7C7C8E06" w14:textId="0C875D7A" w:rsidR="00A01855" w:rsidRDefault="00A01855" w:rsidP="002A54F0">
      <w:pPr>
        <w:pStyle w:val="IPPParagraphnumbering"/>
      </w:pPr>
      <w:r>
        <w:t>Although it is the mandate of the NPPOZA to test for pest of quarantine importance to South Africa, as well as test for pests that are of importance to trading partners, the NPPOZA has taken action to approve laboratories with various capacities and expertise, in terms of ISPM 45, to support its regulatory mandate to safeguard the country and agricultural industry against harmful pests as well as ensure compliance with trading partners and maintain market access. This is at a national and international level.</w:t>
      </w:r>
    </w:p>
    <w:p w14:paraId="731B2E82" w14:textId="3FF9F23F" w:rsidR="00A01855" w:rsidRDefault="00A01855" w:rsidP="002A54F0">
      <w:pPr>
        <w:pStyle w:val="IPPParagraphnumbering"/>
      </w:pPr>
      <w:r>
        <w:t>Looking at current expertise and infrastructure, major investments have been made by the citrus industry in terms of biosecurity. They show strength in diagnostic capabilities as well as research. This level of investment in infrastructure and expertise is also evident in the deciduous fruit as well as vine industr</w:t>
      </w:r>
      <w:r w:rsidR="00A34762">
        <w:t>ies.</w:t>
      </w:r>
      <w:r>
        <w:t xml:space="preserve"> </w:t>
      </w:r>
    </w:p>
    <w:p w14:paraId="311EAB3A" w14:textId="1F35D5AD" w:rsidR="00A509C3" w:rsidRDefault="00A01855" w:rsidP="002A54F0">
      <w:pPr>
        <w:pStyle w:val="IPPParagraphnumbering"/>
      </w:pPr>
      <w:r>
        <w:t xml:space="preserve">Specialised expertise is also evident in research institutions, especially noting the University of Stellenbosch </w:t>
      </w:r>
      <w:r w:rsidR="00A509C3">
        <w:t xml:space="preserve">where expert work is conducted on </w:t>
      </w:r>
      <w:r w:rsidR="00A509C3" w:rsidRPr="00CF4CD2">
        <w:rPr>
          <w:i/>
          <w:iCs/>
        </w:rPr>
        <w:t xml:space="preserve">Fusarium </w:t>
      </w:r>
      <w:proofErr w:type="spellStart"/>
      <w:r w:rsidR="00A509C3" w:rsidRPr="00CF4CD2">
        <w:rPr>
          <w:i/>
          <w:iCs/>
        </w:rPr>
        <w:t>oxysporum</w:t>
      </w:r>
      <w:proofErr w:type="spellEnd"/>
      <w:r w:rsidR="00A509C3" w:rsidRPr="00CF4CD2">
        <w:rPr>
          <w:i/>
          <w:iCs/>
        </w:rPr>
        <w:t xml:space="preserve"> </w:t>
      </w:r>
      <w:r w:rsidR="00A509C3" w:rsidRPr="00CF4CD2">
        <w:t xml:space="preserve">f. sp. </w:t>
      </w:r>
      <w:proofErr w:type="spellStart"/>
      <w:r w:rsidR="00A509C3" w:rsidRPr="00CF4CD2">
        <w:rPr>
          <w:i/>
          <w:iCs/>
        </w:rPr>
        <w:t>cubense</w:t>
      </w:r>
      <w:proofErr w:type="spellEnd"/>
      <w:r w:rsidR="00A509C3" w:rsidRPr="00CF4CD2">
        <w:rPr>
          <w:i/>
          <w:iCs/>
        </w:rPr>
        <w:t xml:space="preserve"> Tropical Race 4</w:t>
      </w:r>
      <w:r w:rsidR="00A509C3" w:rsidRPr="00CF4CD2">
        <w:t xml:space="preserve"> </w:t>
      </w:r>
      <w:r w:rsidR="00A509C3" w:rsidRPr="00CF4CD2">
        <w:lastRenderedPageBreak/>
        <w:t>(</w:t>
      </w:r>
      <w:proofErr w:type="spellStart"/>
      <w:r w:rsidR="00A509C3" w:rsidRPr="00CF4CD2">
        <w:t>Foc</w:t>
      </w:r>
      <w:proofErr w:type="spellEnd"/>
      <w:r w:rsidR="00A509C3" w:rsidRPr="00CF4CD2">
        <w:t xml:space="preserve"> TR4)</w:t>
      </w:r>
      <w:r w:rsidR="00A509C3">
        <w:t xml:space="preserve"> in facilities approved by the NPPOZA. The experts are recognized by the FAO for their work on </w:t>
      </w:r>
      <w:proofErr w:type="spellStart"/>
      <w:r w:rsidR="00A509C3">
        <w:t>Foc</w:t>
      </w:r>
      <w:proofErr w:type="spellEnd"/>
      <w:r w:rsidR="00A509C3">
        <w:t xml:space="preserve"> TR4. </w:t>
      </w:r>
      <w:r w:rsidR="00A509C3" w:rsidRPr="00CF4CD2">
        <w:t xml:space="preserve">They provide training and diagnostic support to various </w:t>
      </w:r>
      <w:r w:rsidR="0038155A">
        <w:t xml:space="preserve">countries </w:t>
      </w:r>
      <w:r w:rsidR="00A509C3">
        <w:t>o</w:t>
      </w:r>
      <w:r w:rsidR="00A509C3" w:rsidRPr="00CF4CD2">
        <w:t>n this devastating fungus and its impact on bananas</w:t>
      </w:r>
      <w:r w:rsidR="00A509C3">
        <w:t xml:space="preserve">. </w:t>
      </w:r>
    </w:p>
    <w:p w14:paraId="2DEA40AC" w14:textId="0F41C4E7" w:rsidR="00A509C3" w:rsidRDefault="00A509C3" w:rsidP="002A54F0">
      <w:pPr>
        <w:pStyle w:val="IPPParagraphnumbering"/>
      </w:pPr>
      <w:r w:rsidRPr="00762BB6">
        <w:t>The Agricultural Research Council (ARC)</w:t>
      </w:r>
      <w:r>
        <w:t xml:space="preserve">, </w:t>
      </w:r>
      <w:r w:rsidRPr="00762BB6">
        <w:t xml:space="preserve">a well-established research institute under the umbrella of DoA </w:t>
      </w:r>
      <w:r>
        <w:t xml:space="preserve">with </w:t>
      </w:r>
      <w:r w:rsidRPr="00762BB6">
        <w:t xml:space="preserve">a </w:t>
      </w:r>
      <w:r>
        <w:t>presence</w:t>
      </w:r>
      <w:r w:rsidRPr="00762BB6">
        <w:t xml:space="preserve"> in most provinces</w:t>
      </w:r>
      <w:r>
        <w:t xml:space="preserve"> of</w:t>
      </w:r>
      <w:r w:rsidRPr="00762BB6">
        <w:t xml:space="preserve"> South Africa</w:t>
      </w:r>
      <w:r w:rsidR="0038155A">
        <w:t>,</w:t>
      </w:r>
      <w:r>
        <w:t xml:space="preserve"> provides diagnostic support to the NPPOZA to advance its regulatory mandate. </w:t>
      </w:r>
      <w:r w:rsidRPr="00762BB6">
        <w:t xml:space="preserve">Various diagnostic capacity in terms of major crop pests exist within these </w:t>
      </w:r>
      <w:r>
        <w:t>ARC</w:t>
      </w:r>
      <w:r w:rsidR="0038155A">
        <w:t xml:space="preserve"> institutes</w:t>
      </w:r>
      <w:r>
        <w:t>.</w:t>
      </w:r>
      <w:r w:rsidR="00101296">
        <w:t xml:space="preserve"> </w:t>
      </w:r>
      <w:r w:rsidRPr="00762BB6">
        <w:t>The ARC</w:t>
      </w:r>
      <w:r w:rsidR="00101296">
        <w:t xml:space="preserve"> performs major research that </w:t>
      </w:r>
      <w:r w:rsidR="009B15FB">
        <w:t>supports</w:t>
      </w:r>
      <w:r w:rsidR="00101296">
        <w:t xml:space="preserve"> the mandate of the </w:t>
      </w:r>
      <w:r w:rsidR="00CC188F">
        <w:t>NPPOZA,</w:t>
      </w:r>
      <w:r w:rsidR="00101296">
        <w:t xml:space="preserve"> especially </w:t>
      </w:r>
      <w:proofErr w:type="gramStart"/>
      <w:r w:rsidR="00101296">
        <w:t>in the area of</w:t>
      </w:r>
      <w:proofErr w:type="gramEnd"/>
      <w:r w:rsidR="00101296">
        <w:t xml:space="preserve"> plant diagnostics. They also provide training in diagnostics and have been funded by </w:t>
      </w:r>
      <w:r w:rsidR="009B15FB">
        <w:t xml:space="preserve">the </w:t>
      </w:r>
      <w:r w:rsidR="009B15FB" w:rsidRPr="00762BB6">
        <w:t>FAO</w:t>
      </w:r>
      <w:r w:rsidRPr="00762BB6">
        <w:t xml:space="preserve"> </w:t>
      </w:r>
      <w:r w:rsidR="00101296">
        <w:t xml:space="preserve">in training officials of African countries </w:t>
      </w:r>
      <w:r w:rsidRPr="00762BB6">
        <w:t xml:space="preserve">on Fall Armyworm detection and identification. </w:t>
      </w:r>
      <w:r w:rsidR="00101296">
        <w:t>This has been done in collaboration with the DoA.</w:t>
      </w:r>
    </w:p>
    <w:p w14:paraId="3CEF6B36" w14:textId="44E6C7C6" w:rsidR="00101296" w:rsidRDefault="00101296" w:rsidP="002A54F0">
      <w:pPr>
        <w:pStyle w:val="IPPParagraphnumbering"/>
      </w:pPr>
      <w:r>
        <w:t>It is evident that many expertise and resources exist within South Africa and that they operate in silos to support the strategic objectives of South Africa in safeguarding against harmful pests, support trade and economic development</w:t>
      </w:r>
      <w:r w:rsidR="00001A23">
        <w:t xml:space="preserve">. Because of the fragmentation that </w:t>
      </w:r>
      <w:r w:rsidR="00AF3AC4">
        <w:t>exists</w:t>
      </w:r>
      <w:r w:rsidR="00001A23">
        <w:t xml:space="preserve"> within the South African agricultural environment regarding diagnostic capacities and expertise, including animal health and food safety</w:t>
      </w:r>
      <w:r w:rsidR="0038155A">
        <w:t>,</w:t>
      </w:r>
      <w:r w:rsidR="00001A23">
        <w:t xml:space="preserve"> the National Biosecurity Hub </w:t>
      </w:r>
      <w:r w:rsidR="0038155A">
        <w:t xml:space="preserve">(NBH) </w:t>
      </w:r>
      <w:r w:rsidR="00001A23">
        <w:t xml:space="preserve">was </w:t>
      </w:r>
      <w:r w:rsidR="001E3657">
        <w:t>established</w:t>
      </w:r>
      <w:r w:rsidR="00001A23">
        <w:t xml:space="preserve"> to bring alignment and coordinated support to the needs of all stakeholders in the agricultural environment.</w:t>
      </w:r>
    </w:p>
    <w:p w14:paraId="67125471" w14:textId="6FE79741" w:rsidR="00001A23" w:rsidRDefault="001E3657" w:rsidP="002A54F0">
      <w:pPr>
        <w:pStyle w:val="IPPParagraphnumbering"/>
      </w:pPr>
      <w:r w:rsidRPr="002F0C41">
        <w:t xml:space="preserve">The </w:t>
      </w:r>
      <w:r w:rsidRPr="002F0C41">
        <w:rPr>
          <w:rStyle w:val="Strong"/>
          <w:b w:val="0"/>
          <w:bCs w:val="0"/>
          <w:szCs w:val="22"/>
        </w:rPr>
        <w:t>NBH</w:t>
      </w:r>
      <w:r w:rsidRPr="002F0C41">
        <w:t xml:space="preserve"> in South Africa is a government-led initiative designed to strengthen how the country manages threats to plant, animal, and food health. It was launched in October 2022 and is hosted at Innovation Africa, University of Pretoria</w:t>
      </w:r>
      <w:r>
        <w:t>. The Hub is supported by DoA and the Department of Science and Innovation (DSI). In terms of the Agricultural Agroprocessing Master Plan (AAMP) of South Africa which supports technological advancement, cooperation and market access, as well as the AU-Plant Health Strategy for Africa 2022-2036 which promotes pest detection and identification (diagnosis networking among stakeholders in Africa, the NBH</w:t>
      </w:r>
      <w:r w:rsidR="00C34AF6">
        <w:t xml:space="preserve"> support the development of PHDNs through engagement with various stakeholders in South Africa.</w:t>
      </w:r>
    </w:p>
    <w:p w14:paraId="57E225AE" w14:textId="36CE3E82" w:rsidR="00C34AF6" w:rsidRDefault="00C34AF6" w:rsidP="002A54F0">
      <w:pPr>
        <w:pStyle w:val="IPPParagraphnumbering"/>
      </w:pPr>
      <w:r>
        <w:t>Further support for a PHDN in South Africa was highlighted by the Emergency Plant Pest Response Plant Workshop</w:t>
      </w:r>
      <w:r w:rsidR="0038155A">
        <w:t xml:space="preserve"> of the DoA</w:t>
      </w:r>
      <w:r>
        <w:t xml:space="preserve"> to support surveillance and outbreaks of pests. A </w:t>
      </w:r>
      <w:r w:rsidR="00FA2A32">
        <w:t>National</w:t>
      </w:r>
      <w:r>
        <w:t xml:space="preserve"> Biosecurity Summit was held </w:t>
      </w:r>
      <w:r w:rsidR="00FA2A32">
        <w:t xml:space="preserve">in June 2025 </w:t>
      </w:r>
      <w:r>
        <w:t>in South Africa where all stakeholders such as industry, NPPOZA, research institutions and private laboratories were invited to engage on the topic of PHDN.</w:t>
      </w:r>
    </w:p>
    <w:p w14:paraId="261AC72D" w14:textId="5C3B2ADF" w:rsidR="00C34AF6" w:rsidRPr="001E3657" w:rsidRDefault="00C34AF6" w:rsidP="002A54F0">
      <w:pPr>
        <w:pStyle w:val="IPPParagraphnumbering"/>
      </w:pPr>
      <w:r>
        <w:t>The outcomes of the summit was to develop a national action plan for government-industry collaboration in diagnostic networks, accredit more laboratories based on ISPM45 across regions to enable quick response to emerging threats, establish mobile laboratories at borders and high-risk entry points, standardise and validate diagnostic methods across public and private laboratories, improve communication, data</w:t>
      </w:r>
      <w:r w:rsidR="00D61B9C">
        <w:t xml:space="preserve">-sharing across the diagnostic networks, fast-track the implementation of a national network starting with the audit of existing capabilities and platforms and finally expand laboratory diagnostic capacity to support surveillance. </w:t>
      </w:r>
    </w:p>
    <w:p w14:paraId="7556CD05" w14:textId="3D13F7D8" w:rsidR="00DB4B06" w:rsidRDefault="00DB4B06" w:rsidP="002A54F0">
      <w:pPr>
        <w:pStyle w:val="IPPParagraphnumbering"/>
        <w:rPr>
          <w:b/>
          <w:bCs/>
        </w:rPr>
      </w:pPr>
      <w:r w:rsidRPr="00DB4B06">
        <w:t xml:space="preserve">In </w:t>
      </w:r>
      <w:r w:rsidR="00D61B9C">
        <w:t xml:space="preserve">terms of its regulatory and policy framework South Africa has established new legislation, </w:t>
      </w:r>
      <w:r w:rsidR="00414F39">
        <w:t xml:space="preserve">the </w:t>
      </w:r>
      <w:r w:rsidR="00414F39" w:rsidRPr="00DB4B06">
        <w:t>Plant</w:t>
      </w:r>
      <w:r w:rsidRPr="00DB4B06">
        <w:t xml:space="preserve"> Health Act 2024 (Act no 35 of 2024),</w:t>
      </w:r>
      <w:r w:rsidR="00D61B9C">
        <w:t xml:space="preserve"> that provides a legal framework for the NPPOZA to </w:t>
      </w:r>
      <w:proofErr w:type="gramStart"/>
      <w:r w:rsidR="00D61B9C">
        <w:t>operate</w:t>
      </w:r>
      <w:proofErr w:type="gramEnd"/>
      <w:r w:rsidR="00D61B9C">
        <w:t xml:space="preserve"> </w:t>
      </w:r>
      <w:r w:rsidR="00414F39">
        <w:t>and</w:t>
      </w:r>
      <w:r w:rsidR="00D61B9C">
        <w:t xml:space="preserve"> regulations</w:t>
      </w:r>
      <w:r w:rsidR="0038155A">
        <w:t xml:space="preserve"> will be developed to</w:t>
      </w:r>
      <w:r w:rsidR="00D61B9C">
        <w:t xml:space="preserve"> incorporate the approval of laboratories and quarantine facilities. </w:t>
      </w:r>
    </w:p>
    <w:p w14:paraId="292E6251" w14:textId="4217EE36" w:rsidR="00A20D35" w:rsidRPr="00A20D35" w:rsidRDefault="00D61B9C" w:rsidP="002A54F0">
      <w:pPr>
        <w:pStyle w:val="IPPParagraphnumbering"/>
      </w:pPr>
      <w:r>
        <w:t>South African institutions such as the ARC, Forestry and A</w:t>
      </w:r>
      <w:r w:rsidR="00F46154">
        <w:t xml:space="preserve">gricultural Biotechnology Institute (FABI) and various Universities are </w:t>
      </w:r>
      <w:r w:rsidR="00477591">
        <w:t>recognized as Centers of Excellence in provision of training and diagnostic support for various pests.</w:t>
      </w:r>
    </w:p>
    <w:p w14:paraId="737E8F2B" w14:textId="4FAE450F" w:rsidR="00A20D35" w:rsidRDefault="00477591" w:rsidP="002A54F0">
      <w:pPr>
        <w:pStyle w:val="IPPParagraphnumbering"/>
      </w:pPr>
      <w:r>
        <w:t>For capacity development under the Support</w:t>
      </w:r>
      <w:r w:rsidR="00A20D35" w:rsidRPr="00A20D35">
        <w:t xml:space="preserve"> towards the operationalization of the SADC Regional Agriculture Policy Project (STOSAR</w:t>
      </w:r>
      <w:r w:rsidR="00414F39" w:rsidRPr="00A20D35">
        <w:t>), diagnostic</w:t>
      </w:r>
      <w:r w:rsidR="00A20D35" w:rsidRPr="00A20D35">
        <w:t xml:space="preserve"> capacity assessment</w:t>
      </w:r>
      <w:r>
        <w:t xml:space="preserve">s were completed by </w:t>
      </w:r>
      <w:r w:rsidR="00A20D35" w:rsidRPr="00A20D35">
        <w:t xml:space="preserve">South </w:t>
      </w:r>
      <w:r w:rsidR="00414F39" w:rsidRPr="00A20D35">
        <w:t>Africa</w:t>
      </w:r>
      <w:r w:rsidR="00414F39">
        <w:t xml:space="preserve"> </w:t>
      </w:r>
      <w:r w:rsidR="00414F39" w:rsidRPr="00A20D35">
        <w:t>on</w:t>
      </w:r>
      <w:r w:rsidR="00A20D35" w:rsidRPr="00A20D35">
        <w:t xml:space="preserve"> the </w:t>
      </w:r>
      <w:r>
        <w:t>a</w:t>
      </w:r>
      <w:r w:rsidR="00A20D35" w:rsidRPr="00A20D35">
        <w:t xml:space="preserve">ssessment of plant health diagnostic laboratories as well as attend online </w:t>
      </w:r>
      <w:r w:rsidR="00414F39" w:rsidRPr="00A20D35">
        <w:t>training on</w:t>
      </w:r>
      <w:r w:rsidR="00A20D35" w:rsidRPr="00A20D35">
        <w:t xml:space="preserve"> laboratory techniques</w:t>
      </w:r>
      <w:r>
        <w:t xml:space="preserve"> were attended by officials.</w:t>
      </w:r>
    </w:p>
    <w:p w14:paraId="104652E5" w14:textId="7198E714" w:rsidR="00A20D35" w:rsidRPr="00521609" w:rsidRDefault="00414F39" w:rsidP="00521609">
      <w:pPr>
        <w:pStyle w:val="IPPParagraphnumbering"/>
      </w:pPr>
      <w:r>
        <w:t>Various</w:t>
      </w:r>
      <w:r w:rsidR="00477591">
        <w:t xml:space="preserve"> levels of expertise and infrastructure exist within South Africa and through the NBH</w:t>
      </w:r>
      <w:r w:rsidR="00003D76">
        <w:t>,</w:t>
      </w:r>
      <w:r w:rsidR="00477591">
        <w:t xml:space="preserve"> the agenda of building a PHDN can be driven to form a united system that will be beneficial to all stakeholders within the agricultural environment.</w:t>
      </w:r>
    </w:p>
    <w:p w14:paraId="09C0F33D" w14:textId="4B525EE9" w:rsidR="0040369F" w:rsidRPr="007A434F" w:rsidRDefault="0040369F" w:rsidP="009B2F32">
      <w:pPr>
        <w:pStyle w:val="IPPHeading1"/>
      </w:pPr>
      <w:bookmarkStart w:id="17" w:name="_Toc210831720"/>
      <w:r w:rsidRPr="007A434F">
        <w:lastRenderedPageBreak/>
        <w:t>1</w:t>
      </w:r>
      <w:r w:rsidR="004B57FD">
        <w:t>2</w:t>
      </w:r>
      <w:r w:rsidRPr="007A434F">
        <w:t>.</w:t>
      </w:r>
      <w:r w:rsidRPr="007A434F">
        <w:tab/>
        <w:t xml:space="preserve"> Stakeholder </w:t>
      </w:r>
      <w:r w:rsidR="000E6805">
        <w:t>Interviews</w:t>
      </w:r>
      <w:r w:rsidR="000E0FEA">
        <w:t>, Questionnaires</w:t>
      </w:r>
      <w:r w:rsidR="000E6805">
        <w:t xml:space="preserve"> and P</w:t>
      </w:r>
      <w:r w:rsidRPr="007A434F">
        <w:t>erspectives</w:t>
      </w:r>
      <w:bookmarkEnd w:id="17"/>
      <w:r w:rsidRPr="007A434F">
        <w:t xml:space="preserve"> </w:t>
      </w:r>
    </w:p>
    <w:p w14:paraId="1FD7132D" w14:textId="4A9958ED" w:rsidR="003B2777" w:rsidRPr="00423B8A" w:rsidRDefault="003B2777" w:rsidP="009B2F32">
      <w:pPr>
        <w:pStyle w:val="IPPHeading2"/>
        <w:rPr>
          <w:lang w:val="en-ZA" w:eastAsia="en-ZA"/>
        </w:rPr>
      </w:pPr>
      <w:bookmarkStart w:id="18" w:name="_Toc210831721"/>
      <w:r w:rsidRPr="00423B8A">
        <w:rPr>
          <w:lang w:val="en-ZA" w:eastAsia="en-ZA"/>
        </w:rPr>
        <w:t>1</w:t>
      </w:r>
      <w:r w:rsidR="004B57FD" w:rsidRPr="00423B8A">
        <w:rPr>
          <w:lang w:val="en-ZA" w:eastAsia="en-ZA"/>
        </w:rPr>
        <w:t>2</w:t>
      </w:r>
      <w:r w:rsidRPr="00423B8A">
        <w:rPr>
          <w:lang w:val="en-ZA" w:eastAsia="en-ZA"/>
        </w:rPr>
        <w:t>.</w:t>
      </w:r>
      <w:r w:rsidR="00F50295" w:rsidRPr="00423B8A">
        <w:rPr>
          <w:lang w:val="en-ZA" w:eastAsia="en-ZA"/>
        </w:rPr>
        <w:t>1</w:t>
      </w:r>
      <w:r w:rsidRPr="00423B8A">
        <w:rPr>
          <w:lang w:val="en-ZA" w:eastAsia="en-ZA"/>
        </w:rPr>
        <w:t xml:space="preserve"> Strategic Perspectives on Network Design</w:t>
      </w:r>
      <w:bookmarkEnd w:id="18"/>
    </w:p>
    <w:p w14:paraId="19076677" w14:textId="5BC31643" w:rsidR="003B2777" w:rsidRPr="00423B8A" w:rsidRDefault="00F50295" w:rsidP="009B2F32">
      <w:pPr>
        <w:pStyle w:val="IPPHeading3"/>
        <w:rPr>
          <w:lang w:val="en-ZA" w:eastAsia="en-ZA"/>
        </w:rPr>
      </w:pPr>
      <w:r w:rsidRPr="00423B8A">
        <w:rPr>
          <w:lang w:val="en-ZA" w:eastAsia="en-ZA"/>
        </w:rPr>
        <w:t>1</w:t>
      </w:r>
      <w:r w:rsidR="00B41BC9" w:rsidRPr="00423B8A">
        <w:rPr>
          <w:lang w:val="en-ZA" w:eastAsia="en-ZA"/>
        </w:rPr>
        <w:t>2</w:t>
      </w:r>
      <w:r w:rsidRPr="00423B8A">
        <w:rPr>
          <w:lang w:val="en-ZA" w:eastAsia="en-ZA"/>
        </w:rPr>
        <w:t xml:space="preserve">.1.1 </w:t>
      </w:r>
      <w:r w:rsidR="003B2777" w:rsidRPr="00423B8A">
        <w:rPr>
          <w:lang w:val="en-ZA" w:eastAsia="en-ZA"/>
        </w:rPr>
        <w:t>Clarity of Purpose</w:t>
      </w:r>
    </w:p>
    <w:p w14:paraId="02E0D4A1" w14:textId="289ED406" w:rsidR="003B2777" w:rsidRPr="00423B8A" w:rsidRDefault="00621E96" w:rsidP="002A54F0">
      <w:pPr>
        <w:pStyle w:val="IPPParagraphnumbering"/>
        <w:rPr>
          <w:lang w:eastAsia="en-ZA"/>
        </w:rPr>
      </w:pPr>
      <w:r w:rsidRPr="00423B8A">
        <w:rPr>
          <w:lang w:eastAsia="en-ZA"/>
        </w:rPr>
        <w:t>FAO Forestry</w:t>
      </w:r>
      <w:r w:rsidR="003B2777" w:rsidRPr="00423B8A">
        <w:rPr>
          <w:lang w:eastAsia="en-ZA"/>
        </w:rPr>
        <w:t xml:space="preserve"> emphasized the importance of defining the scope, objectives, and activities of a PHDN before recruiting members.</w:t>
      </w:r>
      <w:r w:rsidR="000E6805" w:rsidRPr="00423B8A">
        <w:rPr>
          <w:lang w:eastAsia="en-ZA"/>
        </w:rPr>
        <w:t xml:space="preserve"> </w:t>
      </w:r>
      <w:r w:rsidR="003B2777" w:rsidRPr="00423B8A">
        <w:rPr>
          <w:lang w:eastAsia="en-ZA"/>
        </w:rPr>
        <w:t>CAN and COSAVE representatives highlighted harmonization of protocols as a key deliverable for any network to ensure comparability and trust in diagnostic results.</w:t>
      </w:r>
      <w:r w:rsidR="000E6805" w:rsidRPr="00423B8A">
        <w:rPr>
          <w:lang w:eastAsia="en-ZA"/>
        </w:rPr>
        <w:t xml:space="preserve"> </w:t>
      </w:r>
      <w:r w:rsidR="003B2777" w:rsidRPr="00423B8A">
        <w:rPr>
          <w:lang w:eastAsia="en-ZA"/>
        </w:rPr>
        <w:t>Australian SPHD/SPID experience shows that clear governance structures (committees, endorsed protocols, escalation procedures) underpin effective collaboration.</w:t>
      </w:r>
      <w:r w:rsidR="000E0FEA">
        <w:rPr>
          <w:lang w:eastAsia="en-ZA"/>
        </w:rPr>
        <w:t xml:space="preserve"> </w:t>
      </w:r>
    </w:p>
    <w:p w14:paraId="0649D51F" w14:textId="749E0D46"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.1.2 </w:t>
      </w:r>
      <w:r w:rsidR="003B2777" w:rsidRPr="009B2F32">
        <w:rPr>
          <w:lang w:val="en-ZA" w:eastAsia="en-ZA"/>
        </w:rPr>
        <w:t>Regulatory Leadership</w:t>
      </w:r>
    </w:p>
    <w:p w14:paraId="410AA001" w14:textId="4F221D23" w:rsidR="003B2777" w:rsidRPr="00423B8A" w:rsidRDefault="003B2777" w:rsidP="002A54F0">
      <w:pPr>
        <w:pStyle w:val="IPPParagraphnumbering"/>
        <w:rPr>
          <w:lang w:eastAsia="en-ZA"/>
        </w:rPr>
      </w:pPr>
      <w:r w:rsidRPr="00423B8A">
        <w:rPr>
          <w:lang w:eastAsia="en-ZA"/>
        </w:rPr>
        <w:t>All interviewees agree NPPOs must remain the primary regulatory authority for official diagnostics.</w:t>
      </w:r>
      <w:r w:rsidR="000E6805" w:rsidRPr="00423B8A">
        <w:rPr>
          <w:lang w:eastAsia="en-ZA"/>
        </w:rPr>
        <w:t xml:space="preserve"> </w:t>
      </w:r>
      <w:r w:rsidRPr="00423B8A">
        <w:rPr>
          <w:lang w:eastAsia="en-ZA"/>
        </w:rPr>
        <w:t>Networks should complement, not compete with, NPPO functions.</w:t>
      </w:r>
      <w:r w:rsidR="000E6805" w:rsidRPr="00423B8A">
        <w:rPr>
          <w:lang w:eastAsia="en-ZA"/>
        </w:rPr>
        <w:t xml:space="preserve"> </w:t>
      </w:r>
      <w:r w:rsidRPr="00423B8A">
        <w:rPr>
          <w:lang w:eastAsia="en-ZA"/>
        </w:rPr>
        <w:t>Universities, research institutes, and industry can be partners, but their roles need to be clearly defined to avoid conflict or duplication.</w:t>
      </w:r>
      <w:r w:rsidR="000E0FEA">
        <w:rPr>
          <w:lang w:eastAsia="en-ZA"/>
        </w:rPr>
        <w:t xml:space="preserve"> According to Kenya, NPPOs provide daily, operational diagnostic services essential for laboratory decision making and trade compliance.</w:t>
      </w:r>
    </w:p>
    <w:p w14:paraId="26C696BF" w14:textId="430D4450" w:rsidR="003B2777" w:rsidRPr="009B2F32" w:rsidRDefault="00F50295" w:rsidP="009B2F32">
      <w:pPr>
        <w:pStyle w:val="IPPHeading2"/>
        <w:rPr>
          <w:lang w:val="en-ZA" w:eastAsia="en-ZA"/>
        </w:rPr>
      </w:pPr>
      <w:bookmarkStart w:id="19" w:name="_Toc210831722"/>
      <w:r w:rsidRPr="009B2F32">
        <w:rPr>
          <w:lang w:val="en-ZA" w:eastAsia="en-ZA"/>
        </w:rPr>
        <w:t>1</w:t>
      </w:r>
      <w:r w:rsidR="00B41BC9" w:rsidRPr="009B2F32">
        <w:rPr>
          <w:lang w:val="en-ZA" w:eastAsia="en-ZA"/>
        </w:rPr>
        <w:t>2</w:t>
      </w:r>
      <w:r w:rsidRPr="009B2F32">
        <w:rPr>
          <w:lang w:val="en-ZA" w:eastAsia="en-ZA"/>
        </w:rPr>
        <w:t>.</w:t>
      </w:r>
      <w:r w:rsidR="003B2777" w:rsidRPr="009B2F32">
        <w:rPr>
          <w:lang w:val="en-ZA" w:eastAsia="en-ZA"/>
        </w:rPr>
        <w:t xml:space="preserve">2. Capacity </w:t>
      </w:r>
      <w:r w:rsidR="00B21436" w:rsidRPr="009B2F32">
        <w:rPr>
          <w:lang w:val="en-ZA" w:eastAsia="en-ZA"/>
        </w:rPr>
        <w:t>and</w:t>
      </w:r>
      <w:r w:rsidR="003B2777" w:rsidRPr="009B2F32">
        <w:rPr>
          <w:lang w:val="en-ZA" w:eastAsia="en-ZA"/>
        </w:rPr>
        <w:t xml:space="preserve"> Infrastructure Perspectives</w:t>
      </w:r>
      <w:bookmarkEnd w:id="19"/>
    </w:p>
    <w:p w14:paraId="2B91D6C9" w14:textId="33167E36"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.2.1 </w:t>
      </w:r>
      <w:r w:rsidR="003B2777" w:rsidRPr="009B2F32">
        <w:rPr>
          <w:lang w:val="en-ZA" w:eastAsia="en-ZA"/>
        </w:rPr>
        <w:t>Regional Variability</w:t>
      </w:r>
    </w:p>
    <w:p w14:paraId="21E6B7F0" w14:textId="3B107E8C" w:rsidR="003B2777" w:rsidRPr="003A51CD" w:rsidRDefault="003B2777" w:rsidP="002A54F0">
      <w:pPr>
        <w:pStyle w:val="IPPParagraphnumbering"/>
        <w:rPr>
          <w:lang w:eastAsia="en-ZA"/>
        </w:rPr>
      </w:pPr>
      <w:r w:rsidRPr="003A51CD">
        <w:rPr>
          <w:lang w:eastAsia="en-ZA"/>
        </w:rPr>
        <w:t>Forestry and Near East/West African countries face major gaps</w:t>
      </w:r>
      <w:r w:rsidR="000E0FEA">
        <w:rPr>
          <w:lang w:eastAsia="en-ZA"/>
        </w:rPr>
        <w:t>. There is</w:t>
      </w:r>
      <w:r w:rsidRPr="003A51CD">
        <w:rPr>
          <w:lang w:eastAsia="en-ZA"/>
        </w:rPr>
        <w:t xml:space="preserve"> only basic lab infrastructure and few specialists.</w:t>
      </w:r>
      <w:r w:rsidR="00B21436" w:rsidRPr="003A51CD">
        <w:rPr>
          <w:lang w:eastAsia="en-ZA"/>
        </w:rPr>
        <w:t xml:space="preserve"> </w:t>
      </w:r>
      <w:r w:rsidRPr="003A51CD">
        <w:rPr>
          <w:lang w:eastAsia="en-ZA"/>
        </w:rPr>
        <w:t>CAN countries have relatively robust infrastructure (Ecuador, Colombia, Peru)</w:t>
      </w:r>
      <w:r w:rsidR="00C73927">
        <w:rPr>
          <w:lang w:eastAsia="en-ZA"/>
        </w:rPr>
        <w:t>. The same is evident for Chile</w:t>
      </w:r>
      <w:r w:rsidR="00741A01">
        <w:rPr>
          <w:lang w:eastAsia="en-ZA"/>
        </w:rPr>
        <w:t xml:space="preserve"> and</w:t>
      </w:r>
      <w:r w:rsidR="00C73927">
        <w:rPr>
          <w:lang w:eastAsia="en-ZA"/>
        </w:rPr>
        <w:t xml:space="preserve"> Argentina</w:t>
      </w:r>
      <w:r w:rsidR="00741A01">
        <w:rPr>
          <w:lang w:eastAsia="en-ZA"/>
        </w:rPr>
        <w:t xml:space="preserve">. Some </w:t>
      </w:r>
      <w:r w:rsidR="00521609">
        <w:rPr>
          <w:lang w:eastAsia="en-ZA"/>
        </w:rPr>
        <w:t>laboratories</w:t>
      </w:r>
      <w:r w:rsidRPr="003A51CD">
        <w:rPr>
          <w:lang w:eastAsia="en-ZA"/>
        </w:rPr>
        <w:t xml:space="preserve"> struggle with sustaining ISO 17025 accreditation and balancing capacity across regions.</w:t>
      </w:r>
      <w:r w:rsidR="00B21436" w:rsidRPr="003A51CD">
        <w:rPr>
          <w:lang w:eastAsia="en-ZA"/>
        </w:rPr>
        <w:t xml:space="preserve"> </w:t>
      </w:r>
      <w:r w:rsidRPr="003A51CD">
        <w:rPr>
          <w:lang w:eastAsia="en-ZA"/>
        </w:rPr>
        <w:t xml:space="preserve">Caribbean countries lack specialized labs and rely on </w:t>
      </w:r>
      <w:r w:rsidR="00B21436" w:rsidRPr="003A51CD">
        <w:rPr>
          <w:lang w:eastAsia="en-ZA"/>
        </w:rPr>
        <w:t>C</w:t>
      </w:r>
      <w:r w:rsidRPr="003A51CD">
        <w:rPr>
          <w:lang w:eastAsia="en-ZA"/>
        </w:rPr>
        <w:t xml:space="preserve">enters of </w:t>
      </w:r>
      <w:r w:rsidR="00B21436" w:rsidRPr="003A51CD">
        <w:rPr>
          <w:lang w:eastAsia="en-ZA"/>
        </w:rPr>
        <w:t>E</w:t>
      </w:r>
      <w:r w:rsidRPr="003A51CD">
        <w:rPr>
          <w:lang w:eastAsia="en-ZA"/>
        </w:rPr>
        <w:t>xcellence (CPDN) and partnerships with universities and international experts.</w:t>
      </w:r>
      <w:r w:rsidR="000E0FEA">
        <w:rPr>
          <w:lang w:eastAsia="en-ZA"/>
        </w:rPr>
        <w:t xml:space="preserve"> There must be strong regional support for PHDNs in Africa, especially the African Union Inter-African Phytosanitary Council (AU-IAPSC</w:t>
      </w:r>
      <w:r w:rsidR="008678F8">
        <w:rPr>
          <w:lang w:eastAsia="en-ZA"/>
        </w:rPr>
        <w:t>).</w:t>
      </w:r>
    </w:p>
    <w:p w14:paraId="2B2B3447" w14:textId="07A18736"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.2.2 </w:t>
      </w:r>
      <w:r w:rsidR="003B2777" w:rsidRPr="009B2F32">
        <w:rPr>
          <w:lang w:val="en-ZA" w:eastAsia="en-ZA"/>
        </w:rPr>
        <w:t>Hub-and-Spoke Model</w:t>
      </w:r>
    </w:p>
    <w:p w14:paraId="69B0DF75" w14:textId="610FFD49" w:rsidR="003B2777" w:rsidRPr="003A51CD" w:rsidRDefault="003B2777" w:rsidP="002A54F0">
      <w:pPr>
        <w:pStyle w:val="IPPParagraphnumbering"/>
        <w:rPr>
          <w:lang w:eastAsia="en-ZA"/>
        </w:rPr>
      </w:pPr>
      <w:r w:rsidRPr="003A51CD">
        <w:rPr>
          <w:lang w:eastAsia="en-ZA"/>
        </w:rPr>
        <w:t xml:space="preserve">ICIPE proposes a regional diagnostic </w:t>
      </w:r>
      <w:proofErr w:type="gramStart"/>
      <w:r w:rsidRPr="003A51CD">
        <w:rPr>
          <w:lang w:eastAsia="en-ZA"/>
        </w:rPr>
        <w:t>hub model</w:t>
      </w:r>
      <w:proofErr w:type="gramEnd"/>
      <w:r w:rsidRPr="003A51CD">
        <w:rPr>
          <w:lang w:eastAsia="en-ZA"/>
        </w:rPr>
        <w:t xml:space="preserve"> where well-equipped labs serve multiple countries.</w:t>
      </w:r>
      <w:r w:rsidR="00B21436" w:rsidRPr="003A51CD">
        <w:rPr>
          <w:lang w:eastAsia="en-ZA"/>
        </w:rPr>
        <w:t xml:space="preserve"> </w:t>
      </w:r>
      <w:r w:rsidR="000B6756">
        <w:rPr>
          <w:lang w:eastAsia="en-ZA"/>
        </w:rPr>
        <w:t>CAHFSA</w:t>
      </w:r>
      <w:r w:rsidRPr="003A51CD">
        <w:rPr>
          <w:lang w:eastAsia="en-ZA"/>
        </w:rPr>
        <w:t xml:space="preserve"> supports centralizing expertise in regional </w:t>
      </w:r>
      <w:r w:rsidR="003914C8" w:rsidRPr="003A51CD">
        <w:rPr>
          <w:lang w:eastAsia="en-ZA"/>
        </w:rPr>
        <w:t>C</w:t>
      </w:r>
      <w:r w:rsidRPr="003A51CD">
        <w:rPr>
          <w:lang w:eastAsia="en-ZA"/>
        </w:rPr>
        <w:t xml:space="preserve">enters of </w:t>
      </w:r>
      <w:r w:rsidR="003914C8" w:rsidRPr="003A51CD">
        <w:rPr>
          <w:lang w:eastAsia="en-ZA"/>
        </w:rPr>
        <w:t>E</w:t>
      </w:r>
      <w:r w:rsidRPr="003A51CD">
        <w:rPr>
          <w:lang w:eastAsia="en-ZA"/>
        </w:rPr>
        <w:t>xcellence rather than duplicating facilities across small states.</w:t>
      </w:r>
      <w:r w:rsidR="00B21436" w:rsidRPr="003A51CD">
        <w:rPr>
          <w:lang w:eastAsia="en-ZA"/>
        </w:rPr>
        <w:t xml:space="preserve"> </w:t>
      </w:r>
      <w:r w:rsidRPr="003A51CD">
        <w:rPr>
          <w:lang w:eastAsia="en-ZA"/>
        </w:rPr>
        <w:t>Australian experience shows networks can function even where capacities differ, provided mutual support agreements are in place.</w:t>
      </w:r>
    </w:p>
    <w:p w14:paraId="6D67AD9B" w14:textId="17E001B1" w:rsidR="003B2777" w:rsidRPr="009B2F32" w:rsidRDefault="00F50295" w:rsidP="009B2F32">
      <w:pPr>
        <w:pStyle w:val="IPPHeading2"/>
        <w:rPr>
          <w:lang w:val="en-ZA" w:eastAsia="en-ZA"/>
        </w:rPr>
      </w:pPr>
      <w:bookmarkStart w:id="20" w:name="_Toc210831723"/>
      <w:r w:rsidRPr="009B2F32">
        <w:rPr>
          <w:lang w:val="en-ZA" w:eastAsia="en-ZA"/>
        </w:rPr>
        <w:t>1</w:t>
      </w:r>
      <w:r w:rsidR="00B41BC9" w:rsidRPr="009B2F32">
        <w:rPr>
          <w:lang w:val="en-ZA" w:eastAsia="en-ZA"/>
        </w:rPr>
        <w:t>2</w:t>
      </w:r>
      <w:r w:rsidRPr="009B2F32">
        <w:rPr>
          <w:lang w:val="en-ZA" w:eastAsia="en-ZA"/>
        </w:rPr>
        <w:t>.</w:t>
      </w:r>
      <w:r w:rsidR="003B2777" w:rsidRPr="009B2F32">
        <w:rPr>
          <w:lang w:val="en-ZA" w:eastAsia="en-ZA"/>
        </w:rPr>
        <w:t xml:space="preserve">3 Governance </w:t>
      </w:r>
      <w:r w:rsidR="00B21436" w:rsidRPr="009B2F32">
        <w:rPr>
          <w:lang w:val="en-ZA" w:eastAsia="en-ZA"/>
        </w:rPr>
        <w:t>and</w:t>
      </w:r>
      <w:r w:rsidR="003B2777" w:rsidRPr="009B2F32">
        <w:rPr>
          <w:lang w:val="en-ZA" w:eastAsia="en-ZA"/>
        </w:rPr>
        <w:t xml:space="preserve"> Collaboration Perspectives</w:t>
      </w:r>
      <w:bookmarkEnd w:id="20"/>
    </w:p>
    <w:p w14:paraId="3D7C002E" w14:textId="174A8C61" w:rsidR="003B2777" w:rsidRPr="00423B8A" w:rsidRDefault="00F50295" w:rsidP="009B2F32">
      <w:pPr>
        <w:pStyle w:val="IPPHeading3"/>
        <w:rPr>
          <w:rFonts w:eastAsia="Times New Roman"/>
          <w:szCs w:val="22"/>
          <w:lang w:val="en-ZA" w:eastAsia="en-ZA"/>
        </w:rPr>
      </w:pPr>
      <w:r w:rsidRPr="009B2F32">
        <w:rPr>
          <w:lang w:val="en-ZA" w:eastAsia="en-ZA"/>
        </w:rPr>
        <w:t>1</w:t>
      </w:r>
      <w:r w:rsidR="00B41BC9" w:rsidRPr="009B2F32">
        <w:rPr>
          <w:lang w:val="en-ZA" w:eastAsia="en-ZA"/>
        </w:rPr>
        <w:t>2</w:t>
      </w:r>
      <w:r w:rsidRPr="009B2F32">
        <w:rPr>
          <w:lang w:val="en-ZA" w:eastAsia="en-ZA"/>
        </w:rPr>
        <w:t xml:space="preserve">.3.1 </w:t>
      </w:r>
      <w:r w:rsidR="003B2777" w:rsidRPr="009B2F32">
        <w:rPr>
          <w:lang w:val="en-ZA" w:eastAsia="en-ZA"/>
        </w:rPr>
        <w:t xml:space="preserve">Trust </w:t>
      </w:r>
      <w:r w:rsidR="00B21436" w:rsidRPr="009B2F32">
        <w:rPr>
          <w:lang w:val="en-ZA" w:eastAsia="en-ZA"/>
        </w:rPr>
        <w:t>and</w:t>
      </w:r>
      <w:r w:rsidR="003B2777" w:rsidRPr="009B2F32">
        <w:rPr>
          <w:lang w:val="en-ZA" w:eastAsia="en-ZA"/>
        </w:rPr>
        <w:t xml:space="preserve"> Communication</w:t>
      </w:r>
    </w:p>
    <w:p w14:paraId="4D2E8ABC" w14:textId="444CF845" w:rsidR="003B2777" w:rsidRPr="003A51CD" w:rsidRDefault="003B2777" w:rsidP="002A54F0">
      <w:pPr>
        <w:pStyle w:val="IPPParagraphnumbering"/>
        <w:rPr>
          <w:lang w:eastAsia="en-ZA"/>
        </w:rPr>
      </w:pPr>
      <w:r w:rsidRPr="003A51CD">
        <w:rPr>
          <w:lang w:eastAsia="en-ZA"/>
        </w:rPr>
        <w:t xml:space="preserve">Relationships are a </w:t>
      </w:r>
      <w:proofErr w:type="gramStart"/>
      <w:r w:rsidRPr="003A51CD">
        <w:rPr>
          <w:lang w:eastAsia="en-ZA"/>
        </w:rPr>
        <w:t>key success</w:t>
      </w:r>
      <w:proofErr w:type="gramEnd"/>
      <w:r w:rsidRPr="003A51CD">
        <w:rPr>
          <w:lang w:eastAsia="en-ZA"/>
        </w:rPr>
        <w:t xml:space="preserve"> factor</w:t>
      </w:r>
      <w:r w:rsidR="00A2646E">
        <w:rPr>
          <w:lang w:eastAsia="en-ZA"/>
        </w:rPr>
        <w:t>. F</w:t>
      </w:r>
      <w:r w:rsidRPr="003A51CD">
        <w:rPr>
          <w:lang w:eastAsia="en-ZA"/>
        </w:rPr>
        <w:t>orestry networks rely on informal communication channels (WhatsApp groups) to share information quickly.</w:t>
      </w:r>
      <w:r w:rsidR="00B21436" w:rsidRPr="003A51CD">
        <w:rPr>
          <w:lang w:eastAsia="en-ZA"/>
        </w:rPr>
        <w:t xml:space="preserve"> </w:t>
      </w:r>
      <w:r w:rsidRPr="003A51CD">
        <w:rPr>
          <w:lang w:eastAsia="en-ZA"/>
        </w:rPr>
        <w:t>SPID’s secure member website and directory of experts foster trust and quick mobilization during outbreaks.</w:t>
      </w:r>
      <w:r w:rsidR="00B21436" w:rsidRPr="003A51CD">
        <w:rPr>
          <w:lang w:eastAsia="en-ZA"/>
        </w:rPr>
        <w:t xml:space="preserve"> </w:t>
      </w:r>
      <w:r w:rsidRPr="003A51CD">
        <w:rPr>
          <w:lang w:eastAsia="en-ZA"/>
        </w:rPr>
        <w:t>CAN and COSAVE emphasized formal mechanisms for sharing data (e.g., regular regional bulletins, confidentiality agreements).</w:t>
      </w:r>
    </w:p>
    <w:p w14:paraId="0D8D34A7" w14:textId="46C5D2EB"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.3.2 </w:t>
      </w:r>
      <w:r w:rsidR="003B2777" w:rsidRPr="009B2F32">
        <w:rPr>
          <w:lang w:val="en-ZA" w:eastAsia="en-ZA"/>
        </w:rPr>
        <w:t>Avoiding Duplication</w:t>
      </w:r>
    </w:p>
    <w:p w14:paraId="4156FB18" w14:textId="269B9A11" w:rsidR="003B2777" w:rsidRPr="003A51CD" w:rsidRDefault="003B2777" w:rsidP="002A54F0">
      <w:pPr>
        <w:pStyle w:val="IPPParagraphnumbering"/>
        <w:rPr>
          <w:lang w:eastAsia="en-ZA"/>
        </w:rPr>
      </w:pPr>
      <w:r w:rsidRPr="003A51CD">
        <w:rPr>
          <w:lang w:eastAsia="en-ZA"/>
        </w:rPr>
        <w:t>Stakeholders stress mapping existing networks (</w:t>
      </w:r>
      <w:proofErr w:type="spellStart"/>
      <w:r w:rsidRPr="003A51CD">
        <w:rPr>
          <w:lang w:eastAsia="en-ZA"/>
        </w:rPr>
        <w:t>Plantwise</w:t>
      </w:r>
      <w:proofErr w:type="spellEnd"/>
      <w:r w:rsidRPr="003A51CD">
        <w:rPr>
          <w:lang w:eastAsia="en-ZA"/>
        </w:rPr>
        <w:t>, Emergency Pest Networks, etc.) before building new structures.</w:t>
      </w:r>
      <w:r w:rsidR="00B21436" w:rsidRPr="003A51CD">
        <w:rPr>
          <w:lang w:eastAsia="en-ZA"/>
        </w:rPr>
        <w:t xml:space="preserve"> </w:t>
      </w:r>
      <w:r w:rsidRPr="003A51CD">
        <w:rPr>
          <w:lang w:eastAsia="en-ZA"/>
        </w:rPr>
        <w:t>Networks must align with IPPC guidelines and leverage existing expertise to avoid parallel systems.</w:t>
      </w:r>
    </w:p>
    <w:p w14:paraId="2C84A6E5" w14:textId="56A74B5E" w:rsidR="003B2777" w:rsidRPr="009B2F32" w:rsidRDefault="00F50295" w:rsidP="009B2F32">
      <w:pPr>
        <w:pStyle w:val="IPPHeading2"/>
        <w:rPr>
          <w:lang w:val="en-ZA" w:eastAsia="en-ZA"/>
        </w:rPr>
      </w:pPr>
      <w:bookmarkStart w:id="21" w:name="_Toc210831724"/>
      <w:r w:rsidRPr="009B2F32">
        <w:rPr>
          <w:lang w:val="en-ZA" w:eastAsia="en-ZA"/>
        </w:rPr>
        <w:t>1</w:t>
      </w:r>
      <w:r w:rsidR="00B41BC9" w:rsidRPr="009B2F32">
        <w:rPr>
          <w:lang w:val="en-ZA" w:eastAsia="en-ZA"/>
        </w:rPr>
        <w:t>2</w:t>
      </w:r>
      <w:r w:rsidRPr="009B2F32">
        <w:rPr>
          <w:lang w:val="en-ZA" w:eastAsia="en-ZA"/>
        </w:rPr>
        <w:t>.</w:t>
      </w:r>
      <w:r w:rsidR="003B2777" w:rsidRPr="009B2F32">
        <w:rPr>
          <w:lang w:val="en-ZA" w:eastAsia="en-ZA"/>
        </w:rPr>
        <w:t xml:space="preserve">4. Funding </w:t>
      </w:r>
      <w:r w:rsidR="00B21436" w:rsidRPr="009B2F32">
        <w:rPr>
          <w:lang w:val="en-ZA" w:eastAsia="en-ZA"/>
        </w:rPr>
        <w:t>and</w:t>
      </w:r>
      <w:r w:rsidR="003B2777" w:rsidRPr="009B2F32">
        <w:rPr>
          <w:lang w:val="en-ZA" w:eastAsia="en-ZA"/>
        </w:rPr>
        <w:t xml:space="preserve"> Sustainability Perspectives</w:t>
      </w:r>
      <w:bookmarkEnd w:id="21"/>
    </w:p>
    <w:p w14:paraId="780376C8" w14:textId="2441D1D4"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.4.1 </w:t>
      </w:r>
      <w:r w:rsidR="003B2777" w:rsidRPr="009B2F32">
        <w:rPr>
          <w:lang w:val="en-ZA" w:eastAsia="en-ZA"/>
        </w:rPr>
        <w:t>Financial Sustainability Is a Critical Barrier</w:t>
      </w:r>
    </w:p>
    <w:p w14:paraId="237372AD" w14:textId="424AF3FF" w:rsidR="003B2777" w:rsidRPr="003A51CD" w:rsidRDefault="003B2777" w:rsidP="002A54F0">
      <w:pPr>
        <w:pStyle w:val="IPPParagraphnumbering"/>
        <w:rPr>
          <w:lang w:eastAsia="en-ZA"/>
        </w:rPr>
      </w:pPr>
      <w:r w:rsidRPr="003A51CD">
        <w:rPr>
          <w:lang w:eastAsia="en-ZA"/>
        </w:rPr>
        <w:t>Forestry professionals note that most diagnostics work is unfunded or underfunded.</w:t>
      </w:r>
      <w:r w:rsidR="00B21436" w:rsidRPr="003A51CD">
        <w:rPr>
          <w:lang w:eastAsia="en-ZA"/>
        </w:rPr>
        <w:t xml:space="preserve"> </w:t>
      </w:r>
      <w:r w:rsidRPr="003A51CD">
        <w:rPr>
          <w:lang w:eastAsia="en-ZA"/>
        </w:rPr>
        <w:t>Australia uses a mixed</w:t>
      </w:r>
      <w:r w:rsidR="00B21436" w:rsidRPr="003A51CD">
        <w:rPr>
          <w:lang w:eastAsia="en-ZA"/>
        </w:rPr>
        <w:t>/blended</w:t>
      </w:r>
      <w:r w:rsidRPr="003A51CD">
        <w:rPr>
          <w:lang w:eastAsia="en-ZA"/>
        </w:rPr>
        <w:t xml:space="preserve"> funding model: federal</w:t>
      </w:r>
      <w:r w:rsidR="00B21436" w:rsidRPr="003A51CD">
        <w:rPr>
          <w:lang w:eastAsia="en-ZA"/>
        </w:rPr>
        <w:t>,</w:t>
      </w:r>
      <w:r w:rsidRPr="003A51CD">
        <w:rPr>
          <w:lang w:eastAsia="en-ZA"/>
        </w:rPr>
        <w:t xml:space="preserve"> state</w:t>
      </w:r>
      <w:r w:rsidR="00B21436" w:rsidRPr="003A51CD">
        <w:rPr>
          <w:lang w:eastAsia="en-ZA"/>
        </w:rPr>
        <w:t>,</w:t>
      </w:r>
      <w:r w:rsidRPr="003A51CD">
        <w:rPr>
          <w:lang w:eastAsia="en-ZA"/>
        </w:rPr>
        <w:t xml:space="preserve"> industry co-funding </w:t>
      </w:r>
      <w:r w:rsidR="00B21436" w:rsidRPr="003A51CD">
        <w:rPr>
          <w:lang w:eastAsia="en-ZA"/>
        </w:rPr>
        <w:t>and</w:t>
      </w:r>
      <w:r w:rsidRPr="003A51CD">
        <w:rPr>
          <w:lang w:eastAsia="en-ZA"/>
        </w:rPr>
        <w:t xml:space="preserve"> fee-for-service.</w:t>
      </w:r>
      <w:r w:rsidR="00B21436" w:rsidRPr="003A51CD">
        <w:rPr>
          <w:lang w:eastAsia="en-ZA"/>
        </w:rPr>
        <w:t xml:space="preserve"> </w:t>
      </w:r>
      <w:r w:rsidRPr="003A51CD">
        <w:rPr>
          <w:lang w:eastAsia="en-ZA"/>
        </w:rPr>
        <w:t xml:space="preserve">ICIPE and </w:t>
      </w:r>
      <w:r w:rsidR="000B6756">
        <w:rPr>
          <w:lang w:eastAsia="en-ZA"/>
        </w:rPr>
        <w:t>CAHFSA</w:t>
      </w:r>
      <w:r w:rsidRPr="003A51CD">
        <w:rPr>
          <w:lang w:eastAsia="en-ZA"/>
        </w:rPr>
        <w:t xml:space="preserve"> highlight that donor dependency can undermine long-term viability</w:t>
      </w:r>
      <w:r w:rsidR="00B21436" w:rsidRPr="003A51CD">
        <w:rPr>
          <w:lang w:eastAsia="en-ZA"/>
        </w:rPr>
        <w:t xml:space="preserve"> and therefore </w:t>
      </w:r>
      <w:r w:rsidRPr="003A51CD">
        <w:rPr>
          <w:lang w:eastAsia="en-ZA"/>
        </w:rPr>
        <w:lastRenderedPageBreak/>
        <w:t>mechanisms for cost-sharing or user-pays models are needed.</w:t>
      </w:r>
      <w:r w:rsidR="008678F8">
        <w:rPr>
          <w:lang w:eastAsia="en-ZA"/>
        </w:rPr>
        <w:t xml:space="preserve"> According to Kenya a regional coordination model is more likely to attract sustained donor interest and resources.</w:t>
      </w:r>
    </w:p>
    <w:p w14:paraId="54E90A37" w14:textId="7B1B6928" w:rsidR="003B2777" w:rsidRPr="009B2F32" w:rsidRDefault="00F50295" w:rsidP="009B2F32">
      <w:pPr>
        <w:pStyle w:val="IPPHeading2"/>
        <w:rPr>
          <w:lang w:val="en-ZA" w:eastAsia="en-ZA"/>
        </w:rPr>
      </w:pPr>
      <w:bookmarkStart w:id="22" w:name="_Toc210831725"/>
      <w:r w:rsidRPr="009B2F32">
        <w:rPr>
          <w:lang w:val="en-ZA" w:eastAsia="en-ZA"/>
        </w:rPr>
        <w:t>1</w:t>
      </w:r>
      <w:r w:rsidR="00B41BC9" w:rsidRPr="009B2F32">
        <w:rPr>
          <w:lang w:val="en-ZA" w:eastAsia="en-ZA"/>
        </w:rPr>
        <w:t>2</w:t>
      </w:r>
      <w:r w:rsidRPr="009B2F32">
        <w:rPr>
          <w:lang w:val="en-ZA" w:eastAsia="en-ZA"/>
        </w:rPr>
        <w:t>.</w:t>
      </w:r>
      <w:r w:rsidR="003B2777" w:rsidRPr="009B2F32">
        <w:rPr>
          <w:lang w:val="en-ZA" w:eastAsia="en-ZA"/>
        </w:rPr>
        <w:t xml:space="preserve">5 Data Management </w:t>
      </w:r>
      <w:r w:rsidR="00B21436" w:rsidRPr="009B2F32">
        <w:rPr>
          <w:lang w:val="en-ZA" w:eastAsia="en-ZA"/>
        </w:rPr>
        <w:t>and</w:t>
      </w:r>
      <w:r w:rsidR="003B2777" w:rsidRPr="009B2F32">
        <w:rPr>
          <w:lang w:val="en-ZA" w:eastAsia="en-ZA"/>
        </w:rPr>
        <w:t xml:space="preserve"> Information Sharing Perspectives</w:t>
      </w:r>
      <w:bookmarkEnd w:id="22"/>
    </w:p>
    <w:p w14:paraId="0B39D566" w14:textId="0A398AE7"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.5. 1 </w:t>
      </w:r>
      <w:r w:rsidR="003B2777" w:rsidRPr="009B2F32">
        <w:rPr>
          <w:lang w:val="en-ZA" w:eastAsia="en-ZA"/>
        </w:rPr>
        <w:t>Centralized Systems Needed</w:t>
      </w:r>
    </w:p>
    <w:p w14:paraId="65433751" w14:textId="41E6C280" w:rsidR="003B2777" w:rsidRPr="003A51CD" w:rsidRDefault="003B2777" w:rsidP="002A54F0">
      <w:pPr>
        <w:pStyle w:val="IPPParagraphnumbering"/>
        <w:rPr>
          <w:lang w:eastAsia="en-ZA"/>
        </w:rPr>
      </w:pPr>
      <w:r w:rsidRPr="003A51CD">
        <w:rPr>
          <w:lang w:eastAsia="en-ZA"/>
        </w:rPr>
        <w:t xml:space="preserve">ICIPE and </w:t>
      </w:r>
      <w:r w:rsidR="000B6756">
        <w:rPr>
          <w:lang w:eastAsia="en-ZA"/>
        </w:rPr>
        <w:t>CAHFSA</w:t>
      </w:r>
      <w:r w:rsidRPr="003A51CD">
        <w:rPr>
          <w:lang w:eastAsia="en-ZA"/>
        </w:rPr>
        <w:t xml:space="preserve"> both highlight the lack of national/regional diagnostic data systems and the benefits of creating shared databases.</w:t>
      </w:r>
      <w:r w:rsidR="00B21436" w:rsidRPr="003A51CD">
        <w:rPr>
          <w:lang w:eastAsia="en-ZA"/>
        </w:rPr>
        <w:t xml:space="preserve"> </w:t>
      </w:r>
      <w:r w:rsidRPr="003A51CD">
        <w:rPr>
          <w:lang w:eastAsia="en-ZA"/>
        </w:rPr>
        <w:t xml:space="preserve">South Africa’s </w:t>
      </w:r>
      <w:r w:rsidR="00B21436" w:rsidRPr="003A51CD">
        <w:rPr>
          <w:lang w:eastAsia="en-ZA"/>
        </w:rPr>
        <w:t xml:space="preserve">intention to develop an </w:t>
      </w:r>
      <w:r w:rsidRPr="003A51CD">
        <w:rPr>
          <w:lang w:eastAsia="en-ZA"/>
        </w:rPr>
        <w:t>E-labs system is a best-practice example for consolidating results and facilitating e-certification.</w:t>
      </w:r>
      <w:r w:rsidR="00B21436" w:rsidRPr="003A51CD">
        <w:rPr>
          <w:lang w:eastAsia="en-ZA"/>
        </w:rPr>
        <w:t xml:space="preserve"> </w:t>
      </w:r>
      <w:r w:rsidRPr="003A51CD">
        <w:rPr>
          <w:lang w:eastAsia="en-ZA"/>
        </w:rPr>
        <w:t>CAN’s reporting schedule for HLB and TR4 shows how regular regional reporting can improve transparency and preparedness.</w:t>
      </w:r>
      <w:r w:rsidR="008678F8">
        <w:rPr>
          <w:lang w:eastAsia="en-ZA"/>
        </w:rPr>
        <w:t xml:space="preserve"> There is a need for stronger regional data-sharing mechanisms to improve transparency, surveillance and decision-making in Africa.</w:t>
      </w:r>
    </w:p>
    <w:p w14:paraId="5EAE18EF" w14:textId="7CC4F78A"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.5.2 </w:t>
      </w:r>
      <w:r w:rsidR="003B2777" w:rsidRPr="009B2F32">
        <w:rPr>
          <w:lang w:val="en-ZA" w:eastAsia="en-ZA"/>
        </w:rPr>
        <w:t>Balancing Transparency and Trade Sensitivity</w:t>
      </w:r>
    </w:p>
    <w:p w14:paraId="7B5F0697" w14:textId="430984A7" w:rsidR="003B2777" w:rsidRPr="003A51CD" w:rsidRDefault="003B2777" w:rsidP="002A54F0">
      <w:pPr>
        <w:pStyle w:val="IPPParagraphnumbering"/>
        <w:rPr>
          <w:lang w:eastAsia="en-ZA"/>
        </w:rPr>
      </w:pPr>
      <w:r w:rsidRPr="003A51CD">
        <w:rPr>
          <w:lang w:eastAsia="en-ZA"/>
        </w:rPr>
        <w:t>Australian network shares protocols and tools but not routine diagnostic results to protect trade-sensitive information.</w:t>
      </w:r>
      <w:r w:rsidR="00B21436" w:rsidRPr="003A51CD">
        <w:rPr>
          <w:lang w:eastAsia="en-ZA"/>
        </w:rPr>
        <w:t xml:space="preserve"> </w:t>
      </w:r>
      <w:r w:rsidRPr="003A51CD">
        <w:rPr>
          <w:lang w:eastAsia="en-ZA"/>
        </w:rPr>
        <w:t>CAN handles confidential data under formal reporting rules</w:t>
      </w:r>
      <w:r w:rsidR="00A2646E">
        <w:rPr>
          <w:lang w:eastAsia="en-ZA"/>
        </w:rPr>
        <w:t xml:space="preserve"> which is </w:t>
      </w:r>
      <w:r w:rsidRPr="003A51CD">
        <w:rPr>
          <w:lang w:eastAsia="en-ZA"/>
        </w:rPr>
        <w:t>an important model for international trust-building.</w:t>
      </w:r>
    </w:p>
    <w:p w14:paraId="3FAE2719" w14:textId="13DB2285" w:rsidR="003B2777" w:rsidRPr="009B2F32" w:rsidRDefault="00F50295" w:rsidP="009B2F32">
      <w:pPr>
        <w:pStyle w:val="IPPHeading2"/>
        <w:rPr>
          <w:lang w:val="en-ZA" w:eastAsia="en-ZA"/>
        </w:rPr>
      </w:pPr>
      <w:bookmarkStart w:id="23" w:name="_Toc210831726"/>
      <w:r w:rsidRPr="009B2F32">
        <w:rPr>
          <w:lang w:val="en-ZA" w:eastAsia="en-ZA"/>
        </w:rPr>
        <w:t>1</w:t>
      </w:r>
      <w:r w:rsidR="00B41BC9" w:rsidRPr="009B2F32">
        <w:rPr>
          <w:lang w:val="en-ZA" w:eastAsia="en-ZA"/>
        </w:rPr>
        <w:t>2</w:t>
      </w:r>
      <w:r w:rsidRPr="009B2F32">
        <w:rPr>
          <w:lang w:val="en-ZA" w:eastAsia="en-ZA"/>
        </w:rPr>
        <w:t>.</w:t>
      </w:r>
      <w:r w:rsidR="003B2777" w:rsidRPr="009B2F32">
        <w:rPr>
          <w:lang w:val="en-ZA" w:eastAsia="en-ZA"/>
        </w:rPr>
        <w:t xml:space="preserve">6 Industry </w:t>
      </w:r>
      <w:r w:rsidR="00B21436" w:rsidRPr="009B2F32">
        <w:rPr>
          <w:lang w:val="en-ZA" w:eastAsia="en-ZA"/>
        </w:rPr>
        <w:t>and</w:t>
      </w:r>
      <w:r w:rsidR="003B2777" w:rsidRPr="009B2F32">
        <w:rPr>
          <w:lang w:val="en-ZA" w:eastAsia="en-ZA"/>
        </w:rPr>
        <w:t xml:space="preserve"> Stakeholder Engagement Perspectives</w:t>
      </w:r>
      <w:bookmarkEnd w:id="23"/>
    </w:p>
    <w:p w14:paraId="171EAF2B" w14:textId="009C9228"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.6.1 </w:t>
      </w:r>
      <w:r w:rsidR="003B2777" w:rsidRPr="009B2F32">
        <w:rPr>
          <w:lang w:val="en-ZA" w:eastAsia="en-ZA"/>
        </w:rPr>
        <w:t>Industry Contributions Are Valuable but Risky</w:t>
      </w:r>
    </w:p>
    <w:p w14:paraId="4CC8A70B" w14:textId="0E300DFB" w:rsidR="003B2777" w:rsidRPr="003A51CD" w:rsidRDefault="003B2777" w:rsidP="002A54F0">
      <w:pPr>
        <w:pStyle w:val="IPPParagraphnumbering"/>
        <w:rPr>
          <w:lang w:eastAsia="en-ZA"/>
        </w:rPr>
      </w:pPr>
      <w:r w:rsidRPr="003A51CD">
        <w:rPr>
          <w:lang w:eastAsia="en-ZA"/>
        </w:rPr>
        <w:t>Australia warns of potential conflicts of interest when industry controls diagnostics (e.g., risk of withholding results).</w:t>
      </w:r>
      <w:r w:rsidR="00B21436" w:rsidRPr="003A51CD">
        <w:rPr>
          <w:lang w:eastAsia="en-ZA"/>
        </w:rPr>
        <w:t xml:space="preserve"> </w:t>
      </w:r>
      <w:r w:rsidRPr="003A51CD">
        <w:rPr>
          <w:lang w:eastAsia="en-ZA"/>
        </w:rPr>
        <w:t>Stakeholders support leveraging industry expertise (citrus boards, coconut board, etc.) but under NPPO oversight.</w:t>
      </w:r>
      <w:r w:rsidR="00B21436" w:rsidRPr="003A51CD">
        <w:rPr>
          <w:lang w:eastAsia="en-ZA"/>
        </w:rPr>
        <w:t xml:space="preserve"> </w:t>
      </w:r>
      <w:r w:rsidR="000B6756">
        <w:rPr>
          <w:lang w:eastAsia="en-ZA"/>
        </w:rPr>
        <w:t>CAHFSA</w:t>
      </w:r>
      <w:r w:rsidRPr="003A51CD">
        <w:rPr>
          <w:lang w:eastAsia="en-ZA"/>
        </w:rPr>
        <w:t xml:space="preserve"> focuses on recognizing local experts, even retired professionals, to expand available capacity.</w:t>
      </w:r>
    </w:p>
    <w:p w14:paraId="1C7A4168" w14:textId="3CA27C2B" w:rsidR="003B2777" w:rsidRPr="009B2F32" w:rsidRDefault="00F50295" w:rsidP="009B2F32">
      <w:pPr>
        <w:pStyle w:val="IPPHeading2"/>
        <w:rPr>
          <w:lang w:val="en-ZA" w:eastAsia="en-ZA"/>
        </w:rPr>
      </w:pPr>
      <w:bookmarkStart w:id="24" w:name="_Toc210831727"/>
      <w:r w:rsidRPr="009B2F32">
        <w:rPr>
          <w:lang w:val="en-ZA" w:eastAsia="en-ZA"/>
        </w:rPr>
        <w:t>1</w:t>
      </w:r>
      <w:r w:rsidR="00B41BC9" w:rsidRPr="009B2F32">
        <w:rPr>
          <w:lang w:val="en-ZA" w:eastAsia="en-ZA"/>
        </w:rPr>
        <w:t>2</w:t>
      </w:r>
      <w:r w:rsidRPr="009B2F32">
        <w:rPr>
          <w:lang w:val="en-ZA" w:eastAsia="en-ZA"/>
        </w:rPr>
        <w:t>.</w:t>
      </w:r>
      <w:r w:rsidR="003B2777" w:rsidRPr="009B2F32">
        <w:rPr>
          <w:lang w:val="en-ZA" w:eastAsia="en-ZA"/>
        </w:rPr>
        <w:t xml:space="preserve">7 Innovation </w:t>
      </w:r>
      <w:r w:rsidR="00B21436" w:rsidRPr="009B2F32">
        <w:rPr>
          <w:lang w:val="en-ZA" w:eastAsia="en-ZA"/>
        </w:rPr>
        <w:t>and</w:t>
      </w:r>
      <w:r w:rsidR="003B2777" w:rsidRPr="009B2F32">
        <w:rPr>
          <w:lang w:val="en-ZA" w:eastAsia="en-ZA"/>
        </w:rPr>
        <w:t xml:space="preserve"> Future-Readiness Perspectives</w:t>
      </w:r>
      <w:bookmarkEnd w:id="24"/>
    </w:p>
    <w:p w14:paraId="192BFF83" w14:textId="41D3BDDD"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.7.1 </w:t>
      </w:r>
      <w:r w:rsidR="003B2777" w:rsidRPr="009B2F32">
        <w:rPr>
          <w:lang w:val="en-ZA" w:eastAsia="en-ZA"/>
        </w:rPr>
        <w:t>Technology Adoption</w:t>
      </w:r>
    </w:p>
    <w:p w14:paraId="57C7DF38" w14:textId="6AEC6CD1" w:rsidR="003B2777" w:rsidRPr="003A51CD" w:rsidRDefault="003B2777" w:rsidP="002A54F0">
      <w:pPr>
        <w:pStyle w:val="IPPParagraphnumbering"/>
        <w:rPr>
          <w:lang w:eastAsia="en-ZA"/>
        </w:rPr>
      </w:pPr>
      <w:r w:rsidRPr="003A51CD">
        <w:rPr>
          <w:lang w:eastAsia="en-ZA"/>
        </w:rPr>
        <w:t>ICIPE provides sequencing, molecular diagnostics, and chemical ecology capacity</w:t>
      </w:r>
      <w:r w:rsidR="00A2646E">
        <w:rPr>
          <w:lang w:eastAsia="en-ZA"/>
        </w:rPr>
        <w:t>, s</w:t>
      </w:r>
      <w:r w:rsidRPr="003A51CD">
        <w:rPr>
          <w:lang w:eastAsia="en-ZA"/>
        </w:rPr>
        <w:t>howing the need to integrate modern tools (PCR, nanopore sequencing, metabarcoding).</w:t>
      </w:r>
      <w:r w:rsidR="00B21436" w:rsidRPr="003A51CD">
        <w:rPr>
          <w:lang w:eastAsia="en-ZA"/>
        </w:rPr>
        <w:t xml:space="preserve"> </w:t>
      </w:r>
      <w:r w:rsidRPr="003A51CD">
        <w:rPr>
          <w:lang w:eastAsia="en-ZA"/>
        </w:rPr>
        <w:t>Australia is investing in digital reference collections and bioinformatics platforms for outbreak tracking.</w:t>
      </w:r>
      <w:r w:rsidR="00B21436" w:rsidRPr="003A51CD">
        <w:rPr>
          <w:lang w:eastAsia="en-ZA"/>
        </w:rPr>
        <w:t xml:space="preserve"> </w:t>
      </w:r>
      <w:r w:rsidRPr="003A51CD">
        <w:rPr>
          <w:lang w:eastAsia="en-ZA"/>
        </w:rPr>
        <w:t>Stakeholders agree that harmonized SOPs and validation of new diagnostic tools are essential to maintain credibility.</w:t>
      </w:r>
      <w:r w:rsidR="008678F8">
        <w:rPr>
          <w:lang w:eastAsia="en-ZA"/>
        </w:rPr>
        <w:t xml:space="preserve"> according to Kenya, modern approaches such as sequencing and genomics are critical but remain inaccessible to many NPPOs due to costs and technical requirements. A regional Centre of Excellence model was suggested.</w:t>
      </w:r>
    </w:p>
    <w:p w14:paraId="7992AB93" w14:textId="107C18D6" w:rsidR="003B2777" w:rsidRPr="009B2F32" w:rsidRDefault="00F50295" w:rsidP="009B2F32">
      <w:pPr>
        <w:pStyle w:val="IPPHeading2"/>
        <w:rPr>
          <w:lang w:val="en-ZA" w:eastAsia="en-ZA"/>
        </w:rPr>
      </w:pPr>
      <w:bookmarkStart w:id="25" w:name="_Toc210831728"/>
      <w:r w:rsidRPr="009B2F32">
        <w:rPr>
          <w:lang w:val="en-ZA" w:eastAsia="en-ZA"/>
        </w:rPr>
        <w:t>1</w:t>
      </w:r>
      <w:r w:rsidR="00B41BC9" w:rsidRPr="009B2F32">
        <w:rPr>
          <w:lang w:val="en-ZA" w:eastAsia="en-ZA"/>
        </w:rPr>
        <w:t>2</w:t>
      </w:r>
      <w:r w:rsidR="000F2308" w:rsidRPr="009B2F32">
        <w:rPr>
          <w:lang w:val="en-ZA" w:eastAsia="en-ZA"/>
        </w:rPr>
        <w:t>.</w:t>
      </w:r>
      <w:r w:rsidR="003B2777" w:rsidRPr="009B2F32">
        <w:rPr>
          <w:lang w:val="en-ZA" w:eastAsia="en-ZA"/>
        </w:rPr>
        <w:t xml:space="preserve">8 Trade </w:t>
      </w:r>
      <w:r w:rsidR="00B21436" w:rsidRPr="009B2F32">
        <w:rPr>
          <w:lang w:val="en-ZA" w:eastAsia="en-ZA"/>
        </w:rPr>
        <w:t>and</w:t>
      </w:r>
      <w:r w:rsidR="003B2777" w:rsidRPr="009B2F32">
        <w:rPr>
          <w:lang w:val="en-ZA" w:eastAsia="en-ZA"/>
        </w:rPr>
        <w:t xml:space="preserve"> Economic Perspectives</w:t>
      </w:r>
      <w:bookmarkEnd w:id="25"/>
    </w:p>
    <w:p w14:paraId="0ACD18BF" w14:textId="5B5E9D5C" w:rsidR="003B2777" w:rsidRPr="009B2F32" w:rsidRDefault="00F50295" w:rsidP="009B2F32">
      <w:pPr>
        <w:pStyle w:val="IPPHeading3"/>
        <w:rPr>
          <w:lang w:val="en-ZA" w:eastAsia="en-ZA"/>
        </w:rPr>
      </w:pPr>
      <w:r w:rsidRPr="009B2F32">
        <w:rPr>
          <w:lang w:val="en-ZA" w:eastAsia="en-ZA"/>
        </w:rPr>
        <w:t>1</w:t>
      </w:r>
      <w:r w:rsidR="00B41BC9" w:rsidRPr="009B2F32">
        <w:rPr>
          <w:lang w:val="en-ZA" w:eastAsia="en-ZA"/>
        </w:rPr>
        <w:t>2</w:t>
      </w:r>
      <w:r w:rsidRPr="009B2F32">
        <w:rPr>
          <w:lang w:val="en-ZA" w:eastAsia="en-ZA"/>
        </w:rPr>
        <w:t xml:space="preserve">.8.1 </w:t>
      </w:r>
      <w:r w:rsidR="003B2777" w:rsidRPr="009B2F32">
        <w:rPr>
          <w:lang w:val="en-ZA" w:eastAsia="en-ZA"/>
        </w:rPr>
        <w:t>Diagnostics as a Trade Enabler</w:t>
      </w:r>
    </w:p>
    <w:p w14:paraId="56C2541A" w14:textId="2E5AA47B" w:rsidR="00F85421" w:rsidRPr="002A54F0" w:rsidRDefault="003B2777" w:rsidP="002A54F0">
      <w:pPr>
        <w:pStyle w:val="IPPParagraphnumbering"/>
        <w:rPr>
          <w:lang w:eastAsia="en-ZA"/>
        </w:rPr>
      </w:pPr>
      <w:r w:rsidRPr="003A51CD">
        <w:rPr>
          <w:lang w:eastAsia="en-ZA"/>
        </w:rPr>
        <w:t>COSAVE</w:t>
      </w:r>
      <w:r w:rsidR="008678F8">
        <w:rPr>
          <w:lang w:eastAsia="en-ZA"/>
        </w:rPr>
        <w:t>,</w:t>
      </w:r>
      <w:r w:rsidRPr="003A51CD">
        <w:rPr>
          <w:lang w:eastAsia="en-ZA"/>
        </w:rPr>
        <w:t xml:space="preserve"> CAN</w:t>
      </w:r>
      <w:r w:rsidR="008678F8">
        <w:rPr>
          <w:lang w:eastAsia="en-ZA"/>
        </w:rPr>
        <w:t xml:space="preserve"> and Kenya</w:t>
      </w:r>
      <w:r w:rsidRPr="003A51CD">
        <w:rPr>
          <w:lang w:eastAsia="en-ZA"/>
        </w:rPr>
        <w:t xml:space="preserve"> view strong diagnostics </w:t>
      </w:r>
      <w:proofErr w:type="gramStart"/>
      <w:r w:rsidRPr="003A51CD">
        <w:rPr>
          <w:lang w:eastAsia="en-ZA"/>
        </w:rPr>
        <w:t>as a way to</w:t>
      </w:r>
      <w:proofErr w:type="gramEnd"/>
      <w:r w:rsidRPr="003A51CD">
        <w:rPr>
          <w:lang w:eastAsia="en-ZA"/>
        </w:rPr>
        <w:t xml:space="preserve"> safeguard market access and reduce trade disruptions.</w:t>
      </w:r>
      <w:r w:rsidR="00B21436" w:rsidRPr="003A51CD">
        <w:rPr>
          <w:lang w:eastAsia="en-ZA"/>
        </w:rPr>
        <w:t xml:space="preserve"> </w:t>
      </w:r>
      <w:r w:rsidRPr="003A51CD">
        <w:rPr>
          <w:lang w:eastAsia="en-ZA"/>
        </w:rPr>
        <w:t>Early detection and harmonized protocols prevent costly outbreaks and facilitate faster re-opening of markets.</w:t>
      </w:r>
      <w:r w:rsidR="00B21436" w:rsidRPr="003A51CD">
        <w:rPr>
          <w:lang w:eastAsia="en-ZA"/>
        </w:rPr>
        <w:t xml:space="preserve"> </w:t>
      </w:r>
      <w:r w:rsidR="008678F8">
        <w:rPr>
          <w:lang w:eastAsia="en-ZA"/>
        </w:rPr>
        <w:t xml:space="preserve">The recommendation is to encourage bilateral and regional sharing of diagnostic protocols. </w:t>
      </w:r>
      <w:r w:rsidRPr="003A51CD">
        <w:rPr>
          <w:lang w:eastAsia="en-ZA"/>
        </w:rPr>
        <w:t>Economic impacts of biosecurity failures (Australia’s cucumber green mottle mosaic virus) highlight the return on investment from well-functioning networks.</w:t>
      </w:r>
    </w:p>
    <w:p w14:paraId="60AF4FE1" w14:textId="09488CD9" w:rsidR="0040369F" w:rsidRPr="00E15863" w:rsidRDefault="0040369F" w:rsidP="009B2F32">
      <w:pPr>
        <w:pStyle w:val="IPPHeading1"/>
      </w:pPr>
      <w:bookmarkStart w:id="26" w:name="_Toc210831729"/>
      <w:r w:rsidRPr="00E15863">
        <w:t>1</w:t>
      </w:r>
      <w:r w:rsidR="00BD2D59">
        <w:t>3</w:t>
      </w:r>
      <w:r w:rsidRPr="00E15863">
        <w:t>.</w:t>
      </w:r>
      <w:r w:rsidRPr="00E15863">
        <w:tab/>
      </w:r>
      <w:r w:rsidR="003819F9">
        <w:t xml:space="preserve">Conclusion and </w:t>
      </w:r>
      <w:r w:rsidRPr="00E15863">
        <w:t>Recommendations</w:t>
      </w:r>
      <w:bookmarkEnd w:id="26"/>
    </w:p>
    <w:p w14:paraId="42F66C99" w14:textId="158604CF" w:rsidR="00FA2A32" w:rsidRDefault="003819F9" w:rsidP="002A54F0">
      <w:pPr>
        <w:pStyle w:val="IPPParagraphnumbering"/>
        <w:rPr>
          <w:bCs/>
          <w:szCs w:val="22"/>
        </w:rPr>
      </w:pPr>
      <w:r>
        <w:t xml:space="preserve">The </w:t>
      </w:r>
      <w:r w:rsidR="00A64DA6">
        <w:t>establishment or</w:t>
      </w:r>
      <w:r>
        <w:t xml:space="preserve"> strengthening of any PHDN is vital and beneficial to any country or region in </w:t>
      </w:r>
      <w:r w:rsidR="00D60CE4">
        <w:t>safeguarding</w:t>
      </w:r>
      <w:r>
        <w:t xml:space="preserve"> its agricultural and natural resources against harmful pests and diseases and should be considered a strategic priority by every country and region. It is evident that NPPOs can </w:t>
      </w:r>
      <w:r w:rsidR="00A2646E">
        <w:t xml:space="preserve">no </w:t>
      </w:r>
      <w:r>
        <w:t>longer sustain the protection of agricultural and natural resources against the incursion of pests and requires the support of various stakeholders to collectively deliver on the NPPO’s mandate to ensure food security, biosecurity, trade facilitation and economic development. Countries and regions should move from developing policies and frameworks to being intentional in implementing actions to build PHDN.</w:t>
      </w:r>
      <w:r w:rsidR="00FA2A32">
        <w:t xml:space="preserve"> </w:t>
      </w:r>
      <w:r w:rsidRPr="003914C8">
        <w:rPr>
          <w:bCs/>
          <w:szCs w:val="22"/>
        </w:rPr>
        <w:lastRenderedPageBreak/>
        <w:t>PHDNs that are well established, coordinated</w:t>
      </w:r>
      <w:r>
        <w:rPr>
          <w:bCs/>
          <w:szCs w:val="22"/>
        </w:rPr>
        <w:t xml:space="preserve"> and</w:t>
      </w:r>
      <w:r w:rsidRPr="003914C8">
        <w:rPr>
          <w:bCs/>
          <w:szCs w:val="22"/>
        </w:rPr>
        <w:t xml:space="preserve"> working</w:t>
      </w:r>
      <w:r w:rsidR="00FA2A32">
        <w:rPr>
          <w:b/>
          <w:bCs/>
          <w:szCs w:val="22"/>
        </w:rPr>
        <w:t xml:space="preserve"> </w:t>
      </w:r>
      <w:r w:rsidRPr="003914C8">
        <w:rPr>
          <w:bCs/>
          <w:szCs w:val="22"/>
        </w:rPr>
        <w:t>are reaping the benefits of dealing with various pests and diseases</w:t>
      </w:r>
      <w:r w:rsidR="00A2646E">
        <w:rPr>
          <w:bCs/>
          <w:szCs w:val="22"/>
        </w:rPr>
        <w:t xml:space="preserve"> </w:t>
      </w:r>
      <w:proofErr w:type="gramStart"/>
      <w:r w:rsidR="00A2646E">
        <w:rPr>
          <w:bCs/>
          <w:szCs w:val="22"/>
        </w:rPr>
        <w:t>and it</w:t>
      </w:r>
      <w:proofErr w:type="gramEnd"/>
      <w:r w:rsidRPr="003914C8">
        <w:rPr>
          <w:bCs/>
          <w:szCs w:val="22"/>
        </w:rPr>
        <w:t xml:space="preserve"> should therefore </w:t>
      </w:r>
      <w:r w:rsidR="00D60CE4" w:rsidRPr="003914C8">
        <w:rPr>
          <w:bCs/>
          <w:szCs w:val="22"/>
        </w:rPr>
        <w:t>be</w:t>
      </w:r>
      <w:r w:rsidR="00A2646E">
        <w:rPr>
          <w:szCs w:val="22"/>
        </w:rPr>
        <w:t xml:space="preserve"> </w:t>
      </w:r>
      <w:r w:rsidR="00FA2A32" w:rsidRPr="00FA2A32">
        <w:rPr>
          <w:szCs w:val="22"/>
        </w:rPr>
        <w:t>implemented</w:t>
      </w:r>
      <w:r w:rsidR="00FA2A32">
        <w:rPr>
          <w:b/>
          <w:bCs/>
          <w:szCs w:val="22"/>
        </w:rPr>
        <w:t xml:space="preserve"> </w:t>
      </w:r>
      <w:r w:rsidRPr="003914C8">
        <w:rPr>
          <w:bCs/>
          <w:szCs w:val="22"/>
        </w:rPr>
        <w:t>a</w:t>
      </w:r>
      <w:r w:rsidR="00FA2A32">
        <w:rPr>
          <w:b/>
          <w:bCs/>
          <w:szCs w:val="22"/>
        </w:rPr>
        <w:t>s</w:t>
      </w:r>
      <w:r w:rsidRPr="003914C8">
        <w:rPr>
          <w:bCs/>
          <w:szCs w:val="22"/>
        </w:rPr>
        <w:t xml:space="preserve"> </w:t>
      </w:r>
      <w:r w:rsidR="00FA2A32" w:rsidRPr="00FA2A32">
        <w:rPr>
          <w:szCs w:val="22"/>
        </w:rPr>
        <w:t>a</w:t>
      </w:r>
      <w:r w:rsidR="00FA2A32">
        <w:rPr>
          <w:b/>
          <w:bCs/>
          <w:szCs w:val="22"/>
        </w:rPr>
        <w:t xml:space="preserve"> </w:t>
      </w:r>
      <w:r w:rsidRPr="003914C8">
        <w:rPr>
          <w:bCs/>
          <w:szCs w:val="22"/>
        </w:rPr>
        <w:t>global</w:t>
      </w:r>
      <w:r w:rsidR="00FA2A32">
        <w:rPr>
          <w:b/>
          <w:bCs/>
          <w:szCs w:val="22"/>
        </w:rPr>
        <w:t xml:space="preserve"> </w:t>
      </w:r>
      <w:r w:rsidRPr="003914C8">
        <w:rPr>
          <w:bCs/>
          <w:szCs w:val="22"/>
        </w:rPr>
        <w:t xml:space="preserve">system. </w:t>
      </w:r>
    </w:p>
    <w:p w14:paraId="78A26738" w14:textId="29CD2EEE" w:rsidR="003819F9" w:rsidRPr="003914C8" w:rsidRDefault="003819F9" w:rsidP="002A54F0">
      <w:pPr>
        <w:pStyle w:val="IPPParagraphnumbering"/>
        <w:rPr>
          <w:b/>
        </w:rPr>
      </w:pPr>
      <w:r>
        <w:t>Countries or regions should u</w:t>
      </w:r>
      <w:r w:rsidRPr="003914C8">
        <w:t>se PHDN model</w:t>
      </w:r>
      <w:r>
        <w:t>s</w:t>
      </w:r>
      <w:r w:rsidRPr="003914C8">
        <w:t xml:space="preserve"> of RPPOs that are well established and evaluate other Regions with no networks on state of readiness and implementation. </w:t>
      </w:r>
      <w:r w:rsidR="00A2646E">
        <w:t>Strong</w:t>
      </w:r>
      <w:r w:rsidRPr="003914C8">
        <w:t xml:space="preserve"> regional support</w:t>
      </w:r>
      <w:r w:rsidR="00BF2BE7">
        <w:t xml:space="preserve"> </w:t>
      </w:r>
      <w:r w:rsidR="00A2646E">
        <w:t xml:space="preserve">should be provided </w:t>
      </w:r>
      <w:r w:rsidR="00BF2BE7">
        <w:t>to the development of PHDNs</w:t>
      </w:r>
      <w:r w:rsidRPr="003914C8">
        <w:t xml:space="preserve">. </w:t>
      </w:r>
      <w:r w:rsidR="00BF2BE7">
        <w:t>F</w:t>
      </w:r>
      <w:r w:rsidRPr="003914C8">
        <w:t xml:space="preserve">ragmented resources </w:t>
      </w:r>
      <w:r w:rsidR="00BF2BE7">
        <w:t xml:space="preserve">should be leveraged to build a </w:t>
      </w:r>
      <w:r w:rsidRPr="003914C8">
        <w:t xml:space="preserve">PHDN </w:t>
      </w:r>
      <w:proofErr w:type="gramStart"/>
      <w:r w:rsidR="00BF2BE7">
        <w:t xml:space="preserve">and </w:t>
      </w:r>
      <w:r w:rsidRPr="003914C8">
        <w:t xml:space="preserve"> FAO</w:t>
      </w:r>
      <w:proofErr w:type="gramEnd"/>
      <w:r w:rsidRPr="003914C8">
        <w:t xml:space="preserve"> supported initiatives</w:t>
      </w:r>
      <w:r w:rsidR="00BF2BE7">
        <w:t xml:space="preserve"> as well as other organisations </w:t>
      </w:r>
      <w:r w:rsidR="00A2646E">
        <w:t xml:space="preserve">successes </w:t>
      </w:r>
      <w:proofErr w:type="gramStart"/>
      <w:r w:rsidR="00A2646E">
        <w:t>in the area of</w:t>
      </w:r>
      <w:proofErr w:type="gramEnd"/>
      <w:r w:rsidR="00A2646E">
        <w:t xml:space="preserve"> diagnostics and networks </w:t>
      </w:r>
      <w:r w:rsidR="00BF2BE7">
        <w:t>should be used for support</w:t>
      </w:r>
      <w:r w:rsidRPr="003914C8">
        <w:t>.</w:t>
      </w:r>
    </w:p>
    <w:p w14:paraId="095EC330" w14:textId="7E61F3FA" w:rsidR="003819F9" w:rsidRPr="00BC5016" w:rsidRDefault="003819F9" w:rsidP="002A54F0">
      <w:pPr>
        <w:pStyle w:val="IPPParagraphnumbering"/>
      </w:pPr>
      <w:r>
        <w:t xml:space="preserve">PHDN will </w:t>
      </w:r>
      <w:r w:rsidR="00D60CE4">
        <w:t>strengthen</w:t>
      </w:r>
      <w:r>
        <w:t xml:space="preserve"> a </w:t>
      </w:r>
      <w:proofErr w:type="gramStart"/>
      <w:r>
        <w:t>country’s</w:t>
      </w:r>
      <w:proofErr w:type="gramEnd"/>
      <w:r>
        <w:t xml:space="preserve"> or region’s diagnostic capabilities, enhance credibility of systems through quality assurance and accreditation, sustained funding, trust between trading partners in recognition of compliance systems that support safe trade of agricultural commodities.</w:t>
      </w:r>
    </w:p>
    <w:p w14:paraId="05A33450" w14:textId="094DD27C" w:rsidR="00414F39" w:rsidRDefault="00522E4D" w:rsidP="002A54F0">
      <w:pPr>
        <w:pStyle w:val="IPPParagraphnumbering"/>
        <w:rPr>
          <w:b/>
        </w:rPr>
      </w:pPr>
      <w:r>
        <w:t xml:space="preserve">From the reviewed literature, as well as interviews conducted with various </w:t>
      </w:r>
      <w:proofErr w:type="gramStart"/>
      <w:r>
        <w:t>stakeholders</w:t>
      </w:r>
      <w:proofErr w:type="gramEnd"/>
      <w:r>
        <w:t xml:space="preserve"> </w:t>
      </w:r>
      <w:r w:rsidR="00BF2BE7">
        <w:t>the following recommendations are made:</w:t>
      </w:r>
    </w:p>
    <w:p w14:paraId="0B74434B" w14:textId="7470D3CC" w:rsidR="00BF2BE7" w:rsidRDefault="00BF2BE7" w:rsidP="00BF2BE7">
      <w:pPr>
        <w:pStyle w:val="IPPNormal"/>
        <w:numPr>
          <w:ilvl w:val="0"/>
          <w:numId w:val="12"/>
        </w:numPr>
      </w:pPr>
      <w:r>
        <w:t>Assess the institutional capacity of a country or region and create good governance structures that will support the effective functioning of a PHDN. Develop assessment criteria,</w:t>
      </w:r>
    </w:p>
    <w:p w14:paraId="1344E7EF" w14:textId="277A2528" w:rsidR="00BF2BE7" w:rsidRDefault="00BF2BE7" w:rsidP="00BF2BE7">
      <w:pPr>
        <w:pStyle w:val="IPPNormal"/>
        <w:numPr>
          <w:ilvl w:val="0"/>
          <w:numId w:val="12"/>
        </w:numPr>
      </w:pPr>
      <w:r>
        <w:t>Assess the legal frameworks of NPPOs to determine if mandates are clear and that PHDN are legally covered under these legal instruments. Develop assessment criteria,</w:t>
      </w:r>
    </w:p>
    <w:p w14:paraId="09E0FED2" w14:textId="59F8E27B" w:rsidR="00BF2BE7" w:rsidRDefault="00BF2BE7" w:rsidP="00BF2BE7">
      <w:pPr>
        <w:pStyle w:val="IPPNormal"/>
        <w:numPr>
          <w:ilvl w:val="0"/>
          <w:numId w:val="12"/>
        </w:numPr>
      </w:pPr>
      <w:r>
        <w:t>Assess infrastructure requirement</w:t>
      </w:r>
      <w:r w:rsidR="003F0F2E">
        <w:t>s for plant diagnostic laboratories to operate using guidelines from IPPC and tools developed.</w:t>
      </w:r>
      <w:r w:rsidR="00213800">
        <w:t xml:space="preserve"> Proposals on the use of AI and new technologies should be advanced that streamlines diagnostic output,</w:t>
      </w:r>
    </w:p>
    <w:p w14:paraId="03D417D8" w14:textId="6539E4D4" w:rsidR="00BF2BE7" w:rsidRDefault="00BF2BE7" w:rsidP="00BF2BE7">
      <w:pPr>
        <w:pStyle w:val="IPPNormal"/>
        <w:numPr>
          <w:ilvl w:val="0"/>
          <w:numId w:val="12"/>
        </w:numPr>
      </w:pPr>
      <w:r>
        <w:t>Assess the capacities, competencies and expertise levels in terms of human resources in a country of region. Develop a database of expertise in specialised fields and where the experts reside within a country or region. Proper mapping can be performed (leverage inputs from the successes of established PHDNs),</w:t>
      </w:r>
    </w:p>
    <w:p w14:paraId="6DBEABCE" w14:textId="4845414C" w:rsidR="00BF2BE7" w:rsidRDefault="00BF2BE7" w:rsidP="00BF2BE7">
      <w:pPr>
        <w:pStyle w:val="IPPNormal"/>
        <w:numPr>
          <w:ilvl w:val="0"/>
          <w:numId w:val="12"/>
        </w:numPr>
      </w:pPr>
      <w:r>
        <w:t xml:space="preserve">Develop training programs for the professional development of diagnosticians. Mentorship programs to be supported by </w:t>
      </w:r>
      <w:proofErr w:type="spellStart"/>
      <w:r>
        <w:t>well established</w:t>
      </w:r>
      <w:proofErr w:type="spellEnd"/>
      <w:r>
        <w:t xml:space="preserve"> PHDNs (leverage successes from established PHDNs),</w:t>
      </w:r>
    </w:p>
    <w:p w14:paraId="6BE9AD57" w14:textId="6682DC56" w:rsidR="00BF2BE7" w:rsidRDefault="00BF2BE7" w:rsidP="00BF2BE7">
      <w:pPr>
        <w:pStyle w:val="IPPNormal"/>
        <w:numPr>
          <w:ilvl w:val="0"/>
          <w:numId w:val="12"/>
        </w:numPr>
      </w:pPr>
      <w:r>
        <w:t>Develop standardised diagnostic protocols amongst communities and regions on priority pests identified. Expertise from TPDP can be leveraged to assist.</w:t>
      </w:r>
    </w:p>
    <w:p w14:paraId="0B81AF58" w14:textId="7FC94BD4" w:rsidR="003F0F2E" w:rsidRDefault="003F0F2E" w:rsidP="00BF2BE7">
      <w:pPr>
        <w:pStyle w:val="IPPNormal"/>
        <w:numPr>
          <w:ilvl w:val="0"/>
          <w:numId w:val="12"/>
        </w:numPr>
      </w:pPr>
      <w:r>
        <w:t>Perform assessments and develop criteria for good data management systems and communications,</w:t>
      </w:r>
    </w:p>
    <w:p w14:paraId="251B9FF4" w14:textId="05721CE4" w:rsidR="003F0F2E" w:rsidRDefault="003F0F2E" w:rsidP="00BF2BE7">
      <w:pPr>
        <w:pStyle w:val="IPPNormal"/>
        <w:numPr>
          <w:ilvl w:val="0"/>
          <w:numId w:val="12"/>
        </w:numPr>
      </w:pPr>
      <w:r>
        <w:t>Develop criteria for operations of National Reference Laboratories to manage reference collections, to support diagnostic validations or disputes, support training initiatives</w:t>
      </w:r>
      <w:r w:rsidR="00213800">
        <w:t xml:space="preserve">, </w:t>
      </w:r>
      <w:r>
        <w:t>proficiency testing</w:t>
      </w:r>
      <w:r w:rsidR="00213800">
        <w:t xml:space="preserve">, </w:t>
      </w:r>
      <w:proofErr w:type="spellStart"/>
      <w:r w:rsidR="00213800">
        <w:t>peform</w:t>
      </w:r>
      <w:proofErr w:type="spellEnd"/>
      <w:r w:rsidR="00213800">
        <w:t xml:space="preserve"> complex diagnostic testing. Define criteria on how various laboratories will contribute to a PHDN,</w:t>
      </w:r>
    </w:p>
    <w:p w14:paraId="1E03C2BD" w14:textId="5E0FC19A" w:rsidR="00213800" w:rsidRDefault="00213800" w:rsidP="00BF2BE7">
      <w:pPr>
        <w:pStyle w:val="IPPNormal"/>
        <w:numPr>
          <w:ilvl w:val="0"/>
          <w:numId w:val="12"/>
        </w:numPr>
      </w:pPr>
      <w:r>
        <w:t xml:space="preserve">Develop criteria for integrating diagnostics with research </w:t>
      </w:r>
      <w:proofErr w:type="gramStart"/>
      <w:r>
        <w:t>in order to</w:t>
      </w:r>
      <w:proofErr w:type="gramEnd"/>
      <w:r>
        <w:t xml:space="preserve"> add value to the PHDNs. This will coordinate funding, reduce duplication of research and will accelerate the adoption of new methods for diagnostics,</w:t>
      </w:r>
    </w:p>
    <w:p w14:paraId="66C6E28D" w14:textId="175C4666" w:rsidR="003F0F2E" w:rsidRDefault="003F0F2E" w:rsidP="00BF2BE7">
      <w:pPr>
        <w:pStyle w:val="IPPNormal"/>
        <w:numPr>
          <w:ilvl w:val="0"/>
          <w:numId w:val="12"/>
        </w:numPr>
      </w:pPr>
      <w:r>
        <w:t>Develop promotional awareness programs on PHDNs</w:t>
      </w:r>
    </w:p>
    <w:p w14:paraId="572DDF3C" w14:textId="77777777" w:rsidR="003F0F2E" w:rsidRPr="003F0F2E" w:rsidRDefault="003F0F2E" w:rsidP="00BF2BE7">
      <w:pPr>
        <w:pStyle w:val="IPPNormal"/>
        <w:numPr>
          <w:ilvl w:val="0"/>
          <w:numId w:val="12"/>
        </w:numPr>
      </w:pPr>
      <w:r>
        <w:t>Develop funding models to ensure the development and establishment of PHDNs as well as ensuring its sustainability. Consider blended funding models.</w:t>
      </w:r>
      <w:r w:rsidRPr="003F0F2E">
        <w:rPr>
          <w:bCs/>
          <w:szCs w:val="22"/>
        </w:rPr>
        <w:t xml:space="preserve"> </w:t>
      </w:r>
    </w:p>
    <w:p w14:paraId="0448E94B" w14:textId="3405C627" w:rsidR="00BF2BE7" w:rsidRPr="00213800" w:rsidRDefault="003F0F2E" w:rsidP="00BF2BE7">
      <w:pPr>
        <w:pStyle w:val="IPPNormal"/>
        <w:numPr>
          <w:ilvl w:val="0"/>
          <w:numId w:val="12"/>
        </w:numPr>
      </w:pPr>
      <w:r>
        <w:rPr>
          <w:bCs/>
          <w:szCs w:val="22"/>
        </w:rPr>
        <w:t>The development of a specific ISPM for Plant Health Diagnostic Networking can be developed to provide a guideline to NPPOs or Regions for its successful establishment and sustainability.</w:t>
      </w:r>
    </w:p>
    <w:p w14:paraId="01FD691B" w14:textId="6A1A62A1" w:rsidR="00D35FF1" w:rsidRPr="00BF2BE7" w:rsidRDefault="00213800" w:rsidP="002A54F0">
      <w:pPr>
        <w:pStyle w:val="IPPParagraphnumbering"/>
      </w:pPr>
      <w:r>
        <w:t>Note: The recommendations made are by no means exhaustive</w:t>
      </w:r>
    </w:p>
    <w:p w14:paraId="70ABFFB6" w14:textId="78AFA0AC" w:rsidR="00481670" w:rsidRPr="00A64DA6" w:rsidRDefault="00414F39" w:rsidP="00481670">
      <w:pPr>
        <w:pStyle w:val="IPPParagraphnumbering"/>
        <w:rPr>
          <w:b/>
        </w:rPr>
      </w:pPr>
      <w:r>
        <w:lastRenderedPageBreak/>
        <w:t xml:space="preserve">The FAO IPPC support various initiatives that advance plant health and safe trade and it would be beneficial to use the systems, tools and guidelines already developed. </w:t>
      </w:r>
      <w:r w:rsidR="00234161" w:rsidRPr="003914C8">
        <w:t xml:space="preserve">The ISPMs and the TPDP provide a robust framework for enhancing plant health diagnostic networking. </w:t>
      </w:r>
      <w:r w:rsidR="009B15FB">
        <w:t xml:space="preserve">Key elements to the successful establishment of a PHDN have been identified in successfully established PHDNs and should be used by the focus group on PHDN to drive the ideal of establishing a network. </w:t>
      </w:r>
    </w:p>
    <w:p w14:paraId="00AF0D6A" w14:textId="77777777" w:rsidR="00A64DA6" w:rsidRDefault="00A64DA6">
      <w:pPr>
        <w:spacing w:after="160" w:line="259" w:lineRule="auto"/>
        <w:jc w:val="left"/>
        <w:rPr>
          <w:rFonts w:eastAsia="Times"/>
          <w:b/>
          <w:sz w:val="24"/>
          <w:szCs w:val="22"/>
        </w:rPr>
      </w:pPr>
      <w:r>
        <w:br w:type="page"/>
      </w:r>
    </w:p>
    <w:p w14:paraId="3D1DA21C" w14:textId="04B3CC3E" w:rsidR="0040369F" w:rsidRPr="00E15863" w:rsidRDefault="0040369F" w:rsidP="009B2F32">
      <w:pPr>
        <w:pStyle w:val="IPPHeading1"/>
      </w:pPr>
      <w:bookmarkStart w:id="27" w:name="_Toc210831730"/>
      <w:r w:rsidRPr="00E15863">
        <w:lastRenderedPageBreak/>
        <w:t>1</w:t>
      </w:r>
      <w:r w:rsidR="00BD2D59">
        <w:t>4</w:t>
      </w:r>
      <w:r w:rsidRPr="00E15863">
        <w:t>.</w:t>
      </w:r>
      <w:r w:rsidRPr="00E15863">
        <w:tab/>
        <w:t>References</w:t>
      </w:r>
      <w:bookmarkEnd w:id="27"/>
    </w:p>
    <w:p w14:paraId="2E4071F1" w14:textId="77777777" w:rsidR="00481670" w:rsidRPr="0021558D" w:rsidRDefault="00481670" w:rsidP="00EA7447">
      <w:pPr>
        <w:pStyle w:val="IPPReferences"/>
        <w:rPr>
          <w:lang w:eastAsia="en-ZA"/>
        </w:rPr>
      </w:pPr>
      <w:r w:rsidRPr="00481670">
        <w:rPr>
          <w:lang w:eastAsia="en-ZA"/>
        </w:rPr>
        <w:t xml:space="preserve">Adams, I. P., Fox, A., and </w:t>
      </w:r>
      <w:proofErr w:type="spellStart"/>
      <w:r w:rsidRPr="00481670">
        <w:rPr>
          <w:lang w:eastAsia="en-ZA"/>
        </w:rPr>
        <w:t>Boonham</w:t>
      </w:r>
      <w:proofErr w:type="spellEnd"/>
      <w:r w:rsidRPr="00481670">
        <w:rPr>
          <w:lang w:eastAsia="en-ZA"/>
        </w:rPr>
        <w:t xml:space="preserve">, N. (2023). High-throughput sequencing for plant virology diagnostics and its potential in plant health certification. </w:t>
      </w:r>
      <w:r w:rsidRPr="00481670">
        <w:rPr>
          <w:i/>
          <w:iCs/>
          <w:lang w:eastAsia="en-ZA"/>
        </w:rPr>
        <w:t>Phytopathology Research</w:t>
      </w:r>
      <w:r w:rsidRPr="00481670">
        <w:rPr>
          <w:lang w:eastAsia="en-ZA"/>
        </w:rPr>
        <w:t xml:space="preserve">, 5(1), 1–12. </w:t>
      </w:r>
      <w:hyperlink r:id="rId20" w:tgtFrame="_new" w:history="1">
        <w:r w:rsidRPr="0021558D">
          <w:rPr>
            <w:u w:val="single"/>
            <w:lang w:eastAsia="en-ZA"/>
          </w:rPr>
          <w:t>https://doi.org/10.1186/s42483-023-00199-5</w:t>
        </w:r>
      </w:hyperlink>
    </w:p>
    <w:p w14:paraId="795FF58D" w14:textId="77777777" w:rsidR="00481670" w:rsidRPr="00481670" w:rsidRDefault="00481670" w:rsidP="00EA7447">
      <w:pPr>
        <w:pStyle w:val="IPPReferences"/>
        <w:rPr>
          <w:lang w:eastAsia="en-ZA"/>
        </w:rPr>
      </w:pPr>
      <w:r w:rsidRPr="00481670">
        <w:rPr>
          <w:lang w:eastAsia="en-ZA"/>
        </w:rPr>
        <w:t xml:space="preserve">ASEAN. (2019). </w:t>
      </w:r>
      <w:r w:rsidRPr="00481670">
        <w:rPr>
          <w:i/>
          <w:iCs/>
          <w:lang w:eastAsia="en-ZA"/>
        </w:rPr>
        <w:t>ASEAN Regional Diagnostic Network: Enhancing pest diagnostic capability in Southeast Asia</w:t>
      </w:r>
      <w:r w:rsidRPr="00481670">
        <w:rPr>
          <w:lang w:eastAsia="en-ZA"/>
        </w:rPr>
        <w:t>. ASEAN Secretariat.</w:t>
      </w:r>
    </w:p>
    <w:p w14:paraId="715C1B9B" w14:textId="77777777" w:rsidR="00481670" w:rsidRPr="00481670" w:rsidRDefault="00481670" w:rsidP="00EA7447">
      <w:pPr>
        <w:pStyle w:val="IPPReferences"/>
        <w:rPr>
          <w:lang w:eastAsia="en-ZA"/>
        </w:rPr>
      </w:pPr>
      <w:r w:rsidRPr="00481670">
        <w:rPr>
          <w:lang w:eastAsia="en-ZA"/>
        </w:rPr>
        <w:t xml:space="preserve">AU-IAPSC. (2022). </w:t>
      </w:r>
      <w:r w:rsidRPr="00481670">
        <w:rPr>
          <w:i/>
          <w:iCs/>
          <w:lang w:eastAsia="en-ZA"/>
        </w:rPr>
        <w:t>African Union Inter-African Phytosanitary Council Annual Report 2022</w:t>
      </w:r>
      <w:r w:rsidRPr="00481670">
        <w:rPr>
          <w:lang w:eastAsia="en-ZA"/>
        </w:rPr>
        <w:t>. African Union.</w:t>
      </w:r>
    </w:p>
    <w:p w14:paraId="759BED09" w14:textId="77777777" w:rsidR="00481670" w:rsidRPr="0021558D" w:rsidRDefault="00481670" w:rsidP="00EA7447">
      <w:pPr>
        <w:pStyle w:val="IPPReferences"/>
        <w:rPr>
          <w:lang w:eastAsia="en-ZA"/>
        </w:rPr>
      </w:pPr>
      <w:r w:rsidRPr="00481670">
        <w:rPr>
          <w:lang w:eastAsia="en-ZA"/>
        </w:rPr>
        <w:t xml:space="preserve">Barham, E., Keatley, S., and Kenyon, D. (2016). The International Plant Sentinel Network: A global early warning system for invasive pests and pathogens. </w:t>
      </w:r>
      <w:r w:rsidRPr="00481670">
        <w:rPr>
          <w:i/>
          <w:iCs/>
          <w:lang w:eastAsia="en-ZA"/>
        </w:rPr>
        <w:t>Biodiversity and Conservation</w:t>
      </w:r>
      <w:r w:rsidRPr="00481670">
        <w:rPr>
          <w:lang w:eastAsia="en-ZA"/>
        </w:rPr>
        <w:t>, 25(12), 2353–2363</w:t>
      </w:r>
      <w:r w:rsidRPr="0021558D">
        <w:rPr>
          <w:lang w:eastAsia="en-ZA"/>
        </w:rPr>
        <w:t xml:space="preserve">. </w:t>
      </w:r>
      <w:hyperlink r:id="rId21" w:tgtFrame="_new" w:history="1">
        <w:r w:rsidRPr="0021558D">
          <w:rPr>
            <w:u w:val="single"/>
            <w:lang w:eastAsia="en-ZA"/>
          </w:rPr>
          <w:t>https://doi.org/10.1007/s10531-016-1185-5</w:t>
        </w:r>
      </w:hyperlink>
    </w:p>
    <w:p w14:paraId="79E1697A" w14:textId="77777777" w:rsidR="00481670" w:rsidRPr="00481670" w:rsidRDefault="00481670" w:rsidP="00EA7447">
      <w:pPr>
        <w:pStyle w:val="IPPReferences"/>
        <w:rPr>
          <w:lang w:eastAsia="en-ZA"/>
        </w:rPr>
      </w:pPr>
      <w:r w:rsidRPr="00481670">
        <w:rPr>
          <w:lang w:eastAsia="en-ZA"/>
        </w:rPr>
        <w:t xml:space="preserve">Barham, J., Day, R., and Kenyon, D. (2020). Strengthening plant health diagnostics: Lessons from regional networks. </w:t>
      </w:r>
      <w:r w:rsidRPr="00481670">
        <w:rPr>
          <w:i/>
          <w:iCs/>
          <w:lang w:eastAsia="en-ZA"/>
        </w:rPr>
        <w:t>Crop Protection</w:t>
      </w:r>
      <w:r w:rsidRPr="00481670">
        <w:rPr>
          <w:lang w:eastAsia="en-ZA"/>
        </w:rPr>
        <w:t>, 134, 105115. https://doi.org/10.1016/j.cropro.2020.105115</w:t>
      </w:r>
    </w:p>
    <w:p w14:paraId="57986D39" w14:textId="77777777" w:rsidR="00481670" w:rsidRPr="0021558D" w:rsidRDefault="00481670" w:rsidP="00EA7447">
      <w:pPr>
        <w:pStyle w:val="IPPReferences"/>
        <w:rPr>
          <w:lang w:eastAsia="en-ZA"/>
        </w:rPr>
      </w:pPr>
      <w:r w:rsidRPr="00481670">
        <w:rPr>
          <w:lang w:eastAsia="en-ZA"/>
        </w:rPr>
        <w:t xml:space="preserve">Basnet, B. R., Singh, S., Lopez-Vera, E. E., Huerta-Espino, J., Bhavani, S., Jin, Y., Rouse, M. N., and Singh, R. P. (2015). Molecular mapping and validation of SrND643: A new wheat gene for resistance to the stem rust pathogen Ug99 race group. </w:t>
      </w:r>
      <w:r w:rsidRPr="00481670">
        <w:rPr>
          <w:i/>
          <w:iCs/>
          <w:lang w:eastAsia="en-ZA"/>
        </w:rPr>
        <w:t>Phytopathology</w:t>
      </w:r>
      <w:r w:rsidRPr="00481670">
        <w:rPr>
          <w:lang w:eastAsia="en-ZA"/>
        </w:rPr>
        <w:t xml:space="preserve">, 105(3), 470–476. </w:t>
      </w:r>
      <w:hyperlink r:id="rId22" w:tgtFrame="_new" w:history="1">
        <w:r w:rsidRPr="0021558D">
          <w:rPr>
            <w:u w:val="single"/>
            <w:lang w:eastAsia="en-ZA"/>
          </w:rPr>
          <w:t>https://doi.org/10.1094/PHYTO-12-14-0343-R</w:t>
        </w:r>
      </w:hyperlink>
    </w:p>
    <w:p w14:paraId="0DA2FFF2" w14:textId="77777777" w:rsidR="00481670" w:rsidRPr="0021558D" w:rsidRDefault="00481670" w:rsidP="00EA7447">
      <w:pPr>
        <w:pStyle w:val="IPPReferences"/>
        <w:rPr>
          <w:lang w:eastAsia="en-ZA"/>
        </w:rPr>
      </w:pPr>
      <w:proofErr w:type="spellStart"/>
      <w:r w:rsidRPr="00481670">
        <w:rPr>
          <w:lang w:eastAsia="en-ZA"/>
        </w:rPr>
        <w:t>Bextine</w:t>
      </w:r>
      <w:proofErr w:type="spellEnd"/>
      <w:r w:rsidRPr="00481670">
        <w:rPr>
          <w:lang w:eastAsia="en-ZA"/>
        </w:rPr>
        <w:t xml:space="preserve">, B., Hodges, A., Wiggins, G., and Gould, J. (2014). The role of the National Plant Diagnostic Network in safeguarding plant health. </w:t>
      </w:r>
      <w:r w:rsidRPr="00481670">
        <w:rPr>
          <w:i/>
          <w:iCs/>
          <w:lang w:eastAsia="en-ZA"/>
        </w:rPr>
        <w:t>Plant Health Progress</w:t>
      </w:r>
      <w:r w:rsidRPr="00481670">
        <w:rPr>
          <w:lang w:eastAsia="en-ZA"/>
        </w:rPr>
        <w:t xml:space="preserve">, 15(2), 42–46. </w:t>
      </w:r>
      <w:hyperlink r:id="rId23" w:tgtFrame="_new" w:history="1">
        <w:r w:rsidRPr="0021558D">
          <w:rPr>
            <w:u w:val="single"/>
            <w:lang w:eastAsia="en-ZA"/>
          </w:rPr>
          <w:t>https://doi.org/10.1094/PHP-RV-13-0122</w:t>
        </w:r>
      </w:hyperlink>
    </w:p>
    <w:p w14:paraId="4141B165" w14:textId="77777777" w:rsidR="00481670" w:rsidRPr="0021558D" w:rsidRDefault="00481670" w:rsidP="00EA7447">
      <w:pPr>
        <w:pStyle w:val="IPPReferences"/>
        <w:rPr>
          <w:lang w:eastAsia="en-ZA"/>
        </w:rPr>
      </w:pPr>
      <w:proofErr w:type="spellStart"/>
      <w:r w:rsidRPr="00481670">
        <w:rPr>
          <w:lang w:eastAsia="en-ZA"/>
        </w:rPr>
        <w:t>Boonham</w:t>
      </w:r>
      <w:proofErr w:type="spellEnd"/>
      <w:r w:rsidRPr="00481670">
        <w:rPr>
          <w:lang w:eastAsia="en-ZA"/>
        </w:rPr>
        <w:t xml:space="preserve">, N., </w:t>
      </w:r>
      <w:proofErr w:type="spellStart"/>
      <w:r w:rsidRPr="00481670">
        <w:rPr>
          <w:lang w:eastAsia="en-ZA"/>
        </w:rPr>
        <w:t>Kreuze</w:t>
      </w:r>
      <w:proofErr w:type="spellEnd"/>
      <w:r w:rsidRPr="00481670">
        <w:rPr>
          <w:lang w:eastAsia="en-ZA"/>
        </w:rPr>
        <w:t xml:space="preserve">, J., Winter, S., van der </w:t>
      </w:r>
      <w:proofErr w:type="spellStart"/>
      <w:r w:rsidRPr="00481670">
        <w:rPr>
          <w:lang w:eastAsia="en-ZA"/>
        </w:rPr>
        <w:t>Vlugt</w:t>
      </w:r>
      <w:proofErr w:type="spellEnd"/>
      <w:r w:rsidRPr="00481670">
        <w:rPr>
          <w:lang w:eastAsia="en-ZA"/>
        </w:rPr>
        <w:t xml:space="preserve">, R., </w:t>
      </w:r>
      <w:proofErr w:type="spellStart"/>
      <w:r w:rsidRPr="00481670">
        <w:rPr>
          <w:lang w:eastAsia="en-ZA"/>
        </w:rPr>
        <w:t>Bergervoet</w:t>
      </w:r>
      <w:proofErr w:type="spellEnd"/>
      <w:r w:rsidRPr="00481670">
        <w:rPr>
          <w:lang w:eastAsia="en-ZA"/>
        </w:rPr>
        <w:t xml:space="preserve">, J., Tomlinson, J., and Mumford, R. (2021). Methods in plant virus diagnostics: From ELISA to next generation sequencing. </w:t>
      </w:r>
      <w:r w:rsidRPr="00481670">
        <w:rPr>
          <w:i/>
          <w:iCs/>
          <w:lang w:eastAsia="en-ZA"/>
        </w:rPr>
        <w:t>Virus Research</w:t>
      </w:r>
      <w:r w:rsidRPr="00481670">
        <w:rPr>
          <w:lang w:eastAsia="en-ZA"/>
        </w:rPr>
        <w:t>, 301, 198407</w:t>
      </w:r>
      <w:r w:rsidRPr="0021558D">
        <w:rPr>
          <w:lang w:eastAsia="en-ZA"/>
        </w:rPr>
        <w:t xml:space="preserve">. </w:t>
      </w:r>
      <w:hyperlink r:id="rId24" w:tgtFrame="_new" w:history="1">
        <w:r w:rsidRPr="0021558D">
          <w:rPr>
            <w:u w:val="single"/>
            <w:lang w:eastAsia="en-ZA"/>
          </w:rPr>
          <w:t>https://doi.org/10.1016/j.virusres.2021.198407</w:t>
        </w:r>
      </w:hyperlink>
    </w:p>
    <w:p w14:paraId="103F384D" w14:textId="77777777" w:rsidR="00481670" w:rsidRPr="0021558D" w:rsidRDefault="00481670" w:rsidP="00EA7447">
      <w:pPr>
        <w:pStyle w:val="IPPReferences"/>
        <w:rPr>
          <w:lang w:eastAsia="en-ZA"/>
        </w:rPr>
      </w:pPr>
      <w:r w:rsidRPr="00481670">
        <w:rPr>
          <w:lang w:eastAsia="en-ZA"/>
        </w:rPr>
        <w:t xml:space="preserve">Bostock, R. M., </w:t>
      </w:r>
      <w:proofErr w:type="spellStart"/>
      <w:r w:rsidRPr="00481670">
        <w:rPr>
          <w:lang w:eastAsia="en-ZA"/>
        </w:rPr>
        <w:t>Laemmlen</w:t>
      </w:r>
      <w:proofErr w:type="spellEnd"/>
      <w:r w:rsidRPr="00481670">
        <w:rPr>
          <w:lang w:eastAsia="en-ZA"/>
        </w:rPr>
        <w:t xml:space="preserve">, F., Farrar, J., and Thomas, C. (2014). The United States National Plant Diagnostic Network: An infrastructure for plant biosecurity. </w:t>
      </w:r>
      <w:r w:rsidRPr="00481670">
        <w:rPr>
          <w:i/>
          <w:iCs/>
          <w:lang w:eastAsia="en-ZA"/>
        </w:rPr>
        <w:t>Annual Review of Phytopathology</w:t>
      </w:r>
      <w:r w:rsidRPr="00481670">
        <w:rPr>
          <w:lang w:eastAsia="en-ZA"/>
        </w:rPr>
        <w:t xml:space="preserve">, 52, 17–35. </w:t>
      </w:r>
      <w:hyperlink r:id="rId25" w:tgtFrame="_new" w:history="1">
        <w:r w:rsidRPr="0021558D">
          <w:rPr>
            <w:u w:val="single"/>
            <w:lang w:eastAsia="en-ZA"/>
          </w:rPr>
          <w:t>https://doi.org/10.1146/annurev-phyto-102313-045920</w:t>
        </w:r>
      </w:hyperlink>
    </w:p>
    <w:p w14:paraId="645F95D2" w14:textId="77777777" w:rsidR="00481670" w:rsidRPr="0021558D" w:rsidRDefault="00481670" w:rsidP="00EA7447">
      <w:pPr>
        <w:pStyle w:val="IPPReferences"/>
        <w:rPr>
          <w:lang w:eastAsia="en-ZA"/>
        </w:rPr>
      </w:pPr>
      <w:r w:rsidRPr="00481670">
        <w:rPr>
          <w:lang w:eastAsia="en-ZA"/>
        </w:rPr>
        <w:t xml:space="preserve">Bosco, D., Da Costa, M., and Mori, N. (2019). The cost of </w:t>
      </w:r>
      <w:r w:rsidRPr="00481670">
        <w:rPr>
          <w:i/>
          <w:iCs/>
          <w:lang w:eastAsia="en-ZA"/>
        </w:rPr>
        <w:t>Xylella fastidiosa</w:t>
      </w:r>
      <w:r w:rsidRPr="00481670">
        <w:rPr>
          <w:lang w:eastAsia="en-ZA"/>
        </w:rPr>
        <w:t xml:space="preserve"> to European agriculture. </w:t>
      </w:r>
      <w:r w:rsidRPr="00481670">
        <w:rPr>
          <w:i/>
          <w:iCs/>
          <w:lang w:eastAsia="en-ZA"/>
        </w:rPr>
        <w:t>Journal of Plant Pathology</w:t>
      </w:r>
      <w:r w:rsidRPr="00481670">
        <w:rPr>
          <w:lang w:eastAsia="en-ZA"/>
        </w:rPr>
        <w:t xml:space="preserve">, 101(3), 635–648. </w:t>
      </w:r>
      <w:hyperlink r:id="rId26" w:tgtFrame="_new" w:history="1">
        <w:r w:rsidRPr="0021558D">
          <w:rPr>
            <w:u w:val="single"/>
            <w:lang w:eastAsia="en-ZA"/>
          </w:rPr>
          <w:t>https://doi.org/10.1007/s42161-019-00267-0</w:t>
        </w:r>
      </w:hyperlink>
    </w:p>
    <w:p w14:paraId="42038DCE" w14:textId="77777777" w:rsidR="00481670" w:rsidRPr="00481670" w:rsidRDefault="00481670" w:rsidP="00EA7447">
      <w:pPr>
        <w:pStyle w:val="IPPReferences"/>
        <w:rPr>
          <w:lang w:eastAsia="en-ZA"/>
        </w:rPr>
      </w:pPr>
      <w:r w:rsidRPr="00481670">
        <w:rPr>
          <w:lang w:eastAsia="en-ZA"/>
        </w:rPr>
        <w:t xml:space="preserve">CABI. (2020). </w:t>
      </w:r>
      <w:r w:rsidRPr="00481670">
        <w:rPr>
          <w:i/>
          <w:iCs/>
          <w:lang w:eastAsia="en-ZA"/>
        </w:rPr>
        <w:t>Plant health systems strengthening: Global overview and lessons learned</w:t>
      </w:r>
      <w:r w:rsidRPr="00481670">
        <w:rPr>
          <w:lang w:eastAsia="en-ZA"/>
        </w:rPr>
        <w:t>. Wallingford: CABI.</w:t>
      </w:r>
    </w:p>
    <w:p w14:paraId="1D63DC9F" w14:textId="77777777" w:rsidR="00481670" w:rsidRPr="0021558D" w:rsidRDefault="00481670" w:rsidP="00EA7447">
      <w:pPr>
        <w:pStyle w:val="IPPReferences"/>
        <w:rPr>
          <w:lang w:eastAsia="en-ZA"/>
        </w:rPr>
      </w:pPr>
      <w:r w:rsidRPr="00481670">
        <w:rPr>
          <w:lang w:eastAsia="en-ZA"/>
        </w:rPr>
        <w:t xml:space="preserve">CABI. (2021). </w:t>
      </w:r>
      <w:r w:rsidRPr="00481670">
        <w:rPr>
          <w:i/>
          <w:iCs/>
          <w:lang w:eastAsia="en-ZA"/>
        </w:rPr>
        <w:t>Global Plant Clinic</w:t>
      </w:r>
      <w:r w:rsidRPr="00481670">
        <w:rPr>
          <w:lang w:eastAsia="en-ZA"/>
        </w:rPr>
        <w:t xml:space="preserve">. </w:t>
      </w:r>
      <w:hyperlink r:id="rId27" w:tgtFrame="_new" w:history="1">
        <w:r w:rsidRPr="0021558D">
          <w:rPr>
            <w:u w:val="single"/>
            <w:lang w:eastAsia="en-ZA"/>
          </w:rPr>
          <w:t>https://www.cabi.org</w:t>
        </w:r>
      </w:hyperlink>
    </w:p>
    <w:p w14:paraId="1B138FDD" w14:textId="77777777" w:rsidR="00481670" w:rsidRPr="0021558D" w:rsidRDefault="00481670" w:rsidP="00EA7447">
      <w:pPr>
        <w:pStyle w:val="IPPReferences"/>
        <w:rPr>
          <w:lang w:eastAsia="en-ZA"/>
        </w:rPr>
      </w:pPr>
      <w:r w:rsidRPr="00481670">
        <w:rPr>
          <w:lang w:eastAsia="en-ZA"/>
        </w:rPr>
        <w:t xml:space="preserve">CABI. (2023). </w:t>
      </w:r>
      <w:r w:rsidRPr="00481670">
        <w:rPr>
          <w:i/>
          <w:iCs/>
          <w:lang w:eastAsia="en-ZA"/>
        </w:rPr>
        <w:t>PlantwisePlus: Helping farmers produce food more safely and sustainably</w:t>
      </w:r>
      <w:r w:rsidRPr="00481670">
        <w:rPr>
          <w:lang w:eastAsia="en-ZA"/>
        </w:rPr>
        <w:t xml:space="preserve">. </w:t>
      </w:r>
      <w:hyperlink r:id="rId28" w:tgtFrame="_new" w:history="1">
        <w:r w:rsidRPr="0021558D">
          <w:rPr>
            <w:u w:val="single"/>
            <w:lang w:eastAsia="en-ZA"/>
          </w:rPr>
          <w:t>https://www.cabi.org/plantwiseplus</w:t>
        </w:r>
      </w:hyperlink>
    </w:p>
    <w:p w14:paraId="2CC31301" w14:textId="77777777" w:rsidR="00481670" w:rsidRPr="00481670" w:rsidRDefault="00481670" w:rsidP="00EA7447">
      <w:pPr>
        <w:pStyle w:val="IPPReferences"/>
        <w:rPr>
          <w:lang w:eastAsia="en-ZA"/>
        </w:rPr>
      </w:pPr>
      <w:r w:rsidRPr="00481670">
        <w:rPr>
          <w:lang w:eastAsia="en-ZA"/>
        </w:rPr>
        <w:t xml:space="preserve">CGIAR Platform for Big Data in Agriculture. (2021). </w:t>
      </w:r>
      <w:r w:rsidRPr="00481670">
        <w:rPr>
          <w:i/>
          <w:iCs/>
          <w:lang w:eastAsia="en-ZA"/>
        </w:rPr>
        <w:t>Digital tools for plant disease surveillance and diagnostics</w:t>
      </w:r>
      <w:r w:rsidRPr="00481670">
        <w:rPr>
          <w:lang w:eastAsia="en-ZA"/>
        </w:rPr>
        <w:t>. CGIAR.</w:t>
      </w:r>
    </w:p>
    <w:p w14:paraId="52BCD13F" w14:textId="77777777" w:rsidR="00481670" w:rsidRPr="0021558D" w:rsidRDefault="00481670" w:rsidP="00EA7447">
      <w:pPr>
        <w:pStyle w:val="IPPReferences"/>
        <w:rPr>
          <w:lang w:eastAsia="en-ZA"/>
        </w:rPr>
      </w:pPr>
      <w:r w:rsidRPr="0021558D">
        <w:rPr>
          <w:lang w:eastAsia="en-ZA"/>
        </w:rPr>
        <w:t xml:space="preserve">Constable, F., Daly, A., and Freel, R. (2016). The role of Australia’s National Plant Biosecurity Diagnostic Network in supporting plant biosecurity and trade. </w:t>
      </w:r>
      <w:r w:rsidRPr="0021558D">
        <w:rPr>
          <w:i/>
          <w:iCs/>
          <w:lang w:eastAsia="en-ZA"/>
        </w:rPr>
        <w:t>Australasian Plant Pathology</w:t>
      </w:r>
      <w:r w:rsidRPr="0021558D">
        <w:rPr>
          <w:lang w:eastAsia="en-ZA"/>
        </w:rPr>
        <w:t xml:space="preserve">, 45(5), 479–489. </w:t>
      </w:r>
      <w:hyperlink r:id="rId29" w:tgtFrame="_new" w:history="1">
        <w:r w:rsidRPr="0021558D">
          <w:rPr>
            <w:u w:val="single"/>
            <w:lang w:eastAsia="en-ZA"/>
          </w:rPr>
          <w:t>https://doi.org/10.1007/s13313-016-0438-1</w:t>
        </w:r>
      </w:hyperlink>
    </w:p>
    <w:p w14:paraId="100C46BE" w14:textId="77777777" w:rsidR="00481670" w:rsidRPr="0021558D" w:rsidRDefault="00481670" w:rsidP="00EA7447">
      <w:pPr>
        <w:pStyle w:val="IPPReferences"/>
        <w:rPr>
          <w:lang w:eastAsia="en-ZA"/>
        </w:rPr>
      </w:pPr>
      <w:r w:rsidRPr="0021558D">
        <w:rPr>
          <w:lang w:eastAsia="en-ZA"/>
        </w:rPr>
        <w:t xml:space="preserve">DAFF. (2014). </w:t>
      </w:r>
      <w:r w:rsidRPr="0021558D">
        <w:rPr>
          <w:i/>
          <w:iCs/>
          <w:lang w:eastAsia="en-ZA"/>
        </w:rPr>
        <w:t>South African Plant Health Act</w:t>
      </w:r>
      <w:r w:rsidRPr="0021558D">
        <w:rPr>
          <w:lang w:eastAsia="en-ZA"/>
        </w:rPr>
        <w:t>. Pretoria: Department of Agriculture, Forestry and Fisheries.</w:t>
      </w:r>
    </w:p>
    <w:p w14:paraId="42029435" w14:textId="77777777" w:rsidR="00481670" w:rsidRPr="0021558D" w:rsidRDefault="00481670" w:rsidP="00EA7447">
      <w:pPr>
        <w:pStyle w:val="IPPReferences"/>
        <w:rPr>
          <w:lang w:eastAsia="en-ZA"/>
        </w:rPr>
      </w:pPr>
      <w:r w:rsidRPr="0021558D">
        <w:rPr>
          <w:lang w:eastAsia="en-ZA"/>
        </w:rPr>
        <w:t xml:space="preserve">Danielsen, S., and Matsiko, F. (2016). Using a plant health system framework to assess plant clinic performance in Uganda. </w:t>
      </w:r>
      <w:r w:rsidRPr="0021558D">
        <w:rPr>
          <w:i/>
          <w:iCs/>
          <w:lang w:eastAsia="en-ZA"/>
        </w:rPr>
        <w:t>Food Security</w:t>
      </w:r>
      <w:r w:rsidRPr="0021558D">
        <w:rPr>
          <w:lang w:eastAsia="en-ZA"/>
        </w:rPr>
        <w:t xml:space="preserve">, 8(2), 345–357. </w:t>
      </w:r>
      <w:hyperlink r:id="rId30" w:tgtFrame="_new" w:history="1">
        <w:r w:rsidRPr="0021558D">
          <w:rPr>
            <w:u w:val="single"/>
            <w:lang w:eastAsia="en-ZA"/>
          </w:rPr>
          <w:t>https://doi.org/10.1007/s12571-016-0557-6</w:t>
        </w:r>
      </w:hyperlink>
    </w:p>
    <w:p w14:paraId="77FC7D08" w14:textId="77777777" w:rsidR="00481670" w:rsidRPr="0021558D" w:rsidRDefault="00481670" w:rsidP="00EA7447">
      <w:pPr>
        <w:pStyle w:val="IPPReferences"/>
        <w:rPr>
          <w:lang w:eastAsia="en-ZA"/>
        </w:rPr>
      </w:pPr>
      <w:r w:rsidRPr="0021558D">
        <w:rPr>
          <w:lang w:eastAsia="en-ZA"/>
        </w:rPr>
        <w:t xml:space="preserve">EPPO. (2019). </w:t>
      </w:r>
      <w:r w:rsidRPr="0021558D">
        <w:rPr>
          <w:i/>
          <w:iCs/>
          <w:lang w:eastAsia="en-ZA"/>
        </w:rPr>
        <w:t>EPPO diagnostic standards</w:t>
      </w:r>
      <w:r w:rsidRPr="0021558D">
        <w:rPr>
          <w:lang w:eastAsia="en-ZA"/>
        </w:rPr>
        <w:t>. Paris: European and Mediterranean Plant Protection Organization.</w:t>
      </w:r>
    </w:p>
    <w:p w14:paraId="2C559C8F" w14:textId="77777777" w:rsidR="00481670" w:rsidRPr="0021558D" w:rsidRDefault="00481670" w:rsidP="00EA7447">
      <w:pPr>
        <w:pStyle w:val="IPPReferences"/>
        <w:rPr>
          <w:lang w:eastAsia="en-ZA"/>
        </w:rPr>
      </w:pPr>
      <w:r w:rsidRPr="0021558D">
        <w:rPr>
          <w:lang w:eastAsia="en-ZA"/>
        </w:rPr>
        <w:t xml:space="preserve">EPPO. (2020). </w:t>
      </w:r>
      <w:r w:rsidRPr="0021558D">
        <w:rPr>
          <w:i/>
          <w:iCs/>
          <w:lang w:eastAsia="en-ZA"/>
        </w:rPr>
        <w:t>EPPO diagnostic protocols for regulated pests</w:t>
      </w:r>
      <w:r w:rsidRPr="0021558D">
        <w:rPr>
          <w:lang w:eastAsia="en-ZA"/>
        </w:rPr>
        <w:t>. Paris: European and Mediterranean Plant Protection Organization.</w:t>
      </w:r>
    </w:p>
    <w:p w14:paraId="6B63EF24" w14:textId="77777777" w:rsidR="00481670" w:rsidRPr="0021558D" w:rsidRDefault="00481670" w:rsidP="00EA7447">
      <w:pPr>
        <w:pStyle w:val="IPPReferences"/>
        <w:rPr>
          <w:lang w:eastAsia="en-ZA"/>
        </w:rPr>
      </w:pPr>
      <w:r w:rsidRPr="0021558D">
        <w:rPr>
          <w:lang w:eastAsia="en-ZA"/>
        </w:rPr>
        <w:t xml:space="preserve">EPPO. (2021). </w:t>
      </w:r>
      <w:r w:rsidRPr="0021558D">
        <w:rPr>
          <w:i/>
          <w:iCs/>
          <w:lang w:eastAsia="en-ZA"/>
        </w:rPr>
        <w:t>EPPO diagnostic activities and standards (PM 7 series)</w:t>
      </w:r>
      <w:r w:rsidRPr="0021558D">
        <w:rPr>
          <w:lang w:eastAsia="en-ZA"/>
        </w:rPr>
        <w:t xml:space="preserve">. </w:t>
      </w:r>
      <w:hyperlink r:id="rId31" w:tgtFrame="_new" w:history="1">
        <w:r w:rsidRPr="0021558D">
          <w:rPr>
            <w:u w:val="single"/>
            <w:lang w:eastAsia="en-ZA"/>
          </w:rPr>
          <w:t>https://www.eppo.int</w:t>
        </w:r>
      </w:hyperlink>
    </w:p>
    <w:p w14:paraId="73DA2612" w14:textId="77777777" w:rsidR="00481670" w:rsidRPr="0021558D" w:rsidRDefault="00481670" w:rsidP="00EA7447">
      <w:pPr>
        <w:pStyle w:val="IPPReferences"/>
        <w:rPr>
          <w:lang w:eastAsia="en-ZA"/>
        </w:rPr>
      </w:pPr>
      <w:proofErr w:type="spellStart"/>
      <w:r w:rsidRPr="0021558D">
        <w:rPr>
          <w:lang w:eastAsia="en-ZA"/>
        </w:rPr>
        <w:t>Euphresco</w:t>
      </w:r>
      <w:proofErr w:type="spellEnd"/>
      <w:r w:rsidRPr="0021558D">
        <w:rPr>
          <w:lang w:eastAsia="en-ZA"/>
        </w:rPr>
        <w:t xml:space="preserve">. (2020). </w:t>
      </w:r>
      <w:proofErr w:type="spellStart"/>
      <w:r w:rsidRPr="0021558D">
        <w:rPr>
          <w:i/>
          <w:iCs/>
          <w:lang w:eastAsia="en-ZA"/>
        </w:rPr>
        <w:t>Euphresco</w:t>
      </w:r>
      <w:proofErr w:type="spellEnd"/>
      <w:r w:rsidRPr="0021558D">
        <w:rPr>
          <w:i/>
          <w:iCs/>
          <w:lang w:eastAsia="en-ZA"/>
        </w:rPr>
        <w:t xml:space="preserve"> network for phytosanitary research coordination and funding</w:t>
      </w:r>
      <w:r w:rsidRPr="0021558D">
        <w:rPr>
          <w:lang w:eastAsia="en-ZA"/>
        </w:rPr>
        <w:t>.</w:t>
      </w:r>
    </w:p>
    <w:p w14:paraId="12F37342" w14:textId="77777777" w:rsidR="00481670" w:rsidRPr="0021558D" w:rsidRDefault="00481670" w:rsidP="00EA7447">
      <w:pPr>
        <w:pStyle w:val="IPPReferences"/>
        <w:rPr>
          <w:lang w:eastAsia="en-ZA"/>
        </w:rPr>
      </w:pPr>
      <w:r w:rsidRPr="0021558D">
        <w:rPr>
          <w:lang w:eastAsia="en-ZA"/>
        </w:rPr>
        <w:lastRenderedPageBreak/>
        <w:t xml:space="preserve">FAO. (1997). </w:t>
      </w:r>
      <w:r w:rsidRPr="0021558D">
        <w:rPr>
          <w:i/>
          <w:iCs/>
          <w:lang w:eastAsia="en-ZA"/>
        </w:rPr>
        <w:t>International Plant Protection Convention</w:t>
      </w:r>
      <w:r w:rsidRPr="0021558D">
        <w:rPr>
          <w:lang w:eastAsia="en-ZA"/>
        </w:rPr>
        <w:t>. Rome: FAO.</w:t>
      </w:r>
    </w:p>
    <w:p w14:paraId="2099620D" w14:textId="77777777" w:rsidR="00481670" w:rsidRPr="0021558D" w:rsidRDefault="00481670" w:rsidP="00EA7447">
      <w:pPr>
        <w:pStyle w:val="IPPReferences"/>
        <w:rPr>
          <w:lang w:eastAsia="en-ZA"/>
        </w:rPr>
      </w:pPr>
      <w:r w:rsidRPr="0021558D">
        <w:rPr>
          <w:lang w:eastAsia="en-ZA"/>
        </w:rPr>
        <w:t xml:space="preserve">FAO. (2018). </w:t>
      </w:r>
      <w:r w:rsidRPr="0021558D">
        <w:rPr>
          <w:i/>
          <w:iCs/>
          <w:lang w:eastAsia="en-ZA"/>
        </w:rPr>
        <w:t>Strengthening diagnostic capacity for plant health</w:t>
      </w:r>
      <w:r w:rsidRPr="0021558D">
        <w:rPr>
          <w:lang w:eastAsia="en-ZA"/>
        </w:rPr>
        <w:t>. Rome: FAO.</w:t>
      </w:r>
    </w:p>
    <w:p w14:paraId="3753539B" w14:textId="77777777" w:rsidR="00481670" w:rsidRPr="0021558D" w:rsidRDefault="00481670" w:rsidP="00EA7447">
      <w:pPr>
        <w:pStyle w:val="IPPReferences"/>
        <w:rPr>
          <w:lang w:eastAsia="en-ZA"/>
        </w:rPr>
      </w:pPr>
      <w:r w:rsidRPr="0021558D">
        <w:rPr>
          <w:lang w:eastAsia="en-ZA"/>
        </w:rPr>
        <w:t xml:space="preserve">FAO. (2018a). </w:t>
      </w:r>
      <w:r w:rsidRPr="0021558D">
        <w:rPr>
          <w:i/>
          <w:iCs/>
          <w:lang w:eastAsia="en-ZA"/>
        </w:rPr>
        <w:t>ISPM 6: Guidelines for surveillance</w:t>
      </w:r>
      <w:r w:rsidRPr="0021558D">
        <w:rPr>
          <w:lang w:eastAsia="en-ZA"/>
        </w:rPr>
        <w:t xml:space="preserve">. Rome: FAO. </w:t>
      </w:r>
      <w:hyperlink r:id="rId32" w:tgtFrame="_new" w:history="1">
        <w:r w:rsidRPr="0021558D">
          <w:rPr>
            <w:u w:val="single"/>
            <w:lang w:eastAsia="en-ZA"/>
          </w:rPr>
          <w:t>https://www.ippc.int/publications/600/</w:t>
        </w:r>
      </w:hyperlink>
    </w:p>
    <w:p w14:paraId="12BB34B5" w14:textId="77777777" w:rsidR="00481670" w:rsidRPr="0021558D" w:rsidRDefault="00481670" w:rsidP="00EA7447">
      <w:pPr>
        <w:pStyle w:val="IPPReferences"/>
        <w:rPr>
          <w:lang w:eastAsia="en-ZA"/>
        </w:rPr>
      </w:pPr>
      <w:r w:rsidRPr="0021558D">
        <w:rPr>
          <w:lang w:eastAsia="en-ZA"/>
        </w:rPr>
        <w:t xml:space="preserve">FAO. (2018b). </w:t>
      </w:r>
      <w:r w:rsidRPr="0021558D">
        <w:rPr>
          <w:i/>
          <w:iCs/>
          <w:lang w:eastAsia="en-ZA"/>
        </w:rPr>
        <w:t>ISPM 2: Framework for pest risk analysis</w:t>
      </w:r>
      <w:r w:rsidRPr="0021558D">
        <w:rPr>
          <w:lang w:eastAsia="en-ZA"/>
        </w:rPr>
        <w:t xml:space="preserve">. Rome: FAO. </w:t>
      </w:r>
      <w:hyperlink r:id="rId33" w:tgtFrame="_new" w:history="1">
        <w:r w:rsidRPr="0021558D">
          <w:rPr>
            <w:u w:val="single"/>
            <w:lang w:eastAsia="en-ZA"/>
          </w:rPr>
          <w:t>https://www.ippc.int/publications/602/</w:t>
        </w:r>
      </w:hyperlink>
    </w:p>
    <w:p w14:paraId="32E1BD9A" w14:textId="77777777" w:rsidR="00481670" w:rsidRPr="0021558D" w:rsidRDefault="00481670" w:rsidP="00EA7447">
      <w:pPr>
        <w:pStyle w:val="IPPReferences"/>
        <w:rPr>
          <w:lang w:eastAsia="en-ZA"/>
        </w:rPr>
      </w:pPr>
      <w:r w:rsidRPr="0021558D">
        <w:rPr>
          <w:lang w:eastAsia="en-ZA"/>
        </w:rPr>
        <w:t xml:space="preserve">FAO. (2019). </w:t>
      </w:r>
      <w:r w:rsidRPr="0021558D">
        <w:rPr>
          <w:i/>
          <w:iCs/>
          <w:lang w:eastAsia="en-ZA"/>
        </w:rPr>
        <w:t>ISPM 5: Glossary of phytosanitary terms</w:t>
      </w:r>
      <w:r w:rsidRPr="0021558D">
        <w:rPr>
          <w:lang w:eastAsia="en-ZA"/>
        </w:rPr>
        <w:t xml:space="preserve">. Rome: FAO. </w:t>
      </w:r>
      <w:hyperlink r:id="rId34" w:tgtFrame="_new" w:history="1">
        <w:r w:rsidRPr="0021558D">
          <w:rPr>
            <w:u w:val="single"/>
            <w:lang w:eastAsia="en-ZA"/>
          </w:rPr>
          <w:t>https://www.ippc.int/publications/622/</w:t>
        </w:r>
      </w:hyperlink>
    </w:p>
    <w:p w14:paraId="1933791E" w14:textId="77777777" w:rsidR="00481670" w:rsidRPr="0021558D" w:rsidRDefault="00481670" w:rsidP="00EA7447">
      <w:pPr>
        <w:pStyle w:val="IPPReferences"/>
        <w:rPr>
          <w:lang w:eastAsia="en-ZA"/>
        </w:rPr>
      </w:pPr>
      <w:r w:rsidRPr="0021558D">
        <w:rPr>
          <w:lang w:eastAsia="en-ZA"/>
        </w:rPr>
        <w:t xml:space="preserve">FAO. (2019). </w:t>
      </w:r>
      <w:r w:rsidRPr="0021558D">
        <w:rPr>
          <w:i/>
          <w:iCs/>
          <w:lang w:eastAsia="en-ZA"/>
        </w:rPr>
        <w:t>IPPC guidelines on diagnostic laboratories and plant health networks</w:t>
      </w:r>
      <w:r w:rsidRPr="0021558D">
        <w:rPr>
          <w:lang w:eastAsia="en-ZA"/>
        </w:rPr>
        <w:t>. Rome: FAO.</w:t>
      </w:r>
    </w:p>
    <w:p w14:paraId="66BA21E7" w14:textId="77777777" w:rsidR="00481670" w:rsidRPr="0021558D" w:rsidRDefault="00481670" w:rsidP="00EA7447">
      <w:pPr>
        <w:pStyle w:val="IPPReferences"/>
        <w:rPr>
          <w:lang w:eastAsia="en-ZA"/>
        </w:rPr>
      </w:pPr>
      <w:r w:rsidRPr="0021558D">
        <w:rPr>
          <w:lang w:eastAsia="en-ZA"/>
        </w:rPr>
        <w:t xml:space="preserve">FAO. (2020). </w:t>
      </w:r>
      <w:r w:rsidRPr="0021558D">
        <w:rPr>
          <w:i/>
          <w:iCs/>
          <w:lang w:eastAsia="en-ZA"/>
        </w:rPr>
        <w:t>ISPM 27: Diagnostic protocols for regulated pests</w:t>
      </w:r>
      <w:r w:rsidRPr="0021558D">
        <w:rPr>
          <w:lang w:eastAsia="en-ZA"/>
        </w:rPr>
        <w:t xml:space="preserve">. Rome: FAO. </w:t>
      </w:r>
      <w:hyperlink r:id="rId35" w:tgtFrame="_new" w:history="1">
        <w:r w:rsidRPr="0021558D">
          <w:rPr>
            <w:u w:val="single"/>
            <w:lang w:eastAsia="en-ZA"/>
          </w:rPr>
          <w:t>https://www.ippc.int/publications/593/</w:t>
        </w:r>
      </w:hyperlink>
    </w:p>
    <w:p w14:paraId="0DB388FE" w14:textId="77777777" w:rsidR="00481670" w:rsidRPr="0021558D" w:rsidRDefault="00481670" w:rsidP="00EA7447">
      <w:pPr>
        <w:pStyle w:val="IPPReferences"/>
        <w:rPr>
          <w:lang w:eastAsia="en-ZA"/>
        </w:rPr>
      </w:pPr>
      <w:r w:rsidRPr="0021558D">
        <w:rPr>
          <w:lang w:eastAsia="en-ZA"/>
        </w:rPr>
        <w:t xml:space="preserve">FAO. (2020a). </w:t>
      </w:r>
      <w:r w:rsidRPr="0021558D">
        <w:rPr>
          <w:i/>
          <w:iCs/>
          <w:lang w:eastAsia="en-ZA"/>
        </w:rPr>
        <w:t>Guidelines for strengthening plant health diagnostic services</w:t>
      </w:r>
      <w:r w:rsidRPr="0021558D">
        <w:rPr>
          <w:lang w:eastAsia="en-ZA"/>
        </w:rPr>
        <w:t>. FAO Plant Production and Protection Paper No. 234. Rome: FAO.</w:t>
      </w:r>
    </w:p>
    <w:p w14:paraId="3B9B253B" w14:textId="77777777" w:rsidR="00481670" w:rsidRPr="0021558D" w:rsidRDefault="00481670" w:rsidP="00EA7447">
      <w:pPr>
        <w:pStyle w:val="IPPReferences"/>
        <w:rPr>
          <w:lang w:eastAsia="en-ZA"/>
        </w:rPr>
      </w:pPr>
      <w:r w:rsidRPr="0021558D">
        <w:rPr>
          <w:lang w:eastAsia="en-ZA"/>
        </w:rPr>
        <w:t xml:space="preserve">FAO. (2021). </w:t>
      </w:r>
      <w:r w:rsidRPr="0021558D">
        <w:rPr>
          <w:i/>
          <w:iCs/>
          <w:lang w:eastAsia="en-ZA"/>
        </w:rPr>
        <w:t>Second report on the state of the world’s plant genetic resources for food and agriculture</w:t>
      </w:r>
      <w:r w:rsidRPr="0021558D">
        <w:rPr>
          <w:lang w:eastAsia="en-ZA"/>
        </w:rPr>
        <w:t>. Rome: FAO.</w:t>
      </w:r>
    </w:p>
    <w:p w14:paraId="49F021AC" w14:textId="77777777" w:rsidR="00481670" w:rsidRPr="0021558D" w:rsidRDefault="00481670" w:rsidP="00EA7447">
      <w:pPr>
        <w:pStyle w:val="IPPReferences"/>
        <w:rPr>
          <w:lang w:eastAsia="en-ZA"/>
        </w:rPr>
      </w:pPr>
      <w:r w:rsidRPr="0021558D">
        <w:rPr>
          <w:lang w:eastAsia="en-ZA"/>
        </w:rPr>
        <w:t xml:space="preserve">FAO. (2021). </w:t>
      </w:r>
      <w:r w:rsidRPr="0021558D">
        <w:rPr>
          <w:i/>
          <w:iCs/>
          <w:lang w:eastAsia="en-ZA"/>
        </w:rPr>
        <w:t>Scientific review of the impact of climate change on plant pests: A global challenge to prevent and mitigate plant pest risks in agriculture, forestry and ecosystems</w:t>
      </w:r>
      <w:r w:rsidRPr="0021558D">
        <w:rPr>
          <w:lang w:eastAsia="en-ZA"/>
        </w:rPr>
        <w:t>. Rome: FAO.</w:t>
      </w:r>
    </w:p>
    <w:p w14:paraId="1C48AA23" w14:textId="77777777" w:rsidR="00481670" w:rsidRPr="0021558D" w:rsidRDefault="00481670" w:rsidP="00EA7447">
      <w:pPr>
        <w:pStyle w:val="IPPReferences"/>
        <w:rPr>
          <w:lang w:eastAsia="en-ZA"/>
        </w:rPr>
      </w:pPr>
      <w:r w:rsidRPr="0021558D">
        <w:rPr>
          <w:lang w:eastAsia="en-ZA"/>
        </w:rPr>
        <w:t xml:space="preserve">FAO. (2022). </w:t>
      </w:r>
      <w:r w:rsidRPr="0021558D">
        <w:rPr>
          <w:i/>
          <w:iCs/>
          <w:lang w:eastAsia="en-ZA"/>
        </w:rPr>
        <w:t>Global soil laboratory network (GLOSOLAN) annual report 2022</w:t>
      </w:r>
      <w:r w:rsidRPr="0021558D">
        <w:rPr>
          <w:lang w:eastAsia="en-ZA"/>
        </w:rPr>
        <w:t>. Rome: FAO.</w:t>
      </w:r>
    </w:p>
    <w:p w14:paraId="2AB3D4B6" w14:textId="77777777" w:rsidR="00481670" w:rsidRPr="0021558D" w:rsidRDefault="00481670" w:rsidP="00EA7447">
      <w:pPr>
        <w:pStyle w:val="IPPReferences"/>
        <w:rPr>
          <w:lang w:eastAsia="en-ZA"/>
        </w:rPr>
      </w:pPr>
      <w:r w:rsidRPr="0021558D">
        <w:rPr>
          <w:lang w:eastAsia="en-ZA"/>
        </w:rPr>
        <w:t xml:space="preserve">FAO/IAEA. (2020). </w:t>
      </w:r>
      <w:r w:rsidRPr="0021558D">
        <w:rPr>
          <w:i/>
          <w:iCs/>
          <w:lang w:eastAsia="en-ZA"/>
        </w:rPr>
        <w:t>Joint FAO/IAEA Programme annual report</w:t>
      </w:r>
      <w:r w:rsidRPr="0021558D">
        <w:rPr>
          <w:lang w:eastAsia="en-ZA"/>
        </w:rPr>
        <w:t>. Vienna: FAO/IAEA.</w:t>
      </w:r>
    </w:p>
    <w:p w14:paraId="4FF41558" w14:textId="77777777" w:rsidR="00481670" w:rsidRPr="0021558D" w:rsidRDefault="00481670" w:rsidP="00EA7447">
      <w:pPr>
        <w:pStyle w:val="IPPReferences"/>
        <w:rPr>
          <w:lang w:eastAsia="en-ZA"/>
        </w:rPr>
      </w:pPr>
      <w:r w:rsidRPr="0021558D">
        <w:rPr>
          <w:lang w:eastAsia="en-ZA"/>
        </w:rPr>
        <w:t xml:space="preserve">FAO/WHO. (2020). </w:t>
      </w:r>
      <w:r w:rsidRPr="0021558D">
        <w:rPr>
          <w:i/>
          <w:iCs/>
          <w:lang w:eastAsia="en-ZA"/>
        </w:rPr>
        <w:t>INFOSAN Activity Report 2018–2019</w:t>
      </w:r>
      <w:r w:rsidRPr="0021558D">
        <w:rPr>
          <w:lang w:eastAsia="en-ZA"/>
        </w:rPr>
        <w:t>. Geneva: FAO/WHO.</w:t>
      </w:r>
    </w:p>
    <w:p w14:paraId="61E3B8E4" w14:textId="77777777" w:rsidR="00481670" w:rsidRPr="0021558D" w:rsidRDefault="00481670" w:rsidP="00EA7447">
      <w:pPr>
        <w:pStyle w:val="IPPReferences"/>
        <w:rPr>
          <w:lang w:eastAsia="en-ZA"/>
        </w:rPr>
      </w:pPr>
      <w:r w:rsidRPr="0021558D">
        <w:rPr>
          <w:lang w:eastAsia="en-ZA"/>
        </w:rPr>
        <w:t xml:space="preserve">FAO/WHO. (2021). </w:t>
      </w:r>
      <w:r w:rsidRPr="0021558D">
        <w:rPr>
          <w:i/>
          <w:iCs/>
          <w:lang w:eastAsia="en-ZA"/>
        </w:rPr>
        <w:t>Codex Alimentarius Commission report</w:t>
      </w:r>
      <w:r w:rsidRPr="0021558D">
        <w:rPr>
          <w:lang w:eastAsia="en-ZA"/>
        </w:rPr>
        <w:t>. Rome/Geneva: FAO/WHO.</w:t>
      </w:r>
    </w:p>
    <w:p w14:paraId="7839008E" w14:textId="77777777" w:rsidR="00481670" w:rsidRPr="0021558D" w:rsidRDefault="00481670" w:rsidP="00EA7447">
      <w:pPr>
        <w:pStyle w:val="IPPReferences"/>
        <w:rPr>
          <w:lang w:eastAsia="en-ZA"/>
        </w:rPr>
      </w:pPr>
      <w:r w:rsidRPr="0021558D">
        <w:rPr>
          <w:lang w:eastAsia="en-ZA"/>
        </w:rPr>
        <w:t xml:space="preserve">FAO and WOAH. (2020). </w:t>
      </w:r>
      <w:r w:rsidRPr="0021558D">
        <w:rPr>
          <w:i/>
          <w:iCs/>
          <w:lang w:eastAsia="en-ZA"/>
        </w:rPr>
        <w:t>GF-TADs Strategy 2021–2030</w:t>
      </w:r>
      <w:r w:rsidRPr="0021558D">
        <w:rPr>
          <w:lang w:eastAsia="en-ZA"/>
        </w:rPr>
        <w:t>. FAO and WOAH.</w:t>
      </w:r>
    </w:p>
    <w:p w14:paraId="3DD73FD9" w14:textId="77777777" w:rsidR="00481670" w:rsidRPr="0021558D" w:rsidRDefault="00481670" w:rsidP="00EA7447">
      <w:pPr>
        <w:pStyle w:val="IPPReferences"/>
        <w:rPr>
          <w:lang w:eastAsia="en-ZA"/>
        </w:rPr>
      </w:pPr>
      <w:r w:rsidRPr="0021558D">
        <w:rPr>
          <w:lang w:eastAsia="en-ZA"/>
        </w:rPr>
        <w:t xml:space="preserve">Godoy, C. V., Seixas, C. D. S., Soares, R. M., Marcelino-Guimarães, F. C., Meyer, M. C., and </w:t>
      </w:r>
      <w:proofErr w:type="spellStart"/>
      <w:r w:rsidRPr="0021558D">
        <w:rPr>
          <w:lang w:eastAsia="en-ZA"/>
        </w:rPr>
        <w:t>Costamilan</w:t>
      </w:r>
      <w:proofErr w:type="spellEnd"/>
      <w:r w:rsidRPr="0021558D">
        <w:rPr>
          <w:lang w:eastAsia="en-ZA"/>
        </w:rPr>
        <w:t xml:space="preserve">, L. M. (2016). Asian soybean rust in Brazil: Past, present, and future. </w:t>
      </w:r>
      <w:r w:rsidRPr="0021558D">
        <w:rPr>
          <w:i/>
          <w:iCs/>
          <w:lang w:eastAsia="en-ZA"/>
        </w:rPr>
        <w:t xml:space="preserve">Pesquisa </w:t>
      </w:r>
      <w:proofErr w:type="spellStart"/>
      <w:r w:rsidRPr="0021558D">
        <w:rPr>
          <w:i/>
          <w:iCs/>
          <w:lang w:eastAsia="en-ZA"/>
        </w:rPr>
        <w:t>Agropecuária</w:t>
      </w:r>
      <w:proofErr w:type="spellEnd"/>
      <w:r w:rsidRPr="0021558D">
        <w:rPr>
          <w:i/>
          <w:iCs/>
          <w:lang w:eastAsia="en-ZA"/>
        </w:rPr>
        <w:t xml:space="preserve"> Brasileira</w:t>
      </w:r>
      <w:r w:rsidRPr="0021558D">
        <w:rPr>
          <w:lang w:eastAsia="en-ZA"/>
        </w:rPr>
        <w:t xml:space="preserve">, 51(4), 407–421. </w:t>
      </w:r>
      <w:hyperlink r:id="rId36" w:tgtFrame="_new" w:history="1">
        <w:r w:rsidRPr="0021558D">
          <w:rPr>
            <w:u w:val="single"/>
            <w:lang w:eastAsia="en-ZA"/>
          </w:rPr>
          <w:t>https://doi.org/10.1590/S0100-204X2016000400002</w:t>
        </w:r>
      </w:hyperlink>
    </w:p>
    <w:p w14:paraId="05B92FD8" w14:textId="77777777" w:rsidR="00481670" w:rsidRPr="0021558D" w:rsidRDefault="00481670" w:rsidP="00EA7447">
      <w:pPr>
        <w:pStyle w:val="IPPReferences"/>
        <w:rPr>
          <w:lang w:eastAsia="en-ZA"/>
        </w:rPr>
      </w:pPr>
      <w:r w:rsidRPr="0021558D">
        <w:rPr>
          <w:lang w:eastAsia="en-ZA"/>
        </w:rPr>
        <w:t xml:space="preserve">Harmon, C. L., Levy, L., and Mowrer, J. (2020). Emerging technologies for plant pathogen detection and diagnostics. </w:t>
      </w:r>
      <w:r w:rsidRPr="0021558D">
        <w:rPr>
          <w:i/>
          <w:iCs/>
          <w:lang w:eastAsia="en-ZA"/>
        </w:rPr>
        <w:t>Annual Review of Phytopathology</w:t>
      </w:r>
      <w:r w:rsidRPr="0021558D">
        <w:rPr>
          <w:lang w:eastAsia="en-ZA"/>
        </w:rPr>
        <w:t xml:space="preserve">, 58, 113–135. </w:t>
      </w:r>
      <w:hyperlink r:id="rId37" w:tgtFrame="_new" w:history="1">
        <w:r w:rsidRPr="0021558D">
          <w:rPr>
            <w:u w:val="single"/>
            <w:lang w:eastAsia="en-ZA"/>
          </w:rPr>
          <w:t>https://doi.org/10.1146/annurev-phyto-080417-045936</w:t>
        </w:r>
      </w:hyperlink>
    </w:p>
    <w:p w14:paraId="2C6D13F0" w14:textId="77777777" w:rsidR="00481670" w:rsidRPr="0021558D" w:rsidRDefault="00481670" w:rsidP="00EA7447">
      <w:pPr>
        <w:pStyle w:val="IPPReferences"/>
        <w:rPr>
          <w:lang w:eastAsia="en-ZA"/>
        </w:rPr>
      </w:pPr>
      <w:r w:rsidRPr="0021558D">
        <w:rPr>
          <w:lang w:eastAsia="en-ZA"/>
        </w:rPr>
        <w:t xml:space="preserve">Hay, A. J., and McCauley, J. W. (2018). The WHO global influenza surveillance and response system (GISRS)—A future perspective. </w:t>
      </w:r>
      <w:r w:rsidRPr="0021558D">
        <w:rPr>
          <w:i/>
          <w:iCs/>
          <w:lang w:eastAsia="en-ZA"/>
        </w:rPr>
        <w:t>Influenza and Other Respiratory Viruses</w:t>
      </w:r>
      <w:r w:rsidRPr="0021558D">
        <w:rPr>
          <w:lang w:eastAsia="en-ZA"/>
        </w:rPr>
        <w:t xml:space="preserve">, 12(5), 551–557. </w:t>
      </w:r>
      <w:hyperlink r:id="rId38" w:tgtFrame="_new" w:history="1">
        <w:r w:rsidRPr="0021558D">
          <w:rPr>
            <w:u w:val="single"/>
            <w:lang w:eastAsia="en-ZA"/>
          </w:rPr>
          <w:t>https://doi.org/10.1111/irv.12565</w:t>
        </w:r>
      </w:hyperlink>
    </w:p>
    <w:p w14:paraId="4DEB53B3" w14:textId="77777777" w:rsidR="00481670" w:rsidRPr="0021558D" w:rsidRDefault="00481670" w:rsidP="00EA7447">
      <w:pPr>
        <w:pStyle w:val="IPPReferences"/>
        <w:rPr>
          <w:lang w:eastAsia="en-ZA"/>
        </w:rPr>
      </w:pPr>
      <w:r w:rsidRPr="0021558D">
        <w:rPr>
          <w:lang w:eastAsia="en-ZA"/>
        </w:rPr>
        <w:t xml:space="preserve">International Plant Diagnostic Network (IPDN). (2023). </w:t>
      </w:r>
      <w:r w:rsidRPr="0021558D">
        <w:rPr>
          <w:i/>
          <w:iCs/>
          <w:lang w:eastAsia="en-ZA"/>
        </w:rPr>
        <w:t>International Plant Diagnostic Network annual summary</w:t>
      </w:r>
      <w:r w:rsidRPr="0021558D">
        <w:rPr>
          <w:lang w:eastAsia="en-ZA"/>
        </w:rPr>
        <w:t>. Purdue University.</w:t>
      </w:r>
    </w:p>
    <w:p w14:paraId="57F6E673" w14:textId="77777777" w:rsidR="00481670" w:rsidRPr="0021558D" w:rsidRDefault="00481670" w:rsidP="00EA7447">
      <w:pPr>
        <w:pStyle w:val="IPPReferences"/>
        <w:rPr>
          <w:lang w:eastAsia="en-ZA"/>
        </w:rPr>
      </w:pPr>
      <w:r w:rsidRPr="0021558D">
        <w:rPr>
          <w:lang w:eastAsia="en-ZA"/>
        </w:rPr>
        <w:t xml:space="preserve">International Plant Protection Convention (IPPC). (2021). </w:t>
      </w:r>
      <w:r w:rsidRPr="0021558D">
        <w:rPr>
          <w:i/>
          <w:iCs/>
          <w:lang w:eastAsia="en-ZA"/>
        </w:rPr>
        <w:t>International standards for phytosanitary measures (ISPMs)</w:t>
      </w:r>
      <w:r w:rsidRPr="0021558D">
        <w:rPr>
          <w:lang w:eastAsia="en-ZA"/>
        </w:rPr>
        <w:t>. Rome: FAO.</w:t>
      </w:r>
    </w:p>
    <w:p w14:paraId="35F39D40" w14:textId="77777777" w:rsidR="00481670" w:rsidRPr="0021558D" w:rsidRDefault="00481670" w:rsidP="00EA7447">
      <w:pPr>
        <w:pStyle w:val="IPPReferences"/>
        <w:rPr>
          <w:lang w:eastAsia="en-ZA"/>
        </w:rPr>
      </w:pPr>
      <w:r w:rsidRPr="0021558D">
        <w:rPr>
          <w:lang w:eastAsia="en-ZA"/>
        </w:rPr>
        <w:t xml:space="preserve">IPPC Secretariat. (2021). </w:t>
      </w:r>
      <w:r w:rsidRPr="0021558D">
        <w:rPr>
          <w:i/>
          <w:iCs/>
          <w:lang w:eastAsia="en-ZA"/>
        </w:rPr>
        <w:t>IPPC annual report 2020</w:t>
      </w:r>
      <w:r w:rsidRPr="0021558D">
        <w:rPr>
          <w:lang w:eastAsia="en-ZA"/>
        </w:rPr>
        <w:t>. Rome: FAO.</w:t>
      </w:r>
    </w:p>
    <w:p w14:paraId="5DE46110" w14:textId="77777777" w:rsidR="00481670" w:rsidRPr="0021558D" w:rsidRDefault="00481670" w:rsidP="00EA7447">
      <w:pPr>
        <w:pStyle w:val="IPPReferences"/>
        <w:rPr>
          <w:lang w:eastAsia="en-ZA"/>
        </w:rPr>
      </w:pPr>
      <w:r w:rsidRPr="0021558D">
        <w:rPr>
          <w:lang w:eastAsia="en-ZA"/>
        </w:rPr>
        <w:t xml:space="preserve">IPPC. (2023). </w:t>
      </w:r>
      <w:r w:rsidRPr="0021558D">
        <w:rPr>
          <w:i/>
          <w:iCs/>
          <w:lang w:eastAsia="en-ZA"/>
        </w:rPr>
        <w:t>Call for experts for the CPM focus group on diagnostic laboratory networking</w:t>
      </w:r>
      <w:r w:rsidRPr="0021558D">
        <w:rPr>
          <w:lang w:eastAsia="en-ZA"/>
        </w:rPr>
        <w:t xml:space="preserve">. </w:t>
      </w:r>
      <w:hyperlink r:id="rId39" w:tgtFrame="_new" w:history="1">
        <w:r w:rsidRPr="0021558D">
          <w:rPr>
            <w:u w:val="single"/>
            <w:lang w:eastAsia="en-ZA"/>
          </w:rPr>
          <w:t>https://www.ippc.int</w:t>
        </w:r>
      </w:hyperlink>
    </w:p>
    <w:p w14:paraId="1D6C8139" w14:textId="77777777" w:rsidR="00481670" w:rsidRPr="0021558D" w:rsidRDefault="00481670" w:rsidP="00EA7447">
      <w:pPr>
        <w:pStyle w:val="IPPReferences"/>
        <w:rPr>
          <w:lang w:eastAsia="en-ZA"/>
        </w:rPr>
      </w:pPr>
      <w:r w:rsidRPr="0021558D">
        <w:rPr>
          <w:lang w:eastAsia="en-ZA"/>
        </w:rPr>
        <w:t xml:space="preserve">Jones, D. R., </w:t>
      </w:r>
      <w:proofErr w:type="spellStart"/>
      <w:r w:rsidRPr="0021558D">
        <w:rPr>
          <w:lang w:eastAsia="en-ZA"/>
        </w:rPr>
        <w:t>Venbrux</w:t>
      </w:r>
      <w:proofErr w:type="spellEnd"/>
      <w:r w:rsidRPr="0021558D">
        <w:rPr>
          <w:lang w:eastAsia="en-ZA"/>
        </w:rPr>
        <w:t xml:space="preserve">, M., Crauwels, S., and </w:t>
      </w:r>
      <w:proofErr w:type="spellStart"/>
      <w:r w:rsidRPr="0021558D">
        <w:rPr>
          <w:lang w:eastAsia="en-ZA"/>
        </w:rPr>
        <w:t>Rediers</w:t>
      </w:r>
      <w:proofErr w:type="spellEnd"/>
      <w:r w:rsidRPr="0021558D">
        <w:rPr>
          <w:lang w:eastAsia="en-ZA"/>
        </w:rPr>
        <w:t xml:space="preserve">, H. (2022). Current and emerging trends in techniques for plant pathogen detection. </w:t>
      </w:r>
      <w:r w:rsidRPr="0021558D">
        <w:rPr>
          <w:i/>
          <w:iCs/>
          <w:lang w:eastAsia="en-ZA"/>
        </w:rPr>
        <w:t>Phytopathology Research</w:t>
      </w:r>
      <w:r w:rsidRPr="0021558D">
        <w:rPr>
          <w:lang w:eastAsia="en-ZA"/>
        </w:rPr>
        <w:t xml:space="preserve">, 4(1), 1–15. </w:t>
      </w:r>
      <w:hyperlink r:id="rId40" w:tgtFrame="_new" w:history="1">
        <w:r w:rsidRPr="0021558D">
          <w:rPr>
            <w:u w:val="single"/>
            <w:lang w:eastAsia="en-ZA"/>
          </w:rPr>
          <w:t>https://doi.org/10.3389/fpls.2023.1120968</w:t>
        </w:r>
      </w:hyperlink>
    </w:p>
    <w:p w14:paraId="66A63C73" w14:textId="77777777" w:rsidR="00481670" w:rsidRPr="0021558D" w:rsidRDefault="00481670" w:rsidP="00EA7447">
      <w:pPr>
        <w:pStyle w:val="IPPReferences"/>
        <w:rPr>
          <w:lang w:eastAsia="en-ZA"/>
        </w:rPr>
      </w:pPr>
      <w:r w:rsidRPr="0021558D">
        <w:rPr>
          <w:lang w:eastAsia="en-ZA"/>
        </w:rPr>
        <w:t xml:space="preserve">Lovett, S., O'Dwyer, C., and </w:t>
      </w:r>
      <w:proofErr w:type="spellStart"/>
      <w:r w:rsidRPr="0021558D">
        <w:rPr>
          <w:lang w:eastAsia="en-ZA"/>
        </w:rPr>
        <w:t>Kancans</w:t>
      </w:r>
      <w:proofErr w:type="spellEnd"/>
      <w:r w:rsidRPr="0021558D">
        <w:rPr>
          <w:lang w:eastAsia="en-ZA"/>
        </w:rPr>
        <w:t xml:space="preserve">, R. (2016). The economic benefits of early detection and rapid response to plant pests. </w:t>
      </w:r>
      <w:r w:rsidRPr="0021558D">
        <w:rPr>
          <w:i/>
          <w:iCs/>
          <w:lang w:eastAsia="en-ZA"/>
        </w:rPr>
        <w:t>Plant Biosecurity CRC</w:t>
      </w:r>
      <w:r w:rsidRPr="0021558D">
        <w:rPr>
          <w:lang w:eastAsia="en-ZA"/>
        </w:rPr>
        <w:t xml:space="preserve">. </w:t>
      </w:r>
      <w:hyperlink r:id="rId41" w:tgtFrame="_new" w:history="1">
        <w:r w:rsidRPr="0021558D">
          <w:rPr>
            <w:u w:val="single"/>
            <w:lang w:eastAsia="en-ZA"/>
          </w:rPr>
          <w:t>https://www.pbcrc.com.au/research/project/1033</w:t>
        </w:r>
      </w:hyperlink>
    </w:p>
    <w:p w14:paraId="1269F254" w14:textId="77777777" w:rsidR="00481670" w:rsidRPr="0021558D" w:rsidRDefault="00481670" w:rsidP="00EA7447">
      <w:pPr>
        <w:pStyle w:val="IPPReferences"/>
        <w:rPr>
          <w:lang w:eastAsia="en-ZA"/>
        </w:rPr>
      </w:pPr>
      <w:r w:rsidRPr="0021558D">
        <w:rPr>
          <w:lang w:eastAsia="en-ZA"/>
        </w:rPr>
        <w:t xml:space="preserve">Massart, S., Olmos, A., </w:t>
      </w:r>
      <w:proofErr w:type="spellStart"/>
      <w:r w:rsidRPr="0021558D">
        <w:rPr>
          <w:lang w:eastAsia="en-ZA"/>
        </w:rPr>
        <w:t>Jijakli</w:t>
      </w:r>
      <w:proofErr w:type="spellEnd"/>
      <w:r w:rsidRPr="0021558D">
        <w:rPr>
          <w:lang w:eastAsia="en-ZA"/>
        </w:rPr>
        <w:t xml:space="preserve">, H., and </w:t>
      </w:r>
      <w:proofErr w:type="spellStart"/>
      <w:r w:rsidRPr="0021558D">
        <w:rPr>
          <w:lang w:eastAsia="en-ZA"/>
        </w:rPr>
        <w:t>Candresse</w:t>
      </w:r>
      <w:proofErr w:type="spellEnd"/>
      <w:r w:rsidRPr="0021558D">
        <w:rPr>
          <w:lang w:eastAsia="en-ZA"/>
        </w:rPr>
        <w:t xml:space="preserve">, T. (2019). Strengths and weaknesses of high-throughput sequencing (HTS) technologies to detect plant pathogens and pests. </w:t>
      </w:r>
      <w:r w:rsidRPr="0021558D">
        <w:rPr>
          <w:i/>
          <w:iCs/>
          <w:lang w:eastAsia="en-ZA"/>
        </w:rPr>
        <w:t>EPPO Bulletin</w:t>
      </w:r>
      <w:r w:rsidRPr="0021558D">
        <w:rPr>
          <w:lang w:eastAsia="en-ZA"/>
        </w:rPr>
        <w:t xml:space="preserve">, 49(2), 144–152. </w:t>
      </w:r>
      <w:hyperlink r:id="rId42" w:tgtFrame="_new" w:history="1">
        <w:r w:rsidRPr="0021558D">
          <w:rPr>
            <w:u w:val="single"/>
            <w:lang w:eastAsia="en-ZA"/>
          </w:rPr>
          <w:t>https://doi.org/10.1111/epp.12512</w:t>
        </w:r>
      </w:hyperlink>
    </w:p>
    <w:p w14:paraId="05823F3C" w14:textId="77777777" w:rsidR="00481670" w:rsidRPr="0021558D" w:rsidRDefault="00481670" w:rsidP="00EA7447">
      <w:pPr>
        <w:pStyle w:val="IPPReferences"/>
        <w:rPr>
          <w:lang w:eastAsia="en-ZA"/>
        </w:rPr>
      </w:pPr>
      <w:r w:rsidRPr="0021558D">
        <w:rPr>
          <w:lang w:eastAsia="en-ZA"/>
        </w:rPr>
        <w:t xml:space="preserve">McCann, L. (2020). </w:t>
      </w:r>
      <w:r w:rsidRPr="0021558D">
        <w:rPr>
          <w:i/>
          <w:iCs/>
          <w:lang w:eastAsia="en-ZA"/>
        </w:rPr>
        <w:t>The economic rationale for investing in plant health surveillance</w:t>
      </w:r>
      <w:r w:rsidRPr="0021558D">
        <w:rPr>
          <w:lang w:eastAsia="en-ZA"/>
        </w:rPr>
        <w:t>. Canberra: Plant Health Australia.</w:t>
      </w:r>
    </w:p>
    <w:p w14:paraId="70C0958B" w14:textId="77777777" w:rsidR="00481670" w:rsidRPr="0021558D" w:rsidRDefault="00481670" w:rsidP="00EA7447">
      <w:pPr>
        <w:pStyle w:val="IPPReferences"/>
        <w:rPr>
          <w:lang w:eastAsia="en-ZA"/>
        </w:rPr>
      </w:pPr>
      <w:r w:rsidRPr="0021558D">
        <w:rPr>
          <w:lang w:eastAsia="en-ZA"/>
        </w:rPr>
        <w:lastRenderedPageBreak/>
        <w:t xml:space="preserve">McQuaid, C., Holden, J., and Day, R. (2021). Economic impact of plant health diagnostic networks in emerging economies. </w:t>
      </w:r>
      <w:r w:rsidRPr="0021558D">
        <w:rPr>
          <w:i/>
          <w:iCs/>
          <w:lang w:eastAsia="en-ZA"/>
        </w:rPr>
        <w:t>Agricultural Systems</w:t>
      </w:r>
      <w:r w:rsidRPr="0021558D">
        <w:rPr>
          <w:lang w:eastAsia="en-ZA"/>
        </w:rPr>
        <w:t>, 188, 103117. https://doi.org/10.1016/j.agsy.2020.103117</w:t>
      </w:r>
    </w:p>
    <w:p w14:paraId="2735F0E8" w14:textId="77777777" w:rsidR="00481670" w:rsidRPr="0021558D" w:rsidRDefault="00481670" w:rsidP="00EA7447">
      <w:pPr>
        <w:pStyle w:val="IPPReferences"/>
        <w:rPr>
          <w:lang w:eastAsia="en-ZA"/>
        </w:rPr>
      </w:pPr>
      <w:r w:rsidRPr="0021558D">
        <w:rPr>
          <w:lang w:eastAsia="en-ZA"/>
        </w:rPr>
        <w:t xml:space="preserve">McRoberts, N., </w:t>
      </w:r>
      <w:proofErr w:type="spellStart"/>
      <w:r w:rsidRPr="0021558D">
        <w:rPr>
          <w:lang w:eastAsia="en-ZA"/>
        </w:rPr>
        <w:t>Jeger</w:t>
      </w:r>
      <w:proofErr w:type="spellEnd"/>
      <w:r w:rsidRPr="0021558D">
        <w:rPr>
          <w:lang w:eastAsia="en-ZA"/>
        </w:rPr>
        <w:t xml:space="preserve">, M., and Pautasso, M. (2011). Plant health networks and capacity building: Challenges and strategies. </w:t>
      </w:r>
      <w:r w:rsidRPr="0021558D">
        <w:rPr>
          <w:i/>
          <w:iCs/>
          <w:lang w:eastAsia="en-ZA"/>
        </w:rPr>
        <w:t>Plant Pathology</w:t>
      </w:r>
      <w:r w:rsidRPr="0021558D">
        <w:rPr>
          <w:lang w:eastAsia="en-ZA"/>
        </w:rPr>
        <w:t>, 60(1), 1–14. https://doi.org/10.1111/j.1365-3059.2010.02366.x</w:t>
      </w:r>
    </w:p>
    <w:p w14:paraId="5B67AE0D" w14:textId="77777777" w:rsidR="00481670" w:rsidRPr="0021558D" w:rsidRDefault="00481670" w:rsidP="00EA7447">
      <w:pPr>
        <w:pStyle w:val="IPPReferences"/>
        <w:rPr>
          <w:lang w:eastAsia="en-ZA"/>
        </w:rPr>
      </w:pPr>
      <w:proofErr w:type="spellStart"/>
      <w:r w:rsidRPr="0021558D">
        <w:rPr>
          <w:lang w:eastAsia="en-ZA"/>
        </w:rPr>
        <w:t>Mehetre</w:t>
      </w:r>
      <w:proofErr w:type="spellEnd"/>
      <w:r w:rsidRPr="0021558D">
        <w:rPr>
          <w:lang w:eastAsia="en-ZA"/>
        </w:rPr>
        <w:t xml:space="preserve">, G. T., Leo, V. V., Singh, G., and Ghosh, D. K. (2021). Current developments and challenges in plant virus diagnostics: A critical review. </w:t>
      </w:r>
      <w:r w:rsidRPr="0021558D">
        <w:rPr>
          <w:i/>
          <w:iCs/>
          <w:lang w:eastAsia="en-ZA"/>
        </w:rPr>
        <w:t>Virology Journal</w:t>
      </w:r>
      <w:r w:rsidRPr="0021558D">
        <w:rPr>
          <w:lang w:eastAsia="en-ZA"/>
        </w:rPr>
        <w:t xml:space="preserve">, 18(1), 1–20. </w:t>
      </w:r>
      <w:hyperlink r:id="rId43" w:tgtFrame="_new" w:history="1">
        <w:r w:rsidRPr="0021558D">
          <w:rPr>
            <w:u w:val="single"/>
            <w:lang w:eastAsia="en-ZA"/>
          </w:rPr>
          <w:t>https://doi.org/10.1186/s12985-021-01523-1</w:t>
        </w:r>
      </w:hyperlink>
    </w:p>
    <w:p w14:paraId="338D0449" w14:textId="77777777" w:rsidR="00481670" w:rsidRPr="0021558D" w:rsidRDefault="00481670" w:rsidP="00EA7447">
      <w:pPr>
        <w:pStyle w:val="IPPReferences"/>
        <w:rPr>
          <w:lang w:eastAsia="en-ZA"/>
        </w:rPr>
      </w:pPr>
      <w:r w:rsidRPr="0021558D">
        <w:rPr>
          <w:lang w:eastAsia="en-ZA"/>
        </w:rPr>
        <w:t xml:space="preserve">Miller, S. A. (2009). Phytosanitary diagnostics: Meeting the needs of a globalized world. </w:t>
      </w:r>
      <w:r w:rsidRPr="0021558D">
        <w:rPr>
          <w:i/>
          <w:iCs/>
          <w:lang w:eastAsia="en-ZA"/>
        </w:rPr>
        <w:t>Annual Review of Phytopathology</w:t>
      </w:r>
      <w:r w:rsidRPr="0021558D">
        <w:rPr>
          <w:lang w:eastAsia="en-ZA"/>
        </w:rPr>
        <w:t xml:space="preserve">, 47, 15–38. </w:t>
      </w:r>
      <w:hyperlink r:id="rId44" w:tgtFrame="_new" w:history="1">
        <w:r w:rsidRPr="0021558D">
          <w:rPr>
            <w:u w:val="single"/>
            <w:lang w:eastAsia="en-ZA"/>
          </w:rPr>
          <w:t>https://doi.org/10.1146/annurev-phyto-080508-081729</w:t>
        </w:r>
      </w:hyperlink>
    </w:p>
    <w:p w14:paraId="43EA3D03" w14:textId="77777777" w:rsidR="00481670" w:rsidRPr="0021558D" w:rsidRDefault="00481670" w:rsidP="00EA7447">
      <w:pPr>
        <w:pStyle w:val="IPPReferences"/>
        <w:rPr>
          <w:lang w:eastAsia="en-ZA"/>
        </w:rPr>
      </w:pPr>
      <w:r w:rsidRPr="0021558D">
        <w:rPr>
          <w:lang w:eastAsia="en-ZA"/>
        </w:rPr>
        <w:t xml:space="preserve">Miller, S. A., Beed, F. D., and Harmon, C. L. (2009). Plant disease diagnostic capabilities and networks. </w:t>
      </w:r>
      <w:r w:rsidRPr="0021558D">
        <w:rPr>
          <w:i/>
          <w:iCs/>
          <w:lang w:eastAsia="en-ZA"/>
        </w:rPr>
        <w:t>Annual Review of Phytopathology</w:t>
      </w:r>
      <w:r w:rsidRPr="0021558D">
        <w:rPr>
          <w:lang w:eastAsia="en-ZA"/>
        </w:rPr>
        <w:t xml:space="preserve">, 47, 15–38. </w:t>
      </w:r>
      <w:hyperlink r:id="rId45" w:tgtFrame="_new" w:history="1">
        <w:r w:rsidRPr="0021558D">
          <w:rPr>
            <w:u w:val="single"/>
            <w:lang w:eastAsia="en-ZA"/>
          </w:rPr>
          <w:t>https://doi.org/10.1146/annurev-phyto-080508-081729</w:t>
        </w:r>
      </w:hyperlink>
    </w:p>
    <w:p w14:paraId="0C33636D" w14:textId="77777777" w:rsidR="00481670" w:rsidRPr="0021558D" w:rsidRDefault="00481670" w:rsidP="00EA7447">
      <w:pPr>
        <w:pStyle w:val="IPPReferences"/>
        <w:rPr>
          <w:lang w:eastAsia="en-ZA"/>
        </w:rPr>
      </w:pPr>
      <w:r w:rsidRPr="0021558D">
        <w:rPr>
          <w:lang w:eastAsia="en-ZA"/>
        </w:rPr>
        <w:t xml:space="preserve">Moussa, S., Mwangi, J., and Karanja, J. (2021). Economic impact of early detection of </w:t>
      </w:r>
      <w:r w:rsidRPr="0021558D">
        <w:rPr>
          <w:i/>
          <w:iCs/>
          <w:lang w:eastAsia="en-ZA"/>
        </w:rPr>
        <w:t xml:space="preserve">Tuta </w:t>
      </w:r>
      <w:proofErr w:type="spellStart"/>
      <w:r w:rsidRPr="0021558D">
        <w:rPr>
          <w:i/>
          <w:iCs/>
          <w:lang w:eastAsia="en-ZA"/>
        </w:rPr>
        <w:t>absoluta</w:t>
      </w:r>
      <w:proofErr w:type="spellEnd"/>
      <w:r w:rsidRPr="0021558D">
        <w:rPr>
          <w:lang w:eastAsia="en-ZA"/>
        </w:rPr>
        <w:t xml:space="preserve"> in Kenya. </w:t>
      </w:r>
      <w:r w:rsidRPr="0021558D">
        <w:rPr>
          <w:i/>
          <w:iCs/>
          <w:lang w:eastAsia="en-ZA"/>
        </w:rPr>
        <w:t>Crop Protection</w:t>
      </w:r>
      <w:r w:rsidRPr="0021558D">
        <w:rPr>
          <w:lang w:eastAsia="en-ZA"/>
        </w:rPr>
        <w:t xml:space="preserve">, 149, 105757. </w:t>
      </w:r>
      <w:hyperlink r:id="rId46" w:tgtFrame="_new" w:history="1">
        <w:r w:rsidRPr="0021558D">
          <w:rPr>
            <w:u w:val="single"/>
            <w:lang w:eastAsia="en-ZA"/>
          </w:rPr>
          <w:t>https://doi.org/10.1016/j.cropro.2021.105757</w:t>
        </w:r>
      </w:hyperlink>
    </w:p>
    <w:p w14:paraId="2A79FD14" w14:textId="77777777" w:rsidR="00481670" w:rsidRPr="0021558D" w:rsidRDefault="00481670" w:rsidP="00EA7447">
      <w:pPr>
        <w:pStyle w:val="IPPReferences"/>
        <w:rPr>
          <w:lang w:eastAsia="en-ZA"/>
        </w:rPr>
      </w:pPr>
      <w:r w:rsidRPr="0021558D">
        <w:rPr>
          <w:lang w:eastAsia="en-ZA"/>
        </w:rPr>
        <w:t xml:space="preserve">Mumford, J., Quinlan, M. M., and Leach, A. W. (2016). Data sharing in plant health: Assessing benefits, risks and feasibility. </w:t>
      </w:r>
      <w:r w:rsidRPr="0021558D">
        <w:rPr>
          <w:i/>
          <w:iCs/>
          <w:lang w:eastAsia="en-ZA"/>
        </w:rPr>
        <w:t>Food Security</w:t>
      </w:r>
      <w:r w:rsidRPr="0021558D">
        <w:rPr>
          <w:lang w:eastAsia="en-ZA"/>
        </w:rPr>
        <w:t xml:space="preserve">, 8(1), 89–103. </w:t>
      </w:r>
      <w:hyperlink r:id="rId47" w:tgtFrame="_new" w:history="1">
        <w:r w:rsidRPr="0021558D">
          <w:rPr>
            <w:u w:val="single"/>
            <w:lang w:eastAsia="en-ZA"/>
          </w:rPr>
          <w:t>https://doi.org/10.1007/s12571-015-0521-4</w:t>
        </w:r>
      </w:hyperlink>
    </w:p>
    <w:p w14:paraId="24EEAFC0" w14:textId="77777777" w:rsidR="00481670" w:rsidRPr="0021558D" w:rsidRDefault="00481670" w:rsidP="00EA7447">
      <w:pPr>
        <w:pStyle w:val="IPPReferences"/>
        <w:rPr>
          <w:lang w:eastAsia="en-ZA"/>
        </w:rPr>
      </w:pPr>
      <w:r w:rsidRPr="0021558D">
        <w:rPr>
          <w:lang w:eastAsia="en-ZA"/>
        </w:rPr>
        <w:t xml:space="preserve">National Plant Diagnostic Network (NPDN). (2023). </w:t>
      </w:r>
      <w:r w:rsidRPr="0021558D">
        <w:rPr>
          <w:i/>
          <w:iCs/>
          <w:lang w:eastAsia="en-ZA"/>
        </w:rPr>
        <w:t>About the National Plant Diagnostic Network</w:t>
      </w:r>
      <w:r w:rsidRPr="0021558D">
        <w:rPr>
          <w:lang w:eastAsia="en-ZA"/>
        </w:rPr>
        <w:t xml:space="preserve">. </w:t>
      </w:r>
      <w:hyperlink r:id="rId48" w:tgtFrame="_new" w:history="1">
        <w:r w:rsidRPr="0021558D">
          <w:rPr>
            <w:u w:val="single"/>
            <w:lang w:eastAsia="en-ZA"/>
          </w:rPr>
          <w:t>https://www.npdn.org</w:t>
        </w:r>
      </w:hyperlink>
    </w:p>
    <w:p w14:paraId="73D9172A" w14:textId="77777777" w:rsidR="00481670" w:rsidRPr="0021558D" w:rsidRDefault="00481670" w:rsidP="00EA7447">
      <w:pPr>
        <w:pStyle w:val="IPPReferences"/>
        <w:rPr>
          <w:lang w:eastAsia="en-ZA"/>
        </w:rPr>
      </w:pPr>
      <w:r w:rsidRPr="0021558D">
        <w:rPr>
          <w:lang w:eastAsia="en-ZA"/>
        </w:rPr>
        <w:t xml:space="preserve">Nyaga, J., Subramanian, S., and Njoroge, P. (2020). African plant health network: A community-based approach to plant health management. </w:t>
      </w:r>
      <w:r w:rsidRPr="0021558D">
        <w:rPr>
          <w:i/>
          <w:iCs/>
          <w:lang w:eastAsia="en-ZA"/>
        </w:rPr>
        <w:t xml:space="preserve">Acta </w:t>
      </w:r>
      <w:proofErr w:type="spellStart"/>
      <w:r w:rsidRPr="0021558D">
        <w:rPr>
          <w:i/>
          <w:iCs/>
          <w:lang w:eastAsia="en-ZA"/>
        </w:rPr>
        <w:t>Horticulturae</w:t>
      </w:r>
      <w:proofErr w:type="spellEnd"/>
      <w:r w:rsidRPr="0021558D">
        <w:rPr>
          <w:lang w:eastAsia="en-ZA"/>
        </w:rPr>
        <w:t xml:space="preserve">, 1286, 523–530. </w:t>
      </w:r>
      <w:hyperlink r:id="rId49" w:tgtFrame="_new" w:history="1">
        <w:r w:rsidRPr="0021558D">
          <w:rPr>
            <w:u w:val="single"/>
            <w:lang w:eastAsia="en-ZA"/>
          </w:rPr>
          <w:t>https://doi.org/10.17660/ActaHortic.2020.1286.67</w:t>
        </w:r>
      </w:hyperlink>
    </w:p>
    <w:p w14:paraId="6A5A8BDC" w14:textId="77777777" w:rsidR="00481670" w:rsidRPr="0021558D" w:rsidRDefault="00481670" w:rsidP="00EA7447">
      <w:pPr>
        <w:pStyle w:val="IPPReferences"/>
        <w:rPr>
          <w:lang w:eastAsia="en-ZA"/>
        </w:rPr>
      </w:pPr>
      <w:r w:rsidRPr="0021558D">
        <w:rPr>
          <w:lang w:eastAsia="en-ZA"/>
        </w:rPr>
        <w:t xml:space="preserve">OIRSA. (2020). </w:t>
      </w:r>
      <w:r w:rsidRPr="0021558D">
        <w:rPr>
          <w:i/>
          <w:iCs/>
          <w:lang w:eastAsia="en-ZA"/>
        </w:rPr>
        <w:t>Regional plant health diagnostic capacity and preparedness initiatives</w:t>
      </w:r>
      <w:r w:rsidRPr="0021558D">
        <w:rPr>
          <w:lang w:eastAsia="en-ZA"/>
        </w:rPr>
        <w:t>.</w:t>
      </w:r>
    </w:p>
    <w:p w14:paraId="2EB45C73" w14:textId="77777777" w:rsidR="00481670" w:rsidRPr="0021558D" w:rsidRDefault="00481670" w:rsidP="00EA7447">
      <w:pPr>
        <w:pStyle w:val="IPPReferences"/>
        <w:rPr>
          <w:lang w:eastAsia="en-ZA"/>
        </w:rPr>
      </w:pPr>
      <w:r w:rsidRPr="0021558D">
        <w:rPr>
          <w:lang w:eastAsia="en-ZA"/>
        </w:rPr>
        <w:t xml:space="preserve">OECD. (2020). </w:t>
      </w:r>
      <w:r w:rsidRPr="0021558D">
        <w:rPr>
          <w:i/>
          <w:iCs/>
          <w:lang w:eastAsia="en-ZA"/>
        </w:rPr>
        <w:t>The economic benefits of biosecurity in agriculture: Policy perspectives</w:t>
      </w:r>
      <w:r w:rsidRPr="0021558D">
        <w:rPr>
          <w:lang w:eastAsia="en-ZA"/>
        </w:rPr>
        <w:t>. Paris: Organisation for Economic Co-operation and Development.</w:t>
      </w:r>
    </w:p>
    <w:p w14:paraId="584B8656" w14:textId="77777777" w:rsidR="00481670" w:rsidRPr="0021558D" w:rsidRDefault="00481670" w:rsidP="00EA7447">
      <w:pPr>
        <w:pStyle w:val="IPPReferences"/>
        <w:rPr>
          <w:lang w:eastAsia="en-ZA"/>
        </w:rPr>
      </w:pPr>
      <w:r w:rsidRPr="0021558D">
        <w:rPr>
          <w:lang w:eastAsia="en-ZA"/>
        </w:rPr>
        <w:t xml:space="preserve">Plant Health Australia. (2018). </w:t>
      </w:r>
      <w:r w:rsidRPr="0021558D">
        <w:rPr>
          <w:i/>
          <w:iCs/>
          <w:lang w:eastAsia="en-ZA"/>
        </w:rPr>
        <w:t>National Plant Biosecurity Diagnostic Network (NPBDN) overview</w:t>
      </w:r>
      <w:r w:rsidRPr="0021558D">
        <w:rPr>
          <w:lang w:eastAsia="en-ZA"/>
        </w:rPr>
        <w:t>.</w:t>
      </w:r>
    </w:p>
    <w:p w14:paraId="646D73EC" w14:textId="77777777" w:rsidR="00481670" w:rsidRPr="0021558D" w:rsidRDefault="00481670" w:rsidP="00EA7447">
      <w:pPr>
        <w:pStyle w:val="IPPReferences"/>
        <w:rPr>
          <w:lang w:eastAsia="en-ZA"/>
        </w:rPr>
      </w:pPr>
      <w:r w:rsidRPr="0021558D">
        <w:rPr>
          <w:lang w:eastAsia="en-ZA"/>
        </w:rPr>
        <w:t xml:space="preserve">Pimentel, D., Zuniga, R., and Morrison, D. (2005). Update on the environmental and economic costs associated with alien-invasive species in the United States. </w:t>
      </w:r>
      <w:r w:rsidRPr="0021558D">
        <w:rPr>
          <w:i/>
          <w:iCs/>
          <w:lang w:eastAsia="en-ZA"/>
        </w:rPr>
        <w:t>Ecological Economics</w:t>
      </w:r>
      <w:r w:rsidRPr="0021558D">
        <w:rPr>
          <w:lang w:eastAsia="en-ZA"/>
        </w:rPr>
        <w:t>, 52(3), 273–288. https://doi.org/10.1016/j.ecolecon.2004.10.002</w:t>
      </w:r>
    </w:p>
    <w:p w14:paraId="5605070A" w14:textId="77777777" w:rsidR="00481670" w:rsidRPr="0021558D" w:rsidRDefault="00481670" w:rsidP="00EA7447">
      <w:pPr>
        <w:pStyle w:val="IPPReferences"/>
        <w:rPr>
          <w:lang w:eastAsia="en-ZA"/>
        </w:rPr>
      </w:pPr>
      <w:r w:rsidRPr="0021558D">
        <w:rPr>
          <w:lang w:eastAsia="en-ZA"/>
        </w:rPr>
        <w:t xml:space="preserve">Rafoss, T., Niemi, J., and Magnusson, C. (2018). Data-driven pest risk analysis: The role of diagnostic networks. </w:t>
      </w:r>
      <w:r w:rsidRPr="0021558D">
        <w:rPr>
          <w:i/>
          <w:iCs/>
          <w:lang w:eastAsia="en-ZA"/>
        </w:rPr>
        <w:t>EPPO Bulletin</w:t>
      </w:r>
      <w:r w:rsidRPr="0021558D">
        <w:rPr>
          <w:lang w:eastAsia="en-ZA"/>
        </w:rPr>
        <w:t xml:space="preserve">, 48(2), 207–217. </w:t>
      </w:r>
      <w:hyperlink r:id="rId50" w:tgtFrame="_new" w:history="1">
        <w:r w:rsidRPr="0021558D">
          <w:rPr>
            <w:u w:val="single"/>
            <w:lang w:eastAsia="en-ZA"/>
          </w:rPr>
          <w:t>https://doi.org/10.1111/epp.12472</w:t>
        </w:r>
      </w:hyperlink>
    </w:p>
    <w:p w14:paraId="19EBF077" w14:textId="77777777" w:rsidR="00481670" w:rsidRPr="0021558D" w:rsidRDefault="00481670" w:rsidP="00EA7447">
      <w:pPr>
        <w:pStyle w:val="IPPReferences"/>
        <w:rPr>
          <w:lang w:eastAsia="en-ZA"/>
        </w:rPr>
      </w:pPr>
      <w:proofErr w:type="spellStart"/>
      <w:r w:rsidRPr="0021558D">
        <w:rPr>
          <w:lang w:eastAsia="en-ZA"/>
        </w:rPr>
        <w:t>SciCorp</w:t>
      </w:r>
      <w:proofErr w:type="spellEnd"/>
      <w:r w:rsidRPr="0021558D">
        <w:rPr>
          <w:lang w:eastAsia="en-ZA"/>
        </w:rPr>
        <w:t xml:space="preserve">. (2021). </w:t>
      </w:r>
      <w:r w:rsidRPr="0021558D">
        <w:rPr>
          <w:i/>
          <w:iCs/>
          <w:lang w:eastAsia="en-ZA"/>
        </w:rPr>
        <w:t>Quality management systems for plant health laboratories: Case studies and regulatory impact assessment</w:t>
      </w:r>
      <w:r w:rsidRPr="0021558D">
        <w:rPr>
          <w:lang w:eastAsia="en-ZA"/>
        </w:rPr>
        <w:t>.</w:t>
      </w:r>
    </w:p>
    <w:p w14:paraId="0B74B2F1" w14:textId="77777777" w:rsidR="00481670" w:rsidRPr="0021558D" w:rsidRDefault="00481670" w:rsidP="00EA7447">
      <w:pPr>
        <w:pStyle w:val="IPPReferences"/>
        <w:rPr>
          <w:lang w:eastAsia="en-ZA"/>
        </w:rPr>
      </w:pPr>
      <w:r w:rsidRPr="0021558D">
        <w:rPr>
          <w:lang w:eastAsia="en-ZA"/>
        </w:rPr>
        <w:t>Singh, R. P., Hodson, D. P., Huerta-Espino, J., Jin, Y., Bhavani, S., Njau, P., Herrera-</w:t>
      </w:r>
      <w:proofErr w:type="spellStart"/>
      <w:r w:rsidRPr="0021558D">
        <w:rPr>
          <w:lang w:eastAsia="en-ZA"/>
        </w:rPr>
        <w:t>Foessel</w:t>
      </w:r>
      <w:proofErr w:type="spellEnd"/>
      <w:r w:rsidRPr="0021558D">
        <w:rPr>
          <w:lang w:eastAsia="en-ZA"/>
        </w:rPr>
        <w:t xml:space="preserve">, S. A., and Ward, R. W. (2015). The emergence of Ug99 races of the stem rust fungus: A threat to world wheat production. </w:t>
      </w:r>
      <w:r w:rsidRPr="0021558D">
        <w:rPr>
          <w:i/>
          <w:iCs/>
          <w:lang w:eastAsia="en-ZA"/>
        </w:rPr>
        <w:t>Annual Review of Phytopathology</w:t>
      </w:r>
      <w:r w:rsidRPr="0021558D">
        <w:rPr>
          <w:lang w:eastAsia="en-ZA"/>
        </w:rPr>
        <w:t xml:space="preserve">, 53(1), 387–408. </w:t>
      </w:r>
      <w:hyperlink r:id="rId51" w:tgtFrame="_new" w:history="1">
        <w:r w:rsidRPr="0021558D">
          <w:rPr>
            <w:u w:val="single"/>
            <w:lang w:eastAsia="en-ZA"/>
          </w:rPr>
          <w:t>https://doi.org/10.1146/annurev-phyto-080614-120207</w:t>
        </w:r>
      </w:hyperlink>
    </w:p>
    <w:p w14:paraId="17017363" w14:textId="77777777" w:rsidR="00481670" w:rsidRPr="0021558D" w:rsidRDefault="00481670" w:rsidP="00EA7447">
      <w:pPr>
        <w:pStyle w:val="IPPReferences"/>
        <w:rPr>
          <w:lang w:eastAsia="en-ZA"/>
        </w:rPr>
      </w:pPr>
      <w:r w:rsidRPr="0021558D">
        <w:rPr>
          <w:lang w:eastAsia="en-ZA"/>
        </w:rPr>
        <w:t xml:space="preserve">Stack, J. P., Cardwell, K. F., Hammerschmidt, R., and Byrne, J. M. (2006). The National Plant Diagnostic Network. </w:t>
      </w:r>
      <w:r w:rsidRPr="0021558D">
        <w:rPr>
          <w:i/>
          <w:iCs/>
          <w:lang w:eastAsia="en-ZA"/>
        </w:rPr>
        <w:t>Plant Disease</w:t>
      </w:r>
      <w:r w:rsidRPr="0021558D">
        <w:rPr>
          <w:lang w:eastAsia="en-ZA"/>
        </w:rPr>
        <w:t xml:space="preserve">, 90(2), 128–136. </w:t>
      </w:r>
      <w:hyperlink r:id="rId52" w:tgtFrame="_new" w:history="1">
        <w:r w:rsidRPr="0021558D">
          <w:rPr>
            <w:u w:val="single"/>
            <w:lang w:eastAsia="en-ZA"/>
          </w:rPr>
          <w:t>https://doi.org/10.1094/PD-90-0128</w:t>
        </w:r>
      </w:hyperlink>
    </w:p>
    <w:p w14:paraId="2DB45A68" w14:textId="77777777" w:rsidR="00481670" w:rsidRPr="0021558D" w:rsidRDefault="00481670" w:rsidP="00EA7447">
      <w:pPr>
        <w:pStyle w:val="IPPReferences"/>
        <w:rPr>
          <w:lang w:eastAsia="en-ZA"/>
        </w:rPr>
      </w:pPr>
      <w:r w:rsidRPr="0021558D">
        <w:rPr>
          <w:lang w:eastAsia="en-ZA"/>
        </w:rPr>
        <w:t xml:space="preserve">Stack, J. P., Luster, D. G., Hammerschmidt, R., and Palm, M. E. (2006). National Plant Diagnostic Network: Development of an early-warning system for plant health. </w:t>
      </w:r>
      <w:r w:rsidRPr="0021558D">
        <w:rPr>
          <w:i/>
          <w:iCs/>
          <w:lang w:eastAsia="en-ZA"/>
        </w:rPr>
        <w:t>Biosecurity and Bioterrorism: Biodefense Strategy, Practice, and Science</w:t>
      </w:r>
      <w:r w:rsidRPr="0021558D">
        <w:rPr>
          <w:lang w:eastAsia="en-ZA"/>
        </w:rPr>
        <w:t xml:space="preserve">, 4(2), 186–193. </w:t>
      </w:r>
      <w:hyperlink r:id="rId53" w:tgtFrame="_new" w:history="1">
        <w:r w:rsidRPr="0021558D">
          <w:rPr>
            <w:u w:val="single"/>
            <w:lang w:eastAsia="en-ZA"/>
          </w:rPr>
          <w:t>https://doi.org/10.1089/bsp.2006.4.186</w:t>
        </w:r>
      </w:hyperlink>
    </w:p>
    <w:p w14:paraId="7AFD1F85" w14:textId="77777777" w:rsidR="00481670" w:rsidRPr="0021558D" w:rsidRDefault="00481670" w:rsidP="00EA7447">
      <w:pPr>
        <w:pStyle w:val="IPPReferences"/>
        <w:rPr>
          <w:lang w:eastAsia="en-ZA"/>
        </w:rPr>
      </w:pPr>
      <w:r w:rsidRPr="0021558D">
        <w:rPr>
          <w:lang w:eastAsia="en-ZA"/>
        </w:rPr>
        <w:t xml:space="preserve">Stack, J. P., McMullen, M., Luster, D., and Bostock, R. (2014). The U.S. National Plant Diagnostic Network: A successful model for plant biosecurity capacity building. </w:t>
      </w:r>
      <w:r w:rsidRPr="0021558D">
        <w:rPr>
          <w:i/>
          <w:iCs/>
          <w:lang w:eastAsia="en-ZA"/>
        </w:rPr>
        <w:t>Bioscience</w:t>
      </w:r>
      <w:r w:rsidRPr="0021558D">
        <w:rPr>
          <w:lang w:eastAsia="en-ZA"/>
        </w:rPr>
        <w:t xml:space="preserve">, 64(10), 971–981. </w:t>
      </w:r>
      <w:hyperlink r:id="rId54" w:tgtFrame="_new" w:history="1">
        <w:r w:rsidRPr="0021558D">
          <w:rPr>
            <w:u w:val="single"/>
            <w:lang w:eastAsia="en-ZA"/>
          </w:rPr>
          <w:t>https://doi.org/10.1093/biosci/biu152</w:t>
        </w:r>
      </w:hyperlink>
    </w:p>
    <w:p w14:paraId="5BAF260E" w14:textId="77777777" w:rsidR="00481670" w:rsidRPr="0021558D" w:rsidRDefault="00481670" w:rsidP="00EA7447">
      <w:pPr>
        <w:pStyle w:val="IPPReferences"/>
        <w:rPr>
          <w:lang w:eastAsia="en-ZA"/>
        </w:rPr>
      </w:pPr>
      <w:proofErr w:type="spellStart"/>
      <w:r w:rsidRPr="0021558D">
        <w:rPr>
          <w:lang w:eastAsia="en-ZA"/>
        </w:rPr>
        <w:t>Tauxe</w:t>
      </w:r>
      <w:proofErr w:type="spellEnd"/>
      <w:r w:rsidRPr="0021558D">
        <w:rPr>
          <w:lang w:eastAsia="en-ZA"/>
        </w:rPr>
        <w:t xml:space="preserve">, R. V., Mintz, E. D., Quick, R., and Doyle, M. P. (2010). </w:t>
      </w:r>
      <w:proofErr w:type="spellStart"/>
      <w:r w:rsidRPr="0021558D">
        <w:rPr>
          <w:lang w:eastAsia="en-ZA"/>
        </w:rPr>
        <w:t>PulseNet</w:t>
      </w:r>
      <w:proofErr w:type="spellEnd"/>
      <w:r w:rsidRPr="0021558D">
        <w:rPr>
          <w:lang w:eastAsia="en-ZA"/>
        </w:rPr>
        <w:t xml:space="preserve">: A new way to detect foodborne outbreaks. </w:t>
      </w:r>
      <w:r w:rsidRPr="0021558D">
        <w:rPr>
          <w:i/>
          <w:iCs/>
          <w:lang w:eastAsia="en-ZA"/>
        </w:rPr>
        <w:t>Emerging Infectious Diseases</w:t>
      </w:r>
      <w:r w:rsidRPr="0021558D">
        <w:rPr>
          <w:lang w:eastAsia="en-ZA"/>
        </w:rPr>
        <w:t xml:space="preserve">, 16(3), 368–374. </w:t>
      </w:r>
      <w:hyperlink r:id="rId55" w:tgtFrame="_new" w:history="1">
        <w:r w:rsidRPr="0021558D">
          <w:rPr>
            <w:u w:val="single"/>
            <w:lang w:eastAsia="en-ZA"/>
          </w:rPr>
          <w:t>https://doi.org/10.3201/eid1603.091576</w:t>
        </w:r>
      </w:hyperlink>
    </w:p>
    <w:p w14:paraId="6953C0EC" w14:textId="77777777" w:rsidR="00481670" w:rsidRPr="0021558D" w:rsidRDefault="00481670" w:rsidP="00EA7447">
      <w:pPr>
        <w:pStyle w:val="IPPReferences"/>
        <w:rPr>
          <w:lang w:eastAsia="en-ZA"/>
        </w:rPr>
      </w:pPr>
      <w:r w:rsidRPr="0021558D">
        <w:rPr>
          <w:lang w:eastAsia="en-ZA"/>
        </w:rPr>
        <w:lastRenderedPageBreak/>
        <w:t xml:space="preserve">Tefera, T., </w:t>
      </w:r>
      <w:proofErr w:type="spellStart"/>
      <w:r w:rsidRPr="0021558D">
        <w:rPr>
          <w:lang w:eastAsia="en-ZA"/>
        </w:rPr>
        <w:t>Kanampiu</w:t>
      </w:r>
      <w:proofErr w:type="spellEnd"/>
      <w:r w:rsidRPr="0021558D">
        <w:rPr>
          <w:lang w:eastAsia="en-ZA"/>
        </w:rPr>
        <w:t xml:space="preserve">, F., De Groote, H., Hellin, J., Mugo, S., </w:t>
      </w:r>
      <w:proofErr w:type="spellStart"/>
      <w:r w:rsidRPr="0021558D">
        <w:rPr>
          <w:lang w:eastAsia="en-ZA"/>
        </w:rPr>
        <w:t>Kimenju</w:t>
      </w:r>
      <w:proofErr w:type="spellEnd"/>
      <w:r w:rsidRPr="0021558D">
        <w:rPr>
          <w:lang w:eastAsia="en-ZA"/>
        </w:rPr>
        <w:t xml:space="preserve">, S., and </w:t>
      </w:r>
      <w:proofErr w:type="spellStart"/>
      <w:r w:rsidRPr="0021558D">
        <w:rPr>
          <w:lang w:eastAsia="en-ZA"/>
        </w:rPr>
        <w:t>Bänziger</w:t>
      </w:r>
      <w:proofErr w:type="spellEnd"/>
      <w:r w:rsidRPr="0021558D">
        <w:rPr>
          <w:lang w:eastAsia="en-ZA"/>
        </w:rPr>
        <w:t xml:space="preserve">, M. (2018). A review of agricultural biotechnology research and its potential for improving food security in Africa. </w:t>
      </w:r>
      <w:r w:rsidRPr="0021558D">
        <w:rPr>
          <w:i/>
          <w:iCs/>
          <w:lang w:eastAsia="en-ZA"/>
        </w:rPr>
        <w:t>Food Security</w:t>
      </w:r>
      <w:r w:rsidRPr="0021558D">
        <w:rPr>
          <w:lang w:eastAsia="en-ZA"/>
        </w:rPr>
        <w:t xml:space="preserve">, 10(5), 1189–1203. </w:t>
      </w:r>
      <w:hyperlink r:id="rId56" w:tgtFrame="_new" w:history="1">
        <w:r w:rsidRPr="0021558D">
          <w:rPr>
            <w:u w:val="single"/>
            <w:lang w:eastAsia="en-ZA"/>
          </w:rPr>
          <w:t>https://doi.org/10.1007/s12571-018-0837-3</w:t>
        </w:r>
      </w:hyperlink>
    </w:p>
    <w:p w14:paraId="4D1D15C5" w14:textId="77777777" w:rsidR="00481670" w:rsidRPr="0021558D" w:rsidRDefault="00481670" w:rsidP="00EA7447">
      <w:pPr>
        <w:pStyle w:val="IPPReferences"/>
        <w:rPr>
          <w:lang w:eastAsia="en-ZA"/>
        </w:rPr>
      </w:pPr>
      <w:r w:rsidRPr="0021558D">
        <w:rPr>
          <w:lang w:eastAsia="en-ZA"/>
        </w:rPr>
        <w:t xml:space="preserve">USDA-NIFA. (2022). </w:t>
      </w:r>
      <w:r w:rsidRPr="0021558D">
        <w:rPr>
          <w:i/>
          <w:iCs/>
          <w:lang w:eastAsia="en-ZA"/>
        </w:rPr>
        <w:t>Food and Agriculture Defense Initiative (FADI)</w:t>
      </w:r>
      <w:r w:rsidRPr="0021558D">
        <w:rPr>
          <w:lang w:eastAsia="en-ZA"/>
        </w:rPr>
        <w:t xml:space="preserve">. </w:t>
      </w:r>
      <w:hyperlink r:id="rId57" w:tgtFrame="_new" w:history="1">
        <w:r w:rsidRPr="0021558D">
          <w:rPr>
            <w:u w:val="single"/>
            <w:lang w:eastAsia="en-ZA"/>
          </w:rPr>
          <w:t>https://www.nifa.usda.gov</w:t>
        </w:r>
      </w:hyperlink>
    </w:p>
    <w:p w14:paraId="6FD8FFF4" w14:textId="77777777" w:rsidR="00481670" w:rsidRPr="0021558D" w:rsidRDefault="00481670" w:rsidP="00EA7447">
      <w:pPr>
        <w:pStyle w:val="IPPReferences"/>
        <w:rPr>
          <w:lang w:eastAsia="en-ZA"/>
        </w:rPr>
      </w:pPr>
      <w:r w:rsidRPr="0021558D">
        <w:rPr>
          <w:lang w:eastAsia="en-ZA"/>
        </w:rPr>
        <w:t xml:space="preserve">USDA-PPQ. (2023). Changes to the PPQ proficiency testing program. </w:t>
      </w:r>
      <w:r w:rsidRPr="0021558D">
        <w:rPr>
          <w:i/>
          <w:iCs/>
          <w:lang w:eastAsia="en-ZA"/>
        </w:rPr>
        <w:t>National Plant Diagnostic Network Newsletter</w:t>
      </w:r>
      <w:r w:rsidRPr="0021558D">
        <w:rPr>
          <w:lang w:eastAsia="en-ZA"/>
        </w:rPr>
        <w:t xml:space="preserve">. </w:t>
      </w:r>
      <w:hyperlink r:id="rId58" w:tgtFrame="_new" w:history="1">
        <w:r w:rsidRPr="0021558D">
          <w:rPr>
            <w:u w:val="single"/>
            <w:lang w:eastAsia="en-ZA"/>
          </w:rPr>
          <w:t>https://www.npdn.org/newsletter/2023/06/changes_ppq_proficiency_testing_program</w:t>
        </w:r>
      </w:hyperlink>
    </w:p>
    <w:p w14:paraId="72E0283A" w14:textId="77777777" w:rsidR="00481670" w:rsidRPr="0021558D" w:rsidRDefault="00481670" w:rsidP="00EA7447">
      <w:pPr>
        <w:pStyle w:val="IPPReferences"/>
        <w:rPr>
          <w:lang w:eastAsia="en-ZA"/>
        </w:rPr>
      </w:pPr>
      <w:proofErr w:type="spellStart"/>
      <w:r w:rsidRPr="0021558D">
        <w:rPr>
          <w:lang w:eastAsia="en-ZA"/>
        </w:rPr>
        <w:t>Venbrux</w:t>
      </w:r>
      <w:proofErr w:type="spellEnd"/>
      <w:r w:rsidRPr="0021558D">
        <w:rPr>
          <w:lang w:eastAsia="en-ZA"/>
        </w:rPr>
        <w:t xml:space="preserve">, M., Crauwels, S., and </w:t>
      </w:r>
      <w:proofErr w:type="spellStart"/>
      <w:r w:rsidRPr="0021558D">
        <w:rPr>
          <w:lang w:eastAsia="en-ZA"/>
        </w:rPr>
        <w:t>Rediers</w:t>
      </w:r>
      <w:proofErr w:type="spellEnd"/>
      <w:r w:rsidRPr="0021558D">
        <w:rPr>
          <w:lang w:eastAsia="en-ZA"/>
        </w:rPr>
        <w:t xml:space="preserve">, H. (2023). Current and emerging trends in techniques for plant pathogen detection. </w:t>
      </w:r>
      <w:r w:rsidRPr="0021558D">
        <w:rPr>
          <w:i/>
          <w:iCs/>
          <w:lang w:eastAsia="en-ZA"/>
        </w:rPr>
        <w:t>Frontiers in Plant Science</w:t>
      </w:r>
      <w:r w:rsidRPr="0021558D">
        <w:rPr>
          <w:lang w:eastAsia="en-ZA"/>
        </w:rPr>
        <w:t xml:space="preserve">, 14, 1120968. </w:t>
      </w:r>
      <w:hyperlink r:id="rId59" w:tgtFrame="_new" w:history="1">
        <w:r w:rsidRPr="0021558D">
          <w:rPr>
            <w:u w:val="single"/>
            <w:lang w:eastAsia="en-ZA"/>
          </w:rPr>
          <w:t>https://doi.org/10.3389/fpls.2023.1120968</w:t>
        </w:r>
      </w:hyperlink>
    </w:p>
    <w:p w14:paraId="1C742B30" w14:textId="77777777" w:rsidR="00481670" w:rsidRPr="0021558D" w:rsidRDefault="00481670" w:rsidP="00EA7447">
      <w:pPr>
        <w:pStyle w:val="IPPReferences"/>
        <w:rPr>
          <w:lang w:eastAsia="en-ZA"/>
        </w:rPr>
      </w:pPr>
      <w:r w:rsidRPr="0021558D">
        <w:rPr>
          <w:lang w:eastAsia="en-ZA"/>
        </w:rPr>
        <w:t xml:space="preserve">WHO. (2019). </w:t>
      </w:r>
      <w:r w:rsidRPr="0021558D">
        <w:rPr>
          <w:i/>
          <w:iCs/>
          <w:lang w:eastAsia="en-ZA"/>
        </w:rPr>
        <w:t>Global Polio Laboratory Network: Annual report 2019</w:t>
      </w:r>
      <w:r w:rsidRPr="0021558D">
        <w:rPr>
          <w:lang w:eastAsia="en-ZA"/>
        </w:rPr>
        <w:t>. Geneva: WHO.</w:t>
      </w:r>
    </w:p>
    <w:p w14:paraId="2FA99C7E" w14:textId="77777777" w:rsidR="00481670" w:rsidRPr="0021558D" w:rsidRDefault="00481670" w:rsidP="00EA7447">
      <w:pPr>
        <w:pStyle w:val="IPPReferences"/>
        <w:rPr>
          <w:lang w:eastAsia="en-ZA"/>
        </w:rPr>
      </w:pPr>
      <w:r w:rsidRPr="0021558D">
        <w:rPr>
          <w:lang w:eastAsia="en-ZA"/>
        </w:rPr>
        <w:t xml:space="preserve">WOAH. (2021). </w:t>
      </w:r>
      <w:r w:rsidRPr="0021558D">
        <w:rPr>
          <w:i/>
          <w:iCs/>
          <w:lang w:eastAsia="en-ZA"/>
        </w:rPr>
        <w:t>WOAH reference laboratories and collaborating centres</w:t>
      </w:r>
      <w:r w:rsidRPr="0021558D">
        <w:rPr>
          <w:lang w:eastAsia="en-ZA"/>
        </w:rPr>
        <w:t>.</w:t>
      </w:r>
    </w:p>
    <w:p w14:paraId="18E54F43" w14:textId="77777777" w:rsidR="00481670" w:rsidRPr="0021558D" w:rsidRDefault="00481670" w:rsidP="00EA7447">
      <w:pPr>
        <w:pStyle w:val="IPPReferences"/>
        <w:rPr>
          <w:lang w:eastAsia="en-ZA"/>
        </w:rPr>
      </w:pPr>
      <w:r w:rsidRPr="0021558D">
        <w:rPr>
          <w:lang w:eastAsia="en-ZA"/>
        </w:rPr>
        <w:t xml:space="preserve">WOAH. (2022). </w:t>
      </w:r>
      <w:r w:rsidRPr="0021558D">
        <w:rPr>
          <w:i/>
          <w:iCs/>
          <w:lang w:eastAsia="en-ZA"/>
        </w:rPr>
        <w:t>Reference laboratories and expertise network report 2022</w:t>
      </w:r>
      <w:r w:rsidRPr="0021558D">
        <w:rPr>
          <w:lang w:eastAsia="en-ZA"/>
        </w:rPr>
        <w:t>.</w:t>
      </w:r>
    </w:p>
    <w:p w14:paraId="1DF9EC87" w14:textId="77777777" w:rsidR="00481670" w:rsidRDefault="00481670" w:rsidP="00481670">
      <w:pPr>
        <w:spacing w:before="120" w:after="180"/>
        <w:rPr>
          <w:rFonts w:eastAsia="Times New Roman"/>
          <w:szCs w:val="22"/>
          <w:lang w:val="en-ZA" w:eastAsia="en-ZA"/>
        </w:rPr>
      </w:pPr>
    </w:p>
    <w:p w14:paraId="572C2398" w14:textId="77777777" w:rsidR="00563A06" w:rsidRDefault="00563A06" w:rsidP="00481670">
      <w:pPr>
        <w:spacing w:before="120" w:after="180"/>
        <w:rPr>
          <w:rFonts w:eastAsia="Times New Roman"/>
          <w:szCs w:val="22"/>
          <w:lang w:val="en-ZA" w:eastAsia="en-ZA"/>
        </w:rPr>
      </w:pPr>
    </w:p>
    <w:p w14:paraId="667BDC93" w14:textId="77777777" w:rsidR="00563A06" w:rsidRDefault="00563A06" w:rsidP="00481670">
      <w:pPr>
        <w:spacing w:before="120" w:after="180"/>
        <w:rPr>
          <w:rFonts w:eastAsia="Times New Roman"/>
          <w:szCs w:val="22"/>
          <w:lang w:val="en-ZA" w:eastAsia="en-ZA"/>
        </w:rPr>
      </w:pPr>
    </w:p>
    <w:p w14:paraId="34180F90" w14:textId="77777777" w:rsidR="00563A06" w:rsidRDefault="00563A06" w:rsidP="00481670">
      <w:pPr>
        <w:spacing w:before="120" w:after="180"/>
        <w:rPr>
          <w:rFonts w:eastAsia="Times New Roman"/>
          <w:szCs w:val="22"/>
          <w:lang w:val="en-ZA" w:eastAsia="en-ZA"/>
        </w:rPr>
      </w:pPr>
    </w:p>
    <w:p w14:paraId="7DF1E108" w14:textId="77777777" w:rsidR="00563A06" w:rsidRDefault="00563A06" w:rsidP="00481670">
      <w:pPr>
        <w:spacing w:before="120" w:after="180"/>
        <w:rPr>
          <w:rFonts w:eastAsia="Times New Roman"/>
          <w:szCs w:val="22"/>
          <w:lang w:val="en-ZA" w:eastAsia="en-ZA"/>
        </w:rPr>
      </w:pPr>
    </w:p>
    <w:p w14:paraId="35B3030A" w14:textId="054B361E" w:rsidR="00581848" w:rsidRPr="0021558D" w:rsidRDefault="002A54F0" w:rsidP="00A64DA6">
      <w:pPr>
        <w:pStyle w:val="IPPHeading1"/>
      </w:pPr>
      <w:r>
        <w:br w:type="page"/>
      </w:r>
      <w:bookmarkStart w:id="28" w:name="_Toc210831731"/>
      <w:r w:rsidR="006D0900" w:rsidRPr="0021558D">
        <w:lastRenderedPageBreak/>
        <w:t>Appendix</w:t>
      </w:r>
      <w:r w:rsidR="008439F2" w:rsidRPr="0021558D">
        <w:t> </w:t>
      </w:r>
      <w:r w:rsidR="006D0900" w:rsidRPr="0021558D">
        <w:t xml:space="preserve">1: </w:t>
      </w:r>
      <w:r w:rsidR="00581848" w:rsidRPr="0021558D">
        <w:t>Interview summary with Dr. Shiroma Sathyapala on 13 May 2025</w:t>
      </w:r>
      <w:bookmarkEnd w:id="28"/>
    </w:p>
    <w:p w14:paraId="2F885A12" w14:textId="77777777" w:rsidR="00581848" w:rsidRPr="00A64DA6" w:rsidRDefault="00581848" w:rsidP="00A64DA6">
      <w:pPr>
        <w:spacing w:before="120" w:after="180"/>
        <w:rPr>
          <w:b/>
          <w:bCs/>
          <w:szCs w:val="22"/>
        </w:rPr>
      </w:pPr>
      <w:r w:rsidRPr="00A64DA6">
        <w:rPr>
          <w:b/>
          <w:bCs/>
          <w:szCs w:val="22"/>
        </w:rPr>
        <w:t>Summary – Discussion on Forestry and Plant Health Diagnostic Networks</w:t>
      </w:r>
    </w:p>
    <w:p w14:paraId="1CF42A4D" w14:textId="77777777" w:rsidR="00581848" w:rsidRPr="00581848" w:rsidRDefault="00581848" w:rsidP="00F34C75">
      <w:pPr>
        <w:pStyle w:val="ListParagraph"/>
        <w:spacing w:before="120" w:after="180" w:line="240" w:lineRule="auto"/>
        <w:ind w:leftChars="-26" w:left="650" w:hanging="707"/>
        <w:rPr>
          <w:rFonts w:ascii="Times New Roman" w:hAnsi="Times New Roman"/>
          <w:b/>
          <w:bCs/>
          <w:sz w:val="22"/>
          <w:szCs w:val="22"/>
        </w:rPr>
      </w:pPr>
      <w:r w:rsidRPr="00581848">
        <w:rPr>
          <w:rFonts w:ascii="Times New Roman" w:hAnsi="Times New Roman"/>
          <w:b/>
          <w:bCs/>
          <w:sz w:val="22"/>
          <w:szCs w:val="22"/>
        </w:rPr>
        <w:t>Purpose of Engagement</w:t>
      </w:r>
    </w:p>
    <w:p w14:paraId="5E078391" w14:textId="77777777" w:rsidR="00581848" w:rsidRPr="00581848" w:rsidRDefault="00581848" w:rsidP="00F5462E">
      <w:pPr>
        <w:pStyle w:val="ListParagraph"/>
        <w:spacing w:before="120" w:after="180" w:line="240" w:lineRule="auto"/>
        <w:ind w:leftChars="0" w:left="0"/>
        <w:rPr>
          <w:rFonts w:ascii="Times New Roman" w:hAnsi="Times New Roman"/>
          <w:sz w:val="22"/>
          <w:szCs w:val="22"/>
        </w:rPr>
      </w:pPr>
      <w:r w:rsidRPr="00581848">
        <w:rPr>
          <w:rFonts w:ascii="Times New Roman" w:hAnsi="Times New Roman"/>
          <w:sz w:val="22"/>
          <w:szCs w:val="22"/>
        </w:rPr>
        <w:t>You explained that you are working with Dr. Adriana Moreira and IPPC/FAO on developing a global plant health diagnostic network and wanted insights from forestry diagnostics experience.</w:t>
      </w:r>
    </w:p>
    <w:p w14:paraId="614F4956" w14:textId="77777777" w:rsidR="00581848" w:rsidRPr="00581848" w:rsidRDefault="00581848" w:rsidP="00F34C75">
      <w:pPr>
        <w:pStyle w:val="ListParagraph"/>
        <w:spacing w:before="120" w:after="180" w:line="240" w:lineRule="auto"/>
        <w:ind w:leftChars="0" w:left="0"/>
        <w:rPr>
          <w:rFonts w:ascii="Times New Roman" w:hAnsi="Times New Roman"/>
          <w:b/>
          <w:bCs/>
          <w:sz w:val="22"/>
          <w:szCs w:val="22"/>
        </w:rPr>
      </w:pPr>
      <w:r w:rsidRPr="00581848">
        <w:rPr>
          <w:rFonts w:ascii="Times New Roman" w:hAnsi="Times New Roman"/>
          <w:b/>
          <w:bCs/>
          <w:sz w:val="22"/>
          <w:szCs w:val="22"/>
        </w:rPr>
        <w:t>Key Points from Dr. Shiroma</w:t>
      </w:r>
    </w:p>
    <w:p w14:paraId="39BD4527" w14:textId="77777777" w:rsidR="00581848" w:rsidRPr="00581848" w:rsidRDefault="00581848" w:rsidP="00F34C75">
      <w:pPr>
        <w:pStyle w:val="ListParagraph"/>
        <w:spacing w:before="120" w:after="180" w:line="240" w:lineRule="auto"/>
        <w:ind w:leftChars="-15" w:left="-32" w:hanging="1"/>
        <w:rPr>
          <w:rFonts w:ascii="Times New Roman" w:hAnsi="Times New Roman"/>
          <w:b/>
          <w:bCs/>
          <w:sz w:val="22"/>
          <w:szCs w:val="22"/>
        </w:rPr>
      </w:pPr>
      <w:r w:rsidRPr="00581848">
        <w:rPr>
          <w:rFonts w:ascii="Times New Roman" w:hAnsi="Times New Roman"/>
          <w:b/>
          <w:bCs/>
          <w:sz w:val="22"/>
          <w:szCs w:val="22"/>
        </w:rPr>
        <w:t>Forestry Network Structure</w:t>
      </w:r>
    </w:p>
    <w:p w14:paraId="2D12CC00" w14:textId="77777777" w:rsidR="00581848" w:rsidRPr="00581848" w:rsidRDefault="00581848" w:rsidP="00F5462E">
      <w:pPr>
        <w:pStyle w:val="ListParagraph"/>
        <w:spacing w:before="120" w:after="180" w:line="240" w:lineRule="auto"/>
        <w:ind w:leftChars="0" w:left="0"/>
        <w:rPr>
          <w:rFonts w:ascii="Times New Roman" w:hAnsi="Times New Roman"/>
          <w:sz w:val="22"/>
          <w:szCs w:val="22"/>
        </w:rPr>
      </w:pPr>
      <w:r w:rsidRPr="00581848">
        <w:rPr>
          <w:rFonts w:ascii="Times New Roman" w:hAnsi="Times New Roman"/>
          <w:sz w:val="22"/>
          <w:szCs w:val="22"/>
        </w:rPr>
        <w:t>Forestry networks are not diagnostic networks but rather coordination and information-sharing platforms. Each country typically has very few forestry health specialists, making it difficult to sustain a dedicated diagnostic network. Focal points are identified via FAO’s forestry committees, and foresters communicate through WhatsApp groups or similar channels.</w:t>
      </w:r>
    </w:p>
    <w:p w14:paraId="4528E5E1" w14:textId="77777777" w:rsidR="00581848" w:rsidRPr="00F34C75" w:rsidRDefault="00581848" w:rsidP="00F34C75">
      <w:pPr>
        <w:spacing w:before="120" w:after="180"/>
        <w:rPr>
          <w:b/>
          <w:bCs/>
          <w:szCs w:val="22"/>
        </w:rPr>
      </w:pPr>
      <w:r w:rsidRPr="00F34C75">
        <w:rPr>
          <w:b/>
          <w:bCs/>
          <w:szCs w:val="22"/>
        </w:rPr>
        <w:t>Relationship with NPPOs</w:t>
      </w:r>
    </w:p>
    <w:p w14:paraId="4D07C653" w14:textId="77777777" w:rsidR="00581848" w:rsidRPr="00581848" w:rsidRDefault="00581848" w:rsidP="00F5462E">
      <w:pPr>
        <w:pStyle w:val="ListParagraph"/>
        <w:spacing w:before="120" w:after="180" w:line="240" w:lineRule="auto"/>
        <w:ind w:leftChars="13" w:left="29"/>
        <w:rPr>
          <w:rFonts w:ascii="Times New Roman" w:hAnsi="Times New Roman"/>
          <w:sz w:val="22"/>
          <w:szCs w:val="22"/>
        </w:rPr>
      </w:pPr>
      <w:r w:rsidRPr="00581848">
        <w:rPr>
          <w:rFonts w:ascii="Times New Roman" w:hAnsi="Times New Roman"/>
          <w:sz w:val="22"/>
          <w:szCs w:val="22"/>
        </w:rPr>
        <w:t>Forestry research institutes or universities report to NPPOs (National Plant Protection Organizations) when they find issues. Diagnostics for quarantine pests are NPPO responsibility. Forestry networks focus on capacity building and referrals rather than diagnostics. There can be tension between NPPOs and forestry professionals due to hierarchy and recognition issues.</w:t>
      </w:r>
    </w:p>
    <w:p w14:paraId="3E5032F9" w14:textId="77777777" w:rsidR="00581848" w:rsidRPr="00F34C75" w:rsidRDefault="00581848" w:rsidP="00F34C75">
      <w:pPr>
        <w:spacing w:before="120" w:after="180"/>
        <w:rPr>
          <w:b/>
          <w:bCs/>
          <w:szCs w:val="22"/>
        </w:rPr>
      </w:pPr>
      <w:r w:rsidRPr="00F34C75">
        <w:rPr>
          <w:b/>
          <w:bCs/>
          <w:szCs w:val="22"/>
        </w:rPr>
        <w:t>Capacity and Infrastructure Challenges</w:t>
      </w:r>
    </w:p>
    <w:p w14:paraId="25C0459D" w14:textId="77777777" w:rsidR="00581848" w:rsidRPr="00581848" w:rsidRDefault="00581848" w:rsidP="00F5462E">
      <w:pPr>
        <w:pStyle w:val="ListParagraph"/>
        <w:spacing w:before="120" w:after="180" w:line="240" w:lineRule="auto"/>
        <w:ind w:leftChars="0" w:left="0"/>
        <w:rPr>
          <w:rFonts w:ascii="Times New Roman" w:hAnsi="Times New Roman"/>
          <w:sz w:val="22"/>
          <w:szCs w:val="22"/>
        </w:rPr>
      </w:pPr>
      <w:r w:rsidRPr="00581848">
        <w:rPr>
          <w:rFonts w:ascii="Times New Roman" w:hAnsi="Times New Roman"/>
          <w:sz w:val="22"/>
          <w:szCs w:val="22"/>
        </w:rPr>
        <w:t>Many countries have only basic laboratory capacity (microscope, laminar flow). Expertise and infrastructure are uneven, especially in Near East and West Africa, where challenges are greatest. Funding is a major barrier; most forestry work is unfunded or underfunded.</w:t>
      </w:r>
    </w:p>
    <w:p w14:paraId="5C3B52A1" w14:textId="77777777" w:rsidR="00581848" w:rsidRPr="00581848" w:rsidRDefault="00581848" w:rsidP="00F5462E">
      <w:pPr>
        <w:pStyle w:val="ListParagraph"/>
        <w:spacing w:before="120" w:after="180" w:line="240" w:lineRule="auto"/>
        <w:ind w:leftChars="0" w:left="142" w:hanging="144"/>
        <w:rPr>
          <w:rFonts w:ascii="Times New Roman" w:hAnsi="Times New Roman"/>
          <w:b/>
          <w:bCs/>
          <w:sz w:val="22"/>
          <w:szCs w:val="22"/>
        </w:rPr>
      </w:pPr>
      <w:r w:rsidRPr="00581848">
        <w:rPr>
          <w:rFonts w:ascii="Times New Roman" w:hAnsi="Times New Roman"/>
          <w:b/>
          <w:bCs/>
          <w:sz w:val="22"/>
          <w:szCs w:val="22"/>
        </w:rPr>
        <w:t>Advice for Building a Plant Health Diagnostic Network</w:t>
      </w:r>
    </w:p>
    <w:p w14:paraId="6ADDC5F9" w14:textId="77777777" w:rsidR="00581848" w:rsidRPr="00581848" w:rsidRDefault="00581848" w:rsidP="00F5462E">
      <w:pPr>
        <w:pStyle w:val="ListParagraph"/>
        <w:spacing w:before="120" w:after="180" w:line="240" w:lineRule="auto"/>
        <w:ind w:leftChars="13" w:left="60" w:hanging="31"/>
        <w:rPr>
          <w:rFonts w:ascii="Times New Roman" w:hAnsi="Times New Roman"/>
          <w:sz w:val="22"/>
          <w:szCs w:val="22"/>
        </w:rPr>
      </w:pPr>
      <w:r w:rsidRPr="00581848">
        <w:rPr>
          <w:rFonts w:ascii="Times New Roman" w:hAnsi="Times New Roman"/>
          <w:sz w:val="22"/>
          <w:szCs w:val="22"/>
        </w:rPr>
        <w:t>Define scope and objectives clearly: Know exactly what the network will do before recruiting members. Prioritize NPPO involvement: They are the key regulatory players. Include universities, research institutes, industry stakeholders, but clarify roles to avoid conflict. Ensure accountability so that network activities complement existing initiatives rather than duplicate them.</w:t>
      </w:r>
    </w:p>
    <w:p w14:paraId="5900D957" w14:textId="77777777" w:rsidR="00581848" w:rsidRPr="00581848" w:rsidRDefault="00581848" w:rsidP="00F5462E">
      <w:pPr>
        <w:pStyle w:val="ListParagraph"/>
        <w:spacing w:before="120" w:after="180" w:line="240" w:lineRule="auto"/>
        <w:ind w:leftChars="0" w:left="0"/>
        <w:rPr>
          <w:rFonts w:ascii="Times New Roman" w:hAnsi="Times New Roman"/>
          <w:sz w:val="22"/>
          <w:szCs w:val="22"/>
        </w:rPr>
      </w:pPr>
      <w:r w:rsidRPr="00581848">
        <w:rPr>
          <w:rFonts w:ascii="Times New Roman" w:hAnsi="Times New Roman"/>
          <w:sz w:val="22"/>
          <w:szCs w:val="22"/>
        </w:rPr>
        <w:t>Map existing networks (e.g., Emergency Pest Network, Plantwise by CABI) and connect with them to avoid siloed efforts. Consider financial sustainability: Decide how diagnostics will be funded (user-pays, subsidies, etc.).</w:t>
      </w:r>
    </w:p>
    <w:p w14:paraId="109ED06D" w14:textId="77777777" w:rsidR="00581848" w:rsidRPr="00581848" w:rsidRDefault="00581848" w:rsidP="00F5462E">
      <w:pPr>
        <w:pStyle w:val="ListParagraph"/>
        <w:spacing w:before="120" w:after="180" w:line="240" w:lineRule="auto"/>
        <w:ind w:leftChars="0" w:left="0" w:hanging="1"/>
        <w:rPr>
          <w:rFonts w:ascii="Times New Roman" w:hAnsi="Times New Roman"/>
          <w:b/>
          <w:bCs/>
          <w:sz w:val="22"/>
          <w:szCs w:val="22"/>
        </w:rPr>
      </w:pPr>
      <w:r w:rsidRPr="00581848">
        <w:rPr>
          <w:rFonts w:ascii="Times New Roman" w:hAnsi="Times New Roman"/>
          <w:b/>
          <w:bCs/>
          <w:sz w:val="22"/>
          <w:szCs w:val="22"/>
        </w:rPr>
        <w:t>Collaboration Examples</w:t>
      </w:r>
    </w:p>
    <w:p w14:paraId="37AE95B4" w14:textId="77777777" w:rsidR="00581848" w:rsidRPr="00581848" w:rsidRDefault="00581848" w:rsidP="00F5462E">
      <w:pPr>
        <w:pStyle w:val="ListParagraph"/>
        <w:spacing w:before="120" w:after="180" w:line="240" w:lineRule="auto"/>
        <w:ind w:leftChars="0" w:left="0"/>
        <w:rPr>
          <w:rFonts w:ascii="Times New Roman" w:hAnsi="Times New Roman"/>
          <w:sz w:val="22"/>
          <w:szCs w:val="22"/>
        </w:rPr>
      </w:pPr>
      <w:r w:rsidRPr="00581848">
        <w:rPr>
          <w:rFonts w:ascii="Times New Roman" w:hAnsi="Times New Roman"/>
          <w:sz w:val="22"/>
          <w:szCs w:val="22"/>
        </w:rPr>
        <w:t>CABI Plantwise is cited as a successful diagnostic support model. FABI (South Africa) and Scion (New Zealand) are good examples of forestry-related research and diagnostics collaborations.</w:t>
      </w:r>
    </w:p>
    <w:p w14:paraId="3FB1E565" w14:textId="77777777" w:rsidR="00581848" w:rsidRPr="00581848" w:rsidRDefault="00581848" w:rsidP="00F5462E">
      <w:pPr>
        <w:pStyle w:val="ListParagraph"/>
        <w:spacing w:before="120" w:after="180" w:line="240" w:lineRule="auto"/>
        <w:ind w:leftChars="0" w:left="0"/>
        <w:rPr>
          <w:rFonts w:ascii="Times New Roman" w:hAnsi="Times New Roman"/>
          <w:b/>
          <w:bCs/>
          <w:sz w:val="22"/>
          <w:szCs w:val="22"/>
        </w:rPr>
      </w:pPr>
      <w:r w:rsidRPr="00581848">
        <w:rPr>
          <w:rFonts w:ascii="Times New Roman" w:hAnsi="Times New Roman"/>
          <w:b/>
          <w:bCs/>
          <w:sz w:val="22"/>
          <w:szCs w:val="22"/>
        </w:rPr>
        <w:t>Take-Home Messages</w:t>
      </w:r>
    </w:p>
    <w:p w14:paraId="26BA26B7" w14:textId="77777777" w:rsidR="00581848" w:rsidRDefault="00581848" w:rsidP="00F5462E">
      <w:pPr>
        <w:pStyle w:val="ListParagraph"/>
        <w:spacing w:before="120" w:after="180" w:line="240" w:lineRule="auto"/>
        <w:ind w:leftChars="0" w:left="0"/>
        <w:rPr>
          <w:rFonts w:ascii="Times New Roman" w:hAnsi="Times New Roman"/>
          <w:sz w:val="22"/>
          <w:szCs w:val="22"/>
        </w:rPr>
      </w:pPr>
      <w:r w:rsidRPr="00581848">
        <w:rPr>
          <w:rFonts w:ascii="Times New Roman" w:hAnsi="Times New Roman"/>
          <w:sz w:val="22"/>
          <w:szCs w:val="22"/>
        </w:rPr>
        <w:t>Forestry diagnostics rely heavily on NPPO labs and existing scientists, not stand-alone diagnostic systems. Network design must clarify who it serves, what activities it delivers, and how it will be financed. Consider inclusivity of forestry, universities, and private sector, but maintain NPPO leadership. Ensure strong communication, avoid false expectations, and align with IPPC’s existing networks.</w:t>
      </w:r>
    </w:p>
    <w:p w14:paraId="55B04BD7" w14:textId="77777777" w:rsidR="00173F42" w:rsidRPr="00581848" w:rsidRDefault="00173F42" w:rsidP="00F5462E">
      <w:pPr>
        <w:pStyle w:val="ListParagraph"/>
        <w:spacing w:before="120" w:after="180" w:line="240" w:lineRule="auto"/>
        <w:ind w:leftChars="115" w:left="507" w:hanging="254"/>
        <w:rPr>
          <w:rFonts w:ascii="Times New Roman" w:hAnsi="Times New Roman"/>
          <w:sz w:val="22"/>
          <w:szCs w:val="22"/>
        </w:rPr>
      </w:pPr>
    </w:p>
    <w:p w14:paraId="4E6BF7D9" w14:textId="77777777" w:rsidR="00581848" w:rsidRPr="00581848" w:rsidRDefault="00581848" w:rsidP="00F5462E">
      <w:pPr>
        <w:pStyle w:val="ListParagraph"/>
        <w:spacing w:before="120" w:after="180" w:line="240" w:lineRule="auto"/>
        <w:ind w:left="880"/>
        <w:rPr>
          <w:rFonts w:ascii="Times New Roman" w:hAnsi="Times New Roman"/>
          <w:b/>
          <w:bCs/>
          <w:sz w:val="22"/>
          <w:szCs w:val="22"/>
        </w:rPr>
      </w:pPr>
    </w:p>
    <w:p w14:paraId="7731927F" w14:textId="77777777" w:rsidR="00A64DA6" w:rsidRDefault="00A64DA6" w:rsidP="00F5462E">
      <w:pPr>
        <w:spacing w:before="120" w:after="180"/>
        <w:rPr>
          <w:b/>
          <w:bCs/>
          <w:szCs w:val="22"/>
        </w:rPr>
      </w:pPr>
    </w:p>
    <w:p w14:paraId="1F10109B" w14:textId="730A8F8A" w:rsidR="00581848" w:rsidRPr="00581848" w:rsidRDefault="00173F42" w:rsidP="00A64DA6">
      <w:pPr>
        <w:pStyle w:val="IPPHeading1"/>
        <w:rPr>
          <w:b w:val="0"/>
          <w:bCs/>
        </w:rPr>
      </w:pPr>
      <w:bookmarkStart w:id="29" w:name="_Toc210831732"/>
      <w:r>
        <w:rPr>
          <w:bCs/>
        </w:rPr>
        <w:lastRenderedPageBreak/>
        <w:t>Appendix 2:</w:t>
      </w:r>
      <w:r w:rsidR="00581848" w:rsidRPr="00581848">
        <w:rPr>
          <w:bCs/>
        </w:rPr>
        <w:t xml:space="preserve"> </w:t>
      </w:r>
      <w:r>
        <w:rPr>
          <w:bCs/>
        </w:rPr>
        <w:t xml:space="preserve">Interview summary </w:t>
      </w:r>
      <w:r w:rsidR="00581848" w:rsidRPr="00581848">
        <w:rPr>
          <w:bCs/>
        </w:rPr>
        <w:t xml:space="preserve">with </w:t>
      </w:r>
      <w:r>
        <w:rPr>
          <w:bCs/>
        </w:rPr>
        <w:t xml:space="preserve">Dr Fathiya Khamis from </w:t>
      </w:r>
      <w:r w:rsidR="00581848" w:rsidRPr="00581848">
        <w:rPr>
          <w:bCs/>
        </w:rPr>
        <w:t>ICIPE on Plant Health Diagnostic Networking</w:t>
      </w:r>
      <w:bookmarkEnd w:id="29"/>
    </w:p>
    <w:p w14:paraId="4659DCCE" w14:textId="77777777" w:rsidR="00581848" w:rsidRPr="00581848" w:rsidRDefault="00581848" w:rsidP="00F5462E">
      <w:pPr>
        <w:spacing w:before="120" w:after="180"/>
        <w:rPr>
          <w:b/>
          <w:bCs/>
          <w:szCs w:val="22"/>
        </w:rPr>
      </w:pPr>
      <w:r w:rsidRPr="00581848">
        <w:rPr>
          <w:b/>
          <w:bCs/>
          <w:szCs w:val="22"/>
        </w:rPr>
        <w:t>Date: 27 May 2025</w:t>
      </w:r>
    </w:p>
    <w:p w14:paraId="0078A428" w14:textId="77777777" w:rsidR="00581848" w:rsidRPr="00581848" w:rsidRDefault="00581848" w:rsidP="00F5462E">
      <w:pPr>
        <w:spacing w:before="120" w:after="180"/>
        <w:rPr>
          <w:b/>
          <w:bCs/>
          <w:szCs w:val="22"/>
        </w:rPr>
      </w:pPr>
      <w:r w:rsidRPr="00581848">
        <w:rPr>
          <w:b/>
          <w:bCs/>
          <w:szCs w:val="22"/>
        </w:rPr>
        <w:t>Location: Virtual Meeting</w:t>
      </w:r>
    </w:p>
    <w:p w14:paraId="2F3E336D" w14:textId="77777777" w:rsidR="00581848" w:rsidRPr="00581848" w:rsidRDefault="00581848" w:rsidP="00F5462E">
      <w:pPr>
        <w:spacing w:before="120" w:after="180"/>
        <w:rPr>
          <w:b/>
          <w:bCs/>
          <w:szCs w:val="22"/>
        </w:rPr>
      </w:pPr>
      <w:r w:rsidRPr="00581848">
        <w:rPr>
          <w:b/>
          <w:bCs/>
          <w:szCs w:val="22"/>
        </w:rPr>
        <w:t>Participants:</w:t>
      </w:r>
    </w:p>
    <w:p w14:paraId="0047AC7A" w14:textId="77777777" w:rsidR="00581848" w:rsidRPr="00581848" w:rsidRDefault="00581848" w:rsidP="00F5462E">
      <w:pPr>
        <w:spacing w:before="120" w:after="180"/>
        <w:rPr>
          <w:szCs w:val="22"/>
        </w:rPr>
      </w:pPr>
      <w:r w:rsidRPr="00581848">
        <w:rPr>
          <w:szCs w:val="22"/>
        </w:rPr>
        <w:t>Dr. Fathiya Khamis – Senior Scientist, Molecular Biology, ICIPE</w:t>
      </w:r>
    </w:p>
    <w:p w14:paraId="58B0750F" w14:textId="77777777" w:rsidR="00581848" w:rsidRPr="00581848" w:rsidRDefault="00581848" w:rsidP="00F5462E">
      <w:pPr>
        <w:spacing w:before="120" w:after="180"/>
        <w:rPr>
          <w:szCs w:val="22"/>
        </w:rPr>
      </w:pPr>
      <w:r w:rsidRPr="00581848">
        <w:rPr>
          <w:szCs w:val="22"/>
        </w:rPr>
        <w:t>Nolan Africander – Scientific Manager, Plant Quarantine and Diagnostics</w:t>
      </w:r>
    </w:p>
    <w:p w14:paraId="0487B382" w14:textId="77777777" w:rsidR="00581848" w:rsidRPr="00581848" w:rsidRDefault="00581848" w:rsidP="00F5462E">
      <w:pPr>
        <w:spacing w:before="120" w:after="180"/>
        <w:rPr>
          <w:b/>
          <w:bCs/>
          <w:szCs w:val="22"/>
        </w:rPr>
      </w:pPr>
      <w:r w:rsidRPr="00581848">
        <w:rPr>
          <w:b/>
          <w:bCs/>
          <w:szCs w:val="22"/>
        </w:rPr>
        <w:t>1. Background</w:t>
      </w:r>
    </w:p>
    <w:p w14:paraId="64FE2D62" w14:textId="77777777" w:rsidR="00581848" w:rsidRPr="00581848" w:rsidRDefault="00581848" w:rsidP="00F5462E">
      <w:pPr>
        <w:spacing w:before="120" w:after="180"/>
        <w:rPr>
          <w:szCs w:val="22"/>
        </w:rPr>
      </w:pPr>
      <w:r w:rsidRPr="00581848">
        <w:rPr>
          <w:szCs w:val="22"/>
        </w:rPr>
        <w:t>The purpose of this meeting was to explore opportunities for collaboration with ICIPE to strengthen plant health diagnostic capacity and align with regional efforts to establish a coordinated plant health diagnostic network (PHDN). ICIPE plays a significant role in supporting plant health research and diagnostics across Africa, making it a key stakeholder in the development of a networked approach to diagnostics, surveillance, and data sharing.</w:t>
      </w:r>
    </w:p>
    <w:p w14:paraId="061FFA6C" w14:textId="77777777" w:rsidR="00581848" w:rsidRPr="00581848" w:rsidRDefault="00581848" w:rsidP="00F5462E">
      <w:pPr>
        <w:spacing w:before="120" w:after="180"/>
        <w:rPr>
          <w:b/>
          <w:bCs/>
          <w:szCs w:val="22"/>
        </w:rPr>
      </w:pPr>
      <w:r w:rsidRPr="00581848">
        <w:rPr>
          <w:b/>
          <w:bCs/>
          <w:szCs w:val="22"/>
        </w:rPr>
        <w:t>2. Institutional Overview</w:t>
      </w:r>
    </w:p>
    <w:p w14:paraId="13D6B157" w14:textId="77777777" w:rsidR="00581848" w:rsidRPr="00581848" w:rsidRDefault="00581848" w:rsidP="00F5462E">
      <w:pPr>
        <w:spacing w:before="120" w:after="180"/>
        <w:rPr>
          <w:szCs w:val="22"/>
        </w:rPr>
      </w:pPr>
      <w:r w:rsidRPr="00581848">
        <w:rPr>
          <w:szCs w:val="22"/>
        </w:rPr>
        <w:t>Dr. Khamis outlined ICIPE’s mandate and structure:</w:t>
      </w:r>
    </w:p>
    <w:p w14:paraId="2E5E219C" w14:textId="77777777" w:rsidR="00581848" w:rsidRPr="00581848" w:rsidRDefault="00581848" w:rsidP="00F5462E">
      <w:pPr>
        <w:spacing w:before="120" w:after="180"/>
        <w:rPr>
          <w:szCs w:val="22"/>
        </w:rPr>
      </w:pPr>
      <w:r w:rsidRPr="00581848">
        <w:rPr>
          <w:szCs w:val="22"/>
        </w:rPr>
        <w:t xml:space="preserve">Operates under four thematic areas: Plant Health, Animal Health, Human Health, and Environmental Health. The Plant Health theme focuses on insect pest and pathogen research, </w:t>
      </w:r>
      <w:proofErr w:type="gramStart"/>
      <w:r w:rsidRPr="00581848">
        <w:rPr>
          <w:szCs w:val="22"/>
        </w:rPr>
        <w:t>bio-prospecting</w:t>
      </w:r>
      <w:proofErr w:type="gramEnd"/>
      <w:r w:rsidRPr="00581848">
        <w:rPr>
          <w:szCs w:val="22"/>
        </w:rPr>
        <w:t>, bio-pesticide development, and diagnostic innovation.</w:t>
      </w:r>
    </w:p>
    <w:p w14:paraId="6C3C30B1" w14:textId="77777777" w:rsidR="00581848" w:rsidRPr="00581848" w:rsidRDefault="00581848" w:rsidP="00F5462E">
      <w:pPr>
        <w:spacing w:before="120" w:after="180"/>
        <w:rPr>
          <w:szCs w:val="22"/>
        </w:rPr>
      </w:pPr>
      <w:r w:rsidRPr="00581848">
        <w:rPr>
          <w:szCs w:val="22"/>
        </w:rPr>
        <w:t xml:space="preserve">Serves as a regional </w:t>
      </w:r>
      <w:proofErr w:type="spellStart"/>
      <w:r w:rsidRPr="00581848">
        <w:rPr>
          <w:szCs w:val="22"/>
        </w:rPr>
        <w:t>center</w:t>
      </w:r>
      <w:proofErr w:type="spellEnd"/>
      <w:r w:rsidRPr="00581848">
        <w:rPr>
          <w:szCs w:val="22"/>
        </w:rPr>
        <w:t xml:space="preserve"> of excellence, receiving samples for diagnosis from Kenya and other African countries under strict regulatory compliance.</w:t>
      </w:r>
    </w:p>
    <w:p w14:paraId="0CCD35C2" w14:textId="77777777" w:rsidR="00581848" w:rsidRPr="00581848" w:rsidRDefault="00581848" w:rsidP="00F5462E">
      <w:pPr>
        <w:spacing w:before="120" w:after="180"/>
        <w:rPr>
          <w:b/>
          <w:bCs/>
          <w:szCs w:val="22"/>
        </w:rPr>
      </w:pPr>
      <w:r w:rsidRPr="00581848">
        <w:rPr>
          <w:b/>
          <w:bCs/>
          <w:szCs w:val="22"/>
        </w:rPr>
        <w:t>3. Diagnostic and Research Capacity</w:t>
      </w:r>
    </w:p>
    <w:p w14:paraId="37940694" w14:textId="77777777" w:rsidR="00581848" w:rsidRPr="00581848" w:rsidRDefault="00581848" w:rsidP="00F5462E">
      <w:pPr>
        <w:spacing w:before="120" w:after="180"/>
        <w:rPr>
          <w:szCs w:val="22"/>
        </w:rPr>
      </w:pPr>
      <w:r w:rsidRPr="00581848">
        <w:rPr>
          <w:szCs w:val="22"/>
        </w:rPr>
        <w:t>Infrastructure: Molecular biology labs, sequencing platforms (including Oxford Nanopore), containment facilities, biosystematics collections, and chemical ecology capacity.</w:t>
      </w:r>
    </w:p>
    <w:p w14:paraId="44CD30F6" w14:textId="77777777" w:rsidR="00581848" w:rsidRPr="00581848" w:rsidRDefault="00581848" w:rsidP="00F5462E">
      <w:pPr>
        <w:spacing w:before="120" w:after="180"/>
        <w:rPr>
          <w:szCs w:val="22"/>
        </w:rPr>
      </w:pPr>
      <w:r w:rsidRPr="00581848">
        <w:rPr>
          <w:szCs w:val="22"/>
        </w:rPr>
        <w:t>Expertise: Molecular diagnostics, pathogen isolation, morphological and molecular identification, resistance studies, and population genetics.</w:t>
      </w:r>
    </w:p>
    <w:p w14:paraId="0EDC1501" w14:textId="77777777" w:rsidR="00581848" w:rsidRPr="00581848" w:rsidRDefault="00581848" w:rsidP="00F5462E">
      <w:pPr>
        <w:spacing w:before="120" w:after="180"/>
        <w:rPr>
          <w:szCs w:val="22"/>
        </w:rPr>
      </w:pPr>
      <w:r w:rsidRPr="00581848">
        <w:rPr>
          <w:szCs w:val="22"/>
        </w:rPr>
        <w:t>Capacity Building: Extensive training programs for African researchers, enhancing regional technical capability.</w:t>
      </w:r>
    </w:p>
    <w:p w14:paraId="2C1E6D5A" w14:textId="77777777" w:rsidR="00581848" w:rsidRPr="00581848" w:rsidRDefault="00581848" w:rsidP="00F5462E">
      <w:pPr>
        <w:spacing w:before="120" w:after="180"/>
        <w:rPr>
          <w:szCs w:val="22"/>
        </w:rPr>
      </w:pPr>
      <w:r w:rsidRPr="00581848">
        <w:rPr>
          <w:szCs w:val="22"/>
        </w:rPr>
        <w:t>Sample Management: Works with KEPHIS and other regulatory authorities to ensure proper permits and safe handling of samples.</w:t>
      </w:r>
    </w:p>
    <w:p w14:paraId="2655F30F" w14:textId="77777777" w:rsidR="00581848" w:rsidRPr="00581848" w:rsidRDefault="00581848" w:rsidP="00F5462E">
      <w:pPr>
        <w:spacing w:before="120" w:after="180"/>
        <w:rPr>
          <w:b/>
          <w:bCs/>
          <w:szCs w:val="22"/>
        </w:rPr>
      </w:pPr>
      <w:r w:rsidRPr="00581848">
        <w:rPr>
          <w:b/>
          <w:bCs/>
          <w:szCs w:val="22"/>
        </w:rPr>
        <w:t>4. Data Management and Sharing</w:t>
      </w:r>
    </w:p>
    <w:p w14:paraId="4A5A465D" w14:textId="77777777" w:rsidR="00581848" w:rsidRPr="00581848" w:rsidRDefault="00581848" w:rsidP="00F5462E">
      <w:pPr>
        <w:spacing w:before="120" w:after="180"/>
        <w:rPr>
          <w:szCs w:val="22"/>
        </w:rPr>
      </w:pPr>
      <w:r w:rsidRPr="00581848">
        <w:rPr>
          <w:szCs w:val="22"/>
        </w:rPr>
        <w:t>Project data stored within ICIPE’s integrated data systems and submitted to public repositories (NCBI, GenBank) upon publication. Acknowledged the value of establishing centralized national and regional databases for pest and pathogen data to improve surveillance, preparedness, and trade facilitation.</w:t>
      </w:r>
    </w:p>
    <w:p w14:paraId="044A354E" w14:textId="77777777" w:rsidR="00581848" w:rsidRPr="00581848" w:rsidRDefault="00581848" w:rsidP="00F5462E">
      <w:pPr>
        <w:spacing w:before="120" w:after="180"/>
        <w:rPr>
          <w:b/>
          <w:bCs/>
          <w:szCs w:val="22"/>
        </w:rPr>
      </w:pPr>
      <w:r w:rsidRPr="00581848">
        <w:rPr>
          <w:b/>
          <w:bCs/>
          <w:szCs w:val="22"/>
        </w:rPr>
        <w:t>5. Collaboration and Governance</w:t>
      </w:r>
    </w:p>
    <w:p w14:paraId="2DEBAACF" w14:textId="77777777" w:rsidR="00581848" w:rsidRPr="00581848" w:rsidRDefault="00581848" w:rsidP="00F5462E">
      <w:pPr>
        <w:spacing w:before="120" w:after="180"/>
        <w:rPr>
          <w:szCs w:val="22"/>
        </w:rPr>
      </w:pPr>
      <w:r w:rsidRPr="00581848">
        <w:rPr>
          <w:szCs w:val="22"/>
        </w:rPr>
        <w:t>Strong collaboration with KEPHIS, KEBS, and other Kenyan regulatory agencies to ensure compliance with biosafety and agricultural regulations. Sample movement from other countries managed under a strict permitting process, with containment and pre-release evaluations for biological materials. Open to deeper collaboration with NPPOs and regional partners to develop harmonized approaches to diagnostics and data sharing.</w:t>
      </w:r>
    </w:p>
    <w:p w14:paraId="59B79B70" w14:textId="77777777" w:rsidR="00581848" w:rsidRPr="00581848" w:rsidRDefault="00581848" w:rsidP="00F5462E">
      <w:pPr>
        <w:spacing w:before="120" w:after="180"/>
        <w:rPr>
          <w:b/>
          <w:bCs/>
          <w:szCs w:val="22"/>
        </w:rPr>
      </w:pPr>
      <w:r w:rsidRPr="00581848">
        <w:rPr>
          <w:b/>
          <w:bCs/>
          <w:szCs w:val="22"/>
        </w:rPr>
        <w:t>6. Regional Role and Potential Contribution to PHDNs</w:t>
      </w:r>
    </w:p>
    <w:p w14:paraId="73D303E2" w14:textId="77777777" w:rsidR="00581848" w:rsidRPr="00581848" w:rsidRDefault="00581848" w:rsidP="00F5462E">
      <w:pPr>
        <w:spacing w:before="120" w:after="180"/>
        <w:rPr>
          <w:szCs w:val="22"/>
        </w:rPr>
      </w:pPr>
      <w:r w:rsidRPr="00581848">
        <w:rPr>
          <w:szCs w:val="22"/>
        </w:rPr>
        <w:lastRenderedPageBreak/>
        <w:t xml:space="preserve">Kenya, through ICIPE, is well-positioned to serve as a diagnostic hub for East Africa. ICIPE’s infrastructure, expertise, and training programs can significantly contribute to building a network of </w:t>
      </w:r>
      <w:proofErr w:type="spellStart"/>
      <w:r w:rsidRPr="00581848">
        <w:rPr>
          <w:szCs w:val="22"/>
        </w:rPr>
        <w:t>centers</w:t>
      </w:r>
      <w:proofErr w:type="spellEnd"/>
      <w:r w:rsidRPr="00581848">
        <w:rPr>
          <w:szCs w:val="22"/>
        </w:rPr>
        <w:t xml:space="preserve"> of excellence across Africa. Supports the concept of a continent-wide diagnostic network for faster sharing of protocols, surveillance results, and integrated pest management solutions.</w:t>
      </w:r>
    </w:p>
    <w:p w14:paraId="0148DA09" w14:textId="77777777" w:rsidR="00581848" w:rsidRPr="00581848" w:rsidRDefault="00581848" w:rsidP="00F5462E">
      <w:pPr>
        <w:spacing w:before="120" w:after="180"/>
        <w:rPr>
          <w:b/>
          <w:bCs/>
          <w:szCs w:val="22"/>
        </w:rPr>
      </w:pPr>
      <w:r w:rsidRPr="00581848">
        <w:rPr>
          <w:b/>
          <w:bCs/>
          <w:szCs w:val="22"/>
        </w:rPr>
        <w:t>7. Key Discussion Points</w:t>
      </w:r>
    </w:p>
    <w:p w14:paraId="62E13228" w14:textId="77777777" w:rsidR="00581848" w:rsidRPr="00581848" w:rsidRDefault="00581848" w:rsidP="00F5462E">
      <w:pPr>
        <w:spacing w:before="120" w:after="180"/>
        <w:rPr>
          <w:szCs w:val="22"/>
        </w:rPr>
      </w:pPr>
      <w:r w:rsidRPr="00581848">
        <w:rPr>
          <w:szCs w:val="22"/>
        </w:rPr>
        <w:t>Need for centralized databases with controlled access to strengthen evidence-based phytosanitary decision-making. Importance of sharing diagnostic protocols regionally to avoid duplication and improve preparedness for pest incursions.</w:t>
      </w:r>
    </w:p>
    <w:p w14:paraId="744E0CC9" w14:textId="77777777" w:rsidR="00581848" w:rsidRPr="00581848" w:rsidRDefault="00581848" w:rsidP="00F5462E">
      <w:pPr>
        <w:spacing w:before="120" w:after="180"/>
        <w:rPr>
          <w:szCs w:val="22"/>
        </w:rPr>
      </w:pPr>
      <w:r w:rsidRPr="00581848">
        <w:rPr>
          <w:szCs w:val="22"/>
        </w:rPr>
        <w:t>Opportunity to leverage ICIPE’s infrastructure and expertise as a regional model hub. Recognition that resource-limited countries can benefit greatly from a shared network approach, supporting compliance with IPPC obligations and safeguarding market access.</w:t>
      </w:r>
    </w:p>
    <w:p w14:paraId="714D61AB" w14:textId="77777777" w:rsidR="00581848" w:rsidRPr="00581848" w:rsidRDefault="00581848" w:rsidP="00F5462E">
      <w:pPr>
        <w:spacing w:before="120" w:after="180"/>
        <w:rPr>
          <w:b/>
          <w:bCs/>
          <w:szCs w:val="22"/>
        </w:rPr>
      </w:pPr>
      <w:r w:rsidRPr="00581848">
        <w:rPr>
          <w:b/>
          <w:bCs/>
          <w:szCs w:val="22"/>
        </w:rPr>
        <w:t>8. Recommendations</w:t>
      </w:r>
    </w:p>
    <w:p w14:paraId="40A8D7A1" w14:textId="77777777" w:rsidR="00581848" w:rsidRPr="00581848" w:rsidRDefault="00581848" w:rsidP="00F5462E">
      <w:pPr>
        <w:spacing w:before="120" w:after="180"/>
        <w:rPr>
          <w:szCs w:val="22"/>
        </w:rPr>
      </w:pPr>
      <w:r w:rsidRPr="00581848">
        <w:rPr>
          <w:szCs w:val="22"/>
        </w:rPr>
        <w:t>Engage ICIPE as a Strategic Partner in the development of regional and continental plant health diagnostic networks. Establish a Data-Sharing Framework that allows integration of ICIPE-generated data into national and regional surveillance systems while respecting project-level confidentiality. Develop Joint Training and Capacity-Building Programs leveraging ICIPE’s expertise to address technical gaps across NPPOs in the region.</w:t>
      </w:r>
    </w:p>
    <w:p w14:paraId="48D90A39" w14:textId="77777777" w:rsidR="00581848" w:rsidRPr="00581848" w:rsidRDefault="00581848" w:rsidP="00F5462E">
      <w:pPr>
        <w:spacing w:before="120" w:after="180"/>
        <w:rPr>
          <w:szCs w:val="22"/>
        </w:rPr>
      </w:pPr>
      <w:r w:rsidRPr="00581848">
        <w:rPr>
          <w:szCs w:val="22"/>
        </w:rPr>
        <w:t>Pilot a Regional Diagnostic Hub Model with ICIPE as a lead institution, focusing on harmonized diagnostics, standard operating procedures (SOPs), and rapid response capacity.</w:t>
      </w:r>
    </w:p>
    <w:p w14:paraId="496A00B4" w14:textId="77777777" w:rsidR="00581848" w:rsidRDefault="00581848" w:rsidP="00F5462E">
      <w:pPr>
        <w:spacing w:before="120" w:after="180"/>
        <w:rPr>
          <w:szCs w:val="22"/>
        </w:rPr>
      </w:pPr>
      <w:r w:rsidRPr="00581848">
        <w:rPr>
          <w:szCs w:val="22"/>
        </w:rPr>
        <w:t>Facilitate Regular Stakeholder Engagement between ICIPE, NPPOs, FAO, and other regional actors to align priorities and funding mechanisms.</w:t>
      </w:r>
    </w:p>
    <w:p w14:paraId="79A12D5E" w14:textId="77777777" w:rsidR="00173F42" w:rsidRDefault="00173F42" w:rsidP="00F5462E">
      <w:pPr>
        <w:spacing w:before="120" w:after="180"/>
        <w:rPr>
          <w:szCs w:val="22"/>
        </w:rPr>
      </w:pPr>
    </w:p>
    <w:p w14:paraId="0A8D3AED" w14:textId="77777777" w:rsidR="00173F42" w:rsidRDefault="00173F42" w:rsidP="00F5462E">
      <w:pPr>
        <w:spacing w:before="120" w:after="180"/>
        <w:rPr>
          <w:szCs w:val="22"/>
        </w:rPr>
      </w:pPr>
    </w:p>
    <w:p w14:paraId="75CA867A" w14:textId="77777777" w:rsidR="00173F42" w:rsidRDefault="00173F42" w:rsidP="00F5462E">
      <w:pPr>
        <w:spacing w:before="120" w:after="180"/>
        <w:rPr>
          <w:szCs w:val="22"/>
        </w:rPr>
      </w:pPr>
    </w:p>
    <w:p w14:paraId="14F4264B" w14:textId="77777777" w:rsidR="00173F42" w:rsidRDefault="00173F42" w:rsidP="00F5462E">
      <w:pPr>
        <w:spacing w:before="120" w:after="180"/>
        <w:rPr>
          <w:szCs w:val="22"/>
        </w:rPr>
      </w:pPr>
    </w:p>
    <w:p w14:paraId="11AFE90D" w14:textId="77777777" w:rsidR="00173F42" w:rsidRDefault="00173F42" w:rsidP="00F5462E">
      <w:pPr>
        <w:spacing w:before="120" w:after="180"/>
        <w:rPr>
          <w:szCs w:val="22"/>
        </w:rPr>
      </w:pPr>
    </w:p>
    <w:p w14:paraId="34A3BB68" w14:textId="77777777" w:rsidR="00173F42" w:rsidRDefault="00173F42" w:rsidP="00F5462E">
      <w:pPr>
        <w:spacing w:before="120" w:after="180"/>
        <w:rPr>
          <w:szCs w:val="22"/>
        </w:rPr>
      </w:pPr>
    </w:p>
    <w:p w14:paraId="686481DC" w14:textId="77777777" w:rsidR="00173F42" w:rsidRDefault="00173F42" w:rsidP="00F5462E">
      <w:pPr>
        <w:spacing w:before="120" w:after="180"/>
        <w:rPr>
          <w:szCs w:val="22"/>
        </w:rPr>
      </w:pPr>
    </w:p>
    <w:p w14:paraId="36F47BB6" w14:textId="77777777" w:rsidR="00173F42" w:rsidRDefault="00173F42" w:rsidP="00F5462E">
      <w:pPr>
        <w:spacing w:before="120" w:after="180"/>
        <w:rPr>
          <w:szCs w:val="22"/>
        </w:rPr>
      </w:pPr>
    </w:p>
    <w:p w14:paraId="563C6905" w14:textId="77777777" w:rsidR="00173F42" w:rsidRDefault="00173F42" w:rsidP="00F5462E">
      <w:pPr>
        <w:spacing w:before="120" w:after="180"/>
        <w:rPr>
          <w:szCs w:val="22"/>
        </w:rPr>
      </w:pPr>
    </w:p>
    <w:p w14:paraId="1D189E2B" w14:textId="77777777" w:rsidR="00173F42" w:rsidRDefault="00173F42" w:rsidP="00F5462E">
      <w:pPr>
        <w:spacing w:before="120" w:after="180"/>
        <w:rPr>
          <w:szCs w:val="22"/>
        </w:rPr>
      </w:pPr>
    </w:p>
    <w:p w14:paraId="2F5A914F" w14:textId="77777777" w:rsidR="00173F42" w:rsidRDefault="00173F42" w:rsidP="00F5462E">
      <w:pPr>
        <w:spacing w:before="120" w:after="180"/>
        <w:rPr>
          <w:szCs w:val="22"/>
        </w:rPr>
      </w:pPr>
    </w:p>
    <w:p w14:paraId="533AB8A8" w14:textId="77777777" w:rsidR="00173F42" w:rsidRDefault="00173F42" w:rsidP="00F5462E">
      <w:pPr>
        <w:spacing w:before="120" w:after="180"/>
        <w:rPr>
          <w:szCs w:val="22"/>
        </w:rPr>
      </w:pPr>
    </w:p>
    <w:p w14:paraId="164DF446" w14:textId="77777777" w:rsidR="00173F42" w:rsidRDefault="00173F42" w:rsidP="00F5462E">
      <w:pPr>
        <w:spacing w:before="120" w:after="180"/>
        <w:rPr>
          <w:szCs w:val="22"/>
        </w:rPr>
      </w:pPr>
    </w:p>
    <w:p w14:paraId="03843262" w14:textId="77777777" w:rsidR="00173F42" w:rsidRDefault="00173F42" w:rsidP="00F5462E">
      <w:pPr>
        <w:spacing w:before="120" w:after="180"/>
        <w:rPr>
          <w:szCs w:val="22"/>
        </w:rPr>
      </w:pPr>
    </w:p>
    <w:p w14:paraId="2F16822E" w14:textId="77777777" w:rsidR="00173F42" w:rsidRDefault="00173F42" w:rsidP="00F5462E">
      <w:pPr>
        <w:spacing w:before="120" w:after="180"/>
        <w:rPr>
          <w:szCs w:val="22"/>
        </w:rPr>
      </w:pPr>
    </w:p>
    <w:p w14:paraId="718774A8" w14:textId="77777777" w:rsidR="00173F42" w:rsidRPr="00581848" w:rsidRDefault="00173F42" w:rsidP="00F5462E">
      <w:pPr>
        <w:spacing w:before="120" w:after="180"/>
        <w:rPr>
          <w:szCs w:val="22"/>
        </w:rPr>
      </w:pPr>
    </w:p>
    <w:p w14:paraId="02A9C49F" w14:textId="42133DA1" w:rsidR="00581848" w:rsidRPr="00581848" w:rsidRDefault="00173F42" w:rsidP="00A64DA6">
      <w:pPr>
        <w:pStyle w:val="IPPHeading1"/>
      </w:pPr>
      <w:bookmarkStart w:id="30" w:name="_Toc210831733"/>
      <w:r>
        <w:rPr>
          <w:bCs/>
        </w:rPr>
        <w:lastRenderedPageBreak/>
        <w:t>Appendix 3: Interview s</w:t>
      </w:r>
      <w:r w:rsidR="00581848" w:rsidRPr="00581848">
        <w:rPr>
          <w:bCs/>
        </w:rPr>
        <w:t xml:space="preserve">ummary </w:t>
      </w:r>
      <w:r>
        <w:rPr>
          <w:bCs/>
        </w:rPr>
        <w:t>with Ms Juli</w:t>
      </w:r>
      <w:r w:rsidR="00A64DA6">
        <w:rPr>
          <w:bCs/>
        </w:rPr>
        <w:t>et</w:t>
      </w:r>
      <w:r>
        <w:rPr>
          <w:bCs/>
        </w:rPr>
        <w:t xml:space="preserve"> Goldsmith from </w:t>
      </w:r>
      <w:r w:rsidR="000B6756">
        <w:rPr>
          <w:bCs/>
        </w:rPr>
        <w:t>CAHFSA</w:t>
      </w:r>
      <w:r>
        <w:rPr>
          <w:bCs/>
        </w:rPr>
        <w:t xml:space="preserve"> on </w:t>
      </w:r>
      <w:r w:rsidR="00581848" w:rsidRPr="00581848">
        <w:rPr>
          <w:bCs/>
        </w:rPr>
        <w:t>Plant Health Diagnostic</w:t>
      </w:r>
      <w:r>
        <w:rPr>
          <w:bCs/>
        </w:rPr>
        <w:t xml:space="preserve"> Networking</w:t>
      </w:r>
      <w:r w:rsidR="00581848" w:rsidRPr="00581848">
        <w:rPr>
          <w:bCs/>
        </w:rPr>
        <w:t>, Regional Coordination, and Industry Collaboration</w:t>
      </w:r>
      <w:bookmarkEnd w:id="30"/>
    </w:p>
    <w:p w14:paraId="45E8C953" w14:textId="77777777" w:rsidR="00581848" w:rsidRPr="00581848" w:rsidRDefault="00581848" w:rsidP="00F5462E">
      <w:pPr>
        <w:spacing w:before="120" w:after="180"/>
        <w:rPr>
          <w:b/>
          <w:bCs/>
          <w:szCs w:val="22"/>
        </w:rPr>
      </w:pPr>
      <w:r w:rsidRPr="00581848">
        <w:rPr>
          <w:b/>
          <w:bCs/>
          <w:szCs w:val="22"/>
        </w:rPr>
        <w:t>Context and Participants:</w:t>
      </w:r>
    </w:p>
    <w:p w14:paraId="0E804C86" w14:textId="27C1B362" w:rsidR="00581848" w:rsidRPr="00581848" w:rsidRDefault="00581848" w:rsidP="00F5462E">
      <w:pPr>
        <w:spacing w:before="120" w:after="180"/>
        <w:rPr>
          <w:szCs w:val="22"/>
        </w:rPr>
      </w:pPr>
      <w:r w:rsidRPr="00581848">
        <w:rPr>
          <w:szCs w:val="22"/>
        </w:rPr>
        <w:t xml:space="preserve">Nolan Africander provided an overview of South Africa’s quarantine and plant health diagnostic services, emphasizing research, laboratory support, and facilitation of imports and exports. He highlighted collaboration with the FAO on plant health diagnostic networking. Juliet Goldsmith represented </w:t>
      </w:r>
      <w:r w:rsidR="000B6756">
        <w:rPr>
          <w:szCs w:val="22"/>
        </w:rPr>
        <w:t>CAHFSA</w:t>
      </w:r>
      <w:r w:rsidRPr="00581848">
        <w:rPr>
          <w:szCs w:val="22"/>
        </w:rPr>
        <w:t xml:space="preserve">, the Caribbean regional plant protection organization (RPPO), which functions as the SPS (Sanitary and Phytosanitary) body for CARICOM member states, covering plant health, animal health, food safety, and biodiversity/biosafety. </w:t>
      </w:r>
      <w:r w:rsidR="000B6756">
        <w:rPr>
          <w:szCs w:val="22"/>
        </w:rPr>
        <w:t>CAHFSA</w:t>
      </w:r>
      <w:r w:rsidRPr="00581848">
        <w:rPr>
          <w:szCs w:val="22"/>
        </w:rPr>
        <w:t xml:space="preserve"> primarily acts as a facilitator and coordinating secretariat, supporting member states in improving SPS systems despite limited institutional capacity.</w:t>
      </w:r>
    </w:p>
    <w:p w14:paraId="6B047337" w14:textId="77777777" w:rsidR="00581848" w:rsidRPr="00581848" w:rsidRDefault="00581848" w:rsidP="00F5462E">
      <w:pPr>
        <w:spacing w:before="120" w:after="180"/>
        <w:rPr>
          <w:b/>
          <w:bCs/>
          <w:szCs w:val="22"/>
        </w:rPr>
      </w:pPr>
      <w:r w:rsidRPr="00581848">
        <w:rPr>
          <w:b/>
          <w:bCs/>
          <w:szCs w:val="22"/>
        </w:rPr>
        <w:t>Structure of Plant Health Diagnostics in the Caribbean:</w:t>
      </w:r>
    </w:p>
    <w:p w14:paraId="24C4EA36" w14:textId="4B0DE622" w:rsidR="00581848" w:rsidRPr="00581848" w:rsidRDefault="00581848" w:rsidP="00F5462E">
      <w:pPr>
        <w:spacing w:before="120" w:after="180"/>
        <w:rPr>
          <w:szCs w:val="22"/>
        </w:rPr>
      </w:pPr>
      <w:r w:rsidRPr="00581848">
        <w:rPr>
          <w:szCs w:val="22"/>
        </w:rPr>
        <w:t xml:space="preserve">National and Regional Roles: Member states operate through their national agricultural health and food safety agencies (NAHFSA), which interface with </w:t>
      </w:r>
      <w:r w:rsidR="000B6756">
        <w:rPr>
          <w:szCs w:val="22"/>
        </w:rPr>
        <w:t>CAHFSA</w:t>
      </w:r>
      <w:r w:rsidRPr="00581848">
        <w:rPr>
          <w:szCs w:val="22"/>
        </w:rPr>
        <w:t xml:space="preserve"> for guidance and support.</w:t>
      </w:r>
    </w:p>
    <w:p w14:paraId="3159DC61" w14:textId="6744F210" w:rsidR="00581848" w:rsidRPr="00581848" w:rsidRDefault="00581848" w:rsidP="00F5462E">
      <w:pPr>
        <w:spacing w:before="120" w:after="180"/>
        <w:rPr>
          <w:szCs w:val="22"/>
        </w:rPr>
      </w:pPr>
      <w:r w:rsidRPr="00581848">
        <w:rPr>
          <w:szCs w:val="22"/>
        </w:rPr>
        <w:t xml:space="preserve">Caribbean Pest Diagnostic Network (CPDN): </w:t>
      </w:r>
      <w:r w:rsidR="000B6756">
        <w:rPr>
          <w:szCs w:val="22"/>
        </w:rPr>
        <w:t>CAHFSA</w:t>
      </w:r>
      <w:r w:rsidRPr="00581848">
        <w:rPr>
          <w:szCs w:val="22"/>
        </w:rPr>
        <w:t xml:space="preserve"> promotes rapid diagnostics regionally via CPDN, including training, preliminary diagnostics, and guidance. CPDN operates under an MoU with the University of Florida and relies on external experts for sample confirmation due to limited in-country human resources.</w:t>
      </w:r>
    </w:p>
    <w:p w14:paraId="3EC5AE6A" w14:textId="77777777" w:rsidR="00581848" w:rsidRPr="00581848" w:rsidRDefault="00581848" w:rsidP="00F5462E">
      <w:pPr>
        <w:spacing w:before="120" w:after="180"/>
        <w:rPr>
          <w:szCs w:val="22"/>
        </w:rPr>
      </w:pPr>
      <w:r w:rsidRPr="00581848">
        <w:rPr>
          <w:szCs w:val="22"/>
        </w:rPr>
        <w:t>Challenges: Small populations, limited lab infrastructure, and human resource gaps constrain fully functional diagnostics. Sample transport is hindered by geographic isolation, flight availability, customs, and courier restrictions. Training programs face sustainability challenges, and few personnel specialize in pest diagnostics.</w:t>
      </w:r>
    </w:p>
    <w:p w14:paraId="40C0E66F" w14:textId="77777777" w:rsidR="00581848" w:rsidRPr="00581848" w:rsidRDefault="00581848" w:rsidP="00F5462E">
      <w:pPr>
        <w:spacing w:before="120" w:after="180"/>
        <w:rPr>
          <w:b/>
          <w:bCs/>
          <w:szCs w:val="22"/>
        </w:rPr>
      </w:pPr>
      <w:r w:rsidRPr="00581848">
        <w:rPr>
          <w:b/>
          <w:bCs/>
          <w:szCs w:val="22"/>
        </w:rPr>
        <w:t>Capacity Building and Networking:</w:t>
      </w:r>
    </w:p>
    <w:p w14:paraId="43550691" w14:textId="3FFA9921" w:rsidR="00581848" w:rsidRPr="00581848" w:rsidRDefault="000B6756" w:rsidP="00F5462E">
      <w:pPr>
        <w:spacing w:before="120" w:after="180"/>
        <w:rPr>
          <w:szCs w:val="22"/>
        </w:rPr>
      </w:pPr>
      <w:r>
        <w:rPr>
          <w:szCs w:val="22"/>
        </w:rPr>
        <w:t>CAHFSA</w:t>
      </w:r>
      <w:r w:rsidR="00581848" w:rsidRPr="00581848">
        <w:rPr>
          <w:szCs w:val="22"/>
        </w:rPr>
        <w:t xml:space="preserve"> emphasizes regional </w:t>
      </w:r>
      <w:proofErr w:type="spellStart"/>
      <w:r w:rsidR="00581848" w:rsidRPr="00581848">
        <w:rPr>
          <w:szCs w:val="22"/>
        </w:rPr>
        <w:t>centers</w:t>
      </w:r>
      <w:proofErr w:type="spellEnd"/>
      <w:r w:rsidR="00581848" w:rsidRPr="00581848">
        <w:rPr>
          <w:szCs w:val="22"/>
        </w:rPr>
        <w:t xml:space="preserve"> of excellence to centralize diagnostic capacity rather than duplicating labs in every small country. Existing laboratories in countries such as Suriname and St. Lucia are well-equipped but often lack trained personnel. Networking and recognition of regional experts (from universities, agricultural institutions, and retirees) are prioritized over formal accreditation to reduce complexity and costs.</w:t>
      </w:r>
    </w:p>
    <w:p w14:paraId="2FE9C523" w14:textId="77777777" w:rsidR="00581848" w:rsidRPr="00581848" w:rsidRDefault="00581848" w:rsidP="00F5462E">
      <w:pPr>
        <w:spacing w:before="120" w:after="180"/>
        <w:rPr>
          <w:szCs w:val="22"/>
        </w:rPr>
      </w:pPr>
      <w:r w:rsidRPr="00581848">
        <w:rPr>
          <w:szCs w:val="22"/>
        </w:rPr>
        <w:t>Training focuses on practical, preliminary diagnostics, surveillance, tabletop simulations, and emergency response plans for priority pests.</w:t>
      </w:r>
    </w:p>
    <w:p w14:paraId="363CAF19" w14:textId="77777777" w:rsidR="00581848" w:rsidRPr="00581848" w:rsidRDefault="00581848" w:rsidP="00F5462E">
      <w:pPr>
        <w:spacing w:before="120" w:after="180"/>
        <w:rPr>
          <w:b/>
          <w:bCs/>
          <w:szCs w:val="22"/>
        </w:rPr>
      </w:pPr>
      <w:r w:rsidRPr="00581848">
        <w:rPr>
          <w:b/>
          <w:bCs/>
          <w:szCs w:val="22"/>
        </w:rPr>
        <w:t>Data and Information Management:</w:t>
      </w:r>
    </w:p>
    <w:p w14:paraId="511634B0" w14:textId="79F83CA2" w:rsidR="00581848" w:rsidRPr="00581848" w:rsidRDefault="000B6756" w:rsidP="00F5462E">
      <w:pPr>
        <w:spacing w:before="120" w:after="180"/>
        <w:rPr>
          <w:szCs w:val="22"/>
        </w:rPr>
      </w:pPr>
      <w:r>
        <w:rPr>
          <w:szCs w:val="22"/>
        </w:rPr>
        <w:t>CAHFSA</w:t>
      </w:r>
      <w:r w:rsidR="00581848" w:rsidRPr="00581848">
        <w:rPr>
          <w:szCs w:val="22"/>
        </w:rPr>
        <w:t xml:space="preserve"> currently lacks a formal regional diagnostic information management system. Most countries submit diagnostic results to IPPC’s ePhyto (GENs) system. South Africa’s internal “E-labs” system serves as a model for consolidating lab results, managing external agreements, and facilitating e-certification. </w:t>
      </w:r>
    </w:p>
    <w:p w14:paraId="5BF01F46" w14:textId="77777777" w:rsidR="00581848" w:rsidRPr="00581848" w:rsidRDefault="00581848" w:rsidP="00F5462E">
      <w:pPr>
        <w:spacing w:before="120" w:after="180"/>
        <w:rPr>
          <w:szCs w:val="22"/>
        </w:rPr>
      </w:pPr>
      <w:r w:rsidRPr="00581848">
        <w:rPr>
          <w:b/>
          <w:bCs/>
          <w:szCs w:val="22"/>
        </w:rPr>
        <w:t>Priority Pest Management:</w:t>
      </w:r>
    </w:p>
    <w:p w14:paraId="25ECAA61" w14:textId="4BEF567D" w:rsidR="00581848" w:rsidRPr="00581848" w:rsidRDefault="000B6756" w:rsidP="00F5462E">
      <w:pPr>
        <w:spacing w:before="120" w:after="180"/>
        <w:rPr>
          <w:szCs w:val="22"/>
        </w:rPr>
      </w:pPr>
      <w:r>
        <w:rPr>
          <w:szCs w:val="22"/>
        </w:rPr>
        <w:t>CAHFSA</w:t>
      </w:r>
      <w:r w:rsidR="00581848" w:rsidRPr="00581848">
        <w:rPr>
          <w:szCs w:val="22"/>
        </w:rPr>
        <w:t xml:space="preserve"> maintains a biennially updated priority pest list and provides targeted training for high-priority pests. Risk assessments for these pests are planned with external partners (e.g., CAB International).</w:t>
      </w:r>
    </w:p>
    <w:p w14:paraId="5A1C8C8A" w14:textId="77777777" w:rsidR="00581848" w:rsidRPr="00581848" w:rsidRDefault="00581848" w:rsidP="00F5462E">
      <w:pPr>
        <w:spacing w:before="120" w:after="180"/>
        <w:rPr>
          <w:b/>
          <w:bCs/>
          <w:szCs w:val="22"/>
        </w:rPr>
      </w:pPr>
      <w:r w:rsidRPr="00581848">
        <w:rPr>
          <w:b/>
          <w:bCs/>
          <w:szCs w:val="22"/>
        </w:rPr>
        <w:t>Collaboration with Industries:</w:t>
      </w:r>
    </w:p>
    <w:p w14:paraId="1448828C" w14:textId="77777777" w:rsidR="00581848" w:rsidRPr="00581848" w:rsidRDefault="00581848" w:rsidP="00F5462E">
      <w:pPr>
        <w:spacing w:before="120" w:after="180"/>
        <w:rPr>
          <w:szCs w:val="22"/>
        </w:rPr>
      </w:pPr>
      <w:r w:rsidRPr="00581848">
        <w:rPr>
          <w:szCs w:val="22"/>
        </w:rPr>
        <w:t>Nolan emphasized leveraging expertise within major agricultural industries (e.g., citrus, bananas, grapes) to support rapid diagnostics and decision-making for imports and exports.</w:t>
      </w:r>
    </w:p>
    <w:p w14:paraId="3CC4FB5E" w14:textId="77777777" w:rsidR="00581848" w:rsidRPr="00581848" w:rsidRDefault="00581848" w:rsidP="00F5462E">
      <w:pPr>
        <w:spacing w:before="120" w:after="180"/>
        <w:rPr>
          <w:szCs w:val="22"/>
        </w:rPr>
      </w:pPr>
      <w:r w:rsidRPr="00581848">
        <w:rPr>
          <w:szCs w:val="22"/>
        </w:rPr>
        <w:lastRenderedPageBreak/>
        <w:t>Juliet noted that while industry experts exist, they generally focus on agronomy rather than pest diagnostics. Exceptions include molecular diagnosticians in certain industry boards, such as the Coconut Industry Board in Jamaica, who are valuable for specific pathogens like lethal yellowing.</w:t>
      </w:r>
    </w:p>
    <w:p w14:paraId="6BEC1C10" w14:textId="77777777" w:rsidR="00581848" w:rsidRPr="00581848" w:rsidRDefault="00581848" w:rsidP="00F5462E">
      <w:pPr>
        <w:spacing w:before="120" w:after="180"/>
        <w:rPr>
          <w:b/>
          <w:bCs/>
          <w:szCs w:val="22"/>
        </w:rPr>
      </w:pPr>
      <w:r w:rsidRPr="00581848">
        <w:rPr>
          <w:b/>
          <w:bCs/>
          <w:szCs w:val="22"/>
        </w:rPr>
        <w:t>Role of Molecular Biology:</w:t>
      </w:r>
    </w:p>
    <w:p w14:paraId="5BFD86A0" w14:textId="77777777" w:rsidR="00581848" w:rsidRPr="00581848" w:rsidRDefault="00581848" w:rsidP="00F5462E">
      <w:pPr>
        <w:spacing w:before="120" w:after="180"/>
        <w:rPr>
          <w:szCs w:val="22"/>
        </w:rPr>
      </w:pPr>
      <w:r w:rsidRPr="00581848">
        <w:rPr>
          <w:szCs w:val="22"/>
        </w:rPr>
        <w:t>Molecular diagnostics, including PCR, are increasingly important for rapid testing. Nolan highlighted the benefits of molecular biologists in diagnostics, while Juliet noted her team primarily uses morphological methods due to limited molecular equipment. Both acknowledged the utility of molecular expertise for specific pathogens.</w:t>
      </w:r>
    </w:p>
    <w:p w14:paraId="282288DC" w14:textId="77777777" w:rsidR="00581848" w:rsidRPr="00581848" w:rsidRDefault="00581848" w:rsidP="00F5462E">
      <w:pPr>
        <w:spacing w:before="120" w:after="180"/>
        <w:rPr>
          <w:b/>
          <w:bCs/>
          <w:szCs w:val="22"/>
        </w:rPr>
      </w:pPr>
      <w:r w:rsidRPr="00581848">
        <w:rPr>
          <w:b/>
          <w:bCs/>
          <w:szCs w:val="22"/>
        </w:rPr>
        <w:t>Challenges and Strategic Considerations:</w:t>
      </w:r>
    </w:p>
    <w:p w14:paraId="4FE92681" w14:textId="214CAD78" w:rsidR="00581848" w:rsidRPr="00581848" w:rsidRDefault="00581848" w:rsidP="00F5462E">
      <w:pPr>
        <w:spacing w:before="120" w:after="180"/>
        <w:rPr>
          <w:szCs w:val="22"/>
        </w:rPr>
      </w:pPr>
      <w:r w:rsidRPr="00581848">
        <w:rPr>
          <w:szCs w:val="22"/>
        </w:rPr>
        <w:t xml:space="preserve">Resource limitations, human resource gaps, and logistical constraints hinder diagnostic capacity across the Caribbean. </w:t>
      </w:r>
      <w:r w:rsidR="000B6756">
        <w:rPr>
          <w:szCs w:val="22"/>
        </w:rPr>
        <w:t>CAHFSA</w:t>
      </w:r>
      <w:r w:rsidRPr="00581848">
        <w:rPr>
          <w:szCs w:val="22"/>
        </w:rPr>
        <w:t xml:space="preserve"> prioritizes recognition of capable labs rather than formal accreditation to reduce complexity. Collaboration with industry and research institutions is essential to leverage expertise and training. Policymaker engagement is needed to raise awareness of the importance of diagnostics.</w:t>
      </w:r>
    </w:p>
    <w:p w14:paraId="0AF8304D" w14:textId="77777777" w:rsidR="00581848" w:rsidRPr="00581848" w:rsidRDefault="00581848" w:rsidP="00F5462E">
      <w:pPr>
        <w:spacing w:before="120" w:after="180"/>
        <w:rPr>
          <w:b/>
          <w:bCs/>
          <w:szCs w:val="22"/>
        </w:rPr>
      </w:pPr>
      <w:r w:rsidRPr="00581848">
        <w:rPr>
          <w:b/>
          <w:bCs/>
          <w:szCs w:val="22"/>
        </w:rPr>
        <w:t>Vision and Future Plans:</w:t>
      </w:r>
    </w:p>
    <w:p w14:paraId="6E61B623" w14:textId="77777777" w:rsidR="00581848" w:rsidRPr="00581848" w:rsidRDefault="00581848" w:rsidP="00F5462E">
      <w:pPr>
        <w:spacing w:before="120" w:after="180"/>
        <w:rPr>
          <w:szCs w:val="22"/>
        </w:rPr>
      </w:pPr>
      <w:r w:rsidRPr="00581848">
        <w:rPr>
          <w:szCs w:val="22"/>
        </w:rPr>
        <w:t xml:space="preserve">Establish regional </w:t>
      </w:r>
      <w:proofErr w:type="spellStart"/>
      <w:r w:rsidRPr="00581848">
        <w:rPr>
          <w:szCs w:val="22"/>
        </w:rPr>
        <w:t>centers</w:t>
      </w:r>
      <w:proofErr w:type="spellEnd"/>
      <w:r w:rsidRPr="00581848">
        <w:rPr>
          <w:szCs w:val="22"/>
        </w:rPr>
        <w:t xml:space="preserve"> of excellence to serve multiple countries. Strengthen networking of existing labs and experts to optimize resources. Focus on training, skill retention, and sustainable capacity building. Improve regional and international cooperation for sample confirmation.</w:t>
      </w:r>
    </w:p>
    <w:p w14:paraId="35955773" w14:textId="77777777" w:rsidR="00581848" w:rsidRPr="00581848" w:rsidRDefault="00581848" w:rsidP="00F5462E">
      <w:pPr>
        <w:spacing w:before="120" w:after="180"/>
        <w:rPr>
          <w:szCs w:val="22"/>
        </w:rPr>
      </w:pPr>
      <w:r w:rsidRPr="00581848">
        <w:rPr>
          <w:szCs w:val="22"/>
        </w:rPr>
        <w:t>Develop better data and information management systems to streamline diagnostics and e-certification. Engage with global networks and IPPC initiatives for knowledge sharing and capacity building.</w:t>
      </w:r>
    </w:p>
    <w:p w14:paraId="3D489EA2" w14:textId="77777777" w:rsidR="00581848" w:rsidRPr="00581848" w:rsidRDefault="00581848" w:rsidP="00F5462E">
      <w:pPr>
        <w:spacing w:before="120" w:after="180"/>
        <w:rPr>
          <w:b/>
          <w:bCs/>
          <w:szCs w:val="22"/>
        </w:rPr>
      </w:pPr>
      <w:r w:rsidRPr="00581848">
        <w:rPr>
          <w:b/>
          <w:bCs/>
          <w:szCs w:val="22"/>
        </w:rPr>
        <w:t>Closing and Next Steps:</w:t>
      </w:r>
    </w:p>
    <w:p w14:paraId="25FA8E1C" w14:textId="77777777" w:rsidR="00581848" w:rsidRPr="00581848" w:rsidRDefault="00581848" w:rsidP="00F5462E">
      <w:pPr>
        <w:spacing w:before="120" w:after="180"/>
        <w:rPr>
          <w:szCs w:val="22"/>
        </w:rPr>
      </w:pPr>
      <w:r w:rsidRPr="00581848">
        <w:rPr>
          <w:szCs w:val="22"/>
        </w:rPr>
        <w:t xml:space="preserve">Nolan and Juliet agreed on the value of ongoing engagement to discuss plant health diagnostic networks (PHDNs) and share feedback on regional approaches. Juliet provided a link to the CPDN for further reference, and both parties acknowledged minor technical issues during the discussion. </w:t>
      </w:r>
    </w:p>
    <w:p w14:paraId="182A992C" w14:textId="77777777" w:rsidR="00581848" w:rsidRDefault="00581848" w:rsidP="00F5462E">
      <w:pPr>
        <w:spacing w:before="120" w:after="180"/>
        <w:rPr>
          <w:szCs w:val="22"/>
        </w:rPr>
      </w:pPr>
      <w:r w:rsidRPr="00581848">
        <w:rPr>
          <w:szCs w:val="22"/>
        </w:rPr>
        <w:t>The overall approach in the Caribbean emphasizes pragmatic, collaborative solutions, strategic resource allocation, regional hubs, and human capacity development over formal lab accreditation.</w:t>
      </w:r>
    </w:p>
    <w:p w14:paraId="3342E3C5" w14:textId="77777777" w:rsidR="00173F42" w:rsidRDefault="00173F42" w:rsidP="00F5462E">
      <w:pPr>
        <w:spacing w:before="120" w:after="180"/>
        <w:rPr>
          <w:szCs w:val="22"/>
        </w:rPr>
      </w:pPr>
    </w:p>
    <w:p w14:paraId="3D5DB781" w14:textId="77777777" w:rsidR="00173F42" w:rsidRDefault="00173F42" w:rsidP="00F5462E">
      <w:pPr>
        <w:spacing w:before="120" w:after="180"/>
        <w:rPr>
          <w:szCs w:val="22"/>
        </w:rPr>
      </w:pPr>
    </w:p>
    <w:p w14:paraId="21D56D2A" w14:textId="77777777" w:rsidR="00173F42" w:rsidRDefault="00173F42" w:rsidP="00F5462E">
      <w:pPr>
        <w:spacing w:before="120" w:after="180"/>
        <w:rPr>
          <w:szCs w:val="22"/>
        </w:rPr>
      </w:pPr>
    </w:p>
    <w:p w14:paraId="38B7AE7E" w14:textId="77777777" w:rsidR="00173F42" w:rsidRDefault="00173F42" w:rsidP="00F5462E">
      <w:pPr>
        <w:spacing w:before="120" w:after="180"/>
        <w:rPr>
          <w:szCs w:val="22"/>
        </w:rPr>
      </w:pPr>
    </w:p>
    <w:p w14:paraId="22C172B3" w14:textId="77777777" w:rsidR="00173F42" w:rsidRDefault="00173F42" w:rsidP="00F5462E">
      <w:pPr>
        <w:spacing w:before="120" w:after="180"/>
        <w:rPr>
          <w:szCs w:val="22"/>
        </w:rPr>
      </w:pPr>
    </w:p>
    <w:p w14:paraId="00918959" w14:textId="77777777" w:rsidR="00173F42" w:rsidRDefault="00173F42" w:rsidP="00F5462E">
      <w:pPr>
        <w:spacing w:before="120" w:after="180"/>
        <w:rPr>
          <w:szCs w:val="22"/>
        </w:rPr>
      </w:pPr>
    </w:p>
    <w:p w14:paraId="6C8EAACD" w14:textId="77777777" w:rsidR="00173F42" w:rsidRDefault="00173F42" w:rsidP="00F5462E">
      <w:pPr>
        <w:spacing w:before="120" w:after="180"/>
        <w:rPr>
          <w:szCs w:val="22"/>
        </w:rPr>
      </w:pPr>
    </w:p>
    <w:p w14:paraId="5A62CD40" w14:textId="77777777" w:rsidR="00173F42" w:rsidRDefault="00173F42" w:rsidP="00F5462E">
      <w:pPr>
        <w:spacing w:before="120" w:after="180"/>
        <w:rPr>
          <w:szCs w:val="22"/>
        </w:rPr>
      </w:pPr>
    </w:p>
    <w:p w14:paraId="23705FF3" w14:textId="77777777" w:rsidR="00173F42" w:rsidRDefault="00173F42" w:rsidP="00F5462E">
      <w:pPr>
        <w:spacing w:before="120" w:after="180"/>
        <w:rPr>
          <w:szCs w:val="22"/>
        </w:rPr>
      </w:pPr>
    </w:p>
    <w:p w14:paraId="76137F94" w14:textId="77777777" w:rsidR="00173F42" w:rsidRDefault="00173F42" w:rsidP="00F5462E">
      <w:pPr>
        <w:spacing w:before="120" w:after="180"/>
        <w:rPr>
          <w:szCs w:val="22"/>
        </w:rPr>
      </w:pPr>
    </w:p>
    <w:p w14:paraId="06CDD90E" w14:textId="77777777" w:rsidR="00173F42" w:rsidRDefault="00173F42" w:rsidP="00F5462E">
      <w:pPr>
        <w:spacing w:before="120" w:after="180"/>
        <w:rPr>
          <w:szCs w:val="22"/>
        </w:rPr>
      </w:pPr>
    </w:p>
    <w:p w14:paraId="58B60D75" w14:textId="77777777" w:rsidR="00173F42" w:rsidRPr="00581848" w:rsidRDefault="00173F42" w:rsidP="00F5462E">
      <w:pPr>
        <w:spacing w:before="120" w:after="180"/>
        <w:rPr>
          <w:szCs w:val="22"/>
        </w:rPr>
      </w:pPr>
    </w:p>
    <w:p w14:paraId="3542EE06" w14:textId="7A220A26" w:rsidR="00581848" w:rsidRPr="00581848" w:rsidRDefault="00173F42" w:rsidP="00A64DA6">
      <w:pPr>
        <w:pStyle w:val="IPPHeading1"/>
        <w:rPr>
          <w:b w:val="0"/>
          <w:bCs/>
        </w:rPr>
      </w:pPr>
      <w:bookmarkStart w:id="31" w:name="_Toc210831734"/>
      <w:r>
        <w:rPr>
          <w:bCs/>
        </w:rPr>
        <w:lastRenderedPageBreak/>
        <w:t>Appendix 4</w:t>
      </w:r>
      <w:r w:rsidR="00581848" w:rsidRPr="00581848">
        <w:rPr>
          <w:bCs/>
        </w:rPr>
        <w:t xml:space="preserve">: </w:t>
      </w:r>
      <w:r>
        <w:rPr>
          <w:bCs/>
        </w:rPr>
        <w:t xml:space="preserve">Interview summary with Dr Fiona Constable on </w:t>
      </w:r>
      <w:r w:rsidR="00581848" w:rsidRPr="00581848">
        <w:rPr>
          <w:bCs/>
        </w:rPr>
        <w:t>Australian Plant Health Diagnostic Network (SPHD / SPID)</w:t>
      </w:r>
      <w:bookmarkEnd w:id="31"/>
    </w:p>
    <w:p w14:paraId="63B22921" w14:textId="6DF24EF9" w:rsidR="00581848" w:rsidRPr="00581848" w:rsidRDefault="00581848" w:rsidP="00F5462E">
      <w:pPr>
        <w:spacing w:before="120" w:after="180"/>
        <w:rPr>
          <w:b/>
          <w:bCs/>
          <w:szCs w:val="22"/>
        </w:rPr>
      </w:pPr>
      <w:r w:rsidRPr="00581848">
        <w:rPr>
          <w:b/>
          <w:bCs/>
          <w:szCs w:val="22"/>
        </w:rPr>
        <w:t xml:space="preserve">Origins </w:t>
      </w:r>
      <w:r w:rsidR="00953A96">
        <w:rPr>
          <w:b/>
          <w:bCs/>
          <w:szCs w:val="22"/>
        </w:rPr>
        <w:t>and</w:t>
      </w:r>
      <w:r w:rsidRPr="00581848">
        <w:rPr>
          <w:b/>
          <w:bCs/>
          <w:szCs w:val="22"/>
        </w:rPr>
        <w:t xml:space="preserve"> Purpose</w:t>
      </w:r>
    </w:p>
    <w:p w14:paraId="44E0C5BB" w14:textId="77777777" w:rsidR="00581848" w:rsidRPr="00581848" w:rsidRDefault="00581848" w:rsidP="00F5462E">
      <w:pPr>
        <w:spacing w:before="120" w:after="180"/>
        <w:rPr>
          <w:szCs w:val="22"/>
        </w:rPr>
      </w:pPr>
      <w:r w:rsidRPr="00581848">
        <w:rPr>
          <w:szCs w:val="22"/>
        </w:rPr>
        <w:t xml:space="preserve">Formed in mid-2000s to harmonize diagnostics for detection of exotic pests. Driven by Australia’s national priority pest list and industry-specific high-priority pests. Initially focused on developing national diagnostic protocols, later expanded to include: </w:t>
      </w:r>
    </w:p>
    <w:p w14:paraId="7E0E829A" w14:textId="77777777" w:rsidR="00581848" w:rsidRPr="00581848" w:rsidRDefault="00581848" w:rsidP="00F5462E">
      <w:pPr>
        <w:spacing w:before="120" w:after="180"/>
        <w:rPr>
          <w:szCs w:val="22"/>
        </w:rPr>
      </w:pPr>
      <w:r w:rsidRPr="00581848">
        <w:rPr>
          <w:szCs w:val="22"/>
        </w:rPr>
        <w:t xml:space="preserve">Capacity building for diagnosticians. </w:t>
      </w:r>
    </w:p>
    <w:p w14:paraId="0DB54ED3" w14:textId="77777777" w:rsidR="00581848" w:rsidRPr="00581848" w:rsidRDefault="00581848" w:rsidP="00F5462E">
      <w:pPr>
        <w:spacing w:before="120" w:after="180"/>
        <w:rPr>
          <w:szCs w:val="22"/>
        </w:rPr>
      </w:pPr>
      <w:r w:rsidRPr="00581848">
        <w:rPr>
          <w:szCs w:val="22"/>
        </w:rPr>
        <w:t>Training programs and skill development.</w:t>
      </w:r>
    </w:p>
    <w:p w14:paraId="7F9DB84F" w14:textId="77777777" w:rsidR="00581848" w:rsidRPr="00581848" w:rsidRDefault="00581848" w:rsidP="00F5462E">
      <w:pPr>
        <w:spacing w:before="120" w:after="180"/>
        <w:rPr>
          <w:szCs w:val="22"/>
        </w:rPr>
      </w:pPr>
      <w:r w:rsidRPr="00581848">
        <w:rPr>
          <w:szCs w:val="22"/>
        </w:rPr>
        <w:t>Introduction of new technologies into diagnostic workflows.</w:t>
      </w:r>
    </w:p>
    <w:p w14:paraId="60B4AFB9" w14:textId="77777777" w:rsidR="00581848" w:rsidRPr="00581848" w:rsidRDefault="00581848" w:rsidP="00F5462E">
      <w:pPr>
        <w:spacing w:before="120" w:after="180"/>
        <w:rPr>
          <w:szCs w:val="22"/>
        </w:rPr>
      </w:pPr>
      <w:r w:rsidRPr="00581848">
        <w:rPr>
          <w:szCs w:val="22"/>
        </w:rPr>
        <w:t>Development and maintenance of reference collections and policies for information sharing.</w:t>
      </w:r>
    </w:p>
    <w:p w14:paraId="0EC64452" w14:textId="03CC8C70" w:rsidR="00581848" w:rsidRPr="00581848" w:rsidRDefault="00581848" w:rsidP="00F5462E">
      <w:pPr>
        <w:spacing w:before="120" w:after="180"/>
        <w:rPr>
          <w:b/>
          <w:bCs/>
          <w:szCs w:val="22"/>
        </w:rPr>
      </w:pPr>
      <w:r w:rsidRPr="00581848">
        <w:rPr>
          <w:b/>
          <w:bCs/>
          <w:szCs w:val="22"/>
        </w:rPr>
        <w:t xml:space="preserve">Governance </w:t>
      </w:r>
      <w:r w:rsidR="00953A96">
        <w:rPr>
          <w:b/>
          <w:bCs/>
          <w:szCs w:val="22"/>
        </w:rPr>
        <w:t>and</w:t>
      </w:r>
      <w:r w:rsidRPr="00581848">
        <w:rPr>
          <w:b/>
          <w:bCs/>
          <w:szCs w:val="22"/>
        </w:rPr>
        <w:t xml:space="preserve"> Structure</w:t>
      </w:r>
    </w:p>
    <w:p w14:paraId="6737B7C8" w14:textId="77777777" w:rsidR="00581848" w:rsidRPr="00581848" w:rsidRDefault="00581848" w:rsidP="00F5462E">
      <w:pPr>
        <w:spacing w:before="120" w:after="180"/>
        <w:rPr>
          <w:szCs w:val="22"/>
        </w:rPr>
      </w:pPr>
      <w:r w:rsidRPr="00581848">
        <w:rPr>
          <w:szCs w:val="22"/>
        </w:rPr>
        <w:t>Overseen by the Plant Health Committee, which saw the need for specialized subcommittees.</w:t>
      </w:r>
    </w:p>
    <w:p w14:paraId="5F92641F" w14:textId="77777777" w:rsidR="00581848" w:rsidRPr="00581848" w:rsidRDefault="00581848" w:rsidP="00F5462E">
      <w:pPr>
        <w:spacing w:before="120" w:after="180"/>
        <w:rPr>
          <w:b/>
          <w:bCs/>
          <w:szCs w:val="22"/>
        </w:rPr>
      </w:pPr>
      <w:r w:rsidRPr="00581848">
        <w:rPr>
          <w:b/>
          <w:bCs/>
          <w:szCs w:val="22"/>
        </w:rPr>
        <w:t>SPID (Subcommittee for Plant Health Diagnostics):</w:t>
      </w:r>
    </w:p>
    <w:p w14:paraId="0E17EBC1" w14:textId="77777777" w:rsidR="00581848" w:rsidRPr="00581848" w:rsidRDefault="00581848" w:rsidP="00F5462E">
      <w:pPr>
        <w:spacing w:before="120" w:after="180"/>
        <w:rPr>
          <w:szCs w:val="22"/>
        </w:rPr>
      </w:pPr>
      <w:r w:rsidRPr="00581848">
        <w:rPr>
          <w:szCs w:val="22"/>
        </w:rPr>
        <w:t>Membership: One representative (and now an observer) from each state/territory + federal government labs + CSIRO.</w:t>
      </w:r>
    </w:p>
    <w:p w14:paraId="46BC1392" w14:textId="77777777" w:rsidR="00581848" w:rsidRPr="00581848" w:rsidRDefault="00581848" w:rsidP="00F5462E">
      <w:pPr>
        <w:spacing w:before="120" w:after="180"/>
        <w:rPr>
          <w:szCs w:val="22"/>
        </w:rPr>
      </w:pPr>
      <w:r w:rsidRPr="00581848">
        <w:rPr>
          <w:szCs w:val="22"/>
        </w:rPr>
        <w:t>Represents mainly government laboratories. Provides a platform for collaboration, confirmation testing, and knowledge sharing. Works alongside the Surveillance Committee ("Sniff"), which focuses on surveillance design, sampling, and cost-effective evidence of pest absence.</w:t>
      </w:r>
    </w:p>
    <w:p w14:paraId="2D11BDD2" w14:textId="59346067" w:rsidR="00581848" w:rsidRPr="00581848" w:rsidRDefault="00581848" w:rsidP="00F5462E">
      <w:pPr>
        <w:spacing w:before="120" w:after="180"/>
        <w:rPr>
          <w:b/>
          <w:bCs/>
          <w:szCs w:val="22"/>
        </w:rPr>
      </w:pPr>
      <w:r w:rsidRPr="00581848">
        <w:rPr>
          <w:b/>
          <w:bCs/>
          <w:szCs w:val="22"/>
        </w:rPr>
        <w:t xml:space="preserve">Collaboration </w:t>
      </w:r>
      <w:r w:rsidR="00953A96">
        <w:rPr>
          <w:b/>
          <w:bCs/>
          <w:szCs w:val="22"/>
        </w:rPr>
        <w:t>and</w:t>
      </w:r>
      <w:r w:rsidRPr="00581848">
        <w:rPr>
          <w:b/>
          <w:bCs/>
          <w:szCs w:val="22"/>
        </w:rPr>
        <w:t xml:space="preserve"> Networks</w:t>
      </w:r>
    </w:p>
    <w:p w14:paraId="1CABE554" w14:textId="77777777" w:rsidR="00581848" w:rsidRPr="00581848" w:rsidRDefault="00581848" w:rsidP="00F5462E">
      <w:pPr>
        <w:spacing w:before="120" w:after="180"/>
        <w:rPr>
          <w:szCs w:val="22"/>
        </w:rPr>
      </w:pPr>
      <w:r w:rsidRPr="00581848">
        <w:rPr>
          <w:szCs w:val="22"/>
        </w:rPr>
        <w:t>Strong inter-laboratory connections: labs know where expertise sits. A national secure membership website lists experts, protocols, and resources. Opening membership to international partners (Pacific nations, potentially South Africa). New Zealand participates as an observer, with regular bilateral collaboration.</w:t>
      </w:r>
    </w:p>
    <w:p w14:paraId="0989784C" w14:textId="496346B4" w:rsidR="00581848" w:rsidRPr="00581848" w:rsidRDefault="00581848" w:rsidP="00F5462E">
      <w:pPr>
        <w:spacing w:before="120" w:after="180"/>
        <w:rPr>
          <w:b/>
          <w:bCs/>
          <w:szCs w:val="22"/>
        </w:rPr>
      </w:pPr>
      <w:r w:rsidRPr="00581848">
        <w:rPr>
          <w:b/>
          <w:bCs/>
          <w:szCs w:val="22"/>
        </w:rPr>
        <w:t xml:space="preserve">Diagnostics </w:t>
      </w:r>
      <w:r w:rsidR="00953A96">
        <w:rPr>
          <w:b/>
          <w:bCs/>
          <w:szCs w:val="22"/>
        </w:rPr>
        <w:t>and</w:t>
      </w:r>
      <w:r w:rsidRPr="00581848">
        <w:rPr>
          <w:b/>
          <w:bCs/>
          <w:szCs w:val="22"/>
        </w:rPr>
        <w:t xml:space="preserve"> Protocols</w:t>
      </w:r>
    </w:p>
    <w:p w14:paraId="79D8B899" w14:textId="77777777" w:rsidR="00581848" w:rsidRPr="00581848" w:rsidRDefault="00581848" w:rsidP="00F5462E">
      <w:pPr>
        <w:spacing w:before="120" w:after="180"/>
        <w:rPr>
          <w:szCs w:val="22"/>
        </w:rPr>
      </w:pPr>
      <w:r w:rsidRPr="00581848">
        <w:rPr>
          <w:szCs w:val="22"/>
        </w:rPr>
        <w:t>Endorsed national diagnostic protocols must be used for primary diagnosis and surveillance. Labs may use additional methods but must still apply the official protocol. Where no national protocol exists:</w:t>
      </w:r>
    </w:p>
    <w:p w14:paraId="0A2EC03E" w14:textId="77777777" w:rsidR="00581848" w:rsidRPr="00581848" w:rsidRDefault="00581848" w:rsidP="00F5462E">
      <w:pPr>
        <w:spacing w:before="120" w:after="180"/>
        <w:rPr>
          <w:szCs w:val="22"/>
        </w:rPr>
      </w:pPr>
      <w:r w:rsidRPr="00581848">
        <w:rPr>
          <w:szCs w:val="22"/>
        </w:rPr>
        <w:t>IPPC ISPM protocols are applied first. EPPO protocols are often used and adapted as needed. Confirmation testing is mandatory: A second lab must verify significant detections before escalation. Outbreak response: Results are quickly communicated to growers and Chief Plant Health Officers. Escalation to Consultative Committee for Emergency Plant Pests (CCEPP) for national coordination.</w:t>
      </w:r>
    </w:p>
    <w:p w14:paraId="3E91CB56" w14:textId="009C47D4" w:rsidR="00581848" w:rsidRPr="00581848" w:rsidRDefault="00581848" w:rsidP="00F5462E">
      <w:pPr>
        <w:spacing w:before="120" w:after="180"/>
        <w:rPr>
          <w:b/>
          <w:bCs/>
          <w:szCs w:val="22"/>
        </w:rPr>
      </w:pPr>
      <w:r w:rsidRPr="00581848">
        <w:rPr>
          <w:b/>
          <w:bCs/>
          <w:szCs w:val="22"/>
        </w:rPr>
        <w:t xml:space="preserve">Infrastructure </w:t>
      </w:r>
      <w:r w:rsidR="00953A96">
        <w:rPr>
          <w:b/>
          <w:bCs/>
          <w:szCs w:val="22"/>
        </w:rPr>
        <w:t>and</w:t>
      </w:r>
      <w:r w:rsidRPr="00581848">
        <w:rPr>
          <w:b/>
          <w:bCs/>
          <w:szCs w:val="22"/>
        </w:rPr>
        <w:t xml:space="preserve"> Expertise</w:t>
      </w:r>
    </w:p>
    <w:p w14:paraId="7A3280A6" w14:textId="77777777" w:rsidR="00581848" w:rsidRPr="00581848" w:rsidRDefault="00581848" w:rsidP="00F5462E">
      <w:pPr>
        <w:spacing w:before="120" w:after="180"/>
        <w:rPr>
          <w:szCs w:val="22"/>
        </w:rPr>
      </w:pPr>
      <w:r w:rsidRPr="00581848">
        <w:rPr>
          <w:szCs w:val="22"/>
        </w:rPr>
        <w:t xml:space="preserve">Different capacity across states and territories – some have sequencing, others rely on PCR and microscopy. Expertise sits where it is most needed; succession planning is important to retain capacity. Labs provide mutual support if another lacks expertise or resources. </w:t>
      </w:r>
    </w:p>
    <w:p w14:paraId="349B0C53" w14:textId="067C3ABB" w:rsidR="00581848" w:rsidRPr="00581848" w:rsidRDefault="00581848" w:rsidP="00F5462E">
      <w:pPr>
        <w:spacing w:before="120" w:after="180"/>
        <w:rPr>
          <w:b/>
          <w:bCs/>
          <w:szCs w:val="22"/>
        </w:rPr>
      </w:pPr>
      <w:r w:rsidRPr="00581848">
        <w:rPr>
          <w:b/>
          <w:bCs/>
          <w:szCs w:val="22"/>
        </w:rPr>
        <w:t xml:space="preserve">Information </w:t>
      </w:r>
      <w:r w:rsidR="00953A96">
        <w:rPr>
          <w:b/>
          <w:bCs/>
          <w:szCs w:val="22"/>
        </w:rPr>
        <w:t>and</w:t>
      </w:r>
      <w:r w:rsidRPr="00581848">
        <w:rPr>
          <w:b/>
          <w:bCs/>
          <w:szCs w:val="22"/>
        </w:rPr>
        <w:t xml:space="preserve"> Data Sharing</w:t>
      </w:r>
    </w:p>
    <w:p w14:paraId="3B34AA1D" w14:textId="77777777" w:rsidR="00581848" w:rsidRDefault="00581848" w:rsidP="00F5462E">
      <w:pPr>
        <w:spacing w:before="120" w:after="180"/>
        <w:rPr>
          <w:szCs w:val="22"/>
        </w:rPr>
      </w:pPr>
      <w:r w:rsidRPr="00581848">
        <w:rPr>
          <w:szCs w:val="22"/>
        </w:rPr>
        <w:t xml:space="preserve">Diagnostic results are not routinely shared across jurisdictions at first due to trade implications and state border controls. Higher-level information (protocols, tools, reference data) is shared nationally. Secure systems manage access to expert directories and protocols but not routine diagnostic results. </w:t>
      </w:r>
    </w:p>
    <w:p w14:paraId="149C290C" w14:textId="77777777" w:rsidR="003D6B56" w:rsidRPr="00581848" w:rsidRDefault="003D6B56" w:rsidP="00F5462E">
      <w:pPr>
        <w:spacing w:before="120" w:after="180"/>
        <w:rPr>
          <w:szCs w:val="22"/>
        </w:rPr>
      </w:pPr>
    </w:p>
    <w:p w14:paraId="6E6EEBD4" w14:textId="66E5B993" w:rsidR="00581848" w:rsidRPr="00581848" w:rsidRDefault="00581848" w:rsidP="00F5462E">
      <w:pPr>
        <w:spacing w:before="120" w:after="180"/>
        <w:rPr>
          <w:b/>
          <w:bCs/>
          <w:szCs w:val="22"/>
        </w:rPr>
      </w:pPr>
      <w:r w:rsidRPr="00581848">
        <w:rPr>
          <w:b/>
          <w:bCs/>
          <w:szCs w:val="22"/>
        </w:rPr>
        <w:lastRenderedPageBreak/>
        <w:t xml:space="preserve">Funding </w:t>
      </w:r>
      <w:r w:rsidR="00953A96">
        <w:rPr>
          <w:b/>
          <w:bCs/>
          <w:szCs w:val="22"/>
        </w:rPr>
        <w:t>and</w:t>
      </w:r>
      <w:r w:rsidRPr="00581848">
        <w:rPr>
          <w:b/>
          <w:bCs/>
          <w:szCs w:val="22"/>
        </w:rPr>
        <w:t xml:space="preserve"> Sustainability</w:t>
      </w:r>
    </w:p>
    <w:p w14:paraId="305A274B" w14:textId="77777777" w:rsidR="00581848" w:rsidRPr="00581848" w:rsidRDefault="00581848" w:rsidP="00F5462E">
      <w:pPr>
        <w:spacing w:before="120" w:after="180"/>
        <w:rPr>
          <w:szCs w:val="22"/>
        </w:rPr>
      </w:pPr>
      <w:r w:rsidRPr="00581848">
        <w:rPr>
          <w:szCs w:val="22"/>
        </w:rPr>
        <w:t xml:space="preserve">Funding is a mix of: </w:t>
      </w:r>
    </w:p>
    <w:p w14:paraId="0DA224B7" w14:textId="77777777" w:rsidR="00581848" w:rsidRPr="00581848" w:rsidRDefault="00581848" w:rsidP="00F5462E">
      <w:pPr>
        <w:spacing w:before="120" w:after="180"/>
        <w:rPr>
          <w:szCs w:val="22"/>
        </w:rPr>
      </w:pPr>
      <w:r w:rsidRPr="00581848">
        <w:rPr>
          <w:szCs w:val="22"/>
        </w:rPr>
        <w:t>Federal government contributions (limited and under pressure). In-kind contributions from states/territories (staff time, committee participation, infrastructure use). Industry investment (e.g., Grains Research and Development Corporation funds national diagnostic projects). Fee-for-service testing for non-exotic pests, which helps cover overheads. Funding challenges remain; sustainable models are being explored.</w:t>
      </w:r>
    </w:p>
    <w:p w14:paraId="20674A5D" w14:textId="160D3718" w:rsidR="00581848" w:rsidRPr="00581848" w:rsidRDefault="00581848" w:rsidP="00F5462E">
      <w:pPr>
        <w:spacing w:before="120" w:after="180"/>
        <w:rPr>
          <w:b/>
          <w:bCs/>
          <w:szCs w:val="22"/>
        </w:rPr>
      </w:pPr>
      <w:r w:rsidRPr="00581848">
        <w:rPr>
          <w:b/>
          <w:bCs/>
          <w:szCs w:val="22"/>
        </w:rPr>
        <w:t xml:space="preserve">Contingency Planning </w:t>
      </w:r>
      <w:r w:rsidR="00953A96">
        <w:rPr>
          <w:b/>
          <w:bCs/>
          <w:szCs w:val="22"/>
        </w:rPr>
        <w:t>and</w:t>
      </w:r>
      <w:r w:rsidRPr="00581848">
        <w:rPr>
          <w:b/>
          <w:bCs/>
          <w:szCs w:val="22"/>
        </w:rPr>
        <w:t xml:space="preserve"> Preparedness</w:t>
      </w:r>
    </w:p>
    <w:p w14:paraId="359C8902" w14:textId="77777777" w:rsidR="00581848" w:rsidRPr="00581848" w:rsidRDefault="00581848" w:rsidP="00F5462E">
      <w:pPr>
        <w:spacing w:before="120" w:after="180"/>
        <w:rPr>
          <w:szCs w:val="22"/>
        </w:rPr>
      </w:pPr>
      <w:r w:rsidRPr="00581848">
        <w:rPr>
          <w:szCs w:val="22"/>
        </w:rPr>
        <w:t xml:space="preserve">Contingency plans are developed for priority pests, often co-funded by industry. Plans and resources are stored in a contingency plan portal for rapid access during outbreaks. </w:t>
      </w:r>
    </w:p>
    <w:p w14:paraId="5140E68B" w14:textId="77777777" w:rsidR="00581848" w:rsidRPr="00581848" w:rsidRDefault="00581848" w:rsidP="00F5462E">
      <w:pPr>
        <w:spacing w:before="120" w:after="180"/>
        <w:rPr>
          <w:szCs w:val="22"/>
        </w:rPr>
      </w:pPr>
      <w:r w:rsidRPr="00581848">
        <w:rPr>
          <w:szCs w:val="22"/>
        </w:rPr>
        <w:t>Example: Response to Tomato brown rugose fruit virus (</w:t>
      </w:r>
      <w:proofErr w:type="spellStart"/>
      <w:r w:rsidRPr="00581848">
        <w:rPr>
          <w:szCs w:val="22"/>
        </w:rPr>
        <w:t>ToBRFV</w:t>
      </w:r>
      <w:proofErr w:type="spellEnd"/>
      <w:r w:rsidRPr="00581848">
        <w:rPr>
          <w:szCs w:val="22"/>
        </w:rPr>
        <w:t>) required rapid validation of diagnostic tools, adaptation of EPPO protocols, and international collaboration for result interpretation.</w:t>
      </w:r>
    </w:p>
    <w:p w14:paraId="2BA3995B" w14:textId="77777777" w:rsidR="00581848" w:rsidRPr="00581848" w:rsidRDefault="00581848" w:rsidP="00F5462E">
      <w:pPr>
        <w:spacing w:before="120" w:after="180"/>
        <w:rPr>
          <w:b/>
          <w:bCs/>
          <w:szCs w:val="22"/>
        </w:rPr>
      </w:pPr>
      <w:r w:rsidRPr="00581848">
        <w:rPr>
          <w:b/>
          <w:bCs/>
          <w:szCs w:val="22"/>
        </w:rPr>
        <w:t>Accreditation and Independence</w:t>
      </w:r>
    </w:p>
    <w:p w14:paraId="3E3F0383" w14:textId="77777777" w:rsidR="00581848" w:rsidRPr="00581848" w:rsidRDefault="00581848" w:rsidP="00F5462E">
      <w:pPr>
        <w:spacing w:before="120" w:after="180"/>
        <w:rPr>
          <w:szCs w:val="22"/>
        </w:rPr>
      </w:pPr>
      <w:r w:rsidRPr="00581848">
        <w:rPr>
          <w:szCs w:val="22"/>
        </w:rPr>
        <w:t xml:space="preserve">Voluntary clean plant programs: Participation is not mandatory; industry can choose any lab for testing. </w:t>
      </w:r>
    </w:p>
    <w:p w14:paraId="12768F0F" w14:textId="77777777" w:rsidR="00581848" w:rsidRPr="00581848" w:rsidRDefault="00581848" w:rsidP="00F5462E">
      <w:pPr>
        <w:spacing w:before="120" w:after="180"/>
        <w:rPr>
          <w:szCs w:val="22"/>
        </w:rPr>
      </w:pPr>
      <w:r w:rsidRPr="00581848">
        <w:rPr>
          <w:szCs w:val="22"/>
        </w:rPr>
        <w:t xml:space="preserve">Private vs. government labs: </w:t>
      </w:r>
    </w:p>
    <w:p w14:paraId="695AFD73" w14:textId="77777777" w:rsidR="00581848" w:rsidRPr="00581848" w:rsidRDefault="00581848" w:rsidP="00F5462E">
      <w:pPr>
        <w:spacing w:before="120" w:after="180"/>
        <w:rPr>
          <w:szCs w:val="22"/>
        </w:rPr>
      </w:pPr>
      <w:r w:rsidRPr="00581848">
        <w:rPr>
          <w:szCs w:val="22"/>
        </w:rPr>
        <w:t xml:space="preserve">Private labs may be cheaper and are sometimes preferred by industry. Risk exists that private labs might miss or not report findings that have regulatory implications. </w:t>
      </w:r>
    </w:p>
    <w:p w14:paraId="62BA1E29" w14:textId="77777777" w:rsidR="00581848" w:rsidRPr="00581848" w:rsidRDefault="00581848" w:rsidP="00F5462E">
      <w:pPr>
        <w:spacing w:before="120" w:after="180"/>
        <w:rPr>
          <w:b/>
          <w:bCs/>
          <w:szCs w:val="22"/>
        </w:rPr>
      </w:pPr>
      <w:r w:rsidRPr="00581848">
        <w:rPr>
          <w:b/>
          <w:bCs/>
          <w:szCs w:val="22"/>
        </w:rPr>
        <w:t>Accreditation:</w:t>
      </w:r>
    </w:p>
    <w:p w14:paraId="1923EEA0" w14:textId="77777777" w:rsidR="00581848" w:rsidRPr="00581848" w:rsidRDefault="00581848" w:rsidP="00F5462E">
      <w:pPr>
        <w:spacing w:before="120" w:after="180"/>
        <w:rPr>
          <w:szCs w:val="22"/>
        </w:rPr>
      </w:pPr>
      <w:r w:rsidRPr="00581848">
        <w:rPr>
          <w:szCs w:val="22"/>
        </w:rPr>
        <w:t xml:space="preserve">Quarantine testing requires accreditation, but the process is not always well-defined or strictly enforced, especially for offshore labs. </w:t>
      </w:r>
    </w:p>
    <w:p w14:paraId="128640E7" w14:textId="77777777" w:rsidR="00581848" w:rsidRPr="00581848" w:rsidRDefault="00581848" w:rsidP="00F5462E">
      <w:pPr>
        <w:spacing w:before="120" w:after="180"/>
        <w:rPr>
          <w:szCs w:val="22"/>
        </w:rPr>
      </w:pPr>
      <w:r w:rsidRPr="00581848">
        <w:rPr>
          <w:szCs w:val="22"/>
        </w:rPr>
        <w:t>Example: Tomato brown rugose fruit virus (</w:t>
      </w:r>
      <w:proofErr w:type="spellStart"/>
      <w:r w:rsidRPr="00581848">
        <w:rPr>
          <w:szCs w:val="22"/>
        </w:rPr>
        <w:t>ToBRFV</w:t>
      </w:r>
      <w:proofErr w:type="spellEnd"/>
      <w:r w:rsidRPr="00581848">
        <w:rPr>
          <w:szCs w:val="22"/>
        </w:rPr>
        <w:t>) testing showed that inconsistent CT cutoff settings may have contributed to introduction of the virus into Australia. Onshore labs working with DAF must provide detailed documentation and validation data to be accepted for testing.</w:t>
      </w:r>
    </w:p>
    <w:p w14:paraId="43748A0D" w14:textId="77777777" w:rsidR="00581848" w:rsidRPr="00581848" w:rsidRDefault="00581848" w:rsidP="00F5462E">
      <w:pPr>
        <w:spacing w:before="120" w:after="180"/>
        <w:rPr>
          <w:b/>
          <w:bCs/>
          <w:szCs w:val="22"/>
        </w:rPr>
      </w:pPr>
      <w:r w:rsidRPr="00581848">
        <w:rPr>
          <w:b/>
          <w:bCs/>
          <w:szCs w:val="22"/>
        </w:rPr>
        <w:t>Role of Government Laboratories</w:t>
      </w:r>
    </w:p>
    <w:p w14:paraId="68E0EE09" w14:textId="77777777" w:rsidR="00581848" w:rsidRPr="00581848" w:rsidRDefault="00581848" w:rsidP="00F5462E">
      <w:pPr>
        <w:spacing w:before="120" w:after="180"/>
        <w:rPr>
          <w:szCs w:val="22"/>
        </w:rPr>
      </w:pPr>
      <w:r w:rsidRPr="00581848">
        <w:rPr>
          <w:szCs w:val="22"/>
        </w:rPr>
        <w:t xml:space="preserve">Trust and neutrality: Government labs are considered independent and free of commercial bias, which gives them credibility with industry and regulators. Use of endorsed protocols: Government labs must use validated protocols and perform internal validation before implementation. </w:t>
      </w:r>
    </w:p>
    <w:p w14:paraId="1818BCE4" w14:textId="77777777" w:rsidR="00581848" w:rsidRPr="00581848" w:rsidRDefault="00581848" w:rsidP="00F5462E">
      <w:pPr>
        <w:spacing w:before="120" w:after="180"/>
        <w:rPr>
          <w:szCs w:val="22"/>
        </w:rPr>
      </w:pPr>
      <w:r w:rsidRPr="00581848">
        <w:rPr>
          <w:szCs w:val="22"/>
        </w:rPr>
        <w:t>Volume and economic viability: Government labs can deliver low-volume tests at lower cost due to public funding support, helping ensure availability of critical diagnostics during downturns when private labs may exit the market.</w:t>
      </w:r>
    </w:p>
    <w:p w14:paraId="668C32FE" w14:textId="77777777" w:rsidR="00581848" w:rsidRPr="00581848" w:rsidRDefault="00581848" w:rsidP="00F5462E">
      <w:pPr>
        <w:spacing w:before="120" w:after="180"/>
        <w:rPr>
          <w:b/>
          <w:bCs/>
          <w:szCs w:val="22"/>
        </w:rPr>
      </w:pPr>
      <w:r w:rsidRPr="00581848">
        <w:rPr>
          <w:b/>
          <w:bCs/>
          <w:szCs w:val="22"/>
        </w:rPr>
        <w:t>Risk of Industry-Driven Diagnostics</w:t>
      </w:r>
    </w:p>
    <w:p w14:paraId="2B8D1EAE" w14:textId="77777777" w:rsidR="00581848" w:rsidRPr="00581848" w:rsidRDefault="00581848" w:rsidP="00F5462E">
      <w:pPr>
        <w:spacing w:before="120" w:after="180"/>
        <w:rPr>
          <w:szCs w:val="22"/>
        </w:rPr>
      </w:pPr>
      <w:r w:rsidRPr="00581848">
        <w:rPr>
          <w:szCs w:val="22"/>
        </w:rPr>
        <w:t xml:space="preserve">Industry-led diagnostics risk conflicts of interest (e.g., withholding results to avoid trade restrictions). NPPOs and regulators have an obligation to report exotic pests—industry may not always do so voluntarily. </w:t>
      </w:r>
    </w:p>
    <w:p w14:paraId="5FDEBBF8" w14:textId="77777777" w:rsidR="00581848" w:rsidRPr="00581848" w:rsidRDefault="00581848" w:rsidP="00F5462E">
      <w:pPr>
        <w:spacing w:before="120" w:after="180"/>
        <w:rPr>
          <w:szCs w:val="22"/>
        </w:rPr>
      </w:pPr>
      <w:r w:rsidRPr="00581848">
        <w:rPr>
          <w:szCs w:val="22"/>
        </w:rPr>
        <w:t xml:space="preserve">Industry-driven models can undermine biosecurity, leading to higher downstream costs when undetected </w:t>
      </w:r>
      <w:proofErr w:type="gramStart"/>
      <w:r w:rsidRPr="00581848">
        <w:rPr>
          <w:szCs w:val="22"/>
        </w:rPr>
        <w:t>pests</w:t>
      </w:r>
      <w:proofErr w:type="gramEnd"/>
      <w:r w:rsidRPr="00581848">
        <w:rPr>
          <w:szCs w:val="22"/>
        </w:rPr>
        <w:t xml:space="preserve"> close markets. </w:t>
      </w:r>
    </w:p>
    <w:p w14:paraId="7EDE1339" w14:textId="77777777" w:rsidR="00581848" w:rsidRPr="00581848" w:rsidRDefault="00581848" w:rsidP="00F5462E">
      <w:pPr>
        <w:spacing w:before="120" w:after="180"/>
        <w:rPr>
          <w:b/>
          <w:bCs/>
          <w:szCs w:val="22"/>
        </w:rPr>
      </w:pPr>
      <w:r w:rsidRPr="00581848">
        <w:rPr>
          <w:b/>
          <w:bCs/>
          <w:szCs w:val="22"/>
        </w:rPr>
        <w:t>Collaboration and Network Strength</w:t>
      </w:r>
    </w:p>
    <w:p w14:paraId="289474C2" w14:textId="77777777" w:rsidR="00581848" w:rsidRPr="00581848" w:rsidRDefault="00581848" w:rsidP="00F5462E">
      <w:pPr>
        <w:spacing w:before="120" w:after="180"/>
        <w:rPr>
          <w:szCs w:val="22"/>
        </w:rPr>
      </w:pPr>
      <w:r w:rsidRPr="00581848">
        <w:rPr>
          <w:szCs w:val="22"/>
        </w:rPr>
        <w:t>Benefits of diagnostic networks:</w:t>
      </w:r>
    </w:p>
    <w:p w14:paraId="6250047A" w14:textId="77777777" w:rsidR="00581848" w:rsidRPr="00581848" w:rsidRDefault="00581848" w:rsidP="00F5462E">
      <w:pPr>
        <w:spacing w:before="120" w:after="180"/>
        <w:rPr>
          <w:szCs w:val="22"/>
        </w:rPr>
      </w:pPr>
      <w:r w:rsidRPr="00581848">
        <w:rPr>
          <w:szCs w:val="22"/>
        </w:rPr>
        <w:t>Rapid mobilization of expertise during outbreaks. Ability to share testing capacity across jurisdictions when local labs are overwhelmed. Access to specialist knowledge (e.g., citrus pathology in NSW).</w:t>
      </w:r>
    </w:p>
    <w:p w14:paraId="32C89988" w14:textId="77777777" w:rsidR="00581848" w:rsidRPr="00581848" w:rsidRDefault="00581848" w:rsidP="00F5462E">
      <w:pPr>
        <w:spacing w:before="120" w:after="180"/>
        <w:rPr>
          <w:szCs w:val="22"/>
        </w:rPr>
      </w:pPr>
      <w:r w:rsidRPr="00581848">
        <w:rPr>
          <w:szCs w:val="22"/>
        </w:rPr>
        <w:lastRenderedPageBreak/>
        <w:t>Trust-building: Achieved through personal relationships, agreed terms of reference, and recognition of each lab’s expertise and role in the system.</w:t>
      </w:r>
    </w:p>
    <w:p w14:paraId="54B6CEBF" w14:textId="77777777" w:rsidR="00581848" w:rsidRPr="00581848" w:rsidRDefault="00581848" w:rsidP="00F5462E">
      <w:pPr>
        <w:spacing w:before="120" w:after="180"/>
        <w:rPr>
          <w:szCs w:val="22"/>
        </w:rPr>
      </w:pPr>
      <w:r w:rsidRPr="00581848">
        <w:rPr>
          <w:szCs w:val="22"/>
        </w:rPr>
        <w:t>Challenge: Some countries lack government backing or infrastructure, making sample transport risky (no traceability, potential for loss).</w:t>
      </w:r>
    </w:p>
    <w:p w14:paraId="04265526" w14:textId="77777777" w:rsidR="00581848" w:rsidRPr="00581848" w:rsidRDefault="00581848" w:rsidP="00F5462E">
      <w:pPr>
        <w:spacing w:before="120" w:after="180"/>
        <w:rPr>
          <w:b/>
          <w:bCs/>
          <w:szCs w:val="22"/>
        </w:rPr>
      </w:pPr>
      <w:r w:rsidRPr="00581848">
        <w:rPr>
          <w:b/>
          <w:bCs/>
          <w:szCs w:val="22"/>
        </w:rPr>
        <w:t>Digital and Molecular Innovations</w:t>
      </w:r>
    </w:p>
    <w:p w14:paraId="4D9D4B86" w14:textId="14076385" w:rsidR="00581848" w:rsidRPr="00581848" w:rsidRDefault="00581848" w:rsidP="00F5462E">
      <w:pPr>
        <w:spacing w:before="120" w:after="180"/>
        <w:rPr>
          <w:szCs w:val="22"/>
        </w:rPr>
      </w:pPr>
      <w:r w:rsidRPr="00581848">
        <w:rPr>
          <w:szCs w:val="22"/>
        </w:rPr>
        <w:t xml:space="preserve">Digital reference collections: Plans to digitize insect and plant pest reference material to improve rapid ID. Barcoding </w:t>
      </w:r>
      <w:r w:rsidR="00953A96">
        <w:rPr>
          <w:szCs w:val="22"/>
        </w:rPr>
        <w:t>and</w:t>
      </w:r>
      <w:r w:rsidRPr="00581848">
        <w:rPr>
          <w:szCs w:val="22"/>
        </w:rPr>
        <w:t xml:space="preserve"> metabarcoding: Significant investment in molecular libraries for entomology and other taxa to speed up identifications. Biosecurity Tracker: A new initiative to track genomic data for pests (virus, insect, etc.) and enable outbreak tracing, </w:t>
      </w:r>
      <w:proofErr w:type="spellStart"/>
      <w:r w:rsidRPr="00581848">
        <w:rPr>
          <w:szCs w:val="22"/>
        </w:rPr>
        <w:t>modeled</w:t>
      </w:r>
      <w:proofErr w:type="spellEnd"/>
      <w:r w:rsidRPr="00581848">
        <w:rPr>
          <w:szCs w:val="22"/>
        </w:rPr>
        <w:t xml:space="preserve"> after AUS Tracker (used for COVID) and Genome Tracker (food safety pathogens).</w:t>
      </w:r>
    </w:p>
    <w:p w14:paraId="266740C7" w14:textId="77777777" w:rsidR="00581848" w:rsidRPr="00581848" w:rsidRDefault="00581848" w:rsidP="00F5462E">
      <w:pPr>
        <w:spacing w:before="120" w:after="180"/>
        <w:rPr>
          <w:b/>
          <w:bCs/>
          <w:szCs w:val="22"/>
        </w:rPr>
      </w:pPr>
      <w:r w:rsidRPr="00581848">
        <w:rPr>
          <w:b/>
          <w:bCs/>
          <w:szCs w:val="22"/>
        </w:rPr>
        <w:t>Policy, Legal and Governance Aspects</w:t>
      </w:r>
    </w:p>
    <w:p w14:paraId="622CD7C0" w14:textId="77777777" w:rsidR="00581848" w:rsidRPr="00581848" w:rsidRDefault="00581848" w:rsidP="00F5462E">
      <w:pPr>
        <w:spacing w:before="120" w:after="180"/>
        <w:rPr>
          <w:szCs w:val="22"/>
        </w:rPr>
      </w:pPr>
      <w:r w:rsidRPr="00581848">
        <w:rPr>
          <w:szCs w:val="22"/>
        </w:rPr>
        <w:t>The network is not legally mandated, but functions under:</w:t>
      </w:r>
    </w:p>
    <w:p w14:paraId="6D5DC933" w14:textId="77777777" w:rsidR="00581848" w:rsidRPr="00581848" w:rsidRDefault="00581848" w:rsidP="00F5462E">
      <w:pPr>
        <w:spacing w:before="120" w:after="180"/>
        <w:rPr>
          <w:szCs w:val="22"/>
        </w:rPr>
      </w:pPr>
      <w:r w:rsidRPr="00581848">
        <w:rPr>
          <w:szCs w:val="22"/>
        </w:rPr>
        <w:t xml:space="preserve">National strategies. </w:t>
      </w:r>
    </w:p>
    <w:p w14:paraId="41FC8B4F" w14:textId="77777777" w:rsidR="00581848" w:rsidRPr="00581848" w:rsidRDefault="00581848" w:rsidP="00F5462E">
      <w:pPr>
        <w:spacing w:before="120" w:after="180"/>
        <w:rPr>
          <w:szCs w:val="22"/>
        </w:rPr>
      </w:pPr>
      <w:r w:rsidRPr="00581848">
        <w:rPr>
          <w:szCs w:val="22"/>
        </w:rPr>
        <w:t xml:space="preserve">Committee structures. </w:t>
      </w:r>
    </w:p>
    <w:p w14:paraId="10793131" w14:textId="77777777" w:rsidR="00581848" w:rsidRPr="00581848" w:rsidRDefault="00581848" w:rsidP="00F5462E">
      <w:pPr>
        <w:spacing w:before="120" w:after="180"/>
        <w:rPr>
          <w:szCs w:val="22"/>
        </w:rPr>
      </w:pPr>
      <w:r w:rsidRPr="00581848">
        <w:rPr>
          <w:szCs w:val="22"/>
        </w:rPr>
        <w:t>Agreed terms of reference and endorsed protocols.</w:t>
      </w:r>
    </w:p>
    <w:p w14:paraId="1460CFF6" w14:textId="77777777" w:rsidR="00581848" w:rsidRPr="00581848" w:rsidRDefault="00581848" w:rsidP="00F5462E">
      <w:pPr>
        <w:spacing w:before="120" w:after="180"/>
        <w:rPr>
          <w:szCs w:val="22"/>
        </w:rPr>
      </w:pPr>
      <w:r w:rsidRPr="00581848">
        <w:rPr>
          <w:szCs w:val="22"/>
        </w:rPr>
        <w:t>This cooperative, non-regulated model works well in Australia due to a collaborative culture and shared understanding of roles. In international contexts, building formal agreements, trust mechanisms, and clear governance frameworks will be crucial for credibility and buy-in from diverse countries.</w:t>
      </w:r>
    </w:p>
    <w:p w14:paraId="6116DBD1" w14:textId="77777777" w:rsidR="00581848" w:rsidRPr="00581848" w:rsidRDefault="00581848" w:rsidP="00F5462E">
      <w:pPr>
        <w:spacing w:before="120" w:after="180"/>
        <w:rPr>
          <w:b/>
          <w:bCs/>
          <w:szCs w:val="22"/>
        </w:rPr>
      </w:pPr>
      <w:r w:rsidRPr="00581848">
        <w:rPr>
          <w:b/>
          <w:bCs/>
          <w:szCs w:val="22"/>
        </w:rPr>
        <w:t>Economic and Trade Implications</w:t>
      </w:r>
    </w:p>
    <w:p w14:paraId="44FBDDC2" w14:textId="77777777" w:rsidR="00581848" w:rsidRPr="00581848" w:rsidRDefault="00581848" w:rsidP="00F5462E">
      <w:pPr>
        <w:spacing w:before="120" w:after="180"/>
        <w:rPr>
          <w:szCs w:val="22"/>
        </w:rPr>
      </w:pPr>
      <w:r w:rsidRPr="00581848">
        <w:rPr>
          <w:szCs w:val="22"/>
        </w:rPr>
        <w:t>Biosecurity failures (e.g., cucumber green mottle mosaic virus) led to internal and external trade restrictions with severe economic impact. Well-functioning networks can reduce costs by preventing outbreaks, enabling faster containment, and minimizing market disruptions.</w:t>
      </w:r>
    </w:p>
    <w:p w14:paraId="1E94D129" w14:textId="77777777" w:rsidR="00173F42" w:rsidRDefault="00173F42" w:rsidP="00F5462E">
      <w:pPr>
        <w:spacing w:before="120" w:after="180"/>
        <w:rPr>
          <w:b/>
          <w:bCs/>
          <w:szCs w:val="22"/>
        </w:rPr>
      </w:pPr>
    </w:p>
    <w:p w14:paraId="11A38B96" w14:textId="77777777" w:rsidR="00173F42" w:rsidRDefault="00173F42" w:rsidP="00F5462E">
      <w:pPr>
        <w:spacing w:before="120" w:after="180"/>
        <w:rPr>
          <w:b/>
          <w:bCs/>
          <w:szCs w:val="22"/>
        </w:rPr>
      </w:pPr>
    </w:p>
    <w:p w14:paraId="7C694F5B" w14:textId="77777777" w:rsidR="00173F42" w:rsidRDefault="00173F42" w:rsidP="00F5462E">
      <w:pPr>
        <w:spacing w:before="120" w:after="180"/>
        <w:rPr>
          <w:b/>
          <w:bCs/>
          <w:szCs w:val="22"/>
        </w:rPr>
      </w:pPr>
    </w:p>
    <w:p w14:paraId="4700B9C6" w14:textId="77777777" w:rsidR="00173F42" w:rsidRDefault="00173F42" w:rsidP="00F5462E">
      <w:pPr>
        <w:spacing w:before="120" w:after="180"/>
        <w:rPr>
          <w:b/>
          <w:bCs/>
          <w:szCs w:val="22"/>
        </w:rPr>
      </w:pPr>
    </w:p>
    <w:p w14:paraId="18AEE72C" w14:textId="77777777" w:rsidR="00173F42" w:rsidRDefault="00173F42" w:rsidP="00F5462E">
      <w:pPr>
        <w:spacing w:before="120" w:after="180"/>
        <w:rPr>
          <w:b/>
          <w:bCs/>
          <w:szCs w:val="22"/>
        </w:rPr>
      </w:pPr>
    </w:p>
    <w:p w14:paraId="2AADE3B2" w14:textId="77777777" w:rsidR="00173F42" w:rsidRDefault="00173F42" w:rsidP="00F5462E">
      <w:pPr>
        <w:spacing w:before="120" w:after="180"/>
        <w:rPr>
          <w:b/>
          <w:bCs/>
          <w:szCs w:val="22"/>
        </w:rPr>
      </w:pPr>
    </w:p>
    <w:p w14:paraId="1613B453" w14:textId="77777777" w:rsidR="00173F42" w:rsidRDefault="00173F42" w:rsidP="00F5462E">
      <w:pPr>
        <w:spacing w:before="120" w:after="180"/>
        <w:rPr>
          <w:b/>
          <w:bCs/>
          <w:szCs w:val="22"/>
        </w:rPr>
      </w:pPr>
    </w:p>
    <w:p w14:paraId="5BA13F7D" w14:textId="77777777" w:rsidR="00173F42" w:rsidRDefault="00173F42" w:rsidP="00F5462E">
      <w:pPr>
        <w:spacing w:before="120" w:after="180"/>
        <w:rPr>
          <w:b/>
          <w:bCs/>
          <w:szCs w:val="22"/>
        </w:rPr>
      </w:pPr>
    </w:p>
    <w:p w14:paraId="23580619" w14:textId="77777777" w:rsidR="00173F42" w:rsidRDefault="00173F42" w:rsidP="00F5462E">
      <w:pPr>
        <w:spacing w:before="120" w:after="180"/>
        <w:rPr>
          <w:b/>
          <w:bCs/>
          <w:szCs w:val="22"/>
        </w:rPr>
      </w:pPr>
    </w:p>
    <w:p w14:paraId="19360CBE" w14:textId="77777777" w:rsidR="00173F42" w:rsidRDefault="00173F42" w:rsidP="00F5462E">
      <w:pPr>
        <w:spacing w:before="120" w:after="180"/>
        <w:rPr>
          <w:b/>
          <w:bCs/>
          <w:szCs w:val="22"/>
        </w:rPr>
      </w:pPr>
    </w:p>
    <w:p w14:paraId="3DA8EB00" w14:textId="77777777" w:rsidR="00173F42" w:rsidRDefault="00173F42" w:rsidP="00F5462E">
      <w:pPr>
        <w:spacing w:before="120" w:after="180"/>
        <w:rPr>
          <w:b/>
          <w:bCs/>
          <w:szCs w:val="22"/>
        </w:rPr>
      </w:pPr>
    </w:p>
    <w:p w14:paraId="4B24C22A" w14:textId="77777777" w:rsidR="00173F42" w:rsidRDefault="00173F42" w:rsidP="00F5462E">
      <w:pPr>
        <w:spacing w:before="120" w:after="180"/>
        <w:rPr>
          <w:b/>
          <w:bCs/>
          <w:szCs w:val="22"/>
        </w:rPr>
      </w:pPr>
    </w:p>
    <w:p w14:paraId="2B625F31" w14:textId="77777777" w:rsidR="00173F42" w:rsidRDefault="00173F42" w:rsidP="00F5462E">
      <w:pPr>
        <w:spacing w:before="120" w:after="180"/>
        <w:rPr>
          <w:b/>
          <w:bCs/>
          <w:szCs w:val="22"/>
        </w:rPr>
      </w:pPr>
    </w:p>
    <w:p w14:paraId="0199AF55" w14:textId="77777777" w:rsidR="00173F42" w:rsidRDefault="00173F42" w:rsidP="00F5462E">
      <w:pPr>
        <w:spacing w:before="120" w:after="180"/>
        <w:rPr>
          <w:b/>
          <w:bCs/>
          <w:szCs w:val="22"/>
        </w:rPr>
      </w:pPr>
    </w:p>
    <w:p w14:paraId="0D77267C" w14:textId="0366C52B" w:rsidR="00581848" w:rsidRPr="00581848" w:rsidRDefault="00173F42" w:rsidP="00A64DA6">
      <w:pPr>
        <w:pStyle w:val="IPPHeading1"/>
        <w:jc w:val="both"/>
        <w:rPr>
          <w:b w:val="0"/>
          <w:bCs/>
        </w:rPr>
      </w:pPr>
      <w:bookmarkStart w:id="32" w:name="_Hlk210340132"/>
      <w:bookmarkStart w:id="33" w:name="_Toc210831735"/>
      <w:r>
        <w:rPr>
          <w:bCs/>
        </w:rPr>
        <w:lastRenderedPageBreak/>
        <w:t xml:space="preserve">Appendix 5: </w:t>
      </w:r>
      <w:proofErr w:type="gramStart"/>
      <w:r w:rsidR="00581848" w:rsidRPr="00581848">
        <w:rPr>
          <w:bCs/>
        </w:rPr>
        <w:t>Interview  summary</w:t>
      </w:r>
      <w:proofErr w:type="gramEnd"/>
      <w:r w:rsidR="00581848" w:rsidRPr="00581848">
        <w:rPr>
          <w:bCs/>
        </w:rPr>
        <w:t xml:space="preserve"> </w:t>
      </w:r>
      <w:r>
        <w:rPr>
          <w:bCs/>
        </w:rPr>
        <w:t xml:space="preserve">with </w:t>
      </w:r>
      <w:r w:rsidRPr="00581848">
        <w:rPr>
          <w:bCs/>
        </w:rPr>
        <w:t xml:space="preserve">Beatriz Melcho </w:t>
      </w:r>
      <w:r>
        <w:rPr>
          <w:bCs/>
        </w:rPr>
        <w:t xml:space="preserve">of </w:t>
      </w:r>
      <w:r w:rsidRPr="00581848">
        <w:rPr>
          <w:bCs/>
        </w:rPr>
        <w:t xml:space="preserve">COSAVE </w:t>
      </w:r>
      <w:r>
        <w:rPr>
          <w:bCs/>
        </w:rPr>
        <w:t>o</w:t>
      </w:r>
      <w:r w:rsidR="00581848" w:rsidRPr="00581848">
        <w:rPr>
          <w:bCs/>
        </w:rPr>
        <w:t>n 15 September 2025</w:t>
      </w:r>
      <w:bookmarkEnd w:id="32"/>
      <w:bookmarkEnd w:id="33"/>
    </w:p>
    <w:p w14:paraId="2F0C0FB5" w14:textId="77777777" w:rsidR="00581848" w:rsidRPr="00581848" w:rsidRDefault="00581848" w:rsidP="00F5462E">
      <w:pPr>
        <w:spacing w:before="120" w:after="180"/>
        <w:rPr>
          <w:b/>
          <w:bCs/>
          <w:szCs w:val="22"/>
        </w:rPr>
      </w:pPr>
      <w:r w:rsidRPr="00581848">
        <w:rPr>
          <w:b/>
          <w:bCs/>
          <w:szCs w:val="22"/>
        </w:rPr>
        <w:t>Purpose of Meeting:</w:t>
      </w:r>
    </w:p>
    <w:p w14:paraId="7CC3501E" w14:textId="6874D9DB" w:rsidR="00581848" w:rsidRPr="00581848" w:rsidRDefault="00C869EE" w:rsidP="00F5462E">
      <w:pPr>
        <w:spacing w:before="120" w:after="180"/>
        <w:rPr>
          <w:szCs w:val="22"/>
        </w:rPr>
      </w:pPr>
      <w:r>
        <w:rPr>
          <w:szCs w:val="22"/>
        </w:rPr>
        <w:t>I</w:t>
      </w:r>
      <w:r w:rsidR="00581848" w:rsidRPr="00581848">
        <w:rPr>
          <w:szCs w:val="22"/>
        </w:rPr>
        <w:t>ntroduc</w:t>
      </w:r>
      <w:r>
        <w:rPr>
          <w:szCs w:val="22"/>
        </w:rPr>
        <w:t>tion</w:t>
      </w:r>
      <w:r w:rsidR="00581848" w:rsidRPr="00581848">
        <w:rPr>
          <w:szCs w:val="22"/>
        </w:rPr>
        <w:t xml:space="preserve"> and </w:t>
      </w:r>
      <w:r>
        <w:rPr>
          <w:szCs w:val="22"/>
        </w:rPr>
        <w:t xml:space="preserve">to </w:t>
      </w:r>
      <w:r w:rsidR="00581848" w:rsidRPr="00581848">
        <w:rPr>
          <w:szCs w:val="22"/>
        </w:rPr>
        <w:t>discuss the status of plant health diagnostic systems and potential networking opportunities among COSAVE’s member countries.</w:t>
      </w:r>
    </w:p>
    <w:p w14:paraId="6BE58608" w14:textId="77777777" w:rsidR="00581848" w:rsidRPr="00581848" w:rsidRDefault="00581848" w:rsidP="00F5462E">
      <w:pPr>
        <w:spacing w:before="120" w:after="180"/>
        <w:rPr>
          <w:b/>
          <w:bCs/>
          <w:szCs w:val="22"/>
        </w:rPr>
      </w:pPr>
      <w:r w:rsidRPr="00581848">
        <w:rPr>
          <w:b/>
          <w:bCs/>
          <w:szCs w:val="22"/>
        </w:rPr>
        <w:t>Key Discussion Points:</w:t>
      </w:r>
    </w:p>
    <w:p w14:paraId="5F53D9EA" w14:textId="7A81A9F3" w:rsidR="00581848" w:rsidRPr="00581848" w:rsidRDefault="00581848" w:rsidP="00F5462E">
      <w:pPr>
        <w:spacing w:before="120" w:after="180"/>
        <w:rPr>
          <w:szCs w:val="22"/>
        </w:rPr>
      </w:pPr>
      <w:r w:rsidRPr="00581848">
        <w:rPr>
          <w:szCs w:val="22"/>
        </w:rPr>
        <w:t xml:space="preserve">COSAVE’s Role </w:t>
      </w:r>
      <w:r w:rsidR="00953A96">
        <w:rPr>
          <w:szCs w:val="22"/>
        </w:rPr>
        <w:t>and</w:t>
      </w:r>
      <w:r w:rsidRPr="00581848">
        <w:rPr>
          <w:szCs w:val="22"/>
        </w:rPr>
        <w:t xml:space="preserve"> Contacts:</w:t>
      </w:r>
    </w:p>
    <w:p w14:paraId="2EDBCD56" w14:textId="77777777" w:rsidR="00581848" w:rsidRPr="00581848" w:rsidRDefault="00581848" w:rsidP="00F5462E">
      <w:pPr>
        <w:spacing w:before="120" w:after="180"/>
        <w:rPr>
          <w:szCs w:val="22"/>
        </w:rPr>
      </w:pPr>
      <w:r w:rsidRPr="00581848">
        <w:rPr>
          <w:szCs w:val="22"/>
        </w:rPr>
        <w:t>Beatriz has contacts for NPPOs in all seven COSAVE member countries (Brazil, Uruguay, Argentina, Paraguay, Peru, Bolivia, Chile).</w:t>
      </w:r>
    </w:p>
    <w:p w14:paraId="466AD792" w14:textId="4EF5E972" w:rsidR="00581848" w:rsidRPr="00581848" w:rsidRDefault="00C869EE" w:rsidP="00F5462E">
      <w:pPr>
        <w:spacing w:before="120" w:after="180"/>
        <w:rPr>
          <w:b/>
          <w:bCs/>
          <w:szCs w:val="22"/>
        </w:rPr>
      </w:pPr>
      <w:r>
        <w:rPr>
          <w:b/>
          <w:bCs/>
          <w:szCs w:val="22"/>
        </w:rPr>
        <w:t>Work from consulting</w:t>
      </w:r>
      <w:r w:rsidR="00581848" w:rsidRPr="00581848">
        <w:rPr>
          <w:b/>
          <w:bCs/>
          <w:szCs w:val="22"/>
        </w:rPr>
        <w:t>:</w:t>
      </w:r>
    </w:p>
    <w:p w14:paraId="0BDCE757" w14:textId="6CF32AF0" w:rsidR="00581848" w:rsidRPr="00581848" w:rsidRDefault="00C869EE" w:rsidP="00F5462E">
      <w:pPr>
        <w:spacing w:before="120" w:after="180"/>
        <w:rPr>
          <w:szCs w:val="22"/>
        </w:rPr>
      </w:pPr>
      <w:r>
        <w:rPr>
          <w:szCs w:val="22"/>
        </w:rPr>
        <w:t>Pr</w:t>
      </w:r>
      <w:r w:rsidR="00581848" w:rsidRPr="00581848">
        <w:rPr>
          <w:szCs w:val="22"/>
        </w:rPr>
        <w:t xml:space="preserve">eparing the initial draft for the IPPC Diagnostic Network Focus Group (appointed as FAO consultant). </w:t>
      </w:r>
      <w:r>
        <w:rPr>
          <w:szCs w:val="22"/>
        </w:rPr>
        <w:t>M</w:t>
      </w:r>
      <w:r w:rsidR="00581848" w:rsidRPr="00581848">
        <w:rPr>
          <w:szCs w:val="22"/>
        </w:rPr>
        <w:t>apping global plant health diagnostic networks and assessing readiness of countries/regions.</w:t>
      </w:r>
    </w:p>
    <w:p w14:paraId="34A3AC47" w14:textId="77777777" w:rsidR="00581848" w:rsidRPr="00581848" w:rsidRDefault="00581848" w:rsidP="00F5462E">
      <w:pPr>
        <w:spacing w:before="120" w:after="180"/>
        <w:rPr>
          <w:szCs w:val="22"/>
        </w:rPr>
      </w:pPr>
      <w:r w:rsidRPr="00581848">
        <w:rPr>
          <w:szCs w:val="22"/>
        </w:rPr>
        <w:t>South Africa is not yet a formal network but coordinates expertise across multiple industries (e.g., citrus) and uses ISPM 45 to approve labs for NPPO work. Challenges include limited government funding and capacity, making networking crucial.</w:t>
      </w:r>
    </w:p>
    <w:p w14:paraId="0614F810" w14:textId="77777777" w:rsidR="00581848" w:rsidRPr="00581848" w:rsidRDefault="00581848" w:rsidP="00F5462E">
      <w:pPr>
        <w:spacing w:before="120" w:after="180"/>
        <w:rPr>
          <w:b/>
          <w:bCs/>
          <w:szCs w:val="22"/>
        </w:rPr>
      </w:pPr>
      <w:r w:rsidRPr="00581848">
        <w:rPr>
          <w:b/>
          <w:bCs/>
          <w:szCs w:val="22"/>
        </w:rPr>
        <w:t>Situation in COSAVE Countries:</w:t>
      </w:r>
    </w:p>
    <w:p w14:paraId="6D7D303D" w14:textId="77777777" w:rsidR="00581848" w:rsidRPr="00581848" w:rsidRDefault="00581848" w:rsidP="00F5462E">
      <w:pPr>
        <w:spacing w:before="120" w:after="180"/>
        <w:rPr>
          <w:szCs w:val="22"/>
        </w:rPr>
      </w:pPr>
      <w:r w:rsidRPr="00581848">
        <w:rPr>
          <w:szCs w:val="22"/>
        </w:rPr>
        <w:t>Some countries are more advanced in diagnostics than others. Uruguay has technical expertise and labs but struggles with resources, especially trained personnel. Chile and Peru are seen as having strong diagnostic capacity (e.g., SENASA Peru).</w:t>
      </w:r>
    </w:p>
    <w:p w14:paraId="43D56AE4" w14:textId="77777777" w:rsidR="00581848" w:rsidRPr="00581848" w:rsidRDefault="00581848" w:rsidP="00F5462E">
      <w:pPr>
        <w:spacing w:before="120" w:after="180"/>
        <w:rPr>
          <w:szCs w:val="22"/>
        </w:rPr>
      </w:pPr>
      <w:r w:rsidRPr="00581848">
        <w:rPr>
          <w:szCs w:val="22"/>
        </w:rPr>
        <w:t>Goal is to assess readiness and interest in developing or strengthening diagnostic networks in the region.</w:t>
      </w:r>
    </w:p>
    <w:p w14:paraId="6D728F95" w14:textId="77777777" w:rsidR="00581848" w:rsidRPr="00581848" w:rsidRDefault="00581848" w:rsidP="00F5462E">
      <w:pPr>
        <w:spacing w:before="120" w:after="180"/>
        <w:rPr>
          <w:b/>
          <w:bCs/>
          <w:szCs w:val="22"/>
        </w:rPr>
      </w:pPr>
      <w:r w:rsidRPr="00581848">
        <w:rPr>
          <w:b/>
          <w:bCs/>
          <w:szCs w:val="22"/>
        </w:rPr>
        <w:t>Shared Understanding:</w:t>
      </w:r>
    </w:p>
    <w:p w14:paraId="5EFB3067" w14:textId="0DAF2FCA" w:rsidR="00581848" w:rsidRDefault="00C869EE" w:rsidP="00F5462E">
      <w:pPr>
        <w:spacing w:before="120" w:after="180"/>
        <w:rPr>
          <w:szCs w:val="22"/>
        </w:rPr>
      </w:pPr>
      <w:r>
        <w:rPr>
          <w:szCs w:val="22"/>
        </w:rPr>
        <w:t>P</w:t>
      </w:r>
      <w:r w:rsidR="00581848" w:rsidRPr="00581848">
        <w:rPr>
          <w:szCs w:val="22"/>
        </w:rPr>
        <w:t xml:space="preserve">arties agree that better diagnostic networks would benefit trade, resource safeguarding, and regional collaboration. </w:t>
      </w:r>
    </w:p>
    <w:p w14:paraId="51C796C6" w14:textId="77777777" w:rsidR="00B3561A" w:rsidRDefault="00B3561A" w:rsidP="00F5462E">
      <w:pPr>
        <w:spacing w:before="120" w:after="180"/>
        <w:rPr>
          <w:szCs w:val="22"/>
        </w:rPr>
      </w:pPr>
    </w:p>
    <w:p w14:paraId="43E72190" w14:textId="77777777" w:rsidR="00B3561A" w:rsidRDefault="00B3561A" w:rsidP="00F5462E">
      <w:pPr>
        <w:spacing w:before="120" w:after="180"/>
        <w:rPr>
          <w:szCs w:val="22"/>
        </w:rPr>
      </w:pPr>
    </w:p>
    <w:p w14:paraId="2864EA52" w14:textId="77777777" w:rsidR="00B3561A" w:rsidRDefault="00B3561A" w:rsidP="00F5462E">
      <w:pPr>
        <w:spacing w:before="120" w:after="180"/>
        <w:rPr>
          <w:szCs w:val="22"/>
        </w:rPr>
      </w:pPr>
    </w:p>
    <w:p w14:paraId="7A5FBB36" w14:textId="77777777" w:rsidR="00B3561A" w:rsidRDefault="00B3561A" w:rsidP="00F5462E">
      <w:pPr>
        <w:spacing w:before="120" w:after="180"/>
        <w:rPr>
          <w:szCs w:val="22"/>
        </w:rPr>
      </w:pPr>
    </w:p>
    <w:p w14:paraId="5A4A7A1B" w14:textId="77777777" w:rsidR="00B3561A" w:rsidRDefault="00B3561A" w:rsidP="00F5462E">
      <w:pPr>
        <w:spacing w:before="120" w:after="180"/>
        <w:rPr>
          <w:szCs w:val="22"/>
        </w:rPr>
      </w:pPr>
    </w:p>
    <w:p w14:paraId="582ED459" w14:textId="77777777" w:rsidR="00B3561A" w:rsidRDefault="00B3561A" w:rsidP="00F5462E">
      <w:pPr>
        <w:spacing w:before="120" w:after="180"/>
        <w:rPr>
          <w:szCs w:val="22"/>
        </w:rPr>
      </w:pPr>
    </w:p>
    <w:p w14:paraId="006E41DF" w14:textId="77777777" w:rsidR="00C869EE" w:rsidRDefault="00C869EE" w:rsidP="00F5462E">
      <w:pPr>
        <w:spacing w:before="120" w:after="180"/>
        <w:rPr>
          <w:szCs w:val="22"/>
        </w:rPr>
      </w:pPr>
    </w:p>
    <w:p w14:paraId="1132A172" w14:textId="77777777" w:rsidR="00C869EE" w:rsidRDefault="00C869EE" w:rsidP="00F5462E">
      <w:pPr>
        <w:spacing w:before="120" w:after="180"/>
        <w:rPr>
          <w:szCs w:val="22"/>
        </w:rPr>
      </w:pPr>
    </w:p>
    <w:p w14:paraId="623852F5" w14:textId="77777777" w:rsidR="00C869EE" w:rsidRDefault="00C869EE" w:rsidP="00F5462E">
      <w:pPr>
        <w:spacing w:before="120" w:after="180"/>
        <w:rPr>
          <w:szCs w:val="22"/>
        </w:rPr>
      </w:pPr>
    </w:p>
    <w:p w14:paraId="3C86D1A5" w14:textId="77777777" w:rsidR="00C869EE" w:rsidRDefault="00C869EE" w:rsidP="00F5462E">
      <w:pPr>
        <w:spacing w:before="120" w:after="180"/>
        <w:rPr>
          <w:szCs w:val="22"/>
        </w:rPr>
      </w:pPr>
    </w:p>
    <w:p w14:paraId="07183DDC" w14:textId="77777777" w:rsidR="00C869EE" w:rsidRDefault="00C869EE" w:rsidP="00F5462E">
      <w:pPr>
        <w:spacing w:before="120" w:after="180"/>
        <w:rPr>
          <w:szCs w:val="22"/>
        </w:rPr>
      </w:pPr>
    </w:p>
    <w:p w14:paraId="52A60628" w14:textId="77777777" w:rsidR="00B3561A" w:rsidRDefault="00B3561A" w:rsidP="00F5462E">
      <w:pPr>
        <w:spacing w:before="120" w:after="180"/>
        <w:rPr>
          <w:szCs w:val="22"/>
        </w:rPr>
      </w:pPr>
    </w:p>
    <w:p w14:paraId="657CC133" w14:textId="08BE8391" w:rsidR="00581848" w:rsidRPr="00581848" w:rsidRDefault="00B3561A" w:rsidP="00A64DA6">
      <w:pPr>
        <w:pStyle w:val="IPPHeading1"/>
        <w:jc w:val="both"/>
        <w:rPr>
          <w:b w:val="0"/>
          <w:bCs/>
        </w:rPr>
      </w:pPr>
      <w:bookmarkStart w:id="34" w:name="_Toc210831736"/>
      <w:r>
        <w:rPr>
          <w:bCs/>
        </w:rPr>
        <w:lastRenderedPageBreak/>
        <w:t xml:space="preserve">Appendix 6: Interview </w:t>
      </w:r>
      <w:proofErr w:type="gramStart"/>
      <w:r w:rsidR="00581848" w:rsidRPr="00581848">
        <w:rPr>
          <w:bCs/>
        </w:rPr>
        <w:t xml:space="preserve">Summary </w:t>
      </w:r>
      <w:r>
        <w:rPr>
          <w:bCs/>
        </w:rPr>
        <w:t xml:space="preserve"> with</w:t>
      </w:r>
      <w:proofErr w:type="gramEnd"/>
      <w:r>
        <w:rPr>
          <w:bCs/>
        </w:rPr>
        <w:t xml:space="preserve"> </w:t>
      </w:r>
      <w:r w:rsidR="00581848" w:rsidRPr="00581848">
        <w:rPr>
          <w:bCs/>
        </w:rPr>
        <w:t xml:space="preserve">CAN / Comunidad Andina </w:t>
      </w:r>
      <w:r>
        <w:rPr>
          <w:bCs/>
        </w:rPr>
        <w:t xml:space="preserve">on </w:t>
      </w:r>
      <w:r w:rsidR="00581848" w:rsidRPr="00581848">
        <w:rPr>
          <w:bCs/>
        </w:rPr>
        <w:t xml:space="preserve">Plant Health Diagnostic </w:t>
      </w:r>
      <w:r>
        <w:rPr>
          <w:bCs/>
        </w:rPr>
        <w:t>Networking</w:t>
      </w:r>
      <w:bookmarkEnd w:id="34"/>
    </w:p>
    <w:p w14:paraId="7E0C9CF0" w14:textId="77777777" w:rsidR="00581848" w:rsidRPr="00581848" w:rsidRDefault="00581848" w:rsidP="00F5462E">
      <w:pPr>
        <w:spacing w:before="120" w:after="180"/>
        <w:rPr>
          <w:szCs w:val="22"/>
        </w:rPr>
      </w:pPr>
      <w:r w:rsidRPr="00581848">
        <w:rPr>
          <w:b/>
          <w:bCs/>
          <w:szCs w:val="22"/>
        </w:rPr>
        <w:t>Date:</w:t>
      </w:r>
      <w:r w:rsidRPr="00581848">
        <w:rPr>
          <w:szCs w:val="22"/>
        </w:rPr>
        <w:t xml:space="preserve"> 17 September 2025</w:t>
      </w:r>
    </w:p>
    <w:p w14:paraId="44ED941B" w14:textId="77777777" w:rsidR="00581848" w:rsidRPr="00581848" w:rsidRDefault="00581848" w:rsidP="00F5462E">
      <w:pPr>
        <w:spacing w:before="120" w:after="180"/>
        <w:rPr>
          <w:b/>
          <w:bCs/>
          <w:szCs w:val="22"/>
        </w:rPr>
      </w:pPr>
      <w:r w:rsidRPr="00581848">
        <w:rPr>
          <w:b/>
          <w:bCs/>
          <w:szCs w:val="22"/>
        </w:rPr>
        <w:t>Participants:</w:t>
      </w:r>
    </w:p>
    <w:p w14:paraId="69579F75" w14:textId="77777777" w:rsidR="00581848" w:rsidRPr="00581848" w:rsidRDefault="00581848" w:rsidP="00F5462E">
      <w:pPr>
        <w:spacing w:before="120" w:after="180"/>
        <w:rPr>
          <w:szCs w:val="22"/>
        </w:rPr>
      </w:pPr>
      <w:r w:rsidRPr="00581848">
        <w:rPr>
          <w:szCs w:val="22"/>
        </w:rPr>
        <w:t>Katty Guadalupe Rojas Quiroga – Director, Regional Plant Protection Organization (Comunidad Andina)</w:t>
      </w:r>
    </w:p>
    <w:p w14:paraId="618D2890" w14:textId="77777777" w:rsidR="00581848" w:rsidRPr="00581848" w:rsidRDefault="00581848" w:rsidP="00F5462E">
      <w:pPr>
        <w:spacing w:before="120" w:after="180"/>
        <w:rPr>
          <w:szCs w:val="22"/>
        </w:rPr>
      </w:pPr>
      <w:r w:rsidRPr="00581848">
        <w:rPr>
          <w:szCs w:val="22"/>
        </w:rPr>
        <w:t>Adriana Moreira – FAO-IPPC (NSP)</w:t>
      </w:r>
    </w:p>
    <w:p w14:paraId="7F5A0D13" w14:textId="77777777" w:rsidR="00581848" w:rsidRPr="00581848" w:rsidRDefault="00581848" w:rsidP="00F5462E">
      <w:pPr>
        <w:spacing w:before="120" w:after="180"/>
        <w:rPr>
          <w:szCs w:val="22"/>
        </w:rPr>
      </w:pPr>
      <w:r w:rsidRPr="00581848">
        <w:rPr>
          <w:szCs w:val="22"/>
        </w:rPr>
        <w:t>Nolan Africander – South Africa, Plant Health Diagnostic Network initiative</w:t>
      </w:r>
    </w:p>
    <w:p w14:paraId="3CB4A044" w14:textId="77777777" w:rsidR="00581848" w:rsidRPr="00581848" w:rsidRDefault="00581848" w:rsidP="00F5462E">
      <w:pPr>
        <w:spacing w:before="120" w:after="180"/>
        <w:rPr>
          <w:b/>
          <w:bCs/>
          <w:szCs w:val="22"/>
        </w:rPr>
      </w:pPr>
      <w:r w:rsidRPr="00581848">
        <w:rPr>
          <w:b/>
          <w:bCs/>
          <w:szCs w:val="22"/>
        </w:rPr>
        <w:t>Representatives from:</w:t>
      </w:r>
    </w:p>
    <w:p w14:paraId="78752F09" w14:textId="77777777" w:rsidR="00581848" w:rsidRPr="00581848" w:rsidRDefault="00581848" w:rsidP="00F5462E">
      <w:pPr>
        <w:spacing w:before="120" w:after="180"/>
        <w:rPr>
          <w:szCs w:val="22"/>
        </w:rPr>
      </w:pPr>
      <w:r w:rsidRPr="00581848">
        <w:rPr>
          <w:szCs w:val="22"/>
        </w:rPr>
        <w:t>Bolivia – Dunia Gutierrez (SENASAG)</w:t>
      </w:r>
    </w:p>
    <w:p w14:paraId="429A6069" w14:textId="77777777" w:rsidR="00581848" w:rsidRPr="00581848" w:rsidRDefault="00581848" w:rsidP="00F5462E">
      <w:pPr>
        <w:spacing w:before="120" w:after="180"/>
        <w:rPr>
          <w:szCs w:val="22"/>
        </w:rPr>
      </w:pPr>
      <w:r w:rsidRPr="00581848">
        <w:rPr>
          <w:szCs w:val="22"/>
        </w:rPr>
        <w:t>Colombia – Jorge Evelio Angel Diaz (ICA)</w:t>
      </w:r>
    </w:p>
    <w:p w14:paraId="3771649A" w14:textId="77777777" w:rsidR="00581848" w:rsidRPr="00581848" w:rsidRDefault="00581848" w:rsidP="00F5462E">
      <w:pPr>
        <w:spacing w:before="120" w:after="180"/>
        <w:rPr>
          <w:szCs w:val="22"/>
        </w:rPr>
      </w:pPr>
      <w:r w:rsidRPr="00581848">
        <w:rPr>
          <w:szCs w:val="22"/>
        </w:rPr>
        <w:t>Ecuador – Wladimir Enriquez, Ana Garrido (</w:t>
      </w:r>
      <w:proofErr w:type="spellStart"/>
      <w:r w:rsidRPr="00581848">
        <w:rPr>
          <w:szCs w:val="22"/>
        </w:rPr>
        <w:t>Agrocalidad</w:t>
      </w:r>
      <w:proofErr w:type="spellEnd"/>
      <w:r w:rsidRPr="00581848">
        <w:rPr>
          <w:szCs w:val="22"/>
        </w:rPr>
        <w:t>)</w:t>
      </w:r>
    </w:p>
    <w:p w14:paraId="142D343A" w14:textId="77777777" w:rsidR="00581848" w:rsidRPr="00581848" w:rsidRDefault="00581848" w:rsidP="00F5462E">
      <w:pPr>
        <w:spacing w:before="120" w:after="180"/>
        <w:rPr>
          <w:szCs w:val="22"/>
        </w:rPr>
      </w:pPr>
      <w:r w:rsidRPr="00581848">
        <w:rPr>
          <w:szCs w:val="22"/>
        </w:rPr>
        <w:t>Peru – Norma Gladys Nolazco Alvarado (SENASA)</w:t>
      </w:r>
    </w:p>
    <w:p w14:paraId="2539451A" w14:textId="77777777" w:rsidR="00581848" w:rsidRPr="00581848" w:rsidRDefault="00581848" w:rsidP="00F5462E">
      <w:pPr>
        <w:spacing w:before="120" w:after="180"/>
        <w:rPr>
          <w:b/>
          <w:bCs/>
          <w:szCs w:val="22"/>
        </w:rPr>
      </w:pPr>
      <w:r w:rsidRPr="00581848">
        <w:rPr>
          <w:b/>
          <w:bCs/>
          <w:szCs w:val="22"/>
        </w:rPr>
        <w:t>1. Overview of Comunidad Andina (CAN)</w:t>
      </w:r>
    </w:p>
    <w:p w14:paraId="211CBA7B" w14:textId="77777777" w:rsidR="00581848" w:rsidRPr="00581848" w:rsidRDefault="00581848" w:rsidP="00F5462E">
      <w:pPr>
        <w:spacing w:before="120" w:after="180"/>
        <w:rPr>
          <w:szCs w:val="22"/>
        </w:rPr>
      </w:pPr>
      <w:r w:rsidRPr="00581848">
        <w:rPr>
          <w:szCs w:val="22"/>
        </w:rPr>
        <w:t xml:space="preserve">CAN is a regional economic and regulatory bloc comprising Bolivia, Colombia, Ecuador, and Peru (115M inhabitants). Unique mechanism: CAN decisions and regulations automatically apply to all member countries—no national ratification is needed. </w:t>
      </w:r>
    </w:p>
    <w:p w14:paraId="662AD7D3" w14:textId="77777777" w:rsidR="00581848" w:rsidRPr="00581848" w:rsidRDefault="00581848" w:rsidP="00F5462E">
      <w:pPr>
        <w:spacing w:before="120" w:after="180"/>
        <w:rPr>
          <w:szCs w:val="22"/>
        </w:rPr>
      </w:pPr>
      <w:r w:rsidRPr="00581848">
        <w:rPr>
          <w:szCs w:val="22"/>
        </w:rPr>
        <w:t>Operates a Regional Sanitary and Phytosanitary System (Decision 515) with:</w:t>
      </w:r>
    </w:p>
    <w:p w14:paraId="14A69D03" w14:textId="5B61B7CD" w:rsidR="00581848" w:rsidRPr="00581848" w:rsidRDefault="00581848" w:rsidP="00F5462E">
      <w:pPr>
        <w:spacing w:before="120" w:after="180"/>
        <w:rPr>
          <w:szCs w:val="22"/>
        </w:rPr>
      </w:pPr>
      <w:r w:rsidRPr="00581848">
        <w:rPr>
          <w:szCs w:val="22"/>
        </w:rPr>
        <w:t xml:space="preserve">A regional committee for plant health </w:t>
      </w:r>
      <w:r w:rsidR="00953A96">
        <w:rPr>
          <w:szCs w:val="22"/>
        </w:rPr>
        <w:t>and</w:t>
      </w:r>
      <w:r w:rsidRPr="00581848">
        <w:rPr>
          <w:szCs w:val="22"/>
        </w:rPr>
        <w:t xml:space="preserve"> animal health. Focus areas include harmonization of diagnostic protocols.</w:t>
      </w:r>
    </w:p>
    <w:p w14:paraId="56E22A05" w14:textId="77777777" w:rsidR="00581848" w:rsidRPr="00581848" w:rsidRDefault="00581848" w:rsidP="00F5462E">
      <w:pPr>
        <w:spacing w:before="120" w:after="180"/>
        <w:rPr>
          <w:szCs w:val="22"/>
        </w:rPr>
      </w:pPr>
    </w:p>
    <w:p w14:paraId="3D72E8EB" w14:textId="4ED51C4C" w:rsidR="00581848" w:rsidRPr="00581848" w:rsidRDefault="00581848" w:rsidP="00F5462E">
      <w:pPr>
        <w:spacing w:before="120" w:after="180"/>
        <w:rPr>
          <w:b/>
          <w:bCs/>
          <w:szCs w:val="22"/>
        </w:rPr>
      </w:pPr>
      <w:r w:rsidRPr="00581848">
        <w:rPr>
          <w:b/>
          <w:bCs/>
          <w:szCs w:val="22"/>
        </w:rPr>
        <w:t xml:space="preserve">2. Laboratory </w:t>
      </w:r>
      <w:r w:rsidR="00953A96">
        <w:rPr>
          <w:b/>
          <w:bCs/>
          <w:szCs w:val="22"/>
        </w:rPr>
        <w:t>and</w:t>
      </w:r>
      <w:r w:rsidRPr="00581848">
        <w:rPr>
          <w:b/>
          <w:bCs/>
          <w:szCs w:val="22"/>
        </w:rPr>
        <w:t xml:space="preserve"> Diagnostic Capacity by Country</w:t>
      </w:r>
    </w:p>
    <w:p w14:paraId="7C5E56CF" w14:textId="77777777" w:rsidR="00581848" w:rsidRPr="00581848" w:rsidRDefault="00581848" w:rsidP="00F5462E">
      <w:pPr>
        <w:spacing w:before="120" w:after="180"/>
        <w:rPr>
          <w:b/>
          <w:bCs/>
          <w:szCs w:val="22"/>
        </w:rPr>
      </w:pPr>
      <w:r w:rsidRPr="00581848">
        <w:rPr>
          <w:b/>
          <w:bCs/>
          <w:szCs w:val="22"/>
        </w:rPr>
        <w:t>Bolivia (SENASAG):</w:t>
      </w:r>
    </w:p>
    <w:p w14:paraId="4A35426D" w14:textId="3DF4D6D7" w:rsidR="00581848" w:rsidRPr="00581848" w:rsidRDefault="00581848" w:rsidP="00F5462E">
      <w:pPr>
        <w:spacing w:before="120" w:after="180"/>
        <w:rPr>
          <w:szCs w:val="22"/>
        </w:rPr>
      </w:pPr>
      <w:r w:rsidRPr="00581848">
        <w:rPr>
          <w:szCs w:val="22"/>
        </w:rPr>
        <w:t xml:space="preserve">National labs </w:t>
      </w:r>
      <w:r w:rsidR="00641584">
        <w:rPr>
          <w:szCs w:val="22"/>
        </w:rPr>
        <w:t>and</w:t>
      </w:r>
      <w:r w:rsidRPr="00581848">
        <w:rPr>
          <w:szCs w:val="22"/>
        </w:rPr>
        <w:t xml:space="preserve"> external (university </w:t>
      </w:r>
      <w:r w:rsidR="00953A96">
        <w:rPr>
          <w:szCs w:val="22"/>
        </w:rPr>
        <w:t>and</w:t>
      </w:r>
      <w:r w:rsidRPr="00581848">
        <w:rPr>
          <w:szCs w:val="22"/>
        </w:rPr>
        <w:t xml:space="preserve"> private) labs authorized by NPPO. Responsible for official diagnostics, surveillance, and accreditation.</w:t>
      </w:r>
    </w:p>
    <w:p w14:paraId="784239EB" w14:textId="77777777" w:rsidR="00581848" w:rsidRPr="00581848" w:rsidRDefault="00581848" w:rsidP="00F5462E">
      <w:pPr>
        <w:spacing w:before="120" w:after="180"/>
        <w:rPr>
          <w:b/>
          <w:bCs/>
          <w:szCs w:val="22"/>
        </w:rPr>
      </w:pPr>
      <w:r w:rsidRPr="00581848">
        <w:rPr>
          <w:b/>
          <w:bCs/>
          <w:szCs w:val="22"/>
        </w:rPr>
        <w:t>Ecuador (</w:t>
      </w:r>
      <w:proofErr w:type="spellStart"/>
      <w:r w:rsidRPr="00581848">
        <w:rPr>
          <w:b/>
          <w:bCs/>
          <w:szCs w:val="22"/>
        </w:rPr>
        <w:t>Agrocalidad</w:t>
      </w:r>
      <w:proofErr w:type="spellEnd"/>
      <w:r w:rsidRPr="00581848">
        <w:rPr>
          <w:b/>
          <w:bCs/>
          <w:szCs w:val="22"/>
        </w:rPr>
        <w:t>):</w:t>
      </w:r>
    </w:p>
    <w:p w14:paraId="1FB4E2E9" w14:textId="0CE9034B" w:rsidR="00581848" w:rsidRPr="00581848" w:rsidRDefault="00581848" w:rsidP="00F5462E">
      <w:pPr>
        <w:spacing w:before="120" w:after="180"/>
        <w:rPr>
          <w:szCs w:val="22"/>
        </w:rPr>
      </w:pPr>
      <w:r w:rsidRPr="00581848">
        <w:rPr>
          <w:szCs w:val="22"/>
        </w:rPr>
        <w:t xml:space="preserve">7 official NPPO labs (ISO 17025 accredited) </w:t>
      </w:r>
      <w:r w:rsidR="00641584">
        <w:rPr>
          <w:szCs w:val="22"/>
        </w:rPr>
        <w:t>and</w:t>
      </w:r>
      <w:r w:rsidRPr="00581848">
        <w:rPr>
          <w:szCs w:val="22"/>
        </w:rPr>
        <w:t xml:space="preserve"> 2 external (university and research institute). Regional labs cover plant pathology, seeds, water quality analysis.</w:t>
      </w:r>
    </w:p>
    <w:p w14:paraId="7971C5E7" w14:textId="77777777" w:rsidR="00581848" w:rsidRPr="00581848" w:rsidRDefault="00581848" w:rsidP="00F5462E">
      <w:pPr>
        <w:spacing w:before="120" w:after="180"/>
        <w:rPr>
          <w:b/>
          <w:bCs/>
          <w:szCs w:val="22"/>
        </w:rPr>
      </w:pPr>
      <w:r w:rsidRPr="00581848">
        <w:rPr>
          <w:b/>
          <w:bCs/>
          <w:szCs w:val="22"/>
        </w:rPr>
        <w:t>Peru (SENASA):</w:t>
      </w:r>
    </w:p>
    <w:p w14:paraId="1CC23724" w14:textId="77777777" w:rsidR="00581848" w:rsidRPr="00581848" w:rsidRDefault="00581848" w:rsidP="00F5462E">
      <w:pPr>
        <w:spacing w:before="120" w:after="180"/>
        <w:rPr>
          <w:szCs w:val="22"/>
        </w:rPr>
      </w:pPr>
      <w:r w:rsidRPr="00581848">
        <w:rPr>
          <w:szCs w:val="22"/>
        </w:rPr>
        <w:t>7 central labs (virology, mycology, nematology, seed quality). 14 decentralized labs being equipped for remote diagnostics (microscopy, entomology, seed testing). One authorized external lab for Tomato Brown Rugose Fruit Virus. Resuming ISO 17025 accreditation process (paused during COVID).</w:t>
      </w:r>
    </w:p>
    <w:p w14:paraId="61CA1C3E" w14:textId="77777777" w:rsidR="00581848" w:rsidRPr="00581848" w:rsidRDefault="00581848" w:rsidP="00F5462E">
      <w:pPr>
        <w:spacing w:before="120" w:after="180"/>
        <w:rPr>
          <w:b/>
          <w:bCs/>
          <w:szCs w:val="22"/>
        </w:rPr>
      </w:pPr>
      <w:r w:rsidRPr="00581848">
        <w:rPr>
          <w:b/>
          <w:bCs/>
          <w:szCs w:val="22"/>
        </w:rPr>
        <w:t>Colombia (ICA):</w:t>
      </w:r>
    </w:p>
    <w:p w14:paraId="21AA7142" w14:textId="77777777" w:rsidR="00581848" w:rsidRPr="00581848" w:rsidRDefault="00581848" w:rsidP="00F5462E">
      <w:pPr>
        <w:spacing w:before="120" w:after="180"/>
        <w:rPr>
          <w:szCs w:val="22"/>
        </w:rPr>
      </w:pPr>
      <w:r w:rsidRPr="00581848">
        <w:rPr>
          <w:szCs w:val="22"/>
        </w:rPr>
        <w:t>57 national labs (26 for plant protection). National reference network handles plant pathology, entomology, molecular biology, quarantine services. Post-entry quarantine lab and lab for biological supply included. Mechanism for accrediting external labs via ICA platform (method-specific authorization).</w:t>
      </w:r>
    </w:p>
    <w:p w14:paraId="22C7B8AF" w14:textId="2BA2CAD2" w:rsidR="00581848" w:rsidRPr="00581848" w:rsidRDefault="00581848" w:rsidP="00F5462E">
      <w:pPr>
        <w:spacing w:before="120" w:after="180"/>
        <w:rPr>
          <w:b/>
          <w:bCs/>
          <w:szCs w:val="22"/>
        </w:rPr>
      </w:pPr>
      <w:r w:rsidRPr="00581848">
        <w:rPr>
          <w:b/>
          <w:bCs/>
          <w:szCs w:val="22"/>
        </w:rPr>
        <w:lastRenderedPageBreak/>
        <w:t xml:space="preserve">3. Regional Priorities </w:t>
      </w:r>
      <w:r w:rsidR="00953A96">
        <w:rPr>
          <w:b/>
          <w:bCs/>
          <w:szCs w:val="22"/>
        </w:rPr>
        <w:t>and</w:t>
      </w:r>
      <w:r w:rsidRPr="00581848">
        <w:rPr>
          <w:b/>
          <w:bCs/>
          <w:szCs w:val="22"/>
        </w:rPr>
        <w:t xml:space="preserve"> Protocol Harmonization</w:t>
      </w:r>
    </w:p>
    <w:p w14:paraId="6304E4E5" w14:textId="77777777" w:rsidR="00581848" w:rsidRPr="00581848" w:rsidRDefault="00581848" w:rsidP="00F5462E">
      <w:pPr>
        <w:spacing w:before="120" w:after="180"/>
        <w:rPr>
          <w:szCs w:val="22"/>
        </w:rPr>
      </w:pPr>
      <w:r w:rsidRPr="00581848">
        <w:rPr>
          <w:szCs w:val="22"/>
        </w:rPr>
        <w:t>Priority pests: Fusarium TR4, HLB (citrus greening), Xylella fastidiosa, and potato “zebra chip” complex.</w:t>
      </w:r>
    </w:p>
    <w:p w14:paraId="7E9F6307" w14:textId="7E50805D" w:rsidR="00581848" w:rsidRPr="00581848" w:rsidRDefault="00581848" w:rsidP="00F5462E">
      <w:pPr>
        <w:spacing w:before="120" w:after="180"/>
        <w:rPr>
          <w:szCs w:val="22"/>
        </w:rPr>
      </w:pPr>
      <w:r w:rsidRPr="00581848">
        <w:rPr>
          <w:szCs w:val="22"/>
        </w:rPr>
        <w:t>Approach:</w:t>
      </w:r>
      <w:r w:rsidR="00641584">
        <w:rPr>
          <w:szCs w:val="22"/>
        </w:rPr>
        <w:t xml:space="preserve"> </w:t>
      </w:r>
      <w:r w:rsidRPr="00581848">
        <w:rPr>
          <w:szCs w:val="22"/>
        </w:rPr>
        <w:t>Collection of national experiences and methods. Validation through expert consultation. Harmonized regional diagnostic protocol recommended (e.g., PCR for zebra chip). Plan to harmonize 2 protocols per year going forward.</w:t>
      </w:r>
    </w:p>
    <w:p w14:paraId="43A6F536" w14:textId="1F4BA6B8" w:rsidR="00581848" w:rsidRPr="00581848" w:rsidRDefault="00581848" w:rsidP="00F5462E">
      <w:pPr>
        <w:spacing w:before="120" w:after="180"/>
        <w:rPr>
          <w:b/>
          <w:bCs/>
          <w:szCs w:val="22"/>
        </w:rPr>
      </w:pPr>
      <w:r w:rsidRPr="00581848">
        <w:rPr>
          <w:b/>
          <w:bCs/>
          <w:szCs w:val="22"/>
        </w:rPr>
        <w:t xml:space="preserve">4. Information Sharing </w:t>
      </w:r>
      <w:r w:rsidR="00953A96">
        <w:rPr>
          <w:b/>
          <w:bCs/>
          <w:szCs w:val="22"/>
        </w:rPr>
        <w:t>and</w:t>
      </w:r>
      <w:r w:rsidRPr="00581848">
        <w:rPr>
          <w:b/>
          <w:bCs/>
          <w:szCs w:val="22"/>
        </w:rPr>
        <w:t xml:space="preserve"> Confidentiality</w:t>
      </w:r>
    </w:p>
    <w:p w14:paraId="7719E138" w14:textId="77777777" w:rsidR="00581848" w:rsidRPr="00581848" w:rsidRDefault="00581848" w:rsidP="00F5462E">
      <w:pPr>
        <w:spacing w:before="120" w:after="180"/>
        <w:rPr>
          <w:szCs w:val="22"/>
        </w:rPr>
      </w:pPr>
      <w:r w:rsidRPr="00581848">
        <w:rPr>
          <w:szCs w:val="22"/>
        </w:rPr>
        <w:t xml:space="preserve">Regional commitment to transparency: </w:t>
      </w:r>
    </w:p>
    <w:p w14:paraId="36E221EC" w14:textId="77777777" w:rsidR="00581848" w:rsidRPr="00581848" w:rsidRDefault="00581848" w:rsidP="00F5462E">
      <w:pPr>
        <w:spacing w:before="120" w:after="180"/>
        <w:rPr>
          <w:szCs w:val="22"/>
        </w:rPr>
      </w:pPr>
      <w:r w:rsidRPr="00581848">
        <w:rPr>
          <w:szCs w:val="22"/>
        </w:rPr>
        <w:t>HLB – surveillance data reported every 6 months. Fusarium TR4 – reported every 3 months. Results compiled into regional bulletins. Confidential information handled under CAN’s formal reporting mechanisms.</w:t>
      </w:r>
    </w:p>
    <w:p w14:paraId="1C3C28E3" w14:textId="34479ECF" w:rsidR="00581848" w:rsidRPr="00581848" w:rsidRDefault="00581848" w:rsidP="00F5462E">
      <w:pPr>
        <w:spacing w:before="120" w:after="180"/>
        <w:rPr>
          <w:b/>
          <w:bCs/>
          <w:szCs w:val="22"/>
        </w:rPr>
      </w:pPr>
      <w:r w:rsidRPr="00581848">
        <w:rPr>
          <w:szCs w:val="22"/>
        </w:rPr>
        <w:t xml:space="preserve"> </w:t>
      </w:r>
      <w:r w:rsidRPr="00581848">
        <w:rPr>
          <w:b/>
          <w:bCs/>
          <w:szCs w:val="22"/>
        </w:rPr>
        <w:t xml:space="preserve">5. Key Challenges </w:t>
      </w:r>
      <w:r w:rsidR="00953A96">
        <w:rPr>
          <w:b/>
          <w:bCs/>
          <w:szCs w:val="22"/>
        </w:rPr>
        <w:t>and</w:t>
      </w:r>
      <w:r w:rsidRPr="00581848">
        <w:rPr>
          <w:b/>
          <w:bCs/>
          <w:szCs w:val="22"/>
        </w:rPr>
        <w:t xml:space="preserve"> Opportunities</w:t>
      </w:r>
    </w:p>
    <w:p w14:paraId="4AF95140" w14:textId="77777777" w:rsidR="00581848" w:rsidRPr="00581848" w:rsidRDefault="00581848" w:rsidP="00F5462E">
      <w:pPr>
        <w:spacing w:before="120" w:after="180"/>
        <w:rPr>
          <w:szCs w:val="22"/>
        </w:rPr>
      </w:pPr>
      <w:r w:rsidRPr="00581848">
        <w:rPr>
          <w:szCs w:val="22"/>
        </w:rPr>
        <w:t xml:space="preserve">Challenges: Maintaining ISO 17025 accreditation, high cost of sustaining accreditation, balancing capacity across countries. </w:t>
      </w:r>
    </w:p>
    <w:p w14:paraId="23153AD7" w14:textId="7159741B" w:rsidR="00581848" w:rsidRPr="00581848" w:rsidRDefault="00581848" w:rsidP="00F5462E">
      <w:pPr>
        <w:spacing w:before="120" w:after="180"/>
        <w:rPr>
          <w:szCs w:val="22"/>
        </w:rPr>
      </w:pPr>
      <w:r w:rsidRPr="00581848">
        <w:rPr>
          <w:szCs w:val="22"/>
        </w:rPr>
        <w:t xml:space="preserve">Opportunities: Strengthen remote diagnostics network. Enhance cross-country collaboration and capacity building. </w:t>
      </w:r>
    </w:p>
    <w:p w14:paraId="4DE0BA50" w14:textId="77777777" w:rsidR="00B3561A" w:rsidRDefault="00B3561A" w:rsidP="00F5462E">
      <w:pPr>
        <w:spacing w:before="120" w:after="180"/>
        <w:rPr>
          <w:szCs w:val="22"/>
        </w:rPr>
      </w:pPr>
    </w:p>
    <w:p w14:paraId="77D4368D" w14:textId="77777777" w:rsidR="00B3561A" w:rsidRDefault="00B3561A" w:rsidP="00F5462E">
      <w:pPr>
        <w:spacing w:before="120" w:after="180"/>
        <w:rPr>
          <w:szCs w:val="22"/>
        </w:rPr>
      </w:pPr>
    </w:p>
    <w:p w14:paraId="68404EE5" w14:textId="77777777" w:rsidR="00641584" w:rsidRDefault="00641584" w:rsidP="00F5462E">
      <w:pPr>
        <w:spacing w:before="120" w:after="180"/>
        <w:rPr>
          <w:szCs w:val="22"/>
        </w:rPr>
      </w:pPr>
    </w:p>
    <w:p w14:paraId="02B9D52B" w14:textId="77777777" w:rsidR="00641584" w:rsidRDefault="00641584" w:rsidP="00F5462E">
      <w:pPr>
        <w:spacing w:before="120" w:after="180"/>
        <w:rPr>
          <w:szCs w:val="22"/>
        </w:rPr>
      </w:pPr>
    </w:p>
    <w:p w14:paraId="07CF143A" w14:textId="77777777" w:rsidR="00641584" w:rsidRDefault="00641584" w:rsidP="00F5462E">
      <w:pPr>
        <w:spacing w:before="120" w:after="180"/>
        <w:rPr>
          <w:szCs w:val="22"/>
        </w:rPr>
      </w:pPr>
    </w:p>
    <w:p w14:paraId="1083D8BB" w14:textId="77777777" w:rsidR="00641584" w:rsidRDefault="00641584" w:rsidP="00F5462E">
      <w:pPr>
        <w:spacing w:before="120" w:after="180"/>
        <w:rPr>
          <w:szCs w:val="22"/>
        </w:rPr>
      </w:pPr>
    </w:p>
    <w:p w14:paraId="79BC41ED" w14:textId="77777777" w:rsidR="00641584" w:rsidRDefault="00641584" w:rsidP="00F5462E">
      <w:pPr>
        <w:spacing w:before="120" w:after="180"/>
        <w:rPr>
          <w:szCs w:val="22"/>
        </w:rPr>
      </w:pPr>
    </w:p>
    <w:p w14:paraId="3E83FFA6" w14:textId="77777777" w:rsidR="00641584" w:rsidRDefault="00641584" w:rsidP="00F5462E">
      <w:pPr>
        <w:spacing w:before="120" w:after="180"/>
        <w:rPr>
          <w:szCs w:val="22"/>
        </w:rPr>
      </w:pPr>
    </w:p>
    <w:p w14:paraId="5B8B4323" w14:textId="77777777" w:rsidR="00641584" w:rsidRDefault="00641584" w:rsidP="00F5462E">
      <w:pPr>
        <w:spacing w:before="120" w:after="180"/>
        <w:rPr>
          <w:szCs w:val="22"/>
        </w:rPr>
      </w:pPr>
    </w:p>
    <w:p w14:paraId="510D29FC" w14:textId="77777777" w:rsidR="00641584" w:rsidRDefault="00641584" w:rsidP="00F5462E">
      <w:pPr>
        <w:spacing w:before="120" w:after="180"/>
        <w:rPr>
          <w:szCs w:val="22"/>
        </w:rPr>
      </w:pPr>
    </w:p>
    <w:p w14:paraId="74665F1B" w14:textId="77777777" w:rsidR="00641584" w:rsidRDefault="00641584" w:rsidP="00F5462E">
      <w:pPr>
        <w:spacing w:before="120" w:after="180"/>
        <w:rPr>
          <w:szCs w:val="22"/>
        </w:rPr>
      </w:pPr>
    </w:p>
    <w:p w14:paraId="4D8DD136" w14:textId="77777777" w:rsidR="00641584" w:rsidRDefault="00641584" w:rsidP="00F5462E">
      <w:pPr>
        <w:spacing w:before="120" w:after="180"/>
        <w:rPr>
          <w:szCs w:val="22"/>
        </w:rPr>
      </w:pPr>
    </w:p>
    <w:p w14:paraId="14B2D9D7" w14:textId="77777777" w:rsidR="00641584" w:rsidRDefault="00641584" w:rsidP="00F5462E">
      <w:pPr>
        <w:spacing w:before="120" w:after="180"/>
        <w:rPr>
          <w:szCs w:val="22"/>
        </w:rPr>
      </w:pPr>
    </w:p>
    <w:p w14:paraId="5B2255D2" w14:textId="77777777" w:rsidR="00641584" w:rsidRDefault="00641584" w:rsidP="00F5462E">
      <w:pPr>
        <w:spacing w:before="120" w:after="180"/>
        <w:rPr>
          <w:szCs w:val="22"/>
        </w:rPr>
      </w:pPr>
    </w:p>
    <w:p w14:paraId="60D3A1BC" w14:textId="77777777" w:rsidR="00641584" w:rsidRDefault="00641584" w:rsidP="00F5462E">
      <w:pPr>
        <w:spacing w:before="120" w:after="180"/>
        <w:rPr>
          <w:szCs w:val="22"/>
        </w:rPr>
      </w:pPr>
    </w:p>
    <w:p w14:paraId="7633A13C" w14:textId="77777777" w:rsidR="00641584" w:rsidRDefault="00641584" w:rsidP="00F5462E">
      <w:pPr>
        <w:spacing w:before="120" w:after="180"/>
        <w:rPr>
          <w:szCs w:val="22"/>
        </w:rPr>
      </w:pPr>
    </w:p>
    <w:p w14:paraId="2C2A93CC" w14:textId="77777777" w:rsidR="00641584" w:rsidRDefault="00641584" w:rsidP="00F5462E">
      <w:pPr>
        <w:spacing w:before="120" w:after="180"/>
        <w:rPr>
          <w:szCs w:val="22"/>
        </w:rPr>
      </w:pPr>
    </w:p>
    <w:p w14:paraId="32B6DE01" w14:textId="77777777" w:rsidR="00641584" w:rsidRDefault="00641584" w:rsidP="00F5462E">
      <w:pPr>
        <w:spacing w:before="120" w:after="180"/>
        <w:rPr>
          <w:szCs w:val="22"/>
        </w:rPr>
      </w:pPr>
    </w:p>
    <w:p w14:paraId="5219ECA2" w14:textId="77777777" w:rsidR="00641584" w:rsidRDefault="00641584" w:rsidP="00F5462E">
      <w:pPr>
        <w:spacing w:before="120" w:after="180"/>
        <w:rPr>
          <w:szCs w:val="22"/>
        </w:rPr>
      </w:pPr>
    </w:p>
    <w:p w14:paraId="264B1760" w14:textId="3DAEE67F" w:rsidR="00641584" w:rsidRDefault="00641584" w:rsidP="00A64DA6">
      <w:pPr>
        <w:pStyle w:val="IPPHeading1"/>
        <w:jc w:val="both"/>
      </w:pPr>
      <w:bookmarkStart w:id="35" w:name="_Toc210831737"/>
      <w:r>
        <w:rPr>
          <w:bCs/>
        </w:rPr>
        <w:lastRenderedPageBreak/>
        <w:t xml:space="preserve">Appendix </w:t>
      </w:r>
      <w:r w:rsidR="0034766E">
        <w:rPr>
          <w:bCs/>
        </w:rPr>
        <w:t>7</w:t>
      </w:r>
      <w:r>
        <w:rPr>
          <w:bCs/>
        </w:rPr>
        <w:t xml:space="preserve">: </w:t>
      </w:r>
      <w:r w:rsidRPr="00581848">
        <w:rPr>
          <w:bCs/>
        </w:rPr>
        <w:t xml:space="preserve">Interview </w:t>
      </w:r>
      <w:r w:rsidR="00A64DA6">
        <w:rPr>
          <w:bCs/>
        </w:rPr>
        <w:t>S</w:t>
      </w:r>
      <w:r w:rsidRPr="00581848">
        <w:rPr>
          <w:bCs/>
        </w:rPr>
        <w:t xml:space="preserve">ummary </w:t>
      </w:r>
      <w:r>
        <w:rPr>
          <w:bCs/>
        </w:rPr>
        <w:t>with Dr. Florence Munguti</w:t>
      </w:r>
      <w:r w:rsidRPr="00581848">
        <w:rPr>
          <w:bCs/>
        </w:rPr>
        <w:t xml:space="preserve"> </w:t>
      </w:r>
      <w:r w:rsidR="0034766E">
        <w:rPr>
          <w:bCs/>
        </w:rPr>
        <w:t xml:space="preserve">from Kenya NPPO on </w:t>
      </w:r>
      <w:r>
        <w:rPr>
          <w:bCs/>
        </w:rPr>
        <w:t>30</w:t>
      </w:r>
      <w:r w:rsidRPr="00581848">
        <w:rPr>
          <w:bCs/>
        </w:rPr>
        <w:t xml:space="preserve"> September 2025</w:t>
      </w:r>
      <w:bookmarkEnd w:id="35"/>
    </w:p>
    <w:p w14:paraId="2EF87A54" w14:textId="4937D3D1" w:rsidR="00641584" w:rsidRPr="00A64DA6" w:rsidRDefault="00641584" w:rsidP="00A64DA6">
      <w:pPr>
        <w:pStyle w:val="IPPNormal"/>
        <w:rPr>
          <w:b/>
          <w:bCs/>
          <w:lang w:val="en-ZA" w:eastAsia="en-ZA"/>
        </w:rPr>
      </w:pPr>
      <w:r w:rsidRPr="00A64DA6">
        <w:rPr>
          <w:b/>
          <w:bCs/>
          <w:lang w:val="en-ZA" w:eastAsia="en-ZA"/>
        </w:rPr>
        <w:t>Central Role of NPPO Laboratories</w:t>
      </w:r>
    </w:p>
    <w:p w14:paraId="5B0802BD" w14:textId="717E2DAE" w:rsidR="00641584" w:rsidRPr="00563A06" w:rsidRDefault="00641584" w:rsidP="00563A06">
      <w:pPr>
        <w:spacing w:before="120" w:after="180"/>
        <w:rPr>
          <w:rFonts w:eastAsia="Times New Roman"/>
          <w:szCs w:val="22"/>
          <w:lang w:val="en-ZA" w:eastAsia="en-ZA"/>
        </w:rPr>
      </w:pPr>
      <w:r w:rsidRPr="00563A06">
        <w:rPr>
          <w:szCs w:val="22"/>
          <w:lang w:val="en-ZA" w:eastAsia="en-ZA"/>
        </w:rPr>
        <w:t xml:space="preserve">From </w:t>
      </w:r>
      <w:proofErr w:type="gramStart"/>
      <w:r w:rsidRPr="00563A06">
        <w:rPr>
          <w:szCs w:val="22"/>
          <w:lang w:val="en-ZA" w:eastAsia="en-ZA"/>
        </w:rPr>
        <w:t>the  interview</w:t>
      </w:r>
      <w:proofErr w:type="gramEnd"/>
      <w:r w:rsidRPr="00563A06">
        <w:rPr>
          <w:szCs w:val="22"/>
          <w:lang w:val="en-ZA" w:eastAsia="en-ZA"/>
        </w:rPr>
        <w:t xml:space="preserve">, NPPO laboratories were identified as the backbone of routine plant health diagnostics. </w:t>
      </w:r>
      <w:r w:rsidRPr="00563A06">
        <w:rPr>
          <w:rFonts w:eastAsia="Times New Roman"/>
          <w:szCs w:val="22"/>
          <w:lang w:val="en-ZA" w:eastAsia="en-ZA"/>
        </w:rPr>
        <w:t>They are responsible for import/export testing and phytosanitary certification. Unlike universities or research labs, NPPOs provide daily, operational diagnostic services essential for regulatory decision-making and trade compliance.</w:t>
      </w:r>
    </w:p>
    <w:p w14:paraId="5D5DF2C9" w14:textId="7777777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However, NPPOs generally lack strong research and innovation capacity, while academic labs generate methods that often remain unpublished or unused in practice.</w:t>
      </w:r>
    </w:p>
    <w:p w14:paraId="1656DD72" w14:textId="4391AA59" w:rsidR="00641584" w:rsidRPr="00A64DA6" w:rsidRDefault="00641584" w:rsidP="00563A06">
      <w:pPr>
        <w:spacing w:before="120" w:after="180"/>
        <w:rPr>
          <w:szCs w:val="22"/>
          <w:lang w:val="en-ZA" w:eastAsia="en-ZA"/>
        </w:rPr>
      </w:pPr>
      <w:r w:rsidRPr="00563A06">
        <w:rPr>
          <w:szCs w:val="22"/>
          <w:lang w:val="en-ZA" w:eastAsia="en-ZA"/>
        </w:rPr>
        <w:t>Gap identified: weak transfer of protocols and innovations from universities/research projects into NPPO operations.</w:t>
      </w:r>
    </w:p>
    <w:p w14:paraId="1D7A1D6E" w14:textId="6B3DA6F9" w:rsidR="00641584" w:rsidRPr="00563A06" w:rsidRDefault="00641584" w:rsidP="00A64DA6">
      <w:pPr>
        <w:pStyle w:val="IPPNormal"/>
        <w:rPr>
          <w:b/>
          <w:bCs/>
          <w:szCs w:val="22"/>
          <w:lang w:val="en-ZA" w:eastAsia="en-ZA"/>
        </w:rPr>
      </w:pPr>
      <w:r w:rsidRPr="00563A06">
        <w:rPr>
          <w:b/>
          <w:bCs/>
          <w:szCs w:val="22"/>
          <w:lang w:val="en-ZA" w:eastAsia="en-ZA"/>
        </w:rPr>
        <w:t>Protocols, Standards, and Reference Materials</w:t>
      </w:r>
    </w:p>
    <w:p w14:paraId="59741489" w14:textId="3B40E4AE"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Protocols are generally based on IPPC ISPM 27 diagnostic standards and, in some cases, EPPO guidelines, but must be adapted to local realities (availability of reagents, equipment, staff). A major limitation is lack of reference materials and reagents. Many NPPO labs cannot maintain positive controls or cultures long-term. Proposal: establish specialised reference centres within Africa tasked with maintaining and supplying validated materials, reagents, and positive controls to national labs.</w:t>
      </w:r>
    </w:p>
    <w:p w14:paraId="55449E90" w14:textId="1149D641" w:rsidR="00641584" w:rsidRPr="00563A06" w:rsidRDefault="00641584" w:rsidP="00A64DA6">
      <w:pPr>
        <w:pStyle w:val="IPPNormal"/>
        <w:rPr>
          <w:b/>
          <w:bCs/>
          <w:szCs w:val="22"/>
          <w:lang w:val="en-ZA" w:eastAsia="en-ZA"/>
        </w:rPr>
      </w:pPr>
      <w:r w:rsidRPr="00563A06">
        <w:rPr>
          <w:b/>
          <w:bCs/>
          <w:szCs w:val="22"/>
          <w:lang w:val="en-ZA" w:eastAsia="en-ZA"/>
        </w:rPr>
        <w:t>Accreditation and Laboratory Competence</w:t>
      </w:r>
    </w:p>
    <w:p w14:paraId="4E034538" w14:textId="555865A9"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Formal accreditation (ISO/IEC 17025) is considered the “gold standard” internationally but is prohibitively expensive for most African countries. Few African labs are accredited, unlike those in Europe, the US, and Australia. Interviewee stressed that African NPPOs should advocate for recognition of validated methods, proficiency testing, and demonstrated competency as an alternative pathway to credibility.</w:t>
      </w:r>
      <w:r w:rsidR="007744A6" w:rsidRPr="00563A06">
        <w:rPr>
          <w:rFonts w:eastAsia="Times New Roman"/>
          <w:szCs w:val="22"/>
          <w:lang w:val="en-ZA" w:eastAsia="en-ZA"/>
        </w:rPr>
        <w:t xml:space="preserve"> </w:t>
      </w:r>
      <w:r w:rsidRPr="00563A06">
        <w:rPr>
          <w:rFonts w:eastAsia="Times New Roman"/>
          <w:szCs w:val="22"/>
          <w:lang w:val="en-ZA" w:eastAsia="en-ZA"/>
        </w:rPr>
        <w:t>This would allow labs to build trust and recognition without unsustainable costs.</w:t>
      </w:r>
    </w:p>
    <w:p w14:paraId="6E8365F5" w14:textId="401C4B9D" w:rsidR="00641584" w:rsidRPr="00563A06" w:rsidRDefault="00641584" w:rsidP="00A64DA6">
      <w:pPr>
        <w:pStyle w:val="IPPNormal"/>
        <w:rPr>
          <w:b/>
          <w:bCs/>
          <w:szCs w:val="22"/>
          <w:lang w:val="en-ZA" w:eastAsia="en-ZA"/>
        </w:rPr>
      </w:pPr>
      <w:r w:rsidRPr="00563A06">
        <w:rPr>
          <w:b/>
          <w:bCs/>
          <w:szCs w:val="22"/>
          <w:lang w:val="en-ZA" w:eastAsia="en-ZA"/>
        </w:rPr>
        <w:t>Advanced Diagnostics and Genomics</w:t>
      </w:r>
    </w:p>
    <w:p w14:paraId="4F50712D" w14:textId="5DEEB95C"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Modern approaches such as sequencing and genomics are critical but remain inaccessible to many NPPOs due to costs and technical requirements.</w:t>
      </w:r>
      <w:r w:rsidR="007744A6" w:rsidRPr="00563A06">
        <w:rPr>
          <w:rFonts w:eastAsia="Times New Roman"/>
          <w:szCs w:val="22"/>
          <w:lang w:val="en-ZA" w:eastAsia="en-ZA"/>
        </w:rPr>
        <w:t xml:space="preserve"> </w:t>
      </w:r>
      <w:r w:rsidRPr="00563A06">
        <w:rPr>
          <w:rFonts w:eastAsia="Times New Roman"/>
          <w:szCs w:val="22"/>
          <w:lang w:val="en-ZA" w:eastAsia="en-ZA"/>
        </w:rPr>
        <w:t>Currently, African countries often rely on foreign labs for sequencing, raising concerns about data sovereignty and biosecurity (loss of control over plant genetic material).</w:t>
      </w:r>
      <w:r w:rsidR="007744A6" w:rsidRPr="00563A06">
        <w:rPr>
          <w:rFonts w:eastAsia="Times New Roman"/>
          <w:szCs w:val="22"/>
          <w:lang w:val="en-ZA" w:eastAsia="en-ZA"/>
        </w:rPr>
        <w:t xml:space="preserve"> </w:t>
      </w:r>
      <w:r w:rsidRPr="00563A06">
        <w:rPr>
          <w:rFonts w:eastAsia="Times New Roman"/>
          <w:szCs w:val="22"/>
          <w:lang w:val="en-ZA" w:eastAsia="en-ZA"/>
        </w:rPr>
        <w:t>A regional Centre of Excellence model was suggested, where advanced diagnostic capabilities could be shared across countries to avoid duplication and strengthen collective capacity.</w:t>
      </w:r>
    </w:p>
    <w:p w14:paraId="5C129B4B" w14:textId="781B0F3B" w:rsidR="00641584" w:rsidRPr="00563A06" w:rsidRDefault="00641584" w:rsidP="00A64DA6">
      <w:pPr>
        <w:pStyle w:val="IPPNormal"/>
        <w:rPr>
          <w:b/>
          <w:bCs/>
          <w:szCs w:val="22"/>
          <w:lang w:val="en-ZA" w:eastAsia="en-ZA"/>
        </w:rPr>
      </w:pPr>
      <w:r w:rsidRPr="00563A06">
        <w:rPr>
          <w:b/>
          <w:bCs/>
          <w:szCs w:val="22"/>
          <w:lang w:val="en-ZA" w:eastAsia="en-ZA"/>
        </w:rPr>
        <w:t>Trade, Trust, and Dispute Settlement</w:t>
      </w:r>
    </w:p>
    <w:p w14:paraId="2FCB1BEA" w14:textId="2A49DFE8" w:rsidR="00563A06"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Diagnostics underpin market access: countries must prove pest-free status for exports to the US, EU, and other markets.</w:t>
      </w:r>
      <w:r w:rsidR="007744A6" w:rsidRPr="00563A06">
        <w:rPr>
          <w:rFonts w:eastAsia="Times New Roman"/>
          <w:szCs w:val="22"/>
          <w:lang w:val="en-ZA" w:eastAsia="en-ZA"/>
        </w:rPr>
        <w:t xml:space="preserve"> </w:t>
      </w:r>
      <w:r w:rsidRPr="00563A06">
        <w:rPr>
          <w:rFonts w:eastAsia="Times New Roman"/>
          <w:szCs w:val="22"/>
          <w:lang w:val="en-ZA" w:eastAsia="en-ZA"/>
        </w:rPr>
        <w:t>Import inspections are equally critical, with strict local testing requirements.</w:t>
      </w:r>
      <w:r w:rsidR="007744A6" w:rsidRPr="00563A06">
        <w:rPr>
          <w:rFonts w:eastAsia="Times New Roman"/>
          <w:szCs w:val="22"/>
          <w:lang w:val="en-ZA" w:eastAsia="en-ZA"/>
        </w:rPr>
        <w:t xml:space="preserve"> </w:t>
      </w:r>
      <w:r w:rsidRPr="00563A06">
        <w:rPr>
          <w:rFonts w:eastAsia="Times New Roman"/>
          <w:szCs w:val="22"/>
          <w:lang w:val="en-ZA" w:eastAsia="en-ZA"/>
        </w:rPr>
        <w:t>Mismatches in diagnostic capacity or protocols between countries can lead to trade disputes.</w:t>
      </w:r>
      <w:r w:rsidR="007744A6" w:rsidRPr="00563A06">
        <w:rPr>
          <w:rFonts w:eastAsia="Times New Roman"/>
          <w:szCs w:val="22"/>
          <w:lang w:val="en-ZA" w:eastAsia="en-ZA"/>
        </w:rPr>
        <w:t xml:space="preserve"> </w:t>
      </w:r>
      <w:r w:rsidRPr="00563A06">
        <w:rPr>
          <w:rFonts w:eastAsia="Times New Roman"/>
          <w:szCs w:val="22"/>
          <w:lang w:val="en-ZA" w:eastAsia="en-ZA"/>
        </w:rPr>
        <w:t>Recommendation: encourage bilateral and regional sharing of diagnostic protocols (e.g., between Kenya and South Africa) to build trust, harmonise methods, and support compliance.</w:t>
      </w:r>
    </w:p>
    <w:p w14:paraId="6B19158B" w14:textId="0716A9C5" w:rsidR="00641584" w:rsidRPr="00563A06" w:rsidRDefault="00641584" w:rsidP="00A64DA6">
      <w:pPr>
        <w:pStyle w:val="IPPNormal"/>
        <w:rPr>
          <w:b/>
          <w:bCs/>
          <w:szCs w:val="22"/>
          <w:lang w:val="en-ZA" w:eastAsia="en-ZA"/>
        </w:rPr>
      </w:pPr>
      <w:r w:rsidRPr="00563A06">
        <w:rPr>
          <w:b/>
          <w:bCs/>
          <w:szCs w:val="22"/>
          <w:lang w:val="en-ZA" w:eastAsia="en-ZA"/>
        </w:rPr>
        <w:t>Networking and Regional Cooperation</w:t>
      </w:r>
    </w:p>
    <w:p w14:paraId="3C5C6092" w14:textId="7777777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Strong consensus that regional diagnostic networks would:</w:t>
      </w:r>
    </w:p>
    <w:p w14:paraId="3EF18A3F" w14:textId="7777777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Harmonise protocols and strengthen credibility.</w:t>
      </w:r>
    </w:p>
    <w:p w14:paraId="5351581F" w14:textId="7777777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Facilitate rapid responses to emerging pests.</w:t>
      </w:r>
    </w:p>
    <w:p w14:paraId="72AE70CE" w14:textId="7777777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Improve access to advanced diagnostics.</w:t>
      </w:r>
    </w:p>
    <w:p w14:paraId="292A7CFB" w14:textId="7777777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Enhance Africa’s ability to meet international phytosanitary requirements.</w:t>
      </w:r>
    </w:p>
    <w:p w14:paraId="02B529B7" w14:textId="6B2D9AC0" w:rsidR="00641584" w:rsidRPr="00A64DA6" w:rsidRDefault="00641584" w:rsidP="00563A06">
      <w:pPr>
        <w:spacing w:before="120" w:after="180"/>
        <w:rPr>
          <w:rFonts w:eastAsia="Times New Roman"/>
          <w:szCs w:val="22"/>
          <w:lang w:val="en-ZA" w:eastAsia="en-ZA"/>
        </w:rPr>
      </w:pPr>
      <w:r w:rsidRPr="00563A06">
        <w:rPr>
          <w:rFonts w:eastAsia="Times New Roman"/>
          <w:szCs w:val="22"/>
          <w:lang w:val="en-ZA" w:eastAsia="en-ZA"/>
        </w:rPr>
        <w:lastRenderedPageBreak/>
        <w:t>Interviewees emphasised that Africa should leverage existing resources and initiatives (e.g., CABHI mobile clinics) rather than create new, fragmented structures.</w:t>
      </w:r>
      <w:r w:rsidR="007744A6" w:rsidRPr="00563A06">
        <w:rPr>
          <w:rFonts w:eastAsia="Times New Roman"/>
          <w:szCs w:val="22"/>
          <w:lang w:val="en-ZA" w:eastAsia="en-ZA"/>
        </w:rPr>
        <w:t xml:space="preserve"> </w:t>
      </w:r>
      <w:r w:rsidRPr="00563A06">
        <w:rPr>
          <w:rFonts w:eastAsia="Times New Roman"/>
          <w:szCs w:val="22"/>
          <w:lang w:val="en-ZA" w:eastAsia="en-ZA"/>
        </w:rPr>
        <w:t>Lessons can be drawn from Europe’s EPPO diagnostic system and the US National Plant Diagnostic Network (NPDN).</w:t>
      </w:r>
    </w:p>
    <w:p w14:paraId="7B0DFC56" w14:textId="5A63D6BC" w:rsidR="00641584" w:rsidRPr="00563A06" w:rsidRDefault="00641584" w:rsidP="00A64DA6">
      <w:pPr>
        <w:pStyle w:val="IPPNormal"/>
        <w:rPr>
          <w:b/>
          <w:bCs/>
          <w:szCs w:val="22"/>
          <w:lang w:val="en-ZA" w:eastAsia="en-ZA"/>
        </w:rPr>
      </w:pPr>
      <w:r w:rsidRPr="00563A06">
        <w:rPr>
          <w:b/>
          <w:bCs/>
          <w:szCs w:val="22"/>
          <w:lang w:val="en-ZA" w:eastAsia="en-ZA"/>
        </w:rPr>
        <w:t>Role of IPPC and African Platforms</w:t>
      </w:r>
    </w:p>
    <w:p w14:paraId="62966B8C" w14:textId="55EC16EE"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IPPC is expected to play a leading role in driving the global agenda on diagnostic networking.</w:t>
      </w:r>
    </w:p>
    <w:p w14:paraId="10152AB8" w14:textId="4F969B2E"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African stakeholders suggested that even if not fully represented in global IPPC focus groups, the African Phytosanitary Council could coordinate a regional focus group to align NPPO positions and support Africa’s representative.</w:t>
      </w:r>
      <w:r w:rsidR="007744A6" w:rsidRPr="00563A06">
        <w:rPr>
          <w:rFonts w:eastAsia="Times New Roman"/>
          <w:szCs w:val="22"/>
          <w:lang w:val="en-ZA" w:eastAsia="en-ZA"/>
        </w:rPr>
        <w:t xml:space="preserve"> </w:t>
      </w:r>
      <w:r w:rsidRPr="00563A06">
        <w:rPr>
          <w:rFonts w:eastAsia="Times New Roman"/>
          <w:szCs w:val="22"/>
          <w:lang w:val="en-ZA" w:eastAsia="en-ZA"/>
        </w:rPr>
        <w:t>This would strengthen Africa’s voice in global discussions and ensure the continent’s priorities are included.</w:t>
      </w:r>
    </w:p>
    <w:p w14:paraId="171497D5" w14:textId="13EE9A5E" w:rsidR="00641584" w:rsidRPr="00563A06" w:rsidRDefault="00641584" w:rsidP="00A64DA6">
      <w:pPr>
        <w:pStyle w:val="IPPNormal"/>
        <w:rPr>
          <w:b/>
          <w:bCs/>
          <w:szCs w:val="22"/>
          <w:lang w:val="en-ZA" w:eastAsia="en-ZA"/>
        </w:rPr>
      </w:pPr>
      <w:r w:rsidRPr="00563A06">
        <w:rPr>
          <w:b/>
          <w:bCs/>
          <w:szCs w:val="22"/>
          <w:lang w:val="en-ZA" w:eastAsia="en-ZA"/>
        </w:rPr>
        <w:t>Funding and Sustainability</w:t>
      </w:r>
    </w:p>
    <w:p w14:paraId="53E67A8D" w14:textId="5FCC0F0C" w:rsidR="00641584" w:rsidRPr="00A64DA6" w:rsidRDefault="00641584" w:rsidP="00563A06">
      <w:pPr>
        <w:spacing w:before="120" w:after="180"/>
        <w:rPr>
          <w:rFonts w:eastAsia="Times New Roman"/>
          <w:szCs w:val="22"/>
          <w:lang w:val="en-ZA" w:eastAsia="en-ZA"/>
        </w:rPr>
      </w:pPr>
      <w:r w:rsidRPr="00563A06">
        <w:rPr>
          <w:rFonts w:eastAsia="Times New Roman"/>
          <w:szCs w:val="22"/>
          <w:lang w:val="en-ZA" w:eastAsia="en-ZA"/>
        </w:rPr>
        <w:t>Funding was repeatedly flagged as the biggest challenge.</w:t>
      </w:r>
      <w:r w:rsidR="007744A6" w:rsidRPr="00563A06">
        <w:rPr>
          <w:rFonts w:eastAsia="Times New Roman"/>
          <w:szCs w:val="22"/>
          <w:lang w:val="en-ZA" w:eastAsia="en-ZA"/>
        </w:rPr>
        <w:t xml:space="preserve"> </w:t>
      </w:r>
      <w:r w:rsidRPr="00563A06">
        <w:rPr>
          <w:rFonts w:eastAsia="Times New Roman"/>
          <w:szCs w:val="22"/>
          <w:lang w:val="en-ZA" w:eastAsia="en-ZA"/>
        </w:rPr>
        <w:t>Donor priorities shift, and fragmented country-level proposals struggle to secure support.</w:t>
      </w:r>
      <w:r w:rsidR="007744A6" w:rsidRPr="00563A06">
        <w:rPr>
          <w:rFonts w:eastAsia="Times New Roman"/>
          <w:szCs w:val="22"/>
          <w:lang w:val="en-ZA" w:eastAsia="en-ZA"/>
        </w:rPr>
        <w:t xml:space="preserve"> </w:t>
      </w:r>
      <w:r w:rsidRPr="00563A06">
        <w:rPr>
          <w:rFonts w:eastAsia="Times New Roman"/>
          <w:szCs w:val="22"/>
          <w:lang w:val="en-ZA" w:eastAsia="en-ZA"/>
        </w:rPr>
        <w:t>A regional coordination model is more likely to attract sustained donor interest and resources.</w:t>
      </w:r>
      <w:r w:rsidR="007744A6" w:rsidRPr="00563A06">
        <w:rPr>
          <w:rFonts w:eastAsia="Times New Roman"/>
          <w:szCs w:val="22"/>
          <w:lang w:val="en-ZA" w:eastAsia="en-ZA"/>
        </w:rPr>
        <w:t xml:space="preserve"> </w:t>
      </w:r>
      <w:r w:rsidRPr="00563A06">
        <w:rPr>
          <w:rFonts w:eastAsia="Times New Roman"/>
          <w:szCs w:val="22"/>
          <w:lang w:val="en-ZA" w:eastAsia="en-ZA"/>
        </w:rPr>
        <w:t>Regular collaboration, joint proposals, and active engagement across NPPOs would improve funding success and sustainability.</w:t>
      </w:r>
    </w:p>
    <w:p w14:paraId="4BF8584D" w14:textId="3A44427D" w:rsidR="00641584" w:rsidRPr="00A64DA6" w:rsidRDefault="00641584" w:rsidP="00A64DA6">
      <w:pPr>
        <w:pStyle w:val="IPPNormal"/>
        <w:rPr>
          <w:b/>
          <w:bCs/>
          <w:szCs w:val="22"/>
          <w:lang w:val="en-ZA" w:eastAsia="en-ZA"/>
        </w:rPr>
      </w:pPr>
      <w:r w:rsidRPr="00A64DA6">
        <w:rPr>
          <w:b/>
          <w:bCs/>
          <w:szCs w:val="22"/>
          <w:lang w:val="en-ZA" w:eastAsia="en-ZA"/>
        </w:rPr>
        <w:t>Data Management and Communication</w:t>
      </w:r>
    </w:p>
    <w:p w14:paraId="01223B55" w14:textId="326A294F" w:rsidR="00641584" w:rsidRPr="00A64DA6" w:rsidRDefault="00641584" w:rsidP="00563A06">
      <w:pPr>
        <w:spacing w:before="120" w:after="180"/>
        <w:rPr>
          <w:rFonts w:eastAsia="Times New Roman"/>
          <w:szCs w:val="22"/>
          <w:lang w:val="en-ZA" w:eastAsia="en-ZA"/>
        </w:rPr>
      </w:pPr>
      <w:r w:rsidRPr="00563A06">
        <w:rPr>
          <w:rFonts w:eastAsia="Times New Roman"/>
          <w:szCs w:val="22"/>
          <w:lang w:val="en-ZA" w:eastAsia="en-ZA"/>
        </w:rPr>
        <w:t>Systems like LIMS are used in some NPPOs (e.g., Kenya), with reporting to IPPC portals.</w:t>
      </w:r>
      <w:r w:rsidR="007744A6" w:rsidRPr="00563A06">
        <w:rPr>
          <w:rFonts w:eastAsia="Times New Roman"/>
          <w:szCs w:val="22"/>
          <w:lang w:val="en-ZA" w:eastAsia="en-ZA"/>
        </w:rPr>
        <w:t xml:space="preserve"> </w:t>
      </w:r>
      <w:r w:rsidRPr="00563A06">
        <w:rPr>
          <w:rFonts w:eastAsia="Times New Roman"/>
          <w:szCs w:val="22"/>
          <w:lang w:val="en-ZA" w:eastAsia="en-ZA"/>
        </w:rPr>
        <w:t>Need for stronger regional data-sharing mechanisms to improve transparency, surveillance, and decision-making.</w:t>
      </w:r>
    </w:p>
    <w:p w14:paraId="194ADA1D" w14:textId="635E5347" w:rsidR="00641584" w:rsidRPr="00563A06" w:rsidRDefault="00641584" w:rsidP="00A64DA6">
      <w:pPr>
        <w:pStyle w:val="IPPNormal"/>
        <w:rPr>
          <w:b/>
          <w:bCs/>
          <w:szCs w:val="22"/>
          <w:lang w:val="en-ZA" w:eastAsia="en-ZA"/>
        </w:rPr>
      </w:pPr>
      <w:r w:rsidRPr="00563A06">
        <w:rPr>
          <w:b/>
          <w:bCs/>
          <w:szCs w:val="22"/>
          <w:lang w:val="en-ZA" w:eastAsia="en-ZA"/>
        </w:rPr>
        <w:t>Strategic Vision Going Forward</w:t>
      </w:r>
    </w:p>
    <w:p w14:paraId="679E40C8" w14:textId="7777777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Diagnostics remain undervalued, yet they are essential to phytosanitary security, trade, and economic stability.</w:t>
      </w:r>
    </w:p>
    <w:p w14:paraId="3D28317B" w14:textId="1A0AD927" w:rsidR="00641584" w:rsidRPr="00563A06" w:rsidRDefault="00641584" w:rsidP="00563A06">
      <w:pPr>
        <w:spacing w:before="120" w:after="180"/>
        <w:rPr>
          <w:rFonts w:eastAsia="Times New Roman"/>
          <w:szCs w:val="22"/>
          <w:lang w:val="en-ZA" w:eastAsia="en-ZA"/>
        </w:rPr>
      </w:pPr>
      <w:r w:rsidRPr="00563A06">
        <w:rPr>
          <w:rFonts w:eastAsia="Times New Roman"/>
          <w:szCs w:val="22"/>
          <w:lang w:val="en-ZA" w:eastAsia="en-ZA"/>
        </w:rPr>
        <w:t>Interviewee see the current moment as an opportunity for Africa to:</w:t>
      </w:r>
    </w:p>
    <w:p w14:paraId="348BADC0" w14:textId="7B7B6ACA" w:rsidR="007744A6" w:rsidRDefault="00641584" w:rsidP="00F5462E">
      <w:pPr>
        <w:spacing w:before="120" w:after="180"/>
        <w:rPr>
          <w:szCs w:val="22"/>
        </w:rPr>
      </w:pPr>
      <w:r w:rsidRPr="00563A06">
        <w:rPr>
          <w:rFonts w:eastAsia="Times New Roman"/>
          <w:szCs w:val="22"/>
          <w:lang w:val="en-ZA" w:eastAsia="en-ZA"/>
        </w:rPr>
        <w:t>Stop working in silos.</w:t>
      </w:r>
      <w:r w:rsidR="00563A06">
        <w:rPr>
          <w:rFonts w:eastAsia="Times New Roman"/>
          <w:szCs w:val="22"/>
          <w:lang w:val="en-ZA" w:eastAsia="en-ZA"/>
        </w:rPr>
        <w:t xml:space="preserve"> </w:t>
      </w:r>
      <w:r w:rsidRPr="00563A06">
        <w:rPr>
          <w:rFonts w:eastAsia="Times New Roman"/>
          <w:szCs w:val="22"/>
          <w:lang w:val="en-ZA" w:eastAsia="en-ZA"/>
        </w:rPr>
        <w:t>Pool resources into regional centres of excellence.</w:t>
      </w:r>
      <w:r w:rsidR="00563A06">
        <w:rPr>
          <w:rFonts w:eastAsia="Times New Roman"/>
          <w:szCs w:val="22"/>
          <w:lang w:val="en-ZA" w:eastAsia="en-ZA"/>
        </w:rPr>
        <w:t xml:space="preserve"> </w:t>
      </w:r>
      <w:r w:rsidRPr="00563A06">
        <w:rPr>
          <w:rFonts w:eastAsia="Times New Roman"/>
          <w:szCs w:val="22"/>
          <w:lang w:val="en-ZA" w:eastAsia="en-ZA"/>
        </w:rPr>
        <w:t>Advocate for recognition of competency-based credibility.</w:t>
      </w:r>
      <w:r w:rsidR="00563A06">
        <w:rPr>
          <w:rFonts w:eastAsia="Times New Roman"/>
          <w:szCs w:val="22"/>
          <w:lang w:val="en-ZA" w:eastAsia="en-ZA"/>
        </w:rPr>
        <w:t xml:space="preserve"> </w:t>
      </w:r>
      <w:r w:rsidRPr="00563A06">
        <w:rPr>
          <w:rFonts w:eastAsia="Times New Roman"/>
          <w:szCs w:val="22"/>
          <w:lang w:val="en-ZA" w:eastAsia="en-ZA"/>
        </w:rPr>
        <w:t>Secure sustainable funding through regional coordination.</w:t>
      </w:r>
      <w:r w:rsidR="00563A06">
        <w:rPr>
          <w:rFonts w:eastAsia="Times New Roman"/>
          <w:szCs w:val="22"/>
          <w:lang w:val="en-ZA" w:eastAsia="en-ZA"/>
        </w:rPr>
        <w:t xml:space="preserve"> </w:t>
      </w:r>
      <w:r w:rsidRPr="00563A06">
        <w:rPr>
          <w:rFonts w:eastAsia="Times New Roman"/>
          <w:szCs w:val="22"/>
          <w:lang w:val="en-ZA" w:eastAsia="en-ZA"/>
        </w:rPr>
        <w:t>Build trust and compliance with trading partners through shared protocols.</w:t>
      </w:r>
    </w:p>
    <w:sectPr w:rsidR="007744A6" w:rsidSect="00F022D3">
      <w:headerReference w:type="even" r:id="rId60"/>
      <w:headerReference w:type="default" r:id="rId61"/>
      <w:footerReference w:type="even" r:id="rId62"/>
      <w:footerReference w:type="default" r:id="rId63"/>
      <w:headerReference w:type="first" r:id="rId64"/>
      <w:footerReference w:type="first" r:id="rId6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76ED3" w14:textId="77777777" w:rsidR="0074332F" w:rsidRDefault="0074332F" w:rsidP="002B4ADC">
      <w:r>
        <w:separator/>
      </w:r>
    </w:p>
  </w:endnote>
  <w:endnote w:type="continuationSeparator" w:id="0">
    <w:p w14:paraId="54308645" w14:textId="77777777" w:rsidR="0074332F" w:rsidRDefault="0074332F" w:rsidP="002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FB82F" w14:textId="77777777" w:rsidR="006D0900" w:rsidRPr="00646C0F" w:rsidRDefault="006D0900" w:rsidP="00842559">
    <w:pPr>
      <w:pStyle w:val="IPPFooter"/>
      <w:jc w:val="both"/>
      <w:rPr>
        <w:szCs w:val="18"/>
      </w:rPr>
    </w:pP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D84789">
      <w:rPr>
        <w:noProof/>
        <w:szCs w:val="18"/>
      </w:rPr>
      <w:t>2</w:t>
    </w:r>
    <w:r w:rsidRPr="00377B19">
      <w:rPr>
        <w:szCs w:val="18"/>
      </w:rPr>
      <w:fldChar w:fldCharType="end"/>
    </w:r>
    <w:r>
      <w:rPr>
        <w:szCs w:val="18"/>
      </w:rPr>
      <w:t xml:space="preserve"> of 5</w:t>
    </w:r>
    <w:r w:rsidRPr="00646C0F">
      <w:t xml:space="preserve"> </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D188" w14:textId="77777777" w:rsidR="006D0900" w:rsidRPr="00646C0F" w:rsidRDefault="006D0900" w:rsidP="00842559">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D84789">
      <w:rPr>
        <w:noProof/>
        <w:szCs w:val="18"/>
      </w:rPr>
      <w:t>3</w:t>
    </w:r>
    <w:r w:rsidRPr="00377B19">
      <w:rPr>
        <w:szCs w:val="18"/>
      </w:rPr>
      <w:fldChar w:fldCharType="end"/>
    </w:r>
    <w:r>
      <w:rPr>
        <w:szCs w:val="18"/>
      </w:rPr>
      <w:t xml:space="preserve"> of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5530C" w14:textId="77777777" w:rsidR="003101A8" w:rsidRPr="004B6320" w:rsidRDefault="003101A8" w:rsidP="003101A8">
    <w:pPr>
      <w:pStyle w:val="IPPFooterLandscape"/>
      <w:rPr>
        <w:noProof w:val="0"/>
        <w:lang w:val="en-GB"/>
      </w:rPr>
    </w:pPr>
    <w:r w:rsidRPr="004B6320">
      <w:rPr>
        <w:noProof w:val="0"/>
        <w:lang w:val="en-GB"/>
      </w:rPr>
      <w:t xml:space="preserve">International Plant Protection Convention </w:t>
    </w:r>
    <w:r w:rsidRPr="004B6320">
      <w:rPr>
        <w:noProof w:val="0"/>
        <w:lang w:val="en-GB"/>
      </w:rPr>
      <w:tab/>
      <w:t xml:space="preserve">Page </w:t>
    </w:r>
    <w:r w:rsidRPr="004B6320">
      <w:rPr>
        <w:noProof w:val="0"/>
        <w:lang w:val="en-GB"/>
      </w:rPr>
      <w:fldChar w:fldCharType="begin"/>
    </w:r>
    <w:r w:rsidRPr="004B6320">
      <w:rPr>
        <w:noProof w:val="0"/>
        <w:lang w:val="en-GB"/>
      </w:rPr>
      <w:instrText xml:space="preserve"> PAGE </w:instrText>
    </w:r>
    <w:r w:rsidRPr="004B6320">
      <w:rPr>
        <w:noProof w:val="0"/>
        <w:color w:val="2B579A"/>
        <w:lang w:val="en-GB"/>
      </w:rPr>
      <w:fldChar w:fldCharType="separate"/>
    </w:r>
    <w:r>
      <w:rPr>
        <w:noProof w:val="0"/>
        <w:color w:val="2B579A"/>
        <w:lang w:val="en-GB"/>
      </w:rPr>
      <w:t>1</w:t>
    </w:r>
    <w:r w:rsidRPr="004B6320">
      <w:rPr>
        <w:noProof w:val="0"/>
        <w:lang w:val="en-GB"/>
      </w:rPr>
      <w:fldChar w:fldCharType="end"/>
    </w:r>
    <w:r w:rsidRPr="004B6320">
      <w:rPr>
        <w:noProof w:val="0"/>
        <w:lang w:val="en-GB"/>
      </w:rPr>
      <w:t xml:space="preserve"> of </w:t>
    </w:r>
    <w:r w:rsidRPr="004B6320">
      <w:rPr>
        <w:noProof w:val="0"/>
        <w:lang w:val="en-GB"/>
      </w:rPr>
      <w:fldChar w:fldCharType="begin"/>
    </w:r>
    <w:r w:rsidRPr="004B6320">
      <w:rPr>
        <w:noProof w:val="0"/>
        <w:lang w:val="en-GB"/>
      </w:rPr>
      <w:instrText xml:space="preserve"> NUMPAGES  </w:instrText>
    </w:r>
    <w:r w:rsidRPr="004B6320">
      <w:rPr>
        <w:noProof w:val="0"/>
        <w:color w:val="2B579A"/>
        <w:lang w:val="en-GB"/>
      </w:rPr>
      <w:fldChar w:fldCharType="separate"/>
    </w:r>
    <w:r>
      <w:rPr>
        <w:noProof w:val="0"/>
        <w:color w:val="2B579A"/>
        <w:lang w:val="en-GB"/>
      </w:rPr>
      <w:t>5</w:t>
    </w:r>
    <w:r w:rsidRPr="004B6320">
      <w:rPr>
        <w:noProof w:val="0"/>
        <w:lang w:val="en-GB"/>
      </w:rPr>
      <w:fldChar w:fldCharType="end"/>
    </w:r>
  </w:p>
  <w:p w14:paraId="3AA7F3E3" w14:textId="0A692DF9" w:rsidR="006D0900" w:rsidRPr="003101A8" w:rsidRDefault="006D0900" w:rsidP="003101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C945" w14:textId="354C5865" w:rsidR="003E28FF" w:rsidRPr="003E28FF" w:rsidRDefault="00B86E84" w:rsidP="00B86E84">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r>
      <w:rPr>
        <w:rFonts w:cs="Arial"/>
        <w:szCs w:val="18"/>
      </w:rPr>
      <w:tab/>
    </w:r>
    <w:r w:rsidR="003E28FF">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F840" w14:textId="41B56F6A"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F51C4" w14:textId="77777777" w:rsidR="003101A8" w:rsidRPr="004B6320" w:rsidRDefault="003101A8" w:rsidP="003101A8">
    <w:pPr>
      <w:pStyle w:val="IPPFooterLandscape"/>
      <w:rPr>
        <w:noProof w:val="0"/>
        <w:lang w:val="en-GB"/>
      </w:rPr>
    </w:pPr>
    <w:r w:rsidRPr="004B6320">
      <w:rPr>
        <w:noProof w:val="0"/>
        <w:lang w:val="en-GB"/>
      </w:rPr>
      <w:t xml:space="preserve">International Plant Protection Convention </w:t>
    </w:r>
    <w:r w:rsidRPr="004B6320">
      <w:rPr>
        <w:noProof w:val="0"/>
        <w:lang w:val="en-GB"/>
      </w:rPr>
      <w:tab/>
      <w:t xml:space="preserve">Page </w:t>
    </w:r>
    <w:r w:rsidRPr="004B6320">
      <w:rPr>
        <w:noProof w:val="0"/>
        <w:lang w:val="en-GB"/>
      </w:rPr>
      <w:fldChar w:fldCharType="begin"/>
    </w:r>
    <w:r w:rsidRPr="004B6320">
      <w:rPr>
        <w:noProof w:val="0"/>
        <w:lang w:val="en-GB"/>
      </w:rPr>
      <w:instrText xml:space="preserve"> PAGE </w:instrText>
    </w:r>
    <w:r w:rsidRPr="004B6320">
      <w:rPr>
        <w:noProof w:val="0"/>
        <w:color w:val="2B579A"/>
        <w:lang w:val="en-GB"/>
      </w:rPr>
      <w:fldChar w:fldCharType="separate"/>
    </w:r>
    <w:r>
      <w:rPr>
        <w:noProof w:val="0"/>
        <w:color w:val="2B579A"/>
        <w:lang w:val="en-GB"/>
      </w:rPr>
      <w:t>3</w:t>
    </w:r>
    <w:r w:rsidRPr="004B6320">
      <w:rPr>
        <w:noProof w:val="0"/>
        <w:lang w:val="en-GB"/>
      </w:rPr>
      <w:fldChar w:fldCharType="end"/>
    </w:r>
    <w:r w:rsidRPr="004B6320">
      <w:rPr>
        <w:noProof w:val="0"/>
        <w:lang w:val="en-GB"/>
      </w:rPr>
      <w:t xml:space="preserve"> of </w:t>
    </w:r>
    <w:r w:rsidRPr="004B6320">
      <w:rPr>
        <w:noProof w:val="0"/>
        <w:lang w:val="en-GB"/>
      </w:rPr>
      <w:fldChar w:fldCharType="begin"/>
    </w:r>
    <w:r w:rsidRPr="004B6320">
      <w:rPr>
        <w:noProof w:val="0"/>
        <w:lang w:val="en-GB"/>
      </w:rPr>
      <w:instrText xml:space="preserve"> NUMPAGES  </w:instrText>
    </w:r>
    <w:r w:rsidRPr="004B6320">
      <w:rPr>
        <w:noProof w:val="0"/>
        <w:color w:val="2B579A"/>
        <w:lang w:val="en-GB"/>
      </w:rPr>
      <w:fldChar w:fldCharType="separate"/>
    </w:r>
    <w:r>
      <w:rPr>
        <w:noProof w:val="0"/>
        <w:color w:val="2B579A"/>
        <w:lang w:val="en-GB"/>
      </w:rPr>
      <w:t>5</w:t>
    </w:r>
    <w:r w:rsidRPr="004B6320">
      <w:rPr>
        <w:noProof w:val="0"/>
        <w:lang w:val="en-GB"/>
      </w:rPr>
      <w:fldChar w:fldCharType="end"/>
    </w:r>
  </w:p>
  <w:p w14:paraId="79658347" w14:textId="2D18B9DE" w:rsidR="003E28FF" w:rsidRPr="003101A8" w:rsidRDefault="003E28FF" w:rsidP="00310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ABC18" w14:textId="77777777" w:rsidR="0074332F" w:rsidRDefault="0074332F" w:rsidP="002B4ADC">
      <w:r>
        <w:separator/>
      </w:r>
    </w:p>
  </w:footnote>
  <w:footnote w:type="continuationSeparator" w:id="0">
    <w:p w14:paraId="3913C412" w14:textId="77777777" w:rsidR="0074332F" w:rsidRDefault="0074332F" w:rsidP="002B4ADC">
      <w:r>
        <w:continuationSeparator/>
      </w:r>
    </w:p>
  </w:footnote>
  <w:footnote w:id="1">
    <w:p w14:paraId="30D62155" w14:textId="77777777" w:rsidR="00510167" w:rsidRDefault="00510167" w:rsidP="00510167">
      <w:pPr>
        <w:pStyle w:val="IPPFootnote"/>
      </w:pPr>
      <w:r>
        <w:rPr>
          <w:rStyle w:val="FootnoteReference"/>
        </w:rPr>
        <w:footnoteRef/>
      </w:r>
      <w:r>
        <w:t xml:space="preserve"> Terms of Reference of the CPM Focus Group on Laboratory Diagnostic Network: </w:t>
      </w:r>
      <w:hyperlink r:id="rId1" w:history="1">
        <w:r w:rsidRPr="004107A0">
          <w:rPr>
            <w:rStyle w:val="Hyperlink"/>
          </w:rPr>
          <w:t>https://www.ippc.int/en/publications/94598/</w:t>
        </w:r>
      </w:hyperlink>
      <w:r>
        <w:t xml:space="preserve"> </w:t>
      </w:r>
    </w:p>
  </w:footnote>
  <w:footnote w:id="2">
    <w:p w14:paraId="0B24A686" w14:textId="2004E508" w:rsidR="009D7E42" w:rsidRPr="009D7E42" w:rsidRDefault="009D7E42">
      <w:pPr>
        <w:pStyle w:val="FootnoteText"/>
        <w:rPr>
          <w:lang w:val="en-US"/>
        </w:rPr>
      </w:pPr>
      <w:r>
        <w:rPr>
          <w:rStyle w:val="FootnoteReference"/>
        </w:rPr>
        <w:footnoteRef/>
      </w:r>
      <w:r>
        <w:t xml:space="preserve">  </w:t>
      </w:r>
      <w:r>
        <w:rPr>
          <w:lang w:val="en-US"/>
        </w:rPr>
        <w:t xml:space="preserve">Call for experts </w:t>
      </w:r>
      <w:r w:rsidR="006E7EEA" w:rsidRPr="006E7EEA">
        <w:rPr>
          <w:lang w:val="en-US"/>
        </w:rPr>
        <w:t xml:space="preserve">for experts for the </w:t>
      </w:r>
      <w:r w:rsidR="006E7EEA">
        <w:rPr>
          <w:lang w:val="en-US"/>
        </w:rPr>
        <w:t>CPM</w:t>
      </w:r>
      <w:r w:rsidR="006E7EEA" w:rsidRPr="006E7EEA">
        <w:rPr>
          <w:lang w:val="en-US"/>
        </w:rPr>
        <w:t xml:space="preserve"> </w:t>
      </w:r>
      <w:r w:rsidR="006E7EEA">
        <w:rPr>
          <w:lang w:val="en-US"/>
        </w:rPr>
        <w:t>F</w:t>
      </w:r>
      <w:r w:rsidR="006E7EEA" w:rsidRPr="006E7EEA">
        <w:rPr>
          <w:lang w:val="en-US"/>
        </w:rPr>
        <w:t xml:space="preserve">ocus </w:t>
      </w:r>
      <w:r w:rsidR="006E7EEA">
        <w:rPr>
          <w:lang w:val="en-US"/>
        </w:rPr>
        <w:t>G</w:t>
      </w:r>
      <w:r w:rsidR="006E7EEA" w:rsidRPr="006E7EEA">
        <w:rPr>
          <w:lang w:val="en-US"/>
        </w:rPr>
        <w:t xml:space="preserve">roup on </w:t>
      </w:r>
      <w:r w:rsidR="006E7EEA">
        <w:rPr>
          <w:lang w:val="en-US"/>
        </w:rPr>
        <w:t>D</w:t>
      </w:r>
      <w:r w:rsidR="006E7EEA" w:rsidRPr="006E7EEA">
        <w:rPr>
          <w:lang w:val="en-US"/>
        </w:rPr>
        <w:t xml:space="preserve">iagnostic </w:t>
      </w:r>
      <w:r w:rsidR="006E7EEA">
        <w:rPr>
          <w:lang w:val="en-US"/>
        </w:rPr>
        <w:t>L</w:t>
      </w:r>
      <w:r w:rsidR="006E7EEA" w:rsidRPr="006E7EEA">
        <w:rPr>
          <w:lang w:val="en-US"/>
        </w:rPr>
        <w:t xml:space="preserve">aboratory </w:t>
      </w:r>
      <w:r w:rsidR="006E7EEA">
        <w:rPr>
          <w:lang w:val="en-US"/>
        </w:rPr>
        <w:t>N</w:t>
      </w:r>
      <w:r w:rsidR="006E7EEA" w:rsidRPr="006E7EEA">
        <w:rPr>
          <w:lang w:val="en-US"/>
        </w:rPr>
        <w:t>etworking</w:t>
      </w:r>
      <w:r w:rsidR="006E7EEA">
        <w:rPr>
          <w:lang w:val="en-US"/>
        </w:rPr>
        <w:t xml:space="preserve">: </w:t>
      </w:r>
      <w:hyperlink r:id="rId2" w:history="1">
        <w:r w:rsidR="0049042B" w:rsidRPr="004F6AE8">
          <w:rPr>
            <w:rStyle w:val="Hyperlink"/>
            <w:lang w:val="en-US"/>
          </w:rPr>
          <w:t>https://www.ippc.int/en/calls/2025-05-call-for-experts-for-the-cpm-focus-group-on-diagnostic-laboratory-networking/</w:t>
        </w:r>
      </w:hyperlink>
      <w:r w:rsidR="0049042B">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8B07D" w14:textId="60ED807A" w:rsidR="003101A8" w:rsidRDefault="00414549" w:rsidP="003101A8">
    <w:pPr>
      <w:pStyle w:val="IPPHeader"/>
      <w:tabs>
        <w:tab w:val="clear" w:pos="1134"/>
      </w:tabs>
      <w:spacing w:after="0"/>
    </w:pPr>
    <w:r>
      <w:rPr>
        <w:lang w:val="pt-PT"/>
      </w:rPr>
      <w:t>23</w:t>
    </w:r>
    <w:r w:rsidR="003101A8" w:rsidRPr="6193D8E0">
      <w:rPr>
        <w:lang w:val="pt-PT"/>
      </w:rPr>
      <w:t>_SPG_2025_Oct</w:t>
    </w:r>
    <w:r w:rsidR="003101A8">
      <w:t xml:space="preserve"> </w:t>
    </w:r>
    <w:r w:rsidR="003101A8">
      <w:tab/>
    </w:r>
    <w:r w:rsidR="003101A8" w:rsidRPr="003101A8">
      <w:rPr>
        <w:lang w:val="en-GB"/>
      </w:rPr>
      <w:t>Establishing a diagnostic laboratory network</w:t>
    </w:r>
    <w:r w:rsidR="003101A8" w:rsidRPr="003101A8">
      <w:rPr>
        <w:lang w:val="nl-NL"/>
      </w:rPr>
      <w:t> </w:t>
    </w:r>
  </w:p>
  <w:p w14:paraId="676314BF" w14:textId="4C4A40E7" w:rsidR="006D0900" w:rsidRPr="003101A8" w:rsidRDefault="006D0900" w:rsidP="003101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47D8" w14:textId="77777777" w:rsidR="006D0900" w:rsidRDefault="006D0900" w:rsidP="00D4795E">
    <w:pPr>
      <w:pStyle w:val="IPPHeader"/>
    </w:pPr>
    <w:r w:rsidRPr="00FA179D">
      <w:t>Consistency of terminology and purpose of the IPPC Glossary</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8308" w14:textId="5956D84D" w:rsidR="003101A8" w:rsidRPr="003603A0" w:rsidRDefault="003101A8" w:rsidP="003101A8">
    <w:pPr>
      <w:pStyle w:val="IPPHeader"/>
      <w:tabs>
        <w:tab w:val="clear" w:pos="1134"/>
      </w:tabs>
      <w:spacing w:before="240" w:after="0"/>
      <w:rPr>
        <w:lang w:val="pt-PT"/>
      </w:rPr>
    </w:pPr>
    <w:bookmarkStart w:id="4" w:name="_Hlk38796923"/>
    <w:bookmarkStart w:id="5" w:name="_Hlk38796924"/>
    <w:r>
      <w:rPr>
        <w:i/>
        <w:iCs/>
        <w:noProof/>
        <w14:ligatures w14:val="standardContextual"/>
      </w:rPr>
      <w:drawing>
        <wp:anchor distT="0" distB="0" distL="114300" distR="114300" simplePos="0" relativeHeight="251661312" behindDoc="0" locked="0" layoutInCell="1" allowOverlap="1" wp14:anchorId="6D1005FF" wp14:editId="1AC30080">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45F6E187" wp14:editId="2B36C645">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A0284D2">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70185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6F6110D1" wp14:editId="79CF1443">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184955BD" wp14:editId="506AEFD4">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3603A0">
      <w:rPr>
        <w:lang w:val="pt-PT"/>
      </w:rPr>
      <w:tab/>
    </w:r>
    <w:r w:rsidR="00414549">
      <w:rPr>
        <w:lang w:val="pt-PT"/>
      </w:rPr>
      <w:t>23</w:t>
    </w:r>
    <w:r w:rsidRPr="002C00EB">
      <w:rPr>
        <w:lang w:val="pt-PT"/>
      </w:rPr>
      <w:t>_SPG_2025_Oct</w:t>
    </w:r>
  </w:p>
  <w:p w14:paraId="482FBB46" w14:textId="34F4B5E2" w:rsidR="003101A8" w:rsidRPr="003603A0" w:rsidRDefault="003101A8" w:rsidP="003101A8">
    <w:pPr>
      <w:pStyle w:val="IPPHeader"/>
      <w:tabs>
        <w:tab w:val="clear" w:pos="1134"/>
      </w:tabs>
      <w:spacing w:after="0"/>
      <w:rPr>
        <w:lang w:val="pt-PT"/>
      </w:rPr>
    </w:pPr>
    <w:r w:rsidRPr="003603A0">
      <w:rPr>
        <w:lang w:val="pt-PT"/>
      </w:rPr>
      <w:tab/>
      <w:t>Agenda item:</w:t>
    </w:r>
    <w:r w:rsidR="006F3E1B">
      <w:rPr>
        <w:lang w:val="pt-PT"/>
      </w:rPr>
      <w:t>6.8</w:t>
    </w:r>
  </w:p>
  <w:p w14:paraId="6A303F73" w14:textId="77777777" w:rsidR="003101A8" w:rsidRPr="003603A0" w:rsidRDefault="003101A8" w:rsidP="003101A8">
    <w:pPr>
      <w:pStyle w:val="IPPHeader"/>
      <w:tabs>
        <w:tab w:val="clear" w:pos="1134"/>
      </w:tabs>
      <w:spacing w:after="260"/>
      <w:rPr>
        <w:lang w:val="pt-PT"/>
      </w:rPr>
    </w:pPr>
  </w:p>
  <w:bookmarkEnd w:id="4"/>
  <w:bookmarkEnd w:id="5"/>
  <w:p w14:paraId="797E80E8" w14:textId="3AC264AC" w:rsidR="006D0900" w:rsidRPr="003101A8" w:rsidRDefault="003101A8" w:rsidP="003101A8">
    <w:pPr>
      <w:pStyle w:val="IPPHeader"/>
      <w:tabs>
        <w:tab w:val="clear" w:pos="1134"/>
      </w:tabs>
      <w:spacing w:after="0"/>
    </w:pPr>
    <w:r w:rsidRPr="003101A8">
      <w:rPr>
        <w:lang w:val="en-GB"/>
      </w:rPr>
      <w:t>Establishing a diagnostic laboratory network</w:t>
    </w:r>
    <w:r w:rsidRPr="003101A8">
      <w:rPr>
        <w:lang w:val="nl-NL"/>
      </w:rPr>
      <w:t>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50118" w14:textId="7FB06786" w:rsidR="003101A8" w:rsidRDefault="003101A8" w:rsidP="003101A8">
    <w:pPr>
      <w:pStyle w:val="IPPHeader"/>
      <w:tabs>
        <w:tab w:val="clear" w:pos="1134"/>
      </w:tabs>
      <w:spacing w:after="0"/>
    </w:pPr>
    <w:r w:rsidRPr="6193D8E0">
      <w:rPr>
        <w:lang w:val="pt-PT"/>
      </w:rPr>
      <w:t>XX_SPG_2025_Oct</w:t>
    </w:r>
    <w:r>
      <w:t xml:space="preserve"> </w:t>
    </w:r>
    <w:r>
      <w:tab/>
    </w:r>
    <w:r w:rsidRPr="003101A8">
      <w:rPr>
        <w:lang w:val="en-GB"/>
      </w:rPr>
      <w:t>Establishing a diagnostic laboratory network</w:t>
    </w:r>
    <w:r w:rsidRPr="003101A8">
      <w:rPr>
        <w:lang w:val="nl-NL"/>
      </w:rPr>
      <w:t> </w:t>
    </w:r>
  </w:p>
  <w:p w14:paraId="3B7A33C1" w14:textId="5A66DC0F" w:rsidR="0077142E" w:rsidRPr="003101A8" w:rsidRDefault="0077142E" w:rsidP="003101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FF70F" w14:textId="78538BC4" w:rsidR="002B4ADC" w:rsidRPr="002B4ADC" w:rsidRDefault="00482D62">
    <w:pPr>
      <w:pStyle w:val="IPPHeader"/>
    </w:pPr>
    <w:r w:rsidRPr="00482D62">
      <w:rPr>
        <w:bCs/>
        <w:i/>
        <w:iCs/>
        <w:szCs w:val="18"/>
        <w:lang w:val="en-GB"/>
      </w:rPr>
      <w:t xml:space="preserve"> </w:t>
    </w:r>
    <w:r w:rsidR="003101A8" w:rsidRPr="003101A8">
      <w:rPr>
        <w:lang w:val="en-GB"/>
      </w:rPr>
      <w:t>Establishing a diagnostic laboratory network</w:t>
    </w:r>
    <w:r w:rsidR="003101A8" w:rsidRPr="003101A8">
      <w:rPr>
        <w:lang w:val="nl-NL"/>
      </w:rPr>
      <w:t> </w:t>
    </w:r>
    <w:r w:rsidR="003E28FF">
      <w:tab/>
    </w:r>
    <w:r w:rsidR="003101A8" w:rsidRPr="6193D8E0">
      <w:rPr>
        <w:lang w:val="pt-PT"/>
      </w:rPr>
      <w:t>XX_SPG_2025_Oct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14595" w14:textId="61C667CE" w:rsidR="003101A8" w:rsidRPr="005D321F" w:rsidRDefault="003101A8" w:rsidP="003101A8">
    <w:pPr>
      <w:pStyle w:val="IPPHeader"/>
      <w:tabs>
        <w:tab w:val="clear" w:pos="1134"/>
      </w:tabs>
      <w:spacing w:after="0"/>
    </w:pPr>
    <w:r w:rsidRPr="003101A8">
      <w:rPr>
        <w:lang w:val="en-GB"/>
      </w:rPr>
      <w:t>Establishing a diagnostic laboratory network</w:t>
    </w:r>
    <w:r w:rsidRPr="003101A8">
      <w:rPr>
        <w:lang w:val="nl-NL"/>
      </w:rPr>
      <w:t> </w:t>
    </w:r>
    <w:r>
      <w:rPr>
        <w:lang w:val="pt-PT"/>
      </w:rPr>
      <w:tab/>
    </w:r>
    <w:r w:rsidRPr="6193D8E0">
      <w:rPr>
        <w:lang w:val="pt-PT"/>
      </w:rPr>
      <w:t>XX_SPG_2025_Oct</w:t>
    </w:r>
  </w:p>
  <w:p w14:paraId="28E073DB" w14:textId="64A62188" w:rsidR="00F022D3" w:rsidRPr="003101A8" w:rsidRDefault="00F022D3" w:rsidP="0031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647382"/>
    <w:multiLevelType w:val="hybridMultilevel"/>
    <w:tmpl w:val="17DA6E2E"/>
    <w:lvl w:ilvl="0" w:tplc="24AEB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62BF6"/>
    <w:multiLevelType w:val="hybridMultilevel"/>
    <w:tmpl w:val="3E74394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217A06A4"/>
    <w:multiLevelType w:val="hybridMultilevel"/>
    <w:tmpl w:val="E712406E"/>
    <w:lvl w:ilvl="0" w:tplc="089CADBE">
      <w:start w:val="5"/>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8F97118"/>
    <w:multiLevelType w:val="hybridMultilevel"/>
    <w:tmpl w:val="ECBA54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92903261">
    <w:abstractNumId w:val="2"/>
  </w:num>
  <w:num w:numId="2" w16cid:durableId="604775870">
    <w:abstractNumId w:val="6"/>
  </w:num>
  <w:num w:numId="3" w16cid:durableId="1256212346">
    <w:abstractNumId w:val="11"/>
  </w:num>
  <w:num w:numId="4" w16cid:durableId="1827739327">
    <w:abstractNumId w:val="9"/>
  </w:num>
  <w:num w:numId="5" w16cid:durableId="1137603254">
    <w:abstractNumId w:val="8"/>
  </w:num>
  <w:num w:numId="6" w16cid:durableId="292568007">
    <w:abstractNumId w:val="12"/>
  </w:num>
  <w:num w:numId="7" w16cid:durableId="1367242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16cid:durableId="1026908355">
    <w:abstractNumId w:val="0"/>
  </w:num>
  <w:num w:numId="9" w16cid:durableId="1200246193">
    <w:abstractNumId w:val="10"/>
  </w:num>
  <w:num w:numId="10" w16cid:durableId="1724057196">
    <w:abstractNumId w:val="4"/>
  </w:num>
  <w:num w:numId="11" w16cid:durableId="1953121424">
    <w:abstractNumId w:val="5"/>
  </w:num>
  <w:num w:numId="12" w16cid:durableId="586236683">
    <w:abstractNumId w:val="7"/>
  </w:num>
  <w:num w:numId="13" w16cid:durableId="138020150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21264608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63783508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153287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66763319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5412136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26742000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18174610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3526848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3624840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77335875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951785890">
    <w:abstractNumId w:val="3"/>
  </w:num>
  <w:num w:numId="25" w16cid:durableId="638847168">
    <w:abstractNumId w:val="1"/>
  </w:num>
  <w:num w:numId="26" w16cid:durableId="75401006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8906082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16544886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39528050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205777748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DB5"/>
    <w:rsid w:val="00001A23"/>
    <w:rsid w:val="00003D76"/>
    <w:rsid w:val="00003F94"/>
    <w:rsid w:val="00004E11"/>
    <w:rsid w:val="00013D46"/>
    <w:rsid w:val="00014866"/>
    <w:rsid w:val="00020035"/>
    <w:rsid w:val="00055246"/>
    <w:rsid w:val="00064A4F"/>
    <w:rsid w:val="00065A0A"/>
    <w:rsid w:val="000736E7"/>
    <w:rsid w:val="0007693F"/>
    <w:rsid w:val="00081FDD"/>
    <w:rsid w:val="00091B7C"/>
    <w:rsid w:val="000927C1"/>
    <w:rsid w:val="000A2BCF"/>
    <w:rsid w:val="000B6756"/>
    <w:rsid w:val="000C6973"/>
    <w:rsid w:val="000D4C87"/>
    <w:rsid w:val="000E0FEA"/>
    <w:rsid w:val="000E482C"/>
    <w:rsid w:val="000E6805"/>
    <w:rsid w:val="000F2308"/>
    <w:rsid w:val="000F4448"/>
    <w:rsid w:val="000F6B05"/>
    <w:rsid w:val="00101296"/>
    <w:rsid w:val="001027D2"/>
    <w:rsid w:val="0010283E"/>
    <w:rsid w:val="00107E7B"/>
    <w:rsid w:val="00112114"/>
    <w:rsid w:val="001232F2"/>
    <w:rsid w:val="0012440A"/>
    <w:rsid w:val="00127741"/>
    <w:rsid w:val="00131678"/>
    <w:rsid w:val="001354B7"/>
    <w:rsid w:val="0013610C"/>
    <w:rsid w:val="0014255A"/>
    <w:rsid w:val="00142E0A"/>
    <w:rsid w:val="001441BB"/>
    <w:rsid w:val="00154B48"/>
    <w:rsid w:val="00161483"/>
    <w:rsid w:val="00165A28"/>
    <w:rsid w:val="0016647C"/>
    <w:rsid w:val="00173F42"/>
    <w:rsid w:val="00175464"/>
    <w:rsid w:val="00180CB5"/>
    <w:rsid w:val="001A54BC"/>
    <w:rsid w:val="001B6919"/>
    <w:rsid w:val="001D2C99"/>
    <w:rsid w:val="001D4518"/>
    <w:rsid w:val="001E00E3"/>
    <w:rsid w:val="001E1212"/>
    <w:rsid w:val="001E3657"/>
    <w:rsid w:val="001E6302"/>
    <w:rsid w:val="0021005C"/>
    <w:rsid w:val="0021258C"/>
    <w:rsid w:val="00213800"/>
    <w:rsid w:val="00213A29"/>
    <w:rsid w:val="002141D7"/>
    <w:rsid w:val="0021474A"/>
    <w:rsid w:val="0021558D"/>
    <w:rsid w:val="0023002C"/>
    <w:rsid w:val="00231FAB"/>
    <w:rsid w:val="00234161"/>
    <w:rsid w:val="00237198"/>
    <w:rsid w:val="00244FE8"/>
    <w:rsid w:val="00251D2D"/>
    <w:rsid w:val="00251DEE"/>
    <w:rsid w:val="0025310D"/>
    <w:rsid w:val="00273CD7"/>
    <w:rsid w:val="0028413E"/>
    <w:rsid w:val="00285635"/>
    <w:rsid w:val="00287312"/>
    <w:rsid w:val="002953AA"/>
    <w:rsid w:val="002A22CB"/>
    <w:rsid w:val="002A5495"/>
    <w:rsid w:val="002A54F0"/>
    <w:rsid w:val="002B3206"/>
    <w:rsid w:val="002B4ADC"/>
    <w:rsid w:val="002C10C9"/>
    <w:rsid w:val="002C63BD"/>
    <w:rsid w:val="002D0488"/>
    <w:rsid w:val="002E013D"/>
    <w:rsid w:val="002F0C41"/>
    <w:rsid w:val="00304DFA"/>
    <w:rsid w:val="00305462"/>
    <w:rsid w:val="003065A6"/>
    <w:rsid w:val="003101A8"/>
    <w:rsid w:val="00310617"/>
    <w:rsid w:val="00314F05"/>
    <w:rsid w:val="00320B09"/>
    <w:rsid w:val="0033372E"/>
    <w:rsid w:val="00340636"/>
    <w:rsid w:val="00345E08"/>
    <w:rsid w:val="0034766E"/>
    <w:rsid w:val="00350854"/>
    <w:rsid w:val="0035120A"/>
    <w:rsid w:val="003515FB"/>
    <w:rsid w:val="003603A0"/>
    <w:rsid w:val="00367550"/>
    <w:rsid w:val="00370C51"/>
    <w:rsid w:val="00372788"/>
    <w:rsid w:val="0037317D"/>
    <w:rsid w:val="00373B16"/>
    <w:rsid w:val="0038155A"/>
    <w:rsid w:val="003819F9"/>
    <w:rsid w:val="00385372"/>
    <w:rsid w:val="0038629A"/>
    <w:rsid w:val="003869F6"/>
    <w:rsid w:val="00390CB7"/>
    <w:rsid w:val="003914C8"/>
    <w:rsid w:val="00391F60"/>
    <w:rsid w:val="00392DB2"/>
    <w:rsid w:val="00395913"/>
    <w:rsid w:val="003A1FB0"/>
    <w:rsid w:val="003A51CD"/>
    <w:rsid w:val="003B019A"/>
    <w:rsid w:val="003B03DF"/>
    <w:rsid w:val="003B10F8"/>
    <w:rsid w:val="003B13B8"/>
    <w:rsid w:val="003B2777"/>
    <w:rsid w:val="003B53A4"/>
    <w:rsid w:val="003C1A3F"/>
    <w:rsid w:val="003C2060"/>
    <w:rsid w:val="003C4798"/>
    <w:rsid w:val="003C47DA"/>
    <w:rsid w:val="003D6B56"/>
    <w:rsid w:val="003E15F6"/>
    <w:rsid w:val="003E28FF"/>
    <w:rsid w:val="003E449B"/>
    <w:rsid w:val="003E44EF"/>
    <w:rsid w:val="003E4CB5"/>
    <w:rsid w:val="003E7ED2"/>
    <w:rsid w:val="003F07AF"/>
    <w:rsid w:val="003F0F2E"/>
    <w:rsid w:val="003F3380"/>
    <w:rsid w:val="003F75BF"/>
    <w:rsid w:val="0040369F"/>
    <w:rsid w:val="00410EBC"/>
    <w:rsid w:val="00414549"/>
    <w:rsid w:val="00414F39"/>
    <w:rsid w:val="00415851"/>
    <w:rsid w:val="00423B8A"/>
    <w:rsid w:val="004345E3"/>
    <w:rsid w:val="00434EB1"/>
    <w:rsid w:val="00434F31"/>
    <w:rsid w:val="00436A50"/>
    <w:rsid w:val="00461670"/>
    <w:rsid w:val="00465704"/>
    <w:rsid w:val="00477591"/>
    <w:rsid w:val="00481670"/>
    <w:rsid w:val="00482D62"/>
    <w:rsid w:val="00482F83"/>
    <w:rsid w:val="004843E3"/>
    <w:rsid w:val="00486572"/>
    <w:rsid w:val="0049042B"/>
    <w:rsid w:val="00497946"/>
    <w:rsid w:val="004A72C9"/>
    <w:rsid w:val="004A7548"/>
    <w:rsid w:val="004B0A29"/>
    <w:rsid w:val="004B1081"/>
    <w:rsid w:val="004B42E2"/>
    <w:rsid w:val="004B57FD"/>
    <w:rsid w:val="004B5F82"/>
    <w:rsid w:val="004B6DAE"/>
    <w:rsid w:val="004B7AFD"/>
    <w:rsid w:val="004C065C"/>
    <w:rsid w:val="004C2C27"/>
    <w:rsid w:val="004D4785"/>
    <w:rsid w:val="004D4ADA"/>
    <w:rsid w:val="004E0178"/>
    <w:rsid w:val="004E10B1"/>
    <w:rsid w:val="004E4426"/>
    <w:rsid w:val="004F335C"/>
    <w:rsid w:val="004F3C19"/>
    <w:rsid w:val="00505066"/>
    <w:rsid w:val="00510167"/>
    <w:rsid w:val="00510D34"/>
    <w:rsid w:val="00520FA0"/>
    <w:rsid w:val="00521609"/>
    <w:rsid w:val="00522E4D"/>
    <w:rsid w:val="005260C8"/>
    <w:rsid w:val="00533145"/>
    <w:rsid w:val="005374BB"/>
    <w:rsid w:val="005409BA"/>
    <w:rsid w:val="00541F31"/>
    <w:rsid w:val="00542639"/>
    <w:rsid w:val="00543647"/>
    <w:rsid w:val="00544F73"/>
    <w:rsid w:val="005504D8"/>
    <w:rsid w:val="005577D9"/>
    <w:rsid w:val="00563A06"/>
    <w:rsid w:val="005659F7"/>
    <w:rsid w:val="00571CDB"/>
    <w:rsid w:val="0057377B"/>
    <w:rsid w:val="00580C42"/>
    <w:rsid w:val="00581848"/>
    <w:rsid w:val="00582BB1"/>
    <w:rsid w:val="00594C40"/>
    <w:rsid w:val="005A06E6"/>
    <w:rsid w:val="005A3675"/>
    <w:rsid w:val="005A45D4"/>
    <w:rsid w:val="005B0281"/>
    <w:rsid w:val="005E2AE0"/>
    <w:rsid w:val="005E3BCC"/>
    <w:rsid w:val="005E4B2E"/>
    <w:rsid w:val="005E53FD"/>
    <w:rsid w:val="005E6D13"/>
    <w:rsid w:val="005F2694"/>
    <w:rsid w:val="00600179"/>
    <w:rsid w:val="006046F6"/>
    <w:rsid w:val="00620009"/>
    <w:rsid w:val="00621E96"/>
    <w:rsid w:val="00624A6E"/>
    <w:rsid w:val="006300E5"/>
    <w:rsid w:val="006361B3"/>
    <w:rsid w:val="00641584"/>
    <w:rsid w:val="00645242"/>
    <w:rsid w:val="00645904"/>
    <w:rsid w:val="00645C94"/>
    <w:rsid w:val="0065584F"/>
    <w:rsid w:val="006600EC"/>
    <w:rsid w:val="006633E1"/>
    <w:rsid w:val="00676509"/>
    <w:rsid w:val="00687D4B"/>
    <w:rsid w:val="00691C60"/>
    <w:rsid w:val="006938AD"/>
    <w:rsid w:val="006A56E7"/>
    <w:rsid w:val="006B6EE7"/>
    <w:rsid w:val="006D0900"/>
    <w:rsid w:val="006D5A94"/>
    <w:rsid w:val="006E4A9E"/>
    <w:rsid w:val="006E796F"/>
    <w:rsid w:val="006E7EEA"/>
    <w:rsid w:val="006F3E1B"/>
    <w:rsid w:val="006F56A9"/>
    <w:rsid w:val="00701181"/>
    <w:rsid w:val="00701D4C"/>
    <w:rsid w:val="00704C82"/>
    <w:rsid w:val="0071530D"/>
    <w:rsid w:val="007167B7"/>
    <w:rsid w:val="007230F9"/>
    <w:rsid w:val="00727BF8"/>
    <w:rsid w:val="0073449D"/>
    <w:rsid w:val="007413F9"/>
    <w:rsid w:val="00741A01"/>
    <w:rsid w:val="0074332F"/>
    <w:rsid w:val="00751D88"/>
    <w:rsid w:val="00756509"/>
    <w:rsid w:val="007578B2"/>
    <w:rsid w:val="00762BB6"/>
    <w:rsid w:val="0076596B"/>
    <w:rsid w:val="00766656"/>
    <w:rsid w:val="0077142E"/>
    <w:rsid w:val="0077319E"/>
    <w:rsid w:val="00774131"/>
    <w:rsid w:val="007744A6"/>
    <w:rsid w:val="00783D49"/>
    <w:rsid w:val="00785F0B"/>
    <w:rsid w:val="0078622C"/>
    <w:rsid w:val="00787E7E"/>
    <w:rsid w:val="00793538"/>
    <w:rsid w:val="007937B2"/>
    <w:rsid w:val="007A3727"/>
    <w:rsid w:val="007A434F"/>
    <w:rsid w:val="007A48D3"/>
    <w:rsid w:val="007A506C"/>
    <w:rsid w:val="007B3668"/>
    <w:rsid w:val="007B3CB7"/>
    <w:rsid w:val="007B46BB"/>
    <w:rsid w:val="007C0159"/>
    <w:rsid w:val="007D22B6"/>
    <w:rsid w:val="007F1CB6"/>
    <w:rsid w:val="007F4518"/>
    <w:rsid w:val="0082103C"/>
    <w:rsid w:val="00824C82"/>
    <w:rsid w:val="0082563C"/>
    <w:rsid w:val="008272A5"/>
    <w:rsid w:val="00836DFD"/>
    <w:rsid w:val="008439F2"/>
    <w:rsid w:val="00843E67"/>
    <w:rsid w:val="00844081"/>
    <w:rsid w:val="008525BA"/>
    <w:rsid w:val="008678F8"/>
    <w:rsid w:val="0087428A"/>
    <w:rsid w:val="00874AF4"/>
    <w:rsid w:val="0088362A"/>
    <w:rsid w:val="0089154B"/>
    <w:rsid w:val="008923D0"/>
    <w:rsid w:val="00893A93"/>
    <w:rsid w:val="00894BE4"/>
    <w:rsid w:val="008A2E0A"/>
    <w:rsid w:val="008A6DD4"/>
    <w:rsid w:val="008B4973"/>
    <w:rsid w:val="008C0DE8"/>
    <w:rsid w:val="008C4C1B"/>
    <w:rsid w:val="008D1E0A"/>
    <w:rsid w:val="008D3373"/>
    <w:rsid w:val="008D3890"/>
    <w:rsid w:val="008D6D44"/>
    <w:rsid w:val="008F731D"/>
    <w:rsid w:val="00900975"/>
    <w:rsid w:val="00906B28"/>
    <w:rsid w:val="00906BD6"/>
    <w:rsid w:val="009118B2"/>
    <w:rsid w:val="00913B5C"/>
    <w:rsid w:val="00914598"/>
    <w:rsid w:val="0091516B"/>
    <w:rsid w:val="00917E64"/>
    <w:rsid w:val="00931362"/>
    <w:rsid w:val="009318D7"/>
    <w:rsid w:val="00935DEE"/>
    <w:rsid w:val="009411F4"/>
    <w:rsid w:val="00943B81"/>
    <w:rsid w:val="00946589"/>
    <w:rsid w:val="00953A96"/>
    <w:rsid w:val="009554AE"/>
    <w:rsid w:val="009637BE"/>
    <w:rsid w:val="00965C6E"/>
    <w:rsid w:val="00966AAE"/>
    <w:rsid w:val="009739C6"/>
    <w:rsid w:val="00976876"/>
    <w:rsid w:val="00985D16"/>
    <w:rsid w:val="009879C6"/>
    <w:rsid w:val="00987CB3"/>
    <w:rsid w:val="00991C06"/>
    <w:rsid w:val="00991CDA"/>
    <w:rsid w:val="00995148"/>
    <w:rsid w:val="00996AF6"/>
    <w:rsid w:val="009A4B45"/>
    <w:rsid w:val="009A4FD3"/>
    <w:rsid w:val="009B15FB"/>
    <w:rsid w:val="009B2F32"/>
    <w:rsid w:val="009C0664"/>
    <w:rsid w:val="009C26E7"/>
    <w:rsid w:val="009C714F"/>
    <w:rsid w:val="009C7AB5"/>
    <w:rsid w:val="009D5276"/>
    <w:rsid w:val="009D7E42"/>
    <w:rsid w:val="009E681B"/>
    <w:rsid w:val="009F0EE6"/>
    <w:rsid w:val="009F3378"/>
    <w:rsid w:val="009F7A17"/>
    <w:rsid w:val="00A01855"/>
    <w:rsid w:val="00A05970"/>
    <w:rsid w:val="00A06BE4"/>
    <w:rsid w:val="00A118AE"/>
    <w:rsid w:val="00A14EDD"/>
    <w:rsid w:val="00A20D35"/>
    <w:rsid w:val="00A2646E"/>
    <w:rsid w:val="00A33E01"/>
    <w:rsid w:val="00A33ECD"/>
    <w:rsid w:val="00A34762"/>
    <w:rsid w:val="00A42290"/>
    <w:rsid w:val="00A43790"/>
    <w:rsid w:val="00A509C3"/>
    <w:rsid w:val="00A55585"/>
    <w:rsid w:val="00A62EC4"/>
    <w:rsid w:val="00A6425B"/>
    <w:rsid w:val="00A64DA6"/>
    <w:rsid w:val="00A81FD8"/>
    <w:rsid w:val="00A8305B"/>
    <w:rsid w:val="00A951B4"/>
    <w:rsid w:val="00A953F7"/>
    <w:rsid w:val="00AA4F7E"/>
    <w:rsid w:val="00AA6CB4"/>
    <w:rsid w:val="00AB0B36"/>
    <w:rsid w:val="00AC13DB"/>
    <w:rsid w:val="00AC36A5"/>
    <w:rsid w:val="00AD1928"/>
    <w:rsid w:val="00AD2010"/>
    <w:rsid w:val="00AD2DED"/>
    <w:rsid w:val="00AD7D36"/>
    <w:rsid w:val="00AE0CB3"/>
    <w:rsid w:val="00AE2640"/>
    <w:rsid w:val="00AE7C80"/>
    <w:rsid w:val="00AF3AC4"/>
    <w:rsid w:val="00AF4355"/>
    <w:rsid w:val="00AF56B7"/>
    <w:rsid w:val="00AF713F"/>
    <w:rsid w:val="00B0047E"/>
    <w:rsid w:val="00B01B79"/>
    <w:rsid w:val="00B01C38"/>
    <w:rsid w:val="00B05CFF"/>
    <w:rsid w:val="00B10BC2"/>
    <w:rsid w:val="00B15589"/>
    <w:rsid w:val="00B16749"/>
    <w:rsid w:val="00B21436"/>
    <w:rsid w:val="00B2331F"/>
    <w:rsid w:val="00B27B24"/>
    <w:rsid w:val="00B3561A"/>
    <w:rsid w:val="00B35FF4"/>
    <w:rsid w:val="00B365FB"/>
    <w:rsid w:val="00B379CB"/>
    <w:rsid w:val="00B41BC9"/>
    <w:rsid w:val="00B550EE"/>
    <w:rsid w:val="00B55939"/>
    <w:rsid w:val="00B606D8"/>
    <w:rsid w:val="00B64573"/>
    <w:rsid w:val="00B72F69"/>
    <w:rsid w:val="00B73E8B"/>
    <w:rsid w:val="00B8388A"/>
    <w:rsid w:val="00B86E84"/>
    <w:rsid w:val="00B93292"/>
    <w:rsid w:val="00B93839"/>
    <w:rsid w:val="00BA14BD"/>
    <w:rsid w:val="00BA5681"/>
    <w:rsid w:val="00BB2460"/>
    <w:rsid w:val="00BB4F0B"/>
    <w:rsid w:val="00BC260B"/>
    <w:rsid w:val="00BC29B0"/>
    <w:rsid w:val="00BC4850"/>
    <w:rsid w:val="00BC5016"/>
    <w:rsid w:val="00BC6E73"/>
    <w:rsid w:val="00BD2D59"/>
    <w:rsid w:val="00BD6E0C"/>
    <w:rsid w:val="00BE2460"/>
    <w:rsid w:val="00BE42C0"/>
    <w:rsid w:val="00BF1620"/>
    <w:rsid w:val="00BF2BE7"/>
    <w:rsid w:val="00C15B51"/>
    <w:rsid w:val="00C22523"/>
    <w:rsid w:val="00C24646"/>
    <w:rsid w:val="00C26A35"/>
    <w:rsid w:val="00C32EF7"/>
    <w:rsid w:val="00C34AF6"/>
    <w:rsid w:val="00C47B5A"/>
    <w:rsid w:val="00C64A47"/>
    <w:rsid w:val="00C64CBC"/>
    <w:rsid w:val="00C64FBF"/>
    <w:rsid w:val="00C73927"/>
    <w:rsid w:val="00C77CB7"/>
    <w:rsid w:val="00C869EE"/>
    <w:rsid w:val="00C916BA"/>
    <w:rsid w:val="00C97B96"/>
    <w:rsid w:val="00C97F75"/>
    <w:rsid w:val="00CA0889"/>
    <w:rsid w:val="00CA29FC"/>
    <w:rsid w:val="00CA3DB5"/>
    <w:rsid w:val="00CB104D"/>
    <w:rsid w:val="00CB193B"/>
    <w:rsid w:val="00CB1BBC"/>
    <w:rsid w:val="00CB339D"/>
    <w:rsid w:val="00CC188F"/>
    <w:rsid w:val="00CC1CF5"/>
    <w:rsid w:val="00CD205B"/>
    <w:rsid w:val="00CD5CCE"/>
    <w:rsid w:val="00CD667F"/>
    <w:rsid w:val="00CD6C72"/>
    <w:rsid w:val="00CE2783"/>
    <w:rsid w:val="00CE5647"/>
    <w:rsid w:val="00CE65C3"/>
    <w:rsid w:val="00CF260B"/>
    <w:rsid w:val="00CF4CD2"/>
    <w:rsid w:val="00D1077C"/>
    <w:rsid w:val="00D13C0F"/>
    <w:rsid w:val="00D22B52"/>
    <w:rsid w:val="00D3152A"/>
    <w:rsid w:val="00D33F6B"/>
    <w:rsid w:val="00D35FF1"/>
    <w:rsid w:val="00D4566F"/>
    <w:rsid w:val="00D46BF8"/>
    <w:rsid w:val="00D46E08"/>
    <w:rsid w:val="00D5376A"/>
    <w:rsid w:val="00D56D91"/>
    <w:rsid w:val="00D60CE4"/>
    <w:rsid w:val="00D60D3F"/>
    <w:rsid w:val="00D61B9C"/>
    <w:rsid w:val="00D66978"/>
    <w:rsid w:val="00D66F0E"/>
    <w:rsid w:val="00D746C8"/>
    <w:rsid w:val="00D84789"/>
    <w:rsid w:val="00DB01C2"/>
    <w:rsid w:val="00DB167F"/>
    <w:rsid w:val="00DB25D9"/>
    <w:rsid w:val="00DB4B06"/>
    <w:rsid w:val="00DB63B8"/>
    <w:rsid w:val="00DC49BF"/>
    <w:rsid w:val="00DD3814"/>
    <w:rsid w:val="00DE342B"/>
    <w:rsid w:val="00DE561D"/>
    <w:rsid w:val="00DF2D0A"/>
    <w:rsid w:val="00E01D1B"/>
    <w:rsid w:val="00E15863"/>
    <w:rsid w:val="00E17731"/>
    <w:rsid w:val="00E17D99"/>
    <w:rsid w:val="00E3037C"/>
    <w:rsid w:val="00E403BE"/>
    <w:rsid w:val="00E52207"/>
    <w:rsid w:val="00E56E40"/>
    <w:rsid w:val="00E7536E"/>
    <w:rsid w:val="00E767DC"/>
    <w:rsid w:val="00E820E6"/>
    <w:rsid w:val="00E82337"/>
    <w:rsid w:val="00E82825"/>
    <w:rsid w:val="00E83A4F"/>
    <w:rsid w:val="00EA0F11"/>
    <w:rsid w:val="00EA164B"/>
    <w:rsid w:val="00EA3A2C"/>
    <w:rsid w:val="00EA4FD6"/>
    <w:rsid w:val="00EA5FE8"/>
    <w:rsid w:val="00EA6656"/>
    <w:rsid w:val="00EA7447"/>
    <w:rsid w:val="00EB0554"/>
    <w:rsid w:val="00EB1122"/>
    <w:rsid w:val="00EB7BF1"/>
    <w:rsid w:val="00EC0C43"/>
    <w:rsid w:val="00ED2066"/>
    <w:rsid w:val="00ED684E"/>
    <w:rsid w:val="00EE328B"/>
    <w:rsid w:val="00EE4792"/>
    <w:rsid w:val="00F00A1A"/>
    <w:rsid w:val="00F022D3"/>
    <w:rsid w:val="00F07092"/>
    <w:rsid w:val="00F135D7"/>
    <w:rsid w:val="00F13CAE"/>
    <w:rsid w:val="00F14A9F"/>
    <w:rsid w:val="00F22B6F"/>
    <w:rsid w:val="00F3484D"/>
    <w:rsid w:val="00F34C75"/>
    <w:rsid w:val="00F363AF"/>
    <w:rsid w:val="00F405C2"/>
    <w:rsid w:val="00F46154"/>
    <w:rsid w:val="00F50295"/>
    <w:rsid w:val="00F511FA"/>
    <w:rsid w:val="00F5462E"/>
    <w:rsid w:val="00F60E3D"/>
    <w:rsid w:val="00F644D6"/>
    <w:rsid w:val="00F65535"/>
    <w:rsid w:val="00F66D5E"/>
    <w:rsid w:val="00F8401C"/>
    <w:rsid w:val="00F85421"/>
    <w:rsid w:val="00F85BA7"/>
    <w:rsid w:val="00F874C9"/>
    <w:rsid w:val="00F879E5"/>
    <w:rsid w:val="00F920E1"/>
    <w:rsid w:val="00FA2A32"/>
    <w:rsid w:val="00FA2B2F"/>
    <w:rsid w:val="00FA370E"/>
    <w:rsid w:val="00FA55E9"/>
    <w:rsid w:val="00FA5B40"/>
    <w:rsid w:val="00FA7056"/>
    <w:rsid w:val="00FC5CA9"/>
    <w:rsid w:val="00FD11FD"/>
    <w:rsid w:val="00FD4CE6"/>
    <w:rsid w:val="00FE0A89"/>
    <w:rsid w:val="00FE508A"/>
    <w:rsid w:val="00FE5BB3"/>
    <w:rsid w:val="04944F6C"/>
    <w:rsid w:val="06BF157F"/>
    <w:rsid w:val="13C0AC19"/>
    <w:rsid w:val="149F7DC6"/>
    <w:rsid w:val="33F8EC56"/>
    <w:rsid w:val="36B9C889"/>
    <w:rsid w:val="4410B85B"/>
    <w:rsid w:val="44352FEF"/>
    <w:rsid w:val="547A49C5"/>
    <w:rsid w:val="5FBEABD2"/>
    <w:rsid w:val="604A1900"/>
    <w:rsid w:val="6B79F996"/>
    <w:rsid w:val="6BDF2631"/>
    <w:rsid w:val="7B5712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FC1AE"/>
  <w15:chartTrackingRefBased/>
  <w15:docId w15:val="{FCC06945-9301-4DE7-ADA0-320047A7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CE6"/>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FD4CE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D4CE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D4CE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4CE6"/>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FD4CE6"/>
    <w:rPr>
      <w:rFonts w:ascii="Tahoma" w:hAnsi="Tahoma" w:cs="Tahoma"/>
      <w:sz w:val="16"/>
      <w:szCs w:val="16"/>
    </w:rPr>
  </w:style>
  <w:style w:type="character" w:customStyle="1" w:styleId="BalloonTextChar">
    <w:name w:val="Balloon Text Char"/>
    <w:basedOn w:val="DefaultParagraphFont"/>
    <w:link w:val="BalloonText"/>
    <w:rsid w:val="00FD4CE6"/>
    <w:rPr>
      <w:rFonts w:ascii="Tahoma" w:eastAsia="MS Mincho" w:hAnsi="Tahoma" w:cs="Tahoma"/>
      <w:sz w:val="16"/>
      <w:szCs w:val="16"/>
    </w:rPr>
  </w:style>
  <w:style w:type="character" w:customStyle="1" w:styleId="Heading1Char">
    <w:name w:val="Heading 1 Char"/>
    <w:basedOn w:val="DefaultParagraphFont"/>
    <w:link w:val="Heading1"/>
    <w:rsid w:val="00FD4CE6"/>
    <w:rPr>
      <w:rFonts w:ascii="Times New Roman" w:eastAsia="MS Mincho" w:hAnsi="Times New Roman" w:cs="Times New Roman"/>
      <w:b/>
      <w:bCs/>
      <w:szCs w:val="24"/>
    </w:rPr>
  </w:style>
  <w:style w:type="character" w:customStyle="1" w:styleId="Heading2Char">
    <w:name w:val="Heading 2 Char"/>
    <w:basedOn w:val="DefaultParagraphFont"/>
    <w:link w:val="Heading2"/>
    <w:rsid w:val="00FD4CE6"/>
    <w:rPr>
      <w:rFonts w:ascii="Calibri" w:eastAsia="MS Mincho" w:hAnsi="Calibri" w:cs="Times New Roman"/>
      <w:b/>
      <w:bCs/>
      <w:i/>
      <w:iCs/>
      <w:sz w:val="28"/>
      <w:szCs w:val="28"/>
    </w:rPr>
  </w:style>
  <w:style w:type="character" w:customStyle="1" w:styleId="Heading3Char">
    <w:name w:val="Heading 3 Char"/>
    <w:basedOn w:val="DefaultParagraphFont"/>
    <w:link w:val="Heading3"/>
    <w:rsid w:val="00FD4CE6"/>
    <w:rPr>
      <w:rFonts w:ascii="Calibri" w:eastAsia="MS Mincho" w:hAnsi="Calibri" w:cs="Times New Roman"/>
      <w:b/>
      <w:bCs/>
      <w:sz w:val="26"/>
      <w:szCs w:val="26"/>
    </w:rPr>
  </w:style>
  <w:style w:type="paragraph" w:styleId="FootnoteText">
    <w:name w:val="footnote text"/>
    <w:basedOn w:val="Normal"/>
    <w:link w:val="FootnoteTextChar"/>
    <w:semiHidden/>
    <w:rsid w:val="00FD4CE6"/>
    <w:pPr>
      <w:spacing w:before="60"/>
    </w:pPr>
    <w:rPr>
      <w:sz w:val="20"/>
    </w:rPr>
  </w:style>
  <w:style w:type="character" w:customStyle="1" w:styleId="FootnoteTextChar">
    <w:name w:val="Footnote Text Char"/>
    <w:basedOn w:val="DefaultParagraphFont"/>
    <w:link w:val="FootnoteText"/>
    <w:semiHidden/>
    <w:rsid w:val="00FD4CE6"/>
    <w:rPr>
      <w:rFonts w:ascii="Times New Roman" w:eastAsia="MS Mincho" w:hAnsi="Times New Roman" w:cs="Times New Roman"/>
      <w:sz w:val="20"/>
      <w:szCs w:val="24"/>
    </w:rPr>
  </w:style>
  <w:style w:type="character" w:styleId="FootnoteReference">
    <w:name w:val="footnote reference"/>
    <w:basedOn w:val="DefaultParagraphFont"/>
    <w:semiHidden/>
    <w:rsid w:val="00FD4CE6"/>
    <w:rPr>
      <w:vertAlign w:val="superscript"/>
    </w:rPr>
  </w:style>
  <w:style w:type="paragraph" w:customStyle="1" w:styleId="Style">
    <w:name w:val="Style"/>
    <w:basedOn w:val="Footer"/>
    <w:autoRedefine/>
    <w:qFormat/>
    <w:rsid w:val="00FD4CE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D4CE6"/>
    <w:pPr>
      <w:tabs>
        <w:tab w:val="center" w:pos="4680"/>
        <w:tab w:val="right" w:pos="9360"/>
      </w:tabs>
    </w:pPr>
  </w:style>
  <w:style w:type="character" w:customStyle="1" w:styleId="FooterChar">
    <w:name w:val="Footer Char"/>
    <w:basedOn w:val="DefaultParagraphFont"/>
    <w:link w:val="Footer"/>
    <w:rsid w:val="00FD4CE6"/>
    <w:rPr>
      <w:rFonts w:ascii="Times New Roman" w:eastAsia="MS Mincho" w:hAnsi="Times New Roman" w:cs="Times New Roman"/>
      <w:szCs w:val="24"/>
    </w:rPr>
  </w:style>
  <w:style w:type="character" w:styleId="PageNumber">
    <w:name w:val="page number"/>
    <w:rsid w:val="00FD4CE6"/>
    <w:rPr>
      <w:rFonts w:ascii="Arial" w:hAnsi="Arial"/>
      <w:b/>
      <w:sz w:val="18"/>
    </w:rPr>
  </w:style>
  <w:style w:type="paragraph" w:customStyle="1" w:styleId="IPPArialFootnote">
    <w:name w:val="IPP Arial Footnote"/>
    <w:basedOn w:val="IPPArialTable"/>
    <w:qFormat/>
    <w:rsid w:val="00FD4CE6"/>
    <w:pPr>
      <w:tabs>
        <w:tab w:val="left" w:pos="28"/>
      </w:tabs>
      <w:ind w:left="284" w:hanging="284"/>
    </w:pPr>
    <w:rPr>
      <w:sz w:val="16"/>
    </w:rPr>
  </w:style>
  <w:style w:type="paragraph" w:customStyle="1" w:styleId="IPPContentsHead">
    <w:name w:val="IPP ContentsHead"/>
    <w:basedOn w:val="IPPSubhead"/>
    <w:next w:val="IPPNormal"/>
    <w:qFormat/>
    <w:rsid w:val="00FD4CE6"/>
    <w:pPr>
      <w:spacing w:after="240"/>
    </w:pPr>
    <w:rPr>
      <w:sz w:val="24"/>
    </w:rPr>
  </w:style>
  <w:style w:type="paragraph" w:customStyle="1" w:styleId="IPPBullet2">
    <w:name w:val="IPP Bullet2"/>
    <w:basedOn w:val="IPPNormal"/>
    <w:next w:val="IPPBullet1"/>
    <w:qFormat/>
    <w:rsid w:val="00FD4CE6"/>
    <w:pPr>
      <w:numPr>
        <w:numId w:val="3"/>
      </w:numPr>
      <w:tabs>
        <w:tab w:val="left" w:pos="1134"/>
      </w:tabs>
      <w:spacing w:after="60"/>
      <w:ind w:left="1134" w:hanging="567"/>
    </w:pPr>
  </w:style>
  <w:style w:type="paragraph" w:customStyle="1" w:styleId="IPPQuote">
    <w:name w:val="IPP Quote"/>
    <w:basedOn w:val="IPPNormal"/>
    <w:qFormat/>
    <w:rsid w:val="00FD4CE6"/>
    <w:pPr>
      <w:ind w:left="851" w:right="851"/>
    </w:pPr>
    <w:rPr>
      <w:sz w:val="18"/>
    </w:rPr>
  </w:style>
  <w:style w:type="paragraph" w:customStyle="1" w:styleId="IPPNormal">
    <w:name w:val="IPP Normal"/>
    <w:basedOn w:val="Normal"/>
    <w:link w:val="IPPNormalChar"/>
    <w:qFormat/>
    <w:rsid w:val="00FD4CE6"/>
    <w:pPr>
      <w:spacing w:after="180"/>
    </w:pPr>
    <w:rPr>
      <w:rFonts w:eastAsia="Times"/>
    </w:rPr>
  </w:style>
  <w:style w:type="paragraph" w:customStyle="1" w:styleId="IPPIndentClose">
    <w:name w:val="IPP Indent Close"/>
    <w:basedOn w:val="IPPNormal"/>
    <w:qFormat/>
    <w:rsid w:val="00FD4CE6"/>
    <w:pPr>
      <w:tabs>
        <w:tab w:val="left" w:pos="2835"/>
      </w:tabs>
      <w:spacing w:after="60"/>
      <w:ind w:left="567"/>
    </w:pPr>
  </w:style>
  <w:style w:type="paragraph" w:customStyle="1" w:styleId="IPPIndent">
    <w:name w:val="IPP Indent"/>
    <w:basedOn w:val="IPPIndentClose"/>
    <w:qFormat/>
    <w:rsid w:val="00FD4CE6"/>
    <w:pPr>
      <w:spacing w:after="180"/>
    </w:pPr>
  </w:style>
  <w:style w:type="paragraph" w:customStyle="1" w:styleId="IPPFootnote">
    <w:name w:val="IPP Footnote"/>
    <w:basedOn w:val="IPPArialFootnote"/>
    <w:qFormat/>
    <w:rsid w:val="00FD4CE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D4CE6"/>
    <w:pPr>
      <w:keepNext/>
      <w:tabs>
        <w:tab w:val="left" w:pos="567"/>
      </w:tabs>
      <w:spacing w:before="120" w:after="120"/>
      <w:ind w:left="567" w:hanging="567"/>
    </w:pPr>
    <w:rPr>
      <w:b/>
      <w:i/>
    </w:rPr>
  </w:style>
  <w:style w:type="character" w:customStyle="1" w:styleId="IPPnormalitalics">
    <w:name w:val="IPP normal italics"/>
    <w:basedOn w:val="DefaultParagraphFont"/>
    <w:rsid w:val="00FD4CE6"/>
    <w:rPr>
      <w:rFonts w:ascii="Times New Roman" w:hAnsi="Times New Roman"/>
      <w:i/>
      <w:sz w:val="22"/>
      <w:lang w:val="en-US"/>
    </w:rPr>
  </w:style>
  <w:style w:type="character" w:customStyle="1" w:styleId="IPPNormalbold">
    <w:name w:val="IPP Normal bold"/>
    <w:basedOn w:val="PlainTextChar"/>
    <w:rsid w:val="00FD4CE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D4CE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D4CE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D4CE6"/>
    <w:pPr>
      <w:keepNext/>
      <w:ind w:left="567" w:hanging="567"/>
      <w:jc w:val="left"/>
    </w:pPr>
    <w:rPr>
      <w:b/>
      <w:bCs/>
      <w:iCs/>
      <w:szCs w:val="22"/>
    </w:rPr>
  </w:style>
  <w:style w:type="character" w:customStyle="1" w:styleId="IPPNormalunderlined">
    <w:name w:val="IPP Normal underlined"/>
    <w:basedOn w:val="DefaultParagraphFont"/>
    <w:rsid w:val="00FD4CE6"/>
    <w:rPr>
      <w:rFonts w:ascii="Times New Roman" w:hAnsi="Times New Roman"/>
      <w:sz w:val="22"/>
      <w:u w:val="single"/>
      <w:lang w:val="en-US"/>
    </w:rPr>
  </w:style>
  <w:style w:type="paragraph" w:customStyle="1" w:styleId="IPPBullet1">
    <w:name w:val="IPP Bullet1"/>
    <w:basedOn w:val="IPPBullet1Last"/>
    <w:qFormat/>
    <w:rsid w:val="00FD4CE6"/>
    <w:pPr>
      <w:numPr>
        <w:numId w:val="9"/>
      </w:numPr>
      <w:spacing w:after="60"/>
      <w:ind w:left="567" w:hanging="567"/>
    </w:pPr>
    <w:rPr>
      <w:lang w:val="en-US"/>
    </w:rPr>
  </w:style>
  <w:style w:type="paragraph" w:customStyle="1" w:styleId="IPPBullet1Last">
    <w:name w:val="IPP Bullet1Last"/>
    <w:basedOn w:val="IPPNormal"/>
    <w:next w:val="IPPNormal"/>
    <w:autoRedefine/>
    <w:qFormat/>
    <w:rsid w:val="00FD4CE6"/>
    <w:pPr>
      <w:numPr>
        <w:numId w:val="4"/>
      </w:numPr>
    </w:pPr>
  </w:style>
  <w:style w:type="character" w:customStyle="1" w:styleId="IPPNormalstrikethrough">
    <w:name w:val="IPP Normal strikethrough"/>
    <w:rsid w:val="00FD4CE6"/>
    <w:rPr>
      <w:rFonts w:ascii="Times New Roman" w:hAnsi="Times New Roman"/>
      <w:strike/>
      <w:dstrike w:val="0"/>
      <w:sz w:val="22"/>
    </w:rPr>
  </w:style>
  <w:style w:type="paragraph" w:customStyle="1" w:styleId="IPPTitle16pt">
    <w:name w:val="IPP Title16pt"/>
    <w:basedOn w:val="Normal"/>
    <w:qFormat/>
    <w:rsid w:val="00FD4CE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D4CE6"/>
    <w:pPr>
      <w:spacing w:after="360"/>
      <w:jc w:val="center"/>
    </w:pPr>
    <w:rPr>
      <w:rFonts w:ascii="Arial" w:hAnsi="Arial" w:cs="Arial"/>
      <w:b/>
      <w:bCs/>
      <w:sz w:val="36"/>
      <w:szCs w:val="36"/>
    </w:rPr>
  </w:style>
  <w:style w:type="paragraph" w:customStyle="1" w:styleId="IPPHeader">
    <w:name w:val="IPP Header"/>
    <w:basedOn w:val="Normal"/>
    <w:qFormat/>
    <w:rsid w:val="00FD4CE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D4CE6"/>
    <w:pPr>
      <w:keepNext/>
      <w:tabs>
        <w:tab w:val="left" w:pos="567"/>
      </w:tabs>
      <w:spacing w:before="120"/>
      <w:jc w:val="left"/>
      <w:outlineLvl w:val="1"/>
    </w:pPr>
    <w:rPr>
      <w:b/>
      <w:sz w:val="24"/>
    </w:rPr>
  </w:style>
  <w:style w:type="numbering" w:customStyle="1" w:styleId="IPPParagraphnumberedlist">
    <w:name w:val="IPP Paragraph numbered list"/>
    <w:rsid w:val="00FD4CE6"/>
    <w:pPr>
      <w:numPr>
        <w:numId w:val="2"/>
      </w:numPr>
    </w:pPr>
  </w:style>
  <w:style w:type="paragraph" w:customStyle="1" w:styleId="IPPNormalCloseSpace">
    <w:name w:val="IPP NormalCloseSpace"/>
    <w:basedOn w:val="Normal"/>
    <w:qFormat/>
    <w:rsid w:val="00FD4CE6"/>
    <w:pPr>
      <w:keepNext/>
      <w:spacing w:after="60"/>
    </w:pPr>
  </w:style>
  <w:style w:type="paragraph" w:customStyle="1" w:styleId="IPPHeading2">
    <w:name w:val="IPP Heading2"/>
    <w:basedOn w:val="IPPNormal"/>
    <w:next w:val="IPPNormal"/>
    <w:qFormat/>
    <w:rsid w:val="00FD4CE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D4CE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D4CE6"/>
    <w:pPr>
      <w:tabs>
        <w:tab w:val="right" w:leader="dot" w:pos="9072"/>
      </w:tabs>
      <w:spacing w:before="240"/>
      <w:ind w:left="567" w:hanging="567"/>
    </w:pPr>
  </w:style>
  <w:style w:type="paragraph" w:styleId="TOC2">
    <w:name w:val="toc 2"/>
    <w:basedOn w:val="TOC1"/>
    <w:next w:val="Normal"/>
    <w:autoRedefine/>
    <w:uiPriority w:val="39"/>
    <w:rsid w:val="00FD4CE6"/>
    <w:pPr>
      <w:keepNext w:val="0"/>
      <w:tabs>
        <w:tab w:val="left" w:pos="425"/>
      </w:tabs>
      <w:spacing w:before="120" w:after="0"/>
      <w:ind w:left="425" w:right="284" w:hanging="425"/>
    </w:pPr>
  </w:style>
  <w:style w:type="paragraph" w:styleId="TOC3">
    <w:name w:val="toc 3"/>
    <w:basedOn w:val="TOC2"/>
    <w:next w:val="Normal"/>
    <w:autoRedefine/>
    <w:uiPriority w:val="39"/>
    <w:rsid w:val="00FD4CE6"/>
    <w:pPr>
      <w:tabs>
        <w:tab w:val="left" w:pos="1276"/>
      </w:tabs>
      <w:spacing w:before="60"/>
      <w:ind w:left="1276" w:hanging="851"/>
    </w:pPr>
    <w:rPr>
      <w:rFonts w:eastAsia="Times"/>
    </w:rPr>
  </w:style>
  <w:style w:type="paragraph" w:styleId="TOC4">
    <w:name w:val="toc 4"/>
    <w:basedOn w:val="Normal"/>
    <w:next w:val="Normal"/>
    <w:autoRedefine/>
    <w:uiPriority w:val="39"/>
    <w:rsid w:val="00FD4CE6"/>
    <w:pPr>
      <w:spacing w:after="120"/>
      <w:ind w:left="660"/>
    </w:pPr>
    <w:rPr>
      <w:rFonts w:eastAsia="Times"/>
      <w:lang w:val="en-AU"/>
    </w:rPr>
  </w:style>
  <w:style w:type="paragraph" w:styleId="TOC5">
    <w:name w:val="toc 5"/>
    <w:basedOn w:val="Normal"/>
    <w:next w:val="Normal"/>
    <w:autoRedefine/>
    <w:uiPriority w:val="39"/>
    <w:rsid w:val="00FD4CE6"/>
    <w:pPr>
      <w:spacing w:after="120"/>
      <w:ind w:left="880"/>
    </w:pPr>
    <w:rPr>
      <w:rFonts w:eastAsia="Times"/>
      <w:lang w:val="en-AU"/>
    </w:rPr>
  </w:style>
  <w:style w:type="paragraph" w:styleId="TOC6">
    <w:name w:val="toc 6"/>
    <w:basedOn w:val="Normal"/>
    <w:next w:val="Normal"/>
    <w:autoRedefine/>
    <w:uiPriority w:val="39"/>
    <w:rsid w:val="00FD4CE6"/>
    <w:pPr>
      <w:spacing w:after="120"/>
      <w:ind w:left="1100"/>
    </w:pPr>
    <w:rPr>
      <w:rFonts w:eastAsia="Times"/>
      <w:lang w:val="en-AU"/>
    </w:rPr>
  </w:style>
  <w:style w:type="paragraph" w:styleId="TOC7">
    <w:name w:val="toc 7"/>
    <w:basedOn w:val="Normal"/>
    <w:next w:val="Normal"/>
    <w:autoRedefine/>
    <w:uiPriority w:val="39"/>
    <w:rsid w:val="00FD4CE6"/>
    <w:pPr>
      <w:spacing w:after="120"/>
      <w:ind w:left="1320"/>
    </w:pPr>
    <w:rPr>
      <w:rFonts w:eastAsia="Times"/>
      <w:lang w:val="en-AU"/>
    </w:rPr>
  </w:style>
  <w:style w:type="paragraph" w:styleId="TOC8">
    <w:name w:val="toc 8"/>
    <w:basedOn w:val="Normal"/>
    <w:next w:val="Normal"/>
    <w:autoRedefine/>
    <w:uiPriority w:val="39"/>
    <w:rsid w:val="00FD4CE6"/>
    <w:pPr>
      <w:spacing w:after="120"/>
      <w:ind w:left="1540"/>
    </w:pPr>
    <w:rPr>
      <w:rFonts w:eastAsia="Times"/>
      <w:lang w:val="en-AU"/>
    </w:rPr>
  </w:style>
  <w:style w:type="paragraph" w:styleId="TOC9">
    <w:name w:val="toc 9"/>
    <w:basedOn w:val="Normal"/>
    <w:next w:val="Normal"/>
    <w:autoRedefine/>
    <w:uiPriority w:val="39"/>
    <w:rsid w:val="00FD4CE6"/>
    <w:pPr>
      <w:spacing w:after="120"/>
      <w:ind w:left="1760"/>
    </w:pPr>
    <w:rPr>
      <w:rFonts w:eastAsia="Times"/>
      <w:lang w:val="en-AU"/>
    </w:rPr>
  </w:style>
  <w:style w:type="paragraph" w:customStyle="1" w:styleId="IPPReferences">
    <w:name w:val="IPP References"/>
    <w:basedOn w:val="IPPNormal"/>
    <w:qFormat/>
    <w:rsid w:val="00FD4CE6"/>
    <w:pPr>
      <w:spacing w:after="60"/>
      <w:ind w:left="567" w:hanging="567"/>
    </w:pPr>
  </w:style>
  <w:style w:type="paragraph" w:customStyle="1" w:styleId="IPPArial">
    <w:name w:val="IPP Arial"/>
    <w:basedOn w:val="IPPNormal"/>
    <w:qFormat/>
    <w:rsid w:val="00FD4CE6"/>
    <w:pPr>
      <w:spacing w:after="0"/>
    </w:pPr>
    <w:rPr>
      <w:rFonts w:ascii="Arial" w:hAnsi="Arial"/>
      <w:sz w:val="18"/>
    </w:rPr>
  </w:style>
  <w:style w:type="paragraph" w:customStyle="1" w:styleId="IPPArialTable">
    <w:name w:val="IPP Arial Table"/>
    <w:basedOn w:val="IPPArial"/>
    <w:qFormat/>
    <w:rsid w:val="00FD4CE6"/>
    <w:pPr>
      <w:spacing w:before="60" w:after="60"/>
      <w:jc w:val="left"/>
    </w:pPr>
  </w:style>
  <w:style w:type="paragraph" w:customStyle="1" w:styleId="IPPHeaderlandscape">
    <w:name w:val="IPP Header landscape"/>
    <w:basedOn w:val="IPPHeader"/>
    <w:qFormat/>
    <w:rsid w:val="00FD4CE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D4CE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D4CE6"/>
    <w:rPr>
      <w:rFonts w:ascii="Courier" w:eastAsia="Times" w:hAnsi="Courier" w:cs="Times New Roman"/>
      <w:sz w:val="21"/>
      <w:szCs w:val="21"/>
      <w:lang w:val="en-AU"/>
    </w:rPr>
  </w:style>
  <w:style w:type="paragraph" w:customStyle="1" w:styleId="IPPLetterList">
    <w:name w:val="IPP LetterList"/>
    <w:basedOn w:val="IPPBullet2"/>
    <w:qFormat/>
    <w:rsid w:val="00FD4CE6"/>
    <w:pPr>
      <w:tabs>
        <w:tab w:val="num" w:pos="1134"/>
      </w:tabs>
      <w:jc w:val="left"/>
    </w:pPr>
  </w:style>
  <w:style w:type="paragraph" w:customStyle="1" w:styleId="IPPLetterListIndent">
    <w:name w:val="IPP LetterList Indent"/>
    <w:basedOn w:val="IPPLetterList"/>
    <w:qFormat/>
    <w:rsid w:val="00FD4CE6"/>
    <w:pPr>
      <w:numPr>
        <w:numId w:val="1"/>
      </w:numPr>
    </w:pPr>
  </w:style>
  <w:style w:type="paragraph" w:customStyle="1" w:styleId="IPPFooterLandscape">
    <w:name w:val="IPP Footer Landscape"/>
    <w:basedOn w:val="IPPHeaderlandscape"/>
    <w:qFormat/>
    <w:rsid w:val="00FD4CE6"/>
    <w:pPr>
      <w:pBdr>
        <w:top w:val="single" w:sz="4" w:space="1" w:color="auto"/>
        <w:bottom w:val="none" w:sz="0" w:space="0" w:color="auto"/>
      </w:pBdr>
      <w:jc w:val="right"/>
    </w:pPr>
    <w:rPr>
      <w:b/>
    </w:rPr>
  </w:style>
  <w:style w:type="paragraph" w:customStyle="1" w:styleId="IPPSubheadSpace">
    <w:name w:val="IPP Subhead Space"/>
    <w:basedOn w:val="IPPSubhead"/>
    <w:qFormat/>
    <w:rsid w:val="00FD4CE6"/>
    <w:pPr>
      <w:tabs>
        <w:tab w:val="left" w:pos="567"/>
      </w:tabs>
      <w:spacing w:before="60" w:after="60"/>
    </w:pPr>
  </w:style>
  <w:style w:type="paragraph" w:customStyle="1" w:styleId="IPPSubheadSpaceAfter">
    <w:name w:val="IPP Subhead SpaceAfter"/>
    <w:basedOn w:val="IPPSubhead"/>
    <w:qFormat/>
    <w:rsid w:val="00FD4CE6"/>
    <w:pPr>
      <w:spacing w:after="60"/>
    </w:pPr>
  </w:style>
  <w:style w:type="paragraph" w:customStyle="1" w:styleId="IPPHdg1Num">
    <w:name w:val="IPP Hdg1Num"/>
    <w:basedOn w:val="IPPHeading1"/>
    <w:next w:val="IPPNormal"/>
    <w:qFormat/>
    <w:rsid w:val="00FD4CE6"/>
    <w:pPr>
      <w:numPr>
        <w:numId w:val="5"/>
      </w:numPr>
    </w:pPr>
  </w:style>
  <w:style w:type="paragraph" w:customStyle="1" w:styleId="IPPHdg2Num">
    <w:name w:val="IPP Hdg2Num"/>
    <w:basedOn w:val="IPPHeading2"/>
    <w:next w:val="IPPNormal"/>
    <w:qFormat/>
    <w:rsid w:val="00FD4CE6"/>
    <w:pPr>
      <w:numPr>
        <w:ilvl w:val="1"/>
        <w:numId w:val="6"/>
      </w:numPr>
    </w:pPr>
  </w:style>
  <w:style w:type="paragraph" w:customStyle="1" w:styleId="IPPNumberedList">
    <w:name w:val="IPP NumberedList"/>
    <w:basedOn w:val="IPPBullet1"/>
    <w:qFormat/>
    <w:rsid w:val="00FD4CE6"/>
    <w:pPr>
      <w:numPr>
        <w:numId w:val="8"/>
      </w:numPr>
    </w:pPr>
  </w:style>
  <w:style w:type="paragraph" w:styleId="Header">
    <w:name w:val="header"/>
    <w:basedOn w:val="Normal"/>
    <w:link w:val="HeaderChar"/>
    <w:rsid w:val="00FD4CE6"/>
    <w:pPr>
      <w:tabs>
        <w:tab w:val="center" w:pos="4680"/>
        <w:tab w:val="right" w:pos="9360"/>
      </w:tabs>
    </w:pPr>
  </w:style>
  <w:style w:type="character" w:customStyle="1" w:styleId="HeaderChar">
    <w:name w:val="Header Char"/>
    <w:basedOn w:val="DefaultParagraphFont"/>
    <w:link w:val="Header"/>
    <w:rsid w:val="00FD4CE6"/>
    <w:rPr>
      <w:rFonts w:ascii="Times New Roman" w:eastAsia="MS Mincho" w:hAnsi="Times New Roman" w:cs="Times New Roman"/>
      <w:szCs w:val="24"/>
    </w:rPr>
  </w:style>
  <w:style w:type="character" w:styleId="Strong">
    <w:name w:val="Strong"/>
    <w:basedOn w:val="DefaultParagraphFont"/>
    <w:uiPriority w:val="22"/>
    <w:qFormat/>
    <w:rsid w:val="00FD4CE6"/>
    <w:rPr>
      <w:b/>
      <w:bCs/>
    </w:rPr>
  </w:style>
  <w:style w:type="paragraph" w:styleId="ListParagraph">
    <w:name w:val="List Paragraph"/>
    <w:basedOn w:val="Normal"/>
    <w:uiPriority w:val="34"/>
    <w:qFormat/>
    <w:rsid w:val="00FD4CE6"/>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link w:val="IPPParagraphnumberingChar"/>
    <w:qFormat/>
    <w:rsid w:val="00FD4CE6"/>
    <w:pPr>
      <w:numPr>
        <w:numId w:val="7"/>
      </w:numPr>
    </w:pPr>
    <w:rPr>
      <w:lang w:val="en-US"/>
    </w:rPr>
  </w:style>
  <w:style w:type="paragraph" w:customStyle="1" w:styleId="IPPParagraphnumberingclose">
    <w:name w:val="IPP Paragraph numbering close"/>
    <w:basedOn w:val="IPPParagraphnumbering"/>
    <w:qFormat/>
    <w:rsid w:val="00FD4CE6"/>
    <w:pPr>
      <w:keepNext/>
      <w:spacing w:after="60"/>
    </w:pPr>
  </w:style>
  <w:style w:type="paragraph" w:customStyle="1" w:styleId="IPPNumberedListLast">
    <w:name w:val="IPP NumberedListLast"/>
    <w:basedOn w:val="IPPNumberedList"/>
    <w:qFormat/>
    <w:rsid w:val="00FD4CE6"/>
    <w:pPr>
      <w:spacing w:after="180"/>
    </w:pPr>
  </w:style>
  <w:style w:type="character" w:customStyle="1" w:styleId="IPPNormalChar">
    <w:name w:val="IPP Normal Char"/>
    <w:link w:val="IPPNormal"/>
    <w:rsid w:val="006D0900"/>
    <w:rPr>
      <w:rFonts w:ascii="Times New Roman" w:eastAsia="Times" w:hAnsi="Times New Roman" w:cs="Times New Roman"/>
      <w:szCs w:val="24"/>
    </w:rPr>
  </w:style>
  <w:style w:type="paragraph" w:styleId="NoSpacing">
    <w:name w:val="No Spacing"/>
    <w:uiPriority w:val="1"/>
    <w:qFormat/>
    <w:rsid w:val="006D0900"/>
    <w:pPr>
      <w:spacing w:after="0" w:line="240" w:lineRule="auto"/>
    </w:pPr>
    <w:rPr>
      <w:lang w:val="ru-RU"/>
    </w:rPr>
  </w:style>
  <w:style w:type="paragraph" w:styleId="Revision">
    <w:name w:val="Revision"/>
    <w:hidden/>
    <w:uiPriority w:val="99"/>
    <w:semiHidden/>
    <w:rsid w:val="00751D88"/>
    <w:pPr>
      <w:spacing w:after="0" w:line="240" w:lineRule="auto"/>
    </w:pPr>
    <w:rPr>
      <w:rFonts w:ascii="Times New Roman" w:eastAsia="MS Mincho" w:hAnsi="Times New Roman" w:cs="Times New Roman"/>
      <w:szCs w:val="24"/>
    </w:rPr>
  </w:style>
  <w:style w:type="paragraph" w:styleId="NormalWeb">
    <w:name w:val="Normal (Web)"/>
    <w:basedOn w:val="Normal"/>
    <w:uiPriority w:val="99"/>
    <w:semiHidden/>
    <w:unhideWhenUsed/>
    <w:rsid w:val="00E56E40"/>
    <w:pPr>
      <w:spacing w:before="100" w:beforeAutospacing="1" w:after="100" w:afterAutospacing="1"/>
      <w:jc w:val="left"/>
    </w:pPr>
    <w:rPr>
      <w:rFonts w:eastAsia="Times New Roman"/>
      <w:sz w:val="24"/>
      <w:lang w:val="en-ZA" w:eastAsia="en-ZA"/>
    </w:rPr>
  </w:style>
  <w:style w:type="character" w:styleId="Emphasis">
    <w:name w:val="Emphasis"/>
    <w:basedOn w:val="DefaultParagraphFont"/>
    <w:uiPriority w:val="20"/>
    <w:qFormat/>
    <w:rsid w:val="00E56E40"/>
    <w:rPr>
      <w:i/>
      <w:iCs/>
    </w:rPr>
  </w:style>
  <w:style w:type="character" w:styleId="Hyperlink">
    <w:name w:val="Hyperlink"/>
    <w:basedOn w:val="DefaultParagraphFont"/>
    <w:uiPriority w:val="99"/>
    <w:unhideWhenUsed/>
    <w:rsid w:val="00E56E40"/>
    <w:rPr>
      <w:color w:val="0000FF"/>
      <w:u w:val="single"/>
    </w:rPr>
  </w:style>
  <w:style w:type="paragraph" w:styleId="TOCHeading">
    <w:name w:val="TOC Heading"/>
    <w:basedOn w:val="Heading1"/>
    <w:next w:val="Normal"/>
    <w:uiPriority w:val="39"/>
    <w:unhideWhenUsed/>
    <w:qFormat/>
    <w:rsid w:val="009B2F32"/>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b w:val="0"/>
      <w:bCs w:val="0"/>
      <w:color w:val="2E74B5" w:themeColor="accent1" w:themeShade="BF"/>
      <w:sz w:val="32"/>
      <w:szCs w:val="32"/>
      <w:lang w:val="en-US"/>
    </w:rPr>
  </w:style>
  <w:style w:type="character" w:customStyle="1" w:styleId="normaltextrun">
    <w:name w:val="normaltextrun"/>
    <w:basedOn w:val="DefaultParagraphFont"/>
    <w:rsid w:val="009118B2"/>
  </w:style>
  <w:style w:type="character" w:customStyle="1" w:styleId="IPPParagraphnumberingChar">
    <w:name w:val="IPP Paragraph numbering Char"/>
    <w:basedOn w:val="DefaultParagraphFont"/>
    <w:link w:val="IPPParagraphnumbering"/>
    <w:rsid w:val="009118B2"/>
    <w:rPr>
      <w:rFonts w:ascii="Times New Roman" w:eastAsia="Times" w:hAnsi="Times New Roman" w:cs="Times New Roman"/>
      <w:szCs w:val="24"/>
      <w:lang w:val="en-US"/>
    </w:rPr>
  </w:style>
  <w:style w:type="character" w:styleId="FollowedHyperlink">
    <w:name w:val="FollowedHyperlink"/>
    <w:basedOn w:val="DefaultParagraphFont"/>
    <w:uiPriority w:val="99"/>
    <w:semiHidden/>
    <w:unhideWhenUsed/>
    <w:rsid w:val="00E82825"/>
    <w:rPr>
      <w:color w:val="954F72" w:themeColor="followedHyperlink"/>
      <w:u w:val="single"/>
    </w:rPr>
  </w:style>
  <w:style w:type="character" w:styleId="UnresolvedMention">
    <w:name w:val="Unresolved Mention"/>
    <w:basedOn w:val="DefaultParagraphFont"/>
    <w:uiPriority w:val="99"/>
    <w:semiHidden/>
    <w:unhideWhenUsed/>
    <w:rsid w:val="00AB0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111">
      <w:bodyDiv w:val="1"/>
      <w:marLeft w:val="0"/>
      <w:marRight w:val="0"/>
      <w:marTop w:val="0"/>
      <w:marBottom w:val="0"/>
      <w:divBdr>
        <w:top w:val="none" w:sz="0" w:space="0" w:color="auto"/>
        <w:left w:val="none" w:sz="0" w:space="0" w:color="auto"/>
        <w:bottom w:val="none" w:sz="0" w:space="0" w:color="auto"/>
        <w:right w:val="none" w:sz="0" w:space="0" w:color="auto"/>
      </w:divBdr>
    </w:div>
    <w:div w:id="2171243">
      <w:bodyDiv w:val="1"/>
      <w:marLeft w:val="0"/>
      <w:marRight w:val="0"/>
      <w:marTop w:val="0"/>
      <w:marBottom w:val="0"/>
      <w:divBdr>
        <w:top w:val="none" w:sz="0" w:space="0" w:color="auto"/>
        <w:left w:val="none" w:sz="0" w:space="0" w:color="auto"/>
        <w:bottom w:val="none" w:sz="0" w:space="0" w:color="auto"/>
        <w:right w:val="none" w:sz="0" w:space="0" w:color="auto"/>
      </w:divBdr>
    </w:div>
    <w:div w:id="103499883">
      <w:bodyDiv w:val="1"/>
      <w:marLeft w:val="0"/>
      <w:marRight w:val="0"/>
      <w:marTop w:val="0"/>
      <w:marBottom w:val="0"/>
      <w:divBdr>
        <w:top w:val="none" w:sz="0" w:space="0" w:color="auto"/>
        <w:left w:val="none" w:sz="0" w:space="0" w:color="auto"/>
        <w:bottom w:val="none" w:sz="0" w:space="0" w:color="auto"/>
        <w:right w:val="none" w:sz="0" w:space="0" w:color="auto"/>
      </w:divBdr>
    </w:div>
    <w:div w:id="118841139">
      <w:bodyDiv w:val="1"/>
      <w:marLeft w:val="0"/>
      <w:marRight w:val="0"/>
      <w:marTop w:val="0"/>
      <w:marBottom w:val="0"/>
      <w:divBdr>
        <w:top w:val="none" w:sz="0" w:space="0" w:color="auto"/>
        <w:left w:val="none" w:sz="0" w:space="0" w:color="auto"/>
        <w:bottom w:val="none" w:sz="0" w:space="0" w:color="auto"/>
        <w:right w:val="none" w:sz="0" w:space="0" w:color="auto"/>
      </w:divBdr>
    </w:div>
    <w:div w:id="263928301">
      <w:bodyDiv w:val="1"/>
      <w:marLeft w:val="0"/>
      <w:marRight w:val="0"/>
      <w:marTop w:val="0"/>
      <w:marBottom w:val="0"/>
      <w:divBdr>
        <w:top w:val="none" w:sz="0" w:space="0" w:color="auto"/>
        <w:left w:val="none" w:sz="0" w:space="0" w:color="auto"/>
        <w:bottom w:val="none" w:sz="0" w:space="0" w:color="auto"/>
        <w:right w:val="none" w:sz="0" w:space="0" w:color="auto"/>
      </w:divBdr>
    </w:div>
    <w:div w:id="322709137">
      <w:bodyDiv w:val="1"/>
      <w:marLeft w:val="0"/>
      <w:marRight w:val="0"/>
      <w:marTop w:val="0"/>
      <w:marBottom w:val="0"/>
      <w:divBdr>
        <w:top w:val="none" w:sz="0" w:space="0" w:color="auto"/>
        <w:left w:val="none" w:sz="0" w:space="0" w:color="auto"/>
        <w:bottom w:val="none" w:sz="0" w:space="0" w:color="auto"/>
        <w:right w:val="none" w:sz="0" w:space="0" w:color="auto"/>
      </w:divBdr>
    </w:div>
    <w:div w:id="611284725">
      <w:bodyDiv w:val="1"/>
      <w:marLeft w:val="0"/>
      <w:marRight w:val="0"/>
      <w:marTop w:val="0"/>
      <w:marBottom w:val="0"/>
      <w:divBdr>
        <w:top w:val="none" w:sz="0" w:space="0" w:color="auto"/>
        <w:left w:val="none" w:sz="0" w:space="0" w:color="auto"/>
        <w:bottom w:val="none" w:sz="0" w:space="0" w:color="auto"/>
        <w:right w:val="none" w:sz="0" w:space="0" w:color="auto"/>
      </w:divBdr>
    </w:div>
    <w:div w:id="706225515">
      <w:bodyDiv w:val="1"/>
      <w:marLeft w:val="0"/>
      <w:marRight w:val="0"/>
      <w:marTop w:val="0"/>
      <w:marBottom w:val="0"/>
      <w:divBdr>
        <w:top w:val="none" w:sz="0" w:space="0" w:color="auto"/>
        <w:left w:val="none" w:sz="0" w:space="0" w:color="auto"/>
        <w:bottom w:val="none" w:sz="0" w:space="0" w:color="auto"/>
        <w:right w:val="none" w:sz="0" w:space="0" w:color="auto"/>
      </w:divBdr>
    </w:div>
    <w:div w:id="715278488">
      <w:bodyDiv w:val="1"/>
      <w:marLeft w:val="0"/>
      <w:marRight w:val="0"/>
      <w:marTop w:val="0"/>
      <w:marBottom w:val="0"/>
      <w:divBdr>
        <w:top w:val="none" w:sz="0" w:space="0" w:color="auto"/>
        <w:left w:val="none" w:sz="0" w:space="0" w:color="auto"/>
        <w:bottom w:val="none" w:sz="0" w:space="0" w:color="auto"/>
        <w:right w:val="none" w:sz="0" w:space="0" w:color="auto"/>
      </w:divBdr>
    </w:div>
    <w:div w:id="760295825">
      <w:bodyDiv w:val="1"/>
      <w:marLeft w:val="0"/>
      <w:marRight w:val="0"/>
      <w:marTop w:val="0"/>
      <w:marBottom w:val="0"/>
      <w:divBdr>
        <w:top w:val="none" w:sz="0" w:space="0" w:color="auto"/>
        <w:left w:val="none" w:sz="0" w:space="0" w:color="auto"/>
        <w:bottom w:val="none" w:sz="0" w:space="0" w:color="auto"/>
        <w:right w:val="none" w:sz="0" w:space="0" w:color="auto"/>
      </w:divBdr>
    </w:div>
    <w:div w:id="924454035">
      <w:bodyDiv w:val="1"/>
      <w:marLeft w:val="0"/>
      <w:marRight w:val="0"/>
      <w:marTop w:val="0"/>
      <w:marBottom w:val="0"/>
      <w:divBdr>
        <w:top w:val="none" w:sz="0" w:space="0" w:color="auto"/>
        <w:left w:val="none" w:sz="0" w:space="0" w:color="auto"/>
        <w:bottom w:val="none" w:sz="0" w:space="0" w:color="auto"/>
        <w:right w:val="none" w:sz="0" w:space="0" w:color="auto"/>
      </w:divBdr>
    </w:div>
    <w:div w:id="987630851">
      <w:bodyDiv w:val="1"/>
      <w:marLeft w:val="0"/>
      <w:marRight w:val="0"/>
      <w:marTop w:val="0"/>
      <w:marBottom w:val="0"/>
      <w:divBdr>
        <w:top w:val="none" w:sz="0" w:space="0" w:color="auto"/>
        <w:left w:val="none" w:sz="0" w:space="0" w:color="auto"/>
        <w:bottom w:val="none" w:sz="0" w:space="0" w:color="auto"/>
        <w:right w:val="none" w:sz="0" w:space="0" w:color="auto"/>
      </w:divBdr>
    </w:div>
    <w:div w:id="1015376131">
      <w:bodyDiv w:val="1"/>
      <w:marLeft w:val="0"/>
      <w:marRight w:val="0"/>
      <w:marTop w:val="0"/>
      <w:marBottom w:val="0"/>
      <w:divBdr>
        <w:top w:val="none" w:sz="0" w:space="0" w:color="auto"/>
        <w:left w:val="none" w:sz="0" w:space="0" w:color="auto"/>
        <w:bottom w:val="none" w:sz="0" w:space="0" w:color="auto"/>
        <w:right w:val="none" w:sz="0" w:space="0" w:color="auto"/>
      </w:divBdr>
    </w:div>
    <w:div w:id="1067805245">
      <w:bodyDiv w:val="1"/>
      <w:marLeft w:val="0"/>
      <w:marRight w:val="0"/>
      <w:marTop w:val="0"/>
      <w:marBottom w:val="0"/>
      <w:divBdr>
        <w:top w:val="none" w:sz="0" w:space="0" w:color="auto"/>
        <w:left w:val="none" w:sz="0" w:space="0" w:color="auto"/>
        <w:bottom w:val="none" w:sz="0" w:space="0" w:color="auto"/>
        <w:right w:val="none" w:sz="0" w:space="0" w:color="auto"/>
      </w:divBdr>
    </w:div>
    <w:div w:id="1104232589">
      <w:bodyDiv w:val="1"/>
      <w:marLeft w:val="0"/>
      <w:marRight w:val="0"/>
      <w:marTop w:val="0"/>
      <w:marBottom w:val="0"/>
      <w:divBdr>
        <w:top w:val="none" w:sz="0" w:space="0" w:color="auto"/>
        <w:left w:val="none" w:sz="0" w:space="0" w:color="auto"/>
        <w:bottom w:val="none" w:sz="0" w:space="0" w:color="auto"/>
        <w:right w:val="none" w:sz="0" w:space="0" w:color="auto"/>
      </w:divBdr>
    </w:div>
    <w:div w:id="1172797325">
      <w:bodyDiv w:val="1"/>
      <w:marLeft w:val="0"/>
      <w:marRight w:val="0"/>
      <w:marTop w:val="0"/>
      <w:marBottom w:val="0"/>
      <w:divBdr>
        <w:top w:val="none" w:sz="0" w:space="0" w:color="auto"/>
        <w:left w:val="none" w:sz="0" w:space="0" w:color="auto"/>
        <w:bottom w:val="none" w:sz="0" w:space="0" w:color="auto"/>
        <w:right w:val="none" w:sz="0" w:space="0" w:color="auto"/>
      </w:divBdr>
    </w:div>
    <w:div w:id="1239250035">
      <w:bodyDiv w:val="1"/>
      <w:marLeft w:val="0"/>
      <w:marRight w:val="0"/>
      <w:marTop w:val="0"/>
      <w:marBottom w:val="0"/>
      <w:divBdr>
        <w:top w:val="none" w:sz="0" w:space="0" w:color="auto"/>
        <w:left w:val="none" w:sz="0" w:space="0" w:color="auto"/>
        <w:bottom w:val="none" w:sz="0" w:space="0" w:color="auto"/>
        <w:right w:val="none" w:sz="0" w:space="0" w:color="auto"/>
      </w:divBdr>
    </w:div>
    <w:div w:id="1277828618">
      <w:bodyDiv w:val="1"/>
      <w:marLeft w:val="0"/>
      <w:marRight w:val="0"/>
      <w:marTop w:val="0"/>
      <w:marBottom w:val="0"/>
      <w:divBdr>
        <w:top w:val="none" w:sz="0" w:space="0" w:color="auto"/>
        <w:left w:val="none" w:sz="0" w:space="0" w:color="auto"/>
        <w:bottom w:val="none" w:sz="0" w:space="0" w:color="auto"/>
        <w:right w:val="none" w:sz="0" w:space="0" w:color="auto"/>
      </w:divBdr>
    </w:div>
    <w:div w:id="1401710063">
      <w:bodyDiv w:val="1"/>
      <w:marLeft w:val="0"/>
      <w:marRight w:val="0"/>
      <w:marTop w:val="0"/>
      <w:marBottom w:val="0"/>
      <w:divBdr>
        <w:top w:val="none" w:sz="0" w:space="0" w:color="auto"/>
        <w:left w:val="none" w:sz="0" w:space="0" w:color="auto"/>
        <w:bottom w:val="none" w:sz="0" w:space="0" w:color="auto"/>
        <w:right w:val="none" w:sz="0" w:space="0" w:color="auto"/>
      </w:divBdr>
    </w:div>
    <w:div w:id="1483542509">
      <w:bodyDiv w:val="1"/>
      <w:marLeft w:val="0"/>
      <w:marRight w:val="0"/>
      <w:marTop w:val="0"/>
      <w:marBottom w:val="0"/>
      <w:divBdr>
        <w:top w:val="none" w:sz="0" w:space="0" w:color="auto"/>
        <w:left w:val="none" w:sz="0" w:space="0" w:color="auto"/>
        <w:bottom w:val="none" w:sz="0" w:space="0" w:color="auto"/>
        <w:right w:val="none" w:sz="0" w:space="0" w:color="auto"/>
      </w:divBdr>
    </w:div>
    <w:div w:id="1514807617">
      <w:bodyDiv w:val="1"/>
      <w:marLeft w:val="0"/>
      <w:marRight w:val="0"/>
      <w:marTop w:val="0"/>
      <w:marBottom w:val="0"/>
      <w:divBdr>
        <w:top w:val="none" w:sz="0" w:space="0" w:color="auto"/>
        <w:left w:val="none" w:sz="0" w:space="0" w:color="auto"/>
        <w:bottom w:val="none" w:sz="0" w:space="0" w:color="auto"/>
        <w:right w:val="none" w:sz="0" w:space="0" w:color="auto"/>
      </w:divBdr>
    </w:div>
    <w:div w:id="1538546914">
      <w:bodyDiv w:val="1"/>
      <w:marLeft w:val="0"/>
      <w:marRight w:val="0"/>
      <w:marTop w:val="0"/>
      <w:marBottom w:val="0"/>
      <w:divBdr>
        <w:top w:val="none" w:sz="0" w:space="0" w:color="auto"/>
        <w:left w:val="none" w:sz="0" w:space="0" w:color="auto"/>
        <w:bottom w:val="none" w:sz="0" w:space="0" w:color="auto"/>
        <w:right w:val="none" w:sz="0" w:space="0" w:color="auto"/>
      </w:divBdr>
    </w:div>
    <w:div w:id="1848909603">
      <w:bodyDiv w:val="1"/>
      <w:marLeft w:val="0"/>
      <w:marRight w:val="0"/>
      <w:marTop w:val="0"/>
      <w:marBottom w:val="0"/>
      <w:divBdr>
        <w:top w:val="none" w:sz="0" w:space="0" w:color="auto"/>
        <w:left w:val="none" w:sz="0" w:space="0" w:color="auto"/>
        <w:bottom w:val="none" w:sz="0" w:space="0" w:color="auto"/>
        <w:right w:val="none" w:sz="0" w:space="0" w:color="auto"/>
      </w:divBdr>
    </w:div>
    <w:div w:id="2010595825">
      <w:bodyDiv w:val="1"/>
      <w:marLeft w:val="0"/>
      <w:marRight w:val="0"/>
      <w:marTop w:val="0"/>
      <w:marBottom w:val="0"/>
      <w:divBdr>
        <w:top w:val="none" w:sz="0" w:space="0" w:color="auto"/>
        <w:left w:val="none" w:sz="0" w:space="0" w:color="auto"/>
        <w:bottom w:val="none" w:sz="0" w:space="0" w:color="auto"/>
        <w:right w:val="none" w:sz="0" w:space="0" w:color="auto"/>
      </w:divBdr>
    </w:div>
    <w:div w:id="209420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07/s42161-019-00267-0" TargetMode="External"/><Relationship Id="rId21" Type="http://schemas.openxmlformats.org/officeDocument/2006/relationships/hyperlink" Target="https://doi.org/10.1007/s10531-016-1185-5" TargetMode="External"/><Relationship Id="rId34" Type="http://schemas.openxmlformats.org/officeDocument/2006/relationships/hyperlink" Target="https://www.ippc.int/publications/622/" TargetMode="External"/><Relationship Id="rId42" Type="http://schemas.openxmlformats.org/officeDocument/2006/relationships/hyperlink" Target="https://doi.org/10.1111/epp.12512" TargetMode="External"/><Relationship Id="rId47" Type="http://schemas.openxmlformats.org/officeDocument/2006/relationships/hyperlink" Target="https://doi.org/10.1007/s12571-015-0521-4" TargetMode="External"/><Relationship Id="rId50" Type="http://schemas.openxmlformats.org/officeDocument/2006/relationships/hyperlink" Target="https://doi.org/10.1111/epp.12472" TargetMode="External"/><Relationship Id="rId55" Type="http://schemas.openxmlformats.org/officeDocument/2006/relationships/hyperlink" Target="https://doi.org/10.3201/eid1603.091576" TargetMode="External"/><Relationship Id="rId63" Type="http://schemas.openxmlformats.org/officeDocument/2006/relationships/footer" Target="foot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doi.org/10.1007/s13313-016-0438-1" TargetMode="External"/><Relationship Id="rId11" Type="http://schemas.openxmlformats.org/officeDocument/2006/relationships/hyperlink" Target="https://www.ippc.int/en/strategic-objectives/ippc-strategic-framework/" TargetMode="External"/><Relationship Id="rId24" Type="http://schemas.openxmlformats.org/officeDocument/2006/relationships/hyperlink" Target="https://doi.org/10.1016/j.virusres.2021.198407" TargetMode="External"/><Relationship Id="rId32" Type="http://schemas.openxmlformats.org/officeDocument/2006/relationships/hyperlink" Target="https://www.ippc.int/publications/600/" TargetMode="External"/><Relationship Id="rId37" Type="http://schemas.openxmlformats.org/officeDocument/2006/relationships/hyperlink" Target="https://doi.org/10.1146/annurev-phyto-080417-045936" TargetMode="External"/><Relationship Id="rId40" Type="http://schemas.openxmlformats.org/officeDocument/2006/relationships/hyperlink" Target="https://doi.org/10.3389/fpls.2023.1120968" TargetMode="External"/><Relationship Id="rId45" Type="http://schemas.openxmlformats.org/officeDocument/2006/relationships/hyperlink" Target="https://doi.org/10.1146/annurev-phyto-080508-081729" TargetMode="External"/><Relationship Id="rId53" Type="http://schemas.openxmlformats.org/officeDocument/2006/relationships/hyperlink" Target="https://doi.org/10.1089/bsp.2006.4.186" TargetMode="External"/><Relationship Id="rId58" Type="http://schemas.openxmlformats.org/officeDocument/2006/relationships/hyperlink" Target="https://www.npdn.org/newsletter/2023/06/changes_ppq_proficiency_testing_progra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eader" Target="header5.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hyperlink" Target="https://doi.org/10.1094/PHYTO-12-14-0343-R" TargetMode="External"/><Relationship Id="rId27" Type="http://schemas.openxmlformats.org/officeDocument/2006/relationships/hyperlink" Target="https://www.cabi.org" TargetMode="External"/><Relationship Id="rId30" Type="http://schemas.openxmlformats.org/officeDocument/2006/relationships/hyperlink" Target="https://doi.org/10.1007/s12571-016-0557-6" TargetMode="External"/><Relationship Id="rId35" Type="http://schemas.openxmlformats.org/officeDocument/2006/relationships/hyperlink" Target="https://www.ippc.int/publications/593/" TargetMode="External"/><Relationship Id="rId43" Type="http://schemas.openxmlformats.org/officeDocument/2006/relationships/hyperlink" Target="https://doi.org/10.1186/s12985-021-01523-1" TargetMode="External"/><Relationship Id="rId48" Type="http://schemas.openxmlformats.org/officeDocument/2006/relationships/hyperlink" Target="https://www.npdn.org" TargetMode="External"/><Relationship Id="rId56" Type="http://schemas.openxmlformats.org/officeDocument/2006/relationships/hyperlink" Target="https://doi.org/10.1007/s12571-018-0837-3" TargetMode="External"/><Relationship Id="rId64"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hyperlink" Target="https://doi.org/10.1146/annurev-phyto-080614-120207" TargetMode="External"/><Relationship Id="rId3" Type="http://schemas.openxmlformats.org/officeDocument/2006/relationships/customXml" Target="../customXml/item3.xml"/><Relationship Id="rId12" Type="http://schemas.openxmlformats.org/officeDocument/2006/relationships/hyperlink" Target="https://www.ippc.int/en/publications/94598/" TargetMode="External"/><Relationship Id="rId17" Type="http://schemas.openxmlformats.org/officeDocument/2006/relationships/footer" Target="footer2.xml"/><Relationship Id="rId25" Type="http://schemas.openxmlformats.org/officeDocument/2006/relationships/hyperlink" Target="https://doi.org/10.1146/annurev-phyto-102313-045920" TargetMode="External"/><Relationship Id="rId33" Type="http://schemas.openxmlformats.org/officeDocument/2006/relationships/hyperlink" Target="https://www.ippc.int/publications/602/" TargetMode="External"/><Relationship Id="rId38" Type="http://schemas.openxmlformats.org/officeDocument/2006/relationships/hyperlink" Target="https://doi.org/10.1111/irv.12565" TargetMode="External"/><Relationship Id="rId46" Type="http://schemas.openxmlformats.org/officeDocument/2006/relationships/hyperlink" Target="https://doi.org/10.1016/j.cropro.2021.105757" TargetMode="External"/><Relationship Id="rId59" Type="http://schemas.openxmlformats.org/officeDocument/2006/relationships/hyperlink" Target="https://doi.org/10.3389/fpls.2023.1120968" TargetMode="External"/><Relationship Id="rId67" Type="http://schemas.openxmlformats.org/officeDocument/2006/relationships/theme" Target="theme/theme1.xml"/><Relationship Id="rId20" Type="http://schemas.openxmlformats.org/officeDocument/2006/relationships/hyperlink" Target="https://doi.org/10.1186/s42483-023-00199-5" TargetMode="External"/><Relationship Id="rId41" Type="http://schemas.openxmlformats.org/officeDocument/2006/relationships/hyperlink" Target="https://www.pbcrc.com.au/research/project/1033" TargetMode="External"/><Relationship Id="rId54" Type="http://schemas.openxmlformats.org/officeDocument/2006/relationships/hyperlink" Target="https://doi.org/10.1093/biosci/biu152" TargetMode="External"/><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doi.org/10.1094/PHP-RV-13-0122" TargetMode="External"/><Relationship Id="rId28" Type="http://schemas.openxmlformats.org/officeDocument/2006/relationships/hyperlink" Target="https://www.cabi.org/plantwiseplus" TargetMode="External"/><Relationship Id="rId36" Type="http://schemas.openxmlformats.org/officeDocument/2006/relationships/hyperlink" Target="https://doi.org/10.1590/S0100-204X2016000400002" TargetMode="External"/><Relationship Id="rId49" Type="http://schemas.openxmlformats.org/officeDocument/2006/relationships/hyperlink" Target="https://doi.org/10.17660/ActaHortic.2020.1286.67" TargetMode="External"/><Relationship Id="rId57" Type="http://schemas.openxmlformats.org/officeDocument/2006/relationships/hyperlink" Target="https://www.nifa.usda.gov" TargetMode="External"/><Relationship Id="rId10" Type="http://schemas.openxmlformats.org/officeDocument/2006/relationships/endnotes" Target="endnotes.xml"/><Relationship Id="rId31" Type="http://schemas.openxmlformats.org/officeDocument/2006/relationships/hyperlink" Target="https://www.eppo.int" TargetMode="External"/><Relationship Id="rId44" Type="http://schemas.openxmlformats.org/officeDocument/2006/relationships/hyperlink" Target="https://doi.org/10.1146/annurev-phyto-080508-081729" TargetMode="External"/><Relationship Id="rId52" Type="http://schemas.openxmlformats.org/officeDocument/2006/relationships/hyperlink" Target="https://doi.org/10.1094/PD-90-0128" TargetMode="External"/><Relationship Id="rId60" Type="http://schemas.openxmlformats.org/officeDocument/2006/relationships/header" Target="header4.xml"/><Relationship Id="rId65"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ippc.int/en/calls/2025-05-call-for-experts-for-the-cpm-focus-group-on-diagnostic-laboratory-networking/" TargetMode="External"/><Relationship Id="rId18" Type="http://schemas.openxmlformats.org/officeDocument/2006/relationships/header" Target="header3.xml"/><Relationship Id="rId39" Type="http://schemas.openxmlformats.org/officeDocument/2006/relationships/hyperlink" Target="https://www.ippc.in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calls/2025-05-call-for-experts-for-the-cpm-focus-group-on-diagnostic-laboratory-networking/" TargetMode="External"/><Relationship Id="rId1" Type="http://schemas.openxmlformats.org/officeDocument/2006/relationships/hyperlink" Target="https://www.ippc.int/en/publications/94598/"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B69643-7714-4C16-A2C4-D8489138D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247EB-A22E-41E2-9717-0F960BF1F61F}">
  <ds:schemaRefs>
    <ds:schemaRef ds:uri="http://schemas.openxmlformats.org/officeDocument/2006/bibliography"/>
  </ds:schemaRefs>
</ds:datastoreItem>
</file>

<file path=customXml/itemProps3.xml><?xml version="1.0" encoding="utf-8"?>
<ds:datastoreItem xmlns:ds="http://schemas.openxmlformats.org/officeDocument/2006/customXml" ds:itemID="{45E1C735-C946-4D80-8934-35A686648724}">
  <ds:schemaRefs>
    <ds:schemaRef ds:uri="http://schemas.microsoft.com/sharepoint/v3/contenttype/forms"/>
  </ds:schemaRefs>
</ds:datastoreItem>
</file>

<file path=customXml/itemProps4.xml><?xml version="1.0" encoding="utf-8"?>
<ds:datastoreItem xmlns:ds="http://schemas.openxmlformats.org/officeDocument/2006/customXml" ds:itemID="{104338CB-7120-4116-B111-55BCBE781594}">
  <ds:schemaRefs>
    <ds:schemaRef ds:uri="a05d7f75-f42e-4288-8809-604fd4d9691f"/>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IPPC_2015-06-04</Template>
  <TotalTime>2</TotalTime>
  <Pages>33</Pages>
  <Words>14856</Words>
  <Characters>84681</Characters>
  <Application>Microsoft Office Word</Application>
  <DocSecurity>0</DocSecurity>
  <Lines>705</Lines>
  <Paragraphs>198</Paragraphs>
  <ScaleCrop>false</ScaleCrop>
  <Company>FAO of the UN</Company>
  <LinksUpToDate>false</LinksUpToDate>
  <CharactersWithSpaces>99339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Cassin, Aoife (NSPD)</cp:lastModifiedBy>
  <cp:revision>57</cp:revision>
  <cp:lastPrinted>2025-10-06T09:51:00Z</cp:lastPrinted>
  <dcterms:created xsi:type="dcterms:W3CDTF">2025-10-03T13:48:00Z</dcterms:created>
  <dcterms:modified xsi:type="dcterms:W3CDTF">2025-10-09T13:28:00Z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