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F2A284" w14:textId="77777777" w:rsidR="00046C47" w:rsidRPr="0010621C" w:rsidRDefault="00046C47" w:rsidP="00046C47">
      <w:pPr>
        <w:pStyle w:val="IPPHeadSection"/>
        <w:jc w:val="center"/>
        <w:rPr>
          <w:smallCaps/>
        </w:rPr>
      </w:pPr>
      <w:bookmarkStart w:id="0" w:name="_Hlk211330487"/>
      <w:r w:rsidRPr="0010621C">
        <w:t>Commission on Phytosanitary Measures</w:t>
      </w:r>
    </w:p>
    <w:p w14:paraId="3251AC6C" w14:textId="77777777" w:rsidR="00046C47" w:rsidRPr="00046C47" w:rsidRDefault="00046C47" w:rsidP="00046C47">
      <w:pPr>
        <w:pStyle w:val="IPPHeadSection"/>
        <w:jc w:val="center"/>
      </w:pPr>
      <w:r w:rsidRPr="00046C47">
        <w:t xml:space="preserve">STRATEGIC PLANNING GROUP </w:t>
      </w:r>
    </w:p>
    <w:p w14:paraId="084D4386" w14:textId="49AFC41A" w:rsidR="005B477F" w:rsidRPr="00046C47" w:rsidRDefault="00AC2902" w:rsidP="00046C47">
      <w:pPr>
        <w:pStyle w:val="IPPHeadSection"/>
        <w:jc w:val="center"/>
      </w:pPr>
      <w:r w:rsidRPr="00046C47">
        <w:t xml:space="preserve">An in-flight </w:t>
      </w:r>
      <w:r w:rsidR="00A619CE" w:rsidRPr="00046C47">
        <w:t>adjustment</w:t>
      </w:r>
      <w:r w:rsidRPr="00046C47">
        <w:t xml:space="preserve"> to s</w:t>
      </w:r>
      <w:r w:rsidR="008575C0" w:rsidRPr="00046C47">
        <w:t xml:space="preserve">ustain the impact of </w:t>
      </w:r>
      <w:r w:rsidRPr="00046C47">
        <w:t xml:space="preserve">the </w:t>
      </w:r>
      <w:r w:rsidR="00ED12C8" w:rsidRPr="00046C47">
        <w:t xml:space="preserve">Africa Phytosanitary </w:t>
      </w:r>
      <w:proofErr w:type="spellStart"/>
      <w:r w:rsidR="00ED12C8" w:rsidRPr="00046C47">
        <w:t>Programme</w:t>
      </w:r>
      <w:proofErr w:type="spellEnd"/>
      <w:r w:rsidRPr="00046C47">
        <w:t xml:space="preserve"> (APP)</w:t>
      </w:r>
    </w:p>
    <w:bookmarkEnd w:id="0"/>
    <w:p w14:paraId="64A375B6" w14:textId="77777777" w:rsidR="008575C0" w:rsidRPr="00D509C7" w:rsidRDefault="008575C0" w:rsidP="00CA2F0A">
      <w:pPr>
        <w:rPr>
          <w:lang w:val="en-US"/>
        </w:rPr>
      </w:pPr>
    </w:p>
    <w:p w14:paraId="2EE7594E" w14:textId="2ADA701B" w:rsidR="00E84049" w:rsidRDefault="00046C47" w:rsidP="00046C47">
      <w:pPr>
        <w:jc w:val="center"/>
        <w:rPr>
          <w:color w:val="000000"/>
        </w:rPr>
      </w:pPr>
      <w:r>
        <w:rPr>
          <w:lang w:val="en-US"/>
        </w:rPr>
        <w:t>(</w:t>
      </w:r>
      <w:r w:rsidRPr="00046C47">
        <w:rPr>
          <w:i/>
          <w:iCs/>
          <w:lang w:val="en-US"/>
        </w:rPr>
        <w:t xml:space="preserve">Submitted by: </w:t>
      </w:r>
      <w:r w:rsidR="00E84049" w:rsidRPr="00046C47">
        <w:rPr>
          <w:i/>
          <w:iCs/>
          <w:lang w:val="en-US"/>
        </w:rPr>
        <w:t>Saliou Niassy, Luiza Munyua and Sandrine Bayendi Loudit</w:t>
      </w:r>
      <w:r w:rsidRPr="00046C47">
        <w:rPr>
          <w:i/>
          <w:iCs/>
          <w:lang w:val="en-US"/>
        </w:rPr>
        <w:t xml:space="preserve">, </w:t>
      </w:r>
      <w:r w:rsidR="00E84049" w:rsidRPr="00046C47">
        <w:rPr>
          <w:i/>
          <w:iCs/>
          <w:color w:val="000000"/>
        </w:rPr>
        <w:t>African Union Inter-African Phytosanitary Council (AU-IAPSC</w:t>
      </w:r>
      <w:r w:rsidRPr="00046C47">
        <w:rPr>
          <w:i/>
          <w:iCs/>
          <w:color w:val="000000"/>
        </w:rPr>
        <w:t>)</w:t>
      </w:r>
      <w:r>
        <w:rPr>
          <w:color w:val="000000"/>
        </w:rPr>
        <w:t>)</w:t>
      </w:r>
    </w:p>
    <w:p w14:paraId="6AF3ED10" w14:textId="77777777" w:rsidR="00046C47" w:rsidRDefault="00046C47" w:rsidP="00CA2F0A">
      <w:pPr>
        <w:rPr>
          <w:lang w:val="en-US"/>
        </w:rPr>
      </w:pPr>
    </w:p>
    <w:p w14:paraId="209858EE" w14:textId="4C1DA419" w:rsidR="008575C0" w:rsidRPr="00D509C7" w:rsidRDefault="008575C0" w:rsidP="00046C47">
      <w:pPr>
        <w:pStyle w:val="IPPHeading1"/>
        <w:rPr>
          <w:lang w:val="en-US"/>
        </w:rPr>
      </w:pPr>
      <w:r w:rsidRPr="00D509C7">
        <w:rPr>
          <w:lang w:val="en-US"/>
        </w:rPr>
        <w:t>Summary</w:t>
      </w:r>
    </w:p>
    <w:p w14:paraId="4053B93D" w14:textId="5DC3357A" w:rsidR="006E4F2B" w:rsidRDefault="006E4F2B" w:rsidP="00046C47">
      <w:pPr>
        <w:pStyle w:val="IPPParagraphnumbering"/>
      </w:pPr>
      <w:r>
        <w:t xml:space="preserve">The African Phytosanitary </w:t>
      </w:r>
      <w:proofErr w:type="spellStart"/>
      <w:r>
        <w:t>Programme</w:t>
      </w:r>
      <w:proofErr w:type="spellEnd"/>
      <w:r>
        <w:t xml:space="preserve"> (APP) is a continental initiative designed to enhance plant health systems across African nations. Its primary objective is to enhance the prevention, detection, and management of plant pests and diseases, thereby safeguarding agriculture, food security, biodiversity, and </w:t>
      </w:r>
      <w:proofErr w:type="gramStart"/>
      <w:r>
        <w:t>trade—in</w:t>
      </w:r>
      <w:proofErr w:type="gramEnd"/>
      <w:r>
        <w:t xml:space="preserve"> essence, preserving livelihoods.</w:t>
      </w:r>
    </w:p>
    <w:p w14:paraId="32E2136D" w14:textId="752B5FA0" w:rsidR="006E4F2B" w:rsidRDefault="008902D6" w:rsidP="00046C47">
      <w:pPr>
        <w:pStyle w:val="IPPParagraphnumbering"/>
      </w:pPr>
      <w:r>
        <w:t xml:space="preserve">The program commenced with an initial phase that encompassed 11 countries, followed by the inclusion of 9 more countries in its second phase. Despite encountering challenges in consistently </w:t>
      </w:r>
      <w:proofErr w:type="spellStart"/>
      <w:r>
        <w:t>mobilising</w:t>
      </w:r>
      <w:proofErr w:type="spellEnd"/>
      <w:r>
        <w:t xml:space="preserve"> resources, the APP provided support to countries through training, distribution of tablets, and provision of phytosanitary tools to facilitate monitoring of priority pests on crucial commodities. In its second year of implementation, the </w:t>
      </w:r>
      <w:proofErr w:type="spellStart"/>
      <w:r>
        <w:t>programme</w:t>
      </w:r>
      <w:proofErr w:type="spellEnd"/>
      <w:r>
        <w:t xml:space="preserve"> involved 20 countries with 40 priority pests and on 50 commodities leaving out 34 countries. To achieve a greater impact and deliver its promises</w:t>
      </w:r>
      <w:r w:rsidR="00301C09">
        <w:t xml:space="preserve">, an in-flight correction is </w:t>
      </w:r>
      <w:r>
        <w:t>necessary</w:t>
      </w:r>
      <w:r w:rsidR="00301C09">
        <w:t>.</w:t>
      </w:r>
    </w:p>
    <w:p w14:paraId="3AFABE52" w14:textId="6A92ECE1" w:rsidR="006E4F2B" w:rsidRPr="00D509C7" w:rsidRDefault="008902D6" w:rsidP="00046C47">
      <w:pPr>
        <w:pStyle w:val="IPPParagraphnumbering"/>
      </w:pPr>
      <w:r>
        <w:t>As the</w:t>
      </w:r>
      <w:r w:rsidR="00935262">
        <w:t xml:space="preserve"> designated</w:t>
      </w:r>
      <w:r>
        <w:t xml:space="preserve"> plant health authority for Africa</w:t>
      </w:r>
      <w:r w:rsidR="00935262">
        <w:t>n Member States</w:t>
      </w:r>
      <w:r>
        <w:t xml:space="preserve"> and </w:t>
      </w:r>
      <w:r w:rsidR="00935262">
        <w:t>chair</w:t>
      </w:r>
      <w:r>
        <w:t xml:space="preserve"> of the </w:t>
      </w:r>
      <w:proofErr w:type="spellStart"/>
      <w:r>
        <w:t>programme</w:t>
      </w:r>
      <w:proofErr w:type="spellEnd"/>
      <w:r>
        <w:t xml:space="preserve"> coordination, AU-IAPSC proposes a series of adjustments aimed at enhancing the impact of </w:t>
      </w:r>
      <w:r w:rsidR="00935262">
        <w:t>APP Africa.</w:t>
      </w:r>
    </w:p>
    <w:p w14:paraId="24B136A6" w14:textId="5AAB54A1" w:rsidR="008575C0" w:rsidRPr="00046C47" w:rsidRDefault="008575C0" w:rsidP="00046C47">
      <w:pPr>
        <w:pStyle w:val="IPPHeading1"/>
        <w:rPr>
          <w:bCs/>
          <w:lang w:val="en-US"/>
        </w:rPr>
      </w:pPr>
      <w:r w:rsidRPr="00F469ED">
        <w:rPr>
          <w:lang w:val="en-US"/>
        </w:rPr>
        <w:t>Introduction</w:t>
      </w:r>
    </w:p>
    <w:p w14:paraId="062485D0" w14:textId="411B60F1" w:rsidR="00B608F1" w:rsidRPr="00D509C7" w:rsidRDefault="008575C0" w:rsidP="00046C47">
      <w:pPr>
        <w:pStyle w:val="IPPParagraphnumbering"/>
      </w:pPr>
      <w:r w:rsidRPr="00D509C7">
        <w:t xml:space="preserve">Plant pests continue to </w:t>
      </w:r>
      <w:r w:rsidR="00501BBC" w:rsidRPr="00D509C7">
        <w:t>impact</w:t>
      </w:r>
      <w:r w:rsidRPr="00D509C7">
        <w:t xml:space="preserve"> Africa’s agricultural productivity and trade</w:t>
      </w:r>
      <w:r w:rsidR="00501BBC" w:rsidRPr="00D509C7">
        <w:t xml:space="preserve"> negatively</w:t>
      </w:r>
      <w:r w:rsidRPr="00D509C7">
        <w:t xml:space="preserve">. Over the past two decades, the continent has witnessed </w:t>
      </w:r>
      <w:r w:rsidR="00501BBC" w:rsidRPr="00D509C7">
        <w:t xml:space="preserve">a </w:t>
      </w:r>
      <w:r w:rsidRPr="00D509C7">
        <w:t>series of invasions of several pests that have threatened food security and the livelihood of millions of farmers</w:t>
      </w:r>
      <w:r w:rsidR="00501BBC" w:rsidRPr="00D509C7">
        <w:t>,</w:t>
      </w:r>
      <w:r w:rsidRPr="00D509C7">
        <w:t xml:space="preserve"> </w:t>
      </w:r>
      <w:r w:rsidR="00501BBC" w:rsidRPr="00D509C7">
        <w:t>resulting in</w:t>
      </w:r>
      <w:r w:rsidRPr="00D509C7">
        <w:t xml:space="preserve"> </w:t>
      </w:r>
      <w:r w:rsidR="00501BBC" w:rsidRPr="00D509C7">
        <w:t>huge economic losses through foreign exchange earnings. Some of the remarkable pests include the Asian fruit fly</w:t>
      </w:r>
      <w:r w:rsidR="00574C47">
        <w:t xml:space="preserve"> </w:t>
      </w:r>
      <w:proofErr w:type="spellStart"/>
      <w:r w:rsidR="00574C47" w:rsidRPr="00574C47">
        <w:rPr>
          <w:i/>
          <w:iCs/>
        </w:rPr>
        <w:t>Bactrocera</w:t>
      </w:r>
      <w:proofErr w:type="spellEnd"/>
      <w:r w:rsidR="00574C47" w:rsidRPr="00574C47">
        <w:rPr>
          <w:i/>
          <w:iCs/>
        </w:rPr>
        <w:t xml:space="preserve"> dorsalis</w:t>
      </w:r>
      <w:r w:rsidR="00501BBC" w:rsidRPr="00D509C7">
        <w:t xml:space="preserve">, the Mediterranean </w:t>
      </w:r>
      <w:proofErr w:type="spellStart"/>
      <w:r w:rsidR="00501BBC" w:rsidRPr="00D509C7">
        <w:t>leafminer</w:t>
      </w:r>
      <w:proofErr w:type="spellEnd"/>
      <w:r w:rsidR="00935262">
        <w:t xml:space="preserve"> </w:t>
      </w:r>
      <w:proofErr w:type="spellStart"/>
      <w:r w:rsidR="00935262" w:rsidRPr="00935262">
        <w:rPr>
          <w:i/>
          <w:iCs/>
        </w:rPr>
        <w:t>Phthorimaea</w:t>
      </w:r>
      <w:proofErr w:type="spellEnd"/>
      <w:r w:rsidR="00935262" w:rsidRPr="00935262">
        <w:rPr>
          <w:i/>
          <w:iCs/>
        </w:rPr>
        <w:t xml:space="preserve"> </w:t>
      </w:r>
      <w:proofErr w:type="spellStart"/>
      <w:r w:rsidR="00935262" w:rsidRPr="00935262">
        <w:rPr>
          <w:i/>
          <w:iCs/>
        </w:rPr>
        <w:t>absoluta</w:t>
      </w:r>
      <w:proofErr w:type="spellEnd"/>
      <w:r w:rsidR="00935262" w:rsidRPr="00935262">
        <w:t xml:space="preserve"> </w:t>
      </w:r>
      <w:r w:rsidR="00935262">
        <w:t>(</w:t>
      </w:r>
      <w:r w:rsidR="00935262" w:rsidRPr="00833206">
        <w:rPr>
          <w:i/>
          <w:iCs/>
        </w:rPr>
        <w:t xml:space="preserve">Tuta </w:t>
      </w:r>
      <w:proofErr w:type="spellStart"/>
      <w:r w:rsidR="00935262" w:rsidRPr="00833206">
        <w:rPr>
          <w:i/>
          <w:iCs/>
        </w:rPr>
        <w:t>absoluta</w:t>
      </w:r>
      <w:proofErr w:type="spellEnd"/>
      <w:r w:rsidR="00935262">
        <w:t>)</w:t>
      </w:r>
      <w:r w:rsidR="00501BBC" w:rsidRPr="00D509C7">
        <w:t xml:space="preserve">, </w:t>
      </w:r>
      <w:r w:rsidR="00935262" w:rsidRPr="00935262">
        <w:t>the Asian citrus psyllid</w:t>
      </w:r>
      <w:r w:rsidR="00935262" w:rsidRPr="00935262">
        <w:rPr>
          <w:i/>
          <w:iCs/>
        </w:rPr>
        <w:t xml:space="preserve"> </w:t>
      </w:r>
      <w:proofErr w:type="spellStart"/>
      <w:r w:rsidR="00935262" w:rsidRPr="00935262">
        <w:rPr>
          <w:i/>
          <w:iCs/>
        </w:rPr>
        <w:t>Diaphorina</w:t>
      </w:r>
      <w:proofErr w:type="spellEnd"/>
      <w:r w:rsidR="00935262" w:rsidRPr="00935262">
        <w:rPr>
          <w:i/>
          <w:iCs/>
        </w:rPr>
        <w:t xml:space="preserve"> citri</w:t>
      </w:r>
      <w:r w:rsidR="00501BBC" w:rsidRPr="00D509C7">
        <w:t>,</w:t>
      </w:r>
      <w:r w:rsidR="00935262">
        <w:t xml:space="preserve"> </w:t>
      </w:r>
      <w:r w:rsidR="00935262" w:rsidRPr="00D509C7">
        <w:t>the fall armyworm</w:t>
      </w:r>
      <w:r w:rsidR="00501BBC" w:rsidRPr="00D509C7">
        <w:t xml:space="preserve"> </w:t>
      </w:r>
      <w:r w:rsidR="00935262" w:rsidRPr="00935262">
        <w:rPr>
          <w:i/>
          <w:iCs/>
        </w:rPr>
        <w:t xml:space="preserve">Spodoptera </w:t>
      </w:r>
      <w:proofErr w:type="spellStart"/>
      <w:r w:rsidR="00935262" w:rsidRPr="00935262">
        <w:rPr>
          <w:i/>
          <w:iCs/>
        </w:rPr>
        <w:t>frugiperda</w:t>
      </w:r>
      <w:proofErr w:type="spellEnd"/>
      <w:r w:rsidR="00501BBC" w:rsidRPr="00D509C7">
        <w:t xml:space="preserve">, the cotton </w:t>
      </w:r>
      <w:proofErr w:type="spellStart"/>
      <w:r w:rsidR="00501BBC" w:rsidRPr="00D509C7">
        <w:t>jassid</w:t>
      </w:r>
      <w:proofErr w:type="spellEnd"/>
      <w:r w:rsidR="00574C47">
        <w:t xml:space="preserve"> </w:t>
      </w:r>
      <w:proofErr w:type="spellStart"/>
      <w:r w:rsidR="003E1B52" w:rsidRPr="003E1B52">
        <w:rPr>
          <w:i/>
          <w:iCs/>
        </w:rPr>
        <w:t>Amrasca</w:t>
      </w:r>
      <w:proofErr w:type="spellEnd"/>
      <w:r w:rsidR="003E1B52" w:rsidRPr="003E1B52">
        <w:rPr>
          <w:i/>
          <w:iCs/>
        </w:rPr>
        <w:t xml:space="preserve"> </w:t>
      </w:r>
      <w:proofErr w:type="spellStart"/>
      <w:r w:rsidR="003E1B52" w:rsidRPr="003E1B52">
        <w:rPr>
          <w:i/>
          <w:iCs/>
        </w:rPr>
        <w:t>biguttula</w:t>
      </w:r>
      <w:proofErr w:type="spellEnd"/>
      <w:r w:rsidR="003E1B52" w:rsidRPr="003E1B52">
        <w:rPr>
          <w:i/>
          <w:iCs/>
        </w:rPr>
        <w:t xml:space="preserve"> </w:t>
      </w:r>
      <w:proofErr w:type="spellStart"/>
      <w:r w:rsidR="003E1B52" w:rsidRPr="003E1B52">
        <w:rPr>
          <w:i/>
          <w:iCs/>
        </w:rPr>
        <w:t>biguttula</w:t>
      </w:r>
      <w:proofErr w:type="spellEnd"/>
      <w:r w:rsidR="00501BBC" w:rsidRPr="00D509C7">
        <w:t xml:space="preserve">, and Fusarium TR-4, among others. These pests have led to massive losses that have </w:t>
      </w:r>
      <w:r w:rsidR="00574C47">
        <w:t xml:space="preserve">often </w:t>
      </w:r>
      <w:r w:rsidR="00501BBC" w:rsidRPr="00D509C7">
        <w:t xml:space="preserve">led some countries to declare a state of emergency. Meanwhile, certain endemic pests such as </w:t>
      </w:r>
      <w:r w:rsidR="00574C47" w:rsidRPr="00574C47">
        <w:rPr>
          <w:i/>
          <w:iCs/>
        </w:rPr>
        <w:t xml:space="preserve">Achaea </w:t>
      </w:r>
      <w:proofErr w:type="spellStart"/>
      <w:r w:rsidR="00574C47" w:rsidRPr="00574C47">
        <w:rPr>
          <w:i/>
          <w:iCs/>
        </w:rPr>
        <w:t>catocaloides</w:t>
      </w:r>
      <w:proofErr w:type="spellEnd"/>
      <w:r w:rsidR="00501BBC" w:rsidRPr="00D509C7">
        <w:t>, African Armyworm</w:t>
      </w:r>
      <w:r w:rsidR="00574C47">
        <w:t xml:space="preserve"> </w:t>
      </w:r>
      <w:r w:rsidR="00574C47" w:rsidRPr="00574C47">
        <w:rPr>
          <w:i/>
          <w:iCs/>
        </w:rPr>
        <w:t xml:space="preserve">Spodoptera </w:t>
      </w:r>
      <w:proofErr w:type="spellStart"/>
      <w:r w:rsidR="00574C47" w:rsidRPr="00574C47">
        <w:rPr>
          <w:i/>
          <w:iCs/>
        </w:rPr>
        <w:t>exempta</w:t>
      </w:r>
      <w:proofErr w:type="spellEnd"/>
      <w:r w:rsidR="00501BBC" w:rsidRPr="00D509C7">
        <w:t>, Desert Locust</w:t>
      </w:r>
      <w:r w:rsidR="00574C47">
        <w:t xml:space="preserve"> </w:t>
      </w:r>
      <w:r w:rsidR="00574C47" w:rsidRPr="00574C47">
        <w:rPr>
          <w:i/>
          <w:iCs/>
        </w:rPr>
        <w:t>Schistocerca gregaria</w:t>
      </w:r>
      <w:r w:rsidR="00501BBC" w:rsidRPr="00D509C7">
        <w:t xml:space="preserve">, and Banana bunchy Top </w:t>
      </w:r>
      <w:r w:rsidR="00574C47">
        <w:t xml:space="preserve">Virus (BBTV) </w:t>
      </w:r>
      <w:r w:rsidR="00501BBC" w:rsidRPr="00D509C7">
        <w:t>continue to threaten strategic sectors and subsectors</w:t>
      </w:r>
      <w:r w:rsidR="006E4F2B">
        <w:t xml:space="preserve"> such as coffee, cocoa and banana</w:t>
      </w:r>
      <w:r w:rsidR="00501BBC" w:rsidRPr="00D509C7">
        <w:t xml:space="preserve">. It is imperative to equip Africa with a regional phytosanitary </w:t>
      </w:r>
      <w:proofErr w:type="spellStart"/>
      <w:r w:rsidR="00501BBC" w:rsidRPr="00D509C7">
        <w:t>programme</w:t>
      </w:r>
      <w:proofErr w:type="spellEnd"/>
      <w:r w:rsidR="00501BBC" w:rsidRPr="00D509C7">
        <w:t xml:space="preserve"> to support member states with key information and practical solutions to withstand threats and ensure productivity, trade, and market access.</w:t>
      </w:r>
    </w:p>
    <w:p w14:paraId="1F2FE839" w14:textId="564B1899" w:rsidR="00CA2F0A" w:rsidRDefault="00501BBC" w:rsidP="00046C47">
      <w:pPr>
        <w:pStyle w:val="IPPParagraphnumbering"/>
      </w:pPr>
      <w:r w:rsidRPr="00D509C7">
        <w:t xml:space="preserve">It is in this context that the Africa Phytosanitary </w:t>
      </w:r>
      <w:proofErr w:type="spellStart"/>
      <w:r w:rsidRPr="00D509C7">
        <w:t>Programme</w:t>
      </w:r>
      <w:proofErr w:type="spellEnd"/>
      <w:r w:rsidRPr="00D509C7">
        <w:t xml:space="preserve"> </w:t>
      </w:r>
      <w:r w:rsidR="00574C47">
        <w:t>(</w:t>
      </w:r>
      <w:r w:rsidRPr="00D509C7">
        <w:t>APP</w:t>
      </w:r>
      <w:r w:rsidR="00574C47">
        <w:t>)</w:t>
      </w:r>
      <w:r w:rsidRPr="00D509C7">
        <w:t xml:space="preserve"> was born with the leadership of the IPPC. </w:t>
      </w:r>
      <w:r w:rsidR="005F1F02" w:rsidRPr="005F1F02">
        <w:t>APP</w:t>
      </w:r>
      <w:r w:rsidR="00D509C7" w:rsidRPr="005F1F02">
        <w:t xml:space="preserve"> was initiated to enhance </w:t>
      </w:r>
      <w:r w:rsidR="00343E8D" w:rsidRPr="005F1F02">
        <w:t xml:space="preserve">the </w:t>
      </w:r>
      <w:r w:rsidR="00D509C7" w:rsidRPr="005F1F02">
        <w:t xml:space="preserve">resilience of Africa’s plant health systems by empowering officers of national plant protection organizations (NPPOs) and relevant national stakeholders to rapidly </w:t>
      </w:r>
      <w:r w:rsidR="00D509C7" w:rsidRPr="005F1F02">
        <w:lastRenderedPageBreak/>
        <w:t xml:space="preserve">detect, respond to, and recover from outbreaks of plant pests. </w:t>
      </w:r>
      <w:r w:rsidR="00574C47">
        <w:t xml:space="preserve">APP has meticulously crafted a five-year operational plan, meticulously divided into distinct phases. </w:t>
      </w:r>
      <w:r w:rsidR="00D509C7" w:rsidRPr="005F1F02">
        <w:t xml:space="preserve">The intention is to reach all 54 African countries in five years. </w:t>
      </w:r>
    </w:p>
    <w:p w14:paraId="72844CB6" w14:textId="46A189F9" w:rsidR="00CA2F0A" w:rsidRDefault="00CA2F0A" w:rsidP="00046C47">
      <w:pPr>
        <w:pStyle w:val="IPPParagraphnumbering"/>
      </w:pPr>
      <w:r>
        <w:t>The inaugural training workshop for trainers commenced in Cairo, Egypt, in September 2023, followed by a series of national-level training sessions, during which phytosanitary officers received comprehensive training. Subsequently, trainers were entrusted with the responsibility of training their national counterparts.</w:t>
      </w:r>
      <w:r w:rsidRPr="00A619CE">
        <w:t xml:space="preserve"> </w:t>
      </w:r>
      <w:r>
        <w:t xml:space="preserve">As of October 2025, </w:t>
      </w:r>
      <w:r w:rsidR="00574C47">
        <w:t>20</w:t>
      </w:r>
      <w:r>
        <w:t xml:space="preserve"> countries have successfully joined the second phase of APP. A commencement workshop for </w:t>
      </w:r>
      <w:r w:rsidR="00574C47">
        <w:t xml:space="preserve">onboarding </w:t>
      </w:r>
      <w:r>
        <w:t>countries was held in South Africa in June 2025.</w:t>
      </w:r>
    </w:p>
    <w:p w14:paraId="17F48008" w14:textId="4891B231" w:rsidR="00F469ED" w:rsidRPr="00F469ED" w:rsidRDefault="000751D1" w:rsidP="00046C47">
      <w:pPr>
        <w:pStyle w:val="IPPHeading1"/>
        <w:rPr>
          <w:lang w:val="en-US"/>
        </w:rPr>
      </w:pPr>
      <w:r>
        <w:rPr>
          <w:lang w:val="en-US"/>
        </w:rPr>
        <w:t xml:space="preserve">Main </w:t>
      </w:r>
      <w:r w:rsidR="00F469ED" w:rsidRPr="00F469ED">
        <w:rPr>
          <w:lang w:val="en-US"/>
        </w:rPr>
        <w:t>Achievements of APP</w:t>
      </w:r>
    </w:p>
    <w:p w14:paraId="24B1830F" w14:textId="2F026B1D" w:rsidR="00E37A50" w:rsidRDefault="00C86F8E" w:rsidP="00046C47">
      <w:pPr>
        <w:pStyle w:val="IPPParagraphnumbering"/>
      </w:pPr>
      <w:r>
        <w:t xml:space="preserve">Referring to APP report presented at CPM19, </w:t>
      </w:r>
      <w:r w:rsidR="00F469ED">
        <w:t>capacity development, refresher training sessions were conducted in Kenya and Cameroon. The eleven pilot countries have been provided with tablets</w:t>
      </w:r>
      <w:r w:rsidR="00E37A50">
        <w:t xml:space="preserve"> for</w:t>
      </w:r>
      <w:r w:rsidR="00F469ED">
        <w:t xml:space="preserve"> pest monitoring and detection surveys of various pests, including Fusarium TR4, Banana Bunchy Top Virus (BBTV), </w:t>
      </w:r>
      <w:r w:rsidR="00F469ED" w:rsidRPr="00E37A50">
        <w:rPr>
          <w:i/>
          <w:iCs/>
        </w:rPr>
        <w:t>Xylella fastidiosa</w:t>
      </w:r>
      <w:r w:rsidR="00F469ED">
        <w:t>, fruit flies, and false codling moth</w:t>
      </w:r>
      <w:r w:rsidR="00E37A50">
        <w:t xml:space="preserve"> (FCM)</w:t>
      </w:r>
      <w:r w:rsidR="00F469ED">
        <w:t xml:space="preserve">. </w:t>
      </w:r>
    </w:p>
    <w:p w14:paraId="0D301452" w14:textId="77777777" w:rsidR="00E37A50" w:rsidRDefault="00E37A50" w:rsidP="00046C47">
      <w:pPr>
        <w:pStyle w:val="IPPParagraphnumbering"/>
      </w:pPr>
      <w:r>
        <w:t>I</w:t>
      </w:r>
      <w:r w:rsidR="00F469ED">
        <w:t xml:space="preserve">nstructional videos have been developed to facilitate monitoring and </w:t>
      </w:r>
      <w:proofErr w:type="gramStart"/>
      <w:r w:rsidR="00F469ED">
        <w:t>detecting</w:t>
      </w:r>
      <w:proofErr w:type="gramEnd"/>
      <w:r w:rsidR="00F469ED">
        <w:t xml:space="preserve"> fruit flies and citrus greening, as well as to provide guidance on data management and the effective utilisation of tablets. </w:t>
      </w:r>
    </w:p>
    <w:p w14:paraId="19E07E10" w14:textId="66C09258" w:rsidR="00F469ED" w:rsidRDefault="00F469ED" w:rsidP="00046C47">
      <w:pPr>
        <w:pStyle w:val="IPPParagraphnumbering"/>
      </w:pPr>
      <w:r>
        <w:t>The Animal and Plant Health Inspection Service (APHIS) of the United States Department of Agriculture (USDA) develop</w:t>
      </w:r>
      <w:r w:rsidR="00E37A50">
        <w:t>ed</w:t>
      </w:r>
      <w:r>
        <w:t xml:space="preserve"> field survey protocols.</w:t>
      </w:r>
    </w:p>
    <w:p w14:paraId="04FA78AF" w14:textId="0F345871" w:rsidR="00F469ED" w:rsidRDefault="00F469ED" w:rsidP="00046C47">
      <w:pPr>
        <w:pStyle w:val="IPPParagraphnumbering"/>
      </w:pPr>
      <w:r>
        <w:t xml:space="preserve">The secretariat has established a robust governance structure, comprising the two Regional </w:t>
      </w:r>
      <w:r w:rsidR="00877B15">
        <w:t>Plant Protection Organizations</w:t>
      </w:r>
      <w:r>
        <w:t xml:space="preserve"> (RPPOs) AU-IAPSC</w:t>
      </w:r>
      <w:r w:rsidR="00877B15">
        <w:t xml:space="preserve"> </w:t>
      </w:r>
      <w:r>
        <w:t xml:space="preserve">and NEPPO. </w:t>
      </w:r>
      <w:r w:rsidR="00E37A50">
        <w:t>The governance structure includes an</w:t>
      </w:r>
      <w:r>
        <w:t xml:space="preserve"> Operational Coordination Group (OCG), </w:t>
      </w:r>
      <w:r w:rsidR="00E37A50">
        <w:t>a</w:t>
      </w:r>
      <w:r>
        <w:t xml:space="preserve"> Technical Working Group (TWG), and </w:t>
      </w:r>
      <w:r w:rsidR="00E37A50">
        <w:t>a</w:t>
      </w:r>
      <w:r>
        <w:t xml:space="preserve"> Communications Working Group (CWG). </w:t>
      </w:r>
      <w:r w:rsidR="00E37A50">
        <w:t xml:space="preserve">This governance framework ensures </w:t>
      </w:r>
      <w:proofErr w:type="gramStart"/>
      <w:r w:rsidR="00E37A50">
        <w:t>the seamless</w:t>
      </w:r>
      <w:proofErr w:type="gramEnd"/>
      <w:r w:rsidR="00E37A50">
        <w:t xml:space="preserve"> coordination and effective management of APP activities.</w:t>
      </w:r>
    </w:p>
    <w:p w14:paraId="08172F29" w14:textId="77777777" w:rsidR="00CA2F0A" w:rsidRDefault="00CA2F0A" w:rsidP="00CA2F0A">
      <w:pPr>
        <w:keepNext/>
      </w:pPr>
      <w:r>
        <w:rPr>
          <w:noProof/>
          <w:lang w:val="en-US"/>
          <w14:ligatures w14:val="standardContextual"/>
        </w:rPr>
        <w:lastRenderedPageBreak/>
        <w:drawing>
          <wp:inline distT="0" distB="0" distL="0" distR="0" wp14:anchorId="4377C960" wp14:editId="666BC88D">
            <wp:extent cx="5731510" cy="5955030"/>
            <wp:effectExtent l="0" t="0" r="0" b="1270"/>
            <wp:docPr id="826628984" name="Picture 1" descr="A map of africa with different colored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28984" name="Picture 1" descr="A map of africa with different colored areas&#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5731510" cy="5955030"/>
                    </a:xfrm>
                    <a:prstGeom prst="rect">
                      <a:avLst/>
                    </a:prstGeom>
                  </pic:spPr>
                </pic:pic>
              </a:graphicData>
            </a:graphic>
          </wp:inline>
        </w:drawing>
      </w:r>
    </w:p>
    <w:p w14:paraId="3AFDCDDA" w14:textId="2613097A" w:rsidR="00CA2F0A" w:rsidRPr="000751D1" w:rsidRDefault="00CA2F0A" w:rsidP="00046C47">
      <w:pPr>
        <w:pStyle w:val="IPPArial"/>
        <w:rPr>
          <w:i/>
          <w:iCs/>
          <w:lang w:val="en-US"/>
        </w:rPr>
      </w:pPr>
      <w:r w:rsidRPr="00046C47">
        <w:rPr>
          <w:b/>
          <w:bCs/>
        </w:rPr>
        <w:t xml:space="preserve">Figure </w:t>
      </w:r>
      <w:r w:rsidRPr="00046C47">
        <w:rPr>
          <w:b/>
          <w:bCs/>
          <w:i/>
          <w:iCs/>
        </w:rPr>
        <w:fldChar w:fldCharType="begin"/>
      </w:r>
      <w:r w:rsidRPr="00046C47">
        <w:rPr>
          <w:b/>
          <w:bCs/>
        </w:rPr>
        <w:instrText xml:space="preserve"> SEQ Figure \* ARABIC </w:instrText>
      </w:r>
      <w:r w:rsidRPr="00046C47">
        <w:rPr>
          <w:b/>
          <w:bCs/>
          <w:i/>
          <w:iCs/>
        </w:rPr>
        <w:fldChar w:fldCharType="separate"/>
      </w:r>
      <w:r w:rsidR="00686576" w:rsidRPr="00046C47">
        <w:rPr>
          <w:b/>
          <w:bCs/>
          <w:noProof/>
        </w:rPr>
        <w:t>1</w:t>
      </w:r>
      <w:r w:rsidRPr="00046C47">
        <w:rPr>
          <w:b/>
          <w:bCs/>
          <w:i/>
          <w:iCs/>
        </w:rPr>
        <w:fldChar w:fldCharType="end"/>
      </w:r>
      <w:r w:rsidR="00046C47">
        <w:rPr>
          <w:b/>
          <w:bCs/>
          <w:i/>
          <w:iCs/>
        </w:rPr>
        <w:t>.</w:t>
      </w:r>
      <w:r w:rsidRPr="000751D1">
        <w:t xml:space="preserve"> Map of African countries participating in the African Phytosanitary Programme APP Phase 1 and Phase 2</w:t>
      </w:r>
    </w:p>
    <w:p w14:paraId="134E600B" w14:textId="77777777" w:rsidR="00F469ED" w:rsidRDefault="00F469ED" w:rsidP="00CA2F0A">
      <w:pPr>
        <w:rPr>
          <w:lang w:val="en-US"/>
        </w:rPr>
      </w:pPr>
    </w:p>
    <w:p w14:paraId="60AFF7A6" w14:textId="311328F6" w:rsidR="00B608F1" w:rsidRDefault="00D509C7" w:rsidP="00046C47">
      <w:pPr>
        <w:pStyle w:val="IPPParagraphnumbering"/>
      </w:pPr>
      <w:r w:rsidRPr="005F1F02">
        <w:t xml:space="preserve">The </w:t>
      </w:r>
      <w:proofErr w:type="spellStart"/>
      <w:r w:rsidR="00B608F1">
        <w:t>programme</w:t>
      </w:r>
      <w:proofErr w:type="spellEnd"/>
      <w:r w:rsidR="00B608F1">
        <w:t xml:space="preserve"> is designed in such a way that pilot countries would then share their experience with the 35</w:t>
      </w:r>
      <w:r w:rsidRPr="005F1F02">
        <w:t xml:space="preserve"> remaining countries</w:t>
      </w:r>
      <w:r w:rsidR="005F1F02">
        <w:t>.</w:t>
      </w:r>
    </w:p>
    <w:p w14:paraId="1CEA6589" w14:textId="77E2C20B" w:rsidR="00A619CE" w:rsidRDefault="00A619CE" w:rsidP="00046C47">
      <w:pPr>
        <w:pStyle w:val="IPPParagraphnumbering"/>
      </w:pPr>
      <w:r>
        <w:t xml:space="preserve">The TWG comprises representatives from African regional and international plant health and agricultural organisations, including ANSES France, USDA, CABI, CIRAD, the International Centre of Insect Physiology and Ecology (ICIPE), and the International Institute of Tropical Agriculture (IITA). It provides ongoing technical support to the IPPC Secretariat and participating countries, including bridging knowledge gaps to ensure the effective implementation of </w:t>
      </w:r>
      <w:r w:rsidR="00877B15">
        <w:t>the APP tool</w:t>
      </w:r>
      <w:r>
        <w:t>. ESRI is the developer of the geospatial platforms being utilised under the APP.</w:t>
      </w:r>
    </w:p>
    <w:p w14:paraId="32EC7E78" w14:textId="6357E165" w:rsidR="00A619CE" w:rsidRDefault="00A619CE" w:rsidP="00046C47">
      <w:pPr>
        <w:pStyle w:val="IPPParagraphnumbering"/>
      </w:pPr>
      <w:r>
        <w:t>The secretariat team collaborates with the USDA</w:t>
      </w:r>
      <w:r w:rsidR="00877B15">
        <w:t>-</w:t>
      </w:r>
      <w:r>
        <w:t>APHIS and the United Nations International Computing Centre (UNICC) to assist users in accessing the platforms correctly and addressing any technical or device-related concerns.</w:t>
      </w:r>
    </w:p>
    <w:p w14:paraId="7358E54B" w14:textId="4BEA3335" w:rsidR="00A619CE" w:rsidRDefault="00A619CE" w:rsidP="00046C47">
      <w:pPr>
        <w:pStyle w:val="IPPParagraphnumbering"/>
      </w:pPr>
      <w:r>
        <w:t>As of March 2025, 28 survey protocols for the pests listed by the pilot countries</w:t>
      </w:r>
      <w:r w:rsidR="00877B15">
        <w:t xml:space="preserve"> were developed</w:t>
      </w:r>
      <w:r>
        <w:t>. The remaining 18 protocols are currently under review.</w:t>
      </w:r>
    </w:p>
    <w:p w14:paraId="191EE038" w14:textId="508C836F" w:rsidR="00A619CE" w:rsidRDefault="00A619CE" w:rsidP="00046C47">
      <w:pPr>
        <w:pStyle w:val="IPPParagraphnumbering"/>
      </w:pPr>
      <w:r>
        <w:lastRenderedPageBreak/>
        <w:t>Field supplies: The secretariat is working with the FAO’s Procurement Division (CSLP) to source vendors for various field supplies, including bucket insect traps and pheromones. The APP team has reviewed all submitted bids and returned the documents cleared by the Lead Technical Officer to CSLP.</w:t>
      </w:r>
    </w:p>
    <w:p w14:paraId="7DDA0556" w14:textId="300B9CEB" w:rsidR="00A619CE" w:rsidRDefault="00A619CE" w:rsidP="00046C47">
      <w:pPr>
        <w:pStyle w:val="IPPParagraphnumbering"/>
      </w:pPr>
      <w:r>
        <w:t xml:space="preserve">Additionally, the secretariat procures field supplies such as diagnostic kits and other supplies as specified in countries’ operation plans. </w:t>
      </w:r>
    </w:p>
    <w:p w14:paraId="4164814A" w14:textId="45D6C62B" w:rsidR="00A619CE" w:rsidRDefault="00A619CE" w:rsidP="00046C47">
      <w:pPr>
        <w:pStyle w:val="IPPParagraphnumbering"/>
      </w:pPr>
      <w:r>
        <w:t>In terms of communication and visibility, the application has been creating awareness about the application and the work being done in countries to promote active pest surveillance. Several media and popular articles about the application’s activities have been published by implementing countries.</w:t>
      </w:r>
    </w:p>
    <w:p w14:paraId="5E492437" w14:textId="5B7D472C" w:rsidR="00A619CE" w:rsidRDefault="00A619CE" w:rsidP="00046C47">
      <w:pPr>
        <w:pStyle w:val="IPPParagraphnumbering"/>
      </w:pPr>
      <w:r>
        <w:t>There is an active WhatsApp group and a microsite that contains the application’s brochure, which is linked to the IPPC website.</w:t>
      </w:r>
    </w:p>
    <w:p w14:paraId="783DB211" w14:textId="16889D0F" w:rsidR="00A619CE" w:rsidRDefault="00A619CE" w:rsidP="00046C47">
      <w:pPr>
        <w:pStyle w:val="IPPParagraphnumbering"/>
      </w:pPr>
      <w:r>
        <w:t xml:space="preserve">Lobbying and advocacy activities have been conducted in Cameroon, the Democratic Republic of Congo, Egypt, Guinea-Bissau, Kenya, Mali, Sierra Leone, Zambia, Zimbabwe, and </w:t>
      </w:r>
      <w:r w:rsidR="00CA2F0A">
        <w:t xml:space="preserve">with </w:t>
      </w:r>
      <w:r>
        <w:t xml:space="preserve">representatives of ministers in Morocco and Uganda to discuss the application with the political and technical leadership of the ministries responsible for the work of NPPOs. </w:t>
      </w:r>
    </w:p>
    <w:p w14:paraId="6D154B43" w14:textId="286239D4" w:rsidR="00510711" w:rsidRPr="00F469ED" w:rsidRDefault="00510711" w:rsidP="00046C47">
      <w:pPr>
        <w:pStyle w:val="IPPHeading1"/>
        <w:rPr>
          <w:lang w:val="en-US"/>
        </w:rPr>
      </w:pPr>
      <w:r w:rsidRPr="00F469ED">
        <w:rPr>
          <w:lang w:val="en-US"/>
        </w:rPr>
        <w:t>In-flight adjustments</w:t>
      </w:r>
    </w:p>
    <w:p w14:paraId="7C7C1821" w14:textId="544D1120" w:rsidR="00B608F1" w:rsidRPr="00F469ED" w:rsidRDefault="00B608F1" w:rsidP="00046C47">
      <w:pPr>
        <w:pStyle w:val="IPPHeading2"/>
        <w:rPr>
          <w:lang w:val="en-US"/>
        </w:rPr>
      </w:pPr>
      <w:r w:rsidRPr="00F469ED">
        <w:rPr>
          <w:lang w:val="en-US"/>
        </w:rPr>
        <w:t>Choice of countries</w:t>
      </w:r>
    </w:p>
    <w:p w14:paraId="07F7CD15" w14:textId="77777777" w:rsidR="00710D42" w:rsidRDefault="00B608F1" w:rsidP="001808C1">
      <w:pPr>
        <w:pStyle w:val="IPPParagraphnumbering"/>
      </w:pPr>
      <w:r>
        <w:t xml:space="preserve">The selection of countries was based on </w:t>
      </w:r>
      <w:r w:rsidR="00710D42">
        <w:t xml:space="preserve">a random </w:t>
      </w:r>
      <w:r>
        <w:t xml:space="preserve">regional distribution, with two per region, including </w:t>
      </w:r>
      <w:r w:rsidRPr="005F1F02">
        <w:t>Cameroon, the Democratic Republic of Congo, Egypt, Morocco</w:t>
      </w:r>
      <w:r>
        <w:t>,</w:t>
      </w:r>
      <w:r w:rsidRPr="005F1F02">
        <w:t xml:space="preserve"> Guinea</w:t>
      </w:r>
      <w:r>
        <w:t>-</w:t>
      </w:r>
      <w:r w:rsidRPr="005F1F02">
        <w:t>Bissau, Mali, Sierra Leone, Kenya, Uganda, Zambia, and Zimbabwe</w:t>
      </w:r>
      <w:r w:rsidR="00710D42">
        <w:t xml:space="preserve"> in the first phase</w:t>
      </w:r>
      <w:r w:rsidRPr="005F1F02">
        <w:t>. The second phase includes Algeria, Tunisia</w:t>
      </w:r>
      <w:r>
        <w:t xml:space="preserve">, </w:t>
      </w:r>
      <w:r w:rsidRPr="005F1F02">
        <w:t>Liberia, Cape Verde, Chad, Congo, Malawi</w:t>
      </w:r>
      <w:r>
        <w:t xml:space="preserve">, and </w:t>
      </w:r>
      <w:r w:rsidRPr="005F1F02">
        <w:t>South Africa</w:t>
      </w:r>
      <w:r w:rsidR="00E26F52">
        <w:t xml:space="preserve"> (Figure 1)</w:t>
      </w:r>
      <w:r>
        <w:t xml:space="preserve">. </w:t>
      </w:r>
      <w:r w:rsidR="00710D42">
        <w:t xml:space="preserve">Noting that East African countries have been excluded. </w:t>
      </w:r>
    </w:p>
    <w:p w14:paraId="3FB6A6D2" w14:textId="649926A7" w:rsidR="00B608F1" w:rsidRDefault="00710D42" w:rsidP="001808C1">
      <w:pPr>
        <w:pStyle w:val="IPPParagraphnumbering"/>
      </w:pPr>
      <w:r>
        <w:t>The regional distribution approach</w:t>
      </w:r>
      <w:r w:rsidR="00B608F1">
        <w:t xml:space="preserve"> </w:t>
      </w:r>
      <w:r w:rsidR="00CA2F0A">
        <w:t xml:space="preserve">was </w:t>
      </w:r>
      <w:r w:rsidR="00877B15">
        <w:t xml:space="preserve">also </w:t>
      </w:r>
      <w:r w:rsidR="00CA2F0A">
        <w:t xml:space="preserve">based on </w:t>
      </w:r>
      <w:r w:rsidR="00B608F1">
        <w:t xml:space="preserve">political stability and other logistical capacities </w:t>
      </w:r>
      <w:r w:rsidR="00CA2F0A">
        <w:t xml:space="preserve">considerations </w:t>
      </w:r>
      <w:r w:rsidR="00B608F1">
        <w:t xml:space="preserve">such as electricity, internet, and mobile phone penetration. </w:t>
      </w:r>
      <w:r>
        <w:t>Consequently</w:t>
      </w:r>
      <w:r w:rsidR="00B608F1">
        <w:t xml:space="preserve">, </w:t>
      </w:r>
      <w:r w:rsidR="00CA2F0A">
        <w:t xml:space="preserve">policy and </w:t>
      </w:r>
      <w:r w:rsidR="00B608F1">
        <w:t xml:space="preserve">agroecological similarities and other agricultural similarities were not taken into consideration. </w:t>
      </w:r>
      <w:r w:rsidR="007A26BD">
        <w:t>Beyond the phytosanitary challenges</w:t>
      </w:r>
      <w:r w:rsidR="00F775F0">
        <w:t xml:space="preserve"> </w:t>
      </w:r>
      <w:r w:rsidR="00510711">
        <w:t>posed</w:t>
      </w:r>
      <w:r w:rsidR="00F775F0">
        <w:t xml:space="preserve"> </w:t>
      </w:r>
      <w:r w:rsidR="00510711">
        <w:t>by</w:t>
      </w:r>
      <w:r w:rsidR="00F775F0">
        <w:t xml:space="preserve"> pests and priority commodities</w:t>
      </w:r>
      <w:r w:rsidR="007A26BD">
        <w:t xml:space="preserve">, countries have </w:t>
      </w:r>
      <w:r w:rsidR="00510711">
        <w:t>varying</w:t>
      </w:r>
      <w:r w:rsidR="007A26BD">
        <w:t xml:space="preserve"> predispositions</w:t>
      </w:r>
      <w:r w:rsidR="00F775F0">
        <w:t xml:space="preserve"> in terms of size, agricultural strategies, priorities, phytosanitary capacity, and trade policies. A needs assessment, encompassing personnel, equipment, and financial resources, should be integrated. There is also a need to conduct a thorough phytosanitary profiling and cluster the countries based on commonalities and specificities. These aspects have not been taken into consideration.</w:t>
      </w:r>
      <w:r w:rsidR="007A26BD">
        <w:t xml:space="preserve"> </w:t>
      </w:r>
      <w:r>
        <w:t>Such analysis</w:t>
      </w:r>
      <w:r w:rsidR="00B608F1">
        <w:t xml:space="preserve"> is needed to provide differential support</w:t>
      </w:r>
      <w:r w:rsidR="00F775F0">
        <w:t>,</w:t>
      </w:r>
      <w:r w:rsidR="00B608F1">
        <w:t xml:space="preserve"> </w:t>
      </w:r>
      <w:r w:rsidR="00F775F0">
        <w:t>ensuring</w:t>
      </w:r>
      <w:r w:rsidR="00B608F1">
        <w:t xml:space="preserve"> that all countries are on </w:t>
      </w:r>
      <w:r w:rsidR="00F775F0">
        <w:t>an</w:t>
      </w:r>
      <w:r w:rsidR="00B608F1">
        <w:t xml:space="preserve"> </w:t>
      </w:r>
      <w:r w:rsidR="00F775F0">
        <w:t>equal</w:t>
      </w:r>
      <w:r w:rsidR="00B608F1">
        <w:t xml:space="preserve"> footing</w:t>
      </w:r>
      <w:r w:rsidR="00F775F0">
        <w:t xml:space="preserve"> and benefit from this </w:t>
      </w:r>
      <w:proofErr w:type="spellStart"/>
      <w:r w:rsidR="00F775F0">
        <w:t>programme</w:t>
      </w:r>
      <w:proofErr w:type="spellEnd"/>
      <w:r w:rsidR="00B608F1">
        <w:t>.</w:t>
      </w:r>
    </w:p>
    <w:p w14:paraId="5CA87F21" w14:textId="51C250B5" w:rsidR="00B608F1" w:rsidRPr="00F469ED" w:rsidRDefault="00CA2F0A" w:rsidP="001808C1">
      <w:pPr>
        <w:pStyle w:val="IPPHeading2"/>
        <w:rPr>
          <w:lang w:val="en-US"/>
        </w:rPr>
      </w:pPr>
      <w:r w:rsidRPr="00F469ED">
        <w:rPr>
          <w:lang w:val="en-US"/>
        </w:rPr>
        <w:t>The</w:t>
      </w:r>
      <w:r w:rsidR="00B608F1" w:rsidRPr="00F469ED">
        <w:rPr>
          <w:lang w:val="en-US"/>
        </w:rPr>
        <w:t xml:space="preserve"> pest</w:t>
      </w:r>
      <w:r w:rsidRPr="00F469ED">
        <w:rPr>
          <w:lang w:val="en-US"/>
        </w:rPr>
        <w:t xml:space="preserve"> list</w:t>
      </w:r>
    </w:p>
    <w:p w14:paraId="06F546B8" w14:textId="2ECF29AB" w:rsidR="00E26F52" w:rsidRPr="00710D42" w:rsidRDefault="00B608F1" w:rsidP="001808C1">
      <w:pPr>
        <w:pStyle w:val="IPPParagraphnumbering"/>
      </w:pPr>
      <w:r w:rsidRPr="00710D42">
        <w:t xml:space="preserve">Over </w:t>
      </w:r>
      <w:r w:rsidR="00F775F0" w:rsidRPr="00710D42">
        <w:t xml:space="preserve">40 priority </w:t>
      </w:r>
      <w:proofErr w:type="gramStart"/>
      <w:r w:rsidR="00F775F0" w:rsidRPr="00710D42">
        <w:t>pests</w:t>
      </w:r>
      <w:proofErr w:type="gramEnd"/>
      <w:r w:rsidR="00F775F0" w:rsidRPr="00710D42">
        <w:t xml:space="preserve"> have been listed by the 20 pilot countries. An analysis of these pests indicate</w:t>
      </w:r>
      <w:r w:rsidR="00511FA7" w:rsidRPr="00710D42">
        <w:t>s</w:t>
      </w:r>
      <w:r w:rsidR="00F775F0" w:rsidRPr="00710D42">
        <w:t xml:space="preserve"> that </w:t>
      </w:r>
      <w:r w:rsidRPr="00710D42">
        <w:t xml:space="preserve">fruit </w:t>
      </w:r>
      <w:proofErr w:type="gramStart"/>
      <w:r w:rsidRPr="00710D42">
        <w:t>flies</w:t>
      </w:r>
      <w:proofErr w:type="gramEnd"/>
      <w:r w:rsidR="00F775F0" w:rsidRPr="00710D42">
        <w:t xml:space="preserve"> </w:t>
      </w:r>
      <w:r w:rsidR="0002525E" w:rsidRPr="00710D42">
        <w:t>problem is raised by 1</w:t>
      </w:r>
      <w:r w:rsidR="00E26F52" w:rsidRPr="00710D42">
        <w:t>4</w:t>
      </w:r>
      <w:r w:rsidR="0002525E" w:rsidRPr="00710D42">
        <w:t xml:space="preserve"> countries, followed by the fall armyworm </w:t>
      </w:r>
      <w:r w:rsidR="00F775F0" w:rsidRPr="00710D42">
        <w:t>(1</w:t>
      </w:r>
      <w:r w:rsidR="0002525E" w:rsidRPr="00710D42">
        <w:t>1</w:t>
      </w:r>
      <w:r w:rsidR="00F775F0" w:rsidRPr="00710D42">
        <w:t xml:space="preserve"> countries)</w:t>
      </w:r>
      <w:r w:rsidRPr="00710D42">
        <w:t xml:space="preserve">, </w:t>
      </w:r>
      <w:r w:rsidRPr="00710D42">
        <w:rPr>
          <w:i/>
          <w:iCs/>
        </w:rPr>
        <w:t>Xylella fastidiosa</w:t>
      </w:r>
      <w:r w:rsidR="00F775F0" w:rsidRPr="00710D42">
        <w:t xml:space="preserve"> (8 countries)</w:t>
      </w:r>
      <w:r w:rsidRPr="00710D42">
        <w:t xml:space="preserve">, </w:t>
      </w:r>
      <w:r w:rsidR="00511FA7" w:rsidRPr="00710D42">
        <w:t xml:space="preserve">FCM (5 countries), Red Palm Weevil (4 countries), </w:t>
      </w:r>
      <w:r w:rsidR="00E26F52" w:rsidRPr="00710D42">
        <w:t>c</w:t>
      </w:r>
      <w:r w:rsidR="00511FA7" w:rsidRPr="00710D42">
        <w:t xml:space="preserve">itrus greening (4 countries), and </w:t>
      </w:r>
      <w:r w:rsidRPr="00710D42">
        <w:t>BBTV</w:t>
      </w:r>
      <w:r w:rsidR="00511FA7" w:rsidRPr="00710D42">
        <w:t xml:space="preserve"> (4 countries). </w:t>
      </w:r>
    </w:p>
    <w:p w14:paraId="6E9D1E1C" w14:textId="7B20A7B8" w:rsidR="00511FA7" w:rsidRPr="00710D42" w:rsidRDefault="00511FA7" w:rsidP="001808C1">
      <w:pPr>
        <w:pStyle w:val="IPPParagraphnumbering"/>
      </w:pPr>
      <w:r w:rsidRPr="00710D42">
        <w:t xml:space="preserve">The remaining 35 priority pests are specific to some countries or regions. Among these pests, FOC TR4 </w:t>
      </w:r>
      <w:r w:rsidR="00E26F52" w:rsidRPr="00710D42">
        <w:t>and Banana bunchy Top Virus (BBTV) (east and southern Africa), the Asian citrus psyllid</w:t>
      </w:r>
      <w:r w:rsidR="00E26F52" w:rsidRPr="00710D42">
        <w:rPr>
          <w:i/>
          <w:iCs/>
        </w:rPr>
        <w:t xml:space="preserve"> </w:t>
      </w:r>
      <w:proofErr w:type="spellStart"/>
      <w:r w:rsidR="00E26F52" w:rsidRPr="00710D42">
        <w:rPr>
          <w:i/>
          <w:iCs/>
        </w:rPr>
        <w:t>Diaphorina</w:t>
      </w:r>
      <w:proofErr w:type="spellEnd"/>
      <w:r w:rsidR="00E26F52" w:rsidRPr="00710D42">
        <w:rPr>
          <w:i/>
          <w:iCs/>
        </w:rPr>
        <w:t xml:space="preserve"> citri </w:t>
      </w:r>
      <w:r w:rsidR="00E26F52" w:rsidRPr="00710D42">
        <w:t>(Southern Africa)</w:t>
      </w:r>
      <w:r w:rsidRPr="00710D42">
        <w:t xml:space="preserve">, and </w:t>
      </w:r>
      <w:r w:rsidR="00E26F52" w:rsidRPr="00710D42">
        <w:t xml:space="preserve">the cotton </w:t>
      </w:r>
      <w:proofErr w:type="spellStart"/>
      <w:r w:rsidR="00E26F52" w:rsidRPr="00710D42">
        <w:t>jassid</w:t>
      </w:r>
      <w:proofErr w:type="spellEnd"/>
      <w:r w:rsidR="00E26F52" w:rsidRPr="00710D42">
        <w:t xml:space="preserve"> </w:t>
      </w:r>
      <w:proofErr w:type="spellStart"/>
      <w:r w:rsidR="00E26F52" w:rsidRPr="00710D42">
        <w:rPr>
          <w:i/>
          <w:iCs/>
        </w:rPr>
        <w:t>Amrasca</w:t>
      </w:r>
      <w:proofErr w:type="spellEnd"/>
      <w:r w:rsidR="00E26F52" w:rsidRPr="00710D42">
        <w:rPr>
          <w:i/>
          <w:iCs/>
        </w:rPr>
        <w:t xml:space="preserve"> </w:t>
      </w:r>
      <w:proofErr w:type="spellStart"/>
      <w:r w:rsidR="00E26F52" w:rsidRPr="00710D42">
        <w:rPr>
          <w:i/>
          <w:iCs/>
        </w:rPr>
        <w:t>biguttula</w:t>
      </w:r>
      <w:proofErr w:type="spellEnd"/>
      <w:r w:rsidR="00E26F52" w:rsidRPr="00710D42">
        <w:rPr>
          <w:i/>
          <w:iCs/>
        </w:rPr>
        <w:t xml:space="preserve"> </w:t>
      </w:r>
      <w:proofErr w:type="spellStart"/>
      <w:r w:rsidR="00E26F52" w:rsidRPr="00710D42">
        <w:rPr>
          <w:i/>
          <w:iCs/>
        </w:rPr>
        <w:t>biguttula</w:t>
      </w:r>
      <w:proofErr w:type="spellEnd"/>
      <w:r w:rsidR="00E26F52" w:rsidRPr="00710D42">
        <w:rPr>
          <w:i/>
          <w:iCs/>
        </w:rPr>
        <w:t xml:space="preserve"> </w:t>
      </w:r>
      <w:r w:rsidR="00E26F52" w:rsidRPr="00710D42">
        <w:t xml:space="preserve">(West and Central Africa), the Mediterranean </w:t>
      </w:r>
      <w:proofErr w:type="spellStart"/>
      <w:r w:rsidR="00E26F52" w:rsidRPr="00710D42">
        <w:t>leafminer</w:t>
      </w:r>
      <w:proofErr w:type="spellEnd"/>
      <w:r w:rsidR="00E26F52" w:rsidRPr="00710D42">
        <w:t xml:space="preserve"> </w:t>
      </w:r>
      <w:proofErr w:type="spellStart"/>
      <w:r w:rsidR="00E26F52" w:rsidRPr="00710D42">
        <w:rPr>
          <w:i/>
          <w:iCs/>
        </w:rPr>
        <w:t>Phthorimaea</w:t>
      </w:r>
      <w:proofErr w:type="spellEnd"/>
      <w:r w:rsidR="00E26F52" w:rsidRPr="00710D42">
        <w:rPr>
          <w:i/>
          <w:iCs/>
        </w:rPr>
        <w:t xml:space="preserve"> </w:t>
      </w:r>
      <w:proofErr w:type="spellStart"/>
      <w:r w:rsidR="00E26F52" w:rsidRPr="00710D42">
        <w:rPr>
          <w:i/>
          <w:iCs/>
        </w:rPr>
        <w:t>absoluta</w:t>
      </w:r>
      <w:proofErr w:type="spellEnd"/>
      <w:r w:rsidR="00E26F52" w:rsidRPr="00710D42">
        <w:t xml:space="preserve"> (</w:t>
      </w:r>
      <w:r w:rsidR="00E26F52" w:rsidRPr="00710D42">
        <w:rPr>
          <w:i/>
          <w:iCs/>
        </w:rPr>
        <w:t xml:space="preserve">Tuta </w:t>
      </w:r>
      <w:proofErr w:type="spellStart"/>
      <w:r w:rsidR="00E26F52" w:rsidRPr="00710D42">
        <w:rPr>
          <w:i/>
          <w:iCs/>
        </w:rPr>
        <w:t>absoluta</w:t>
      </w:r>
      <w:proofErr w:type="spellEnd"/>
      <w:r w:rsidR="00E26F52" w:rsidRPr="00710D42">
        <w:t xml:space="preserve">), </w:t>
      </w:r>
      <w:r w:rsidR="00E26F52" w:rsidRPr="00710D42">
        <w:rPr>
          <w:i/>
          <w:iCs/>
        </w:rPr>
        <w:t xml:space="preserve">Achaea </w:t>
      </w:r>
      <w:proofErr w:type="spellStart"/>
      <w:r w:rsidR="00E26F52" w:rsidRPr="00710D42">
        <w:rPr>
          <w:i/>
          <w:iCs/>
        </w:rPr>
        <w:t>catocaloides</w:t>
      </w:r>
      <w:proofErr w:type="spellEnd"/>
      <w:r w:rsidR="00E26F52" w:rsidRPr="00710D42">
        <w:rPr>
          <w:i/>
          <w:iCs/>
        </w:rPr>
        <w:t xml:space="preserve"> </w:t>
      </w:r>
      <w:r w:rsidR="00E26F52" w:rsidRPr="00710D42">
        <w:t xml:space="preserve">(West and Central), African Armyworm </w:t>
      </w:r>
      <w:r w:rsidR="00E26F52" w:rsidRPr="00710D42">
        <w:rPr>
          <w:i/>
          <w:iCs/>
        </w:rPr>
        <w:t xml:space="preserve">Spodoptera </w:t>
      </w:r>
      <w:proofErr w:type="spellStart"/>
      <w:r w:rsidR="00E26F52" w:rsidRPr="00710D42">
        <w:rPr>
          <w:i/>
          <w:iCs/>
        </w:rPr>
        <w:t>exempta</w:t>
      </w:r>
      <w:proofErr w:type="spellEnd"/>
      <w:r w:rsidR="00E26F52" w:rsidRPr="00710D42">
        <w:t xml:space="preserve">, Desert Locust </w:t>
      </w:r>
      <w:r w:rsidR="00E26F52" w:rsidRPr="00710D42">
        <w:rPr>
          <w:i/>
          <w:iCs/>
        </w:rPr>
        <w:t>Schistocerca gregaria</w:t>
      </w:r>
      <w:r w:rsidRPr="00710D42">
        <w:t>.</w:t>
      </w:r>
    </w:p>
    <w:p w14:paraId="3269F74D" w14:textId="74C75677" w:rsidR="0002525E" w:rsidRDefault="0002525E" w:rsidP="001808C1">
      <w:pPr>
        <w:pStyle w:val="IPPParagraphnumbering"/>
      </w:pPr>
      <w:proofErr w:type="spellStart"/>
      <w:r w:rsidRPr="00710D42">
        <w:t>Tephritid</w:t>
      </w:r>
      <w:proofErr w:type="spellEnd"/>
      <w:r w:rsidRPr="00710D42">
        <w:t xml:space="preserve"> fruit fly complex (</w:t>
      </w:r>
      <w:proofErr w:type="spellStart"/>
      <w:r w:rsidR="00E26F52" w:rsidRPr="00710D42">
        <w:rPr>
          <w:i/>
          <w:iCs/>
        </w:rPr>
        <w:t>Bactrocera</w:t>
      </w:r>
      <w:proofErr w:type="spellEnd"/>
      <w:r w:rsidR="00E26F52" w:rsidRPr="00710D42">
        <w:rPr>
          <w:i/>
          <w:iCs/>
        </w:rPr>
        <w:t xml:space="preserve"> dorsalis</w:t>
      </w:r>
      <w:r w:rsidRPr="00710D42">
        <w:rPr>
          <w:i/>
          <w:iCs/>
        </w:rPr>
        <w:t xml:space="preserve">, </w:t>
      </w:r>
      <w:proofErr w:type="spellStart"/>
      <w:r w:rsidR="00E26F52" w:rsidRPr="00710D42">
        <w:rPr>
          <w:i/>
          <w:iCs/>
        </w:rPr>
        <w:t>Bactrocera</w:t>
      </w:r>
      <w:proofErr w:type="spellEnd"/>
      <w:r w:rsidR="00E26F52" w:rsidRPr="00710D42">
        <w:rPr>
          <w:i/>
          <w:iCs/>
        </w:rPr>
        <w:t xml:space="preserve"> </w:t>
      </w:r>
      <w:proofErr w:type="spellStart"/>
      <w:r w:rsidR="00E26F52" w:rsidRPr="00710D42">
        <w:rPr>
          <w:i/>
          <w:iCs/>
        </w:rPr>
        <w:t>zonata</w:t>
      </w:r>
      <w:proofErr w:type="spellEnd"/>
      <w:r w:rsidR="00E26F52" w:rsidRPr="00710D42">
        <w:rPr>
          <w:i/>
          <w:iCs/>
        </w:rPr>
        <w:t xml:space="preserve">, </w:t>
      </w:r>
      <w:r w:rsidRPr="00710D42">
        <w:rPr>
          <w:i/>
          <w:iCs/>
        </w:rPr>
        <w:t>Ceratitis</w:t>
      </w:r>
      <w:r w:rsidR="00E26F52" w:rsidRPr="00710D42">
        <w:rPr>
          <w:i/>
          <w:iCs/>
        </w:rPr>
        <w:t xml:space="preserve"> </w:t>
      </w:r>
      <w:proofErr w:type="spellStart"/>
      <w:r w:rsidR="00E26F52" w:rsidRPr="00710D42">
        <w:t>sp</w:t>
      </w:r>
      <w:proofErr w:type="spellEnd"/>
      <w:r w:rsidRPr="00710D42">
        <w:rPr>
          <w:i/>
          <w:iCs/>
        </w:rPr>
        <w:t>, Dacus</w:t>
      </w:r>
      <w:r w:rsidR="00E26F52" w:rsidRPr="00710D42">
        <w:rPr>
          <w:i/>
          <w:iCs/>
        </w:rPr>
        <w:t xml:space="preserve"> </w:t>
      </w:r>
      <w:proofErr w:type="spellStart"/>
      <w:r w:rsidR="00E26F52" w:rsidRPr="00710D42">
        <w:t>sp</w:t>
      </w:r>
      <w:proofErr w:type="spellEnd"/>
      <w:r w:rsidRPr="00710D42">
        <w:rPr>
          <w:i/>
          <w:iCs/>
        </w:rPr>
        <w:t xml:space="preserve">, and </w:t>
      </w:r>
      <w:proofErr w:type="spellStart"/>
      <w:r w:rsidRPr="00710D42">
        <w:rPr>
          <w:i/>
          <w:iCs/>
        </w:rPr>
        <w:t>Zeugodacus</w:t>
      </w:r>
      <w:proofErr w:type="spellEnd"/>
      <w:r w:rsidR="00E26F52" w:rsidRPr="00710D42">
        <w:rPr>
          <w:i/>
          <w:iCs/>
        </w:rPr>
        <w:t xml:space="preserve"> </w:t>
      </w:r>
      <w:proofErr w:type="spellStart"/>
      <w:r w:rsidR="00E26F52" w:rsidRPr="00710D42">
        <w:t>sp</w:t>
      </w:r>
      <w:proofErr w:type="spellEnd"/>
      <w:r w:rsidRPr="00710D42">
        <w:t>) affects a wide range of fruit crops, including mango, guava, avocado,</w:t>
      </w:r>
      <w:r>
        <w:t xml:space="preserve"> citrus, tomatoes, etc. The economic </w:t>
      </w:r>
      <w:r w:rsidR="000A7692">
        <w:t>burden</w:t>
      </w:r>
      <w:r>
        <w:t xml:space="preserve"> of these pests</w:t>
      </w:r>
      <w:r w:rsidR="000A7692">
        <w:t xml:space="preserve"> in Africa</w:t>
      </w:r>
      <w:r>
        <w:t xml:space="preserve"> is </w:t>
      </w:r>
      <w:r w:rsidR="000A7692">
        <w:t>estimated at $2 billion USD</w:t>
      </w:r>
      <w:r>
        <w:t xml:space="preserve">, </w:t>
      </w:r>
      <w:r w:rsidR="000A7692">
        <w:t>resulting in</w:t>
      </w:r>
      <w:r>
        <w:t xml:space="preserve"> </w:t>
      </w:r>
      <w:r w:rsidR="000A7692">
        <w:t>job</w:t>
      </w:r>
      <w:r>
        <w:t xml:space="preserve"> </w:t>
      </w:r>
      <w:r w:rsidR="000A7692">
        <w:t>losse</w:t>
      </w:r>
      <w:r>
        <w:t xml:space="preserve">s and </w:t>
      </w:r>
      <w:r w:rsidR="0035796F">
        <w:t>disruptions</w:t>
      </w:r>
      <w:r w:rsidR="000A7692">
        <w:t xml:space="preserve"> </w:t>
      </w:r>
      <w:r w:rsidR="0035796F">
        <w:t>to livelihood</w:t>
      </w:r>
      <w:r w:rsidR="000A7692">
        <w:t>s</w:t>
      </w:r>
      <w:r>
        <w:t xml:space="preserve">. Chemical control is the most widespread. Several measures have been </w:t>
      </w:r>
      <w:r>
        <w:lastRenderedPageBreak/>
        <w:t xml:space="preserve">developed to monitor, control, and eradicate the disease. However, these measures have not been widely adopted on the continent. </w:t>
      </w:r>
    </w:p>
    <w:p w14:paraId="2EE02B8C" w14:textId="230ECFAE" w:rsidR="00511FA7" w:rsidRDefault="00511FA7" w:rsidP="001808C1">
      <w:pPr>
        <w:pStyle w:val="IPPParagraphnumbering"/>
      </w:pPr>
      <w:r>
        <w:t xml:space="preserve">The fall armyworm is a pest to more than 350 plant species, primarily from the </w:t>
      </w:r>
      <w:proofErr w:type="spellStart"/>
      <w:r>
        <w:t>Poaceae</w:t>
      </w:r>
      <w:proofErr w:type="spellEnd"/>
      <w:r>
        <w:t xml:space="preserve"> family, including maize, millet, sorghum, rice, barley, and wheat. The pest is seasonal </w:t>
      </w:r>
      <w:r w:rsidR="00E57A1F">
        <w:t>and has acquired a global status. Since it arriv</w:t>
      </w:r>
      <w:r w:rsidR="000A7692">
        <w:t>ed</w:t>
      </w:r>
      <w:r w:rsidR="00E57A1F">
        <w:t xml:space="preserve"> in Africa in 2016, intensive management </w:t>
      </w:r>
      <w:proofErr w:type="spellStart"/>
      <w:r w:rsidR="00E57A1F">
        <w:t>programmes</w:t>
      </w:r>
      <w:proofErr w:type="spellEnd"/>
      <w:r w:rsidR="00E57A1F">
        <w:t xml:space="preserve"> have been implemented. Maize, millet, sorghum, and rice play a critical role in the food security and nutrition of many African countries. However, f</w:t>
      </w:r>
      <w:r>
        <w:t>rom a commodity p</w:t>
      </w:r>
      <w:r w:rsidR="00E57A1F">
        <w:t>erspective</w:t>
      </w:r>
      <w:r>
        <w:t xml:space="preserve"> </w:t>
      </w:r>
      <w:r w:rsidR="00E57A1F">
        <w:t>and</w:t>
      </w:r>
      <w:r>
        <w:t xml:space="preserve"> </w:t>
      </w:r>
      <w:r w:rsidR="00E57A1F">
        <w:t>in terms</w:t>
      </w:r>
      <w:r>
        <w:t xml:space="preserve"> </w:t>
      </w:r>
      <w:r w:rsidR="00E57A1F">
        <w:t>of</w:t>
      </w:r>
      <w:r>
        <w:t xml:space="preserve"> foreign export earnings, pests such as </w:t>
      </w:r>
      <w:proofErr w:type="gramStart"/>
      <w:r w:rsidR="00E57A1F">
        <w:t xml:space="preserve">the </w:t>
      </w:r>
      <w:r>
        <w:t>fruit</w:t>
      </w:r>
      <w:proofErr w:type="gramEnd"/>
      <w:r>
        <w:t xml:space="preserve"> fly, FCM, Citrus greening</w:t>
      </w:r>
      <w:r w:rsidR="00E57A1F">
        <w:t>,</w:t>
      </w:r>
      <w:r>
        <w:t xml:space="preserve"> and Xylella fastidiosa could be of greater concern</w:t>
      </w:r>
      <w:r w:rsidR="00E57A1F">
        <w:t>.</w:t>
      </w:r>
    </w:p>
    <w:p w14:paraId="31DB8A1C" w14:textId="4DFC1A89" w:rsidR="00AC2902" w:rsidRPr="00AC2902" w:rsidRDefault="00AC2902" w:rsidP="001808C1">
      <w:pPr>
        <w:pStyle w:val="IPPParagraphnumbering"/>
      </w:pPr>
      <w:r w:rsidRPr="00AC2902">
        <w:rPr>
          <w:i/>
          <w:iCs/>
        </w:rPr>
        <w:t xml:space="preserve">Xylella </w:t>
      </w:r>
      <w:proofErr w:type="spellStart"/>
      <w:r w:rsidRPr="00AC2902">
        <w:rPr>
          <w:i/>
          <w:iCs/>
        </w:rPr>
        <w:t>fastiodiosa</w:t>
      </w:r>
      <w:proofErr w:type="spellEnd"/>
      <w:r>
        <w:t xml:space="preserve"> is a </w:t>
      </w:r>
      <w:r w:rsidRPr="00AC2902">
        <w:t>vector-borne bacterial pathogen. It infects a wide variety of host plants</w:t>
      </w:r>
      <w:r>
        <w:t>,</w:t>
      </w:r>
      <w:r w:rsidRPr="00AC2902">
        <w:t xml:space="preserve"> </w:t>
      </w:r>
      <w:r>
        <w:t>including</w:t>
      </w:r>
      <w:r w:rsidRPr="00AC2902">
        <w:t xml:space="preserve"> citrus, grapes, olives, almonds, stone fruits, forest</w:t>
      </w:r>
      <w:r>
        <w:t>,</w:t>
      </w:r>
      <w:r w:rsidRPr="00AC2902">
        <w:t xml:space="preserve"> and ornamental trees</w:t>
      </w:r>
      <w:r>
        <w:t xml:space="preserve">, </w:t>
      </w:r>
      <w:r w:rsidRPr="00AC2902">
        <w:t xml:space="preserve">by blocking water movement in xylem vessels. </w:t>
      </w:r>
      <w:r>
        <w:t xml:space="preserve">It has a </w:t>
      </w:r>
      <w:r w:rsidRPr="00AC2902">
        <w:t xml:space="preserve">serious economic, ecological, </w:t>
      </w:r>
      <w:r>
        <w:t xml:space="preserve">and </w:t>
      </w:r>
      <w:r w:rsidRPr="00AC2902">
        <w:t xml:space="preserve">social impact. </w:t>
      </w:r>
    </w:p>
    <w:p w14:paraId="58C9391B" w14:textId="7AA95D26" w:rsidR="00AC2902" w:rsidRDefault="00AC2902" w:rsidP="001808C1">
      <w:pPr>
        <w:pStyle w:val="IPPParagraphnumbering"/>
      </w:pPr>
      <w:r>
        <w:t xml:space="preserve">Although there </w:t>
      </w:r>
      <w:r w:rsidRPr="00AC2902">
        <w:t xml:space="preserve">is no confirmed widespread presence of </w:t>
      </w:r>
      <w:r w:rsidRPr="00AC2902">
        <w:rPr>
          <w:i/>
          <w:iCs/>
        </w:rPr>
        <w:t>Xylella fastidiosa</w:t>
      </w:r>
      <w:r w:rsidRPr="00AC2902">
        <w:t xml:space="preserve"> in much of Sub-Saharan Africa</w:t>
      </w:r>
      <w:r>
        <w:t>,</w:t>
      </w:r>
      <w:r w:rsidRPr="00AC2902">
        <w:t xml:space="preserve"> risk assessments indicate that North Africa </w:t>
      </w:r>
      <w:r>
        <w:t>(</w:t>
      </w:r>
      <w:r w:rsidRPr="00AC2902">
        <w:t>e.g.</w:t>
      </w:r>
      <w:r>
        <w:t>,</w:t>
      </w:r>
      <w:r w:rsidRPr="00AC2902">
        <w:t xml:space="preserve"> Morocco, Algeria, Tunisia, Egypt</w:t>
      </w:r>
      <w:r>
        <w:t xml:space="preserve">) </w:t>
      </w:r>
      <w:r w:rsidRPr="00AC2902">
        <w:t>and some eastern regions</w:t>
      </w:r>
      <w:r>
        <w:t xml:space="preserve"> </w:t>
      </w:r>
      <w:r w:rsidRPr="00AC2902">
        <w:t xml:space="preserve">are at risk of introduction, establishment, and spread. </w:t>
      </w:r>
      <w:r>
        <w:t>The presence of this pest may lead to e</w:t>
      </w:r>
      <w:r w:rsidRPr="00AC2902">
        <w:t xml:space="preserve">xport restrictions, quarantine measures, </w:t>
      </w:r>
      <w:r>
        <w:t xml:space="preserve">and </w:t>
      </w:r>
      <w:r w:rsidRPr="00AC2902">
        <w:t>loss of market acces</w:t>
      </w:r>
      <w:r>
        <w:t xml:space="preserve">s. </w:t>
      </w:r>
      <w:r w:rsidRPr="00AC2902">
        <w:t>Infected regions may face bans or stringent phytosanitary r</w:t>
      </w:r>
      <w:r>
        <w:t>egulation</w:t>
      </w:r>
      <w:r w:rsidRPr="00AC2902">
        <w:t xml:space="preserve">s, which </w:t>
      </w:r>
      <w:r>
        <w:t>can harm the</w:t>
      </w:r>
      <w:r w:rsidRPr="00AC2902">
        <w:t xml:space="preserve"> trade of plants, cuttings, fruit, or seedlings. </w:t>
      </w:r>
      <w:r>
        <w:t xml:space="preserve">APP should invest in establishing a </w:t>
      </w:r>
      <w:r w:rsidRPr="00AC2902">
        <w:t>surveillance</w:t>
      </w:r>
      <w:r>
        <w:t xml:space="preserve"> and m</w:t>
      </w:r>
      <w:r w:rsidRPr="00AC2902">
        <w:t>onitoring</w:t>
      </w:r>
      <w:r>
        <w:t xml:space="preserve"> program, as well as</w:t>
      </w:r>
      <w:r w:rsidRPr="00AC2902">
        <w:t xml:space="preserve"> vector control</w:t>
      </w:r>
      <w:r>
        <w:t xml:space="preserve">, by building </w:t>
      </w:r>
      <w:r w:rsidRPr="00AC2902">
        <w:t xml:space="preserve">capacity for detection, containment, and management. </w:t>
      </w:r>
    </w:p>
    <w:p w14:paraId="56C93561" w14:textId="77777777" w:rsidR="00091CE6" w:rsidRDefault="000A7692" w:rsidP="001808C1">
      <w:pPr>
        <w:pStyle w:val="IPPParagraphnumbering"/>
      </w:pPr>
      <w:r w:rsidRPr="000A7692">
        <w:rPr>
          <w:i/>
          <w:iCs/>
        </w:rPr>
        <w:t>Fusarium oxysporum f. sp. cubense</w:t>
      </w:r>
      <w:r w:rsidRPr="000A7692">
        <w:t xml:space="preserve"> (Foc) is a soilborne fungal pathogen that causes Fusarium wilt (aka Panama disease) in bananas (Musa spp.). The Tropical Race 4 (TR4) variant is highly virulent, can infect many banana cultivars (including Cavendish, which is widely used in global trade), and is considered one of the most serious threats to banana production globally. TR4 was first detected in Africa (in northern Mozambique) in 2013. It has also been reported on Mayotte (island) and Comoros (Grande Comore), illustrating its capacity to cross water barriers. TR4 can cause complete yield loss in heavily infested farms, meaning entire plantations may become nonproductive. Losses affect both large commercial producers and smallholder</w:t>
      </w:r>
      <w:r>
        <w:t>/</w:t>
      </w:r>
      <w:r w:rsidRPr="000A7692">
        <w:t>subsistence farmers. Because many bananas in African countries are grown for local consumption, food security is also threatened. The FAO notes that bananas and plantains are critical to the food security and livelihoods of around 400 million people globally.</w:t>
      </w:r>
      <w:r>
        <w:t xml:space="preserve"> Several initiatives, including simulations and training led by the FAO, have been conducted to support countries. Related pests such as BBTV are currently being implemented in more than 10 African countries.</w:t>
      </w:r>
      <w:r w:rsidR="00091CE6">
        <w:t xml:space="preserve"> However, APP should give prominence to this emerging pest, although few countries have mentioned it as a priority.</w:t>
      </w:r>
    </w:p>
    <w:p w14:paraId="608A6201" w14:textId="102423D2" w:rsidR="00091CE6" w:rsidRPr="00091CE6" w:rsidRDefault="00E57A1F" w:rsidP="001808C1">
      <w:pPr>
        <w:pStyle w:val="IPPParagraphnumbering"/>
      </w:pPr>
      <w:r>
        <w:t xml:space="preserve">APP should direct more effort </w:t>
      </w:r>
      <w:r w:rsidR="00705BCD">
        <w:t>to</w:t>
      </w:r>
      <w:r>
        <w:t xml:space="preserve"> other pests</w:t>
      </w:r>
      <w:r w:rsidR="00091CE6">
        <w:t xml:space="preserve">; </w:t>
      </w:r>
      <w:proofErr w:type="spellStart"/>
      <w:r w:rsidR="00091CE6" w:rsidRPr="006F7CA3">
        <w:rPr>
          <w:i/>
          <w:iCs/>
        </w:rPr>
        <w:t>Amrasca</w:t>
      </w:r>
      <w:proofErr w:type="spellEnd"/>
      <w:r w:rsidR="00091CE6" w:rsidRPr="006F7CA3">
        <w:rPr>
          <w:i/>
          <w:iCs/>
        </w:rPr>
        <w:t xml:space="preserve"> </w:t>
      </w:r>
      <w:proofErr w:type="spellStart"/>
      <w:r w:rsidR="00091CE6" w:rsidRPr="006F7CA3">
        <w:rPr>
          <w:i/>
          <w:iCs/>
        </w:rPr>
        <w:t>biguttula</w:t>
      </w:r>
      <w:proofErr w:type="spellEnd"/>
      <w:r w:rsidR="00091CE6" w:rsidRPr="006F7CA3">
        <w:rPr>
          <w:i/>
          <w:iCs/>
        </w:rPr>
        <w:t xml:space="preserve"> </w:t>
      </w:r>
      <w:proofErr w:type="spellStart"/>
      <w:r w:rsidR="00091CE6" w:rsidRPr="006F7CA3">
        <w:rPr>
          <w:i/>
          <w:iCs/>
        </w:rPr>
        <w:t>biguttula</w:t>
      </w:r>
      <w:proofErr w:type="spellEnd"/>
      <w:r w:rsidR="006F7CA3">
        <w:rPr>
          <w:i/>
          <w:iCs/>
        </w:rPr>
        <w:t>,</w:t>
      </w:r>
      <w:r w:rsidR="00091CE6" w:rsidRPr="00091CE6">
        <w:t xml:space="preserve"> also known as the cotton </w:t>
      </w:r>
      <w:proofErr w:type="spellStart"/>
      <w:r w:rsidR="00091CE6" w:rsidRPr="00091CE6">
        <w:t>jassid</w:t>
      </w:r>
      <w:proofErr w:type="spellEnd"/>
      <w:r w:rsidR="00091CE6" w:rsidRPr="00091CE6">
        <w:t xml:space="preserve"> or okra </w:t>
      </w:r>
      <w:proofErr w:type="spellStart"/>
      <w:r w:rsidR="00091CE6" w:rsidRPr="00091CE6">
        <w:t>jassid</w:t>
      </w:r>
      <w:proofErr w:type="spellEnd"/>
      <w:r w:rsidR="006F7CA3">
        <w:t>,</w:t>
      </w:r>
      <w:r w:rsidR="00091CE6" w:rsidRPr="00091CE6">
        <w:t xml:space="preserve"> is a sap-sucking leafhopper (Hemiptera: Cicadellidae). It is polyphagous, feeding on crops such as cotton (Gossypium spp.), okra (Abelmoschus esculentus), eggplant (Solanum melongena), sunflower, hibiscus, and others. The pest can cause yield losses of ~20–40 % in cotton under moderate to heavy infestations. In okra, yield losses of up to 50 % have been reported under heavy pressure.</w:t>
      </w:r>
    </w:p>
    <w:p w14:paraId="7255BD2C" w14:textId="77777777" w:rsidR="00511FA7" w:rsidRDefault="00511FA7" w:rsidP="00CA2F0A">
      <w:pPr>
        <w:rPr>
          <w:lang w:val="en-US"/>
        </w:rPr>
      </w:pPr>
    </w:p>
    <w:p w14:paraId="2BD88E15" w14:textId="6A0ADD7E" w:rsidR="00511FA7" w:rsidRDefault="00511FA7" w:rsidP="00CA2F0A">
      <w:pPr>
        <w:rPr>
          <w:lang w:val="en-US"/>
        </w:rPr>
        <w:sectPr w:rsidR="00511FA7" w:rsidSect="00046C47">
          <w:headerReference w:type="default" r:id="rId12"/>
          <w:footerReference w:type="default" r:id="rId13"/>
          <w:headerReference w:type="first" r:id="rId14"/>
          <w:footerReference w:type="first" r:id="rId15"/>
          <w:pgSz w:w="11906" w:h="16838"/>
          <w:pgMar w:top="1440" w:right="1440" w:bottom="1440" w:left="1440" w:header="708" w:footer="708" w:gutter="0"/>
          <w:cols w:space="708"/>
          <w:titlePg/>
          <w:docGrid w:linePitch="360"/>
        </w:sectPr>
      </w:pPr>
    </w:p>
    <w:p w14:paraId="3D6EDB28" w14:textId="585D40DF" w:rsidR="006371BA" w:rsidRPr="000751D1" w:rsidRDefault="006371BA" w:rsidP="001808C1">
      <w:pPr>
        <w:pStyle w:val="IPPArial"/>
        <w:rPr>
          <w:i/>
          <w:iCs/>
        </w:rPr>
      </w:pPr>
      <w:r w:rsidRPr="001808C1">
        <w:rPr>
          <w:b/>
          <w:bCs/>
        </w:rPr>
        <w:lastRenderedPageBreak/>
        <w:t xml:space="preserve">Table </w:t>
      </w:r>
      <w:r w:rsidRPr="001808C1">
        <w:rPr>
          <w:b/>
          <w:bCs/>
          <w:i/>
          <w:iCs/>
        </w:rPr>
        <w:fldChar w:fldCharType="begin"/>
      </w:r>
      <w:r w:rsidRPr="001808C1">
        <w:rPr>
          <w:b/>
          <w:bCs/>
        </w:rPr>
        <w:instrText xml:space="preserve"> SEQ Table \* ARABIC </w:instrText>
      </w:r>
      <w:r w:rsidRPr="001808C1">
        <w:rPr>
          <w:b/>
          <w:bCs/>
          <w:i/>
          <w:iCs/>
        </w:rPr>
        <w:fldChar w:fldCharType="separate"/>
      </w:r>
      <w:r w:rsidRPr="001808C1">
        <w:rPr>
          <w:b/>
          <w:bCs/>
          <w:noProof/>
        </w:rPr>
        <w:t>1</w:t>
      </w:r>
      <w:r w:rsidRPr="001808C1">
        <w:rPr>
          <w:b/>
          <w:bCs/>
          <w:i/>
          <w:iCs/>
        </w:rPr>
        <w:fldChar w:fldCharType="end"/>
      </w:r>
      <w:r w:rsidR="001808C1">
        <w:t>.</w:t>
      </w:r>
      <w:r w:rsidRPr="000751D1">
        <w:t xml:space="preserve"> Aggregated list of priority plant pests listed by 20 African countries participating in APP</w:t>
      </w:r>
    </w:p>
    <w:p w14:paraId="791B498D" w14:textId="77777777" w:rsidR="006371BA" w:rsidRDefault="00692366" w:rsidP="00CA2F0A">
      <w:pPr>
        <w:keepNext/>
        <w:jc w:val="center"/>
      </w:pPr>
      <w:r w:rsidRPr="00692366">
        <w:rPr>
          <w:noProof/>
          <w:lang w:val="en-US"/>
        </w:rPr>
        <w:drawing>
          <wp:inline distT="0" distB="0" distL="0" distR="0" wp14:anchorId="02E47C24" wp14:editId="035C8416">
            <wp:extent cx="5998464" cy="5003144"/>
            <wp:effectExtent l="0" t="0" r="0" b="1270"/>
            <wp:docPr id="228378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378738" name=""/>
                    <pic:cNvPicPr/>
                  </pic:nvPicPr>
                  <pic:blipFill>
                    <a:blip r:embed="rId16"/>
                    <a:stretch>
                      <a:fillRect/>
                    </a:stretch>
                  </pic:blipFill>
                  <pic:spPr>
                    <a:xfrm>
                      <a:off x="0" y="0"/>
                      <a:ext cx="5998464" cy="5003144"/>
                    </a:xfrm>
                    <a:prstGeom prst="rect">
                      <a:avLst/>
                    </a:prstGeom>
                  </pic:spPr>
                </pic:pic>
              </a:graphicData>
            </a:graphic>
          </wp:inline>
        </w:drawing>
      </w:r>
    </w:p>
    <w:p w14:paraId="32DF7A2A" w14:textId="31D4CE67" w:rsidR="00686576" w:rsidRDefault="00686576">
      <w:r>
        <w:br w:type="page"/>
      </w:r>
    </w:p>
    <w:p w14:paraId="7704119B" w14:textId="77777777" w:rsidR="00686576" w:rsidRDefault="00686576" w:rsidP="00686576">
      <w:pPr>
        <w:keepNext/>
        <w:jc w:val="center"/>
      </w:pPr>
      <w:r>
        <w:rPr>
          <w:noProof/>
          <w14:ligatures w14:val="standardContextual"/>
        </w:rPr>
        <w:lastRenderedPageBreak/>
        <w:drawing>
          <wp:inline distT="0" distB="0" distL="0" distR="0" wp14:anchorId="72600838" wp14:editId="51D13A10">
            <wp:extent cx="5042535" cy="5488162"/>
            <wp:effectExtent l="0" t="0" r="0" b="0"/>
            <wp:docPr id="518907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907636" name="Picture 518907636"/>
                    <pic:cNvPicPr/>
                  </pic:nvPicPr>
                  <pic:blipFill rotWithShape="1">
                    <a:blip r:embed="rId17" cstate="print">
                      <a:extLst>
                        <a:ext uri="{28A0092B-C50C-407E-A947-70E740481C1C}">
                          <a14:useLocalDpi xmlns:a14="http://schemas.microsoft.com/office/drawing/2010/main" val="0"/>
                        </a:ext>
                      </a:extLst>
                    </a:blip>
                    <a:srcRect t="4246"/>
                    <a:stretch>
                      <a:fillRect/>
                    </a:stretch>
                  </pic:blipFill>
                  <pic:spPr bwMode="auto">
                    <a:xfrm>
                      <a:off x="0" y="0"/>
                      <a:ext cx="5042535" cy="5488162"/>
                    </a:xfrm>
                    <a:prstGeom prst="rect">
                      <a:avLst/>
                    </a:prstGeom>
                    <a:ln>
                      <a:noFill/>
                    </a:ln>
                    <a:extLst>
                      <a:ext uri="{53640926-AAD7-44D8-BBD7-CCE9431645EC}">
                        <a14:shadowObscured xmlns:a14="http://schemas.microsoft.com/office/drawing/2010/main"/>
                      </a:ext>
                    </a:extLst>
                  </pic:spPr>
                </pic:pic>
              </a:graphicData>
            </a:graphic>
          </wp:inline>
        </w:drawing>
      </w:r>
    </w:p>
    <w:p w14:paraId="4BFF07BB" w14:textId="2D000D36" w:rsidR="006371BA" w:rsidRPr="00686576" w:rsidRDefault="00686576" w:rsidP="001808C1">
      <w:pPr>
        <w:pStyle w:val="IPPArial"/>
      </w:pPr>
      <w:r w:rsidRPr="001808C1">
        <w:rPr>
          <w:b/>
          <w:bCs/>
        </w:rPr>
        <w:t xml:space="preserve">Figure </w:t>
      </w:r>
      <w:r w:rsidRPr="001808C1">
        <w:rPr>
          <w:b/>
          <w:bCs/>
        </w:rPr>
        <w:fldChar w:fldCharType="begin"/>
      </w:r>
      <w:r w:rsidRPr="001808C1">
        <w:rPr>
          <w:b/>
          <w:bCs/>
        </w:rPr>
        <w:instrText xml:space="preserve"> SEQ Figure \* ARABIC </w:instrText>
      </w:r>
      <w:r w:rsidRPr="001808C1">
        <w:rPr>
          <w:b/>
          <w:bCs/>
        </w:rPr>
        <w:fldChar w:fldCharType="separate"/>
      </w:r>
      <w:r w:rsidRPr="001808C1">
        <w:rPr>
          <w:b/>
          <w:bCs/>
          <w:noProof/>
        </w:rPr>
        <w:t>2</w:t>
      </w:r>
      <w:r w:rsidRPr="001808C1">
        <w:rPr>
          <w:b/>
          <w:bCs/>
        </w:rPr>
        <w:fldChar w:fldCharType="end"/>
      </w:r>
      <w:r w:rsidR="001808C1">
        <w:t>.</w:t>
      </w:r>
      <w:r w:rsidRPr="00686576">
        <w:t xml:space="preserve"> Map of pest distribution across 19 APP countries</w:t>
      </w:r>
    </w:p>
    <w:p w14:paraId="42D4DD30" w14:textId="77777777" w:rsidR="00686576" w:rsidRDefault="00686576" w:rsidP="00CA2F0A">
      <w:pPr>
        <w:rPr>
          <w:b/>
          <w:bCs/>
          <w:lang w:val="en-US"/>
        </w:rPr>
        <w:sectPr w:rsidR="00686576" w:rsidSect="005F1F02">
          <w:pgSz w:w="16838" w:h="11906" w:orient="landscape"/>
          <w:pgMar w:top="1440" w:right="1440" w:bottom="1440" w:left="1440" w:header="708" w:footer="708" w:gutter="0"/>
          <w:cols w:space="708"/>
          <w:docGrid w:linePitch="360"/>
        </w:sectPr>
      </w:pPr>
    </w:p>
    <w:p w14:paraId="7B3647AF" w14:textId="77777777" w:rsidR="00686576" w:rsidRPr="00686576" w:rsidRDefault="00686576" w:rsidP="001808C1">
      <w:pPr>
        <w:pStyle w:val="IPPParagraphnumbering"/>
      </w:pPr>
      <w:r w:rsidRPr="00686576">
        <w:lastRenderedPageBreak/>
        <w:t>Several West and Central African countries reported the pest in the cotton industry, with a corollary effect on the value chains of okra and hibiscus. This pest concerns all cotton-growing countries, including Senegal, Mali, Burkina Faso, Benin, Togo, Nigeria, Ghana, Chad, and Cameroon. The cotton industry employs millions of people and generates substantial revenues for the countries involved. Addressing the issue in a few pilot countries would not provide a long-lasting solution to this problem in the neighboring countries. A joint effort by concerned countries is needed.</w:t>
      </w:r>
    </w:p>
    <w:p w14:paraId="6C690F30" w14:textId="77777777" w:rsidR="00686576" w:rsidRPr="00686576" w:rsidRDefault="00686576" w:rsidP="001808C1">
      <w:pPr>
        <w:pStyle w:val="IPPParagraphnumbering"/>
      </w:pPr>
      <w:r w:rsidRPr="00686576">
        <w:t>The current priority pest list may not diverge too much from the overall continental list (e.g., if we integrated pest list from the remaining 35 countries). APP could adopt a priority pest list approach and ensure more coverage of non-APP countries (Figure 2).</w:t>
      </w:r>
    </w:p>
    <w:p w14:paraId="2EC80C78" w14:textId="103860F6" w:rsidR="00B37D86" w:rsidRPr="00F469ED" w:rsidRDefault="00835814" w:rsidP="001808C1">
      <w:pPr>
        <w:pStyle w:val="IPPHeading2"/>
        <w:rPr>
          <w:lang w:val="en-US"/>
        </w:rPr>
      </w:pPr>
      <w:r>
        <w:rPr>
          <w:lang w:val="en-US"/>
        </w:rPr>
        <w:t>D</w:t>
      </w:r>
      <w:r w:rsidR="00B37D86" w:rsidRPr="00F469ED">
        <w:rPr>
          <w:lang w:val="en-US"/>
        </w:rPr>
        <w:t>ata</w:t>
      </w:r>
      <w:r>
        <w:rPr>
          <w:lang w:val="en-US"/>
        </w:rPr>
        <w:t xml:space="preserve"> valorization and incentivization</w:t>
      </w:r>
      <w:r w:rsidR="00C86F8E" w:rsidRPr="00C86F8E">
        <w:rPr>
          <w:lang w:val="en-US"/>
        </w:rPr>
        <w:t>: Evidence-based decision making through monitoring, data modeling and forecasting</w:t>
      </w:r>
    </w:p>
    <w:p w14:paraId="7EBF4BD0" w14:textId="77777777" w:rsidR="00835814" w:rsidRDefault="00654ACE" w:rsidP="001808C1">
      <w:pPr>
        <w:pStyle w:val="IPPParagraphnumbering"/>
      </w:pPr>
      <w:r>
        <w:t xml:space="preserve">APP should provide </w:t>
      </w:r>
      <w:r w:rsidRPr="00A9528C">
        <w:t xml:space="preserve">an innovative and coordinated strategy for </w:t>
      </w:r>
      <w:r w:rsidR="00917C34">
        <w:t xml:space="preserve">the </w:t>
      </w:r>
      <w:r w:rsidRPr="00A9528C">
        <w:t xml:space="preserve">sustainable management </w:t>
      </w:r>
      <w:r>
        <w:t xml:space="preserve">of plant pests across Africa. Chemical pesticides </w:t>
      </w:r>
      <w:r w:rsidR="00835814">
        <w:t>have always been</w:t>
      </w:r>
      <w:r>
        <w:t xml:space="preserve"> the main </w:t>
      </w:r>
      <w:r w:rsidR="004D06D3">
        <w:t xml:space="preserve">pest </w:t>
      </w:r>
      <w:r>
        <w:t xml:space="preserve">control strategy; however, </w:t>
      </w:r>
      <w:r w:rsidRPr="00A9528C">
        <w:t xml:space="preserve">several Integrated Pest Management (IPM) options </w:t>
      </w:r>
      <w:r w:rsidR="006F7CA3">
        <w:t xml:space="preserve">ranging from prevention, control and eradication </w:t>
      </w:r>
      <w:r>
        <w:t xml:space="preserve">have been developed or are </w:t>
      </w:r>
      <w:r w:rsidRPr="00A9528C">
        <w:t xml:space="preserve">being investigated. These include </w:t>
      </w:r>
      <w:r w:rsidR="006F7CA3">
        <w:t xml:space="preserve">monitoring and diagnostic protocols, </w:t>
      </w:r>
      <w:r w:rsidRPr="00A9528C">
        <w:t xml:space="preserve">the use of agroecological management </w:t>
      </w:r>
      <w:r>
        <w:t>options, biopesticides and biorationals, and natural enemies (parasitoids and predators), among others.</w:t>
      </w:r>
      <w:r w:rsidRPr="00A9528C">
        <w:t xml:space="preserve"> However, the implementation of such tools is localized and poorly disseminated</w:t>
      </w:r>
      <w:r>
        <w:t>,</w:t>
      </w:r>
      <w:r w:rsidRPr="00A9528C">
        <w:t xml:space="preserve"> resulting in limited adoption</w:t>
      </w:r>
      <w:r w:rsidR="00835814">
        <w:t xml:space="preserve"> (Niassy et al., 2022)</w:t>
      </w:r>
      <w:r w:rsidRPr="00A9528C">
        <w:t xml:space="preserve">. </w:t>
      </w:r>
    </w:p>
    <w:p w14:paraId="5D512354" w14:textId="3A91999F" w:rsidR="00654ACE" w:rsidRPr="00A9528C" w:rsidRDefault="00654ACE" w:rsidP="001808C1">
      <w:pPr>
        <w:pStyle w:val="IPPParagraphnumbering"/>
      </w:pPr>
      <w:r w:rsidRPr="00A9528C">
        <w:t xml:space="preserve">In Africa, extension services are generally weak. Furthermore, the success of these control measures depends on </w:t>
      </w:r>
      <w:r>
        <w:t xml:space="preserve">the </w:t>
      </w:r>
      <w:r w:rsidRPr="00A9528C">
        <w:t xml:space="preserve">enhanced and sustained prediction </w:t>
      </w:r>
      <w:r>
        <w:t xml:space="preserve">of </w:t>
      </w:r>
      <w:r w:rsidRPr="00A9528C">
        <w:t xml:space="preserve">and efficient promotion </w:t>
      </w:r>
      <w:r>
        <w:t>for</w:t>
      </w:r>
      <w:r w:rsidRPr="00A9528C">
        <w:t xml:space="preserve"> IPM options. This will ease the work</w:t>
      </w:r>
      <w:r w:rsidR="00A619CE">
        <w:t>load</w:t>
      </w:r>
      <w:r w:rsidRPr="00A9528C">
        <w:t xml:space="preserve"> of </w:t>
      </w:r>
      <w:r w:rsidR="00A619CE">
        <w:t xml:space="preserve">overstressed </w:t>
      </w:r>
      <w:r w:rsidRPr="00A9528C">
        <w:t xml:space="preserve">extension agents and </w:t>
      </w:r>
      <w:r w:rsidR="00513E07">
        <w:t>provide policymakers with reliable information to</w:t>
      </w:r>
      <w:r w:rsidRPr="00A9528C">
        <w:t xml:space="preserve"> rationalize resources and prioritize. </w:t>
      </w:r>
    </w:p>
    <w:p w14:paraId="50F07672" w14:textId="1D872A46" w:rsidR="00654ACE" w:rsidRDefault="00654ACE" w:rsidP="001808C1">
      <w:pPr>
        <w:pStyle w:val="IPPParagraphnumbering"/>
      </w:pPr>
      <w:r>
        <w:t xml:space="preserve">The initial ToT and </w:t>
      </w:r>
      <w:r w:rsidR="0019651B">
        <w:t xml:space="preserve">follow-up trainings of “experts” to be able to monitor, scout, and report through a mobile application, conducted in Egypt, Nairobi, and Douala, should have generated enough data to provide in-depth insight </w:t>
      </w:r>
      <w:r w:rsidR="00513E07">
        <w:t>into</w:t>
      </w:r>
      <w:r w:rsidR="0019651B">
        <w:t xml:space="preserve"> pest biology, ecology, migratory behavior, and impacts of the invasion of the priority</w:t>
      </w:r>
      <w:r>
        <w:t xml:space="preserve"> pest. The same </w:t>
      </w:r>
      <w:r w:rsidR="006F7CA3">
        <w:t>data, backed by desk research, should also guide the efficacy of potential management options available</w:t>
      </w:r>
      <w:r w:rsidRPr="00A9528C">
        <w:t xml:space="preserve"> in Africa and those currently available in the native home of </w:t>
      </w:r>
      <w:r>
        <w:t>the pests</w:t>
      </w:r>
      <w:r w:rsidRPr="00A9528C">
        <w:t>, which need to be promoted</w:t>
      </w:r>
      <w:r w:rsidR="00686576">
        <w:t xml:space="preserve"> (Guimapi et al., 2022)</w:t>
      </w:r>
      <w:r w:rsidRPr="00A9528C">
        <w:t xml:space="preserve">. </w:t>
      </w:r>
    </w:p>
    <w:p w14:paraId="0CC52962" w14:textId="3605BB9D" w:rsidR="00654ACE" w:rsidRPr="00A9528C" w:rsidRDefault="00654ACE" w:rsidP="001808C1">
      <w:pPr>
        <w:pStyle w:val="IPPParagraphnumbering"/>
      </w:pPr>
      <w:r w:rsidRPr="00A9528C">
        <w:t xml:space="preserve">Effective and extensive </w:t>
      </w:r>
      <w:r>
        <w:t>data exploration</w:t>
      </w:r>
      <w:r w:rsidRPr="00A9528C">
        <w:t xml:space="preserve"> can support </w:t>
      </w:r>
      <w:r w:rsidR="006F7CA3">
        <w:t>th</w:t>
      </w:r>
      <w:r w:rsidRPr="00A9528C">
        <w:t xml:space="preserve">e </w:t>
      </w:r>
      <w:r w:rsidR="006F7CA3">
        <w:t>creation</w:t>
      </w:r>
      <w:r w:rsidRPr="00A9528C">
        <w:t xml:space="preserve"> </w:t>
      </w:r>
      <w:r w:rsidR="006F7CA3">
        <w:t>of widespread awareness</w:t>
      </w:r>
      <w:r w:rsidRPr="00A9528C">
        <w:t xml:space="preserve">, build capacity among growers, extension officers, </w:t>
      </w:r>
      <w:r w:rsidR="00513E07">
        <w:t xml:space="preserve">the </w:t>
      </w:r>
      <w:r w:rsidRPr="00A9528C">
        <w:t>private sector, policymakers, and other stakeholders in the input, production, and output maize value chain</w:t>
      </w:r>
      <w:r w:rsidR="00835814">
        <w:t xml:space="preserve"> (Figure </w:t>
      </w:r>
      <w:r w:rsidR="00686576">
        <w:t>3</w:t>
      </w:r>
      <w:r w:rsidR="00835814">
        <w:t>)</w:t>
      </w:r>
      <w:r w:rsidRPr="00A9528C">
        <w:t>.</w:t>
      </w:r>
    </w:p>
    <w:p w14:paraId="3CE66A6A" w14:textId="77777777" w:rsidR="00835814" w:rsidRDefault="00835814" w:rsidP="00CA2F0A">
      <w:pPr>
        <w:rPr>
          <w:color w:val="000000"/>
        </w:rPr>
      </w:pPr>
    </w:p>
    <w:p w14:paraId="00407F76" w14:textId="77777777" w:rsidR="00835814" w:rsidRDefault="00835814" w:rsidP="00835814">
      <w:pPr>
        <w:keepNext/>
      </w:pPr>
      <w:r>
        <w:rPr>
          <w:noProof/>
          <w:color w:val="000000"/>
          <w14:ligatures w14:val="standardContextual"/>
        </w:rPr>
        <w:lastRenderedPageBreak/>
        <w:drawing>
          <wp:inline distT="0" distB="0" distL="0" distR="0" wp14:anchorId="2B73205A" wp14:editId="282F8D3F">
            <wp:extent cx="5731510" cy="4048125"/>
            <wp:effectExtent l="0" t="0" r="0" b="3175"/>
            <wp:docPr id="982531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31128" name="Picture 98253112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4048125"/>
                    </a:xfrm>
                    <a:prstGeom prst="rect">
                      <a:avLst/>
                    </a:prstGeom>
                  </pic:spPr>
                </pic:pic>
              </a:graphicData>
            </a:graphic>
          </wp:inline>
        </w:drawing>
      </w:r>
    </w:p>
    <w:p w14:paraId="3C1388B4" w14:textId="73CB39F6" w:rsidR="00835814" w:rsidRPr="000751D1" w:rsidRDefault="00835814" w:rsidP="001808C1">
      <w:pPr>
        <w:pStyle w:val="IPPArial"/>
        <w:rPr>
          <w:i/>
          <w:iCs/>
          <w:color w:val="000000"/>
        </w:rPr>
      </w:pPr>
      <w:r w:rsidRPr="001808C1">
        <w:rPr>
          <w:b/>
          <w:bCs/>
        </w:rPr>
        <w:t xml:space="preserve">Figure </w:t>
      </w:r>
      <w:r w:rsidRPr="001808C1">
        <w:rPr>
          <w:b/>
          <w:bCs/>
          <w:i/>
          <w:iCs/>
        </w:rPr>
        <w:fldChar w:fldCharType="begin"/>
      </w:r>
      <w:r w:rsidRPr="001808C1">
        <w:rPr>
          <w:b/>
          <w:bCs/>
        </w:rPr>
        <w:instrText xml:space="preserve"> SEQ Figure \* ARABIC </w:instrText>
      </w:r>
      <w:r w:rsidRPr="001808C1">
        <w:rPr>
          <w:b/>
          <w:bCs/>
          <w:i/>
          <w:iCs/>
        </w:rPr>
        <w:fldChar w:fldCharType="separate"/>
      </w:r>
      <w:r w:rsidR="00686576" w:rsidRPr="001808C1">
        <w:rPr>
          <w:b/>
          <w:bCs/>
          <w:noProof/>
        </w:rPr>
        <w:t>3</w:t>
      </w:r>
      <w:r w:rsidRPr="001808C1">
        <w:rPr>
          <w:b/>
          <w:bCs/>
          <w:i/>
          <w:iCs/>
        </w:rPr>
        <w:fldChar w:fldCharType="end"/>
      </w:r>
      <w:r w:rsidR="001808C1">
        <w:t>.</w:t>
      </w:r>
      <w:r w:rsidRPr="000751D1">
        <w:t xml:space="preserve"> Evidence</w:t>
      </w:r>
      <w:r w:rsidR="00C86F8E" w:rsidRPr="000751D1">
        <w:t>-</w:t>
      </w:r>
      <w:r w:rsidRPr="000751D1">
        <w:t>based decision making through monitoring, data modeling and forecasting: Case of F</w:t>
      </w:r>
      <w:r w:rsidR="00C86F8E" w:rsidRPr="000751D1">
        <w:t xml:space="preserve">all </w:t>
      </w:r>
      <w:r w:rsidRPr="000751D1">
        <w:t>A</w:t>
      </w:r>
      <w:r w:rsidR="00C86F8E" w:rsidRPr="000751D1">
        <w:t xml:space="preserve">rmyworm </w:t>
      </w:r>
    </w:p>
    <w:p w14:paraId="6E3BB385" w14:textId="77777777" w:rsidR="00835814" w:rsidRDefault="00835814" w:rsidP="00CA2F0A">
      <w:pPr>
        <w:rPr>
          <w:color w:val="000000"/>
        </w:rPr>
      </w:pPr>
    </w:p>
    <w:p w14:paraId="02D13C3E" w14:textId="6E8D416B" w:rsidR="00654ACE" w:rsidRPr="00A9528C" w:rsidRDefault="00513E07" w:rsidP="001808C1">
      <w:pPr>
        <w:pStyle w:val="IPPParagraphnumbering"/>
        <w:rPr>
          <w:rFonts w:eastAsia="Calibri"/>
        </w:rPr>
      </w:pPr>
      <w:r>
        <w:t>Data exploration</w:t>
      </w:r>
      <w:r w:rsidRPr="00A9528C">
        <w:t xml:space="preserve"> </w:t>
      </w:r>
      <w:r w:rsidR="00654ACE" w:rsidRPr="00A9528C">
        <w:t>deepen</w:t>
      </w:r>
      <w:r>
        <w:t>s</w:t>
      </w:r>
      <w:r w:rsidR="00654ACE" w:rsidRPr="00A9528C">
        <w:t xml:space="preserve"> the success achieved in </w:t>
      </w:r>
      <w:r>
        <w:t>pilot countries</w:t>
      </w:r>
      <w:r w:rsidR="00654ACE" w:rsidRPr="00A9528C">
        <w:t xml:space="preserve"> and further expand</w:t>
      </w:r>
      <w:r>
        <w:t>s</w:t>
      </w:r>
      <w:r w:rsidR="00654ACE" w:rsidRPr="00A9528C">
        <w:t xml:space="preserve"> the </w:t>
      </w:r>
      <w:r>
        <w:t>APP to other countries</w:t>
      </w:r>
      <w:r w:rsidR="00654ACE" w:rsidRPr="00A9528C">
        <w:t xml:space="preserve">. The proposed </w:t>
      </w:r>
      <w:r>
        <w:t xml:space="preserve">data exploration would require ecological modeling </w:t>
      </w:r>
      <w:r w:rsidR="00654ACE" w:rsidRPr="00A9528C">
        <w:t xml:space="preserve">effort led in partnerships with </w:t>
      </w:r>
      <w:r>
        <w:t xml:space="preserve">NPPOs and </w:t>
      </w:r>
      <w:r w:rsidR="00654ACE" w:rsidRPr="00A9528C">
        <w:t>National Research and Extension Systems (NARES) partners</w:t>
      </w:r>
      <w:r w:rsidR="0035796F">
        <w:t>,</w:t>
      </w:r>
      <w:r w:rsidR="00654ACE" w:rsidRPr="00A9528C">
        <w:t xml:space="preserve"> </w:t>
      </w:r>
      <w:r>
        <w:t>such as icipe, CABI,</w:t>
      </w:r>
      <w:r w:rsidR="00654ACE" w:rsidRPr="00A9528C">
        <w:t xml:space="preserve"> DLCO-EA, CIMMYT</w:t>
      </w:r>
      <w:r w:rsidR="00E71A20">
        <w:t>,</w:t>
      </w:r>
      <w:r w:rsidR="00654ACE" w:rsidRPr="00A9528C">
        <w:t xml:space="preserve"> and IITA for fieldwork, policy engagement, outreach, and dissemination. Private sector partners engaged in </w:t>
      </w:r>
      <w:r>
        <w:t xml:space="preserve">crop </w:t>
      </w:r>
      <w:r w:rsidR="00654ACE" w:rsidRPr="00A9528C">
        <w:t xml:space="preserve">production </w:t>
      </w:r>
      <w:r w:rsidR="004D06D3">
        <w:t>must</w:t>
      </w:r>
      <w:r w:rsidR="00654ACE" w:rsidRPr="00A9528C">
        <w:t xml:space="preserve"> be involved in the commercialization and upscaling of management products/tools. National agricultural research and extension </w:t>
      </w:r>
      <w:r w:rsidR="006F7CA3">
        <w:t>agencies, as well as policymakers in the countries targeted by the project,</w:t>
      </w:r>
      <w:r w:rsidR="00654ACE" w:rsidRPr="00A9528C">
        <w:t xml:space="preserve"> also stand to benefit from capacity development through the project.</w:t>
      </w:r>
    </w:p>
    <w:p w14:paraId="3C938A3C" w14:textId="7EA7EA18" w:rsidR="0035796F" w:rsidRPr="00F469ED" w:rsidRDefault="0035796F" w:rsidP="001808C1">
      <w:pPr>
        <w:pStyle w:val="IPPHeading2"/>
        <w:rPr>
          <w:lang w:val="en-US"/>
        </w:rPr>
      </w:pPr>
      <w:r w:rsidRPr="00F469ED">
        <w:rPr>
          <w:lang w:val="en-US"/>
        </w:rPr>
        <w:t>Capacity Building</w:t>
      </w:r>
    </w:p>
    <w:p w14:paraId="0738BD0A" w14:textId="562D99C0" w:rsidR="0035796F" w:rsidRPr="0035796F" w:rsidRDefault="0035796F" w:rsidP="001808C1">
      <w:pPr>
        <w:pStyle w:val="IPPParagraphnumbering"/>
      </w:pPr>
      <w:r>
        <w:t xml:space="preserve">Beyond developing protocol guides, APP should also create </w:t>
      </w:r>
      <w:r w:rsidR="00E84049">
        <w:t>concise</w:t>
      </w:r>
      <w:r>
        <w:t xml:space="preserve"> f</w:t>
      </w:r>
      <w:r w:rsidRPr="0035796F">
        <w:t>act</w:t>
      </w:r>
      <w:r>
        <w:t xml:space="preserve"> </w:t>
      </w:r>
      <w:r w:rsidRPr="0035796F">
        <w:t>sheets</w:t>
      </w:r>
      <w:r>
        <w:t xml:space="preserve"> </w:t>
      </w:r>
      <w:r w:rsidR="004D06D3">
        <w:t xml:space="preserve">in the 6 AU languages </w:t>
      </w:r>
      <w:r w:rsidR="00E84049">
        <w:t>that describe</w:t>
      </w:r>
      <w:r>
        <w:t xml:space="preserve"> the </w:t>
      </w:r>
      <w:r w:rsidR="004D06D3">
        <w:t xml:space="preserve">biology, ecology and management </w:t>
      </w:r>
      <w:r>
        <w:t>various pests. These fact sheets can be compiled into a catalog in digital or print form. Pest</w:t>
      </w:r>
      <w:r w:rsidR="004D06D3">
        <w:t>s</w:t>
      </w:r>
      <w:r>
        <w:t xml:space="preserve"> could be clustered per commodity crop or per region.</w:t>
      </w:r>
      <w:r w:rsidR="004D06D3">
        <w:t xml:space="preserve"> An atlas of these pests per region and per season must be established. Hence the need to GIS expertise.</w:t>
      </w:r>
    </w:p>
    <w:p w14:paraId="68B89E67" w14:textId="11D84F3D" w:rsidR="00510711" w:rsidRPr="00F469ED" w:rsidRDefault="00510711" w:rsidP="001808C1">
      <w:pPr>
        <w:pStyle w:val="IPPHeading2"/>
        <w:rPr>
          <w:lang w:val="en-US"/>
        </w:rPr>
      </w:pPr>
      <w:r w:rsidRPr="00F469ED">
        <w:rPr>
          <w:lang w:val="en-US"/>
        </w:rPr>
        <w:t>Communication</w:t>
      </w:r>
    </w:p>
    <w:p w14:paraId="00AACCA5" w14:textId="4B74E8FE" w:rsidR="00510711" w:rsidRPr="005A5239" w:rsidRDefault="00510711" w:rsidP="001808C1">
      <w:pPr>
        <w:pStyle w:val="IPPHeading3"/>
        <w:rPr>
          <w:lang w:val="en-US"/>
        </w:rPr>
      </w:pPr>
      <w:r w:rsidRPr="005A5239">
        <w:rPr>
          <w:lang w:val="en-US"/>
        </w:rPr>
        <w:t>Newsletters</w:t>
      </w:r>
    </w:p>
    <w:p w14:paraId="70BFB9E3" w14:textId="63110715" w:rsidR="0035796F" w:rsidRDefault="0035796F" w:rsidP="001808C1">
      <w:pPr>
        <w:pStyle w:val="IPPParagraphnumbering"/>
      </w:pPr>
      <w:r>
        <w:t xml:space="preserve">APP started with 11 countries in 2023, then expanded to 20 countries in 2025, leaving more than 30 countries on the waiting list. Although there are financial restrictions, activities </w:t>
      </w:r>
      <w:r w:rsidR="004D06D3">
        <w:t xml:space="preserve">in pilot countries </w:t>
      </w:r>
      <w:r w:rsidR="00430E2F">
        <w:t>must b</w:t>
      </w:r>
      <w:r>
        <w:t xml:space="preserve">e diffused across the </w:t>
      </w:r>
      <w:r w:rsidR="004D06D3">
        <w:t>continent</w:t>
      </w:r>
      <w:r>
        <w:t xml:space="preserve">. </w:t>
      </w:r>
      <w:r w:rsidR="00430E2F">
        <w:t>One way to address this is to establish a monthly or quarterly newsletter that will collate information from participating countries.</w:t>
      </w:r>
      <w:r w:rsidR="004D06D3">
        <w:t xml:space="preserve"> The content of the newsletter could include </w:t>
      </w:r>
      <w:r w:rsidR="00486545">
        <w:t xml:space="preserve">a short editorial from one of the participating NPPO, </w:t>
      </w:r>
      <w:r w:rsidR="004D06D3">
        <w:t xml:space="preserve">pest description, pest risks, management options, case studies and profile of potential technical </w:t>
      </w:r>
      <w:proofErr w:type="gramStart"/>
      <w:r w:rsidR="004D06D3">
        <w:t>partner</w:t>
      </w:r>
      <w:proofErr w:type="gramEnd"/>
      <w:r w:rsidR="004D06D3">
        <w:t xml:space="preserve"> of </w:t>
      </w:r>
      <w:r w:rsidR="00486545">
        <w:t>private sector</w:t>
      </w:r>
      <w:r w:rsidR="004D06D3">
        <w:t xml:space="preserve"> suppliers</w:t>
      </w:r>
      <w:r w:rsidR="00486545">
        <w:t>.</w:t>
      </w:r>
    </w:p>
    <w:p w14:paraId="33EDB6B9" w14:textId="691EBE46" w:rsidR="00510711" w:rsidRPr="00430E2F" w:rsidRDefault="00510711" w:rsidP="001808C1">
      <w:pPr>
        <w:pStyle w:val="IPPHeading3"/>
        <w:rPr>
          <w:lang w:val="en-US"/>
        </w:rPr>
      </w:pPr>
      <w:r w:rsidRPr="00430E2F">
        <w:rPr>
          <w:lang w:val="en-US"/>
        </w:rPr>
        <w:lastRenderedPageBreak/>
        <w:t>Webinars and keynotes</w:t>
      </w:r>
    </w:p>
    <w:p w14:paraId="6C291515" w14:textId="0B4125D5" w:rsidR="00510711" w:rsidRDefault="00430E2F" w:rsidP="001808C1">
      <w:pPr>
        <w:pStyle w:val="IPPParagraphnumbering"/>
      </w:pPr>
      <w:r>
        <w:t>APP has been soliciting various experts to make presentations during training workshops on various plant health subjects. However</w:t>
      </w:r>
      <w:r w:rsidR="005A5239">
        <w:t>,</w:t>
      </w:r>
      <w:r>
        <w:t xml:space="preserve"> to sustain</w:t>
      </w:r>
      <w:r w:rsidR="005A5239">
        <w:t xml:space="preserve"> knowledge intake, APP must formalize this model and</w:t>
      </w:r>
      <w:r>
        <w:t xml:space="preserve"> tap </w:t>
      </w:r>
      <w:r w:rsidR="005A5239">
        <w:t>from</w:t>
      </w:r>
      <w:r>
        <w:t xml:space="preserve"> in-house resources to establish monthly webinars on various pest problems</w:t>
      </w:r>
      <w:r w:rsidR="00486545">
        <w:t>. The series of webinars can be recorded and build a library of content that can be revisited by participating countries.</w:t>
      </w:r>
    </w:p>
    <w:p w14:paraId="4C75D85D" w14:textId="11499055" w:rsidR="00B37D86" w:rsidRPr="00443CAB" w:rsidRDefault="00B37D86" w:rsidP="001808C1">
      <w:pPr>
        <w:pStyle w:val="IPPHeading2"/>
        <w:rPr>
          <w:lang w:val="en-US"/>
        </w:rPr>
      </w:pPr>
      <w:r w:rsidRPr="00443CAB">
        <w:rPr>
          <w:lang w:val="en-US"/>
        </w:rPr>
        <w:t>Expert Working Groups</w:t>
      </w:r>
    </w:p>
    <w:p w14:paraId="68CD118C" w14:textId="647C86B6" w:rsidR="0035796F" w:rsidRPr="0035796F" w:rsidRDefault="005A5239" w:rsidP="001808C1">
      <w:pPr>
        <w:pStyle w:val="IPPParagraphnumbering"/>
      </w:pPr>
      <w:r w:rsidRPr="005A5239">
        <w:t>APP established a Technical Working Group. However</w:t>
      </w:r>
      <w:r>
        <w:t>,</w:t>
      </w:r>
      <w:r w:rsidRPr="005A5239">
        <w:t xml:space="preserve"> there is </w:t>
      </w:r>
      <w:r>
        <w:t xml:space="preserve">a </w:t>
      </w:r>
      <w:r w:rsidRPr="005A5239">
        <w:t xml:space="preserve">need to provide </w:t>
      </w:r>
      <w:r>
        <w:t xml:space="preserve">the </w:t>
      </w:r>
      <w:r w:rsidRPr="005A5239">
        <w:t>terms of</w:t>
      </w:r>
      <w:r>
        <w:t xml:space="preserve"> reference to this group. The 40 pest problems listed, along with their management, involve several areas of expertise, including entomology, phytopathology, microbiology, ecological modeling, diagnostics, chemistry, toxicology, biological control, and agroecology.</w:t>
      </w:r>
      <w:r w:rsidR="0035796F" w:rsidRPr="0035796F">
        <w:t xml:space="preserve"> </w:t>
      </w:r>
      <w:r w:rsidR="00486545">
        <w:t>The are several inhouse expertise on the continent on each of those pests. There is a need to also tap from this vast resource to develop additional guides.</w:t>
      </w:r>
    </w:p>
    <w:p w14:paraId="15716353" w14:textId="613622BC" w:rsidR="00B37D86" w:rsidRPr="00443CAB" w:rsidRDefault="00B37D86" w:rsidP="001808C1">
      <w:pPr>
        <w:pStyle w:val="IPPHeading2"/>
        <w:rPr>
          <w:lang w:val="en-US"/>
        </w:rPr>
      </w:pPr>
      <w:r w:rsidRPr="00443CAB">
        <w:rPr>
          <w:lang w:val="en-US"/>
        </w:rPr>
        <w:t>P</w:t>
      </w:r>
      <w:r w:rsidR="00510711" w:rsidRPr="00443CAB">
        <w:rPr>
          <w:lang w:val="en-US"/>
        </w:rPr>
        <w:t>ublic</w:t>
      </w:r>
      <w:r w:rsidR="00E71A20" w:rsidRPr="00443CAB">
        <w:rPr>
          <w:lang w:val="en-US"/>
        </w:rPr>
        <w:t>-</w:t>
      </w:r>
      <w:r w:rsidRPr="00443CAB">
        <w:rPr>
          <w:lang w:val="en-US"/>
        </w:rPr>
        <w:t>P</w:t>
      </w:r>
      <w:r w:rsidR="00510711" w:rsidRPr="00443CAB">
        <w:rPr>
          <w:lang w:val="en-US"/>
        </w:rPr>
        <w:t xml:space="preserve">rivate </w:t>
      </w:r>
      <w:r w:rsidRPr="00443CAB">
        <w:rPr>
          <w:lang w:val="en-US"/>
        </w:rPr>
        <w:t>P</w:t>
      </w:r>
      <w:r w:rsidR="00510711" w:rsidRPr="00443CAB">
        <w:rPr>
          <w:lang w:val="en-US"/>
        </w:rPr>
        <w:t>artnership forum</w:t>
      </w:r>
    </w:p>
    <w:p w14:paraId="50A2A2A4" w14:textId="1AC3D9F6" w:rsidR="00C14B94" w:rsidRPr="00C14B94" w:rsidRDefault="00C14B94" w:rsidP="001808C1">
      <w:pPr>
        <w:pStyle w:val="IPPParagraphnumbering"/>
      </w:pPr>
      <w:r>
        <w:t xml:space="preserve">APP should facilitate participating countries </w:t>
      </w:r>
      <w:r w:rsidRPr="00C14B94">
        <w:t xml:space="preserve">access </w:t>
      </w:r>
      <w:r>
        <w:t>to</w:t>
      </w:r>
      <w:r w:rsidRPr="00C14B94">
        <w:t xml:space="preserve"> innovation through strategic collaboration among key stakeholders. The goal is to create a vibrant ecosystem where public institutions, private enterprises, and research organizations work together to strengthen the horticultural value chains and </w:t>
      </w:r>
      <w:r>
        <w:t>implementation of ISPMs</w:t>
      </w:r>
      <w:r w:rsidRPr="00C14B94">
        <w:t xml:space="preserve">. </w:t>
      </w:r>
      <w:r>
        <w:t>A</w:t>
      </w:r>
      <w:r w:rsidRPr="00C14B94">
        <w:t xml:space="preserve"> mapping of stakeholders</w:t>
      </w:r>
      <w:r>
        <w:t xml:space="preserve"> is critical </w:t>
      </w:r>
      <w:r w:rsidRPr="00C14B94">
        <w:t xml:space="preserve">including </w:t>
      </w:r>
      <w:r>
        <w:t xml:space="preserve">NARS, NPPOs, private sectors, farmers, innovators, </w:t>
      </w:r>
      <w:r w:rsidRPr="00C14B94">
        <w:t>small and medium-sized enterprises (SMEs), exporters, regulators, researchers, and farmer cooperatives. This mapping will help identify existing gaps, opportunities for collaboration, and potential champions for innovation and scale-up.</w:t>
      </w:r>
    </w:p>
    <w:p w14:paraId="47706B8C" w14:textId="39BA7D2D" w:rsidR="00C14B94" w:rsidRPr="00C14B94" w:rsidRDefault="00C14B94" w:rsidP="001808C1">
      <w:pPr>
        <w:pStyle w:val="IPPParagraphnumbering"/>
      </w:pPr>
      <w:r>
        <w:t>APP should</w:t>
      </w:r>
      <w:r w:rsidRPr="00C14B94">
        <w:t xml:space="preserve"> organize a series of high-impact engagement events such as </w:t>
      </w:r>
      <w:r>
        <w:t xml:space="preserve">innovation </w:t>
      </w:r>
      <w:r w:rsidRPr="00C14B94">
        <w:t xml:space="preserve">expos, matchmaking forums, and business-to-business (B2B) networking sessions. These events will serve as platforms for showcasing technologies, sharing market intelligence, and fostering partnerships between producers and buyers, technology providers, and regulatory bodies. This will also involve data generation and capacity building to support access and adoption to modern and environment friendly pest management technologies that foster compliance </w:t>
      </w:r>
      <w:proofErr w:type="gramStart"/>
      <w:r w:rsidRPr="00C14B94">
        <w:t>to</w:t>
      </w:r>
      <w:proofErr w:type="gramEnd"/>
      <w:r w:rsidRPr="00C14B94">
        <w:t xml:space="preserve"> trade requirements. </w:t>
      </w:r>
    </w:p>
    <w:p w14:paraId="5054652F" w14:textId="452987F4" w:rsidR="00517609" w:rsidRPr="00443CAB" w:rsidRDefault="00517609" w:rsidP="001808C1">
      <w:pPr>
        <w:pStyle w:val="IPPHeading2"/>
        <w:rPr>
          <w:lang w:val="en-US"/>
        </w:rPr>
      </w:pPr>
      <w:r w:rsidRPr="00443CAB">
        <w:rPr>
          <w:lang w:val="en-US"/>
        </w:rPr>
        <w:t>Resource mobilization</w:t>
      </w:r>
    </w:p>
    <w:p w14:paraId="25056A51" w14:textId="5602E95A" w:rsidR="00C14B94" w:rsidRPr="00E84049" w:rsidRDefault="00EE0F03" w:rsidP="001808C1">
      <w:pPr>
        <w:pStyle w:val="IPPParagraphnumbering"/>
      </w:pPr>
      <w:r w:rsidRPr="00E84049">
        <w:t xml:space="preserve">Resource mobilization </w:t>
      </w:r>
      <w:r w:rsidR="000141DF">
        <w:t>includes</w:t>
      </w:r>
      <w:r w:rsidRPr="00E84049">
        <w:t xml:space="preserve"> personnel, equipment</w:t>
      </w:r>
      <w:r w:rsidR="00E84049">
        <w:t>,</w:t>
      </w:r>
      <w:r w:rsidRPr="00E84049">
        <w:t xml:space="preserve"> facilities</w:t>
      </w:r>
      <w:r w:rsidR="00E84049">
        <w:t>,</w:t>
      </w:r>
      <w:r w:rsidRPr="00E84049">
        <w:t xml:space="preserve"> </w:t>
      </w:r>
      <w:r w:rsidR="00E84049">
        <w:t>and</w:t>
      </w:r>
      <w:r w:rsidRPr="00E84049">
        <w:t xml:space="preserve"> finances. </w:t>
      </w:r>
      <w:r w:rsidR="000141DF">
        <w:t xml:space="preserve">For smoother and efficient implementation of </w:t>
      </w:r>
      <w:r w:rsidR="00C14B94" w:rsidRPr="00E84049">
        <w:t xml:space="preserve">APP staff </w:t>
      </w:r>
      <w:r w:rsidR="000141DF">
        <w:t xml:space="preserve">should be assigned </w:t>
      </w:r>
      <w:r w:rsidR="00C14B94" w:rsidRPr="00E84049">
        <w:t xml:space="preserve">to </w:t>
      </w:r>
      <w:r w:rsidR="000141DF">
        <w:t xml:space="preserve">RPPOs </w:t>
      </w:r>
      <w:r w:rsidR="00E84049">
        <w:t>AU-IAPSC and NEPPO</w:t>
      </w:r>
      <w:r w:rsidR="00C14B94" w:rsidRPr="00E84049">
        <w:t xml:space="preserve">. RPPOs could support the programme </w:t>
      </w:r>
      <w:r w:rsidRPr="00E84049">
        <w:t>by establishing a day</w:t>
      </w:r>
      <w:r w:rsidR="00E84049">
        <w:t>-</w:t>
      </w:r>
      <w:r w:rsidRPr="00E84049">
        <w:t>to</w:t>
      </w:r>
      <w:r w:rsidR="00E84049">
        <w:t>-</w:t>
      </w:r>
      <w:r w:rsidRPr="00E84049">
        <w:t>day follow</w:t>
      </w:r>
      <w:r w:rsidR="00E84049">
        <w:t>-</w:t>
      </w:r>
      <w:r w:rsidRPr="00E84049">
        <w:t>up and engagement with NPPOs and relevant stakeholders</w:t>
      </w:r>
      <w:r w:rsidR="00E84049">
        <w:t xml:space="preserve">. A knowledge system </w:t>
      </w:r>
      <w:r w:rsidR="000141DF">
        <w:t>officer</w:t>
      </w:r>
      <w:r w:rsidR="00E84049">
        <w:t xml:space="preserve"> should be appointed to</w:t>
      </w:r>
      <w:r w:rsidRPr="00E84049">
        <w:t xml:space="preserve"> develop and support </w:t>
      </w:r>
      <w:r w:rsidR="00E84049">
        <w:t xml:space="preserve">the </w:t>
      </w:r>
      <w:r w:rsidRPr="00E84049">
        <w:t>diffusion of knowledge and communication products</w:t>
      </w:r>
      <w:r w:rsidR="000141DF">
        <w:t xml:space="preserve"> such as factsheets, protocols and newsletters</w:t>
      </w:r>
      <w:r w:rsidRPr="00E84049">
        <w:t>.</w:t>
      </w:r>
    </w:p>
    <w:p w14:paraId="41C1F1AA" w14:textId="5776327D" w:rsidR="00517609" w:rsidRPr="00E84049" w:rsidRDefault="00EE0F03" w:rsidP="001808C1">
      <w:pPr>
        <w:pStyle w:val="IPPParagraphnumbering"/>
      </w:pPr>
      <w:r w:rsidRPr="00E84049">
        <w:t>The program</w:t>
      </w:r>
      <w:r w:rsidR="00E84049">
        <w:t>me</w:t>
      </w:r>
      <w:r w:rsidRPr="00E84049">
        <w:t xml:space="preserve"> should also appoint a</w:t>
      </w:r>
      <w:r w:rsidR="00E84049">
        <w:t xml:space="preserve"> dissemination and training or</w:t>
      </w:r>
      <w:r w:rsidRPr="00E84049">
        <w:t xml:space="preserve"> technology transfer officer for the development of training content such as manual </w:t>
      </w:r>
      <w:r w:rsidR="006C5ABD" w:rsidRPr="00E84049">
        <w:t>guide</w:t>
      </w:r>
      <w:r w:rsidR="006C5ABD">
        <w:t>s and</w:t>
      </w:r>
      <w:r w:rsidRPr="00E84049">
        <w:t xml:space="preserve"> </w:t>
      </w:r>
      <w:r w:rsidR="000141DF">
        <w:t>conduct trainings</w:t>
      </w:r>
      <w:r w:rsidRPr="00E84049">
        <w:t xml:space="preserve">. </w:t>
      </w:r>
      <w:r w:rsidR="00E84049">
        <w:t>With the support of t</w:t>
      </w:r>
      <w:r w:rsidRPr="00E84049">
        <w:t>he Geographic Information System (GIS) specialist</w:t>
      </w:r>
      <w:r w:rsidR="00E84049">
        <w:t>,</w:t>
      </w:r>
      <w:r w:rsidRPr="00E84049">
        <w:t xml:space="preserve"> NPPOs </w:t>
      </w:r>
      <w:r w:rsidR="00E84049">
        <w:t>will be supported on</w:t>
      </w:r>
      <w:r w:rsidRPr="00E84049">
        <w:t xml:space="preserve"> </w:t>
      </w:r>
      <w:r w:rsidR="00E84049">
        <w:t xml:space="preserve">using </w:t>
      </w:r>
      <w:r w:rsidRPr="00E84049">
        <w:t xml:space="preserve">mobile applications. </w:t>
      </w:r>
    </w:p>
    <w:p w14:paraId="714DD021" w14:textId="77777777" w:rsidR="00141CA9" w:rsidRDefault="00EE0F03" w:rsidP="001808C1">
      <w:pPr>
        <w:pStyle w:val="IPPParagraphnumbering"/>
      </w:pPr>
      <w:r w:rsidRPr="00E84049">
        <w:t xml:space="preserve">APP benefited from </w:t>
      </w:r>
      <w:r w:rsidR="0032381A">
        <w:t xml:space="preserve">funding </w:t>
      </w:r>
      <w:r w:rsidRPr="00E84049">
        <w:t>from the USDA.</w:t>
      </w:r>
      <w:r w:rsidR="00517609" w:rsidRPr="00E84049">
        <w:t xml:space="preserve"> </w:t>
      </w:r>
      <w:r w:rsidRPr="00E84049">
        <w:t>A</w:t>
      </w:r>
      <w:r w:rsidR="00517609" w:rsidRPr="00E84049">
        <w:t xml:space="preserve"> </w:t>
      </w:r>
      <w:proofErr w:type="spellStart"/>
      <w:r w:rsidR="00517609" w:rsidRPr="00E84049">
        <w:t>Multidonor</w:t>
      </w:r>
      <w:proofErr w:type="spellEnd"/>
      <w:r w:rsidR="00517609" w:rsidRPr="00E84049">
        <w:t xml:space="preserve"> Trust Fund (MDTF) was </w:t>
      </w:r>
      <w:r w:rsidRPr="00E84049">
        <w:t xml:space="preserve">established and supported by the European Commission </w:t>
      </w:r>
      <w:r w:rsidR="00141CA9">
        <w:t>and UK</w:t>
      </w:r>
      <w:r w:rsidRPr="00E84049">
        <w:t xml:space="preserve"> contribution.</w:t>
      </w:r>
      <w:r w:rsidR="00517609" w:rsidRPr="00E84049">
        <w:t xml:space="preserve"> </w:t>
      </w:r>
    </w:p>
    <w:p w14:paraId="25654621" w14:textId="0E231817" w:rsidR="00517609" w:rsidRPr="00141CA9" w:rsidRDefault="00141CA9" w:rsidP="001808C1">
      <w:pPr>
        <w:pStyle w:val="IPPParagraphnumbering"/>
      </w:pPr>
      <w:proofErr w:type="gramStart"/>
      <w:r>
        <w:t>However</w:t>
      </w:r>
      <w:proofErr w:type="gramEnd"/>
      <w:r>
        <w:t xml:space="preserve"> for sustainability, </w:t>
      </w:r>
      <w:r w:rsidRPr="00E84049">
        <w:t>APP should also establish a mechanism to ensure contribution</w:t>
      </w:r>
      <w:r>
        <w:t>s</w:t>
      </w:r>
      <w:r w:rsidRPr="00E84049">
        <w:t xml:space="preserve"> from participating countries.</w:t>
      </w:r>
      <w:r>
        <w:t xml:space="preserve"> T</w:t>
      </w:r>
      <w:r w:rsidR="00EE0F03" w:rsidRPr="00E84049">
        <w:t xml:space="preserve">he </w:t>
      </w:r>
      <w:r>
        <w:t xml:space="preserve">suggested </w:t>
      </w:r>
      <w:r w:rsidR="00EE0F03" w:rsidRPr="00E84049">
        <w:t xml:space="preserve">PPPs could be an opportunity for resource mobilization </w:t>
      </w:r>
      <w:r w:rsidR="0032381A">
        <w:t>throug</w:t>
      </w:r>
      <w:r w:rsidR="00EE0F03" w:rsidRPr="00E84049">
        <w:t>h the participation of the private sector</w:t>
      </w:r>
      <w:r>
        <w:t xml:space="preserve"> and several other value chain actors</w:t>
      </w:r>
      <w:r w:rsidR="00EE0F03" w:rsidRPr="00E84049">
        <w:t>.</w:t>
      </w:r>
    </w:p>
    <w:p w14:paraId="038BEC21" w14:textId="07B26F52" w:rsidR="00D64059" w:rsidRPr="00443CAB" w:rsidRDefault="00D64059" w:rsidP="001808C1">
      <w:pPr>
        <w:pStyle w:val="IPPHeading1"/>
        <w:rPr>
          <w:lang w:val="en-US"/>
        </w:rPr>
      </w:pPr>
      <w:r w:rsidRPr="00443CAB">
        <w:rPr>
          <w:lang w:val="en-US"/>
        </w:rPr>
        <w:t>Conclusion</w:t>
      </w:r>
      <w:r w:rsidR="00443CAB">
        <w:rPr>
          <w:lang w:val="en-US"/>
        </w:rPr>
        <w:t xml:space="preserve"> and recommendations</w:t>
      </w:r>
    </w:p>
    <w:p w14:paraId="2289FF7D" w14:textId="1B6CFFAE" w:rsidR="00443CAB" w:rsidRPr="00141CA9" w:rsidRDefault="00443CAB" w:rsidP="001808C1">
      <w:pPr>
        <w:pStyle w:val="IPPBullet1"/>
        <w:rPr>
          <w:rStyle w:val="Strong"/>
          <w:b w:val="0"/>
          <w:bCs w:val="0"/>
        </w:rPr>
      </w:pPr>
      <w:r>
        <w:t xml:space="preserve">APP is an IPPC initiative aimed at supporting </w:t>
      </w:r>
      <w:r w:rsidR="00141CA9">
        <w:t xml:space="preserve">enhancing the phytosanitary systems of </w:t>
      </w:r>
      <w:r>
        <w:t xml:space="preserve">African countries. APP should connect with IPPC flagship projects, </w:t>
      </w:r>
      <w:proofErr w:type="gramStart"/>
      <w:r>
        <w:t>including:</w:t>
      </w:r>
      <w:proofErr w:type="gramEnd"/>
      <w:r w:rsidR="00141CA9">
        <w:t xml:space="preserve"> </w:t>
      </w:r>
      <w:r>
        <w:rPr>
          <w:rStyle w:val="Strong"/>
          <w:rFonts w:eastAsiaTheme="majorEastAsia"/>
          <w:b w:val="0"/>
          <w:bCs w:val="0"/>
        </w:rPr>
        <w:t>e-Phyto (Digital Trade Facilitation)</w:t>
      </w:r>
      <w:r w:rsidR="00141CA9">
        <w:rPr>
          <w:rStyle w:val="Strong"/>
          <w:rFonts w:eastAsiaTheme="majorEastAsia"/>
          <w:b w:val="0"/>
          <w:bCs w:val="0"/>
        </w:rPr>
        <w:t xml:space="preserve">; </w:t>
      </w:r>
      <w:r>
        <w:rPr>
          <w:rStyle w:val="Strong"/>
          <w:rFonts w:eastAsiaTheme="majorEastAsia"/>
          <w:b w:val="0"/>
          <w:bCs w:val="0"/>
        </w:rPr>
        <w:t>Phytosanitary Capacity Evaluation (PCE)</w:t>
      </w:r>
      <w:r w:rsidR="00141CA9">
        <w:rPr>
          <w:rStyle w:val="Strong"/>
          <w:rFonts w:eastAsiaTheme="majorEastAsia"/>
          <w:b w:val="0"/>
          <w:bCs w:val="0"/>
        </w:rPr>
        <w:t xml:space="preserve"> and </w:t>
      </w:r>
      <w:r>
        <w:rPr>
          <w:rStyle w:val="Strong"/>
          <w:rFonts w:eastAsiaTheme="majorEastAsia"/>
          <w:b w:val="0"/>
          <w:bCs w:val="0"/>
        </w:rPr>
        <w:t>Plant Health Campus</w:t>
      </w:r>
      <w:r w:rsidR="00141CA9">
        <w:rPr>
          <w:rStyle w:val="Strong"/>
          <w:rFonts w:eastAsiaTheme="majorEastAsia"/>
          <w:b w:val="0"/>
          <w:bCs w:val="0"/>
        </w:rPr>
        <w:t>.</w:t>
      </w:r>
    </w:p>
    <w:p w14:paraId="10636648" w14:textId="77777777" w:rsidR="00141CA9" w:rsidRDefault="00443CAB" w:rsidP="001808C1">
      <w:pPr>
        <w:pStyle w:val="IPPBullet1"/>
      </w:pPr>
      <w:r w:rsidRPr="0035083E">
        <w:lastRenderedPageBreak/>
        <w:t xml:space="preserve">AU-IAPSC </w:t>
      </w:r>
      <w:r>
        <w:t>is</w:t>
      </w:r>
      <w:r w:rsidRPr="0035083E">
        <w:t xml:space="preserve"> the phytosanitary coordination authority for Africa.</w:t>
      </w:r>
      <w:r>
        <w:t xml:space="preserve"> Therefore, APP should </w:t>
      </w:r>
      <w:r w:rsidR="00141CA9">
        <w:t>relate to</w:t>
      </w:r>
      <w:r>
        <w:t xml:space="preserve"> the overall goal of the African </w:t>
      </w:r>
      <w:r w:rsidR="00141CA9">
        <w:t>Union</w:t>
      </w:r>
      <w:r>
        <w:t>, which is to strengthen the capacity to protect plant health, facilitate safe trade, and ensure compliance with the WTO-SPS Agreement as articulated in the Plant Health Strategy for Africa.</w:t>
      </w:r>
      <w:r w:rsidRPr="00F469ED">
        <w:t xml:space="preserve"> </w:t>
      </w:r>
    </w:p>
    <w:p w14:paraId="231B2BF7" w14:textId="3B4FA1AF" w:rsidR="00443CAB" w:rsidRDefault="00443CAB" w:rsidP="001808C1">
      <w:pPr>
        <w:pStyle w:val="IPPBullet1"/>
      </w:pPr>
      <w:r w:rsidRPr="0035083E">
        <w:t xml:space="preserve">APP </w:t>
      </w:r>
      <w:r>
        <w:t xml:space="preserve">should be integrated into the broader African Union </w:t>
      </w:r>
      <w:r w:rsidR="00141CA9">
        <w:t xml:space="preserve">agricultural </w:t>
      </w:r>
      <w:r>
        <w:t xml:space="preserve">framework, </w:t>
      </w:r>
      <w:r w:rsidR="00141CA9">
        <w:t>articulated</w:t>
      </w:r>
      <w:r>
        <w:t xml:space="preserve"> </w:t>
      </w:r>
      <w:r w:rsidRPr="0035083E">
        <w:t>into CAADP, AfCFTA, and One Health</w:t>
      </w:r>
      <w:r w:rsidR="00141CA9">
        <w:t>;</w:t>
      </w:r>
      <w:r>
        <w:t xml:space="preserve"> </w:t>
      </w:r>
      <w:r w:rsidR="00141CA9">
        <w:t>e</w:t>
      </w:r>
      <w:r>
        <w:t>nsur</w:t>
      </w:r>
      <w:r w:rsidR="00141CA9">
        <w:t>ing</w:t>
      </w:r>
      <w:r>
        <w:t xml:space="preserve"> continental coordination</w:t>
      </w:r>
      <w:r w:rsidR="00141CA9">
        <w:t xml:space="preserve"> of plant health issues</w:t>
      </w:r>
      <w:r>
        <w:t>, resource mobilization, and accountability.</w:t>
      </w:r>
      <w:r w:rsidR="00141CA9">
        <w:t xml:space="preserve"> </w:t>
      </w:r>
      <w:r w:rsidR="00141CA9" w:rsidRPr="00141CA9">
        <w:rPr>
          <w:rFonts w:eastAsiaTheme="minorHAnsi"/>
        </w:rPr>
        <w:t xml:space="preserve">The programme should therefore </w:t>
      </w:r>
      <w:proofErr w:type="gramStart"/>
      <w:r w:rsidR="00141CA9" w:rsidRPr="00141CA9">
        <w:rPr>
          <w:rFonts w:eastAsiaTheme="minorHAnsi"/>
        </w:rPr>
        <w:t>establish</w:t>
      </w:r>
      <w:proofErr w:type="gramEnd"/>
      <w:r w:rsidR="00141CA9" w:rsidRPr="00141CA9">
        <w:rPr>
          <w:rFonts w:eastAsiaTheme="minorHAnsi"/>
        </w:rPr>
        <w:t xml:space="preserve"> an</w:t>
      </w:r>
      <w:r w:rsidR="00141CA9">
        <w:t>d</w:t>
      </w:r>
      <w:r w:rsidR="00141CA9" w:rsidRPr="00141CA9">
        <w:rPr>
          <w:rFonts w:eastAsiaTheme="minorHAnsi"/>
        </w:rPr>
        <w:t xml:space="preserve"> </w:t>
      </w:r>
      <w:r w:rsidR="00141CA9" w:rsidRPr="00141CA9">
        <w:rPr>
          <w:rFonts w:eastAsiaTheme="majorEastAsia"/>
        </w:rPr>
        <w:t>Monitoring and Evaluation Framework</w:t>
      </w:r>
      <w:r w:rsidR="00141CA9">
        <w:t xml:space="preserve"> designed with performance indicators and scorecards.</w:t>
      </w:r>
    </w:p>
    <w:p w14:paraId="40439B84" w14:textId="77777777" w:rsidR="00141CA9" w:rsidRDefault="00141CA9" w:rsidP="001808C1">
      <w:pPr>
        <w:pStyle w:val="IPPBullet1"/>
      </w:pPr>
      <w:r w:rsidRPr="00141CA9">
        <w:rPr>
          <w:rFonts w:eastAsiaTheme="minorHAnsi"/>
        </w:rPr>
        <w:t xml:space="preserve">Despite the lack of funding, </w:t>
      </w:r>
      <w:r>
        <w:t xml:space="preserve">the </w:t>
      </w:r>
      <w:r w:rsidRPr="00141CA9">
        <w:rPr>
          <w:rFonts w:eastAsiaTheme="minorHAnsi"/>
        </w:rPr>
        <w:t xml:space="preserve">APP </w:t>
      </w:r>
      <w:r w:rsidRPr="00141CA9">
        <w:rPr>
          <w:rFonts w:eastAsiaTheme="majorEastAsia"/>
        </w:rPr>
        <w:t>Secret</w:t>
      </w:r>
      <w:r w:rsidRPr="00141CA9">
        <w:rPr>
          <w:rFonts w:eastAsiaTheme="minorHAnsi"/>
        </w:rPr>
        <w:t xml:space="preserve">ariat should give more prominent role to </w:t>
      </w:r>
      <w:r>
        <w:t>RPPOs</w:t>
      </w:r>
      <w:r w:rsidRPr="0035083E">
        <w:t>.</w:t>
      </w:r>
      <w:r>
        <w:t xml:space="preserve"> For instance, the regional country enrolment in phases is somewhat discriminatory, as it </w:t>
      </w:r>
      <w:proofErr w:type="gramStart"/>
      <w:r>
        <w:t>exclude</w:t>
      </w:r>
      <w:proofErr w:type="gramEnd"/>
      <w:r>
        <w:t xml:space="preserve"> several countries. A pest-commodity commonalities of priority </w:t>
      </w:r>
      <w:proofErr w:type="gramStart"/>
      <w:r>
        <w:t>pests</w:t>
      </w:r>
      <w:proofErr w:type="gramEnd"/>
      <w:r>
        <w:t xml:space="preserve"> approach is suggested for greater coverage. </w:t>
      </w:r>
    </w:p>
    <w:p w14:paraId="56EC6B81" w14:textId="3A411F80" w:rsidR="00443CAB" w:rsidRPr="00141CA9" w:rsidRDefault="00F469ED" w:rsidP="001808C1">
      <w:pPr>
        <w:pStyle w:val="IPPBullet1"/>
      </w:pPr>
      <w:r w:rsidRPr="00141CA9">
        <w:t xml:space="preserve">Considering the migratory and seasonal pattern of the pests, it is very important that the countries that the project is established in establish a GIS model expert. </w:t>
      </w:r>
    </w:p>
    <w:p w14:paraId="138E9D61" w14:textId="16A25064" w:rsidR="00D64059" w:rsidRPr="00141CA9" w:rsidRDefault="00141CA9" w:rsidP="001808C1">
      <w:pPr>
        <w:pStyle w:val="IPPBullet1"/>
      </w:pPr>
      <w:r>
        <w:t xml:space="preserve">RPPOs can be involved in resource mobilization, </w:t>
      </w:r>
      <w:proofErr w:type="gramStart"/>
      <w:r>
        <w:t>trainings</w:t>
      </w:r>
      <w:proofErr w:type="gramEnd"/>
      <w:r>
        <w:t>, content development, communication and knowledge exchange between countries. The e</w:t>
      </w:r>
      <w:r w:rsidR="00B740C5">
        <w:t>stablishment of</w:t>
      </w:r>
      <w:r w:rsidR="0035083E">
        <w:t xml:space="preserve"> public-private </w:t>
      </w:r>
      <w:r w:rsidR="00B740C5" w:rsidRPr="00141CA9">
        <w:rPr>
          <w:rFonts w:eastAsiaTheme="majorEastAsia"/>
        </w:rPr>
        <w:t>partnerships</w:t>
      </w:r>
      <w:r w:rsidR="00B740C5">
        <w:t xml:space="preserve"> with </w:t>
      </w:r>
      <w:r w:rsidR="0035083E">
        <w:t>NARS</w:t>
      </w:r>
      <w:r w:rsidR="00B740C5">
        <w:t>, private sector bodies</w:t>
      </w:r>
      <w:r>
        <w:t xml:space="preserve"> </w:t>
      </w:r>
      <w:proofErr w:type="gramStart"/>
      <w:r>
        <w:t>forum</w:t>
      </w:r>
      <w:proofErr w:type="gramEnd"/>
      <w:r>
        <w:t xml:space="preserve"> could be an opportunity for engagement and resource mobilization</w:t>
      </w:r>
      <w:r w:rsidR="00B740C5">
        <w:t>.</w:t>
      </w:r>
    </w:p>
    <w:p w14:paraId="7376D696" w14:textId="77777777" w:rsidR="00F469ED" w:rsidRPr="00443CAB" w:rsidRDefault="00F469ED" w:rsidP="001808C1">
      <w:pPr>
        <w:pStyle w:val="ListParagraph"/>
        <w:numPr>
          <w:ilvl w:val="0"/>
          <w:numId w:val="1"/>
        </w:numPr>
        <w:ind w:left="1240"/>
        <w:rPr>
          <w:b/>
          <w:bCs/>
          <w:lang w:val="en-US"/>
        </w:rPr>
      </w:pPr>
      <w:r w:rsidRPr="00443CAB">
        <w:rPr>
          <w:b/>
          <w:bCs/>
          <w:lang w:val="en-US"/>
        </w:rPr>
        <w:br w:type="page"/>
      </w:r>
    </w:p>
    <w:p w14:paraId="638DD3B2" w14:textId="21D49578" w:rsidR="00510711" w:rsidRDefault="00510711" w:rsidP="001808C1">
      <w:pPr>
        <w:pStyle w:val="IPPHeading1"/>
        <w:rPr>
          <w:lang w:val="en-US"/>
        </w:rPr>
      </w:pPr>
      <w:r w:rsidRPr="00510711">
        <w:rPr>
          <w:lang w:val="en-US"/>
        </w:rPr>
        <w:lastRenderedPageBreak/>
        <w:t>References</w:t>
      </w:r>
    </w:p>
    <w:p w14:paraId="00B3AE00" w14:textId="5D0D5A08" w:rsidR="00141CA9" w:rsidRPr="003A696F" w:rsidRDefault="00141CA9" w:rsidP="001808C1">
      <w:pPr>
        <w:pStyle w:val="IPPReferences"/>
        <w:rPr>
          <w:lang w:val="en-US"/>
        </w:rPr>
      </w:pPr>
      <w:r w:rsidRPr="003A696F">
        <w:rPr>
          <w:lang w:val="en-US"/>
        </w:rPr>
        <w:t>Plant Health Strategy for Africa PHSA</w:t>
      </w:r>
      <w:r w:rsidR="003A696F">
        <w:rPr>
          <w:lang w:val="en-US"/>
        </w:rPr>
        <w:t xml:space="preserve"> and Implementation Plan, African Union </w:t>
      </w:r>
      <w:proofErr w:type="spellStart"/>
      <w:r w:rsidR="003A696F">
        <w:rPr>
          <w:lang w:val="en-US"/>
        </w:rPr>
        <w:t>InterAfrican</w:t>
      </w:r>
      <w:proofErr w:type="spellEnd"/>
      <w:r w:rsidR="003A696F">
        <w:rPr>
          <w:lang w:val="en-US"/>
        </w:rPr>
        <w:t xml:space="preserve"> Phytosanitary Councils (AU-IAPSC), 2024.</w:t>
      </w:r>
    </w:p>
    <w:p w14:paraId="2FEC6320" w14:textId="06E94591" w:rsidR="00141CA9" w:rsidRPr="003A696F" w:rsidRDefault="00141CA9" w:rsidP="001808C1">
      <w:pPr>
        <w:pStyle w:val="IPPReferences"/>
        <w:rPr>
          <w:lang w:val="en-US"/>
        </w:rPr>
      </w:pPr>
      <w:r w:rsidRPr="003A696F">
        <w:rPr>
          <w:lang w:val="en-US"/>
        </w:rPr>
        <w:t>IPPC Website APP</w:t>
      </w:r>
      <w:r w:rsidR="00C86F8E" w:rsidRPr="003A696F">
        <w:rPr>
          <w:lang w:val="en-US"/>
        </w:rPr>
        <w:t xml:space="preserve"> </w:t>
      </w:r>
      <w:hyperlink r:id="rId19" w:history="1">
        <w:r w:rsidR="00C86F8E" w:rsidRPr="003A696F">
          <w:rPr>
            <w:rStyle w:val="Hyperlink"/>
            <w:lang w:val="en-US"/>
          </w:rPr>
          <w:t>https://www.ippc.int/en/about-app/</w:t>
        </w:r>
      </w:hyperlink>
      <w:r w:rsidR="00C86F8E" w:rsidRPr="003A696F">
        <w:rPr>
          <w:lang w:val="en-US"/>
        </w:rPr>
        <w:t xml:space="preserve"> </w:t>
      </w:r>
    </w:p>
    <w:p w14:paraId="00B389A0" w14:textId="6CC6DCCC" w:rsidR="00C86F8E" w:rsidRPr="003A696F" w:rsidRDefault="00C86F8E" w:rsidP="001808C1">
      <w:pPr>
        <w:pStyle w:val="IPPReferences"/>
      </w:pPr>
      <w:r w:rsidRPr="003A696F">
        <w:t xml:space="preserve">Niassy, S.; Murithii, B.; Omuse, E.R.; Kimathi, E.; Tonnang, H.; Ndlela, S.; Mohamed, S.; Ekesi, S. Insight on Fruit Fly IPM Technology Uptake and Barriers to Scaling in Africa. </w:t>
      </w:r>
      <w:r w:rsidRPr="003A696F">
        <w:rPr>
          <w:rStyle w:val="Emphasis"/>
          <w:rFonts w:eastAsiaTheme="majorEastAsia"/>
        </w:rPr>
        <w:t>Sustainability</w:t>
      </w:r>
      <w:r w:rsidRPr="003A696F">
        <w:t xml:space="preserve"> 2022, </w:t>
      </w:r>
      <w:r w:rsidRPr="003A696F">
        <w:rPr>
          <w:rStyle w:val="Emphasis"/>
          <w:rFonts w:eastAsiaTheme="majorEastAsia"/>
        </w:rPr>
        <w:t>14</w:t>
      </w:r>
      <w:r w:rsidRPr="003A696F">
        <w:t>, 2954. https://doi.org/10.3390/su14052954</w:t>
      </w:r>
    </w:p>
    <w:p w14:paraId="730ABE97" w14:textId="77777777" w:rsidR="003A696F" w:rsidRPr="003A696F" w:rsidRDefault="003A696F" w:rsidP="001808C1">
      <w:pPr>
        <w:pStyle w:val="IPPReferences"/>
      </w:pPr>
      <w:proofErr w:type="spellStart"/>
      <w:r w:rsidRPr="003A696F">
        <w:t>Guimapi</w:t>
      </w:r>
      <w:proofErr w:type="spellEnd"/>
      <w:r w:rsidRPr="003A696F">
        <w:t xml:space="preserve">, R. A., Niassy, S., </w:t>
      </w:r>
      <w:proofErr w:type="spellStart"/>
      <w:r w:rsidRPr="003A696F">
        <w:t>Mudereri</w:t>
      </w:r>
      <w:proofErr w:type="spellEnd"/>
      <w:r w:rsidRPr="003A696F">
        <w:t>, B. T., Abdel-Rahman, E. M., Tepa-</w:t>
      </w:r>
      <w:proofErr w:type="spellStart"/>
      <w:r w:rsidRPr="003A696F">
        <w:t>Yotto</w:t>
      </w:r>
      <w:proofErr w:type="spellEnd"/>
      <w:r w:rsidRPr="003A696F">
        <w:t xml:space="preserve">, G. T., Subramanian, S., Mohamed, S. A., Thunes, K. H., Kimathi, E., </w:t>
      </w:r>
      <w:proofErr w:type="spellStart"/>
      <w:r w:rsidRPr="003A696F">
        <w:t>Agboka</w:t>
      </w:r>
      <w:proofErr w:type="spellEnd"/>
      <w:r w:rsidRPr="003A696F">
        <w:t xml:space="preserve">, K. M., </w:t>
      </w:r>
      <w:proofErr w:type="spellStart"/>
      <w:r w:rsidRPr="003A696F">
        <w:t>Tamò</w:t>
      </w:r>
      <w:proofErr w:type="spellEnd"/>
      <w:r w:rsidRPr="003A696F">
        <w:t xml:space="preserve">, M., </w:t>
      </w:r>
      <w:proofErr w:type="spellStart"/>
      <w:r w:rsidRPr="003A696F">
        <w:t>Rwaburindi</w:t>
      </w:r>
      <w:proofErr w:type="spellEnd"/>
      <w:r w:rsidRPr="003A696F">
        <w:t xml:space="preserve">, J. C., Hadi, B., Elkahky, M., Sæthre, M. G., Belayneh, Y., Ekesi, S., </w:t>
      </w:r>
      <w:proofErr w:type="spellStart"/>
      <w:r w:rsidRPr="003A696F">
        <w:t>Kelemu</w:t>
      </w:r>
      <w:proofErr w:type="spellEnd"/>
      <w:r w:rsidRPr="003A696F">
        <w:t xml:space="preserve">, S., &amp; </w:t>
      </w:r>
      <w:proofErr w:type="spellStart"/>
      <w:r w:rsidRPr="003A696F">
        <w:t>Tonnang</w:t>
      </w:r>
      <w:proofErr w:type="spellEnd"/>
      <w:r w:rsidRPr="003A696F">
        <w:t>, H. E. Z. (2022). Harnessing data science to improve integrated management of invasive pest species across Africa: An application to Fall armyworm (</w:t>
      </w:r>
      <w:r w:rsidRPr="003A696F">
        <w:rPr>
          <w:i/>
          <w:iCs/>
        </w:rPr>
        <w:t xml:space="preserve">Spodoptera </w:t>
      </w:r>
      <w:proofErr w:type="spellStart"/>
      <w:r w:rsidRPr="003A696F">
        <w:rPr>
          <w:i/>
          <w:iCs/>
        </w:rPr>
        <w:t>frugiperda</w:t>
      </w:r>
      <w:proofErr w:type="spellEnd"/>
      <w:r w:rsidRPr="003A696F">
        <w:t xml:space="preserve">) (J.E. Smith) (Lepidoptera: </w:t>
      </w:r>
      <w:proofErr w:type="spellStart"/>
      <w:r w:rsidRPr="003A696F">
        <w:t>Noctuidae</w:t>
      </w:r>
      <w:proofErr w:type="spellEnd"/>
      <w:r w:rsidRPr="003A696F">
        <w:t xml:space="preserve">). </w:t>
      </w:r>
      <w:r w:rsidRPr="003A696F">
        <w:rPr>
          <w:i/>
          <w:iCs/>
        </w:rPr>
        <w:t>Global Ecology and Conservation</w:t>
      </w:r>
      <w:r w:rsidRPr="003A696F">
        <w:t xml:space="preserve">, </w:t>
      </w:r>
      <w:r w:rsidRPr="003A696F">
        <w:rPr>
          <w:i/>
          <w:iCs/>
        </w:rPr>
        <w:t>35</w:t>
      </w:r>
      <w:r w:rsidRPr="003A696F">
        <w:t>. https://doi.org/10.1016/j.gecco.2022.e02056</w:t>
      </w:r>
    </w:p>
    <w:p w14:paraId="798611B3" w14:textId="757C5056" w:rsidR="003A696F" w:rsidRPr="003A696F" w:rsidRDefault="00C86F8E" w:rsidP="001808C1">
      <w:pPr>
        <w:pStyle w:val="IPPReferences"/>
        <w:rPr>
          <w:i/>
          <w:iCs/>
        </w:rPr>
      </w:pPr>
      <w:r w:rsidRPr="003A696F">
        <w:t>The African Phytosanitary Programme (APP) progress update, CPM 2025/38 Agenda item:16.2, (Prepared by the IPPC Secretariat) 4 pages</w:t>
      </w:r>
    </w:p>
    <w:p w14:paraId="2FC40DB8" w14:textId="443214E4" w:rsidR="00C86F8E" w:rsidRPr="003A696F" w:rsidRDefault="00C86F8E" w:rsidP="001808C1">
      <w:pPr>
        <w:pStyle w:val="IPPReferences"/>
        <w:rPr>
          <w:lang w:val="en-US"/>
        </w:rPr>
      </w:pPr>
      <w:r w:rsidRPr="003A696F">
        <w:rPr>
          <w:lang w:val="en-US"/>
        </w:rPr>
        <w:t xml:space="preserve">Agenda Item 16.2 Update on Africa Phytosanitary </w:t>
      </w:r>
      <w:proofErr w:type="spellStart"/>
      <w:r w:rsidRPr="003A696F">
        <w:rPr>
          <w:lang w:val="en-US"/>
        </w:rPr>
        <w:t>Programme</w:t>
      </w:r>
      <w:proofErr w:type="spellEnd"/>
      <w:r w:rsidR="000751D1">
        <w:rPr>
          <w:lang w:val="en-US"/>
        </w:rPr>
        <w:t>,</w:t>
      </w:r>
      <w:r w:rsidRPr="003A696F">
        <w:rPr>
          <w:lang w:val="en-US"/>
        </w:rPr>
        <w:t xml:space="preserve"> Submitted by United Kingdom, March 2025, Refer to CPM 2025/38. CPM 2025/38</w:t>
      </w:r>
    </w:p>
    <w:p w14:paraId="53E344DE" w14:textId="67DB19BE" w:rsidR="00C86F8E" w:rsidRPr="00141CA9" w:rsidRDefault="00C86F8E" w:rsidP="00C86F8E">
      <w:pPr>
        <w:rPr>
          <w:lang w:val="en-US"/>
        </w:rPr>
      </w:pPr>
    </w:p>
    <w:sectPr w:rsidR="00C86F8E" w:rsidRPr="00141CA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FF984C" w14:textId="77777777" w:rsidR="00046C47" w:rsidRDefault="00046C47" w:rsidP="00046C47">
      <w:r>
        <w:separator/>
      </w:r>
    </w:p>
  </w:endnote>
  <w:endnote w:type="continuationSeparator" w:id="0">
    <w:p w14:paraId="2E6D0DE4" w14:textId="77777777" w:rsidR="00046C47" w:rsidRDefault="00046C47" w:rsidP="00046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HelveticaNeueLT Std Lt">
    <w:altName w:val="HelveticaNeueLT Std Lt"/>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9DDAE" w14:textId="30FD5311" w:rsidR="001808C1" w:rsidRDefault="001808C1" w:rsidP="004B0502">
    <w:pPr>
      <w:pStyle w:val="IPPFooterLandscape"/>
    </w:pPr>
    <w:r w:rsidRPr="00A62A0E">
      <w:t>International Plant Protection Convention</w:t>
    </w:r>
    <w:r w:rsidRPr="00A62A0E">
      <w:tab/>
    </w:r>
    <w:r w:rsidRPr="001808C1">
      <w:rPr>
        <w:rStyle w:val="PageNumber"/>
        <w:b/>
        <w:bCs/>
      </w:rPr>
      <w:t xml:space="preserve">Page </w:t>
    </w:r>
    <w:r w:rsidRPr="001808C1">
      <w:rPr>
        <w:rStyle w:val="PageNumber"/>
        <w:b/>
        <w:bCs/>
      </w:rPr>
      <w:fldChar w:fldCharType="begin"/>
    </w:r>
    <w:r w:rsidRPr="001808C1">
      <w:rPr>
        <w:rStyle w:val="PageNumber"/>
        <w:b/>
        <w:bCs/>
      </w:rPr>
      <w:instrText xml:space="preserve"> PAGE </w:instrText>
    </w:r>
    <w:r w:rsidRPr="001808C1">
      <w:rPr>
        <w:rStyle w:val="PageNumber"/>
        <w:b/>
        <w:bCs/>
      </w:rPr>
      <w:fldChar w:fldCharType="separate"/>
    </w:r>
    <w:r>
      <w:rPr>
        <w:rStyle w:val="PageNumber"/>
        <w:b/>
        <w:bCs/>
      </w:rPr>
      <w:t>1</w:t>
    </w:r>
    <w:r w:rsidRPr="001808C1">
      <w:rPr>
        <w:rStyle w:val="PageNumber"/>
        <w:b/>
        <w:bCs/>
      </w:rPr>
      <w:fldChar w:fldCharType="end"/>
    </w:r>
    <w:r w:rsidRPr="001808C1">
      <w:rPr>
        <w:rStyle w:val="PageNumber"/>
        <w:b/>
        <w:bCs/>
      </w:rPr>
      <w:t xml:space="preserve"> of </w:t>
    </w:r>
    <w:r w:rsidRPr="001808C1">
      <w:rPr>
        <w:rStyle w:val="PageNumber"/>
        <w:b/>
        <w:bCs/>
      </w:rPr>
      <w:fldChar w:fldCharType="begin"/>
    </w:r>
    <w:r w:rsidRPr="001808C1">
      <w:rPr>
        <w:rStyle w:val="PageNumber"/>
        <w:b/>
        <w:bCs/>
      </w:rPr>
      <w:instrText xml:space="preserve"> NUMPAGES </w:instrText>
    </w:r>
    <w:r w:rsidRPr="001808C1">
      <w:rPr>
        <w:rStyle w:val="PageNumber"/>
        <w:b/>
        <w:bCs/>
      </w:rPr>
      <w:fldChar w:fldCharType="separate"/>
    </w:r>
    <w:r>
      <w:rPr>
        <w:rStyle w:val="PageNumber"/>
        <w:b/>
        <w:bCs/>
      </w:rPr>
      <w:t>12</w:t>
    </w:r>
    <w:r w:rsidRPr="001808C1">
      <w:rPr>
        <w:rStyle w:val="PageNumbe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3CD12" w14:textId="38389703" w:rsidR="001808C1" w:rsidRDefault="001808C1" w:rsidP="001808C1">
    <w:pPr>
      <w:pStyle w:val="IPPFooter"/>
      <w:tabs>
        <w:tab w:val="clear" w:pos="9072"/>
        <w:tab w:val="right" w:pos="9360"/>
      </w:tabs>
      <w:jc w:val="left"/>
    </w:pPr>
    <w:r w:rsidRPr="00A62A0E">
      <w:t>International Plant Protection Convention</w:t>
    </w:r>
    <w:r w:rsidRPr="00A62A0E">
      <w:tab/>
    </w:r>
    <w:r w:rsidRPr="001808C1">
      <w:rPr>
        <w:rStyle w:val="PageNumber"/>
        <w:b/>
        <w:bCs/>
      </w:rPr>
      <w:t xml:space="preserve">Page </w:t>
    </w:r>
    <w:r w:rsidRPr="001808C1">
      <w:rPr>
        <w:rStyle w:val="PageNumber"/>
        <w:b/>
        <w:bCs/>
      </w:rPr>
      <w:fldChar w:fldCharType="begin"/>
    </w:r>
    <w:r w:rsidRPr="001808C1">
      <w:rPr>
        <w:rStyle w:val="PageNumber"/>
        <w:b/>
        <w:bCs/>
      </w:rPr>
      <w:instrText xml:space="preserve"> PAGE </w:instrText>
    </w:r>
    <w:r w:rsidRPr="001808C1">
      <w:rPr>
        <w:rStyle w:val="PageNumber"/>
        <w:b/>
        <w:bCs/>
      </w:rPr>
      <w:fldChar w:fldCharType="separate"/>
    </w:r>
    <w:r w:rsidRPr="001808C1">
      <w:rPr>
        <w:rStyle w:val="PageNumber"/>
        <w:b/>
        <w:bCs/>
      </w:rPr>
      <w:t>1</w:t>
    </w:r>
    <w:r w:rsidRPr="001808C1">
      <w:rPr>
        <w:rStyle w:val="PageNumber"/>
        <w:b/>
        <w:bCs/>
      </w:rPr>
      <w:fldChar w:fldCharType="end"/>
    </w:r>
    <w:r w:rsidRPr="001808C1">
      <w:rPr>
        <w:rStyle w:val="PageNumber"/>
        <w:b/>
        <w:bCs/>
      </w:rPr>
      <w:t xml:space="preserve"> of </w:t>
    </w:r>
    <w:r w:rsidRPr="001808C1">
      <w:rPr>
        <w:rStyle w:val="PageNumber"/>
        <w:b/>
        <w:bCs/>
      </w:rPr>
      <w:fldChar w:fldCharType="begin"/>
    </w:r>
    <w:r w:rsidRPr="001808C1">
      <w:rPr>
        <w:rStyle w:val="PageNumber"/>
        <w:b/>
        <w:bCs/>
      </w:rPr>
      <w:instrText xml:space="preserve"> NUMPAGES </w:instrText>
    </w:r>
    <w:r w:rsidRPr="001808C1">
      <w:rPr>
        <w:rStyle w:val="PageNumber"/>
        <w:b/>
        <w:bCs/>
      </w:rPr>
      <w:fldChar w:fldCharType="separate"/>
    </w:r>
    <w:r w:rsidRPr="001808C1">
      <w:rPr>
        <w:rStyle w:val="PageNumber"/>
        <w:b/>
        <w:bCs/>
      </w:rPr>
      <w:t>4</w:t>
    </w:r>
    <w:r w:rsidRPr="001808C1">
      <w:rPr>
        <w:rStyle w:val="PageNumbe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7CF9D2" w14:textId="77777777" w:rsidR="00046C47" w:rsidRDefault="00046C47" w:rsidP="00046C47">
      <w:r>
        <w:separator/>
      </w:r>
    </w:p>
  </w:footnote>
  <w:footnote w:type="continuationSeparator" w:id="0">
    <w:p w14:paraId="20CD2574" w14:textId="77777777" w:rsidR="00046C47" w:rsidRDefault="00046C47" w:rsidP="00046C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20EF1" w14:textId="221C2EAD" w:rsidR="001808C1" w:rsidRPr="0076596B" w:rsidRDefault="001808C1" w:rsidP="001808C1">
    <w:pPr>
      <w:pStyle w:val="IPPHeader"/>
      <w:tabs>
        <w:tab w:val="clear" w:pos="1134"/>
      </w:tabs>
      <w:spacing w:after="0"/>
    </w:pPr>
    <w:r>
      <w:t>32_SPG_2025</w:t>
    </w:r>
    <w:r w:rsidRPr="00606019">
      <w:t>_</w:t>
    </w:r>
    <w:r>
      <w:t>Oct</w:t>
    </w:r>
    <w:r w:rsidRPr="00046C47">
      <w:t xml:space="preserve"> </w:t>
    </w:r>
    <w:r>
      <w:t>(12.2)</w:t>
    </w:r>
    <w:r>
      <w:ptab w:relativeTo="margin" w:alignment="right" w:leader="none"/>
    </w:r>
    <w:r w:rsidRPr="00046C47">
      <w:t>An in-flight adjustment to sustain the impact of the APP</w:t>
    </w:r>
  </w:p>
  <w:p w14:paraId="2495588D" w14:textId="77777777" w:rsidR="001808C1" w:rsidRDefault="001808C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000AA" w14:textId="031F3C24" w:rsidR="00046C47" w:rsidRDefault="00046C47" w:rsidP="00046C47">
    <w:pPr>
      <w:pStyle w:val="IPPHeader"/>
      <w:tabs>
        <w:tab w:val="clear" w:pos="1134"/>
      </w:tabs>
      <w:spacing w:before="240" w:after="0"/>
    </w:pPr>
    <w:bookmarkStart w:id="1" w:name="_Hlk38796923"/>
    <w:bookmarkStart w:id="2" w:name="_Hlk38796924"/>
    <w:r>
      <w:rPr>
        <w:i/>
        <w:iCs/>
        <w:noProof/>
        <w14:ligatures w14:val="standardContextual"/>
      </w:rPr>
      <w:drawing>
        <wp:anchor distT="0" distB="0" distL="114300" distR="114300" simplePos="0" relativeHeight="251661312" behindDoc="0" locked="0" layoutInCell="1" allowOverlap="1" wp14:anchorId="3C634DBD" wp14:editId="48AA2DAB">
          <wp:simplePos x="0" y="0"/>
          <wp:positionH relativeFrom="page">
            <wp:posOffset>2520315</wp:posOffset>
          </wp:positionH>
          <wp:positionV relativeFrom="page">
            <wp:posOffset>558165</wp:posOffset>
          </wp:positionV>
          <wp:extent cx="1756800" cy="698400"/>
          <wp:effectExtent l="0" t="0" r="0" b="6985"/>
          <wp:wrapSquare wrapText="bothSides"/>
          <wp:docPr id="1770423598" name="Picture 2"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319013" name="Picture 2" descr="A logo of a company&#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756800" cy="6984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2336" behindDoc="0" locked="0" layoutInCell="1" allowOverlap="1" wp14:anchorId="43A6C313" wp14:editId="6F969474">
              <wp:simplePos x="0" y="0"/>
              <wp:positionH relativeFrom="margin">
                <wp:posOffset>1574800</wp:posOffset>
              </wp:positionH>
              <wp:positionV relativeFrom="page">
                <wp:posOffset>720090</wp:posOffset>
              </wp:positionV>
              <wp:extent cx="0" cy="360000"/>
              <wp:effectExtent l="0" t="0" r="38100" b="21590"/>
              <wp:wrapNone/>
              <wp:docPr id="320414918" name="Straight Connector 1"/>
              <wp:cNvGraphicFramePr/>
              <a:graphic xmlns:a="http://schemas.openxmlformats.org/drawingml/2006/main">
                <a:graphicData uri="http://schemas.microsoft.com/office/word/2010/wordprocessingShape">
                  <wps:wsp>
                    <wps:cNvCnPr/>
                    <wps:spPr>
                      <a:xfrm>
                        <a:off x="0" y="0"/>
                        <a:ext cx="0" cy="360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9D43E23" id="Straight Connector 1" o:spid="_x0000_s1026" style="position:absolute;z-index:251662336;visibility:visible;mso-wrap-style:square;mso-height-percent:0;mso-wrap-distance-left:9pt;mso-wrap-distance-top:0;mso-wrap-distance-right:9pt;mso-wrap-distance-bottom:0;mso-position-horizontal:absolute;mso-position-horizontal-relative:margin;mso-position-vertical:absolute;mso-position-vertical-relative:page;mso-height-percent:0;mso-height-relative:margin" from="124pt,56.7pt" to="124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QPcrgEAANMDAAAOAAAAZHJzL2Uyb0RvYy54bWysU8Fu3CAQvVfKPyDuWbypFEXWenNIlF6q&#10;NmraDyB4WCMBg4CuvX/fAe/aUVupalUfxjDMezPzGHb3k7PsCDEZ9B3fbhrOwCvsjT90/NvXp+s7&#10;zlKWvpcWPXT8BInf76/e7cbQwg0OaHuIjEh8asfQ8SHn0AqR1ABOpg0G8HSoMTqZaRsPoo9yJHZn&#10;xU3T3IoRYx8iKkiJvI/zId9Xfq1B5c9aJ8jMdpxqy9XGal+LFfudbA9RhsGocxnyH6pw0nhKulA9&#10;yizZ92h+oXJGRUyo80ahE6i1UVB7oG62zU/dvAwyQO2FxElhkSn9P1r16fjgnyPJMIbUpvAcSxeT&#10;jq78qT42VbFOi1gwZaZmpyLv+9uGvqKjWHEhpvwB0LGy6Lg1vrQhW3n8mPIcegkpbuuLTWhN/2Ss&#10;rZsyAPBgIztKuro8bc8p3kRRwoIUa+V1lU8WZtYvoJnpqdZtzV6HauWUSoHPF17rKbrANFWwAJs/&#10;A8/xBQp14P4GvCBqZvR5ATvjMf4u+yqFnuMvCsx9FwlesT/VO63S0OTUyzlPeRnNt/sKX9/i/gcA&#10;AAD//wMAUEsDBBQABgAIAAAAIQCO37pK4AAAAAsBAAAPAAAAZHJzL2Rvd25yZXYueG1sTI9BS8NA&#10;EIXvgv9hGcGL2E3aWkvMpkigFw+CjRSP2+w0G8zOhuy2Sf+9Ix7scd57vPlevplcJ844hNaTgnSW&#10;gECqvWmpUfBZbR/XIELUZHTnCRVcMMCmuL3JdWb8SB943sVGcAmFTCuwMfaZlKG26HSY+R6JvaMf&#10;nI58Do00gx653HVyniQr6XRL/MHqHkuL9ffu5BR8NQ+L7b6iaizj+3Flp8v+7alU6v5uen0BEXGK&#10;/2H4xWd0KJjp4E9kgugUzJdr3hLZSBdLEJz4Uw6sPCcpyCKX1xuKHwAAAP//AwBQSwECLQAUAAYA&#10;CAAAACEAtoM4kv4AAADhAQAAEwAAAAAAAAAAAAAAAAAAAAAAW0NvbnRlbnRfVHlwZXNdLnhtbFBL&#10;AQItABQABgAIAAAAIQA4/SH/1gAAAJQBAAALAAAAAAAAAAAAAAAAAC8BAABfcmVscy8ucmVsc1BL&#10;AQItABQABgAIAAAAIQABMQPcrgEAANMDAAAOAAAAAAAAAAAAAAAAAC4CAABkcnMvZTJvRG9jLnht&#10;bFBLAQItABQABgAIAAAAIQCO37pK4AAAAAsBAAAPAAAAAAAAAAAAAAAAAAgEAABkcnMvZG93bnJl&#10;di54bWxQSwUGAAAAAAQABADzAAAAFQUAAAAA&#10;" strokecolor="black [3213]" strokeweight=".5pt">
              <v:stroke joinstyle="miter"/>
              <w10:wrap anchorx="margin" anchory="page"/>
            </v:line>
          </w:pict>
        </mc:Fallback>
      </mc:AlternateContent>
    </w:r>
    <w:r w:rsidRPr="000321A6">
      <w:rPr>
        <w:noProof/>
      </w:rPr>
      <w:drawing>
        <wp:anchor distT="0" distB="0" distL="114300" distR="114300" simplePos="0" relativeHeight="251659264" behindDoc="0" locked="0" layoutInCell="1" allowOverlap="1" wp14:anchorId="7ECA1D33" wp14:editId="2ACF1F7F">
          <wp:simplePos x="0" y="0"/>
          <wp:positionH relativeFrom="page">
            <wp:posOffset>0</wp:posOffset>
          </wp:positionH>
          <wp:positionV relativeFrom="page">
            <wp:posOffset>0</wp:posOffset>
          </wp:positionV>
          <wp:extent cx="7617600" cy="558000"/>
          <wp:effectExtent l="0" t="0" r="2540" b="0"/>
          <wp:wrapTopAndBottom/>
          <wp:docPr id="1025542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42983"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7617600" cy="5580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0288" behindDoc="0" locked="0" layoutInCell="1" allowOverlap="1" wp14:anchorId="66F80940" wp14:editId="5487CC57">
          <wp:simplePos x="0" y="0"/>
          <wp:positionH relativeFrom="page">
            <wp:posOffset>742950</wp:posOffset>
          </wp:positionH>
          <wp:positionV relativeFrom="page">
            <wp:posOffset>558165</wp:posOffset>
          </wp:positionV>
          <wp:extent cx="1728000" cy="698400"/>
          <wp:effectExtent l="0" t="0" r="5715" b="6985"/>
          <wp:wrapSquare wrapText="bothSides"/>
          <wp:docPr id="178518581" name="Picture 1" descr="A logo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423631" name="Picture 1" descr="A logo with text on it&#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728000" cy="698400"/>
                  </a:xfrm>
                  <a:prstGeom prst="rect">
                    <a:avLst/>
                  </a:prstGeom>
                </pic:spPr>
              </pic:pic>
            </a:graphicData>
          </a:graphic>
          <wp14:sizeRelH relativeFrom="margin">
            <wp14:pctWidth>0</wp14:pctWidth>
          </wp14:sizeRelH>
          <wp14:sizeRelV relativeFrom="margin">
            <wp14:pctHeight>0</wp14:pctHeight>
          </wp14:sizeRelV>
        </wp:anchor>
      </w:drawing>
    </w:r>
    <w:r>
      <w:tab/>
    </w:r>
    <w:r>
      <w:t>32</w:t>
    </w:r>
    <w:r>
      <w:t>_SPG_2025</w:t>
    </w:r>
    <w:r w:rsidRPr="00606019">
      <w:t>_</w:t>
    </w:r>
    <w:r>
      <w:t>Oct</w:t>
    </w:r>
  </w:p>
  <w:p w14:paraId="075678B1" w14:textId="5B62CA2A" w:rsidR="00046C47" w:rsidRDefault="00046C47" w:rsidP="00046C47">
    <w:pPr>
      <w:pStyle w:val="IPPHeader"/>
      <w:tabs>
        <w:tab w:val="clear" w:pos="1134"/>
      </w:tabs>
      <w:spacing w:after="0"/>
    </w:pPr>
    <w:r w:rsidRPr="0076596B">
      <w:tab/>
      <w:t xml:space="preserve">Agenda item: </w:t>
    </w:r>
    <w:r>
      <w:t>1</w:t>
    </w:r>
    <w:r>
      <w:t>2.</w:t>
    </w:r>
    <w:r>
      <w:t>2</w:t>
    </w:r>
  </w:p>
  <w:p w14:paraId="1B60C664" w14:textId="77777777" w:rsidR="00046C47" w:rsidRDefault="00046C47" w:rsidP="00046C47">
    <w:pPr>
      <w:pStyle w:val="IPPHeader"/>
      <w:tabs>
        <w:tab w:val="clear" w:pos="1134"/>
      </w:tabs>
      <w:spacing w:after="260"/>
    </w:pPr>
  </w:p>
  <w:p w14:paraId="6AA7A49F" w14:textId="6D26A379" w:rsidR="00046C47" w:rsidRPr="0076596B" w:rsidRDefault="00046C47" w:rsidP="00046C47">
    <w:pPr>
      <w:pStyle w:val="IPPHeader"/>
      <w:tabs>
        <w:tab w:val="clear" w:pos="1134"/>
      </w:tabs>
      <w:spacing w:after="0"/>
    </w:pPr>
    <w:r w:rsidRPr="00046C47">
      <w:t xml:space="preserve">An in-flight adjustment to sustain the impact of the Africa Phytosanitary </w:t>
    </w:r>
    <w:proofErr w:type="spellStart"/>
    <w:r w:rsidRPr="00046C47">
      <w:t>Programme</w:t>
    </w:r>
    <w:proofErr w:type="spellEnd"/>
    <w:r w:rsidRPr="00046C47">
      <w:t xml:space="preserve"> (APP)</w:t>
    </w:r>
  </w:p>
  <w:bookmarkEnd w:id="1"/>
  <w:bookmarkEnd w:id="2"/>
  <w:p w14:paraId="5238BEE7" w14:textId="77777777" w:rsidR="00046C47" w:rsidRDefault="00046C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4C0A6C"/>
    <w:multiLevelType w:val="multilevel"/>
    <w:tmpl w:val="06E871E4"/>
    <w:numStyleLink w:val="IPPParagraphnumberedlist"/>
  </w:abstractNum>
  <w:abstractNum w:abstractNumId="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F8C702A"/>
    <w:multiLevelType w:val="hybridMultilevel"/>
    <w:tmpl w:val="922E5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5"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32259034">
    <w:abstractNumId w:val="3"/>
  </w:num>
  <w:num w:numId="2" w16cid:durableId="1226531976">
    <w:abstractNumId w:val="7"/>
  </w:num>
  <w:num w:numId="3" w16cid:durableId="1749381087">
    <w:abstractNumId w:val="2"/>
  </w:num>
  <w:num w:numId="4" w16cid:durableId="1634940127">
    <w:abstractNumId w:val="1"/>
  </w:num>
  <w:num w:numId="5" w16cid:durableId="1189366223">
    <w:abstractNumId w:val="4"/>
  </w:num>
  <w:num w:numId="6" w16cid:durableId="1358458346">
    <w:abstractNumId w:val="9"/>
  </w:num>
  <w:num w:numId="7" w16cid:durableId="636107580">
    <w:abstractNumId w:val="6"/>
  </w:num>
  <w:num w:numId="8" w16cid:durableId="735201531">
    <w:abstractNumId w:val="5"/>
  </w:num>
  <w:num w:numId="9" w16cid:durableId="625426921">
    <w:abstractNumId w:val="10"/>
  </w:num>
  <w:num w:numId="10" w16cid:durableId="1752699161">
    <w:abstractNumId w:val="0"/>
  </w:num>
  <w:num w:numId="11" w16cid:durableId="259989354">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linkStyl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75C0"/>
    <w:rsid w:val="000141DF"/>
    <w:rsid w:val="0002525E"/>
    <w:rsid w:val="00046C47"/>
    <w:rsid w:val="000505B5"/>
    <w:rsid w:val="000751D1"/>
    <w:rsid w:val="00091CE6"/>
    <w:rsid w:val="000A7692"/>
    <w:rsid w:val="0010140E"/>
    <w:rsid w:val="001213E4"/>
    <w:rsid w:val="001331A4"/>
    <w:rsid w:val="00141CA9"/>
    <w:rsid w:val="00162308"/>
    <w:rsid w:val="00180078"/>
    <w:rsid w:val="001808C1"/>
    <w:rsid w:val="00182636"/>
    <w:rsid w:val="0019651B"/>
    <w:rsid w:val="0025735C"/>
    <w:rsid w:val="00301C09"/>
    <w:rsid w:val="0032381A"/>
    <w:rsid w:val="00343E8D"/>
    <w:rsid w:val="0035083E"/>
    <w:rsid w:val="0035796F"/>
    <w:rsid w:val="00394943"/>
    <w:rsid w:val="003A696F"/>
    <w:rsid w:val="003E1B52"/>
    <w:rsid w:val="003F03ED"/>
    <w:rsid w:val="004155C1"/>
    <w:rsid w:val="00430E2F"/>
    <w:rsid w:val="00443CAB"/>
    <w:rsid w:val="004450A7"/>
    <w:rsid w:val="004640F8"/>
    <w:rsid w:val="00486545"/>
    <w:rsid w:val="004B0502"/>
    <w:rsid w:val="004D06D3"/>
    <w:rsid w:val="00501BBC"/>
    <w:rsid w:val="00510711"/>
    <w:rsid w:val="00511FA7"/>
    <w:rsid w:val="00513E07"/>
    <w:rsid w:val="00517609"/>
    <w:rsid w:val="00574C47"/>
    <w:rsid w:val="005901C9"/>
    <w:rsid w:val="005A5239"/>
    <w:rsid w:val="005B477F"/>
    <w:rsid w:val="005C1558"/>
    <w:rsid w:val="005F1F02"/>
    <w:rsid w:val="006371BA"/>
    <w:rsid w:val="00654ACE"/>
    <w:rsid w:val="00686576"/>
    <w:rsid w:val="00692366"/>
    <w:rsid w:val="006B55DB"/>
    <w:rsid w:val="006C5ABD"/>
    <w:rsid w:val="006E4F2B"/>
    <w:rsid w:val="006F7CA3"/>
    <w:rsid w:val="00705BCD"/>
    <w:rsid w:val="00710D42"/>
    <w:rsid w:val="00762F5F"/>
    <w:rsid w:val="007A26BD"/>
    <w:rsid w:val="00801A15"/>
    <w:rsid w:val="00833206"/>
    <w:rsid w:val="00835814"/>
    <w:rsid w:val="008575C0"/>
    <w:rsid w:val="00877B15"/>
    <w:rsid w:val="0088362A"/>
    <w:rsid w:val="008902D6"/>
    <w:rsid w:val="009124E0"/>
    <w:rsid w:val="00917C34"/>
    <w:rsid w:val="00935262"/>
    <w:rsid w:val="009F6B21"/>
    <w:rsid w:val="00A619CE"/>
    <w:rsid w:val="00AC2902"/>
    <w:rsid w:val="00AE17A5"/>
    <w:rsid w:val="00B37D86"/>
    <w:rsid w:val="00B608F1"/>
    <w:rsid w:val="00B740C5"/>
    <w:rsid w:val="00BC6611"/>
    <w:rsid w:val="00BD25F9"/>
    <w:rsid w:val="00C14B94"/>
    <w:rsid w:val="00C86F8E"/>
    <w:rsid w:val="00CA2F0A"/>
    <w:rsid w:val="00CC236A"/>
    <w:rsid w:val="00CF7036"/>
    <w:rsid w:val="00D13DAB"/>
    <w:rsid w:val="00D30533"/>
    <w:rsid w:val="00D509C7"/>
    <w:rsid w:val="00D64059"/>
    <w:rsid w:val="00E26F52"/>
    <w:rsid w:val="00E37A50"/>
    <w:rsid w:val="00E4702E"/>
    <w:rsid w:val="00E51ED2"/>
    <w:rsid w:val="00E57A1F"/>
    <w:rsid w:val="00E71A20"/>
    <w:rsid w:val="00E84049"/>
    <w:rsid w:val="00ED12C8"/>
    <w:rsid w:val="00EE0F03"/>
    <w:rsid w:val="00F469ED"/>
    <w:rsid w:val="00F72629"/>
    <w:rsid w:val="00F775F0"/>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E65688"/>
  <w15:chartTrackingRefBased/>
  <w15:docId w15:val="{7DFB62A6-6E3B-3946-97B4-EEFFD966BF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6C47"/>
    <w:pPr>
      <w:jc w:val="both"/>
    </w:pPr>
    <w:rPr>
      <w:rFonts w:ascii="Times New Roman" w:eastAsia="MS Mincho" w:hAnsi="Times New Roman" w:cs="Times New Roman"/>
      <w:kern w:val="0"/>
      <w:sz w:val="22"/>
      <w:lang w:val="en-GB"/>
      <w14:ligatures w14:val="none"/>
    </w:rPr>
  </w:style>
  <w:style w:type="paragraph" w:styleId="Heading1">
    <w:name w:val="heading 1"/>
    <w:basedOn w:val="Normal"/>
    <w:next w:val="Normal"/>
    <w:link w:val="Heading1Char"/>
    <w:qFormat/>
    <w:rsid w:val="00046C47"/>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046C47"/>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046C47"/>
    <w:pPr>
      <w:keepNext/>
      <w:spacing w:before="240" w:after="60"/>
      <w:outlineLvl w:val="2"/>
    </w:pPr>
    <w:rPr>
      <w:rFonts w:ascii="Calibri" w:hAnsi="Calibri"/>
      <w:b/>
      <w:bCs/>
      <w:sz w:val="26"/>
      <w:szCs w:val="26"/>
    </w:rPr>
  </w:style>
  <w:style w:type="paragraph" w:styleId="Heading4">
    <w:name w:val="heading 4"/>
    <w:basedOn w:val="Normal"/>
    <w:next w:val="Normal"/>
    <w:link w:val="Heading4Char"/>
    <w:uiPriority w:val="9"/>
    <w:semiHidden/>
    <w:unhideWhenUsed/>
    <w:qFormat/>
    <w:rsid w:val="008575C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575C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575C0"/>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575C0"/>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75C0"/>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75C0"/>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rsid w:val="00046C4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46C47"/>
  </w:style>
  <w:style w:type="character" w:customStyle="1" w:styleId="Heading1Char">
    <w:name w:val="Heading 1 Char"/>
    <w:basedOn w:val="DefaultParagraphFont"/>
    <w:link w:val="Heading1"/>
    <w:rsid w:val="00046C47"/>
    <w:rPr>
      <w:rFonts w:ascii="Times New Roman" w:eastAsia="MS Mincho" w:hAnsi="Times New Roman" w:cs="Times New Roman"/>
      <w:b/>
      <w:bCs/>
      <w:kern w:val="0"/>
      <w:sz w:val="22"/>
      <w:lang w:val="en-GB"/>
      <w14:ligatures w14:val="none"/>
    </w:rPr>
  </w:style>
  <w:style w:type="character" w:customStyle="1" w:styleId="Heading2Char">
    <w:name w:val="Heading 2 Char"/>
    <w:basedOn w:val="DefaultParagraphFont"/>
    <w:link w:val="Heading2"/>
    <w:rsid w:val="00046C47"/>
    <w:rPr>
      <w:rFonts w:ascii="Calibri" w:eastAsia="MS Mincho" w:hAnsi="Calibri" w:cs="Times New Roman"/>
      <w:b/>
      <w:bCs/>
      <w:i/>
      <w:iCs/>
      <w:kern w:val="0"/>
      <w:sz w:val="28"/>
      <w:szCs w:val="28"/>
      <w:lang w:val="en-GB"/>
      <w14:ligatures w14:val="none"/>
    </w:rPr>
  </w:style>
  <w:style w:type="character" w:customStyle="1" w:styleId="Heading3Char">
    <w:name w:val="Heading 3 Char"/>
    <w:basedOn w:val="DefaultParagraphFont"/>
    <w:link w:val="Heading3"/>
    <w:rsid w:val="00046C47"/>
    <w:rPr>
      <w:rFonts w:ascii="Calibri" w:eastAsia="MS Mincho" w:hAnsi="Calibri" w:cs="Times New Roman"/>
      <w:b/>
      <w:bCs/>
      <w:kern w:val="0"/>
      <w:sz w:val="26"/>
      <w:szCs w:val="26"/>
      <w:lang w:val="en-GB"/>
      <w14:ligatures w14:val="none"/>
    </w:rPr>
  </w:style>
  <w:style w:type="character" w:customStyle="1" w:styleId="Heading4Char">
    <w:name w:val="Heading 4 Char"/>
    <w:basedOn w:val="DefaultParagraphFont"/>
    <w:link w:val="Heading4"/>
    <w:uiPriority w:val="9"/>
    <w:semiHidden/>
    <w:rsid w:val="008575C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575C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575C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75C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75C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75C0"/>
    <w:rPr>
      <w:rFonts w:eastAsiaTheme="majorEastAsia" w:cstheme="majorBidi"/>
      <w:color w:val="272727" w:themeColor="text1" w:themeTint="D8"/>
    </w:rPr>
  </w:style>
  <w:style w:type="paragraph" w:styleId="Title">
    <w:name w:val="Title"/>
    <w:basedOn w:val="Normal"/>
    <w:next w:val="Normal"/>
    <w:link w:val="TitleChar"/>
    <w:uiPriority w:val="10"/>
    <w:qFormat/>
    <w:rsid w:val="008575C0"/>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575C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575C0"/>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575C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75C0"/>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8575C0"/>
    <w:rPr>
      <w:i/>
      <w:iCs/>
      <w:color w:val="404040" w:themeColor="text1" w:themeTint="BF"/>
    </w:rPr>
  </w:style>
  <w:style w:type="paragraph" w:styleId="ListParagraph">
    <w:name w:val="List Paragraph"/>
    <w:basedOn w:val="Normal"/>
    <w:uiPriority w:val="34"/>
    <w:qFormat/>
    <w:rsid w:val="00046C47"/>
    <w:pPr>
      <w:spacing w:line="240" w:lineRule="atLeast"/>
      <w:ind w:leftChars="400" w:left="800"/>
    </w:pPr>
    <w:rPr>
      <w:rFonts w:ascii="Verdana" w:eastAsia="Times New Roman" w:hAnsi="Verdana"/>
      <w:sz w:val="20"/>
      <w:lang w:val="nl-NL" w:eastAsia="nl-NL"/>
    </w:rPr>
  </w:style>
  <w:style w:type="character" w:styleId="IntenseEmphasis">
    <w:name w:val="Intense Emphasis"/>
    <w:basedOn w:val="DefaultParagraphFont"/>
    <w:uiPriority w:val="21"/>
    <w:qFormat/>
    <w:rsid w:val="008575C0"/>
    <w:rPr>
      <w:i/>
      <w:iCs/>
      <w:color w:val="0F4761" w:themeColor="accent1" w:themeShade="BF"/>
    </w:rPr>
  </w:style>
  <w:style w:type="paragraph" w:styleId="IntenseQuote">
    <w:name w:val="Intense Quote"/>
    <w:basedOn w:val="Normal"/>
    <w:next w:val="Normal"/>
    <w:link w:val="IntenseQuoteChar"/>
    <w:uiPriority w:val="30"/>
    <w:qFormat/>
    <w:rsid w:val="008575C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575C0"/>
    <w:rPr>
      <w:i/>
      <w:iCs/>
      <w:color w:val="0F4761" w:themeColor="accent1" w:themeShade="BF"/>
    </w:rPr>
  </w:style>
  <w:style w:type="character" w:styleId="IntenseReference">
    <w:name w:val="Intense Reference"/>
    <w:basedOn w:val="DefaultParagraphFont"/>
    <w:uiPriority w:val="32"/>
    <w:qFormat/>
    <w:rsid w:val="008575C0"/>
    <w:rPr>
      <w:b/>
      <w:bCs/>
      <w:smallCaps/>
      <w:color w:val="0F4761" w:themeColor="accent1" w:themeShade="BF"/>
      <w:spacing w:val="5"/>
    </w:rPr>
  </w:style>
  <w:style w:type="paragraph" w:customStyle="1" w:styleId="Default">
    <w:name w:val="Default"/>
    <w:rsid w:val="00D509C7"/>
    <w:pPr>
      <w:autoSpaceDE w:val="0"/>
      <w:autoSpaceDN w:val="0"/>
      <w:adjustRightInd w:val="0"/>
    </w:pPr>
    <w:rPr>
      <w:rFonts w:ascii="Times New Roman" w:hAnsi="Times New Roman" w:cs="Times New Roman"/>
      <w:color w:val="000000"/>
      <w:kern w:val="0"/>
      <w:lang w:val="en-GB"/>
    </w:rPr>
  </w:style>
  <w:style w:type="table" w:styleId="TableGrid">
    <w:name w:val="Table Grid"/>
    <w:basedOn w:val="TableNormal"/>
    <w:rsid w:val="00046C47"/>
    <w:rPr>
      <w:rFonts w:ascii="Cambria" w:eastAsia="MS Mincho" w:hAnsi="Cambria" w:cs="Times New Roman"/>
      <w:kern w:val="0"/>
      <w:sz w:val="20"/>
      <w:szCs w:val="20"/>
      <w:lang w:val="en-GB"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046C47"/>
    <w:rPr>
      <w:color w:val="0000FF"/>
      <w:u w:val="single"/>
    </w:rPr>
  </w:style>
  <w:style w:type="paragraph" w:styleId="NormalWeb">
    <w:name w:val="Normal (Web)"/>
    <w:basedOn w:val="Normal"/>
    <w:uiPriority w:val="99"/>
    <w:unhideWhenUsed/>
    <w:rsid w:val="000A7692"/>
    <w:pPr>
      <w:spacing w:before="100" w:beforeAutospacing="1" w:after="100" w:afterAutospacing="1"/>
    </w:pPr>
  </w:style>
  <w:style w:type="character" w:styleId="Emphasis">
    <w:name w:val="Emphasis"/>
    <w:basedOn w:val="DefaultParagraphFont"/>
    <w:uiPriority w:val="20"/>
    <w:qFormat/>
    <w:rsid w:val="000A7692"/>
    <w:rPr>
      <w:i/>
      <w:iCs/>
    </w:rPr>
  </w:style>
  <w:style w:type="character" w:styleId="Strong">
    <w:name w:val="Strong"/>
    <w:basedOn w:val="DefaultParagraphFont"/>
    <w:qFormat/>
    <w:rsid w:val="00046C47"/>
    <w:rPr>
      <w:b/>
      <w:bCs/>
    </w:rPr>
  </w:style>
  <w:style w:type="character" w:customStyle="1" w:styleId="ms-1">
    <w:name w:val="ms-1"/>
    <w:basedOn w:val="DefaultParagraphFont"/>
    <w:rsid w:val="000A7692"/>
  </w:style>
  <w:style w:type="character" w:customStyle="1" w:styleId="max-w-15ch">
    <w:name w:val="max-w-[15ch]"/>
    <w:basedOn w:val="DefaultParagraphFont"/>
    <w:rsid w:val="000A7692"/>
  </w:style>
  <w:style w:type="character" w:customStyle="1" w:styleId="-me-1">
    <w:name w:val="-me-1"/>
    <w:basedOn w:val="DefaultParagraphFont"/>
    <w:rsid w:val="000A7692"/>
  </w:style>
  <w:style w:type="paragraph" w:styleId="Caption">
    <w:name w:val="caption"/>
    <w:basedOn w:val="Normal"/>
    <w:next w:val="Normal"/>
    <w:uiPriority w:val="35"/>
    <w:unhideWhenUsed/>
    <w:qFormat/>
    <w:rsid w:val="006371BA"/>
    <w:pPr>
      <w:spacing w:after="200"/>
    </w:pPr>
    <w:rPr>
      <w:i/>
      <w:iCs/>
      <w:color w:val="0E2841" w:themeColor="text2"/>
      <w:sz w:val="18"/>
      <w:szCs w:val="18"/>
    </w:rPr>
  </w:style>
  <w:style w:type="table" w:customStyle="1" w:styleId="TableGrid1">
    <w:name w:val="Table Grid1"/>
    <w:basedOn w:val="TableNormal"/>
    <w:next w:val="TableGrid"/>
    <w:uiPriority w:val="39"/>
    <w:rsid w:val="00654ACE"/>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C86F8E"/>
    <w:rPr>
      <w:color w:val="605E5C"/>
      <w:shd w:val="clear" w:color="auto" w:fill="E1DFDD"/>
    </w:rPr>
  </w:style>
  <w:style w:type="character" w:customStyle="1" w:styleId="A6">
    <w:name w:val="A6"/>
    <w:uiPriority w:val="99"/>
    <w:rsid w:val="00C86F8E"/>
    <w:rPr>
      <w:rFonts w:cs="HelveticaNeueLT Std Lt"/>
      <w:color w:val="000000"/>
    </w:rPr>
  </w:style>
  <w:style w:type="paragraph" w:styleId="FootnoteText">
    <w:name w:val="footnote text"/>
    <w:basedOn w:val="Normal"/>
    <w:link w:val="FootnoteTextChar"/>
    <w:semiHidden/>
    <w:rsid w:val="00046C47"/>
    <w:pPr>
      <w:spacing w:before="60"/>
    </w:pPr>
    <w:rPr>
      <w:sz w:val="20"/>
    </w:rPr>
  </w:style>
  <w:style w:type="character" w:customStyle="1" w:styleId="FootnoteTextChar">
    <w:name w:val="Footnote Text Char"/>
    <w:basedOn w:val="DefaultParagraphFont"/>
    <w:link w:val="FootnoteText"/>
    <w:semiHidden/>
    <w:rsid w:val="00046C47"/>
    <w:rPr>
      <w:rFonts w:ascii="Times New Roman" w:eastAsia="MS Mincho" w:hAnsi="Times New Roman" w:cs="Times New Roman"/>
      <w:kern w:val="0"/>
      <w:sz w:val="20"/>
      <w:lang w:val="en-GB"/>
      <w14:ligatures w14:val="none"/>
    </w:rPr>
  </w:style>
  <w:style w:type="character" w:styleId="FootnoteReference">
    <w:name w:val="footnote reference"/>
    <w:basedOn w:val="DefaultParagraphFont"/>
    <w:semiHidden/>
    <w:rsid w:val="00046C47"/>
    <w:rPr>
      <w:vertAlign w:val="superscript"/>
    </w:rPr>
  </w:style>
  <w:style w:type="paragraph" w:customStyle="1" w:styleId="Style">
    <w:name w:val="Style"/>
    <w:basedOn w:val="Footer"/>
    <w:autoRedefine/>
    <w:qFormat/>
    <w:rsid w:val="00046C47"/>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styleId="Footer">
    <w:name w:val="footer"/>
    <w:basedOn w:val="Normal"/>
    <w:link w:val="FooterChar"/>
    <w:rsid w:val="00046C47"/>
    <w:pPr>
      <w:tabs>
        <w:tab w:val="center" w:pos="4680"/>
        <w:tab w:val="right" w:pos="9360"/>
      </w:tabs>
    </w:pPr>
  </w:style>
  <w:style w:type="character" w:customStyle="1" w:styleId="FooterChar">
    <w:name w:val="Footer Char"/>
    <w:basedOn w:val="DefaultParagraphFont"/>
    <w:link w:val="Footer"/>
    <w:rsid w:val="00046C47"/>
    <w:rPr>
      <w:rFonts w:ascii="Times New Roman" w:eastAsia="MS Mincho" w:hAnsi="Times New Roman" w:cs="Times New Roman"/>
      <w:kern w:val="0"/>
      <w:sz w:val="22"/>
      <w:lang w:val="en-GB"/>
      <w14:ligatures w14:val="none"/>
    </w:rPr>
  </w:style>
  <w:style w:type="character" w:styleId="PageNumber">
    <w:name w:val="page number"/>
    <w:rsid w:val="00046C47"/>
    <w:rPr>
      <w:rFonts w:ascii="Arial" w:hAnsi="Arial"/>
      <w:b/>
      <w:sz w:val="18"/>
    </w:rPr>
  </w:style>
  <w:style w:type="paragraph" w:customStyle="1" w:styleId="IPPArialFootnote">
    <w:name w:val="IPP Arial Footnote"/>
    <w:basedOn w:val="IPPArialTable"/>
    <w:qFormat/>
    <w:rsid w:val="00046C47"/>
    <w:pPr>
      <w:tabs>
        <w:tab w:val="left" w:pos="28"/>
      </w:tabs>
      <w:ind w:left="284" w:hanging="284"/>
    </w:pPr>
    <w:rPr>
      <w:sz w:val="16"/>
    </w:rPr>
  </w:style>
  <w:style w:type="paragraph" w:customStyle="1" w:styleId="IPPContentsHead">
    <w:name w:val="IPP ContentsHead"/>
    <w:basedOn w:val="IPPSubhead"/>
    <w:next w:val="IPPNormal"/>
    <w:qFormat/>
    <w:rsid w:val="00046C47"/>
    <w:pPr>
      <w:spacing w:after="240"/>
    </w:pPr>
    <w:rPr>
      <w:sz w:val="24"/>
    </w:rPr>
  </w:style>
  <w:style w:type="paragraph" w:styleId="BalloonText">
    <w:name w:val="Balloon Text"/>
    <w:basedOn w:val="Normal"/>
    <w:link w:val="BalloonTextChar"/>
    <w:rsid w:val="00046C47"/>
    <w:rPr>
      <w:rFonts w:ascii="Tahoma" w:hAnsi="Tahoma" w:cs="Tahoma"/>
      <w:sz w:val="16"/>
      <w:szCs w:val="16"/>
    </w:rPr>
  </w:style>
  <w:style w:type="character" w:customStyle="1" w:styleId="BalloonTextChar">
    <w:name w:val="Balloon Text Char"/>
    <w:basedOn w:val="DefaultParagraphFont"/>
    <w:link w:val="BalloonText"/>
    <w:rsid w:val="00046C47"/>
    <w:rPr>
      <w:rFonts w:ascii="Tahoma" w:eastAsia="MS Mincho" w:hAnsi="Tahoma" w:cs="Tahoma"/>
      <w:kern w:val="0"/>
      <w:sz w:val="16"/>
      <w:szCs w:val="16"/>
      <w:lang w:val="en-GB"/>
      <w14:ligatures w14:val="none"/>
    </w:rPr>
  </w:style>
  <w:style w:type="paragraph" w:customStyle="1" w:styleId="IPPBullet2">
    <w:name w:val="IPP Bullet2"/>
    <w:basedOn w:val="IPPNormal"/>
    <w:next w:val="IPPBullet1"/>
    <w:qFormat/>
    <w:rsid w:val="00046C47"/>
    <w:pPr>
      <w:numPr>
        <w:numId w:val="6"/>
      </w:numPr>
      <w:tabs>
        <w:tab w:val="left" w:pos="1134"/>
      </w:tabs>
      <w:spacing w:after="60"/>
      <w:ind w:left="1134" w:hanging="567"/>
    </w:pPr>
  </w:style>
  <w:style w:type="paragraph" w:customStyle="1" w:styleId="IPPQuote">
    <w:name w:val="IPP Quote"/>
    <w:basedOn w:val="IPPNormal"/>
    <w:qFormat/>
    <w:rsid w:val="00046C47"/>
    <w:pPr>
      <w:ind w:left="851" w:right="851"/>
    </w:pPr>
    <w:rPr>
      <w:sz w:val="18"/>
    </w:rPr>
  </w:style>
  <w:style w:type="paragraph" w:customStyle="1" w:styleId="IPPNormal">
    <w:name w:val="IPP Normal"/>
    <w:basedOn w:val="Normal"/>
    <w:qFormat/>
    <w:rsid w:val="00046C47"/>
    <w:pPr>
      <w:spacing w:after="180"/>
    </w:pPr>
    <w:rPr>
      <w:rFonts w:eastAsia="Times"/>
    </w:rPr>
  </w:style>
  <w:style w:type="paragraph" w:customStyle="1" w:styleId="IPPIndentClose">
    <w:name w:val="IPP Indent Close"/>
    <w:basedOn w:val="IPPNormal"/>
    <w:qFormat/>
    <w:rsid w:val="00046C47"/>
    <w:pPr>
      <w:tabs>
        <w:tab w:val="left" w:pos="2835"/>
      </w:tabs>
      <w:spacing w:after="60"/>
      <w:ind w:left="567"/>
    </w:pPr>
  </w:style>
  <w:style w:type="paragraph" w:customStyle="1" w:styleId="IPPIndent">
    <w:name w:val="IPP Indent"/>
    <w:basedOn w:val="IPPIndentClose"/>
    <w:qFormat/>
    <w:rsid w:val="00046C47"/>
    <w:pPr>
      <w:spacing w:after="180"/>
    </w:pPr>
  </w:style>
  <w:style w:type="paragraph" w:customStyle="1" w:styleId="IPPFootnote">
    <w:name w:val="IPP Footnote"/>
    <w:basedOn w:val="IPPArialFootnote"/>
    <w:qFormat/>
    <w:rsid w:val="00046C47"/>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046C47"/>
    <w:pPr>
      <w:keepNext/>
      <w:tabs>
        <w:tab w:val="left" w:pos="567"/>
      </w:tabs>
      <w:spacing w:before="120" w:after="120"/>
      <w:ind w:left="567" w:hanging="567"/>
    </w:pPr>
    <w:rPr>
      <w:b/>
      <w:i/>
    </w:rPr>
  </w:style>
  <w:style w:type="character" w:customStyle="1" w:styleId="IPPnormalitalics">
    <w:name w:val="IPP normal italics"/>
    <w:basedOn w:val="DefaultParagraphFont"/>
    <w:rsid w:val="00046C47"/>
    <w:rPr>
      <w:rFonts w:ascii="Times New Roman" w:hAnsi="Times New Roman"/>
      <w:i/>
      <w:sz w:val="22"/>
      <w:lang w:val="en-US"/>
    </w:rPr>
  </w:style>
  <w:style w:type="character" w:customStyle="1" w:styleId="IPPNormalbold">
    <w:name w:val="IPP Normal bold"/>
    <w:basedOn w:val="PlainTextChar"/>
    <w:rsid w:val="00046C47"/>
    <w:rPr>
      <w:rFonts w:ascii="Times New Roman" w:eastAsia="Times" w:hAnsi="Times New Roman" w:cs="Times New Roman"/>
      <w:b/>
      <w:kern w:val="0"/>
      <w:sz w:val="22"/>
      <w:szCs w:val="21"/>
      <w:lang w:val="en-AU"/>
      <w14:ligatures w14:val="none"/>
    </w:rPr>
  </w:style>
  <w:style w:type="paragraph" w:customStyle="1" w:styleId="IPPHeadSection">
    <w:name w:val="IPP HeadSection"/>
    <w:basedOn w:val="Normal"/>
    <w:next w:val="Normal"/>
    <w:qFormat/>
    <w:rsid w:val="00046C47"/>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046C47"/>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046C47"/>
    <w:pPr>
      <w:keepNext/>
      <w:ind w:left="567" w:hanging="567"/>
      <w:jc w:val="left"/>
    </w:pPr>
    <w:rPr>
      <w:b/>
      <w:bCs/>
      <w:iCs/>
      <w:szCs w:val="22"/>
    </w:rPr>
  </w:style>
  <w:style w:type="character" w:customStyle="1" w:styleId="IPPNormalunderlined">
    <w:name w:val="IPP Normal underlined"/>
    <w:basedOn w:val="DefaultParagraphFont"/>
    <w:rsid w:val="00046C47"/>
    <w:rPr>
      <w:rFonts w:ascii="Times New Roman" w:hAnsi="Times New Roman"/>
      <w:sz w:val="22"/>
      <w:u w:val="single"/>
      <w:lang w:val="en-US"/>
    </w:rPr>
  </w:style>
  <w:style w:type="paragraph" w:customStyle="1" w:styleId="IPPBullet1">
    <w:name w:val="IPP Bullet1"/>
    <w:basedOn w:val="IPPBullet1Last"/>
    <w:qFormat/>
    <w:rsid w:val="00046C47"/>
    <w:pPr>
      <w:numPr>
        <w:numId w:val="11"/>
      </w:numPr>
      <w:spacing w:after="60"/>
      <w:ind w:left="567" w:hanging="567"/>
    </w:pPr>
    <w:rPr>
      <w:lang w:val="en-US"/>
    </w:rPr>
  </w:style>
  <w:style w:type="paragraph" w:customStyle="1" w:styleId="IPPBullet1Last">
    <w:name w:val="IPP Bullet1Last"/>
    <w:basedOn w:val="IPPNormal"/>
    <w:next w:val="IPPNormal"/>
    <w:qFormat/>
    <w:rsid w:val="00046C47"/>
    <w:pPr>
      <w:numPr>
        <w:numId w:val="7"/>
      </w:numPr>
    </w:pPr>
  </w:style>
  <w:style w:type="character" w:customStyle="1" w:styleId="IPPNormalstrikethrough">
    <w:name w:val="IPP Normal strikethrough"/>
    <w:rsid w:val="00046C47"/>
    <w:rPr>
      <w:rFonts w:ascii="Times New Roman" w:hAnsi="Times New Roman"/>
      <w:strike/>
      <w:dstrike w:val="0"/>
      <w:sz w:val="22"/>
    </w:rPr>
  </w:style>
  <w:style w:type="paragraph" w:customStyle="1" w:styleId="IPPTitle16pt">
    <w:name w:val="IPP Title16pt"/>
    <w:basedOn w:val="Normal"/>
    <w:qFormat/>
    <w:rsid w:val="00046C47"/>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046C47"/>
    <w:pPr>
      <w:spacing w:after="360"/>
      <w:jc w:val="center"/>
    </w:pPr>
    <w:rPr>
      <w:rFonts w:ascii="Arial" w:hAnsi="Arial" w:cs="Arial"/>
      <w:b/>
      <w:bCs/>
      <w:sz w:val="36"/>
      <w:szCs w:val="36"/>
    </w:rPr>
  </w:style>
  <w:style w:type="paragraph" w:customStyle="1" w:styleId="IPPHeader">
    <w:name w:val="IPP Header"/>
    <w:basedOn w:val="Normal"/>
    <w:qFormat/>
    <w:rsid w:val="00046C47"/>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rsid w:val="00046C47"/>
    <w:pPr>
      <w:keepNext/>
      <w:tabs>
        <w:tab w:val="left" w:pos="567"/>
      </w:tabs>
      <w:spacing w:before="120"/>
      <w:jc w:val="left"/>
      <w:outlineLvl w:val="1"/>
    </w:pPr>
    <w:rPr>
      <w:b/>
      <w:sz w:val="24"/>
    </w:rPr>
  </w:style>
  <w:style w:type="numbering" w:customStyle="1" w:styleId="IPPParagraphnumberedlist">
    <w:name w:val="IPP Paragraph numbered list"/>
    <w:rsid w:val="00046C47"/>
    <w:pPr>
      <w:numPr>
        <w:numId w:val="5"/>
      </w:numPr>
    </w:pPr>
  </w:style>
  <w:style w:type="paragraph" w:customStyle="1" w:styleId="IPPNormalCloseSpace">
    <w:name w:val="IPP NormalCloseSpace"/>
    <w:basedOn w:val="Normal"/>
    <w:qFormat/>
    <w:rsid w:val="00046C47"/>
    <w:pPr>
      <w:keepNext/>
      <w:spacing w:after="60"/>
    </w:pPr>
  </w:style>
  <w:style w:type="paragraph" w:customStyle="1" w:styleId="IPPHeading2">
    <w:name w:val="IPP Heading2"/>
    <w:basedOn w:val="IPPNormal"/>
    <w:next w:val="IPPNormal"/>
    <w:qFormat/>
    <w:rsid w:val="00046C47"/>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046C47"/>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rsid w:val="00046C47"/>
    <w:pPr>
      <w:tabs>
        <w:tab w:val="right" w:leader="dot" w:pos="9072"/>
      </w:tabs>
      <w:spacing w:before="240"/>
      <w:ind w:left="567" w:hanging="567"/>
    </w:pPr>
  </w:style>
  <w:style w:type="paragraph" w:styleId="TOC2">
    <w:name w:val="toc 2"/>
    <w:basedOn w:val="TOC1"/>
    <w:next w:val="Normal"/>
    <w:autoRedefine/>
    <w:uiPriority w:val="39"/>
    <w:rsid w:val="00046C47"/>
    <w:pPr>
      <w:keepNext w:val="0"/>
      <w:tabs>
        <w:tab w:val="left" w:pos="425"/>
      </w:tabs>
      <w:spacing w:before="120" w:after="0"/>
      <w:ind w:left="425" w:right="284" w:hanging="425"/>
    </w:pPr>
  </w:style>
  <w:style w:type="paragraph" w:styleId="TOC3">
    <w:name w:val="toc 3"/>
    <w:basedOn w:val="TOC2"/>
    <w:next w:val="Normal"/>
    <w:autoRedefine/>
    <w:uiPriority w:val="39"/>
    <w:rsid w:val="00046C47"/>
    <w:pPr>
      <w:tabs>
        <w:tab w:val="left" w:pos="1276"/>
      </w:tabs>
      <w:spacing w:before="60"/>
      <w:ind w:left="1276" w:hanging="851"/>
    </w:pPr>
    <w:rPr>
      <w:rFonts w:eastAsia="Times"/>
    </w:rPr>
  </w:style>
  <w:style w:type="paragraph" w:styleId="TOC4">
    <w:name w:val="toc 4"/>
    <w:basedOn w:val="Normal"/>
    <w:next w:val="Normal"/>
    <w:autoRedefine/>
    <w:uiPriority w:val="39"/>
    <w:rsid w:val="00046C47"/>
    <w:pPr>
      <w:spacing w:after="120"/>
      <w:ind w:left="660"/>
    </w:pPr>
    <w:rPr>
      <w:rFonts w:eastAsia="Times"/>
      <w:lang w:val="en-AU"/>
    </w:rPr>
  </w:style>
  <w:style w:type="paragraph" w:styleId="TOC5">
    <w:name w:val="toc 5"/>
    <w:basedOn w:val="Normal"/>
    <w:next w:val="Normal"/>
    <w:autoRedefine/>
    <w:uiPriority w:val="39"/>
    <w:rsid w:val="00046C47"/>
    <w:pPr>
      <w:spacing w:after="120"/>
      <w:ind w:left="880"/>
    </w:pPr>
    <w:rPr>
      <w:rFonts w:eastAsia="Times"/>
      <w:lang w:val="en-AU"/>
    </w:rPr>
  </w:style>
  <w:style w:type="paragraph" w:styleId="TOC6">
    <w:name w:val="toc 6"/>
    <w:basedOn w:val="Normal"/>
    <w:next w:val="Normal"/>
    <w:autoRedefine/>
    <w:uiPriority w:val="39"/>
    <w:rsid w:val="00046C47"/>
    <w:pPr>
      <w:spacing w:after="120"/>
      <w:ind w:left="1100"/>
    </w:pPr>
    <w:rPr>
      <w:rFonts w:eastAsia="Times"/>
      <w:lang w:val="en-AU"/>
    </w:rPr>
  </w:style>
  <w:style w:type="paragraph" w:styleId="TOC7">
    <w:name w:val="toc 7"/>
    <w:basedOn w:val="Normal"/>
    <w:next w:val="Normal"/>
    <w:autoRedefine/>
    <w:uiPriority w:val="39"/>
    <w:rsid w:val="00046C47"/>
    <w:pPr>
      <w:spacing w:after="120"/>
      <w:ind w:left="1320"/>
    </w:pPr>
    <w:rPr>
      <w:rFonts w:eastAsia="Times"/>
      <w:lang w:val="en-AU"/>
    </w:rPr>
  </w:style>
  <w:style w:type="paragraph" w:styleId="TOC8">
    <w:name w:val="toc 8"/>
    <w:basedOn w:val="Normal"/>
    <w:next w:val="Normal"/>
    <w:autoRedefine/>
    <w:uiPriority w:val="39"/>
    <w:rsid w:val="00046C47"/>
    <w:pPr>
      <w:spacing w:after="120"/>
      <w:ind w:left="1540"/>
    </w:pPr>
    <w:rPr>
      <w:rFonts w:eastAsia="Times"/>
      <w:lang w:val="en-AU"/>
    </w:rPr>
  </w:style>
  <w:style w:type="paragraph" w:styleId="TOC9">
    <w:name w:val="toc 9"/>
    <w:basedOn w:val="Normal"/>
    <w:next w:val="Normal"/>
    <w:autoRedefine/>
    <w:uiPriority w:val="39"/>
    <w:rsid w:val="00046C47"/>
    <w:pPr>
      <w:spacing w:after="120"/>
      <w:ind w:left="1760"/>
    </w:pPr>
    <w:rPr>
      <w:rFonts w:eastAsia="Times"/>
      <w:lang w:val="en-AU"/>
    </w:rPr>
  </w:style>
  <w:style w:type="paragraph" w:customStyle="1" w:styleId="IPPReferences">
    <w:name w:val="IPP References"/>
    <w:basedOn w:val="IPPNormal"/>
    <w:qFormat/>
    <w:rsid w:val="00046C47"/>
    <w:pPr>
      <w:spacing w:after="60"/>
      <w:ind w:left="567" w:hanging="567"/>
    </w:pPr>
  </w:style>
  <w:style w:type="paragraph" w:customStyle="1" w:styleId="IPPArial">
    <w:name w:val="IPP Arial"/>
    <w:basedOn w:val="IPPNormal"/>
    <w:qFormat/>
    <w:rsid w:val="00046C47"/>
    <w:pPr>
      <w:spacing w:after="0"/>
    </w:pPr>
    <w:rPr>
      <w:rFonts w:ascii="Arial" w:hAnsi="Arial"/>
      <w:sz w:val="18"/>
    </w:rPr>
  </w:style>
  <w:style w:type="paragraph" w:customStyle="1" w:styleId="IPPArialTable">
    <w:name w:val="IPP Arial Table"/>
    <w:basedOn w:val="IPPArial"/>
    <w:qFormat/>
    <w:rsid w:val="00046C47"/>
    <w:pPr>
      <w:spacing w:before="60" w:after="60"/>
      <w:jc w:val="left"/>
    </w:pPr>
  </w:style>
  <w:style w:type="paragraph" w:customStyle="1" w:styleId="IPPHeaderlandscape">
    <w:name w:val="IPP Header landscape"/>
    <w:basedOn w:val="IPPHeader"/>
    <w:qFormat/>
    <w:rsid w:val="00046C47"/>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046C47"/>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046C47"/>
    <w:rPr>
      <w:rFonts w:ascii="Courier" w:eastAsia="Times" w:hAnsi="Courier" w:cs="Times New Roman"/>
      <w:kern w:val="0"/>
      <w:sz w:val="21"/>
      <w:szCs w:val="21"/>
      <w:lang w:val="en-AU"/>
      <w14:ligatures w14:val="none"/>
    </w:rPr>
  </w:style>
  <w:style w:type="paragraph" w:customStyle="1" w:styleId="IPPLetterList">
    <w:name w:val="IPP LetterList"/>
    <w:basedOn w:val="IPPBullet2"/>
    <w:qFormat/>
    <w:rsid w:val="00046C47"/>
    <w:pPr>
      <w:numPr>
        <w:numId w:val="2"/>
      </w:numPr>
      <w:jc w:val="left"/>
    </w:pPr>
  </w:style>
  <w:style w:type="paragraph" w:customStyle="1" w:styleId="IPPLetterListIndent">
    <w:name w:val="IPP LetterList Indent"/>
    <w:basedOn w:val="IPPLetterList"/>
    <w:qFormat/>
    <w:rsid w:val="00046C47"/>
    <w:pPr>
      <w:numPr>
        <w:numId w:val="3"/>
      </w:numPr>
    </w:pPr>
  </w:style>
  <w:style w:type="paragraph" w:customStyle="1" w:styleId="IPPFooterLandscape">
    <w:name w:val="IPP Footer Landscape"/>
    <w:basedOn w:val="IPPHeaderlandscape"/>
    <w:qFormat/>
    <w:rsid w:val="00046C47"/>
    <w:pPr>
      <w:pBdr>
        <w:top w:val="single" w:sz="4" w:space="1" w:color="auto"/>
        <w:bottom w:val="none" w:sz="0" w:space="0" w:color="auto"/>
      </w:pBdr>
      <w:jc w:val="right"/>
    </w:pPr>
    <w:rPr>
      <w:b/>
    </w:rPr>
  </w:style>
  <w:style w:type="paragraph" w:customStyle="1" w:styleId="IPPSubheadSpace">
    <w:name w:val="IPP Subhead Space"/>
    <w:basedOn w:val="IPPSubhead"/>
    <w:qFormat/>
    <w:rsid w:val="00046C47"/>
    <w:pPr>
      <w:tabs>
        <w:tab w:val="left" w:pos="567"/>
      </w:tabs>
      <w:spacing w:before="60" w:after="60"/>
    </w:pPr>
  </w:style>
  <w:style w:type="paragraph" w:customStyle="1" w:styleId="IPPSubheadSpaceAfter">
    <w:name w:val="IPP Subhead SpaceAfter"/>
    <w:basedOn w:val="IPPSubhead"/>
    <w:qFormat/>
    <w:rsid w:val="00046C47"/>
    <w:pPr>
      <w:spacing w:after="60"/>
    </w:pPr>
  </w:style>
  <w:style w:type="paragraph" w:customStyle="1" w:styleId="IPPHdg1Num">
    <w:name w:val="IPP Hdg1Num"/>
    <w:basedOn w:val="IPPHeading1"/>
    <w:next w:val="IPPNormal"/>
    <w:qFormat/>
    <w:rsid w:val="00046C47"/>
    <w:pPr>
      <w:numPr>
        <w:numId w:val="8"/>
      </w:numPr>
    </w:pPr>
  </w:style>
  <w:style w:type="paragraph" w:customStyle="1" w:styleId="IPPHdg2Num">
    <w:name w:val="IPP Hdg2Num"/>
    <w:basedOn w:val="IPPHeading2"/>
    <w:next w:val="IPPNormal"/>
    <w:qFormat/>
    <w:rsid w:val="00046C47"/>
    <w:pPr>
      <w:numPr>
        <w:ilvl w:val="1"/>
        <w:numId w:val="9"/>
      </w:numPr>
    </w:pPr>
  </w:style>
  <w:style w:type="paragraph" w:customStyle="1" w:styleId="IPPNumberedList">
    <w:name w:val="IPP NumberedList"/>
    <w:basedOn w:val="IPPBullet1"/>
    <w:qFormat/>
    <w:rsid w:val="00046C47"/>
    <w:pPr>
      <w:numPr>
        <w:numId w:val="10"/>
      </w:numPr>
    </w:pPr>
  </w:style>
  <w:style w:type="paragraph" w:styleId="Header">
    <w:name w:val="header"/>
    <w:basedOn w:val="Normal"/>
    <w:link w:val="HeaderChar"/>
    <w:rsid w:val="00046C47"/>
    <w:pPr>
      <w:tabs>
        <w:tab w:val="center" w:pos="4680"/>
        <w:tab w:val="right" w:pos="9360"/>
      </w:tabs>
    </w:pPr>
  </w:style>
  <w:style w:type="character" w:customStyle="1" w:styleId="HeaderChar">
    <w:name w:val="Header Char"/>
    <w:basedOn w:val="DefaultParagraphFont"/>
    <w:link w:val="Header"/>
    <w:rsid w:val="00046C47"/>
    <w:rPr>
      <w:rFonts w:ascii="Times New Roman" w:eastAsia="MS Mincho" w:hAnsi="Times New Roman" w:cs="Times New Roman"/>
      <w:kern w:val="0"/>
      <w:sz w:val="22"/>
      <w:lang w:val="en-GB"/>
      <w14:ligatures w14:val="none"/>
    </w:rPr>
  </w:style>
  <w:style w:type="paragraph" w:customStyle="1" w:styleId="IPPParagraphnumbering">
    <w:name w:val="IPP Paragraph numbering"/>
    <w:basedOn w:val="IPPNormal"/>
    <w:qFormat/>
    <w:rsid w:val="00046C47"/>
    <w:pPr>
      <w:numPr>
        <w:numId w:val="4"/>
      </w:numPr>
    </w:pPr>
    <w:rPr>
      <w:lang w:val="en-US"/>
    </w:rPr>
  </w:style>
  <w:style w:type="paragraph" w:customStyle="1" w:styleId="IPPParagraphnumberingclose">
    <w:name w:val="IPP Paragraph numbering close"/>
    <w:basedOn w:val="IPPParagraphnumbering"/>
    <w:qFormat/>
    <w:rsid w:val="00046C47"/>
    <w:pPr>
      <w:keepNext/>
      <w:spacing w:after="60"/>
    </w:pPr>
  </w:style>
  <w:style w:type="paragraph" w:customStyle="1" w:styleId="IPPNumberedListLast">
    <w:name w:val="IPP NumberedListLast"/>
    <w:basedOn w:val="IPPNumberedList"/>
    <w:qFormat/>
    <w:rsid w:val="00046C47"/>
    <w:pPr>
      <w:spacing w:after="180"/>
    </w:pPr>
  </w:style>
  <w:style w:type="character" w:styleId="FollowedHyperlink">
    <w:name w:val="FollowedHyperlink"/>
    <w:basedOn w:val="DefaultParagraphFont"/>
    <w:semiHidden/>
    <w:unhideWhenUsed/>
    <w:rsid w:val="00046C47"/>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7.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www.ippc.int/en/about-ap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SSIN\Downloads\IPPC_2024-06-1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20" ma:contentTypeDescription="Create a new document." ma:contentTypeScope="" ma:versionID="58c79fb002f89a5111e50c4b7040bcb6">
  <xsd:schema xmlns:xsd="http://www.w3.org/2001/XMLSchema" xmlns:xs="http://www.w3.org/2001/XMLSchema" xmlns:p="http://schemas.microsoft.com/office/2006/metadata/properties" xmlns:ns2="a05d7f75-f42e-4288-8809-604fd4d9691f" xmlns:ns3="ea6feb38-a85a-45e8-92e9-814486bbe375" targetNamespace="http://schemas.microsoft.com/office/2006/metadata/properties" ma:root="true" ma:fieldsID="c7dd2e9d878049d154ba4207012eb770"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Props1.xml><?xml version="1.0" encoding="utf-8"?>
<ds:datastoreItem xmlns:ds="http://schemas.openxmlformats.org/officeDocument/2006/customXml" ds:itemID="{386FCA55-414D-D54F-ACAD-5AA29C512B43}">
  <ds:schemaRefs>
    <ds:schemaRef ds:uri="http://schemas.openxmlformats.org/officeDocument/2006/bibliography"/>
  </ds:schemaRefs>
</ds:datastoreItem>
</file>

<file path=customXml/itemProps2.xml><?xml version="1.0" encoding="utf-8"?>
<ds:datastoreItem xmlns:ds="http://schemas.openxmlformats.org/officeDocument/2006/customXml" ds:itemID="{57C05902-8C2C-4C4E-9D1C-5B03730DA8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B3F9DA-F2EE-4190-A79B-CDE2ACF8994D}">
  <ds:schemaRefs>
    <ds:schemaRef ds:uri="http://schemas.microsoft.com/sharepoint/v3/contenttype/forms"/>
  </ds:schemaRefs>
</ds:datastoreItem>
</file>

<file path=customXml/itemProps4.xml><?xml version="1.0" encoding="utf-8"?>
<ds:datastoreItem xmlns:ds="http://schemas.openxmlformats.org/officeDocument/2006/customXml" ds:itemID="{6FAE0FF8-90FB-4EA2-B02F-D012CA044FC3}">
  <ds:schemaRefs>
    <ds:schemaRef ds:uri="a05d7f75-f42e-4288-8809-604fd4d9691f"/>
    <ds:schemaRef ds:uri="http://purl.org/dc/elements/1.1/"/>
    <ds:schemaRef ds:uri="http://www.w3.org/XML/1998/namespace"/>
    <ds:schemaRef ds:uri="http://purl.org/dc/terms/"/>
    <ds:schemaRef ds:uri="http://schemas.microsoft.com/office/2006/metadata/propertie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ea6feb38-a85a-45e8-92e9-814486bbe375"/>
  </ds:schemaRefs>
</ds:datastoreItem>
</file>

<file path=docProps/app.xml><?xml version="1.0" encoding="utf-8"?>
<Properties xmlns="http://schemas.openxmlformats.org/officeDocument/2006/extended-properties" xmlns:vt="http://schemas.openxmlformats.org/officeDocument/2006/docPropsVTypes">
  <Template>IPPC_2024-06-17</Template>
  <TotalTime>2</TotalTime>
  <Pages>12</Pages>
  <Words>3725</Words>
  <Characters>21234</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Saliou Niassy (Dr.)</dc:creator>
  <cp:keywords/>
  <dc:description/>
  <cp:lastModifiedBy>Cassin, Aoife (NSPD)</cp:lastModifiedBy>
  <cp:revision>4</cp:revision>
  <dcterms:created xsi:type="dcterms:W3CDTF">2025-10-14T09:53:00Z</dcterms:created>
  <dcterms:modified xsi:type="dcterms:W3CDTF">2025-10-14T09:54:00Z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ies>
</file>