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15158BE" w14:textId="2EB2A64F" w:rsidR="00785A93" w:rsidRPr="00CF015A" w:rsidRDefault="0B0A2D90" w:rsidP="009D3213">
      <w:pPr>
        <w:pStyle w:val="IPPHeadSection"/>
        <w:jc w:val="center"/>
      </w:pPr>
      <w:r w:rsidRPr="00CF015A">
        <w:t>Strategic Planning Group meeting</w:t>
      </w:r>
    </w:p>
    <w:p w14:paraId="7D19521C" w14:textId="5A1C8A20" w:rsidR="00785A93" w:rsidRPr="00CF015A" w:rsidRDefault="00BF29C5" w:rsidP="009D3213">
      <w:pPr>
        <w:pStyle w:val="IPPHeadSection"/>
        <w:jc w:val="center"/>
      </w:pPr>
      <w:r w:rsidRPr="00CF015A">
        <w:t>CPM Focus Group on plant health in the context of one health</w:t>
      </w:r>
    </w:p>
    <w:p w14:paraId="22E3E487" w14:textId="77777777" w:rsidR="003F640D" w:rsidRPr="00CF015A" w:rsidRDefault="004D5A2D" w:rsidP="009D3213">
      <w:pPr>
        <w:pStyle w:val="IPPHeadSection"/>
        <w:jc w:val="center"/>
      </w:pPr>
      <w:r w:rsidRPr="00CF015A">
        <w:t>Preliminary stu</w:t>
      </w:r>
      <w:r w:rsidR="003F640D" w:rsidRPr="00CF015A">
        <w:t>dy on Plant Health and One Health:</w:t>
      </w:r>
    </w:p>
    <w:p w14:paraId="6915CEE9" w14:textId="0363B358" w:rsidR="00BF29C5" w:rsidRPr="00CF015A" w:rsidRDefault="003F640D" w:rsidP="009D3213">
      <w:pPr>
        <w:pStyle w:val="IPPHeadSection"/>
        <w:jc w:val="center"/>
      </w:pPr>
      <w:r w:rsidRPr="00CF015A">
        <w:t>literature review report</w:t>
      </w:r>
    </w:p>
    <w:p w14:paraId="7C8B733B" w14:textId="77777777" w:rsidR="00ED5861" w:rsidRPr="00CF015A" w:rsidRDefault="00ED5861" w:rsidP="0956352D">
      <w:pPr>
        <w:jc w:val="center"/>
        <w:rPr>
          <w:rFonts w:cs="Times New Roman"/>
          <w:b/>
          <w:bCs/>
        </w:rPr>
      </w:pPr>
    </w:p>
    <w:p w14:paraId="4185DAB5" w14:textId="201EF850" w:rsidR="007371F8" w:rsidRPr="00CF015A" w:rsidRDefault="46E8D2DB" w:rsidP="0956352D">
      <w:pPr>
        <w:jc w:val="center"/>
        <w:rPr>
          <w:rFonts w:cs="Times New Roman"/>
        </w:rPr>
      </w:pPr>
      <w:r w:rsidRPr="00CF015A">
        <w:rPr>
          <w:rFonts w:cs="Times New Roman"/>
        </w:rPr>
        <w:t>(</w:t>
      </w:r>
      <w:r w:rsidRPr="00CF015A">
        <w:rPr>
          <w:rFonts w:cs="Times New Roman"/>
          <w:i/>
          <w:iCs/>
        </w:rPr>
        <w:t xml:space="preserve">Prepared by </w:t>
      </w:r>
      <w:r w:rsidR="003F640D" w:rsidRPr="00CF015A">
        <w:rPr>
          <w:rFonts w:cs="Times New Roman"/>
          <w:i/>
          <w:iCs/>
        </w:rPr>
        <w:t>the CPM FG on Plant Health in the Context of One Health</w:t>
      </w:r>
      <w:r w:rsidR="000D40AB">
        <w:rPr>
          <w:rFonts w:cs="Times New Roman"/>
          <w:i/>
          <w:iCs/>
        </w:rPr>
        <w:t xml:space="preserve"> and </w:t>
      </w:r>
      <w:r w:rsidR="000D40AB" w:rsidRPr="00CF015A">
        <w:rPr>
          <w:rFonts w:cs="Times New Roman"/>
          <w:i/>
          <w:iCs/>
        </w:rPr>
        <w:t>the IPPC Secretariat</w:t>
      </w:r>
      <w:r w:rsidRPr="00CF015A">
        <w:rPr>
          <w:rFonts w:cs="Times New Roman"/>
        </w:rPr>
        <w:t>)</w:t>
      </w:r>
    </w:p>
    <w:p w14:paraId="05B7F852" w14:textId="77777777" w:rsidR="00705F24" w:rsidRPr="00CF015A" w:rsidRDefault="00705F24" w:rsidP="00705F24">
      <w:pPr>
        <w:rPr>
          <w:rFonts w:eastAsia="Arial" w:cs="Times New Roman"/>
          <w:b/>
          <w:bCs/>
        </w:rPr>
      </w:pPr>
    </w:p>
    <w:p w14:paraId="5BA774D7" w14:textId="7DF729FC" w:rsidR="00401C6D" w:rsidRPr="00CF015A" w:rsidRDefault="0070762C" w:rsidP="00401C6D">
      <w:pPr>
        <w:pStyle w:val="IPPHeading2"/>
      </w:pPr>
      <w:r w:rsidRPr="00CF015A">
        <w:t>Introduction</w:t>
      </w:r>
    </w:p>
    <w:p w14:paraId="364F1814" w14:textId="09F839D2" w:rsidR="008D3499" w:rsidRPr="00CF015A" w:rsidRDefault="008D3499" w:rsidP="001D73D4">
      <w:pPr>
        <w:pStyle w:val="IPPParagraphnumbering"/>
        <w:spacing w:line="259" w:lineRule="auto"/>
        <w:rPr>
          <w:lang w:val="en-GB"/>
        </w:rPr>
      </w:pPr>
      <w:bookmarkStart w:id="0" w:name="_Hlk208848257"/>
      <w:r w:rsidRPr="00CF015A">
        <w:rPr>
          <w:lang w:val="en-GB"/>
        </w:rPr>
        <w:t xml:space="preserve">The Commission on Phytosanitary Measures (CPM), its subsidiary bodies, and the Strategic Planning Group (SPG) have had ongoing discussions regarding the One Health concept in recent years. These discussions have been largely aimed at giving a more prominent role to plant health within the One Health paradigm. The CPM-18 (2024) had established a CPM Focus Group on Plant Health in the Context of One Health with a </w:t>
      </w:r>
      <w:proofErr w:type="gramStart"/>
      <w:r w:rsidR="00884D6A" w:rsidRPr="00CF015A">
        <w:rPr>
          <w:lang w:val="en-GB"/>
        </w:rPr>
        <w:t>clear terms of reference</w:t>
      </w:r>
      <w:proofErr w:type="gramEnd"/>
      <w:r w:rsidRPr="00CF015A">
        <w:rPr>
          <w:rStyle w:val="FootnoteReference"/>
          <w:lang w:val="en-GB"/>
        </w:rPr>
        <w:footnoteReference w:id="2"/>
      </w:r>
      <w:r w:rsidR="001D73D4" w:rsidRPr="00CF015A">
        <w:rPr>
          <w:lang w:val="en-GB"/>
        </w:rPr>
        <w:t xml:space="preserve"> </w:t>
      </w:r>
      <w:r w:rsidRPr="00CF015A">
        <w:rPr>
          <w:lang w:val="en-GB"/>
        </w:rPr>
        <w:t>to conduct a preliminary study to understand clearly linkages between</w:t>
      </w:r>
      <w:r w:rsidR="001D73D4" w:rsidRPr="00CF015A">
        <w:rPr>
          <w:lang w:val="en-GB"/>
        </w:rPr>
        <w:t xml:space="preserve"> </w:t>
      </w:r>
      <w:r w:rsidRPr="00CF015A">
        <w:rPr>
          <w:lang w:val="en-GB"/>
        </w:rPr>
        <w:t>plant health and One Health, as well as to develop an action plan for communication and advocacy to</w:t>
      </w:r>
      <w:r w:rsidR="001D73D4" w:rsidRPr="00CF015A">
        <w:rPr>
          <w:lang w:val="en-GB"/>
        </w:rPr>
        <w:t xml:space="preserve"> </w:t>
      </w:r>
      <w:r w:rsidRPr="00CF015A">
        <w:rPr>
          <w:lang w:val="en-GB"/>
        </w:rPr>
        <w:t>promote plant health within One Health framework.</w:t>
      </w:r>
    </w:p>
    <w:p w14:paraId="237C26C1" w14:textId="369453B9" w:rsidR="001F321E" w:rsidRDefault="009D564E" w:rsidP="009D564E">
      <w:pPr>
        <w:pStyle w:val="IPPParagraphnumbering"/>
        <w:jc w:val="left"/>
        <w:rPr>
          <w:lang w:val="en-GB"/>
        </w:rPr>
      </w:pPr>
      <w:r w:rsidRPr="00CF015A">
        <w:rPr>
          <w:lang w:val="en-GB"/>
        </w:rPr>
        <w:t xml:space="preserve">The </w:t>
      </w:r>
      <w:r w:rsidR="00916460" w:rsidRPr="00CF015A">
        <w:rPr>
          <w:lang w:val="en-GB"/>
        </w:rPr>
        <w:t xml:space="preserve">focus group </w:t>
      </w:r>
      <w:r w:rsidRPr="00CF015A">
        <w:rPr>
          <w:lang w:val="en-GB"/>
        </w:rPr>
        <w:t xml:space="preserve">initiated its work in January 2025, and since then has been </w:t>
      </w:r>
      <w:r w:rsidR="00951A7C" w:rsidRPr="00CF015A">
        <w:rPr>
          <w:lang w:val="en-GB"/>
        </w:rPr>
        <w:t>holding monthly virtual meetings to progress on its workplan.</w:t>
      </w:r>
      <w:r w:rsidR="00B72993" w:rsidRPr="00CF015A">
        <w:rPr>
          <w:lang w:val="en-GB"/>
        </w:rPr>
        <w:t xml:space="preserve"> The membership of the focus group includes seven regional representatives, as well as representatives from the CPM Bureau.</w:t>
      </w:r>
      <w:r w:rsidR="00B72993" w:rsidRPr="00CF015A">
        <w:rPr>
          <w:rStyle w:val="FootnoteReference"/>
          <w:lang w:val="en-GB"/>
        </w:rPr>
        <w:footnoteReference w:id="3"/>
      </w:r>
      <w:r w:rsidR="00B72993" w:rsidRPr="00CF015A">
        <w:rPr>
          <w:lang w:val="en-GB"/>
        </w:rPr>
        <w:t xml:space="preserve"> </w:t>
      </w:r>
      <w:r w:rsidR="00916460" w:rsidRPr="00CF015A">
        <w:rPr>
          <w:lang w:val="en-GB"/>
        </w:rPr>
        <w:t xml:space="preserve">Additionally, to enhance synergies and potential collaborations, the </w:t>
      </w:r>
      <w:r w:rsidR="007B6914" w:rsidRPr="00CF015A">
        <w:rPr>
          <w:lang w:val="en-GB"/>
        </w:rPr>
        <w:t xml:space="preserve">meetings of the focus group </w:t>
      </w:r>
      <w:r w:rsidR="001F321E" w:rsidRPr="00CF015A">
        <w:rPr>
          <w:lang w:val="en-GB"/>
        </w:rPr>
        <w:t>are</w:t>
      </w:r>
      <w:r w:rsidR="007B6914" w:rsidRPr="00CF015A">
        <w:rPr>
          <w:lang w:val="en-GB"/>
        </w:rPr>
        <w:t xml:space="preserve"> attended by FAO staff working on antimicrobial resistance </w:t>
      </w:r>
      <w:r w:rsidR="00F62509" w:rsidRPr="00CF015A">
        <w:rPr>
          <w:lang w:val="en-GB"/>
        </w:rPr>
        <w:t xml:space="preserve">(AMR) </w:t>
      </w:r>
      <w:r w:rsidR="007B6914" w:rsidRPr="00CF015A">
        <w:rPr>
          <w:lang w:val="en-GB"/>
        </w:rPr>
        <w:t>and One Health</w:t>
      </w:r>
      <w:r w:rsidR="001F321E" w:rsidRPr="00CF015A">
        <w:rPr>
          <w:lang w:val="en-GB"/>
        </w:rPr>
        <w:t>.</w:t>
      </w:r>
    </w:p>
    <w:p w14:paraId="52ECF8DF" w14:textId="6A22C2D8" w:rsidR="5F4A78D5" w:rsidRDefault="5F4A78D5" w:rsidP="1089F8BE">
      <w:pPr>
        <w:pStyle w:val="IPPHeading2"/>
      </w:pPr>
      <w:r>
        <w:t>Focus group tasks from the terms of reference: update on progress</w:t>
      </w:r>
    </w:p>
    <w:p w14:paraId="0A05AD97" w14:textId="373947D5" w:rsidR="00CA2085" w:rsidRPr="00CA2085" w:rsidRDefault="00A16FD9" w:rsidP="00CA2085">
      <w:pPr>
        <w:pStyle w:val="IPPNormal"/>
        <w:rPr>
          <w:i/>
          <w:iCs/>
        </w:rPr>
      </w:pPr>
      <w:r>
        <w:rPr>
          <w:i/>
          <w:iCs/>
        </w:rPr>
        <w:t>Preliminary study on plant health and One Health</w:t>
      </w:r>
    </w:p>
    <w:p w14:paraId="775D09CF" w14:textId="065B0FFE" w:rsidR="00BB3A2B" w:rsidRDefault="009B16EE" w:rsidP="00BB3A2B">
      <w:pPr>
        <w:pStyle w:val="IPPParagraphnumbering"/>
        <w:rPr>
          <w:lang w:val="en-GB"/>
        </w:rPr>
      </w:pPr>
      <w:r w:rsidRPr="00CF015A">
        <w:rPr>
          <w:lang w:val="en-GB"/>
        </w:rPr>
        <w:t xml:space="preserve">At </w:t>
      </w:r>
      <w:r w:rsidR="002C4C88" w:rsidRPr="00CF015A">
        <w:rPr>
          <w:lang w:val="en-GB"/>
        </w:rPr>
        <w:t>CPM</w:t>
      </w:r>
      <w:r w:rsidRPr="00CF015A">
        <w:rPr>
          <w:lang w:val="en-GB"/>
        </w:rPr>
        <w:t xml:space="preserve">-19 (2025), </w:t>
      </w:r>
      <w:r w:rsidR="00BB3A2B" w:rsidRPr="00CF015A">
        <w:rPr>
          <w:lang w:val="en-GB"/>
        </w:rPr>
        <w:t>in response to the CPM Chairperson’s proposal to develop a dedicated CPM Recommendation on Antimicrobial Resistance (AMR), the CPM shared its concerns, considering lack of clarity on the role of plant health within One Health, as well as the potential narrow scope of the recommendation</w:t>
      </w:r>
      <w:r w:rsidR="005F4372">
        <w:rPr>
          <w:lang w:val="en-GB"/>
        </w:rPr>
        <w:t xml:space="preserve"> and</w:t>
      </w:r>
      <w:r w:rsidR="00BB3A2B" w:rsidRPr="00CF015A">
        <w:rPr>
          <w:lang w:val="en-GB"/>
        </w:rPr>
        <w:t xml:space="preserve"> the focus group’s capacity. ​Subsequently, the CPM-19 had </w:t>
      </w:r>
      <w:r w:rsidR="00CF015A" w:rsidRPr="00CF015A">
        <w:rPr>
          <w:lang w:val="en-GB"/>
        </w:rPr>
        <w:t xml:space="preserve">requested the focus group to prioritise </w:t>
      </w:r>
      <w:r w:rsidR="00D11D25">
        <w:rPr>
          <w:lang w:val="en-GB"/>
        </w:rPr>
        <w:t xml:space="preserve">tasks that would lead to </w:t>
      </w:r>
      <w:r w:rsidR="000635E6">
        <w:rPr>
          <w:lang w:val="en-GB"/>
        </w:rPr>
        <w:t>delivery of</w:t>
      </w:r>
      <w:r w:rsidR="001532F3">
        <w:rPr>
          <w:lang w:val="en-GB"/>
        </w:rPr>
        <w:t xml:space="preserve"> task 7 in the terms of reference, which relates to the consideration of a formal CPM Recommendation</w:t>
      </w:r>
      <w:r w:rsidR="00053D63">
        <w:rPr>
          <w:lang w:val="en-GB"/>
        </w:rPr>
        <w:t>, and to present the findings</w:t>
      </w:r>
      <w:r w:rsidR="0086252A">
        <w:rPr>
          <w:lang w:val="en-GB"/>
        </w:rPr>
        <w:t xml:space="preserve"> and recommendations on the topic</w:t>
      </w:r>
      <w:r w:rsidR="00053D63">
        <w:rPr>
          <w:lang w:val="en-GB"/>
        </w:rPr>
        <w:t xml:space="preserve"> </w:t>
      </w:r>
      <w:r w:rsidR="009E24EA">
        <w:rPr>
          <w:lang w:val="en-GB"/>
        </w:rPr>
        <w:t>at</w:t>
      </w:r>
      <w:r w:rsidR="00053D63">
        <w:rPr>
          <w:lang w:val="en-GB"/>
        </w:rPr>
        <w:t xml:space="preserve"> the </w:t>
      </w:r>
      <w:r w:rsidR="0086252A">
        <w:rPr>
          <w:lang w:val="en-GB"/>
        </w:rPr>
        <w:t xml:space="preserve">2025 Strategic Planning Group meeting. </w:t>
      </w:r>
    </w:p>
    <w:p w14:paraId="1212C8A5" w14:textId="42E6DB99" w:rsidR="0093133E" w:rsidRPr="0093133E" w:rsidRDefault="00557F52" w:rsidP="2E96BD59">
      <w:pPr>
        <w:pStyle w:val="IPPParagraphnumbering"/>
        <w:rPr>
          <w:i/>
          <w:iCs/>
          <w:lang w:val="en-GB"/>
        </w:rPr>
      </w:pPr>
      <w:r w:rsidRPr="2E96BD59">
        <w:rPr>
          <w:lang w:val="en-GB"/>
        </w:rPr>
        <w:t xml:space="preserve">Following the CPM-19 decisions, the focus group </w:t>
      </w:r>
      <w:r w:rsidR="00AD5DD4" w:rsidRPr="2E96BD59">
        <w:rPr>
          <w:lang w:val="en-GB"/>
        </w:rPr>
        <w:t xml:space="preserve">initiated its work on the </w:t>
      </w:r>
      <w:r w:rsidR="006C5CCB" w:rsidRPr="2E96BD59">
        <w:rPr>
          <w:i/>
          <w:iCs/>
          <w:lang w:val="en-GB"/>
        </w:rPr>
        <w:t xml:space="preserve">Preliminary study to understand clear linkages between Plant Health and One </w:t>
      </w:r>
      <w:r w:rsidR="00681299" w:rsidRPr="2E96BD59">
        <w:rPr>
          <w:i/>
          <w:iCs/>
          <w:lang w:val="en-GB"/>
        </w:rPr>
        <w:t xml:space="preserve">Health </w:t>
      </w:r>
      <w:r w:rsidR="00681299" w:rsidRPr="2E96BD59">
        <w:rPr>
          <w:lang w:val="en-GB"/>
        </w:rPr>
        <w:t>and</w:t>
      </w:r>
      <w:r w:rsidR="00F07594" w:rsidRPr="2E96BD59">
        <w:rPr>
          <w:lang w:val="en-GB"/>
        </w:rPr>
        <w:t xml:space="preserve"> developed a </w:t>
      </w:r>
      <w:r w:rsidR="00FF6C81" w:rsidRPr="2E96BD59">
        <w:rPr>
          <w:lang w:val="en-GB"/>
        </w:rPr>
        <w:t xml:space="preserve">terms of reference to guide the </w:t>
      </w:r>
      <w:r w:rsidR="00A874EE" w:rsidRPr="2E96BD59">
        <w:rPr>
          <w:lang w:val="en-GB"/>
        </w:rPr>
        <w:t>preliminary study</w:t>
      </w:r>
      <w:r w:rsidR="00E37E01" w:rsidRPr="2E96BD59">
        <w:rPr>
          <w:lang w:val="en-GB"/>
        </w:rPr>
        <w:t xml:space="preserve"> and a </w:t>
      </w:r>
      <w:r w:rsidR="00A874EE" w:rsidRPr="2E96BD59">
        <w:rPr>
          <w:lang w:val="en-GB"/>
        </w:rPr>
        <w:t>comprehensive research matrix</w:t>
      </w:r>
      <w:r w:rsidR="1FDDDA70" w:rsidRPr="2E96BD59">
        <w:rPr>
          <w:lang w:val="en-GB"/>
        </w:rPr>
        <w:t>, presented in Appendix 1</w:t>
      </w:r>
      <w:r w:rsidR="007956EE">
        <w:rPr>
          <w:lang w:val="en-GB"/>
        </w:rPr>
        <w:t xml:space="preserve"> and 2</w:t>
      </w:r>
      <w:r w:rsidR="1FDDDA70" w:rsidRPr="2E96BD59">
        <w:rPr>
          <w:lang w:val="en-GB"/>
        </w:rPr>
        <w:t>.</w:t>
      </w:r>
      <w:r w:rsidR="001B70FE" w:rsidRPr="2E96BD59">
        <w:rPr>
          <w:lang w:val="en-GB"/>
        </w:rPr>
        <w:t xml:space="preserve"> </w:t>
      </w:r>
      <w:r w:rsidR="0088740A" w:rsidRPr="2E96BD59">
        <w:rPr>
          <w:lang w:val="en-GB"/>
        </w:rPr>
        <w:t xml:space="preserve">The study </w:t>
      </w:r>
      <w:r w:rsidR="00D85C18" w:rsidRPr="2E96BD59">
        <w:rPr>
          <w:lang w:val="en-GB"/>
        </w:rPr>
        <w:t xml:space="preserve">was initiated </w:t>
      </w:r>
      <w:r w:rsidR="0088740A" w:rsidRPr="2E96BD59">
        <w:rPr>
          <w:lang w:val="en-GB"/>
        </w:rPr>
        <w:t xml:space="preserve">with </w:t>
      </w:r>
      <w:r w:rsidR="009E7BA1" w:rsidRPr="2E96BD59">
        <w:rPr>
          <w:lang w:val="en-GB"/>
        </w:rPr>
        <w:t>a comprehensive</w:t>
      </w:r>
      <w:r w:rsidR="0088740A" w:rsidRPr="2E96BD59">
        <w:rPr>
          <w:lang w:val="en-GB"/>
        </w:rPr>
        <w:t xml:space="preserve"> </w:t>
      </w:r>
      <w:r w:rsidR="009E7BA1" w:rsidRPr="2E96BD59">
        <w:rPr>
          <w:lang w:val="en-GB"/>
        </w:rPr>
        <w:t>desk</w:t>
      </w:r>
      <w:r w:rsidR="7F20F99F" w:rsidRPr="2E96BD59">
        <w:rPr>
          <w:lang w:val="en-GB"/>
        </w:rPr>
        <w:t xml:space="preserve"> </w:t>
      </w:r>
      <w:r w:rsidR="009E7BA1" w:rsidRPr="2E96BD59">
        <w:rPr>
          <w:lang w:val="en-GB"/>
        </w:rPr>
        <w:t xml:space="preserve">and literature review, to </w:t>
      </w:r>
      <w:r w:rsidR="00692A5A" w:rsidRPr="2E96BD59">
        <w:rPr>
          <w:lang w:val="en-GB"/>
        </w:rPr>
        <w:t>create a picture on the current state of representation of plant health</w:t>
      </w:r>
      <w:r w:rsidR="00AE7FE7" w:rsidRPr="2E96BD59">
        <w:rPr>
          <w:lang w:val="en-GB"/>
        </w:rPr>
        <w:t xml:space="preserve"> within One Health, the connections </w:t>
      </w:r>
      <w:r w:rsidR="00A33101" w:rsidRPr="2E96BD59">
        <w:rPr>
          <w:lang w:val="en-GB"/>
        </w:rPr>
        <w:t xml:space="preserve">and interdependencies </w:t>
      </w:r>
      <w:r w:rsidR="00AE7FE7" w:rsidRPr="2E96BD59">
        <w:rPr>
          <w:lang w:val="en-GB"/>
        </w:rPr>
        <w:lastRenderedPageBreak/>
        <w:t xml:space="preserve">between </w:t>
      </w:r>
      <w:r w:rsidR="001B70FE" w:rsidRPr="2E96BD59">
        <w:rPr>
          <w:lang w:val="en-GB"/>
        </w:rPr>
        <w:t xml:space="preserve">plant health and other </w:t>
      </w:r>
      <w:r w:rsidR="00DA693A" w:rsidRPr="2E96BD59">
        <w:rPr>
          <w:lang w:val="en-GB"/>
        </w:rPr>
        <w:t xml:space="preserve">pillars of </w:t>
      </w:r>
      <w:r w:rsidR="001B70FE" w:rsidRPr="2E96BD59">
        <w:rPr>
          <w:lang w:val="en-GB"/>
        </w:rPr>
        <w:t>One Healt</w:t>
      </w:r>
      <w:r w:rsidR="00DA693A" w:rsidRPr="2E96BD59">
        <w:rPr>
          <w:lang w:val="en-GB"/>
        </w:rPr>
        <w:t>h</w:t>
      </w:r>
      <w:r w:rsidR="001B70FE" w:rsidRPr="2E96BD59">
        <w:rPr>
          <w:lang w:val="en-GB"/>
        </w:rPr>
        <w:t>,</w:t>
      </w:r>
      <w:r w:rsidR="001D5F23" w:rsidRPr="2E96BD59">
        <w:rPr>
          <w:lang w:val="en-GB"/>
        </w:rPr>
        <w:t xml:space="preserve"> national and regional experiences from NPPOs and RPPOs, </w:t>
      </w:r>
      <w:r w:rsidR="001B70FE" w:rsidRPr="2E96BD59">
        <w:rPr>
          <w:lang w:val="en-GB"/>
        </w:rPr>
        <w:t xml:space="preserve">as well as the </w:t>
      </w:r>
      <w:r w:rsidR="006F5A81" w:rsidRPr="2E96BD59">
        <w:rPr>
          <w:lang w:val="en-GB"/>
        </w:rPr>
        <w:t>state of antimicrobial use and AMR in plant health.</w:t>
      </w:r>
      <w:r w:rsidR="006936D9" w:rsidRPr="2E96BD59">
        <w:rPr>
          <w:lang w:val="en-GB"/>
        </w:rPr>
        <w:t xml:space="preserve"> </w:t>
      </w:r>
    </w:p>
    <w:p w14:paraId="7D54B2CD" w14:textId="70D5A55F" w:rsidR="1BE81D37" w:rsidRDefault="1BE81D37" w:rsidP="2E96BD59">
      <w:pPr>
        <w:pStyle w:val="IPPParagraphnumbering"/>
        <w:rPr>
          <w:lang w:val="en-GB"/>
        </w:rPr>
      </w:pPr>
      <w:r w:rsidRPr="2E96BD59">
        <w:rPr>
          <w:lang w:val="en-GB"/>
        </w:rPr>
        <w:t>Initially, the plan was to hire an international phytosanitary specialist. However, Michelle Gray, a Focus Group and CPM Bureau member, volunteered to lead the desk and literature review. Her offer was welcomed and endorsed by the group. The process was supported by the IPPC Secretariat, with Focus Group members contributing resources and providing technical oversight through continuous review and feedback</w:t>
      </w:r>
      <w:r w:rsidR="006F4ED4">
        <w:rPr>
          <w:lang w:val="en-GB"/>
        </w:rPr>
        <w:t>.</w:t>
      </w:r>
    </w:p>
    <w:p w14:paraId="3EA49730" w14:textId="22CA6C8D" w:rsidR="00171220" w:rsidRDefault="00171220" w:rsidP="2E96BD59">
      <w:pPr>
        <w:pStyle w:val="IPPParagraphnumbering"/>
        <w:rPr>
          <w:lang w:val="en-GB"/>
        </w:rPr>
      </w:pPr>
      <w:r w:rsidRPr="12955E0E">
        <w:rPr>
          <w:lang w:val="en-GB"/>
        </w:rPr>
        <w:t xml:space="preserve">The result </w:t>
      </w:r>
      <w:r w:rsidRPr="007648F5">
        <w:rPr>
          <w:lang w:val="en-GB"/>
        </w:rPr>
        <w:t>of this th</w:t>
      </w:r>
      <w:r w:rsidR="50B035F9" w:rsidRPr="007648F5">
        <w:rPr>
          <w:lang w:val="en-GB"/>
        </w:rPr>
        <w:t>o</w:t>
      </w:r>
      <w:r w:rsidRPr="007648F5">
        <w:rPr>
          <w:lang w:val="en-GB"/>
        </w:rPr>
        <w:t>rough exercise</w:t>
      </w:r>
      <w:r w:rsidRPr="12955E0E">
        <w:rPr>
          <w:lang w:val="en-GB"/>
        </w:rPr>
        <w:t xml:space="preserve"> is presented in the </w:t>
      </w:r>
      <w:r w:rsidR="673C6D73" w:rsidRPr="12955E0E">
        <w:rPr>
          <w:lang w:val="en-GB"/>
        </w:rPr>
        <w:t>desk and literature review</w:t>
      </w:r>
      <w:r w:rsidRPr="12955E0E">
        <w:rPr>
          <w:lang w:val="en-GB"/>
        </w:rPr>
        <w:t xml:space="preserve"> report, with clear assessment of the current situation on pl</w:t>
      </w:r>
      <w:r w:rsidR="00825355" w:rsidRPr="12955E0E">
        <w:rPr>
          <w:lang w:val="en-GB"/>
        </w:rPr>
        <w:t>ant health and One Health</w:t>
      </w:r>
      <w:r w:rsidR="5BD6A50C" w:rsidRPr="12955E0E">
        <w:rPr>
          <w:lang w:val="en-GB"/>
        </w:rPr>
        <w:t xml:space="preserve"> and the state of </w:t>
      </w:r>
      <w:r w:rsidR="00825355" w:rsidRPr="12955E0E">
        <w:rPr>
          <w:lang w:val="en-GB"/>
        </w:rPr>
        <w:t xml:space="preserve">AMU and AMR in plant health, with a conclusion and set of recommendations. </w:t>
      </w:r>
    </w:p>
    <w:p w14:paraId="3CC1341D" w14:textId="3E08DC8B" w:rsidR="00A16FD9" w:rsidRDefault="00A16FD9" w:rsidP="00A16FD9">
      <w:pPr>
        <w:pStyle w:val="IPPParagraphnumbering"/>
        <w:numPr>
          <w:ilvl w:val="0"/>
          <w:numId w:val="0"/>
        </w:numPr>
        <w:rPr>
          <w:i/>
          <w:iCs/>
          <w:lang w:val="en-GB"/>
        </w:rPr>
      </w:pPr>
      <w:r w:rsidRPr="4F5AA070">
        <w:rPr>
          <w:i/>
          <w:iCs/>
          <w:lang w:val="en-GB"/>
        </w:rPr>
        <w:t>Other focus group activities</w:t>
      </w:r>
    </w:p>
    <w:bookmarkEnd w:id="0"/>
    <w:p w14:paraId="40958A4A" w14:textId="20B33FB6" w:rsidR="5FC4F4C8" w:rsidRDefault="5FC4F4C8" w:rsidP="4F5AA070">
      <w:pPr>
        <w:pStyle w:val="IPPParagraphnumbering"/>
        <w:rPr>
          <w:lang w:val="en-GB"/>
        </w:rPr>
      </w:pPr>
      <w:r w:rsidRPr="4F5AA070">
        <w:rPr>
          <w:lang w:val="en-GB"/>
        </w:rPr>
        <w:t xml:space="preserve">The focus group has been updated on the activities of the FAO Technical Working Group on One Health (TWGOH) through the IPPC focal point. The TWGOH coordinated the development of the </w:t>
      </w:r>
      <w:r w:rsidRPr="4F5AA070">
        <w:rPr>
          <w:i/>
          <w:iCs/>
          <w:lang w:val="en-GB"/>
        </w:rPr>
        <w:t>FAO Framework for One Health in Agrifood Systems for Global Health and Food Security</w:t>
      </w:r>
      <w:r w:rsidRPr="4F5AA070">
        <w:rPr>
          <w:lang w:val="en-GB"/>
        </w:rPr>
        <w:t>, which aligns with FAO's four betters and aims to provide strategic, cross-sectoral guidance to address the increasing complexity of health risks at the intersection of human, animal, plant, and environmental health in agrifood systems. The IPPC focal point participated in the drafting process of the framework to ensure that plant health is well represented in this strategic document. The draft was then opened for external peer review, where Michelle GRAY was selected as one of the external peer review experts.</w:t>
      </w:r>
    </w:p>
    <w:p w14:paraId="02FBF912" w14:textId="76DE5D78" w:rsidR="00480337" w:rsidRPr="00CF015A" w:rsidRDefault="00480337" w:rsidP="6BAABF5C">
      <w:pPr>
        <w:pStyle w:val="IPPHeading2"/>
        <w:rPr>
          <w:color w:val="000000" w:themeColor="text1"/>
        </w:rPr>
      </w:pPr>
      <w:r w:rsidRPr="00CF015A">
        <w:t>Recommendation</w:t>
      </w:r>
    </w:p>
    <w:p w14:paraId="7FAD6548" w14:textId="52654FDA" w:rsidR="007F60DA" w:rsidRPr="00CF015A" w:rsidRDefault="00480337" w:rsidP="00D25F2A">
      <w:pPr>
        <w:pStyle w:val="IPPParagraphnumbering"/>
        <w:spacing w:after="60"/>
        <w:rPr>
          <w:lang w:val="en-GB"/>
        </w:rPr>
      </w:pPr>
      <w:r w:rsidRPr="00CF015A">
        <w:rPr>
          <w:lang w:val="en-GB"/>
        </w:rPr>
        <w:t xml:space="preserve">The </w:t>
      </w:r>
      <w:r w:rsidR="007F1CD7" w:rsidRPr="00CF015A">
        <w:rPr>
          <w:lang w:val="en-GB"/>
        </w:rPr>
        <w:t xml:space="preserve">SPG </w:t>
      </w:r>
      <w:r w:rsidR="000E60EC" w:rsidRPr="00CF015A">
        <w:rPr>
          <w:lang w:val="en-GB"/>
        </w:rPr>
        <w:t>is invited to</w:t>
      </w:r>
      <w:r w:rsidRPr="00CF015A">
        <w:rPr>
          <w:lang w:val="en-GB"/>
        </w:rPr>
        <w:t>:</w:t>
      </w:r>
    </w:p>
    <w:p w14:paraId="667E660E" w14:textId="73D9E8A0" w:rsidR="00CA4852" w:rsidRPr="00596011" w:rsidRDefault="000E60EC" w:rsidP="00596011">
      <w:pPr>
        <w:pStyle w:val="IPPNumberedList"/>
        <w:rPr>
          <w:lang w:val="en-GB"/>
        </w:rPr>
      </w:pPr>
      <w:r w:rsidRPr="1D73DFA3">
        <w:rPr>
          <w:i/>
          <w:iCs/>
          <w:lang w:val="en-GB"/>
        </w:rPr>
        <w:t>review</w:t>
      </w:r>
      <w:r w:rsidRPr="1D73DFA3">
        <w:rPr>
          <w:lang w:val="en-GB"/>
        </w:rPr>
        <w:t xml:space="preserve"> </w:t>
      </w:r>
      <w:r w:rsidR="6BA7FF6D" w:rsidRPr="1D73DFA3">
        <w:rPr>
          <w:lang w:val="en-GB"/>
        </w:rPr>
        <w:t xml:space="preserve">and </w:t>
      </w:r>
      <w:r w:rsidR="6BA7FF6D" w:rsidRPr="1D73DFA3">
        <w:rPr>
          <w:i/>
          <w:iCs/>
          <w:lang w:val="en-GB"/>
        </w:rPr>
        <w:t xml:space="preserve">discuss </w:t>
      </w:r>
      <w:r w:rsidR="0071249D" w:rsidRPr="1D73DFA3">
        <w:rPr>
          <w:lang w:val="en-GB"/>
        </w:rPr>
        <w:t xml:space="preserve">draft </w:t>
      </w:r>
      <w:r w:rsidR="795C3630" w:rsidRPr="1D73DFA3">
        <w:rPr>
          <w:lang w:val="en-GB"/>
        </w:rPr>
        <w:t>desk and literature review</w:t>
      </w:r>
      <w:r w:rsidR="0071249D" w:rsidRPr="1D73DFA3">
        <w:rPr>
          <w:lang w:val="en-GB"/>
        </w:rPr>
        <w:t xml:space="preserve"> report</w:t>
      </w:r>
      <w:r w:rsidRPr="1D73DFA3">
        <w:rPr>
          <w:lang w:val="en-GB"/>
        </w:rPr>
        <w:t>, as presented in A</w:t>
      </w:r>
      <w:r w:rsidR="53C53DD2" w:rsidRPr="1D73DFA3">
        <w:rPr>
          <w:lang w:val="en-GB"/>
        </w:rPr>
        <w:t>nnex 1</w:t>
      </w:r>
      <w:r w:rsidRPr="1D73DFA3">
        <w:rPr>
          <w:lang w:val="en-GB"/>
        </w:rPr>
        <w:t xml:space="preserve">, in line with CPM-19 (2025) </w:t>
      </w:r>
      <w:r w:rsidR="00CA0FE4" w:rsidRPr="1D73DFA3">
        <w:rPr>
          <w:lang w:val="en-GB"/>
        </w:rPr>
        <w:t>decisions.</w:t>
      </w:r>
    </w:p>
    <w:p w14:paraId="55B42E60" w14:textId="678F7DBE" w:rsidR="007F60DA" w:rsidRPr="002E607C" w:rsidRDefault="000E60EC" w:rsidP="002E607C">
      <w:pPr>
        <w:pStyle w:val="IPPNumberedList"/>
        <w:rPr>
          <w:lang w:val="en-GB"/>
        </w:rPr>
      </w:pPr>
      <w:r w:rsidRPr="002E607C">
        <w:rPr>
          <w:lang w:val="en-GB"/>
        </w:rPr>
        <w:br w:type="page"/>
      </w:r>
    </w:p>
    <w:p w14:paraId="187A55F2" w14:textId="5D3828C6" w:rsidR="00C218C4" w:rsidRPr="00080CCE" w:rsidRDefault="007F60DA" w:rsidP="00C218C4">
      <w:pPr>
        <w:pStyle w:val="IPPHeading1"/>
      </w:pPr>
      <w:r w:rsidRPr="2E96BD59">
        <w:rPr>
          <w:bCs/>
        </w:rPr>
        <w:lastRenderedPageBreak/>
        <w:t>APPENDIX 1:</w:t>
      </w:r>
      <w:r w:rsidR="00F12D25" w:rsidRPr="00CF015A">
        <w:rPr>
          <w:bCs/>
        </w:rPr>
        <w:t xml:space="preserve"> </w:t>
      </w:r>
      <w:r w:rsidR="00C218C4">
        <w:rPr>
          <w:b w:val="0"/>
          <w:bCs/>
        </w:rPr>
        <w:t xml:space="preserve"> </w:t>
      </w:r>
      <w:r w:rsidR="00C218C4" w:rsidRPr="00080CCE">
        <w:t>Terms of Reference</w:t>
      </w:r>
      <w:r w:rsidR="00C218C4">
        <w:t xml:space="preserve"> for the p</w:t>
      </w:r>
      <w:r w:rsidR="00C218C4" w:rsidRPr="00080CCE">
        <w:t xml:space="preserve">reliminary </w:t>
      </w:r>
      <w:r w:rsidR="00C218C4">
        <w:t>s</w:t>
      </w:r>
      <w:r w:rsidR="00C218C4" w:rsidRPr="00080CCE">
        <w:t xml:space="preserve">tudy: </w:t>
      </w:r>
      <w:r w:rsidR="00C218C4">
        <w:t>p</w:t>
      </w:r>
      <w:r w:rsidR="00C218C4" w:rsidRPr="00080CCE">
        <w:t xml:space="preserve">lant </w:t>
      </w:r>
      <w:r w:rsidR="00C218C4">
        <w:t>h</w:t>
      </w:r>
      <w:r w:rsidR="00C218C4" w:rsidRPr="00080CCE">
        <w:t>ealth and One</w:t>
      </w:r>
      <w:r w:rsidR="00C218C4">
        <w:t xml:space="preserve"> </w:t>
      </w:r>
      <w:r w:rsidR="00C218C4" w:rsidRPr="00080CCE">
        <w:t>Health</w:t>
      </w:r>
    </w:p>
    <w:p w14:paraId="283FF1A4" w14:textId="77777777" w:rsidR="00C218C4" w:rsidRDefault="00C218C4" w:rsidP="00C218C4">
      <w:pPr>
        <w:pStyle w:val="IPPHeading1"/>
        <w:ind w:left="0" w:firstLine="0"/>
      </w:pPr>
      <w:r>
        <w:t xml:space="preserve">1. </w:t>
      </w:r>
      <w:r w:rsidRPr="00AA59C3">
        <w:t>Purpose of the Preliminary Study</w:t>
      </w:r>
    </w:p>
    <w:p w14:paraId="3825FA6B" w14:textId="77777777" w:rsidR="00C218C4" w:rsidRPr="005D2E28" w:rsidRDefault="00C218C4" w:rsidP="00996042">
      <w:pPr>
        <w:pStyle w:val="IPPPargraphnumbering"/>
        <w:numPr>
          <w:ilvl w:val="0"/>
          <w:numId w:val="11"/>
        </w:numPr>
        <w:spacing w:before="240"/>
      </w:pPr>
      <w:r w:rsidRPr="005D2E28">
        <w:t>The CPM Focus Group for plant health in the context of One Health was established by CPM-18 (2024) to conduct a preliminary study aiming to understand clear linkages between plant health and One Health. This study will inform the development of a broader strategy and action plan to enhance the visibility and inclusion of plant health in global One Health dialogues and initiatives.</w:t>
      </w:r>
    </w:p>
    <w:p w14:paraId="2404AC8C" w14:textId="77777777" w:rsidR="00C218C4" w:rsidRPr="005D2E28" w:rsidRDefault="00C218C4" w:rsidP="00996042">
      <w:pPr>
        <w:pStyle w:val="IPPPargraphnumbering"/>
        <w:numPr>
          <w:ilvl w:val="0"/>
          <w:numId w:val="11"/>
        </w:numPr>
        <w:spacing w:before="240"/>
        <w:rPr>
          <w:color w:val="FF0000"/>
        </w:rPr>
      </w:pPr>
      <w:r>
        <w:t xml:space="preserve">The purpose of the preliminary study is to explore and define the role of plant health within the One Health approach. This includes identifying existing linkages, gaps, and opportunities for integration between plant health and other One Health sectors, including human, animal, and environmental health. </w:t>
      </w:r>
    </w:p>
    <w:p w14:paraId="625C29E2" w14:textId="77777777" w:rsidR="00C218C4" w:rsidRPr="00AA59C3" w:rsidRDefault="00C218C4" w:rsidP="00C218C4">
      <w:pPr>
        <w:pStyle w:val="IPPHeading1"/>
      </w:pPr>
      <w:r w:rsidRPr="00AA59C3">
        <w:t>2. Objectives</w:t>
      </w:r>
    </w:p>
    <w:p w14:paraId="04BFB7B2" w14:textId="77777777" w:rsidR="00C218C4" w:rsidRPr="00AA59C3" w:rsidRDefault="00C218C4" w:rsidP="00996042">
      <w:pPr>
        <w:pStyle w:val="IPPPargraphnumbering"/>
        <w:numPr>
          <w:ilvl w:val="0"/>
          <w:numId w:val="11"/>
        </w:numPr>
        <w:spacing w:before="240"/>
      </w:pPr>
      <w:r w:rsidRPr="00AA59C3">
        <w:t>The preliminary study will:</w:t>
      </w:r>
    </w:p>
    <w:p w14:paraId="49F6CD0E" w14:textId="77777777" w:rsidR="00C218C4" w:rsidRDefault="00C218C4" w:rsidP="00996042">
      <w:pPr>
        <w:pStyle w:val="IPPBullet1"/>
        <w:numPr>
          <w:ilvl w:val="0"/>
          <w:numId w:val="12"/>
        </w:numPr>
        <w:rPr>
          <w:rFonts w:eastAsia="Times New Roman"/>
        </w:rPr>
      </w:pPr>
      <w:r w:rsidRPr="0F39176D">
        <w:rPr>
          <w:rFonts w:eastAsia="Times New Roman"/>
          <w:b/>
          <w:bCs/>
        </w:rPr>
        <w:t>Identify and map the interconnections</w:t>
      </w:r>
      <w:r w:rsidRPr="0F39176D">
        <w:rPr>
          <w:rFonts w:eastAsia="Times New Roman"/>
        </w:rPr>
        <w:t xml:space="preserve"> between plant health and the other pillars of One Health – animal health, human health, and environmental health.</w:t>
      </w:r>
    </w:p>
    <w:p w14:paraId="1C255E11" w14:textId="77777777" w:rsidR="00C218C4" w:rsidRPr="00AA59C3" w:rsidRDefault="00C218C4" w:rsidP="00996042">
      <w:pPr>
        <w:pStyle w:val="IPPBullet1"/>
        <w:numPr>
          <w:ilvl w:val="0"/>
          <w:numId w:val="12"/>
        </w:numPr>
        <w:rPr>
          <w:rFonts w:eastAsia="Times New Roman"/>
        </w:rPr>
      </w:pPr>
      <w:r>
        <w:rPr>
          <w:rStyle w:val="Strong"/>
        </w:rPr>
        <w:t>Analyze the relevance of AMR to plant health</w:t>
      </w:r>
      <w:r>
        <w:t>, identifying pathways, practices, and phytosanitary measures that may contribute to or mitigate AMR risks.</w:t>
      </w:r>
    </w:p>
    <w:p w14:paraId="60966CB1" w14:textId="77777777" w:rsidR="00C218C4" w:rsidRPr="00AA59C3" w:rsidRDefault="00C218C4" w:rsidP="00996042">
      <w:pPr>
        <w:pStyle w:val="IPPBullet1"/>
        <w:numPr>
          <w:ilvl w:val="0"/>
          <w:numId w:val="12"/>
        </w:numPr>
        <w:rPr>
          <w:rFonts w:eastAsia="Times New Roman"/>
        </w:rPr>
      </w:pPr>
      <w:r w:rsidRPr="00AA59C3">
        <w:rPr>
          <w:rFonts w:eastAsia="Times New Roman"/>
          <w:b/>
          <w:bCs/>
        </w:rPr>
        <w:t>Assess the impacts</w:t>
      </w:r>
      <w:r w:rsidRPr="00AA59C3">
        <w:rPr>
          <w:rFonts w:eastAsia="Times New Roman"/>
        </w:rPr>
        <w:t xml:space="preserve"> of One Health-related initiatives on plant health systems.</w:t>
      </w:r>
    </w:p>
    <w:p w14:paraId="05D4BD30" w14:textId="77777777" w:rsidR="00C218C4" w:rsidRPr="00AA59C3" w:rsidRDefault="00C218C4" w:rsidP="00996042">
      <w:pPr>
        <w:pStyle w:val="IPPBullet1"/>
        <w:numPr>
          <w:ilvl w:val="0"/>
          <w:numId w:val="12"/>
        </w:numPr>
        <w:rPr>
          <w:rFonts w:eastAsia="Times New Roman"/>
        </w:rPr>
      </w:pPr>
      <w:r w:rsidRPr="00AA59C3">
        <w:rPr>
          <w:rFonts w:eastAsia="Times New Roman"/>
          <w:b/>
          <w:bCs/>
        </w:rPr>
        <w:t>Identify existing collaboration mechanisms</w:t>
      </w:r>
      <w:r w:rsidRPr="00AA59C3">
        <w:rPr>
          <w:rFonts w:eastAsia="Times New Roman"/>
        </w:rPr>
        <w:t xml:space="preserve"> or platforms within the One Health framework that include or could include plant health </w:t>
      </w:r>
      <w:r>
        <w:rPr>
          <w:rFonts w:eastAsia="Times New Roman"/>
        </w:rPr>
        <w:t>stakeholders</w:t>
      </w:r>
      <w:r w:rsidRPr="00AA59C3">
        <w:rPr>
          <w:rFonts w:eastAsia="Times New Roman"/>
        </w:rPr>
        <w:t>.</w:t>
      </w:r>
    </w:p>
    <w:p w14:paraId="4D6A89B7" w14:textId="77777777" w:rsidR="00C218C4" w:rsidRPr="00AA59C3" w:rsidRDefault="00C218C4" w:rsidP="00996042">
      <w:pPr>
        <w:pStyle w:val="IPPBullet1"/>
        <w:numPr>
          <w:ilvl w:val="0"/>
          <w:numId w:val="12"/>
        </w:numPr>
        <w:rPr>
          <w:rFonts w:eastAsia="Times New Roman"/>
        </w:rPr>
      </w:pPr>
      <w:r w:rsidRPr="00AA59C3">
        <w:rPr>
          <w:rFonts w:eastAsia="Times New Roman"/>
          <w:b/>
          <w:bCs/>
        </w:rPr>
        <w:t>Highlight key thematic areas</w:t>
      </w:r>
      <w:r w:rsidRPr="00AA59C3">
        <w:rPr>
          <w:rFonts w:eastAsia="Times New Roman"/>
        </w:rPr>
        <w:t xml:space="preserve"> where plant health could provide added value within the One Health agenda (e.g. food security, pest outbreaks, biodiversity, pesticide use).</w:t>
      </w:r>
    </w:p>
    <w:p w14:paraId="0B3222ED" w14:textId="77777777" w:rsidR="00C218C4" w:rsidRPr="00AA59C3" w:rsidRDefault="00C218C4" w:rsidP="00996042">
      <w:pPr>
        <w:pStyle w:val="IPPBullet1"/>
        <w:numPr>
          <w:ilvl w:val="0"/>
          <w:numId w:val="12"/>
        </w:numPr>
      </w:pPr>
      <w:r w:rsidRPr="00AA59C3">
        <w:rPr>
          <w:rFonts w:eastAsia="Times New Roman"/>
          <w:b/>
          <w:bCs/>
        </w:rPr>
        <w:t>Pinpoint knowledge, policy, and operational gaps</w:t>
      </w:r>
      <w:r w:rsidRPr="00AA59C3">
        <w:rPr>
          <w:rFonts w:eastAsia="Times New Roman"/>
        </w:rPr>
        <w:t xml:space="preserve"> in the current One Health narrative and implementation </w:t>
      </w:r>
      <w:proofErr w:type="gramStart"/>
      <w:r w:rsidRPr="00AA59C3">
        <w:rPr>
          <w:rFonts w:eastAsia="Times New Roman"/>
        </w:rPr>
        <w:t>with regard to</w:t>
      </w:r>
      <w:proofErr w:type="gramEnd"/>
      <w:r w:rsidRPr="00AA59C3">
        <w:rPr>
          <w:rFonts w:eastAsia="Times New Roman"/>
        </w:rPr>
        <w:t xml:space="preserve"> plant health.</w:t>
      </w:r>
    </w:p>
    <w:p w14:paraId="1D7291BA" w14:textId="77777777" w:rsidR="00C218C4" w:rsidRPr="00AA59C3" w:rsidRDefault="00C218C4" w:rsidP="00C218C4">
      <w:pPr>
        <w:pStyle w:val="IPPHeading1"/>
      </w:pPr>
      <w:r w:rsidRPr="00AA59C3">
        <w:t>4. Methodology</w:t>
      </w:r>
    </w:p>
    <w:p w14:paraId="4F4D45D1" w14:textId="77777777" w:rsidR="00C218C4" w:rsidRPr="00AA59C3" w:rsidRDefault="00C218C4" w:rsidP="00996042">
      <w:pPr>
        <w:pStyle w:val="IPPPargraphnumbering"/>
        <w:numPr>
          <w:ilvl w:val="0"/>
          <w:numId w:val="11"/>
        </w:numPr>
        <w:spacing w:before="240"/>
      </w:pPr>
      <w:r w:rsidRPr="00AA59C3">
        <w:t>The study will be conducted using a combination of the following methods:</w:t>
      </w:r>
    </w:p>
    <w:p w14:paraId="627C3412" w14:textId="77777777" w:rsidR="00C218C4" w:rsidRPr="006A44ED" w:rsidRDefault="00C218C4" w:rsidP="00996042">
      <w:pPr>
        <w:pStyle w:val="IPPBullet1"/>
        <w:numPr>
          <w:ilvl w:val="0"/>
          <w:numId w:val="13"/>
        </w:numPr>
      </w:pPr>
      <w:r w:rsidRPr="006A44ED">
        <w:t xml:space="preserve">Desk review of scientific, regulatory, and policy literature on plant health in the One Health, and AMR contexts. </w:t>
      </w:r>
    </w:p>
    <w:p w14:paraId="51E68BE0" w14:textId="77777777" w:rsidR="00C218C4" w:rsidRPr="00AA59C3" w:rsidRDefault="00C218C4" w:rsidP="00996042">
      <w:pPr>
        <w:pStyle w:val="IPPBullet1"/>
        <w:numPr>
          <w:ilvl w:val="0"/>
          <w:numId w:val="13"/>
        </w:numPr>
      </w:pPr>
      <w:r>
        <w:t xml:space="preserve">National and regional experiences </w:t>
      </w:r>
      <w:r w:rsidRPr="006A44ED">
        <w:t xml:space="preserve">from </w:t>
      </w:r>
      <w:r w:rsidRPr="00AA59C3">
        <w:t>NPPOs, RPPOs, and other stakeholders</w:t>
      </w:r>
      <w:r w:rsidRPr="006A44ED">
        <w:t>.</w:t>
      </w:r>
    </w:p>
    <w:p w14:paraId="1490FB73" w14:textId="77777777" w:rsidR="00C218C4" w:rsidRPr="00AA59C3" w:rsidRDefault="00C218C4" w:rsidP="00996042">
      <w:pPr>
        <w:pStyle w:val="IPPBullet1"/>
        <w:numPr>
          <w:ilvl w:val="0"/>
          <w:numId w:val="13"/>
        </w:numPr>
      </w:pPr>
      <w:r w:rsidRPr="00AA59C3">
        <w:t>Semi-structured interviews with selected experts and representatives of relevant sectors and organizations.</w:t>
      </w:r>
    </w:p>
    <w:p w14:paraId="190B33E9" w14:textId="77777777" w:rsidR="00C218C4" w:rsidRPr="00AA59C3" w:rsidRDefault="00C218C4" w:rsidP="00C218C4">
      <w:pPr>
        <w:pStyle w:val="IPPBullet1"/>
      </w:pPr>
      <w:r w:rsidRPr="00AA59C3">
        <w:t>Mapping exercise to illustrate institutional relationships, gaps, and collaboration opportunities.</w:t>
      </w:r>
    </w:p>
    <w:p w14:paraId="5DD32FE9" w14:textId="77777777" w:rsidR="00C218C4" w:rsidRPr="00AA59C3" w:rsidRDefault="00C218C4" w:rsidP="00C218C4">
      <w:pPr>
        <w:pStyle w:val="IPPHeading1"/>
      </w:pPr>
      <w:r w:rsidRPr="00AA59C3">
        <w:t>5. Deliverables</w:t>
      </w:r>
    </w:p>
    <w:p w14:paraId="09E1D550" w14:textId="77777777" w:rsidR="00C218C4" w:rsidRPr="00AA59C3" w:rsidRDefault="00C218C4" w:rsidP="00996042">
      <w:pPr>
        <w:pStyle w:val="IPPPargraphnumbering"/>
        <w:numPr>
          <w:ilvl w:val="0"/>
          <w:numId w:val="11"/>
        </w:numPr>
        <w:spacing w:before="240"/>
      </w:pPr>
      <w:r w:rsidRPr="00AA59C3">
        <w:t xml:space="preserve">By </w:t>
      </w:r>
      <w:r w:rsidRPr="0041235E">
        <w:t>October 2025</w:t>
      </w:r>
      <w:r w:rsidRPr="00AA59C3">
        <w:t xml:space="preserve">, the </w:t>
      </w:r>
      <w:r w:rsidRPr="0041235E">
        <w:t>following will be delivered</w:t>
      </w:r>
      <w:r w:rsidRPr="00AA59C3">
        <w:t>:</w:t>
      </w:r>
    </w:p>
    <w:p w14:paraId="37C12578" w14:textId="77777777" w:rsidR="00C218C4" w:rsidRPr="004A1C90" w:rsidRDefault="00C218C4" w:rsidP="00996042">
      <w:pPr>
        <w:pStyle w:val="IPPBullet1"/>
        <w:numPr>
          <w:ilvl w:val="0"/>
          <w:numId w:val="13"/>
        </w:numPr>
      </w:pPr>
      <w:r w:rsidRPr="004A1C90">
        <w:t xml:space="preserve">A </w:t>
      </w:r>
      <w:r>
        <w:t>draft literature and desk review</w:t>
      </w:r>
      <w:r w:rsidRPr="004A1C90">
        <w:t xml:space="preserve"> report summarizing findings on plant health’s role in One Health.</w:t>
      </w:r>
    </w:p>
    <w:p w14:paraId="07C74A68" w14:textId="77777777" w:rsidR="00C218C4" w:rsidRPr="00AA59C3" w:rsidRDefault="00C218C4" w:rsidP="00996042">
      <w:pPr>
        <w:pStyle w:val="IPPBullet1"/>
        <w:numPr>
          <w:ilvl w:val="0"/>
          <w:numId w:val="13"/>
        </w:numPr>
      </w:pPr>
      <w:r w:rsidRPr="00AA59C3">
        <w:t>A set of recommendations outlining key priorities and opportunities for integrating plant health into One Health at global and national levels</w:t>
      </w:r>
      <w:r w:rsidRPr="004A1C90">
        <w:t>, including on the relevancy of AMR for plant health.</w:t>
      </w:r>
    </w:p>
    <w:p w14:paraId="037E3B25" w14:textId="77777777" w:rsidR="00C218C4" w:rsidRDefault="00C218C4" w:rsidP="00996042">
      <w:pPr>
        <w:pStyle w:val="IPPBullet1"/>
        <w:numPr>
          <w:ilvl w:val="0"/>
          <w:numId w:val="13"/>
        </w:numPr>
      </w:pPr>
    </w:p>
    <w:p w14:paraId="1CAFB93C" w14:textId="77777777" w:rsidR="00C218C4" w:rsidRPr="00AA59C3" w:rsidRDefault="00C218C4" w:rsidP="00C218C4">
      <w:pPr>
        <w:pStyle w:val="IPPHeading1"/>
      </w:pPr>
      <w:r w:rsidRPr="00AA59C3">
        <w:lastRenderedPageBreak/>
        <w:t>6. Timeline</w:t>
      </w:r>
    </w:p>
    <w:p w14:paraId="1C61EE84" w14:textId="77777777" w:rsidR="00C218C4" w:rsidRPr="006A44ED" w:rsidRDefault="00C218C4" w:rsidP="00996042">
      <w:pPr>
        <w:pStyle w:val="IPPBullet1"/>
        <w:numPr>
          <w:ilvl w:val="0"/>
          <w:numId w:val="13"/>
        </w:numPr>
      </w:pPr>
      <w:r w:rsidRPr="006A44ED">
        <w:t>Mid-May 2025: Initiation of study</w:t>
      </w:r>
      <w:r>
        <w:t>: literature review and desk review</w:t>
      </w:r>
    </w:p>
    <w:p w14:paraId="74080EDF" w14:textId="77777777" w:rsidR="00C218C4" w:rsidRPr="006A44ED" w:rsidRDefault="00C218C4" w:rsidP="00996042">
      <w:pPr>
        <w:pStyle w:val="IPPBullet1"/>
        <w:numPr>
          <w:ilvl w:val="1"/>
          <w:numId w:val="13"/>
        </w:numPr>
      </w:pPr>
      <w:r w:rsidRPr="006A44ED">
        <w:t>June 2025: Data collection and analysis</w:t>
      </w:r>
    </w:p>
    <w:p w14:paraId="742F87CE" w14:textId="77777777" w:rsidR="00C218C4" w:rsidRPr="006A44ED" w:rsidRDefault="00C218C4" w:rsidP="00996042">
      <w:pPr>
        <w:pStyle w:val="IPPBullet1"/>
        <w:numPr>
          <w:ilvl w:val="1"/>
          <w:numId w:val="13"/>
        </w:numPr>
      </w:pPr>
      <w:r w:rsidRPr="006A44ED">
        <w:t>July 2025: Draft report and internal review</w:t>
      </w:r>
    </w:p>
    <w:p w14:paraId="5E79E158" w14:textId="77777777" w:rsidR="00C218C4" w:rsidRPr="006A44ED" w:rsidRDefault="00C218C4" w:rsidP="00996042">
      <w:pPr>
        <w:pStyle w:val="IPPBullet1"/>
        <w:numPr>
          <w:ilvl w:val="1"/>
          <w:numId w:val="13"/>
        </w:numPr>
      </w:pPr>
      <w:r w:rsidRPr="006A44ED">
        <w:t xml:space="preserve">August – September 2025: Finalization of </w:t>
      </w:r>
      <w:r>
        <w:t>the literature review and desk review report</w:t>
      </w:r>
    </w:p>
    <w:p w14:paraId="04C6E263" w14:textId="77777777" w:rsidR="00C218C4" w:rsidRDefault="00C218C4" w:rsidP="00996042">
      <w:pPr>
        <w:pStyle w:val="IPPBullet1"/>
        <w:numPr>
          <w:ilvl w:val="0"/>
          <w:numId w:val="13"/>
        </w:numPr>
      </w:pPr>
      <w:r>
        <w:t>October 2025: presentation of the literature review and desk review report to the Strategic Planning Group Meeting</w:t>
      </w:r>
    </w:p>
    <w:p w14:paraId="5CE79547" w14:textId="77777777" w:rsidR="00C218C4" w:rsidRDefault="00C218C4" w:rsidP="00996042">
      <w:pPr>
        <w:pStyle w:val="IPPBullet1"/>
        <w:numPr>
          <w:ilvl w:val="0"/>
          <w:numId w:val="13"/>
        </w:numPr>
      </w:pPr>
      <w:r>
        <w:t>January 2026: further work on the preliminary study – initial draft</w:t>
      </w:r>
    </w:p>
    <w:p w14:paraId="3B56B02A" w14:textId="77777777" w:rsidR="00C218C4" w:rsidRDefault="00C218C4" w:rsidP="00996042">
      <w:pPr>
        <w:pStyle w:val="IPPBullet1"/>
        <w:numPr>
          <w:ilvl w:val="0"/>
          <w:numId w:val="13"/>
        </w:numPr>
      </w:pPr>
      <w:r>
        <w:t>February 2026: review of the draft preliminary study – coordination with relevant stakeholders: CPM groups and subsidiary groups (POARS, FAO OH TWG, FAO AMR WG etc.)</w:t>
      </w:r>
    </w:p>
    <w:p w14:paraId="07B12044" w14:textId="77777777" w:rsidR="00C218C4" w:rsidRDefault="00C218C4" w:rsidP="00996042">
      <w:pPr>
        <w:pStyle w:val="IPPBullet1"/>
        <w:numPr>
          <w:ilvl w:val="0"/>
          <w:numId w:val="13"/>
        </w:numPr>
      </w:pPr>
      <w:r>
        <w:t>March/April 2026: finalization of the second draft of the preliminary study and presentation at CPM-20 (2026).</w:t>
      </w:r>
    </w:p>
    <w:p w14:paraId="312F7E7C" w14:textId="77777777" w:rsidR="00C218C4" w:rsidRPr="00AA59C3" w:rsidRDefault="00C218C4" w:rsidP="00C218C4">
      <w:pPr>
        <w:pStyle w:val="IPPHeading1"/>
      </w:pPr>
      <w:r w:rsidRPr="00AA59C3">
        <w:t>7. Coordination and Support</w:t>
      </w:r>
    </w:p>
    <w:p w14:paraId="2101F125" w14:textId="06143437" w:rsidR="007956EE" w:rsidRDefault="00C218C4" w:rsidP="00C218C4">
      <w:pPr>
        <w:pStyle w:val="IPPParagraphnumbering"/>
        <w:numPr>
          <w:ilvl w:val="0"/>
          <w:numId w:val="0"/>
        </w:numPr>
        <w:rPr>
          <w:b/>
          <w:bCs/>
          <w:lang w:val="en-GB"/>
        </w:rPr>
        <w:sectPr w:rsidR="007956EE" w:rsidSect="002C6275">
          <w:headerReference w:type="even" r:id="rId11"/>
          <w:headerReference w:type="default" r:id="rId12"/>
          <w:headerReference w:type="first" r:id="rId13"/>
          <w:pgSz w:w="11906" w:h="16838" w:code="9"/>
          <w:pgMar w:top="1440" w:right="1440" w:bottom="1440" w:left="1440" w:header="709" w:footer="709" w:gutter="0"/>
          <w:cols w:space="708"/>
          <w:titlePg/>
          <w:docGrid w:linePitch="360"/>
        </w:sectPr>
      </w:pPr>
      <w:r w:rsidRPr="00AA59C3">
        <w:t xml:space="preserve">The study will be </w:t>
      </w:r>
      <w:r w:rsidRPr="0041235E">
        <w:t xml:space="preserve">conducted by an international consultant - phytosanitary expert/scientist, with input and guidance from the </w:t>
      </w:r>
      <w:r w:rsidRPr="00AA59C3">
        <w:t>CPM Focus Group</w:t>
      </w:r>
      <w:r w:rsidRPr="0041235E">
        <w:t xml:space="preserve">, and </w:t>
      </w:r>
      <w:r w:rsidRPr="00AA59C3">
        <w:t>coordination support from the IPPC Secretariat.</w:t>
      </w:r>
    </w:p>
    <w:p w14:paraId="2E76DC87" w14:textId="1D3CB1D8" w:rsidR="00F12D25" w:rsidRDefault="007956EE" w:rsidP="00F12D25">
      <w:pPr>
        <w:pStyle w:val="IPPParagraphnumbering"/>
        <w:numPr>
          <w:ilvl w:val="0"/>
          <w:numId w:val="0"/>
        </w:numPr>
        <w:rPr>
          <w:b/>
          <w:bCs/>
          <w:lang w:val="en-GB"/>
        </w:rPr>
      </w:pPr>
      <w:r w:rsidRPr="2E96BD59">
        <w:rPr>
          <w:b/>
          <w:bCs/>
          <w:lang w:val="en-GB"/>
        </w:rPr>
        <w:lastRenderedPageBreak/>
        <w:t xml:space="preserve">APPENDIX </w:t>
      </w:r>
      <w:r>
        <w:rPr>
          <w:b/>
          <w:bCs/>
          <w:lang w:val="en-GB"/>
        </w:rPr>
        <w:t>2</w:t>
      </w:r>
      <w:r w:rsidRPr="2E96BD59">
        <w:rPr>
          <w:b/>
          <w:bCs/>
          <w:lang w:val="en-GB"/>
        </w:rPr>
        <w:t>:</w:t>
      </w:r>
      <w:r w:rsidRPr="00CF015A">
        <w:rPr>
          <w:b/>
          <w:bCs/>
          <w:lang w:val="en-GB"/>
        </w:rPr>
        <w:t xml:space="preserve"> </w:t>
      </w:r>
      <w:r w:rsidR="00F12D25">
        <w:rPr>
          <w:b/>
          <w:bCs/>
          <w:lang w:val="en-GB"/>
        </w:rPr>
        <w:t xml:space="preserve">Research Matrix </w:t>
      </w:r>
      <w:r w:rsidR="000903CB">
        <w:rPr>
          <w:b/>
          <w:bCs/>
          <w:lang w:val="en-GB"/>
        </w:rPr>
        <w:t>– questions to guide literature and desk review</w:t>
      </w:r>
    </w:p>
    <w:p w14:paraId="692971F2" w14:textId="77777777" w:rsidR="000903CB" w:rsidRDefault="000903CB" w:rsidP="00F12D25">
      <w:pPr>
        <w:pStyle w:val="IPPParagraphnumbering"/>
        <w:numPr>
          <w:ilvl w:val="0"/>
          <w:numId w:val="0"/>
        </w:numPr>
        <w:rPr>
          <w:b/>
          <w:bCs/>
          <w:lang w:val="en-GB"/>
        </w:rPr>
      </w:pPr>
    </w:p>
    <w:tbl>
      <w:tblPr>
        <w:tblW w:w="10616" w:type="dxa"/>
        <w:tblInd w:w="-856" w:type="dxa"/>
        <w:tblLook w:val="04A0" w:firstRow="1" w:lastRow="0" w:firstColumn="1" w:lastColumn="0" w:noHBand="0" w:noVBand="1"/>
      </w:tblPr>
      <w:tblGrid>
        <w:gridCol w:w="567"/>
        <w:gridCol w:w="2552"/>
        <w:gridCol w:w="7497"/>
      </w:tblGrid>
      <w:tr w:rsidR="00CA0FE4" w:rsidRPr="00CA0FE4" w14:paraId="40FD7072" w14:textId="77777777" w:rsidTr="00CA0FE4">
        <w:trPr>
          <w:trHeight w:val="312"/>
        </w:trPr>
        <w:tc>
          <w:tcPr>
            <w:tcW w:w="567" w:type="dxa"/>
            <w:tcBorders>
              <w:top w:val="single" w:sz="4" w:space="0" w:color="auto"/>
              <w:left w:val="single" w:sz="4" w:space="0" w:color="auto"/>
              <w:bottom w:val="single" w:sz="4" w:space="0" w:color="auto"/>
              <w:right w:val="single" w:sz="4" w:space="0" w:color="auto"/>
            </w:tcBorders>
            <w:noWrap/>
            <w:vAlign w:val="bottom"/>
            <w:hideMark/>
          </w:tcPr>
          <w:p w14:paraId="3CF36FFE" w14:textId="77777777" w:rsidR="00CA0FE4" w:rsidRPr="00CA0FE4" w:rsidRDefault="00CA0FE4" w:rsidP="00CA0FE4">
            <w:pPr>
              <w:jc w:val="left"/>
              <w:rPr>
                <w:rFonts w:ascii="Aptos Narrow" w:eastAsia="Times New Roman" w:hAnsi="Aptos Narrow" w:cs="Times New Roman"/>
                <w:b/>
                <w:bCs/>
                <w:color w:val="000000"/>
                <w:sz w:val="24"/>
                <w:lang w:val="en-US" w:eastAsia="en-US"/>
              </w:rPr>
            </w:pPr>
            <w:r w:rsidRPr="00CA0FE4">
              <w:rPr>
                <w:rFonts w:ascii="Aptos Narrow" w:eastAsia="Times New Roman" w:hAnsi="Aptos Narrow" w:cs="Times New Roman"/>
                <w:b/>
                <w:bCs/>
                <w:color w:val="000000"/>
                <w:sz w:val="24"/>
                <w:lang w:val="en-US" w:eastAsia="en-US"/>
              </w:rPr>
              <w:t> </w:t>
            </w:r>
          </w:p>
        </w:tc>
        <w:tc>
          <w:tcPr>
            <w:tcW w:w="2552" w:type="dxa"/>
            <w:tcBorders>
              <w:top w:val="single" w:sz="4" w:space="0" w:color="auto"/>
              <w:left w:val="nil"/>
              <w:bottom w:val="single" w:sz="4" w:space="0" w:color="auto"/>
              <w:right w:val="single" w:sz="4" w:space="0" w:color="auto"/>
            </w:tcBorders>
            <w:noWrap/>
            <w:vAlign w:val="center"/>
            <w:hideMark/>
          </w:tcPr>
          <w:p w14:paraId="621C4787" w14:textId="77777777" w:rsidR="00CA0FE4" w:rsidRPr="00CA0FE4" w:rsidRDefault="00CA0FE4" w:rsidP="00CA0FE4">
            <w:pPr>
              <w:jc w:val="left"/>
              <w:rPr>
                <w:rFonts w:ascii="Aptos Narrow" w:eastAsia="Times New Roman" w:hAnsi="Aptos Narrow" w:cs="Times New Roman"/>
                <w:b/>
                <w:bCs/>
                <w:color w:val="000000"/>
                <w:sz w:val="24"/>
                <w:lang w:val="en-US" w:eastAsia="en-US"/>
              </w:rPr>
            </w:pPr>
            <w:r w:rsidRPr="00CA0FE4">
              <w:rPr>
                <w:rFonts w:ascii="Aptos Narrow" w:eastAsia="Times New Roman" w:hAnsi="Aptos Narrow" w:cs="Times New Roman"/>
                <w:b/>
                <w:bCs/>
                <w:color w:val="000000"/>
                <w:sz w:val="24"/>
                <w:lang w:val="en-US" w:eastAsia="en-US"/>
              </w:rPr>
              <w:t>Research Area</w:t>
            </w:r>
          </w:p>
        </w:tc>
        <w:tc>
          <w:tcPr>
            <w:tcW w:w="7497" w:type="dxa"/>
            <w:tcBorders>
              <w:top w:val="single" w:sz="4" w:space="0" w:color="auto"/>
              <w:left w:val="nil"/>
              <w:bottom w:val="single" w:sz="4" w:space="0" w:color="auto"/>
              <w:right w:val="single" w:sz="4" w:space="0" w:color="auto"/>
            </w:tcBorders>
            <w:vAlign w:val="center"/>
            <w:hideMark/>
          </w:tcPr>
          <w:p w14:paraId="71F0E13A" w14:textId="77777777" w:rsidR="00CA0FE4" w:rsidRPr="00CA0FE4" w:rsidRDefault="00CA0FE4" w:rsidP="00CA0FE4">
            <w:pPr>
              <w:jc w:val="left"/>
              <w:rPr>
                <w:rFonts w:ascii="Aptos Narrow" w:eastAsia="Times New Roman" w:hAnsi="Aptos Narrow" w:cs="Times New Roman"/>
                <w:b/>
                <w:bCs/>
                <w:color w:val="000000"/>
                <w:sz w:val="24"/>
                <w:lang w:val="en-US" w:eastAsia="en-US"/>
              </w:rPr>
            </w:pPr>
            <w:r w:rsidRPr="00CA0FE4">
              <w:rPr>
                <w:rFonts w:ascii="Aptos Narrow" w:eastAsia="Times New Roman" w:hAnsi="Aptos Narrow" w:cs="Times New Roman"/>
                <w:b/>
                <w:bCs/>
                <w:color w:val="000000"/>
                <w:sz w:val="24"/>
                <w:lang w:val="en-US" w:eastAsia="en-US"/>
              </w:rPr>
              <w:t>Research Question</w:t>
            </w:r>
          </w:p>
        </w:tc>
      </w:tr>
      <w:tr w:rsidR="00CA0FE4" w:rsidRPr="00CA0FE4" w14:paraId="6291E58C" w14:textId="77777777" w:rsidTr="00CA0FE4">
        <w:trPr>
          <w:trHeight w:val="576"/>
        </w:trPr>
        <w:tc>
          <w:tcPr>
            <w:tcW w:w="567" w:type="dxa"/>
            <w:vMerge w:val="restart"/>
            <w:tcBorders>
              <w:top w:val="nil"/>
              <w:left w:val="single" w:sz="4" w:space="0" w:color="auto"/>
              <w:bottom w:val="single" w:sz="4" w:space="0" w:color="000000"/>
              <w:right w:val="single" w:sz="4" w:space="0" w:color="auto"/>
            </w:tcBorders>
            <w:vAlign w:val="center"/>
            <w:hideMark/>
          </w:tcPr>
          <w:p w14:paraId="55CFA15A" w14:textId="77777777" w:rsidR="00CA0FE4" w:rsidRPr="00CA0FE4" w:rsidRDefault="00CA0FE4" w:rsidP="00CA0FE4">
            <w:pPr>
              <w:jc w:val="left"/>
              <w:rPr>
                <w:rFonts w:ascii="Aptos Narrow" w:eastAsia="Times New Roman" w:hAnsi="Aptos Narrow" w:cs="Times New Roman"/>
                <w:color w:val="000000"/>
                <w:szCs w:val="22"/>
                <w:lang w:val="en-US" w:eastAsia="en-US"/>
              </w:rPr>
            </w:pPr>
            <w:r w:rsidRPr="00CA0FE4">
              <w:rPr>
                <w:rFonts w:ascii="Aptos Narrow" w:eastAsia="Times New Roman" w:hAnsi="Aptos Narrow" w:cs="Times New Roman"/>
                <w:color w:val="000000"/>
                <w:szCs w:val="22"/>
                <w:lang w:val="en-US" w:eastAsia="en-US"/>
              </w:rPr>
              <w:t>1</w:t>
            </w:r>
          </w:p>
        </w:tc>
        <w:tc>
          <w:tcPr>
            <w:tcW w:w="2552" w:type="dxa"/>
            <w:vMerge w:val="restart"/>
            <w:tcBorders>
              <w:top w:val="nil"/>
              <w:left w:val="single" w:sz="4" w:space="0" w:color="auto"/>
              <w:bottom w:val="single" w:sz="4" w:space="0" w:color="000000"/>
              <w:right w:val="single" w:sz="4" w:space="0" w:color="auto"/>
            </w:tcBorders>
            <w:vAlign w:val="center"/>
            <w:hideMark/>
          </w:tcPr>
          <w:p w14:paraId="196DCEAB" w14:textId="77777777" w:rsidR="00CA0FE4" w:rsidRPr="00CA0FE4" w:rsidRDefault="00CA0FE4" w:rsidP="00CA0FE4">
            <w:pPr>
              <w:jc w:val="left"/>
              <w:rPr>
                <w:rFonts w:ascii="Aptos Narrow" w:eastAsia="Times New Roman" w:hAnsi="Aptos Narrow" w:cs="Times New Roman"/>
                <w:color w:val="000000"/>
                <w:szCs w:val="22"/>
                <w:lang w:val="en-US" w:eastAsia="en-US"/>
              </w:rPr>
            </w:pPr>
            <w:r w:rsidRPr="00CA0FE4">
              <w:rPr>
                <w:rFonts w:ascii="Aptos Narrow" w:eastAsia="Times New Roman" w:hAnsi="Aptos Narrow" w:cs="Times New Roman"/>
                <w:color w:val="000000"/>
                <w:szCs w:val="22"/>
                <w:lang w:val="en-US" w:eastAsia="en-US"/>
              </w:rPr>
              <w:t>Conceptual understanding</w:t>
            </w:r>
          </w:p>
        </w:tc>
        <w:tc>
          <w:tcPr>
            <w:tcW w:w="7497" w:type="dxa"/>
            <w:tcBorders>
              <w:top w:val="nil"/>
              <w:left w:val="nil"/>
              <w:bottom w:val="single" w:sz="4" w:space="0" w:color="auto"/>
              <w:right w:val="single" w:sz="4" w:space="0" w:color="auto"/>
            </w:tcBorders>
            <w:vAlign w:val="center"/>
            <w:hideMark/>
          </w:tcPr>
          <w:p w14:paraId="249E28D9" w14:textId="77777777" w:rsidR="00CA0FE4" w:rsidRPr="00CA0FE4" w:rsidRDefault="00CA0FE4" w:rsidP="00CA0FE4">
            <w:pPr>
              <w:jc w:val="left"/>
              <w:rPr>
                <w:rFonts w:ascii="Aptos Narrow" w:eastAsia="Times New Roman" w:hAnsi="Aptos Narrow" w:cs="Times New Roman"/>
                <w:color w:val="000000"/>
                <w:szCs w:val="22"/>
                <w:lang w:val="en-US" w:eastAsia="en-US"/>
              </w:rPr>
            </w:pPr>
            <w:r w:rsidRPr="00CA0FE4">
              <w:rPr>
                <w:rFonts w:ascii="Aptos Narrow" w:eastAsia="Times New Roman" w:hAnsi="Aptos Narrow" w:cs="Times New Roman"/>
                <w:color w:val="000000"/>
                <w:szCs w:val="22"/>
                <w:lang w:val="en-US" w:eastAsia="en-US"/>
              </w:rPr>
              <w:t>What are the conceptual linkages between plant health and the OH approach?</w:t>
            </w:r>
          </w:p>
        </w:tc>
      </w:tr>
      <w:tr w:rsidR="00CA0FE4" w:rsidRPr="00CA0FE4" w14:paraId="355436A9" w14:textId="77777777" w:rsidTr="00CA0FE4">
        <w:trPr>
          <w:trHeight w:val="576"/>
        </w:trPr>
        <w:tc>
          <w:tcPr>
            <w:tcW w:w="567" w:type="dxa"/>
            <w:vMerge/>
            <w:tcBorders>
              <w:top w:val="nil"/>
              <w:left w:val="single" w:sz="4" w:space="0" w:color="auto"/>
              <w:bottom w:val="single" w:sz="4" w:space="0" w:color="000000"/>
              <w:right w:val="single" w:sz="4" w:space="0" w:color="auto"/>
            </w:tcBorders>
            <w:vAlign w:val="center"/>
            <w:hideMark/>
          </w:tcPr>
          <w:p w14:paraId="12200819" w14:textId="77777777" w:rsidR="00CA0FE4" w:rsidRPr="00CA0FE4" w:rsidRDefault="00CA0FE4" w:rsidP="00CA0FE4">
            <w:pPr>
              <w:jc w:val="left"/>
              <w:rPr>
                <w:rFonts w:ascii="Aptos Narrow" w:eastAsia="Times New Roman" w:hAnsi="Aptos Narrow" w:cs="Times New Roman"/>
                <w:color w:val="000000"/>
                <w:szCs w:val="22"/>
                <w:lang w:val="en-US" w:eastAsia="en-US"/>
              </w:rPr>
            </w:pPr>
          </w:p>
        </w:tc>
        <w:tc>
          <w:tcPr>
            <w:tcW w:w="2552" w:type="dxa"/>
            <w:vMerge/>
            <w:tcBorders>
              <w:top w:val="nil"/>
              <w:left w:val="single" w:sz="4" w:space="0" w:color="auto"/>
              <w:bottom w:val="single" w:sz="4" w:space="0" w:color="000000"/>
              <w:right w:val="single" w:sz="4" w:space="0" w:color="auto"/>
            </w:tcBorders>
            <w:vAlign w:val="center"/>
            <w:hideMark/>
          </w:tcPr>
          <w:p w14:paraId="71E3718F" w14:textId="77777777" w:rsidR="00CA0FE4" w:rsidRPr="00CA0FE4" w:rsidRDefault="00CA0FE4" w:rsidP="00CA0FE4">
            <w:pPr>
              <w:jc w:val="left"/>
              <w:rPr>
                <w:rFonts w:ascii="Aptos Narrow" w:eastAsia="Times New Roman" w:hAnsi="Aptos Narrow" w:cs="Times New Roman"/>
                <w:color w:val="000000"/>
                <w:szCs w:val="22"/>
                <w:lang w:val="en-US" w:eastAsia="en-US"/>
              </w:rPr>
            </w:pPr>
          </w:p>
        </w:tc>
        <w:tc>
          <w:tcPr>
            <w:tcW w:w="7497" w:type="dxa"/>
            <w:tcBorders>
              <w:top w:val="nil"/>
              <w:left w:val="nil"/>
              <w:bottom w:val="single" w:sz="4" w:space="0" w:color="auto"/>
              <w:right w:val="single" w:sz="4" w:space="0" w:color="auto"/>
            </w:tcBorders>
            <w:vAlign w:val="center"/>
            <w:hideMark/>
          </w:tcPr>
          <w:p w14:paraId="3D8869EB" w14:textId="77777777" w:rsidR="00CA0FE4" w:rsidRPr="00CA0FE4" w:rsidRDefault="00CA0FE4" w:rsidP="00CA0FE4">
            <w:pPr>
              <w:jc w:val="left"/>
              <w:rPr>
                <w:rFonts w:ascii="Aptos Narrow" w:eastAsia="Times New Roman" w:hAnsi="Aptos Narrow" w:cs="Times New Roman"/>
                <w:color w:val="000000"/>
                <w:szCs w:val="22"/>
                <w:lang w:val="en-US" w:eastAsia="en-US"/>
              </w:rPr>
            </w:pPr>
            <w:r w:rsidRPr="00CA0FE4">
              <w:rPr>
                <w:rFonts w:ascii="Aptos Narrow" w:eastAsia="Times New Roman" w:hAnsi="Aptos Narrow" w:cs="Times New Roman"/>
                <w:color w:val="000000"/>
                <w:szCs w:val="22"/>
                <w:lang w:val="en-US" w:eastAsia="en-US"/>
              </w:rPr>
              <w:t xml:space="preserve">How is plant health </w:t>
            </w:r>
            <w:proofErr w:type="gramStart"/>
            <w:r w:rsidRPr="00CA0FE4">
              <w:rPr>
                <w:rFonts w:ascii="Aptos Narrow" w:eastAsia="Times New Roman" w:hAnsi="Aptos Narrow" w:cs="Times New Roman"/>
                <w:color w:val="000000"/>
                <w:szCs w:val="22"/>
                <w:lang w:val="en-US" w:eastAsia="en-US"/>
              </w:rPr>
              <w:t>currently  defined</w:t>
            </w:r>
            <w:proofErr w:type="gramEnd"/>
            <w:r w:rsidRPr="00CA0FE4">
              <w:rPr>
                <w:rFonts w:ascii="Aptos Narrow" w:eastAsia="Times New Roman" w:hAnsi="Aptos Narrow" w:cs="Times New Roman"/>
                <w:color w:val="000000"/>
                <w:szCs w:val="22"/>
                <w:lang w:val="en-US" w:eastAsia="en-US"/>
              </w:rPr>
              <w:t xml:space="preserve"> in global OH frameworks, strategies, and dialogues?</w:t>
            </w:r>
          </w:p>
        </w:tc>
      </w:tr>
      <w:tr w:rsidR="00CA0FE4" w:rsidRPr="00CA0FE4" w14:paraId="256C36F2" w14:textId="77777777" w:rsidTr="00CA0FE4">
        <w:trPr>
          <w:trHeight w:val="576"/>
        </w:trPr>
        <w:tc>
          <w:tcPr>
            <w:tcW w:w="567" w:type="dxa"/>
            <w:tcBorders>
              <w:top w:val="nil"/>
              <w:left w:val="single" w:sz="4" w:space="0" w:color="auto"/>
              <w:bottom w:val="single" w:sz="4" w:space="0" w:color="auto"/>
              <w:right w:val="single" w:sz="4" w:space="0" w:color="auto"/>
            </w:tcBorders>
            <w:noWrap/>
            <w:vAlign w:val="center"/>
            <w:hideMark/>
          </w:tcPr>
          <w:p w14:paraId="7AC1C683" w14:textId="77777777" w:rsidR="00CA0FE4" w:rsidRPr="00CA0FE4" w:rsidRDefault="00CA0FE4" w:rsidP="00CA0FE4">
            <w:pPr>
              <w:jc w:val="left"/>
              <w:rPr>
                <w:rFonts w:ascii="Aptos Narrow" w:eastAsia="Times New Roman" w:hAnsi="Aptos Narrow" w:cs="Times New Roman"/>
                <w:color w:val="000000"/>
                <w:szCs w:val="22"/>
                <w:lang w:val="en-US" w:eastAsia="en-US"/>
              </w:rPr>
            </w:pPr>
            <w:r w:rsidRPr="00CA0FE4">
              <w:rPr>
                <w:rFonts w:ascii="Aptos Narrow" w:eastAsia="Times New Roman" w:hAnsi="Aptos Narrow" w:cs="Times New Roman"/>
                <w:color w:val="000000"/>
                <w:szCs w:val="22"/>
                <w:lang w:val="en-US" w:eastAsia="en-US"/>
              </w:rPr>
              <w:t>2</w:t>
            </w:r>
          </w:p>
        </w:tc>
        <w:tc>
          <w:tcPr>
            <w:tcW w:w="2552" w:type="dxa"/>
            <w:tcBorders>
              <w:top w:val="nil"/>
              <w:left w:val="nil"/>
              <w:bottom w:val="single" w:sz="4" w:space="0" w:color="auto"/>
              <w:right w:val="single" w:sz="4" w:space="0" w:color="auto"/>
            </w:tcBorders>
            <w:vAlign w:val="center"/>
            <w:hideMark/>
          </w:tcPr>
          <w:p w14:paraId="76E9769D" w14:textId="77777777" w:rsidR="00CA0FE4" w:rsidRPr="00CA0FE4" w:rsidRDefault="00CA0FE4" w:rsidP="00CA0FE4">
            <w:pPr>
              <w:jc w:val="left"/>
              <w:rPr>
                <w:rFonts w:ascii="Aptos Narrow" w:eastAsia="Times New Roman" w:hAnsi="Aptos Narrow" w:cs="Times New Roman"/>
                <w:color w:val="000000"/>
                <w:szCs w:val="22"/>
                <w:lang w:val="en-US" w:eastAsia="en-US"/>
              </w:rPr>
            </w:pPr>
            <w:r w:rsidRPr="00CA0FE4">
              <w:rPr>
                <w:rFonts w:ascii="Aptos Narrow" w:eastAsia="Times New Roman" w:hAnsi="Aptos Narrow" w:cs="Times New Roman"/>
                <w:color w:val="000000"/>
                <w:szCs w:val="22"/>
                <w:lang w:val="en-US" w:eastAsia="en-US"/>
              </w:rPr>
              <w:t>Interlinkages with other OH areas</w:t>
            </w:r>
          </w:p>
        </w:tc>
        <w:tc>
          <w:tcPr>
            <w:tcW w:w="7497" w:type="dxa"/>
            <w:tcBorders>
              <w:top w:val="nil"/>
              <w:left w:val="nil"/>
              <w:bottom w:val="single" w:sz="4" w:space="0" w:color="auto"/>
              <w:right w:val="single" w:sz="4" w:space="0" w:color="auto"/>
            </w:tcBorders>
            <w:vAlign w:val="center"/>
            <w:hideMark/>
          </w:tcPr>
          <w:p w14:paraId="75785BF2" w14:textId="77777777" w:rsidR="00CA0FE4" w:rsidRPr="00CA0FE4" w:rsidRDefault="00CA0FE4" w:rsidP="00CA0FE4">
            <w:pPr>
              <w:jc w:val="left"/>
              <w:rPr>
                <w:rFonts w:ascii="Aptos Narrow" w:eastAsia="Times New Roman" w:hAnsi="Aptos Narrow" w:cs="Times New Roman"/>
                <w:color w:val="000000"/>
                <w:szCs w:val="22"/>
                <w:lang w:val="en-US" w:eastAsia="en-US"/>
              </w:rPr>
            </w:pPr>
            <w:r w:rsidRPr="00CA0FE4">
              <w:rPr>
                <w:rFonts w:ascii="Aptos Narrow" w:eastAsia="Times New Roman" w:hAnsi="Aptos Narrow" w:cs="Times New Roman"/>
                <w:color w:val="000000"/>
                <w:szCs w:val="22"/>
                <w:lang w:val="en-US" w:eastAsia="en-US"/>
              </w:rPr>
              <w:t>What are the linkages between plant health, animal health, human health, aquatic health and the environment?</w:t>
            </w:r>
          </w:p>
        </w:tc>
      </w:tr>
      <w:tr w:rsidR="00CA0FE4" w:rsidRPr="00CA0FE4" w14:paraId="4D0539A6" w14:textId="77777777" w:rsidTr="00CA0FE4">
        <w:trPr>
          <w:trHeight w:val="576"/>
        </w:trPr>
        <w:tc>
          <w:tcPr>
            <w:tcW w:w="567" w:type="dxa"/>
            <w:vMerge w:val="restart"/>
            <w:tcBorders>
              <w:top w:val="nil"/>
              <w:left w:val="single" w:sz="4" w:space="0" w:color="auto"/>
              <w:bottom w:val="single" w:sz="4" w:space="0" w:color="000000"/>
              <w:right w:val="single" w:sz="4" w:space="0" w:color="auto"/>
            </w:tcBorders>
            <w:noWrap/>
            <w:vAlign w:val="center"/>
            <w:hideMark/>
          </w:tcPr>
          <w:p w14:paraId="4384A846" w14:textId="77777777" w:rsidR="00CA0FE4" w:rsidRPr="00CA0FE4" w:rsidRDefault="00CA0FE4" w:rsidP="00CA0FE4">
            <w:pPr>
              <w:jc w:val="left"/>
              <w:rPr>
                <w:rFonts w:ascii="Aptos Narrow" w:eastAsia="Times New Roman" w:hAnsi="Aptos Narrow" w:cs="Times New Roman"/>
                <w:color w:val="000000"/>
                <w:szCs w:val="22"/>
                <w:lang w:val="en-US" w:eastAsia="en-US"/>
              </w:rPr>
            </w:pPr>
            <w:r w:rsidRPr="00CA0FE4">
              <w:rPr>
                <w:rFonts w:ascii="Aptos Narrow" w:eastAsia="Times New Roman" w:hAnsi="Aptos Narrow" w:cs="Times New Roman"/>
                <w:color w:val="000000"/>
                <w:szCs w:val="22"/>
                <w:lang w:val="en-US" w:eastAsia="en-US"/>
              </w:rPr>
              <w:t>3</w:t>
            </w:r>
          </w:p>
        </w:tc>
        <w:tc>
          <w:tcPr>
            <w:tcW w:w="2552" w:type="dxa"/>
            <w:vMerge w:val="restart"/>
            <w:tcBorders>
              <w:top w:val="nil"/>
              <w:left w:val="single" w:sz="4" w:space="0" w:color="auto"/>
              <w:bottom w:val="single" w:sz="4" w:space="0" w:color="000000"/>
              <w:right w:val="single" w:sz="4" w:space="0" w:color="auto"/>
            </w:tcBorders>
            <w:vAlign w:val="center"/>
            <w:hideMark/>
          </w:tcPr>
          <w:p w14:paraId="53384E69" w14:textId="77777777" w:rsidR="00CA0FE4" w:rsidRPr="00CA0FE4" w:rsidRDefault="00CA0FE4" w:rsidP="00CA0FE4">
            <w:pPr>
              <w:jc w:val="center"/>
              <w:rPr>
                <w:rFonts w:ascii="Aptos Narrow" w:eastAsia="Times New Roman" w:hAnsi="Aptos Narrow" w:cs="Times New Roman"/>
                <w:color w:val="000000"/>
                <w:szCs w:val="22"/>
                <w:lang w:val="en-US" w:eastAsia="en-US"/>
              </w:rPr>
            </w:pPr>
            <w:r w:rsidRPr="00CA0FE4">
              <w:rPr>
                <w:rFonts w:ascii="Aptos Narrow" w:eastAsia="Times New Roman" w:hAnsi="Aptos Narrow" w:cs="Times New Roman"/>
                <w:color w:val="000000"/>
                <w:szCs w:val="22"/>
                <w:lang w:val="en-US" w:eastAsia="en-US"/>
              </w:rPr>
              <w:t>AMR and plant health</w:t>
            </w:r>
          </w:p>
        </w:tc>
        <w:tc>
          <w:tcPr>
            <w:tcW w:w="7497" w:type="dxa"/>
            <w:tcBorders>
              <w:top w:val="nil"/>
              <w:left w:val="nil"/>
              <w:bottom w:val="single" w:sz="4" w:space="0" w:color="auto"/>
              <w:right w:val="single" w:sz="4" w:space="0" w:color="auto"/>
            </w:tcBorders>
            <w:vAlign w:val="center"/>
            <w:hideMark/>
          </w:tcPr>
          <w:p w14:paraId="3224E8D6" w14:textId="77777777" w:rsidR="00CA0FE4" w:rsidRPr="00CA0FE4" w:rsidRDefault="00CA0FE4" w:rsidP="00CA0FE4">
            <w:pPr>
              <w:jc w:val="left"/>
              <w:rPr>
                <w:rFonts w:ascii="Aptos Narrow" w:eastAsia="Times New Roman" w:hAnsi="Aptos Narrow" w:cs="Times New Roman"/>
                <w:color w:val="000000"/>
                <w:szCs w:val="22"/>
                <w:lang w:val="en-US" w:eastAsia="en-US"/>
              </w:rPr>
            </w:pPr>
            <w:r w:rsidRPr="00CA0FE4">
              <w:rPr>
                <w:rFonts w:ascii="Aptos Narrow" w:eastAsia="Times New Roman" w:hAnsi="Aptos Narrow" w:cs="Times New Roman"/>
                <w:color w:val="000000"/>
                <w:szCs w:val="22"/>
                <w:lang w:val="en-US" w:eastAsia="en-US"/>
              </w:rPr>
              <w:t>What are the most significant pathways through which plant health contributes to or is affected by antimicrobial resistance (AMR)?</w:t>
            </w:r>
          </w:p>
        </w:tc>
      </w:tr>
      <w:tr w:rsidR="00CA0FE4" w:rsidRPr="00CA0FE4" w14:paraId="6758834E" w14:textId="77777777" w:rsidTr="00CA0FE4">
        <w:trPr>
          <w:trHeight w:val="1152"/>
        </w:trPr>
        <w:tc>
          <w:tcPr>
            <w:tcW w:w="567" w:type="dxa"/>
            <w:vMerge/>
            <w:tcBorders>
              <w:top w:val="nil"/>
              <w:left w:val="single" w:sz="4" w:space="0" w:color="auto"/>
              <w:bottom w:val="single" w:sz="4" w:space="0" w:color="000000"/>
              <w:right w:val="single" w:sz="4" w:space="0" w:color="auto"/>
            </w:tcBorders>
            <w:vAlign w:val="center"/>
            <w:hideMark/>
          </w:tcPr>
          <w:p w14:paraId="5C818253" w14:textId="77777777" w:rsidR="00CA0FE4" w:rsidRPr="00CA0FE4" w:rsidRDefault="00CA0FE4" w:rsidP="00CA0FE4">
            <w:pPr>
              <w:jc w:val="left"/>
              <w:rPr>
                <w:rFonts w:ascii="Aptos Narrow" w:eastAsia="Times New Roman" w:hAnsi="Aptos Narrow" w:cs="Times New Roman"/>
                <w:color w:val="000000"/>
                <w:szCs w:val="22"/>
                <w:lang w:val="en-US" w:eastAsia="en-US"/>
              </w:rPr>
            </w:pPr>
          </w:p>
        </w:tc>
        <w:tc>
          <w:tcPr>
            <w:tcW w:w="2552" w:type="dxa"/>
            <w:vMerge/>
            <w:tcBorders>
              <w:top w:val="nil"/>
              <w:left w:val="single" w:sz="4" w:space="0" w:color="auto"/>
              <w:bottom w:val="single" w:sz="4" w:space="0" w:color="000000"/>
              <w:right w:val="single" w:sz="4" w:space="0" w:color="auto"/>
            </w:tcBorders>
            <w:vAlign w:val="center"/>
            <w:hideMark/>
          </w:tcPr>
          <w:p w14:paraId="6F718F01" w14:textId="77777777" w:rsidR="00CA0FE4" w:rsidRPr="00CA0FE4" w:rsidRDefault="00CA0FE4" w:rsidP="00CA0FE4">
            <w:pPr>
              <w:jc w:val="left"/>
              <w:rPr>
                <w:rFonts w:ascii="Aptos Narrow" w:eastAsia="Times New Roman" w:hAnsi="Aptos Narrow" w:cs="Times New Roman"/>
                <w:color w:val="000000"/>
                <w:szCs w:val="22"/>
                <w:lang w:val="en-US" w:eastAsia="en-US"/>
              </w:rPr>
            </w:pPr>
          </w:p>
        </w:tc>
        <w:tc>
          <w:tcPr>
            <w:tcW w:w="7497" w:type="dxa"/>
            <w:tcBorders>
              <w:top w:val="nil"/>
              <w:left w:val="nil"/>
              <w:bottom w:val="single" w:sz="4" w:space="0" w:color="auto"/>
              <w:right w:val="single" w:sz="4" w:space="0" w:color="auto"/>
            </w:tcBorders>
            <w:vAlign w:val="center"/>
            <w:hideMark/>
          </w:tcPr>
          <w:p w14:paraId="728805EE" w14:textId="77777777" w:rsidR="00CA0FE4" w:rsidRPr="00CA0FE4" w:rsidRDefault="00CA0FE4" w:rsidP="00CA0FE4">
            <w:pPr>
              <w:jc w:val="left"/>
              <w:rPr>
                <w:rFonts w:ascii="Aptos Narrow" w:eastAsia="Times New Roman" w:hAnsi="Aptos Narrow" w:cs="Times New Roman"/>
                <w:color w:val="000000"/>
                <w:szCs w:val="22"/>
                <w:lang w:val="en-US" w:eastAsia="en-US"/>
              </w:rPr>
            </w:pPr>
            <w:r w:rsidRPr="00CA0FE4">
              <w:rPr>
                <w:rFonts w:ascii="Aptos Narrow" w:eastAsia="Times New Roman" w:hAnsi="Aptos Narrow" w:cs="Times New Roman"/>
                <w:color w:val="000000"/>
                <w:szCs w:val="22"/>
                <w:lang w:val="en-US" w:eastAsia="en-US"/>
              </w:rPr>
              <w:t>What is the risk of resistance development when antimicrobials are used on plants (depending on the type of application, e.g. spraying has potential drift) on target and non-target microorganisms and of residues staying on the plants?</w:t>
            </w:r>
          </w:p>
        </w:tc>
      </w:tr>
      <w:tr w:rsidR="00CA0FE4" w:rsidRPr="00CA0FE4" w14:paraId="7AF4CA53" w14:textId="77777777" w:rsidTr="00CA0FE4">
        <w:trPr>
          <w:trHeight w:val="864"/>
        </w:trPr>
        <w:tc>
          <w:tcPr>
            <w:tcW w:w="567" w:type="dxa"/>
            <w:vMerge/>
            <w:tcBorders>
              <w:top w:val="nil"/>
              <w:left w:val="single" w:sz="4" w:space="0" w:color="auto"/>
              <w:bottom w:val="single" w:sz="4" w:space="0" w:color="000000"/>
              <w:right w:val="single" w:sz="4" w:space="0" w:color="auto"/>
            </w:tcBorders>
            <w:vAlign w:val="center"/>
            <w:hideMark/>
          </w:tcPr>
          <w:p w14:paraId="49B22D50" w14:textId="77777777" w:rsidR="00CA0FE4" w:rsidRPr="00CA0FE4" w:rsidRDefault="00CA0FE4" w:rsidP="00CA0FE4">
            <w:pPr>
              <w:jc w:val="left"/>
              <w:rPr>
                <w:rFonts w:ascii="Aptos Narrow" w:eastAsia="Times New Roman" w:hAnsi="Aptos Narrow" w:cs="Times New Roman"/>
                <w:color w:val="000000"/>
                <w:szCs w:val="22"/>
                <w:lang w:val="en-US" w:eastAsia="en-US"/>
              </w:rPr>
            </w:pPr>
          </w:p>
        </w:tc>
        <w:tc>
          <w:tcPr>
            <w:tcW w:w="2552" w:type="dxa"/>
            <w:vMerge/>
            <w:tcBorders>
              <w:top w:val="nil"/>
              <w:left w:val="single" w:sz="4" w:space="0" w:color="auto"/>
              <w:bottom w:val="single" w:sz="4" w:space="0" w:color="000000"/>
              <w:right w:val="single" w:sz="4" w:space="0" w:color="auto"/>
            </w:tcBorders>
            <w:vAlign w:val="center"/>
            <w:hideMark/>
          </w:tcPr>
          <w:p w14:paraId="53813811" w14:textId="77777777" w:rsidR="00CA0FE4" w:rsidRPr="00CA0FE4" w:rsidRDefault="00CA0FE4" w:rsidP="00CA0FE4">
            <w:pPr>
              <w:jc w:val="left"/>
              <w:rPr>
                <w:rFonts w:ascii="Aptos Narrow" w:eastAsia="Times New Roman" w:hAnsi="Aptos Narrow" w:cs="Times New Roman"/>
                <w:color w:val="000000"/>
                <w:szCs w:val="22"/>
                <w:lang w:val="en-US" w:eastAsia="en-US"/>
              </w:rPr>
            </w:pPr>
          </w:p>
        </w:tc>
        <w:tc>
          <w:tcPr>
            <w:tcW w:w="7497" w:type="dxa"/>
            <w:tcBorders>
              <w:top w:val="nil"/>
              <w:left w:val="nil"/>
              <w:bottom w:val="single" w:sz="4" w:space="0" w:color="auto"/>
              <w:right w:val="single" w:sz="4" w:space="0" w:color="auto"/>
            </w:tcBorders>
            <w:vAlign w:val="center"/>
            <w:hideMark/>
          </w:tcPr>
          <w:p w14:paraId="1F50D47F" w14:textId="77777777" w:rsidR="00CA0FE4" w:rsidRPr="00CA0FE4" w:rsidRDefault="00CA0FE4" w:rsidP="00CA0FE4">
            <w:pPr>
              <w:jc w:val="left"/>
              <w:rPr>
                <w:rFonts w:ascii="Aptos Narrow" w:eastAsia="Times New Roman" w:hAnsi="Aptos Narrow" w:cs="Times New Roman"/>
                <w:color w:val="000000"/>
                <w:szCs w:val="22"/>
                <w:lang w:val="en-US" w:eastAsia="en-US"/>
              </w:rPr>
            </w:pPr>
            <w:r w:rsidRPr="00CA0FE4">
              <w:rPr>
                <w:rFonts w:ascii="Aptos Narrow" w:eastAsia="Times New Roman" w:hAnsi="Aptos Narrow" w:cs="Times New Roman"/>
                <w:color w:val="000000"/>
                <w:szCs w:val="22"/>
                <w:lang w:val="en-US" w:eastAsia="en-US"/>
              </w:rPr>
              <w:t xml:space="preserve">What is the risk for the consumer when eating plants that were treated with antimicrobials (e.g. antimicrobial residues that are picked up)? Are there MRLs defined for </w:t>
            </w:r>
            <w:proofErr w:type="gramStart"/>
            <w:r w:rsidRPr="00CA0FE4">
              <w:rPr>
                <w:rFonts w:ascii="Aptos Narrow" w:eastAsia="Times New Roman" w:hAnsi="Aptos Narrow" w:cs="Times New Roman"/>
                <w:color w:val="000000"/>
                <w:szCs w:val="22"/>
                <w:lang w:val="en-US" w:eastAsia="en-US"/>
              </w:rPr>
              <w:t>the antimicrobials</w:t>
            </w:r>
            <w:proofErr w:type="gramEnd"/>
            <w:r w:rsidRPr="00CA0FE4">
              <w:rPr>
                <w:rFonts w:ascii="Aptos Narrow" w:eastAsia="Times New Roman" w:hAnsi="Aptos Narrow" w:cs="Times New Roman"/>
                <w:color w:val="000000"/>
                <w:szCs w:val="22"/>
                <w:lang w:val="en-US" w:eastAsia="en-US"/>
              </w:rPr>
              <w:t>? (Link to food safety/security)</w:t>
            </w:r>
          </w:p>
        </w:tc>
      </w:tr>
      <w:tr w:rsidR="00CA0FE4" w:rsidRPr="00CA0FE4" w14:paraId="177BA089" w14:textId="77777777" w:rsidTr="00CA0FE4">
        <w:trPr>
          <w:trHeight w:val="576"/>
        </w:trPr>
        <w:tc>
          <w:tcPr>
            <w:tcW w:w="567" w:type="dxa"/>
            <w:vMerge/>
            <w:tcBorders>
              <w:top w:val="nil"/>
              <w:left w:val="single" w:sz="4" w:space="0" w:color="auto"/>
              <w:bottom w:val="single" w:sz="4" w:space="0" w:color="000000"/>
              <w:right w:val="single" w:sz="4" w:space="0" w:color="auto"/>
            </w:tcBorders>
            <w:vAlign w:val="center"/>
            <w:hideMark/>
          </w:tcPr>
          <w:p w14:paraId="1C02C937" w14:textId="77777777" w:rsidR="00CA0FE4" w:rsidRPr="00CA0FE4" w:rsidRDefault="00CA0FE4" w:rsidP="00CA0FE4">
            <w:pPr>
              <w:jc w:val="left"/>
              <w:rPr>
                <w:rFonts w:ascii="Aptos Narrow" w:eastAsia="Times New Roman" w:hAnsi="Aptos Narrow" w:cs="Times New Roman"/>
                <w:color w:val="000000"/>
                <w:szCs w:val="22"/>
                <w:lang w:val="en-US" w:eastAsia="en-US"/>
              </w:rPr>
            </w:pPr>
          </w:p>
        </w:tc>
        <w:tc>
          <w:tcPr>
            <w:tcW w:w="2552" w:type="dxa"/>
            <w:vMerge/>
            <w:tcBorders>
              <w:top w:val="nil"/>
              <w:left w:val="single" w:sz="4" w:space="0" w:color="auto"/>
              <w:bottom w:val="single" w:sz="4" w:space="0" w:color="000000"/>
              <w:right w:val="single" w:sz="4" w:space="0" w:color="auto"/>
            </w:tcBorders>
            <w:vAlign w:val="center"/>
            <w:hideMark/>
          </w:tcPr>
          <w:p w14:paraId="31EE0E96" w14:textId="77777777" w:rsidR="00CA0FE4" w:rsidRPr="00CA0FE4" w:rsidRDefault="00CA0FE4" w:rsidP="00CA0FE4">
            <w:pPr>
              <w:jc w:val="left"/>
              <w:rPr>
                <w:rFonts w:ascii="Aptos Narrow" w:eastAsia="Times New Roman" w:hAnsi="Aptos Narrow" w:cs="Times New Roman"/>
                <w:color w:val="000000"/>
                <w:szCs w:val="22"/>
                <w:lang w:val="en-US" w:eastAsia="en-US"/>
              </w:rPr>
            </w:pPr>
          </w:p>
        </w:tc>
        <w:tc>
          <w:tcPr>
            <w:tcW w:w="7497" w:type="dxa"/>
            <w:tcBorders>
              <w:top w:val="nil"/>
              <w:left w:val="nil"/>
              <w:bottom w:val="single" w:sz="4" w:space="0" w:color="auto"/>
              <w:right w:val="single" w:sz="4" w:space="0" w:color="auto"/>
            </w:tcBorders>
            <w:vAlign w:val="center"/>
            <w:hideMark/>
          </w:tcPr>
          <w:p w14:paraId="14B24E89" w14:textId="77777777" w:rsidR="00CA0FE4" w:rsidRPr="00CA0FE4" w:rsidRDefault="00CA0FE4" w:rsidP="00CA0FE4">
            <w:pPr>
              <w:jc w:val="left"/>
              <w:rPr>
                <w:rFonts w:ascii="Aptos Narrow" w:eastAsia="Times New Roman" w:hAnsi="Aptos Narrow" w:cs="Times New Roman"/>
                <w:color w:val="000000"/>
                <w:szCs w:val="22"/>
                <w:lang w:val="en-US" w:eastAsia="en-US"/>
              </w:rPr>
            </w:pPr>
            <w:r w:rsidRPr="00CA0FE4">
              <w:rPr>
                <w:rFonts w:ascii="Aptos Narrow" w:eastAsia="Times New Roman" w:hAnsi="Aptos Narrow" w:cs="Times New Roman"/>
                <w:color w:val="000000"/>
                <w:szCs w:val="22"/>
                <w:lang w:val="en-US" w:eastAsia="en-US"/>
              </w:rPr>
              <w:t xml:space="preserve">What are the antibiotics used in plant health and what are the impact of their use on other OH areas (human, animal, soil, environment </w:t>
            </w:r>
            <w:proofErr w:type="spellStart"/>
            <w:r w:rsidRPr="00CA0FE4">
              <w:rPr>
                <w:rFonts w:ascii="Aptos Narrow" w:eastAsia="Times New Roman" w:hAnsi="Aptos Narrow" w:cs="Times New Roman"/>
                <w:color w:val="000000"/>
                <w:szCs w:val="22"/>
                <w:lang w:val="en-US" w:eastAsia="en-US"/>
              </w:rPr>
              <w:t>etc</w:t>
            </w:r>
            <w:proofErr w:type="spellEnd"/>
            <w:r w:rsidRPr="00CA0FE4">
              <w:rPr>
                <w:rFonts w:ascii="Aptos Narrow" w:eastAsia="Times New Roman" w:hAnsi="Aptos Narrow" w:cs="Times New Roman"/>
                <w:color w:val="000000"/>
                <w:szCs w:val="22"/>
                <w:lang w:val="en-US" w:eastAsia="en-US"/>
              </w:rPr>
              <w:t>)?</w:t>
            </w:r>
          </w:p>
        </w:tc>
      </w:tr>
      <w:tr w:rsidR="00CA0FE4" w:rsidRPr="00CA0FE4" w14:paraId="7B34BB59" w14:textId="77777777" w:rsidTr="00CA0FE4">
        <w:trPr>
          <w:trHeight w:val="576"/>
        </w:trPr>
        <w:tc>
          <w:tcPr>
            <w:tcW w:w="567" w:type="dxa"/>
            <w:vMerge/>
            <w:tcBorders>
              <w:top w:val="nil"/>
              <w:left w:val="single" w:sz="4" w:space="0" w:color="auto"/>
              <w:bottom w:val="single" w:sz="4" w:space="0" w:color="000000"/>
              <w:right w:val="single" w:sz="4" w:space="0" w:color="auto"/>
            </w:tcBorders>
            <w:vAlign w:val="center"/>
            <w:hideMark/>
          </w:tcPr>
          <w:p w14:paraId="7CCA552C" w14:textId="77777777" w:rsidR="00CA0FE4" w:rsidRPr="00CA0FE4" w:rsidRDefault="00CA0FE4" w:rsidP="00CA0FE4">
            <w:pPr>
              <w:jc w:val="left"/>
              <w:rPr>
                <w:rFonts w:ascii="Aptos Narrow" w:eastAsia="Times New Roman" w:hAnsi="Aptos Narrow" w:cs="Times New Roman"/>
                <w:color w:val="000000"/>
                <w:szCs w:val="22"/>
                <w:lang w:val="en-US" w:eastAsia="en-US"/>
              </w:rPr>
            </w:pPr>
          </w:p>
        </w:tc>
        <w:tc>
          <w:tcPr>
            <w:tcW w:w="2552" w:type="dxa"/>
            <w:vMerge/>
            <w:tcBorders>
              <w:top w:val="nil"/>
              <w:left w:val="single" w:sz="4" w:space="0" w:color="auto"/>
              <w:bottom w:val="single" w:sz="4" w:space="0" w:color="000000"/>
              <w:right w:val="single" w:sz="4" w:space="0" w:color="auto"/>
            </w:tcBorders>
            <w:vAlign w:val="center"/>
            <w:hideMark/>
          </w:tcPr>
          <w:p w14:paraId="79327C08" w14:textId="77777777" w:rsidR="00CA0FE4" w:rsidRPr="00CA0FE4" w:rsidRDefault="00CA0FE4" w:rsidP="00CA0FE4">
            <w:pPr>
              <w:jc w:val="left"/>
              <w:rPr>
                <w:rFonts w:ascii="Aptos Narrow" w:eastAsia="Times New Roman" w:hAnsi="Aptos Narrow" w:cs="Times New Roman"/>
                <w:color w:val="000000"/>
                <w:szCs w:val="22"/>
                <w:lang w:val="en-US" w:eastAsia="en-US"/>
              </w:rPr>
            </w:pPr>
          </w:p>
        </w:tc>
        <w:tc>
          <w:tcPr>
            <w:tcW w:w="7497" w:type="dxa"/>
            <w:tcBorders>
              <w:top w:val="nil"/>
              <w:left w:val="nil"/>
              <w:bottom w:val="single" w:sz="4" w:space="0" w:color="auto"/>
              <w:right w:val="single" w:sz="4" w:space="0" w:color="auto"/>
            </w:tcBorders>
            <w:vAlign w:val="center"/>
            <w:hideMark/>
          </w:tcPr>
          <w:p w14:paraId="20CD3346" w14:textId="77777777" w:rsidR="00CA0FE4" w:rsidRPr="00CA0FE4" w:rsidRDefault="00CA0FE4" w:rsidP="00CA0FE4">
            <w:pPr>
              <w:jc w:val="left"/>
              <w:rPr>
                <w:rFonts w:ascii="Aptos Narrow" w:eastAsia="Times New Roman" w:hAnsi="Aptos Narrow" w:cs="Times New Roman"/>
                <w:color w:val="000000"/>
                <w:szCs w:val="22"/>
                <w:lang w:val="en-US" w:eastAsia="en-US"/>
              </w:rPr>
            </w:pPr>
            <w:r w:rsidRPr="00CA0FE4">
              <w:rPr>
                <w:rFonts w:ascii="Aptos Narrow" w:eastAsia="Times New Roman" w:hAnsi="Aptos Narrow" w:cs="Times New Roman"/>
                <w:color w:val="000000"/>
                <w:szCs w:val="22"/>
                <w:lang w:val="en-US" w:eastAsia="en-US"/>
              </w:rPr>
              <w:t xml:space="preserve">What are the fungicides used in plant health and what are the impact of their use on other OH areas (human, animal, soil, environment </w:t>
            </w:r>
            <w:proofErr w:type="spellStart"/>
            <w:r w:rsidRPr="00CA0FE4">
              <w:rPr>
                <w:rFonts w:ascii="Aptos Narrow" w:eastAsia="Times New Roman" w:hAnsi="Aptos Narrow" w:cs="Times New Roman"/>
                <w:color w:val="000000"/>
                <w:szCs w:val="22"/>
                <w:lang w:val="en-US" w:eastAsia="en-US"/>
              </w:rPr>
              <w:t>etc</w:t>
            </w:r>
            <w:proofErr w:type="spellEnd"/>
            <w:r w:rsidRPr="00CA0FE4">
              <w:rPr>
                <w:rFonts w:ascii="Aptos Narrow" w:eastAsia="Times New Roman" w:hAnsi="Aptos Narrow" w:cs="Times New Roman"/>
                <w:color w:val="000000"/>
                <w:szCs w:val="22"/>
                <w:lang w:val="en-US" w:eastAsia="en-US"/>
              </w:rPr>
              <w:t>)?</w:t>
            </w:r>
          </w:p>
        </w:tc>
      </w:tr>
      <w:tr w:rsidR="00CA0FE4" w:rsidRPr="00CA0FE4" w14:paraId="4E437E14" w14:textId="77777777" w:rsidTr="00CA0FE4">
        <w:trPr>
          <w:trHeight w:val="576"/>
        </w:trPr>
        <w:tc>
          <w:tcPr>
            <w:tcW w:w="567" w:type="dxa"/>
            <w:vMerge w:val="restart"/>
            <w:tcBorders>
              <w:top w:val="nil"/>
              <w:left w:val="single" w:sz="4" w:space="0" w:color="auto"/>
              <w:bottom w:val="single" w:sz="4" w:space="0" w:color="000000"/>
              <w:right w:val="single" w:sz="4" w:space="0" w:color="auto"/>
            </w:tcBorders>
            <w:vAlign w:val="center"/>
            <w:hideMark/>
          </w:tcPr>
          <w:p w14:paraId="31044B01" w14:textId="77777777" w:rsidR="00CA0FE4" w:rsidRPr="00CA0FE4" w:rsidRDefault="00CA0FE4" w:rsidP="00CA0FE4">
            <w:pPr>
              <w:jc w:val="left"/>
              <w:rPr>
                <w:rFonts w:ascii="Aptos Narrow" w:eastAsia="Times New Roman" w:hAnsi="Aptos Narrow" w:cs="Times New Roman"/>
                <w:color w:val="000000"/>
                <w:szCs w:val="22"/>
                <w:lang w:val="en-US" w:eastAsia="en-US"/>
              </w:rPr>
            </w:pPr>
            <w:r w:rsidRPr="00CA0FE4">
              <w:rPr>
                <w:rFonts w:ascii="Aptos Narrow" w:eastAsia="Times New Roman" w:hAnsi="Aptos Narrow" w:cs="Times New Roman"/>
                <w:color w:val="000000"/>
                <w:szCs w:val="22"/>
                <w:lang w:val="en-US" w:eastAsia="en-US"/>
              </w:rPr>
              <w:t>4</w:t>
            </w:r>
          </w:p>
        </w:tc>
        <w:tc>
          <w:tcPr>
            <w:tcW w:w="2552" w:type="dxa"/>
            <w:vMerge w:val="restart"/>
            <w:tcBorders>
              <w:top w:val="nil"/>
              <w:left w:val="single" w:sz="4" w:space="0" w:color="auto"/>
              <w:bottom w:val="single" w:sz="4" w:space="0" w:color="000000"/>
              <w:right w:val="single" w:sz="4" w:space="0" w:color="auto"/>
            </w:tcBorders>
            <w:vAlign w:val="center"/>
            <w:hideMark/>
          </w:tcPr>
          <w:p w14:paraId="0CBE4101" w14:textId="77777777" w:rsidR="00CA0FE4" w:rsidRPr="00CA0FE4" w:rsidRDefault="00CA0FE4" w:rsidP="00CA0FE4">
            <w:pPr>
              <w:jc w:val="left"/>
              <w:rPr>
                <w:rFonts w:ascii="Aptos Narrow" w:eastAsia="Times New Roman" w:hAnsi="Aptos Narrow" w:cs="Times New Roman"/>
                <w:color w:val="000000"/>
                <w:szCs w:val="22"/>
                <w:lang w:val="en-US" w:eastAsia="en-US"/>
              </w:rPr>
            </w:pPr>
            <w:r w:rsidRPr="00CA0FE4">
              <w:rPr>
                <w:rFonts w:ascii="Aptos Narrow" w:eastAsia="Times New Roman" w:hAnsi="Aptos Narrow" w:cs="Times New Roman"/>
                <w:color w:val="000000"/>
                <w:szCs w:val="22"/>
                <w:lang w:val="en-US" w:eastAsia="en-US"/>
              </w:rPr>
              <w:t>Plant health within OH - enabling factors, gaps and capacity needs</w:t>
            </w:r>
          </w:p>
        </w:tc>
        <w:tc>
          <w:tcPr>
            <w:tcW w:w="7497" w:type="dxa"/>
            <w:tcBorders>
              <w:top w:val="nil"/>
              <w:left w:val="nil"/>
              <w:bottom w:val="single" w:sz="4" w:space="0" w:color="auto"/>
              <w:right w:val="single" w:sz="4" w:space="0" w:color="auto"/>
            </w:tcBorders>
            <w:vAlign w:val="center"/>
            <w:hideMark/>
          </w:tcPr>
          <w:p w14:paraId="79D07C75" w14:textId="77777777" w:rsidR="00CA0FE4" w:rsidRPr="00CA0FE4" w:rsidRDefault="00CA0FE4" w:rsidP="00CA0FE4">
            <w:pPr>
              <w:jc w:val="left"/>
              <w:rPr>
                <w:rFonts w:ascii="Aptos Narrow" w:eastAsia="Times New Roman" w:hAnsi="Aptos Narrow" w:cs="Times New Roman"/>
                <w:color w:val="000000"/>
                <w:szCs w:val="22"/>
                <w:lang w:val="en-US" w:eastAsia="en-US"/>
              </w:rPr>
            </w:pPr>
            <w:r w:rsidRPr="00CA0FE4">
              <w:rPr>
                <w:rFonts w:ascii="Aptos Narrow" w:eastAsia="Times New Roman" w:hAnsi="Aptos Narrow" w:cs="Times New Roman"/>
                <w:color w:val="000000"/>
                <w:szCs w:val="22"/>
                <w:lang w:val="en-US" w:eastAsia="en-US"/>
              </w:rPr>
              <w:t>How are NPPOs or RPPOs engaged with OH initiatives in practice?</w:t>
            </w:r>
          </w:p>
        </w:tc>
      </w:tr>
      <w:tr w:rsidR="00CA0FE4" w:rsidRPr="00CA0FE4" w14:paraId="5103C83C" w14:textId="77777777" w:rsidTr="00CA0FE4">
        <w:trPr>
          <w:trHeight w:val="576"/>
        </w:trPr>
        <w:tc>
          <w:tcPr>
            <w:tcW w:w="567" w:type="dxa"/>
            <w:vMerge/>
            <w:tcBorders>
              <w:top w:val="nil"/>
              <w:left w:val="single" w:sz="4" w:space="0" w:color="auto"/>
              <w:bottom w:val="single" w:sz="4" w:space="0" w:color="000000"/>
              <w:right w:val="single" w:sz="4" w:space="0" w:color="auto"/>
            </w:tcBorders>
            <w:vAlign w:val="center"/>
            <w:hideMark/>
          </w:tcPr>
          <w:p w14:paraId="0E489C8F" w14:textId="77777777" w:rsidR="00CA0FE4" w:rsidRPr="00CA0FE4" w:rsidRDefault="00CA0FE4" w:rsidP="00CA0FE4">
            <w:pPr>
              <w:jc w:val="left"/>
              <w:rPr>
                <w:rFonts w:ascii="Aptos Narrow" w:eastAsia="Times New Roman" w:hAnsi="Aptos Narrow" w:cs="Times New Roman"/>
                <w:color w:val="000000"/>
                <w:szCs w:val="22"/>
                <w:lang w:val="en-US" w:eastAsia="en-US"/>
              </w:rPr>
            </w:pPr>
          </w:p>
        </w:tc>
        <w:tc>
          <w:tcPr>
            <w:tcW w:w="2552" w:type="dxa"/>
            <w:vMerge/>
            <w:tcBorders>
              <w:top w:val="nil"/>
              <w:left w:val="single" w:sz="4" w:space="0" w:color="auto"/>
              <w:bottom w:val="single" w:sz="4" w:space="0" w:color="000000"/>
              <w:right w:val="single" w:sz="4" w:space="0" w:color="auto"/>
            </w:tcBorders>
            <w:vAlign w:val="center"/>
            <w:hideMark/>
          </w:tcPr>
          <w:p w14:paraId="12AAE4E1" w14:textId="77777777" w:rsidR="00CA0FE4" w:rsidRPr="00CA0FE4" w:rsidRDefault="00CA0FE4" w:rsidP="00CA0FE4">
            <w:pPr>
              <w:jc w:val="left"/>
              <w:rPr>
                <w:rFonts w:ascii="Aptos Narrow" w:eastAsia="Times New Roman" w:hAnsi="Aptos Narrow" w:cs="Times New Roman"/>
                <w:color w:val="000000"/>
                <w:szCs w:val="22"/>
                <w:lang w:val="en-US" w:eastAsia="en-US"/>
              </w:rPr>
            </w:pPr>
          </w:p>
        </w:tc>
        <w:tc>
          <w:tcPr>
            <w:tcW w:w="7497" w:type="dxa"/>
            <w:tcBorders>
              <w:top w:val="nil"/>
              <w:left w:val="nil"/>
              <w:bottom w:val="single" w:sz="4" w:space="0" w:color="auto"/>
              <w:right w:val="single" w:sz="4" w:space="0" w:color="auto"/>
            </w:tcBorders>
            <w:vAlign w:val="center"/>
            <w:hideMark/>
          </w:tcPr>
          <w:p w14:paraId="411B57CA" w14:textId="77777777" w:rsidR="00CA0FE4" w:rsidRPr="00CA0FE4" w:rsidRDefault="00CA0FE4" w:rsidP="00CA0FE4">
            <w:pPr>
              <w:jc w:val="left"/>
              <w:rPr>
                <w:rFonts w:ascii="Aptos Narrow" w:eastAsia="Times New Roman" w:hAnsi="Aptos Narrow" w:cs="Times New Roman"/>
                <w:color w:val="000000"/>
                <w:szCs w:val="22"/>
                <w:lang w:val="en-US" w:eastAsia="en-US"/>
              </w:rPr>
            </w:pPr>
            <w:r w:rsidRPr="00CA0FE4">
              <w:rPr>
                <w:rFonts w:ascii="Aptos Narrow" w:eastAsia="Times New Roman" w:hAnsi="Aptos Narrow" w:cs="Times New Roman"/>
                <w:color w:val="000000"/>
                <w:szCs w:val="22"/>
                <w:lang w:val="en-US" w:eastAsia="en-US"/>
              </w:rPr>
              <w:t>What existing mechanisms or platforms within the OH framework currently include plant health stakeholders?</w:t>
            </w:r>
          </w:p>
        </w:tc>
      </w:tr>
      <w:tr w:rsidR="00CA0FE4" w:rsidRPr="00CA0FE4" w14:paraId="5769983C" w14:textId="77777777" w:rsidTr="00CA0FE4">
        <w:trPr>
          <w:trHeight w:val="576"/>
        </w:trPr>
        <w:tc>
          <w:tcPr>
            <w:tcW w:w="567" w:type="dxa"/>
            <w:vMerge/>
            <w:tcBorders>
              <w:top w:val="nil"/>
              <w:left w:val="single" w:sz="4" w:space="0" w:color="auto"/>
              <w:bottom w:val="single" w:sz="4" w:space="0" w:color="000000"/>
              <w:right w:val="single" w:sz="4" w:space="0" w:color="auto"/>
            </w:tcBorders>
            <w:vAlign w:val="center"/>
            <w:hideMark/>
          </w:tcPr>
          <w:p w14:paraId="19257633" w14:textId="77777777" w:rsidR="00CA0FE4" w:rsidRPr="00CA0FE4" w:rsidRDefault="00CA0FE4" w:rsidP="00CA0FE4">
            <w:pPr>
              <w:jc w:val="left"/>
              <w:rPr>
                <w:rFonts w:ascii="Aptos Narrow" w:eastAsia="Times New Roman" w:hAnsi="Aptos Narrow" w:cs="Times New Roman"/>
                <w:color w:val="000000"/>
                <w:szCs w:val="22"/>
                <w:lang w:val="en-US" w:eastAsia="en-US"/>
              </w:rPr>
            </w:pPr>
          </w:p>
        </w:tc>
        <w:tc>
          <w:tcPr>
            <w:tcW w:w="2552" w:type="dxa"/>
            <w:vMerge/>
            <w:tcBorders>
              <w:top w:val="nil"/>
              <w:left w:val="single" w:sz="4" w:space="0" w:color="auto"/>
              <w:bottom w:val="single" w:sz="4" w:space="0" w:color="000000"/>
              <w:right w:val="single" w:sz="4" w:space="0" w:color="auto"/>
            </w:tcBorders>
            <w:vAlign w:val="center"/>
            <w:hideMark/>
          </w:tcPr>
          <w:p w14:paraId="4D34322E" w14:textId="77777777" w:rsidR="00CA0FE4" w:rsidRPr="00CA0FE4" w:rsidRDefault="00CA0FE4" w:rsidP="00CA0FE4">
            <w:pPr>
              <w:jc w:val="left"/>
              <w:rPr>
                <w:rFonts w:ascii="Aptos Narrow" w:eastAsia="Times New Roman" w:hAnsi="Aptos Narrow" w:cs="Times New Roman"/>
                <w:color w:val="000000"/>
                <w:szCs w:val="22"/>
                <w:lang w:val="en-US" w:eastAsia="en-US"/>
              </w:rPr>
            </w:pPr>
          </w:p>
        </w:tc>
        <w:tc>
          <w:tcPr>
            <w:tcW w:w="7497" w:type="dxa"/>
            <w:tcBorders>
              <w:top w:val="nil"/>
              <w:left w:val="nil"/>
              <w:bottom w:val="single" w:sz="4" w:space="0" w:color="auto"/>
              <w:right w:val="single" w:sz="4" w:space="0" w:color="auto"/>
            </w:tcBorders>
            <w:vAlign w:val="center"/>
            <w:hideMark/>
          </w:tcPr>
          <w:p w14:paraId="6675FCA1" w14:textId="77777777" w:rsidR="00CA0FE4" w:rsidRPr="00CA0FE4" w:rsidRDefault="00CA0FE4" w:rsidP="00CA0FE4">
            <w:pPr>
              <w:jc w:val="left"/>
              <w:rPr>
                <w:rFonts w:ascii="Aptos Narrow" w:eastAsia="Times New Roman" w:hAnsi="Aptos Narrow" w:cs="Times New Roman"/>
                <w:color w:val="000000"/>
                <w:szCs w:val="22"/>
                <w:lang w:val="en-US" w:eastAsia="en-US"/>
              </w:rPr>
            </w:pPr>
            <w:r w:rsidRPr="00CA0FE4">
              <w:rPr>
                <w:rFonts w:ascii="Aptos Narrow" w:eastAsia="Times New Roman" w:hAnsi="Aptos Narrow" w:cs="Times New Roman"/>
                <w:color w:val="000000"/>
                <w:szCs w:val="22"/>
                <w:lang w:val="en-US" w:eastAsia="en-US"/>
              </w:rPr>
              <w:t>What policies or regulatory frameworks support or hinder the integration of plant health into OH?</w:t>
            </w:r>
          </w:p>
        </w:tc>
      </w:tr>
      <w:tr w:rsidR="00CA0FE4" w:rsidRPr="00CA0FE4" w14:paraId="772FD676" w14:textId="77777777" w:rsidTr="00CA0FE4">
        <w:trPr>
          <w:trHeight w:val="576"/>
        </w:trPr>
        <w:tc>
          <w:tcPr>
            <w:tcW w:w="567" w:type="dxa"/>
            <w:vMerge/>
            <w:tcBorders>
              <w:top w:val="nil"/>
              <w:left w:val="single" w:sz="4" w:space="0" w:color="auto"/>
              <w:bottom w:val="single" w:sz="4" w:space="0" w:color="000000"/>
              <w:right w:val="single" w:sz="4" w:space="0" w:color="auto"/>
            </w:tcBorders>
            <w:vAlign w:val="center"/>
            <w:hideMark/>
          </w:tcPr>
          <w:p w14:paraId="09021748" w14:textId="77777777" w:rsidR="00CA0FE4" w:rsidRPr="00CA0FE4" w:rsidRDefault="00CA0FE4" w:rsidP="00CA0FE4">
            <w:pPr>
              <w:jc w:val="left"/>
              <w:rPr>
                <w:rFonts w:ascii="Aptos Narrow" w:eastAsia="Times New Roman" w:hAnsi="Aptos Narrow" w:cs="Times New Roman"/>
                <w:color w:val="000000"/>
                <w:szCs w:val="22"/>
                <w:lang w:val="en-US" w:eastAsia="en-US"/>
              </w:rPr>
            </w:pPr>
          </w:p>
        </w:tc>
        <w:tc>
          <w:tcPr>
            <w:tcW w:w="2552" w:type="dxa"/>
            <w:vMerge/>
            <w:tcBorders>
              <w:top w:val="nil"/>
              <w:left w:val="single" w:sz="4" w:space="0" w:color="auto"/>
              <w:bottom w:val="single" w:sz="4" w:space="0" w:color="000000"/>
              <w:right w:val="single" w:sz="4" w:space="0" w:color="auto"/>
            </w:tcBorders>
            <w:vAlign w:val="center"/>
            <w:hideMark/>
          </w:tcPr>
          <w:p w14:paraId="3043E4B2" w14:textId="77777777" w:rsidR="00CA0FE4" w:rsidRPr="00CA0FE4" w:rsidRDefault="00CA0FE4" w:rsidP="00CA0FE4">
            <w:pPr>
              <w:jc w:val="left"/>
              <w:rPr>
                <w:rFonts w:ascii="Aptos Narrow" w:eastAsia="Times New Roman" w:hAnsi="Aptos Narrow" w:cs="Times New Roman"/>
                <w:color w:val="000000"/>
                <w:szCs w:val="22"/>
                <w:lang w:val="en-US" w:eastAsia="en-US"/>
              </w:rPr>
            </w:pPr>
          </w:p>
        </w:tc>
        <w:tc>
          <w:tcPr>
            <w:tcW w:w="7497" w:type="dxa"/>
            <w:tcBorders>
              <w:top w:val="nil"/>
              <w:left w:val="nil"/>
              <w:bottom w:val="single" w:sz="4" w:space="0" w:color="auto"/>
              <w:right w:val="single" w:sz="4" w:space="0" w:color="auto"/>
            </w:tcBorders>
            <w:vAlign w:val="center"/>
            <w:hideMark/>
          </w:tcPr>
          <w:p w14:paraId="37A95BB4" w14:textId="77777777" w:rsidR="00CA0FE4" w:rsidRPr="00CA0FE4" w:rsidRDefault="00CA0FE4" w:rsidP="00CA0FE4">
            <w:pPr>
              <w:jc w:val="left"/>
              <w:rPr>
                <w:rFonts w:ascii="Aptos Narrow" w:eastAsia="Times New Roman" w:hAnsi="Aptos Narrow" w:cs="Times New Roman"/>
                <w:color w:val="000000"/>
                <w:szCs w:val="22"/>
                <w:lang w:val="en-US" w:eastAsia="en-US"/>
              </w:rPr>
            </w:pPr>
            <w:r w:rsidRPr="00CA0FE4">
              <w:rPr>
                <w:rFonts w:ascii="Aptos Narrow" w:eastAsia="Times New Roman" w:hAnsi="Aptos Narrow" w:cs="Times New Roman"/>
                <w:color w:val="000000"/>
                <w:szCs w:val="22"/>
                <w:lang w:val="en-US" w:eastAsia="en-US"/>
              </w:rPr>
              <w:t>What are the key knowledge gaps in understanding the role of plant health in OH?</w:t>
            </w:r>
          </w:p>
        </w:tc>
      </w:tr>
      <w:tr w:rsidR="00CA0FE4" w:rsidRPr="00CA0FE4" w14:paraId="7CF41E52" w14:textId="77777777" w:rsidTr="00CA0FE4">
        <w:trPr>
          <w:trHeight w:val="576"/>
        </w:trPr>
        <w:tc>
          <w:tcPr>
            <w:tcW w:w="567" w:type="dxa"/>
            <w:vMerge/>
            <w:tcBorders>
              <w:top w:val="nil"/>
              <w:left w:val="single" w:sz="4" w:space="0" w:color="auto"/>
              <w:bottom w:val="single" w:sz="4" w:space="0" w:color="000000"/>
              <w:right w:val="single" w:sz="4" w:space="0" w:color="auto"/>
            </w:tcBorders>
            <w:vAlign w:val="center"/>
            <w:hideMark/>
          </w:tcPr>
          <w:p w14:paraId="0143776A" w14:textId="77777777" w:rsidR="00CA0FE4" w:rsidRPr="00CA0FE4" w:rsidRDefault="00CA0FE4" w:rsidP="00CA0FE4">
            <w:pPr>
              <w:jc w:val="left"/>
              <w:rPr>
                <w:rFonts w:ascii="Aptos Narrow" w:eastAsia="Times New Roman" w:hAnsi="Aptos Narrow" w:cs="Times New Roman"/>
                <w:color w:val="000000"/>
                <w:szCs w:val="22"/>
                <w:lang w:val="en-US" w:eastAsia="en-US"/>
              </w:rPr>
            </w:pPr>
          </w:p>
        </w:tc>
        <w:tc>
          <w:tcPr>
            <w:tcW w:w="2552" w:type="dxa"/>
            <w:vMerge/>
            <w:tcBorders>
              <w:top w:val="nil"/>
              <w:left w:val="single" w:sz="4" w:space="0" w:color="auto"/>
              <w:bottom w:val="single" w:sz="4" w:space="0" w:color="000000"/>
              <w:right w:val="single" w:sz="4" w:space="0" w:color="auto"/>
            </w:tcBorders>
            <w:vAlign w:val="center"/>
            <w:hideMark/>
          </w:tcPr>
          <w:p w14:paraId="1448CB71" w14:textId="77777777" w:rsidR="00CA0FE4" w:rsidRPr="00CA0FE4" w:rsidRDefault="00CA0FE4" w:rsidP="00CA0FE4">
            <w:pPr>
              <w:jc w:val="left"/>
              <w:rPr>
                <w:rFonts w:ascii="Aptos Narrow" w:eastAsia="Times New Roman" w:hAnsi="Aptos Narrow" w:cs="Times New Roman"/>
                <w:color w:val="000000"/>
                <w:szCs w:val="22"/>
                <w:lang w:val="en-US" w:eastAsia="en-US"/>
              </w:rPr>
            </w:pPr>
          </w:p>
        </w:tc>
        <w:tc>
          <w:tcPr>
            <w:tcW w:w="7497" w:type="dxa"/>
            <w:tcBorders>
              <w:top w:val="nil"/>
              <w:left w:val="nil"/>
              <w:bottom w:val="single" w:sz="4" w:space="0" w:color="auto"/>
              <w:right w:val="single" w:sz="4" w:space="0" w:color="auto"/>
            </w:tcBorders>
            <w:vAlign w:val="center"/>
            <w:hideMark/>
          </w:tcPr>
          <w:p w14:paraId="47B16ECA" w14:textId="77777777" w:rsidR="00CA0FE4" w:rsidRPr="00CA0FE4" w:rsidRDefault="00CA0FE4" w:rsidP="00CA0FE4">
            <w:pPr>
              <w:jc w:val="left"/>
              <w:rPr>
                <w:rFonts w:ascii="Aptos Narrow" w:eastAsia="Times New Roman" w:hAnsi="Aptos Narrow" w:cs="Times New Roman"/>
                <w:color w:val="000000"/>
                <w:szCs w:val="22"/>
                <w:lang w:val="en-US" w:eastAsia="en-US"/>
              </w:rPr>
            </w:pPr>
            <w:r w:rsidRPr="00CA0FE4">
              <w:rPr>
                <w:rFonts w:ascii="Aptos Narrow" w:eastAsia="Times New Roman" w:hAnsi="Aptos Narrow" w:cs="Times New Roman"/>
                <w:color w:val="000000"/>
                <w:szCs w:val="22"/>
                <w:lang w:val="en-US" w:eastAsia="en-US"/>
              </w:rPr>
              <w:t>What capacity-building needs exist for NPPOs to engage in OH initiatives?</w:t>
            </w:r>
          </w:p>
        </w:tc>
      </w:tr>
      <w:tr w:rsidR="00CA0FE4" w:rsidRPr="00CA0FE4" w14:paraId="374CC499" w14:textId="77777777" w:rsidTr="00CA0FE4">
        <w:trPr>
          <w:trHeight w:val="576"/>
        </w:trPr>
        <w:tc>
          <w:tcPr>
            <w:tcW w:w="567" w:type="dxa"/>
            <w:vMerge w:val="restart"/>
            <w:tcBorders>
              <w:top w:val="nil"/>
              <w:left w:val="single" w:sz="4" w:space="0" w:color="auto"/>
              <w:bottom w:val="single" w:sz="4" w:space="0" w:color="000000"/>
              <w:right w:val="single" w:sz="4" w:space="0" w:color="auto"/>
            </w:tcBorders>
            <w:vAlign w:val="center"/>
            <w:hideMark/>
          </w:tcPr>
          <w:p w14:paraId="3C3C3DB4" w14:textId="77777777" w:rsidR="00CA0FE4" w:rsidRPr="00CA0FE4" w:rsidRDefault="00CA0FE4" w:rsidP="00CA0FE4">
            <w:pPr>
              <w:jc w:val="left"/>
              <w:rPr>
                <w:rFonts w:ascii="Aptos Narrow" w:eastAsia="Times New Roman" w:hAnsi="Aptos Narrow" w:cs="Times New Roman"/>
                <w:color w:val="000000"/>
                <w:szCs w:val="22"/>
                <w:lang w:val="en-US" w:eastAsia="en-US"/>
              </w:rPr>
            </w:pPr>
            <w:r w:rsidRPr="00CA0FE4">
              <w:rPr>
                <w:rFonts w:ascii="Aptos Narrow" w:eastAsia="Times New Roman" w:hAnsi="Aptos Narrow" w:cs="Times New Roman"/>
                <w:color w:val="000000"/>
                <w:szCs w:val="22"/>
                <w:lang w:val="en-US" w:eastAsia="en-US"/>
              </w:rPr>
              <w:t>5</w:t>
            </w:r>
          </w:p>
        </w:tc>
        <w:tc>
          <w:tcPr>
            <w:tcW w:w="2552" w:type="dxa"/>
            <w:vMerge w:val="restart"/>
            <w:tcBorders>
              <w:top w:val="nil"/>
              <w:left w:val="single" w:sz="4" w:space="0" w:color="auto"/>
              <w:bottom w:val="single" w:sz="4" w:space="0" w:color="000000"/>
              <w:right w:val="single" w:sz="4" w:space="0" w:color="auto"/>
            </w:tcBorders>
            <w:vAlign w:val="center"/>
            <w:hideMark/>
          </w:tcPr>
          <w:p w14:paraId="6E17FD6D" w14:textId="77777777" w:rsidR="00CA0FE4" w:rsidRPr="00CA0FE4" w:rsidRDefault="00CA0FE4" w:rsidP="00CA0FE4">
            <w:pPr>
              <w:jc w:val="left"/>
              <w:rPr>
                <w:rFonts w:ascii="Aptos Narrow" w:eastAsia="Times New Roman" w:hAnsi="Aptos Narrow" w:cs="Times New Roman"/>
                <w:color w:val="000000"/>
                <w:szCs w:val="22"/>
                <w:lang w:val="en-US" w:eastAsia="en-US"/>
              </w:rPr>
            </w:pPr>
            <w:r w:rsidRPr="00CA0FE4">
              <w:rPr>
                <w:rFonts w:ascii="Aptos Narrow" w:eastAsia="Times New Roman" w:hAnsi="Aptos Narrow" w:cs="Times New Roman"/>
                <w:color w:val="000000"/>
                <w:szCs w:val="22"/>
                <w:lang w:val="en-US" w:eastAsia="en-US"/>
              </w:rPr>
              <w:t xml:space="preserve">Recommendations </w:t>
            </w:r>
          </w:p>
        </w:tc>
        <w:tc>
          <w:tcPr>
            <w:tcW w:w="7497" w:type="dxa"/>
            <w:tcBorders>
              <w:top w:val="nil"/>
              <w:left w:val="nil"/>
              <w:bottom w:val="single" w:sz="4" w:space="0" w:color="auto"/>
              <w:right w:val="single" w:sz="4" w:space="0" w:color="auto"/>
            </w:tcBorders>
            <w:vAlign w:val="center"/>
            <w:hideMark/>
          </w:tcPr>
          <w:p w14:paraId="2962330A" w14:textId="77777777" w:rsidR="00CA0FE4" w:rsidRPr="00CA0FE4" w:rsidRDefault="00CA0FE4" w:rsidP="00CA0FE4">
            <w:pPr>
              <w:jc w:val="left"/>
              <w:rPr>
                <w:rFonts w:ascii="Aptos Narrow" w:eastAsia="Times New Roman" w:hAnsi="Aptos Narrow" w:cs="Times New Roman"/>
                <w:color w:val="000000"/>
                <w:szCs w:val="22"/>
                <w:lang w:val="en-US" w:eastAsia="en-US"/>
              </w:rPr>
            </w:pPr>
            <w:r w:rsidRPr="00CA0FE4">
              <w:rPr>
                <w:rFonts w:ascii="Aptos Narrow" w:eastAsia="Times New Roman" w:hAnsi="Aptos Narrow" w:cs="Times New Roman"/>
                <w:color w:val="000000"/>
                <w:szCs w:val="22"/>
                <w:lang w:val="en-US" w:eastAsia="en-US"/>
              </w:rPr>
              <w:t>In which thematic areas can plant health provide added value to OH?</w:t>
            </w:r>
          </w:p>
        </w:tc>
      </w:tr>
      <w:tr w:rsidR="00CA0FE4" w:rsidRPr="00CA0FE4" w14:paraId="364F4B38" w14:textId="77777777" w:rsidTr="00CA0FE4">
        <w:trPr>
          <w:trHeight w:val="576"/>
        </w:trPr>
        <w:tc>
          <w:tcPr>
            <w:tcW w:w="567" w:type="dxa"/>
            <w:vMerge/>
            <w:tcBorders>
              <w:top w:val="nil"/>
              <w:left w:val="single" w:sz="4" w:space="0" w:color="auto"/>
              <w:bottom w:val="single" w:sz="4" w:space="0" w:color="000000"/>
              <w:right w:val="single" w:sz="4" w:space="0" w:color="auto"/>
            </w:tcBorders>
            <w:vAlign w:val="center"/>
            <w:hideMark/>
          </w:tcPr>
          <w:p w14:paraId="171F03BE" w14:textId="77777777" w:rsidR="00CA0FE4" w:rsidRPr="00CA0FE4" w:rsidRDefault="00CA0FE4" w:rsidP="00CA0FE4">
            <w:pPr>
              <w:jc w:val="left"/>
              <w:rPr>
                <w:rFonts w:ascii="Aptos Narrow" w:eastAsia="Times New Roman" w:hAnsi="Aptos Narrow" w:cs="Times New Roman"/>
                <w:color w:val="000000"/>
                <w:szCs w:val="22"/>
                <w:lang w:val="en-US" w:eastAsia="en-US"/>
              </w:rPr>
            </w:pPr>
          </w:p>
        </w:tc>
        <w:tc>
          <w:tcPr>
            <w:tcW w:w="2552" w:type="dxa"/>
            <w:vMerge/>
            <w:tcBorders>
              <w:top w:val="nil"/>
              <w:left w:val="single" w:sz="4" w:space="0" w:color="auto"/>
              <w:bottom w:val="single" w:sz="4" w:space="0" w:color="000000"/>
              <w:right w:val="single" w:sz="4" w:space="0" w:color="auto"/>
            </w:tcBorders>
            <w:vAlign w:val="center"/>
            <w:hideMark/>
          </w:tcPr>
          <w:p w14:paraId="1BDF418E" w14:textId="77777777" w:rsidR="00CA0FE4" w:rsidRPr="00CA0FE4" w:rsidRDefault="00CA0FE4" w:rsidP="00CA0FE4">
            <w:pPr>
              <w:jc w:val="left"/>
              <w:rPr>
                <w:rFonts w:ascii="Aptos Narrow" w:eastAsia="Times New Roman" w:hAnsi="Aptos Narrow" w:cs="Times New Roman"/>
                <w:color w:val="000000"/>
                <w:szCs w:val="22"/>
                <w:lang w:val="en-US" w:eastAsia="en-US"/>
              </w:rPr>
            </w:pPr>
          </w:p>
        </w:tc>
        <w:tc>
          <w:tcPr>
            <w:tcW w:w="7497" w:type="dxa"/>
            <w:tcBorders>
              <w:top w:val="nil"/>
              <w:left w:val="nil"/>
              <w:bottom w:val="single" w:sz="4" w:space="0" w:color="auto"/>
              <w:right w:val="single" w:sz="4" w:space="0" w:color="auto"/>
            </w:tcBorders>
            <w:vAlign w:val="center"/>
            <w:hideMark/>
          </w:tcPr>
          <w:p w14:paraId="5EE29A88" w14:textId="77777777" w:rsidR="00CA0FE4" w:rsidRPr="00CA0FE4" w:rsidRDefault="00CA0FE4" w:rsidP="00CA0FE4">
            <w:pPr>
              <w:jc w:val="left"/>
              <w:rPr>
                <w:rFonts w:ascii="Aptos Narrow" w:eastAsia="Times New Roman" w:hAnsi="Aptos Narrow" w:cs="Times New Roman"/>
                <w:color w:val="000000"/>
                <w:szCs w:val="22"/>
                <w:lang w:val="en-US" w:eastAsia="en-US"/>
              </w:rPr>
            </w:pPr>
            <w:r w:rsidRPr="00CA0FE4">
              <w:rPr>
                <w:rFonts w:ascii="Aptos Narrow" w:eastAsia="Times New Roman" w:hAnsi="Aptos Narrow" w:cs="Times New Roman"/>
                <w:color w:val="000000"/>
                <w:szCs w:val="22"/>
                <w:lang w:val="en-US" w:eastAsia="en-US"/>
              </w:rPr>
              <w:t>What are the priority actions for the IPPC community to enhance the visibility and integration of plant health in OH?</w:t>
            </w:r>
          </w:p>
        </w:tc>
      </w:tr>
      <w:tr w:rsidR="00CA0FE4" w:rsidRPr="00CA0FE4" w14:paraId="5CDD1BBA" w14:textId="77777777" w:rsidTr="00CA0FE4">
        <w:trPr>
          <w:trHeight w:val="576"/>
        </w:trPr>
        <w:tc>
          <w:tcPr>
            <w:tcW w:w="567" w:type="dxa"/>
            <w:vMerge/>
            <w:tcBorders>
              <w:top w:val="nil"/>
              <w:left w:val="single" w:sz="4" w:space="0" w:color="auto"/>
              <w:bottom w:val="single" w:sz="4" w:space="0" w:color="000000"/>
              <w:right w:val="single" w:sz="4" w:space="0" w:color="auto"/>
            </w:tcBorders>
            <w:vAlign w:val="center"/>
            <w:hideMark/>
          </w:tcPr>
          <w:p w14:paraId="1B0567D5" w14:textId="77777777" w:rsidR="00CA0FE4" w:rsidRPr="00CA0FE4" w:rsidRDefault="00CA0FE4" w:rsidP="00CA0FE4">
            <w:pPr>
              <w:jc w:val="left"/>
              <w:rPr>
                <w:rFonts w:ascii="Aptos Narrow" w:eastAsia="Times New Roman" w:hAnsi="Aptos Narrow" w:cs="Times New Roman"/>
                <w:color w:val="000000"/>
                <w:szCs w:val="22"/>
                <w:lang w:val="en-US" w:eastAsia="en-US"/>
              </w:rPr>
            </w:pPr>
          </w:p>
        </w:tc>
        <w:tc>
          <w:tcPr>
            <w:tcW w:w="2552" w:type="dxa"/>
            <w:vMerge/>
            <w:tcBorders>
              <w:top w:val="nil"/>
              <w:left w:val="single" w:sz="4" w:space="0" w:color="auto"/>
              <w:bottom w:val="single" w:sz="4" w:space="0" w:color="000000"/>
              <w:right w:val="single" w:sz="4" w:space="0" w:color="auto"/>
            </w:tcBorders>
            <w:vAlign w:val="center"/>
            <w:hideMark/>
          </w:tcPr>
          <w:p w14:paraId="396D0A9B" w14:textId="77777777" w:rsidR="00CA0FE4" w:rsidRPr="00CA0FE4" w:rsidRDefault="00CA0FE4" w:rsidP="00CA0FE4">
            <w:pPr>
              <w:jc w:val="left"/>
              <w:rPr>
                <w:rFonts w:ascii="Aptos Narrow" w:eastAsia="Times New Roman" w:hAnsi="Aptos Narrow" w:cs="Times New Roman"/>
                <w:color w:val="000000"/>
                <w:szCs w:val="22"/>
                <w:lang w:val="en-US" w:eastAsia="en-US"/>
              </w:rPr>
            </w:pPr>
          </w:p>
        </w:tc>
        <w:tc>
          <w:tcPr>
            <w:tcW w:w="7497" w:type="dxa"/>
            <w:tcBorders>
              <w:top w:val="nil"/>
              <w:left w:val="nil"/>
              <w:bottom w:val="single" w:sz="4" w:space="0" w:color="auto"/>
              <w:right w:val="single" w:sz="4" w:space="0" w:color="auto"/>
            </w:tcBorders>
            <w:vAlign w:val="center"/>
            <w:hideMark/>
          </w:tcPr>
          <w:p w14:paraId="273CA6F0" w14:textId="77777777" w:rsidR="00CA0FE4" w:rsidRPr="00CA0FE4" w:rsidRDefault="00CA0FE4" w:rsidP="00CA0FE4">
            <w:pPr>
              <w:jc w:val="left"/>
              <w:rPr>
                <w:rFonts w:ascii="Aptos Narrow" w:eastAsia="Times New Roman" w:hAnsi="Aptos Narrow" w:cs="Times New Roman"/>
                <w:color w:val="000000"/>
                <w:szCs w:val="22"/>
                <w:lang w:val="en-US" w:eastAsia="en-US"/>
              </w:rPr>
            </w:pPr>
            <w:r w:rsidRPr="00CA0FE4">
              <w:rPr>
                <w:rFonts w:ascii="Aptos Narrow" w:eastAsia="Times New Roman" w:hAnsi="Aptos Narrow" w:cs="Times New Roman"/>
                <w:color w:val="000000"/>
                <w:szCs w:val="22"/>
                <w:lang w:val="en-US" w:eastAsia="en-US"/>
              </w:rPr>
              <w:t>How can the IPPC contribute to global advocacy and communication on plant health within the OH narrative?</w:t>
            </w:r>
          </w:p>
        </w:tc>
      </w:tr>
    </w:tbl>
    <w:p w14:paraId="428A7A27" w14:textId="77777777" w:rsidR="000903CB" w:rsidRDefault="000903CB" w:rsidP="00F12D25">
      <w:pPr>
        <w:pStyle w:val="IPPParagraphnumbering"/>
        <w:numPr>
          <w:ilvl w:val="0"/>
          <w:numId w:val="0"/>
        </w:numPr>
      </w:pPr>
    </w:p>
    <w:p w14:paraId="6C5D6425" w14:textId="77777777" w:rsidR="00480337" w:rsidRPr="00480337" w:rsidRDefault="00480337" w:rsidP="00B97018">
      <w:pPr>
        <w:pStyle w:val="IPPParagraphnumbering"/>
        <w:numPr>
          <w:ilvl w:val="0"/>
          <w:numId w:val="0"/>
        </w:numPr>
        <w:rPr>
          <w:lang w:val="en-GB"/>
        </w:rPr>
      </w:pPr>
    </w:p>
    <w:p w14:paraId="7C9A6D96" w14:textId="20DE3E9B" w:rsidR="2E96BD59" w:rsidRDefault="2E96BD59">
      <w:r>
        <w:br w:type="page"/>
      </w:r>
    </w:p>
    <w:p w14:paraId="102AB09D" w14:textId="15386EA6" w:rsidR="5F99AF1F" w:rsidRPr="00C0335B" w:rsidRDefault="629F62FD" w:rsidP="00C0335B">
      <w:pPr>
        <w:rPr>
          <w:b/>
          <w:bCs/>
          <w:szCs w:val="22"/>
        </w:rPr>
      </w:pPr>
      <w:r w:rsidRPr="00C0335B">
        <w:rPr>
          <w:b/>
          <w:bCs/>
          <w:szCs w:val="22"/>
        </w:rPr>
        <w:lastRenderedPageBreak/>
        <w:t>ANNEX 1</w:t>
      </w:r>
      <w:r w:rsidR="00C218C4" w:rsidRPr="00C0335B">
        <w:rPr>
          <w:b/>
          <w:bCs/>
          <w:szCs w:val="22"/>
        </w:rPr>
        <w:t>:</w:t>
      </w:r>
      <w:r w:rsidR="5F99AF1F" w:rsidRPr="00C0335B">
        <w:rPr>
          <w:b/>
          <w:bCs/>
          <w:szCs w:val="22"/>
        </w:rPr>
        <w:t xml:space="preserve"> </w:t>
      </w:r>
      <w:r w:rsidR="00C0335B" w:rsidRPr="00C0335B">
        <w:rPr>
          <w:rFonts w:cs="Times New Roman"/>
          <w:b/>
          <w:bCs/>
          <w:szCs w:val="22"/>
        </w:rPr>
        <w:t>IPPC preliminary study on plant health within One Health: d</w:t>
      </w:r>
      <w:r w:rsidR="5F99AF1F" w:rsidRPr="00C0335B">
        <w:rPr>
          <w:b/>
          <w:bCs/>
          <w:szCs w:val="22"/>
        </w:rPr>
        <w:t>raft desk and literature review report</w:t>
      </w:r>
      <w:r w:rsidR="3B8EAF17" w:rsidRPr="00C0335B">
        <w:rPr>
          <w:b/>
          <w:bCs/>
          <w:szCs w:val="22"/>
        </w:rPr>
        <w:t xml:space="preserve"> </w:t>
      </w:r>
    </w:p>
    <w:p w14:paraId="0351599A" w14:textId="77777777" w:rsidR="00C0335B" w:rsidRDefault="00C0335B" w:rsidP="00C0335B">
      <w:pPr>
        <w:rPr>
          <w:rFonts w:cs="Times New Roman"/>
        </w:rPr>
      </w:pPr>
    </w:p>
    <w:p w14:paraId="62E71F44" w14:textId="77777777" w:rsidR="00C0335B" w:rsidRDefault="00C0335B" w:rsidP="00C0335B">
      <w:pPr>
        <w:rPr>
          <w:rFonts w:cs="Times New Roman"/>
          <w:b/>
          <w:bCs/>
        </w:rPr>
      </w:pPr>
      <w:r>
        <w:rPr>
          <w:rFonts w:cs="Times New Roman"/>
          <w:b/>
          <w:bCs/>
        </w:rPr>
        <w:t>Background</w:t>
      </w:r>
    </w:p>
    <w:p w14:paraId="57A767FE" w14:textId="77777777" w:rsidR="00C0335B" w:rsidRDefault="00C0335B" w:rsidP="00C0335B">
      <w:pPr>
        <w:rPr>
          <w:rFonts w:cs="Times New Roman"/>
          <w:b/>
          <w:bCs/>
        </w:rPr>
      </w:pPr>
    </w:p>
    <w:p w14:paraId="50AF89B6" w14:textId="7A5DFEC2" w:rsidR="00C0335B" w:rsidRPr="0043029F" w:rsidRDefault="00C0335B" w:rsidP="00C0335B">
      <w:pPr>
        <w:pStyle w:val="IPPParagraphnumbering"/>
        <w:numPr>
          <w:ilvl w:val="0"/>
          <w:numId w:val="16"/>
        </w:numPr>
      </w:pPr>
      <w:r>
        <w:t>At the Commission on Phytosanitary Measures (CPM) meeting in 2025, contracting parties shared their concerns about the lack of clarity on the role of plant health within One Health.</w:t>
      </w:r>
      <w:r>
        <w:rPr>
          <w:rStyle w:val="FootnoteReference"/>
          <w:rFonts w:cs="Times New Roman"/>
        </w:rPr>
        <w:footnoteReference w:id="4"/>
      </w:r>
      <w:r>
        <w:t xml:space="preserve"> Following the discussions at CPM-19 (2025), the CPM Focus Group on Plant Health in the Context of One Health conducted a comprehensive desk and literature review to develop an overview of the current state of plant health and its representation within One Health, the connections and interdependencies between plant health and the other One Health pillars, national and regional One Health experiences, and antimicrobial use and antimicrobial resistance (AMR) in plant health. </w:t>
      </w:r>
    </w:p>
    <w:p w14:paraId="7942EB52" w14:textId="77777777" w:rsidR="00C0335B" w:rsidRPr="005919C7" w:rsidRDefault="00C0335B" w:rsidP="00996042">
      <w:pPr>
        <w:pStyle w:val="IPPParagraphnumbering"/>
        <w:numPr>
          <w:ilvl w:val="0"/>
          <w:numId w:val="16"/>
        </w:numPr>
        <w:rPr>
          <w:rFonts w:cs="Times New Roman"/>
        </w:rPr>
      </w:pPr>
      <w:r>
        <w:rPr>
          <w:rFonts w:cs="Times New Roman"/>
        </w:rPr>
        <w:t>This desk and literature review is part of the bigger focus group task – the preliminary study</w:t>
      </w:r>
      <w:r>
        <w:rPr>
          <w:rStyle w:val="FootnoteReference"/>
          <w:rFonts w:cs="Times New Roman"/>
        </w:rPr>
        <w:footnoteReference w:id="5"/>
      </w:r>
      <w:r>
        <w:rPr>
          <w:rFonts w:cs="Times New Roman"/>
        </w:rPr>
        <w:t xml:space="preserve"> on plant </w:t>
      </w:r>
      <w:r w:rsidRPr="00996042">
        <w:t>health</w:t>
      </w:r>
      <w:r>
        <w:rPr>
          <w:rFonts w:cs="Times New Roman"/>
        </w:rPr>
        <w:t xml:space="preserve"> and One Health. The result of this review is presented below.</w:t>
      </w:r>
    </w:p>
    <w:p w14:paraId="174AB1B0" w14:textId="77777777" w:rsidR="00C0335B" w:rsidRDefault="00C0335B" w:rsidP="00C0335B">
      <w:pPr>
        <w:rPr>
          <w:rFonts w:cs="Times New Roman"/>
          <w:b/>
          <w:bCs/>
        </w:rPr>
      </w:pPr>
    </w:p>
    <w:p w14:paraId="278F5B05" w14:textId="77777777" w:rsidR="00C0335B" w:rsidRPr="00883209" w:rsidRDefault="00C0335B" w:rsidP="00996042">
      <w:pPr>
        <w:pStyle w:val="ListParagraph"/>
        <w:numPr>
          <w:ilvl w:val="0"/>
          <w:numId w:val="14"/>
        </w:numPr>
        <w:spacing w:line="240" w:lineRule="auto"/>
        <w:ind w:leftChars="0" w:left="360"/>
        <w:contextualSpacing/>
        <w:jc w:val="left"/>
        <w:rPr>
          <w:rFonts w:ascii="Times New Roman" w:hAnsi="Times New Roman" w:cs="Times New Roman"/>
        </w:rPr>
      </w:pPr>
      <w:r>
        <w:rPr>
          <w:rFonts w:ascii="Times New Roman" w:hAnsi="Times New Roman" w:cs="Times New Roman"/>
          <w:b/>
          <w:bCs/>
        </w:rPr>
        <w:t>Plant Health Definition</w:t>
      </w:r>
    </w:p>
    <w:p w14:paraId="41A39D7E" w14:textId="77777777" w:rsidR="00C0335B" w:rsidRPr="006724EA" w:rsidRDefault="00C0335B" w:rsidP="00C0335B">
      <w:pPr>
        <w:rPr>
          <w:rFonts w:ascii="Aptos Narrow" w:eastAsia="Times New Roman" w:hAnsi="Aptos Narrow" w:cs="Times New Roman"/>
          <w:i/>
          <w:iCs/>
          <w:color w:val="000000"/>
          <w:szCs w:val="22"/>
        </w:rPr>
      </w:pPr>
      <w:r w:rsidRPr="006724EA">
        <w:rPr>
          <w:rFonts w:ascii="Aptos Narrow" w:eastAsia="Times New Roman" w:hAnsi="Aptos Narrow" w:cs="Times New Roman"/>
          <w:i/>
          <w:iCs/>
          <w:color w:val="000000"/>
          <w:szCs w:val="22"/>
        </w:rPr>
        <w:t>How is plant health currently defined in global OH frameworks, strategies, and dialogues?</w:t>
      </w:r>
    </w:p>
    <w:p w14:paraId="3CDDB9F9" w14:textId="77777777" w:rsidR="00C0335B" w:rsidRDefault="00C0335B" w:rsidP="00C0335B">
      <w:pPr>
        <w:rPr>
          <w:rFonts w:cs="Times New Roman"/>
        </w:rPr>
      </w:pPr>
    </w:p>
    <w:p w14:paraId="21345F13" w14:textId="77777777" w:rsidR="00C0335B" w:rsidRDefault="00C0335B" w:rsidP="00996042">
      <w:pPr>
        <w:pStyle w:val="IPPParagraphnumbering"/>
        <w:numPr>
          <w:ilvl w:val="0"/>
          <w:numId w:val="16"/>
        </w:numPr>
        <w:rPr>
          <w:rFonts w:cs="Times New Roman"/>
        </w:rPr>
      </w:pPr>
      <w:r w:rsidRPr="4CC710A2">
        <w:rPr>
          <w:rFonts w:cs="Times New Roman"/>
        </w:rPr>
        <w:t xml:space="preserve">In the context of One Health, plant health definitions are not limited to the absence of pests and diseases in plants, nor to the management of populations of pests and pathogens to sustainable or acceptable levels. Definitions of plant health also encompass the overall well-being of plants, </w:t>
      </w:r>
      <w:r>
        <w:rPr>
          <w:rFonts w:cs="Times New Roman"/>
        </w:rPr>
        <w:t xml:space="preserve">which considers abiotic </w:t>
      </w:r>
      <w:r w:rsidRPr="00996042">
        <w:t>and</w:t>
      </w:r>
      <w:r>
        <w:rPr>
          <w:rFonts w:cs="Times New Roman"/>
        </w:rPr>
        <w:t xml:space="preserve"> biotic stressors, </w:t>
      </w:r>
      <w:r w:rsidRPr="4CC710A2">
        <w:rPr>
          <w:rFonts w:cs="Times New Roman"/>
        </w:rPr>
        <w:t>their ability to thrive and contribute to healthy ecosystems, and their critical role in production agriculture, food</w:t>
      </w:r>
      <w:r>
        <w:rPr>
          <w:rFonts w:cs="Times New Roman"/>
        </w:rPr>
        <w:t xml:space="preserve"> safety and</w:t>
      </w:r>
      <w:r w:rsidRPr="4CC710A2">
        <w:rPr>
          <w:rFonts w:cs="Times New Roman"/>
        </w:rPr>
        <w:t xml:space="preserve"> security and human well-being (Lorenzini and Nali; 2025)</w:t>
      </w:r>
      <w:r>
        <w:rPr>
          <w:rFonts w:cs="Times New Roman"/>
        </w:rPr>
        <w:t>. The</w:t>
      </w:r>
      <w:r w:rsidRPr="4CC710A2">
        <w:rPr>
          <w:rFonts w:cs="Times New Roman"/>
        </w:rPr>
        <w:t xml:space="preserve"> various ecosystem services </w:t>
      </w:r>
      <w:r>
        <w:rPr>
          <w:rFonts w:cs="Times New Roman"/>
        </w:rPr>
        <w:t xml:space="preserve">that </w:t>
      </w:r>
      <w:r w:rsidRPr="4CC710A2">
        <w:rPr>
          <w:rFonts w:cs="Times New Roman"/>
        </w:rPr>
        <w:t>plants perform</w:t>
      </w:r>
      <w:r>
        <w:rPr>
          <w:rFonts w:cs="Times New Roman"/>
        </w:rPr>
        <w:t xml:space="preserve"> have</w:t>
      </w:r>
      <w:r w:rsidRPr="4CC710A2">
        <w:rPr>
          <w:rFonts w:cs="Times New Roman"/>
        </w:rPr>
        <w:t xml:space="preserve"> a strong relationship with global health. Some definitions of plant health view it as a finite public good and an important element of an interdependent human, animal, plant and environmental One Health concept (</w:t>
      </w:r>
      <w:proofErr w:type="spellStart"/>
      <w:r w:rsidRPr="4CC710A2">
        <w:rPr>
          <w:rFonts w:cs="Times New Roman"/>
        </w:rPr>
        <w:t>Gullino</w:t>
      </w:r>
      <w:proofErr w:type="spellEnd"/>
      <w:r w:rsidRPr="4CC710A2">
        <w:rPr>
          <w:rFonts w:cs="Times New Roman"/>
        </w:rPr>
        <w:t xml:space="preserve"> </w:t>
      </w:r>
      <w:r>
        <w:rPr>
          <w:rFonts w:cs="Times New Roman"/>
        </w:rPr>
        <w:t>et al.</w:t>
      </w:r>
      <w:r w:rsidRPr="4CC710A2">
        <w:rPr>
          <w:rFonts w:cs="Times New Roman"/>
        </w:rPr>
        <w:t xml:space="preserve">, 2024). Other definitions make a more direct link between plant health and human food security and view plant health as the root of One Health (FAO, 2025a). </w:t>
      </w:r>
      <w:r>
        <w:rPr>
          <w:rFonts w:cs="Times New Roman"/>
        </w:rPr>
        <w:t xml:space="preserve">Healthy plants provide the foundation for a nutritious diet and are a source of essential vitamins, minerals and fibers that underpin human and animal health (FAO, 2025a). </w:t>
      </w:r>
      <w:r w:rsidRPr="4CC710A2">
        <w:rPr>
          <w:rFonts w:cs="Times New Roman"/>
        </w:rPr>
        <w:t>Th</w:t>
      </w:r>
      <w:r>
        <w:rPr>
          <w:rFonts w:cs="Times New Roman"/>
        </w:rPr>
        <w:t>ese</w:t>
      </w:r>
      <w:r w:rsidRPr="4CC710A2">
        <w:rPr>
          <w:rFonts w:cs="Times New Roman"/>
        </w:rPr>
        <w:t xml:space="preserve"> definition</w:t>
      </w:r>
      <w:r>
        <w:rPr>
          <w:rFonts w:cs="Times New Roman"/>
        </w:rPr>
        <w:t>s</w:t>
      </w:r>
      <w:r w:rsidRPr="4CC710A2">
        <w:rPr>
          <w:rFonts w:cs="Times New Roman"/>
        </w:rPr>
        <w:t xml:space="preserve"> emphasize that unhealthy plants can trigger a cascade of negative effects that create both food and feed insecurity and can adversely affect both animal and human health. Since 2021, the One Health Commission’s definition of One Health explicitly includes plant health as a crucial component of a collaborative, multisectoral, transdisciplinary approach to optimal health and well-being, noting that One Health is strongest when human, animal and plant health are equally prioritized (Lorenzini and Nali, 2025).</w:t>
      </w:r>
      <w:r>
        <w:rPr>
          <w:rFonts w:cs="Times New Roman"/>
        </w:rPr>
        <w:t xml:space="preserve"> Since there is not one standard definition for plant health, the definition alone cannot be used to position plant health within the One Health framework. </w:t>
      </w:r>
    </w:p>
    <w:p w14:paraId="713018AB" w14:textId="77777777" w:rsidR="00C0335B" w:rsidRPr="00883209" w:rsidRDefault="00C0335B" w:rsidP="00C0335B">
      <w:pPr>
        <w:rPr>
          <w:rFonts w:cs="Times New Roman"/>
        </w:rPr>
      </w:pPr>
    </w:p>
    <w:p w14:paraId="5D2F3DDF" w14:textId="77777777" w:rsidR="00C0335B" w:rsidRPr="00153ED8" w:rsidRDefault="00C0335B" w:rsidP="00996042">
      <w:pPr>
        <w:pStyle w:val="ListParagraph"/>
        <w:numPr>
          <w:ilvl w:val="0"/>
          <w:numId w:val="14"/>
        </w:numPr>
        <w:spacing w:line="240" w:lineRule="auto"/>
        <w:ind w:leftChars="0" w:left="360"/>
        <w:contextualSpacing/>
        <w:jc w:val="left"/>
        <w:rPr>
          <w:rFonts w:ascii="Times New Roman" w:hAnsi="Times New Roman" w:cs="Times New Roman"/>
        </w:rPr>
      </w:pPr>
      <w:r w:rsidRPr="122BFCE9">
        <w:rPr>
          <w:rFonts w:ascii="Times New Roman" w:hAnsi="Times New Roman" w:cs="Times New Roman"/>
          <w:b/>
          <w:bCs/>
        </w:rPr>
        <w:t>Linkages Between One Health Pillars</w:t>
      </w:r>
    </w:p>
    <w:p w14:paraId="7865879F" w14:textId="77777777" w:rsidR="00C0335B" w:rsidRDefault="00C0335B" w:rsidP="00C0335B">
      <w:pPr>
        <w:rPr>
          <w:rFonts w:ascii="Aptos Narrow" w:eastAsia="Times New Roman" w:hAnsi="Aptos Narrow" w:cs="Times New Roman"/>
          <w:i/>
          <w:iCs/>
          <w:color w:val="000000"/>
          <w:szCs w:val="22"/>
        </w:rPr>
      </w:pPr>
      <w:r w:rsidRPr="00EE510C">
        <w:rPr>
          <w:rFonts w:ascii="Aptos Narrow" w:eastAsia="Times New Roman" w:hAnsi="Aptos Narrow" w:cs="Times New Roman"/>
          <w:i/>
          <w:iCs/>
          <w:color w:val="000000"/>
          <w:szCs w:val="22"/>
        </w:rPr>
        <w:t>What are the conceptual linkages between plant health and the OH approach?</w:t>
      </w:r>
    </w:p>
    <w:p w14:paraId="25D60994" w14:textId="4E1466FC" w:rsidR="00C0335B" w:rsidRDefault="00C0335B" w:rsidP="00C0335B">
      <w:pPr>
        <w:rPr>
          <w:rFonts w:ascii="Aptos Narrow" w:eastAsia="Times New Roman" w:hAnsi="Aptos Narrow" w:cs="Times New Roman"/>
          <w:i/>
          <w:iCs/>
          <w:color w:val="000000"/>
          <w:szCs w:val="22"/>
        </w:rPr>
      </w:pPr>
      <w:r w:rsidRPr="009B1FA3">
        <w:rPr>
          <w:rFonts w:ascii="Aptos Narrow" w:eastAsia="Times New Roman" w:hAnsi="Aptos Narrow" w:cs="Times New Roman"/>
          <w:i/>
          <w:iCs/>
          <w:color w:val="000000"/>
          <w:szCs w:val="22"/>
        </w:rPr>
        <w:t xml:space="preserve">What are the linkages between plant health, animal health, human health, aquatic health and the </w:t>
      </w:r>
      <w:r w:rsidRPr="00627412">
        <w:rPr>
          <w:rFonts w:ascii="Aptos Narrow" w:eastAsia="Times New Roman" w:hAnsi="Aptos Narrow" w:cs="Times New Roman"/>
          <w:i/>
          <w:iCs/>
          <w:color w:val="000000"/>
          <w:szCs w:val="22"/>
        </w:rPr>
        <w:t>environment?</w:t>
      </w:r>
    </w:p>
    <w:p w14:paraId="780D5BE6" w14:textId="77777777" w:rsidR="0043029F" w:rsidRPr="0043029F" w:rsidRDefault="0043029F" w:rsidP="00C0335B">
      <w:pPr>
        <w:rPr>
          <w:rFonts w:ascii="Aptos Narrow" w:eastAsia="Times New Roman" w:hAnsi="Aptos Narrow" w:cs="Times New Roman"/>
          <w:i/>
          <w:iCs/>
          <w:color w:val="000000"/>
          <w:szCs w:val="22"/>
        </w:rPr>
      </w:pPr>
    </w:p>
    <w:p w14:paraId="1743EE65" w14:textId="78F16BAD" w:rsidR="00C0335B" w:rsidRPr="0043029F" w:rsidRDefault="00C0335B" w:rsidP="00C0335B">
      <w:pPr>
        <w:pStyle w:val="IPPParagraphnumbering"/>
        <w:numPr>
          <w:ilvl w:val="0"/>
          <w:numId w:val="16"/>
        </w:numPr>
        <w:rPr>
          <w:rFonts w:cs="Times New Roman"/>
        </w:rPr>
      </w:pPr>
      <w:r w:rsidRPr="00371F40">
        <w:rPr>
          <w:rFonts w:cs="Times New Roman"/>
          <w:color w:val="000000"/>
          <w:shd w:val="clear" w:color="auto" w:fill="FFFFFF"/>
        </w:rPr>
        <w:t xml:space="preserve">Since the initial driver for One Health was human health, </w:t>
      </w:r>
      <w:r w:rsidRPr="00371F40">
        <w:rPr>
          <w:rFonts w:cs="Times New Roman"/>
        </w:rPr>
        <w:t xml:space="preserve">the traditional </w:t>
      </w:r>
      <w:r w:rsidRPr="00371F40">
        <w:rPr>
          <w:rFonts w:cs="Times New Roman"/>
          <w:color w:val="000000"/>
          <w:shd w:val="clear" w:color="auto" w:fill="FFFFFF"/>
        </w:rPr>
        <w:t>One Health framework</w:t>
      </w:r>
      <w:r>
        <w:rPr>
          <w:rFonts w:cs="Times New Roman"/>
          <w:color w:val="000000"/>
          <w:shd w:val="clear" w:color="auto" w:fill="FFFFFF"/>
        </w:rPr>
        <w:t xml:space="preserve"> </w:t>
      </w:r>
      <w:r w:rsidRPr="00F97E10">
        <w:rPr>
          <w:rFonts w:cs="Times New Roman"/>
          <w:color w:val="000000"/>
          <w:shd w:val="clear" w:color="auto" w:fill="FFFFFF"/>
        </w:rPr>
        <w:t xml:space="preserve">is </w:t>
      </w:r>
      <w:r w:rsidRPr="00996042">
        <w:t>primarily</w:t>
      </w:r>
      <w:r w:rsidRPr="00F97E10">
        <w:rPr>
          <w:rFonts w:cs="Times New Roman"/>
          <w:color w:val="000000"/>
          <w:shd w:val="clear" w:color="auto" w:fill="FFFFFF"/>
        </w:rPr>
        <w:t xml:space="preserve"> concerned with emerging infectious diseases </w:t>
      </w:r>
      <w:r w:rsidRPr="0027043C">
        <w:rPr>
          <w:rFonts w:cs="Times New Roman"/>
          <w:color w:val="000000"/>
          <w:shd w:val="clear" w:color="auto" w:fill="FFFFFF"/>
        </w:rPr>
        <w:t>(</w:t>
      </w:r>
      <w:proofErr w:type="spellStart"/>
      <w:r w:rsidRPr="0027043C">
        <w:rPr>
          <w:rFonts w:cs="Times New Roman"/>
          <w:color w:val="000000"/>
          <w:shd w:val="clear" w:color="auto" w:fill="FFFFFF"/>
        </w:rPr>
        <w:t>Andrivon</w:t>
      </w:r>
      <w:proofErr w:type="spellEnd"/>
      <w:r>
        <w:rPr>
          <w:rFonts w:cs="Times New Roman"/>
          <w:color w:val="000000"/>
          <w:shd w:val="clear" w:color="auto" w:fill="FFFFFF"/>
        </w:rPr>
        <w:t xml:space="preserve"> et al.,</w:t>
      </w:r>
      <w:r w:rsidRPr="0027043C">
        <w:rPr>
          <w:rFonts w:cs="Times New Roman"/>
          <w:color w:val="000000"/>
          <w:shd w:val="clear" w:color="auto" w:fill="FFFFFF"/>
        </w:rPr>
        <w:t xml:space="preserve"> 2021</w:t>
      </w:r>
      <w:r>
        <w:rPr>
          <w:rFonts w:cs="Times New Roman"/>
          <w:color w:val="000000"/>
          <w:shd w:val="clear" w:color="auto" w:fill="FFFFFF"/>
        </w:rPr>
        <w:t xml:space="preserve">; </w:t>
      </w:r>
      <w:proofErr w:type="spellStart"/>
      <w:r w:rsidRPr="00371F40">
        <w:rPr>
          <w:rFonts w:cs="Times New Roman"/>
        </w:rPr>
        <w:t>Scholthof</w:t>
      </w:r>
      <w:proofErr w:type="spellEnd"/>
      <w:r w:rsidRPr="00371F40">
        <w:rPr>
          <w:rFonts w:cs="Times New Roman"/>
        </w:rPr>
        <w:t>, 2024</w:t>
      </w:r>
      <w:r w:rsidRPr="0027043C">
        <w:rPr>
          <w:rFonts w:cs="Times New Roman"/>
          <w:color w:val="000000"/>
          <w:shd w:val="clear" w:color="auto" w:fill="FFFFFF"/>
        </w:rPr>
        <w:t>)</w:t>
      </w:r>
      <w:r>
        <w:rPr>
          <w:rFonts w:cs="Times New Roman"/>
          <w:color w:val="000000"/>
          <w:shd w:val="clear" w:color="auto" w:fill="FFFFFF"/>
        </w:rPr>
        <w:t>. However,</w:t>
      </w:r>
      <w:r w:rsidRPr="0027043C">
        <w:rPr>
          <w:rFonts w:cs="Times New Roman"/>
          <w:color w:val="000000"/>
          <w:shd w:val="clear" w:color="auto" w:fill="FFFFFF"/>
        </w:rPr>
        <w:t> </w:t>
      </w:r>
      <w:r>
        <w:rPr>
          <w:rFonts w:cs="Times New Roman"/>
        </w:rPr>
        <w:t xml:space="preserve">there are clear linkages between plant health and the other One Health pillars. Humans and animals directly and indirectly depend on plants for food or feed with direct and indirect effects on their health. The most frequently observed connection is how the loss of food production due to plant pests and diseases results in food insecurity due to limited food availability. Historic and recent plant </w:t>
      </w:r>
      <w:r>
        <w:rPr>
          <w:rFonts w:cs="Times New Roman"/>
        </w:rPr>
        <w:lastRenderedPageBreak/>
        <w:t xml:space="preserve">pandemics such as </w:t>
      </w:r>
      <w:r w:rsidRPr="00BD5F05">
        <w:rPr>
          <w:rFonts w:eastAsia="Segoe UI" w:cs="Times New Roman"/>
          <w:color w:val="333333"/>
        </w:rPr>
        <w:t>potato late blight</w:t>
      </w:r>
      <w:r>
        <w:rPr>
          <w:rFonts w:eastAsia="Segoe UI" w:cs="Times New Roman"/>
          <w:color w:val="333333"/>
        </w:rPr>
        <w:t>,</w:t>
      </w:r>
      <w:r w:rsidRPr="00BD5F05">
        <w:rPr>
          <w:rFonts w:eastAsia="Segoe UI" w:cs="Times New Roman"/>
          <w:color w:val="333333"/>
        </w:rPr>
        <w:t xml:space="preserve"> which caused </w:t>
      </w:r>
      <w:r>
        <w:rPr>
          <w:rFonts w:cs="Times New Roman"/>
        </w:rPr>
        <w:t>the Irish potato famine, fall armyworm, and desert locust outbreaks had or have devastating impacts on humans, animals and ecosystem health (Danielsen et al., 2025). Humans are also impacted indirectly through the loss of income from crop failures.</w:t>
      </w:r>
    </w:p>
    <w:p w14:paraId="1261C669" w14:textId="4977FBEC" w:rsidR="00C0335B" w:rsidRPr="0043029F" w:rsidRDefault="00C0335B" w:rsidP="00C0335B">
      <w:pPr>
        <w:pStyle w:val="IPPParagraphnumbering"/>
        <w:numPr>
          <w:ilvl w:val="0"/>
          <w:numId w:val="16"/>
        </w:numPr>
        <w:rPr>
          <w:rFonts w:eastAsia="Times New Roman" w:cs="Times New Roman"/>
        </w:rPr>
      </w:pPr>
      <w:r w:rsidRPr="00D662D7">
        <w:rPr>
          <w:rStyle w:val="normaltextrun"/>
          <w:rFonts w:cs="Times New Roman"/>
          <w:color w:val="000000"/>
          <w:shd w:val="clear" w:color="auto" w:fill="FFFFFF"/>
        </w:rPr>
        <w:t xml:space="preserve">Invasive </w:t>
      </w:r>
      <w:r>
        <w:rPr>
          <w:rStyle w:val="normaltextrun"/>
          <w:rFonts w:cs="Times New Roman"/>
          <w:color w:val="000000"/>
          <w:shd w:val="clear" w:color="auto" w:fill="FFFFFF"/>
        </w:rPr>
        <w:t>species</w:t>
      </w:r>
      <w:r w:rsidRPr="00D662D7">
        <w:rPr>
          <w:rStyle w:val="normaltextrun"/>
          <w:rFonts w:cs="Times New Roman"/>
          <w:color w:val="000000"/>
          <w:shd w:val="clear" w:color="auto" w:fill="FFFFFF"/>
        </w:rPr>
        <w:t xml:space="preserve"> frequently disrupt ecosystems</w:t>
      </w:r>
      <w:r>
        <w:rPr>
          <w:rStyle w:val="normaltextrun"/>
          <w:rFonts w:cs="Times New Roman"/>
          <w:color w:val="000000"/>
          <w:shd w:val="clear" w:color="auto" w:fill="FFFFFF"/>
        </w:rPr>
        <w:t xml:space="preserve"> and have impacts across human, animal, plant and environmental health</w:t>
      </w:r>
      <w:r w:rsidRPr="00D662D7">
        <w:rPr>
          <w:rStyle w:val="normaltextrun"/>
          <w:rFonts w:cs="Times New Roman"/>
          <w:shd w:val="clear" w:color="auto" w:fill="FFFFFF"/>
        </w:rPr>
        <w:t xml:space="preserve">. </w:t>
      </w:r>
      <w:r w:rsidRPr="00D662D7">
        <w:rPr>
          <w:rFonts w:cs="Times New Roman"/>
          <w:shd w:val="clear" w:color="auto" w:fill="FFFFFF"/>
        </w:rPr>
        <w:t xml:space="preserve">Giant African land snails cause crop losses, serve as a vector of plant pathogens and play a role the transmission of </w:t>
      </w:r>
      <w:proofErr w:type="spellStart"/>
      <w:r w:rsidRPr="00D662D7">
        <w:rPr>
          <w:rFonts w:cs="Times New Roman"/>
          <w:i/>
          <w:iCs/>
          <w:shd w:val="clear" w:color="auto" w:fill="FFFFFF"/>
        </w:rPr>
        <w:t>Angiostrongulus</w:t>
      </w:r>
      <w:proofErr w:type="spellEnd"/>
      <w:r w:rsidRPr="00D662D7">
        <w:rPr>
          <w:rFonts w:cs="Times New Roman"/>
          <w:i/>
          <w:iCs/>
          <w:shd w:val="clear" w:color="auto" w:fill="FFFFFF"/>
        </w:rPr>
        <w:t xml:space="preserve"> </w:t>
      </w:r>
      <w:r w:rsidRPr="00D662D7">
        <w:rPr>
          <w:rFonts w:cs="Times New Roman"/>
          <w:shd w:val="clear" w:color="auto" w:fill="FFFFFF"/>
        </w:rPr>
        <w:t>spp</w:t>
      </w:r>
      <w:r>
        <w:rPr>
          <w:rFonts w:cs="Times New Roman"/>
          <w:shd w:val="clear" w:color="auto" w:fill="FFFFFF"/>
        </w:rPr>
        <w:t>.</w:t>
      </w:r>
      <w:r w:rsidRPr="00D662D7">
        <w:rPr>
          <w:rFonts w:cs="Times New Roman"/>
          <w:shd w:val="clear" w:color="auto" w:fill="FFFFFF"/>
        </w:rPr>
        <w:t>, which cause eosinophilic meningoencephalitis in livestock and humans (</w:t>
      </w:r>
      <w:proofErr w:type="spellStart"/>
      <w:r w:rsidRPr="00D662D7">
        <w:rPr>
          <w:rFonts w:cs="Times New Roman"/>
          <w:shd w:val="clear" w:color="auto" w:fill="FFFFFF"/>
        </w:rPr>
        <w:t>Thiengo</w:t>
      </w:r>
      <w:proofErr w:type="spellEnd"/>
      <w:r w:rsidRPr="00D662D7">
        <w:rPr>
          <w:rFonts w:cs="Times New Roman"/>
          <w:shd w:val="clear" w:color="auto" w:fill="FFFFFF"/>
        </w:rPr>
        <w:t xml:space="preserve"> et al., 2007). </w:t>
      </w:r>
      <w:r w:rsidRPr="00F342EE">
        <w:rPr>
          <w:rFonts w:cs="Times New Roman"/>
        </w:rPr>
        <w:t>Invasive plants exacerbate land degradation, disrupt ecosystems and food production and increase</w:t>
      </w:r>
      <w:r w:rsidRPr="005A2808">
        <w:rPr>
          <w:rFonts w:cs="Times New Roman"/>
        </w:rPr>
        <w:t xml:space="preserve"> human health risks (Danielsen et al., 2025). </w:t>
      </w:r>
      <w:r>
        <w:rPr>
          <w:rFonts w:eastAsia="Times New Roman" w:cs="Times New Roman"/>
        </w:rPr>
        <w:t xml:space="preserve">They </w:t>
      </w:r>
      <w:r w:rsidRPr="1470C1A2">
        <w:rPr>
          <w:rFonts w:eastAsia="Times New Roman" w:cs="Times New Roman"/>
        </w:rPr>
        <w:t>represent a mounting and interconnected threat to plant health, human health and food security on a global scale. Invasive species such as</w:t>
      </w:r>
      <w:r>
        <w:rPr>
          <w:rFonts w:eastAsia="Times New Roman" w:cs="Times New Roman"/>
        </w:rPr>
        <w:t xml:space="preserve"> congress grass</w:t>
      </w:r>
      <w:r w:rsidRPr="1470C1A2">
        <w:rPr>
          <w:rFonts w:eastAsia="Times New Roman" w:cs="Times New Roman"/>
        </w:rPr>
        <w:t xml:space="preserve"> </w:t>
      </w:r>
      <w:r>
        <w:rPr>
          <w:rFonts w:eastAsia="Times New Roman" w:cs="Times New Roman"/>
        </w:rPr>
        <w:t>(</w:t>
      </w:r>
      <w:r w:rsidRPr="1470C1A2">
        <w:rPr>
          <w:rFonts w:eastAsia="Times New Roman" w:cs="Times New Roman"/>
          <w:i/>
          <w:iCs/>
        </w:rPr>
        <w:t xml:space="preserve">Parthenium </w:t>
      </w:r>
      <w:proofErr w:type="spellStart"/>
      <w:r w:rsidRPr="1470C1A2">
        <w:rPr>
          <w:rFonts w:eastAsia="Times New Roman" w:cs="Times New Roman"/>
          <w:i/>
          <w:iCs/>
        </w:rPr>
        <w:t>hysterophorus</w:t>
      </w:r>
      <w:proofErr w:type="spellEnd"/>
      <w:r>
        <w:rPr>
          <w:rFonts w:eastAsia="Times New Roman" w:cs="Times New Roman"/>
        </w:rPr>
        <w:t>) and</w:t>
      </w:r>
      <w:r w:rsidRPr="1470C1A2">
        <w:rPr>
          <w:rFonts w:eastAsia="Times New Roman" w:cs="Times New Roman"/>
        </w:rPr>
        <w:t xml:space="preserve"> water hyacinth (</w:t>
      </w:r>
      <w:r w:rsidRPr="00996042">
        <w:t>Eichhornia</w:t>
      </w:r>
      <w:r w:rsidRPr="1470C1A2">
        <w:rPr>
          <w:rFonts w:eastAsia="Times New Roman" w:cs="Times New Roman"/>
          <w:i/>
          <w:iCs/>
        </w:rPr>
        <w:t xml:space="preserve"> crassipes</w:t>
      </w:r>
      <w:r w:rsidRPr="1470C1A2">
        <w:rPr>
          <w:rFonts w:eastAsia="Times New Roman" w:cs="Times New Roman"/>
        </w:rPr>
        <w:t xml:space="preserve">) exemplify the breadth of these threats. Through mechanisms including allelopathy, habitat modification, </w:t>
      </w:r>
      <w:r>
        <w:rPr>
          <w:rFonts w:eastAsia="Times New Roman" w:cs="Times New Roman"/>
        </w:rPr>
        <w:t xml:space="preserve">and </w:t>
      </w:r>
      <w:r w:rsidRPr="1470C1A2">
        <w:rPr>
          <w:rFonts w:eastAsia="Times New Roman" w:cs="Times New Roman"/>
        </w:rPr>
        <w:t xml:space="preserve">competitive exclusion these invasives undermine the resilience of natural and agricultural systems. </w:t>
      </w:r>
      <w:r w:rsidRPr="1470C1A2">
        <w:rPr>
          <w:rFonts w:eastAsia="Times New Roman" w:cs="Times New Roman"/>
          <w:i/>
          <w:iCs/>
        </w:rPr>
        <w:t>Parthenium</w:t>
      </w:r>
      <w:r w:rsidRPr="003C37B4">
        <w:rPr>
          <w:rFonts w:eastAsia="Times New Roman" w:cs="Times New Roman"/>
          <w:i/>
          <w:iCs/>
        </w:rPr>
        <w:t xml:space="preserve"> </w:t>
      </w:r>
      <w:proofErr w:type="spellStart"/>
      <w:r w:rsidRPr="003C37B4">
        <w:rPr>
          <w:rFonts w:eastAsia="Times New Roman" w:cs="Times New Roman"/>
          <w:i/>
          <w:iCs/>
        </w:rPr>
        <w:t>hysterophorus</w:t>
      </w:r>
      <w:proofErr w:type="spellEnd"/>
      <w:r>
        <w:rPr>
          <w:rFonts w:eastAsia="Times New Roman" w:cs="Times New Roman"/>
        </w:rPr>
        <w:t xml:space="preserve"> has spread across Asia, Africa and Australia and poses serious health risks to humans and livestock. Direct contact or inhalation can trigger asthma, allergic reactions and bronchitis, especially in farmers and field workers (Godse et al., 2024). Water hyacinth has also spread across Asia and Africa, disrupting aquatic ecosystems and destabilizing biodiversity and food chains. It also creates ideal breeding grounds for disease vectors such as mosquitoes and snails. Communities living near infested water bodies have an increased risk of exposure to these diseases, in addition to reduced access to clean water (</w:t>
      </w:r>
      <w:proofErr w:type="spellStart"/>
      <w:r>
        <w:rPr>
          <w:rFonts w:eastAsia="Times New Roman" w:cs="Times New Roman"/>
        </w:rPr>
        <w:t>Degaga</w:t>
      </w:r>
      <w:proofErr w:type="spellEnd"/>
      <w:r>
        <w:rPr>
          <w:rFonts w:eastAsia="Times New Roman" w:cs="Times New Roman"/>
        </w:rPr>
        <w:t xml:space="preserve">, 2018). </w:t>
      </w:r>
      <w:r w:rsidRPr="1470C1A2">
        <w:rPr>
          <w:rFonts w:eastAsia="Times New Roman" w:cs="Times New Roman"/>
        </w:rPr>
        <w:t>Applying a One Health framework reveals how these disruptions reverberate across human, animal</w:t>
      </w:r>
      <w:r>
        <w:rPr>
          <w:rFonts w:eastAsia="Times New Roman" w:cs="Times New Roman"/>
        </w:rPr>
        <w:t>, plant</w:t>
      </w:r>
      <w:r w:rsidRPr="1470C1A2">
        <w:rPr>
          <w:rFonts w:eastAsia="Times New Roman" w:cs="Times New Roman"/>
        </w:rPr>
        <w:t xml:space="preserve"> and environmental health.</w:t>
      </w:r>
    </w:p>
    <w:p w14:paraId="044D154B" w14:textId="27A47200" w:rsidR="00C0335B" w:rsidRPr="0043029F" w:rsidRDefault="00C0335B" w:rsidP="0043029F">
      <w:pPr>
        <w:pStyle w:val="IPPParagraphnumbering"/>
        <w:numPr>
          <w:ilvl w:val="0"/>
          <w:numId w:val="16"/>
        </w:numPr>
        <w:rPr>
          <w:rFonts w:cs="Times New Roman"/>
          <w:color w:val="000000" w:themeColor="text1"/>
        </w:rPr>
      </w:pPr>
      <w:r>
        <w:rPr>
          <w:rFonts w:cs="Times New Roman"/>
          <w:color w:val="000000" w:themeColor="text1"/>
        </w:rPr>
        <w:t>To reduce the impact of invasive weeds on the environment, including minimizing their impact on crop yields, herbicides are used globally. However, m</w:t>
      </w:r>
      <w:r w:rsidRPr="122BFCE9">
        <w:rPr>
          <w:rFonts w:cs="Times New Roman"/>
          <w:color w:val="000000" w:themeColor="text1"/>
        </w:rPr>
        <w:t xml:space="preserve">ore than 270 weed species have developed herbicide resistance to one or more herbicides, and herbicide resistant weeds have been reported in 102 crops in 75 countries (Heap, 2025). </w:t>
      </w:r>
      <w:r>
        <w:rPr>
          <w:rFonts w:cs="Times New Roman"/>
          <w:color w:val="000000" w:themeColor="text1"/>
        </w:rPr>
        <w:t>W</w:t>
      </w:r>
      <w:r w:rsidRPr="122BFCE9">
        <w:rPr>
          <w:rFonts w:cs="Times New Roman"/>
          <w:color w:val="000000" w:themeColor="text1"/>
        </w:rPr>
        <w:t xml:space="preserve">eeds that develop </w:t>
      </w:r>
      <w:r>
        <w:rPr>
          <w:rFonts w:cs="Times New Roman"/>
          <w:color w:val="000000" w:themeColor="text1"/>
        </w:rPr>
        <w:t>h</w:t>
      </w:r>
      <w:r w:rsidRPr="122BFCE9">
        <w:rPr>
          <w:rFonts w:cs="Times New Roman"/>
          <w:color w:val="000000" w:themeColor="text1"/>
        </w:rPr>
        <w:t>e</w:t>
      </w:r>
      <w:r>
        <w:rPr>
          <w:rFonts w:cs="Times New Roman"/>
          <w:color w:val="000000" w:themeColor="text1"/>
        </w:rPr>
        <w:t>rb</w:t>
      </w:r>
      <w:r w:rsidRPr="122BFCE9">
        <w:rPr>
          <w:rFonts w:cs="Times New Roman"/>
          <w:color w:val="000000" w:themeColor="text1"/>
        </w:rPr>
        <w:t xml:space="preserve">icide resistance have the potential to threaten global crop </w:t>
      </w:r>
      <w:r w:rsidRPr="00996042">
        <w:t>production</w:t>
      </w:r>
      <w:r w:rsidRPr="122BFCE9">
        <w:rPr>
          <w:rFonts w:cs="Times New Roman"/>
          <w:color w:val="000000" w:themeColor="text1"/>
        </w:rPr>
        <w:t xml:space="preserve"> and food security</w:t>
      </w:r>
      <w:r>
        <w:rPr>
          <w:rFonts w:cs="Times New Roman"/>
          <w:color w:val="000000" w:themeColor="text1"/>
        </w:rPr>
        <w:t>, which demonstrates how closely this plant health area is tied to the other One Health pillars</w:t>
      </w:r>
      <w:r w:rsidRPr="122BFCE9">
        <w:rPr>
          <w:rFonts w:cs="Times New Roman"/>
          <w:color w:val="000000" w:themeColor="text1"/>
        </w:rPr>
        <w:t xml:space="preserve">. Additionally, pesticide resistance may lead to frequent and higher pesticide use, which could lead to elevated levels of pesticide residue in the environment. </w:t>
      </w:r>
    </w:p>
    <w:p w14:paraId="72ACACF5" w14:textId="36AD39F2" w:rsidR="00C0335B" w:rsidRPr="0043029F" w:rsidRDefault="00C0335B" w:rsidP="00C0335B">
      <w:pPr>
        <w:pStyle w:val="IPPParagraphnumbering"/>
        <w:numPr>
          <w:ilvl w:val="0"/>
          <w:numId w:val="16"/>
        </w:numPr>
        <w:rPr>
          <w:rFonts w:eastAsia="Arial" w:cs="Times New Roman"/>
          <w:color w:val="222222"/>
        </w:rPr>
      </w:pPr>
      <w:r w:rsidRPr="005A2808">
        <w:rPr>
          <w:rFonts w:eastAsia="Times New Roman" w:cs="Times New Roman"/>
          <w:color w:val="000000"/>
        </w:rPr>
        <w:t>Plant health</w:t>
      </w:r>
      <w:r>
        <w:rPr>
          <w:rFonts w:eastAsia="Times New Roman" w:cs="Times New Roman"/>
          <w:color w:val="000000"/>
        </w:rPr>
        <w:t xml:space="preserve"> is linked to the One Health pillars in ways that are considered less often too. Plant health</w:t>
      </w:r>
      <w:r w:rsidRPr="005A2808">
        <w:rPr>
          <w:rFonts w:eastAsia="Times New Roman" w:cs="Times New Roman"/>
          <w:color w:val="000000"/>
        </w:rPr>
        <w:t xml:space="preserve"> is </w:t>
      </w:r>
      <w:r>
        <w:rPr>
          <w:rFonts w:eastAsia="Times New Roman" w:cs="Times New Roman"/>
          <w:color w:val="000000"/>
        </w:rPr>
        <w:t>an important component of</w:t>
      </w:r>
      <w:r w:rsidRPr="005A2808">
        <w:rPr>
          <w:rFonts w:eastAsia="Times New Roman" w:cs="Times New Roman"/>
          <w:color w:val="000000"/>
        </w:rPr>
        <w:t xml:space="preserve"> soil microbiome discussions </w:t>
      </w:r>
      <w:r>
        <w:rPr>
          <w:rFonts w:eastAsia="Times New Roman" w:cs="Times New Roman"/>
          <w:color w:val="000000"/>
        </w:rPr>
        <w:t>due to soil’s importance</w:t>
      </w:r>
      <w:r w:rsidRPr="005A2808">
        <w:rPr>
          <w:rFonts w:eastAsia="Times New Roman" w:cs="Times New Roman"/>
          <w:color w:val="000000"/>
        </w:rPr>
        <w:t xml:space="preserve"> to </w:t>
      </w:r>
      <w:proofErr w:type="gramStart"/>
      <w:r w:rsidRPr="005A2808">
        <w:rPr>
          <w:rFonts w:eastAsia="Times New Roman" w:cs="Times New Roman"/>
          <w:color w:val="000000"/>
        </w:rPr>
        <w:t>plant</w:t>
      </w:r>
      <w:proofErr w:type="gramEnd"/>
      <w:r w:rsidRPr="005A2808">
        <w:rPr>
          <w:rFonts w:eastAsia="Times New Roman" w:cs="Times New Roman"/>
          <w:color w:val="000000"/>
        </w:rPr>
        <w:t>, anima</w:t>
      </w:r>
      <w:r>
        <w:rPr>
          <w:rFonts w:eastAsia="Times New Roman" w:cs="Times New Roman"/>
          <w:color w:val="000000"/>
        </w:rPr>
        <w:t>l</w:t>
      </w:r>
      <w:r w:rsidRPr="005A2808">
        <w:rPr>
          <w:rFonts w:eastAsia="Times New Roman" w:cs="Times New Roman"/>
          <w:color w:val="000000"/>
        </w:rPr>
        <w:t xml:space="preserve"> and human health.</w:t>
      </w:r>
      <w:r>
        <w:rPr>
          <w:rFonts w:eastAsia="Times New Roman" w:cs="Times New Roman"/>
          <w:color w:val="000000"/>
        </w:rPr>
        <w:t xml:space="preserve"> Agricultural practices influence the composition of the soil microbiome but can also lead to the movement of soil bacteria, fungi and viruses from their natural environment to other areas. </w:t>
      </w:r>
      <w:r w:rsidRPr="4CC710A2">
        <w:rPr>
          <w:rFonts w:eastAsia="Times New Roman" w:cs="Times New Roman"/>
          <w:i/>
          <w:iCs/>
          <w:color w:val="000000"/>
        </w:rPr>
        <w:t xml:space="preserve">Fusarium </w:t>
      </w:r>
      <w:r w:rsidRPr="00B9463F">
        <w:rPr>
          <w:rFonts w:eastAsia="Times New Roman" w:cs="Times New Roman"/>
          <w:color w:val="000000"/>
        </w:rPr>
        <w:t>wilt</w:t>
      </w:r>
      <w:r>
        <w:rPr>
          <w:rFonts w:eastAsia="Times New Roman" w:cs="Times New Roman"/>
          <w:color w:val="000000"/>
        </w:rPr>
        <w:t xml:space="preserve"> is an example of a soil-borne fungus that can impact sustainable agriculture and cause a significant reduction in grain yield and quality from mycotoxins (</w:t>
      </w:r>
      <w:proofErr w:type="spellStart"/>
      <w:r>
        <w:rPr>
          <w:rFonts w:eastAsia="Times New Roman" w:cs="Times New Roman"/>
          <w:color w:val="000000"/>
        </w:rPr>
        <w:t>Moonjely</w:t>
      </w:r>
      <w:proofErr w:type="spellEnd"/>
      <w:r>
        <w:rPr>
          <w:rFonts w:eastAsia="Times New Roman" w:cs="Times New Roman"/>
          <w:color w:val="000000"/>
        </w:rPr>
        <w:t xml:space="preserve">, et al., 2023; </w:t>
      </w:r>
      <w:proofErr w:type="spellStart"/>
      <w:r>
        <w:rPr>
          <w:rFonts w:eastAsia="Times New Roman" w:cs="Times New Roman"/>
          <w:color w:val="000000"/>
        </w:rPr>
        <w:t>Yiallouris</w:t>
      </w:r>
      <w:proofErr w:type="spellEnd"/>
      <w:r>
        <w:rPr>
          <w:rFonts w:eastAsia="Times New Roman" w:cs="Times New Roman"/>
          <w:color w:val="000000"/>
        </w:rPr>
        <w:t xml:space="preserve"> et al., 2024)</w:t>
      </w:r>
      <w:r w:rsidRPr="00B9463F">
        <w:rPr>
          <w:rFonts w:eastAsia="Times New Roman" w:cs="Times New Roman"/>
          <w:color w:val="000000"/>
        </w:rPr>
        <w:t>.</w:t>
      </w:r>
      <w:r w:rsidRPr="005A2808">
        <w:rPr>
          <w:rFonts w:eastAsia="Times New Roman" w:cs="Times New Roman"/>
          <w:color w:val="000000"/>
        </w:rPr>
        <w:t xml:space="preserve"> </w:t>
      </w:r>
      <w:r w:rsidRPr="00045E3D">
        <w:rPr>
          <w:rFonts w:eastAsia="Arial" w:cs="Times New Roman"/>
          <w:color w:val="222222"/>
        </w:rPr>
        <w:t xml:space="preserve">Mycotoxins are toxic secondary metabolites produced by fungi that contaminate a wide range of foods and animal feeds, posing serious risks to human, animal and environmental health (Bennett </w:t>
      </w:r>
      <w:r>
        <w:rPr>
          <w:rFonts w:eastAsia="Arial" w:cs="Times New Roman"/>
          <w:color w:val="222222"/>
        </w:rPr>
        <w:t>and</w:t>
      </w:r>
      <w:r w:rsidRPr="00045E3D">
        <w:rPr>
          <w:rFonts w:eastAsia="Arial" w:cs="Times New Roman"/>
          <w:color w:val="222222"/>
        </w:rPr>
        <w:t xml:space="preserve"> Klich, 2003). Among the most potent are aflatoxins, produced primarily by </w:t>
      </w:r>
      <w:r w:rsidRPr="00045E3D">
        <w:rPr>
          <w:rFonts w:eastAsia="Arial" w:cs="Times New Roman"/>
          <w:i/>
          <w:iCs/>
          <w:color w:val="222222"/>
        </w:rPr>
        <w:t>Aspergillus flavus</w:t>
      </w:r>
      <w:r w:rsidRPr="00045E3D">
        <w:rPr>
          <w:rFonts w:eastAsia="Arial" w:cs="Times New Roman"/>
          <w:color w:val="222222"/>
        </w:rPr>
        <w:t xml:space="preserve"> and </w:t>
      </w:r>
      <w:r w:rsidRPr="00045E3D">
        <w:rPr>
          <w:rFonts w:eastAsia="Arial" w:cs="Times New Roman"/>
          <w:i/>
          <w:iCs/>
          <w:color w:val="222222"/>
        </w:rPr>
        <w:t>A. parasiticus</w:t>
      </w:r>
      <w:r w:rsidRPr="00045E3D">
        <w:rPr>
          <w:rFonts w:eastAsia="Arial" w:cs="Times New Roman"/>
          <w:color w:val="222222"/>
        </w:rPr>
        <w:t xml:space="preserve"> (Wild </w:t>
      </w:r>
      <w:r>
        <w:rPr>
          <w:rFonts w:eastAsia="Arial" w:cs="Times New Roman"/>
          <w:color w:val="222222"/>
        </w:rPr>
        <w:t>and</w:t>
      </w:r>
      <w:r w:rsidRPr="00045E3D">
        <w:rPr>
          <w:rFonts w:eastAsia="Arial" w:cs="Times New Roman"/>
          <w:color w:val="222222"/>
        </w:rPr>
        <w:t xml:space="preserve"> Gong, 2010). These compounds are genotoxic and carcinogenic, and their consumption can lead to acute symptoms such as nausea, vomiting, abdominal pain, jaundice (icterus), itching, bleeding, edema, lethargy, convulsions, coma and even death (Liu </w:t>
      </w:r>
      <w:r>
        <w:rPr>
          <w:rFonts w:eastAsia="Arial" w:cs="Times New Roman"/>
          <w:color w:val="222222"/>
        </w:rPr>
        <w:t>and</w:t>
      </w:r>
      <w:r w:rsidRPr="00045E3D">
        <w:rPr>
          <w:rFonts w:eastAsia="Arial" w:cs="Times New Roman"/>
          <w:color w:val="222222"/>
        </w:rPr>
        <w:t xml:space="preserve"> Wu, 2010).</w:t>
      </w:r>
      <w:r>
        <w:rPr>
          <w:rFonts w:eastAsia="Arial" w:cs="Times New Roman"/>
          <w:color w:val="222222"/>
        </w:rPr>
        <w:t xml:space="preserve"> </w:t>
      </w:r>
      <w:r w:rsidRPr="00045E3D">
        <w:rPr>
          <w:rFonts w:eastAsia="Arial" w:cs="Times New Roman"/>
          <w:color w:val="222222"/>
        </w:rPr>
        <w:t>Aflatoxins exemplify the One Health challenge</w:t>
      </w:r>
      <w:r>
        <w:rPr>
          <w:rFonts w:eastAsia="Arial" w:cs="Times New Roman"/>
          <w:color w:val="222222"/>
        </w:rPr>
        <w:t>.</w:t>
      </w:r>
      <w:r w:rsidRPr="00045E3D">
        <w:rPr>
          <w:rFonts w:eastAsia="Arial" w:cs="Times New Roman"/>
          <w:color w:val="222222"/>
        </w:rPr>
        <w:t xml:space="preserve"> </w:t>
      </w:r>
      <w:r>
        <w:rPr>
          <w:rFonts w:eastAsia="Arial" w:cs="Times New Roman"/>
          <w:color w:val="222222"/>
        </w:rPr>
        <w:t>T</w:t>
      </w:r>
      <w:r w:rsidRPr="00045E3D">
        <w:rPr>
          <w:rFonts w:eastAsia="Arial" w:cs="Times New Roman"/>
          <w:color w:val="222222"/>
        </w:rPr>
        <w:t xml:space="preserve">hey originate in agricultural environments, persist in food chains and affect both livestock and humans. In poultry, aflatoxin contamination has led to mass mortality events (Hussein </w:t>
      </w:r>
      <w:r>
        <w:rPr>
          <w:rFonts w:eastAsia="Arial" w:cs="Times New Roman"/>
          <w:color w:val="222222"/>
        </w:rPr>
        <w:t>and</w:t>
      </w:r>
      <w:r w:rsidRPr="00045E3D">
        <w:rPr>
          <w:rFonts w:eastAsia="Arial" w:cs="Times New Roman"/>
          <w:color w:val="222222"/>
        </w:rPr>
        <w:t xml:space="preserve"> Brasel, 2001), while in humans, chronic exposure is linked to liver cancer and immunosuppression (Kensler et al., 2011). The use of contaminated feed not only harms animals but also introduces toxins into meat, milk and eggs, creating a feedback loop of exposure across species.</w:t>
      </w:r>
    </w:p>
    <w:p w14:paraId="32FA8B50" w14:textId="4A470EA2" w:rsidR="00C0335B" w:rsidRPr="0043029F" w:rsidRDefault="00C0335B" w:rsidP="00C0335B">
      <w:pPr>
        <w:pStyle w:val="IPPParagraphnumbering"/>
        <w:numPr>
          <w:ilvl w:val="0"/>
          <w:numId w:val="16"/>
        </w:numPr>
        <w:rPr>
          <w:rFonts w:cs="Times New Roman"/>
        </w:rPr>
      </w:pPr>
      <w:r>
        <w:rPr>
          <w:rFonts w:cs="Times New Roman"/>
        </w:rPr>
        <w:t>Plant health</w:t>
      </w:r>
      <w:r w:rsidRPr="00F342EE">
        <w:rPr>
          <w:rFonts w:cs="Times New Roman"/>
        </w:rPr>
        <w:t xml:space="preserve"> </w:t>
      </w:r>
      <w:r>
        <w:rPr>
          <w:rFonts w:cs="Times New Roman"/>
        </w:rPr>
        <w:t xml:space="preserve">is linked to ecosystem services and </w:t>
      </w:r>
      <w:r w:rsidRPr="00F342EE">
        <w:rPr>
          <w:rFonts w:cs="Times New Roman"/>
        </w:rPr>
        <w:t xml:space="preserve">ecosystem health. </w:t>
      </w:r>
      <w:r>
        <w:rPr>
          <w:rFonts w:cs="Times New Roman"/>
        </w:rPr>
        <w:t xml:space="preserve">Healthy plants improve water quality by </w:t>
      </w:r>
      <w:r w:rsidRPr="00996042">
        <w:t>reducing</w:t>
      </w:r>
      <w:r>
        <w:rPr>
          <w:rFonts w:cs="Times New Roman"/>
        </w:rPr>
        <w:t xml:space="preserve"> contamination and the risk of waterborne diseases (FAO, 2025b). </w:t>
      </w:r>
      <w:r>
        <w:rPr>
          <w:rFonts w:eastAsia="Times New Roman" w:cs="Times New Roman"/>
          <w:color w:val="000000"/>
        </w:rPr>
        <w:t>G</w:t>
      </w:r>
      <w:r w:rsidRPr="00F342EE">
        <w:rPr>
          <w:rFonts w:eastAsia="Times New Roman" w:cs="Times New Roman"/>
          <w:color w:val="000000"/>
        </w:rPr>
        <w:t xml:space="preserve">reen spaces benefit human health </w:t>
      </w:r>
      <w:r>
        <w:rPr>
          <w:rFonts w:eastAsia="Times New Roman" w:cs="Times New Roman"/>
          <w:color w:val="000000"/>
        </w:rPr>
        <w:t>by improving</w:t>
      </w:r>
      <w:r w:rsidRPr="00F342EE">
        <w:rPr>
          <w:rFonts w:eastAsia="Times New Roman" w:cs="Times New Roman"/>
          <w:color w:val="000000"/>
        </w:rPr>
        <w:t xml:space="preserve"> air quality, </w:t>
      </w:r>
      <w:r>
        <w:rPr>
          <w:rFonts w:eastAsia="Times New Roman" w:cs="Times New Roman"/>
          <w:color w:val="000000"/>
        </w:rPr>
        <w:t>regulating temperatures</w:t>
      </w:r>
      <w:r w:rsidRPr="00F342EE">
        <w:rPr>
          <w:rFonts w:eastAsia="Times New Roman" w:cs="Times New Roman"/>
          <w:color w:val="000000"/>
        </w:rPr>
        <w:t xml:space="preserve">, </w:t>
      </w:r>
      <w:r>
        <w:rPr>
          <w:rFonts w:eastAsia="Times New Roman" w:cs="Times New Roman"/>
          <w:color w:val="000000"/>
        </w:rPr>
        <w:t xml:space="preserve">and providing </w:t>
      </w:r>
      <w:r w:rsidRPr="00F342EE">
        <w:rPr>
          <w:rFonts w:eastAsia="Times New Roman" w:cs="Times New Roman"/>
          <w:color w:val="000000"/>
        </w:rPr>
        <w:t>mental and physical health benefits</w:t>
      </w:r>
      <w:r>
        <w:rPr>
          <w:rFonts w:eastAsia="Times New Roman" w:cs="Times New Roman"/>
          <w:color w:val="000000"/>
        </w:rPr>
        <w:t xml:space="preserve"> (Lorenzini and Nali, 2025). U</w:t>
      </w:r>
      <w:r w:rsidRPr="00464EBE">
        <w:rPr>
          <w:rFonts w:cs="Times New Roman"/>
        </w:rPr>
        <w:t>nhealthy plants</w:t>
      </w:r>
      <w:r>
        <w:rPr>
          <w:rFonts w:cs="Times New Roman"/>
        </w:rPr>
        <w:t>, on the other hand,</w:t>
      </w:r>
      <w:r w:rsidRPr="00464EBE">
        <w:rPr>
          <w:rFonts w:cs="Times New Roman"/>
        </w:rPr>
        <w:t xml:space="preserve"> lose efficiency in carbon sequestration</w:t>
      </w:r>
      <w:r>
        <w:rPr>
          <w:rFonts w:cs="Times New Roman"/>
        </w:rPr>
        <w:t xml:space="preserve">, reduce soil fertility and heighten erosion risks, and they have a negative impact on the economy due to the higher cost of agricultural inputs needed to sustain them </w:t>
      </w:r>
      <w:r w:rsidRPr="005A2808">
        <w:rPr>
          <w:rFonts w:cs="Times New Roman"/>
        </w:rPr>
        <w:t>(Danielsen et al., 2025)</w:t>
      </w:r>
      <w:r w:rsidRPr="00F342EE">
        <w:rPr>
          <w:rFonts w:cs="Times New Roman"/>
        </w:rPr>
        <w:t xml:space="preserve">. </w:t>
      </w:r>
    </w:p>
    <w:p w14:paraId="5712F34E" w14:textId="177485E3" w:rsidR="00C0335B" w:rsidRPr="0043029F" w:rsidRDefault="00C0335B" w:rsidP="00C0335B">
      <w:pPr>
        <w:pStyle w:val="IPPParagraphnumbering"/>
        <w:numPr>
          <w:ilvl w:val="0"/>
          <w:numId w:val="16"/>
        </w:numPr>
        <w:rPr>
          <w:rFonts w:eastAsia="Times New Roman" w:cs="Times New Roman"/>
        </w:rPr>
      </w:pPr>
      <w:r w:rsidRPr="006E5837">
        <w:rPr>
          <w:rFonts w:eastAsia="Times New Roman" w:cs="Times New Roman"/>
        </w:rPr>
        <w:lastRenderedPageBreak/>
        <w:t>Vector</w:t>
      </w:r>
      <w:r>
        <w:rPr>
          <w:rFonts w:eastAsia="Times New Roman" w:cs="Times New Roman"/>
        </w:rPr>
        <w:t>-</w:t>
      </w:r>
      <w:r w:rsidRPr="006E5837">
        <w:rPr>
          <w:rFonts w:eastAsia="Times New Roman" w:cs="Times New Roman"/>
        </w:rPr>
        <w:t>borne diseases are diseases transmitted to animals and humans via an intermediate vector such as a mosquito, tick or other invertebrate</w:t>
      </w:r>
      <w:r>
        <w:rPr>
          <w:rFonts w:eastAsia="Times New Roman" w:cs="Times New Roman"/>
        </w:rPr>
        <w:t xml:space="preserve"> and provide clear linkages to </w:t>
      </w:r>
      <w:proofErr w:type="gramStart"/>
      <w:r>
        <w:rPr>
          <w:rFonts w:eastAsia="Times New Roman" w:cs="Times New Roman"/>
        </w:rPr>
        <w:t>all of</w:t>
      </w:r>
      <w:proofErr w:type="gramEnd"/>
      <w:r>
        <w:rPr>
          <w:rFonts w:eastAsia="Times New Roman" w:cs="Times New Roman"/>
        </w:rPr>
        <w:t xml:space="preserve"> the One Health pillars</w:t>
      </w:r>
      <w:r w:rsidRPr="006E5837">
        <w:rPr>
          <w:rFonts w:eastAsia="Times New Roman" w:cs="Times New Roman"/>
        </w:rPr>
        <w:t>. For example, the invasive Asian tiger mosquito can transmit dengue, chikungunya, Zika, West Nile, and other pathogens to humans, wildlife and domestic animals. This mosquito is most active during the day and aggressively bites humans, livestock, wildlife and birds. </w:t>
      </w:r>
      <w:r>
        <w:rPr>
          <w:rFonts w:eastAsia="Times New Roman" w:cs="Times New Roman"/>
        </w:rPr>
        <w:t xml:space="preserve">The threat to human health is compounded by the emergence of insecticide resistance (Bharadwaj et al., 2025; Namias et al., 2021). Insecticides used to control mosquitoes also can affect native invertebrates that play vital roles in the ecosystem, with subsequent impacts to insectivorous birds, amphibians and other invertebrate predators (Lee et al., 2020). </w:t>
      </w:r>
    </w:p>
    <w:p w14:paraId="4128CCDB" w14:textId="2D558EFC" w:rsidR="00C0335B" w:rsidRPr="0043029F" w:rsidRDefault="00C0335B" w:rsidP="00C0335B">
      <w:pPr>
        <w:pStyle w:val="IPPParagraphnumbering"/>
        <w:numPr>
          <w:ilvl w:val="0"/>
          <w:numId w:val="16"/>
        </w:numPr>
        <w:rPr>
          <w:rFonts w:cs="Times New Roman"/>
        </w:rPr>
      </w:pPr>
      <w:r>
        <w:rPr>
          <w:rFonts w:eastAsia="Times New Roman" w:cs="Times New Roman"/>
        </w:rPr>
        <w:t xml:space="preserve">Plant production practices can contribute to the transmission of these vector-borne diseases. </w:t>
      </w:r>
      <w:r w:rsidRPr="1470C1A2">
        <w:rPr>
          <w:rFonts w:eastAsia="Times New Roman" w:cs="Times New Roman"/>
        </w:rPr>
        <w:t xml:space="preserve">In rubber </w:t>
      </w:r>
      <w:r w:rsidRPr="00996042">
        <w:t>plantations</w:t>
      </w:r>
      <w:r w:rsidRPr="1470C1A2">
        <w:rPr>
          <w:rFonts w:eastAsia="Times New Roman" w:cs="Times New Roman"/>
        </w:rPr>
        <w:t>, the practice of leaving latex-collecting cups tied to trees after tapping has inadvertently created ideal breeding grounds for the Asian tiger mosquito</w:t>
      </w:r>
      <w:r>
        <w:rPr>
          <w:rFonts w:eastAsia="Times New Roman" w:cs="Times New Roman"/>
        </w:rPr>
        <w:t xml:space="preserve"> (</w:t>
      </w:r>
      <w:r w:rsidRPr="1470C1A2">
        <w:rPr>
          <w:rFonts w:eastAsia="Times New Roman" w:cs="Times New Roman"/>
          <w:i/>
          <w:iCs/>
        </w:rPr>
        <w:t>Aedes albopictus</w:t>
      </w:r>
      <w:r w:rsidRPr="00AB5032">
        <w:rPr>
          <w:rFonts w:eastAsia="Times New Roman" w:cs="Times New Roman"/>
        </w:rPr>
        <w:t>)</w:t>
      </w:r>
      <w:r>
        <w:rPr>
          <w:rFonts w:eastAsia="Times New Roman" w:cs="Times New Roman"/>
        </w:rPr>
        <w:t>,</w:t>
      </w:r>
      <w:r w:rsidRPr="00BF090C">
        <w:rPr>
          <w:rFonts w:eastAsia="Times New Roman" w:cs="Times New Roman"/>
        </w:rPr>
        <w:t xml:space="preserve"> </w:t>
      </w:r>
      <w:r w:rsidRPr="1470C1A2">
        <w:rPr>
          <w:rFonts w:eastAsia="Times New Roman" w:cs="Times New Roman"/>
        </w:rPr>
        <w:t xml:space="preserve">a known vector of dengue and chikungunya. These cups, when left unattended, accumulate rainwater forming thousands of microhabitats for mosquito larvae. This </w:t>
      </w:r>
      <w:r>
        <w:rPr>
          <w:rFonts w:eastAsia="Times New Roman" w:cs="Times New Roman"/>
        </w:rPr>
        <w:t>production practice</w:t>
      </w:r>
      <w:r w:rsidRPr="1470C1A2">
        <w:rPr>
          <w:rFonts w:eastAsia="Times New Roman" w:cs="Times New Roman"/>
        </w:rPr>
        <w:t xml:space="preserve"> has </w:t>
      </w:r>
      <w:r w:rsidRPr="00010D8C">
        <w:rPr>
          <w:rFonts w:eastAsia="Times New Roman" w:cs="Times New Roman"/>
        </w:rPr>
        <w:t>One Health implications</w:t>
      </w:r>
      <w:r w:rsidRPr="1470C1A2">
        <w:rPr>
          <w:rFonts w:eastAsia="Times New Roman" w:cs="Times New Roman"/>
        </w:rPr>
        <w:t>: it contributes to outbreaks of mosquito-borne diseases</w:t>
      </w:r>
      <w:r>
        <w:rPr>
          <w:rFonts w:eastAsia="Times New Roman" w:cs="Times New Roman"/>
        </w:rPr>
        <w:t xml:space="preserve"> in humans and</w:t>
      </w:r>
      <w:r w:rsidRPr="1470C1A2">
        <w:rPr>
          <w:rFonts w:eastAsia="Times New Roman" w:cs="Times New Roman"/>
        </w:rPr>
        <w:t xml:space="preserve"> increases </w:t>
      </w:r>
      <w:r>
        <w:rPr>
          <w:rFonts w:eastAsia="Times New Roman" w:cs="Times New Roman"/>
        </w:rPr>
        <w:t xml:space="preserve">disease </w:t>
      </w:r>
      <w:r w:rsidRPr="1470C1A2">
        <w:rPr>
          <w:rFonts w:eastAsia="Times New Roman" w:cs="Times New Roman"/>
        </w:rPr>
        <w:t>exposure for livestock and wildlife</w:t>
      </w:r>
      <w:r>
        <w:rPr>
          <w:rFonts w:eastAsia="Times New Roman" w:cs="Times New Roman"/>
        </w:rPr>
        <w:t xml:space="preserve"> (KV and </w:t>
      </w:r>
      <w:proofErr w:type="spellStart"/>
      <w:r>
        <w:rPr>
          <w:rFonts w:eastAsia="Times New Roman" w:cs="Times New Roman"/>
        </w:rPr>
        <w:t>Valamparampil</w:t>
      </w:r>
      <w:proofErr w:type="spellEnd"/>
      <w:r>
        <w:rPr>
          <w:rFonts w:eastAsia="Times New Roman" w:cs="Times New Roman"/>
        </w:rPr>
        <w:t>, 2017)</w:t>
      </w:r>
      <w:r w:rsidRPr="1470C1A2">
        <w:rPr>
          <w:rFonts w:eastAsia="Times New Roman" w:cs="Times New Roman"/>
        </w:rPr>
        <w:t>.</w:t>
      </w:r>
      <w:r>
        <w:rPr>
          <w:rFonts w:eastAsia="Times New Roman" w:cs="Times New Roman"/>
        </w:rPr>
        <w:t xml:space="preserve"> </w:t>
      </w:r>
    </w:p>
    <w:p w14:paraId="3B32A2D3" w14:textId="392C43E4" w:rsidR="00C0335B" w:rsidRPr="0043029F" w:rsidRDefault="00C0335B" w:rsidP="0043029F">
      <w:pPr>
        <w:pStyle w:val="IPPParagraphnumbering"/>
        <w:numPr>
          <w:ilvl w:val="0"/>
          <w:numId w:val="16"/>
        </w:numPr>
        <w:rPr>
          <w:rFonts w:cs="Times New Roman"/>
          <w:noProof/>
        </w:rPr>
      </w:pPr>
      <w:r w:rsidRPr="122BFCE9">
        <w:rPr>
          <w:rFonts w:cs="Times New Roman"/>
        </w:rPr>
        <w:t xml:space="preserve">Another clear area of overlap across the One Health pillars </w:t>
      </w:r>
      <w:r>
        <w:rPr>
          <w:rFonts w:cs="Times New Roman"/>
        </w:rPr>
        <w:t>includes</w:t>
      </w:r>
      <w:r w:rsidRPr="122BFCE9">
        <w:rPr>
          <w:rFonts w:cs="Times New Roman"/>
        </w:rPr>
        <w:t xml:space="preserve"> managing </w:t>
      </w:r>
      <w:r>
        <w:rPr>
          <w:rFonts w:cs="Times New Roman"/>
        </w:rPr>
        <w:t xml:space="preserve">the </w:t>
      </w:r>
      <w:r w:rsidRPr="122BFCE9">
        <w:rPr>
          <w:rFonts w:cs="Times New Roman"/>
        </w:rPr>
        <w:t xml:space="preserve">risk of </w:t>
      </w:r>
      <w:r>
        <w:rPr>
          <w:rFonts w:cs="Times New Roman"/>
        </w:rPr>
        <w:t>AMR</w:t>
      </w:r>
      <w:r w:rsidRPr="122BFCE9">
        <w:rPr>
          <w:rFonts w:cs="Times New Roman"/>
        </w:rPr>
        <w:t xml:space="preserve"> (</w:t>
      </w:r>
      <w:proofErr w:type="spellStart"/>
      <w:r w:rsidRPr="122BFCE9">
        <w:rPr>
          <w:rFonts w:cs="Times New Roman"/>
        </w:rPr>
        <w:t>Alawneh</w:t>
      </w:r>
      <w:proofErr w:type="spellEnd"/>
      <w:r w:rsidRPr="122BFCE9">
        <w:rPr>
          <w:rFonts w:cs="Times New Roman"/>
        </w:rPr>
        <w:t xml:space="preserve"> et al., 2025). </w:t>
      </w:r>
      <w:r w:rsidRPr="001B6C59">
        <w:rPr>
          <w:rFonts w:cs="Times New Roman"/>
        </w:rPr>
        <w:t xml:space="preserve">AMR is defined as the ability of microorganisms to persist or grow in the presence of products designed to inhibit or kill them. These </w:t>
      </w:r>
      <w:r>
        <w:rPr>
          <w:rFonts w:cs="Times New Roman"/>
        </w:rPr>
        <w:t xml:space="preserve">phytosanitary </w:t>
      </w:r>
      <w:r w:rsidRPr="001B6C59">
        <w:rPr>
          <w:rFonts w:cs="Times New Roman"/>
        </w:rPr>
        <w:t xml:space="preserve">products, called </w:t>
      </w:r>
      <w:r w:rsidRPr="00996042">
        <w:t>antimicrobials</w:t>
      </w:r>
      <w:r w:rsidRPr="001B6C59">
        <w:rPr>
          <w:rFonts w:cs="Times New Roman"/>
        </w:rPr>
        <w:t>, are used to treat infectious diseases caused by microorganisms such as bacteria</w:t>
      </w:r>
      <w:r>
        <w:rPr>
          <w:rFonts w:cs="Times New Roman"/>
        </w:rPr>
        <w:t xml:space="preserve"> (antibiotics)</w:t>
      </w:r>
      <w:r w:rsidRPr="001B6C59">
        <w:rPr>
          <w:rFonts w:cs="Times New Roman"/>
        </w:rPr>
        <w:t>, fungi</w:t>
      </w:r>
      <w:r>
        <w:rPr>
          <w:rFonts w:cs="Times New Roman"/>
        </w:rPr>
        <w:t xml:space="preserve"> (antifungals)</w:t>
      </w:r>
      <w:r w:rsidRPr="001B6C59">
        <w:rPr>
          <w:rFonts w:cs="Times New Roman"/>
        </w:rPr>
        <w:t>, viruses</w:t>
      </w:r>
      <w:r>
        <w:rPr>
          <w:rFonts w:cs="Times New Roman"/>
        </w:rPr>
        <w:t xml:space="preserve"> (antivirals)</w:t>
      </w:r>
      <w:r w:rsidRPr="001B6C59">
        <w:rPr>
          <w:rFonts w:cs="Times New Roman"/>
        </w:rPr>
        <w:t xml:space="preserve"> and protozoan parasites</w:t>
      </w:r>
      <w:r>
        <w:rPr>
          <w:rFonts w:cs="Times New Roman"/>
        </w:rPr>
        <w:t xml:space="preserve"> (</w:t>
      </w:r>
      <w:proofErr w:type="spellStart"/>
      <w:r>
        <w:rPr>
          <w:rFonts w:cs="Times New Roman"/>
        </w:rPr>
        <w:t>antiparasitics</w:t>
      </w:r>
      <w:proofErr w:type="spellEnd"/>
      <w:r>
        <w:rPr>
          <w:rFonts w:cs="Times New Roman"/>
        </w:rPr>
        <w:t>)</w:t>
      </w:r>
      <w:r w:rsidRPr="001B6C59">
        <w:rPr>
          <w:rFonts w:cs="Times New Roman"/>
        </w:rPr>
        <w:t xml:space="preserve"> (FAO, 2024). Antimicrobials play an important role in treating diseases </w:t>
      </w:r>
      <w:r>
        <w:rPr>
          <w:rFonts w:cs="Times New Roman"/>
        </w:rPr>
        <w:t>in humans and</w:t>
      </w:r>
      <w:r w:rsidRPr="001B6C59">
        <w:rPr>
          <w:rFonts w:cs="Times New Roman"/>
        </w:rPr>
        <w:t xml:space="preserve"> food-producing animals (aquatic and terrestrial) and, to a lesser extent, in plants</w:t>
      </w:r>
      <w:r>
        <w:rPr>
          <w:rFonts w:cs="Times New Roman"/>
        </w:rPr>
        <w:t xml:space="preserve"> (antibiotics are only used in some regions/countries)</w:t>
      </w:r>
      <w:r w:rsidRPr="001B6C59">
        <w:rPr>
          <w:rFonts w:cs="Times New Roman"/>
        </w:rPr>
        <w:t xml:space="preserve">, </w:t>
      </w:r>
      <w:r w:rsidRPr="00272BF8">
        <w:rPr>
          <w:rFonts w:cs="Times New Roman"/>
        </w:rPr>
        <w:t>which helps maintain food security (FAO, 2024).</w:t>
      </w:r>
      <w:r w:rsidRPr="4CC710A2">
        <w:t xml:space="preserve"> </w:t>
      </w:r>
      <w:r w:rsidRPr="122BFCE9">
        <w:rPr>
          <w:rFonts w:cs="Times New Roman"/>
        </w:rPr>
        <w:t xml:space="preserve">The use of pesticides can have a positive impact on crop health but have a negative impact on the pesticide user through direct exposure to pesticides </w:t>
      </w:r>
      <w:r>
        <w:rPr>
          <w:rFonts w:cs="Times New Roman"/>
        </w:rPr>
        <w:t xml:space="preserve">if used improperly </w:t>
      </w:r>
      <w:r w:rsidRPr="122BFCE9">
        <w:rPr>
          <w:rFonts w:cs="Times New Roman"/>
        </w:rPr>
        <w:t xml:space="preserve">and </w:t>
      </w:r>
      <w:r>
        <w:rPr>
          <w:rFonts w:cs="Times New Roman"/>
        </w:rPr>
        <w:t xml:space="preserve">potentially to </w:t>
      </w:r>
      <w:r w:rsidRPr="122BFCE9">
        <w:rPr>
          <w:rFonts w:cs="Times New Roman"/>
        </w:rPr>
        <w:t xml:space="preserve">consumer health through repeated consumption of pesticide residues in food (Aktar et al., 2009). </w:t>
      </w:r>
      <w:r w:rsidRPr="00F97C2F">
        <w:rPr>
          <w:rFonts w:cs="Times New Roman"/>
        </w:rPr>
        <w:t>Food production sectors can transmit AMR between animal and plant-based food products and humans (</w:t>
      </w:r>
      <w:proofErr w:type="spellStart"/>
      <w:r>
        <w:rPr>
          <w:rFonts w:cs="Times New Roman"/>
        </w:rPr>
        <w:t>Koutsoumanis</w:t>
      </w:r>
      <w:proofErr w:type="spellEnd"/>
      <w:r>
        <w:rPr>
          <w:rFonts w:cs="Times New Roman"/>
        </w:rPr>
        <w:t xml:space="preserve"> et al.</w:t>
      </w:r>
      <w:r w:rsidRPr="00F97C2F">
        <w:rPr>
          <w:rFonts w:cs="Times New Roman"/>
        </w:rPr>
        <w:t xml:space="preserve">, 2021). In addition, contaminated plants can move bacteria such as </w:t>
      </w:r>
      <w:r w:rsidRPr="00F97C2F">
        <w:rPr>
          <w:rFonts w:cs="Times New Roman"/>
          <w:i/>
          <w:iCs/>
        </w:rPr>
        <w:t>Escherichia coli</w:t>
      </w:r>
      <w:r w:rsidRPr="00F97C2F">
        <w:rPr>
          <w:rFonts w:cs="Times New Roman"/>
        </w:rPr>
        <w:t xml:space="preserve"> and Salmonella into the human food supply. Foodborne outbreaks are often associated with vegetable row crops including lettuce, spring onion, kale and other leafy greens (</w:t>
      </w:r>
      <w:proofErr w:type="spellStart"/>
      <w:r w:rsidRPr="00F97C2F">
        <w:rPr>
          <w:rFonts w:cs="Times New Roman"/>
        </w:rPr>
        <w:t>Scholthof</w:t>
      </w:r>
      <w:proofErr w:type="spellEnd"/>
      <w:r w:rsidRPr="00F97C2F">
        <w:rPr>
          <w:rFonts w:cs="Times New Roman"/>
        </w:rPr>
        <w:t>, 2024).</w:t>
      </w:r>
      <w:r w:rsidRPr="4CC710A2">
        <w:t xml:space="preserve"> </w:t>
      </w:r>
    </w:p>
    <w:p w14:paraId="4F5B52F8" w14:textId="56ED9194" w:rsidR="00C0335B" w:rsidRPr="0078082C" w:rsidRDefault="00C0335B" w:rsidP="00C0335B">
      <w:pPr>
        <w:pStyle w:val="IPPParagraphnumbering"/>
        <w:numPr>
          <w:ilvl w:val="0"/>
          <w:numId w:val="16"/>
        </w:numPr>
        <w:rPr>
          <w:rFonts w:cs="Times New Roman"/>
        </w:rPr>
      </w:pPr>
      <w:r w:rsidRPr="4CC710A2">
        <w:rPr>
          <w:rFonts w:cs="Times New Roman"/>
        </w:rPr>
        <w:t xml:space="preserve">Plant biosecurity, which consists of measures to safeguard and enhance </w:t>
      </w:r>
      <w:r>
        <w:rPr>
          <w:rFonts w:cs="Times New Roman"/>
        </w:rPr>
        <w:t xml:space="preserve">human, animal and </w:t>
      </w:r>
      <w:r w:rsidRPr="4CC710A2">
        <w:rPr>
          <w:rFonts w:cs="Times New Roman"/>
        </w:rPr>
        <w:t>plant health and life, affects the entire food web from soil microorganisms to apex predators, including humans. Strengthening plant biosecurity prevents cross-sector threats and ensures a more resilient food system (</w:t>
      </w:r>
      <w:proofErr w:type="spellStart"/>
      <w:r w:rsidRPr="4CC710A2">
        <w:rPr>
          <w:rFonts w:cs="Times New Roman"/>
        </w:rPr>
        <w:t>Alawneh</w:t>
      </w:r>
      <w:proofErr w:type="spellEnd"/>
      <w:r w:rsidRPr="4CC710A2">
        <w:rPr>
          <w:rFonts w:cs="Times New Roman"/>
        </w:rPr>
        <w:t xml:space="preserve"> et al., 2025). Effective plant biosecurity measures, including pest surveillance and quarantine, are necessary to protect plant health</w:t>
      </w:r>
      <w:r>
        <w:rPr>
          <w:rFonts w:cs="Times New Roman"/>
        </w:rPr>
        <w:t xml:space="preserve"> and prevent the entry, spread and establishment of new pests</w:t>
      </w:r>
      <w:r w:rsidRPr="4CC710A2">
        <w:rPr>
          <w:rFonts w:cs="Times New Roman"/>
        </w:rPr>
        <w:t>, which then protects human and animal health. Integrating plant biosecurity into the One Health approach is essential for managing biosecurity risks and promoting sustainable agricultural practices (</w:t>
      </w:r>
      <w:proofErr w:type="spellStart"/>
      <w:r w:rsidRPr="4CC710A2">
        <w:rPr>
          <w:rFonts w:cs="Times New Roman"/>
        </w:rPr>
        <w:t>Alawneh</w:t>
      </w:r>
      <w:proofErr w:type="spellEnd"/>
      <w:r w:rsidRPr="4CC710A2">
        <w:rPr>
          <w:rFonts w:cs="Times New Roman"/>
        </w:rPr>
        <w:t xml:space="preserve"> et al., 2025).</w:t>
      </w:r>
      <w:r>
        <w:rPr>
          <w:rFonts w:cs="Times New Roman"/>
        </w:rPr>
        <w:t xml:space="preserve"> One Biosecurity addresses this need and is an interdisciplinary approach to biosecurity policy and research that builds on the linkages between human, animal, plant and environmental health to prevent and mitigate the impacts of invasive species. The increasing demand to grow more food impacts the ability to control the spread of pests and diseases and reinforces the need to build on the linkages between the health, agriculture and environmental sectors (Hulme, 2020). One Biosecurity has the framework for bridging the human, animal, plant and ecosystem health sectors to stimulate more intentional incorporation of plant health perspectives into One Health (Hulme et al., 2025).</w:t>
      </w:r>
    </w:p>
    <w:p w14:paraId="7D8AD8F2" w14:textId="77777777" w:rsidR="00C0335B" w:rsidRPr="00925D75" w:rsidRDefault="00C0335B" w:rsidP="0043029F">
      <w:pPr>
        <w:pStyle w:val="IPPParagraphnumbering"/>
        <w:numPr>
          <w:ilvl w:val="0"/>
          <w:numId w:val="16"/>
        </w:numPr>
        <w:rPr>
          <w:rFonts w:eastAsia="Times New Roman" w:cs="Times New Roman"/>
          <w:color w:val="000000"/>
        </w:rPr>
      </w:pPr>
      <w:r w:rsidRPr="00371F40">
        <w:rPr>
          <w:rFonts w:eastAsia="Times New Roman" w:cs="Times New Roman"/>
          <w:color w:val="000000"/>
        </w:rPr>
        <w:t>Plant health is crucial for human, animal and environmental health, as well as the global economy. Initiatives such as the International Year of Plant Health and the International Day of Plant Health</w:t>
      </w:r>
      <w:r>
        <w:rPr>
          <w:rFonts w:eastAsia="Times New Roman" w:cs="Times New Roman"/>
          <w:color w:val="000000"/>
        </w:rPr>
        <w:t xml:space="preserve">, and meetings </w:t>
      </w:r>
      <w:r w:rsidRPr="0043029F">
        <w:rPr>
          <w:rFonts w:cs="Times New Roman"/>
        </w:rPr>
        <w:t>such</w:t>
      </w:r>
      <w:r>
        <w:rPr>
          <w:rFonts w:eastAsia="Times New Roman" w:cs="Times New Roman"/>
          <w:color w:val="000000"/>
        </w:rPr>
        <w:t xml:space="preserve"> as the 12</w:t>
      </w:r>
      <w:r w:rsidRPr="00496E3D">
        <w:rPr>
          <w:rFonts w:eastAsia="Times New Roman" w:cs="Times New Roman"/>
          <w:color w:val="000000"/>
          <w:vertAlign w:val="superscript"/>
        </w:rPr>
        <w:t>th</w:t>
      </w:r>
      <w:r>
        <w:rPr>
          <w:rFonts w:eastAsia="Times New Roman" w:cs="Times New Roman"/>
          <w:color w:val="000000"/>
        </w:rPr>
        <w:t xml:space="preserve"> International Congress of Plant Pathology that made the role of plants, crops and trees in One Health its focus,</w:t>
      </w:r>
      <w:r w:rsidRPr="00371F40">
        <w:rPr>
          <w:rFonts w:eastAsia="Times New Roman" w:cs="Times New Roman"/>
          <w:color w:val="000000"/>
        </w:rPr>
        <w:t xml:space="preserve"> raise awareness about the importance of plant health in addressing global challenges such as </w:t>
      </w:r>
      <w:r>
        <w:rPr>
          <w:rFonts w:eastAsia="Times New Roman" w:cs="Times New Roman"/>
          <w:color w:val="000000"/>
        </w:rPr>
        <w:t>food insecurity</w:t>
      </w:r>
      <w:r w:rsidRPr="00371F40">
        <w:rPr>
          <w:rFonts w:eastAsia="Times New Roman" w:cs="Times New Roman"/>
          <w:color w:val="000000"/>
        </w:rPr>
        <w:t xml:space="preserve"> and environmental degradation. </w:t>
      </w:r>
      <w:r>
        <w:rPr>
          <w:rFonts w:eastAsia="Times New Roman" w:cs="Times New Roman"/>
          <w:color w:val="000000"/>
        </w:rPr>
        <w:t>Figures 1-6 are some examples of the diverse visual representations found in the literature that incorporate plant health into the One Health paradigm.</w:t>
      </w:r>
    </w:p>
    <w:p w14:paraId="52B1A87C" w14:textId="77777777" w:rsidR="00C0335B" w:rsidRDefault="00C0335B" w:rsidP="00C0335B">
      <w:pPr>
        <w:rPr>
          <w:rFonts w:cs="Times New Roman"/>
        </w:rPr>
      </w:pPr>
    </w:p>
    <w:p w14:paraId="04997E88" w14:textId="77777777" w:rsidR="00C0335B" w:rsidRDefault="00C0335B" w:rsidP="00C0335B">
      <w:pPr>
        <w:jc w:val="center"/>
        <w:rPr>
          <w:rFonts w:cs="Times New Roman"/>
        </w:rPr>
      </w:pPr>
      <w:r w:rsidRPr="00B942BF">
        <w:rPr>
          <w:rFonts w:cs="Times New Roman"/>
          <w:noProof/>
        </w:rPr>
        <w:drawing>
          <wp:inline distT="0" distB="0" distL="0" distR="0" wp14:anchorId="3A42E084" wp14:editId="32ABE911">
            <wp:extent cx="2705100" cy="2249295"/>
            <wp:effectExtent l="0" t="0" r="0" b="0"/>
            <wp:docPr id="596341908" name="Picture 1" descr="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6341908" name="Picture 1" descr="Diagram&#10;&#10;AI-generated content may be incorrect."/>
                    <pic:cNvPicPr/>
                  </pic:nvPicPr>
                  <pic:blipFill>
                    <a:blip r:embed="rId14"/>
                    <a:stretch>
                      <a:fillRect/>
                    </a:stretch>
                  </pic:blipFill>
                  <pic:spPr>
                    <a:xfrm>
                      <a:off x="0" y="0"/>
                      <a:ext cx="2719595" cy="2261348"/>
                    </a:xfrm>
                    <a:prstGeom prst="rect">
                      <a:avLst/>
                    </a:prstGeom>
                  </pic:spPr>
                </pic:pic>
              </a:graphicData>
            </a:graphic>
          </wp:inline>
        </w:drawing>
      </w:r>
    </w:p>
    <w:p w14:paraId="0F97E6F3" w14:textId="77777777" w:rsidR="00C0335B" w:rsidRDefault="00C0335B" w:rsidP="00C0335B">
      <w:pPr>
        <w:rPr>
          <w:rFonts w:cs="Times New Roman"/>
        </w:rPr>
      </w:pPr>
      <w:r w:rsidRPr="00207EA2">
        <w:rPr>
          <w:rFonts w:cs="Times New Roman"/>
          <w:b/>
          <w:bCs/>
        </w:rPr>
        <w:t>Figure 1.</w:t>
      </w:r>
      <w:r w:rsidRPr="4CC710A2">
        <w:rPr>
          <w:rFonts w:cs="Times New Roman"/>
        </w:rPr>
        <w:t xml:space="preserve"> Simple diagram depicting the </w:t>
      </w:r>
      <w:r>
        <w:rPr>
          <w:rFonts w:cs="Times New Roman"/>
        </w:rPr>
        <w:t>overlap</w:t>
      </w:r>
      <w:r w:rsidRPr="4CC710A2">
        <w:rPr>
          <w:rFonts w:cs="Times New Roman"/>
        </w:rPr>
        <w:t xml:space="preserve"> between the One Health pillars (</w:t>
      </w:r>
      <w:r>
        <w:rPr>
          <w:rFonts w:cs="Times New Roman"/>
        </w:rPr>
        <w:t>WOAH</w:t>
      </w:r>
      <w:r w:rsidRPr="4CC710A2">
        <w:rPr>
          <w:rFonts w:cs="Times New Roman"/>
        </w:rPr>
        <w:t xml:space="preserve"> et al., 2023).</w:t>
      </w:r>
    </w:p>
    <w:p w14:paraId="5183ACF4" w14:textId="77777777" w:rsidR="00C0335B" w:rsidRDefault="00C0335B" w:rsidP="00C0335B">
      <w:pPr>
        <w:rPr>
          <w:rFonts w:eastAsia="Times New Roman" w:cs="Times New Roman"/>
          <w:b/>
          <w:bCs/>
          <w:color w:val="4472C4"/>
        </w:rPr>
      </w:pPr>
    </w:p>
    <w:p w14:paraId="438EDAB7" w14:textId="77777777" w:rsidR="00C0335B" w:rsidRDefault="00C0335B" w:rsidP="00C0335B">
      <w:pPr>
        <w:rPr>
          <w:rStyle w:val="Hyperlink"/>
          <w:rFonts w:eastAsia="Times New Roman" w:cs="Times New Roman"/>
          <w:color w:val="0000FF"/>
        </w:rPr>
      </w:pPr>
    </w:p>
    <w:p w14:paraId="5A6982A9" w14:textId="77777777" w:rsidR="00C0335B" w:rsidRDefault="00C0335B" w:rsidP="00C0335B">
      <w:pPr>
        <w:jc w:val="center"/>
        <w:rPr>
          <w:rFonts w:ascii="Open Sans" w:hAnsi="Open Sans" w:cs="Open Sans"/>
          <w:color w:val="000000"/>
          <w:shd w:val="clear" w:color="auto" w:fill="FFFFFF"/>
        </w:rPr>
      </w:pPr>
      <w:r w:rsidRPr="00C57437">
        <w:rPr>
          <w:rFonts w:ascii="Open Sans" w:hAnsi="Open Sans" w:cs="Open Sans"/>
          <w:noProof/>
          <w:color w:val="000000"/>
          <w:shd w:val="clear" w:color="auto" w:fill="FFFFFF"/>
        </w:rPr>
        <w:drawing>
          <wp:inline distT="0" distB="0" distL="0" distR="0" wp14:anchorId="08190519" wp14:editId="42E55458">
            <wp:extent cx="5048955" cy="2743583"/>
            <wp:effectExtent l="0" t="0" r="0" b="0"/>
            <wp:docPr id="1421696348" name="Picture 1" descr="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1696348" name="Picture 1" descr="Diagram&#10;&#10;AI-generated content may be incorrect."/>
                    <pic:cNvPicPr/>
                  </pic:nvPicPr>
                  <pic:blipFill>
                    <a:blip r:embed="rId15"/>
                    <a:stretch>
                      <a:fillRect/>
                    </a:stretch>
                  </pic:blipFill>
                  <pic:spPr>
                    <a:xfrm>
                      <a:off x="0" y="0"/>
                      <a:ext cx="5048955" cy="2743583"/>
                    </a:xfrm>
                    <a:prstGeom prst="rect">
                      <a:avLst/>
                    </a:prstGeom>
                  </pic:spPr>
                </pic:pic>
              </a:graphicData>
            </a:graphic>
          </wp:inline>
        </w:drawing>
      </w:r>
    </w:p>
    <w:p w14:paraId="1CC6619E" w14:textId="77777777" w:rsidR="00C0335B" w:rsidRPr="008F6116" w:rsidRDefault="00C0335B" w:rsidP="00C0335B">
      <w:pPr>
        <w:rPr>
          <w:rFonts w:ascii="Open Sans" w:hAnsi="Open Sans" w:cs="Open Sans"/>
          <w:color w:val="000000"/>
          <w:shd w:val="clear" w:color="auto" w:fill="FFFFFF"/>
        </w:rPr>
      </w:pPr>
    </w:p>
    <w:p w14:paraId="019BA42C" w14:textId="77777777" w:rsidR="00C0335B" w:rsidRPr="005D2C12" w:rsidRDefault="00C0335B" w:rsidP="00C0335B">
      <w:r w:rsidRPr="00207EA2">
        <w:rPr>
          <w:rFonts w:cs="Times New Roman"/>
          <w:b/>
          <w:bCs/>
        </w:rPr>
        <w:t>Figure 2</w:t>
      </w:r>
      <w:r>
        <w:rPr>
          <w:rFonts w:cs="Times New Roman"/>
        </w:rPr>
        <w:t xml:space="preserve">. </w:t>
      </w:r>
      <w:r w:rsidRPr="005D2C12">
        <w:rPr>
          <w:rFonts w:cs="Times New Roman"/>
        </w:rPr>
        <w:t xml:space="preserve">A diagram that </w:t>
      </w:r>
      <w:r>
        <w:rPr>
          <w:rFonts w:cs="Times New Roman"/>
        </w:rPr>
        <w:t xml:space="preserve">includes crop plant health in an agroecosystem and its linkages with human, animal and ecosystem health as depicted in the One Health Atlas (Roger et al., 2025). </w:t>
      </w:r>
    </w:p>
    <w:p w14:paraId="4AF5E12F" w14:textId="77777777" w:rsidR="00C0335B" w:rsidRDefault="00C0335B" w:rsidP="00C0335B">
      <w:pPr>
        <w:jc w:val="center"/>
        <w:rPr>
          <w:rFonts w:cs="Times New Roman"/>
        </w:rPr>
      </w:pPr>
      <w:r w:rsidRPr="00516830">
        <w:rPr>
          <w:rFonts w:cs="Times New Roman"/>
          <w:noProof/>
        </w:rPr>
        <w:lastRenderedPageBreak/>
        <w:drawing>
          <wp:inline distT="0" distB="0" distL="0" distR="0" wp14:anchorId="72E179A6" wp14:editId="4F04D2A9">
            <wp:extent cx="2524125" cy="2737159"/>
            <wp:effectExtent l="0" t="0" r="0" b="6350"/>
            <wp:docPr id="180906446" name="Picture 1" descr="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906446" name="Picture 1" descr="Diagram&#10;&#10;AI-generated content may be incorrect."/>
                    <pic:cNvPicPr/>
                  </pic:nvPicPr>
                  <pic:blipFill>
                    <a:blip r:embed="rId16"/>
                    <a:stretch>
                      <a:fillRect/>
                    </a:stretch>
                  </pic:blipFill>
                  <pic:spPr>
                    <a:xfrm>
                      <a:off x="0" y="0"/>
                      <a:ext cx="2534076" cy="2747950"/>
                    </a:xfrm>
                    <a:prstGeom prst="rect">
                      <a:avLst/>
                    </a:prstGeom>
                  </pic:spPr>
                </pic:pic>
              </a:graphicData>
            </a:graphic>
          </wp:inline>
        </w:drawing>
      </w:r>
    </w:p>
    <w:p w14:paraId="55CCA091" w14:textId="77777777" w:rsidR="00C0335B" w:rsidRDefault="00C0335B" w:rsidP="00C0335B">
      <w:pPr>
        <w:rPr>
          <w:rFonts w:cs="Times New Roman"/>
        </w:rPr>
      </w:pPr>
      <w:r w:rsidRPr="00207EA2">
        <w:rPr>
          <w:rFonts w:cs="Times New Roman"/>
          <w:b/>
          <w:bCs/>
        </w:rPr>
        <w:t>Figure 3.</w:t>
      </w:r>
      <w:r>
        <w:rPr>
          <w:rFonts w:cs="Times New Roman"/>
        </w:rPr>
        <w:t xml:space="preserve"> The four corners of this pyramid represent humans, animals, plants and the environment with direct interactions between them. Within this pyramid is another pyramid (red arrows) sharing the same base with the pathogen component of the ecosystem at the top. The double arrows between the environment and pathogens represent both beneficial and detrimental interactions (</w:t>
      </w:r>
      <w:proofErr w:type="spellStart"/>
      <w:r>
        <w:rPr>
          <w:rFonts w:cs="Times New Roman"/>
        </w:rPr>
        <w:t>Andrivon</w:t>
      </w:r>
      <w:proofErr w:type="spellEnd"/>
      <w:r>
        <w:rPr>
          <w:rFonts w:cs="Times New Roman"/>
        </w:rPr>
        <w:t xml:space="preserve"> et al., 2022).</w:t>
      </w:r>
    </w:p>
    <w:p w14:paraId="2638AD79" w14:textId="77777777" w:rsidR="00C0335B" w:rsidRDefault="00C0335B" w:rsidP="00C0335B">
      <w:pPr>
        <w:rPr>
          <w:rFonts w:cs="Times New Roman"/>
        </w:rPr>
      </w:pPr>
    </w:p>
    <w:p w14:paraId="6763C9C8" w14:textId="77777777" w:rsidR="00C0335B" w:rsidRDefault="00C0335B" w:rsidP="00C0335B">
      <w:pPr>
        <w:jc w:val="center"/>
        <w:rPr>
          <w:rFonts w:cs="Times New Roman"/>
        </w:rPr>
      </w:pPr>
      <w:r w:rsidRPr="00D91372">
        <w:rPr>
          <w:rFonts w:cs="Times New Roman"/>
          <w:noProof/>
        </w:rPr>
        <w:drawing>
          <wp:inline distT="0" distB="0" distL="0" distR="0" wp14:anchorId="071272E4" wp14:editId="69CE51F8">
            <wp:extent cx="4644489" cy="3505200"/>
            <wp:effectExtent l="0" t="0" r="3810" b="0"/>
            <wp:docPr id="1136194025" name="Picture 1" descr="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6194025" name="Picture 1" descr="Diagram&#10;&#10;AI-generated content may be incorrect."/>
                    <pic:cNvPicPr/>
                  </pic:nvPicPr>
                  <pic:blipFill>
                    <a:blip r:embed="rId17"/>
                    <a:stretch>
                      <a:fillRect/>
                    </a:stretch>
                  </pic:blipFill>
                  <pic:spPr>
                    <a:xfrm>
                      <a:off x="0" y="0"/>
                      <a:ext cx="4660576" cy="3517341"/>
                    </a:xfrm>
                    <a:prstGeom prst="rect">
                      <a:avLst/>
                    </a:prstGeom>
                  </pic:spPr>
                </pic:pic>
              </a:graphicData>
            </a:graphic>
          </wp:inline>
        </w:drawing>
      </w:r>
    </w:p>
    <w:p w14:paraId="7A40DACA" w14:textId="77777777" w:rsidR="00C0335B" w:rsidRDefault="00C0335B" w:rsidP="00C0335B">
      <w:pPr>
        <w:rPr>
          <w:rFonts w:cs="Times New Roman"/>
        </w:rPr>
      </w:pPr>
      <w:r w:rsidRPr="00207EA2">
        <w:rPr>
          <w:rFonts w:cs="Times New Roman"/>
          <w:b/>
          <w:bCs/>
        </w:rPr>
        <w:t>Figure 4.</w:t>
      </w:r>
      <w:r>
        <w:rPr>
          <w:rFonts w:cs="Times New Roman"/>
        </w:rPr>
        <w:t xml:space="preserve"> A diagram indicating how potential sources of antimicrobial resistance (gold boxes) are associated with all four pillars of One Health. Gold arrows depict transmission routes and </w:t>
      </w:r>
      <w:proofErr w:type="spellStart"/>
      <w:r>
        <w:rPr>
          <w:rFonts w:cs="Times New Roman"/>
        </w:rPr>
        <w:t>gray</w:t>
      </w:r>
      <w:proofErr w:type="spellEnd"/>
      <w:r>
        <w:rPr>
          <w:rFonts w:cs="Times New Roman"/>
        </w:rPr>
        <w:t xml:space="preserve"> arrows depict the food production chain and the overlap with humans. Red arrows depict usage of antimicrobials in food production and in humans (</w:t>
      </w:r>
      <w:proofErr w:type="spellStart"/>
      <w:r>
        <w:rPr>
          <w:rFonts w:cs="Times New Roman"/>
        </w:rPr>
        <w:t>Koutsoumanis</w:t>
      </w:r>
      <w:proofErr w:type="spellEnd"/>
      <w:r>
        <w:rPr>
          <w:rFonts w:cs="Times New Roman"/>
        </w:rPr>
        <w:t xml:space="preserve"> et al., 2021).</w:t>
      </w:r>
    </w:p>
    <w:p w14:paraId="25166F1F" w14:textId="77777777" w:rsidR="00C0335B" w:rsidRDefault="00C0335B" w:rsidP="00C0335B">
      <w:pPr>
        <w:rPr>
          <w:rFonts w:cs="Times New Roman"/>
        </w:rPr>
      </w:pPr>
    </w:p>
    <w:p w14:paraId="68B1B5ED" w14:textId="77777777" w:rsidR="00C0335B" w:rsidRDefault="00C0335B" w:rsidP="00C0335B">
      <w:pPr>
        <w:jc w:val="center"/>
        <w:rPr>
          <w:rFonts w:cs="Times New Roman"/>
        </w:rPr>
      </w:pPr>
      <w:r w:rsidRPr="00EE5A76">
        <w:rPr>
          <w:rFonts w:eastAsia="Times New Roman" w:cs="Times New Roman"/>
          <w:noProof/>
          <w:color w:val="000000"/>
        </w:rPr>
        <w:lastRenderedPageBreak/>
        <w:drawing>
          <wp:inline distT="0" distB="0" distL="0" distR="0" wp14:anchorId="2B2B7954" wp14:editId="3DDA4403">
            <wp:extent cx="5200650" cy="2743200"/>
            <wp:effectExtent l="0" t="0" r="0" b="0"/>
            <wp:docPr id="1385039176" name="Picture 1" descr="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5039176" name="Picture 1" descr="Diagram&#10;&#10;AI-generated content may be incorrect."/>
                    <pic:cNvPicPr/>
                  </pic:nvPicPr>
                  <pic:blipFill rotWithShape="1">
                    <a:blip r:embed="rId18"/>
                    <a:srcRect l="6731" t="3990" r="5768" b="24190"/>
                    <a:stretch>
                      <a:fillRect/>
                    </a:stretch>
                  </pic:blipFill>
                  <pic:spPr bwMode="auto">
                    <a:xfrm>
                      <a:off x="0" y="0"/>
                      <a:ext cx="5200650" cy="2743200"/>
                    </a:xfrm>
                    <a:prstGeom prst="rect">
                      <a:avLst/>
                    </a:prstGeom>
                    <a:ln>
                      <a:noFill/>
                    </a:ln>
                    <a:extLst>
                      <a:ext uri="{53640926-AAD7-44D8-BBD7-CCE9431645EC}">
                        <a14:shadowObscured xmlns:a14="http://schemas.microsoft.com/office/drawing/2010/main"/>
                      </a:ext>
                    </a:extLst>
                  </pic:spPr>
                </pic:pic>
              </a:graphicData>
            </a:graphic>
          </wp:inline>
        </w:drawing>
      </w:r>
    </w:p>
    <w:p w14:paraId="049D31BF" w14:textId="77777777" w:rsidR="00C0335B" w:rsidRDefault="00C0335B" w:rsidP="00C0335B">
      <w:pPr>
        <w:rPr>
          <w:rFonts w:cs="Times New Roman"/>
        </w:rPr>
      </w:pPr>
      <w:r w:rsidRPr="00207EA2">
        <w:rPr>
          <w:rFonts w:cs="Times New Roman"/>
          <w:b/>
          <w:bCs/>
        </w:rPr>
        <w:t>Figure 5</w:t>
      </w:r>
      <w:r w:rsidRPr="4CC710A2">
        <w:rPr>
          <w:rFonts w:cs="Times New Roman"/>
        </w:rPr>
        <w:t>. This figure depicts the close relationship between plant health, animal health and human health and the importance of collaborating to address food security, food/feed safety and zoonoses. The frame around the figure represents microbes, which are a critical component of One Health interactions (</w:t>
      </w:r>
      <w:proofErr w:type="spellStart"/>
      <w:r w:rsidRPr="4CC710A2">
        <w:rPr>
          <w:rFonts w:cs="Times New Roman"/>
        </w:rPr>
        <w:t>Scholthof</w:t>
      </w:r>
      <w:proofErr w:type="spellEnd"/>
      <w:r w:rsidRPr="4CC710A2">
        <w:rPr>
          <w:rFonts w:cs="Times New Roman"/>
        </w:rPr>
        <w:t>, 2024).</w:t>
      </w:r>
    </w:p>
    <w:p w14:paraId="1D8A2E67" w14:textId="77777777" w:rsidR="00C0335B" w:rsidRDefault="00C0335B" w:rsidP="00C0335B">
      <w:pPr>
        <w:rPr>
          <w:rFonts w:cs="Times New Roman"/>
        </w:rPr>
      </w:pPr>
    </w:p>
    <w:p w14:paraId="5922D9DE" w14:textId="77777777" w:rsidR="00C0335B" w:rsidRDefault="00C0335B" w:rsidP="00C0335B">
      <w:pPr>
        <w:jc w:val="center"/>
        <w:rPr>
          <w:rFonts w:cs="Times New Roman"/>
        </w:rPr>
      </w:pPr>
      <w:r>
        <w:rPr>
          <w:noProof/>
        </w:rPr>
        <w:drawing>
          <wp:inline distT="0" distB="0" distL="0" distR="0" wp14:anchorId="796FFF47" wp14:editId="58A13EFA">
            <wp:extent cx="4793296" cy="4514850"/>
            <wp:effectExtent l="0" t="0" r="7620" b="0"/>
            <wp:docPr id="1" name="Picture 1" descr="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Diagram&#10;&#10;AI-generated content may be incorrect."/>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827890" cy="4547435"/>
                    </a:xfrm>
                    <a:prstGeom prst="rect">
                      <a:avLst/>
                    </a:prstGeom>
                    <a:noFill/>
                    <a:ln>
                      <a:noFill/>
                    </a:ln>
                  </pic:spPr>
                </pic:pic>
              </a:graphicData>
            </a:graphic>
          </wp:inline>
        </w:drawing>
      </w:r>
    </w:p>
    <w:p w14:paraId="290CF92F" w14:textId="77777777" w:rsidR="00C0335B" w:rsidRDefault="00C0335B" w:rsidP="00C0335B">
      <w:pPr>
        <w:rPr>
          <w:rFonts w:cs="Times New Roman"/>
        </w:rPr>
      </w:pPr>
      <w:r w:rsidRPr="00207EA2">
        <w:rPr>
          <w:rFonts w:cs="Times New Roman"/>
          <w:b/>
          <w:bCs/>
        </w:rPr>
        <w:t>Figure 6.</w:t>
      </w:r>
      <w:r>
        <w:rPr>
          <w:rFonts w:cs="Times New Roman"/>
        </w:rPr>
        <w:t xml:space="preserve"> This illustration conveys the fundamental interconnectedness of One Health with no boundaries between humans, animals, plants and the environment. This image also assumes a holistic perspective that appreciates the complexity of socioecological systems, integrates knowledge, </w:t>
      </w:r>
      <w:r>
        <w:rPr>
          <w:rFonts w:cs="Times New Roman"/>
        </w:rPr>
        <w:lastRenderedPageBreak/>
        <w:t>perspectives and methods from multiple disciplines and incorporates the principles of equity, stewardship and sustainability (Winkler et al., 2025).</w:t>
      </w:r>
    </w:p>
    <w:p w14:paraId="71C04A40" w14:textId="77777777" w:rsidR="00C0335B" w:rsidRDefault="00C0335B" w:rsidP="00C0335B">
      <w:pPr>
        <w:rPr>
          <w:rFonts w:cs="Times New Roman"/>
        </w:rPr>
      </w:pPr>
    </w:p>
    <w:p w14:paraId="78ED72B5" w14:textId="77777777" w:rsidR="00C0335B" w:rsidRDefault="00C0335B" w:rsidP="00996042">
      <w:pPr>
        <w:pStyle w:val="ListParagraph"/>
        <w:numPr>
          <w:ilvl w:val="0"/>
          <w:numId w:val="14"/>
        </w:numPr>
        <w:spacing w:line="240" w:lineRule="auto"/>
        <w:ind w:leftChars="0" w:left="360"/>
        <w:contextualSpacing/>
        <w:jc w:val="left"/>
        <w:rPr>
          <w:rFonts w:ascii="Times New Roman" w:hAnsi="Times New Roman" w:cs="Times New Roman"/>
          <w:b/>
          <w:bCs/>
        </w:rPr>
      </w:pPr>
      <w:r w:rsidRPr="00CC45AA">
        <w:rPr>
          <w:rFonts w:ascii="Times New Roman" w:hAnsi="Times New Roman" w:cs="Times New Roman"/>
          <w:b/>
          <w:bCs/>
        </w:rPr>
        <w:t xml:space="preserve">Antimicrobial resistance and </w:t>
      </w:r>
      <w:r>
        <w:rPr>
          <w:rFonts w:ascii="Times New Roman" w:hAnsi="Times New Roman" w:cs="Times New Roman"/>
          <w:b/>
          <w:bCs/>
        </w:rPr>
        <w:t>P</w:t>
      </w:r>
      <w:r w:rsidRPr="00CC45AA">
        <w:rPr>
          <w:rFonts w:ascii="Times New Roman" w:hAnsi="Times New Roman" w:cs="Times New Roman"/>
          <w:b/>
          <w:bCs/>
        </w:rPr>
        <w:t xml:space="preserve">lant </w:t>
      </w:r>
      <w:r>
        <w:rPr>
          <w:rFonts w:ascii="Times New Roman" w:hAnsi="Times New Roman" w:cs="Times New Roman"/>
          <w:b/>
          <w:bCs/>
        </w:rPr>
        <w:t>H</w:t>
      </w:r>
      <w:r w:rsidRPr="00CC45AA">
        <w:rPr>
          <w:rFonts w:ascii="Times New Roman" w:hAnsi="Times New Roman" w:cs="Times New Roman"/>
          <w:b/>
          <w:bCs/>
        </w:rPr>
        <w:t>ealth</w:t>
      </w:r>
    </w:p>
    <w:p w14:paraId="48567487" w14:textId="77777777" w:rsidR="00C0335B" w:rsidRDefault="00C0335B" w:rsidP="00C0335B">
      <w:pPr>
        <w:rPr>
          <w:rFonts w:ascii="Aptos Narrow" w:eastAsia="Times New Roman" w:hAnsi="Aptos Narrow" w:cs="Times New Roman"/>
          <w:i/>
          <w:iCs/>
          <w:color w:val="000000"/>
          <w:szCs w:val="22"/>
        </w:rPr>
      </w:pPr>
      <w:r>
        <w:rPr>
          <w:rFonts w:ascii="Aptos Narrow" w:eastAsia="Times New Roman" w:hAnsi="Aptos Narrow" w:cs="Times New Roman"/>
          <w:i/>
          <w:iCs/>
          <w:color w:val="000000"/>
          <w:szCs w:val="22"/>
        </w:rPr>
        <w:t>What are the most significant pathways through which plant health contributes to or is affected by AMR</w:t>
      </w:r>
      <w:r w:rsidRPr="0018162C">
        <w:rPr>
          <w:rFonts w:ascii="Aptos Narrow" w:eastAsia="Times New Roman" w:hAnsi="Aptos Narrow" w:cs="Times New Roman"/>
          <w:i/>
          <w:iCs/>
          <w:color w:val="000000"/>
          <w:szCs w:val="22"/>
        </w:rPr>
        <w:t>?</w:t>
      </w:r>
    </w:p>
    <w:p w14:paraId="37C132BD" w14:textId="77777777" w:rsidR="00C0335B" w:rsidRDefault="00C0335B" w:rsidP="00C0335B">
      <w:pPr>
        <w:rPr>
          <w:rFonts w:ascii="Aptos Narrow" w:eastAsia="Times New Roman" w:hAnsi="Aptos Narrow" w:cs="Times New Roman"/>
          <w:i/>
          <w:iCs/>
          <w:color w:val="000000"/>
          <w:szCs w:val="22"/>
        </w:rPr>
      </w:pPr>
      <w:r>
        <w:rPr>
          <w:rFonts w:ascii="Aptos Narrow" w:eastAsia="Times New Roman" w:hAnsi="Aptos Narrow" w:cs="Times New Roman"/>
          <w:i/>
          <w:iCs/>
          <w:color w:val="000000"/>
          <w:szCs w:val="22"/>
        </w:rPr>
        <w:t>What is the risk of resistance development when antimicrobials are used on plants on target and non-target microorganisms and of residues staying on plants?</w:t>
      </w:r>
    </w:p>
    <w:p w14:paraId="09C45262" w14:textId="77777777" w:rsidR="00C0335B" w:rsidRDefault="00C0335B" w:rsidP="00C0335B">
      <w:pPr>
        <w:rPr>
          <w:rFonts w:ascii="Aptos Narrow" w:eastAsia="Times New Roman" w:hAnsi="Aptos Narrow" w:cs="Times New Roman"/>
          <w:i/>
          <w:iCs/>
          <w:color w:val="000000"/>
          <w:szCs w:val="22"/>
        </w:rPr>
      </w:pPr>
      <w:r>
        <w:rPr>
          <w:rFonts w:ascii="Aptos Narrow" w:eastAsia="Times New Roman" w:hAnsi="Aptos Narrow" w:cs="Times New Roman"/>
          <w:i/>
          <w:iCs/>
          <w:color w:val="000000"/>
          <w:szCs w:val="22"/>
        </w:rPr>
        <w:t xml:space="preserve">What is the risk for the consumer when eating plants that were treated with antimicrobials (e.g. antimicrobial residues that are picked up)? </w:t>
      </w:r>
    </w:p>
    <w:p w14:paraId="4B992549" w14:textId="77777777" w:rsidR="00C0335B" w:rsidRDefault="00C0335B" w:rsidP="00C0335B">
      <w:pPr>
        <w:rPr>
          <w:rFonts w:ascii="Aptos Narrow" w:eastAsia="Times New Roman" w:hAnsi="Aptos Narrow" w:cs="Times New Roman"/>
          <w:i/>
          <w:iCs/>
          <w:color w:val="000000"/>
          <w:szCs w:val="22"/>
        </w:rPr>
      </w:pPr>
      <w:r>
        <w:rPr>
          <w:rFonts w:ascii="Aptos Narrow" w:eastAsia="Times New Roman" w:hAnsi="Aptos Narrow" w:cs="Times New Roman"/>
          <w:i/>
          <w:iCs/>
          <w:color w:val="000000"/>
          <w:szCs w:val="22"/>
        </w:rPr>
        <w:t>What are the antibiotics used in plant health and what are the impact of their use on other One Health areas?</w:t>
      </w:r>
    </w:p>
    <w:p w14:paraId="4D383763" w14:textId="77777777" w:rsidR="00C0335B" w:rsidRPr="0018162C" w:rsidRDefault="00C0335B" w:rsidP="00C0335B">
      <w:pPr>
        <w:rPr>
          <w:rFonts w:ascii="Aptos Narrow" w:eastAsia="Times New Roman" w:hAnsi="Aptos Narrow" w:cs="Times New Roman"/>
          <w:i/>
          <w:iCs/>
          <w:color w:val="000000"/>
          <w:szCs w:val="22"/>
        </w:rPr>
      </w:pPr>
      <w:r>
        <w:rPr>
          <w:rFonts w:ascii="Aptos Narrow" w:eastAsia="Times New Roman" w:hAnsi="Aptos Narrow" w:cs="Times New Roman"/>
          <w:i/>
          <w:iCs/>
          <w:color w:val="000000"/>
          <w:szCs w:val="22"/>
        </w:rPr>
        <w:t>What are the fungicides used in plant health and what are the impact of their use on other One Health areas?</w:t>
      </w:r>
    </w:p>
    <w:p w14:paraId="00B1B0F4" w14:textId="77777777" w:rsidR="00C0335B" w:rsidRDefault="00C0335B" w:rsidP="00C0335B">
      <w:pPr>
        <w:rPr>
          <w:rFonts w:cs="Times New Roman"/>
        </w:rPr>
      </w:pPr>
    </w:p>
    <w:p w14:paraId="54ADA9A7" w14:textId="24FA9B9A" w:rsidR="00C0335B" w:rsidRPr="0078082C" w:rsidRDefault="00C0335B" w:rsidP="00C0335B">
      <w:pPr>
        <w:pStyle w:val="IPPParagraphnumbering"/>
        <w:numPr>
          <w:ilvl w:val="0"/>
          <w:numId w:val="16"/>
        </w:numPr>
        <w:rPr>
          <w:rFonts w:cs="Times New Roman"/>
        </w:rPr>
      </w:pPr>
      <w:r w:rsidRPr="4CC710A2">
        <w:rPr>
          <w:rFonts w:cs="Times New Roman"/>
        </w:rPr>
        <w:t>Although the amount of antibiotics used in plant protection is low compared to human and veterinary medicine, it is difficult to quantify the amount applied on crops</w:t>
      </w:r>
      <w:r>
        <w:rPr>
          <w:rFonts w:cs="Times New Roman"/>
        </w:rPr>
        <w:t xml:space="preserve"> globally</w:t>
      </w:r>
      <w:r w:rsidRPr="4CC710A2">
        <w:rPr>
          <w:rFonts w:cs="Times New Roman"/>
        </w:rPr>
        <w:t xml:space="preserve"> due to inconsistent monitoring. Given the global rise in AMR organisms and their effects on plant, animal and human health, careful use of pesticides (such as antibiotics and fungicides) is required to maintain their effectiveness for food security and sustainable production, and to minimize the emergence and transmission of AMR organisms from</w:t>
      </w:r>
      <w:r>
        <w:rPr>
          <w:rFonts w:cs="Times New Roman"/>
        </w:rPr>
        <w:t xml:space="preserve"> agricultural and</w:t>
      </w:r>
      <w:r w:rsidRPr="4CC710A2">
        <w:rPr>
          <w:rFonts w:cs="Times New Roman"/>
        </w:rPr>
        <w:t xml:space="preserve"> horticultural sources (Miller</w:t>
      </w:r>
      <w:r>
        <w:rPr>
          <w:rFonts w:cs="Times New Roman"/>
        </w:rPr>
        <w:t xml:space="preserve"> et al.</w:t>
      </w:r>
      <w:r w:rsidRPr="4CC710A2">
        <w:rPr>
          <w:rFonts w:cs="Times New Roman"/>
        </w:rPr>
        <w:t xml:space="preserve">, 2022). </w:t>
      </w:r>
    </w:p>
    <w:p w14:paraId="78F25033" w14:textId="77777777" w:rsidR="0078082C" w:rsidRDefault="00C0335B" w:rsidP="0078082C">
      <w:pPr>
        <w:pStyle w:val="IPPParagraphnumbering"/>
        <w:numPr>
          <w:ilvl w:val="0"/>
          <w:numId w:val="16"/>
        </w:numPr>
        <w:rPr>
          <w:rFonts w:cs="Times New Roman"/>
        </w:rPr>
      </w:pPr>
      <w:r>
        <w:rPr>
          <w:rFonts w:cs="Times New Roman"/>
        </w:rPr>
        <w:t xml:space="preserve">Bacteria have the potential to acquire resistance to antibiotics either through chromosomal mutations or via horizontal gene transfer of antibiotic resistance genes (Verhaegen et al., 2023). The widespread use of antimicrobials in humans, agriculture and industry has accelerated the process of AMR. If left uncontrolled, by 2050 AMR infections may be responsible globally for more than 10 million deaths each year, and a cumulative cost of 100 trillion USD to the world’s economy (Ahmed et al., 2024). </w:t>
      </w:r>
    </w:p>
    <w:p w14:paraId="10440EC1" w14:textId="1F722496" w:rsidR="0078082C" w:rsidRPr="0078082C" w:rsidRDefault="00C0335B" w:rsidP="0078082C">
      <w:pPr>
        <w:pStyle w:val="IPPParagraphnumbering"/>
        <w:numPr>
          <w:ilvl w:val="0"/>
          <w:numId w:val="16"/>
        </w:numPr>
        <w:rPr>
          <w:rFonts w:cs="Times New Roman"/>
        </w:rPr>
      </w:pPr>
      <w:r w:rsidRPr="0078082C">
        <w:rPr>
          <w:sz w:val="24"/>
        </w:rPr>
        <w:t xml:space="preserve">To understand the relevance of AMR to plant health, the IPPC Secretariat surveyed IPPC contracting parties to determine the extent of antibiotic use in plant health focusing on chemical </w:t>
      </w:r>
      <w:r w:rsidRPr="0078082C">
        <w:rPr>
          <w:rFonts w:cs="Times New Roman"/>
        </w:rPr>
        <w:t>groups</w:t>
      </w:r>
      <w:r w:rsidRPr="0078082C">
        <w:rPr>
          <w:sz w:val="24"/>
        </w:rPr>
        <w:t xml:space="preserve"> that are also used for animal or plant health; 85 countries responded to this survey. </w:t>
      </w:r>
      <w:r w:rsidRPr="0078082C">
        <w:rPr>
          <w:color w:val="000000" w:themeColor="text1"/>
          <w:sz w:val="24"/>
          <w:lang w:val="en-GB"/>
        </w:rPr>
        <w:t xml:space="preserve">The survey results show that the number of countries using antibiotics in plant production and protection is relatively low. Twenty-nine countries (34%) confirmed the use of antibiotics in plant protection. </w:t>
      </w:r>
      <w:r w:rsidRPr="0078082C">
        <w:rPr>
          <w:sz w:val="24"/>
        </w:rPr>
        <w:t xml:space="preserve">The countries that use these products </w:t>
      </w:r>
      <w:proofErr w:type="gramStart"/>
      <w:r w:rsidRPr="0078082C">
        <w:rPr>
          <w:sz w:val="24"/>
        </w:rPr>
        <w:t>most</w:t>
      </w:r>
      <w:proofErr w:type="gramEnd"/>
      <w:r w:rsidRPr="0078082C">
        <w:rPr>
          <w:sz w:val="24"/>
        </w:rPr>
        <w:t xml:space="preserve"> frequently reported using </w:t>
      </w:r>
      <w:proofErr w:type="spellStart"/>
      <w:r w:rsidRPr="0078082C">
        <w:rPr>
          <w:i/>
          <w:iCs/>
          <w:sz w:val="24"/>
        </w:rPr>
        <w:t>kasugamycin</w:t>
      </w:r>
      <w:proofErr w:type="spellEnd"/>
      <w:r w:rsidRPr="0078082C">
        <w:rPr>
          <w:sz w:val="24"/>
        </w:rPr>
        <w:t xml:space="preserve">, </w:t>
      </w:r>
      <w:r w:rsidRPr="0078082C">
        <w:rPr>
          <w:i/>
          <w:iCs/>
          <w:sz w:val="24"/>
        </w:rPr>
        <w:t>streptomycin</w:t>
      </w:r>
      <w:r w:rsidRPr="0078082C">
        <w:rPr>
          <w:sz w:val="24"/>
        </w:rPr>
        <w:t xml:space="preserve">, </w:t>
      </w:r>
      <w:r w:rsidRPr="0078082C">
        <w:rPr>
          <w:i/>
          <w:iCs/>
          <w:sz w:val="24"/>
        </w:rPr>
        <w:t>tetracycline</w:t>
      </w:r>
      <w:r w:rsidRPr="0078082C">
        <w:rPr>
          <w:sz w:val="24"/>
        </w:rPr>
        <w:t xml:space="preserve">, </w:t>
      </w:r>
      <w:r w:rsidRPr="0078082C">
        <w:rPr>
          <w:i/>
          <w:iCs/>
          <w:sz w:val="24"/>
        </w:rPr>
        <w:t>oxytetracycline</w:t>
      </w:r>
      <w:r w:rsidRPr="0078082C">
        <w:rPr>
          <w:sz w:val="24"/>
        </w:rPr>
        <w:t xml:space="preserve">, </w:t>
      </w:r>
      <w:r w:rsidRPr="0078082C">
        <w:rPr>
          <w:i/>
          <w:iCs/>
          <w:sz w:val="24"/>
        </w:rPr>
        <w:t>validamycin</w:t>
      </w:r>
      <w:r w:rsidRPr="0078082C">
        <w:rPr>
          <w:sz w:val="24"/>
        </w:rPr>
        <w:t xml:space="preserve"> and/or </w:t>
      </w:r>
      <w:proofErr w:type="spellStart"/>
      <w:r w:rsidRPr="0078082C">
        <w:rPr>
          <w:i/>
          <w:iCs/>
          <w:sz w:val="24"/>
        </w:rPr>
        <w:t>oxolinic</w:t>
      </w:r>
      <w:proofErr w:type="spellEnd"/>
      <w:r w:rsidRPr="0078082C">
        <w:rPr>
          <w:sz w:val="24"/>
        </w:rPr>
        <w:t xml:space="preserve"> acid. </w:t>
      </w:r>
      <w:r w:rsidRPr="0078082C">
        <w:rPr>
          <w:color w:val="000000" w:themeColor="text1"/>
          <w:sz w:val="24"/>
          <w:lang w:val="en-GB"/>
        </w:rPr>
        <w:t xml:space="preserve">These antimicrobial products are used or registered for use on approximately 35 species of fruits, vegetables and cereal (primarily rice). The five most frequently mentioned crops were tomato, potato, rice, citrus and apple/pear. Antibiotics used in plant protection primarily target bacterial diseases; however, they have also been used to manage fungal diseases and insects. </w:t>
      </w:r>
      <w:r w:rsidRPr="0078082C">
        <w:rPr>
          <w:color w:val="000000" w:themeColor="text1"/>
          <w:sz w:val="24"/>
        </w:rPr>
        <w:t>Survey respondents indicated they used antibiotics most often in crop fields (47%), greenhouses (25%) and gardens (16%) (FAO, 2025c).</w:t>
      </w:r>
    </w:p>
    <w:p w14:paraId="2C629816" w14:textId="21721BA1" w:rsidR="00C0335B" w:rsidRPr="00A10A4F" w:rsidRDefault="00C0335B" w:rsidP="00A10A4F">
      <w:pPr>
        <w:pStyle w:val="IPPParagraphnumbering"/>
      </w:pPr>
      <w:r w:rsidRPr="0078082C">
        <w:t xml:space="preserve">The IPPC developed a second survey to collect data on the use of fungicides in plant protection. Fifty-nine countries responded to the survey. The most widely used products include </w:t>
      </w:r>
      <w:r w:rsidRPr="0078082C">
        <w:rPr>
          <w:i/>
          <w:iCs/>
        </w:rPr>
        <w:t>azoxystrobin</w:t>
      </w:r>
      <w:r w:rsidRPr="0078082C">
        <w:t xml:space="preserve">, copper, </w:t>
      </w:r>
      <w:proofErr w:type="spellStart"/>
      <w:r w:rsidRPr="0078082C">
        <w:rPr>
          <w:i/>
          <w:iCs/>
        </w:rPr>
        <w:t>boscalid</w:t>
      </w:r>
      <w:proofErr w:type="spellEnd"/>
      <w:r w:rsidRPr="0078082C">
        <w:t xml:space="preserve">, </w:t>
      </w:r>
      <w:proofErr w:type="spellStart"/>
      <w:r w:rsidRPr="0078082C">
        <w:rPr>
          <w:i/>
          <w:iCs/>
        </w:rPr>
        <w:t>trifloxystrobin</w:t>
      </w:r>
      <w:proofErr w:type="spellEnd"/>
      <w:r w:rsidRPr="0078082C">
        <w:t xml:space="preserve">, </w:t>
      </w:r>
      <w:r w:rsidRPr="0078082C">
        <w:rPr>
          <w:i/>
          <w:iCs/>
        </w:rPr>
        <w:t>penconazole</w:t>
      </w:r>
      <w:r w:rsidRPr="0078082C">
        <w:t xml:space="preserve">, </w:t>
      </w:r>
      <w:r w:rsidRPr="0078082C">
        <w:rPr>
          <w:i/>
          <w:iCs/>
        </w:rPr>
        <w:t>propiconazole</w:t>
      </w:r>
      <w:r w:rsidRPr="0078082C">
        <w:t xml:space="preserve">, </w:t>
      </w:r>
      <w:r w:rsidRPr="0078082C">
        <w:rPr>
          <w:i/>
          <w:iCs/>
        </w:rPr>
        <w:t>chlorothalonil</w:t>
      </w:r>
      <w:r w:rsidRPr="0078082C">
        <w:t xml:space="preserve">, </w:t>
      </w:r>
      <w:r w:rsidRPr="0078082C">
        <w:rPr>
          <w:i/>
          <w:iCs/>
        </w:rPr>
        <w:t>thiophanate</w:t>
      </w:r>
      <w:r w:rsidRPr="0078082C">
        <w:t>-</w:t>
      </w:r>
      <w:r w:rsidRPr="0078082C">
        <w:rPr>
          <w:i/>
          <w:iCs/>
        </w:rPr>
        <w:t>methyl</w:t>
      </w:r>
      <w:r w:rsidRPr="0078082C">
        <w:t xml:space="preserve">, </w:t>
      </w:r>
      <w:r w:rsidRPr="0078082C">
        <w:rPr>
          <w:i/>
          <w:iCs/>
        </w:rPr>
        <w:t>myclobutanil</w:t>
      </w:r>
      <w:r w:rsidRPr="0078082C">
        <w:t xml:space="preserve"> and </w:t>
      </w:r>
      <w:r w:rsidRPr="0078082C">
        <w:rPr>
          <w:i/>
          <w:iCs/>
        </w:rPr>
        <w:t>triadimenol</w:t>
      </w:r>
      <w:r w:rsidRPr="0078082C">
        <w:t xml:space="preserve">. Fungicides are primarily used in tomato, potato, banana/plantain, onion, apple/pear, grapes, wheat, cucumber, beans, cabbage and lettuce (FAO, 2025c). </w:t>
      </w:r>
    </w:p>
    <w:p w14:paraId="61C4BF11" w14:textId="2FEC8A0D" w:rsidR="00C0335B" w:rsidRPr="00A10A4F" w:rsidRDefault="00C0335B" w:rsidP="00C0335B">
      <w:pPr>
        <w:pStyle w:val="IPPParagraphnumbering"/>
        <w:numPr>
          <w:ilvl w:val="0"/>
          <w:numId w:val="16"/>
        </w:numPr>
        <w:rPr>
          <w:rFonts w:cs="Times New Roman"/>
          <w:shd w:val="clear" w:color="auto" w:fill="FFFFFF"/>
        </w:rPr>
      </w:pPr>
      <w:r w:rsidRPr="000C671E">
        <w:rPr>
          <w:rFonts w:cs="Times New Roman"/>
          <w:shd w:val="clear" w:color="auto" w:fill="FFFFFF"/>
        </w:rPr>
        <w:t>Azoles are a class of chemical fungicides widely used in agriculture to protect crops from fungal diseases and prevent post-harvest spoilage</w:t>
      </w:r>
      <w:r>
        <w:rPr>
          <w:rFonts w:cs="Times New Roman"/>
          <w:shd w:val="clear" w:color="auto" w:fill="FFFFFF"/>
        </w:rPr>
        <w:t>, and they can reduce mycotoxin contamination in harvested grains</w:t>
      </w:r>
      <w:r w:rsidRPr="000C671E">
        <w:rPr>
          <w:rFonts w:cs="Times New Roman"/>
          <w:shd w:val="clear" w:color="auto" w:fill="FFFFFF"/>
        </w:rPr>
        <w:t>. They can improve crop quality and yield, lead</w:t>
      </w:r>
      <w:r>
        <w:rPr>
          <w:rFonts w:cs="Times New Roman"/>
          <w:shd w:val="clear" w:color="auto" w:fill="FFFFFF"/>
        </w:rPr>
        <w:t>ing</w:t>
      </w:r>
      <w:r w:rsidRPr="000C671E">
        <w:rPr>
          <w:rFonts w:cs="Times New Roman"/>
          <w:shd w:val="clear" w:color="auto" w:fill="FFFFFF"/>
        </w:rPr>
        <w:t xml:space="preserve"> to increased food production</w:t>
      </w:r>
      <w:r>
        <w:rPr>
          <w:rFonts w:cs="Times New Roman"/>
          <w:shd w:val="clear" w:color="auto" w:fill="FFFFFF"/>
        </w:rPr>
        <w:t>, and their use has increased significantly since the mid-2000s</w:t>
      </w:r>
      <w:r w:rsidRPr="000C671E">
        <w:rPr>
          <w:rFonts w:cs="Times New Roman"/>
          <w:shd w:val="clear" w:color="auto" w:fill="FFFFFF"/>
        </w:rPr>
        <w:t xml:space="preserve"> (National Academies of Sciences, Engineering, and Medicine, 2023).</w:t>
      </w:r>
      <w:r>
        <w:rPr>
          <w:rFonts w:cs="Times New Roman"/>
          <w:shd w:val="clear" w:color="auto" w:fill="FFFFFF"/>
        </w:rPr>
        <w:t xml:space="preserve"> In the agricultural sector, plant pathogenic fungi continually evolve resistance to fungicides used for their control (</w:t>
      </w:r>
      <w:proofErr w:type="spellStart"/>
      <w:r>
        <w:rPr>
          <w:rFonts w:cs="Times New Roman"/>
        </w:rPr>
        <w:t>Yiallouris</w:t>
      </w:r>
      <w:proofErr w:type="spellEnd"/>
      <w:r>
        <w:rPr>
          <w:rFonts w:cs="Times New Roman"/>
        </w:rPr>
        <w:t xml:space="preserve"> et al., 2024</w:t>
      </w:r>
      <w:r>
        <w:rPr>
          <w:rFonts w:cs="Times New Roman"/>
          <w:shd w:val="clear" w:color="auto" w:fill="FFFFFF"/>
        </w:rPr>
        <w:t xml:space="preserve">). Azole-resistant </w:t>
      </w:r>
      <w:r w:rsidRPr="4CC710A2">
        <w:rPr>
          <w:rFonts w:cs="Times New Roman"/>
          <w:i/>
          <w:iCs/>
          <w:shd w:val="clear" w:color="auto" w:fill="FFFFFF"/>
        </w:rPr>
        <w:t>Aspergillus fumigatus</w:t>
      </w:r>
      <w:r>
        <w:rPr>
          <w:rFonts w:cs="Times New Roman"/>
          <w:shd w:val="clear" w:color="auto" w:fill="FFFFFF"/>
        </w:rPr>
        <w:t xml:space="preserve"> has been found on six continents and in multiple different environments. Burks et al. (2021) compiled data from </w:t>
      </w:r>
      <w:r>
        <w:rPr>
          <w:rFonts w:cs="Times New Roman"/>
          <w:shd w:val="clear" w:color="auto" w:fill="FFFFFF"/>
        </w:rPr>
        <w:lastRenderedPageBreak/>
        <w:t>52 independent studies and found that more than half of the resistant isolates came from developed environments, with the majority from sites such as flower gardens and hospitals, and 36% came from agricultural settings, with the majority found in sites with flowers, cereals, rice, maize, potatoes and strawberries. Azole-resistant isolates found in hospital environments came from plants, flower gardens and samples from the air, water and surfaces indoors and outdoors (Burks et al., 2021).</w:t>
      </w:r>
    </w:p>
    <w:p w14:paraId="3F5A63B6" w14:textId="2B7A7F11" w:rsidR="00C0335B" w:rsidRPr="00A10A4F" w:rsidRDefault="00C0335B" w:rsidP="00C0335B">
      <w:pPr>
        <w:pStyle w:val="IPPParagraphnumbering"/>
        <w:numPr>
          <w:ilvl w:val="0"/>
          <w:numId w:val="16"/>
        </w:numPr>
        <w:rPr>
          <w:rFonts w:cs="Times New Roman"/>
          <w:shd w:val="clear" w:color="auto" w:fill="FFFFFF"/>
        </w:rPr>
      </w:pPr>
      <w:r>
        <w:rPr>
          <w:rFonts w:cs="Times New Roman"/>
          <w:shd w:val="clear" w:color="auto" w:fill="FFFFFF"/>
        </w:rPr>
        <w:t xml:space="preserve">Azoles are also frequently used to treat systemic and topical clinical </w:t>
      </w:r>
      <w:r w:rsidRPr="00AB5032">
        <w:rPr>
          <w:rFonts w:cs="Times New Roman"/>
          <w:i/>
          <w:iCs/>
          <w:shd w:val="clear" w:color="auto" w:fill="FFFFFF"/>
        </w:rPr>
        <w:t>Candida</w:t>
      </w:r>
      <w:r>
        <w:rPr>
          <w:rFonts w:cs="Times New Roman"/>
          <w:shd w:val="clear" w:color="auto" w:fill="FFFFFF"/>
        </w:rPr>
        <w:t xml:space="preserve"> infections in humans. Candida species are recognized as one of the fungal pathogen groups responsible for </w:t>
      </w:r>
      <w:proofErr w:type="gramStart"/>
      <w:r>
        <w:rPr>
          <w:rFonts w:cs="Times New Roman"/>
          <w:shd w:val="clear" w:color="auto" w:fill="FFFFFF"/>
        </w:rPr>
        <w:t>the majority of</w:t>
      </w:r>
      <w:proofErr w:type="gramEnd"/>
      <w:r>
        <w:rPr>
          <w:rFonts w:cs="Times New Roman"/>
          <w:shd w:val="clear" w:color="auto" w:fill="FFFFFF"/>
        </w:rPr>
        <w:t xml:space="preserve"> severe fungal infections (Li et al., 2025). In 2022, the World Health Organization Fungal Priority Pathogens List ranked </w:t>
      </w:r>
      <w:r w:rsidRPr="00AB5032">
        <w:rPr>
          <w:rFonts w:cs="Times New Roman"/>
          <w:i/>
          <w:iCs/>
          <w:shd w:val="clear" w:color="auto" w:fill="FFFFFF"/>
        </w:rPr>
        <w:t>Candida auris</w:t>
      </w:r>
      <w:r>
        <w:rPr>
          <w:rFonts w:cs="Times New Roman"/>
          <w:shd w:val="clear" w:color="auto" w:fill="FFFFFF"/>
        </w:rPr>
        <w:t xml:space="preserve"> and </w:t>
      </w:r>
      <w:r w:rsidRPr="00AB5032">
        <w:rPr>
          <w:rFonts w:cs="Times New Roman"/>
          <w:i/>
          <w:iCs/>
          <w:shd w:val="clear" w:color="auto" w:fill="FFFFFF"/>
        </w:rPr>
        <w:t>C</w:t>
      </w:r>
      <w:r>
        <w:rPr>
          <w:rFonts w:cs="Times New Roman"/>
          <w:i/>
          <w:iCs/>
          <w:shd w:val="clear" w:color="auto" w:fill="FFFFFF"/>
        </w:rPr>
        <w:t>.</w:t>
      </w:r>
      <w:r w:rsidRPr="00AB5032">
        <w:rPr>
          <w:rFonts w:cs="Times New Roman"/>
          <w:i/>
          <w:iCs/>
          <w:shd w:val="clear" w:color="auto" w:fill="FFFFFF"/>
        </w:rPr>
        <w:t xml:space="preserve"> albicans</w:t>
      </w:r>
      <w:r>
        <w:rPr>
          <w:rFonts w:cs="Times New Roman"/>
          <w:shd w:val="clear" w:color="auto" w:fill="FFFFFF"/>
        </w:rPr>
        <w:t xml:space="preserve"> in the critical priority group (Li et al., 2025; WHO, 2022). While there are growing numbers of invasive candidiasis cases, which are life-threatening, many azoles used to treat these infections are becoming less effective because of the emergence of antifungal resistance (Li et al., 2025). </w:t>
      </w:r>
      <w:r w:rsidRPr="4CC710A2">
        <w:rPr>
          <w:rFonts w:eastAsia="Times New Roman" w:cs="Times New Roman"/>
          <w:i/>
          <w:iCs/>
        </w:rPr>
        <w:t>Candida auris</w:t>
      </w:r>
      <w:r w:rsidRPr="4CC710A2">
        <w:rPr>
          <w:rFonts w:eastAsia="Times New Roman" w:cs="Times New Roman"/>
        </w:rPr>
        <w:t xml:space="preserve"> has emerged as a multidrug-resistant fungus, often impervious to all three major antifungal classes, and spreads rapidly in healthcare settings.</w:t>
      </w:r>
    </w:p>
    <w:p w14:paraId="09B00A86" w14:textId="77777777" w:rsidR="00C0335B" w:rsidRDefault="00C0335B" w:rsidP="0078082C">
      <w:pPr>
        <w:pStyle w:val="IPPParagraphnumbering"/>
        <w:numPr>
          <w:ilvl w:val="0"/>
          <w:numId w:val="16"/>
        </w:numPr>
        <w:rPr>
          <w:rFonts w:eastAsia="Times New Roman" w:cs="Times New Roman"/>
          <w:color w:val="4472C4"/>
        </w:rPr>
      </w:pPr>
      <w:r>
        <w:rPr>
          <w:rFonts w:eastAsia="Times New Roman" w:cs="Times New Roman"/>
        </w:rPr>
        <w:t>F</w:t>
      </w:r>
      <w:r w:rsidRPr="4CC710A2">
        <w:rPr>
          <w:rFonts w:eastAsia="Times New Roman" w:cs="Times New Roman"/>
        </w:rPr>
        <w:t xml:space="preserve">ungal pathogens such as </w:t>
      </w:r>
      <w:r w:rsidRPr="4CC710A2">
        <w:rPr>
          <w:rFonts w:eastAsia="Times New Roman" w:cs="Times New Roman"/>
          <w:i/>
          <w:iCs/>
        </w:rPr>
        <w:t>Aspergillus</w:t>
      </w:r>
      <w:r w:rsidRPr="4CC710A2">
        <w:rPr>
          <w:rFonts w:eastAsia="Times New Roman" w:cs="Times New Roman"/>
        </w:rPr>
        <w:t xml:space="preserve">, </w:t>
      </w:r>
      <w:r w:rsidRPr="4CC710A2">
        <w:rPr>
          <w:rFonts w:eastAsia="Times New Roman" w:cs="Times New Roman"/>
          <w:i/>
          <w:iCs/>
        </w:rPr>
        <w:t>Fusarium</w:t>
      </w:r>
      <w:r w:rsidRPr="4CC710A2">
        <w:rPr>
          <w:rFonts w:eastAsia="Times New Roman" w:cs="Times New Roman"/>
        </w:rPr>
        <w:t xml:space="preserve">, and </w:t>
      </w:r>
      <w:r w:rsidRPr="4CC710A2">
        <w:rPr>
          <w:rFonts w:eastAsia="Times New Roman" w:cs="Times New Roman"/>
          <w:i/>
          <w:iCs/>
        </w:rPr>
        <w:t>Candida</w:t>
      </w:r>
      <w:r w:rsidRPr="4CC710A2">
        <w:rPr>
          <w:rFonts w:eastAsia="Times New Roman" w:cs="Times New Roman"/>
        </w:rPr>
        <w:t xml:space="preserve"> species pose a unique cross-kingdom threat, affecting both plant and human health with serious consequences. This overlap underscores the urgent need for a One Health approach to antimicrobial stewardship, recognizing that resistance in </w:t>
      </w:r>
      <w:r w:rsidRPr="0078082C">
        <w:rPr>
          <w:sz w:val="24"/>
        </w:rPr>
        <w:t>environmental</w:t>
      </w:r>
      <w:r w:rsidRPr="4CC710A2">
        <w:rPr>
          <w:rFonts w:eastAsia="Times New Roman" w:cs="Times New Roman"/>
        </w:rPr>
        <w:t>, agricultural and clinical settings is interconnected. Strategies must include regulated fungicide use, surveillance of resistant strains and development of novel therapeutics to combat both bacterial and fungal threats</w:t>
      </w:r>
      <w:r>
        <w:rPr>
          <w:rFonts w:eastAsia="Times New Roman" w:cs="Times New Roman"/>
        </w:rPr>
        <w:t xml:space="preserve"> in medical and agricultural sectors</w:t>
      </w:r>
      <w:r w:rsidRPr="4CC710A2">
        <w:rPr>
          <w:rFonts w:eastAsia="Times New Roman" w:cs="Times New Roman"/>
        </w:rPr>
        <w:t>.</w:t>
      </w:r>
      <w:r>
        <w:rPr>
          <w:rFonts w:eastAsia="Times New Roman" w:cs="Times New Roman"/>
        </w:rPr>
        <w:t xml:space="preserve"> Integrated pest management must also be used in the agricultural sector.</w:t>
      </w:r>
      <w:r w:rsidRPr="4CC710A2">
        <w:rPr>
          <w:rFonts w:eastAsia="Times New Roman" w:cs="Times New Roman"/>
        </w:rPr>
        <w:t xml:space="preserve"> Integrated surveillance and management are essential to protect ecosystems, food systems and public health from these shared vulnerabilities.</w:t>
      </w:r>
    </w:p>
    <w:p w14:paraId="41905C25" w14:textId="77777777" w:rsidR="00C0335B" w:rsidRDefault="00C0335B" w:rsidP="00C0335B">
      <w:pPr>
        <w:rPr>
          <w:rFonts w:cs="Times New Roman"/>
        </w:rPr>
      </w:pPr>
    </w:p>
    <w:p w14:paraId="5A2BCA63" w14:textId="77777777" w:rsidR="00C0335B" w:rsidRPr="00E51B49" w:rsidRDefault="00C0335B" w:rsidP="00C0335B">
      <w:pPr>
        <w:rPr>
          <w:rFonts w:cs="Times New Roman"/>
          <w:i/>
          <w:iCs/>
        </w:rPr>
      </w:pPr>
      <w:r>
        <w:rPr>
          <w:rFonts w:cs="Times New Roman"/>
          <w:i/>
          <w:iCs/>
        </w:rPr>
        <w:t>Potential</w:t>
      </w:r>
      <w:r w:rsidRPr="00E51B49">
        <w:rPr>
          <w:rFonts w:cs="Times New Roman"/>
          <w:i/>
          <w:iCs/>
        </w:rPr>
        <w:t xml:space="preserve"> pathways through which plant health </w:t>
      </w:r>
      <w:r>
        <w:rPr>
          <w:rFonts w:cs="Times New Roman"/>
          <w:i/>
          <w:iCs/>
        </w:rPr>
        <w:t xml:space="preserve">could </w:t>
      </w:r>
      <w:r w:rsidRPr="00E51B49">
        <w:rPr>
          <w:rFonts w:cs="Times New Roman"/>
          <w:i/>
          <w:iCs/>
        </w:rPr>
        <w:t>contribute to AMR</w:t>
      </w:r>
    </w:p>
    <w:p w14:paraId="5D0014BA" w14:textId="77777777" w:rsidR="00C0335B" w:rsidRDefault="00C0335B" w:rsidP="00C0335B">
      <w:pPr>
        <w:rPr>
          <w:rFonts w:cs="Times New Roman"/>
          <w:shd w:val="clear" w:color="auto" w:fill="FFFFFF"/>
        </w:rPr>
      </w:pPr>
    </w:p>
    <w:p w14:paraId="0373BF5B" w14:textId="3C4005AC" w:rsidR="00C0335B" w:rsidRPr="00A10A4F" w:rsidRDefault="00C0335B" w:rsidP="00C0335B">
      <w:pPr>
        <w:pStyle w:val="IPPParagraphnumbering"/>
        <w:numPr>
          <w:ilvl w:val="0"/>
          <w:numId w:val="16"/>
        </w:numPr>
        <w:rPr>
          <w:rFonts w:cs="Times New Roman"/>
          <w:shd w:val="clear" w:color="auto" w:fill="FFFFFF"/>
        </w:rPr>
      </w:pPr>
      <w:r>
        <w:rPr>
          <w:rFonts w:cs="Times New Roman"/>
          <w:shd w:val="clear" w:color="auto" w:fill="FFFFFF"/>
        </w:rPr>
        <w:t>Most applications of antibiotics in plant production are by spray treatments in orchards. In U.S. crop production, antibiotics are used to target bacterial diseases of tree fruit crops, including apples, pears, stone fruit and citrus (</w:t>
      </w:r>
      <w:proofErr w:type="spellStart"/>
      <w:r>
        <w:rPr>
          <w:rFonts w:cs="Times New Roman"/>
          <w:shd w:val="clear" w:color="auto" w:fill="FFFFFF"/>
        </w:rPr>
        <w:t>Batuman</w:t>
      </w:r>
      <w:proofErr w:type="spellEnd"/>
      <w:r>
        <w:rPr>
          <w:rFonts w:cs="Times New Roman"/>
          <w:shd w:val="clear" w:color="auto" w:fill="FFFFFF"/>
        </w:rPr>
        <w:t xml:space="preserve"> et al., 2024). Spray applications are usually applied at the flowering stage </w:t>
      </w:r>
      <w:r w:rsidRPr="0078082C">
        <w:rPr>
          <w:sz w:val="24"/>
        </w:rPr>
        <w:t>prior</w:t>
      </w:r>
      <w:r>
        <w:rPr>
          <w:rFonts w:cs="Times New Roman"/>
          <w:shd w:val="clear" w:color="auto" w:fill="FFFFFF"/>
        </w:rPr>
        <w:t xml:space="preserve"> to fruit formation. Antibiotics break down rapidly after application (less than a week), so this reduces the exposure of fruits to antibiotics. However, in some production systems, antibiotics are sprayed directly on edible parts of the plant, which increases the risk of AMR genes and bacteria being present on plant material consumed by humans (Haynes et al., 2020). </w:t>
      </w:r>
    </w:p>
    <w:p w14:paraId="07CD8946" w14:textId="7CFF2579" w:rsidR="00C0335B" w:rsidRPr="00A10A4F" w:rsidRDefault="00C0335B" w:rsidP="00C0335B">
      <w:pPr>
        <w:pStyle w:val="IPPParagraphnumbering"/>
        <w:numPr>
          <w:ilvl w:val="0"/>
          <w:numId w:val="16"/>
        </w:numPr>
        <w:rPr>
          <w:rFonts w:cs="Times New Roman"/>
          <w:shd w:val="clear" w:color="auto" w:fill="FFFFFF"/>
        </w:rPr>
      </w:pPr>
      <w:r>
        <w:rPr>
          <w:rFonts w:cs="Times New Roman"/>
          <w:shd w:val="clear" w:color="auto" w:fill="FFFFFF"/>
        </w:rPr>
        <w:t xml:space="preserve">Antimicrobials used in agriculture can contaminate aquatic systems, leading to the development of AMR in aquatic microbiota (Islam et al., 2024). Multiple fungicides (including azoles) have been detected </w:t>
      </w:r>
      <w:r w:rsidRPr="0078082C">
        <w:rPr>
          <w:sz w:val="24"/>
        </w:rPr>
        <w:t>in</w:t>
      </w:r>
      <w:r>
        <w:rPr>
          <w:rFonts w:cs="Times New Roman"/>
          <w:shd w:val="clear" w:color="auto" w:fill="FFFFFF"/>
        </w:rPr>
        <w:t xml:space="preserve"> waterways </w:t>
      </w:r>
      <w:proofErr w:type="gramStart"/>
      <w:r>
        <w:rPr>
          <w:rFonts w:cs="Times New Roman"/>
          <w:shd w:val="clear" w:color="auto" w:fill="FFFFFF"/>
        </w:rPr>
        <w:t>as a result of</w:t>
      </w:r>
      <w:proofErr w:type="gramEnd"/>
      <w:r>
        <w:rPr>
          <w:rFonts w:cs="Times New Roman"/>
          <w:shd w:val="clear" w:color="auto" w:fill="FFFFFF"/>
        </w:rPr>
        <w:t xml:space="preserve"> agricultural runoff (Fisher et al., 2024). Water sources used for crop irrigation may be contaminated with antimicrobial residues from industrial waste, hospital sewage or agricultural effluents from other farms, which further increases the potential for AMR (Brunn et al., 2022). </w:t>
      </w:r>
    </w:p>
    <w:p w14:paraId="777B6B62" w14:textId="381C4515" w:rsidR="00C0335B" w:rsidRPr="00A10A4F" w:rsidRDefault="00C0335B" w:rsidP="00C0335B">
      <w:pPr>
        <w:pStyle w:val="IPPParagraphnumbering"/>
        <w:numPr>
          <w:ilvl w:val="0"/>
          <w:numId w:val="16"/>
        </w:numPr>
        <w:rPr>
          <w:rFonts w:cs="Times New Roman"/>
          <w:shd w:val="clear" w:color="auto" w:fill="FFFFFF"/>
        </w:rPr>
      </w:pPr>
      <w:r>
        <w:rPr>
          <w:rFonts w:cs="Times New Roman"/>
          <w:shd w:val="clear" w:color="auto" w:fill="FFFFFF"/>
        </w:rPr>
        <w:t xml:space="preserve">Soil amendments may be a more important source of antibiotic resistance genes than direct pesticide applications to crops (Haynes et al., 2020). </w:t>
      </w:r>
      <w:r>
        <w:rPr>
          <w:rFonts w:cs="Times New Roman"/>
        </w:rPr>
        <w:t xml:space="preserve">Soil fertilization with manure is a widespread agricultural practice, </w:t>
      </w:r>
      <w:r w:rsidRPr="0078082C">
        <w:rPr>
          <w:sz w:val="24"/>
        </w:rPr>
        <w:t>which</w:t>
      </w:r>
      <w:r>
        <w:rPr>
          <w:rFonts w:cs="Times New Roman"/>
        </w:rPr>
        <w:t xml:space="preserve"> can facilitate the dissemination of antibiotic resistance genes to soil and edible crops. </w:t>
      </w:r>
      <w:r>
        <w:rPr>
          <w:rFonts w:cs="Times New Roman"/>
          <w:shd w:val="clear" w:color="auto" w:fill="FFFFFF"/>
        </w:rPr>
        <w:t>Since antibiotics used in animal production can remain in manure even after being excreted by animals, they have the potential to adhere to soil particles and accumulate in the soil. This changes the natural soil microbiome and promotes the maintenance of antibiotic resistance genes (</w:t>
      </w:r>
      <w:r w:rsidRPr="0084277B">
        <w:rPr>
          <w:rFonts w:cs="Times New Roman"/>
          <w:shd w:val="clear" w:color="auto" w:fill="FFFFFF"/>
        </w:rPr>
        <w:t xml:space="preserve">Zalewska, et al., </w:t>
      </w:r>
      <w:r>
        <w:rPr>
          <w:rFonts w:cs="Times New Roman"/>
          <w:shd w:val="clear" w:color="auto" w:fill="FFFFFF"/>
        </w:rPr>
        <w:t>2021). Soil bacteria with antibiotic resistance genes can be moved to other areas during agricultural activities (</w:t>
      </w:r>
      <w:proofErr w:type="spellStart"/>
      <w:r>
        <w:rPr>
          <w:rFonts w:cs="Times New Roman"/>
          <w:shd w:val="clear" w:color="auto" w:fill="FFFFFF"/>
        </w:rPr>
        <w:t>Batuman</w:t>
      </w:r>
      <w:proofErr w:type="spellEnd"/>
      <w:r>
        <w:rPr>
          <w:rFonts w:cs="Times New Roman"/>
          <w:shd w:val="clear" w:color="auto" w:fill="FFFFFF"/>
        </w:rPr>
        <w:t xml:space="preserve"> et al., 2024).</w:t>
      </w:r>
    </w:p>
    <w:p w14:paraId="52E0C92B" w14:textId="784EAB4E" w:rsidR="00C0335B" w:rsidRPr="00A10A4F" w:rsidRDefault="00C0335B" w:rsidP="00C0335B">
      <w:pPr>
        <w:pStyle w:val="IPPParagraphnumbering"/>
        <w:numPr>
          <w:ilvl w:val="0"/>
          <w:numId w:val="16"/>
        </w:numPr>
        <w:rPr>
          <w:rFonts w:cs="Times New Roman"/>
        </w:rPr>
      </w:pPr>
      <w:r>
        <w:rPr>
          <w:rFonts w:cs="Times New Roman"/>
        </w:rPr>
        <w:t>Other potential pathways that can contribute to AMR include the use of b</w:t>
      </w:r>
      <w:r w:rsidRPr="0077597E">
        <w:rPr>
          <w:rFonts w:cs="Times New Roman"/>
        </w:rPr>
        <w:t>iocontrol agents intentionally added to crops to control diseases</w:t>
      </w:r>
      <w:r>
        <w:rPr>
          <w:rFonts w:cs="Times New Roman"/>
        </w:rPr>
        <w:t>. These biocontrol agents</w:t>
      </w:r>
      <w:r w:rsidRPr="0077597E">
        <w:rPr>
          <w:rFonts w:cs="Times New Roman"/>
        </w:rPr>
        <w:t xml:space="preserve"> may harbor </w:t>
      </w:r>
      <w:r>
        <w:rPr>
          <w:rFonts w:cs="Times New Roman"/>
        </w:rPr>
        <w:t>antibiotic resistance</w:t>
      </w:r>
      <w:r w:rsidRPr="0077597E">
        <w:rPr>
          <w:rFonts w:cs="Times New Roman"/>
        </w:rPr>
        <w:t xml:space="preserve"> genes and serve as a reservoir for transmission</w:t>
      </w:r>
      <w:r>
        <w:rPr>
          <w:rFonts w:cs="Times New Roman"/>
        </w:rPr>
        <w:t xml:space="preserve"> (Miller et al., 2022). </w:t>
      </w:r>
      <w:r>
        <w:rPr>
          <w:rFonts w:cs="Times New Roman"/>
          <w:shd w:val="clear" w:color="auto" w:fill="FFFFFF"/>
        </w:rPr>
        <w:t>Insects, birds and animals that feed on agricultural plants and seeds can further spread resistant bacteria and genes (Islam et al., 2024).</w:t>
      </w:r>
    </w:p>
    <w:p w14:paraId="14925CAD" w14:textId="77777777" w:rsidR="00C0335B" w:rsidRDefault="00C0335B" w:rsidP="0078082C">
      <w:pPr>
        <w:pStyle w:val="IPPParagraphnumbering"/>
        <w:numPr>
          <w:ilvl w:val="0"/>
          <w:numId w:val="16"/>
        </w:numPr>
        <w:rPr>
          <w:rFonts w:cs="Times New Roman"/>
          <w:shd w:val="clear" w:color="auto" w:fill="FFFFFF"/>
        </w:rPr>
      </w:pPr>
      <w:r>
        <w:rPr>
          <w:rFonts w:cs="Times New Roman"/>
          <w:shd w:val="clear" w:color="auto" w:fill="FFFFFF"/>
        </w:rPr>
        <w:lastRenderedPageBreak/>
        <w:t xml:space="preserve">Transmission pathways are likely complex and multi-directional. For example, transmission of AMR genes </w:t>
      </w:r>
      <w:r w:rsidRPr="0078082C">
        <w:rPr>
          <w:sz w:val="24"/>
        </w:rPr>
        <w:t>from</w:t>
      </w:r>
      <w:r>
        <w:rPr>
          <w:rFonts w:cs="Times New Roman"/>
          <w:shd w:val="clear" w:color="auto" w:fill="FFFFFF"/>
        </w:rPr>
        <w:t xml:space="preserve"> plants to livestock could occur via feed, and from livestock to plants via manure (Haynes et al., 2020). In addition, AMR is not limited to the region </w:t>
      </w:r>
      <w:proofErr w:type="gramStart"/>
      <w:r>
        <w:rPr>
          <w:rFonts w:cs="Times New Roman"/>
          <w:shd w:val="clear" w:color="auto" w:fill="FFFFFF"/>
        </w:rPr>
        <w:t>that</w:t>
      </w:r>
      <w:proofErr w:type="gramEnd"/>
      <w:r>
        <w:rPr>
          <w:rFonts w:cs="Times New Roman"/>
          <w:shd w:val="clear" w:color="auto" w:fill="FFFFFF"/>
        </w:rPr>
        <w:t xml:space="preserve"> antimicrobials are </w:t>
      </w:r>
      <w:proofErr w:type="gramStart"/>
      <w:r>
        <w:rPr>
          <w:rFonts w:cs="Times New Roman"/>
          <w:shd w:val="clear" w:color="auto" w:fill="FFFFFF"/>
        </w:rPr>
        <w:t>used—</w:t>
      </w:r>
      <w:proofErr w:type="gramEnd"/>
      <w:r>
        <w:rPr>
          <w:rFonts w:cs="Times New Roman"/>
          <w:shd w:val="clear" w:color="auto" w:fill="FFFFFF"/>
        </w:rPr>
        <w:t xml:space="preserve">the possibility exists for a country to import antibiotic resistant bacteria or genes on crops or plant products treated with antibiotics in countries where they are either used or misused (Haynes et al., 2020). </w:t>
      </w:r>
    </w:p>
    <w:p w14:paraId="4DFA1B75" w14:textId="77777777" w:rsidR="00C0335B" w:rsidRDefault="00C0335B" w:rsidP="00C0335B">
      <w:pPr>
        <w:rPr>
          <w:rFonts w:cs="Times New Roman"/>
        </w:rPr>
      </w:pPr>
    </w:p>
    <w:p w14:paraId="0EFC43B4" w14:textId="77777777" w:rsidR="00C0335B" w:rsidRPr="004F6D3E" w:rsidRDefault="00C0335B" w:rsidP="00C0335B">
      <w:pPr>
        <w:rPr>
          <w:rFonts w:cs="Times New Roman"/>
          <w:i/>
          <w:iCs/>
          <w:shd w:val="clear" w:color="auto" w:fill="FFFFFF"/>
        </w:rPr>
      </w:pPr>
      <w:r>
        <w:rPr>
          <w:rFonts w:cs="Times New Roman"/>
          <w:i/>
          <w:iCs/>
          <w:shd w:val="clear" w:color="auto" w:fill="FFFFFF"/>
        </w:rPr>
        <w:t>Potential AMR resistance risk</w:t>
      </w:r>
    </w:p>
    <w:p w14:paraId="7EBE0EF4" w14:textId="77777777" w:rsidR="00C0335B" w:rsidRDefault="00C0335B" w:rsidP="00C0335B">
      <w:pPr>
        <w:rPr>
          <w:rFonts w:cs="Times New Roman"/>
        </w:rPr>
      </w:pPr>
    </w:p>
    <w:p w14:paraId="5C509A2E" w14:textId="77777777" w:rsidR="00C0335B" w:rsidRDefault="00C0335B" w:rsidP="0078082C">
      <w:pPr>
        <w:pStyle w:val="IPPParagraphnumbering"/>
        <w:numPr>
          <w:ilvl w:val="0"/>
          <w:numId w:val="16"/>
        </w:numPr>
        <w:rPr>
          <w:rFonts w:cs="Times New Roman"/>
        </w:rPr>
      </w:pPr>
      <w:r>
        <w:rPr>
          <w:rFonts w:cs="Times New Roman"/>
          <w:shd w:val="clear" w:color="auto" w:fill="FFFFFF"/>
        </w:rPr>
        <w:t>One of the greatest concerns of antimicrobial use in plant production is the risk of incidence, accumulation and deposition of AMR genes in the food chain and the soil environment (</w:t>
      </w:r>
      <w:proofErr w:type="spellStart"/>
      <w:r>
        <w:rPr>
          <w:rFonts w:cs="Times New Roman"/>
          <w:shd w:val="clear" w:color="auto" w:fill="FFFFFF"/>
        </w:rPr>
        <w:t>Batuman</w:t>
      </w:r>
      <w:proofErr w:type="spellEnd"/>
      <w:r>
        <w:rPr>
          <w:rFonts w:cs="Times New Roman"/>
          <w:shd w:val="clear" w:color="auto" w:fill="FFFFFF"/>
        </w:rPr>
        <w:t xml:space="preserve"> et al., 2024; Haynes et al., 2020). </w:t>
      </w:r>
      <w:r>
        <w:rPr>
          <w:rFonts w:cs="Times New Roman"/>
        </w:rPr>
        <w:t xml:space="preserve">While recent literature demonstrates that plant production plays a role in the </w:t>
      </w:r>
      <w:r w:rsidRPr="0078082C">
        <w:rPr>
          <w:sz w:val="24"/>
        </w:rPr>
        <w:t>development</w:t>
      </w:r>
      <w:r>
        <w:rPr>
          <w:rFonts w:cs="Times New Roman"/>
        </w:rPr>
        <w:t xml:space="preserve"> of AMR, the extent to which the use of antimicrobials in plant production selects for the emergence and maintenance of AMR organisms is not fully understood (Miller et al., 2022). Despite the lack of data identifying the extent of the risk of resistance from antimicrobial use in plant production, there should still be a concerted effort to reduce the resistance risk by implementing antimicrobial stewardship practices. Harmonized surveillance programs that collect quantitative data on the use and sales of antibiotics could provide insight into AMR selection and spread (Verhaegen et al., 2023).</w:t>
      </w:r>
    </w:p>
    <w:p w14:paraId="1B37B426" w14:textId="77777777" w:rsidR="00C0335B" w:rsidRDefault="00C0335B" w:rsidP="00C0335B">
      <w:pPr>
        <w:rPr>
          <w:rFonts w:cs="Times New Roman"/>
          <w:i/>
          <w:iCs/>
        </w:rPr>
      </w:pPr>
    </w:p>
    <w:p w14:paraId="4306DCB0" w14:textId="77777777" w:rsidR="00C0335B" w:rsidRDefault="00C0335B" w:rsidP="00C0335B">
      <w:pPr>
        <w:rPr>
          <w:rFonts w:cs="Times New Roman"/>
          <w:i/>
          <w:iCs/>
        </w:rPr>
      </w:pPr>
      <w:r w:rsidRPr="00A53165">
        <w:rPr>
          <w:rFonts w:cs="Times New Roman"/>
          <w:i/>
          <w:iCs/>
        </w:rPr>
        <w:t>Impact of AMR on plant health</w:t>
      </w:r>
      <w:r>
        <w:rPr>
          <w:rFonts w:cs="Times New Roman"/>
          <w:i/>
          <w:iCs/>
        </w:rPr>
        <w:t xml:space="preserve"> and economic costs</w:t>
      </w:r>
    </w:p>
    <w:p w14:paraId="794D1F54" w14:textId="77777777" w:rsidR="00C0335B" w:rsidRPr="00A53165" w:rsidRDefault="00C0335B" w:rsidP="00C0335B">
      <w:pPr>
        <w:rPr>
          <w:rFonts w:cs="Times New Roman"/>
          <w:i/>
          <w:iCs/>
        </w:rPr>
      </w:pPr>
    </w:p>
    <w:p w14:paraId="0F1C8E87" w14:textId="5B74C62F" w:rsidR="00C0335B" w:rsidRPr="00A10A4F" w:rsidRDefault="00C0335B" w:rsidP="00C0335B">
      <w:pPr>
        <w:pStyle w:val="IPPParagraphnumbering"/>
        <w:numPr>
          <w:ilvl w:val="0"/>
          <w:numId w:val="16"/>
        </w:numPr>
        <w:rPr>
          <w:rFonts w:cs="Times New Roman"/>
          <w:shd w:val="clear" w:color="auto" w:fill="FFFFFF"/>
        </w:rPr>
      </w:pPr>
      <w:r>
        <w:rPr>
          <w:rFonts w:cs="Times New Roman"/>
          <w:shd w:val="clear" w:color="auto" w:fill="FFFFFF"/>
        </w:rPr>
        <w:t xml:space="preserve">The abundance and diversity of microorganisms are essential determinants for soil quality and plant health. As noted earlier, residues from antibiotics used in agricultural practices may potentially alter the nontarget </w:t>
      </w:r>
      <w:r w:rsidRPr="0078082C">
        <w:rPr>
          <w:sz w:val="24"/>
        </w:rPr>
        <w:t>microbial</w:t>
      </w:r>
      <w:r>
        <w:rPr>
          <w:rFonts w:cs="Times New Roman"/>
          <w:shd w:val="clear" w:color="auto" w:fill="FFFFFF"/>
        </w:rPr>
        <w:t xml:space="preserve"> community profile, including beneficial bacteria present in the </w:t>
      </w:r>
      <w:proofErr w:type="spellStart"/>
      <w:r>
        <w:rPr>
          <w:rFonts w:cs="Times New Roman"/>
          <w:shd w:val="clear" w:color="auto" w:fill="FFFFFF"/>
        </w:rPr>
        <w:t>phytobiome</w:t>
      </w:r>
      <w:proofErr w:type="spellEnd"/>
      <w:r>
        <w:rPr>
          <w:rFonts w:cs="Times New Roman"/>
          <w:shd w:val="clear" w:color="auto" w:fill="FFFFFF"/>
        </w:rPr>
        <w:t>, soil and water (</w:t>
      </w:r>
      <w:proofErr w:type="spellStart"/>
      <w:r>
        <w:rPr>
          <w:rFonts w:cs="Times New Roman"/>
          <w:shd w:val="clear" w:color="auto" w:fill="FFFFFF"/>
        </w:rPr>
        <w:t>Batuman</w:t>
      </w:r>
      <w:proofErr w:type="spellEnd"/>
      <w:r>
        <w:rPr>
          <w:rFonts w:cs="Times New Roman"/>
          <w:shd w:val="clear" w:color="auto" w:fill="FFFFFF"/>
        </w:rPr>
        <w:t xml:space="preserve"> et al., 2024). </w:t>
      </w:r>
    </w:p>
    <w:p w14:paraId="3CDADD6E" w14:textId="2A7C8B93" w:rsidR="00C0335B" w:rsidRPr="00A10A4F" w:rsidRDefault="00C0335B" w:rsidP="00C0335B">
      <w:pPr>
        <w:pStyle w:val="IPPParagraphnumbering"/>
        <w:numPr>
          <w:ilvl w:val="0"/>
          <w:numId w:val="16"/>
        </w:numPr>
        <w:rPr>
          <w:rFonts w:cs="Times New Roman"/>
          <w:shd w:val="clear" w:color="auto" w:fill="FFFFFF"/>
        </w:rPr>
      </w:pPr>
      <w:r>
        <w:rPr>
          <w:rFonts w:cs="Times New Roman"/>
        </w:rPr>
        <w:t xml:space="preserve">Antibiotics also have the potential to impact insect microbiota, which in turn could impact plant health and plant production </w:t>
      </w:r>
      <w:r>
        <w:rPr>
          <w:rFonts w:cs="Times New Roman"/>
          <w:shd w:val="clear" w:color="auto" w:fill="FFFFFF"/>
        </w:rPr>
        <w:t>(Sundin and Wang, 2018)</w:t>
      </w:r>
      <w:r>
        <w:rPr>
          <w:rFonts w:cs="Times New Roman"/>
        </w:rPr>
        <w:t xml:space="preserve">. For example, in a study in the United States, field antibiotic exposure reduced </w:t>
      </w:r>
      <w:proofErr w:type="gramStart"/>
      <w:r>
        <w:rPr>
          <w:rFonts w:cs="Times New Roman"/>
        </w:rPr>
        <w:t>honey bee</w:t>
      </w:r>
      <w:proofErr w:type="gramEnd"/>
      <w:r>
        <w:rPr>
          <w:rFonts w:cs="Times New Roman"/>
        </w:rPr>
        <w:t xml:space="preserve"> and bumble bee visitation to crop flowers compared to fields sprayed with a biological product (Avila et al., 2024). </w:t>
      </w:r>
      <w:r>
        <w:rPr>
          <w:rFonts w:cs="Times New Roman"/>
          <w:shd w:val="clear" w:color="auto" w:fill="FFFFFF"/>
        </w:rPr>
        <w:t xml:space="preserve">Honeybees, one of the most environmentally important insects, have a diverse microbiota that can be disrupted by antibiotic use, which decreases their immune response and protection against parasites and negatively impacts their behavior (Avila et al., 2024; </w:t>
      </w:r>
      <w:proofErr w:type="spellStart"/>
      <w:r>
        <w:rPr>
          <w:rFonts w:cs="Times New Roman"/>
          <w:shd w:val="clear" w:color="auto" w:fill="FFFFFF"/>
        </w:rPr>
        <w:t>Batuman</w:t>
      </w:r>
      <w:proofErr w:type="spellEnd"/>
      <w:r>
        <w:rPr>
          <w:rFonts w:cs="Times New Roman"/>
          <w:shd w:val="clear" w:color="auto" w:fill="FFFFFF"/>
        </w:rPr>
        <w:t xml:space="preserve"> et al., 2024). </w:t>
      </w:r>
    </w:p>
    <w:p w14:paraId="0E77DB66" w14:textId="7CA7C393" w:rsidR="00C0335B" w:rsidRPr="00A10A4F" w:rsidRDefault="00C0335B" w:rsidP="00C0335B">
      <w:pPr>
        <w:pStyle w:val="IPPParagraphnumbering"/>
        <w:numPr>
          <w:ilvl w:val="0"/>
          <w:numId w:val="16"/>
        </w:numPr>
        <w:rPr>
          <w:rFonts w:cs="Times New Roman"/>
          <w:shd w:val="clear" w:color="auto" w:fill="FFFFFF"/>
        </w:rPr>
      </w:pPr>
      <w:r w:rsidRPr="00EE381C">
        <w:rPr>
          <w:rFonts w:cs="Times New Roman"/>
          <w:shd w:val="clear" w:color="auto" w:fill="FFFFFF"/>
        </w:rPr>
        <w:t>Beyond pollinators, antibiotic applications may also interfere with beneficial arthropods that serve as biological control agents, such as predators, parasitoids and entomopathogenic microorganisms. These organisms are integral to maintaining ecological balance in agroecosystems, as they suppress pest populations and reduce the need for chemical pesticide applications (</w:t>
      </w:r>
      <w:proofErr w:type="spellStart"/>
      <w:r w:rsidRPr="00EE381C">
        <w:rPr>
          <w:rFonts w:cs="Times New Roman"/>
          <w:shd w:val="clear" w:color="auto" w:fill="FFFFFF"/>
        </w:rPr>
        <w:t>Heimpel</w:t>
      </w:r>
      <w:proofErr w:type="spellEnd"/>
      <w:r w:rsidRPr="00EE381C">
        <w:rPr>
          <w:rFonts w:cs="Times New Roman"/>
          <w:shd w:val="clear" w:color="auto" w:fill="FFFFFF"/>
        </w:rPr>
        <w:t xml:space="preserve"> and Mills, 2017; van </w:t>
      </w:r>
      <w:proofErr w:type="spellStart"/>
      <w:r w:rsidRPr="00EE381C">
        <w:rPr>
          <w:rFonts w:cs="Times New Roman"/>
          <w:shd w:val="clear" w:color="auto" w:fill="FFFFFF"/>
        </w:rPr>
        <w:t>Lenteren</w:t>
      </w:r>
      <w:proofErr w:type="spellEnd"/>
      <w:r w:rsidRPr="00EE381C">
        <w:rPr>
          <w:rFonts w:cs="Times New Roman"/>
          <w:shd w:val="clear" w:color="auto" w:fill="FFFFFF"/>
        </w:rPr>
        <w:t xml:space="preserve"> et al., 2018). Disturbance of their microbiota or direct toxic effects of antibiotic residues could compromise their survival, reproduction or efficacy, ultimately weakening biological control services (</w:t>
      </w:r>
      <w:r>
        <w:rPr>
          <w:rFonts w:cs="Times New Roman"/>
          <w:shd w:val="clear" w:color="auto" w:fill="FFFFFF"/>
        </w:rPr>
        <w:t>Seibold</w:t>
      </w:r>
      <w:r w:rsidRPr="00EE381C">
        <w:rPr>
          <w:rFonts w:cs="Times New Roman"/>
          <w:shd w:val="clear" w:color="auto" w:fill="FFFFFF"/>
        </w:rPr>
        <w:t xml:space="preserve"> et al., 2019). Since the conservation of natural enemies is a cornerstone of integrated pest management, the unintended impacts of antibiotics on these organisms could undermine sustainable plant protection strategies and lead to greater chemical dependence in the long term (Stenberg, 2017).</w:t>
      </w:r>
    </w:p>
    <w:p w14:paraId="5B693BF6" w14:textId="048C72F7" w:rsidR="00C0335B" w:rsidRPr="00A10A4F" w:rsidRDefault="00C0335B" w:rsidP="00C0335B">
      <w:pPr>
        <w:pStyle w:val="IPPParagraphnumbering"/>
        <w:numPr>
          <w:ilvl w:val="0"/>
          <w:numId w:val="16"/>
        </w:numPr>
        <w:rPr>
          <w:rFonts w:cs="Times New Roman"/>
          <w:shd w:val="clear" w:color="auto" w:fill="FFFFFF"/>
        </w:rPr>
      </w:pPr>
      <w:r w:rsidRPr="00C47C97">
        <w:rPr>
          <w:rFonts w:cs="Times New Roman"/>
          <w:shd w:val="clear" w:color="auto" w:fill="FFFFFF"/>
        </w:rPr>
        <w:t>Even at low doses, antibiotics can have a</w:t>
      </w:r>
      <w:r>
        <w:rPr>
          <w:rFonts w:cs="Times New Roman"/>
          <w:shd w:val="clear" w:color="auto" w:fill="FFFFFF"/>
        </w:rPr>
        <w:t>n</w:t>
      </w:r>
      <w:r w:rsidRPr="00C47C97">
        <w:rPr>
          <w:rFonts w:cs="Times New Roman"/>
          <w:shd w:val="clear" w:color="auto" w:fill="FFFFFF"/>
        </w:rPr>
        <w:t xml:space="preserve"> impact on plant characteristics</w:t>
      </w:r>
      <w:r>
        <w:rPr>
          <w:rFonts w:cs="Times New Roman"/>
          <w:shd w:val="clear" w:color="auto" w:fill="FFFFFF"/>
        </w:rPr>
        <w:t xml:space="preserve"> too. Impacts observed in a study conducted by Minden et al. (2017) </w:t>
      </w:r>
      <w:r w:rsidRPr="00C47C97">
        <w:rPr>
          <w:rFonts w:cs="Times New Roman"/>
          <w:shd w:val="clear" w:color="auto" w:fill="FFFFFF"/>
        </w:rPr>
        <w:t>includ</w:t>
      </w:r>
      <w:r>
        <w:rPr>
          <w:rFonts w:cs="Times New Roman"/>
          <w:shd w:val="clear" w:color="auto" w:fill="FFFFFF"/>
        </w:rPr>
        <w:t>ed</w:t>
      </w:r>
      <w:r w:rsidRPr="00C47C97">
        <w:rPr>
          <w:rFonts w:cs="Times New Roman"/>
          <w:shd w:val="clear" w:color="auto" w:fill="FFFFFF"/>
        </w:rPr>
        <w:t xml:space="preserve"> delayed germination, lower biomass and </w:t>
      </w:r>
      <w:r>
        <w:rPr>
          <w:rFonts w:cs="Times New Roman"/>
          <w:shd w:val="clear" w:color="auto" w:fill="FFFFFF"/>
        </w:rPr>
        <w:t xml:space="preserve">changes to plant traits such as canopy height and chlorophyll content. Effects varied by species, the size of the plant and </w:t>
      </w:r>
      <w:r w:rsidRPr="0078082C">
        <w:rPr>
          <w:sz w:val="24"/>
        </w:rPr>
        <w:t>antibiotics</w:t>
      </w:r>
      <w:r>
        <w:rPr>
          <w:rFonts w:cs="Times New Roman"/>
          <w:shd w:val="clear" w:color="auto" w:fill="FFFFFF"/>
        </w:rPr>
        <w:t xml:space="preserve"> used (Minden et al., 2017). </w:t>
      </w:r>
    </w:p>
    <w:p w14:paraId="5C0BC7EE" w14:textId="04992379" w:rsidR="00C0335B" w:rsidRPr="00A10A4F" w:rsidRDefault="00C0335B" w:rsidP="00C0335B">
      <w:pPr>
        <w:pStyle w:val="IPPParagraphnumbering"/>
        <w:numPr>
          <w:ilvl w:val="0"/>
          <w:numId w:val="16"/>
        </w:numPr>
        <w:rPr>
          <w:rFonts w:cs="Times New Roman"/>
          <w:shd w:val="clear" w:color="auto" w:fill="FFFFFF"/>
        </w:rPr>
      </w:pPr>
      <w:r>
        <w:rPr>
          <w:rFonts w:cs="Times New Roman"/>
          <w:shd w:val="clear" w:color="auto" w:fill="FFFFFF"/>
        </w:rPr>
        <w:t xml:space="preserve">Antibiotic spray drift may also land on non-target plants, impacting the microbes inhabiting the </w:t>
      </w:r>
      <w:proofErr w:type="spellStart"/>
      <w:r w:rsidRPr="0078082C">
        <w:rPr>
          <w:sz w:val="24"/>
        </w:rPr>
        <w:t>phyllosphere</w:t>
      </w:r>
      <w:proofErr w:type="spellEnd"/>
      <w:r>
        <w:rPr>
          <w:rFonts w:cs="Times New Roman"/>
          <w:shd w:val="clear" w:color="auto" w:fill="FFFFFF"/>
        </w:rPr>
        <w:t xml:space="preserve"> of these plants (Sundin and Wang, 2018). </w:t>
      </w:r>
      <w:r w:rsidRPr="00EB6B38">
        <w:rPr>
          <w:rFonts w:cs="Times New Roman"/>
          <w:shd w:val="clear" w:color="auto" w:fill="FFFFFF"/>
        </w:rPr>
        <w:t>Species-specific reactions to antibiotics could alter species composition of natural communities on</w:t>
      </w:r>
      <w:r>
        <w:rPr>
          <w:rFonts w:cs="Times New Roman"/>
          <w:shd w:val="clear" w:color="auto" w:fill="FFFFFF"/>
        </w:rPr>
        <w:t xml:space="preserve"> agricultural</w:t>
      </w:r>
      <w:r w:rsidRPr="00EB6B38">
        <w:rPr>
          <w:rFonts w:cs="Times New Roman"/>
          <w:shd w:val="clear" w:color="auto" w:fill="FFFFFF"/>
        </w:rPr>
        <w:t xml:space="preserve"> field margins</w:t>
      </w:r>
      <w:r>
        <w:rPr>
          <w:rFonts w:cs="Times New Roman"/>
          <w:shd w:val="clear" w:color="auto" w:fill="FFFFFF"/>
        </w:rPr>
        <w:t xml:space="preserve"> and </w:t>
      </w:r>
      <w:r w:rsidRPr="00EB6B38">
        <w:rPr>
          <w:rFonts w:cs="Times New Roman"/>
          <w:shd w:val="clear" w:color="auto" w:fill="FFFFFF"/>
        </w:rPr>
        <w:t xml:space="preserve">indirectly affect </w:t>
      </w:r>
      <w:r>
        <w:rPr>
          <w:rFonts w:cs="Times New Roman"/>
          <w:shd w:val="clear" w:color="auto" w:fill="FFFFFF"/>
        </w:rPr>
        <w:t>other</w:t>
      </w:r>
      <w:r w:rsidRPr="00EB6B38">
        <w:rPr>
          <w:rFonts w:cs="Times New Roman"/>
          <w:shd w:val="clear" w:color="auto" w:fill="FFFFFF"/>
        </w:rPr>
        <w:t xml:space="preserve"> species</w:t>
      </w:r>
      <w:r>
        <w:rPr>
          <w:rFonts w:cs="Times New Roman"/>
          <w:shd w:val="clear" w:color="auto" w:fill="FFFFFF"/>
        </w:rPr>
        <w:t xml:space="preserve">, which further impacts plant health (Minden et al., 2017). This is compounded by evidence suggesting that the application of animal manure leads to the accumulation of antibiotic resistance genes </w:t>
      </w:r>
      <w:r>
        <w:rPr>
          <w:rFonts w:cs="Times New Roman"/>
          <w:shd w:val="clear" w:color="auto" w:fill="FFFFFF"/>
        </w:rPr>
        <w:lastRenderedPageBreak/>
        <w:t>in soils, which can then be transferred to plants (Liu et al., 2025). These results potentially call for a closer look at the impact of using manure</w:t>
      </w:r>
      <w:r w:rsidRPr="4CC710A2">
        <w:rPr>
          <w:rFonts w:cs="Times New Roman"/>
        </w:rPr>
        <w:t xml:space="preserve"> and antibiotics</w:t>
      </w:r>
      <w:r>
        <w:rPr>
          <w:rFonts w:cs="Times New Roman"/>
          <w:shd w:val="clear" w:color="auto" w:fill="FFFFFF"/>
        </w:rPr>
        <w:t xml:space="preserve"> in plant production systems.</w:t>
      </w:r>
    </w:p>
    <w:p w14:paraId="1F1E92C9" w14:textId="59337953" w:rsidR="00C0335B" w:rsidRPr="00A10A4F" w:rsidRDefault="00C0335B" w:rsidP="00C0335B">
      <w:pPr>
        <w:pStyle w:val="IPPParagraphnumbering"/>
        <w:numPr>
          <w:ilvl w:val="0"/>
          <w:numId w:val="16"/>
        </w:numPr>
        <w:rPr>
          <w:rFonts w:cs="Times New Roman"/>
          <w:shd w:val="clear" w:color="auto" w:fill="FFFFFF"/>
        </w:rPr>
      </w:pPr>
      <w:r w:rsidRPr="00C61845">
        <w:rPr>
          <w:rFonts w:cs="Times New Roman"/>
          <w:shd w:val="clear" w:color="auto" w:fill="FFFFFF"/>
        </w:rPr>
        <w:t>Despite a clear increase in pesticide use, crop losses have not significantly decreased during the last 40 years (</w:t>
      </w:r>
      <w:proofErr w:type="spellStart"/>
      <w:r w:rsidRPr="00C61845">
        <w:rPr>
          <w:rFonts w:cs="Times New Roman"/>
          <w:shd w:val="clear" w:color="auto" w:fill="FFFFFF"/>
        </w:rPr>
        <w:t>Oerke</w:t>
      </w:r>
      <w:proofErr w:type="spellEnd"/>
      <w:r w:rsidRPr="00C61845">
        <w:rPr>
          <w:rFonts w:cs="Times New Roman"/>
          <w:shd w:val="clear" w:color="auto" w:fill="FFFFFF"/>
        </w:rPr>
        <w:t>, 2006).</w:t>
      </w:r>
      <w:r>
        <w:rPr>
          <w:rFonts w:cs="Times New Roman"/>
          <w:shd w:val="clear" w:color="auto" w:fill="FFFFFF"/>
        </w:rPr>
        <w:t xml:space="preserve"> R</w:t>
      </w:r>
      <w:r w:rsidRPr="00C61845">
        <w:rPr>
          <w:rFonts w:cs="Times New Roman"/>
          <w:shd w:val="clear" w:color="auto" w:fill="FFFFFF"/>
        </w:rPr>
        <w:t xml:space="preserve">epeated use of pesticides in agriculture has </w:t>
      </w:r>
      <w:proofErr w:type="gramStart"/>
      <w:r w:rsidRPr="00C61845">
        <w:rPr>
          <w:rFonts w:cs="Times New Roman"/>
          <w:shd w:val="clear" w:color="auto" w:fill="FFFFFF"/>
        </w:rPr>
        <w:t>selected</w:t>
      </w:r>
      <w:proofErr w:type="gramEnd"/>
      <w:r w:rsidRPr="00C61845">
        <w:rPr>
          <w:rFonts w:cs="Times New Roman"/>
          <w:shd w:val="clear" w:color="auto" w:fill="FFFFFF"/>
        </w:rPr>
        <w:t xml:space="preserve"> for the rapid evolution of resistance and contributed to threatening health and food security </w:t>
      </w:r>
      <w:proofErr w:type="gramStart"/>
      <w:r w:rsidRPr="00C61845">
        <w:rPr>
          <w:rFonts w:cs="Times New Roman"/>
          <w:shd w:val="clear" w:color="auto" w:fill="FFFFFF"/>
        </w:rPr>
        <w:t>at</w:t>
      </w:r>
      <w:proofErr w:type="gramEnd"/>
      <w:r w:rsidRPr="00C61845">
        <w:rPr>
          <w:rFonts w:cs="Times New Roman"/>
          <w:shd w:val="clear" w:color="auto" w:fill="FFFFFF"/>
        </w:rPr>
        <w:t xml:space="preserve"> a global scale. In addition, the economic costs of resistance are considerable and managing threats to food production and healthcare systems using an evolutionarily informed approach in a proactive </w:t>
      </w:r>
      <w:r>
        <w:rPr>
          <w:rFonts w:cs="Times New Roman"/>
          <w:shd w:val="clear" w:color="auto" w:fill="FFFFFF"/>
        </w:rPr>
        <w:t xml:space="preserve">manner </w:t>
      </w:r>
      <w:r w:rsidRPr="00C61845">
        <w:rPr>
          <w:rFonts w:cs="Times New Roman"/>
          <w:shd w:val="clear" w:color="auto" w:fill="FFFFFF"/>
        </w:rPr>
        <w:t>appears essential (Hick</w:t>
      </w:r>
      <w:r>
        <w:rPr>
          <w:rFonts w:cs="Times New Roman"/>
          <w:shd w:val="clear" w:color="auto" w:fill="FFFFFF"/>
        </w:rPr>
        <w:t>s</w:t>
      </w:r>
      <w:r w:rsidRPr="00C61845">
        <w:rPr>
          <w:rFonts w:cs="Times New Roman"/>
          <w:shd w:val="clear" w:color="auto" w:fill="FFFFFF"/>
        </w:rPr>
        <w:t xml:space="preserve"> et al., 2018).</w:t>
      </w:r>
    </w:p>
    <w:p w14:paraId="72F1ECD4" w14:textId="77777777" w:rsidR="00C0335B" w:rsidRDefault="00C0335B" w:rsidP="0078082C">
      <w:pPr>
        <w:pStyle w:val="IPPParagraphnumbering"/>
        <w:numPr>
          <w:ilvl w:val="0"/>
          <w:numId w:val="16"/>
        </w:numPr>
        <w:rPr>
          <w:rFonts w:cs="Times New Roman"/>
          <w:shd w:val="clear" w:color="auto" w:fill="FFFFFF"/>
        </w:rPr>
      </w:pPr>
      <w:r w:rsidRPr="00C61845">
        <w:rPr>
          <w:rFonts w:cs="Times New Roman"/>
          <w:shd w:val="clear" w:color="auto" w:fill="FFFFFF"/>
        </w:rPr>
        <w:t xml:space="preserve">The estimation of the indirect cost of resistance is a key determinant of the design of an economic policy for more </w:t>
      </w:r>
      <w:r w:rsidRPr="0078082C">
        <w:rPr>
          <w:sz w:val="24"/>
        </w:rPr>
        <w:t>sustainable</w:t>
      </w:r>
      <w:r w:rsidRPr="00C61845">
        <w:rPr>
          <w:rFonts w:cs="Times New Roman"/>
          <w:shd w:val="clear" w:color="auto" w:fill="FFFFFF"/>
        </w:rPr>
        <w:t xml:space="preserve"> use of fungicides, although such an estimation must consider economic parameters and the evo-epidemiological properties of crop pathogens.</w:t>
      </w:r>
      <w:r>
        <w:rPr>
          <w:rFonts w:cs="Times New Roman"/>
          <w:shd w:val="clear" w:color="auto" w:fill="FFFFFF"/>
        </w:rPr>
        <w:t xml:space="preserve"> T</w:t>
      </w:r>
      <w:r w:rsidRPr="00C61845">
        <w:rPr>
          <w:rFonts w:cs="Times New Roman"/>
          <w:shd w:val="clear" w:color="auto" w:fill="FFFFFF"/>
        </w:rPr>
        <w:t>he cost of resistance depends on the fungicide price, the degree of resistance, the pathogen’s basic reproduction number and the yield loss due to disease. An appropriate estimation of the cost of resistance evolution can inform economic policy and encourage more sustainable use of fungicides (</w:t>
      </w:r>
      <w:proofErr w:type="spellStart"/>
      <w:r w:rsidRPr="00C61845">
        <w:rPr>
          <w:rFonts w:cs="Times New Roman"/>
          <w:shd w:val="clear" w:color="auto" w:fill="FFFFFF"/>
        </w:rPr>
        <w:t>Mikaberidze</w:t>
      </w:r>
      <w:proofErr w:type="spellEnd"/>
      <w:r w:rsidRPr="00C61845">
        <w:rPr>
          <w:rFonts w:cs="Times New Roman"/>
          <w:shd w:val="clear" w:color="auto" w:fill="FFFFFF"/>
        </w:rPr>
        <w:t xml:space="preserve"> et al., 2025).</w:t>
      </w:r>
    </w:p>
    <w:p w14:paraId="4617699E" w14:textId="77777777" w:rsidR="00C0335B" w:rsidRDefault="00C0335B" w:rsidP="00C0335B">
      <w:pPr>
        <w:rPr>
          <w:rFonts w:cs="Times New Roman"/>
        </w:rPr>
      </w:pPr>
    </w:p>
    <w:p w14:paraId="0B3B9BC2" w14:textId="77777777" w:rsidR="00C0335B" w:rsidRDefault="00C0335B" w:rsidP="00C0335B">
      <w:pPr>
        <w:rPr>
          <w:rFonts w:cs="Times New Roman"/>
          <w:i/>
          <w:iCs/>
        </w:rPr>
      </w:pPr>
      <w:r>
        <w:rPr>
          <w:rFonts w:cs="Times New Roman"/>
          <w:i/>
          <w:iCs/>
        </w:rPr>
        <w:t>Potential AMR impacts for consumers</w:t>
      </w:r>
    </w:p>
    <w:p w14:paraId="08D30E4A" w14:textId="77777777" w:rsidR="00C0335B" w:rsidRPr="0061144D" w:rsidRDefault="00C0335B" w:rsidP="00C0335B">
      <w:pPr>
        <w:rPr>
          <w:rFonts w:cs="Times New Roman"/>
          <w:i/>
          <w:iCs/>
        </w:rPr>
      </w:pPr>
    </w:p>
    <w:p w14:paraId="2999542F" w14:textId="23258E1D" w:rsidR="00C0335B" w:rsidRPr="00A10A4F" w:rsidRDefault="00C0335B" w:rsidP="00C0335B">
      <w:pPr>
        <w:pStyle w:val="IPPParagraphnumbering"/>
        <w:numPr>
          <w:ilvl w:val="0"/>
          <w:numId w:val="16"/>
        </w:numPr>
        <w:rPr>
          <w:rFonts w:cs="Times New Roman"/>
          <w:shd w:val="clear" w:color="auto" w:fill="FFFFFF"/>
        </w:rPr>
      </w:pPr>
      <w:r>
        <w:rPr>
          <w:rFonts w:cs="Times New Roman"/>
        </w:rPr>
        <w:t xml:space="preserve">There is growing concern about the impact that the use of antimicrobials in plant production has on the selection of AMR organisms in consumer food. Food consumption directly exposes the human </w:t>
      </w:r>
      <w:r w:rsidRPr="0078082C">
        <w:rPr>
          <w:sz w:val="24"/>
        </w:rPr>
        <w:t>microbiome</w:t>
      </w:r>
      <w:r>
        <w:rPr>
          <w:rFonts w:cs="Times New Roman"/>
        </w:rPr>
        <w:t xml:space="preserve"> to the environmental microbiome with the consumption of fruits and raw leafy vegetables as a likely route for the dissemination of AMR to humans </w:t>
      </w:r>
      <w:r>
        <w:rPr>
          <w:rFonts w:cs="Times New Roman"/>
          <w:shd w:val="clear" w:color="auto" w:fill="FFFFFF"/>
        </w:rPr>
        <w:t xml:space="preserve">(Chen et al., 2019; </w:t>
      </w:r>
      <w:r>
        <w:rPr>
          <w:rFonts w:cs="Times New Roman"/>
        </w:rPr>
        <w:t>Zalewska et al., 2021</w:t>
      </w:r>
      <w:r>
        <w:rPr>
          <w:rFonts w:cs="Times New Roman"/>
          <w:shd w:val="clear" w:color="auto" w:fill="FFFFFF"/>
        </w:rPr>
        <w:t xml:space="preserve">). Antimicrobials can also be taken up by plants and concentrated in their leaves, roots, fruits and seeds/grain and subsequently consumed </w:t>
      </w:r>
      <w:r>
        <w:rPr>
          <w:rFonts w:cs="Times New Roman"/>
        </w:rPr>
        <w:t xml:space="preserve">(Miller et al., 2022; </w:t>
      </w:r>
      <w:r>
        <w:rPr>
          <w:rFonts w:cs="Times New Roman"/>
          <w:shd w:val="clear" w:color="auto" w:fill="FFFFFF"/>
        </w:rPr>
        <w:t>Zalewska, et al., 2021</w:t>
      </w:r>
      <w:r>
        <w:rPr>
          <w:rFonts w:cs="Times New Roman"/>
        </w:rPr>
        <w:t>), e</w:t>
      </w:r>
      <w:r>
        <w:rPr>
          <w:rFonts w:cs="Times New Roman"/>
          <w:shd w:val="clear" w:color="auto" w:fill="FFFFFF"/>
        </w:rPr>
        <w:t>xposing humans to low concentrations of antimicrobials. Studies quantifying antibiotic uptake by plants via irrigation water demonstrate the ease with which antibiotics can be assimilated (Haynes et al., 2020); however, it is important to note that the timing of antimicrobial applications influences the level of residues in plants over time. This exposure may contribute to the emergence and maintenance of AMR (Gullberg et al., 2011; Verhaegen et al., 2024).</w:t>
      </w:r>
    </w:p>
    <w:p w14:paraId="7A3F6251" w14:textId="77777777" w:rsidR="00C0335B" w:rsidRPr="0017771C" w:rsidRDefault="00C0335B" w:rsidP="0078082C">
      <w:pPr>
        <w:pStyle w:val="IPPParagraphnumbering"/>
        <w:numPr>
          <w:ilvl w:val="0"/>
          <w:numId w:val="16"/>
        </w:numPr>
        <w:rPr>
          <w:rFonts w:cs="Times New Roman"/>
        </w:rPr>
      </w:pPr>
      <w:r>
        <w:rPr>
          <w:rFonts w:cs="Times New Roman"/>
        </w:rPr>
        <w:t xml:space="preserve">Crops that undergo little or no processing prior to consumption by humans or animals could </w:t>
      </w:r>
      <w:r w:rsidRPr="0078082C">
        <w:rPr>
          <w:sz w:val="24"/>
        </w:rPr>
        <w:t>compromise</w:t>
      </w:r>
      <w:r>
        <w:rPr>
          <w:rFonts w:cs="Times New Roman"/>
        </w:rPr>
        <w:t xml:space="preserve"> human health through exposure to foodborne pathogens that have acquired resistance to antimicrobials, and through ingestion of non-pathogenic microbials with antibiotic resistance genes. In low- and middle-income countries (LMICs), crop and livestock production are often located together, increasing the risk of AMR. Contamination of irrigation water, insufficient sanitation measures, dependency on antimicrobials to compensate for poor animal husbandry, misapplication of antimicrobials and inadequate biosecurity measures further compound the risk to humans in those regions, and potentially in other regions through international trade </w:t>
      </w:r>
      <w:r>
        <w:rPr>
          <w:rFonts w:cs="Times New Roman"/>
          <w:shd w:val="clear" w:color="auto" w:fill="FFFFFF"/>
        </w:rPr>
        <w:t>(Brunn et al., 2022)</w:t>
      </w:r>
      <w:r w:rsidRPr="00D53C1E">
        <w:rPr>
          <w:rFonts w:cs="Times New Roman"/>
          <w:shd w:val="clear" w:color="auto" w:fill="FFFFFF"/>
        </w:rPr>
        <w:t>.</w:t>
      </w:r>
      <w:r>
        <w:rPr>
          <w:rFonts w:cs="Times New Roman"/>
          <w:shd w:val="clear" w:color="auto" w:fill="FFFFFF"/>
        </w:rPr>
        <w:t xml:space="preserve"> Everyone has a role to play in protecting human, animal, plant and environmental health against the development of AMR. Raising awareness about the consequences of overusing antimicrobials with pesticide users, the food industry, regulators and the </w:t>
      </w:r>
      <w:proofErr w:type="gramStart"/>
      <w:r>
        <w:rPr>
          <w:rFonts w:cs="Times New Roman"/>
          <w:shd w:val="clear" w:color="auto" w:fill="FFFFFF"/>
        </w:rPr>
        <w:t>general public</w:t>
      </w:r>
      <w:proofErr w:type="gramEnd"/>
      <w:r>
        <w:rPr>
          <w:rFonts w:cs="Times New Roman"/>
          <w:shd w:val="clear" w:color="auto" w:fill="FFFFFF"/>
        </w:rPr>
        <w:t xml:space="preserve"> will help promote the responsible use of these products worldwide </w:t>
      </w:r>
      <w:r>
        <w:rPr>
          <w:rFonts w:cs="Times New Roman"/>
        </w:rPr>
        <w:t>(Miller et al., 2022).</w:t>
      </w:r>
    </w:p>
    <w:p w14:paraId="6CABB60F" w14:textId="77777777" w:rsidR="00C0335B" w:rsidRDefault="00C0335B" w:rsidP="00C0335B">
      <w:pPr>
        <w:rPr>
          <w:rFonts w:cs="Times New Roman"/>
        </w:rPr>
      </w:pPr>
    </w:p>
    <w:p w14:paraId="12744860" w14:textId="77777777" w:rsidR="00C0335B" w:rsidRPr="009B5FA0" w:rsidRDefault="00C0335B" w:rsidP="00996042">
      <w:pPr>
        <w:pStyle w:val="ListParagraph"/>
        <w:numPr>
          <w:ilvl w:val="0"/>
          <w:numId w:val="14"/>
        </w:numPr>
        <w:spacing w:line="240" w:lineRule="auto"/>
        <w:ind w:leftChars="0" w:left="360"/>
        <w:contextualSpacing/>
        <w:jc w:val="left"/>
        <w:rPr>
          <w:rFonts w:ascii="Times New Roman" w:hAnsi="Times New Roman" w:cs="Times New Roman"/>
        </w:rPr>
      </w:pPr>
      <w:r>
        <w:rPr>
          <w:rFonts w:ascii="Times New Roman" w:hAnsi="Times New Roman" w:cs="Times New Roman"/>
          <w:b/>
          <w:bCs/>
        </w:rPr>
        <w:t>Current Engagement</w:t>
      </w:r>
    </w:p>
    <w:p w14:paraId="12094625" w14:textId="77777777" w:rsidR="00C0335B" w:rsidRPr="009B5FA0" w:rsidRDefault="00C0335B" w:rsidP="00C0335B">
      <w:pPr>
        <w:rPr>
          <w:rFonts w:ascii="Aptos Narrow" w:eastAsia="Times New Roman" w:hAnsi="Aptos Narrow" w:cs="Times New Roman"/>
          <w:i/>
          <w:iCs/>
          <w:color w:val="000000"/>
          <w:szCs w:val="22"/>
        </w:rPr>
      </w:pPr>
      <w:r w:rsidRPr="009B5FA0">
        <w:rPr>
          <w:rFonts w:ascii="Aptos Narrow" w:eastAsia="Times New Roman" w:hAnsi="Aptos Narrow" w:cs="Times New Roman"/>
          <w:i/>
          <w:iCs/>
          <w:color w:val="000000"/>
          <w:szCs w:val="22"/>
        </w:rPr>
        <w:t>How are NPPOs or RPPOs engaged with OH initiatives in practice?</w:t>
      </w:r>
    </w:p>
    <w:p w14:paraId="08D4C6EC" w14:textId="77777777" w:rsidR="00C0335B" w:rsidRDefault="00C0335B" w:rsidP="00C0335B">
      <w:pPr>
        <w:rPr>
          <w:rFonts w:ascii="Aptos Narrow" w:eastAsia="Times New Roman" w:hAnsi="Aptos Narrow" w:cs="Times New Roman"/>
          <w:i/>
          <w:iCs/>
          <w:color w:val="000000"/>
          <w:szCs w:val="22"/>
        </w:rPr>
      </w:pPr>
      <w:r w:rsidRPr="009B5FA0">
        <w:rPr>
          <w:rFonts w:ascii="Aptos Narrow" w:eastAsia="Times New Roman" w:hAnsi="Aptos Narrow" w:cs="Times New Roman"/>
          <w:i/>
          <w:iCs/>
          <w:color w:val="000000"/>
          <w:szCs w:val="22"/>
        </w:rPr>
        <w:t>What existing mechanisms or platforms within the OH framework currently include plant health stakeholders?</w:t>
      </w:r>
    </w:p>
    <w:p w14:paraId="65DFF82A" w14:textId="77777777" w:rsidR="00C0335B" w:rsidRPr="009B5FA0" w:rsidRDefault="00C0335B" w:rsidP="00C0335B">
      <w:pPr>
        <w:rPr>
          <w:rFonts w:ascii="Aptos Narrow" w:eastAsia="Times New Roman" w:hAnsi="Aptos Narrow" w:cs="Times New Roman"/>
          <w:i/>
          <w:iCs/>
          <w:color w:val="000000"/>
          <w:szCs w:val="22"/>
        </w:rPr>
      </w:pPr>
      <w:r>
        <w:rPr>
          <w:rFonts w:ascii="Aptos Narrow" w:eastAsia="Times New Roman" w:hAnsi="Aptos Narrow" w:cs="Times New Roman"/>
          <w:i/>
          <w:iCs/>
          <w:color w:val="000000"/>
          <w:szCs w:val="22"/>
        </w:rPr>
        <w:t>What policies or regulatory frameworks support the integration of plant health into OH?</w:t>
      </w:r>
    </w:p>
    <w:p w14:paraId="5C405872" w14:textId="77777777" w:rsidR="00C0335B" w:rsidRDefault="00C0335B" w:rsidP="00C0335B">
      <w:pPr>
        <w:rPr>
          <w:rFonts w:cs="Times New Roman"/>
          <w:color w:val="A6A6A6" w:themeColor="background1" w:themeShade="A6"/>
          <w:shd w:val="clear" w:color="auto" w:fill="FFFFFF"/>
        </w:rPr>
      </w:pPr>
    </w:p>
    <w:p w14:paraId="2B8DEA8D" w14:textId="77777777" w:rsidR="00C0335B" w:rsidRDefault="00C0335B" w:rsidP="00305B1B">
      <w:pPr>
        <w:pStyle w:val="IPPParagraphnumbering"/>
        <w:numPr>
          <w:ilvl w:val="0"/>
          <w:numId w:val="16"/>
        </w:numPr>
        <w:rPr>
          <w:rFonts w:cs="Times New Roman"/>
        </w:rPr>
      </w:pPr>
      <w:r>
        <w:rPr>
          <w:rFonts w:cs="Times New Roman"/>
        </w:rPr>
        <w:t xml:space="preserve">One Health emphasizes the interconnectedness of human, animal, plant and environmental health, and acknowledges that humans and animal health depend on plant health for food security, food safety and ecosystem services </w:t>
      </w:r>
      <w:r w:rsidRPr="004C3F80">
        <w:rPr>
          <w:rFonts w:cs="Times New Roman"/>
        </w:rPr>
        <w:t xml:space="preserve">(Lorenzini and Nali; 2025). </w:t>
      </w:r>
      <w:r>
        <w:rPr>
          <w:rFonts w:cs="Times New Roman"/>
        </w:rPr>
        <w:t xml:space="preserve">Collaboration is needed between plant scientists, veterinarians, human health professionals and environmental scientists to successfully tackle modern </w:t>
      </w:r>
      <w:r>
        <w:rPr>
          <w:rFonts w:cs="Times New Roman"/>
        </w:rPr>
        <w:lastRenderedPageBreak/>
        <w:t xml:space="preserve">health challenges. Several national plant protection organizations (NPPOs) and regional plant protection organizations (RPPOs) have initiated this collaboration through mechanisms, platforms, policies or regulatory frameworks that integrate plant health into the One Health paradigm. A few examples are below and serve as building blocks for the IPPC community </w:t>
      </w:r>
      <w:proofErr w:type="gramStart"/>
      <w:r>
        <w:rPr>
          <w:rFonts w:cs="Times New Roman"/>
        </w:rPr>
        <w:t>to globally</w:t>
      </w:r>
      <w:proofErr w:type="gramEnd"/>
      <w:r>
        <w:rPr>
          <w:rFonts w:cs="Times New Roman"/>
        </w:rPr>
        <w:t xml:space="preserve"> advocate for the role of plant health in One Health and enhance its integration and visibility.</w:t>
      </w:r>
    </w:p>
    <w:p w14:paraId="7E6BF497" w14:textId="77777777" w:rsidR="00C0335B" w:rsidRDefault="00C0335B" w:rsidP="00C0335B">
      <w:pPr>
        <w:rPr>
          <w:rFonts w:cs="Times New Roman"/>
        </w:rPr>
      </w:pPr>
    </w:p>
    <w:p w14:paraId="0E934F1A" w14:textId="77777777" w:rsidR="00C0335B" w:rsidRPr="00AB5032" w:rsidRDefault="00C0335B" w:rsidP="00C0335B">
      <w:pPr>
        <w:rPr>
          <w:rFonts w:cs="Times New Roman"/>
          <w:i/>
          <w:iCs/>
        </w:rPr>
      </w:pPr>
      <w:r w:rsidRPr="00606676">
        <w:rPr>
          <w:rFonts w:cs="Times New Roman"/>
          <w:i/>
          <w:iCs/>
          <w:u w:val="single"/>
        </w:rPr>
        <w:t>Example 1</w:t>
      </w:r>
      <w:r w:rsidRPr="00CF2C71">
        <w:rPr>
          <w:rFonts w:cs="Times New Roman"/>
          <w:i/>
          <w:iCs/>
        </w:rPr>
        <w:t>:</w:t>
      </w:r>
      <w:r>
        <w:rPr>
          <w:rFonts w:cs="Times New Roman"/>
        </w:rPr>
        <w:t xml:space="preserve"> </w:t>
      </w:r>
      <w:r>
        <w:rPr>
          <w:rFonts w:cs="Times New Roman"/>
          <w:i/>
          <w:iCs/>
        </w:rPr>
        <w:t>European and Mediterranean Plant Protection Organization (EPPO) Database on Resistance Cases</w:t>
      </w:r>
    </w:p>
    <w:p w14:paraId="444E50DE" w14:textId="77777777" w:rsidR="00C0335B" w:rsidRPr="003A502D" w:rsidRDefault="00C0335B" w:rsidP="00305B1B">
      <w:pPr>
        <w:pStyle w:val="IPPParagraphnumbering"/>
        <w:numPr>
          <w:ilvl w:val="0"/>
          <w:numId w:val="16"/>
        </w:numPr>
        <w:rPr>
          <w:rFonts w:eastAsia="Times New Roman" w:cs="Times New Roman"/>
          <w:color w:val="000000"/>
        </w:rPr>
      </w:pPr>
      <w:r>
        <w:rPr>
          <w:rFonts w:eastAsia="Times New Roman" w:cs="Times New Roman"/>
          <w:color w:val="000000"/>
        </w:rPr>
        <w:t xml:space="preserve">The EPPO Database on Resistance Cases shares One Health information across countries. This database collects information on documented resistances cases and assists EPPO member countries and applicants involved in the Plant Protection Products authorization process to better understand </w:t>
      </w:r>
      <w:r w:rsidRPr="00305B1B">
        <w:rPr>
          <w:rFonts w:cs="Times New Roman"/>
        </w:rPr>
        <w:t>development</w:t>
      </w:r>
      <w:r>
        <w:rPr>
          <w:rFonts w:eastAsia="Times New Roman" w:cs="Times New Roman"/>
          <w:color w:val="000000"/>
        </w:rPr>
        <w:t xml:space="preserve"> of resistance across the EPPO region, facilitate the early identification of resistance trends, develop resistance management strategies that take into account both the national and regional resistance contexts, address resistance issues in the authorization process and facilitate the implementation of an EPPO standard on resistance risk analysis. At the beginning of 2025, 21 countries entered resistance cases into the database with 994 cases validated and published. This includes 445 fungicide cases, 282 herbicide cases, 219 insecticide cases, and 48 acaricide cases (EPPO, 2025).</w:t>
      </w:r>
    </w:p>
    <w:p w14:paraId="0B8125E0" w14:textId="77777777" w:rsidR="00C0335B" w:rsidRDefault="00C0335B" w:rsidP="00C0335B">
      <w:pPr>
        <w:rPr>
          <w:rFonts w:cs="Times New Roman"/>
        </w:rPr>
      </w:pPr>
    </w:p>
    <w:p w14:paraId="7496B1F4" w14:textId="77777777" w:rsidR="00C0335B" w:rsidRPr="00CF2C71" w:rsidRDefault="00C0335B" w:rsidP="00C0335B">
      <w:pPr>
        <w:rPr>
          <w:rFonts w:cs="Times New Roman"/>
          <w:i/>
          <w:iCs/>
        </w:rPr>
      </w:pPr>
      <w:r w:rsidRPr="00606676">
        <w:rPr>
          <w:rFonts w:cs="Times New Roman"/>
          <w:i/>
          <w:iCs/>
          <w:u w:val="single"/>
        </w:rPr>
        <w:t>Example 2</w:t>
      </w:r>
      <w:r w:rsidRPr="4CC710A2">
        <w:rPr>
          <w:rFonts w:cs="Times New Roman"/>
          <w:i/>
          <w:iCs/>
        </w:rPr>
        <w:t>:</w:t>
      </w:r>
      <w:r>
        <w:rPr>
          <w:rFonts w:cs="Times New Roman"/>
          <w:i/>
          <w:iCs/>
        </w:rPr>
        <w:t xml:space="preserve"> </w:t>
      </w:r>
      <w:r w:rsidRPr="4CC710A2">
        <w:rPr>
          <w:rFonts w:cs="Times New Roman"/>
          <w:i/>
          <w:iCs/>
        </w:rPr>
        <w:t>P</w:t>
      </w:r>
      <w:r>
        <w:rPr>
          <w:rFonts w:cs="Times New Roman"/>
          <w:i/>
          <w:iCs/>
        </w:rPr>
        <w:t>LANTIBIO</w:t>
      </w:r>
      <w:r w:rsidRPr="4CC710A2">
        <w:rPr>
          <w:rFonts w:cs="Times New Roman"/>
          <w:i/>
          <w:iCs/>
        </w:rPr>
        <w:t xml:space="preserve"> </w:t>
      </w:r>
      <w:r>
        <w:rPr>
          <w:rFonts w:cs="Times New Roman"/>
          <w:i/>
          <w:iCs/>
        </w:rPr>
        <w:t>P</w:t>
      </w:r>
      <w:r w:rsidRPr="4CC710A2">
        <w:rPr>
          <w:rFonts w:cs="Times New Roman"/>
          <w:i/>
          <w:iCs/>
        </w:rPr>
        <w:t xml:space="preserve">roject, founded by </w:t>
      </w:r>
      <w:r w:rsidRPr="00171C59">
        <w:rPr>
          <w:rFonts w:cs="Times New Roman"/>
          <w:i/>
          <w:iCs/>
        </w:rPr>
        <w:t xml:space="preserve">the </w:t>
      </w:r>
      <w:r w:rsidRPr="00AB5032">
        <w:rPr>
          <w:rFonts w:cs="Times New Roman"/>
          <w:i/>
          <w:iCs/>
        </w:rPr>
        <w:t>European Food Safety Authority</w:t>
      </w:r>
      <w:r w:rsidRPr="00171C59" w:rsidDel="00171C59">
        <w:rPr>
          <w:rFonts w:cs="Times New Roman"/>
          <w:i/>
          <w:iCs/>
        </w:rPr>
        <w:t xml:space="preserve"> </w:t>
      </w:r>
      <w:r w:rsidRPr="00171C59">
        <w:rPr>
          <w:rFonts w:cs="Times New Roman"/>
          <w:i/>
          <w:iCs/>
        </w:rPr>
        <w:t>(EFSA),</w:t>
      </w:r>
      <w:r w:rsidRPr="4CC710A2">
        <w:rPr>
          <w:rFonts w:cs="Times New Roman"/>
          <w:i/>
          <w:iCs/>
        </w:rPr>
        <w:t xml:space="preserve"> and coordinated by Claude Bragard </w:t>
      </w:r>
    </w:p>
    <w:p w14:paraId="5435C497" w14:textId="77777777" w:rsidR="00C0335B" w:rsidRPr="004B26E0" w:rsidRDefault="00C0335B" w:rsidP="00305B1B">
      <w:pPr>
        <w:pStyle w:val="IPPParagraphnumbering"/>
        <w:numPr>
          <w:ilvl w:val="0"/>
          <w:numId w:val="16"/>
        </w:numPr>
        <w:rPr>
          <w:rFonts w:cs="Times New Roman"/>
          <w:iCs/>
        </w:rPr>
      </w:pPr>
      <w:r w:rsidRPr="004B26E0">
        <w:rPr>
          <w:rFonts w:cs="Times New Roman"/>
          <w:iCs/>
        </w:rPr>
        <w:t>As reported at CPM</w:t>
      </w:r>
      <w:r>
        <w:rPr>
          <w:rFonts w:cs="Times New Roman"/>
          <w:iCs/>
        </w:rPr>
        <w:t>-16 (2022)</w:t>
      </w:r>
      <w:r w:rsidRPr="004B26E0">
        <w:rPr>
          <w:rFonts w:cs="Times New Roman"/>
          <w:iCs/>
        </w:rPr>
        <w:t xml:space="preserve"> (CPM2022/CRP/05), an EFSA-founded project, PLANT</w:t>
      </w:r>
      <w:r>
        <w:rPr>
          <w:rFonts w:cs="Times New Roman"/>
          <w:iCs/>
        </w:rPr>
        <w:t>I</w:t>
      </w:r>
      <w:r w:rsidRPr="004B26E0">
        <w:rPr>
          <w:rFonts w:cs="Times New Roman"/>
          <w:iCs/>
        </w:rPr>
        <w:t xml:space="preserve">BIO, aimed at </w:t>
      </w:r>
      <w:r w:rsidRPr="00305B1B">
        <w:rPr>
          <w:rFonts w:eastAsia="Times New Roman" w:cs="Times New Roman"/>
          <w:color w:val="000000"/>
        </w:rPr>
        <w:t>gathering</w:t>
      </w:r>
      <w:r w:rsidRPr="004B26E0">
        <w:rPr>
          <w:rFonts w:cs="Times New Roman"/>
          <w:iCs/>
        </w:rPr>
        <w:t xml:space="preserve"> a global data collection on antimicrobials use and </w:t>
      </w:r>
      <w:r>
        <w:rPr>
          <w:rFonts w:cs="Times New Roman"/>
          <w:iCs/>
        </w:rPr>
        <w:t>AMR</w:t>
      </w:r>
      <w:r w:rsidRPr="004B26E0">
        <w:rPr>
          <w:rFonts w:cs="Times New Roman"/>
          <w:iCs/>
        </w:rPr>
        <w:t xml:space="preserve"> in plant pathogenic bacteria</w:t>
      </w:r>
      <w:r>
        <w:rPr>
          <w:rFonts w:cs="Times New Roman"/>
          <w:iCs/>
        </w:rPr>
        <w:t xml:space="preserve"> </w:t>
      </w:r>
      <w:r w:rsidRPr="004B26E0">
        <w:rPr>
          <w:rFonts w:cs="Times New Roman"/>
          <w:iCs/>
        </w:rPr>
        <w:t xml:space="preserve">to reduce risk assessment uncertainties. Taking into consideration the lack of data on antimicrobial use despite evidence on the key role of </w:t>
      </w:r>
      <w:r>
        <w:rPr>
          <w:rFonts w:cs="Times New Roman"/>
          <w:iCs/>
        </w:rPr>
        <w:t xml:space="preserve">the </w:t>
      </w:r>
      <w:r w:rsidRPr="004B26E0">
        <w:rPr>
          <w:rFonts w:cs="Times New Roman"/>
          <w:iCs/>
        </w:rPr>
        <w:t>environment in the emergence of resistance to antibiotics, EFSA initiated a focus on plant pathogenic bacteria causing systemic plant diseases. These diseases are a growing concern because of the difficulties controlling them and because of their spreading capacity by means of global trade of infected plants. Countries contributed by providing information on antibiotic</w:t>
      </w:r>
      <w:r>
        <w:rPr>
          <w:rFonts w:cs="Times New Roman"/>
          <w:iCs/>
        </w:rPr>
        <w:t>s</w:t>
      </w:r>
      <w:r w:rsidRPr="004B26E0">
        <w:rPr>
          <w:rFonts w:cs="Times New Roman"/>
          <w:iCs/>
        </w:rPr>
        <w:t xml:space="preserve"> used as plant protection products and/or participated </w:t>
      </w:r>
      <w:r>
        <w:rPr>
          <w:rFonts w:cs="Times New Roman"/>
          <w:iCs/>
        </w:rPr>
        <w:t>in a</w:t>
      </w:r>
      <w:r w:rsidRPr="004B26E0">
        <w:rPr>
          <w:rFonts w:cs="Times New Roman"/>
          <w:iCs/>
        </w:rPr>
        <w:t xml:space="preserve"> corresponding workshop organized in 2022. Antibiotic resistance cases were reported, </w:t>
      </w:r>
      <w:r>
        <w:rPr>
          <w:rFonts w:cs="Times New Roman"/>
          <w:iCs/>
        </w:rPr>
        <w:t xml:space="preserve">the </w:t>
      </w:r>
      <w:r w:rsidRPr="004B26E0">
        <w:rPr>
          <w:rFonts w:cs="Times New Roman"/>
          <w:iCs/>
        </w:rPr>
        <w:t>majority</w:t>
      </w:r>
      <w:r>
        <w:rPr>
          <w:rFonts w:cs="Times New Roman"/>
          <w:iCs/>
        </w:rPr>
        <w:t xml:space="preserve"> of which were</w:t>
      </w:r>
      <w:r w:rsidRPr="004B26E0">
        <w:rPr>
          <w:rFonts w:cs="Times New Roman"/>
          <w:iCs/>
        </w:rPr>
        <w:t xml:space="preserve"> for streptomycin, and an overview emphasized the importance of antibiotic resistance and its consequences, including the problems arising from </w:t>
      </w:r>
      <w:r>
        <w:rPr>
          <w:rFonts w:cs="Times New Roman"/>
          <w:iCs/>
        </w:rPr>
        <w:t>AMR</w:t>
      </w:r>
      <w:r w:rsidRPr="004B26E0">
        <w:rPr>
          <w:rFonts w:cs="Times New Roman"/>
          <w:iCs/>
        </w:rPr>
        <w:t xml:space="preserve"> in both humans and plants, </w:t>
      </w:r>
      <w:r>
        <w:rPr>
          <w:rFonts w:cs="Times New Roman"/>
          <w:iCs/>
        </w:rPr>
        <w:t>including</w:t>
      </w:r>
      <w:r w:rsidRPr="004B26E0">
        <w:rPr>
          <w:rFonts w:cs="Times New Roman"/>
          <w:iCs/>
        </w:rPr>
        <w:t xml:space="preserve"> the transfer of resistant genes</w:t>
      </w:r>
      <w:r>
        <w:rPr>
          <w:rFonts w:cs="Times New Roman"/>
          <w:iCs/>
        </w:rPr>
        <w:t xml:space="preserve"> (EFSA and </w:t>
      </w:r>
      <w:proofErr w:type="spellStart"/>
      <w:r>
        <w:rPr>
          <w:rFonts w:cs="Times New Roman"/>
          <w:iCs/>
        </w:rPr>
        <w:t>UCLouvain</w:t>
      </w:r>
      <w:proofErr w:type="spellEnd"/>
      <w:r>
        <w:rPr>
          <w:rFonts w:cs="Times New Roman"/>
          <w:iCs/>
        </w:rPr>
        <w:t>, 2022)</w:t>
      </w:r>
      <w:r w:rsidRPr="004B26E0">
        <w:rPr>
          <w:rFonts w:cs="Times New Roman"/>
          <w:iCs/>
        </w:rPr>
        <w:t>.</w:t>
      </w:r>
    </w:p>
    <w:p w14:paraId="2DC3C4E0" w14:textId="77777777" w:rsidR="00C0335B" w:rsidRDefault="00C0335B" w:rsidP="00C0335B">
      <w:pPr>
        <w:rPr>
          <w:rFonts w:cs="Times New Roman"/>
        </w:rPr>
      </w:pPr>
    </w:p>
    <w:p w14:paraId="4A648E0E" w14:textId="77777777" w:rsidR="00C0335B" w:rsidRDefault="00C0335B" w:rsidP="00C0335B">
      <w:pPr>
        <w:rPr>
          <w:rFonts w:cs="Times New Roman"/>
        </w:rPr>
      </w:pPr>
      <w:r w:rsidRPr="00606676">
        <w:rPr>
          <w:rFonts w:cs="Times New Roman"/>
          <w:i/>
          <w:iCs/>
          <w:u w:val="single"/>
        </w:rPr>
        <w:t>Example 3</w:t>
      </w:r>
      <w:r w:rsidRPr="00CF2C71">
        <w:rPr>
          <w:rFonts w:cs="Times New Roman"/>
          <w:i/>
          <w:iCs/>
        </w:rPr>
        <w:t>:</w:t>
      </w:r>
      <w:r>
        <w:rPr>
          <w:rFonts w:cs="Times New Roman"/>
          <w:i/>
          <w:iCs/>
        </w:rPr>
        <w:t xml:space="preserve"> U.S. Environmental Protection Agency (EPA) Framework for Interagency Collaboration on Resistance Risks associated with Antibacterial and Antifungal Pesticides</w:t>
      </w:r>
    </w:p>
    <w:p w14:paraId="0EAA9045" w14:textId="77777777" w:rsidR="00C0335B" w:rsidRPr="00AB5032" w:rsidRDefault="00C0335B" w:rsidP="00305B1B">
      <w:pPr>
        <w:pStyle w:val="IPPParagraphnumbering"/>
        <w:numPr>
          <w:ilvl w:val="0"/>
          <w:numId w:val="16"/>
        </w:numPr>
        <w:rPr>
          <w:rFonts w:cs="Times New Roman"/>
        </w:rPr>
      </w:pPr>
      <w:r>
        <w:rPr>
          <w:rFonts w:cs="Times New Roman"/>
        </w:rPr>
        <w:t xml:space="preserve">EPA coordinated with the U.S. Department of Health and Human Services and the U.S. Department of </w:t>
      </w:r>
      <w:r w:rsidRPr="00305B1B">
        <w:rPr>
          <w:rFonts w:eastAsia="Times New Roman" w:cs="Times New Roman"/>
          <w:color w:val="000000"/>
        </w:rPr>
        <w:t>Agriculture</w:t>
      </w:r>
      <w:r>
        <w:rPr>
          <w:rFonts w:cs="Times New Roman"/>
        </w:rPr>
        <w:t xml:space="preserve"> (USDA) to develop a process to consider input from other federal agencies when evaluating whether antibacterial and antifungal pesticides might result in the development or spread of resistance and reduce the effectiveness of some human and animal antibacterial and antifungal drugs. The framework integrates human, plant and environmental science and recognizes the benefits of pesticides to agriculture while minimizing their impact on public and animal health using a One Health approach. The framework established a working group with experts from across the federal government, including the Centers for Disease Control and Prevention, the Food and Drug Administration, and USDA. The EPA consults with the working group to seek input on draft assessments for antibacterial and antifungal pesticides covered by the framework with the goal of improving human health outcomes (EPA, 2025).</w:t>
      </w:r>
    </w:p>
    <w:p w14:paraId="406D7119" w14:textId="77777777" w:rsidR="00C0335B" w:rsidRDefault="00C0335B" w:rsidP="00C0335B">
      <w:pPr>
        <w:rPr>
          <w:rFonts w:cs="Times New Roman"/>
          <w:i/>
          <w:iCs/>
        </w:rPr>
      </w:pPr>
    </w:p>
    <w:p w14:paraId="4198913E" w14:textId="77777777" w:rsidR="00C0335B" w:rsidRDefault="00C0335B" w:rsidP="00C0335B">
      <w:pPr>
        <w:rPr>
          <w:rFonts w:cs="Times New Roman"/>
        </w:rPr>
      </w:pPr>
      <w:r w:rsidRPr="00606676">
        <w:rPr>
          <w:rFonts w:cs="Times New Roman"/>
          <w:i/>
          <w:iCs/>
          <w:u w:val="single"/>
        </w:rPr>
        <w:t>Example 4</w:t>
      </w:r>
      <w:r>
        <w:rPr>
          <w:rFonts w:cs="Times New Roman"/>
          <w:i/>
          <w:iCs/>
        </w:rPr>
        <w:t>:</w:t>
      </w:r>
      <w:r>
        <w:rPr>
          <w:rFonts w:cs="Times New Roman"/>
        </w:rPr>
        <w:t xml:space="preserve"> </w:t>
      </w:r>
      <w:r>
        <w:rPr>
          <w:rFonts w:cs="Times New Roman"/>
          <w:i/>
          <w:iCs/>
        </w:rPr>
        <w:t>IPPC Plant Health Campus</w:t>
      </w:r>
    </w:p>
    <w:p w14:paraId="1508C41A" w14:textId="77777777" w:rsidR="00C0335B" w:rsidRPr="00883CAE" w:rsidRDefault="00C0335B" w:rsidP="00305B1B">
      <w:pPr>
        <w:pStyle w:val="IPPParagraphnumbering"/>
        <w:numPr>
          <w:ilvl w:val="0"/>
          <w:numId w:val="16"/>
        </w:numPr>
        <w:rPr>
          <w:rFonts w:cs="Times New Roman"/>
        </w:rPr>
      </w:pPr>
      <w:r>
        <w:rPr>
          <w:rFonts w:cs="Times New Roman"/>
        </w:rPr>
        <w:t xml:space="preserve">The IPPC Plant Health Campus is a global e-learning platform hosted on the FAO </w:t>
      </w:r>
      <w:proofErr w:type="spellStart"/>
      <w:r>
        <w:rPr>
          <w:rFonts w:cs="Times New Roman"/>
        </w:rPr>
        <w:t>elearning</w:t>
      </w:r>
      <w:proofErr w:type="spellEnd"/>
      <w:r>
        <w:rPr>
          <w:rFonts w:cs="Times New Roman"/>
        </w:rPr>
        <w:t xml:space="preserve"> Academy portal that strengthens phytosanitary capacity worldwide in a sustainable manner. It provides free, high-</w:t>
      </w:r>
      <w:r w:rsidRPr="00305B1B">
        <w:rPr>
          <w:rFonts w:eastAsia="Times New Roman" w:cs="Times New Roman"/>
          <w:color w:val="000000"/>
        </w:rPr>
        <w:t>quality</w:t>
      </w:r>
      <w:r>
        <w:rPr>
          <w:rFonts w:cs="Times New Roman"/>
        </w:rPr>
        <w:t xml:space="preserve"> courses and guides for NPPOs, plant health professionals and students on NPPO management, pest surveillance, pest pathways, pest risk analysis, market access, emergency response, import and export, inspection and audit and communication and partnerships. The e-learning courses can be used </w:t>
      </w:r>
      <w:r>
        <w:rPr>
          <w:rFonts w:cs="Times New Roman"/>
        </w:rPr>
        <w:lastRenderedPageBreak/>
        <w:t>for self-directed learning or can be integrated into national training programs. The guides enhance learning, suggest best practices and provide country case studies (FAO, 2025d).</w:t>
      </w:r>
    </w:p>
    <w:p w14:paraId="0C57E55A" w14:textId="77777777" w:rsidR="00C0335B" w:rsidRPr="009B5FA0" w:rsidRDefault="00C0335B" w:rsidP="00C0335B">
      <w:pPr>
        <w:rPr>
          <w:rFonts w:cs="Times New Roman"/>
        </w:rPr>
      </w:pPr>
    </w:p>
    <w:p w14:paraId="23066140" w14:textId="77777777" w:rsidR="00C0335B" w:rsidRPr="00372095" w:rsidRDefault="00C0335B" w:rsidP="00996042">
      <w:pPr>
        <w:pStyle w:val="ListParagraph"/>
        <w:numPr>
          <w:ilvl w:val="0"/>
          <w:numId w:val="14"/>
        </w:numPr>
        <w:spacing w:line="240" w:lineRule="auto"/>
        <w:ind w:leftChars="0" w:left="360"/>
        <w:contextualSpacing/>
        <w:jc w:val="left"/>
        <w:rPr>
          <w:rFonts w:ascii="Times New Roman" w:hAnsi="Times New Roman" w:cs="Times New Roman"/>
        </w:rPr>
      </w:pPr>
      <w:r>
        <w:rPr>
          <w:rFonts w:ascii="Times New Roman" w:hAnsi="Times New Roman" w:cs="Times New Roman"/>
          <w:b/>
          <w:bCs/>
        </w:rPr>
        <w:t>Challenges</w:t>
      </w:r>
    </w:p>
    <w:p w14:paraId="46CD8687" w14:textId="77777777" w:rsidR="00C0335B" w:rsidRPr="00FD320C" w:rsidRDefault="00C0335B" w:rsidP="00C0335B">
      <w:pPr>
        <w:rPr>
          <w:rFonts w:ascii="Aptos Narrow" w:eastAsia="Times New Roman" w:hAnsi="Aptos Narrow" w:cs="Times New Roman"/>
          <w:i/>
          <w:iCs/>
          <w:color w:val="000000"/>
          <w:szCs w:val="22"/>
        </w:rPr>
      </w:pPr>
      <w:r w:rsidRPr="00D30260">
        <w:rPr>
          <w:rFonts w:ascii="Aptos Narrow" w:eastAsia="Times New Roman" w:hAnsi="Aptos Narrow" w:cs="Times New Roman"/>
          <w:i/>
          <w:iCs/>
          <w:color w:val="000000"/>
          <w:szCs w:val="22"/>
        </w:rPr>
        <w:t>What policies or regulatory frameworks hinder the integration of plant health into OH?</w:t>
      </w:r>
    </w:p>
    <w:p w14:paraId="55AEBE4F" w14:textId="77777777" w:rsidR="00C0335B" w:rsidRPr="00FD320C" w:rsidRDefault="00C0335B" w:rsidP="00C0335B">
      <w:pPr>
        <w:rPr>
          <w:rFonts w:ascii="Aptos Narrow" w:eastAsia="Times New Roman" w:hAnsi="Aptos Narrow" w:cs="Times New Roman"/>
          <w:i/>
          <w:iCs/>
          <w:color w:val="000000"/>
          <w:szCs w:val="22"/>
        </w:rPr>
      </w:pPr>
      <w:r w:rsidRPr="00E93673">
        <w:rPr>
          <w:rFonts w:ascii="Aptos Narrow" w:eastAsia="Times New Roman" w:hAnsi="Aptos Narrow" w:cs="Times New Roman"/>
          <w:i/>
          <w:iCs/>
          <w:color w:val="000000"/>
          <w:szCs w:val="22"/>
        </w:rPr>
        <w:t>What are the key knowledge gaps in understanding the role of plant health in OH?</w:t>
      </w:r>
    </w:p>
    <w:p w14:paraId="2BC7D1AA" w14:textId="77777777" w:rsidR="00C0335B" w:rsidRDefault="00C0335B" w:rsidP="00C0335B">
      <w:pPr>
        <w:rPr>
          <w:rFonts w:ascii="Aptos Narrow" w:eastAsia="Times New Roman" w:hAnsi="Aptos Narrow" w:cs="Times New Roman"/>
          <w:i/>
          <w:iCs/>
          <w:color w:val="000000"/>
          <w:szCs w:val="22"/>
        </w:rPr>
      </w:pPr>
      <w:r w:rsidRPr="00E93673">
        <w:rPr>
          <w:rFonts w:ascii="Aptos Narrow" w:eastAsia="Times New Roman" w:hAnsi="Aptos Narrow" w:cs="Times New Roman"/>
          <w:i/>
          <w:iCs/>
          <w:color w:val="000000"/>
          <w:szCs w:val="22"/>
        </w:rPr>
        <w:t>What capacity-building needs exist for NPPOs to engage in OH initiatives?</w:t>
      </w:r>
    </w:p>
    <w:p w14:paraId="2BC32EFE" w14:textId="77777777" w:rsidR="00C0335B" w:rsidRDefault="00C0335B" w:rsidP="00C0335B">
      <w:pPr>
        <w:rPr>
          <w:rFonts w:cs="Times New Roman"/>
        </w:rPr>
      </w:pPr>
    </w:p>
    <w:p w14:paraId="4D5705B2" w14:textId="13C9175D" w:rsidR="00C0335B" w:rsidRPr="00A10A4F" w:rsidRDefault="00C0335B" w:rsidP="00C0335B">
      <w:pPr>
        <w:pStyle w:val="IPPParagraphnumbering"/>
        <w:numPr>
          <w:ilvl w:val="0"/>
          <w:numId w:val="16"/>
        </w:numPr>
        <w:rPr>
          <w:rFonts w:cs="Times New Roman"/>
        </w:rPr>
      </w:pPr>
      <w:r>
        <w:rPr>
          <w:rFonts w:eastAsia="Times New Roman" w:cs="Times New Roman"/>
          <w:color w:val="000000"/>
        </w:rPr>
        <w:t>Not seeing plants and understanding their importance has repercussions, and is referred to as plant blindness (</w:t>
      </w:r>
      <w:proofErr w:type="spellStart"/>
      <w:r>
        <w:rPr>
          <w:rFonts w:eastAsia="Times New Roman" w:cs="Times New Roman"/>
          <w:color w:val="000000"/>
        </w:rPr>
        <w:t>Scholthof</w:t>
      </w:r>
      <w:proofErr w:type="spellEnd"/>
      <w:r>
        <w:rPr>
          <w:rFonts w:eastAsia="Times New Roman" w:cs="Times New Roman"/>
          <w:color w:val="000000"/>
        </w:rPr>
        <w:t xml:space="preserve">, 2024). </w:t>
      </w:r>
      <w:r w:rsidRPr="00911F85">
        <w:rPr>
          <w:rFonts w:eastAsia="Times New Roman" w:cs="Times New Roman"/>
          <w:color w:val="000000"/>
        </w:rPr>
        <w:t>Plant blindness is defined as “an inability to notice or see plants in the environment; failure to recognize the importance of plants in the biosphere and in human affairs; failure to see, notice, or pay attention to plants in one’s own daily life; and an anthropocentric ranking of plants as inferior to animals” (</w:t>
      </w:r>
      <w:r>
        <w:rPr>
          <w:rFonts w:eastAsia="Times New Roman" w:cs="Times New Roman"/>
          <w:color w:val="000000"/>
        </w:rPr>
        <w:t>Wandersee and Schussler, 1999)</w:t>
      </w:r>
      <w:r w:rsidRPr="00911F85">
        <w:rPr>
          <w:rFonts w:eastAsia="Times New Roman" w:cs="Times New Roman"/>
          <w:color w:val="000000"/>
        </w:rPr>
        <w:t>.</w:t>
      </w:r>
      <w:r>
        <w:rPr>
          <w:rFonts w:eastAsia="Times New Roman" w:cs="Times New Roman"/>
          <w:color w:val="000000"/>
        </w:rPr>
        <w:t xml:space="preserve"> </w:t>
      </w:r>
      <w:r>
        <w:rPr>
          <w:rFonts w:cs="Times New Roman"/>
        </w:rPr>
        <w:t>These underlying sentiments have contributed to plant health being an often-overlooked part of One Health, and action to correct this problem is lagging (Danielsen et al., 2025). Plant health specialists are under-represented in key roles such as board memberships and keynote speakers and plant pathology studies are under-represented in One Health journals (Lorenzini and Nali, 2025). In addition, some plant health professionals do not associate their work with One Health while traditional One Health professionals often do not see the value of integrating plant health into their program activities. Significant conceptual, disciplinary, and power-related gaps hinder plant health’s integration into One Health too (Danielsen et al., 2025).</w:t>
      </w:r>
    </w:p>
    <w:p w14:paraId="0BB9A6A4" w14:textId="5833814F" w:rsidR="00C0335B" w:rsidRPr="00A10A4F" w:rsidRDefault="00C0335B" w:rsidP="00C0335B">
      <w:pPr>
        <w:pStyle w:val="IPPParagraphnumbering"/>
        <w:numPr>
          <w:ilvl w:val="0"/>
          <w:numId w:val="16"/>
        </w:numPr>
        <w:rPr>
          <w:rFonts w:cs="Times New Roman"/>
          <w:color w:val="A6A6A6" w:themeColor="background1" w:themeShade="A6"/>
          <w:shd w:val="clear" w:color="auto" w:fill="FFFFFF"/>
        </w:rPr>
      </w:pPr>
      <w:r>
        <w:rPr>
          <w:rFonts w:cs="Times New Roman"/>
        </w:rPr>
        <w:t xml:space="preserve">To build plant health capacity and engage in One Health initiatives, NPPOs need to focus on integrating plant health into strategies and actions that address human, animal and environmental health. Some areas </w:t>
      </w:r>
      <w:r w:rsidRPr="00305B1B">
        <w:rPr>
          <w:rFonts w:eastAsia="Times New Roman" w:cs="Times New Roman"/>
          <w:color w:val="000000"/>
        </w:rPr>
        <w:t>that</w:t>
      </w:r>
      <w:r>
        <w:rPr>
          <w:rFonts w:cs="Times New Roman"/>
        </w:rPr>
        <w:t xml:space="preserve"> should be considered include biosecurity, pest, disease and vector surveillance, AMR, sustainable agricultural practices and the interconnectedness of plant health with food security and ecosystem health (FAO, 2025a</w:t>
      </w:r>
      <w:r>
        <w:rPr>
          <w:rFonts w:cs="Times New Roman"/>
          <w:color w:val="001D35"/>
          <w:shd w:val="clear" w:color="auto" w:fill="FFFFFF"/>
        </w:rPr>
        <w:t>). Integrating plant biosecurity surveillance with broader One Health monitoring would strengthen the ability for early detection and management of emerging threats (</w:t>
      </w:r>
      <w:proofErr w:type="spellStart"/>
      <w:r>
        <w:rPr>
          <w:rFonts w:cs="Times New Roman"/>
          <w:color w:val="001D35"/>
          <w:shd w:val="clear" w:color="auto" w:fill="FFFFFF"/>
        </w:rPr>
        <w:t>Alawneh</w:t>
      </w:r>
      <w:proofErr w:type="spellEnd"/>
      <w:r>
        <w:rPr>
          <w:rFonts w:cs="Times New Roman"/>
          <w:color w:val="001D35"/>
          <w:shd w:val="clear" w:color="auto" w:fill="FFFFFF"/>
        </w:rPr>
        <w:t xml:space="preserve"> et al., 2025).</w:t>
      </w:r>
    </w:p>
    <w:p w14:paraId="1C69E34C" w14:textId="3485B199" w:rsidR="00C0335B" w:rsidRPr="00A10A4F" w:rsidRDefault="00C0335B" w:rsidP="00C0335B">
      <w:pPr>
        <w:pStyle w:val="IPPParagraphnumbering"/>
        <w:numPr>
          <w:ilvl w:val="0"/>
          <w:numId w:val="16"/>
        </w:numPr>
        <w:rPr>
          <w:rFonts w:eastAsia="Times New Roman" w:cs="Times New Roman"/>
          <w:color w:val="000000"/>
        </w:rPr>
      </w:pPr>
      <w:r>
        <w:rPr>
          <w:rFonts w:eastAsia="Times New Roman" w:cs="Times New Roman"/>
          <w:color w:val="000000"/>
        </w:rPr>
        <w:t xml:space="preserve">To better integrate plant health into One Health, some of the existing knowledge gaps need to be addressed. The plant health community needs a better understanding of the prevalence of AMR on food crops and the sources and transmission routes of antimicrobial resistant bacteria and AMR genes in food-producing environments (Brunn et al., 2022; </w:t>
      </w:r>
      <w:proofErr w:type="spellStart"/>
      <w:r>
        <w:rPr>
          <w:rFonts w:eastAsia="Times New Roman" w:cs="Times New Roman"/>
          <w:color w:val="000000"/>
        </w:rPr>
        <w:t>Koutsoumanis</w:t>
      </w:r>
      <w:proofErr w:type="spellEnd"/>
      <w:r>
        <w:rPr>
          <w:rFonts w:eastAsia="Times New Roman" w:cs="Times New Roman"/>
          <w:color w:val="000000"/>
        </w:rPr>
        <w:t xml:space="preserve"> et al., 2021). Antimicrobial use on plants requires additional research and surveillance to effectively inform stewardship priorities, with active input from governments, the plant protection product industry, and crop farming community stakeholders (</w:t>
      </w:r>
      <w:r>
        <w:rPr>
          <w:rFonts w:cs="Times New Roman"/>
        </w:rPr>
        <w:t xml:space="preserve">Miller et al., 2022; </w:t>
      </w:r>
      <w:r>
        <w:rPr>
          <w:rFonts w:eastAsia="Times New Roman" w:cs="Times New Roman"/>
          <w:color w:val="000000"/>
        </w:rPr>
        <w:t>Public Health Agency of Canada, 2023</w:t>
      </w:r>
      <w:r>
        <w:rPr>
          <w:rFonts w:cs="Times New Roman"/>
        </w:rPr>
        <w:t>)</w:t>
      </w:r>
      <w:r>
        <w:rPr>
          <w:rFonts w:eastAsia="Times New Roman" w:cs="Times New Roman"/>
          <w:color w:val="000000"/>
        </w:rPr>
        <w:t>. In addition, while there is a general understanding of the role that bactericides and fungicides play in the development of AMR in human and animal pathogens, a knowledge gap still exists about the role that herbicides and insecticides play (</w:t>
      </w:r>
      <w:r>
        <w:rPr>
          <w:rFonts w:cs="Times New Roman"/>
        </w:rPr>
        <w:t>Miller et al., 2022)</w:t>
      </w:r>
      <w:r>
        <w:rPr>
          <w:rFonts w:eastAsia="Times New Roman" w:cs="Times New Roman"/>
          <w:color w:val="000000"/>
        </w:rPr>
        <w:t>. These knowledge gaps prevent plant health from being consistently included in action plans focused on developing, implementing and promoting guidelines and standards for appropriate antimicrobial use across the entire One Health paradigm (Public Health Agency of Canada, 2023).</w:t>
      </w:r>
    </w:p>
    <w:p w14:paraId="620E0FF8" w14:textId="1C030E12" w:rsidR="00C0335B" w:rsidRPr="00A10A4F" w:rsidRDefault="00C0335B" w:rsidP="00C0335B">
      <w:pPr>
        <w:pStyle w:val="IPPParagraphnumbering"/>
        <w:numPr>
          <w:ilvl w:val="0"/>
          <w:numId w:val="16"/>
        </w:numPr>
        <w:rPr>
          <w:rFonts w:eastAsia="Times New Roman" w:cs="Times New Roman"/>
          <w:color w:val="000000"/>
        </w:rPr>
      </w:pPr>
      <w:r>
        <w:rPr>
          <w:rFonts w:eastAsia="Times New Roman" w:cs="Times New Roman"/>
          <w:color w:val="000000"/>
        </w:rPr>
        <w:t xml:space="preserve">Even though One Health often overlooks plant health during the development of strategic plans and action plans, plant health fields like agroecology, sustainable food systems and integrated landscape management already take a One Health approach to their work. The disconnect between the other One Health pillars and plant health limits identification of interconnected health challenges, obscures knowledge gaps, and stifles opportunities for collaboration (Danielsen et al., 2025). </w:t>
      </w:r>
    </w:p>
    <w:p w14:paraId="79DEA9FD" w14:textId="186EC09C" w:rsidR="00C0335B" w:rsidRPr="00A10A4F" w:rsidRDefault="00C0335B" w:rsidP="00C0335B">
      <w:pPr>
        <w:pStyle w:val="IPPParagraphnumbering"/>
        <w:numPr>
          <w:ilvl w:val="0"/>
          <w:numId w:val="16"/>
        </w:numPr>
        <w:rPr>
          <w:rFonts w:eastAsia="Times New Roman" w:cs="Times New Roman"/>
          <w:color w:val="000000"/>
        </w:rPr>
      </w:pPr>
      <w:r>
        <w:rPr>
          <w:rFonts w:eastAsia="Times New Roman" w:cs="Times New Roman"/>
          <w:color w:val="000000"/>
        </w:rPr>
        <w:t xml:space="preserve">In some countries, farmers self-report their use of pesticides, but few </w:t>
      </w:r>
      <w:r w:rsidRPr="00B56DEB">
        <w:rPr>
          <w:rFonts w:eastAsia="Times New Roman" w:cs="Times New Roman"/>
          <w:color w:val="000000"/>
        </w:rPr>
        <w:t>LMIC</w:t>
      </w:r>
      <w:r>
        <w:rPr>
          <w:rFonts w:eastAsia="Times New Roman" w:cs="Times New Roman"/>
          <w:color w:val="000000"/>
        </w:rPr>
        <w:t xml:space="preserve">s have the resources to collect and report data on a large scale. Therefore, it is difficult to fully understand the risks locally, regionally and worldwide of AMR development due to the use of antimicrobials (Brunn et al., 2022; </w:t>
      </w:r>
      <w:r>
        <w:rPr>
          <w:rFonts w:cs="Times New Roman"/>
        </w:rPr>
        <w:t>Miller et al., 2022)</w:t>
      </w:r>
      <w:r w:rsidRPr="00352FDB">
        <w:rPr>
          <w:rFonts w:eastAsia="Times New Roman" w:cs="Times New Roman"/>
          <w:color w:val="000000"/>
        </w:rPr>
        <w:t>. </w:t>
      </w:r>
      <w:r>
        <w:rPr>
          <w:rFonts w:eastAsia="Times New Roman" w:cs="Times New Roman"/>
          <w:color w:val="000000"/>
        </w:rPr>
        <w:t>This understanding is further complicated by misinformation and the availability of fraudulent and sub-standard products on the market (</w:t>
      </w:r>
      <w:r>
        <w:rPr>
          <w:rFonts w:cs="Times New Roman"/>
        </w:rPr>
        <w:t>Miller et al., 2022)</w:t>
      </w:r>
      <w:r>
        <w:rPr>
          <w:rFonts w:eastAsia="Times New Roman" w:cs="Times New Roman"/>
          <w:color w:val="000000"/>
        </w:rPr>
        <w:t xml:space="preserve">. Most countries do not have a </w:t>
      </w:r>
      <w:r>
        <w:rPr>
          <w:rFonts w:eastAsia="Times New Roman" w:cs="Times New Roman"/>
          <w:color w:val="000000"/>
        </w:rPr>
        <w:lastRenderedPageBreak/>
        <w:t xml:space="preserve">regulatory infrastructure in place to monitor or enforce antibiotic use in plant agriculture, which </w:t>
      </w:r>
      <w:proofErr w:type="gramStart"/>
      <w:r>
        <w:rPr>
          <w:rFonts w:eastAsia="Times New Roman" w:cs="Times New Roman"/>
          <w:color w:val="000000"/>
        </w:rPr>
        <w:t>is in contrast to</w:t>
      </w:r>
      <w:proofErr w:type="gramEnd"/>
      <w:r>
        <w:rPr>
          <w:rFonts w:eastAsia="Times New Roman" w:cs="Times New Roman"/>
          <w:color w:val="000000"/>
        </w:rPr>
        <w:t xml:space="preserve"> the stricter regulations in the human and animal sectors </w:t>
      </w:r>
      <w:r>
        <w:rPr>
          <w:rFonts w:cs="Times New Roman"/>
          <w:shd w:val="clear" w:color="auto" w:fill="FFFFFF"/>
        </w:rPr>
        <w:t>(</w:t>
      </w:r>
      <w:proofErr w:type="spellStart"/>
      <w:r>
        <w:rPr>
          <w:rFonts w:cs="Times New Roman"/>
          <w:shd w:val="clear" w:color="auto" w:fill="FFFFFF"/>
        </w:rPr>
        <w:t>Batuman</w:t>
      </w:r>
      <w:proofErr w:type="spellEnd"/>
      <w:r>
        <w:rPr>
          <w:rFonts w:cs="Times New Roman"/>
          <w:shd w:val="clear" w:color="auto" w:fill="FFFFFF"/>
        </w:rPr>
        <w:t xml:space="preserve"> et al., 2024)</w:t>
      </w:r>
      <w:r>
        <w:rPr>
          <w:rFonts w:eastAsia="Times New Roman" w:cs="Times New Roman"/>
          <w:color w:val="000000"/>
        </w:rPr>
        <w:t>.</w:t>
      </w:r>
    </w:p>
    <w:p w14:paraId="3698C9A0" w14:textId="70F02BB5" w:rsidR="00C0335B" w:rsidRPr="00A10A4F" w:rsidRDefault="00C0335B" w:rsidP="00C0335B">
      <w:pPr>
        <w:pStyle w:val="IPPParagraphnumbering"/>
        <w:numPr>
          <w:ilvl w:val="0"/>
          <w:numId w:val="16"/>
        </w:numPr>
        <w:rPr>
          <w:rFonts w:eastAsia="Times New Roman" w:cs="Times New Roman"/>
          <w:color w:val="000000"/>
        </w:rPr>
      </w:pPr>
      <w:r>
        <w:rPr>
          <w:rFonts w:eastAsia="Times New Roman" w:cs="Times New Roman"/>
          <w:color w:val="000000"/>
        </w:rPr>
        <w:t>AMR is a problem that impacts everyone. It can reduce plant yields and economic success and cause health impacts to workers who apply antimicrobials and customers who consume products contaminated with antimicrobial residues or AMR bacteria or fungi (</w:t>
      </w:r>
      <w:r>
        <w:rPr>
          <w:rFonts w:cs="Times New Roman"/>
        </w:rPr>
        <w:t>Miller et al., 2022)</w:t>
      </w:r>
      <w:r w:rsidRPr="009C55D6">
        <w:rPr>
          <w:rFonts w:eastAsia="Times New Roman" w:cs="Times New Roman"/>
          <w:color w:val="000000"/>
        </w:rPr>
        <w:t>.</w:t>
      </w:r>
      <w:r>
        <w:rPr>
          <w:rFonts w:eastAsia="Times New Roman" w:cs="Times New Roman"/>
          <w:color w:val="000000"/>
        </w:rPr>
        <w:t xml:space="preserve"> Quantifying the number of AMR infections in humans that may be due to exposure to contaminated food crops, with consideration for preparation and consumption habits and production methods for different crops in different regions would enable the One Health community to meaningfully communicate with producers worldwide about AMR (Brunn et al., 2022). Similarly, understanding the best approaches to reach producers and promote change is essential to mitigating AMR (</w:t>
      </w:r>
      <w:r>
        <w:rPr>
          <w:rFonts w:cs="Times New Roman"/>
        </w:rPr>
        <w:t>Miller et al., 2022)</w:t>
      </w:r>
      <w:r w:rsidRPr="009C55D6">
        <w:rPr>
          <w:rFonts w:eastAsia="Times New Roman" w:cs="Times New Roman"/>
          <w:color w:val="000000"/>
        </w:rPr>
        <w:t>.</w:t>
      </w:r>
    </w:p>
    <w:p w14:paraId="0F5957C0" w14:textId="56ECAB39" w:rsidR="00C0335B" w:rsidRPr="00A10A4F" w:rsidRDefault="00C0335B" w:rsidP="00C0335B">
      <w:pPr>
        <w:pStyle w:val="IPPParagraphnumbering"/>
        <w:numPr>
          <w:ilvl w:val="0"/>
          <w:numId w:val="16"/>
        </w:numPr>
        <w:rPr>
          <w:rFonts w:eastAsia="Times New Roman" w:cs="Times New Roman"/>
          <w:color w:val="000000"/>
        </w:rPr>
      </w:pPr>
      <w:r>
        <w:rPr>
          <w:rFonts w:eastAsia="Times New Roman" w:cs="Times New Roman"/>
          <w:color w:val="000000"/>
        </w:rPr>
        <w:t>A United Kingdom study in 2014 looked at the public’s attitudes toward pest and disease management in trees, in addition to the public’s awareness of tree pests and diseases. The study found that public stakeholders are highly supportive of tree health management, but their knowledge about tree pests, diseases and management options is low. If engagement and involvement of the public is going to be successful, plant health specialists need to fix the low levels of awareness (Fuller et al., 2016). Awareness is the key for promoting the importance of plants and plant health and promoting the adoption of sustainable solutions (</w:t>
      </w:r>
      <w:r>
        <w:rPr>
          <w:rFonts w:cs="Times New Roman"/>
        </w:rPr>
        <w:t>Miller et al., 2022)</w:t>
      </w:r>
      <w:r w:rsidRPr="009C55D6">
        <w:rPr>
          <w:rFonts w:eastAsia="Times New Roman" w:cs="Times New Roman"/>
          <w:color w:val="000000"/>
        </w:rPr>
        <w:t>.</w:t>
      </w:r>
    </w:p>
    <w:p w14:paraId="71882A8D" w14:textId="77777777" w:rsidR="00C0335B" w:rsidRPr="008924C6" w:rsidRDefault="00C0335B" w:rsidP="00305B1B">
      <w:pPr>
        <w:pStyle w:val="IPPParagraphnumbering"/>
        <w:numPr>
          <w:ilvl w:val="0"/>
          <w:numId w:val="16"/>
        </w:numPr>
        <w:rPr>
          <w:rFonts w:eastAsia="Times New Roman" w:cs="Times New Roman"/>
          <w:color w:val="A6A6A6" w:themeColor="background1" w:themeShade="A6"/>
        </w:rPr>
      </w:pPr>
      <w:r>
        <w:rPr>
          <w:rFonts w:eastAsia="Times New Roman" w:cs="Times New Roman"/>
          <w:color w:val="000000"/>
        </w:rPr>
        <w:t>Part of this awareness is understanding that plants rank lower in the hierarchy of perceived importance compared to humans and animals (Danielsen et al., 2025</w:t>
      </w:r>
      <w:r w:rsidRPr="008D07CD">
        <w:rPr>
          <w:rFonts w:eastAsia="Times New Roman" w:cs="Times New Roman"/>
        </w:rPr>
        <w:t xml:space="preserve">). One Health is often discussed in the context of control/mitigation of zoonotic diseases with plant health and environmental concerns typically </w:t>
      </w:r>
      <w:r w:rsidRPr="00305B1B">
        <w:rPr>
          <w:rFonts w:eastAsia="Times New Roman" w:cs="Times New Roman"/>
          <w:color w:val="000000"/>
        </w:rPr>
        <w:t>receiving</w:t>
      </w:r>
      <w:r w:rsidRPr="008D07CD">
        <w:rPr>
          <w:rFonts w:eastAsia="Times New Roman" w:cs="Times New Roman"/>
        </w:rPr>
        <w:t xml:space="preserve"> less attention (</w:t>
      </w:r>
      <w:r>
        <w:rPr>
          <w:rFonts w:eastAsia="Times New Roman" w:cs="Times New Roman"/>
        </w:rPr>
        <w:t>Destoumieux-Garzón et al., 2018</w:t>
      </w:r>
      <w:r w:rsidRPr="008D07CD">
        <w:rPr>
          <w:rFonts w:eastAsia="Times New Roman" w:cs="Times New Roman"/>
        </w:rPr>
        <w:t xml:space="preserve">). Funding for One Health </w:t>
      </w:r>
      <w:r>
        <w:rPr>
          <w:rFonts w:eastAsia="Times New Roman" w:cs="Times New Roman"/>
        </w:rPr>
        <w:t>follows this trend</w:t>
      </w:r>
      <w:r>
        <w:rPr>
          <w:rFonts w:eastAsia="Times New Roman" w:cs="Times New Roman"/>
          <w:color w:val="000000"/>
        </w:rPr>
        <w:t>, and when funding for plant health, agriculture, landscape management or ecosystems does occur, the term One Health is often not used. Despite the role that plant health plays in One Health, these professional communities mostly work separately (Danielsen et al., 2025).</w:t>
      </w:r>
    </w:p>
    <w:p w14:paraId="0FD56035" w14:textId="77777777" w:rsidR="00C0335B" w:rsidRDefault="00C0335B" w:rsidP="00C0335B">
      <w:pPr>
        <w:rPr>
          <w:rFonts w:cs="Times New Roman"/>
        </w:rPr>
      </w:pPr>
    </w:p>
    <w:p w14:paraId="07D883D6" w14:textId="77777777" w:rsidR="00C0335B" w:rsidRPr="002F4554" w:rsidRDefault="00C0335B" w:rsidP="00996042">
      <w:pPr>
        <w:pStyle w:val="ListParagraph"/>
        <w:numPr>
          <w:ilvl w:val="0"/>
          <w:numId w:val="14"/>
        </w:numPr>
        <w:spacing w:line="240" w:lineRule="auto"/>
        <w:ind w:leftChars="0" w:left="360"/>
        <w:contextualSpacing/>
        <w:jc w:val="left"/>
        <w:rPr>
          <w:rFonts w:ascii="Times New Roman" w:hAnsi="Times New Roman" w:cs="Times New Roman"/>
        </w:rPr>
      </w:pPr>
      <w:r w:rsidRPr="002F4554">
        <w:rPr>
          <w:rFonts w:ascii="Times New Roman" w:hAnsi="Times New Roman" w:cs="Times New Roman"/>
          <w:b/>
          <w:bCs/>
        </w:rPr>
        <w:t>Recommendations</w:t>
      </w:r>
    </w:p>
    <w:p w14:paraId="18464D29" w14:textId="77777777" w:rsidR="00C0335B" w:rsidRPr="002F7FE5" w:rsidRDefault="00C0335B" w:rsidP="00C0335B">
      <w:pPr>
        <w:rPr>
          <w:rFonts w:ascii="Aptos Narrow" w:eastAsia="Times New Roman" w:hAnsi="Aptos Narrow" w:cs="Times New Roman"/>
          <w:i/>
          <w:iCs/>
          <w:color w:val="000000"/>
          <w:szCs w:val="22"/>
        </w:rPr>
      </w:pPr>
      <w:r w:rsidRPr="003C3780">
        <w:rPr>
          <w:rFonts w:ascii="Aptos Narrow" w:eastAsia="Times New Roman" w:hAnsi="Aptos Narrow" w:cs="Times New Roman"/>
          <w:i/>
          <w:iCs/>
          <w:color w:val="000000"/>
          <w:szCs w:val="22"/>
        </w:rPr>
        <w:t>In which thematic areas can plant health provide added value to OH?</w:t>
      </w:r>
    </w:p>
    <w:p w14:paraId="5C0ADC02" w14:textId="77777777" w:rsidR="00C0335B" w:rsidRPr="002F7FE5" w:rsidRDefault="00C0335B" w:rsidP="00C0335B">
      <w:pPr>
        <w:rPr>
          <w:rFonts w:ascii="Aptos Narrow" w:eastAsia="Times New Roman" w:hAnsi="Aptos Narrow" w:cs="Times New Roman"/>
          <w:i/>
          <w:iCs/>
          <w:color w:val="000000"/>
          <w:szCs w:val="22"/>
        </w:rPr>
      </w:pPr>
      <w:r w:rsidRPr="003C3780">
        <w:rPr>
          <w:rFonts w:ascii="Aptos Narrow" w:eastAsia="Times New Roman" w:hAnsi="Aptos Narrow" w:cs="Times New Roman"/>
          <w:i/>
          <w:iCs/>
          <w:color w:val="000000"/>
          <w:szCs w:val="22"/>
        </w:rPr>
        <w:t>What are the priority actions for the IPPC community to enhance the visibility and integration of plant health in OH?</w:t>
      </w:r>
    </w:p>
    <w:p w14:paraId="27A728D2" w14:textId="77777777" w:rsidR="00C0335B" w:rsidRPr="00222E63" w:rsidRDefault="00C0335B" w:rsidP="00C0335B">
      <w:pPr>
        <w:rPr>
          <w:rFonts w:ascii="Aptos Narrow" w:eastAsia="Times New Roman" w:hAnsi="Aptos Narrow" w:cs="Times New Roman"/>
          <w:i/>
          <w:iCs/>
          <w:color w:val="000000"/>
          <w:szCs w:val="22"/>
        </w:rPr>
      </w:pPr>
      <w:r w:rsidRPr="003C3780">
        <w:rPr>
          <w:rFonts w:ascii="Aptos Narrow" w:eastAsia="Times New Roman" w:hAnsi="Aptos Narrow" w:cs="Times New Roman"/>
          <w:i/>
          <w:iCs/>
          <w:color w:val="000000"/>
          <w:szCs w:val="22"/>
        </w:rPr>
        <w:t>How can the IPPC contribute to global advocacy and communication on plant health within the OH narrative?</w:t>
      </w:r>
    </w:p>
    <w:p w14:paraId="52D5CFF0" w14:textId="77777777" w:rsidR="00C0335B" w:rsidRDefault="00C0335B" w:rsidP="00C0335B">
      <w:pPr>
        <w:rPr>
          <w:rFonts w:ascii="Aptos Narrow" w:hAnsi="Aptos Narrow" w:cs="Times New Roman"/>
          <w:i/>
          <w:iCs/>
          <w:szCs w:val="22"/>
        </w:rPr>
      </w:pPr>
    </w:p>
    <w:p w14:paraId="6F97073F" w14:textId="77777777" w:rsidR="00C0335B" w:rsidRPr="005919C7" w:rsidRDefault="00C0335B" w:rsidP="00C0335B">
      <w:pPr>
        <w:rPr>
          <w:rFonts w:cs="Times New Roman"/>
          <w:sz w:val="24"/>
        </w:rPr>
      </w:pPr>
      <w:r w:rsidRPr="005919C7">
        <w:rPr>
          <w:rFonts w:cs="Times New Roman"/>
          <w:sz w:val="24"/>
        </w:rPr>
        <w:t>Plant health contributes unique and essential value to the One Health approach by addressing risks and solutions across the interface of other One Health sectors. These areas include:</w:t>
      </w:r>
    </w:p>
    <w:p w14:paraId="0FFDECA8" w14:textId="77777777" w:rsidR="00C0335B" w:rsidRDefault="00C0335B" w:rsidP="00C0335B">
      <w:pPr>
        <w:rPr>
          <w:rFonts w:ascii="Aptos Narrow" w:hAnsi="Aptos Narrow" w:cs="Times New Roman"/>
          <w:szCs w:val="22"/>
        </w:rPr>
      </w:pPr>
    </w:p>
    <w:p w14:paraId="1B6CAABF" w14:textId="77777777" w:rsidR="00C0335B" w:rsidRPr="00A10A4F" w:rsidRDefault="00C0335B" w:rsidP="00996042">
      <w:pPr>
        <w:pStyle w:val="ListParagraph"/>
        <w:numPr>
          <w:ilvl w:val="0"/>
          <w:numId w:val="15"/>
        </w:numPr>
        <w:spacing w:line="240" w:lineRule="auto"/>
        <w:ind w:leftChars="0"/>
        <w:contextualSpacing/>
        <w:jc w:val="left"/>
        <w:rPr>
          <w:rFonts w:ascii="Times New Roman" w:hAnsi="Times New Roman" w:cs="Times New Roman"/>
          <w:b/>
          <w:bCs/>
          <w:sz w:val="24"/>
        </w:rPr>
      </w:pPr>
      <w:r w:rsidRPr="00A10A4F">
        <w:rPr>
          <w:rFonts w:ascii="Times New Roman" w:hAnsi="Times New Roman" w:cs="Times New Roman"/>
          <w:b/>
          <w:bCs/>
        </w:rPr>
        <w:t>Biosecurity:</w:t>
      </w:r>
    </w:p>
    <w:p w14:paraId="32DF2054" w14:textId="77777777" w:rsidR="00C0335B" w:rsidRDefault="00C0335B" w:rsidP="00305B1B">
      <w:pPr>
        <w:pStyle w:val="IPPParagraphnumbering"/>
        <w:numPr>
          <w:ilvl w:val="0"/>
          <w:numId w:val="16"/>
        </w:numPr>
        <w:rPr>
          <w:rFonts w:eastAsia="Times New Roman" w:cs="Times New Roman"/>
          <w:color w:val="000000"/>
        </w:rPr>
      </w:pPr>
      <w:r w:rsidRPr="00222E63">
        <w:rPr>
          <w:rFonts w:eastAsia="Times New Roman" w:cs="Times New Roman"/>
          <w:color w:val="000000"/>
        </w:rPr>
        <w:t xml:space="preserve">A holistic view of biosecurity </w:t>
      </w:r>
      <w:r>
        <w:rPr>
          <w:rFonts w:eastAsia="Times New Roman" w:cs="Times New Roman"/>
          <w:color w:val="000000"/>
        </w:rPr>
        <w:t>recognizes</w:t>
      </w:r>
      <w:r w:rsidRPr="00222E63">
        <w:rPr>
          <w:rFonts w:eastAsia="Times New Roman" w:cs="Times New Roman"/>
          <w:color w:val="000000"/>
        </w:rPr>
        <w:t xml:space="preserve"> the interconnectedness of plant, animal and human health a</w:t>
      </w:r>
      <w:r>
        <w:rPr>
          <w:rFonts w:eastAsia="Times New Roman" w:cs="Times New Roman"/>
          <w:color w:val="000000"/>
        </w:rPr>
        <w:t>nd their importance to</w:t>
      </w:r>
      <w:r w:rsidRPr="00222E63">
        <w:rPr>
          <w:rFonts w:eastAsia="Times New Roman" w:cs="Times New Roman"/>
          <w:color w:val="000000"/>
        </w:rPr>
        <w:t xml:space="preserve"> sustainable food systems and ecosystem resilience. </w:t>
      </w:r>
      <w:r>
        <w:rPr>
          <w:rFonts w:eastAsia="Times New Roman" w:cs="Times New Roman"/>
          <w:color w:val="000000"/>
        </w:rPr>
        <w:t>I</w:t>
      </w:r>
      <w:r w:rsidRPr="00222E63">
        <w:rPr>
          <w:rFonts w:eastAsia="Times New Roman" w:cs="Times New Roman"/>
          <w:color w:val="000000"/>
        </w:rPr>
        <w:t>ncorporating plant biosecurity into O</w:t>
      </w:r>
      <w:r>
        <w:rPr>
          <w:rFonts w:eastAsia="Times New Roman" w:cs="Times New Roman"/>
          <w:color w:val="000000"/>
        </w:rPr>
        <w:t>ne Health</w:t>
      </w:r>
      <w:r w:rsidRPr="00222E63">
        <w:rPr>
          <w:rFonts w:eastAsia="Times New Roman" w:cs="Times New Roman"/>
          <w:color w:val="000000"/>
        </w:rPr>
        <w:t xml:space="preserve"> frameworks can help mitigate the risk of zoonotic diseases, which may arise from disrupted ecosystems caused by agricultural practices. </w:t>
      </w:r>
    </w:p>
    <w:p w14:paraId="34E8002C" w14:textId="77777777" w:rsidR="00C0335B" w:rsidRDefault="00C0335B" w:rsidP="00C0335B">
      <w:pPr>
        <w:rPr>
          <w:rFonts w:eastAsia="Times New Roman" w:cs="Times New Roman"/>
          <w:color w:val="000000"/>
        </w:rPr>
      </w:pPr>
    </w:p>
    <w:p w14:paraId="435B60AA" w14:textId="77777777" w:rsidR="00C0335B" w:rsidRPr="005919C7" w:rsidRDefault="00C0335B" w:rsidP="00996042">
      <w:pPr>
        <w:pStyle w:val="ListParagraph"/>
        <w:numPr>
          <w:ilvl w:val="0"/>
          <w:numId w:val="15"/>
        </w:numPr>
        <w:spacing w:line="240" w:lineRule="auto"/>
        <w:ind w:leftChars="0"/>
        <w:contextualSpacing/>
        <w:jc w:val="left"/>
        <w:rPr>
          <w:rFonts w:ascii="Times New Roman" w:hAnsi="Times New Roman" w:cs="Times New Roman"/>
          <w:color w:val="000000"/>
        </w:rPr>
      </w:pPr>
      <w:r w:rsidRPr="00A10A4F">
        <w:rPr>
          <w:rFonts w:ascii="Times New Roman" w:hAnsi="Times New Roman" w:cs="Times New Roman"/>
          <w:b/>
          <w:bCs/>
        </w:rPr>
        <w:t>Integrated pest surveillance and data sharing:</w:t>
      </w:r>
    </w:p>
    <w:p w14:paraId="23983AF1" w14:textId="77777777" w:rsidR="00C0335B" w:rsidRDefault="00C0335B" w:rsidP="00305B1B">
      <w:pPr>
        <w:pStyle w:val="IPPParagraphnumbering"/>
        <w:numPr>
          <w:ilvl w:val="0"/>
          <w:numId w:val="16"/>
        </w:numPr>
        <w:rPr>
          <w:rFonts w:eastAsia="Times New Roman" w:cs="Times New Roman"/>
          <w:color w:val="000000"/>
        </w:rPr>
      </w:pPr>
      <w:r>
        <w:rPr>
          <w:rFonts w:eastAsia="Times New Roman" w:cs="Times New Roman"/>
          <w:color w:val="000000"/>
        </w:rPr>
        <w:t>Development of</w:t>
      </w:r>
      <w:r w:rsidRPr="00222E63">
        <w:rPr>
          <w:rFonts w:eastAsia="Times New Roman" w:cs="Times New Roman"/>
          <w:color w:val="000000"/>
        </w:rPr>
        <w:t xml:space="preserve"> surveillance systems</w:t>
      </w:r>
      <w:r>
        <w:rPr>
          <w:rFonts w:eastAsia="Times New Roman" w:cs="Times New Roman"/>
          <w:color w:val="000000"/>
        </w:rPr>
        <w:t xml:space="preserve"> worldwide</w:t>
      </w:r>
      <w:r w:rsidRPr="00222E63">
        <w:rPr>
          <w:rFonts w:eastAsia="Times New Roman" w:cs="Times New Roman"/>
          <w:color w:val="000000"/>
        </w:rPr>
        <w:t xml:space="preserve"> that monitor the health of plants, animals and humans together</w:t>
      </w:r>
      <w:r>
        <w:rPr>
          <w:rFonts w:eastAsia="Times New Roman" w:cs="Times New Roman"/>
          <w:color w:val="000000"/>
        </w:rPr>
        <w:t xml:space="preserve"> would</w:t>
      </w:r>
      <w:r w:rsidRPr="00222E63">
        <w:rPr>
          <w:rFonts w:eastAsia="Times New Roman" w:cs="Times New Roman"/>
          <w:color w:val="000000"/>
        </w:rPr>
        <w:t xml:space="preserve"> enabl</w:t>
      </w:r>
      <w:r>
        <w:rPr>
          <w:rFonts w:eastAsia="Times New Roman" w:cs="Times New Roman"/>
          <w:color w:val="000000"/>
        </w:rPr>
        <w:t>e</w:t>
      </w:r>
      <w:r w:rsidRPr="00222E63">
        <w:rPr>
          <w:rFonts w:eastAsia="Times New Roman" w:cs="Times New Roman"/>
          <w:color w:val="000000"/>
        </w:rPr>
        <w:t xml:space="preserve"> earlier detection of potential threats</w:t>
      </w:r>
      <w:r>
        <w:rPr>
          <w:rFonts w:eastAsia="Times New Roman" w:cs="Times New Roman"/>
          <w:color w:val="000000"/>
        </w:rPr>
        <w:t xml:space="preserve"> such as emerging AMR challenges</w:t>
      </w:r>
      <w:r w:rsidRPr="00222E63">
        <w:rPr>
          <w:rFonts w:eastAsia="Times New Roman" w:cs="Times New Roman"/>
          <w:color w:val="000000"/>
        </w:rPr>
        <w:t xml:space="preserve"> and </w:t>
      </w:r>
      <w:r>
        <w:rPr>
          <w:rFonts w:eastAsia="Times New Roman" w:cs="Times New Roman"/>
          <w:color w:val="000000"/>
        </w:rPr>
        <w:t xml:space="preserve">facilitate coordinated and </w:t>
      </w:r>
      <w:proofErr w:type="gramStart"/>
      <w:r>
        <w:rPr>
          <w:rFonts w:eastAsia="Times New Roman" w:cs="Times New Roman"/>
          <w:color w:val="000000"/>
        </w:rPr>
        <w:t>evidence based</w:t>
      </w:r>
      <w:proofErr w:type="gramEnd"/>
      <w:r w:rsidRPr="00222E63">
        <w:rPr>
          <w:rFonts w:eastAsia="Times New Roman" w:cs="Times New Roman"/>
          <w:color w:val="000000"/>
        </w:rPr>
        <w:t xml:space="preserve"> interventions. We can protect plant biosecurity and enhance global resilience through effective pest surveillance</w:t>
      </w:r>
      <w:r>
        <w:rPr>
          <w:rFonts w:eastAsia="Times New Roman" w:cs="Times New Roman"/>
          <w:color w:val="000000"/>
        </w:rPr>
        <w:t xml:space="preserve"> </w:t>
      </w:r>
      <w:r w:rsidRPr="00222E63">
        <w:rPr>
          <w:rFonts w:eastAsia="Times New Roman" w:cs="Times New Roman"/>
          <w:color w:val="000000"/>
        </w:rPr>
        <w:t xml:space="preserve">and sustainable pest management practices. The interconnectedness of plant biosecurity with overall health highlights the importance of integrating plant biosecurity into broader health and environmental policies. Strengthening international collaborations, particularly in data sharing and coordinated pest </w:t>
      </w:r>
      <w:r>
        <w:rPr>
          <w:rFonts w:eastAsia="Times New Roman" w:cs="Times New Roman"/>
          <w:color w:val="000000"/>
        </w:rPr>
        <w:t xml:space="preserve">and AMR </w:t>
      </w:r>
      <w:r w:rsidRPr="00222E63">
        <w:rPr>
          <w:rFonts w:eastAsia="Times New Roman" w:cs="Times New Roman"/>
          <w:color w:val="000000"/>
        </w:rPr>
        <w:t>surveillance, will enhance global plant biosecurity within the O</w:t>
      </w:r>
      <w:r>
        <w:rPr>
          <w:rFonts w:eastAsia="Times New Roman" w:cs="Times New Roman"/>
          <w:color w:val="000000"/>
        </w:rPr>
        <w:t>ne Health</w:t>
      </w:r>
      <w:r w:rsidRPr="00222E63">
        <w:rPr>
          <w:rFonts w:eastAsia="Times New Roman" w:cs="Times New Roman"/>
          <w:color w:val="000000"/>
        </w:rPr>
        <w:t xml:space="preserve"> framewor</w:t>
      </w:r>
      <w:r>
        <w:rPr>
          <w:rFonts w:eastAsia="Times New Roman" w:cs="Times New Roman"/>
          <w:color w:val="000000"/>
        </w:rPr>
        <w:t>k (</w:t>
      </w:r>
      <w:proofErr w:type="spellStart"/>
      <w:r>
        <w:rPr>
          <w:rFonts w:eastAsia="Times New Roman" w:cs="Times New Roman"/>
          <w:color w:val="000000"/>
        </w:rPr>
        <w:t>Alawneh</w:t>
      </w:r>
      <w:proofErr w:type="spellEnd"/>
      <w:r>
        <w:rPr>
          <w:rFonts w:eastAsia="Times New Roman" w:cs="Times New Roman"/>
          <w:color w:val="000000"/>
        </w:rPr>
        <w:t xml:space="preserve"> et al., 2025; </w:t>
      </w:r>
      <w:r>
        <w:rPr>
          <w:rFonts w:cs="Times New Roman"/>
        </w:rPr>
        <w:t xml:space="preserve">Miller et al., 2022; </w:t>
      </w:r>
      <w:r>
        <w:rPr>
          <w:rFonts w:eastAsia="Times New Roman" w:cs="Times New Roman"/>
          <w:color w:val="000000"/>
        </w:rPr>
        <w:t>WHO et al., 2023).</w:t>
      </w:r>
    </w:p>
    <w:p w14:paraId="2219F995" w14:textId="77777777" w:rsidR="00C0335B" w:rsidRPr="00A10A4F" w:rsidRDefault="00C0335B" w:rsidP="00A10A4F">
      <w:pPr>
        <w:contextualSpacing/>
        <w:jc w:val="left"/>
        <w:rPr>
          <w:rFonts w:cs="Times New Roman"/>
          <w:b/>
          <w:bCs/>
        </w:rPr>
      </w:pPr>
    </w:p>
    <w:p w14:paraId="59888E49" w14:textId="77777777" w:rsidR="00C0335B" w:rsidRPr="00A10A4F" w:rsidRDefault="00C0335B" w:rsidP="00996042">
      <w:pPr>
        <w:pStyle w:val="ListParagraph"/>
        <w:numPr>
          <w:ilvl w:val="0"/>
          <w:numId w:val="15"/>
        </w:numPr>
        <w:spacing w:line="240" w:lineRule="auto"/>
        <w:ind w:leftChars="0"/>
        <w:contextualSpacing/>
        <w:jc w:val="left"/>
        <w:rPr>
          <w:rFonts w:ascii="Times New Roman" w:hAnsi="Times New Roman" w:cs="Times New Roman"/>
          <w:b/>
          <w:bCs/>
        </w:rPr>
      </w:pPr>
      <w:r w:rsidRPr="00A10A4F">
        <w:rPr>
          <w:rFonts w:ascii="Times New Roman" w:hAnsi="Times New Roman" w:cs="Times New Roman"/>
          <w:b/>
          <w:bCs/>
        </w:rPr>
        <w:t>Climate change and resistance dynamics:</w:t>
      </w:r>
    </w:p>
    <w:p w14:paraId="66C77975" w14:textId="77777777" w:rsidR="00C0335B" w:rsidRDefault="00C0335B" w:rsidP="00305B1B">
      <w:pPr>
        <w:pStyle w:val="IPPParagraphnumbering"/>
        <w:numPr>
          <w:ilvl w:val="0"/>
          <w:numId w:val="16"/>
        </w:numPr>
        <w:rPr>
          <w:rFonts w:eastAsia="Times New Roman" w:cs="Times New Roman"/>
          <w:color w:val="000000"/>
        </w:rPr>
      </w:pPr>
      <w:r w:rsidRPr="00C61845">
        <w:rPr>
          <w:rFonts w:eastAsia="Times New Roman" w:cs="Times New Roman"/>
          <w:color w:val="000000"/>
        </w:rPr>
        <w:t>Climate ch</w:t>
      </w:r>
      <w:r>
        <w:rPr>
          <w:rFonts w:eastAsia="Times New Roman" w:cs="Times New Roman"/>
          <w:color w:val="000000"/>
        </w:rPr>
        <w:t xml:space="preserve">ange </w:t>
      </w:r>
      <w:r w:rsidRPr="00C61845">
        <w:rPr>
          <w:rFonts w:eastAsia="Times New Roman" w:cs="Times New Roman"/>
          <w:color w:val="000000"/>
        </w:rPr>
        <w:t xml:space="preserve">has the potential to change the distribution of pests globally </w:t>
      </w:r>
      <w:r>
        <w:rPr>
          <w:rFonts w:eastAsia="Times New Roman" w:cs="Times New Roman"/>
          <w:color w:val="000000"/>
        </w:rPr>
        <w:t>and</w:t>
      </w:r>
      <w:r w:rsidRPr="00C61845">
        <w:rPr>
          <w:rFonts w:eastAsia="Times New Roman" w:cs="Times New Roman"/>
          <w:color w:val="000000"/>
        </w:rPr>
        <w:t xml:space="preserve"> their resistance to pesticides. The combination of these two consequences </w:t>
      </w:r>
      <w:proofErr w:type="gramStart"/>
      <w:r w:rsidRPr="00C61845">
        <w:rPr>
          <w:rFonts w:eastAsia="Times New Roman" w:cs="Times New Roman"/>
          <w:color w:val="000000"/>
        </w:rPr>
        <w:t>threaten</w:t>
      </w:r>
      <w:proofErr w:type="gramEnd"/>
      <w:r w:rsidRPr="00C61845">
        <w:rPr>
          <w:rFonts w:eastAsia="Times New Roman" w:cs="Times New Roman"/>
          <w:color w:val="000000"/>
        </w:rPr>
        <w:t xml:space="preserve"> global food security in the 21st century. More specifically, climate change over the past 50 years has been shown to increase the overwintering range of a global agricultural insect pest by several million km</w:t>
      </w:r>
      <w:r w:rsidRPr="00AB5032">
        <w:rPr>
          <w:rFonts w:eastAsia="Times New Roman" w:cs="Times New Roman"/>
          <w:color w:val="000000"/>
          <w:vertAlign w:val="superscript"/>
        </w:rPr>
        <w:t>2</w:t>
      </w:r>
      <w:r w:rsidRPr="00C61845">
        <w:rPr>
          <w:rFonts w:eastAsia="Times New Roman" w:cs="Times New Roman"/>
          <w:color w:val="000000"/>
        </w:rPr>
        <w:t xml:space="preserve"> worldwide. In addition, the corresponding pesticide resistance levels have been associated with the species’ overwintering range. By facilitating local persistence all year round, climate change can promote and expand pesticide resistance of a destructive species globally, with ecological and evolutionary changes that would severely impede effectiveness of current pest control efforts and potentially cause large economic losses (Ma et al., 20</w:t>
      </w:r>
      <w:r>
        <w:rPr>
          <w:rFonts w:eastAsia="Times New Roman" w:cs="Times New Roman"/>
          <w:color w:val="000000"/>
        </w:rPr>
        <w:t>21</w:t>
      </w:r>
      <w:r w:rsidRPr="00C61845">
        <w:rPr>
          <w:rFonts w:eastAsia="Times New Roman" w:cs="Times New Roman"/>
          <w:color w:val="000000"/>
        </w:rPr>
        <w:t>).</w:t>
      </w:r>
      <w:r>
        <w:rPr>
          <w:rFonts w:eastAsia="Times New Roman" w:cs="Times New Roman"/>
          <w:color w:val="000000"/>
        </w:rPr>
        <w:t xml:space="preserve"> </w:t>
      </w:r>
    </w:p>
    <w:p w14:paraId="0D8B6FC6" w14:textId="77777777" w:rsidR="00C0335B" w:rsidRPr="00AB5032" w:rsidRDefault="00C0335B" w:rsidP="00305B1B">
      <w:pPr>
        <w:pStyle w:val="IPPParagraphnumbering"/>
        <w:numPr>
          <w:ilvl w:val="0"/>
          <w:numId w:val="16"/>
        </w:numPr>
        <w:rPr>
          <w:rFonts w:eastAsia="Times New Roman" w:cs="Times New Roman"/>
          <w:color w:val="000000"/>
        </w:rPr>
      </w:pPr>
      <w:r>
        <w:rPr>
          <w:rFonts w:eastAsia="Times New Roman" w:cs="Times New Roman"/>
          <w:color w:val="000000"/>
        </w:rPr>
        <w:t>The IPPC should explore how it can use the CPM focus group on climate change successes to inform actions related to AMR and One Health, further improving global communication on the importance of plant health within the One Health narrative.</w:t>
      </w:r>
    </w:p>
    <w:p w14:paraId="394BB27B" w14:textId="77777777" w:rsidR="00C0335B" w:rsidRDefault="00C0335B" w:rsidP="00C0335B">
      <w:pPr>
        <w:rPr>
          <w:rFonts w:eastAsia="Times New Roman" w:cs="Times New Roman"/>
          <w:color w:val="000000"/>
        </w:rPr>
      </w:pPr>
    </w:p>
    <w:p w14:paraId="280AF153" w14:textId="77777777" w:rsidR="00C0335B" w:rsidRPr="00A10A4F" w:rsidRDefault="00C0335B" w:rsidP="00996042">
      <w:pPr>
        <w:pStyle w:val="ListParagraph"/>
        <w:numPr>
          <w:ilvl w:val="0"/>
          <w:numId w:val="15"/>
        </w:numPr>
        <w:spacing w:line="240" w:lineRule="auto"/>
        <w:ind w:leftChars="0"/>
        <w:contextualSpacing/>
        <w:jc w:val="left"/>
        <w:rPr>
          <w:rFonts w:ascii="Times New Roman" w:hAnsi="Times New Roman" w:cs="Times New Roman"/>
          <w:b/>
          <w:bCs/>
        </w:rPr>
      </w:pPr>
      <w:r w:rsidRPr="00A10A4F">
        <w:rPr>
          <w:rFonts w:ascii="Times New Roman" w:hAnsi="Times New Roman" w:cs="Times New Roman"/>
          <w:b/>
          <w:bCs/>
        </w:rPr>
        <w:t>Cross sectoral integration and systems convergence:</w:t>
      </w:r>
    </w:p>
    <w:p w14:paraId="46D8D26C" w14:textId="77777777" w:rsidR="00C0335B" w:rsidRDefault="00C0335B" w:rsidP="00305B1B">
      <w:pPr>
        <w:pStyle w:val="IPPParagraphnumbering"/>
        <w:numPr>
          <w:ilvl w:val="0"/>
          <w:numId w:val="16"/>
        </w:numPr>
        <w:rPr>
          <w:rFonts w:eastAsia="Times New Roman" w:cs="Times New Roman"/>
          <w:color w:val="000000"/>
        </w:rPr>
      </w:pPr>
      <w:r>
        <w:rPr>
          <w:rFonts w:eastAsia="Times New Roman" w:cs="Times New Roman"/>
          <w:color w:val="000000"/>
        </w:rPr>
        <w:t>To improve the sustainability and resiliency of our agricultural systems, the lack of coordination within the plant health field itself needs to be addressed. The disciplines of agroecology, integrated crop management, sustainable food systems, sanitary and phytosanitary systems, social-ecological systems and integrated landscape management are defined by their own concepts and frameworks. The IPPC could play a role in addressing the uncertainty that exists about how to connect sectors and work together. The convergence of these concepts and frameworks would enhance plant health visibility and improve collaborations across disciplines (Danielsen et al., 2022). To this end, the IPPC community should be more assertive about its contributions to One Health outcomes. More work is happening than is currently recognized. The IPPC should continue sharing the importance of plant health within the One Health narrative by focusing on the broad implications of plant health, including developing more sustainable and resilient agricultural systems that benefit people and the planet (Danielsen et al., 2022). There is reluctance in the plant, animal and human health sides to work together, but showcasing the benefits of true One Health approaches can shift this mindset and support the IPPC’s priority actions.</w:t>
      </w:r>
    </w:p>
    <w:p w14:paraId="070D47D7" w14:textId="77777777" w:rsidR="00C0335B" w:rsidRDefault="00C0335B" w:rsidP="00C0335B">
      <w:pPr>
        <w:rPr>
          <w:rFonts w:ascii="Aptos Narrow" w:eastAsia="Times New Roman" w:hAnsi="Aptos Narrow" w:cs="Times New Roman"/>
          <w:color w:val="000000"/>
          <w:szCs w:val="22"/>
        </w:rPr>
      </w:pPr>
      <w:r>
        <w:rPr>
          <w:rFonts w:ascii="Aptos Narrow" w:eastAsia="Times New Roman" w:hAnsi="Aptos Narrow" w:cs="Times New Roman"/>
          <w:color w:val="000000"/>
          <w:szCs w:val="22"/>
        </w:rPr>
        <w:br w:type="page"/>
      </w:r>
    </w:p>
    <w:p w14:paraId="2389A4FA" w14:textId="77777777" w:rsidR="00C0335B" w:rsidRPr="007F6E09" w:rsidRDefault="00C0335B" w:rsidP="00C0335B">
      <w:pPr>
        <w:rPr>
          <w:rFonts w:eastAsia="Times New Roman" w:cs="Times New Roman"/>
          <w:b/>
          <w:bCs/>
          <w:color w:val="000000"/>
        </w:rPr>
      </w:pPr>
      <w:r w:rsidRPr="007F6E09">
        <w:rPr>
          <w:rFonts w:eastAsia="Times New Roman" w:cs="Times New Roman"/>
          <w:b/>
          <w:bCs/>
          <w:color w:val="000000"/>
        </w:rPr>
        <w:lastRenderedPageBreak/>
        <w:t>References</w:t>
      </w:r>
    </w:p>
    <w:p w14:paraId="728AC231" w14:textId="77777777" w:rsidR="00C0335B" w:rsidRPr="00434C5D" w:rsidRDefault="00C0335B" w:rsidP="00C0335B">
      <w:pPr>
        <w:rPr>
          <w:rFonts w:cs="Times New Roman"/>
        </w:rPr>
      </w:pPr>
      <w:r w:rsidRPr="00434C5D">
        <w:rPr>
          <w:rFonts w:cs="Times New Roman"/>
        </w:rPr>
        <w:t xml:space="preserve">Ahmed, S.K., Hussein, S., Qurbani, K., Ibrahim, R.H., Fareeq, A., Mahmood, K.A., Mohamed, M.G. (2024). Antimicrobial resistance: Impacts, challenges, and </w:t>
      </w:r>
      <w:proofErr w:type="gramStart"/>
      <w:r w:rsidRPr="00434C5D">
        <w:rPr>
          <w:rFonts w:cs="Times New Roman"/>
        </w:rPr>
        <w:t>future prospects</w:t>
      </w:r>
      <w:proofErr w:type="gramEnd"/>
      <w:r w:rsidRPr="00434C5D">
        <w:rPr>
          <w:rFonts w:cs="Times New Roman"/>
        </w:rPr>
        <w:t>.</w:t>
      </w:r>
      <w:r w:rsidRPr="00434C5D">
        <w:rPr>
          <w:rFonts w:cs="Times New Roman"/>
          <w:i/>
          <w:iCs/>
        </w:rPr>
        <w:t xml:space="preserve"> Journal of Medicine, Surgery, and Public Health 2</w:t>
      </w:r>
      <w:r w:rsidRPr="00434C5D">
        <w:rPr>
          <w:rFonts w:cs="Times New Roman"/>
        </w:rPr>
        <w:t xml:space="preserve">: 100081. </w:t>
      </w:r>
      <w:hyperlink r:id="rId20" w:anchor="bib4">
        <w:r w:rsidRPr="00434C5D">
          <w:rPr>
            <w:rStyle w:val="Hyperlink"/>
            <w:rFonts w:cs="Times New Roman"/>
          </w:rPr>
          <w:t>https://www.sciencedirect.com/science/article/pii/S2949916X24000343#bib4</w:t>
        </w:r>
      </w:hyperlink>
      <w:r w:rsidRPr="00434C5D">
        <w:rPr>
          <w:rFonts w:cs="Times New Roman"/>
        </w:rPr>
        <w:t xml:space="preserve"> </w:t>
      </w:r>
    </w:p>
    <w:p w14:paraId="5048B48E" w14:textId="77777777" w:rsidR="00C0335B" w:rsidRPr="00434C5D" w:rsidRDefault="00C0335B" w:rsidP="00C0335B">
      <w:pPr>
        <w:rPr>
          <w:rFonts w:cs="Times New Roman"/>
        </w:rPr>
      </w:pPr>
      <w:r w:rsidRPr="00434C5D">
        <w:rPr>
          <w:rFonts w:cs="Times New Roman"/>
        </w:rPr>
        <w:t>Aktar</w:t>
      </w:r>
      <w:r>
        <w:rPr>
          <w:rFonts w:cs="Times New Roman"/>
        </w:rPr>
        <w:t>,</w:t>
      </w:r>
      <w:r w:rsidRPr="00434C5D">
        <w:rPr>
          <w:rFonts w:cs="Times New Roman"/>
        </w:rPr>
        <w:t xml:space="preserve"> M.W., Sengupta</w:t>
      </w:r>
      <w:r>
        <w:rPr>
          <w:rFonts w:cs="Times New Roman"/>
        </w:rPr>
        <w:t>,</w:t>
      </w:r>
      <w:r w:rsidRPr="00434C5D">
        <w:rPr>
          <w:rFonts w:cs="Times New Roman"/>
        </w:rPr>
        <w:t xml:space="preserve"> D., and Chowdhury</w:t>
      </w:r>
      <w:r>
        <w:rPr>
          <w:rFonts w:cs="Times New Roman"/>
        </w:rPr>
        <w:t>,</w:t>
      </w:r>
      <w:r w:rsidRPr="00434C5D">
        <w:rPr>
          <w:rFonts w:cs="Times New Roman"/>
        </w:rPr>
        <w:t xml:space="preserve"> A. (2009). Impact of pesticides use in agriculture: their benefits and hazards. </w:t>
      </w:r>
      <w:proofErr w:type="spellStart"/>
      <w:r w:rsidRPr="00434C5D">
        <w:rPr>
          <w:rFonts w:cs="Times New Roman"/>
          <w:i/>
          <w:iCs/>
        </w:rPr>
        <w:t>Interdiscip</w:t>
      </w:r>
      <w:proofErr w:type="spellEnd"/>
      <w:r w:rsidRPr="00434C5D">
        <w:rPr>
          <w:rFonts w:cs="Times New Roman"/>
          <w:i/>
          <w:iCs/>
        </w:rPr>
        <w:t xml:space="preserve"> </w:t>
      </w:r>
      <w:proofErr w:type="spellStart"/>
      <w:r w:rsidRPr="00434C5D">
        <w:rPr>
          <w:rFonts w:cs="Times New Roman"/>
          <w:i/>
          <w:iCs/>
        </w:rPr>
        <w:t>Toxicol</w:t>
      </w:r>
      <w:proofErr w:type="spellEnd"/>
      <w:r w:rsidRPr="00434C5D">
        <w:rPr>
          <w:rFonts w:cs="Times New Roman"/>
          <w:i/>
          <w:iCs/>
        </w:rPr>
        <w:t>. 2</w:t>
      </w:r>
      <w:r w:rsidRPr="00434C5D">
        <w:rPr>
          <w:rFonts w:cs="Times New Roman"/>
        </w:rPr>
        <w:t>(1):</w:t>
      </w:r>
      <w:r>
        <w:rPr>
          <w:rFonts w:cs="Times New Roman"/>
        </w:rPr>
        <w:t xml:space="preserve"> </w:t>
      </w:r>
      <w:r w:rsidRPr="00434C5D">
        <w:rPr>
          <w:rFonts w:cs="Times New Roman"/>
        </w:rPr>
        <w:t xml:space="preserve">1-12. </w:t>
      </w:r>
      <w:hyperlink r:id="rId21" w:history="1">
        <w:r w:rsidRPr="00434C5D">
          <w:rPr>
            <w:rStyle w:val="Hyperlink"/>
            <w:rFonts w:cs="Times New Roman"/>
          </w:rPr>
          <w:t>https://doi.org/10.2478/v10102-009-0001-7</w:t>
        </w:r>
      </w:hyperlink>
      <w:r w:rsidRPr="00434C5D">
        <w:rPr>
          <w:rFonts w:cs="Times New Roman"/>
        </w:rPr>
        <w:t xml:space="preserve"> </w:t>
      </w:r>
    </w:p>
    <w:p w14:paraId="10439503" w14:textId="77777777" w:rsidR="00C0335B" w:rsidRPr="00434C5D" w:rsidRDefault="00C0335B" w:rsidP="00C0335B">
      <w:pPr>
        <w:rPr>
          <w:rFonts w:cs="Times New Roman"/>
        </w:rPr>
      </w:pPr>
      <w:proofErr w:type="spellStart"/>
      <w:r w:rsidRPr="00434C5D">
        <w:rPr>
          <w:rFonts w:cs="Times New Roman"/>
        </w:rPr>
        <w:t>Alawneh</w:t>
      </w:r>
      <w:proofErr w:type="spellEnd"/>
      <w:r w:rsidRPr="00434C5D">
        <w:rPr>
          <w:rFonts w:cs="Times New Roman"/>
        </w:rPr>
        <w:t xml:space="preserve">, J.I., Hassan, M.M., Camac, J., Ransom, L., Planck, J., </w:t>
      </w:r>
      <w:proofErr w:type="spellStart"/>
      <w:r w:rsidRPr="00434C5D">
        <w:rPr>
          <w:rFonts w:cs="Times New Roman"/>
        </w:rPr>
        <w:t>Porchun</w:t>
      </w:r>
      <w:proofErr w:type="spellEnd"/>
      <w:r w:rsidRPr="00434C5D">
        <w:rPr>
          <w:rFonts w:cs="Times New Roman"/>
        </w:rPr>
        <w:t>, S.C., Reid, M., and Chay, R. (2025). Plant biosecurity and One Health: government and industry roles as risk creators and mitigators. </w:t>
      </w:r>
      <w:r w:rsidRPr="00434C5D">
        <w:rPr>
          <w:rFonts w:cs="Times New Roman"/>
          <w:i/>
          <w:iCs/>
        </w:rPr>
        <w:t>One Health Outlook</w:t>
      </w:r>
      <w:r w:rsidRPr="00434C5D">
        <w:rPr>
          <w:rFonts w:cs="Times New Roman"/>
        </w:rPr>
        <w:t> 7</w:t>
      </w:r>
      <w:r>
        <w:rPr>
          <w:rFonts w:cs="Times New Roman"/>
        </w:rPr>
        <w:t>(</w:t>
      </w:r>
      <w:r w:rsidRPr="00434C5D">
        <w:rPr>
          <w:rFonts w:cs="Times New Roman"/>
        </w:rPr>
        <w:t>27</w:t>
      </w:r>
      <w:r>
        <w:rPr>
          <w:rFonts w:cs="Times New Roman"/>
        </w:rPr>
        <w:t>)</w:t>
      </w:r>
      <w:r w:rsidRPr="00434C5D">
        <w:rPr>
          <w:rFonts w:cs="Times New Roman"/>
        </w:rPr>
        <w:t xml:space="preserve">. </w:t>
      </w:r>
      <w:hyperlink r:id="rId22" w:history="1">
        <w:r w:rsidRPr="00434C5D">
          <w:rPr>
            <w:rStyle w:val="Hyperlink"/>
            <w:rFonts w:cs="Times New Roman"/>
          </w:rPr>
          <w:t>https://doi.org/10.1186/s42522-025-00150-y</w:t>
        </w:r>
      </w:hyperlink>
      <w:r w:rsidRPr="00434C5D">
        <w:rPr>
          <w:rFonts w:cs="Times New Roman"/>
        </w:rPr>
        <w:t xml:space="preserve"> </w:t>
      </w:r>
    </w:p>
    <w:p w14:paraId="0BB85D60" w14:textId="77777777" w:rsidR="00C0335B" w:rsidRPr="00434C5D" w:rsidRDefault="00C0335B" w:rsidP="00C0335B">
      <w:pPr>
        <w:spacing w:before="240" w:after="80"/>
        <w:rPr>
          <w:rFonts w:cs="Times New Roman"/>
        </w:rPr>
      </w:pPr>
      <w:proofErr w:type="spellStart"/>
      <w:r w:rsidRPr="00434C5D">
        <w:rPr>
          <w:rFonts w:cs="Times New Roman"/>
        </w:rPr>
        <w:t>Andrivon</w:t>
      </w:r>
      <w:proofErr w:type="spellEnd"/>
      <w:r w:rsidRPr="00434C5D">
        <w:rPr>
          <w:rFonts w:cs="Times New Roman"/>
        </w:rPr>
        <w:t xml:space="preserve">, D., </w:t>
      </w:r>
      <w:proofErr w:type="spellStart"/>
      <w:r w:rsidRPr="00434C5D">
        <w:rPr>
          <w:rFonts w:cs="Times New Roman"/>
        </w:rPr>
        <w:t>Montarry</w:t>
      </w:r>
      <w:proofErr w:type="spellEnd"/>
      <w:r w:rsidRPr="00434C5D">
        <w:rPr>
          <w:rFonts w:cs="Times New Roman"/>
        </w:rPr>
        <w:t xml:space="preserve">, J. and Fournet, S. (2022). Plant Health in a One Health world: missing links and hidden treasures. </w:t>
      </w:r>
      <w:r w:rsidRPr="00434C5D">
        <w:rPr>
          <w:rFonts w:cs="Times New Roman"/>
          <w:i/>
          <w:iCs/>
        </w:rPr>
        <w:t xml:space="preserve">Plant </w:t>
      </w:r>
      <w:proofErr w:type="spellStart"/>
      <w:r w:rsidRPr="00434C5D">
        <w:rPr>
          <w:rFonts w:cs="Times New Roman"/>
          <w:i/>
          <w:iCs/>
        </w:rPr>
        <w:t>Pathol</w:t>
      </w:r>
      <w:proofErr w:type="spellEnd"/>
      <w:r w:rsidRPr="00434C5D">
        <w:rPr>
          <w:rFonts w:cs="Times New Roman"/>
          <w:i/>
          <w:iCs/>
        </w:rPr>
        <w:t>. 71</w:t>
      </w:r>
      <w:r w:rsidRPr="00434C5D">
        <w:rPr>
          <w:rFonts w:cs="Times New Roman"/>
        </w:rPr>
        <w:t>: 23-29. </w:t>
      </w:r>
      <w:hyperlink r:id="rId23" w:history="1">
        <w:r w:rsidRPr="00434C5D">
          <w:rPr>
            <w:rStyle w:val="Hyperlink"/>
            <w:rFonts w:cs="Times New Roman"/>
          </w:rPr>
          <w:t>https://doi.org/10.1111/ppa.13463</w:t>
        </w:r>
      </w:hyperlink>
    </w:p>
    <w:p w14:paraId="3AE2D1B7" w14:textId="77777777" w:rsidR="00C0335B" w:rsidRPr="00434C5D" w:rsidRDefault="00C0335B" w:rsidP="00C0335B">
      <w:pPr>
        <w:spacing w:before="240" w:after="80"/>
        <w:rPr>
          <w:rFonts w:cs="Times New Roman"/>
        </w:rPr>
      </w:pPr>
      <w:r w:rsidRPr="00434C5D">
        <w:rPr>
          <w:rFonts w:cs="Times New Roman"/>
        </w:rPr>
        <w:t xml:space="preserve">Avila, L., McCullough, C., Schiffer, A., Moreno, J., </w:t>
      </w:r>
      <w:proofErr w:type="spellStart"/>
      <w:r w:rsidRPr="00434C5D">
        <w:rPr>
          <w:rFonts w:cs="Times New Roman"/>
        </w:rPr>
        <w:t>Ganjur</w:t>
      </w:r>
      <w:proofErr w:type="spellEnd"/>
      <w:r w:rsidRPr="00434C5D">
        <w:rPr>
          <w:rFonts w:cs="Times New Roman"/>
        </w:rPr>
        <w:t xml:space="preserve">, N., Ofenloch, Z., DuPont, T., Nottingham, L., Gerardo, N.M., and Brosi, B.J. (2024). Effects of a field-sprayed antibiotic on bee foraging </w:t>
      </w:r>
      <w:proofErr w:type="spellStart"/>
      <w:r w:rsidRPr="00434C5D">
        <w:rPr>
          <w:rFonts w:cs="Times New Roman"/>
        </w:rPr>
        <w:t>behavior</w:t>
      </w:r>
      <w:proofErr w:type="spellEnd"/>
      <w:r w:rsidRPr="00434C5D">
        <w:rPr>
          <w:rFonts w:cs="Times New Roman"/>
        </w:rPr>
        <w:t xml:space="preserve"> and pollination in pear orchards. </w:t>
      </w:r>
      <w:r w:rsidRPr="00434C5D">
        <w:rPr>
          <w:rFonts w:cs="Times New Roman"/>
          <w:i/>
          <w:iCs/>
        </w:rPr>
        <w:t>Agriculture, Ecosystems &amp; Environment 359</w:t>
      </w:r>
      <w:r w:rsidRPr="00434C5D">
        <w:rPr>
          <w:rFonts w:cs="Times New Roman"/>
        </w:rPr>
        <w:t xml:space="preserve">: 108757. </w:t>
      </w:r>
      <w:hyperlink r:id="rId24" w:history="1">
        <w:r w:rsidRPr="00E460FF">
          <w:rPr>
            <w:rStyle w:val="Hyperlink"/>
            <w:rFonts w:cs="Times New Roman"/>
          </w:rPr>
          <w:t>https://www.sciencedirect.com/science/article/pii/S0167880923004164</w:t>
        </w:r>
      </w:hyperlink>
      <w:r>
        <w:rPr>
          <w:rFonts w:cs="Times New Roman"/>
        </w:rPr>
        <w:t xml:space="preserve"> </w:t>
      </w:r>
    </w:p>
    <w:p w14:paraId="2A9428E8" w14:textId="77777777" w:rsidR="00C0335B" w:rsidRPr="00434C5D" w:rsidRDefault="00C0335B" w:rsidP="00C0335B">
      <w:pPr>
        <w:spacing w:before="240" w:after="80"/>
        <w:rPr>
          <w:rFonts w:cs="Times New Roman"/>
        </w:rPr>
      </w:pPr>
      <w:proofErr w:type="spellStart"/>
      <w:r w:rsidRPr="00434C5D">
        <w:rPr>
          <w:rFonts w:cs="Times New Roman"/>
        </w:rPr>
        <w:t>Batuman</w:t>
      </w:r>
      <w:proofErr w:type="spellEnd"/>
      <w:r w:rsidRPr="00434C5D">
        <w:rPr>
          <w:rFonts w:cs="Times New Roman"/>
        </w:rPr>
        <w:t>, O., Britt-</w:t>
      </w:r>
      <w:proofErr w:type="spellStart"/>
      <w:r w:rsidRPr="00434C5D">
        <w:rPr>
          <w:rFonts w:cs="Times New Roman"/>
        </w:rPr>
        <w:t>Ugartemendia</w:t>
      </w:r>
      <w:proofErr w:type="spellEnd"/>
      <w:r w:rsidRPr="00434C5D">
        <w:rPr>
          <w:rFonts w:cs="Times New Roman"/>
        </w:rPr>
        <w:t xml:space="preserve">, K., Kunwar, S., Yilmaz S., Fessler, L., Redondo, A., </w:t>
      </w:r>
      <w:proofErr w:type="spellStart"/>
      <w:r w:rsidRPr="00434C5D">
        <w:rPr>
          <w:rFonts w:cs="Times New Roman"/>
        </w:rPr>
        <w:t>Chumachenko</w:t>
      </w:r>
      <w:proofErr w:type="spellEnd"/>
      <w:r w:rsidRPr="00434C5D">
        <w:rPr>
          <w:rFonts w:cs="Times New Roman"/>
        </w:rPr>
        <w:t xml:space="preserve">, K., Chakravarty, S., and Wade, T. (2024). The use and impact of antibiotics in plant agriculture: a review. </w:t>
      </w:r>
      <w:r w:rsidRPr="00434C5D">
        <w:rPr>
          <w:rFonts w:cs="Times New Roman"/>
          <w:i/>
          <w:iCs/>
        </w:rPr>
        <w:t>Phytopathology 114</w:t>
      </w:r>
      <w:r w:rsidRPr="00434C5D">
        <w:rPr>
          <w:rFonts w:cs="Times New Roman"/>
        </w:rPr>
        <w:t xml:space="preserve">(5). </w:t>
      </w:r>
      <w:hyperlink r:id="rId25" w:history="1">
        <w:r w:rsidRPr="00434C5D">
          <w:rPr>
            <w:rStyle w:val="Hyperlink"/>
            <w:rFonts w:cs="Times New Roman"/>
          </w:rPr>
          <w:t>https://apsjournals.apsnet.org/doi/10.1094/PHYTO-10-23-0357-IA</w:t>
        </w:r>
      </w:hyperlink>
      <w:r w:rsidRPr="00434C5D">
        <w:rPr>
          <w:rFonts w:cs="Times New Roman"/>
        </w:rPr>
        <w:t xml:space="preserve"> </w:t>
      </w:r>
    </w:p>
    <w:p w14:paraId="10F21471" w14:textId="77777777" w:rsidR="00C0335B" w:rsidRPr="00434C5D" w:rsidRDefault="00C0335B" w:rsidP="00C0335B">
      <w:pPr>
        <w:shd w:val="clear" w:color="auto" w:fill="FFFFFF" w:themeFill="background1"/>
        <w:spacing w:before="240"/>
        <w:rPr>
          <w:rFonts w:eastAsia="Arial" w:cs="Times New Roman"/>
          <w:color w:val="222222"/>
        </w:rPr>
      </w:pPr>
      <w:r w:rsidRPr="00434C5D">
        <w:rPr>
          <w:rFonts w:eastAsia="Arial" w:cs="Times New Roman"/>
          <w:color w:val="222222"/>
        </w:rPr>
        <w:t xml:space="preserve">Bennett, J.W., &amp; Klich, M. (2003). Mycotoxins. </w:t>
      </w:r>
      <w:r w:rsidRPr="00434C5D">
        <w:rPr>
          <w:rFonts w:eastAsia="Arial" w:cs="Times New Roman"/>
          <w:i/>
          <w:iCs/>
          <w:color w:val="222222"/>
        </w:rPr>
        <w:t>Clinical Microbiology Reviews</w:t>
      </w:r>
      <w:r w:rsidRPr="00434C5D">
        <w:rPr>
          <w:rFonts w:eastAsia="Arial" w:cs="Times New Roman"/>
          <w:color w:val="222222"/>
        </w:rPr>
        <w:t xml:space="preserve"> 16(3)</w:t>
      </w:r>
      <w:r>
        <w:rPr>
          <w:rFonts w:eastAsia="Arial" w:cs="Times New Roman"/>
          <w:color w:val="222222"/>
        </w:rPr>
        <w:t>:</w:t>
      </w:r>
      <w:r w:rsidRPr="00434C5D">
        <w:rPr>
          <w:rFonts w:eastAsia="Arial" w:cs="Times New Roman"/>
          <w:color w:val="222222"/>
        </w:rPr>
        <w:t xml:space="preserve"> 497–516.</w:t>
      </w:r>
    </w:p>
    <w:p w14:paraId="3206E375" w14:textId="77777777" w:rsidR="00C0335B" w:rsidRPr="00434C5D" w:rsidRDefault="00C0335B" w:rsidP="00C0335B">
      <w:pPr>
        <w:spacing w:before="240" w:after="80"/>
        <w:rPr>
          <w:rFonts w:cs="Times New Roman"/>
        </w:rPr>
      </w:pPr>
      <w:r w:rsidRPr="00146E05">
        <w:rPr>
          <w:rFonts w:cs="Times New Roman"/>
        </w:rPr>
        <w:t xml:space="preserve">Bharadwaj, N., Sharma, R., Subramanian, M., Ragini, G., Nagarajan, S.A., and Rahi, M. (2025). </w:t>
      </w:r>
      <w:r w:rsidRPr="00434C5D">
        <w:rPr>
          <w:rFonts w:cs="Times New Roman"/>
        </w:rPr>
        <w:t xml:space="preserve">Omics Approaches in Understanding Insecticide Resistance in Mosquito Vectors. </w:t>
      </w:r>
      <w:r w:rsidRPr="00434C5D">
        <w:rPr>
          <w:rFonts w:cs="Times New Roman"/>
          <w:i/>
          <w:iCs/>
        </w:rPr>
        <w:t>Int J Mol Sci.</w:t>
      </w:r>
      <w:r w:rsidRPr="00434C5D">
        <w:rPr>
          <w:rFonts w:cs="Times New Roman"/>
        </w:rPr>
        <w:t xml:space="preserve"> </w:t>
      </w:r>
      <w:r w:rsidRPr="00434C5D">
        <w:rPr>
          <w:rFonts w:cs="Times New Roman"/>
          <w:i/>
          <w:iCs/>
        </w:rPr>
        <w:t>26</w:t>
      </w:r>
      <w:r w:rsidRPr="00434C5D">
        <w:rPr>
          <w:rFonts w:cs="Times New Roman"/>
        </w:rPr>
        <w:t>(5):</w:t>
      </w:r>
      <w:r>
        <w:rPr>
          <w:rFonts w:cs="Times New Roman"/>
        </w:rPr>
        <w:t xml:space="preserve"> </w:t>
      </w:r>
      <w:r w:rsidRPr="00434C5D">
        <w:rPr>
          <w:rFonts w:cs="Times New Roman"/>
        </w:rPr>
        <w:t xml:space="preserve">1854. </w:t>
      </w:r>
      <w:hyperlink r:id="rId26" w:history="1">
        <w:r w:rsidRPr="00434C5D">
          <w:rPr>
            <w:rStyle w:val="Hyperlink"/>
            <w:rFonts w:cs="Times New Roman"/>
          </w:rPr>
          <w:t>doi.org/10.3390/ijms26051854</w:t>
        </w:r>
      </w:hyperlink>
      <w:r w:rsidRPr="00434C5D">
        <w:rPr>
          <w:rFonts w:cs="Times New Roman"/>
        </w:rPr>
        <w:t xml:space="preserve"> </w:t>
      </w:r>
    </w:p>
    <w:p w14:paraId="4D50C004" w14:textId="77777777" w:rsidR="00C0335B" w:rsidRPr="00434C5D" w:rsidRDefault="00C0335B" w:rsidP="00C0335B">
      <w:pPr>
        <w:spacing w:before="240" w:after="80"/>
        <w:rPr>
          <w:rFonts w:cs="Times New Roman"/>
        </w:rPr>
      </w:pPr>
      <w:r w:rsidRPr="00434C5D">
        <w:rPr>
          <w:rFonts w:cs="Times New Roman"/>
        </w:rPr>
        <w:t xml:space="preserve">Brunn, A., Kadri-Alabi, Z., Moodley, A., </w:t>
      </w:r>
      <w:proofErr w:type="spellStart"/>
      <w:r w:rsidRPr="00434C5D">
        <w:rPr>
          <w:rFonts w:cs="Times New Roman"/>
        </w:rPr>
        <w:t>Guardabassi</w:t>
      </w:r>
      <w:proofErr w:type="spellEnd"/>
      <w:r w:rsidRPr="00434C5D">
        <w:rPr>
          <w:rFonts w:cs="Times New Roman"/>
        </w:rPr>
        <w:t xml:space="preserve">, L., Taylor, P., Mateus, A., and Waage, J. (2022). Characteristics and global occurrence of human pathogens </w:t>
      </w:r>
      <w:proofErr w:type="spellStart"/>
      <w:r w:rsidRPr="00434C5D">
        <w:rPr>
          <w:rFonts w:cs="Times New Roman"/>
        </w:rPr>
        <w:t>harboring</w:t>
      </w:r>
      <w:proofErr w:type="spellEnd"/>
      <w:r w:rsidRPr="00434C5D">
        <w:rPr>
          <w:rFonts w:cs="Times New Roman"/>
        </w:rPr>
        <w:t xml:space="preserve"> antimicrobial resistance in food crops: A scoping review. </w:t>
      </w:r>
      <w:r w:rsidRPr="00434C5D">
        <w:rPr>
          <w:rFonts w:cs="Times New Roman"/>
          <w:i/>
          <w:iCs/>
        </w:rPr>
        <w:t xml:space="preserve">Front. Sustain. Food Syst. 6. </w:t>
      </w:r>
      <w:hyperlink r:id="rId27" w:history="1">
        <w:r w:rsidRPr="00434C5D">
          <w:rPr>
            <w:rStyle w:val="Hyperlink"/>
            <w:rFonts w:cs="Times New Roman"/>
          </w:rPr>
          <w:t>https://www.frontiersin.org/journals/sustainable-food-systems/articles/</w:t>
        </w:r>
        <w:r>
          <w:rPr>
            <w:rStyle w:val="Hyperlink"/>
            <w:rFonts w:cs="Times New Roman"/>
          </w:rPr>
          <w:t>‌</w:t>
        </w:r>
        <w:r w:rsidRPr="00434C5D">
          <w:rPr>
            <w:rStyle w:val="Hyperlink"/>
            <w:rFonts w:cs="Times New Roman"/>
          </w:rPr>
          <w:t>10.3389</w:t>
        </w:r>
        <w:r>
          <w:rPr>
            <w:rStyle w:val="Hyperlink"/>
            <w:rFonts w:cs="Times New Roman"/>
          </w:rPr>
          <w:t>‌</w:t>
        </w:r>
        <w:r w:rsidRPr="00434C5D">
          <w:rPr>
            <w:rStyle w:val="Hyperlink"/>
            <w:rFonts w:cs="Times New Roman"/>
          </w:rPr>
          <w:t>/fsufs.2022.824714/full</w:t>
        </w:r>
      </w:hyperlink>
      <w:r w:rsidRPr="00434C5D">
        <w:rPr>
          <w:rFonts w:cs="Times New Roman"/>
          <w:i/>
          <w:iCs/>
        </w:rPr>
        <w:t xml:space="preserve"> </w:t>
      </w:r>
    </w:p>
    <w:p w14:paraId="2DE3425B" w14:textId="77777777" w:rsidR="00C0335B" w:rsidRPr="00434C5D" w:rsidRDefault="00C0335B" w:rsidP="00C0335B">
      <w:pPr>
        <w:spacing w:before="240" w:after="80"/>
        <w:rPr>
          <w:rFonts w:cs="Times New Roman"/>
          <w:lang w:val="it-IT"/>
        </w:rPr>
      </w:pPr>
      <w:r w:rsidRPr="00434C5D">
        <w:rPr>
          <w:rFonts w:cs="Times New Roman"/>
        </w:rPr>
        <w:t>Burks</w:t>
      </w:r>
      <w:r>
        <w:rPr>
          <w:rFonts w:cs="Times New Roman"/>
        </w:rPr>
        <w:t>,</w:t>
      </w:r>
      <w:r w:rsidRPr="00434C5D">
        <w:rPr>
          <w:rFonts w:cs="Times New Roman"/>
        </w:rPr>
        <w:t xml:space="preserve"> C</w:t>
      </w:r>
      <w:r>
        <w:rPr>
          <w:rFonts w:cs="Times New Roman"/>
        </w:rPr>
        <w:t>.</w:t>
      </w:r>
      <w:r w:rsidRPr="00434C5D">
        <w:rPr>
          <w:rFonts w:cs="Times New Roman"/>
        </w:rPr>
        <w:t>, Darby</w:t>
      </w:r>
      <w:r>
        <w:rPr>
          <w:rFonts w:cs="Times New Roman"/>
        </w:rPr>
        <w:t>,</w:t>
      </w:r>
      <w:r w:rsidRPr="00434C5D">
        <w:rPr>
          <w:rFonts w:cs="Times New Roman"/>
        </w:rPr>
        <w:t xml:space="preserve"> A</w:t>
      </w:r>
      <w:r>
        <w:rPr>
          <w:rFonts w:cs="Times New Roman"/>
        </w:rPr>
        <w:t>.</w:t>
      </w:r>
      <w:r w:rsidRPr="00434C5D">
        <w:rPr>
          <w:rFonts w:cs="Times New Roman"/>
        </w:rPr>
        <w:t>, Gómez Londoño</w:t>
      </w:r>
      <w:r>
        <w:rPr>
          <w:rFonts w:cs="Times New Roman"/>
        </w:rPr>
        <w:t>,</w:t>
      </w:r>
      <w:r w:rsidRPr="00434C5D">
        <w:rPr>
          <w:rFonts w:cs="Times New Roman"/>
        </w:rPr>
        <w:t xml:space="preserve"> L</w:t>
      </w:r>
      <w:r>
        <w:rPr>
          <w:rFonts w:cs="Times New Roman"/>
        </w:rPr>
        <w:t>.</w:t>
      </w:r>
      <w:r w:rsidRPr="00434C5D">
        <w:rPr>
          <w:rFonts w:cs="Times New Roman"/>
        </w:rPr>
        <w:t>, Momany</w:t>
      </w:r>
      <w:r>
        <w:rPr>
          <w:rFonts w:cs="Times New Roman"/>
        </w:rPr>
        <w:t>,</w:t>
      </w:r>
      <w:r w:rsidRPr="00434C5D">
        <w:rPr>
          <w:rFonts w:cs="Times New Roman"/>
        </w:rPr>
        <w:t xml:space="preserve"> M</w:t>
      </w:r>
      <w:r>
        <w:rPr>
          <w:rFonts w:cs="Times New Roman"/>
        </w:rPr>
        <w:t>.</w:t>
      </w:r>
      <w:r w:rsidRPr="00434C5D">
        <w:rPr>
          <w:rFonts w:cs="Times New Roman"/>
        </w:rPr>
        <w:t xml:space="preserve">, </w:t>
      </w:r>
      <w:r>
        <w:rPr>
          <w:rFonts w:cs="Times New Roman"/>
        </w:rPr>
        <w:t xml:space="preserve">and </w:t>
      </w:r>
      <w:r w:rsidRPr="00434C5D">
        <w:rPr>
          <w:rFonts w:cs="Times New Roman"/>
        </w:rPr>
        <w:t>Brewer</w:t>
      </w:r>
      <w:r>
        <w:rPr>
          <w:rFonts w:cs="Times New Roman"/>
        </w:rPr>
        <w:t>,</w:t>
      </w:r>
      <w:r w:rsidRPr="00434C5D">
        <w:rPr>
          <w:rFonts w:cs="Times New Roman"/>
        </w:rPr>
        <w:t xml:space="preserve"> M</w:t>
      </w:r>
      <w:r>
        <w:rPr>
          <w:rFonts w:cs="Times New Roman"/>
        </w:rPr>
        <w:t>.</w:t>
      </w:r>
      <w:r w:rsidRPr="00434C5D">
        <w:rPr>
          <w:rFonts w:cs="Times New Roman"/>
        </w:rPr>
        <w:t>T. (2021). Azole-resistant </w:t>
      </w:r>
      <w:r w:rsidRPr="00434C5D">
        <w:rPr>
          <w:rFonts w:cs="Times New Roman"/>
          <w:i/>
          <w:iCs/>
        </w:rPr>
        <w:t>Aspergillus fumigatus</w:t>
      </w:r>
      <w:r w:rsidRPr="00434C5D">
        <w:rPr>
          <w:rFonts w:cs="Times New Roman"/>
        </w:rPr>
        <w:t xml:space="preserve"> in the environment: Identifying key reservoirs and hotspots of antifungal resistance. </w:t>
      </w:r>
      <w:r w:rsidRPr="00434C5D">
        <w:rPr>
          <w:rFonts w:cs="Times New Roman"/>
          <w:i/>
          <w:iCs/>
          <w:lang w:val="it-IT"/>
        </w:rPr>
        <w:t>PLoS Pathog</w:t>
      </w:r>
      <w:r w:rsidRPr="00434C5D">
        <w:rPr>
          <w:rFonts w:cs="Times New Roman"/>
          <w:lang w:val="it-IT"/>
        </w:rPr>
        <w:t xml:space="preserve"> </w:t>
      </w:r>
      <w:r w:rsidRPr="00434C5D">
        <w:rPr>
          <w:rFonts w:cs="Times New Roman"/>
          <w:i/>
          <w:iCs/>
          <w:lang w:val="it-IT"/>
        </w:rPr>
        <w:t>17</w:t>
      </w:r>
      <w:r w:rsidRPr="00434C5D">
        <w:rPr>
          <w:rFonts w:cs="Times New Roman"/>
          <w:lang w:val="it-IT"/>
        </w:rPr>
        <w:t xml:space="preserve">(7): e1009711. </w:t>
      </w:r>
      <w:r>
        <w:fldChar w:fldCharType="begin"/>
      </w:r>
      <w:r w:rsidRPr="00146E05">
        <w:rPr>
          <w:lang w:val="it-IT"/>
        </w:rPr>
        <w:instrText>HYPERLINK "https://doi.org/10.1371/journal.ppat.1009711"</w:instrText>
      </w:r>
      <w:r>
        <w:fldChar w:fldCharType="separate"/>
      </w:r>
      <w:r w:rsidRPr="00434C5D">
        <w:rPr>
          <w:rStyle w:val="Hyperlink"/>
          <w:rFonts w:cs="Times New Roman"/>
          <w:lang w:val="it-IT"/>
        </w:rPr>
        <w:t>https://doi.org/10.1371/journal.ppat.1009711</w:t>
      </w:r>
      <w:r>
        <w:fldChar w:fldCharType="end"/>
      </w:r>
    </w:p>
    <w:p w14:paraId="02755BED" w14:textId="77777777" w:rsidR="00C0335B" w:rsidRPr="00434C5D" w:rsidRDefault="00C0335B" w:rsidP="00C0335B">
      <w:pPr>
        <w:spacing w:before="240" w:after="80"/>
        <w:rPr>
          <w:rFonts w:cs="Times New Roman"/>
        </w:rPr>
      </w:pPr>
      <w:r w:rsidRPr="00434C5D">
        <w:rPr>
          <w:rFonts w:cs="Times New Roman"/>
          <w:lang w:val="it-IT"/>
        </w:rPr>
        <w:t xml:space="preserve">Chen, Q. L., Cui, H.-L., Su, J.-Q., Penuelas, J., and Zhu, Y.-G. (2019). </w:t>
      </w:r>
      <w:r w:rsidRPr="00434C5D">
        <w:rPr>
          <w:rFonts w:cs="Times New Roman"/>
        </w:rPr>
        <w:t xml:space="preserve">Antibiotic </w:t>
      </w:r>
      <w:proofErr w:type="spellStart"/>
      <w:r w:rsidRPr="00434C5D">
        <w:rPr>
          <w:rFonts w:cs="Times New Roman"/>
        </w:rPr>
        <w:t>resistomes</w:t>
      </w:r>
      <w:proofErr w:type="spellEnd"/>
      <w:r w:rsidRPr="00434C5D">
        <w:rPr>
          <w:rFonts w:cs="Times New Roman"/>
        </w:rPr>
        <w:t xml:space="preserve"> in plant microbiomes. </w:t>
      </w:r>
      <w:r w:rsidRPr="00434C5D">
        <w:rPr>
          <w:rFonts w:cs="Times New Roman"/>
          <w:i/>
          <w:iCs/>
        </w:rPr>
        <w:t>Trends in Plant Science 24</w:t>
      </w:r>
      <w:r w:rsidRPr="00434C5D">
        <w:rPr>
          <w:rFonts w:cs="Times New Roman"/>
        </w:rPr>
        <w:t>(6)</w:t>
      </w:r>
      <w:r>
        <w:rPr>
          <w:rFonts w:cs="Times New Roman"/>
        </w:rPr>
        <w:t>:</w:t>
      </w:r>
      <w:r w:rsidRPr="00434C5D">
        <w:rPr>
          <w:rFonts w:cs="Times New Roman"/>
        </w:rPr>
        <w:t xml:space="preserve"> 530-541. </w:t>
      </w:r>
      <w:hyperlink r:id="rId28" w:history="1">
        <w:r w:rsidRPr="00434C5D">
          <w:rPr>
            <w:rStyle w:val="Hyperlink"/>
            <w:rFonts w:cs="Times New Roman"/>
          </w:rPr>
          <w:t>https://www.sciencedirect.com/science/article/pii/S1360138519300524?via%3Dihub</w:t>
        </w:r>
      </w:hyperlink>
      <w:r w:rsidRPr="00434C5D">
        <w:rPr>
          <w:rFonts w:cs="Times New Roman"/>
        </w:rPr>
        <w:t xml:space="preserve"> </w:t>
      </w:r>
    </w:p>
    <w:p w14:paraId="6B5455C8" w14:textId="77777777" w:rsidR="00C0335B" w:rsidRPr="00434C5D" w:rsidRDefault="00C0335B" w:rsidP="00C0335B">
      <w:pPr>
        <w:spacing w:before="240" w:after="80"/>
        <w:rPr>
          <w:rFonts w:cs="Times New Roman"/>
        </w:rPr>
      </w:pPr>
      <w:r w:rsidRPr="00434C5D">
        <w:rPr>
          <w:rFonts w:cs="Times New Roman"/>
        </w:rPr>
        <w:t xml:space="preserve">Danielsen, S., Schaffner, U., and </w:t>
      </w:r>
      <w:proofErr w:type="spellStart"/>
      <w:r w:rsidRPr="00434C5D">
        <w:rPr>
          <w:rFonts w:cs="Times New Roman"/>
        </w:rPr>
        <w:t>Zinsstag</w:t>
      </w:r>
      <w:proofErr w:type="spellEnd"/>
      <w:r w:rsidRPr="00434C5D">
        <w:rPr>
          <w:rFonts w:cs="Times New Roman"/>
        </w:rPr>
        <w:t xml:space="preserve">, J. (2025). Worlds apart: Plant health and One Health and a path to convergence. </w:t>
      </w:r>
      <w:r w:rsidRPr="00434C5D">
        <w:rPr>
          <w:rFonts w:cs="Times New Roman"/>
          <w:i/>
          <w:iCs/>
        </w:rPr>
        <w:t>CABI One Health</w:t>
      </w:r>
      <w:r w:rsidRPr="00434C5D">
        <w:rPr>
          <w:rFonts w:cs="Times New Roman"/>
        </w:rPr>
        <w:t xml:space="preserve"> 4:1. </w:t>
      </w:r>
      <w:hyperlink r:id="rId29" w:history="1">
        <w:r w:rsidRPr="00434C5D">
          <w:rPr>
            <w:rStyle w:val="Hyperlink"/>
            <w:rFonts w:cs="Times New Roman"/>
          </w:rPr>
          <w:t>https://www.cabidigitallibrary.org/doi/10.1079/cabionehealth.2025.0013</w:t>
        </w:r>
      </w:hyperlink>
      <w:r w:rsidRPr="00434C5D">
        <w:rPr>
          <w:rFonts w:cs="Times New Roman"/>
        </w:rPr>
        <w:t xml:space="preserve"> </w:t>
      </w:r>
    </w:p>
    <w:p w14:paraId="1D6BCCD3" w14:textId="77777777" w:rsidR="00C0335B" w:rsidRPr="00434C5D" w:rsidRDefault="00C0335B" w:rsidP="00C0335B">
      <w:pPr>
        <w:spacing w:before="240" w:after="80"/>
        <w:rPr>
          <w:rFonts w:cs="Times New Roman"/>
        </w:rPr>
      </w:pPr>
      <w:proofErr w:type="spellStart"/>
      <w:r w:rsidRPr="00434C5D">
        <w:rPr>
          <w:rFonts w:cs="Times New Roman"/>
        </w:rPr>
        <w:t>Degaga</w:t>
      </w:r>
      <w:proofErr w:type="spellEnd"/>
      <w:r w:rsidRPr="00434C5D">
        <w:rPr>
          <w:rFonts w:cs="Times New Roman"/>
        </w:rPr>
        <w:t>, A.H. (2018). Water hyacinth (</w:t>
      </w:r>
      <w:r w:rsidRPr="00434C5D">
        <w:rPr>
          <w:rFonts w:cs="Times New Roman"/>
          <w:i/>
          <w:iCs/>
        </w:rPr>
        <w:t>Eichhornia crassipes</w:t>
      </w:r>
      <w:r w:rsidRPr="00434C5D">
        <w:rPr>
          <w:rFonts w:cs="Times New Roman"/>
        </w:rPr>
        <w:t xml:space="preserve">) biology and its impacts on ecosystem, biodiversity, economy and human well-being. </w:t>
      </w:r>
      <w:r w:rsidRPr="00434C5D">
        <w:rPr>
          <w:rFonts w:cs="Times New Roman"/>
          <w:i/>
          <w:iCs/>
        </w:rPr>
        <w:t>Journal of Life Science and Biomedicine 8</w:t>
      </w:r>
      <w:r w:rsidRPr="00434C5D">
        <w:rPr>
          <w:rFonts w:cs="Times New Roman"/>
        </w:rPr>
        <w:t xml:space="preserve">(6): 94-100. </w:t>
      </w:r>
      <w:hyperlink r:id="rId30" w:history="1">
        <w:r w:rsidRPr="00434C5D">
          <w:rPr>
            <w:rStyle w:val="Hyperlink"/>
            <w:rFonts w:cs="Times New Roman"/>
          </w:rPr>
          <w:t>https://www.jlsb.science-line.com/attachments/article/64/J.%20Life%20Sci.%20Biomed.%208%286%29%2094-100,%202018.pdf</w:t>
        </w:r>
      </w:hyperlink>
      <w:r w:rsidRPr="00434C5D">
        <w:rPr>
          <w:rFonts w:cs="Times New Roman"/>
        </w:rPr>
        <w:t xml:space="preserve"> </w:t>
      </w:r>
    </w:p>
    <w:p w14:paraId="4B9D8C19" w14:textId="77777777" w:rsidR="00C0335B" w:rsidRPr="00434C5D" w:rsidRDefault="00C0335B" w:rsidP="00C0335B">
      <w:pPr>
        <w:spacing w:before="240" w:after="80"/>
        <w:rPr>
          <w:rFonts w:cs="Times New Roman"/>
        </w:rPr>
      </w:pPr>
      <w:r w:rsidRPr="00434C5D">
        <w:rPr>
          <w:rFonts w:cs="Times New Roman"/>
        </w:rPr>
        <w:t xml:space="preserve">Destoumieux-Garzón, D., </w:t>
      </w:r>
      <w:proofErr w:type="spellStart"/>
      <w:r w:rsidRPr="00434C5D">
        <w:rPr>
          <w:rFonts w:cs="Times New Roman"/>
        </w:rPr>
        <w:t>Mavingui</w:t>
      </w:r>
      <w:proofErr w:type="spellEnd"/>
      <w:r w:rsidRPr="00434C5D">
        <w:rPr>
          <w:rFonts w:cs="Times New Roman"/>
        </w:rPr>
        <w:t xml:space="preserve">, P., </w:t>
      </w:r>
      <w:proofErr w:type="spellStart"/>
      <w:r w:rsidRPr="00434C5D">
        <w:rPr>
          <w:rFonts w:cs="Times New Roman"/>
        </w:rPr>
        <w:t>Boetsch</w:t>
      </w:r>
      <w:proofErr w:type="spellEnd"/>
      <w:r w:rsidRPr="00434C5D">
        <w:rPr>
          <w:rFonts w:cs="Times New Roman"/>
        </w:rPr>
        <w:t xml:space="preserve">, G., Boissier, J. Darriet, F., </w:t>
      </w:r>
      <w:proofErr w:type="spellStart"/>
      <w:r w:rsidRPr="00434C5D">
        <w:rPr>
          <w:rFonts w:cs="Times New Roman"/>
        </w:rPr>
        <w:t>Doboz</w:t>
      </w:r>
      <w:proofErr w:type="spellEnd"/>
      <w:r w:rsidRPr="00434C5D">
        <w:rPr>
          <w:rFonts w:cs="Times New Roman"/>
        </w:rPr>
        <w:t xml:space="preserve">, P., Fritsch, C., Giraudoux, P., Le Roux, F., Morand, S., Paillard, C., Pontier, D., </w:t>
      </w:r>
      <w:proofErr w:type="spellStart"/>
      <w:r w:rsidRPr="00434C5D">
        <w:rPr>
          <w:rFonts w:cs="Times New Roman"/>
        </w:rPr>
        <w:t>Seuer</w:t>
      </w:r>
      <w:proofErr w:type="spellEnd"/>
      <w:r w:rsidRPr="00434C5D">
        <w:rPr>
          <w:rFonts w:cs="Times New Roman"/>
        </w:rPr>
        <w:t xml:space="preserve">, C., and </w:t>
      </w:r>
      <w:proofErr w:type="spellStart"/>
      <w:r w:rsidRPr="00434C5D">
        <w:rPr>
          <w:rFonts w:cs="Times New Roman"/>
        </w:rPr>
        <w:t>Voituron</w:t>
      </w:r>
      <w:proofErr w:type="spellEnd"/>
      <w:r w:rsidRPr="00434C5D">
        <w:rPr>
          <w:rFonts w:cs="Times New Roman"/>
        </w:rPr>
        <w:t xml:space="preserve">, Y. (2018). </w:t>
      </w:r>
      <w:r w:rsidRPr="00434C5D">
        <w:rPr>
          <w:rFonts w:cs="Times New Roman"/>
        </w:rPr>
        <w:lastRenderedPageBreak/>
        <w:t xml:space="preserve">The One Health concept: 10 years old and a long road ahead. </w:t>
      </w:r>
      <w:r w:rsidRPr="00434C5D">
        <w:rPr>
          <w:rFonts w:cs="Times New Roman"/>
          <w:i/>
          <w:iCs/>
        </w:rPr>
        <w:t>Front. Vet. Sci. 5</w:t>
      </w:r>
      <w:r w:rsidRPr="00434C5D">
        <w:rPr>
          <w:rFonts w:cs="Times New Roman"/>
        </w:rPr>
        <w:t xml:space="preserve">. </w:t>
      </w:r>
      <w:hyperlink r:id="rId31" w:history="1">
        <w:r w:rsidRPr="00434C5D">
          <w:rPr>
            <w:rStyle w:val="Hyperlink"/>
            <w:rFonts w:cs="Times New Roman"/>
          </w:rPr>
          <w:t>https://doi.org/10.3389/fvets.2018.00014</w:t>
        </w:r>
      </w:hyperlink>
      <w:r w:rsidRPr="00434C5D">
        <w:rPr>
          <w:rFonts w:cs="Times New Roman"/>
        </w:rPr>
        <w:t xml:space="preserve"> </w:t>
      </w:r>
    </w:p>
    <w:p w14:paraId="761485ED" w14:textId="77777777" w:rsidR="00C0335B" w:rsidRPr="00434C5D" w:rsidRDefault="00C0335B" w:rsidP="00C0335B">
      <w:pPr>
        <w:pStyle w:val="EndNoteBibliography"/>
        <w:spacing w:before="240" w:after="0"/>
        <w:rPr>
          <w:rFonts w:ascii="Times New Roman" w:hAnsi="Times New Roman" w:cs="Times New Roman"/>
          <w:sz w:val="24"/>
          <w:szCs w:val="24"/>
        </w:rPr>
      </w:pPr>
      <w:r w:rsidRPr="00434C5D">
        <w:rPr>
          <w:rFonts w:ascii="Times New Roman" w:hAnsi="Times New Roman" w:cs="Times New Roman"/>
          <w:sz w:val="24"/>
          <w:szCs w:val="24"/>
        </w:rPr>
        <w:t xml:space="preserve">EFSA and UCLouvain. (2022). PLANTIBIO project for PLant (pathogenic bacteria) ANTIBIOtic (resistance): Reduce risk assessment uncertainties – data collection on antibiotics for control of plant pathogenic bacteria. CPM 2022/CRP/05. </w:t>
      </w:r>
      <w:hyperlink r:id="rId32" w:history="1">
        <w:r w:rsidRPr="00434C5D">
          <w:rPr>
            <w:rStyle w:val="Hyperlink"/>
            <w:rFonts w:ascii="Times New Roman" w:hAnsi="Times New Roman" w:cs="Times New Roman"/>
            <w:sz w:val="24"/>
            <w:szCs w:val="24"/>
          </w:rPr>
          <w:t>https://assets.ippc.int/static/media/files/publication/en/2022/04/Concept_note_Plantibio_FV-1.pdf</w:t>
        </w:r>
      </w:hyperlink>
      <w:r w:rsidRPr="00434C5D">
        <w:rPr>
          <w:rFonts w:ascii="Times New Roman" w:hAnsi="Times New Roman" w:cs="Times New Roman"/>
          <w:sz w:val="24"/>
          <w:szCs w:val="24"/>
        </w:rPr>
        <w:t xml:space="preserve"> </w:t>
      </w:r>
    </w:p>
    <w:p w14:paraId="0C62D60D" w14:textId="77777777" w:rsidR="00C0335B" w:rsidRPr="00434C5D" w:rsidRDefault="00C0335B" w:rsidP="00C0335B">
      <w:pPr>
        <w:spacing w:before="240" w:after="80"/>
        <w:rPr>
          <w:rFonts w:cs="Times New Roman"/>
        </w:rPr>
      </w:pPr>
      <w:r w:rsidRPr="00434C5D">
        <w:rPr>
          <w:rFonts w:cs="Times New Roman"/>
        </w:rPr>
        <w:t xml:space="preserve">EPA. (2025). EPA finalizes framework for interagency collaboration on resistance risks associated with antibacterial and antifungal pesticides. U.S. Environmental Protection Agency. </w:t>
      </w:r>
      <w:hyperlink r:id="rId33" w:history="1">
        <w:r w:rsidRPr="00434C5D">
          <w:rPr>
            <w:rStyle w:val="Hyperlink"/>
            <w:rFonts w:cs="Times New Roman"/>
          </w:rPr>
          <w:t>https://www.epa.gov/pesticides/epa-finalizes-framework-interagency-collaboration-resistance-risks-associated</w:t>
        </w:r>
      </w:hyperlink>
      <w:r w:rsidRPr="00434C5D">
        <w:rPr>
          <w:rFonts w:cs="Times New Roman"/>
        </w:rPr>
        <w:t xml:space="preserve"> </w:t>
      </w:r>
    </w:p>
    <w:p w14:paraId="46BA7B6D" w14:textId="77777777" w:rsidR="00C0335B" w:rsidRPr="00E50940" w:rsidRDefault="00C0335B" w:rsidP="00C0335B">
      <w:pPr>
        <w:spacing w:before="240" w:after="80"/>
        <w:rPr>
          <w:rFonts w:cs="Times New Roman"/>
        </w:rPr>
      </w:pPr>
      <w:r w:rsidRPr="00146E05">
        <w:rPr>
          <w:rFonts w:cs="Times New Roman"/>
        </w:rPr>
        <w:t xml:space="preserve">EPPO. (2025). </w:t>
      </w:r>
      <w:r w:rsidRPr="00E50940">
        <w:rPr>
          <w:rFonts w:cs="Times New Roman"/>
        </w:rPr>
        <w:t xml:space="preserve">EPPO Database on Resistance Cases. European and </w:t>
      </w:r>
      <w:r>
        <w:rPr>
          <w:rFonts w:cs="Times New Roman"/>
        </w:rPr>
        <w:t>Mediterranean Plant Protection Organization.</w:t>
      </w:r>
      <w:r w:rsidRPr="00E50940">
        <w:rPr>
          <w:rFonts w:cs="Times New Roman"/>
        </w:rPr>
        <w:t> </w:t>
      </w:r>
      <w:hyperlink r:id="rId34" w:history="1">
        <w:r w:rsidRPr="00E50940">
          <w:rPr>
            <w:rStyle w:val="Hyperlink"/>
            <w:rFonts w:cs="Times New Roman"/>
          </w:rPr>
          <w:t>https://resistance.eppo.int/</w:t>
        </w:r>
      </w:hyperlink>
      <w:r w:rsidRPr="00E50940">
        <w:rPr>
          <w:rFonts w:cs="Times New Roman"/>
        </w:rPr>
        <w:t> </w:t>
      </w:r>
    </w:p>
    <w:p w14:paraId="7B1DE21B" w14:textId="77777777" w:rsidR="00C0335B" w:rsidRPr="00684E41" w:rsidRDefault="00C0335B" w:rsidP="00C0335B">
      <w:pPr>
        <w:spacing w:before="240" w:after="80"/>
        <w:rPr>
          <w:rFonts w:cs="Times New Roman"/>
        </w:rPr>
      </w:pPr>
      <w:r w:rsidRPr="00E50940">
        <w:rPr>
          <w:rFonts w:cs="Times New Roman"/>
        </w:rPr>
        <w:t xml:space="preserve">FAO. (2024). </w:t>
      </w:r>
      <w:r w:rsidRPr="00146E05">
        <w:rPr>
          <w:rFonts w:cs="Times New Roman"/>
        </w:rPr>
        <w:t xml:space="preserve">Antimicrobial resistance. </w:t>
      </w:r>
      <w:r w:rsidRPr="00684E41">
        <w:rPr>
          <w:rFonts w:cs="Times New Roman"/>
        </w:rPr>
        <w:t xml:space="preserve">Food </w:t>
      </w:r>
      <w:r>
        <w:rPr>
          <w:rFonts w:cs="Times New Roman"/>
        </w:rPr>
        <w:t>and Agriculture Organization of the United Nations.</w:t>
      </w:r>
      <w:r w:rsidRPr="00684E41">
        <w:rPr>
          <w:rFonts w:cs="Times New Roman"/>
        </w:rPr>
        <w:t xml:space="preserve"> </w:t>
      </w:r>
      <w:hyperlink r:id="rId35" w:anchor=":~:text=Antimicrobial%20resistance%20(AMR)%20is%20the,fungi%2C%20viruses%20and%20protozoan%20parasites" w:history="1">
        <w:r w:rsidRPr="00684E41">
          <w:rPr>
            <w:rStyle w:val="Hyperlink"/>
            <w:rFonts w:cs="Times New Roman"/>
          </w:rPr>
          <w:t>https://www.fao.org/antimicrobial-resistance/background/what-is-it/en/#:~:text=Antimicrobial%20resistance%20(AMR)%20is%20the,fungi%2C%20viruses%20and%20protozoan%20parasites</w:t>
        </w:r>
      </w:hyperlink>
      <w:r w:rsidRPr="00684E41">
        <w:rPr>
          <w:rFonts w:cs="Times New Roman"/>
        </w:rPr>
        <w:t xml:space="preserve"> </w:t>
      </w:r>
    </w:p>
    <w:p w14:paraId="44781A06" w14:textId="77777777" w:rsidR="00C0335B" w:rsidRPr="00434C5D" w:rsidRDefault="00C0335B" w:rsidP="00C0335B">
      <w:pPr>
        <w:spacing w:before="240"/>
        <w:rPr>
          <w:rFonts w:cs="Times New Roman"/>
        </w:rPr>
      </w:pPr>
      <w:r w:rsidRPr="00434C5D">
        <w:rPr>
          <w:rFonts w:cs="Times New Roman"/>
        </w:rPr>
        <w:t xml:space="preserve">FAO. (2025a). Why plant health is the root of One Health. </w:t>
      </w:r>
      <w:r w:rsidRPr="00684E41">
        <w:rPr>
          <w:rFonts w:cs="Times New Roman"/>
        </w:rPr>
        <w:t xml:space="preserve">Food </w:t>
      </w:r>
      <w:r>
        <w:rPr>
          <w:rFonts w:cs="Times New Roman"/>
        </w:rPr>
        <w:t>and Agriculture Organization of the United Nations.</w:t>
      </w:r>
      <w:r w:rsidRPr="00434C5D">
        <w:t xml:space="preserve"> </w:t>
      </w:r>
      <w:hyperlink r:id="rId36">
        <w:r w:rsidRPr="00434C5D">
          <w:rPr>
            <w:rStyle w:val="Hyperlink"/>
            <w:rFonts w:cs="Times New Roman"/>
          </w:rPr>
          <w:t>https://www.fao.org/one-health/areas-of-work/plant-health/en</w:t>
        </w:r>
      </w:hyperlink>
      <w:r w:rsidRPr="00434C5D">
        <w:rPr>
          <w:rFonts w:cs="Times New Roman"/>
        </w:rPr>
        <w:t xml:space="preserve"> </w:t>
      </w:r>
    </w:p>
    <w:p w14:paraId="4E8B2787" w14:textId="77777777" w:rsidR="00C0335B" w:rsidRPr="00434C5D" w:rsidRDefault="00C0335B" w:rsidP="00C0335B">
      <w:pPr>
        <w:spacing w:before="240"/>
        <w:rPr>
          <w:rFonts w:cs="Times New Roman"/>
        </w:rPr>
      </w:pPr>
      <w:r w:rsidRPr="00434C5D">
        <w:rPr>
          <w:rFonts w:cs="Times New Roman"/>
        </w:rPr>
        <w:t xml:space="preserve">FAO. (2025b). 6 reasons why plants are integral to the One Health approach. </w:t>
      </w:r>
      <w:r w:rsidRPr="00684E41">
        <w:rPr>
          <w:rFonts w:cs="Times New Roman"/>
        </w:rPr>
        <w:t xml:space="preserve">Food </w:t>
      </w:r>
      <w:r>
        <w:rPr>
          <w:rFonts w:cs="Times New Roman"/>
        </w:rPr>
        <w:t xml:space="preserve">and Agriculture Organization of the United Nations. </w:t>
      </w:r>
      <w:r w:rsidRPr="00434C5D">
        <w:t xml:space="preserve"> </w:t>
      </w:r>
      <w:hyperlink r:id="rId37" w:history="1">
        <w:r w:rsidRPr="00434C5D">
          <w:rPr>
            <w:rStyle w:val="Hyperlink"/>
            <w:rFonts w:cs="Times New Roman"/>
          </w:rPr>
          <w:t>https://www.fao.org/one-health/highlights/plants-are-integral-to-a-one-health-approach/en</w:t>
        </w:r>
      </w:hyperlink>
      <w:r w:rsidRPr="00434C5D">
        <w:rPr>
          <w:rFonts w:cs="Times New Roman"/>
        </w:rPr>
        <w:t xml:space="preserve"> </w:t>
      </w:r>
    </w:p>
    <w:p w14:paraId="4B784D98" w14:textId="77777777" w:rsidR="00C0335B" w:rsidRPr="00434C5D" w:rsidRDefault="00C0335B" w:rsidP="00C0335B">
      <w:pPr>
        <w:spacing w:before="240"/>
        <w:rPr>
          <w:rFonts w:cs="Times New Roman"/>
        </w:rPr>
      </w:pPr>
      <w:r w:rsidRPr="00434C5D">
        <w:rPr>
          <w:rFonts w:cs="Times New Roman"/>
        </w:rPr>
        <w:t xml:space="preserve">FAO. (2025c). Antimicrobial resistance – results of the IPPC Observatory Surveys on antimicrobials use in plant protection. </w:t>
      </w:r>
      <w:r w:rsidRPr="00684E41">
        <w:rPr>
          <w:rFonts w:cs="Times New Roman"/>
        </w:rPr>
        <w:t xml:space="preserve">Food </w:t>
      </w:r>
      <w:r>
        <w:rPr>
          <w:rFonts w:cs="Times New Roman"/>
        </w:rPr>
        <w:t xml:space="preserve">and Agriculture Organization of the United Nations. </w:t>
      </w:r>
      <w:r w:rsidRPr="00434C5D">
        <w:rPr>
          <w:rFonts w:cs="Times New Roman"/>
        </w:rPr>
        <w:t xml:space="preserve">International Plant Protection Convention, Commission on Phytosanitary Measures. Nineteenth Session, Agenda Item 16.1. </w:t>
      </w:r>
      <w:hyperlink r:id="rId38" w:history="1">
        <w:r w:rsidRPr="00434C5D">
          <w:rPr>
            <w:rStyle w:val="Hyperlink"/>
            <w:rFonts w:cs="Times New Roman"/>
          </w:rPr>
          <w:t>https://assets.ippc.int/static/media/files/publication/en/2025/02/49_CPM_2025_IPPC_observatory_surveys_on_antimicrobial_use_AMU_in_plant_protection_2025-02-17.pdf</w:t>
        </w:r>
      </w:hyperlink>
      <w:r w:rsidRPr="00434C5D">
        <w:rPr>
          <w:rFonts w:cs="Times New Roman"/>
        </w:rPr>
        <w:t xml:space="preserve"> </w:t>
      </w:r>
    </w:p>
    <w:p w14:paraId="61459B1B" w14:textId="77777777" w:rsidR="00C0335B" w:rsidRPr="00434C5D" w:rsidRDefault="00C0335B" w:rsidP="00C0335B">
      <w:pPr>
        <w:spacing w:before="240"/>
        <w:rPr>
          <w:rFonts w:cs="Times New Roman"/>
        </w:rPr>
      </w:pPr>
      <w:r w:rsidRPr="00434C5D">
        <w:rPr>
          <w:rFonts w:cs="Times New Roman"/>
        </w:rPr>
        <w:t xml:space="preserve">FAO. (2025d). IPPC Plant Health Campus. </w:t>
      </w:r>
      <w:r w:rsidRPr="00684E41">
        <w:rPr>
          <w:rFonts w:cs="Times New Roman"/>
        </w:rPr>
        <w:t xml:space="preserve">Food </w:t>
      </w:r>
      <w:r>
        <w:rPr>
          <w:rFonts w:cs="Times New Roman"/>
        </w:rPr>
        <w:t>and Agriculture Organization of the United Nations.</w:t>
      </w:r>
      <w:r w:rsidRPr="00434C5D">
        <w:rPr>
          <w:rFonts w:cs="Times New Roman"/>
        </w:rPr>
        <w:t xml:space="preserve"> </w:t>
      </w:r>
      <w:hyperlink r:id="rId39" w:history="1">
        <w:r w:rsidRPr="00434C5D">
          <w:rPr>
            <w:rStyle w:val="Hyperlink"/>
            <w:rFonts w:cs="Times New Roman"/>
          </w:rPr>
          <w:t>https://elearning.fao.org/course/view.php?name=ippc-campus</w:t>
        </w:r>
      </w:hyperlink>
      <w:r w:rsidRPr="00434C5D">
        <w:rPr>
          <w:rFonts w:cs="Times New Roman"/>
        </w:rPr>
        <w:t xml:space="preserve"> </w:t>
      </w:r>
    </w:p>
    <w:p w14:paraId="465C414F" w14:textId="77777777" w:rsidR="00C0335B" w:rsidRPr="00434C5D" w:rsidRDefault="00C0335B" w:rsidP="00C0335B">
      <w:pPr>
        <w:spacing w:before="240"/>
        <w:rPr>
          <w:rFonts w:cs="Times New Roman"/>
        </w:rPr>
      </w:pPr>
      <w:r w:rsidRPr="00434C5D">
        <w:rPr>
          <w:rFonts w:cs="Times New Roman"/>
        </w:rPr>
        <w:t>Fisher, M.C., Burnett, F., Chandler, C., Gow, N.A.R., Gurr, S., Hart, A., Holmes, A., May, R.C., Quinn, J., Soliman, T., Talbot, N.J., West, H.M., West, J.S., White, P.L., Bromley, M., and Armstrong-James, D</w:t>
      </w:r>
      <w:r w:rsidRPr="00434C5D">
        <w:rPr>
          <w:rFonts w:cs="Times New Roman"/>
          <w:i/>
          <w:iCs/>
        </w:rPr>
        <w:t>.</w:t>
      </w:r>
      <w:r w:rsidRPr="00434C5D">
        <w:rPr>
          <w:rFonts w:cs="Times New Roman"/>
        </w:rPr>
        <w:t xml:space="preserve"> (2024). A one health roadmap towards understanding and mitigating emerging Fungal Antimicrobial Resistance: </w:t>
      </w:r>
      <w:proofErr w:type="spellStart"/>
      <w:r w:rsidRPr="00434C5D">
        <w:rPr>
          <w:rFonts w:cs="Times New Roman"/>
        </w:rPr>
        <w:t>fAMR</w:t>
      </w:r>
      <w:proofErr w:type="spellEnd"/>
      <w:r w:rsidRPr="00434C5D">
        <w:rPr>
          <w:rFonts w:cs="Times New Roman"/>
        </w:rPr>
        <w:t>. </w:t>
      </w:r>
      <w:proofErr w:type="spellStart"/>
      <w:r w:rsidRPr="00434C5D">
        <w:rPr>
          <w:rFonts w:cs="Times New Roman"/>
          <w:i/>
          <w:iCs/>
        </w:rPr>
        <w:t>npj</w:t>
      </w:r>
      <w:proofErr w:type="spellEnd"/>
      <w:r w:rsidRPr="00434C5D">
        <w:rPr>
          <w:rFonts w:cs="Times New Roman"/>
          <w:i/>
          <w:iCs/>
        </w:rPr>
        <w:t xml:space="preserve"> Antimicrobials and Resistance</w:t>
      </w:r>
      <w:r w:rsidRPr="00434C5D">
        <w:rPr>
          <w:rFonts w:cs="Times New Roman"/>
        </w:rPr>
        <w:t> </w:t>
      </w:r>
      <w:r w:rsidRPr="00434C5D">
        <w:rPr>
          <w:rFonts w:cs="Times New Roman"/>
          <w:i/>
          <w:iCs/>
        </w:rPr>
        <w:t>2</w:t>
      </w:r>
      <w:r w:rsidRPr="00434C5D">
        <w:rPr>
          <w:rFonts w:cs="Times New Roman"/>
        </w:rPr>
        <w:t xml:space="preserve">(36). </w:t>
      </w:r>
      <w:hyperlink r:id="rId40" w:history="1">
        <w:r w:rsidRPr="00434C5D">
          <w:rPr>
            <w:rStyle w:val="Hyperlink"/>
            <w:rFonts w:cs="Times New Roman"/>
          </w:rPr>
          <w:t>https://doi.org/10.1038/s44259-024-00055-2</w:t>
        </w:r>
      </w:hyperlink>
    </w:p>
    <w:p w14:paraId="5C42601E" w14:textId="77777777" w:rsidR="00C0335B" w:rsidRPr="00146E05" w:rsidRDefault="00C0335B" w:rsidP="00C0335B">
      <w:pPr>
        <w:rPr>
          <w:rFonts w:cs="Times New Roman"/>
        </w:rPr>
      </w:pPr>
      <w:r w:rsidRPr="00434C5D">
        <w:rPr>
          <w:rFonts w:cs="Times New Roman"/>
        </w:rPr>
        <w:t xml:space="preserve">Fuller, L., Marzano, M., Peace, A., Quine, C.P., and Dandy, N. (2016). Public acceptance of tree health and management: Results of a national survey in the UK. </w:t>
      </w:r>
      <w:hyperlink r:id="rId41" w:history="1">
        <w:r w:rsidRPr="00146E05">
          <w:rPr>
            <w:rStyle w:val="Hyperlink"/>
            <w:rFonts w:cs="Times New Roman"/>
          </w:rPr>
          <w:t>https://www.sciencedirect.com/science/article/pii/S1462901116300314?via%3Dihub</w:t>
        </w:r>
      </w:hyperlink>
      <w:r w:rsidRPr="00146E05">
        <w:rPr>
          <w:rFonts w:cs="Times New Roman"/>
        </w:rPr>
        <w:t xml:space="preserve"> </w:t>
      </w:r>
    </w:p>
    <w:p w14:paraId="796E58BB" w14:textId="77777777" w:rsidR="00C0335B" w:rsidRPr="00434C5D" w:rsidRDefault="00C0335B" w:rsidP="00C0335B">
      <w:pPr>
        <w:pStyle w:val="EndNoteBibliography"/>
        <w:rPr>
          <w:rFonts w:ascii="Times New Roman" w:hAnsi="Times New Roman" w:cs="Times New Roman"/>
          <w:sz w:val="24"/>
          <w:szCs w:val="24"/>
        </w:rPr>
      </w:pPr>
      <w:r w:rsidRPr="00434C5D">
        <w:rPr>
          <w:rFonts w:ascii="Times New Roman" w:hAnsi="Times New Roman" w:cs="Times New Roman"/>
          <w:sz w:val="24"/>
          <w:szCs w:val="24"/>
        </w:rPr>
        <w:t xml:space="preserve">Godse, V.S., Jadhav, V.B., and Patil, S.P. (2024). Effect, Management and Activities of Parthenium Hysterophorus. </w:t>
      </w:r>
      <w:r w:rsidRPr="00434C5D">
        <w:rPr>
          <w:rFonts w:ascii="Times New Roman" w:hAnsi="Times New Roman" w:cs="Times New Roman"/>
          <w:i/>
          <w:iCs/>
          <w:sz w:val="24"/>
          <w:szCs w:val="24"/>
        </w:rPr>
        <w:t>International Journal of Trend in Scientific Research and Development 8</w:t>
      </w:r>
      <w:r w:rsidRPr="00434C5D">
        <w:rPr>
          <w:rFonts w:ascii="Times New Roman" w:hAnsi="Times New Roman" w:cs="Times New Roman"/>
          <w:sz w:val="24"/>
          <w:szCs w:val="24"/>
        </w:rPr>
        <w:t xml:space="preserve"> (2): 514-520.</w:t>
      </w:r>
      <w:r>
        <w:rPr>
          <w:rFonts w:ascii="Times New Roman" w:hAnsi="Times New Roman" w:cs="Times New Roman"/>
          <w:sz w:val="24"/>
          <w:szCs w:val="24"/>
        </w:rPr>
        <w:t xml:space="preserve"> </w:t>
      </w:r>
      <w:hyperlink r:id="rId42" w:history="1">
        <w:r w:rsidRPr="00E460FF">
          <w:rPr>
            <w:rStyle w:val="Hyperlink"/>
            <w:rFonts w:ascii="Times New Roman" w:hAnsi="Times New Roman" w:cs="Times New Roman"/>
            <w:sz w:val="24"/>
            <w:szCs w:val="24"/>
          </w:rPr>
          <w:t>www.ijtsrd.com/papers/ijtsrd64697.pdf</w:t>
        </w:r>
      </w:hyperlink>
      <w:r>
        <w:rPr>
          <w:rFonts w:ascii="Times New Roman" w:hAnsi="Times New Roman" w:cs="Times New Roman"/>
          <w:sz w:val="24"/>
          <w:szCs w:val="24"/>
        </w:rPr>
        <w:t xml:space="preserve"> </w:t>
      </w:r>
      <w:r w:rsidRPr="00434C5D">
        <w:rPr>
          <w:rFonts w:ascii="Times New Roman" w:hAnsi="Times New Roman" w:cs="Times New Roman"/>
          <w:sz w:val="24"/>
          <w:szCs w:val="24"/>
        </w:rPr>
        <w:t xml:space="preserve">  </w:t>
      </w:r>
    </w:p>
    <w:p w14:paraId="194EE51D" w14:textId="77777777" w:rsidR="00C0335B" w:rsidRPr="00434C5D" w:rsidRDefault="00C0335B" w:rsidP="00C0335B">
      <w:pPr>
        <w:pStyle w:val="EndNoteBibliography"/>
        <w:rPr>
          <w:rFonts w:ascii="Times New Roman" w:hAnsi="Times New Roman" w:cs="Times New Roman"/>
          <w:sz w:val="24"/>
          <w:szCs w:val="24"/>
          <w:lang w:val="it-IT"/>
        </w:rPr>
      </w:pPr>
      <w:r w:rsidRPr="00434C5D">
        <w:rPr>
          <w:rFonts w:ascii="Times New Roman" w:hAnsi="Times New Roman" w:cs="Times New Roman"/>
          <w:sz w:val="24"/>
          <w:szCs w:val="24"/>
        </w:rPr>
        <w:t xml:space="preserve">Gullberg, E., Cao, S., Berg, O.G., Ilbäck, C., Sandegren, L., Hughes, D., and Andersson, D.I. (2011). Selection of resistant bacteria at very low antibiotic concentrations. </w:t>
      </w:r>
      <w:r w:rsidRPr="00434C5D">
        <w:rPr>
          <w:rFonts w:ascii="Times New Roman" w:hAnsi="Times New Roman" w:cs="Times New Roman"/>
          <w:i/>
          <w:iCs/>
          <w:sz w:val="24"/>
          <w:szCs w:val="24"/>
        </w:rPr>
        <w:t>PLoS Pathog 7</w:t>
      </w:r>
      <w:r w:rsidRPr="00434C5D">
        <w:rPr>
          <w:rFonts w:ascii="Times New Roman" w:hAnsi="Times New Roman" w:cs="Times New Roman"/>
          <w:sz w:val="24"/>
          <w:szCs w:val="24"/>
        </w:rPr>
        <w:t xml:space="preserve">(7): e1002158. </w:t>
      </w:r>
      <w:hyperlink r:id="rId43" w:history="1">
        <w:r w:rsidRPr="00434C5D">
          <w:rPr>
            <w:rStyle w:val="Hyperlink"/>
            <w:rFonts w:ascii="Times New Roman" w:hAnsi="Times New Roman" w:cs="Times New Roman"/>
            <w:sz w:val="24"/>
            <w:szCs w:val="24"/>
            <w:lang w:val="it-IT"/>
          </w:rPr>
          <w:t>https://doi.org/10.1371/journal.ppat.1002158</w:t>
        </w:r>
      </w:hyperlink>
    </w:p>
    <w:p w14:paraId="02B841A9" w14:textId="77777777" w:rsidR="00C0335B" w:rsidRPr="00434C5D" w:rsidRDefault="00C0335B" w:rsidP="00C0335B">
      <w:pPr>
        <w:pStyle w:val="EndNoteBibliography"/>
        <w:rPr>
          <w:rFonts w:ascii="Times New Roman" w:hAnsi="Times New Roman" w:cs="Times New Roman"/>
          <w:sz w:val="24"/>
          <w:szCs w:val="24"/>
        </w:rPr>
      </w:pPr>
      <w:r w:rsidRPr="00434C5D">
        <w:rPr>
          <w:rFonts w:ascii="Times New Roman" w:hAnsi="Times New Roman" w:cs="Times New Roman"/>
          <w:sz w:val="24"/>
          <w:szCs w:val="24"/>
          <w:lang w:val="it-IT"/>
        </w:rPr>
        <w:lastRenderedPageBreak/>
        <w:t xml:space="preserve">Gullino, M.L., Pasquali, M., Pugliese, M., and Capua, I. (2024). </w:t>
      </w:r>
      <w:r w:rsidRPr="00434C5D">
        <w:rPr>
          <w:rFonts w:ascii="Times New Roman" w:hAnsi="Times New Roman" w:cs="Times New Roman"/>
          <w:sz w:val="24"/>
          <w:szCs w:val="24"/>
        </w:rPr>
        <w:t xml:space="preserve">Positioning plant health within the evolving human-animal-environmental health paradigms. </w:t>
      </w:r>
      <w:r w:rsidRPr="00434C5D">
        <w:rPr>
          <w:rFonts w:ascii="Times New Roman" w:hAnsi="Times New Roman" w:cs="Times New Roman"/>
          <w:i/>
          <w:iCs/>
          <w:sz w:val="24"/>
          <w:szCs w:val="24"/>
        </w:rPr>
        <w:t>One Health 19</w:t>
      </w:r>
      <w:r w:rsidRPr="00434C5D">
        <w:rPr>
          <w:rFonts w:ascii="Times New Roman" w:hAnsi="Times New Roman" w:cs="Times New Roman"/>
          <w:sz w:val="24"/>
          <w:szCs w:val="24"/>
        </w:rPr>
        <w:t xml:space="preserve">: 100931. </w:t>
      </w:r>
      <w:hyperlink r:id="rId44">
        <w:r w:rsidRPr="00434C5D">
          <w:rPr>
            <w:rStyle w:val="Hyperlink"/>
            <w:rFonts w:ascii="Times New Roman" w:hAnsi="Times New Roman" w:cs="Times New Roman"/>
            <w:sz w:val="24"/>
            <w:szCs w:val="24"/>
          </w:rPr>
          <w:t>https://pubmed.ncbi,nlm.nih.gov/39624157/</w:t>
        </w:r>
      </w:hyperlink>
      <w:r w:rsidRPr="00434C5D">
        <w:rPr>
          <w:rFonts w:ascii="Times New Roman" w:hAnsi="Times New Roman" w:cs="Times New Roman"/>
          <w:sz w:val="24"/>
          <w:szCs w:val="24"/>
        </w:rPr>
        <w:t xml:space="preserve"> </w:t>
      </w:r>
    </w:p>
    <w:p w14:paraId="71BBA5BE" w14:textId="77777777" w:rsidR="00C0335B" w:rsidRPr="00434C5D" w:rsidRDefault="00C0335B" w:rsidP="00C0335B">
      <w:pPr>
        <w:rPr>
          <w:rFonts w:cs="Times New Roman"/>
        </w:rPr>
      </w:pPr>
      <w:r w:rsidRPr="00434C5D">
        <w:rPr>
          <w:rFonts w:cs="Times New Roman"/>
        </w:rPr>
        <w:t>Haynes</w:t>
      </w:r>
      <w:r>
        <w:rPr>
          <w:rFonts w:cs="Times New Roman"/>
        </w:rPr>
        <w:t xml:space="preserve">, E., </w:t>
      </w:r>
      <w:proofErr w:type="spellStart"/>
      <w:r>
        <w:rPr>
          <w:rFonts w:cs="Times New Roman"/>
        </w:rPr>
        <w:t>Ramwell</w:t>
      </w:r>
      <w:proofErr w:type="spellEnd"/>
      <w:r>
        <w:rPr>
          <w:rFonts w:cs="Times New Roman"/>
        </w:rPr>
        <w:t>, C., Griffiths, T., Walker, D. and Smith, J. (</w:t>
      </w:r>
      <w:r w:rsidRPr="00434C5D">
        <w:rPr>
          <w:rFonts w:cs="Times New Roman"/>
        </w:rPr>
        <w:t>2020</w:t>
      </w:r>
      <w:r>
        <w:rPr>
          <w:rFonts w:cs="Times New Roman"/>
        </w:rPr>
        <w:t>)</w:t>
      </w:r>
      <w:r w:rsidRPr="00434C5D">
        <w:rPr>
          <w:rFonts w:cs="Times New Roman"/>
        </w:rPr>
        <w:t xml:space="preserve">. Review of Antibiotic Use in Crops, Associated Risk of Antimicrobial Resistance and Research Gaps. </w:t>
      </w:r>
      <w:r>
        <w:rPr>
          <w:rFonts w:cs="Times New Roman"/>
        </w:rPr>
        <w:t xml:space="preserve">Fera Science Ltd. </w:t>
      </w:r>
      <w:r w:rsidRPr="00434C5D">
        <w:rPr>
          <w:rFonts w:cs="Times New Roman"/>
        </w:rPr>
        <w:t xml:space="preserve">Report to Department for Environment, Food and Rural Affairs (Defra) &amp; The Food Standards Agency (FSA). </w:t>
      </w:r>
      <w:hyperlink r:id="rId45" w:history="1">
        <w:r w:rsidRPr="00E460FF">
          <w:rPr>
            <w:rStyle w:val="Hyperlink"/>
            <w:rFonts w:cs="Times New Roman"/>
          </w:rPr>
          <w:t>https://doi.org/10.46756/sci.fsa.vnq132</w:t>
        </w:r>
      </w:hyperlink>
      <w:r>
        <w:rPr>
          <w:rFonts w:cs="Times New Roman"/>
        </w:rPr>
        <w:t xml:space="preserve"> </w:t>
      </w:r>
      <w:r w:rsidRPr="00434C5D">
        <w:rPr>
          <w:rFonts w:cs="Times New Roman"/>
        </w:rPr>
        <w:t xml:space="preserve"> </w:t>
      </w:r>
    </w:p>
    <w:p w14:paraId="46D25074" w14:textId="77777777" w:rsidR="00C0335B" w:rsidRPr="00434C5D" w:rsidRDefault="00C0335B" w:rsidP="00C0335B">
      <w:pPr>
        <w:rPr>
          <w:rFonts w:cs="Times New Roman"/>
        </w:rPr>
      </w:pPr>
      <w:r w:rsidRPr="00434C5D">
        <w:rPr>
          <w:rFonts w:cs="Times New Roman"/>
        </w:rPr>
        <w:t xml:space="preserve">Heap, I. (2025). The International Herbicide-Resistant Weed Database. </w:t>
      </w:r>
      <w:hyperlink r:id="rId46" w:history="1">
        <w:r w:rsidRPr="00434C5D">
          <w:rPr>
            <w:rStyle w:val="Hyperlink"/>
            <w:rFonts w:cs="Times New Roman"/>
          </w:rPr>
          <w:t>http://www.weedscience.org/</w:t>
        </w:r>
      </w:hyperlink>
      <w:r w:rsidRPr="00434C5D">
        <w:rPr>
          <w:rFonts w:cs="Times New Roman"/>
        </w:rPr>
        <w:t xml:space="preserve"> </w:t>
      </w:r>
    </w:p>
    <w:p w14:paraId="0D65483D" w14:textId="77777777" w:rsidR="00C0335B" w:rsidRPr="00434C5D" w:rsidRDefault="00C0335B" w:rsidP="00C0335B">
      <w:pPr>
        <w:rPr>
          <w:rFonts w:cs="Times New Roman"/>
        </w:rPr>
      </w:pPr>
      <w:proofErr w:type="spellStart"/>
      <w:r w:rsidRPr="00434C5D">
        <w:rPr>
          <w:rFonts w:cs="Times New Roman"/>
        </w:rPr>
        <w:t>Heimpel</w:t>
      </w:r>
      <w:proofErr w:type="spellEnd"/>
      <w:r w:rsidRPr="00434C5D">
        <w:rPr>
          <w:rFonts w:cs="Times New Roman"/>
        </w:rPr>
        <w:t xml:space="preserve"> and Mills. (2017).</w:t>
      </w:r>
      <w:r>
        <w:rPr>
          <w:rFonts w:cs="Times New Roman"/>
        </w:rPr>
        <w:t xml:space="preserve"> Biological control: Ecology and Applications. ISBN: 9780521845144. </w:t>
      </w:r>
      <w:hyperlink r:id="rId47" w:history="1">
        <w:r w:rsidRPr="00E460FF">
          <w:rPr>
            <w:rStyle w:val="Hyperlink"/>
            <w:rFonts w:cs="Times New Roman"/>
          </w:rPr>
          <w:t>https://doi.org/10.1017/9781139029117</w:t>
        </w:r>
      </w:hyperlink>
      <w:r>
        <w:rPr>
          <w:rFonts w:cs="Times New Roman"/>
        </w:rPr>
        <w:t xml:space="preserve"> </w:t>
      </w:r>
    </w:p>
    <w:p w14:paraId="0190F453" w14:textId="77777777" w:rsidR="00C0335B" w:rsidRPr="00434C5D" w:rsidRDefault="00C0335B" w:rsidP="00C0335B">
      <w:pPr>
        <w:rPr>
          <w:rFonts w:cs="Times New Roman"/>
        </w:rPr>
      </w:pPr>
      <w:r w:rsidRPr="00434C5D">
        <w:rPr>
          <w:rFonts w:cs="Times New Roman"/>
          <w:lang w:val="fr-FR"/>
        </w:rPr>
        <w:t xml:space="preserve">Hicks, H.L., </w:t>
      </w:r>
      <w:proofErr w:type="spellStart"/>
      <w:r w:rsidRPr="00434C5D">
        <w:rPr>
          <w:rFonts w:cs="Times New Roman"/>
          <w:lang w:val="fr-FR"/>
        </w:rPr>
        <w:t>Comont</w:t>
      </w:r>
      <w:proofErr w:type="spellEnd"/>
      <w:r w:rsidRPr="00434C5D">
        <w:rPr>
          <w:rFonts w:cs="Times New Roman"/>
          <w:lang w:val="fr-FR"/>
        </w:rPr>
        <w:t xml:space="preserve">, D., </w:t>
      </w:r>
      <w:proofErr w:type="spellStart"/>
      <w:r w:rsidRPr="00434C5D">
        <w:rPr>
          <w:rFonts w:cs="Times New Roman"/>
          <w:lang w:val="fr-FR"/>
        </w:rPr>
        <w:t>Coutts</w:t>
      </w:r>
      <w:proofErr w:type="spellEnd"/>
      <w:r w:rsidRPr="00434C5D">
        <w:rPr>
          <w:rFonts w:cs="Times New Roman"/>
          <w:lang w:val="fr-FR"/>
        </w:rPr>
        <w:t xml:space="preserve">, S.R. et al. </w:t>
      </w:r>
      <w:r w:rsidRPr="00434C5D">
        <w:rPr>
          <w:rFonts w:cs="Times New Roman"/>
        </w:rPr>
        <w:t xml:space="preserve">The factors driving evolved herbicide resistance at a national scale. Nat </w:t>
      </w:r>
      <w:proofErr w:type="spellStart"/>
      <w:r w:rsidRPr="00434C5D">
        <w:rPr>
          <w:rFonts w:cs="Times New Roman"/>
        </w:rPr>
        <w:t>Ecol</w:t>
      </w:r>
      <w:proofErr w:type="spellEnd"/>
      <w:r w:rsidRPr="00434C5D">
        <w:rPr>
          <w:rFonts w:cs="Times New Roman"/>
        </w:rPr>
        <w:t xml:space="preserve"> Evol 2, 529–536 (2018). </w:t>
      </w:r>
      <w:hyperlink r:id="rId48" w:history="1">
        <w:r w:rsidRPr="00434C5D">
          <w:rPr>
            <w:rStyle w:val="Hyperlink"/>
            <w:rFonts w:cs="Times New Roman"/>
          </w:rPr>
          <w:t>https://doi.org/10.1038/s41559-018-0470-1</w:t>
        </w:r>
      </w:hyperlink>
      <w:r w:rsidRPr="00434C5D">
        <w:rPr>
          <w:rFonts w:cs="Times New Roman"/>
        </w:rPr>
        <w:t xml:space="preserve"> </w:t>
      </w:r>
    </w:p>
    <w:p w14:paraId="30F9D56B" w14:textId="77777777" w:rsidR="00C0335B" w:rsidRPr="00434C5D" w:rsidRDefault="00C0335B" w:rsidP="00C0335B">
      <w:pPr>
        <w:rPr>
          <w:rFonts w:cs="Times New Roman"/>
        </w:rPr>
      </w:pPr>
      <w:r w:rsidRPr="00434C5D">
        <w:rPr>
          <w:rFonts w:cs="Times New Roman"/>
        </w:rPr>
        <w:t>Hulme, P.E. (2020). One Biosecurity: a unified concept to integrate human, animal, plant, and environmental health. </w:t>
      </w:r>
      <w:r w:rsidRPr="00434C5D">
        <w:rPr>
          <w:rFonts w:cs="Times New Roman"/>
          <w:i/>
          <w:iCs/>
        </w:rPr>
        <w:t>Emerg Top Life Sci</w:t>
      </w:r>
      <w:r w:rsidRPr="00434C5D">
        <w:rPr>
          <w:rFonts w:cs="Times New Roman"/>
        </w:rPr>
        <w:t> </w:t>
      </w:r>
      <w:r w:rsidRPr="00434C5D">
        <w:rPr>
          <w:rFonts w:cs="Times New Roman"/>
          <w:i/>
          <w:iCs/>
        </w:rPr>
        <w:t>4</w:t>
      </w:r>
      <w:r w:rsidRPr="00434C5D">
        <w:rPr>
          <w:rFonts w:cs="Times New Roman"/>
        </w:rPr>
        <w:t xml:space="preserve">(5): 539–549. </w:t>
      </w:r>
      <w:hyperlink r:id="rId49" w:history="1">
        <w:r w:rsidRPr="00434C5D">
          <w:rPr>
            <w:rStyle w:val="Hyperlink"/>
            <w:rFonts w:cs="Times New Roman"/>
          </w:rPr>
          <w:t>https://doi.org/10.1042/ETLS20200067</w:t>
        </w:r>
      </w:hyperlink>
    </w:p>
    <w:p w14:paraId="7B7D255D" w14:textId="77777777" w:rsidR="00C0335B" w:rsidRPr="00434C5D" w:rsidRDefault="00C0335B" w:rsidP="00C0335B">
      <w:pPr>
        <w:rPr>
          <w:rFonts w:cs="Times New Roman"/>
        </w:rPr>
      </w:pPr>
      <w:r w:rsidRPr="00434C5D">
        <w:rPr>
          <w:rFonts w:cs="Times New Roman"/>
        </w:rPr>
        <w:t xml:space="preserve">Hulme, P.E., </w:t>
      </w:r>
      <w:proofErr w:type="spellStart"/>
      <w:r w:rsidRPr="00434C5D">
        <w:rPr>
          <w:rFonts w:cs="Times New Roman"/>
        </w:rPr>
        <w:t>Dechoum</w:t>
      </w:r>
      <w:proofErr w:type="spellEnd"/>
      <w:r w:rsidRPr="00434C5D">
        <w:rPr>
          <w:rFonts w:cs="Times New Roman"/>
        </w:rPr>
        <w:t xml:space="preserve">, M.S., Essl, F., Martinou, A.F., Pauchard, A., </w:t>
      </w:r>
      <w:proofErr w:type="spellStart"/>
      <w:r w:rsidRPr="00434C5D">
        <w:rPr>
          <w:rFonts w:cs="Times New Roman"/>
        </w:rPr>
        <w:t>Pyšek</w:t>
      </w:r>
      <w:proofErr w:type="spellEnd"/>
      <w:r w:rsidRPr="00434C5D">
        <w:rPr>
          <w:rFonts w:cs="Times New Roman"/>
        </w:rPr>
        <w:t xml:space="preserve">, P., Roy, H.E., Sheppard, A.W., </w:t>
      </w:r>
      <w:proofErr w:type="spellStart"/>
      <w:r w:rsidRPr="00434C5D">
        <w:rPr>
          <w:rFonts w:cs="Times New Roman"/>
        </w:rPr>
        <w:t>Vilà</w:t>
      </w:r>
      <w:proofErr w:type="spellEnd"/>
      <w:r w:rsidRPr="00434C5D">
        <w:rPr>
          <w:rFonts w:cs="Times New Roman"/>
        </w:rPr>
        <w:t>, M., Wilson, J.R.U. (2025). One Biosecurity is essential to implement One Health. </w:t>
      </w:r>
      <w:proofErr w:type="spellStart"/>
      <w:r w:rsidRPr="00434C5D">
        <w:rPr>
          <w:rFonts w:cs="Times New Roman"/>
          <w:i/>
          <w:iCs/>
        </w:rPr>
        <w:t>BioScience</w:t>
      </w:r>
      <w:proofErr w:type="spellEnd"/>
      <w:r w:rsidRPr="00434C5D">
        <w:rPr>
          <w:rFonts w:cs="Times New Roman"/>
        </w:rPr>
        <w:t xml:space="preserve"> (biaf110). </w:t>
      </w:r>
      <w:hyperlink r:id="rId50" w:history="1">
        <w:r w:rsidRPr="00434C5D">
          <w:rPr>
            <w:rStyle w:val="Hyperlink"/>
            <w:rFonts w:cs="Times New Roman"/>
          </w:rPr>
          <w:t>https://doi.org/10.1093/biosci/biaf110</w:t>
        </w:r>
      </w:hyperlink>
    </w:p>
    <w:p w14:paraId="0B0F4EAC" w14:textId="77777777" w:rsidR="00C0335B" w:rsidRPr="00434C5D" w:rsidRDefault="00C0335B" w:rsidP="00C0335B">
      <w:pPr>
        <w:shd w:val="clear" w:color="auto" w:fill="FFFFFF" w:themeFill="background1"/>
        <w:rPr>
          <w:rFonts w:eastAsia="Arial" w:cs="Times New Roman"/>
          <w:color w:val="222222"/>
        </w:rPr>
      </w:pPr>
      <w:r w:rsidRPr="00434C5D">
        <w:rPr>
          <w:rFonts w:eastAsia="Arial" w:cs="Times New Roman"/>
          <w:color w:val="222222"/>
        </w:rPr>
        <w:t xml:space="preserve">Hussein, H.S., &amp; Brasel, J.M. (2001). Toxicity, metabolism, and impact of mycotoxins on humans and animals. </w:t>
      </w:r>
      <w:r w:rsidRPr="00434C5D">
        <w:rPr>
          <w:rFonts w:eastAsia="Arial" w:cs="Times New Roman"/>
          <w:i/>
          <w:iCs/>
          <w:color w:val="222222"/>
        </w:rPr>
        <w:t>Toxicology</w:t>
      </w:r>
      <w:r>
        <w:rPr>
          <w:rFonts w:eastAsia="Arial" w:cs="Times New Roman"/>
          <w:color w:val="222222"/>
        </w:rPr>
        <w:t xml:space="preserve"> </w:t>
      </w:r>
      <w:r w:rsidRPr="00434C5D">
        <w:rPr>
          <w:rFonts w:eastAsia="Arial" w:cs="Times New Roman"/>
          <w:color w:val="222222"/>
        </w:rPr>
        <w:t>167(2), 101–134.</w:t>
      </w:r>
    </w:p>
    <w:p w14:paraId="6549CB50" w14:textId="77777777" w:rsidR="00C0335B" w:rsidRPr="00434C5D" w:rsidRDefault="00C0335B" w:rsidP="00C0335B">
      <w:pPr>
        <w:spacing w:before="240"/>
        <w:rPr>
          <w:rFonts w:cs="Times New Roman"/>
        </w:rPr>
      </w:pPr>
      <w:r w:rsidRPr="00434C5D">
        <w:rPr>
          <w:rFonts w:cs="Times New Roman"/>
        </w:rPr>
        <w:t xml:space="preserve">Islam, T., Haque, M. A., Barai, H. R., </w:t>
      </w:r>
      <w:proofErr w:type="spellStart"/>
      <w:r w:rsidRPr="00434C5D">
        <w:rPr>
          <w:rFonts w:cs="Times New Roman"/>
        </w:rPr>
        <w:t>Istiaq</w:t>
      </w:r>
      <w:proofErr w:type="spellEnd"/>
      <w:r w:rsidRPr="00434C5D">
        <w:rPr>
          <w:rFonts w:cs="Times New Roman"/>
        </w:rPr>
        <w:t>, A., &amp; Kim, J.-J. (2024). Antibiotic Resistance in Plant Pathogenic Bacteria: Recent Data and Environmental Impact of Unchecked Use and the Potential of Biocontrol Agents as an Eco-Friendly Alternative. </w:t>
      </w:r>
      <w:r w:rsidRPr="00434C5D">
        <w:rPr>
          <w:rFonts w:cs="Times New Roman"/>
          <w:i/>
          <w:iCs/>
        </w:rPr>
        <w:t>Plants</w:t>
      </w:r>
      <w:r w:rsidRPr="00434C5D">
        <w:rPr>
          <w:rFonts w:cs="Times New Roman"/>
        </w:rPr>
        <w:t> </w:t>
      </w:r>
      <w:r w:rsidRPr="00434C5D">
        <w:rPr>
          <w:rFonts w:cs="Times New Roman"/>
          <w:i/>
          <w:iCs/>
        </w:rPr>
        <w:t>13</w:t>
      </w:r>
      <w:r w:rsidRPr="00434C5D">
        <w:rPr>
          <w:rFonts w:cs="Times New Roman"/>
        </w:rPr>
        <w:t>(8)</w:t>
      </w:r>
      <w:r>
        <w:rPr>
          <w:rFonts w:cs="Times New Roman"/>
        </w:rPr>
        <w:t>:</w:t>
      </w:r>
      <w:r w:rsidRPr="00434C5D">
        <w:rPr>
          <w:rFonts w:cs="Times New Roman"/>
        </w:rPr>
        <w:t xml:space="preserve"> 1135. </w:t>
      </w:r>
      <w:hyperlink r:id="rId51">
        <w:r w:rsidRPr="00434C5D">
          <w:rPr>
            <w:rStyle w:val="Hyperlink"/>
            <w:rFonts w:cs="Times New Roman"/>
          </w:rPr>
          <w:t>https://doi.org/10.3390/plants13081135</w:t>
        </w:r>
      </w:hyperlink>
    </w:p>
    <w:p w14:paraId="5B09AA0E" w14:textId="77777777" w:rsidR="00C0335B" w:rsidRPr="00434C5D" w:rsidRDefault="00C0335B" w:rsidP="00C0335B">
      <w:pPr>
        <w:shd w:val="clear" w:color="auto" w:fill="FFFFFF" w:themeFill="background1"/>
        <w:rPr>
          <w:rFonts w:eastAsia="Arial" w:cs="Times New Roman"/>
          <w:color w:val="222222"/>
        </w:rPr>
      </w:pPr>
      <w:r w:rsidRPr="00434C5D">
        <w:rPr>
          <w:rFonts w:eastAsia="Arial" w:cs="Times New Roman"/>
          <w:color w:val="222222"/>
        </w:rPr>
        <w:t xml:space="preserve">Kensler, T.W., Roebuck, B.D., Wogan, G.N., &amp; </w:t>
      </w:r>
      <w:proofErr w:type="spellStart"/>
      <w:r w:rsidRPr="00434C5D">
        <w:rPr>
          <w:rFonts w:eastAsia="Arial" w:cs="Times New Roman"/>
          <w:color w:val="222222"/>
        </w:rPr>
        <w:t>Groopman</w:t>
      </w:r>
      <w:proofErr w:type="spellEnd"/>
      <w:r w:rsidRPr="00434C5D">
        <w:rPr>
          <w:rFonts w:eastAsia="Arial" w:cs="Times New Roman"/>
          <w:color w:val="222222"/>
        </w:rPr>
        <w:t xml:space="preserve">, J.D. (2011). Aflatoxin: a 50-year odyssey of mechanistic and translational toxicology. </w:t>
      </w:r>
      <w:r w:rsidRPr="00434C5D">
        <w:rPr>
          <w:rFonts w:eastAsia="Arial" w:cs="Times New Roman"/>
          <w:i/>
          <w:iCs/>
          <w:color w:val="222222"/>
        </w:rPr>
        <w:t>Toxicological Sciences</w:t>
      </w:r>
      <w:r w:rsidRPr="00434C5D">
        <w:rPr>
          <w:rFonts w:eastAsia="Arial" w:cs="Times New Roman"/>
          <w:color w:val="222222"/>
        </w:rPr>
        <w:t xml:space="preserve"> 120(</w:t>
      </w:r>
      <w:proofErr w:type="spellStart"/>
      <w:r w:rsidRPr="00434C5D">
        <w:rPr>
          <w:rFonts w:eastAsia="Arial" w:cs="Times New Roman"/>
          <w:color w:val="222222"/>
        </w:rPr>
        <w:t>Suppl</w:t>
      </w:r>
      <w:proofErr w:type="spellEnd"/>
      <w:r w:rsidRPr="00434C5D">
        <w:rPr>
          <w:rFonts w:eastAsia="Arial" w:cs="Times New Roman"/>
          <w:color w:val="222222"/>
        </w:rPr>
        <w:t xml:space="preserve"> 1)</w:t>
      </w:r>
      <w:r>
        <w:rPr>
          <w:rFonts w:eastAsia="Arial" w:cs="Times New Roman"/>
          <w:color w:val="222222"/>
        </w:rPr>
        <w:t>:</w:t>
      </w:r>
      <w:r w:rsidRPr="00434C5D">
        <w:rPr>
          <w:rFonts w:eastAsia="Arial" w:cs="Times New Roman"/>
          <w:color w:val="222222"/>
        </w:rPr>
        <w:t xml:space="preserve"> S28–S48.</w:t>
      </w:r>
    </w:p>
    <w:p w14:paraId="1CCDCDCE" w14:textId="77777777" w:rsidR="00C0335B" w:rsidRPr="00434C5D" w:rsidRDefault="00C0335B" w:rsidP="00C0335B">
      <w:pPr>
        <w:spacing w:after="80"/>
        <w:rPr>
          <w:rFonts w:cs="Times New Roman"/>
        </w:rPr>
      </w:pPr>
      <w:proofErr w:type="spellStart"/>
      <w:r w:rsidRPr="00434C5D">
        <w:rPr>
          <w:rFonts w:cs="Times New Roman"/>
        </w:rPr>
        <w:t>Koutsoumanis</w:t>
      </w:r>
      <w:proofErr w:type="spellEnd"/>
      <w:r w:rsidRPr="00434C5D">
        <w:rPr>
          <w:rFonts w:cs="Times New Roman"/>
        </w:rPr>
        <w:t xml:space="preserve"> K., Allende A</w:t>
      </w:r>
      <w:r>
        <w:rPr>
          <w:rFonts w:cs="Times New Roman"/>
        </w:rPr>
        <w:t>.</w:t>
      </w:r>
      <w:r w:rsidRPr="00434C5D">
        <w:rPr>
          <w:rFonts w:cs="Times New Roman"/>
        </w:rPr>
        <w:t>, Alvarez-Ordonez</w:t>
      </w:r>
      <w:r>
        <w:rPr>
          <w:rFonts w:cs="Times New Roman"/>
        </w:rPr>
        <w:t>,</w:t>
      </w:r>
      <w:r w:rsidRPr="00434C5D">
        <w:rPr>
          <w:rFonts w:cs="Times New Roman"/>
        </w:rPr>
        <w:t xml:space="preserve"> A</w:t>
      </w:r>
      <w:r>
        <w:rPr>
          <w:rFonts w:cs="Times New Roman"/>
        </w:rPr>
        <w:t>.</w:t>
      </w:r>
      <w:r w:rsidRPr="00434C5D">
        <w:rPr>
          <w:rFonts w:cs="Times New Roman"/>
        </w:rPr>
        <w:t>, Bolton</w:t>
      </w:r>
      <w:r>
        <w:rPr>
          <w:rFonts w:cs="Times New Roman"/>
        </w:rPr>
        <w:t>,</w:t>
      </w:r>
      <w:r w:rsidRPr="00434C5D">
        <w:rPr>
          <w:rFonts w:cs="Times New Roman"/>
        </w:rPr>
        <w:t xml:space="preserve"> D</w:t>
      </w:r>
      <w:r>
        <w:rPr>
          <w:rFonts w:cs="Times New Roman"/>
        </w:rPr>
        <w:t>.</w:t>
      </w:r>
      <w:r w:rsidRPr="00434C5D">
        <w:rPr>
          <w:rFonts w:cs="Times New Roman"/>
        </w:rPr>
        <w:t>, Bover-Cid</w:t>
      </w:r>
      <w:r>
        <w:rPr>
          <w:rFonts w:cs="Times New Roman"/>
        </w:rPr>
        <w:t>,</w:t>
      </w:r>
      <w:r w:rsidRPr="00434C5D">
        <w:rPr>
          <w:rFonts w:cs="Times New Roman"/>
        </w:rPr>
        <w:t xml:space="preserve"> S</w:t>
      </w:r>
      <w:r>
        <w:rPr>
          <w:rFonts w:cs="Times New Roman"/>
        </w:rPr>
        <w:t>.</w:t>
      </w:r>
      <w:r w:rsidRPr="00434C5D">
        <w:rPr>
          <w:rFonts w:cs="Times New Roman"/>
        </w:rPr>
        <w:t xml:space="preserve">, </w:t>
      </w:r>
      <w:proofErr w:type="spellStart"/>
      <w:r w:rsidRPr="00434C5D">
        <w:rPr>
          <w:rFonts w:cs="Times New Roman"/>
        </w:rPr>
        <w:t>Chemaly</w:t>
      </w:r>
      <w:proofErr w:type="spellEnd"/>
      <w:r>
        <w:rPr>
          <w:rFonts w:cs="Times New Roman"/>
        </w:rPr>
        <w:t>,</w:t>
      </w:r>
      <w:r w:rsidRPr="00434C5D">
        <w:rPr>
          <w:rFonts w:cs="Times New Roman"/>
        </w:rPr>
        <w:t xml:space="preserve"> M</w:t>
      </w:r>
      <w:r>
        <w:rPr>
          <w:rFonts w:cs="Times New Roman"/>
        </w:rPr>
        <w:t>.</w:t>
      </w:r>
      <w:r w:rsidRPr="00434C5D">
        <w:rPr>
          <w:rFonts w:cs="Times New Roman"/>
        </w:rPr>
        <w:t>, Davies</w:t>
      </w:r>
      <w:r>
        <w:rPr>
          <w:rFonts w:cs="Times New Roman"/>
        </w:rPr>
        <w:t>,</w:t>
      </w:r>
      <w:r w:rsidRPr="00434C5D">
        <w:rPr>
          <w:rFonts w:cs="Times New Roman"/>
        </w:rPr>
        <w:t xml:space="preserve"> R</w:t>
      </w:r>
      <w:r>
        <w:rPr>
          <w:rFonts w:cs="Times New Roman"/>
        </w:rPr>
        <w:t>.</w:t>
      </w:r>
      <w:r w:rsidRPr="00434C5D">
        <w:rPr>
          <w:rFonts w:cs="Times New Roman"/>
        </w:rPr>
        <w:t>, De Cesare</w:t>
      </w:r>
      <w:r>
        <w:rPr>
          <w:rFonts w:cs="Times New Roman"/>
        </w:rPr>
        <w:t>,</w:t>
      </w:r>
      <w:r w:rsidRPr="00434C5D">
        <w:rPr>
          <w:rFonts w:cs="Times New Roman"/>
        </w:rPr>
        <w:t xml:space="preserve"> A</w:t>
      </w:r>
      <w:r>
        <w:rPr>
          <w:rFonts w:cs="Times New Roman"/>
        </w:rPr>
        <w:t>.</w:t>
      </w:r>
      <w:r w:rsidRPr="00434C5D">
        <w:rPr>
          <w:rFonts w:cs="Times New Roman"/>
        </w:rPr>
        <w:t>, Herman</w:t>
      </w:r>
      <w:r>
        <w:rPr>
          <w:rFonts w:cs="Times New Roman"/>
        </w:rPr>
        <w:t>,</w:t>
      </w:r>
      <w:r w:rsidRPr="00434C5D">
        <w:rPr>
          <w:rFonts w:cs="Times New Roman"/>
        </w:rPr>
        <w:t xml:space="preserve"> L</w:t>
      </w:r>
      <w:r>
        <w:rPr>
          <w:rFonts w:cs="Times New Roman"/>
        </w:rPr>
        <w:t>.</w:t>
      </w:r>
      <w:r w:rsidRPr="00434C5D">
        <w:rPr>
          <w:rFonts w:cs="Times New Roman"/>
        </w:rPr>
        <w:t>,</w:t>
      </w:r>
      <w:r>
        <w:rPr>
          <w:rFonts w:cs="Times New Roman"/>
        </w:rPr>
        <w:t xml:space="preserve"> </w:t>
      </w:r>
      <w:r w:rsidRPr="00434C5D">
        <w:rPr>
          <w:rFonts w:cs="Times New Roman"/>
        </w:rPr>
        <w:t>Hilbert</w:t>
      </w:r>
      <w:r>
        <w:rPr>
          <w:rFonts w:cs="Times New Roman"/>
        </w:rPr>
        <w:t>,</w:t>
      </w:r>
      <w:r w:rsidRPr="00434C5D">
        <w:rPr>
          <w:rFonts w:cs="Times New Roman"/>
        </w:rPr>
        <w:t xml:space="preserve"> F</w:t>
      </w:r>
      <w:r>
        <w:rPr>
          <w:rFonts w:cs="Times New Roman"/>
        </w:rPr>
        <w:t>.</w:t>
      </w:r>
      <w:r w:rsidRPr="00434C5D">
        <w:rPr>
          <w:rFonts w:cs="Times New Roman"/>
        </w:rPr>
        <w:t>, Lindqvist</w:t>
      </w:r>
      <w:r>
        <w:rPr>
          <w:rFonts w:cs="Times New Roman"/>
        </w:rPr>
        <w:t>,</w:t>
      </w:r>
      <w:r w:rsidRPr="00434C5D">
        <w:rPr>
          <w:rFonts w:cs="Times New Roman"/>
        </w:rPr>
        <w:t xml:space="preserve"> R</w:t>
      </w:r>
      <w:r>
        <w:rPr>
          <w:rFonts w:cs="Times New Roman"/>
        </w:rPr>
        <w:t>.</w:t>
      </w:r>
      <w:r w:rsidRPr="00434C5D">
        <w:rPr>
          <w:rFonts w:cs="Times New Roman"/>
        </w:rPr>
        <w:t>, Nauta</w:t>
      </w:r>
      <w:r>
        <w:rPr>
          <w:rFonts w:cs="Times New Roman"/>
        </w:rPr>
        <w:t>,</w:t>
      </w:r>
      <w:r w:rsidRPr="00434C5D">
        <w:rPr>
          <w:rFonts w:cs="Times New Roman"/>
        </w:rPr>
        <w:t xml:space="preserve"> M</w:t>
      </w:r>
      <w:r>
        <w:rPr>
          <w:rFonts w:cs="Times New Roman"/>
        </w:rPr>
        <w:t>.</w:t>
      </w:r>
      <w:r w:rsidRPr="00434C5D">
        <w:rPr>
          <w:rFonts w:cs="Times New Roman"/>
        </w:rPr>
        <w:t>, Ru</w:t>
      </w:r>
      <w:r>
        <w:rPr>
          <w:rFonts w:cs="Times New Roman"/>
        </w:rPr>
        <w:t>,</w:t>
      </w:r>
      <w:r w:rsidRPr="00434C5D">
        <w:rPr>
          <w:rFonts w:cs="Times New Roman"/>
        </w:rPr>
        <w:t xml:space="preserve"> G</w:t>
      </w:r>
      <w:r>
        <w:rPr>
          <w:rFonts w:cs="Times New Roman"/>
        </w:rPr>
        <w:t>.</w:t>
      </w:r>
      <w:r w:rsidRPr="00434C5D">
        <w:rPr>
          <w:rFonts w:cs="Times New Roman"/>
        </w:rPr>
        <w:t>, Simmons</w:t>
      </w:r>
      <w:r>
        <w:rPr>
          <w:rFonts w:cs="Times New Roman"/>
        </w:rPr>
        <w:t>,</w:t>
      </w:r>
      <w:r w:rsidRPr="00434C5D">
        <w:rPr>
          <w:rFonts w:cs="Times New Roman"/>
        </w:rPr>
        <w:t xml:space="preserve"> M</w:t>
      </w:r>
      <w:r>
        <w:rPr>
          <w:rFonts w:cs="Times New Roman"/>
        </w:rPr>
        <w:t>.</w:t>
      </w:r>
      <w:r w:rsidRPr="00434C5D">
        <w:rPr>
          <w:rFonts w:cs="Times New Roman"/>
        </w:rPr>
        <w:t>, Skandamis</w:t>
      </w:r>
      <w:r>
        <w:rPr>
          <w:rFonts w:cs="Times New Roman"/>
        </w:rPr>
        <w:t>,</w:t>
      </w:r>
      <w:r w:rsidRPr="00434C5D">
        <w:rPr>
          <w:rFonts w:cs="Times New Roman"/>
        </w:rPr>
        <w:t xml:space="preserve"> P</w:t>
      </w:r>
      <w:r>
        <w:rPr>
          <w:rFonts w:cs="Times New Roman"/>
        </w:rPr>
        <w:t>.</w:t>
      </w:r>
      <w:r w:rsidRPr="00434C5D">
        <w:rPr>
          <w:rFonts w:cs="Times New Roman"/>
        </w:rPr>
        <w:t>, Suffredini</w:t>
      </w:r>
      <w:r>
        <w:rPr>
          <w:rFonts w:cs="Times New Roman"/>
        </w:rPr>
        <w:t>,</w:t>
      </w:r>
      <w:r w:rsidRPr="00434C5D">
        <w:rPr>
          <w:rFonts w:cs="Times New Roman"/>
        </w:rPr>
        <w:t xml:space="preserve"> E</w:t>
      </w:r>
      <w:r>
        <w:rPr>
          <w:rFonts w:cs="Times New Roman"/>
        </w:rPr>
        <w:t>.</w:t>
      </w:r>
      <w:r w:rsidRPr="00434C5D">
        <w:rPr>
          <w:rFonts w:cs="Times New Roman"/>
        </w:rPr>
        <w:t>, Arguello</w:t>
      </w:r>
      <w:r>
        <w:rPr>
          <w:rFonts w:cs="Times New Roman"/>
        </w:rPr>
        <w:t>,</w:t>
      </w:r>
      <w:r w:rsidRPr="00434C5D">
        <w:rPr>
          <w:rFonts w:cs="Times New Roman"/>
        </w:rPr>
        <w:t xml:space="preserve"> H</w:t>
      </w:r>
      <w:r>
        <w:rPr>
          <w:rFonts w:cs="Times New Roman"/>
        </w:rPr>
        <w:t>.</w:t>
      </w:r>
      <w:r w:rsidRPr="00434C5D">
        <w:rPr>
          <w:rFonts w:cs="Times New Roman"/>
        </w:rPr>
        <w:t xml:space="preserve">, </w:t>
      </w:r>
      <w:proofErr w:type="spellStart"/>
      <w:r w:rsidRPr="00434C5D">
        <w:rPr>
          <w:rFonts w:cs="Times New Roman"/>
        </w:rPr>
        <w:t>Berendonk</w:t>
      </w:r>
      <w:proofErr w:type="spellEnd"/>
      <w:r>
        <w:rPr>
          <w:rFonts w:cs="Times New Roman"/>
        </w:rPr>
        <w:t>,</w:t>
      </w:r>
      <w:r w:rsidRPr="00434C5D">
        <w:rPr>
          <w:rFonts w:cs="Times New Roman"/>
        </w:rPr>
        <w:t xml:space="preserve"> T</w:t>
      </w:r>
      <w:r>
        <w:rPr>
          <w:rFonts w:cs="Times New Roman"/>
        </w:rPr>
        <w:t>.</w:t>
      </w:r>
      <w:r w:rsidRPr="00434C5D">
        <w:rPr>
          <w:rFonts w:cs="Times New Roman"/>
        </w:rPr>
        <w:t>, Cavaco</w:t>
      </w:r>
      <w:r>
        <w:rPr>
          <w:rFonts w:cs="Times New Roman"/>
        </w:rPr>
        <w:t>,</w:t>
      </w:r>
      <w:r w:rsidRPr="00434C5D">
        <w:rPr>
          <w:rFonts w:cs="Times New Roman"/>
        </w:rPr>
        <w:t xml:space="preserve"> L</w:t>
      </w:r>
      <w:r>
        <w:rPr>
          <w:rFonts w:cs="Times New Roman"/>
        </w:rPr>
        <w:t>.</w:t>
      </w:r>
      <w:r w:rsidRPr="00434C5D">
        <w:rPr>
          <w:rFonts w:cs="Times New Roman"/>
        </w:rPr>
        <w:t>M</w:t>
      </w:r>
      <w:r>
        <w:rPr>
          <w:rFonts w:cs="Times New Roman"/>
        </w:rPr>
        <w:t>.</w:t>
      </w:r>
      <w:r w:rsidRPr="00434C5D">
        <w:rPr>
          <w:rFonts w:cs="Times New Roman"/>
        </w:rPr>
        <w:t>, Gaze</w:t>
      </w:r>
      <w:r>
        <w:rPr>
          <w:rFonts w:cs="Times New Roman"/>
        </w:rPr>
        <w:t>,</w:t>
      </w:r>
      <w:r w:rsidRPr="00434C5D">
        <w:rPr>
          <w:rFonts w:cs="Times New Roman"/>
        </w:rPr>
        <w:t xml:space="preserve"> W</w:t>
      </w:r>
      <w:r>
        <w:rPr>
          <w:rFonts w:cs="Times New Roman"/>
        </w:rPr>
        <w:t>.</w:t>
      </w:r>
      <w:r w:rsidRPr="00434C5D">
        <w:rPr>
          <w:rFonts w:cs="Times New Roman"/>
        </w:rPr>
        <w:t>, Schmitt</w:t>
      </w:r>
      <w:r>
        <w:rPr>
          <w:rFonts w:cs="Times New Roman"/>
        </w:rPr>
        <w:t>,</w:t>
      </w:r>
      <w:r w:rsidRPr="00434C5D">
        <w:rPr>
          <w:rFonts w:cs="Times New Roman"/>
        </w:rPr>
        <w:t xml:space="preserve"> H</w:t>
      </w:r>
      <w:r>
        <w:rPr>
          <w:rFonts w:cs="Times New Roman"/>
        </w:rPr>
        <w:t>.</w:t>
      </w:r>
      <w:r w:rsidRPr="00434C5D">
        <w:rPr>
          <w:rFonts w:cs="Times New Roman"/>
        </w:rPr>
        <w:t>, Topp</w:t>
      </w:r>
      <w:r>
        <w:rPr>
          <w:rFonts w:cs="Times New Roman"/>
        </w:rPr>
        <w:t>,</w:t>
      </w:r>
      <w:r w:rsidRPr="00434C5D">
        <w:rPr>
          <w:rFonts w:cs="Times New Roman"/>
        </w:rPr>
        <w:t xml:space="preserve"> E</w:t>
      </w:r>
      <w:r>
        <w:rPr>
          <w:rFonts w:cs="Times New Roman"/>
        </w:rPr>
        <w:t>.</w:t>
      </w:r>
      <w:r w:rsidRPr="00434C5D">
        <w:rPr>
          <w:rFonts w:cs="Times New Roman"/>
        </w:rPr>
        <w:t>, Guerra</w:t>
      </w:r>
      <w:r>
        <w:rPr>
          <w:rFonts w:cs="Times New Roman"/>
        </w:rPr>
        <w:t>,</w:t>
      </w:r>
      <w:r w:rsidRPr="00434C5D">
        <w:rPr>
          <w:rFonts w:cs="Times New Roman"/>
        </w:rPr>
        <w:t xml:space="preserve"> B</w:t>
      </w:r>
      <w:r>
        <w:rPr>
          <w:rFonts w:cs="Times New Roman"/>
        </w:rPr>
        <w:t>.</w:t>
      </w:r>
      <w:r w:rsidRPr="00434C5D">
        <w:rPr>
          <w:rFonts w:cs="Times New Roman"/>
        </w:rPr>
        <w:t xml:space="preserve">, </w:t>
      </w:r>
      <w:proofErr w:type="spellStart"/>
      <w:r w:rsidRPr="00434C5D">
        <w:rPr>
          <w:rFonts w:cs="Times New Roman"/>
        </w:rPr>
        <w:t>Liebana</w:t>
      </w:r>
      <w:proofErr w:type="spellEnd"/>
      <w:r>
        <w:rPr>
          <w:rFonts w:cs="Times New Roman"/>
        </w:rPr>
        <w:t>,</w:t>
      </w:r>
      <w:r w:rsidRPr="00434C5D">
        <w:rPr>
          <w:rFonts w:cs="Times New Roman"/>
        </w:rPr>
        <w:t xml:space="preserve"> E</w:t>
      </w:r>
      <w:r>
        <w:rPr>
          <w:rFonts w:cs="Times New Roman"/>
        </w:rPr>
        <w:t>.</w:t>
      </w:r>
      <w:r w:rsidRPr="00434C5D">
        <w:rPr>
          <w:rFonts w:cs="Times New Roman"/>
        </w:rPr>
        <w:t>, Stella</w:t>
      </w:r>
      <w:r>
        <w:rPr>
          <w:rFonts w:cs="Times New Roman"/>
        </w:rPr>
        <w:t>,</w:t>
      </w:r>
      <w:r w:rsidRPr="00434C5D">
        <w:rPr>
          <w:rFonts w:cs="Times New Roman"/>
        </w:rPr>
        <w:t xml:space="preserve"> P</w:t>
      </w:r>
      <w:r>
        <w:rPr>
          <w:rFonts w:cs="Times New Roman"/>
        </w:rPr>
        <w:t>.</w:t>
      </w:r>
      <w:r w:rsidRPr="00434C5D">
        <w:rPr>
          <w:rFonts w:cs="Times New Roman"/>
        </w:rPr>
        <w:t xml:space="preserve"> and </w:t>
      </w:r>
      <w:proofErr w:type="spellStart"/>
      <w:r w:rsidRPr="00434C5D">
        <w:rPr>
          <w:rFonts w:cs="Times New Roman"/>
        </w:rPr>
        <w:t>Peixe</w:t>
      </w:r>
      <w:proofErr w:type="spellEnd"/>
      <w:r>
        <w:rPr>
          <w:rFonts w:cs="Times New Roman"/>
        </w:rPr>
        <w:t>,</w:t>
      </w:r>
      <w:r w:rsidRPr="00434C5D">
        <w:rPr>
          <w:rFonts w:cs="Times New Roman"/>
        </w:rPr>
        <w:t xml:space="preserve"> L. (2021). Scientiﬁc opinion on the role played by the environment in the emergence and spread of antimicrobial resistance (AMR) through the food chain. </w:t>
      </w:r>
      <w:r w:rsidRPr="00434C5D">
        <w:rPr>
          <w:rFonts w:cs="Times New Roman"/>
          <w:i/>
          <w:iCs/>
        </w:rPr>
        <w:t xml:space="preserve">EFSA Journal </w:t>
      </w:r>
      <w:r w:rsidRPr="00434C5D">
        <w:rPr>
          <w:rFonts w:cs="Times New Roman"/>
        </w:rPr>
        <w:t xml:space="preserve">19(6):6651, 188 pp. </w:t>
      </w:r>
      <w:hyperlink r:id="rId52">
        <w:r w:rsidRPr="00434C5D">
          <w:rPr>
            <w:rStyle w:val="Hyperlink"/>
            <w:rFonts w:cs="Times New Roman"/>
          </w:rPr>
          <w:t>https://doi.org/10.2903/j.efsa.2021.6651</w:t>
        </w:r>
      </w:hyperlink>
    </w:p>
    <w:p w14:paraId="1E5D0ED6" w14:textId="77777777" w:rsidR="00C0335B" w:rsidRPr="00434C5D" w:rsidRDefault="00C0335B" w:rsidP="00C0335B">
      <w:pPr>
        <w:spacing w:before="240"/>
        <w:rPr>
          <w:rFonts w:cs="Times New Roman"/>
        </w:rPr>
      </w:pPr>
      <w:r w:rsidRPr="00434C5D">
        <w:rPr>
          <w:rFonts w:cs="Times New Roman"/>
        </w:rPr>
        <w:t xml:space="preserve">KV, J. and </w:t>
      </w:r>
      <w:proofErr w:type="spellStart"/>
      <w:r w:rsidRPr="00434C5D">
        <w:rPr>
          <w:rFonts w:cs="Times New Roman"/>
        </w:rPr>
        <w:t>Valamparampil</w:t>
      </w:r>
      <w:proofErr w:type="spellEnd"/>
      <w:r w:rsidRPr="00434C5D">
        <w:rPr>
          <w:rFonts w:cs="Times New Roman"/>
        </w:rPr>
        <w:t>, T.T. (2017). Breeding ecology of Asian tiger mosquito (</w:t>
      </w:r>
      <w:r w:rsidRPr="00434C5D">
        <w:rPr>
          <w:rFonts w:cs="Times New Roman"/>
          <w:i/>
          <w:iCs/>
        </w:rPr>
        <w:t>Aedes albopictus</w:t>
      </w:r>
      <w:r w:rsidRPr="00434C5D">
        <w:rPr>
          <w:rFonts w:cs="Times New Roman"/>
        </w:rPr>
        <w:t xml:space="preserve">). </w:t>
      </w:r>
      <w:r w:rsidRPr="00434C5D">
        <w:rPr>
          <w:rFonts w:cs="Times New Roman"/>
          <w:i/>
          <w:iCs/>
        </w:rPr>
        <w:t>Journal of Entomology and Zoology Studies 5</w:t>
      </w:r>
      <w:r w:rsidRPr="00434C5D">
        <w:rPr>
          <w:rFonts w:cs="Times New Roman"/>
        </w:rPr>
        <w:t xml:space="preserve">(1): 972-977. </w:t>
      </w:r>
      <w:hyperlink r:id="rId53" w:history="1">
        <w:r w:rsidRPr="00434C5D">
          <w:rPr>
            <w:rStyle w:val="Hyperlink"/>
            <w:rFonts w:cs="Times New Roman"/>
          </w:rPr>
          <w:t>https://www.entomoljournal.com/archives/2017/vol5issue1/PartM/10-6-9-390.pdf</w:t>
        </w:r>
      </w:hyperlink>
      <w:r w:rsidRPr="00434C5D">
        <w:rPr>
          <w:rFonts w:cs="Times New Roman"/>
        </w:rPr>
        <w:t xml:space="preserve"> </w:t>
      </w:r>
    </w:p>
    <w:p w14:paraId="730EE7A7" w14:textId="77777777" w:rsidR="00C0335B" w:rsidRPr="00434C5D" w:rsidRDefault="00C0335B" w:rsidP="00C0335B">
      <w:pPr>
        <w:rPr>
          <w:rFonts w:cs="Times New Roman"/>
          <w:color w:val="001D35"/>
          <w:shd w:val="clear" w:color="auto" w:fill="FFFFFF"/>
        </w:rPr>
      </w:pPr>
      <w:r w:rsidRPr="00434C5D">
        <w:rPr>
          <w:rFonts w:cs="Times New Roman"/>
        </w:rPr>
        <w:t>Lee</w:t>
      </w:r>
      <w:r>
        <w:rPr>
          <w:rFonts w:cs="Times New Roman"/>
        </w:rPr>
        <w:t>,</w:t>
      </w:r>
      <w:r w:rsidRPr="00434C5D">
        <w:rPr>
          <w:rFonts w:cs="Times New Roman"/>
        </w:rPr>
        <w:t xml:space="preserve"> N</w:t>
      </w:r>
      <w:r>
        <w:rPr>
          <w:rFonts w:cs="Times New Roman"/>
        </w:rPr>
        <w:t>.</w:t>
      </w:r>
      <w:r w:rsidRPr="00434C5D">
        <w:rPr>
          <w:rFonts w:cs="Times New Roman"/>
        </w:rPr>
        <w:t>S</w:t>
      </w:r>
      <w:r>
        <w:rPr>
          <w:rFonts w:cs="Times New Roman"/>
        </w:rPr>
        <w:t>.</w:t>
      </w:r>
      <w:r w:rsidRPr="00434C5D">
        <w:rPr>
          <w:rFonts w:cs="Times New Roman"/>
        </w:rPr>
        <w:t>M</w:t>
      </w:r>
      <w:r>
        <w:rPr>
          <w:rFonts w:cs="Times New Roman"/>
        </w:rPr>
        <w:t>.</w:t>
      </w:r>
      <w:r w:rsidRPr="00434C5D">
        <w:rPr>
          <w:rFonts w:cs="Times New Roman"/>
        </w:rPr>
        <w:t>, Clements</w:t>
      </w:r>
      <w:r>
        <w:rPr>
          <w:rFonts w:cs="Times New Roman"/>
        </w:rPr>
        <w:t>,</w:t>
      </w:r>
      <w:r w:rsidRPr="00434C5D">
        <w:rPr>
          <w:rFonts w:cs="Times New Roman"/>
        </w:rPr>
        <w:t xml:space="preserve"> G</w:t>
      </w:r>
      <w:r>
        <w:rPr>
          <w:rFonts w:cs="Times New Roman"/>
        </w:rPr>
        <w:t>.</w:t>
      </w:r>
      <w:r w:rsidRPr="00434C5D">
        <w:rPr>
          <w:rFonts w:cs="Times New Roman"/>
        </w:rPr>
        <w:t>R</w:t>
      </w:r>
      <w:r>
        <w:rPr>
          <w:rFonts w:cs="Times New Roman"/>
        </w:rPr>
        <w:t>.</w:t>
      </w:r>
      <w:r w:rsidRPr="00434C5D">
        <w:rPr>
          <w:rFonts w:cs="Times New Roman"/>
        </w:rPr>
        <w:t>, Ting</w:t>
      </w:r>
      <w:r>
        <w:rPr>
          <w:rFonts w:cs="Times New Roman"/>
        </w:rPr>
        <w:t>,</w:t>
      </w:r>
      <w:r w:rsidRPr="00434C5D">
        <w:rPr>
          <w:rFonts w:cs="Times New Roman"/>
        </w:rPr>
        <w:t xml:space="preserve"> A</w:t>
      </w:r>
      <w:r>
        <w:rPr>
          <w:rFonts w:cs="Times New Roman"/>
        </w:rPr>
        <w:t>.</w:t>
      </w:r>
      <w:r w:rsidRPr="00434C5D">
        <w:rPr>
          <w:rFonts w:cs="Times New Roman"/>
        </w:rPr>
        <w:t>S</w:t>
      </w:r>
      <w:r>
        <w:rPr>
          <w:rFonts w:cs="Times New Roman"/>
        </w:rPr>
        <w:t>.</w:t>
      </w:r>
      <w:r w:rsidRPr="00434C5D">
        <w:rPr>
          <w:rFonts w:cs="Times New Roman"/>
        </w:rPr>
        <w:t>Y</w:t>
      </w:r>
      <w:r>
        <w:rPr>
          <w:rFonts w:cs="Times New Roman"/>
        </w:rPr>
        <w:t>.</w:t>
      </w:r>
      <w:r w:rsidRPr="00434C5D">
        <w:rPr>
          <w:rFonts w:cs="Times New Roman"/>
        </w:rPr>
        <w:t>, Wong</w:t>
      </w:r>
      <w:r>
        <w:rPr>
          <w:rFonts w:cs="Times New Roman"/>
        </w:rPr>
        <w:t>,</w:t>
      </w:r>
      <w:r w:rsidRPr="00434C5D">
        <w:rPr>
          <w:rFonts w:cs="Times New Roman"/>
        </w:rPr>
        <w:t xml:space="preserve"> Z</w:t>
      </w:r>
      <w:r>
        <w:rPr>
          <w:rFonts w:cs="Times New Roman"/>
        </w:rPr>
        <w:t>.</w:t>
      </w:r>
      <w:r w:rsidRPr="00434C5D">
        <w:rPr>
          <w:rFonts w:cs="Times New Roman"/>
        </w:rPr>
        <w:t>H</w:t>
      </w:r>
      <w:r>
        <w:rPr>
          <w:rFonts w:cs="Times New Roman"/>
        </w:rPr>
        <w:t>.</w:t>
      </w:r>
      <w:r w:rsidRPr="00434C5D">
        <w:rPr>
          <w:rFonts w:cs="Times New Roman"/>
        </w:rPr>
        <w:t xml:space="preserve">, </w:t>
      </w:r>
      <w:r>
        <w:rPr>
          <w:rFonts w:cs="Times New Roman"/>
        </w:rPr>
        <w:t xml:space="preserve">and </w:t>
      </w:r>
      <w:proofErr w:type="spellStart"/>
      <w:r w:rsidRPr="00434C5D">
        <w:rPr>
          <w:rFonts w:cs="Times New Roman"/>
        </w:rPr>
        <w:t>Yek</w:t>
      </w:r>
      <w:proofErr w:type="spellEnd"/>
      <w:r>
        <w:rPr>
          <w:rFonts w:cs="Times New Roman"/>
        </w:rPr>
        <w:t>,</w:t>
      </w:r>
      <w:r w:rsidRPr="00434C5D">
        <w:rPr>
          <w:rFonts w:cs="Times New Roman"/>
        </w:rPr>
        <w:t xml:space="preserve"> S</w:t>
      </w:r>
      <w:r>
        <w:rPr>
          <w:rFonts w:cs="Times New Roman"/>
        </w:rPr>
        <w:t>.</w:t>
      </w:r>
      <w:r w:rsidRPr="00434C5D">
        <w:rPr>
          <w:rFonts w:cs="Times New Roman"/>
        </w:rPr>
        <w:t xml:space="preserve">H. (2020). Persistent mosquito fogging can be detrimental to non-target invertebrates in an urban tropical forest. </w:t>
      </w:r>
      <w:proofErr w:type="spellStart"/>
      <w:r w:rsidRPr="00434C5D">
        <w:rPr>
          <w:rFonts w:cs="Times New Roman"/>
          <w:i/>
          <w:iCs/>
        </w:rPr>
        <w:t>PeerJ</w:t>
      </w:r>
      <w:proofErr w:type="spellEnd"/>
      <w:r w:rsidRPr="00434C5D">
        <w:rPr>
          <w:rFonts w:cs="Times New Roman"/>
          <w:i/>
          <w:iCs/>
        </w:rPr>
        <w:t xml:space="preserve"> Life &amp; Environment </w:t>
      </w:r>
      <w:proofErr w:type="gramStart"/>
      <w:r w:rsidRPr="00434C5D">
        <w:rPr>
          <w:rFonts w:cs="Times New Roman"/>
          <w:i/>
          <w:iCs/>
        </w:rPr>
        <w:t>8</w:t>
      </w:r>
      <w:r w:rsidRPr="00434C5D">
        <w:rPr>
          <w:rFonts w:cs="Times New Roman"/>
        </w:rPr>
        <w:t>:e</w:t>
      </w:r>
      <w:proofErr w:type="gramEnd"/>
      <w:r w:rsidRPr="00434C5D">
        <w:rPr>
          <w:rFonts w:cs="Times New Roman"/>
        </w:rPr>
        <w:t xml:space="preserve">10033. </w:t>
      </w:r>
      <w:hyperlink r:id="rId54" w:history="1">
        <w:r w:rsidRPr="00434C5D">
          <w:rPr>
            <w:rStyle w:val="Hyperlink"/>
            <w:rFonts w:cs="Times New Roman"/>
          </w:rPr>
          <w:t>doi.org/10.7717/peerj.10033</w:t>
        </w:r>
      </w:hyperlink>
      <w:r w:rsidRPr="00434C5D">
        <w:rPr>
          <w:rFonts w:cs="Times New Roman"/>
        </w:rPr>
        <w:t xml:space="preserve"> </w:t>
      </w:r>
    </w:p>
    <w:p w14:paraId="1DD9EF8D" w14:textId="77777777" w:rsidR="00C0335B" w:rsidRPr="00434C5D" w:rsidRDefault="00C0335B" w:rsidP="00C0335B">
      <w:pPr>
        <w:rPr>
          <w:rFonts w:cs="Times New Roman"/>
        </w:rPr>
      </w:pPr>
      <w:r w:rsidRPr="00434C5D">
        <w:rPr>
          <w:rFonts w:cs="Times New Roman"/>
        </w:rPr>
        <w:t>Li, Y., Hind, C., Furner-Pardoe, J., Sutton, J.M., and Rahman, K.M. (2025). Understanding the mechanisms of resistance to azole antifungals in </w:t>
      </w:r>
      <w:r w:rsidRPr="00434C5D">
        <w:rPr>
          <w:rFonts w:cs="Times New Roman"/>
          <w:i/>
          <w:iCs/>
        </w:rPr>
        <w:t>Candida</w:t>
      </w:r>
      <w:r w:rsidRPr="00434C5D">
        <w:rPr>
          <w:rFonts w:cs="Times New Roman"/>
        </w:rPr>
        <w:t> species. </w:t>
      </w:r>
      <w:r w:rsidRPr="00434C5D">
        <w:rPr>
          <w:rFonts w:cs="Times New Roman"/>
          <w:i/>
          <w:iCs/>
        </w:rPr>
        <w:t>JAC-Antimicrobial Resistance</w:t>
      </w:r>
      <w:r w:rsidRPr="00434C5D">
        <w:rPr>
          <w:rFonts w:cs="Times New Roman"/>
        </w:rPr>
        <w:t xml:space="preserve"> </w:t>
      </w:r>
      <w:r w:rsidRPr="00434C5D">
        <w:rPr>
          <w:rFonts w:cs="Times New Roman"/>
          <w:i/>
          <w:iCs/>
        </w:rPr>
        <w:t>7</w:t>
      </w:r>
      <w:r w:rsidRPr="00434C5D">
        <w:rPr>
          <w:rFonts w:cs="Times New Roman"/>
        </w:rPr>
        <w:t xml:space="preserve">(3). </w:t>
      </w:r>
      <w:hyperlink r:id="rId55" w:history="1">
        <w:r w:rsidRPr="00434C5D">
          <w:rPr>
            <w:rStyle w:val="Hyperlink"/>
            <w:rFonts w:cs="Times New Roman"/>
          </w:rPr>
          <w:t>https://doi.org/10.1093/jacamr/dlaf106</w:t>
        </w:r>
      </w:hyperlink>
    </w:p>
    <w:p w14:paraId="4CC7ADB1" w14:textId="77777777" w:rsidR="00C0335B" w:rsidRPr="00434C5D" w:rsidRDefault="00C0335B" w:rsidP="00C0335B">
      <w:pPr>
        <w:shd w:val="clear" w:color="auto" w:fill="FFFFFF" w:themeFill="background1"/>
        <w:rPr>
          <w:rFonts w:eastAsia="Arial" w:cs="Times New Roman"/>
          <w:color w:val="222222"/>
        </w:rPr>
      </w:pPr>
      <w:r w:rsidRPr="00434C5D">
        <w:rPr>
          <w:rFonts w:eastAsia="Arial" w:cs="Times New Roman"/>
          <w:color w:val="222222"/>
        </w:rPr>
        <w:t xml:space="preserve">Liu, B., Shen, Z., Zhou, Q., Ren, J., Wang, H., Zhang, D., and Pan, X. (2025). Antibiotic resistance genes in the animal manure-amended soil-plant system: Occurrence, transmission, bacterial hosts, and human health risks. </w:t>
      </w:r>
      <w:r w:rsidRPr="00434C5D">
        <w:rPr>
          <w:rFonts w:eastAsia="Arial" w:cs="Times New Roman"/>
          <w:i/>
          <w:iCs/>
          <w:color w:val="222222"/>
        </w:rPr>
        <w:t>Ecotoxicology and Environmental Safety 303</w:t>
      </w:r>
      <w:r w:rsidRPr="00434C5D">
        <w:rPr>
          <w:rFonts w:eastAsia="Arial" w:cs="Times New Roman"/>
          <w:color w:val="222222"/>
        </w:rPr>
        <w:t xml:space="preserve">: 118890. </w:t>
      </w:r>
      <w:hyperlink r:id="rId56" w:history="1">
        <w:r w:rsidRPr="00434C5D">
          <w:rPr>
            <w:rStyle w:val="Hyperlink"/>
            <w:rFonts w:eastAsia="Arial" w:cs="Times New Roman"/>
          </w:rPr>
          <w:t>https://doi.org/10.1016/j.ecoenv.2025.118890</w:t>
        </w:r>
      </w:hyperlink>
      <w:r w:rsidRPr="00434C5D">
        <w:rPr>
          <w:rFonts w:eastAsia="Arial" w:cs="Times New Roman"/>
          <w:color w:val="222222"/>
        </w:rPr>
        <w:t xml:space="preserve"> </w:t>
      </w:r>
    </w:p>
    <w:p w14:paraId="235F455B" w14:textId="77777777" w:rsidR="00C0335B" w:rsidRPr="00434C5D" w:rsidRDefault="00C0335B" w:rsidP="00C0335B">
      <w:pPr>
        <w:shd w:val="clear" w:color="auto" w:fill="FFFFFF" w:themeFill="background1"/>
        <w:rPr>
          <w:rFonts w:eastAsia="Arial" w:cs="Times New Roman"/>
          <w:color w:val="222222"/>
        </w:rPr>
      </w:pPr>
      <w:r w:rsidRPr="00434C5D">
        <w:rPr>
          <w:rFonts w:eastAsia="Arial" w:cs="Times New Roman"/>
          <w:color w:val="222222"/>
        </w:rPr>
        <w:t xml:space="preserve">Liu, Y., &amp; Wu, F. (2010). Global burden of aflatoxin-induced hepatocellular carcinoma: a risk assessment. </w:t>
      </w:r>
      <w:r w:rsidRPr="00434C5D">
        <w:rPr>
          <w:rFonts w:eastAsia="Arial" w:cs="Times New Roman"/>
          <w:i/>
          <w:iCs/>
          <w:color w:val="222222"/>
        </w:rPr>
        <w:t>Environmental Health Perspectives</w:t>
      </w:r>
      <w:r w:rsidRPr="00434C5D">
        <w:rPr>
          <w:rFonts w:eastAsia="Arial" w:cs="Times New Roman"/>
          <w:color w:val="222222"/>
        </w:rPr>
        <w:t xml:space="preserve"> 118(6)</w:t>
      </w:r>
      <w:r>
        <w:rPr>
          <w:rFonts w:eastAsia="Arial" w:cs="Times New Roman"/>
          <w:color w:val="222222"/>
        </w:rPr>
        <w:t>:</w:t>
      </w:r>
      <w:r w:rsidRPr="00434C5D">
        <w:rPr>
          <w:rFonts w:eastAsia="Arial" w:cs="Times New Roman"/>
          <w:color w:val="222222"/>
        </w:rPr>
        <w:t xml:space="preserve"> 818–824.</w:t>
      </w:r>
    </w:p>
    <w:p w14:paraId="18F476AC" w14:textId="77777777" w:rsidR="00C0335B" w:rsidRPr="00434C5D" w:rsidRDefault="00C0335B" w:rsidP="00C0335B">
      <w:pPr>
        <w:spacing w:before="240"/>
        <w:rPr>
          <w:rFonts w:cs="Times New Roman"/>
        </w:rPr>
      </w:pPr>
      <w:r w:rsidRPr="00434C5D">
        <w:rPr>
          <w:rFonts w:cs="Times New Roman"/>
        </w:rPr>
        <w:t xml:space="preserve">Lorenzini, G. and Nali, C. (2025). Plant protection, the Cinderella of the one health </w:t>
      </w:r>
      <w:proofErr w:type="gramStart"/>
      <w:r w:rsidRPr="00434C5D">
        <w:rPr>
          <w:rFonts w:cs="Times New Roman"/>
        </w:rPr>
        <w:t>strategy?</w:t>
      </w:r>
      <w:proofErr w:type="gramEnd"/>
      <w:r w:rsidRPr="00434C5D">
        <w:rPr>
          <w:rFonts w:cs="Times New Roman"/>
        </w:rPr>
        <w:t xml:space="preserve"> </w:t>
      </w:r>
      <w:r w:rsidRPr="00434C5D">
        <w:rPr>
          <w:rFonts w:cs="Times New Roman"/>
          <w:i/>
          <w:iCs/>
        </w:rPr>
        <w:t xml:space="preserve">One Health </w:t>
      </w:r>
      <w:r w:rsidRPr="00434C5D">
        <w:rPr>
          <w:rFonts w:cs="Times New Roman"/>
        </w:rPr>
        <w:t>20:</w:t>
      </w:r>
      <w:r>
        <w:rPr>
          <w:rFonts w:cs="Times New Roman"/>
        </w:rPr>
        <w:t xml:space="preserve"> </w:t>
      </w:r>
      <w:r w:rsidRPr="00434C5D">
        <w:rPr>
          <w:rFonts w:cs="Times New Roman"/>
        </w:rPr>
        <w:t xml:space="preserve">101080. </w:t>
      </w:r>
      <w:hyperlink r:id="rId57" w:history="1">
        <w:r w:rsidRPr="00434C5D">
          <w:rPr>
            <w:rStyle w:val="Hyperlink"/>
            <w:rFonts w:cs="Times New Roman"/>
          </w:rPr>
          <w:t>https://www.sciencedirect.com/science/article/pii/S2352771425001168</w:t>
        </w:r>
      </w:hyperlink>
    </w:p>
    <w:p w14:paraId="75796A51" w14:textId="77777777" w:rsidR="00C0335B" w:rsidRPr="00434C5D" w:rsidRDefault="00C0335B" w:rsidP="00C0335B">
      <w:pPr>
        <w:rPr>
          <w:rFonts w:eastAsia="Times New Roman" w:cs="Times New Roman"/>
          <w:color w:val="000000"/>
        </w:rPr>
      </w:pPr>
      <w:r w:rsidRPr="00434C5D">
        <w:rPr>
          <w:rFonts w:eastAsia="Times New Roman" w:cs="Times New Roman"/>
          <w:color w:val="000000"/>
          <w:lang w:val="fr-FR"/>
        </w:rPr>
        <w:t>Ma, C</w:t>
      </w:r>
      <w:r>
        <w:rPr>
          <w:rFonts w:eastAsia="Times New Roman" w:cs="Times New Roman"/>
          <w:color w:val="000000"/>
          <w:lang w:val="fr-FR"/>
        </w:rPr>
        <w:t>.</w:t>
      </w:r>
      <w:r w:rsidRPr="00434C5D">
        <w:rPr>
          <w:rFonts w:eastAsia="Times New Roman" w:cs="Times New Roman"/>
          <w:color w:val="000000"/>
          <w:lang w:val="fr-FR"/>
        </w:rPr>
        <w:t xml:space="preserve">S., Zhang, W., Peng, Y. et al. </w:t>
      </w:r>
      <w:r>
        <w:rPr>
          <w:rFonts w:eastAsia="Times New Roman" w:cs="Times New Roman"/>
          <w:color w:val="000000"/>
          <w:lang w:val="fr-FR"/>
        </w:rPr>
        <w:t xml:space="preserve">(2021). </w:t>
      </w:r>
      <w:r w:rsidRPr="00434C5D">
        <w:rPr>
          <w:rFonts w:eastAsia="Times New Roman" w:cs="Times New Roman"/>
          <w:color w:val="000000"/>
        </w:rPr>
        <w:t xml:space="preserve">Climate warming promotes pesticide resistance through expanding overwintering range of a global pest. </w:t>
      </w:r>
      <w:r w:rsidRPr="006569A3">
        <w:rPr>
          <w:rFonts w:eastAsia="Times New Roman" w:cs="Times New Roman"/>
          <w:i/>
          <w:iCs/>
          <w:color w:val="000000"/>
        </w:rPr>
        <w:t>Nat Commun</w:t>
      </w:r>
      <w:r w:rsidRPr="00434C5D">
        <w:rPr>
          <w:rFonts w:eastAsia="Times New Roman" w:cs="Times New Roman"/>
          <w:color w:val="000000"/>
        </w:rPr>
        <w:t xml:space="preserve"> 12</w:t>
      </w:r>
      <w:r>
        <w:rPr>
          <w:rFonts w:eastAsia="Times New Roman" w:cs="Times New Roman"/>
          <w:color w:val="000000"/>
        </w:rPr>
        <w:t>:</w:t>
      </w:r>
      <w:r w:rsidRPr="00434C5D">
        <w:rPr>
          <w:rFonts w:eastAsia="Times New Roman" w:cs="Times New Roman"/>
          <w:color w:val="000000"/>
        </w:rPr>
        <w:t xml:space="preserve"> 5351. </w:t>
      </w:r>
      <w:hyperlink r:id="rId58" w:history="1">
        <w:r w:rsidRPr="00E460FF">
          <w:rPr>
            <w:rStyle w:val="Hyperlink"/>
            <w:rFonts w:eastAsia="Times New Roman" w:cs="Times New Roman"/>
          </w:rPr>
          <w:t>https://doi.org/10.1038/s41467-021-25505-7</w:t>
        </w:r>
      </w:hyperlink>
      <w:r>
        <w:rPr>
          <w:rFonts w:eastAsia="Times New Roman" w:cs="Times New Roman"/>
          <w:color w:val="000000"/>
        </w:rPr>
        <w:t xml:space="preserve"> </w:t>
      </w:r>
    </w:p>
    <w:p w14:paraId="4DF08A5B" w14:textId="77777777" w:rsidR="00C0335B" w:rsidRPr="00434C5D" w:rsidRDefault="00C0335B" w:rsidP="00C0335B">
      <w:pPr>
        <w:rPr>
          <w:rFonts w:eastAsia="Times New Roman" w:cs="Times New Roman"/>
          <w:color w:val="000000"/>
        </w:rPr>
      </w:pPr>
      <w:r w:rsidRPr="00434C5D">
        <w:rPr>
          <w:rFonts w:eastAsia="Times New Roman" w:cs="Times New Roman"/>
          <w:color w:val="000000"/>
        </w:rPr>
        <w:lastRenderedPageBreak/>
        <w:t>Mikaberidze</w:t>
      </w:r>
      <w:r>
        <w:rPr>
          <w:rFonts w:eastAsia="Times New Roman" w:cs="Times New Roman"/>
          <w:color w:val="000000"/>
        </w:rPr>
        <w:t>,</w:t>
      </w:r>
      <w:r w:rsidRPr="00434C5D">
        <w:rPr>
          <w:rFonts w:eastAsia="Times New Roman" w:cs="Times New Roman"/>
          <w:color w:val="000000"/>
        </w:rPr>
        <w:t xml:space="preserve"> A</w:t>
      </w:r>
      <w:r>
        <w:rPr>
          <w:rFonts w:eastAsia="Times New Roman" w:cs="Times New Roman"/>
          <w:color w:val="000000"/>
        </w:rPr>
        <w:t>.</w:t>
      </w:r>
      <w:r w:rsidRPr="00434C5D">
        <w:rPr>
          <w:rFonts w:eastAsia="Times New Roman" w:cs="Times New Roman"/>
          <w:color w:val="000000"/>
        </w:rPr>
        <w:t>, Gokhale</w:t>
      </w:r>
      <w:r>
        <w:rPr>
          <w:rFonts w:eastAsia="Times New Roman" w:cs="Times New Roman"/>
          <w:color w:val="000000"/>
        </w:rPr>
        <w:t>,</w:t>
      </w:r>
      <w:r w:rsidRPr="00434C5D">
        <w:rPr>
          <w:rFonts w:eastAsia="Times New Roman" w:cs="Times New Roman"/>
          <w:color w:val="000000"/>
        </w:rPr>
        <w:t xml:space="preserve"> C</w:t>
      </w:r>
      <w:r>
        <w:rPr>
          <w:rFonts w:eastAsia="Times New Roman" w:cs="Times New Roman"/>
          <w:color w:val="000000"/>
        </w:rPr>
        <w:t>.</w:t>
      </w:r>
      <w:r w:rsidRPr="00434C5D">
        <w:rPr>
          <w:rFonts w:eastAsia="Times New Roman" w:cs="Times New Roman"/>
          <w:color w:val="000000"/>
        </w:rPr>
        <w:t>S</w:t>
      </w:r>
      <w:r>
        <w:rPr>
          <w:rFonts w:eastAsia="Times New Roman" w:cs="Times New Roman"/>
          <w:color w:val="000000"/>
        </w:rPr>
        <w:t>.</w:t>
      </w:r>
      <w:r w:rsidRPr="00434C5D">
        <w:rPr>
          <w:rFonts w:eastAsia="Times New Roman" w:cs="Times New Roman"/>
          <w:color w:val="000000"/>
        </w:rPr>
        <w:t xml:space="preserve">, </w:t>
      </w:r>
      <w:proofErr w:type="spellStart"/>
      <w:r w:rsidRPr="00434C5D">
        <w:rPr>
          <w:rFonts w:eastAsia="Times New Roman" w:cs="Times New Roman"/>
          <w:color w:val="000000"/>
        </w:rPr>
        <w:t>Bargués</w:t>
      </w:r>
      <w:proofErr w:type="spellEnd"/>
      <w:r w:rsidRPr="00434C5D">
        <w:rPr>
          <w:rFonts w:eastAsia="Times New Roman" w:cs="Times New Roman"/>
          <w:color w:val="000000"/>
        </w:rPr>
        <w:t>-Ribera</w:t>
      </w:r>
      <w:r>
        <w:rPr>
          <w:rFonts w:eastAsia="Times New Roman" w:cs="Times New Roman"/>
          <w:color w:val="000000"/>
        </w:rPr>
        <w:t>,</w:t>
      </w:r>
      <w:r w:rsidRPr="00434C5D">
        <w:rPr>
          <w:rFonts w:eastAsia="Times New Roman" w:cs="Times New Roman"/>
          <w:color w:val="000000"/>
        </w:rPr>
        <w:t xml:space="preserve"> M</w:t>
      </w:r>
      <w:r>
        <w:rPr>
          <w:rFonts w:eastAsia="Times New Roman" w:cs="Times New Roman"/>
          <w:color w:val="000000"/>
        </w:rPr>
        <w:t>.</w:t>
      </w:r>
      <w:r w:rsidRPr="00434C5D">
        <w:rPr>
          <w:rFonts w:eastAsia="Times New Roman" w:cs="Times New Roman"/>
          <w:color w:val="000000"/>
        </w:rPr>
        <w:t>, Verma</w:t>
      </w:r>
      <w:r>
        <w:rPr>
          <w:rFonts w:eastAsia="Times New Roman" w:cs="Times New Roman"/>
          <w:color w:val="000000"/>
        </w:rPr>
        <w:t>,</w:t>
      </w:r>
      <w:r w:rsidRPr="00434C5D">
        <w:rPr>
          <w:rFonts w:eastAsia="Times New Roman" w:cs="Times New Roman"/>
          <w:color w:val="000000"/>
        </w:rPr>
        <w:t xml:space="preserve"> P</w:t>
      </w:r>
      <w:r>
        <w:rPr>
          <w:rFonts w:eastAsia="Times New Roman" w:cs="Times New Roman"/>
          <w:color w:val="000000"/>
        </w:rPr>
        <w:t>.</w:t>
      </w:r>
      <w:r w:rsidRPr="00434C5D">
        <w:rPr>
          <w:rFonts w:eastAsia="Times New Roman" w:cs="Times New Roman"/>
          <w:color w:val="000000"/>
        </w:rPr>
        <w:t xml:space="preserve"> (2025) The cost of fungicide resistance evolution in multi-field plant epidemics. </w:t>
      </w:r>
      <w:r w:rsidRPr="00434C5D">
        <w:rPr>
          <w:rFonts w:eastAsia="Times New Roman" w:cs="Times New Roman"/>
          <w:i/>
          <w:iCs/>
          <w:color w:val="000000"/>
        </w:rPr>
        <w:t>PLOS Sustainability and Transformation 4</w:t>
      </w:r>
      <w:r w:rsidRPr="00434C5D">
        <w:rPr>
          <w:rFonts w:eastAsia="Times New Roman" w:cs="Times New Roman"/>
          <w:color w:val="000000"/>
        </w:rPr>
        <w:t xml:space="preserve">(6): e0000178. </w:t>
      </w:r>
      <w:hyperlink r:id="rId59" w:history="1">
        <w:r w:rsidRPr="00E460FF">
          <w:rPr>
            <w:rStyle w:val="Hyperlink"/>
            <w:rFonts w:eastAsia="Times New Roman" w:cs="Times New Roman"/>
          </w:rPr>
          <w:t>https://doi.org/10.1371/journal.pstr.0000178</w:t>
        </w:r>
      </w:hyperlink>
      <w:r>
        <w:rPr>
          <w:rFonts w:eastAsia="Times New Roman" w:cs="Times New Roman"/>
          <w:color w:val="000000"/>
        </w:rPr>
        <w:t xml:space="preserve"> </w:t>
      </w:r>
    </w:p>
    <w:p w14:paraId="1FF89250" w14:textId="77777777" w:rsidR="00C0335B" w:rsidRPr="00434C5D" w:rsidRDefault="00C0335B" w:rsidP="00C0335B">
      <w:pPr>
        <w:rPr>
          <w:rFonts w:eastAsia="Times New Roman" w:cs="Times New Roman"/>
          <w:color w:val="000000"/>
        </w:rPr>
      </w:pPr>
      <w:r w:rsidRPr="00434C5D">
        <w:rPr>
          <w:rFonts w:eastAsia="Times New Roman" w:cs="Times New Roman"/>
          <w:color w:val="000000"/>
          <w:lang w:val="it-IT"/>
        </w:rPr>
        <w:t xml:space="preserve">Miller, S. A., Ferreira, J. P., &amp; LeJeune, J. T. (2022). </w:t>
      </w:r>
      <w:r w:rsidRPr="00434C5D">
        <w:rPr>
          <w:rFonts w:eastAsia="Times New Roman" w:cs="Times New Roman"/>
          <w:color w:val="000000"/>
        </w:rPr>
        <w:t>Antimicrobial Use and Resistance in Plant Agriculture: A One Health Perspective. </w:t>
      </w:r>
      <w:r w:rsidRPr="00434C5D">
        <w:rPr>
          <w:rFonts w:eastAsia="Times New Roman" w:cs="Times New Roman"/>
          <w:i/>
          <w:iCs/>
          <w:color w:val="000000"/>
        </w:rPr>
        <w:t>Agriculture</w:t>
      </w:r>
      <w:r w:rsidRPr="00434C5D">
        <w:rPr>
          <w:rFonts w:eastAsia="Times New Roman" w:cs="Times New Roman"/>
          <w:color w:val="000000"/>
        </w:rPr>
        <w:t> </w:t>
      </w:r>
      <w:r w:rsidRPr="00434C5D">
        <w:rPr>
          <w:rFonts w:eastAsia="Times New Roman" w:cs="Times New Roman"/>
          <w:i/>
          <w:iCs/>
          <w:color w:val="000000"/>
        </w:rPr>
        <w:t>12</w:t>
      </w:r>
      <w:r w:rsidRPr="00434C5D">
        <w:rPr>
          <w:rFonts w:eastAsia="Times New Roman" w:cs="Times New Roman"/>
          <w:color w:val="000000"/>
        </w:rPr>
        <w:t>(2)</w:t>
      </w:r>
      <w:r>
        <w:rPr>
          <w:rFonts w:eastAsia="Times New Roman" w:cs="Times New Roman"/>
          <w:color w:val="000000"/>
        </w:rPr>
        <w:t>:</w:t>
      </w:r>
      <w:r w:rsidRPr="00434C5D">
        <w:rPr>
          <w:rFonts w:eastAsia="Times New Roman" w:cs="Times New Roman"/>
          <w:color w:val="000000"/>
        </w:rPr>
        <w:t xml:space="preserve"> 289. </w:t>
      </w:r>
      <w:hyperlink r:id="rId60" w:history="1">
        <w:r w:rsidRPr="00434C5D">
          <w:rPr>
            <w:rStyle w:val="Hyperlink"/>
            <w:rFonts w:eastAsia="Times New Roman" w:cs="Times New Roman"/>
          </w:rPr>
          <w:t>https://doi.org/10.3390/agriculture12020289</w:t>
        </w:r>
      </w:hyperlink>
    </w:p>
    <w:p w14:paraId="1E11C4F5" w14:textId="77777777" w:rsidR="00C0335B" w:rsidRPr="00434C5D" w:rsidRDefault="00C0335B" w:rsidP="00C0335B">
      <w:pPr>
        <w:rPr>
          <w:rFonts w:cs="Times New Roman"/>
        </w:rPr>
      </w:pPr>
      <w:r w:rsidRPr="00434C5D">
        <w:rPr>
          <w:rFonts w:cs="Times New Roman"/>
        </w:rPr>
        <w:t xml:space="preserve">Minden, V., Deloy, A., Volkert, A.M., Leonhardt, S.D., and </w:t>
      </w:r>
      <w:proofErr w:type="spellStart"/>
      <w:r w:rsidRPr="00434C5D">
        <w:rPr>
          <w:rFonts w:cs="Times New Roman"/>
        </w:rPr>
        <w:t>Pufal</w:t>
      </w:r>
      <w:proofErr w:type="spellEnd"/>
      <w:r w:rsidRPr="00434C5D">
        <w:rPr>
          <w:rFonts w:cs="Times New Roman"/>
        </w:rPr>
        <w:t xml:space="preserve">, G. (2017). Antibiotics impact plant traits, even at small concentrations. </w:t>
      </w:r>
      <w:proofErr w:type="spellStart"/>
      <w:r w:rsidRPr="00434C5D">
        <w:rPr>
          <w:rFonts w:cs="Times New Roman"/>
          <w:i/>
          <w:iCs/>
        </w:rPr>
        <w:t>AoB</w:t>
      </w:r>
      <w:proofErr w:type="spellEnd"/>
      <w:r w:rsidRPr="00434C5D">
        <w:rPr>
          <w:rFonts w:cs="Times New Roman"/>
          <w:i/>
          <w:iCs/>
        </w:rPr>
        <w:t xml:space="preserve"> PLANTS 9</w:t>
      </w:r>
      <w:r w:rsidRPr="00434C5D">
        <w:rPr>
          <w:rFonts w:cs="Times New Roman"/>
        </w:rPr>
        <w:t xml:space="preserve">(2). </w:t>
      </w:r>
      <w:hyperlink r:id="rId61" w:history="1">
        <w:r w:rsidRPr="00434C5D">
          <w:rPr>
            <w:rStyle w:val="Hyperlink"/>
            <w:rFonts w:cs="Times New Roman"/>
          </w:rPr>
          <w:t>https://www.researchgate.net/publication/316465128_Antibiotics_impact_plant_traits_even_at_small_concentrations</w:t>
        </w:r>
      </w:hyperlink>
      <w:r w:rsidRPr="00434C5D">
        <w:rPr>
          <w:rFonts w:cs="Times New Roman"/>
        </w:rPr>
        <w:t xml:space="preserve"> </w:t>
      </w:r>
    </w:p>
    <w:p w14:paraId="2ABD9FD4" w14:textId="77777777" w:rsidR="00C0335B" w:rsidRPr="00434C5D" w:rsidRDefault="00C0335B" w:rsidP="00C0335B">
      <w:pPr>
        <w:rPr>
          <w:rFonts w:cs="Times New Roman"/>
        </w:rPr>
      </w:pPr>
      <w:proofErr w:type="spellStart"/>
      <w:r w:rsidRPr="00434C5D">
        <w:rPr>
          <w:rFonts w:cs="Times New Roman"/>
        </w:rPr>
        <w:t>Moonjely</w:t>
      </w:r>
      <w:proofErr w:type="spellEnd"/>
      <w:r w:rsidRPr="00434C5D">
        <w:rPr>
          <w:rFonts w:cs="Times New Roman"/>
        </w:rPr>
        <w:t>, S., Ebert, M., Paton-</w:t>
      </w:r>
      <w:proofErr w:type="spellStart"/>
      <w:r w:rsidRPr="00434C5D">
        <w:rPr>
          <w:rFonts w:cs="Times New Roman"/>
        </w:rPr>
        <w:t>Glassbrook</w:t>
      </w:r>
      <w:proofErr w:type="spellEnd"/>
      <w:r w:rsidRPr="00434C5D">
        <w:rPr>
          <w:rFonts w:cs="Times New Roman"/>
        </w:rPr>
        <w:t xml:space="preserve">, D., Noel, Z.A., Roze, L., Shay, R., Watkins, T., and Trail, F. (2023). Update on the state of research to manage </w:t>
      </w:r>
      <w:r w:rsidRPr="00434C5D">
        <w:rPr>
          <w:rFonts w:cs="Times New Roman"/>
          <w:i/>
          <w:iCs/>
        </w:rPr>
        <w:t>Fusarium</w:t>
      </w:r>
      <w:r w:rsidRPr="00434C5D">
        <w:rPr>
          <w:rFonts w:cs="Times New Roman"/>
        </w:rPr>
        <w:t xml:space="preserve"> head blight. </w:t>
      </w:r>
      <w:r w:rsidRPr="00434C5D">
        <w:rPr>
          <w:rFonts w:cs="Times New Roman"/>
          <w:i/>
          <w:iCs/>
        </w:rPr>
        <w:t>Fungal Genetics and Biology 169</w:t>
      </w:r>
      <w:r w:rsidRPr="00434C5D">
        <w:rPr>
          <w:rFonts w:cs="Times New Roman"/>
        </w:rPr>
        <w:t xml:space="preserve">(103829). </w:t>
      </w:r>
      <w:hyperlink r:id="rId62" w:history="1">
        <w:r w:rsidRPr="00434C5D">
          <w:rPr>
            <w:rStyle w:val="Hyperlink"/>
            <w:rFonts w:cs="Times New Roman"/>
          </w:rPr>
          <w:t>https://doi.org/10.1016/j.fgb.2023.103829</w:t>
        </w:r>
      </w:hyperlink>
      <w:r w:rsidRPr="00434C5D">
        <w:rPr>
          <w:rFonts w:cs="Times New Roman"/>
        </w:rPr>
        <w:t xml:space="preserve"> </w:t>
      </w:r>
    </w:p>
    <w:p w14:paraId="47A96407" w14:textId="77777777" w:rsidR="00C0335B" w:rsidRPr="00434C5D" w:rsidRDefault="00C0335B" w:rsidP="00C0335B">
      <w:pPr>
        <w:rPr>
          <w:rFonts w:cs="Times New Roman"/>
        </w:rPr>
      </w:pPr>
      <w:r w:rsidRPr="00434C5D">
        <w:rPr>
          <w:rFonts w:cs="Times New Roman"/>
        </w:rPr>
        <w:t>Namias</w:t>
      </w:r>
      <w:r>
        <w:rPr>
          <w:rFonts w:cs="Times New Roman"/>
        </w:rPr>
        <w:t>,</w:t>
      </w:r>
      <w:r w:rsidRPr="00434C5D">
        <w:rPr>
          <w:rFonts w:cs="Times New Roman"/>
        </w:rPr>
        <w:t xml:space="preserve"> A</w:t>
      </w:r>
      <w:r>
        <w:rPr>
          <w:rFonts w:cs="Times New Roman"/>
        </w:rPr>
        <w:t>.</w:t>
      </w:r>
      <w:r w:rsidRPr="00434C5D">
        <w:rPr>
          <w:rFonts w:cs="Times New Roman"/>
        </w:rPr>
        <w:t>, Jobe</w:t>
      </w:r>
      <w:r>
        <w:rPr>
          <w:rFonts w:cs="Times New Roman"/>
        </w:rPr>
        <w:t>,</w:t>
      </w:r>
      <w:r w:rsidRPr="00434C5D">
        <w:rPr>
          <w:rFonts w:cs="Times New Roman"/>
        </w:rPr>
        <w:t xml:space="preserve"> N</w:t>
      </w:r>
      <w:r>
        <w:rPr>
          <w:rFonts w:cs="Times New Roman"/>
        </w:rPr>
        <w:t>.</w:t>
      </w:r>
      <w:r w:rsidRPr="00434C5D">
        <w:rPr>
          <w:rFonts w:cs="Times New Roman"/>
        </w:rPr>
        <w:t>B</w:t>
      </w:r>
      <w:r>
        <w:rPr>
          <w:rFonts w:cs="Times New Roman"/>
        </w:rPr>
        <w:t>.</w:t>
      </w:r>
      <w:r w:rsidRPr="00434C5D">
        <w:rPr>
          <w:rFonts w:cs="Times New Roman"/>
        </w:rPr>
        <w:t xml:space="preserve">, </w:t>
      </w:r>
      <w:proofErr w:type="spellStart"/>
      <w:r w:rsidRPr="00434C5D">
        <w:rPr>
          <w:rFonts w:cs="Times New Roman"/>
        </w:rPr>
        <w:t>Paaijmans</w:t>
      </w:r>
      <w:proofErr w:type="spellEnd"/>
      <w:r>
        <w:rPr>
          <w:rFonts w:cs="Times New Roman"/>
        </w:rPr>
        <w:t>,</w:t>
      </w:r>
      <w:r w:rsidRPr="00434C5D">
        <w:rPr>
          <w:rFonts w:cs="Times New Roman"/>
        </w:rPr>
        <w:t xml:space="preserve"> K</w:t>
      </w:r>
      <w:r>
        <w:rPr>
          <w:rFonts w:cs="Times New Roman"/>
        </w:rPr>
        <w:t>.</w:t>
      </w:r>
      <w:r w:rsidRPr="00434C5D">
        <w:rPr>
          <w:rFonts w:cs="Times New Roman"/>
        </w:rPr>
        <w:t>P</w:t>
      </w:r>
      <w:r>
        <w:rPr>
          <w:rFonts w:cs="Times New Roman"/>
        </w:rPr>
        <w:t>.</w:t>
      </w:r>
      <w:r w:rsidRPr="00434C5D">
        <w:rPr>
          <w:rFonts w:cs="Times New Roman"/>
        </w:rPr>
        <w:t xml:space="preserve">, </w:t>
      </w:r>
      <w:r>
        <w:rPr>
          <w:rFonts w:cs="Times New Roman"/>
        </w:rPr>
        <w:t xml:space="preserve">and </w:t>
      </w:r>
      <w:r w:rsidRPr="00434C5D">
        <w:rPr>
          <w:rFonts w:cs="Times New Roman"/>
        </w:rPr>
        <w:t>Huijben</w:t>
      </w:r>
      <w:r>
        <w:rPr>
          <w:rFonts w:cs="Times New Roman"/>
        </w:rPr>
        <w:t>,</w:t>
      </w:r>
      <w:r w:rsidRPr="00434C5D">
        <w:rPr>
          <w:rFonts w:cs="Times New Roman"/>
        </w:rPr>
        <w:t xml:space="preserve"> S. (2021). The need for practical insecticide-resistance guidelines to effectively inform mosquito-borne disease control programs. </w:t>
      </w:r>
      <w:proofErr w:type="spellStart"/>
      <w:r w:rsidRPr="00434C5D">
        <w:rPr>
          <w:rFonts w:cs="Times New Roman"/>
          <w:i/>
          <w:iCs/>
        </w:rPr>
        <w:t>eLife</w:t>
      </w:r>
      <w:proofErr w:type="spellEnd"/>
      <w:r w:rsidRPr="00434C5D">
        <w:rPr>
          <w:rFonts w:cs="Times New Roman"/>
          <w:i/>
          <w:iCs/>
        </w:rPr>
        <w:t xml:space="preserve">, </w:t>
      </w:r>
      <w:proofErr w:type="gramStart"/>
      <w:r w:rsidRPr="00434C5D">
        <w:rPr>
          <w:rFonts w:cs="Times New Roman"/>
          <w:i/>
          <w:iCs/>
        </w:rPr>
        <w:t>10</w:t>
      </w:r>
      <w:r w:rsidRPr="00434C5D">
        <w:rPr>
          <w:rFonts w:cs="Times New Roman"/>
        </w:rPr>
        <w:t>:e</w:t>
      </w:r>
      <w:proofErr w:type="gramEnd"/>
      <w:r w:rsidRPr="00434C5D">
        <w:rPr>
          <w:rFonts w:cs="Times New Roman"/>
        </w:rPr>
        <w:t xml:space="preserve">65655. </w:t>
      </w:r>
      <w:hyperlink r:id="rId63" w:history="1">
        <w:r w:rsidRPr="00434C5D">
          <w:rPr>
            <w:rStyle w:val="Hyperlink"/>
            <w:rFonts w:cs="Times New Roman"/>
          </w:rPr>
          <w:t>doi.org/10.7554/eLife.65655</w:t>
        </w:r>
      </w:hyperlink>
      <w:r w:rsidRPr="00434C5D">
        <w:rPr>
          <w:rFonts w:cs="Times New Roman"/>
        </w:rPr>
        <w:t xml:space="preserve"> </w:t>
      </w:r>
    </w:p>
    <w:p w14:paraId="486F3C7B" w14:textId="77777777" w:rsidR="00C0335B" w:rsidRPr="00434C5D" w:rsidRDefault="00C0335B" w:rsidP="00C0335B">
      <w:r w:rsidRPr="00434C5D">
        <w:rPr>
          <w:rFonts w:cs="Times New Roman"/>
        </w:rPr>
        <w:t xml:space="preserve">National Academies of Sciences, Engineering, and Medicine. (2023). Role of Fungicide Use in Food Safety and Security. In Haag T, Nicholson A, Ashby E, Editors, The Role of Plant Agricultural Practices on Development of Antimicrobial Resistant Fungi Affecting Human Health: Proceedings of a Workshop Series. Washington (DC): National Academies Press (US). </w:t>
      </w:r>
      <w:hyperlink r:id="rId64" w:history="1">
        <w:r w:rsidRPr="00E460FF">
          <w:rPr>
            <w:rStyle w:val="Hyperlink"/>
            <w:rFonts w:cs="Times New Roman"/>
          </w:rPr>
          <w:t>https://www.ncbi.nlm.nih.gov/books/NBK593490/</w:t>
        </w:r>
      </w:hyperlink>
    </w:p>
    <w:p w14:paraId="6E700FA6" w14:textId="77777777" w:rsidR="00C0335B" w:rsidRPr="00434C5D" w:rsidRDefault="00C0335B" w:rsidP="00C0335B">
      <w:pPr>
        <w:rPr>
          <w:rFonts w:cs="Times New Roman"/>
          <w:color w:val="0563C1" w:themeColor="hyperlink"/>
          <w:u w:val="single"/>
        </w:rPr>
      </w:pPr>
      <w:proofErr w:type="spellStart"/>
      <w:r w:rsidRPr="00C25087">
        <w:rPr>
          <w:rStyle w:val="Hyperlink"/>
          <w:rFonts w:cs="Times New Roman"/>
        </w:rPr>
        <w:t>Oerke</w:t>
      </w:r>
      <w:proofErr w:type="spellEnd"/>
      <w:r w:rsidRPr="00C25087">
        <w:rPr>
          <w:rStyle w:val="Hyperlink"/>
          <w:rFonts w:cs="Times New Roman"/>
        </w:rPr>
        <w:t>, E.</w:t>
      </w:r>
      <w:r>
        <w:rPr>
          <w:rStyle w:val="Hyperlink"/>
          <w:rFonts w:cs="Times New Roman"/>
        </w:rPr>
        <w:t xml:space="preserve">C. (2006). </w:t>
      </w:r>
      <w:r w:rsidRPr="00C25087">
        <w:rPr>
          <w:rStyle w:val="Hyperlink"/>
          <w:rFonts w:cs="Times New Roman"/>
        </w:rPr>
        <w:t xml:space="preserve">Crop losses to pests. </w:t>
      </w:r>
      <w:r w:rsidRPr="00C25087">
        <w:rPr>
          <w:rStyle w:val="Hyperlink"/>
          <w:rFonts w:cs="Times New Roman"/>
          <w:i/>
          <w:iCs/>
        </w:rPr>
        <w:t>Journal of Agricultural Science 144</w:t>
      </w:r>
      <w:r w:rsidRPr="00C25087">
        <w:rPr>
          <w:rStyle w:val="Hyperlink"/>
          <w:rFonts w:cs="Times New Roman"/>
        </w:rPr>
        <w:t xml:space="preserve">: 31–43. </w:t>
      </w:r>
      <w:r w:rsidRPr="00434C5D">
        <w:rPr>
          <w:rStyle w:val="Hyperlink"/>
          <w:rFonts w:cs="Times New Roman"/>
        </w:rPr>
        <w:t>https://doi.org/10.1017/S0021859605005708</w:t>
      </w:r>
    </w:p>
    <w:p w14:paraId="5C1552C2" w14:textId="77777777" w:rsidR="00C0335B" w:rsidRPr="00434C5D" w:rsidRDefault="00C0335B" w:rsidP="00C0335B">
      <w:pPr>
        <w:rPr>
          <w:rFonts w:eastAsia="Times New Roman" w:cs="Times New Roman"/>
          <w:color w:val="000000"/>
        </w:rPr>
      </w:pPr>
      <w:r w:rsidRPr="00434C5D">
        <w:rPr>
          <w:rFonts w:eastAsia="Times New Roman" w:cs="Times New Roman"/>
          <w:color w:val="000000"/>
        </w:rPr>
        <w:t xml:space="preserve">Public Health Agency of Canada. (2023). Pan-Canadian Action Plan on Antimicrobial Resistance. Pub. Num.: 230659. </w:t>
      </w:r>
      <w:hyperlink r:id="rId65" w:history="1">
        <w:r w:rsidRPr="00434C5D">
          <w:rPr>
            <w:rStyle w:val="Hyperlink"/>
            <w:rFonts w:eastAsia="Times New Roman" w:cs="Times New Roman"/>
          </w:rPr>
          <w:t>https://www.canada.ca/content/dam/phac-aspc/documents/services/publications/drugs-health-products/pan-canadian-action-plan-antimicrobial-resistance/pan-canadian-action-plan-antimicrobial-resistance.pdf</w:t>
        </w:r>
      </w:hyperlink>
      <w:r w:rsidRPr="00434C5D">
        <w:rPr>
          <w:rFonts w:eastAsia="Times New Roman" w:cs="Times New Roman"/>
          <w:color w:val="000000"/>
        </w:rPr>
        <w:t xml:space="preserve"> </w:t>
      </w:r>
    </w:p>
    <w:p w14:paraId="3914B544" w14:textId="77777777" w:rsidR="00C0335B" w:rsidRPr="00434C5D" w:rsidRDefault="00C0335B" w:rsidP="00C0335B">
      <w:pPr>
        <w:rPr>
          <w:rFonts w:eastAsia="Times New Roman" w:cs="Times New Roman"/>
          <w:color w:val="000000"/>
        </w:rPr>
      </w:pPr>
      <w:r w:rsidRPr="00434C5D">
        <w:rPr>
          <w:rFonts w:eastAsia="Times New Roman" w:cs="Times New Roman"/>
          <w:color w:val="000000"/>
        </w:rPr>
        <w:t>Roger</w:t>
      </w:r>
      <w:r>
        <w:rPr>
          <w:rFonts w:eastAsia="Times New Roman" w:cs="Times New Roman"/>
          <w:color w:val="000000"/>
        </w:rPr>
        <w:t>,</w:t>
      </w:r>
      <w:r w:rsidRPr="00434C5D">
        <w:rPr>
          <w:rFonts w:eastAsia="Times New Roman" w:cs="Times New Roman"/>
          <w:color w:val="000000"/>
        </w:rPr>
        <w:t xml:space="preserve"> F., Olive</w:t>
      </w:r>
      <w:r>
        <w:rPr>
          <w:rFonts w:eastAsia="Times New Roman" w:cs="Times New Roman"/>
          <w:color w:val="000000"/>
        </w:rPr>
        <w:t>,</w:t>
      </w:r>
      <w:r w:rsidRPr="00434C5D">
        <w:rPr>
          <w:rFonts w:eastAsia="Times New Roman" w:cs="Times New Roman"/>
          <w:color w:val="000000"/>
        </w:rPr>
        <w:t xml:space="preserve"> M.M., Peyre</w:t>
      </w:r>
      <w:r>
        <w:rPr>
          <w:rFonts w:eastAsia="Times New Roman" w:cs="Times New Roman"/>
          <w:color w:val="000000"/>
        </w:rPr>
        <w:t>,</w:t>
      </w:r>
      <w:r w:rsidRPr="00434C5D">
        <w:rPr>
          <w:rFonts w:eastAsia="Times New Roman" w:cs="Times New Roman"/>
          <w:color w:val="000000"/>
        </w:rPr>
        <w:t xml:space="preserve"> M., Pfeiffer</w:t>
      </w:r>
      <w:r>
        <w:rPr>
          <w:rFonts w:eastAsia="Times New Roman" w:cs="Times New Roman"/>
          <w:color w:val="000000"/>
        </w:rPr>
        <w:t>,</w:t>
      </w:r>
      <w:r w:rsidRPr="00434C5D">
        <w:rPr>
          <w:rFonts w:eastAsia="Times New Roman" w:cs="Times New Roman"/>
          <w:color w:val="000000"/>
        </w:rPr>
        <w:t xml:space="preserve"> D., </w:t>
      </w:r>
      <w:r>
        <w:rPr>
          <w:rFonts w:eastAsia="Times New Roman" w:cs="Times New Roman"/>
          <w:color w:val="000000"/>
        </w:rPr>
        <w:t xml:space="preserve">and </w:t>
      </w:r>
      <w:proofErr w:type="spellStart"/>
      <w:r w:rsidRPr="00434C5D">
        <w:rPr>
          <w:rFonts w:eastAsia="Times New Roman" w:cs="Times New Roman"/>
          <w:color w:val="000000"/>
        </w:rPr>
        <w:t>Zinsstag</w:t>
      </w:r>
      <w:proofErr w:type="spellEnd"/>
      <w:r>
        <w:rPr>
          <w:rFonts w:eastAsia="Times New Roman" w:cs="Times New Roman"/>
          <w:color w:val="000000"/>
        </w:rPr>
        <w:t>,</w:t>
      </w:r>
      <w:r w:rsidRPr="00434C5D">
        <w:rPr>
          <w:rFonts w:eastAsia="Times New Roman" w:cs="Times New Roman"/>
          <w:color w:val="000000"/>
        </w:rPr>
        <w:t xml:space="preserve"> J., eds. (2025). One Health Atlas, </w:t>
      </w:r>
      <w:proofErr w:type="spellStart"/>
      <w:r w:rsidRPr="00434C5D">
        <w:rPr>
          <w:rFonts w:eastAsia="Times New Roman" w:cs="Times New Roman"/>
          <w:color w:val="000000"/>
        </w:rPr>
        <w:t>Quæ</w:t>
      </w:r>
      <w:proofErr w:type="spellEnd"/>
      <w:r w:rsidRPr="00434C5D">
        <w:rPr>
          <w:rFonts w:eastAsia="Times New Roman" w:cs="Times New Roman"/>
          <w:color w:val="000000"/>
        </w:rPr>
        <w:t xml:space="preserve">, CABI, 208 p. </w:t>
      </w:r>
      <w:hyperlink r:id="rId66" w:history="1">
        <w:r w:rsidRPr="00434C5D">
          <w:rPr>
            <w:rStyle w:val="Hyperlink"/>
            <w:rFonts w:eastAsia="Times New Roman" w:cs="Times New Roman"/>
          </w:rPr>
          <w:t>https://agritrop.cirad.fr/613894/1/One_Health_Atlas_ed_v1.pdf</w:t>
        </w:r>
      </w:hyperlink>
      <w:r w:rsidRPr="00434C5D">
        <w:rPr>
          <w:rFonts w:eastAsia="Times New Roman" w:cs="Times New Roman"/>
          <w:color w:val="000000"/>
        </w:rPr>
        <w:t xml:space="preserve"> </w:t>
      </w:r>
    </w:p>
    <w:p w14:paraId="6A7AD4E8" w14:textId="77777777" w:rsidR="00C0335B" w:rsidRPr="003D5397" w:rsidRDefault="00C0335B" w:rsidP="00C0335B">
      <w:pPr>
        <w:rPr>
          <w:rFonts w:eastAsia="Times New Roman" w:cs="Times New Roman"/>
          <w:color w:val="000000"/>
        </w:rPr>
      </w:pPr>
      <w:r w:rsidRPr="00002A81">
        <w:rPr>
          <w:rFonts w:eastAsia="Times New Roman" w:cs="Times New Roman"/>
          <w:color w:val="000000"/>
        </w:rPr>
        <w:t>Seibold, S., Gossner, M.M., Sim</w:t>
      </w:r>
      <w:r>
        <w:rPr>
          <w:rFonts w:eastAsia="Times New Roman" w:cs="Times New Roman"/>
          <w:color w:val="000000"/>
        </w:rPr>
        <w:t xml:space="preserve">ons, N.K., </w:t>
      </w:r>
      <w:proofErr w:type="spellStart"/>
      <w:r>
        <w:rPr>
          <w:rFonts w:eastAsia="Times New Roman" w:cs="Times New Roman"/>
          <w:color w:val="000000"/>
        </w:rPr>
        <w:t>Blüthgen</w:t>
      </w:r>
      <w:proofErr w:type="spellEnd"/>
      <w:r>
        <w:rPr>
          <w:rFonts w:eastAsia="Times New Roman" w:cs="Times New Roman"/>
          <w:color w:val="000000"/>
        </w:rPr>
        <w:t xml:space="preserve">, N. et al. (2019). Arthropod decline in grasslands and forests is associated with landscape-level drivers. </w:t>
      </w:r>
      <w:r>
        <w:rPr>
          <w:rFonts w:eastAsia="Times New Roman" w:cs="Times New Roman"/>
          <w:i/>
          <w:iCs/>
          <w:color w:val="000000"/>
        </w:rPr>
        <w:t>Nature 574</w:t>
      </w:r>
      <w:r>
        <w:rPr>
          <w:rFonts w:eastAsia="Times New Roman" w:cs="Times New Roman"/>
          <w:color w:val="000000"/>
        </w:rPr>
        <w:t xml:space="preserve">: 671-674. </w:t>
      </w:r>
      <w:hyperlink r:id="rId67" w:history="1">
        <w:r w:rsidRPr="00E460FF">
          <w:rPr>
            <w:rStyle w:val="Hyperlink"/>
            <w:rFonts w:eastAsia="Times New Roman" w:cs="Times New Roman"/>
          </w:rPr>
          <w:t>https://www.nature.com/articles/s41586-019-1684-3</w:t>
        </w:r>
      </w:hyperlink>
      <w:r>
        <w:rPr>
          <w:rFonts w:eastAsia="Times New Roman" w:cs="Times New Roman"/>
          <w:color w:val="000000"/>
        </w:rPr>
        <w:t xml:space="preserve"> </w:t>
      </w:r>
    </w:p>
    <w:p w14:paraId="0546B502" w14:textId="77777777" w:rsidR="00C0335B" w:rsidRPr="00434C5D" w:rsidRDefault="00C0335B" w:rsidP="00C0335B">
      <w:pPr>
        <w:rPr>
          <w:rFonts w:eastAsia="Times New Roman" w:cs="Times New Roman"/>
          <w:color w:val="000000"/>
        </w:rPr>
      </w:pPr>
      <w:proofErr w:type="spellStart"/>
      <w:r w:rsidRPr="00434C5D">
        <w:rPr>
          <w:rFonts w:eastAsia="Times New Roman" w:cs="Times New Roman"/>
          <w:color w:val="000000"/>
        </w:rPr>
        <w:t>Scholthof</w:t>
      </w:r>
      <w:proofErr w:type="spellEnd"/>
      <w:r>
        <w:rPr>
          <w:rFonts w:eastAsia="Times New Roman" w:cs="Times New Roman"/>
          <w:color w:val="000000"/>
        </w:rPr>
        <w:t>,</w:t>
      </w:r>
      <w:r w:rsidRPr="00434C5D">
        <w:rPr>
          <w:rFonts w:eastAsia="Times New Roman" w:cs="Times New Roman"/>
          <w:color w:val="000000"/>
        </w:rPr>
        <w:t xml:space="preserve"> K.G. (2024). The Greening of One Health: Plants, Pathogens, and the Environment. </w:t>
      </w:r>
      <w:r w:rsidRPr="00434C5D">
        <w:rPr>
          <w:rFonts w:eastAsia="Times New Roman" w:cs="Times New Roman"/>
          <w:i/>
          <w:iCs/>
          <w:color w:val="000000"/>
        </w:rPr>
        <w:t xml:space="preserve">Annu Rev </w:t>
      </w:r>
      <w:proofErr w:type="spellStart"/>
      <w:r w:rsidRPr="00434C5D">
        <w:rPr>
          <w:rFonts w:eastAsia="Times New Roman" w:cs="Times New Roman"/>
          <w:i/>
          <w:iCs/>
          <w:color w:val="000000"/>
        </w:rPr>
        <w:t>Phytopathol</w:t>
      </w:r>
      <w:proofErr w:type="spellEnd"/>
      <w:r w:rsidRPr="00434C5D">
        <w:rPr>
          <w:rFonts w:eastAsia="Times New Roman" w:cs="Times New Roman"/>
          <w:i/>
          <w:iCs/>
          <w:color w:val="000000"/>
        </w:rPr>
        <w:t>.</w:t>
      </w:r>
      <w:r w:rsidRPr="00434C5D">
        <w:rPr>
          <w:rFonts w:eastAsia="Times New Roman" w:cs="Times New Roman"/>
          <w:color w:val="000000"/>
        </w:rPr>
        <w:t xml:space="preserve"> </w:t>
      </w:r>
      <w:r w:rsidRPr="00434C5D">
        <w:rPr>
          <w:rFonts w:eastAsia="Times New Roman" w:cs="Times New Roman"/>
          <w:i/>
          <w:iCs/>
          <w:color w:val="000000"/>
        </w:rPr>
        <w:t>62</w:t>
      </w:r>
      <w:r w:rsidRPr="00434C5D">
        <w:rPr>
          <w:rFonts w:eastAsia="Times New Roman" w:cs="Times New Roman"/>
          <w:color w:val="000000"/>
        </w:rPr>
        <w:t xml:space="preserve">(1):401-421. </w:t>
      </w:r>
      <w:hyperlink r:id="rId68" w:history="1">
        <w:r w:rsidRPr="00E460FF">
          <w:rPr>
            <w:rStyle w:val="Hyperlink"/>
            <w:rFonts w:eastAsia="Times New Roman" w:cs="Times New Roman"/>
          </w:rPr>
          <w:t>https://www.annualreviews.org/docserver/fulltext/phyto/62/1/annurev-phyto-121423-042102.pdf?expires=1756502026&amp;id=id&amp;accname=ar-365610&amp;checksum=8CF339E63FFBBD2FDAA8CFA210A865A7</w:t>
        </w:r>
      </w:hyperlink>
      <w:r w:rsidRPr="00434C5D">
        <w:rPr>
          <w:rFonts w:eastAsia="Times New Roman" w:cs="Times New Roman"/>
          <w:color w:val="000000"/>
        </w:rPr>
        <w:t xml:space="preserve"> </w:t>
      </w:r>
    </w:p>
    <w:p w14:paraId="049AB059" w14:textId="77777777" w:rsidR="00C0335B" w:rsidRPr="00F53CE6" w:rsidRDefault="00C0335B" w:rsidP="00C0335B">
      <w:pPr>
        <w:rPr>
          <w:rFonts w:eastAsia="Times New Roman" w:cs="Times New Roman"/>
          <w:color w:val="000000"/>
        </w:rPr>
      </w:pPr>
      <w:r w:rsidRPr="00434C5D">
        <w:rPr>
          <w:rFonts w:eastAsia="Times New Roman" w:cs="Times New Roman"/>
          <w:color w:val="000000"/>
        </w:rPr>
        <w:t>Stenberg. (2017).</w:t>
      </w:r>
      <w:r>
        <w:rPr>
          <w:rFonts w:eastAsia="Times New Roman" w:cs="Times New Roman"/>
          <w:color w:val="000000"/>
        </w:rPr>
        <w:t xml:space="preserve"> A conceptual framework for integrated pest management. </w:t>
      </w:r>
      <w:r>
        <w:rPr>
          <w:rFonts w:eastAsia="Times New Roman" w:cs="Times New Roman"/>
          <w:i/>
          <w:iCs/>
          <w:color w:val="000000"/>
        </w:rPr>
        <w:t>Trends in Plant Science 22</w:t>
      </w:r>
      <w:r>
        <w:rPr>
          <w:rFonts w:eastAsia="Times New Roman" w:cs="Times New Roman"/>
          <w:color w:val="000000"/>
        </w:rPr>
        <w:t xml:space="preserve">(9): 759-769. </w:t>
      </w:r>
      <w:hyperlink r:id="rId69" w:history="1">
        <w:r w:rsidRPr="00E460FF">
          <w:rPr>
            <w:rStyle w:val="Hyperlink"/>
            <w:rFonts w:eastAsia="Times New Roman" w:cs="Times New Roman"/>
          </w:rPr>
          <w:t>https://doi.org/10.1016/j.tplants.2017.06.010</w:t>
        </w:r>
      </w:hyperlink>
      <w:r>
        <w:rPr>
          <w:rFonts w:eastAsia="Times New Roman" w:cs="Times New Roman"/>
          <w:color w:val="000000"/>
        </w:rPr>
        <w:t xml:space="preserve"> </w:t>
      </w:r>
    </w:p>
    <w:p w14:paraId="3D6BF6A9" w14:textId="77777777" w:rsidR="00C0335B" w:rsidRPr="00434C5D" w:rsidRDefault="00C0335B" w:rsidP="00C0335B">
      <w:pPr>
        <w:rPr>
          <w:rFonts w:eastAsia="Times New Roman" w:cs="Times New Roman"/>
          <w:color w:val="000000"/>
        </w:rPr>
      </w:pPr>
      <w:proofErr w:type="spellStart"/>
      <w:r w:rsidRPr="00434C5D">
        <w:rPr>
          <w:rFonts w:eastAsia="Times New Roman" w:cs="Times New Roman"/>
          <w:color w:val="000000"/>
        </w:rPr>
        <w:t>Thiengo</w:t>
      </w:r>
      <w:proofErr w:type="spellEnd"/>
      <w:r w:rsidRPr="00434C5D">
        <w:rPr>
          <w:rFonts w:eastAsia="Times New Roman" w:cs="Times New Roman"/>
          <w:color w:val="000000"/>
        </w:rPr>
        <w:t xml:space="preserve">, S.C., Faraco, F.A., Salgado, N.C., Cowie, R.H., and Fernandez, M.A. (2007). Rapid spread of an invasive snail in South America: the giant African snail, </w:t>
      </w:r>
      <w:r w:rsidRPr="00434C5D">
        <w:rPr>
          <w:rFonts w:eastAsia="Times New Roman" w:cs="Times New Roman"/>
          <w:i/>
          <w:iCs/>
          <w:color w:val="000000"/>
        </w:rPr>
        <w:t>Achatina fulica</w:t>
      </w:r>
      <w:r w:rsidRPr="00434C5D">
        <w:rPr>
          <w:rFonts w:eastAsia="Times New Roman" w:cs="Times New Roman"/>
          <w:color w:val="000000"/>
        </w:rPr>
        <w:t xml:space="preserve">, in </w:t>
      </w:r>
      <w:proofErr w:type="spellStart"/>
      <w:r w:rsidRPr="00434C5D">
        <w:rPr>
          <w:rFonts w:eastAsia="Times New Roman" w:cs="Times New Roman"/>
          <w:color w:val="000000"/>
        </w:rPr>
        <w:t>Brasil</w:t>
      </w:r>
      <w:proofErr w:type="spellEnd"/>
      <w:r w:rsidRPr="00434C5D">
        <w:rPr>
          <w:rFonts w:eastAsia="Times New Roman" w:cs="Times New Roman"/>
          <w:color w:val="000000"/>
        </w:rPr>
        <w:t xml:space="preserve">. </w:t>
      </w:r>
      <w:r w:rsidRPr="00434C5D">
        <w:rPr>
          <w:rFonts w:eastAsia="Times New Roman" w:cs="Times New Roman"/>
          <w:i/>
          <w:iCs/>
          <w:color w:val="000000"/>
        </w:rPr>
        <w:t>Biological Invasions 9</w:t>
      </w:r>
      <w:r w:rsidRPr="00434C5D">
        <w:rPr>
          <w:rFonts w:eastAsia="Times New Roman" w:cs="Times New Roman"/>
          <w:color w:val="000000"/>
        </w:rPr>
        <w:t xml:space="preserve">: 693-702. </w:t>
      </w:r>
      <w:hyperlink r:id="rId70" w:history="1">
        <w:r w:rsidRPr="00434C5D">
          <w:rPr>
            <w:rStyle w:val="Hyperlink"/>
            <w:rFonts w:eastAsia="Times New Roman" w:cs="Times New Roman"/>
          </w:rPr>
          <w:t>https://doi.org/10.1007/s10530-006-9069-6</w:t>
        </w:r>
      </w:hyperlink>
      <w:r w:rsidRPr="00434C5D">
        <w:rPr>
          <w:rFonts w:eastAsia="Times New Roman" w:cs="Times New Roman"/>
          <w:color w:val="000000"/>
        </w:rPr>
        <w:t xml:space="preserve"> </w:t>
      </w:r>
    </w:p>
    <w:p w14:paraId="71E2914D" w14:textId="77777777" w:rsidR="00C0335B" w:rsidRPr="00656A4D" w:rsidRDefault="00C0335B" w:rsidP="00C0335B">
      <w:pPr>
        <w:rPr>
          <w:rFonts w:eastAsia="Times New Roman" w:cs="Times New Roman"/>
          <w:color w:val="000000"/>
        </w:rPr>
      </w:pPr>
      <w:r>
        <w:rPr>
          <w:rFonts w:eastAsia="Times New Roman" w:cs="Times New Roman"/>
          <w:color w:val="000000"/>
        </w:rPr>
        <w:t>v</w:t>
      </w:r>
      <w:r w:rsidRPr="00434C5D">
        <w:rPr>
          <w:rFonts w:eastAsia="Times New Roman" w:cs="Times New Roman"/>
          <w:color w:val="000000"/>
        </w:rPr>
        <w:t xml:space="preserve">an </w:t>
      </w:r>
      <w:proofErr w:type="spellStart"/>
      <w:r w:rsidRPr="00434C5D">
        <w:rPr>
          <w:rFonts w:eastAsia="Times New Roman" w:cs="Times New Roman"/>
          <w:color w:val="000000"/>
        </w:rPr>
        <w:t>Lenteren</w:t>
      </w:r>
      <w:proofErr w:type="spellEnd"/>
      <w:r>
        <w:rPr>
          <w:rFonts w:eastAsia="Times New Roman" w:cs="Times New Roman"/>
          <w:color w:val="000000"/>
        </w:rPr>
        <w:t xml:space="preserve">, J., </w:t>
      </w:r>
      <w:proofErr w:type="spellStart"/>
      <w:r>
        <w:rPr>
          <w:rFonts w:eastAsia="Times New Roman" w:cs="Times New Roman"/>
          <w:color w:val="000000"/>
        </w:rPr>
        <w:t>Bolckmans</w:t>
      </w:r>
      <w:proofErr w:type="spellEnd"/>
      <w:r>
        <w:rPr>
          <w:rFonts w:eastAsia="Times New Roman" w:cs="Times New Roman"/>
          <w:color w:val="000000"/>
        </w:rPr>
        <w:t>, K., Ravensberg, W. and Urbaneja, A</w:t>
      </w:r>
      <w:r w:rsidRPr="00434C5D">
        <w:rPr>
          <w:rFonts w:eastAsia="Times New Roman" w:cs="Times New Roman"/>
          <w:color w:val="000000"/>
        </w:rPr>
        <w:t>. (2018)</w:t>
      </w:r>
      <w:r>
        <w:rPr>
          <w:rFonts w:eastAsia="Times New Roman" w:cs="Times New Roman"/>
          <w:color w:val="000000"/>
        </w:rPr>
        <w:t xml:space="preserve">. Biological control using invertebrates and microorganisms: Plenty of new opportunities. </w:t>
      </w:r>
      <w:proofErr w:type="spellStart"/>
      <w:r>
        <w:rPr>
          <w:rFonts w:eastAsia="Times New Roman" w:cs="Times New Roman"/>
          <w:i/>
          <w:iCs/>
          <w:color w:val="000000"/>
        </w:rPr>
        <w:t>BioControl</w:t>
      </w:r>
      <w:proofErr w:type="spellEnd"/>
      <w:r>
        <w:rPr>
          <w:rFonts w:eastAsia="Times New Roman" w:cs="Times New Roman"/>
          <w:i/>
          <w:iCs/>
          <w:color w:val="000000"/>
        </w:rPr>
        <w:t xml:space="preserve"> 63</w:t>
      </w:r>
      <w:r>
        <w:rPr>
          <w:rFonts w:eastAsia="Times New Roman" w:cs="Times New Roman"/>
          <w:color w:val="000000"/>
        </w:rPr>
        <w:t xml:space="preserve">(1): 39-59. </w:t>
      </w:r>
      <w:hyperlink r:id="rId71" w:history="1">
        <w:r w:rsidRPr="00E460FF">
          <w:rPr>
            <w:rStyle w:val="Hyperlink"/>
            <w:rFonts w:eastAsia="Times New Roman" w:cs="Times New Roman"/>
          </w:rPr>
          <w:t>https://dx.doi.org/10.1007/s10526-017-9801-4</w:t>
        </w:r>
      </w:hyperlink>
      <w:r>
        <w:rPr>
          <w:rFonts w:eastAsia="Times New Roman" w:cs="Times New Roman"/>
          <w:color w:val="000000"/>
        </w:rPr>
        <w:t xml:space="preserve"> </w:t>
      </w:r>
    </w:p>
    <w:p w14:paraId="1BED23FF" w14:textId="77777777" w:rsidR="00C0335B" w:rsidRPr="00434C5D" w:rsidRDefault="00C0335B" w:rsidP="00C0335B">
      <w:pPr>
        <w:rPr>
          <w:rFonts w:eastAsia="Times New Roman" w:cs="Times New Roman"/>
          <w:color w:val="000000"/>
        </w:rPr>
      </w:pPr>
      <w:r w:rsidRPr="00434C5D">
        <w:rPr>
          <w:rFonts w:eastAsia="Times New Roman" w:cs="Times New Roman"/>
          <w:color w:val="000000"/>
        </w:rPr>
        <w:t>Verhaegen</w:t>
      </w:r>
      <w:r>
        <w:rPr>
          <w:rFonts w:eastAsia="Times New Roman" w:cs="Times New Roman"/>
          <w:color w:val="000000"/>
        </w:rPr>
        <w:t>,</w:t>
      </w:r>
      <w:r w:rsidRPr="00434C5D">
        <w:rPr>
          <w:rFonts w:eastAsia="Times New Roman" w:cs="Times New Roman"/>
          <w:color w:val="000000"/>
        </w:rPr>
        <w:t xml:space="preserve"> M</w:t>
      </w:r>
      <w:r>
        <w:rPr>
          <w:rFonts w:eastAsia="Times New Roman" w:cs="Times New Roman"/>
          <w:color w:val="000000"/>
        </w:rPr>
        <w:t>.</w:t>
      </w:r>
      <w:r w:rsidRPr="00434C5D">
        <w:rPr>
          <w:rFonts w:eastAsia="Times New Roman" w:cs="Times New Roman"/>
          <w:color w:val="000000"/>
        </w:rPr>
        <w:t xml:space="preserve">, </w:t>
      </w:r>
      <w:proofErr w:type="spellStart"/>
      <w:r w:rsidRPr="00434C5D">
        <w:rPr>
          <w:rFonts w:eastAsia="Times New Roman" w:cs="Times New Roman"/>
          <w:color w:val="000000"/>
        </w:rPr>
        <w:t>Bergot</w:t>
      </w:r>
      <w:proofErr w:type="spellEnd"/>
      <w:r>
        <w:rPr>
          <w:rFonts w:eastAsia="Times New Roman" w:cs="Times New Roman"/>
          <w:color w:val="000000"/>
        </w:rPr>
        <w:t>,</w:t>
      </w:r>
      <w:r w:rsidRPr="00434C5D">
        <w:rPr>
          <w:rFonts w:eastAsia="Times New Roman" w:cs="Times New Roman"/>
          <w:color w:val="000000"/>
        </w:rPr>
        <w:t xml:space="preserve"> T</w:t>
      </w:r>
      <w:r>
        <w:rPr>
          <w:rFonts w:eastAsia="Times New Roman" w:cs="Times New Roman"/>
          <w:color w:val="000000"/>
        </w:rPr>
        <w:t>.</w:t>
      </w:r>
      <w:r w:rsidRPr="00434C5D">
        <w:rPr>
          <w:rFonts w:eastAsia="Times New Roman" w:cs="Times New Roman"/>
          <w:color w:val="000000"/>
        </w:rPr>
        <w:t xml:space="preserve">, </w:t>
      </w:r>
      <w:proofErr w:type="spellStart"/>
      <w:r w:rsidRPr="00434C5D">
        <w:rPr>
          <w:rFonts w:eastAsia="Times New Roman" w:cs="Times New Roman"/>
          <w:color w:val="000000"/>
        </w:rPr>
        <w:t>Liebana</w:t>
      </w:r>
      <w:proofErr w:type="spellEnd"/>
      <w:r>
        <w:rPr>
          <w:rFonts w:eastAsia="Times New Roman" w:cs="Times New Roman"/>
          <w:color w:val="000000"/>
        </w:rPr>
        <w:t>,</w:t>
      </w:r>
      <w:r w:rsidRPr="00434C5D">
        <w:rPr>
          <w:rFonts w:eastAsia="Times New Roman" w:cs="Times New Roman"/>
          <w:color w:val="000000"/>
        </w:rPr>
        <w:t xml:space="preserve"> E</w:t>
      </w:r>
      <w:r>
        <w:rPr>
          <w:rFonts w:eastAsia="Times New Roman" w:cs="Times New Roman"/>
          <w:color w:val="000000"/>
        </w:rPr>
        <w:t>.</w:t>
      </w:r>
      <w:r w:rsidRPr="00434C5D">
        <w:rPr>
          <w:rFonts w:eastAsia="Times New Roman" w:cs="Times New Roman"/>
          <w:color w:val="000000"/>
        </w:rPr>
        <w:t xml:space="preserve">, </w:t>
      </w:r>
      <w:proofErr w:type="spellStart"/>
      <w:r w:rsidRPr="00434C5D">
        <w:rPr>
          <w:rFonts w:eastAsia="Times New Roman" w:cs="Times New Roman"/>
          <w:color w:val="000000"/>
        </w:rPr>
        <w:t>Stancanelli</w:t>
      </w:r>
      <w:proofErr w:type="spellEnd"/>
      <w:r>
        <w:rPr>
          <w:rFonts w:eastAsia="Times New Roman" w:cs="Times New Roman"/>
          <w:color w:val="000000"/>
        </w:rPr>
        <w:t>,</w:t>
      </w:r>
      <w:r w:rsidRPr="00434C5D">
        <w:rPr>
          <w:rFonts w:eastAsia="Times New Roman" w:cs="Times New Roman"/>
          <w:color w:val="000000"/>
        </w:rPr>
        <w:t xml:space="preserve"> G</w:t>
      </w:r>
      <w:r>
        <w:rPr>
          <w:rFonts w:eastAsia="Times New Roman" w:cs="Times New Roman"/>
          <w:color w:val="000000"/>
        </w:rPr>
        <w:t>.</w:t>
      </w:r>
      <w:r w:rsidRPr="00434C5D">
        <w:rPr>
          <w:rFonts w:eastAsia="Times New Roman" w:cs="Times New Roman"/>
          <w:color w:val="000000"/>
        </w:rPr>
        <w:t xml:space="preserve">, </w:t>
      </w:r>
      <w:proofErr w:type="spellStart"/>
      <w:r w:rsidRPr="00434C5D">
        <w:rPr>
          <w:rFonts w:eastAsia="Times New Roman" w:cs="Times New Roman"/>
          <w:color w:val="000000"/>
        </w:rPr>
        <w:t>Streissl</w:t>
      </w:r>
      <w:proofErr w:type="spellEnd"/>
      <w:r>
        <w:rPr>
          <w:rFonts w:eastAsia="Times New Roman" w:cs="Times New Roman"/>
          <w:color w:val="000000"/>
        </w:rPr>
        <w:t>,</w:t>
      </w:r>
      <w:r w:rsidRPr="00434C5D">
        <w:rPr>
          <w:rFonts w:eastAsia="Times New Roman" w:cs="Times New Roman"/>
          <w:color w:val="000000"/>
        </w:rPr>
        <w:t xml:space="preserve"> F</w:t>
      </w:r>
      <w:r>
        <w:rPr>
          <w:rFonts w:eastAsia="Times New Roman" w:cs="Times New Roman"/>
          <w:color w:val="000000"/>
        </w:rPr>
        <w:t>.</w:t>
      </w:r>
      <w:r w:rsidRPr="00434C5D">
        <w:rPr>
          <w:rFonts w:eastAsia="Times New Roman" w:cs="Times New Roman"/>
          <w:color w:val="000000"/>
        </w:rPr>
        <w:t xml:space="preserve">, </w:t>
      </w:r>
      <w:proofErr w:type="spellStart"/>
      <w:r w:rsidRPr="00434C5D">
        <w:rPr>
          <w:rFonts w:eastAsia="Times New Roman" w:cs="Times New Roman"/>
          <w:color w:val="000000"/>
        </w:rPr>
        <w:t>Mingeot</w:t>
      </w:r>
      <w:proofErr w:type="spellEnd"/>
      <w:r w:rsidRPr="00434C5D">
        <w:rPr>
          <w:rFonts w:eastAsia="Times New Roman" w:cs="Times New Roman"/>
          <w:color w:val="000000"/>
        </w:rPr>
        <w:t>-Leclercq</w:t>
      </w:r>
      <w:r>
        <w:rPr>
          <w:rFonts w:eastAsia="Times New Roman" w:cs="Times New Roman"/>
          <w:color w:val="000000"/>
        </w:rPr>
        <w:t>,</w:t>
      </w:r>
      <w:r w:rsidRPr="00434C5D">
        <w:rPr>
          <w:rFonts w:eastAsia="Times New Roman" w:cs="Times New Roman"/>
          <w:color w:val="000000"/>
        </w:rPr>
        <w:t xml:space="preserve"> M</w:t>
      </w:r>
      <w:r>
        <w:rPr>
          <w:rFonts w:eastAsia="Times New Roman" w:cs="Times New Roman"/>
          <w:color w:val="000000"/>
        </w:rPr>
        <w:t>.</w:t>
      </w:r>
      <w:r w:rsidRPr="00434C5D">
        <w:rPr>
          <w:rFonts w:eastAsia="Times New Roman" w:cs="Times New Roman"/>
          <w:color w:val="000000"/>
        </w:rPr>
        <w:t>P</w:t>
      </w:r>
      <w:r>
        <w:rPr>
          <w:rFonts w:eastAsia="Times New Roman" w:cs="Times New Roman"/>
          <w:color w:val="000000"/>
        </w:rPr>
        <w:t>.</w:t>
      </w:r>
      <w:r w:rsidRPr="00434C5D">
        <w:rPr>
          <w:rFonts w:eastAsia="Times New Roman" w:cs="Times New Roman"/>
          <w:color w:val="000000"/>
        </w:rPr>
        <w:t>, Mahillon</w:t>
      </w:r>
      <w:r>
        <w:rPr>
          <w:rFonts w:eastAsia="Times New Roman" w:cs="Times New Roman"/>
          <w:color w:val="000000"/>
        </w:rPr>
        <w:t>,</w:t>
      </w:r>
      <w:r w:rsidRPr="00434C5D">
        <w:rPr>
          <w:rFonts w:eastAsia="Times New Roman" w:cs="Times New Roman"/>
          <w:color w:val="000000"/>
        </w:rPr>
        <w:t xml:space="preserve"> J</w:t>
      </w:r>
      <w:r>
        <w:rPr>
          <w:rFonts w:eastAsia="Times New Roman" w:cs="Times New Roman"/>
          <w:color w:val="000000"/>
        </w:rPr>
        <w:t>.</w:t>
      </w:r>
      <w:r w:rsidRPr="00434C5D">
        <w:rPr>
          <w:rFonts w:eastAsia="Times New Roman" w:cs="Times New Roman"/>
          <w:color w:val="000000"/>
        </w:rPr>
        <w:t xml:space="preserve"> and Bragard</w:t>
      </w:r>
      <w:r>
        <w:rPr>
          <w:rFonts w:eastAsia="Times New Roman" w:cs="Times New Roman"/>
          <w:color w:val="000000"/>
        </w:rPr>
        <w:t>,</w:t>
      </w:r>
      <w:r w:rsidRPr="00434C5D">
        <w:rPr>
          <w:rFonts w:eastAsia="Times New Roman" w:cs="Times New Roman"/>
          <w:color w:val="000000"/>
        </w:rPr>
        <w:t xml:space="preserve"> C. (2023). On the use of antibiotics to control plant pathogenic bacteria: a genetic and genomic perspective. </w:t>
      </w:r>
      <w:r w:rsidRPr="00434C5D">
        <w:rPr>
          <w:rFonts w:eastAsia="Times New Roman" w:cs="Times New Roman"/>
          <w:i/>
          <w:iCs/>
          <w:color w:val="000000"/>
        </w:rPr>
        <w:t xml:space="preserve">Front. </w:t>
      </w:r>
      <w:proofErr w:type="spellStart"/>
      <w:r w:rsidRPr="00434C5D">
        <w:rPr>
          <w:rFonts w:eastAsia="Times New Roman" w:cs="Times New Roman"/>
          <w:i/>
          <w:iCs/>
          <w:color w:val="000000"/>
        </w:rPr>
        <w:t>Microbiol</w:t>
      </w:r>
      <w:proofErr w:type="spellEnd"/>
      <w:r w:rsidRPr="00434C5D">
        <w:rPr>
          <w:rFonts w:eastAsia="Times New Roman" w:cs="Times New Roman"/>
          <w:color w:val="000000"/>
        </w:rPr>
        <w:t xml:space="preserve">. </w:t>
      </w:r>
      <w:r w:rsidRPr="00CC2A8A">
        <w:rPr>
          <w:rFonts w:eastAsia="Times New Roman" w:cs="Times New Roman"/>
          <w:color w:val="000000"/>
        </w:rPr>
        <w:t>14</w:t>
      </w:r>
      <w:r w:rsidRPr="00434C5D">
        <w:rPr>
          <w:rFonts w:eastAsia="Times New Roman" w:cs="Times New Roman"/>
          <w:color w:val="000000"/>
        </w:rPr>
        <w:t>:</w:t>
      </w:r>
      <w:r>
        <w:rPr>
          <w:rFonts w:eastAsia="Times New Roman" w:cs="Times New Roman"/>
          <w:color w:val="000000"/>
        </w:rPr>
        <w:t xml:space="preserve"> </w:t>
      </w:r>
      <w:r w:rsidRPr="00434C5D">
        <w:rPr>
          <w:rFonts w:eastAsia="Times New Roman" w:cs="Times New Roman"/>
          <w:color w:val="000000"/>
        </w:rPr>
        <w:t xml:space="preserve">1221478. </w:t>
      </w:r>
      <w:hyperlink r:id="rId72" w:history="1">
        <w:r w:rsidRPr="00E460FF">
          <w:rPr>
            <w:rStyle w:val="Hyperlink"/>
            <w:rFonts w:eastAsia="Times New Roman" w:cs="Times New Roman"/>
          </w:rPr>
          <w:t>https://doi.org/10.3389/fmicb.2023.1221478</w:t>
        </w:r>
      </w:hyperlink>
      <w:r>
        <w:rPr>
          <w:rFonts w:eastAsia="Times New Roman" w:cs="Times New Roman"/>
          <w:color w:val="000000"/>
        </w:rPr>
        <w:t xml:space="preserve"> </w:t>
      </w:r>
    </w:p>
    <w:p w14:paraId="738AAC33" w14:textId="77777777" w:rsidR="00C0335B" w:rsidRPr="00434C5D" w:rsidRDefault="00C0335B" w:rsidP="00C0335B">
      <w:pPr>
        <w:rPr>
          <w:rFonts w:eastAsia="Times New Roman" w:cs="Times New Roman"/>
          <w:color w:val="000000"/>
        </w:rPr>
      </w:pPr>
      <w:r w:rsidRPr="00434C5D">
        <w:rPr>
          <w:rFonts w:eastAsia="Times New Roman" w:cs="Times New Roman"/>
          <w:color w:val="000000"/>
        </w:rPr>
        <w:t>Wandersee, J. H., &amp; Schussler, E. E. (1999). Preventing Plant Blindness. </w:t>
      </w:r>
      <w:r w:rsidRPr="00434C5D">
        <w:rPr>
          <w:rFonts w:eastAsia="Times New Roman" w:cs="Times New Roman"/>
          <w:i/>
          <w:iCs/>
          <w:color w:val="000000"/>
        </w:rPr>
        <w:t>The American Biology Teacher</w:t>
      </w:r>
      <w:r w:rsidRPr="00434C5D">
        <w:rPr>
          <w:rFonts w:eastAsia="Times New Roman" w:cs="Times New Roman"/>
          <w:color w:val="000000"/>
        </w:rPr>
        <w:t> </w:t>
      </w:r>
      <w:r w:rsidRPr="00434C5D">
        <w:rPr>
          <w:rFonts w:eastAsia="Times New Roman" w:cs="Times New Roman"/>
          <w:i/>
          <w:iCs/>
          <w:color w:val="000000"/>
        </w:rPr>
        <w:t>61</w:t>
      </w:r>
      <w:r w:rsidRPr="00434C5D">
        <w:rPr>
          <w:rFonts w:eastAsia="Times New Roman" w:cs="Times New Roman"/>
          <w:color w:val="000000"/>
        </w:rPr>
        <w:t>(2)</w:t>
      </w:r>
      <w:r>
        <w:rPr>
          <w:rFonts w:eastAsia="Times New Roman" w:cs="Times New Roman"/>
          <w:color w:val="000000"/>
        </w:rPr>
        <w:t>:</w:t>
      </w:r>
      <w:r w:rsidRPr="00434C5D">
        <w:rPr>
          <w:rFonts w:eastAsia="Times New Roman" w:cs="Times New Roman"/>
          <w:color w:val="000000"/>
        </w:rPr>
        <w:t xml:space="preserve"> 82–86. </w:t>
      </w:r>
      <w:hyperlink r:id="rId73" w:history="1">
        <w:r w:rsidRPr="00434C5D">
          <w:rPr>
            <w:rStyle w:val="Hyperlink"/>
            <w:rFonts w:eastAsia="Times New Roman" w:cs="Times New Roman"/>
          </w:rPr>
          <w:t>https://doi.org/10.2307/4450624</w:t>
        </w:r>
      </w:hyperlink>
    </w:p>
    <w:p w14:paraId="29FD1412" w14:textId="77777777" w:rsidR="00C0335B" w:rsidRPr="00434C5D" w:rsidRDefault="00C0335B" w:rsidP="00C0335B">
      <w:pPr>
        <w:shd w:val="clear" w:color="auto" w:fill="FFFFFF" w:themeFill="background1"/>
        <w:rPr>
          <w:rFonts w:eastAsia="Arial" w:cs="Times New Roman"/>
          <w:color w:val="222222"/>
        </w:rPr>
      </w:pPr>
      <w:r w:rsidRPr="00434C5D">
        <w:rPr>
          <w:rFonts w:eastAsia="Arial" w:cs="Times New Roman"/>
          <w:color w:val="222222"/>
        </w:rPr>
        <w:t xml:space="preserve">WHO, FAO, UNEP, and WOAH. (2023). A one health priority research agenda for antimicrobial resistance. Geneva: World Health Organization, Food and Agriculture Organization of the United Nations, United Nations Environment Programme and World Organisation for Animal Health. </w:t>
      </w:r>
      <w:hyperlink r:id="rId74" w:history="1">
        <w:r w:rsidRPr="00434C5D">
          <w:rPr>
            <w:rStyle w:val="Hyperlink"/>
            <w:rFonts w:cs="Times New Roman"/>
          </w:rPr>
          <w:t>https://www.woah.org/app/uploads/2023/06/one-health-amr-research-prioritisation-launch-v7-2.pdf</w:t>
        </w:r>
      </w:hyperlink>
    </w:p>
    <w:p w14:paraId="6CF7AD9C" w14:textId="77777777" w:rsidR="00C0335B" w:rsidRPr="00434C5D" w:rsidRDefault="00C0335B" w:rsidP="00C0335B">
      <w:pPr>
        <w:shd w:val="clear" w:color="auto" w:fill="FFFFFF" w:themeFill="background1"/>
        <w:spacing w:before="240"/>
        <w:rPr>
          <w:rFonts w:eastAsia="Arial" w:cs="Times New Roman"/>
          <w:color w:val="222222"/>
        </w:rPr>
      </w:pPr>
      <w:r w:rsidRPr="00434C5D">
        <w:rPr>
          <w:rFonts w:eastAsia="Arial" w:cs="Times New Roman"/>
          <w:color w:val="222222"/>
        </w:rPr>
        <w:lastRenderedPageBreak/>
        <w:t xml:space="preserve">Wild, C.P., &amp; Gong, Y.Y. (2010). Mycotoxins and human disease: a largely ignored global health issue. </w:t>
      </w:r>
      <w:r w:rsidRPr="00434C5D">
        <w:rPr>
          <w:rFonts w:eastAsia="Arial" w:cs="Times New Roman"/>
          <w:i/>
          <w:iCs/>
          <w:color w:val="222222"/>
        </w:rPr>
        <w:t>Carcinogenesis</w:t>
      </w:r>
      <w:r w:rsidRPr="00434C5D">
        <w:rPr>
          <w:rFonts w:eastAsia="Arial" w:cs="Times New Roman"/>
          <w:color w:val="222222"/>
        </w:rPr>
        <w:t xml:space="preserve"> 31(1)</w:t>
      </w:r>
      <w:r>
        <w:rPr>
          <w:rFonts w:eastAsia="Arial" w:cs="Times New Roman"/>
          <w:color w:val="222222"/>
        </w:rPr>
        <w:t>:</w:t>
      </w:r>
      <w:r w:rsidRPr="00434C5D">
        <w:rPr>
          <w:rFonts w:eastAsia="Arial" w:cs="Times New Roman"/>
          <w:color w:val="222222"/>
        </w:rPr>
        <w:t xml:space="preserve"> 71–82.</w:t>
      </w:r>
    </w:p>
    <w:p w14:paraId="74CC26EA" w14:textId="77777777" w:rsidR="00C0335B" w:rsidRPr="00434C5D" w:rsidRDefault="00C0335B" w:rsidP="00C0335B">
      <w:pPr>
        <w:spacing w:before="240"/>
        <w:rPr>
          <w:rFonts w:eastAsia="Times New Roman" w:cs="Times New Roman"/>
          <w:color w:val="000000"/>
        </w:rPr>
      </w:pPr>
      <w:r>
        <w:rPr>
          <w:rFonts w:eastAsia="Times New Roman" w:cs="Times New Roman"/>
          <w:color w:val="000000"/>
        </w:rPr>
        <w:t>WHO</w:t>
      </w:r>
      <w:r w:rsidRPr="00434C5D">
        <w:rPr>
          <w:rFonts w:eastAsia="Times New Roman" w:cs="Times New Roman"/>
          <w:color w:val="000000"/>
        </w:rPr>
        <w:t xml:space="preserve">. (2022). WHO fungal priority pathogens list to guide research, development and public health action. </w:t>
      </w:r>
      <w:r>
        <w:rPr>
          <w:rFonts w:eastAsia="Times New Roman" w:cs="Times New Roman"/>
          <w:color w:val="000000"/>
        </w:rPr>
        <w:t xml:space="preserve">World Health Organization. </w:t>
      </w:r>
      <w:r w:rsidRPr="00434C5D">
        <w:rPr>
          <w:rFonts w:eastAsia="Times New Roman" w:cs="Times New Roman"/>
          <w:color w:val="000000"/>
        </w:rPr>
        <w:t xml:space="preserve">Geneva, Switzerland. </w:t>
      </w:r>
      <w:hyperlink r:id="rId75" w:history="1">
        <w:r w:rsidRPr="00434C5D">
          <w:rPr>
            <w:rStyle w:val="Hyperlink"/>
            <w:rFonts w:eastAsia="Times New Roman" w:cs="Times New Roman"/>
          </w:rPr>
          <w:t>https://iris.who.int/bitstream/handle/10665/363682/9789240060241-eng.pdf?sequence=1</w:t>
        </w:r>
      </w:hyperlink>
      <w:r w:rsidRPr="00434C5D">
        <w:rPr>
          <w:rFonts w:eastAsia="Times New Roman" w:cs="Times New Roman"/>
          <w:color w:val="000000"/>
        </w:rPr>
        <w:t xml:space="preserve"> </w:t>
      </w:r>
    </w:p>
    <w:p w14:paraId="56FDD8EA" w14:textId="77777777" w:rsidR="00C0335B" w:rsidRPr="00434C5D" w:rsidRDefault="00C0335B" w:rsidP="00C0335B">
      <w:pPr>
        <w:rPr>
          <w:rFonts w:eastAsia="Times New Roman" w:cs="Times New Roman"/>
          <w:color w:val="000000"/>
        </w:rPr>
      </w:pPr>
      <w:proofErr w:type="spellStart"/>
      <w:r w:rsidRPr="00434C5D">
        <w:rPr>
          <w:rFonts w:eastAsia="Times New Roman" w:cs="Times New Roman"/>
          <w:color w:val="000000"/>
        </w:rPr>
        <w:t>Yiallouris</w:t>
      </w:r>
      <w:proofErr w:type="spellEnd"/>
      <w:r w:rsidRPr="00434C5D">
        <w:rPr>
          <w:rFonts w:eastAsia="Times New Roman" w:cs="Times New Roman"/>
          <w:color w:val="000000"/>
        </w:rPr>
        <w:t xml:space="preserve">, A., Pana A.D., Marangos, G., </w:t>
      </w:r>
      <w:proofErr w:type="spellStart"/>
      <w:r w:rsidRPr="00434C5D">
        <w:rPr>
          <w:rFonts w:eastAsia="Times New Roman" w:cs="Times New Roman"/>
          <w:color w:val="000000"/>
        </w:rPr>
        <w:t>Tzyrka</w:t>
      </w:r>
      <w:proofErr w:type="spellEnd"/>
      <w:r w:rsidRPr="00434C5D">
        <w:rPr>
          <w:rFonts w:eastAsia="Times New Roman" w:cs="Times New Roman"/>
          <w:color w:val="000000"/>
        </w:rPr>
        <w:t xml:space="preserve">, I., </w:t>
      </w:r>
      <w:proofErr w:type="spellStart"/>
      <w:r w:rsidRPr="00434C5D">
        <w:rPr>
          <w:rFonts w:eastAsia="Times New Roman" w:cs="Times New Roman"/>
          <w:color w:val="000000"/>
        </w:rPr>
        <w:t>Karanasios</w:t>
      </w:r>
      <w:proofErr w:type="spellEnd"/>
      <w:r w:rsidRPr="00434C5D">
        <w:rPr>
          <w:rFonts w:eastAsia="Times New Roman" w:cs="Times New Roman"/>
          <w:color w:val="000000"/>
        </w:rPr>
        <w:t xml:space="preserve">, S., Georgiou, I., </w:t>
      </w:r>
      <w:proofErr w:type="spellStart"/>
      <w:r w:rsidRPr="00434C5D">
        <w:rPr>
          <w:rFonts w:eastAsia="Times New Roman" w:cs="Times New Roman"/>
          <w:color w:val="000000"/>
        </w:rPr>
        <w:t>Kontopyrgia</w:t>
      </w:r>
      <w:proofErr w:type="spellEnd"/>
      <w:r w:rsidRPr="00434C5D">
        <w:rPr>
          <w:rFonts w:eastAsia="Times New Roman" w:cs="Times New Roman"/>
          <w:color w:val="000000"/>
        </w:rPr>
        <w:t xml:space="preserve">, K., Triantafyllou, E., Seidel, D., Cornely, O.A., Johnson, E.O., Panagiotou, S., and </w:t>
      </w:r>
      <w:proofErr w:type="spellStart"/>
      <w:r w:rsidRPr="00434C5D">
        <w:rPr>
          <w:rFonts w:eastAsia="Times New Roman" w:cs="Times New Roman"/>
          <w:color w:val="000000"/>
        </w:rPr>
        <w:t>Filippou</w:t>
      </w:r>
      <w:proofErr w:type="spellEnd"/>
      <w:r w:rsidRPr="00434C5D">
        <w:rPr>
          <w:rFonts w:eastAsia="Times New Roman" w:cs="Times New Roman"/>
          <w:color w:val="000000"/>
        </w:rPr>
        <w:t xml:space="preserve">, C. (2024). Fungal diversity in the soil mycobiome: implications for ONE health. </w:t>
      </w:r>
      <w:r w:rsidRPr="00434C5D">
        <w:rPr>
          <w:rFonts w:eastAsia="Times New Roman" w:cs="Times New Roman"/>
          <w:i/>
          <w:iCs/>
          <w:color w:val="000000"/>
        </w:rPr>
        <w:t>One Health</w:t>
      </w:r>
      <w:r w:rsidRPr="00434C5D">
        <w:rPr>
          <w:rFonts w:eastAsia="Times New Roman" w:cs="Times New Roman"/>
          <w:color w:val="000000"/>
        </w:rPr>
        <w:t xml:space="preserve"> </w:t>
      </w:r>
      <w:r w:rsidRPr="00434C5D">
        <w:rPr>
          <w:rFonts w:eastAsia="Times New Roman" w:cs="Times New Roman"/>
          <w:i/>
          <w:iCs/>
          <w:color w:val="000000"/>
        </w:rPr>
        <w:t>18</w:t>
      </w:r>
      <w:r w:rsidRPr="00434C5D">
        <w:rPr>
          <w:rFonts w:eastAsia="Times New Roman" w:cs="Times New Roman"/>
          <w:color w:val="000000"/>
        </w:rPr>
        <w:t xml:space="preserve">:100720. </w:t>
      </w:r>
      <w:hyperlink r:id="rId76" w:anchor="bb0370" w:history="1">
        <w:r w:rsidRPr="00434C5D">
          <w:rPr>
            <w:rStyle w:val="Hyperlink"/>
            <w:rFonts w:eastAsia="Times New Roman" w:cs="Times New Roman"/>
          </w:rPr>
          <w:t>https://www.sciencedirect.com/science/article/pii/S2352771424000466#bb0370</w:t>
        </w:r>
      </w:hyperlink>
      <w:r w:rsidRPr="00434C5D">
        <w:rPr>
          <w:rFonts w:eastAsia="Times New Roman" w:cs="Times New Roman"/>
          <w:color w:val="000000"/>
        </w:rPr>
        <w:t xml:space="preserve"> </w:t>
      </w:r>
    </w:p>
    <w:p w14:paraId="6377773A" w14:textId="77777777" w:rsidR="00C0335B" w:rsidRPr="00434C5D" w:rsidRDefault="00C0335B" w:rsidP="00C0335B">
      <w:pPr>
        <w:rPr>
          <w:rFonts w:eastAsia="Times New Roman" w:cs="Times New Roman"/>
          <w:color w:val="000000"/>
        </w:rPr>
      </w:pPr>
      <w:r w:rsidRPr="00434C5D">
        <w:rPr>
          <w:rFonts w:eastAsia="Times New Roman" w:cs="Times New Roman"/>
          <w:color w:val="000000"/>
        </w:rPr>
        <w:t xml:space="preserve">Zalewska, M., </w:t>
      </w:r>
      <w:proofErr w:type="spellStart"/>
      <w:r w:rsidRPr="00434C5D">
        <w:rPr>
          <w:rFonts w:eastAsia="Times New Roman" w:cs="Times New Roman"/>
          <w:color w:val="000000"/>
        </w:rPr>
        <w:t>Błażejewska</w:t>
      </w:r>
      <w:proofErr w:type="spellEnd"/>
      <w:r w:rsidRPr="00434C5D">
        <w:rPr>
          <w:rFonts w:eastAsia="Times New Roman" w:cs="Times New Roman"/>
          <w:color w:val="000000"/>
        </w:rPr>
        <w:t xml:space="preserve">, A., Czapko, A., Popowska, M. (2021). Antibiotics and antibiotic resistance genes in animal manure – Consequences of its application in agriculture. </w:t>
      </w:r>
      <w:r w:rsidRPr="00434C5D">
        <w:rPr>
          <w:rFonts w:eastAsia="Times New Roman" w:cs="Times New Roman"/>
          <w:i/>
          <w:iCs/>
          <w:color w:val="000000"/>
        </w:rPr>
        <w:t xml:space="preserve">Front. </w:t>
      </w:r>
      <w:proofErr w:type="spellStart"/>
      <w:r w:rsidRPr="00434C5D">
        <w:rPr>
          <w:rFonts w:eastAsia="Times New Roman" w:cs="Times New Roman"/>
          <w:i/>
          <w:iCs/>
          <w:color w:val="000000"/>
        </w:rPr>
        <w:t>Microbiol</w:t>
      </w:r>
      <w:proofErr w:type="spellEnd"/>
      <w:r w:rsidRPr="00434C5D">
        <w:rPr>
          <w:rFonts w:eastAsia="Times New Roman" w:cs="Times New Roman"/>
          <w:i/>
          <w:iCs/>
          <w:color w:val="000000"/>
        </w:rPr>
        <w:t>. 12</w:t>
      </w:r>
      <w:r w:rsidRPr="00434C5D">
        <w:rPr>
          <w:rFonts w:eastAsia="Times New Roman" w:cs="Times New Roman"/>
          <w:color w:val="000000"/>
        </w:rPr>
        <w:t xml:space="preserve">. </w:t>
      </w:r>
      <w:hyperlink r:id="rId77" w:history="1">
        <w:r w:rsidRPr="00434C5D">
          <w:rPr>
            <w:rStyle w:val="Hyperlink"/>
            <w:rFonts w:eastAsia="Times New Roman" w:cs="Times New Roman"/>
          </w:rPr>
          <w:t>https://www.frontiersin.org/journals/microbiology/articles/10.3389/fmicb.2021.610656/full</w:t>
        </w:r>
      </w:hyperlink>
      <w:r w:rsidRPr="00434C5D">
        <w:rPr>
          <w:rFonts w:eastAsia="Times New Roman" w:cs="Times New Roman"/>
          <w:color w:val="000000"/>
        </w:rPr>
        <w:t xml:space="preserve"> </w:t>
      </w:r>
    </w:p>
    <w:p w14:paraId="7925CD53" w14:textId="77777777" w:rsidR="00C0335B" w:rsidRPr="00434C5D" w:rsidRDefault="00C0335B" w:rsidP="00C0335B">
      <w:pPr>
        <w:rPr>
          <w:rFonts w:eastAsia="Times New Roman" w:cs="Times New Roman"/>
          <w:color w:val="000000"/>
        </w:rPr>
      </w:pPr>
    </w:p>
    <w:p w14:paraId="4490CBA1" w14:textId="77777777" w:rsidR="00C218C4" w:rsidRDefault="00C218C4" w:rsidP="1D73DFA3">
      <w:pPr>
        <w:pStyle w:val="IPPParagraphnumbering"/>
        <w:numPr>
          <w:ilvl w:val="0"/>
          <w:numId w:val="0"/>
        </w:numPr>
        <w:rPr>
          <w:b/>
          <w:bCs/>
          <w:highlight w:val="yellow"/>
          <w:lang w:val="en-GB"/>
        </w:rPr>
      </w:pPr>
    </w:p>
    <w:sectPr w:rsidR="00C218C4" w:rsidSect="002C6275">
      <w:headerReference w:type="first" r:id="rId78"/>
      <w:pgSz w:w="11906" w:h="16838" w:code="9"/>
      <w:pgMar w:top="1440" w:right="1440" w:bottom="1440" w:left="1440"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21369E4" w14:textId="77777777" w:rsidR="0082522E" w:rsidRPr="00CF015A" w:rsidRDefault="0082522E" w:rsidP="001D5341">
      <w:r w:rsidRPr="00CF015A">
        <w:separator/>
      </w:r>
    </w:p>
  </w:endnote>
  <w:endnote w:type="continuationSeparator" w:id="0">
    <w:p w14:paraId="251939D3" w14:textId="77777777" w:rsidR="0082522E" w:rsidRPr="00CF015A" w:rsidRDefault="0082522E" w:rsidP="001D5341">
      <w:r w:rsidRPr="00CF015A">
        <w:continuationSeparator/>
      </w:r>
    </w:p>
  </w:endnote>
  <w:endnote w:type="continuationNotice" w:id="1">
    <w:p w14:paraId="5A8CD15C" w14:textId="77777777" w:rsidR="0082522E" w:rsidRPr="00CF015A" w:rsidRDefault="0082522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Courier">
    <w:panose1 w:val="02070409020205020404"/>
    <w:charset w:val="00"/>
    <w:family w:val="modern"/>
    <w:pitch w:val="fixed"/>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Yu Mincho">
    <w:altName w:val="游明朝"/>
    <w:charset w:val="80"/>
    <w:family w:val="roman"/>
    <w:pitch w:val="variable"/>
    <w:sig w:usb0="800002E7" w:usb1="2AC7FCFF" w:usb2="00000012" w:usb3="00000000" w:csb0="0002009F" w:csb1="00000000"/>
  </w:font>
  <w:font w:name="Aptos Narrow">
    <w:charset w:val="00"/>
    <w:family w:val="swiss"/>
    <w:pitch w:val="variable"/>
    <w:sig w:usb0="20000287" w:usb1="00000003" w:usb2="00000000" w:usb3="00000000" w:csb0="0000019F" w:csb1="00000000"/>
  </w:font>
  <w:font w:name="Segoe UI">
    <w:panose1 w:val="020B0502040204020203"/>
    <w:charset w:val="00"/>
    <w:family w:val="swiss"/>
    <w:pitch w:val="variable"/>
    <w:sig w:usb0="E4002EFF" w:usb1="C000E47F" w:usb2="00000009" w:usb3="00000000" w:csb0="000001FF" w:csb1="00000000"/>
  </w:font>
  <w:font w:name="Open Sans">
    <w:charset w:val="00"/>
    <w:family w:val="swiss"/>
    <w:pitch w:val="variable"/>
    <w:sig w:usb0="E00002EF" w:usb1="4000205B" w:usb2="00000028"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4E1094C" w14:textId="77777777" w:rsidR="0082522E" w:rsidRPr="00CF015A" w:rsidRDefault="0082522E" w:rsidP="001D5341">
      <w:r w:rsidRPr="00CF015A">
        <w:separator/>
      </w:r>
    </w:p>
  </w:footnote>
  <w:footnote w:type="continuationSeparator" w:id="0">
    <w:p w14:paraId="1D772E9F" w14:textId="77777777" w:rsidR="0082522E" w:rsidRPr="00CF015A" w:rsidRDefault="0082522E" w:rsidP="001D5341">
      <w:r w:rsidRPr="00CF015A">
        <w:continuationSeparator/>
      </w:r>
    </w:p>
  </w:footnote>
  <w:footnote w:type="continuationNotice" w:id="1">
    <w:p w14:paraId="5704C6C7" w14:textId="77777777" w:rsidR="0082522E" w:rsidRPr="00CF015A" w:rsidRDefault="0082522E"/>
  </w:footnote>
  <w:footnote w:id="2">
    <w:p w14:paraId="64AE17CE" w14:textId="3A9D52FA" w:rsidR="008D3499" w:rsidRPr="00CF015A" w:rsidRDefault="008D3499">
      <w:pPr>
        <w:pStyle w:val="FootnoteText"/>
      </w:pPr>
      <w:r w:rsidRPr="00CF015A">
        <w:rPr>
          <w:rStyle w:val="FootnoteReference"/>
        </w:rPr>
        <w:footnoteRef/>
      </w:r>
      <w:r w:rsidRPr="00CF015A">
        <w:t xml:space="preserve"> </w:t>
      </w:r>
      <w:r w:rsidR="001D73D4" w:rsidRPr="00CF015A">
        <w:t xml:space="preserve">CPM FG on Plant Health in the context of One Health TOR: </w:t>
      </w:r>
      <w:hyperlink r:id="rId1" w:history="1">
        <w:r w:rsidR="001D73D4" w:rsidRPr="00CF015A">
          <w:rPr>
            <w:rStyle w:val="Hyperlink"/>
          </w:rPr>
          <w:t>https://www.ippc.int/en/publications/93481/</w:t>
        </w:r>
      </w:hyperlink>
      <w:r w:rsidR="001D73D4" w:rsidRPr="00CF015A">
        <w:t xml:space="preserve"> </w:t>
      </w:r>
    </w:p>
  </w:footnote>
  <w:footnote w:id="3">
    <w:p w14:paraId="62E91F8D" w14:textId="1B32C046" w:rsidR="00B72993" w:rsidRDefault="00B72993" w:rsidP="00B55B1E">
      <w:pPr>
        <w:pStyle w:val="FootnoteText"/>
        <w:jc w:val="left"/>
      </w:pPr>
      <w:r w:rsidRPr="00CF015A">
        <w:rPr>
          <w:rStyle w:val="FootnoteReference"/>
        </w:rPr>
        <w:footnoteRef/>
      </w:r>
      <w:r w:rsidRPr="00CF015A">
        <w:t xml:space="preserve"> CPM FG on Plant Health in the context of One Health membership list: </w:t>
      </w:r>
      <w:hyperlink r:id="rId2" w:history="1">
        <w:r w:rsidR="00B55B1E" w:rsidRPr="00CF015A">
          <w:rPr>
            <w:rStyle w:val="Hyperlink"/>
          </w:rPr>
          <w:t>https://www.ippc.int/en/publications/94284/</w:t>
        </w:r>
      </w:hyperlink>
      <w:r w:rsidR="00B55B1E" w:rsidRPr="00CF015A">
        <w:t xml:space="preserve"> </w:t>
      </w:r>
    </w:p>
  </w:footnote>
  <w:footnote w:id="4">
    <w:p w14:paraId="3CF9E426" w14:textId="77777777" w:rsidR="00C0335B" w:rsidRPr="005919C7" w:rsidRDefault="00C0335B" w:rsidP="00C0335B">
      <w:pPr>
        <w:pStyle w:val="FootnoteText"/>
      </w:pPr>
      <w:r>
        <w:rPr>
          <w:rStyle w:val="FootnoteReference"/>
        </w:rPr>
        <w:footnoteRef/>
      </w:r>
      <w:r>
        <w:t xml:space="preserve"> CPM 19 *2025) report: </w:t>
      </w:r>
      <w:hyperlink r:id="rId3" w:history="1">
        <w:r w:rsidRPr="00A05D35">
          <w:rPr>
            <w:rStyle w:val="Hyperlink"/>
          </w:rPr>
          <w:t>https://assets.ippc.int/static/media/files/publication/en/2025/05/CPM-19_Report_2025-05-08.pdf</w:t>
        </w:r>
      </w:hyperlink>
      <w:r>
        <w:t xml:space="preserve">  (pp 21-22)</w:t>
      </w:r>
    </w:p>
  </w:footnote>
  <w:footnote w:id="5">
    <w:p w14:paraId="59B24BC9" w14:textId="77777777" w:rsidR="00C0335B" w:rsidRPr="005919C7" w:rsidRDefault="00C0335B" w:rsidP="00C0335B">
      <w:pPr>
        <w:pStyle w:val="FootnoteText"/>
      </w:pPr>
      <w:r>
        <w:rPr>
          <w:rStyle w:val="FootnoteReference"/>
        </w:rPr>
        <w:footnoteRef/>
      </w:r>
      <w: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5F6BB5" w14:textId="1F0789A5" w:rsidR="00E03E60" w:rsidRPr="0076596B" w:rsidRDefault="00E03E60" w:rsidP="00E03E60">
    <w:pPr>
      <w:pStyle w:val="IPPHeader"/>
      <w:tabs>
        <w:tab w:val="clear" w:pos="1134"/>
      </w:tabs>
      <w:spacing w:after="0"/>
    </w:pPr>
    <w:r>
      <w:t>33_SPG_2025</w:t>
    </w:r>
    <w:r w:rsidRPr="00606019">
      <w:t>_</w:t>
    </w:r>
    <w:r>
      <w:t>Oct</w:t>
    </w:r>
    <w:r w:rsidRPr="59869557">
      <w:rPr>
        <w:rFonts w:eastAsia="Times" w:cs="Arial"/>
        <w:szCs w:val="18"/>
        <w:lang w:eastAsia="nl-NL"/>
      </w:rPr>
      <w:t xml:space="preserve"> </w:t>
    </w:r>
    <w:r>
      <w:rPr>
        <w:rFonts w:eastAsia="Times" w:cs="Arial"/>
        <w:szCs w:val="18"/>
        <w:lang w:eastAsia="nl-NL"/>
      </w:rPr>
      <w:t>(10.2)</w:t>
    </w:r>
    <w:r>
      <w:rPr>
        <w:rFonts w:eastAsia="Times" w:cs="Arial"/>
        <w:szCs w:val="18"/>
        <w:lang w:eastAsia="nl-NL"/>
      </w:rPr>
      <w:ptab w:relativeTo="margin" w:alignment="right" w:leader="none"/>
    </w:r>
    <w:r w:rsidRPr="59869557">
      <w:rPr>
        <w:rFonts w:eastAsia="Times" w:cs="Arial"/>
        <w:szCs w:val="18"/>
        <w:lang w:eastAsia="nl-NL"/>
      </w:rPr>
      <w:t>Update on the CPM Focus Group on Plant Health in the context of One Health</w:t>
    </w:r>
  </w:p>
  <w:p w14:paraId="06A7BBC2" w14:textId="77777777" w:rsidR="002F1D65" w:rsidRDefault="002F1D65">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07CCC4" w14:textId="77777777" w:rsidR="001B0175" w:rsidRPr="0076596B" w:rsidRDefault="001B0175" w:rsidP="001B0175">
    <w:pPr>
      <w:pStyle w:val="IPPHeader"/>
      <w:tabs>
        <w:tab w:val="clear" w:pos="1134"/>
      </w:tabs>
      <w:spacing w:after="0"/>
    </w:pPr>
    <w:r>
      <w:t>33_SPG_2025</w:t>
    </w:r>
    <w:r w:rsidRPr="00606019">
      <w:t>_</w:t>
    </w:r>
    <w:r>
      <w:t>Oct</w:t>
    </w:r>
    <w:r w:rsidRPr="59869557">
      <w:rPr>
        <w:rFonts w:eastAsia="Times" w:cs="Arial"/>
        <w:szCs w:val="18"/>
        <w:lang w:eastAsia="nl-NL"/>
      </w:rPr>
      <w:t xml:space="preserve"> </w:t>
    </w:r>
    <w:r>
      <w:rPr>
        <w:rFonts w:eastAsia="Times" w:cs="Arial"/>
        <w:szCs w:val="18"/>
        <w:lang w:eastAsia="nl-NL"/>
      </w:rPr>
      <w:t>(10.2)</w:t>
    </w:r>
    <w:r>
      <w:rPr>
        <w:rFonts w:eastAsia="Times" w:cs="Arial"/>
        <w:szCs w:val="18"/>
        <w:lang w:eastAsia="nl-NL"/>
      </w:rPr>
      <w:ptab w:relativeTo="margin" w:alignment="right" w:leader="none"/>
    </w:r>
    <w:r w:rsidRPr="59869557">
      <w:rPr>
        <w:rFonts w:eastAsia="Times" w:cs="Arial"/>
        <w:szCs w:val="18"/>
        <w:lang w:eastAsia="nl-NL"/>
      </w:rPr>
      <w:t>Update on the CPM Focus Group on Plant Health in the context of One Health</w:t>
    </w:r>
  </w:p>
  <w:p w14:paraId="3F2D3BED" w14:textId="77777777" w:rsidR="001B0175" w:rsidRDefault="001B0175">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54710B" w14:textId="4D1821AF" w:rsidR="002F1D65" w:rsidRDefault="002F1D65" w:rsidP="002F1D65">
    <w:pPr>
      <w:pStyle w:val="IPPHeader"/>
      <w:tabs>
        <w:tab w:val="clear" w:pos="1134"/>
      </w:tabs>
      <w:spacing w:before="240" w:after="0"/>
    </w:pPr>
    <w:bookmarkStart w:id="1" w:name="_Hlk38796923"/>
    <w:bookmarkStart w:id="2" w:name="_Hlk38796924"/>
    <w:r>
      <w:rPr>
        <w:i/>
        <w:iCs/>
        <w:noProof/>
        <w14:ligatures w14:val="standardContextual"/>
      </w:rPr>
      <w:drawing>
        <wp:anchor distT="0" distB="0" distL="114300" distR="114300" simplePos="0" relativeHeight="251661312" behindDoc="0" locked="0" layoutInCell="1" allowOverlap="1" wp14:anchorId="03340387" wp14:editId="7D77F24C">
          <wp:simplePos x="0" y="0"/>
          <wp:positionH relativeFrom="page">
            <wp:posOffset>2520315</wp:posOffset>
          </wp:positionH>
          <wp:positionV relativeFrom="page">
            <wp:posOffset>558165</wp:posOffset>
          </wp:positionV>
          <wp:extent cx="1756800" cy="698400"/>
          <wp:effectExtent l="0" t="0" r="0" b="6985"/>
          <wp:wrapSquare wrapText="bothSides"/>
          <wp:docPr id="1770423598" name="Picture 2" descr="A logo of a compan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6319013" name="Picture 2" descr="A logo of a company&#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1756800" cy="698400"/>
                  </a:xfrm>
                  <a:prstGeom prst="rect">
                    <a:avLst/>
                  </a:prstGeom>
                </pic:spPr>
              </pic:pic>
            </a:graphicData>
          </a:graphic>
          <wp14:sizeRelH relativeFrom="margin">
            <wp14:pctWidth>0</wp14:pctWidth>
          </wp14:sizeRelH>
          <wp14:sizeRelV relativeFrom="margin">
            <wp14:pctHeight>0</wp14:pctHeight>
          </wp14:sizeRelV>
        </wp:anchor>
      </w:drawing>
    </w:r>
    <w:r>
      <w:rPr>
        <w:noProof/>
      </w:rPr>
      <mc:AlternateContent>
        <mc:Choice Requires="wps">
          <w:drawing>
            <wp:anchor distT="0" distB="0" distL="114300" distR="114300" simplePos="0" relativeHeight="251662336" behindDoc="0" locked="0" layoutInCell="1" allowOverlap="1" wp14:anchorId="7D974229" wp14:editId="2ED21176">
              <wp:simplePos x="0" y="0"/>
              <wp:positionH relativeFrom="margin">
                <wp:posOffset>1574800</wp:posOffset>
              </wp:positionH>
              <wp:positionV relativeFrom="page">
                <wp:posOffset>720090</wp:posOffset>
              </wp:positionV>
              <wp:extent cx="0" cy="360000"/>
              <wp:effectExtent l="0" t="0" r="38100" b="21590"/>
              <wp:wrapNone/>
              <wp:docPr id="320414918" name="Straight Connector 1"/>
              <wp:cNvGraphicFramePr/>
              <a:graphic xmlns:a="http://schemas.openxmlformats.org/drawingml/2006/main">
                <a:graphicData uri="http://schemas.microsoft.com/office/word/2010/wordprocessingShape">
                  <wps:wsp>
                    <wps:cNvCnPr/>
                    <wps:spPr>
                      <a:xfrm>
                        <a:off x="0" y="0"/>
                        <a:ext cx="0" cy="3600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082EF236" id="Straight Connector 1" o:spid="_x0000_s1026" style="position:absolute;z-index:251662336;visibility:visible;mso-wrap-style:square;mso-height-percent:0;mso-wrap-distance-left:9pt;mso-wrap-distance-top:0;mso-wrap-distance-right:9pt;mso-wrap-distance-bottom:0;mso-position-horizontal:absolute;mso-position-horizontal-relative:margin;mso-position-vertical:absolute;mso-position-vertical-relative:page;mso-height-percent:0;mso-height-relative:margin" from="124pt,56.7pt" to="124pt,85.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" strokecolor="black [3213]" strokeweight=".5pt">
              <v:stroke joinstyle="miter"/>
              <w10:wrap anchorx="margin" anchory="page"/>
            </v:line>
          </w:pict>
        </mc:Fallback>
      </mc:AlternateContent>
    </w:r>
    <w:r w:rsidRPr="000321A6">
      <w:rPr>
        <w:noProof/>
      </w:rPr>
      <w:drawing>
        <wp:anchor distT="0" distB="0" distL="114300" distR="114300" simplePos="0" relativeHeight="251659264" behindDoc="0" locked="0" layoutInCell="1" allowOverlap="1" wp14:anchorId="4BF4AB5E" wp14:editId="045F0447">
          <wp:simplePos x="0" y="0"/>
          <wp:positionH relativeFrom="page">
            <wp:posOffset>0</wp:posOffset>
          </wp:positionH>
          <wp:positionV relativeFrom="page">
            <wp:posOffset>0</wp:posOffset>
          </wp:positionV>
          <wp:extent cx="7617600" cy="558000"/>
          <wp:effectExtent l="0" t="0" r="2540" b="0"/>
          <wp:wrapTopAndBottom/>
          <wp:docPr id="10255429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5542983" name="Picture 1"/>
                  <pic:cNvPicPr/>
                </pic:nvPicPr>
                <pic:blipFill>
                  <a:blip r:embed="rId2">
                    <a:extLst>
                      <a:ext uri="{28A0092B-C50C-407E-A947-70E740481C1C}">
                        <a14:useLocalDpi xmlns:a14="http://schemas.microsoft.com/office/drawing/2010/main" val="0"/>
                      </a:ext>
                    </a:extLst>
                  </a:blip>
                  <a:stretch>
                    <a:fillRect/>
                  </a:stretch>
                </pic:blipFill>
                <pic:spPr>
                  <a:xfrm>
                    <a:off x="0" y="0"/>
                    <a:ext cx="7617600" cy="558000"/>
                  </a:xfrm>
                  <a:prstGeom prst="rect">
                    <a:avLst/>
                  </a:prstGeom>
                </pic:spPr>
              </pic:pic>
            </a:graphicData>
          </a:graphic>
          <wp14:sizeRelH relativeFrom="margin">
            <wp14:pctWidth>0</wp14:pctWidth>
          </wp14:sizeRelH>
          <wp14:sizeRelV relativeFrom="margin">
            <wp14:pctHeight>0</wp14:pctHeight>
          </wp14:sizeRelV>
        </wp:anchor>
      </w:drawing>
    </w:r>
    <w:r>
      <w:rPr>
        <w:noProof/>
        <w14:ligatures w14:val="standardContextual"/>
      </w:rPr>
      <w:drawing>
        <wp:anchor distT="0" distB="0" distL="114300" distR="114300" simplePos="0" relativeHeight="251660288" behindDoc="0" locked="0" layoutInCell="1" allowOverlap="1" wp14:anchorId="4C33C413" wp14:editId="78F5F426">
          <wp:simplePos x="0" y="0"/>
          <wp:positionH relativeFrom="page">
            <wp:posOffset>742950</wp:posOffset>
          </wp:positionH>
          <wp:positionV relativeFrom="page">
            <wp:posOffset>558165</wp:posOffset>
          </wp:positionV>
          <wp:extent cx="1728000" cy="698400"/>
          <wp:effectExtent l="0" t="0" r="5715" b="6985"/>
          <wp:wrapSquare wrapText="bothSides"/>
          <wp:docPr id="178518581" name="Picture 1" descr="A logo with text on 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1423631" name="Picture 1" descr="A logo with text on it&#10;&#10;Description automatically generated"/>
                  <pic:cNvPicPr/>
                </pic:nvPicPr>
                <pic:blipFill>
                  <a:blip r:embed="rId3">
                    <a:extLst>
                      <a:ext uri="{28A0092B-C50C-407E-A947-70E740481C1C}">
                        <a14:useLocalDpi xmlns:a14="http://schemas.microsoft.com/office/drawing/2010/main" val="0"/>
                      </a:ext>
                    </a:extLst>
                  </a:blip>
                  <a:stretch>
                    <a:fillRect/>
                  </a:stretch>
                </pic:blipFill>
                <pic:spPr>
                  <a:xfrm>
                    <a:off x="0" y="0"/>
                    <a:ext cx="1728000" cy="698400"/>
                  </a:xfrm>
                  <a:prstGeom prst="rect">
                    <a:avLst/>
                  </a:prstGeom>
                </pic:spPr>
              </pic:pic>
            </a:graphicData>
          </a:graphic>
          <wp14:sizeRelH relativeFrom="margin">
            <wp14:pctWidth>0</wp14:pctWidth>
          </wp14:sizeRelH>
          <wp14:sizeRelV relativeFrom="margin">
            <wp14:pctHeight>0</wp14:pctHeight>
          </wp14:sizeRelV>
        </wp:anchor>
      </w:drawing>
    </w:r>
    <w:r>
      <w:tab/>
    </w:r>
    <w:r>
      <w:t>33</w:t>
    </w:r>
    <w:r>
      <w:t>_SPG_2025</w:t>
    </w:r>
    <w:r w:rsidRPr="00606019">
      <w:t>_</w:t>
    </w:r>
    <w:r>
      <w:t>Oct</w:t>
    </w:r>
  </w:p>
  <w:p w14:paraId="0081A903" w14:textId="181C0A80" w:rsidR="002F1D65" w:rsidRDefault="002F1D65" w:rsidP="002F1D65">
    <w:pPr>
      <w:pStyle w:val="IPPHeader"/>
      <w:tabs>
        <w:tab w:val="clear" w:pos="1134"/>
      </w:tabs>
      <w:spacing w:after="0"/>
    </w:pPr>
    <w:r w:rsidRPr="0076596B">
      <w:tab/>
      <w:t>Agenda item:</w:t>
    </w:r>
    <w:r w:rsidR="00E03E60">
      <w:t>10.2</w:t>
    </w:r>
  </w:p>
  <w:p w14:paraId="093D8ECB" w14:textId="77777777" w:rsidR="002F1D65" w:rsidRDefault="002F1D65" w:rsidP="002F1D65">
    <w:pPr>
      <w:pStyle w:val="IPPHeader"/>
      <w:tabs>
        <w:tab w:val="clear" w:pos="1134"/>
      </w:tabs>
      <w:spacing w:after="260"/>
    </w:pPr>
  </w:p>
  <w:p w14:paraId="199BA5CA" w14:textId="7C04A28F" w:rsidR="002F1D65" w:rsidRPr="0076596B" w:rsidRDefault="006C2B1A" w:rsidP="002F1D65">
    <w:pPr>
      <w:pStyle w:val="IPPHeader"/>
      <w:tabs>
        <w:tab w:val="clear" w:pos="1134"/>
      </w:tabs>
      <w:spacing w:after="0"/>
    </w:pPr>
    <w:r w:rsidRPr="59869557">
      <w:rPr>
        <w:rFonts w:eastAsia="Times" w:cs="Arial"/>
        <w:szCs w:val="18"/>
        <w:lang w:eastAsia="nl-NL"/>
      </w:rPr>
      <w:t>Update on the CPM Focus Group on Plant Health in the context of One Health</w:t>
    </w:r>
  </w:p>
  <w:bookmarkEnd w:id="1"/>
  <w:bookmarkEnd w:id="2"/>
  <w:p w14:paraId="5848CDCB" w14:textId="68350D84" w:rsidR="00C64DEC" w:rsidRPr="002F1D65" w:rsidRDefault="00C64DEC" w:rsidP="002F1D65">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2ED393" w14:textId="77777777" w:rsidR="001B0175" w:rsidRPr="0076596B" w:rsidRDefault="001B0175" w:rsidP="001B0175">
    <w:pPr>
      <w:pStyle w:val="IPPHeader"/>
      <w:tabs>
        <w:tab w:val="clear" w:pos="1134"/>
      </w:tabs>
      <w:spacing w:after="0"/>
    </w:pPr>
    <w:r>
      <w:t>33_SPG_2025</w:t>
    </w:r>
    <w:r w:rsidRPr="00606019">
      <w:t>_</w:t>
    </w:r>
    <w:r>
      <w:t>Oct</w:t>
    </w:r>
    <w:r w:rsidRPr="59869557">
      <w:rPr>
        <w:rFonts w:eastAsia="Times" w:cs="Arial"/>
        <w:szCs w:val="18"/>
        <w:lang w:eastAsia="nl-NL"/>
      </w:rPr>
      <w:t xml:space="preserve"> </w:t>
    </w:r>
    <w:r>
      <w:rPr>
        <w:rFonts w:eastAsia="Times" w:cs="Arial"/>
        <w:szCs w:val="18"/>
        <w:lang w:eastAsia="nl-NL"/>
      </w:rPr>
      <w:t>(10.2)</w:t>
    </w:r>
    <w:r>
      <w:rPr>
        <w:rFonts w:eastAsia="Times" w:cs="Arial"/>
        <w:szCs w:val="18"/>
        <w:lang w:eastAsia="nl-NL"/>
      </w:rPr>
      <w:ptab w:relativeTo="margin" w:alignment="right" w:leader="none"/>
    </w:r>
    <w:r w:rsidRPr="59869557">
      <w:rPr>
        <w:rFonts w:eastAsia="Times" w:cs="Arial"/>
        <w:szCs w:val="18"/>
        <w:lang w:eastAsia="nl-NL"/>
      </w:rPr>
      <w:t>Update on the CPM Focus Group on Plant Health in the context of One Health</w:t>
    </w:r>
  </w:p>
  <w:p w14:paraId="0AF68125" w14:textId="77777777" w:rsidR="001B0175" w:rsidRPr="002F1D65" w:rsidRDefault="001B0175" w:rsidP="002F1D65">
    <w:pPr>
      <w:pStyle w:val="Header"/>
    </w:pPr>
  </w:p>
</w:hdr>
</file>

<file path=word/intelligence2.xml><?xml version="1.0" encoding="utf-8"?>
<int2:intelligence xmlns:int2="http://schemas.microsoft.com/office/intelligence/2020/intelligence" xmlns:oel="http://schemas.microsoft.com/office/2019/extlst">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592949"/>
    <w:multiLevelType w:val="hybridMultilevel"/>
    <w:tmpl w:val="9C4EC350"/>
    <w:lvl w:ilvl="0" w:tplc="35882858">
      <w:start w:val="42"/>
      <w:numFmt w:val="decimal"/>
      <w:pStyle w:val="IPPNumberedList"/>
      <w:lvlText w:val="(%1)"/>
      <w:lvlJc w:val="left"/>
      <w:pPr>
        <w:tabs>
          <w:tab w:val="num" w:pos="567"/>
        </w:tabs>
        <w:ind w:left="567" w:hanging="567"/>
      </w:pPr>
      <w:rPr>
        <w:rFonts w:ascii="Times New Roman" w:hAnsi="Times New Roman" w:hint="default"/>
        <w:b w:val="0"/>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84C0A6C"/>
    <w:multiLevelType w:val="multilevel"/>
    <w:tmpl w:val="06E871E4"/>
    <w:numStyleLink w:val="IPPParagraphnumberedlist"/>
  </w:abstractNum>
  <w:abstractNum w:abstractNumId="2" w15:restartNumberingAfterBreak="0">
    <w:nsid w:val="0AAA575C"/>
    <w:multiLevelType w:val="hybridMultilevel"/>
    <w:tmpl w:val="61F0C2C0"/>
    <w:lvl w:ilvl="0" w:tplc="FFFFFFFF">
      <w:start w:val="1"/>
      <w:numFmt w:val="bullet"/>
      <w:pStyle w:val="IPPLetterListIndent"/>
      <w:lvlText w:val=""/>
      <w:lvlJc w:val="left"/>
      <w:pPr>
        <w:tabs>
          <w:tab w:val="num" w:pos="1701"/>
        </w:tabs>
        <w:ind w:left="1701" w:hanging="567"/>
      </w:pPr>
      <w:rPr>
        <w:rFonts w:ascii="Times New Roman" w:hAnsi="Times New Roman" w:hint="default"/>
        <w:color w:val="auto"/>
        <w:sz w:val="22"/>
      </w:rPr>
    </w:lvl>
    <w:lvl w:ilvl="1" w:tplc="FFFFFFFF" w:tentative="1">
      <w:start w:val="1"/>
      <w:numFmt w:val="bullet"/>
      <w:lvlText w:val="o"/>
      <w:lvlJc w:val="left"/>
      <w:pPr>
        <w:ind w:left="1440" w:hanging="360"/>
      </w:pPr>
      <w:rPr>
        <w:rFonts w:ascii="Courier New" w:hAnsi="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 w15:restartNumberingAfterBreak="0">
    <w:nsid w:val="1A5F5F91"/>
    <w:multiLevelType w:val="hybridMultilevel"/>
    <w:tmpl w:val="814840E6"/>
    <w:lvl w:ilvl="0" w:tplc="09020866">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31FE0F8F"/>
    <w:multiLevelType w:val="multilevel"/>
    <w:tmpl w:val="06E871E4"/>
    <w:styleLink w:val="IPPParagraphnumberedlist"/>
    <w:lvl w:ilvl="0">
      <w:start w:val="1"/>
      <w:numFmt w:val="decimal"/>
      <w:pStyle w:val="IPPParagraphnumbering"/>
      <w:lvlText w:val="[%1]"/>
      <w:lvlJc w:val="left"/>
      <w:pPr>
        <w:tabs>
          <w:tab w:val="num" w:pos="0"/>
        </w:tabs>
        <w:ind w:left="0" w:hanging="482"/>
      </w:pPr>
      <w:rPr>
        <w:rFonts w:ascii="Arial" w:hAnsi="Arial" w:hint="default"/>
        <w:b w:val="0"/>
        <w:i/>
        <w:color w:val="0000FF"/>
        <w:sz w:val="16"/>
      </w:rPr>
    </w:lvl>
    <w:lvl w:ilvl="1">
      <w:start w:val="1"/>
      <w:numFmt w:val="none"/>
      <w:lvlRestart w:val="0"/>
      <w:lvlText w:val=""/>
      <w:lvlJc w:val="left"/>
      <w:pPr>
        <w:tabs>
          <w:tab w:val="num" w:pos="0"/>
        </w:tabs>
        <w:ind w:left="0" w:hanging="482"/>
      </w:pPr>
      <w:rPr>
        <w:rFonts w:hint="default"/>
      </w:rPr>
    </w:lvl>
    <w:lvl w:ilvl="2">
      <w:start w:val="1"/>
      <w:numFmt w:val="none"/>
      <w:lvlRestart w:val="0"/>
      <w:lvlText w:val=""/>
      <w:lvlJc w:val="left"/>
      <w:pPr>
        <w:tabs>
          <w:tab w:val="num" w:pos="0"/>
        </w:tabs>
        <w:ind w:left="0" w:hanging="482"/>
      </w:pPr>
      <w:rPr>
        <w:rFonts w:hint="default"/>
      </w:rPr>
    </w:lvl>
    <w:lvl w:ilvl="3">
      <w:start w:val="1"/>
      <w:numFmt w:val="none"/>
      <w:lvlRestart w:val="0"/>
      <w:lvlText w:val=""/>
      <w:lvlJc w:val="left"/>
      <w:pPr>
        <w:tabs>
          <w:tab w:val="num" w:pos="0"/>
        </w:tabs>
        <w:ind w:left="0" w:hanging="482"/>
      </w:pPr>
      <w:rPr>
        <w:rFonts w:hint="default"/>
      </w:rPr>
    </w:lvl>
    <w:lvl w:ilvl="4">
      <w:start w:val="1"/>
      <w:numFmt w:val="none"/>
      <w:lvlRestart w:val="0"/>
      <w:lvlText w:val=""/>
      <w:lvlJc w:val="left"/>
      <w:pPr>
        <w:tabs>
          <w:tab w:val="num" w:pos="0"/>
        </w:tabs>
        <w:ind w:left="0" w:hanging="482"/>
      </w:pPr>
      <w:rPr>
        <w:rFonts w:hint="default"/>
      </w:rPr>
    </w:lvl>
    <w:lvl w:ilvl="5">
      <w:start w:val="1"/>
      <w:numFmt w:val="none"/>
      <w:lvlRestart w:val="0"/>
      <w:lvlText w:val=""/>
      <w:lvlJc w:val="left"/>
      <w:pPr>
        <w:tabs>
          <w:tab w:val="num" w:pos="0"/>
        </w:tabs>
        <w:ind w:left="0" w:hanging="482"/>
      </w:pPr>
      <w:rPr>
        <w:rFonts w:hint="default"/>
      </w:rPr>
    </w:lvl>
    <w:lvl w:ilvl="6">
      <w:start w:val="1"/>
      <w:numFmt w:val="none"/>
      <w:lvlRestart w:val="0"/>
      <w:lvlText w:val=""/>
      <w:lvlJc w:val="left"/>
      <w:pPr>
        <w:tabs>
          <w:tab w:val="num" w:pos="0"/>
        </w:tabs>
        <w:ind w:left="0" w:hanging="482"/>
      </w:pPr>
      <w:rPr>
        <w:rFonts w:hint="default"/>
      </w:rPr>
    </w:lvl>
    <w:lvl w:ilvl="7">
      <w:start w:val="1"/>
      <w:numFmt w:val="none"/>
      <w:lvlRestart w:val="0"/>
      <w:lvlText w:val=""/>
      <w:lvlJc w:val="left"/>
      <w:pPr>
        <w:tabs>
          <w:tab w:val="num" w:pos="0"/>
        </w:tabs>
        <w:ind w:left="0" w:hanging="482"/>
      </w:pPr>
      <w:rPr>
        <w:rFonts w:hint="default"/>
      </w:rPr>
    </w:lvl>
    <w:lvl w:ilvl="8">
      <w:start w:val="1"/>
      <w:numFmt w:val="none"/>
      <w:lvlRestart w:val="0"/>
      <w:lvlText w:val=""/>
      <w:lvlJc w:val="left"/>
      <w:pPr>
        <w:tabs>
          <w:tab w:val="num" w:pos="0"/>
        </w:tabs>
        <w:ind w:left="0" w:hanging="482"/>
      </w:pPr>
      <w:rPr>
        <w:rFonts w:hint="default"/>
      </w:rPr>
    </w:lvl>
  </w:abstractNum>
  <w:abstractNum w:abstractNumId="5" w15:restartNumberingAfterBreak="0">
    <w:nsid w:val="32D27235"/>
    <w:multiLevelType w:val="hybridMultilevel"/>
    <w:tmpl w:val="81DC576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 w15:restartNumberingAfterBreak="0">
    <w:nsid w:val="3B0874F3"/>
    <w:multiLevelType w:val="hybridMultilevel"/>
    <w:tmpl w:val="3860451C"/>
    <w:lvl w:ilvl="0" w:tplc="FFFFFFFF">
      <w:start w:val="1"/>
      <w:numFmt w:val="decimal"/>
      <w:pStyle w:val="IPPHdg1Num"/>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49162325"/>
    <w:multiLevelType w:val="hybridMultilevel"/>
    <w:tmpl w:val="360CE1EC"/>
    <w:lvl w:ilvl="0" w:tplc="CADE1AF0">
      <w:start w:val="1"/>
      <w:numFmt w:val="bullet"/>
      <w:lvlText w:val=""/>
      <w:lvlJc w:val="left"/>
      <w:pPr>
        <w:ind w:left="720" w:hanging="360"/>
      </w:pPr>
      <w:rPr>
        <w:rFonts w:ascii="Symbol" w:hAnsi="Symbol"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 w15:restartNumberingAfterBreak="0">
    <w:nsid w:val="53A776E5"/>
    <w:multiLevelType w:val="hybridMultilevel"/>
    <w:tmpl w:val="E73EF442"/>
    <w:lvl w:ilvl="0" w:tplc="9B64C2C4">
      <w:start w:val="1"/>
      <w:numFmt w:val="bullet"/>
      <w:pStyle w:val="IPPBullet1Last"/>
      <w:lvlText w:val="-"/>
      <w:lvlJc w:val="left"/>
      <w:pPr>
        <w:tabs>
          <w:tab w:val="num" w:pos="567"/>
        </w:tabs>
        <w:ind w:left="567" w:hanging="567"/>
      </w:pPr>
      <w:rPr>
        <w:rFonts w:ascii="Times New Roman" w:hAnsi="Times New Roman" w:hint="default"/>
        <w:b w:val="0"/>
        <w:i w:val="0"/>
        <w:color w:val="auto"/>
        <w:sz w:val="22"/>
      </w:rPr>
    </w:lvl>
    <w:lvl w:ilvl="1" w:tplc="04090019" w:tentative="1">
      <w:start w:val="1"/>
      <w:numFmt w:val="bullet"/>
      <w:lvlText w:val="o"/>
      <w:lvlJc w:val="left"/>
      <w:pPr>
        <w:ind w:left="1440" w:hanging="360"/>
      </w:pPr>
      <w:rPr>
        <w:rFonts w:ascii="Courier New" w:hAnsi="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9" w15:restartNumberingAfterBreak="0">
    <w:nsid w:val="65AE0D6D"/>
    <w:multiLevelType w:val="hybridMultilevel"/>
    <w:tmpl w:val="4FE224AA"/>
    <w:lvl w:ilvl="0" w:tplc="462A3BA6">
      <w:start w:val="1"/>
      <w:numFmt w:val="lowerLetter"/>
      <w:pStyle w:val="IPPLetterList"/>
      <w:lvlText w:val="(%1)"/>
      <w:lvlJc w:val="left"/>
      <w:pPr>
        <w:tabs>
          <w:tab w:val="num" w:pos="1134"/>
        </w:tabs>
        <w:ind w:left="1134" w:hanging="567"/>
      </w:pPr>
      <w:rPr>
        <w:rFonts w:ascii="Times New Roman" w:hAnsi="Times New Roman" w:hint="default"/>
        <w:b w:val="0"/>
        <w:i w:val="0"/>
        <w:color w:val="auto"/>
        <w:sz w:val="22"/>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6A354E39"/>
    <w:multiLevelType w:val="hybridMultilevel"/>
    <w:tmpl w:val="52EA3E24"/>
    <w:lvl w:ilvl="0" w:tplc="34EC9708">
      <w:numFmt w:val="bullet"/>
      <w:pStyle w:val="IPPBullet1"/>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751D2757"/>
    <w:multiLevelType w:val="hybridMultilevel"/>
    <w:tmpl w:val="8E445FD4"/>
    <w:lvl w:ilvl="0" w:tplc="C4348534">
      <w:start w:val="1"/>
      <w:numFmt w:val="bullet"/>
      <w:pStyle w:val="IPPBullet2"/>
      <w:lvlText w:val=""/>
      <w:lvlJc w:val="left"/>
      <w:pPr>
        <w:ind w:left="927" w:hanging="360"/>
      </w:pPr>
      <w:rPr>
        <w:rFonts w:ascii="Symbol" w:hAnsi="Symbol" w:hint="default"/>
        <w:b w:val="0"/>
        <w:i w:val="0"/>
        <w:color w:val="auto"/>
        <w:sz w:val="22"/>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7D783239"/>
    <w:multiLevelType w:val="hybridMultilevel"/>
    <w:tmpl w:val="CE0EA87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7E943ECD"/>
    <w:multiLevelType w:val="multilevel"/>
    <w:tmpl w:val="B55AE162"/>
    <w:lvl w:ilvl="0">
      <w:start w:val="1"/>
      <w:numFmt w:val="decimal"/>
      <w:lvlText w:val="%1."/>
      <w:lvlJc w:val="left"/>
      <w:pPr>
        <w:ind w:left="360" w:hanging="360"/>
      </w:pPr>
      <w:rPr>
        <w:rFonts w:hint="default"/>
      </w:rPr>
    </w:lvl>
    <w:lvl w:ilvl="1">
      <w:start w:val="1"/>
      <w:numFmt w:val="decimal"/>
      <w:pStyle w:val="IPPHdg2Num"/>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num w:numId="1" w16cid:durableId="1404796680">
    <w:abstractNumId w:val="4"/>
  </w:num>
  <w:num w:numId="2" w16cid:durableId="352346397">
    <w:abstractNumId w:val="2"/>
  </w:num>
  <w:num w:numId="3" w16cid:durableId="1384598561">
    <w:abstractNumId w:val="11"/>
  </w:num>
  <w:num w:numId="4" w16cid:durableId="184750399">
    <w:abstractNumId w:val="8"/>
  </w:num>
  <w:num w:numId="5" w16cid:durableId="7021694">
    <w:abstractNumId w:val="6"/>
  </w:num>
  <w:num w:numId="6" w16cid:durableId="701127972">
    <w:abstractNumId w:val="13"/>
  </w:num>
  <w:num w:numId="7" w16cid:durableId="1157957606">
    <w:abstractNumId w:val="10"/>
  </w:num>
  <w:num w:numId="8" w16cid:durableId="1993830067">
    <w:abstractNumId w:val="9"/>
  </w:num>
  <w:num w:numId="9" w16cid:durableId="2057777483">
    <w:abstractNumId w:val="1"/>
    <w:lvlOverride w:ilvl="0">
      <w:lvl w:ilvl="0">
        <w:start w:val="1"/>
        <w:numFmt w:val="decimal"/>
        <w:pStyle w:val="IPPParagraphnumbering"/>
        <w:lvlText w:val="[%1]"/>
        <w:lvlJc w:val="left"/>
        <w:pPr>
          <w:tabs>
            <w:tab w:val="num" w:pos="0"/>
          </w:tabs>
          <w:ind w:left="0" w:hanging="482"/>
        </w:pPr>
        <w:rPr>
          <w:rFonts w:ascii="Arial" w:hAnsi="Arial" w:hint="default"/>
          <w:b w:val="0"/>
          <w:i/>
          <w:color w:val="0000FF"/>
          <w:sz w:val="16"/>
        </w:rPr>
      </w:lvl>
    </w:lvlOverride>
    <w:lvlOverride w:ilvl="1">
      <w:lvl w:ilvl="1">
        <w:start w:val="1"/>
        <w:numFmt w:val="none"/>
        <w:lvlRestart w:val="0"/>
        <w:lvlText w:val=""/>
        <w:lvlJc w:val="left"/>
        <w:pPr>
          <w:tabs>
            <w:tab w:val="num" w:pos="0"/>
          </w:tabs>
          <w:ind w:left="0" w:hanging="482"/>
        </w:pPr>
        <w:rPr>
          <w:rFonts w:hint="default"/>
        </w:rPr>
      </w:lvl>
    </w:lvlOverride>
    <w:lvlOverride w:ilvl="2">
      <w:lvl w:ilvl="2">
        <w:start w:val="1"/>
        <w:numFmt w:val="none"/>
        <w:lvlRestart w:val="0"/>
        <w:lvlText w:val=""/>
        <w:lvlJc w:val="left"/>
        <w:pPr>
          <w:tabs>
            <w:tab w:val="num" w:pos="0"/>
          </w:tabs>
          <w:ind w:left="0" w:hanging="482"/>
        </w:pPr>
        <w:rPr>
          <w:rFonts w:hint="default"/>
        </w:rPr>
      </w:lvl>
    </w:lvlOverride>
    <w:lvlOverride w:ilvl="3">
      <w:lvl w:ilvl="3">
        <w:start w:val="1"/>
        <w:numFmt w:val="none"/>
        <w:lvlRestart w:val="0"/>
        <w:lvlText w:val=""/>
        <w:lvlJc w:val="left"/>
        <w:pPr>
          <w:tabs>
            <w:tab w:val="num" w:pos="0"/>
          </w:tabs>
          <w:ind w:left="0" w:hanging="482"/>
        </w:pPr>
        <w:rPr>
          <w:rFonts w:hint="default"/>
        </w:rPr>
      </w:lvl>
    </w:lvlOverride>
    <w:lvlOverride w:ilvl="4">
      <w:lvl w:ilvl="4">
        <w:start w:val="1"/>
        <w:numFmt w:val="none"/>
        <w:lvlRestart w:val="0"/>
        <w:lvlText w:val=""/>
        <w:lvlJc w:val="left"/>
        <w:pPr>
          <w:tabs>
            <w:tab w:val="num" w:pos="0"/>
          </w:tabs>
          <w:ind w:left="0" w:hanging="482"/>
        </w:pPr>
        <w:rPr>
          <w:rFonts w:hint="default"/>
        </w:rPr>
      </w:lvl>
    </w:lvlOverride>
    <w:lvlOverride w:ilvl="5">
      <w:lvl w:ilvl="5">
        <w:start w:val="1"/>
        <w:numFmt w:val="none"/>
        <w:lvlRestart w:val="0"/>
        <w:lvlText w:val=""/>
        <w:lvlJc w:val="left"/>
        <w:pPr>
          <w:tabs>
            <w:tab w:val="num" w:pos="0"/>
          </w:tabs>
          <w:ind w:left="0" w:hanging="482"/>
        </w:pPr>
        <w:rPr>
          <w:rFonts w:hint="default"/>
        </w:rPr>
      </w:lvl>
    </w:lvlOverride>
    <w:lvlOverride w:ilvl="6">
      <w:lvl w:ilvl="6">
        <w:start w:val="1"/>
        <w:numFmt w:val="none"/>
        <w:lvlRestart w:val="0"/>
        <w:lvlText w:val=""/>
        <w:lvlJc w:val="left"/>
        <w:pPr>
          <w:tabs>
            <w:tab w:val="num" w:pos="0"/>
          </w:tabs>
          <w:ind w:left="0" w:hanging="482"/>
        </w:pPr>
        <w:rPr>
          <w:rFonts w:hint="default"/>
        </w:rPr>
      </w:lvl>
    </w:lvlOverride>
    <w:lvlOverride w:ilvl="7">
      <w:lvl w:ilvl="7">
        <w:start w:val="1"/>
        <w:numFmt w:val="none"/>
        <w:lvlRestart w:val="0"/>
        <w:lvlText w:val=""/>
        <w:lvlJc w:val="left"/>
        <w:pPr>
          <w:tabs>
            <w:tab w:val="num" w:pos="0"/>
          </w:tabs>
          <w:ind w:left="0" w:hanging="482"/>
        </w:pPr>
        <w:rPr>
          <w:rFonts w:hint="default"/>
        </w:rPr>
      </w:lvl>
    </w:lvlOverride>
    <w:lvlOverride w:ilvl="8">
      <w:lvl w:ilvl="8">
        <w:start w:val="1"/>
        <w:numFmt w:val="none"/>
        <w:lvlRestart w:val="0"/>
        <w:lvlText w:val=""/>
        <w:lvlJc w:val="left"/>
        <w:pPr>
          <w:tabs>
            <w:tab w:val="num" w:pos="0"/>
          </w:tabs>
          <w:ind w:left="0" w:hanging="482"/>
        </w:pPr>
        <w:rPr>
          <w:rFonts w:hint="default"/>
        </w:rPr>
      </w:lvl>
    </w:lvlOverride>
  </w:num>
  <w:num w:numId="10" w16cid:durableId="2111968848">
    <w:abstractNumId w:val="0"/>
  </w:num>
  <w:num w:numId="11" w16cid:durableId="1843857792">
    <w:abstractNumId w:val="1"/>
    <w:lvlOverride w:ilvl="0">
      <w:lvl w:ilvl="0">
        <w:start w:val="1"/>
        <w:numFmt w:val="decimal"/>
        <w:pStyle w:val="IPPParagraphnumbering"/>
        <w:lvlText w:val="[%1]"/>
        <w:lvlJc w:val="left"/>
        <w:pPr>
          <w:tabs>
            <w:tab w:val="num" w:pos="0"/>
          </w:tabs>
          <w:ind w:left="0" w:hanging="482"/>
        </w:pPr>
        <w:rPr>
          <w:rFonts w:ascii="Arial" w:hAnsi="Arial" w:hint="default"/>
          <w:b w:val="0"/>
          <w:i/>
          <w:color w:val="0000FF"/>
          <w:sz w:val="16"/>
        </w:rPr>
      </w:lvl>
    </w:lvlOverride>
    <w:lvlOverride w:ilvl="1">
      <w:lvl w:ilvl="1">
        <w:start w:val="1"/>
        <w:numFmt w:val="none"/>
        <w:lvlRestart w:val="0"/>
        <w:lvlText w:val=""/>
        <w:lvlJc w:val="left"/>
        <w:pPr>
          <w:tabs>
            <w:tab w:val="num" w:pos="0"/>
          </w:tabs>
          <w:ind w:left="0" w:hanging="482"/>
        </w:pPr>
        <w:rPr>
          <w:rFonts w:hint="default"/>
        </w:rPr>
      </w:lvl>
    </w:lvlOverride>
    <w:lvlOverride w:ilvl="2">
      <w:lvl w:ilvl="2">
        <w:start w:val="1"/>
        <w:numFmt w:val="none"/>
        <w:lvlRestart w:val="0"/>
        <w:lvlText w:val=""/>
        <w:lvlJc w:val="left"/>
        <w:pPr>
          <w:tabs>
            <w:tab w:val="num" w:pos="0"/>
          </w:tabs>
          <w:ind w:left="0" w:hanging="482"/>
        </w:pPr>
        <w:rPr>
          <w:rFonts w:hint="default"/>
        </w:rPr>
      </w:lvl>
    </w:lvlOverride>
    <w:lvlOverride w:ilvl="3">
      <w:lvl w:ilvl="3">
        <w:start w:val="1"/>
        <w:numFmt w:val="none"/>
        <w:lvlRestart w:val="0"/>
        <w:lvlText w:val=""/>
        <w:lvlJc w:val="left"/>
        <w:pPr>
          <w:tabs>
            <w:tab w:val="num" w:pos="0"/>
          </w:tabs>
          <w:ind w:left="0" w:hanging="482"/>
        </w:pPr>
        <w:rPr>
          <w:rFonts w:hint="default"/>
        </w:rPr>
      </w:lvl>
    </w:lvlOverride>
    <w:lvlOverride w:ilvl="4">
      <w:lvl w:ilvl="4">
        <w:start w:val="1"/>
        <w:numFmt w:val="none"/>
        <w:lvlRestart w:val="0"/>
        <w:lvlText w:val=""/>
        <w:lvlJc w:val="left"/>
        <w:pPr>
          <w:tabs>
            <w:tab w:val="num" w:pos="0"/>
          </w:tabs>
          <w:ind w:left="0" w:hanging="482"/>
        </w:pPr>
        <w:rPr>
          <w:rFonts w:hint="default"/>
        </w:rPr>
      </w:lvl>
    </w:lvlOverride>
    <w:lvlOverride w:ilvl="5">
      <w:lvl w:ilvl="5">
        <w:start w:val="1"/>
        <w:numFmt w:val="none"/>
        <w:lvlRestart w:val="0"/>
        <w:lvlText w:val=""/>
        <w:lvlJc w:val="left"/>
        <w:pPr>
          <w:tabs>
            <w:tab w:val="num" w:pos="0"/>
          </w:tabs>
          <w:ind w:left="0" w:hanging="482"/>
        </w:pPr>
        <w:rPr>
          <w:rFonts w:hint="default"/>
        </w:rPr>
      </w:lvl>
    </w:lvlOverride>
    <w:lvlOverride w:ilvl="6">
      <w:lvl w:ilvl="6">
        <w:start w:val="1"/>
        <w:numFmt w:val="none"/>
        <w:lvlRestart w:val="0"/>
        <w:lvlText w:val=""/>
        <w:lvlJc w:val="left"/>
        <w:pPr>
          <w:tabs>
            <w:tab w:val="num" w:pos="0"/>
          </w:tabs>
          <w:ind w:left="0" w:hanging="482"/>
        </w:pPr>
        <w:rPr>
          <w:rFonts w:hint="default"/>
        </w:rPr>
      </w:lvl>
    </w:lvlOverride>
    <w:lvlOverride w:ilvl="7">
      <w:lvl w:ilvl="7">
        <w:start w:val="1"/>
        <w:numFmt w:val="none"/>
        <w:lvlRestart w:val="0"/>
        <w:lvlText w:val=""/>
        <w:lvlJc w:val="left"/>
        <w:pPr>
          <w:tabs>
            <w:tab w:val="num" w:pos="0"/>
          </w:tabs>
          <w:ind w:left="0" w:hanging="482"/>
        </w:pPr>
        <w:rPr>
          <w:rFonts w:hint="default"/>
        </w:rPr>
      </w:lvl>
    </w:lvlOverride>
    <w:lvlOverride w:ilvl="8">
      <w:lvl w:ilvl="8">
        <w:start w:val="1"/>
        <w:numFmt w:val="none"/>
        <w:lvlRestart w:val="0"/>
        <w:lvlText w:val=""/>
        <w:lvlJc w:val="left"/>
        <w:pPr>
          <w:tabs>
            <w:tab w:val="num" w:pos="0"/>
          </w:tabs>
          <w:ind w:left="0" w:hanging="482"/>
        </w:pPr>
        <w:rPr>
          <w:rFonts w:hint="default"/>
        </w:rPr>
      </w:lvl>
    </w:lvlOverride>
  </w:num>
  <w:num w:numId="12" w16cid:durableId="556090047">
    <w:abstractNumId w:val="5"/>
  </w:num>
  <w:num w:numId="13" w16cid:durableId="1939215685">
    <w:abstractNumId w:val="7"/>
  </w:num>
  <w:num w:numId="14" w16cid:durableId="2099321917">
    <w:abstractNumId w:val="3"/>
  </w:num>
  <w:num w:numId="15" w16cid:durableId="1117483522">
    <w:abstractNumId w:val="12"/>
  </w:num>
  <w:num w:numId="16" w16cid:durableId="1223715582">
    <w:abstractNumId w:val="1"/>
    <w:lvlOverride w:ilvl="0">
      <w:startOverride w:val="1"/>
      <w:lvl w:ilvl="0">
        <w:start w:val="1"/>
        <w:numFmt w:val="decimal"/>
        <w:pStyle w:val="IPPParagraphnumbering"/>
        <w:lvlText w:val="[%1]"/>
        <w:lvlJc w:val="left"/>
        <w:pPr>
          <w:tabs>
            <w:tab w:val="num" w:pos="0"/>
          </w:tabs>
          <w:ind w:left="0" w:hanging="482"/>
        </w:pPr>
        <w:rPr>
          <w:rFonts w:ascii="Arial" w:hAnsi="Arial" w:hint="default"/>
          <w:b w:val="0"/>
          <w:i/>
          <w:color w:val="0000FF"/>
          <w:sz w:val="16"/>
        </w:rPr>
      </w:lvl>
    </w:lvlOverride>
    <w:lvlOverride w:ilvl="1">
      <w:startOverride w:val="1"/>
      <w:lvl w:ilvl="1">
        <w:start w:val="1"/>
        <w:numFmt w:val="none"/>
        <w:lvlRestart w:val="0"/>
        <w:lvlText w:val=""/>
        <w:lvlJc w:val="left"/>
        <w:pPr>
          <w:tabs>
            <w:tab w:val="num" w:pos="0"/>
          </w:tabs>
          <w:ind w:left="0" w:hanging="482"/>
        </w:pPr>
        <w:rPr>
          <w:rFonts w:hint="default"/>
        </w:rPr>
      </w:lvl>
    </w:lvlOverride>
    <w:lvlOverride w:ilvl="2">
      <w:startOverride w:val="1"/>
      <w:lvl w:ilvl="2">
        <w:start w:val="1"/>
        <w:numFmt w:val="none"/>
        <w:lvlRestart w:val="0"/>
        <w:lvlText w:val=""/>
        <w:lvlJc w:val="left"/>
        <w:pPr>
          <w:tabs>
            <w:tab w:val="num" w:pos="0"/>
          </w:tabs>
          <w:ind w:left="0" w:hanging="482"/>
        </w:pPr>
        <w:rPr>
          <w:rFonts w:hint="default"/>
        </w:rPr>
      </w:lvl>
    </w:lvlOverride>
    <w:lvlOverride w:ilvl="3">
      <w:startOverride w:val="1"/>
      <w:lvl w:ilvl="3">
        <w:start w:val="1"/>
        <w:numFmt w:val="none"/>
        <w:lvlRestart w:val="0"/>
        <w:lvlText w:val=""/>
        <w:lvlJc w:val="left"/>
        <w:pPr>
          <w:tabs>
            <w:tab w:val="num" w:pos="0"/>
          </w:tabs>
          <w:ind w:left="0" w:hanging="482"/>
        </w:pPr>
        <w:rPr>
          <w:rFonts w:hint="default"/>
        </w:rPr>
      </w:lvl>
    </w:lvlOverride>
    <w:lvlOverride w:ilvl="4">
      <w:startOverride w:val="1"/>
      <w:lvl w:ilvl="4">
        <w:start w:val="1"/>
        <w:numFmt w:val="none"/>
        <w:lvlRestart w:val="0"/>
        <w:lvlText w:val=""/>
        <w:lvlJc w:val="left"/>
        <w:pPr>
          <w:tabs>
            <w:tab w:val="num" w:pos="0"/>
          </w:tabs>
          <w:ind w:left="0" w:hanging="482"/>
        </w:pPr>
        <w:rPr>
          <w:rFonts w:hint="default"/>
        </w:rPr>
      </w:lvl>
    </w:lvlOverride>
    <w:lvlOverride w:ilvl="5">
      <w:startOverride w:val="1"/>
      <w:lvl w:ilvl="5">
        <w:start w:val="1"/>
        <w:numFmt w:val="none"/>
        <w:lvlRestart w:val="0"/>
        <w:lvlText w:val=""/>
        <w:lvlJc w:val="left"/>
        <w:pPr>
          <w:tabs>
            <w:tab w:val="num" w:pos="0"/>
          </w:tabs>
          <w:ind w:left="0" w:hanging="482"/>
        </w:pPr>
        <w:rPr>
          <w:rFonts w:hint="default"/>
        </w:rPr>
      </w:lvl>
    </w:lvlOverride>
    <w:lvlOverride w:ilvl="6">
      <w:startOverride w:val="1"/>
      <w:lvl w:ilvl="6">
        <w:start w:val="1"/>
        <w:numFmt w:val="none"/>
        <w:lvlRestart w:val="0"/>
        <w:lvlText w:val=""/>
        <w:lvlJc w:val="left"/>
        <w:pPr>
          <w:tabs>
            <w:tab w:val="num" w:pos="0"/>
          </w:tabs>
          <w:ind w:left="0" w:hanging="482"/>
        </w:pPr>
        <w:rPr>
          <w:rFonts w:hint="default"/>
        </w:rPr>
      </w:lvl>
    </w:lvlOverride>
    <w:lvlOverride w:ilvl="7">
      <w:startOverride w:val="1"/>
      <w:lvl w:ilvl="7">
        <w:start w:val="1"/>
        <w:numFmt w:val="none"/>
        <w:lvlRestart w:val="0"/>
        <w:lvlText w:val=""/>
        <w:lvlJc w:val="left"/>
        <w:pPr>
          <w:tabs>
            <w:tab w:val="num" w:pos="0"/>
          </w:tabs>
          <w:ind w:left="0" w:hanging="482"/>
        </w:pPr>
        <w:rPr>
          <w:rFonts w:hint="default"/>
        </w:rPr>
      </w:lvl>
    </w:lvlOverride>
    <w:lvlOverride w:ilvl="8">
      <w:startOverride w:val="1"/>
      <w:lvl w:ilvl="8">
        <w:start w:val="1"/>
        <w:numFmt w:val="none"/>
        <w:lvlRestart w:val="0"/>
        <w:lvlText w:val=""/>
        <w:lvlJc w:val="left"/>
        <w:pPr>
          <w:tabs>
            <w:tab w:val="num" w:pos="0"/>
          </w:tabs>
          <w:ind w:left="0" w:hanging="482"/>
        </w:pPr>
        <w:rPr>
          <w:rFonts w:hint="default"/>
        </w:rPr>
      </w:lvl>
    </w:lvlOverride>
  </w:num>
  <w:num w:numId="17" w16cid:durableId="65034005">
    <w:abstractNumId w:val="1"/>
    <w:lvlOverride w:ilvl="0">
      <w:lvl w:ilvl="0">
        <w:start w:val="1"/>
        <w:numFmt w:val="decimal"/>
        <w:pStyle w:val="IPPParagraphnumbering"/>
        <w:lvlText w:val="[%1]"/>
        <w:lvlJc w:val="left"/>
        <w:pPr>
          <w:tabs>
            <w:tab w:val="num" w:pos="0"/>
          </w:tabs>
          <w:ind w:left="0" w:hanging="482"/>
        </w:pPr>
        <w:rPr>
          <w:rFonts w:ascii="Arial" w:hAnsi="Arial" w:hint="default"/>
          <w:b w:val="0"/>
          <w:i/>
          <w:color w:val="0000FF"/>
          <w:sz w:val="16"/>
        </w:rPr>
      </w:lvl>
    </w:lvlOverride>
    <w:lvlOverride w:ilvl="1">
      <w:lvl w:ilvl="1">
        <w:start w:val="1"/>
        <w:numFmt w:val="none"/>
        <w:lvlRestart w:val="0"/>
        <w:lvlText w:val=""/>
        <w:lvlJc w:val="left"/>
        <w:pPr>
          <w:tabs>
            <w:tab w:val="num" w:pos="0"/>
          </w:tabs>
          <w:ind w:left="0" w:hanging="482"/>
        </w:pPr>
        <w:rPr>
          <w:rFonts w:hint="default"/>
        </w:rPr>
      </w:lvl>
    </w:lvlOverride>
    <w:lvlOverride w:ilvl="2">
      <w:lvl w:ilvl="2">
        <w:start w:val="1"/>
        <w:numFmt w:val="none"/>
        <w:lvlRestart w:val="0"/>
        <w:lvlText w:val=""/>
        <w:lvlJc w:val="left"/>
        <w:pPr>
          <w:tabs>
            <w:tab w:val="num" w:pos="0"/>
          </w:tabs>
          <w:ind w:left="0" w:hanging="482"/>
        </w:pPr>
        <w:rPr>
          <w:rFonts w:hint="default"/>
        </w:rPr>
      </w:lvl>
    </w:lvlOverride>
    <w:lvlOverride w:ilvl="3">
      <w:lvl w:ilvl="3">
        <w:start w:val="1"/>
        <w:numFmt w:val="none"/>
        <w:lvlRestart w:val="0"/>
        <w:lvlText w:val=""/>
        <w:lvlJc w:val="left"/>
        <w:pPr>
          <w:tabs>
            <w:tab w:val="num" w:pos="0"/>
          </w:tabs>
          <w:ind w:left="0" w:hanging="482"/>
        </w:pPr>
        <w:rPr>
          <w:rFonts w:hint="default"/>
        </w:rPr>
      </w:lvl>
    </w:lvlOverride>
    <w:lvlOverride w:ilvl="4">
      <w:lvl w:ilvl="4">
        <w:start w:val="1"/>
        <w:numFmt w:val="none"/>
        <w:lvlRestart w:val="0"/>
        <w:lvlText w:val=""/>
        <w:lvlJc w:val="left"/>
        <w:pPr>
          <w:tabs>
            <w:tab w:val="num" w:pos="0"/>
          </w:tabs>
          <w:ind w:left="0" w:hanging="482"/>
        </w:pPr>
        <w:rPr>
          <w:rFonts w:hint="default"/>
        </w:rPr>
      </w:lvl>
    </w:lvlOverride>
    <w:lvlOverride w:ilvl="5">
      <w:lvl w:ilvl="5">
        <w:start w:val="1"/>
        <w:numFmt w:val="none"/>
        <w:lvlRestart w:val="0"/>
        <w:lvlText w:val=""/>
        <w:lvlJc w:val="left"/>
        <w:pPr>
          <w:tabs>
            <w:tab w:val="num" w:pos="0"/>
          </w:tabs>
          <w:ind w:left="0" w:hanging="482"/>
        </w:pPr>
        <w:rPr>
          <w:rFonts w:hint="default"/>
        </w:rPr>
      </w:lvl>
    </w:lvlOverride>
    <w:lvlOverride w:ilvl="6">
      <w:lvl w:ilvl="6">
        <w:start w:val="1"/>
        <w:numFmt w:val="none"/>
        <w:lvlRestart w:val="0"/>
        <w:lvlText w:val=""/>
        <w:lvlJc w:val="left"/>
        <w:pPr>
          <w:tabs>
            <w:tab w:val="num" w:pos="0"/>
          </w:tabs>
          <w:ind w:left="0" w:hanging="482"/>
        </w:pPr>
        <w:rPr>
          <w:rFonts w:hint="default"/>
        </w:rPr>
      </w:lvl>
    </w:lvlOverride>
    <w:lvlOverride w:ilvl="7">
      <w:lvl w:ilvl="7">
        <w:start w:val="1"/>
        <w:numFmt w:val="none"/>
        <w:lvlRestart w:val="0"/>
        <w:lvlText w:val=""/>
        <w:lvlJc w:val="left"/>
        <w:pPr>
          <w:tabs>
            <w:tab w:val="num" w:pos="0"/>
          </w:tabs>
          <w:ind w:left="0" w:hanging="482"/>
        </w:pPr>
        <w:rPr>
          <w:rFonts w:hint="default"/>
        </w:rPr>
      </w:lvl>
    </w:lvlOverride>
    <w:lvlOverride w:ilvl="8">
      <w:lvl w:ilvl="8">
        <w:start w:val="1"/>
        <w:numFmt w:val="none"/>
        <w:lvlRestart w:val="0"/>
        <w:lvlText w:val=""/>
        <w:lvlJc w:val="left"/>
        <w:pPr>
          <w:tabs>
            <w:tab w:val="num" w:pos="0"/>
          </w:tabs>
          <w:ind w:left="0" w:hanging="482"/>
        </w:pPr>
        <w:rPr>
          <w:rFonts w:hint="default"/>
        </w:rPr>
      </w:lvl>
    </w:lvlOverride>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activeWritingStyle w:appName="MSWord" w:lang="fr-FR" w:vendorID="64" w:dllVersion="0" w:nlCheck="1" w:checkStyle="0"/>
  <w:activeWritingStyle w:appName="MSWord" w:lang="en-GB" w:vendorID="64" w:dllVersion="0" w:nlCheck="1" w:checkStyle="0"/>
  <w:activeWritingStyle w:appName="MSWord" w:lang="en-US" w:vendorID="64" w:dllVersion="0" w:nlCheck="1" w:checkStyle="0"/>
  <w:proofState w:spelling="clean" w:grammar="clean"/>
  <w:attachedTemplate r:id="rId1"/>
  <w:linkStyles/>
  <w:defaultTabStop w:val="720"/>
  <w:hyphenationZone w:val="283"/>
  <w:evenAndOddHeaders/>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32AA"/>
    <w:rsid w:val="00000516"/>
    <w:rsid w:val="000007D7"/>
    <w:rsid w:val="00002C8A"/>
    <w:rsid w:val="00006C67"/>
    <w:rsid w:val="00007DF6"/>
    <w:rsid w:val="00011B9D"/>
    <w:rsid w:val="00011F38"/>
    <w:rsid w:val="00014450"/>
    <w:rsid w:val="000208D2"/>
    <w:rsid w:val="000216A7"/>
    <w:rsid w:val="000232AA"/>
    <w:rsid w:val="00023BCC"/>
    <w:rsid w:val="00024348"/>
    <w:rsid w:val="000247AC"/>
    <w:rsid w:val="0002504C"/>
    <w:rsid w:val="0002518C"/>
    <w:rsid w:val="000263AB"/>
    <w:rsid w:val="00031EE2"/>
    <w:rsid w:val="00032F4F"/>
    <w:rsid w:val="00040E6B"/>
    <w:rsid w:val="000455C5"/>
    <w:rsid w:val="00047804"/>
    <w:rsid w:val="00047DB4"/>
    <w:rsid w:val="000539EE"/>
    <w:rsid w:val="00053D63"/>
    <w:rsid w:val="00056214"/>
    <w:rsid w:val="00056D26"/>
    <w:rsid w:val="00057562"/>
    <w:rsid w:val="00057767"/>
    <w:rsid w:val="00057F13"/>
    <w:rsid w:val="00060D2C"/>
    <w:rsid w:val="0006293E"/>
    <w:rsid w:val="0006328B"/>
    <w:rsid w:val="000635E6"/>
    <w:rsid w:val="00064B36"/>
    <w:rsid w:val="00064D16"/>
    <w:rsid w:val="0007188B"/>
    <w:rsid w:val="000767A9"/>
    <w:rsid w:val="000768F7"/>
    <w:rsid w:val="0008218A"/>
    <w:rsid w:val="00082FD7"/>
    <w:rsid w:val="000873E7"/>
    <w:rsid w:val="000903CB"/>
    <w:rsid w:val="00095E3B"/>
    <w:rsid w:val="000A032F"/>
    <w:rsid w:val="000A3286"/>
    <w:rsid w:val="000A445C"/>
    <w:rsid w:val="000A4FCC"/>
    <w:rsid w:val="000A648D"/>
    <w:rsid w:val="000A6839"/>
    <w:rsid w:val="000A6E09"/>
    <w:rsid w:val="000B127D"/>
    <w:rsid w:val="000B4E70"/>
    <w:rsid w:val="000C32A0"/>
    <w:rsid w:val="000C4AF6"/>
    <w:rsid w:val="000C78BE"/>
    <w:rsid w:val="000D0D6E"/>
    <w:rsid w:val="000D0D73"/>
    <w:rsid w:val="000D1CE1"/>
    <w:rsid w:val="000D1E49"/>
    <w:rsid w:val="000D2593"/>
    <w:rsid w:val="000D2ABB"/>
    <w:rsid w:val="000D40AB"/>
    <w:rsid w:val="000D4744"/>
    <w:rsid w:val="000E1438"/>
    <w:rsid w:val="000E60EC"/>
    <w:rsid w:val="000E674D"/>
    <w:rsid w:val="000F016A"/>
    <w:rsid w:val="000F63EF"/>
    <w:rsid w:val="00105D53"/>
    <w:rsid w:val="00105E5E"/>
    <w:rsid w:val="00111E9B"/>
    <w:rsid w:val="001149DF"/>
    <w:rsid w:val="00116234"/>
    <w:rsid w:val="001178B6"/>
    <w:rsid w:val="00121133"/>
    <w:rsid w:val="0012336E"/>
    <w:rsid w:val="00126B3B"/>
    <w:rsid w:val="00126CEC"/>
    <w:rsid w:val="00127FDC"/>
    <w:rsid w:val="001301DB"/>
    <w:rsid w:val="00136D18"/>
    <w:rsid w:val="00143882"/>
    <w:rsid w:val="001515F8"/>
    <w:rsid w:val="00151E97"/>
    <w:rsid w:val="001522E2"/>
    <w:rsid w:val="001532F3"/>
    <w:rsid w:val="00153ECF"/>
    <w:rsid w:val="001572D1"/>
    <w:rsid w:val="00163C10"/>
    <w:rsid w:val="001645D7"/>
    <w:rsid w:val="00165291"/>
    <w:rsid w:val="001656A4"/>
    <w:rsid w:val="00167B8A"/>
    <w:rsid w:val="00167CB5"/>
    <w:rsid w:val="001701EA"/>
    <w:rsid w:val="001703B6"/>
    <w:rsid w:val="001709EA"/>
    <w:rsid w:val="00171036"/>
    <w:rsid w:val="00171220"/>
    <w:rsid w:val="001725B8"/>
    <w:rsid w:val="00174713"/>
    <w:rsid w:val="00176A5A"/>
    <w:rsid w:val="001848EE"/>
    <w:rsid w:val="00186DD2"/>
    <w:rsid w:val="001922A8"/>
    <w:rsid w:val="0019608C"/>
    <w:rsid w:val="001A54C8"/>
    <w:rsid w:val="001A5861"/>
    <w:rsid w:val="001A751A"/>
    <w:rsid w:val="001B0175"/>
    <w:rsid w:val="001B229E"/>
    <w:rsid w:val="001B5CD3"/>
    <w:rsid w:val="001B6DF0"/>
    <w:rsid w:val="001B70FE"/>
    <w:rsid w:val="001C0A37"/>
    <w:rsid w:val="001C1603"/>
    <w:rsid w:val="001C276B"/>
    <w:rsid w:val="001C452B"/>
    <w:rsid w:val="001C5072"/>
    <w:rsid w:val="001C6217"/>
    <w:rsid w:val="001D5341"/>
    <w:rsid w:val="001D5F23"/>
    <w:rsid w:val="001D73D4"/>
    <w:rsid w:val="001E0B8B"/>
    <w:rsid w:val="001E4FFD"/>
    <w:rsid w:val="001F0718"/>
    <w:rsid w:val="001F26B3"/>
    <w:rsid w:val="001F321E"/>
    <w:rsid w:val="001F3D7F"/>
    <w:rsid w:val="001F478E"/>
    <w:rsid w:val="001F4EC4"/>
    <w:rsid w:val="001F7670"/>
    <w:rsid w:val="00205CF6"/>
    <w:rsid w:val="00210614"/>
    <w:rsid w:val="00211B78"/>
    <w:rsid w:val="00212053"/>
    <w:rsid w:val="00214714"/>
    <w:rsid w:val="00217055"/>
    <w:rsid w:val="00217096"/>
    <w:rsid w:val="00223336"/>
    <w:rsid w:val="0022528C"/>
    <w:rsid w:val="00226A0B"/>
    <w:rsid w:val="002311B9"/>
    <w:rsid w:val="002314CD"/>
    <w:rsid w:val="00232923"/>
    <w:rsid w:val="0023433C"/>
    <w:rsid w:val="00234DC8"/>
    <w:rsid w:val="0023640C"/>
    <w:rsid w:val="0023660A"/>
    <w:rsid w:val="00242C39"/>
    <w:rsid w:val="0025070C"/>
    <w:rsid w:val="00252535"/>
    <w:rsid w:val="00256D2E"/>
    <w:rsid w:val="00265BEE"/>
    <w:rsid w:val="002670E8"/>
    <w:rsid w:val="002761EE"/>
    <w:rsid w:val="002837DF"/>
    <w:rsid w:val="00283CF6"/>
    <w:rsid w:val="002857ED"/>
    <w:rsid w:val="002911E2"/>
    <w:rsid w:val="002A11C0"/>
    <w:rsid w:val="002A3054"/>
    <w:rsid w:val="002A6AD3"/>
    <w:rsid w:val="002A7EEC"/>
    <w:rsid w:val="002B17DA"/>
    <w:rsid w:val="002B6E56"/>
    <w:rsid w:val="002B7868"/>
    <w:rsid w:val="002C00EB"/>
    <w:rsid w:val="002C178D"/>
    <w:rsid w:val="002C2F40"/>
    <w:rsid w:val="002C34A2"/>
    <w:rsid w:val="002C449E"/>
    <w:rsid w:val="002C4C88"/>
    <w:rsid w:val="002C5560"/>
    <w:rsid w:val="002C6275"/>
    <w:rsid w:val="002D41A0"/>
    <w:rsid w:val="002D7982"/>
    <w:rsid w:val="002E3F85"/>
    <w:rsid w:val="002E433D"/>
    <w:rsid w:val="002E607C"/>
    <w:rsid w:val="002F1D65"/>
    <w:rsid w:val="00305B1B"/>
    <w:rsid w:val="00305DAA"/>
    <w:rsid w:val="0031020E"/>
    <w:rsid w:val="00312EA6"/>
    <w:rsid w:val="00313847"/>
    <w:rsid w:val="00313F19"/>
    <w:rsid w:val="00315EB2"/>
    <w:rsid w:val="00316AD7"/>
    <w:rsid w:val="00320290"/>
    <w:rsid w:val="00323E8C"/>
    <w:rsid w:val="00323F98"/>
    <w:rsid w:val="00324218"/>
    <w:rsid w:val="00330488"/>
    <w:rsid w:val="00330822"/>
    <w:rsid w:val="00331A01"/>
    <w:rsid w:val="00332B77"/>
    <w:rsid w:val="003334EA"/>
    <w:rsid w:val="0033544C"/>
    <w:rsid w:val="00337EB1"/>
    <w:rsid w:val="00346623"/>
    <w:rsid w:val="00351791"/>
    <w:rsid w:val="00354AFD"/>
    <w:rsid w:val="0035596A"/>
    <w:rsid w:val="00364D0A"/>
    <w:rsid w:val="00366E57"/>
    <w:rsid w:val="00377006"/>
    <w:rsid w:val="003777F6"/>
    <w:rsid w:val="0038054D"/>
    <w:rsid w:val="00380DBF"/>
    <w:rsid w:val="00385250"/>
    <w:rsid w:val="00386A28"/>
    <w:rsid w:val="00387365"/>
    <w:rsid w:val="00390C60"/>
    <w:rsid w:val="00391F43"/>
    <w:rsid w:val="00392AF8"/>
    <w:rsid w:val="003A032E"/>
    <w:rsid w:val="003A6D8E"/>
    <w:rsid w:val="003AE4F5"/>
    <w:rsid w:val="003B731A"/>
    <w:rsid w:val="003C4FA1"/>
    <w:rsid w:val="003C5C2A"/>
    <w:rsid w:val="003C6F16"/>
    <w:rsid w:val="003C7EF7"/>
    <w:rsid w:val="003D3D01"/>
    <w:rsid w:val="003D623F"/>
    <w:rsid w:val="003E2DC7"/>
    <w:rsid w:val="003E56CB"/>
    <w:rsid w:val="003E7B02"/>
    <w:rsid w:val="003E7E71"/>
    <w:rsid w:val="003F1B48"/>
    <w:rsid w:val="003F640D"/>
    <w:rsid w:val="003F65D7"/>
    <w:rsid w:val="004011D0"/>
    <w:rsid w:val="00401C6D"/>
    <w:rsid w:val="00402979"/>
    <w:rsid w:val="00403290"/>
    <w:rsid w:val="00405224"/>
    <w:rsid w:val="00405E4C"/>
    <w:rsid w:val="00406860"/>
    <w:rsid w:val="004105D2"/>
    <w:rsid w:val="00412246"/>
    <w:rsid w:val="0042397B"/>
    <w:rsid w:val="0042683E"/>
    <w:rsid w:val="004276D8"/>
    <w:rsid w:val="0043029F"/>
    <w:rsid w:val="00432131"/>
    <w:rsid w:val="0043215B"/>
    <w:rsid w:val="0043362D"/>
    <w:rsid w:val="00442829"/>
    <w:rsid w:val="004436F2"/>
    <w:rsid w:val="00444952"/>
    <w:rsid w:val="0044520D"/>
    <w:rsid w:val="0044710D"/>
    <w:rsid w:val="00452B64"/>
    <w:rsid w:val="00453DE0"/>
    <w:rsid w:val="004576A8"/>
    <w:rsid w:val="00461433"/>
    <w:rsid w:val="004642BD"/>
    <w:rsid w:val="00464812"/>
    <w:rsid w:val="00475CF9"/>
    <w:rsid w:val="004774AA"/>
    <w:rsid w:val="00480337"/>
    <w:rsid w:val="0048675D"/>
    <w:rsid w:val="00487A7C"/>
    <w:rsid w:val="00491280"/>
    <w:rsid w:val="00492947"/>
    <w:rsid w:val="00494230"/>
    <w:rsid w:val="00496CF5"/>
    <w:rsid w:val="0049FD5D"/>
    <w:rsid w:val="004A21F3"/>
    <w:rsid w:val="004A4F90"/>
    <w:rsid w:val="004A59DD"/>
    <w:rsid w:val="004B0F62"/>
    <w:rsid w:val="004B230C"/>
    <w:rsid w:val="004B381A"/>
    <w:rsid w:val="004B6320"/>
    <w:rsid w:val="004C2CA5"/>
    <w:rsid w:val="004C48BF"/>
    <w:rsid w:val="004D3DFC"/>
    <w:rsid w:val="004D48D5"/>
    <w:rsid w:val="004D5A2D"/>
    <w:rsid w:val="004D66C2"/>
    <w:rsid w:val="004D6740"/>
    <w:rsid w:val="004E02CB"/>
    <w:rsid w:val="004E0F3E"/>
    <w:rsid w:val="004E20BE"/>
    <w:rsid w:val="004E2E89"/>
    <w:rsid w:val="004E71BA"/>
    <w:rsid w:val="005025BE"/>
    <w:rsid w:val="00503E6B"/>
    <w:rsid w:val="0050464E"/>
    <w:rsid w:val="0050546D"/>
    <w:rsid w:val="00507C02"/>
    <w:rsid w:val="00510AC9"/>
    <w:rsid w:val="005110BC"/>
    <w:rsid w:val="00512C2E"/>
    <w:rsid w:val="00524C48"/>
    <w:rsid w:val="0053139A"/>
    <w:rsid w:val="005313FC"/>
    <w:rsid w:val="00531882"/>
    <w:rsid w:val="00533B27"/>
    <w:rsid w:val="00545779"/>
    <w:rsid w:val="00546FF8"/>
    <w:rsid w:val="00550E9B"/>
    <w:rsid w:val="005532FC"/>
    <w:rsid w:val="00554039"/>
    <w:rsid w:val="005562FA"/>
    <w:rsid w:val="00557F52"/>
    <w:rsid w:val="0055FF8F"/>
    <w:rsid w:val="00560245"/>
    <w:rsid w:val="00562F40"/>
    <w:rsid w:val="00563849"/>
    <w:rsid w:val="005656F7"/>
    <w:rsid w:val="00566979"/>
    <w:rsid w:val="00572509"/>
    <w:rsid w:val="0057658E"/>
    <w:rsid w:val="005809A5"/>
    <w:rsid w:val="00580E33"/>
    <w:rsid w:val="00591CFD"/>
    <w:rsid w:val="00592F72"/>
    <w:rsid w:val="0059583B"/>
    <w:rsid w:val="00596011"/>
    <w:rsid w:val="005A00BF"/>
    <w:rsid w:val="005A04BA"/>
    <w:rsid w:val="005A1127"/>
    <w:rsid w:val="005A2359"/>
    <w:rsid w:val="005A2504"/>
    <w:rsid w:val="005A36E3"/>
    <w:rsid w:val="005A6AE5"/>
    <w:rsid w:val="005A6BAE"/>
    <w:rsid w:val="005A6C01"/>
    <w:rsid w:val="005A727A"/>
    <w:rsid w:val="005A788A"/>
    <w:rsid w:val="005B1332"/>
    <w:rsid w:val="005B2A9A"/>
    <w:rsid w:val="005B47AD"/>
    <w:rsid w:val="005B4DFD"/>
    <w:rsid w:val="005B7BF6"/>
    <w:rsid w:val="005C1100"/>
    <w:rsid w:val="005C2DA2"/>
    <w:rsid w:val="005C56BB"/>
    <w:rsid w:val="005C7BFB"/>
    <w:rsid w:val="005D2928"/>
    <w:rsid w:val="005D404A"/>
    <w:rsid w:val="005D5510"/>
    <w:rsid w:val="005D5B5B"/>
    <w:rsid w:val="005E15CE"/>
    <w:rsid w:val="005E2710"/>
    <w:rsid w:val="005E73DC"/>
    <w:rsid w:val="005F1701"/>
    <w:rsid w:val="005F2D47"/>
    <w:rsid w:val="005F4372"/>
    <w:rsid w:val="006027DA"/>
    <w:rsid w:val="00604358"/>
    <w:rsid w:val="0061212B"/>
    <w:rsid w:val="00614E4B"/>
    <w:rsid w:val="006205F9"/>
    <w:rsid w:val="006229E9"/>
    <w:rsid w:val="0062452E"/>
    <w:rsid w:val="00632DB3"/>
    <w:rsid w:val="00633A34"/>
    <w:rsid w:val="00634399"/>
    <w:rsid w:val="006413F0"/>
    <w:rsid w:val="006420AA"/>
    <w:rsid w:val="00643AE1"/>
    <w:rsid w:val="00652D79"/>
    <w:rsid w:val="00653EDC"/>
    <w:rsid w:val="00655278"/>
    <w:rsid w:val="00662019"/>
    <w:rsid w:val="0066310B"/>
    <w:rsid w:val="006751BF"/>
    <w:rsid w:val="00681299"/>
    <w:rsid w:val="006815C5"/>
    <w:rsid w:val="0068210E"/>
    <w:rsid w:val="0068260B"/>
    <w:rsid w:val="006849DE"/>
    <w:rsid w:val="00692A5A"/>
    <w:rsid w:val="006936D9"/>
    <w:rsid w:val="006A22F6"/>
    <w:rsid w:val="006A3FFF"/>
    <w:rsid w:val="006A462D"/>
    <w:rsid w:val="006A79F1"/>
    <w:rsid w:val="006B105E"/>
    <w:rsid w:val="006B49B4"/>
    <w:rsid w:val="006C2B1A"/>
    <w:rsid w:val="006C3B66"/>
    <w:rsid w:val="006C46BE"/>
    <w:rsid w:val="006C5CCB"/>
    <w:rsid w:val="006C7F4D"/>
    <w:rsid w:val="006D1A1E"/>
    <w:rsid w:val="006D39B6"/>
    <w:rsid w:val="006D47F4"/>
    <w:rsid w:val="006E1C2C"/>
    <w:rsid w:val="006F195D"/>
    <w:rsid w:val="006F2148"/>
    <w:rsid w:val="006F3AE3"/>
    <w:rsid w:val="006F4ED4"/>
    <w:rsid w:val="006F5A81"/>
    <w:rsid w:val="006F68D1"/>
    <w:rsid w:val="006F768A"/>
    <w:rsid w:val="00705F24"/>
    <w:rsid w:val="0070762C"/>
    <w:rsid w:val="007102B8"/>
    <w:rsid w:val="007104A4"/>
    <w:rsid w:val="00710815"/>
    <w:rsid w:val="0071249D"/>
    <w:rsid w:val="0071279E"/>
    <w:rsid w:val="007176BD"/>
    <w:rsid w:val="00717E1C"/>
    <w:rsid w:val="00727927"/>
    <w:rsid w:val="00731BB9"/>
    <w:rsid w:val="00735076"/>
    <w:rsid w:val="007350FF"/>
    <w:rsid w:val="00736621"/>
    <w:rsid w:val="007371F8"/>
    <w:rsid w:val="00740C9A"/>
    <w:rsid w:val="007443CB"/>
    <w:rsid w:val="00745D90"/>
    <w:rsid w:val="00746934"/>
    <w:rsid w:val="00747121"/>
    <w:rsid w:val="007518A4"/>
    <w:rsid w:val="00754AF5"/>
    <w:rsid w:val="00754EBC"/>
    <w:rsid w:val="00757196"/>
    <w:rsid w:val="00761E5C"/>
    <w:rsid w:val="007648F5"/>
    <w:rsid w:val="00764BF9"/>
    <w:rsid w:val="007672E1"/>
    <w:rsid w:val="007719BB"/>
    <w:rsid w:val="0078082C"/>
    <w:rsid w:val="007816AA"/>
    <w:rsid w:val="007823A3"/>
    <w:rsid w:val="00785A93"/>
    <w:rsid w:val="007879B7"/>
    <w:rsid w:val="007956EE"/>
    <w:rsid w:val="007960D4"/>
    <w:rsid w:val="00796B98"/>
    <w:rsid w:val="00797484"/>
    <w:rsid w:val="007A3450"/>
    <w:rsid w:val="007A526A"/>
    <w:rsid w:val="007A6E36"/>
    <w:rsid w:val="007A7ACB"/>
    <w:rsid w:val="007B6914"/>
    <w:rsid w:val="007C06FC"/>
    <w:rsid w:val="007C2952"/>
    <w:rsid w:val="007C7384"/>
    <w:rsid w:val="007D1861"/>
    <w:rsid w:val="007D3E36"/>
    <w:rsid w:val="007D5CC3"/>
    <w:rsid w:val="007E0AF7"/>
    <w:rsid w:val="007E35A6"/>
    <w:rsid w:val="007E3D93"/>
    <w:rsid w:val="007E7842"/>
    <w:rsid w:val="007F1CD7"/>
    <w:rsid w:val="007F3282"/>
    <w:rsid w:val="007F5013"/>
    <w:rsid w:val="007F60DA"/>
    <w:rsid w:val="007F654A"/>
    <w:rsid w:val="007F7157"/>
    <w:rsid w:val="00802819"/>
    <w:rsid w:val="0080328B"/>
    <w:rsid w:val="00803CB9"/>
    <w:rsid w:val="00804D20"/>
    <w:rsid w:val="00807CE0"/>
    <w:rsid w:val="008127F1"/>
    <w:rsid w:val="00815E0C"/>
    <w:rsid w:val="00823C9C"/>
    <w:rsid w:val="0082522E"/>
    <w:rsid w:val="00825355"/>
    <w:rsid w:val="008273F5"/>
    <w:rsid w:val="00832616"/>
    <w:rsid w:val="00833D6F"/>
    <w:rsid w:val="00834133"/>
    <w:rsid w:val="008361CD"/>
    <w:rsid w:val="00847698"/>
    <w:rsid w:val="00852B84"/>
    <w:rsid w:val="0085413E"/>
    <w:rsid w:val="0085457D"/>
    <w:rsid w:val="008547A8"/>
    <w:rsid w:val="00856523"/>
    <w:rsid w:val="00856C15"/>
    <w:rsid w:val="00857C49"/>
    <w:rsid w:val="008607E9"/>
    <w:rsid w:val="00860A15"/>
    <w:rsid w:val="0086252A"/>
    <w:rsid w:val="008638DB"/>
    <w:rsid w:val="008645CF"/>
    <w:rsid w:val="00873AFE"/>
    <w:rsid w:val="00873CC8"/>
    <w:rsid w:val="0087492A"/>
    <w:rsid w:val="00875A2E"/>
    <w:rsid w:val="00876A2B"/>
    <w:rsid w:val="00880DE8"/>
    <w:rsid w:val="008821E8"/>
    <w:rsid w:val="0088362A"/>
    <w:rsid w:val="00884D6A"/>
    <w:rsid w:val="00884DB3"/>
    <w:rsid w:val="0088740A"/>
    <w:rsid w:val="00887D52"/>
    <w:rsid w:val="00891D86"/>
    <w:rsid w:val="00894E17"/>
    <w:rsid w:val="00895EC4"/>
    <w:rsid w:val="0089747C"/>
    <w:rsid w:val="008974C0"/>
    <w:rsid w:val="008979A0"/>
    <w:rsid w:val="008A3F98"/>
    <w:rsid w:val="008A3FEF"/>
    <w:rsid w:val="008A66DC"/>
    <w:rsid w:val="008A723D"/>
    <w:rsid w:val="008A7828"/>
    <w:rsid w:val="008B1925"/>
    <w:rsid w:val="008B4A84"/>
    <w:rsid w:val="008B564D"/>
    <w:rsid w:val="008B65A3"/>
    <w:rsid w:val="008C0FCE"/>
    <w:rsid w:val="008C1CF7"/>
    <w:rsid w:val="008C4A78"/>
    <w:rsid w:val="008C6B8E"/>
    <w:rsid w:val="008C723F"/>
    <w:rsid w:val="008D16DF"/>
    <w:rsid w:val="008D2771"/>
    <w:rsid w:val="008D3499"/>
    <w:rsid w:val="008E02FB"/>
    <w:rsid w:val="008E084B"/>
    <w:rsid w:val="008E1E9F"/>
    <w:rsid w:val="008E2205"/>
    <w:rsid w:val="008E3F0F"/>
    <w:rsid w:val="008F5BD1"/>
    <w:rsid w:val="008F64CA"/>
    <w:rsid w:val="009004A3"/>
    <w:rsid w:val="00905EA4"/>
    <w:rsid w:val="00906516"/>
    <w:rsid w:val="00907B74"/>
    <w:rsid w:val="00911D03"/>
    <w:rsid w:val="00913C92"/>
    <w:rsid w:val="00914684"/>
    <w:rsid w:val="00916460"/>
    <w:rsid w:val="0092541D"/>
    <w:rsid w:val="009255B4"/>
    <w:rsid w:val="00925D8B"/>
    <w:rsid w:val="0093105C"/>
    <w:rsid w:val="0093133E"/>
    <w:rsid w:val="00934320"/>
    <w:rsid w:val="00937C68"/>
    <w:rsid w:val="00940B11"/>
    <w:rsid w:val="0094341E"/>
    <w:rsid w:val="009464F6"/>
    <w:rsid w:val="00951A7C"/>
    <w:rsid w:val="00953222"/>
    <w:rsid w:val="009534A9"/>
    <w:rsid w:val="00955411"/>
    <w:rsid w:val="00956036"/>
    <w:rsid w:val="00961863"/>
    <w:rsid w:val="009672F6"/>
    <w:rsid w:val="00972EBF"/>
    <w:rsid w:val="0097338C"/>
    <w:rsid w:val="00974942"/>
    <w:rsid w:val="009810C1"/>
    <w:rsid w:val="009818C5"/>
    <w:rsid w:val="009877ED"/>
    <w:rsid w:val="00993DF0"/>
    <w:rsid w:val="00996042"/>
    <w:rsid w:val="009A26E1"/>
    <w:rsid w:val="009A4227"/>
    <w:rsid w:val="009A4FED"/>
    <w:rsid w:val="009B16EE"/>
    <w:rsid w:val="009B1DFF"/>
    <w:rsid w:val="009B5179"/>
    <w:rsid w:val="009B6686"/>
    <w:rsid w:val="009C4602"/>
    <w:rsid w:val="009C57F6"/>
    <w:rsid w:val="009C6D21"/>
    <w:rsid w:val="009D3213"/>
    <w:rsid w:val="009D3A8C"/>
    <w:rsid w:val="009D4895"/>
    <w:rsid w:val="009D53C7"/>
    <w:rsid w:val="009D564E"/>
    <w:rsid w:val="009D6DC9"/>
    <w:rsid w:val="009E24EA"/>
    <w:rsid w:val="009E5A7D"/>
    <w:rsid w:val="009E68BA"/>
    <w:rsid w:val="009E7006"/>
    <w:rsid w:val="009E7234"/>
    <w:rsid w:val="009E729F"/>
    <w:rsid w:val="009E7BA1"/>
    <w:rsid w:val="009F1F39"/>
    <w:rsid w:val="009F2C60"/>
    <w:rsid w:val="00A02DF5"/>
    <w:rsid w:val="00A03F90"/>
    <w:rsid w:val="00A04B59"/>
    <w:rsid w:val="00A10A4F"/>
    <w:rsid w:val="00A11834"/>
    <w:rsid w:val="00A14433"/>
    <w:rsid w:val="00A148E7"/>
    <w:rsid w:val="00A16B31"/>
    <w:rsid w:val="00A16FD9"/>
    <w:rsid w:val="00A24C75"/>
    <w:rsid w:val="00A27DD9"/>
    <w:rsid w:val="00A33101"/>
    <w:rsid w:val="00A35950"/>
    <w:rsid w:val="00A4149C"/>
    <w:rsid w:val="00A41F04"/>
    <w:rsid w:val="00A4640C"/>
    <w:rsid w:val="00A622D6"/>
    <w:rsid w:val="00A6253E"/>
    <w:rsid w:val="00A64DC8"/>
    <w:rsid w:val="00A66351"/>
    <w:rsid w:val="00A713F1"/>
    <w:rsid w:val="00A7214C"/>
    <w:rsid w:val="00A724C5"/>
    <w:rsid w:val="00A77B78"/>
    <w:rsid w:val="00A80925"/>
    <w:rsid w:val="00A873C2"/>
    <w:rsid w:val="00A874EE"/>
    <w:rsid w:val="00A90005"/>
    <w:rsid w:val="00A93E55"/>
    <w:rsid w:val="00AA05AE"/>
    <w:rsid w:val="00AA3A96"/>
    <w:rsid w:val="00AA4912"/>
    <w:rsid w:val="00AA50A3"/>
    <w:rsid w:val="00AA562B"/>
    <w:rsid w:val="00AA7490"/>
    <w:rsid w:val="00AB32FF"/>
    <w:rsid w:val="00AB77D9"/>
    <w:rsid w:val="00AC114D"/>
    <w:rsid w:val="00AC2A70"/>
    <w:rsid w:val="00AC3F6D"/>
    <w:rsid w:val="00AC7FBD"/>
    <w:rsid w:val="00AD0E4A"/>
    <w:rsid w:val="00AD179F"/>
    <w:rsid w:val="00AD5DD4"/>
    <w:rsid w:val="00AE2AD2"/>
    <w:rsid w:val="00AE2B2F"/>
    <w:rsid w:val="00AE3404"/>
    <w:rsid w:val="00AE7FE7"/>
    <w:rsid w:val="00AF06A9"/>
    <w:rsid w:val="00AF070A"/>
    <w:rsid w:val="00AF1414"/>
    <w:rsid w:val="00AF2B61"/>
    <w:rsid w:val="00AF79BE"/>
    <w:rsid w:val="00B001A2"/>
    <w:rsid w:val="00B04E72"/>
    <w:rsid w:val="00B05224"/>
    <w:rsid w:val="00B063B9"/>
    <w:rsid w:val="00B142B7"/>
    <w:rsid w:val="00B20CA4"/>
    <w:rsid w:val="00B20E92"/>
    <w:rsid w:val="00B219DC"/>
    <w:rsid w:val="00B22D47"/>
    <w:rsid w:val="00B23EDB"/>
    <w:rsid w:val="00B24FBF"/>
    <w:rsid w:val="00B25AD7"/>
    <w:rsid w:val="00B27636"/>
    <w:rsid w:val="00B32C77"/>
    <w:rsid w:val="00B37FA3"/>
    <w:rsid w:val="00B40063"/>
    <w:rsid w:val="00B432DA"/>
    <w:rsid w:val="00B459EF"/>
    <w:rsid w:val="00B474FB"/>
    <w:rsid w:val="00B47F07"/>
    <w:rsid w:val="00B51507"/>
    <w:rsid w:val="00B5152A"/>
    <w:rsid w:val="00B53DC2"/>
    <w:rsid w:val="00B55008"/>
    <w:rsid w:val="00B55B1E"/>
    <w:rsid w:val="00B562D2"/>
    <w:rsid w:val="00B569DC"/>
    <w:rsid w:val="00B65747"/>
    <w:rsid w:val="00B72993"/>
    <w:rsid w:val="00B72EEA"/>
    <w:rsid w:val="00B7798D"/>
    <w:rsid w:val="00B813D7"/>
    <w:rsid w:val="00B813E7"/>
    <w:rsid w:val="00B814E7"/>
    <w:rsid w:val="00B81811"/>
    <w:rsid w:val="00B8211C"/>
    <w:rsid w:val="00B83044"/>
    <w:rsid w:val="00B83C97"/>
    <w:rsid w:val="00B854DA"/>
    <w:rsid w:val="00B933CE"/>
    <w:rsid w:val="00B95342"/>
    <w:rsid w:val="00B957A8"/>
    <w:rsid w:val="00B95CAB"/>
    <w:rsid w:val="00B95F7C"/>
    <w:rsid w:val="00B97018"/>
    <w:rsid w:val="00BA00A4"/>
    <w:rsid w:val="00BA08E8"/>
    <w:rsid w:val="00BA21BB"/>
    <w:rsid w:val="00BA4C04"/>
    <w:rsid w:val="00BA6A35"/>
    <w:rsid w:val="00BB08AB"/>
    <w:rsid w:val="00BB1154"/>
    <w:rsid w:val="00BB19BC"/>
    <w:rsid w:val="00BB1CA4"/>
    <w:rsid w:val="00BB3A2B"/>
    <w:rsid w:val="00BB5CF7"/>
    <w:rsid w:val="00BC0B6F"/>
    <w:rsid w:val="00BC1AC5"/>
    <w:rsid w:val="00BC7AB4"/>
    <w:rsid w:val="00BD16A5"/>
    <w:rsid w:val="00BD475B"/>
    <w:rsid w:val="00BD4F00"/>
    <w:rsid w:val="00BD796C"/>
    <w:rsid w:val="00BE0A28"/>
    <w:rsid w:val="00BE5DBB"/>
    <w:rsid w:val="00BE6FDF"/>
    <w:rsid w:val="00BE746D"/>
    <w:rsid w:val="00BE79B9"/>
    <w:rsid w:val="00BF16F0"/>
    <w:rsid w:val="00BF1840"/>
    <w:rsid w:val="00BF29C5"/>
    <w:rsid w:val="00C005E8"/>
    <w:rsid w:val="00C015A6"/>
    <w:rsid w:val="00C02172"/>
    <w:rsid w:val="00C02596"/>
    <w:rsid w:val="00C0335B"/>
    <w:rsid w:val="00C0462A"/>
    <w:rsid w:val="00C10728"/>
    <w:rsid w:val="00C13036"/>
    <w:rsid w:val="00C1578D"/>
    <w:rsid w:val="00C162EE"/>
    <w:rsid w:val="00C16365"/>
    <w:rsid w:val="00C16479"/>
    <w:rsid w:val="00C218C4"/>
    <w:rsid w:val="00C21CCC"/>
    <w:rsid w:val="00C22D76"/>
    <w:rsid w:val="00C231BA"/>
    <w:rsid w:val="00C23708"/>
    <w:rsid w:val="00C265A9"/>
    <w:rsid w:val="00C2766E"/>
    <w:rsid w:val="00C36759"/>
    <w:rsid w:val="00C37CA2"/>
    <w:rsid w:val="00C40226"/>
    <w:rsid w:val="00C41ABA"/>
    <w:rsid w:val="00C43EF1"/>
    <w:rsid w:val="00C440E4"/>
    <w:rsid w:val="00C447EE"/>
    <w:rsid w:val="00C4766A"/>
    <w:rsid w:val="00C56DED"/>
    <w:rsid w:val="00C57C59"/>
    <w:rsid w:val="00C60F70"/>
    <w:rsid w:val="00C61494"/>
    <w:rsid w:val="00C62607"/>
    <w:rsid w:val="00C64DEC"/>
    <w:rsid w:val="00C64F89"/>
    <w:rsid w:val="00C70948"/>
    <w:rsid w:val="00C73C31"/>
    <w:rsid w:val="00C8147C"/>
    <w:rsid w:val="00C84C53"/>
    <w:rsid w:val="00C86E56"/>
    <w:rsid w:val="00C90F63"/>
    <w:rsid w:val="00C915DF"/>
    <w:rsid w:val="00C93C74"/>
    <w:rsid w:val="00CA0FE4"/>
    <w:rsid w:val="00CA2085"/>
    <w:rsid w:val="00CA3E85"/>
    <w:rsid w:val="00CA4852"/>
    <w:rsid w:val="00CB1AC1"/>
    <w:rsid w:val="00CB479E"/>
    <w:rsid w:val="00CB7A26"/>
    <w:rsid w:val="00CC28BB"/>
    <w:rsid w:val="00CD2C89"/>
    <w:rsid w:val="00CD6060"/>
    <w:rsid w:val="00CE06FE"/>
    <w:rsid w:val="00CE184C"/>
    <w:rsid w:val="00CE4072"/>
    <w:rsid w:val="00CE6943"/>
    <w:rsid w:val="00CF015A"/>
    <w:rsid w:val="00CF462D"/>
    <w:rsid w:val="00CF52E2"/>
    <w:rsid w:val="00CF743A"/>
    <w:rsid w:val="00CF7F62"/>
    <w:rsid w:val="00D0059D"/>
    <w:rsid w:val="00D06EE6"/>
    <w:rsid w:val="00D11D25"/>
    <w:rsid w:val="00D12509"/>
    <w:rsid w:val="00D1334E"/>
    <w:rsid w:val="00D17FF1"/>
    <w:rsid w:val="00D22E95"/>
    <w:rsid w:val="00D25F2A"/>
    <w:rsid w:val="00D34565"/>
    <w:rsid w:val="00D36585"/>
    <w:rsid w:val="00D4068C"/>
    <w:rsid w:val="00D42465"/>
    <w:rsid w:val="00D42CF0"/>
    <w:rsid w:val="00D54614"/>
    <w:rsid w:val="00D60013"/>
    <w:rsid w:val="00D604DA"/>
    <w:rsid w:val="00D61068"/>
    <w:rsid w:val="00D61551"/>
    <w:rsid w:val="00D63E7E"/>
    <w:rsid w:val="00D676A0"/>
    <w:rsid w:val="00D6A8AE"/>
    <w:rsid w:val="00D807F4"/>
    <w:rsid w:val="00D81029"/>
    <w:rsid w:val="00D84133"/>
    <w:rsid w:val="00D85593"/>
    <w:rsid w:val="00D85C18"/>
    <w:rsid w:val="00D88AD9"/>
    <w:rsid w:val="00D92132"/>
    <w:rsid w:val="00D9692A"/>
    <w:rsid w:val="00D9723A"/>
    <w:rsid w:val="00DA07F2"/>
    <w:rsid w:val="00DA18D7"/>
    <w:rsid w:val="00DA693A"/>
    <w:rsid w:val="00DA7C38"/>
    <w:rsid w:val="00DA7E15"/>
    <w:rsid w:val="00DB03B3"/>
    <w:rsid w:val="00DB3FC7"/>
    <w:rsid w:val="00DB4909"/>
    <w:rsid w:val="00DB6516"/>
    <w:rsid w:val="00DC05E8"/>
    <w:rsid w:val="00DC240B"/>
    <w:rsid w:val="00DD1BEE"/>
    <w:rsid w:val="00DD1C61"/>
    <w:rsid w:val="00DD3E8D"/>
    <w:rsid w:val="00DD48C7"/>
    <w:rsid w:val="00DD4D74"/>
    <w:rsid w:val="00DD5AFB"/>
    <w:rsid w:val="00DD5BAA"/>
    <w:rsid w:val="00DE0F59"/>
    <w:rsid w:val="00DE4B90"/>
    <w:rsid w:val="00DF0043"/>
    <w:rsid w:val="00DF0C94"/>
    <w:rsid w:val="00DF1BD0"/>
    <w:rsid w:val="00DF378A"/>
    <w:rsid w:val="00DF60ED"/>
    <w:rsid w:val="00E02814"/>
    <w:rsid w:val="00E03E60"/>
    <w:rsid w:val="00E1047A"/>
    <w:rsid w:val="00E11F5E"/>
    <w:rsid w:val="00E15862"/>
    <w:rsid w:val="00E15B2D"/>
    <w:rsid w:val="00E16B15"/>
    <w:rsid w:val="00E230DC"/>
    <w:rsid w:val="00E24D28"/>
    <w:rsid w:val="00E26A99"/>
    <w:rsid w:val="00E27257"/>
    <w:rsid w:val="00E36B99"/>
    <w:rsid w:val="00E373CD"/>
    <w:rsid w:val="00E37E01"/>
    <w:rsid w:val="00E41AA8"/>
    <w:rsid w:val="00E41D2F"/>
    <w:rsid w:val="00E42252"/>
    <w:rsid w:val="00E42921"/>
    <w:rsid w:val="00E45501"/>
    <w:rsid w:val="00E45C6A"/>
    <w:rsid w:val="00E45D0F"/>
    <w:rsid w:val="00E5125F"/>
    <w:rsid w:val="00E55929"/>
    <w:rsid w:val="00E704A6"/>
    <w:rsid w:val="00E72622"/>
    <w:rsid w:val="00E72A65"/>
    <w:rsid w:val="00E85284"/>
    <w:rsid w:val="00E857D3"/>
    <w:rsid w:val="00E85B8C"/>
    <w:rsid w:val="00E91DE8"/>
    <w:rsid w:val="00E9447D"/>
    <w:rsid w:val="00E95DA8"/>
    <w:rsid w:val="00EA03D0"/>
    <w:rsid w:val="00EA2667"/>
    <w:rsid w:val="00EA427E"/>
    <w:rsid w:val="00EA4DA9"/>
    <w:rsid w:val="00EA5EAC"/>
    <w:rsid w:val="00EB1B1F"/>
    <w:rsid w:val="00EB3E2F"/>
    <w:rsid w:val="00EB6096"/>
    <w:rsid w:val="00EB7E49"/>
    <w:rsid w:val="00EC6CBB"/>
    <w:rsid w:val="00ED5861"/>
    <w:rsid w:val="00ED6DA9"/>
    <w:rsid w:val="00EE3CEA"/>
    <w:rsid w:val="00EE4178"/>
    <w:rsid w:val="00EE427B"/>
    <w:rsid w:val="00EE4658"/>
    <w:rsid w:val="00EE6A38"/>
    <w:rsid w:val="00EE79F4"/>
    <w:rsid w:val="00EF35DE"/>
    <w:rsid w:val="00F05229"/>
    <w:rsid w:val="00F07594"/>
    <w:rsid w:val="00F0783A"/>
    <w:rsid w:val="00F10121"/>
    <w:rsid w:val="00F12D25"/>
    <w:rsid w:val="00F13805"/>
    <w:rsid w:val="00F140B4"/>
    <w:rsid w:val="00F21B79"/>
    <w:rsid w:val="00F21B92"/>
    <w:rsid w:val="00F21D3B"/>
    <w:rsid w:val="00F23068"/>
    <w:rsid w:val="00F23451"/>
    <w:rsid w:val="00F2408E"/>
    <w:rsid w:val="00F27984"/>
    <w:rsid w:val="00F31F61"/>
    <w:rsid w:val="00F3559D"/>
    <w:rsid w:val="00F37835"/>
    <w:rsid w:val="00F42C80"/>
    <w:rsid w:val="00F43864"/>
    <w:rsid w:val="00F555DA"/>
    <w:rsid w:val="00F60FB7"/>
    <w:rsid w:val="00F62509"/>
    <w:rsid w:val="00F64CB3"/>
    <w:rsid w:val="00F657CD"/>
    <w:rsid w:val="00F671BB"/>
    <w:rsid w:val="00F7273E"/>
    <w:rsid w:val="00F72DE5"/>
    <w:rsid w:val="00F74477"/>
    <w:rsid w:val="00F74F34"/>
    <w:rsid w:val="00F77457"/>
    <w:rsid w:val="00F82178"/>
    <w:rsid w:val="00F842D5"/>
    <w:rsid w:val="00F87E3D"/>
    <w:rsid w:val="00F9161A"/>
    <w:rsid w:val="00F93FE8"/>
    <w:rsid w:val="00F95036"/>
    <w:rsid w:val="00F95882"/>
    <w:rsid w:val="00FA5E85"/>
    <w:rsid w:val="00FA630D"/>
    <w:rsid w:val="00FA7591"/>
    <w:rsid w:val="00FA7D3A"/>
    <w:rsid w:val="00FB2ABD"/>
    <w:rsid w:val="00FB35F6"/>
    <w:rsid w:val="00FB5063"/>
    <w:rsid w:val="00FB65A5"/>
    <w:rsid w:val="00FB7355"/>
    <w:rsid w:val="00FC4AAC"/>
    <w:rsid w:val="00FC6F52"/>
    <w:rsid w:val="00FC707D"/>
    <w:rsid w:val="00FD3EB7"/>
    <w:rsid w:val="00FD4B2E"/>
    <w:rsid w:val="00FD7F92"/>
    <w:rsid w:val="00FE0DE9"/>
    <w:rsid w:val="00FE14E8"/>
    <w:rsid w:val="00FE4850"/>
    <w:rsid w:val="00FE4ADA"/>
    <w:rsid w:val="00FF271E"/>
    <w:rsid w:val="00FF46AA"/>
    <w:rsid w:val="00FF4D43"/>
    <w:rsid w:val="00FF59DC"/>
    <w:rsid w:val="00FF6C81"/>
    <w:rsid w:val="00FF7486"/>
    <w:rsid w:val="00FF7B23"/>
    <w:rsid w:val="013BC2EA"/>
    <w:rsid w:val="01C7225D"/>
    <w:rsid w:val="01D8512E"/>
    <w:rsid w:val="01F36E1F"/>
    <w:rsid w:val="02745B3A"/>
    <w:rsid w:val="02861209"/>
    <w:rsid w:val="028E2CE3"/>
    <w:rsid w:val="03742D95"/>
    <w:rsid w:val="038F3E80"/>
    <w:rsid w:val="0395FE4F"/>
    <w:rsid w:val="03A8CCD5"/>
    <w:rsid w:val="03EF02FC"/>
    <w:rsid w:val="03FF1E37"/>
    <w:rsid w:val="042A6735"/>
    <w:rsid w:val="0464458F"/>
    <w:rsid w:val="053B6E00"/>
    <w:rsid w:val="0564E3A0"/>
    <w:rsid w:val="0573DE59"/>
    <w:rsid w:val="0580D811"/>
    <w:rsid w:val="05C9B4EC"/>
    <w:rsid w:val="0601F40F"/>
    <w:rsid w:val="0609F028"/>
    <w:rsid w:val="064BCE29"/>
    <w:rsid w:val="0657D2A8"/>
    <w:rsid w:val="0660E89F"/>
    <w:rsid w:val="06815F07"/>
    <w:rsid w:val="0692A5FA"/>
    <w:rsid w:val="06ABEF1C"/>
    <w:rsid w:val="06C777F3"/>
    <w:rsid w:val="070131BB"/>
    <w:rsid w:val="07B4D25D"/>
    <w:rsid w:val="07D3CB2C"/>
    <w:rsid w:val="07D4C9EC"/>
    <w:rsid w:val="0812C33B"/>
    <w:rsid w:val="083663E1"/>
    <w:rsid w:val="0837AA5F"/>
    <w:rsid w:val="08464710"/>
    <w:rsid w:val="08634854"/>
    <w:rsid w:val="087FCB16"/>
    <w:rsid w:val="08A9782A"/>
    <w:rsid w:val="0948CF51"/>
    <w:rsid w:val="094BBABE"/>
    <w:rsid w:val="0956352D"/>
    <w:rsid w:val="09633AC2"/>
    <w:rsid w:val="09DF05BA"/>
    <w:rsid w:val="09E16E3F"/>
    <w:rsid w:val="0A40A9D4"/>
    <w:rsid w:val="0A696DB7"/>
    <w:rsid w:val="0A8E45B3"/>
    <w:rsid w:val="0AB9E26F"/>
    <w:rsid w:val="0ACE87F3"/>
    <w:rsid w:val="0AD470A1"/>
    <w:rsid w:val="0B025D7F"/>
    <w:rsid w:val="0B0A2D90"/>
    <w:rsid w:val="0B9B9655"/>
    <w:rsid w:val="0B9DBBFD"/>
    <w:rsid w:val="0BA11034"/>
    <w:rsid w:val="0BBD5EB0"/>
    <w:rsid w:val="0BBDD6BF"/>
    <w:rsid w:val="0C13A93D"/>
    <w:rsid w:val="0C260FA0"/>
    <w:rsid w:val="0C74AD92"/>
    <w:rsid w:val="0C806480"/>
    <w:rsid w:val="0CCB2758"/>
    <w:rsid w:val="0CCD8E4E"/>
    <w:rsid w:val="0D09D504"/>
    <w:rsid w:val="0D268A23"/>
    <w:rsid w:val="0D4F597A"/>
    <w:rsid w:val="0D811190"/>
    <w:rsid w:val="0D8F725D"/>
    <w:rsid w:val="0DF4A3CC"/>
    <w:rsid w:val="0DF5AA71"/>
    <w:rsid w:val="0E19CE7E"/>
    <w:rsid w:val="0E30DFE2"/>
    <w:rsid w:val="0E4ADA8D"/>
    <w:rsid w:val="0E870BF6"/>
    <w:rsid w:val="0EB283E1"/>
    <w:rsid w:val="0EE6D47C"/>
    <w:rsid w:val="0EF07683"/>
    <w:rsid w:val="0F0BAB2E"/>
    <w:rsid w:val="0F1F0319"/>
    <w:rsid w:val="0F59848C"/>
    <w:rsid w:val="0FB12BBE"/>
    <w:rsid w:val="1089F8BE"/>
    <w:rsid w:val="112D22D3"/>
    <w:rsid w:val="112F0B8B"/>
    <w:rsid w:val="11B65ECC"/>
    <w:rsid w:val="1214E53F"/>
    <w:rsid w:val="121C1380"/>
    <w:rsid w:val="124A8043"/>
    <w:rsid w:val="125F3D03"/>
    <w:rsid w:val="12610438"/>
    <w:rsid w:val="12955E0E"/>
    <w:rsid w:val="12A646D3"/>
    <w:rsid w:val="12E8829D"/>
    <w:rsid w:val="12FF4D44"/>
    <w:rsid w:val="13089882"/>
    <w:rsid w:val="130C0338"/>
    <w:rsid w:val="132C79FE"/>
    <w:rsid w:val="1331BDBC"/>
    <w:rsid w:val="134154BC"/>
    <w:rsid w:val="1360E091"/>
    <w:rsid w:val="13796C08"/>
    <w:rsid w:val="13AF4D98"/>
    <w:rsid w:val="13C90C9D"/>
    <w:rsid w:val="13D3474E"/>
    <w:rsid w:val="14346F2D"/>
    <w:rsid w:val="145A7988"/>
    <w:rsid w:val="146EA983"/>
    <w:rsid w:val="1483AD22"/>
    <w:rsid w:val="14A337D7"/>
    <w:rsid w:val="14A468E3"/>
    <w:rsid w:val="14E3834D"/>
    <w:rsid w:val="1571C5C5"/>
    <w:rsid w:val="15EF05DC"/>
    <w:rsid w:val="15EF817F"/>
    <w:rsid w:val="161BCD41"/>
    <w:rsid w:val="1636EE06"/>
    <w:rsid w:val="16DEA896"/>
    <w:rsid w:val="171BF10E"/>
    <w:rsid w:val="17341B2A"/>
    <w:rsid w:val="173431A9"/>
    <w:rsid w:val="17508F4A"/>
    <w:rsid w:val="17829F43"/>
    <w:rsid w:val="17BE5D71"/>
    <w:rsid w:val="17D5E725"/>
    <w:rsid w:val="18148CBE"/>
    <w:rsid w:val="18159D9B"/>
    <w:rsid w:val="184B79B7"/>
    <w:rsid w:val="18A4FE22"/>
    <w:rsid w:val="18D0F2C5"/>
    <w:rsid w:val="18D7A2F3"/>
    <w:rsid w:val="18EB415B"/>
    <w:rsid w:val="18F6F219"/>
    <w:rsid w:val="18FD17D5"/>
    <w:rsid w:val="19046BE2"/>
    <w:rsid w:val="19123D28"/>
    <w:rsid w:val="191577E7"/>
    <w:rsid w:val="19259435"/>
    <w:rsid w:val="1964839C"/>
    <w:rsid w:val="1977DA06"/>
    <w:rsid w:val="1990C890"/>
    <w:rsid w:val="19A9A1FD"/>
    <w:rsid w:val="19EE96B8"/>
    <w:rsid w:val="1A16ABCD"/>
    <w:rsid w:val="1A324EFB"/>
    <w:rsid w:val="1A3CE387"/>
    <w:rsid w:val="1A562909"/>
    <w:rsid w:val="1A76C25E"/>
    <w:rsid w:val="1A99F6C8"/>
    <w:rsid w:val="1AA72748"/>
    <w:rsid w:val="1ABE83D5"/>
    <w:rsid w:val="1AF5FE33"/>
    <w:rsid w:val="1AF63A8D"/>
    <w:rsid w:val="1AFA820A"/>
    <w:rsid w:val="1B389D99"/>
    <w:rsid w:val="1B5DE886"/>
    <w:rsid w:val="1B9BD4EB"/>
    <w:rsid w:val="1BE81D37"/>
    <w:rsid w:val="1C28416C"/>
    <w:rsid w:val="1C48734E"/>
    <w:rsid w:val="1C96526B"/>
    <w:rsid w:val="1CB3ADC5"/>
    <w:rsid w:val="1CC1D781"/>
    <w:rsid w:val="1D0BFBE0"/>
    <w:rsid w:val="1D1FF8CE"/>
    <w:rsid w:val="1D3D806B"/>
    <w:rsid w:val="1D47D1E5"/>
    <w:rsid w:val="1D600E22"/>
    <w:rsid w:val="1D73DFA3"/>
    <w:rsid w:val="1D787285"/>
    <w:rsid w:val="1DC411CD"/>
    <w:rsid w:val="1E45236F"/>
    <w:rsid w:val="1E4BF35D"/>
    <w:rsid w:val="1EBBC92F"/>
    <w:rsid w:val="1EC890BC"/>
    <w:rsid w:val="1F1A64B0"/>
    <w:rsid w:val="1F2A6E95"/>
    <w:rsid w:val="1F6B31C0"/>
    <w:rsid w:val="1FB43D45"/>
    <w:rsid w:val="1FDDDA70"/>
    <w:rsid w:val="20008055"/>
    <w:rsid w:val="205DD83C"/>
    <w:rsid w:val="206F8177"/>
    <w:rsid w:val="2072AA7B"/>
    <w:rsid w:val="208CABA1"/>
    <w:rsid w:val="20998165"/>
    <w:rsid w:val="20C63EF6"/>
    <w:rsid w:val="20E28A32"/>
    <w:rsid w:val="20E5246F"/>
    <w:rsid w:val="20EAB53E"/>
    <w:rsid w:val="21940883"/>
    <w:rsid w:val="21C321CB"/>
    <w:rsid w:val="22077A75"/>
    <w:rsid w:val="22484F9B"/>
    <w:rsid w:val="226CAF82"/>
    <w:rsid w:val="22FAE8FA"/>
    <w:rsid w:val="22FBD79D"/>
    <w:rsid w:val="23AFC78E"/>
    <w:rsid w:val="240B40B5"/>
    <w:rsid w:val="241578F8"/>
    <w:rsid w:val="2419243D"/>
    <w:rsid w:val="24373E9A"/>
    <w:rsid w:val="2477FFC0"/>
    <w:rsid w:val="2478CF9D"/>
    <w:rsid w:val="24B8EFBB"/>
    <w:rsid w:val="2573B1D1"/>
    <w:rsid w:val="257CFEE4"/>
    <w:rsid w:val="258A6920"/>
    <w:rsid w:val="25E5C7C3"/>
    <w:rsid w:val="25E70BDA"/>
    <w:rsid w:val="25FF08AC"/>
    <w:rsid w:val="264FABF4"/>
    <w:rsid w:val="2654FF56"/>
    <w:rsid w:val="266857B3"/>
    <w:rsid w:val="2684AFF1"/>
    <w:rsid w:val="26AFC47F"/>
    <w:rsid w:val="26CD19C0"/>
    <w:rsid w:val="26D80A9E"/>
    <w:rsid w:val="26F38227"/>
    <w:rsid w:val="2718CF45"/>
    <w:rsid w:val="271D69F3"/>
    <w:rsid w:val="2735807A"/>
    <w:rsid w:val="27669A57"/>
    <w:rsid w:val="27ADCA75"/>
    <w:rsid w:val="27CC6E6C"/>
    <w:rsid w:val="2860C581"/>
    <w:rsid w:val="28778AA0"/>
    <w:rsid w:val="28A3C4E7"/>
    <w:rsid w:val="28A404F5"/>
    <w:rsid w:val="28A52B7B"/>
    <w:rsid w:val="28D150DB"/>
    <w:rsid w:val="29042877"/>
    <w:rsid w:val="294C8876"/>
    <w:rsid w:val="2965FA1C"/>
    <w:rsid w:val="29697CA4"/>
    <w:rsid w:val="29783F22"/>
    <w:rsid w:val="298EE33B"/>
    <w:rsid w:val="29B2DDF7"/>
    <w:rsid w:val="29CEA790"/>
    <w:rsid w:val="29EFF4BF"/>
    <w:rsid w:val="2A10FFD8"/>
    <w:rsid w:val="2A5A46F8"/>
    <w:rsid w:val="2A6D213C"/>
    <w:rsid w:val="2A8BEBE4"/>
    <w:rsid w:val="2AD8723F"/>
    <w:rsid w:val="2ADA5CEA"/>
    <w:rsid w:val="2ADAEDC7"/>
    <w:rsid w:val="2B669A69"/>
    <w:rsid w:val="2B8083CF"/>
    <w:rsid w:val="2BEBFB96"/>
    <w:rsid w:val="2C14A0B0"/>
    <w:rsid w:val="2C27BC45"/>
    <w:rsid w:val="2C52C7C9"/>
    <w:rsid w:val="2C74E6CD"/>
    <w:rsid w:val="2C8C903D"/>
    <w:rsid w:val="2CBFBADE"/>
    <w:rsid w:val="2CC440DA"/>
    <w:rsid w:val="2CF8A4DE"/>
    <w:rsid w:val="2D9ED50B"/>
    <w:rsid w:val="2DE8DA33"/>
    <w:rsid w:val="2DFC8BAF"/>
    <w:rsid w:val="2DFCBA40"/>
    <w:rsid w:val="2E0E2C3C"/>
    <w:rsid w:val="2E2003A4"/>
    <w:rsid w:val="2E28609E"/>
    <w:rsid w:val="2E37419E"/>
    <w:rsid w:val="2E82C144"/>
    <w:rsid w:val="2E96BD59"/>
    <w:rsid w:val="2EA23133"/>
    <w:rsid w:val="2EB39A98"/>
    <w:rsid w:val="2EF0F296"/>
    <w:rsid w:val="2F01EE05"/>
    <w:rsid w:val="2F40BACB"/>
    <w:rsid w:val="2F715186"/>
    <w:rsid w:val="2F924976"/>
    <w:rsid w:val="2FC430FF"/>
    <w:rsid w:val="2FD27779"/>
    <w:rsid w:val="30D46798"/>
    <w:rsid w:val="310D0534"/>
    <w:rsid w:val="31298401"/>
    <w:rsid w:val="314857F0"/>
    <w:rsid w:val="316EB8FC"/>
    <w:rsid w:val="318E06B4"/>
    <w:rsid w:val="318E13A1"/>
    <w:rsid w:val="319ABC46"/>
    <w:rsid w:val="31DC98F2"/>
    <w:rsid w:val="31E455F6"/>
    <w:rsid w:val="323392ED"/>
    <w:rsid w:val="325291FA"/>
    <w:rsid w:val="3282C61D"/>
    <w:rsid w:val="32ACB73E"/>
    <w:rsid w:val="32AF02C4"/>
    <w:rsid w:val="32CAFFF4"/>
    <w:rsid w:val="32E42851"/>
    <w:rsid w:val="331F2168"/>
    <w:rsid w:val="3413ADA9"/>
    <w:rsid w:val="3431CEFF"/>
    <w:rsid w:val="34343BB9"/>
    <w:rsid w:val="34383C44"/>
    <w:rsid w:val="344125A6"/>
    <w:rsid w:val="34B579EC"/>
    <w:rsid w:val="34BAF1C9"/>
    <w:rsid w:val="34BC1D31"/>
    <w:rsid w:val="34BD73F3"/>
    <w:rsid w:val="355426DC"/>
    <w:rsid w:val="35F5892C"/>
    <w:rsid w:val="361B5272"/>
    <w:rsid w:val="364AA4E3"/>
    <w:rsid w:val="368D47AE"/>
    <w:rsid w:val="3694F666"/>
    <w:rsid w:val="36A21F1C"/>
    <w:rsid w:val="372B4740"/>
    <w:rsid w:val="374836AD"/>
    <w:rsid w:val="37ABFA88"/>
    <w:rsid w:val="37D2AA5F"/>
    <w:rsid w:val="37DF728B"/>
    <w:rsid w:val="37EFE1AB"/>
    <w:rsid w:val="387EFEA8"/>
    <w:rsid w:val="3880E010"/>
    <w:rsid w:val="3899840C"/>
    <w:rsid w:val="38AB5C67"/>
    <w:rsid w:val="38AD278A"/>
    <w:rsid w:val="38C62FE9"/>
    <w:rsid w:val="39528B89"/>
    <w:rsid w:val="395A92EA"/>
    <w:rsid w:val="396159A0"/>
    <w:rsid w:val="39C11954"/>
    <w:rsid w:val="3A07A206"/>
    <w:rsid w:val="3A15A586"/>
    <w:rsid w:val="3A2B3DE0"/>
    <w:rsid w:val="3A6F05DF"/>
    <w:rsid w:val="3A92D924"/>
    <w:rsid w:val="3A975BCA"/>
    <w:rsid w:val="3AA5C849"/>
    <w:rsid w:val="3AC460D6"/>
    <w:rsid w:val="3AC4B9D6"/>
    <w:rsid w:val="3AEF3A36"/>
    <w:rsid w:val="3AF86E3A"/>
    <w:rsid w:val="3B08ACF2"/>
    <w:rsid w:val="3B7A35C3"/>
    <w:rsid w:val="3B8EAF17"/>
    <w:rsid w:val="3BC2774C"/>
    <w:rsid w:val="3BFDD0AB"/>
    <w:rsid w:val="3C158B26"/>
    <w:rsid w:val="3C1981F9"/>
    <w:rsid w:val="3C1B587A"/>
    <w:rsid w:val="3C7C3363"/>
    <w:rsid w:val="3D019B5E"/>
    <w:rsid w:val="3D31FDE9"/>
    <w:rsid w:val="3DA891D4"/>
    <w:rsid w:val="3DCA8CDD"/>
    <w:rsid w:val="3DFC5A98"/>
    <w:rsid w:val="3E004DBB"/>
    <w:rsid w:val="3E404DB4"/>
    <w:rsid w:val="3E4FE7BB"/>
    <w:rsid w:val="3E746085"/>
    <w:rsid w:val="3E94D138"/>
    <w:rsid w:val="3E9836B7"/>
    <w:rsid w:val="3EB1CB9A"/>
    <w:rsid w:val="3EE772E1"/>
    <w:rsid w:val="3F34EFCB"/>
    <w:rsid w:val="3FCC3CA7"/>
    <w:rsid w:val="3FE0A81B"/>
    <w:rsid w:val="3FFC4F2C"/>
    <w:rsid w:val="40091BC1"/>
    <w:rsid w:val="401A8EF4"/>
    <w:rsid w:val="405EF71F"/>
    <w:rsid w:val="406A1C45"/>
    <w:rsid w:val="40BC3D9B"/>
    <w:rsid w:val="40D83F06"/>
    <w:rsid w:val="41296581"/>
    <w:rsid w:val="41510195"/>
    <w:rsid w:val="4184D04B"/>
    <w:rsid w:val="41F93A83"/>
    <w:rsid w:val="4202CBC6"/>
    <w:rsid w:val="421D2768"/>
    <w:rsid w:val="424F5449"/>
    <w:rsid w:val="42F86D66"/>
    <w:rsid w:val="431677E1"/>
    <w:rsid w:val="4317A074"/>
    <w:rsid w:val="432649E0"/>
    <w:rsid w:val="436F73BD"/>
    <w:rsid w:val="43B1146A"/>
    <w:rsid w:val="43D22026"/>
    <w:rsid w:val="440FDFC8"/>
    <w:rsid w:val="44235D6E"/>
    <w:rsid w:val="44238CA0"/>
    <w:rsid w:val="447D303A"/>
    <w:rsid w:val="44FCA583"/>
    <w:rsid w:val="4527D44A"/>
    <w:rsid w:val="45617181"/>
    <w:rsid w:val="456DF087"/>
    <w:rsid w:val="4664F1AD"/>
    <w:rsid w:val="469D6D03"/>
    <w:rsid w:val="46E8D2DB"/>
    <w:rsid w:val="471474F9"/>
    <w:rsid w:val="4731103B"/>
    <w:rsid w:val="4747808A"/>
    <w:rsid w:val="47644202"/>
    <w:rsid w:val="47650AF6"/>
    <w:rsid w:val="476AB301"/>
    <w:rsid w:val="4771F466"/>
    <w:rsid w:val="47B93CDE"/>
    <w:rsid w:val="47ED5742"/>
    <w:rsid w:val="4843DDE4"/>
    <w:rsid w:val="48971CFD"/>
    <w:rsid w:val="48990C39"/>
    <w:rsid w:val="493C5598"/>
    <w:rsid w:val="497E36D8"/>
    <w:rsid w:val="4986FB9A"/>
    <w:rsid w:val="49B807B3"/>
    <w:rsid w:val="4A304A61"/>
    <w:rsid w:val="4A4CE886"/>
    <w:rsid w:val="4A8C7FCB"/>
    <w:rsid w:val="4AB2363C"/>
    <w:rsid w:val="4B07ECF7"/>
    <w:rsid w:val="4B120D9F"/>
    <w:rsid w:val="4B1BDD44"/>
    <w:rsid w:val="4B2EA7E9"/>
    <w:rsid w:val="4B599952"/>
    <w:rsid w:val="4B7AFB05"/>
    <w:rsid w:val="4C1431DE"/>
    <w:rsid w:val="4C41A76A"/>
    <w:rsid w:val="4C5F6957"/>
    <w:rsid w:val="4C906C75"/>
    <w:rsid w:val="4CC034C6"/>
    <w:rsid w:val="4CCB3FED"/>
    <w:rsid w:val="4CCE8531"/>
    <w:rsid w:val="4D16CB66"/>
    <w:rsid w:val="4D195262"/>
    <w:rsid w:val="4D337E9D"/>
    <w:rsid w:val="4D5FDB1B"/>
    <w:rsid w:val="4D95BB77"/>
    <w:rsid w:val="4DE1ED57"/>
    <w:rsid w:val="4DF4F64A"/>
    <w:rsid w:val="4E04C51A"/>
    <w:rsid w:val="4E7BBA00"/>
    <w:rsid w:val="4E830D94"/>
    <w:rsid w:val="4E8A5F6C"/>
    <w:rsid w:val="4F52926F"/>
    <w:rsid w:val="4F5AA070"/>
    <w:rsid w:val="4F7634D9"/>
    <w:rsid w:val="4F7E3E1A"/>
    <w:rsid w:val="4F916453"/>
    <w:rsid w:val="4FB3975E"/>
    <w:rsid w:val="4FF4EB55"/>
    <w:rsid w:val="50399E62"/>
    <w:rsid w:val="504F620F"/>
    <w:rsid w:val="5055D455"/>
    <w:rsid w:val="506BAD4B"/>
    <w:rsid w:val="509D3D7D"/>
    <w:rsid w:val="50A22EE2"/>
    <w:rsid w:val="50B035F9"/>
    <w:rsid w:val="50BB573F"/>
    <w:rsid w:val="5119B602"/>
    <w:rsid w:val="5146CF2A"/>
    <w:rsid w:val="517EFF7B"/>
    <w:rsid w:val="518286F0"/>
    <w:rsid w:val="51CA1297"/>
    <w:rsid w:val="51CE7B45"/>
    <w:rsid w:val="51D84037"/>
    <w:rsid w:val="51F77E64"/>
    <w:rsid w:val="52488C72"/>
    <w:rsid w:val="525727A0"/>
    <w:rsid w:val="5258C1DC"/>
    <w:rsid w:val="52A59ABE"/>
    <w:rsid w:val="52B18D23"/>
    <w:rsid w:val="52D707DD"/>
    <w:rsid w:val="531A0D98"/>
    <w:rsid w:val="5344438B"/>
    <w:rsid w:val="535352C6"/>
    <w:rsid w:val="537C607D"/>
    <w:rsid w:val="53BC9215"/>
    <w:rsid w:val="53C53DD2"/>
    <w:rsid w:val="53D0B308"/>
    <w:rsid w:val="54028215"/>
    <w:rsid w:val="54B3AF07"/>
    <w:rsid w:val="54BFEF08"/>
    <w:rsid w:val="55204CBB"/>
    <w:rsid w:val="5557C228"/>
    <w:rsid w:val="5575A005"/>
    <w:rsid w:val="55900EE0"/>
    <w:rsid w:val="55B8BBCA"/>
    <w:rsid w:val="55C4CB4D"/>
    <w:rsid w:val="55DFBC95"/>
    <w:rsid w:val="56105293"/>
    <w:rsid w:val="5645868A"/>
    <w:rsid w:val="564E9F4F"/>
    <w:rsid w:val="56966E95"/>
    <w:rsid w:val="56CBD338"/>
    <w:rsid w:val="56D939DA"/>
    <w:rsid w:val="57411343"/>
    <w:rsid w:val="57978A23"/>
    <w:rsid w:val="579BB8E2"/>
    <w:rsid w:val="579D80A4"/>
    <w:rsid w:val="584EECFA"/>
    <w:rsid w:val="58AD40C7"/>
    <w:rsid w:val="590A093E"/>
    <w:rsid w:val="591BAA2A"/>
    <w:rsid w:val="5928B8C0"/>
    <w:rsid w:val="597B3E1F"/>
    <w:rsid w:val="5A052960"/>
    <w:rsid w:val="5A41B2E3"/>
    <w:rsid w:val="5A60EAC5"/>
    <w:rsid w:val="5A73BEBB"/>
    <w:rsid w:val="5AA965F7"/>
    <w:rsid w:val="5AD7F4E4"/>
    <w:rsid w:val="5B34E695"/>
    <w:rsid w:val="5B39B1D0"/>
    <w:rsid w:val="5B456C58"/>
    <w:rsid w:val="5B7CB11E"/>
    <w:rsid w:val="5BAE5FF2"/>
    <w:rsid w:val="5BCE5924"/>
    <w:rsid w:val="5BD6A50C"/>
    <w:rsid w:val="5BF1EE08"/>
    <w:rsid w:val="5BFF5064"/>
    <w:rsid w:val="5C1C70F1"/>
    <w:rsid w:val="5C2CC1E2"/>
    <w:rsid w:val="5C302F98"/>
    <w:rsid w:val="5C3B5A50"/>
    <w:rsid w:val="5C5532B0"/>
    <w:rsid w:val="5C72487D"/>
    <w:rsid w:val="5C81C7F7"/>
    <w:rsid w:val="5C8362BB"/>
    <w:rsid w:val="5CAC5600"/>
    <w:rsid w:val="5CB64E8D"/>
    <w:rsid w:val="5D3E3725"/>
    <w:rsid w:val="5D62187B"/>
    <w:rsid w:val="5D99DA47"/>
    <w:rsid w:val="5DAB5F7D"/>
    <w:rsid w:val="5DBB26B3"/>
    <w:rsid w:val="5DDEE8C4"/>
    <w:rsid w:val="5E28AD2B"/>
    <w:rsid w:val="5E59701E"/>
    <w:rsid w:val="5E6D5DCB"/>
    <w:rsid w:val="5E740394"/>
    <w:rsid w:val="5EF575DA"/>
    <w:rsid w:val="5F270EA2"/>
    <w:rsid w:val="5F4A78D5"/>
    <w:rsid w:val="5F55FBA4"/>
    <w:rsid w:val="5F99AF1F"/>
    <w:rsid w:val="5FC4F4C8"/>
    <w:rsid w:val="5FE3667C"/>
    <w:rsid w:val="60132A49"/>
    <w:rsid w:val="60B58C21"/>
    <w:rsid w:val="60D72919"/>
    <w:rsid w:val="61261567"/>
    <w:rsid w:val="612758D8"/>
    <w:rsid w:val="614E53BC"/>
    <w:rsid w:val="618924AA"/>
    <w:rsid w:val="61FF9B5C"/>
    <w:rsid w:val="620CC470"/>
    <w:rsid w:val="62360EC3"/>
    <w:rsid w:val="629F62FD"/>
    <w:rsid w:val="62C15D29"/>
    <w:rsid w:val="62DD2CFE"/>
    <w:rsid w:val="630C328F"/>
    <w:rsid w:val="6313A815"/>
    <w:rsid w:val="6314A965"/>
    <w:rsid w:val="632ECB94"/>
    <w:rsid w:val="637B14B2"/>
    <w:rsid w:val="637E74FF"/>
    <w:rsid w:val="63A4CD89"/>
    <w:rsid w:val="63D92CE7"/>
    <w:rsid w:val="63DDCDA4"/>
    <w:rsid w:val="640178A4"/>
    <w:rsid w:val="64567DD1"/>
    <w:rsid w:val="64CA8E04"/>
    <w:rsid w:val="65110B03"/>
    <w:rsid w:val="653A1043"/>
    <w:rsid w:val="6549CBCE"/>
    <w:rsid w:val="65A8F8A7"/>
    <w:rsid w:val="65E5F731"/>
    <w:rsid w:val="65F8FDEB"/>
    <w:rsid w:val="6600578E"/>
    <w:rsid w:val="66110BFC"/>
    <w:rsid w:val="6640EA32"/>
    <w:rsid w:val="6678287D"/>
    <w:rsid w:val="6684245B"/>
    <w:rsid w:val="66D708AE"/>
    <w:rsid w:val="670C2D93"/>
    <w:rsid w:val="673C6D73"/>
    <w:rsid w:val="6804BB84"/>
    <w:rsid w:val="689AD21D"/>
    <w:rsid w:val="68E2CB9A"/>
    <w:rsid w:val="691992E1"/>
    <w:rsid w:val="69309EAD"/>
    <w:rsid w:val="6976D371"/>
    <w:rsid w:val="69C16193"/>
    <w:rsid w:val="69EA3315"/>
    <w:rsid w:val="6A207EE3"/>
    <w:rsid w:val="6A4DDCEF"/>
    <w:rsid w:val="6A6DA847"/>
    <w:rsid w:val="6AB1EC33"/>
    <w:rsid w:val="6AB66696"/>
    <w:rsid w:val="6AB8BB23"/>
    <w:rsid w:val="6B4B0A5F"/>
    <w:rsid w:val="6B534E4B"/>
    <w:rsid w:val="6B77EAC2"/>
    <w:rsid w:val="6BA7FF6D"/>
    <w:rsid w:val="6BAABF5C"/>
    <w:rsid w:val="6BEF6B4E"/>
    <w:rsid w:val="6C142DB0"/>
    <w:rsid w:val="6C5A2E64"/>
    <w:rsid w:val="6C6D0F69"/>
    <w:rsid w:val="6C75B2BC"/>
    <w:rsid w:val="6C82D316"/>
    <w:rsid w:val="6D2657AE"/>
    <w:rsid w:val="6D497D30"/>
    <w:rsid w:val="6D5B624A"/>
    <w:rsid w:val="6DD9B1CF"/>
    <w:rsid w:val="6DF9B80C"/>
    <w:rsid w:val="6E048533"/>
    <w:rsid w:val="6E0625AC"/>
    <w:rsid w:val="6E3578A5"/>
    <w:rsid w:val="6E5186A0"/>
    <w:rsid w:val="6E5B8E80"/>
    <w:rsid w:val="6E6EA9BF"/>
    <w:rsid w:val="6E755C0D"/>
    <w:rsid w:val="6F65F566"/>
    <w:rsid w:val="6FA14B7B"/>
    <w:rsid w:val="6FA3F483"/>
    <w:rsid w:val="6FB53A58"/>
    <w:rsid w:val="6FD680FE"/>
    <w:rsid w:val="6FE278A9"/>
    <w:rsid w:val="6FE4C23E"/>
    <w:rsid w:val="6FE88D46"/>
    <w:rsid w:val="6FFFB2CD"/>
    <w:rsid w:val="700D40AB"/>
    <w:rsid w:val="703E1278"/>
    <w:rsid w:val="70A278BC"/>
    <w:rsid w:val="70B5F960"/>
    <w:rsid w:val="70D4B522"/>
    <w:rsid w:val="70E02BCF"/>
    <w:rsid w:val="7168881E"/>
    <w:rsid w:val="71728F75"/>
    <w:rsid w:val="7192E7DD"/>
    <w:rsid w:val="71D807F6"/>
    <w:rsid w:val="729F18D0"/>
    <w:rsid w:val="72D920EA"/>
    <w:rsid w:val="730E5FD6"/>
    <w:rsid w:val="731AA38B"/>
    <w:rsid w:val="73291BBA"/>
    <w:rsid w:val="73470A61"/>
    <w:rsid w:val="7357488F"/>
    <w:rsid w:val="73943B7A"/>
    <w:rsid w:val="73993F3B"/>
    <w:rsid w:val="73C6EA00"/>
    <w:rsid w:val="73D5CB86"/>
    <w:rsid w:val="73D8AC60"/>
    <w:rsid w:val="73E7AC24"/>
    <w:rsid w:val="73F99309"/>
    <w:rsid w:val="7434D9E5"/>
    <w:rsid w:val="74470FF3"/>
    <w:rsid w:val="749D51AB"/>
    <w:rsid w:val="74CD5F18"/>
    <w:rsid w:val="74D793BB"/>
    <w:rsid w:val="7525F362"/>
    <w:rsid w:val="752F2067"/>
    <w:rsid w:val="75300BDB"/>
    <w:rsid w:val="7580A8D3"/>
    <w:rsid w:val="75C0210F"/>
    <w:rsid w:val="75F33B9D"/>
    <w:rsid w:val="75F3DBCA"/>
    <w:rsid w:val="75F6509F"/>
    <w:rsid w:val="76155027"/>
    <w:rsid w:val="76170F3B"/>
    <w:rsid w:val="76ECC20C"/>
    <w:rsid w:val="77822A86"/>
    <w:rsid w:val="77959B95"/>
    <w:rsid w:val="77F770BA"/>
    <w:rsid w:val="780B3B06"/>
    <w:rsid w:val="78204016"/>
    <w:rsid w:val="7833C16A"/>
    <w:rsid w:val="7867EA7F"/>
    <w:rsid w:val="78F91F51"/>
    <w:rsid w:val="7934C7F4"/>
    <w:rsid w:val="7934EB3E"/>
    <w:rsid w:val="795A2FB2"/>
    <w:rsid w:val="795C3630"/>
    <w:rsid w:val="797BEBDB"/>
    <w:rsid w:val="79B2872A"/>
    <w:rsid w:val="79CA60EA"/>
    <w:rsid w:val="79D1CA41"/>
    <w:rsid w:val="79F6519B"/>
    <w:rsid w:val="7A694954"/>
    <w:rsid w:val="7B4D2CC7"/>
    <w:rsid w:val="7B57E0D8"/>
    <w:rsid w:val="7B5BD6A1"/>
    <w:rsid w:val="7B6F5A5B"/>
    <w:rsid w:val="7B8816F1"/>
    <w:rsid w:val="7B8BE152"/>
    <w:rsid w:val="7B9F4D5F"/>
    <w:rsid w:val="7BEF6337"/>
    <w:rsid w:val="7C230E04"/>
    <w:rsid w:val="7C40B149"/>
    <w:rsid w:val="7C5561FF"/>
    <w:rsid w:val="7C9FC173"/>
    <w:rsid w:val="7D1FD5E4"/>
    <w:rsid w:val="7D5713AC"/>
    <w:rsid w:val="7D891480"/>
    <w:rsid w:val="7D9C9408"/>
    <w:rsid w:val="7DD40947"/>
    <w:rsid w:val="7DE4243F"/>
    <w:rsid w:val="7DE70C5A"/>
    <w:rsid w:val="7E08F8C3"/>
    <w:rsid w:val="7E5B410B"/>
    <w:rsid w:val="7E7A7C8A"/>
    <w:rsid w:val="7EA9F075"/>
    <w:rsid w:val="7EBAF9A0"/>
    <w:rsid w:val="7ED0D993"/>
    <w:rsid w:val="7F20F99F"/>
    <w:rsid w:val="7F3FE702"/>
    <w:rsid w:val="7F4BAA49"/>
    <w:rsid w:val="7F67CF7C"/>
    <w:rsid w:val="7F78907C"/>
    <w:rsid w:val="7FA359C3"/>
    <w:rsid w:val="7FAAF9E4"/>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87DFDF5"/>
  <w15:chartTrackingRefBased/>
  <w15:docId w15:val="{91034A20-6883-4E8F-97CF-68435EF51CD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66E57"/>
    <w:pPr>
      <w:spacing w:after="0" w:line="240" w:lineRule="auto"/>
      <w:jc w:val="both"/>
    </w:pPr>
    <w:rPr>
      <w:rFonts w:ascii="Times New Roman" w:eastAsia="MS Mincho" w:hAnsi="Times New Roman"/>
      <w:szCs w:val="24"/>
      <w:lang w:val="en-GB" w:eastAsia="zh-CN"/>
    </w:rPr>
  </w:style>
  <w:style w:type="paragraph" w:styleId="Heading1">
    <w:name w:val="heading 1"/>
    <w:basedOn w:val="Normal"/>
    <w:next w:val="Normal"/>
    <w:link w:val="Heading1Char"/>
    <w:uiPriority w:val="9"/>
    <w:qFormat/>
    <w:rsid w:val="00366E57"/>
    <w:pPr>
      <w:keepNext/>
      <w:overflowPunct w:val="0"/>
      <w:autoSpaceDE w:val="0"/>
      <w:autoSpaceDN w:val="0"/>
      <w:adjustRightInd w:val="0"/>
      <w:textAlignment w:val="baseline"/>
      <w:outlineLvl w:val="0"/>
    </w:pPr>
    <w:rPr>
      <w:b/>
      <w:bCs/>
    </w:rPr>
  </w:style>
  <w:style w:type="paragraph" w:styleId="Heading2">
    <w:name w:val="heading 2"/>
    <w:basedOn w:val="Normal"/>
    <w:next w:val="Normal"/>
    <w:link w:val="Heading2Char"/>
    <w:uiPriority w:val="9"/>
    <w:qFormat/>
    <w:rsid w:val="00366E57"/>
    <w:pPr>
      <w:keepNext/>
      <w:spacing w:before="240" w:after="60"/>
      <w:outlineLvl w:val="1"/>
    </w:pPr>
    <w:rPr>
      <w:rFonts w:ascii="Calibri" w:hAnsi="Calibri"/>
      <w:b/>
      <w:bCs/>
      <w:i/>
      <w:iCs/>
      <w:sz w:val="28"/>
      <w:szCs w:val="28"/>
    </w:rPr>
  </w:style>
  <w:style w:type="paragraph" w:styleId="Heading3">
    <w:name w:val="heading 3"/>
    <w:basedOn w:val="Normal"/>
    <w:next w:val="Normal"/>
    <w:link w:val="Heading3Char"/>
    <w:uiPriority w:val="9"/>
    <w:qFormat/>
    <w:rsid w:val="00366E57"/>
    <w:pPr>
      <w:keepNext/>
      <w:spacing w:before="240" w:after="60"/>
      <w:outlineLvl w:val="2"/>
    </w:pPr>
    <w:rPr>
      <w:rFonts w:ascii="Calibri" w:hAnsi="Calibri"/>
      <w:b/>
      <w:bCs/>
      <w:sz w:val="26"/>
      <w:szCs w:val="26"/>
    </w:rPr>
  </w:style>
  <w:style w:type="paragraph" w:styleId="Heading4">
    <w:name w:val="heading 4"/>
    <w:basedOn w:val="Normal"/>
    <w:next w:val="Normal"/>
    <w:link w:val="Heading4Char"/>
    <w:uiPriority w:val="9"/>
    <w:unhideWhenUsed/>
    <w:qFormat/>
    <w:rsid w:val="0956352D"/>
    <w:pPr>
      <w:keepNext/>
      <w:keepLines/>
      <w:spacing w:before="40"/>
      <w:outlineLvl w:val="3"/>
    </w:pPr>
    <w:rPr>
      <w:rFonts w:asciiTheme="majorHAnsi" w:eastAsiaTheme="majorEastAsia" w:hAnsiTheme="majorHAnsi" w:cstheme="majorBidi"/>
      <w:i/>
      <w:iCs/>
      <w:color w:val="2E74B5" w:themeColor="accent1" w:themeShade="BF"/>
    </w:rPr>
  </w:style>
  <w:style w:type="paragraph" w:styleId="Heading5">
    <w:name w:val="heading 5"/>
    <w:basedOn w:val="Normal"/>
    <w:next w:val="Normal"/>
    <w:link w:val="Heading5Char"/>
    <w:uiPriority w:val="9"/>
    <w:unhideWhenUsed/>
    <w:qFormat/>
    <w:rsid w:val="0956352D"/>
    <w:pPr>
      <w:keepNext/>
      <w:keepLines/>
      <w:spacing w:before="40"/>
      <w:outlineLvl w:val="4"/>
    </w:pPr>
    <w:rPr>
      <w:rFonts w:asciiTheme="majorHAnsi" w:eastAsiaTheme="majorEastAsia" w:hAnsiTheme="majorHAnsi" w:cstheme="majorBidi"/>
      <w:color w:val="2E74B5" w:themeColor="accent1" w:themeShade="BF"/>
    </w:rPr>
  </w:style>
  <w:style w:type="paragraph" w:styleId="Heading6">
    <w:name w:val="heading 6"/>
    <w:basedOn w:val="Normal"/>
    <w:next w:val="Normal"/>
    <w:link w:val="Heading6Char"/>
    <w:uiPriority w:val="9"/>
    <w:unhideWhenUsed/>
    <w:qFormat/>
    <w:rsid w:val="0956352D"/>
    <w:pPr>
      <w:keepNext/>
      <w:keepLines/>
      <w:spacing w:before="40"/>
      <w:outlineLvl w:val="5"/>
    </w:pPr>
    <w:rPr>
      <w:rFonts w:asciiTheme="majorHAnsi" w:eastAsiaTheme="majorEastAsia" w:hAnsiTheme="majorHAnsi" w:cstheme="majorBidi"/>
      <w:color w:val="1F4D78"/>
    </w:rPr>
  </w:style>
  <w:style w:type="paragraph" w:styleId="Heading7">
    <w:name w:val="heading 7"/>
    <w:basedOn w:val="Normal"/>
    <w:next w:val="Normal"/>
    <w:link w:val="Heading7Char"/>
    <w:uiPriority w:val="9"/>
    <w:unhideWhenUsed/>
    <w:qFormat/>
    <w:rsid w:val="0956352D"/>
    <w:pPr>
      <w:keepNext/>
      <w:keepLines/>
      <w:spacing w:before="40"/>
      <w:outlineLvl w:val="6"/>
    </w:pPr>
    <w:rPr>
      <w:rFonts w:asciiTheme="majorHAnsi" w:eastAsiaTheme="majorEastAsia" w:hAnsiTheme="majorHAnsi" w:cstheme="majorBidi"/>
      <w:i/>
      <w:iCs/>
      <w:color w:val="1F4D78"/>
    </w:rPr>
  </w:style>
  <w:style w:type="paragraph" w:styleId="Heading8">
    <w:name w:val="heading 8"/>
    <w:basedOn w:val="Normal"/>
    <w:next w:val="Normal"/>
    <w:link w:val="Heading8Char"/>
    <w:uiPriority w:val="9"/>
    <w:unhideWhenUsed/>
    <w:qFormat/>
    <w:rsid w:val="0956352D"/>
    <w:pPr>
      <w:keepNext/>
      <w:keepLines/>
      <w:spacing w:before="40"/>
      <w:outlineLvl w:val="7"/>
    </w:pPr>
    <w:rPr>
      <w:rFonts w:asciiTheme="majorHAnsi" w:eastAsiaTheme="majorEastAsia" w:hAnsiTheme="majorHAnsi" w:cstheme="majorBidi"/>
      <w:color w:val="272727"/>
      <w:sz w:val="21"/>
      <w:szCs w:val="21"/>
    </w:rPr>
  </w:style>
  <w:style w:type="paragraph" w:styleId="Heading9">
    <w:name w:val="heading 9"/>
    <w:basedOn w:val="Normal"/>
    <w:next w:val="Normal"/>
    <w:link w:val="Heading9Char"/>
    <w:uiPriority w:val="9"/>
    <w:unhideWhenUsed/>
    <w:qFormat/>
    <w:rsid w:val="0956352D"/>
    <w:pPr>
      <w:keepNext/>
      <w:keepLines/>
      <w:spacing w:before="40"/>
      <w:outlineLvl w:val="8"/>
    </w:pPr>
    <w:rPr>
      <w:rFonts w:asciiTheme="majorHAnsi" w:eastAsiaTheme="majorEastAsia" w:hAnsiTheme="majorHAnsi" w:cstheme="majorBidi"/>
      <w:i/>
      <w:iCs/>
      <w:color w:val="272727"/>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366E57"/>
    <w:pPr>
      <w:spacing w:line="240" w:lineRule="atLeast"/>
      <w:ind w:leftChars="400" w:left="800"/>
    </w:pPr>
    <w:rPr>
      <w:rFonts w:ascii="Verdana" w:eastAsia="Times New Roman" w:hAnsi="Verdana"/>
      <w:sz w:val="20"/>
      <w:lang w:val="nl-NL" w:eastAsia="nl-NL"/>
    </w:rPr>
  </w:style>
  <w:style w:type="character" w:customStyle="1" w:styleId="normaltextrun">
    <w:name w:val="normaltextrun"/>
    <w:basedOn w:val="DefaultParagraphFont"/>
    <w:rsid w:val="00AA50A3"/>
  </w:style>
  <w:style w:type="character" w:customStyle="1" w:styleId="eop">
    <w:name w:val="eop"/>
    <w:basedOn w:val="DefaultParagraphFont"/>
    <w:rsid w:val="00AA50A3"/>
  </w:style>
  <w:style w:type="paragraph" w:customStyle="1" w:styleId="paragraph">
    <w:name w:val="paragraph"/>
    <w:basedOn w:val="Normal"/>
    <w:uiPriority w:val="1"/>
    <w:rsid w:val="0956352D"/>
    <w:pPr>
      <w:spacing w:beforeAutospacing="1" w:afterAutospacing="1"/>
    </w:pPr>
    <w:rPr>
      <w:rFonts w:eastAsia="Times New Roman" w:cs="Times New Roman"/>
      <w:sz w:val="24"/>
    </w:rPr>
  </w:style>
  <w:style w:type="character" w:customStyle="1" w:styleId="Menzione1">
    <w:name w:val="Menzione1"/>
    <w:basedOn w:val="DefaultParagraphFont"/>
    <w:uiPriority w:val="99"/>
    <w:unhideWhenUsed/>
    <w:rPr>
      <w:color w:val="2B579A"/>
      <w:shd w:val="clear" w:color="auto" w:fill="E6E6E6"/>
    </w:rPr>
  </w:style>
  <w:style w:type="paragraph" w:styleId="CommentText">
    <w:name w:val="annotation text"/>
    <w:basedOn w:val="Normal"/>
    <w:link w:val="CommentTextChar"/>
    <w:uiPriority w:val="99"/>
    <w:unhideWhenUsed/>
    <w:rsid w:val="0956352D"/>
    <w:rPr>
      <w:sz w:val="20"/>
      <w:szCs w:val="20"/>
    </w:rPr>
  </w:style>
  <w:style w:type="character" w:customStyle="1" w:styleId="CommentTextChar">
    <w:name w:val="Comment Text Char"/>
    <w:basedOn w:val="DefaultParagraphFont"/>
    <w:link w:val="CommentText"/>
    <w:uiPriority w:val="99"/>
    <w:rsid w:val="0956352D"/>
    <w:rPr>
      <w:noProof w:val="0"/>
      <w:sz w:val="20"/>
      <w:szCs w:val="20"/>
      <w:lang w:val="en-GB"/>
    </w:rPr>
  </w:style>
  <w:style w:type="character" w:styleId="CommentReference">
    <w:name w:val="annotation reference"/>
    <w:basedOn w:val="DefaultParagraphFont"/>
    <w:uiPriority w:val="99"/>
    <w:semiHidden/>
    <w:unhideWhenUsed/>
    <w:rPr>
      <w:sz w:val="16"/>
      <w:szCs w:val="16"/>
    </w:rPr>
  </w:style>
  <w:style w:type="paragraph" w:styleId="BalloonText">
    <w:name w:val="Balloon Text"/>
    <w:basedOn w:val="Normal"/>
    <w:link w:val="BalloonTextChar"/>
    <w:rsid w:val="00366E57"/>
    <w:rPr>
      <w:rFonts w:ascii="Tahoma" w:hAnsi="Tahoma" w:cs="Tahoma"/>
      <w:sz w:val="16"/>
      <w:szCs w:val="16"/>
    </w:rPr>
  </w:style>
  <w:style w:type="character" w:customStyle="1" w:styleId="BalloonTextChar">
    <w:name w:val="Balloon Text Char"/>
    <w:basedOn w:val="DefaultParagraphFont"/>
    <w:link w:val="BalloonText"/>
    <w:rsid w:val="00366E57"/>
    <w:rPr>
      <w:rFonts w:ascii="Tahoma" w:eastAsia="MS Mincho" w:hAnsi="Tahoma" w:cs="Tahoma"/>
      <w:sz w:val="16"/>
      <w:szCs w:val="16"/>
      <w:lang w:val="en-GB" w:eastAsia="zh-CN"/>
    </w:rPr>
  </w:style>
  <w:style w:type="paragraph" w:styleId="Header">
    <w:name w:val="header"/>
    <w:basedOn w:val="Normal"/>
    <w:link w:val="HeaderChar"/>
    <w:uiPriority w:val="99"/>
    <w:rsid w:val="00366E57"/>
    <w:pPr>
      <w:tabs>
        <w:tab w:val="center" w:pos="4680"/>
        <w:tab w:val="right" w:pos="9360"/>
      </w:tabs>
    </w:pPr>
  </w:style>
  <w:style w:type="character" w:customStyle="1" w:styleId="HeaderChar">
    <w:name w:val="Header Char"/>
    <w:basedOn w:val="DefaultParagraphFont"/>
    <w:link w:val="Header"/>
    <w:uiPriority w:val="99"/>
    <w:rsid w:val="00366E57"/>
    <w:rPr>
      <w:rFonts w:ascii="Times New Roman" w:eastAsia="MS Mincho" w:hAnsi="Times New Roman"/>
      <w:szCs w:val="24"/>
      <w:lang w:val="en-GB" w:eastAsia="zh-CN"/>
    </w:rPr>
  </w:style>
  <w:style w:type="paragraph" w:styleId="Footer">
    <w:name w:val="footer"/>
    <w:basedOn w:val="Normal"/>
    <w:link w:val="FooterChar"/>
    <w:uiPriority w:val="99"/>
    <w:rsid w:val="00366E57"/>
    <w:pPr>
      <w:tabs>
        <w:tab w:val="center" w:pos="4680"/>
        <w:tab w:val="right" w:pos="9360"/>
      </w:tabs>
    </w:pPr>
  </w:style>
  <w:style w:type="character" w:customStyle="1" w:styleId="FooterChar">
    <w:name w:val="Footer Char"/>
    <w:basedOn w:val="DefaultParagraphFont"/>
    <w:link w:val="Footer"/>
    <w:uiPriority w:val="99"/>
    <w:rsid w:val="00366E57"/>
    <w:rPr>
      <w:rFonts w:ascii="Times New Roman" w:eastAsia="MS Mincho" w:hAnsi="Times New Roman"/>
      <w:szCs w:val="24"/>
      <w:lang w:val="en-GB" w:eastAsia="zh-CN"/>
    </w:rPr>
  </w:style>
  <w:style w:type="paragraph" w:customStyle="1" w:styleId="IPPHeader">
    <w:name w:val="IPP Header"/>
    <w:basedOn w:val="Normal"/>
    <w:qFormat/>
    <w:rsid w:val="00366E57"/>
    <w:pPr>
      <w:pBdr>
        <w:bottom w:val="single" w:sz="4" w:space="4" w:color="auto"/>
      </w:pBdr>
      <w:tabs>
        <w:tab w:val="left" w:pos="1134"/>
        <w:tab w:val="right" w:pos="9072"/>
      </w:tabs>
      <w:spacing w:after="120"/>
      <w:jc w:val="left"/>
    </w:pPr>
    <w:rPr>
      <w:rFonts w:ascii="Arial" w:hAnsi="Arial"/>
      <w:sz w:val="18"/>
      <w:lang w:val="en-US"/>
    </w:rPr>
  </w:style>
  <w:style w:type="paragraph" w:customStyle="1" w:styleId="IPPFooter">
    <w:name w:val="IPP Footer"/>
    <w:basedOn w:val="IPPHeader"/>
    <w:next w:val="PlainText"/>
    <w:qFormat/>
    <w:rsid w:val="00366E57"/>
    <w:pPr>
      <w:pBdr>
        <w:top w:val="single" w:sz="4" w:space="4" w:color="auto"/>
        <w:bottom w:val="none" w:sz="0" w:space="0" w:color="auto"/>
      </w:pBdr>
      <w:tabs>
        <w:tab w:val="clear" w:pos="1134"/>
      </w:tabs>
      <w:jc w:val="right"/>
    </w:pPr>
    <w:rPr>
      <w:b/>
    </w:rPr>
  </w:style>
  <w:style w:type="paragraph" w:styleId="PlainText">
    <w:name w:val="Plain Text"/>
    <w:basedOn w:val="Normal"/>
    <w:link w:val="PlainTextChar"/>
    <w:uiPriority w:val="99"/>
    <w:unhideWhenUsed/>
    <w:rsid w:val="00366E57"/>
    <w:pPr>
      <w:jc w:val="left"/>
    </w:pPr>
    <w:rPr>
      <w:rFonts w:ascii="Courier" w:eastAsia="Times" w:hAnsi="Courier"/>
      <w:sz w:val="21"/>
      <w:szCs w:val="21"/>
      <w:lang w:val="en-AU"/>
    </w:rPr>
  </w:style>
  <w:style w:type="character" w:customStyle="1" w:styleId="PlainTextChar">
    <w:name w:val="Plain Text Char"/>
    <w:basedOn w:val="DefaultParagraphFont"/>
    <w:link w:val="PlainText"/>
    <w:uiPriority w:val="99"/>
    <w:rsid w:val="00366E57"/>
    <w:rPr>
      <w:rFonts w:ascii="Courier" w:eastAsia="Times" w:hAnsi="Courier"/>
      <w:sz w:val="21"/>
      <w:szCs w:val="21"/>
      <w:lang w:val="en-AU" w:eastAsia="zh-CN"/>
    </w:rPr>
  </w:style>
  <w:style w:type="numbering" w:customStyle="1" w:styleId="IPPParagraphnumberedlist">
    <w:name w:val="IPP Paragraph numbered list"/>
    <w:rsid w:val="00366E57"/>
    <w:pPr>
      <w:numPr>
        <w:numId w:val="1"/>
      </w:numPr>
    </w:pPr>
  </w:style>
  <w:style w:type="paragraph" w:customStyle="1" w:styleId="IPPParagraphnumbering">
    <w:name w:val="IPP Paragraph numbering"/>
    <w:basedOn w:val="IPPNormal"/>
    <w:qFormat/>
    <w:rsid w:val="00366E57"/>
    <w:pPr>
      <w:numPr>
        <w:numId w:val="9"/>
      </w:numPr>
    </w:pPr>
    <w:rPr>
      <w:lang w:val="en-US"/>
    </w:rPr>
  </w:style>
  <w:style w:type="paragraph" w:styleId="FootnoteText">
    <w:name w:val="footnote text"/>
    <w:basedOn w:val="Normal"/>
    <w:link w:val="FootnoteTextChar"/>
    <w:uiPriority w:val="99"/>
    <w:semiHidden/>
    <w:rsid w:val="00366E57"/>
    <w:pPr>
      <w:spacing w:before="60"/>
    </w:pPr>
    <w:rPr>
      <w:sz w:val="20"/>
    </w:rPr>
  </w:style>
  <w:style w:type="character" w:customStyle="1" w:styleId="FootnoteTextChar">
    <w:name w:val="Footnote Text Char"/>
    <w:basedOn w:val="DefaultParagraphFont"/>
    <w:link w:val="FootnoteText"/>
    <w:semiHidden/>
    <w:rsid w:val="00366E57"/>
    <w:rPr>
      <w:rFonts w:ascii="Times New Roman" w:eastAsia="MS Mincho" w:hAnsi="Times New Roman"/>
      <w:sz w:val="20"/>
      <w:szCs w:val="24"/>
      <w:lang w:val="en-GB" w:eastAsia="zh-CN"/>
    </w:rPr>
  </w:style>
  <w:style w:type="character" w:styleId="FootnoteReference">
    <w:name w:val="footnote reference"/>
    <w:aliases w:val="16 Point,Superscript 6 Point,Ref,de nota al pie,Footnote Reference1,Ref1,de nota al pie1,註腳內容,de nota al pie + (Asian) MS Mincho,11 pt,Footnote text"/>
    <w:basedOn w:val="DefaultParagraphFont"/>
    <w:uiPriority w:val="99"/>
    <w:rsid w:val="00366E57"/>
    <w:rPr>
      <w:vertAlign w:val="superscript"/>
    </w:rPr>
  </w:style>
  <w:style w:type="character" w:styleId="Hyperlink">
    <w:name w:val="Hyperlink"/>
    <w:basedOn w:val="DefaultParagraphFont"/>
    <w:uiPriority w:val="99"/>
    <w:unhideWhenUsed/>
    <w:rsid w:val="003C6F16"/>
    <w:rPr>
      <w:color w:val="0563C1" w:themeColor="hyperlink"/>
      <w:u w:val="single"/>
    </w:rPr>
  </w:style>
  <w:style w:type="character" w:customStyle="1" w:styleId="Mention1">
    <w:name w:val="Mention1"/>
    <w:basedOn w:val="DefaultParagraphFont"/>
    <w:uiPriority w:val="99"/>
    <w:unhideWhenUsed/>
    <w:rPr>
      <w:color w:val="2B579A"/>
      <w:shd w:val="clear" w:color="auto" w:fill="E6E6E6"/>
    </w:rPr>
  </w:style>
  <w:style w:type="paragraph" w:customStyle="1" w:styleId="xmsonormal">
    <w:name w:val="x_msonormal"/>
    <w:basedOn w:val="Normal"/>
    <w:uiPriority w:val="99"/>
    <w:rsid w:val="0956352D"/>
    <w:rPr>
      <w:rFonts w:ascii="Calibri" w:hAnsi="Calibri" w:cs="Calibri"/>
    </w:rPr>
  </w:style>
  <w:style w:type="character" w:styleId="FollowedHyperlink">
    <w:name w:val="FollowedHyperlink"/>
    <w:basedOn w:val="DefaultParagraphFont"/>
    <w:uiPriority w:val="99"/>
    <w:semiHidden/>
    <w:unhideWhenUsed/>
    <w:rsid w:val="007A526A"/>
    <w:rPr>
      <w:color w:val="954F72" w:themeColor="followedHyperlink"/>
      <w:u w:val="single"/>
    </w:rPr>
  </w:style>
  <w:style w:type="paragraph" w:customStyle="1" w:styleId="IPPAnnexHead">
    <w:name w:val="IPP AnnexHead"/>
    <w:basedOn w:val="IPPNormal"/>
    <w:next w:val="IPPNormal"/>
    <w:qFormat/>
    <w:rsid w:val="00366E57"/>
    <w:pPr>
      <w:keepNext/>
      <w:tabs>
        <w:tab w:val="left" w:pos="567"/>
      </w:tabs>
      <w:spacing w:before="120"/>
      <w:jc w:val="left"/>
      <w:outlineLvl w:val="1"/>
    </w:pPr>
    <w:rPr>
      <w:b/>
      <w:sz w:val="24"/>
    </w:rPr>
  </w:style>
  <w:style w:type="paragraph" w:styleId="NormalWeb">
    <w:name w:val="Normal (Web)"/>
    <w:basedOn w:val="Normal"/>
    <w:uiPriority w:val="99"/>
    <w:semiHidden/>
    <w:unhideWhenUsed/>
    <w:rsid w:val="0956352D"/>
    <w:rPr>
      <w:rFonts w:cs="Times New Roman"/>
      <w:sz w:val="24"/>
    </w:rPr>
  </w:style>
  <w:style w:type="paragraph" w:styleId="CommentSubject">
    <w:name w:val="annotation subject"/>
    <w:basedOn w:val="CommentText"/>
    <w:next w:val="CommentText"/>
    <w:link w:val="CommentSubjectChar"/>
    <w:uiPriority w:val="99"/>
    <w:semiHidden/>
    <w:unhideWhenUsed/>
    <w:rsid w:val="0956352D"/>
    <w:rPr>
      <w:b/>
      <w:bCs/>
    </w:rPr>
  </w:style>
  <w:style w:type="character" w:customStyle="1" w:styleId="CommentSubjectChar">
    <w:name w:val="Comment Subject Char"/>
    <w:basedOn w:val="CommentTextChar"/>
    <w:link w:val="CommentSubject"/>
    <w:uiPriority w:val="99"/>
    <w:semiHidden/>
    <w:rsid w:val="0956352D"/>
    <w:rPr>
      <w:b/>
      <w:bCs/>
      <w:noProof w:val="0"/>
      <w:sz w:val="20"/>
      <w:szCs w:val="20"/>
      <w:lang w:val="en-GB"/>
    </w:rPr>
  </w:style>
  <w:style w:type="paragraph" w:styleId="Revision">
    <w:name w:val="Revision"/>
    <w:hidden/>
    <w:uiPriority w:val="99"/>
    <w:semiHidden/>
    <w:rsid w:val="006C3B66"/>
    <w:pPr>
      <w:spacing w:after="0" w:line="240" w:lineRule="auto"/>
    </w:pPr>
  </w:style>
  <w:style w:type="character" w:customStyle="1" w:styleId="Heading1Char">
    <w:name w:val="Heading 1 Char"/>
    <w:basedOn w:val="DefaultParagraphFont"/>
    <w:link w:val="Heading1"/>
    <w:uiPriority w:val="9"/>
    <w:rsid w:val="00366E57"/>
    <w:rPr>
      <w:rFonts w:ascii="Times New Roman" w:eastAsia="MS Mincho" w:hAnsi="Times New Roman"/>
      <w:b/>
      <w:bCs/>
      <w:szCs w:val="24"/>
      <w:lang w:val="en-GB" w:eastAsia="zh-CN"/>
    </w:rPr>
  </w:style>
  <w:style w:type="character" w:customStyle="1" w:styleId="Heading2Char">
    <w:name w:val="Heading 2 Char"/>
    <w:basedOn w:val="DefaultParagraphFont"/>
    <w:link w:val="Heading2"/>
    <w:uiPriority w:val="9"/>
    <w:rsid w:val="00366E57"/>
    <w:rPr>
      <w:rFonts w:ascii="Calibri" w:eastAsia="MS Mincho" w:hAnsi="Calibri"/>
      <w:b/>
      <w:bCs/>
      <w:i/>
      <w:iCs/>
      <w:sz w:val="28"/>
      <w:szCs w:val="28"/>
      <w:lang w:val="en-GB" w:eastAsia="zh-CN"/>
    </w:rPr>
  </w:style>
  <w:style w:type="character" w:customStyle="1" w:styleId="Heading3Char">
    <w:name w:val="Heading 3 Char"/>
    <w:basedOn w:val="DefaultParagraphFont"/>
    <w:link w:val="Heading3"/>
    <w:uiPriority w:val="9"/>
    <w:rsid w:val="00366E57"/>
    <w:rPr>
      <w:rFonts w:ascii="Calibri" w:eastAsia="MS Mincho" w:hAnsi="Calibri"/>
      <w:b/>
      <w:bCs/>
      <w:sz w:val="26"/>
      <w:szCs w:val="26"/>
      <w:lang w:val="en-GB" w:eastAsia="zh-CN"/>
    </w:rPr>
  </w:style>
  <w:style w:type="paragraph" w:customStyle="1" w:styleId="Style">
    <w:name w:val="Style"/>
    <w:basedOn w:val="Footer"/>
    <w:autoRedefine/>
    <w:qFormat/>
    <w:rsid w:val="00366E57"/>
    <w:pPr>
      <w:pBdr>
        <w:top w:val="single" w:sz="4" w:space="1" w:color="auto"/>
      </w:pBdr>
      <w:tabs>
        <w:tab w:val="clear" w:pos="4680"/>
        <w:tab w:val="clear" w:pos="9360"/>
        <w:tab w:val="right" w:pos="9072"/>
      </w:tabs>
      <w:spacing w:after="120"/>
      <w:jc w:val="left"/>
    </w:pPr>
    <w:rPr>
      <w:rFonts w:ascii="Arial" w:eastAsia="Times" w:hAnsi="Arial"/>
      <w:sz w:val="18"/>
      <w:lang w:val="es-ES_tradnl" w:eastAsia="en-GB"/>
    </w:rPr>
  </w:style>
  <w:style w:type="character" w:styleId="PageNumber">
    <w:name w:val="page number"/>
    <w:rsid w:val="00366E57"/>
    <w:rPr>
      <w:rFonts w:ascii="Arial" w:hAnsi="Arial"/>
      <w:b/>
      <w:sz w:val="18"/>
    </w:rPr>
  </w:style>
  <w:style w:type="paragraph" w:customStyle="1" w:styleId="IPPArialFootnote">
    <w:name w:val="IPP Arial Footnote"/>
    <w:basedOn w:val="IPPArialTable"/>
    <w:qFormat/>
    <w:rsid w:val="00366E57"/>
    <w:pPr>
      <w:tabs>
        <w:tab w:val="left" w:pos="28"/>
      </w:tabs>
      <w:ind w:left="284" w:hanging="284"/>
    </w:pPr>
    <w:rPr>
      <w:sz w:val="16"/>
    </w:rPr>
  </w:style>
  <w:style w:type="paragraph" w:customStyle="1" w:styleId="IPPContentsHead">
    <w:name w:val="IPP ContentsHead"/>
    <w:basedOn w:val="IPPSubhead"/>
    <w:next w:val="IPPNormal"/>
    <w:qFormat/>
    <w:rsid w:val="00366E57"/>
    <w:pPr>
      <w:spacing w:after="240"/>
    </w:pPr>
    <w:rPr>
      <w:sz w:val="24"/>
    </w:rPr>
  </w:style>
  <w:style w:type="table" w:styleId="TableGrid">
    <w:name w:val="Table Grid"/>
    <w:basedOn w:val="TableNormal"/>
    <w:uiPriority w:val="59"/>
    <w:rsid w:val="00366E57"/>
    <w:pPr>
      <w:spacing w:after="200" w:line="276" w:lineRule="auto"/>
    </w:pPr>
    <w:rPr>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PPBullet2">
    <w:name w:val="IPP Bullet2"/>
    <w:basedOn w:val="IPPNormal"/>
    <w:next w:val="IPPBullet1"/>
    <w:qFormat/>
    <w:rsid w:val="00366E57"/>
    <w:pPr>
      <w:numPr>
        <w:numId w:val="3"/>
      </w:numPr>
      <w:tabs>
        <w:tab w:val="left" w:pos="1134"/>
      </w:tabs>
      <w:spacing w:after="60"/>
    </w:pPr>
  </w:style>
  <w:style w:type="paragraph" w:customStyle="1" w:styleId="IPPQuote">
    <w:name w:val="IPP Quote"/>
    <w:basedOn w:val="IPPNormal"/>
    <w:qFormat/>
    <w:rsid w:val="00366E57"/>
    <w:pPr>
      <w:ind w:left="851" w:right="851"/>
    </w:pPr>
    <w:rPr>
      <w:sz w:val="18"/>
    </w:rPr>
  </w:style>
  <w:style w:type="paragraph" w:customStyle="1" w:styleId="IPPNormal">
    <w:name w:val="IPP Normal"/>
    <w:basedOn w:val="Normal"/>
    <w:link w:val="IPPNormalChar"/>
    <w:qFormat/>
    <w:rsid w:val="00366E57"/>
    <w:pPr>
      <w:spacing w:after="180"/>
    </w:pPr>
    <w:rPr>
      <w:rFonts w:eastAsia="Times"/>
    </w:rPr>
  </w:style>
  <w:style w:type="paragraph" w:customStyle="1" w:styleId="IPPIndentClose">
    <w:name w:val="IPP Indent Close"/>
    <w:basedOn w:val="IPPNormal"/>
    <w:qFormat/>
    <w:rsid w:val="00366E57"/>
    <w:pPr>
      <w:tabs>
        <w:tab w:val="left" w:pos="2835"/>
      </w:tabs>
      <w:spacing w:after="60"/>
      <w:ind w:left="567"/>
    </w:pPr>
  </w:style>
  <w:style w:type="paragraph" w:customStyle="1" w:styleId="IPPIndent">
    <w:name w:val="IPP Indent"/>
    <w:basedOn w:val="IPPIndentClose"/>
    <w:qFormat/>
    <w:rsid w:val="00366E57"/>
    <w:pPr>
      <w:spacing w:after="180"/>
    </w:pPr>
  </w:style>
  <w:style w:type="paragraph" w:customStyle="1" w:styleId="IPPFootnote">
    <w:name w:val="IPP Footnote"/>
    <w:basedOn w:val="IPPArialFootnote"/>
    <w:qFormat/>
    <w:rsid w:val="00366E57"/>
    <w:pPr>
      <w:tabs>
        <w:tab w:val="left" w:pos="0"/>
      </w:tabs>
      <w:spacing w:before="0"/>
      <w:ind w:left="0" w:firstLine="0"/>
      <w:jc w:val="both"/>
    </w:pPr>
    <w:rPr>
      <w:rFonts w:ascii="Times New Roman" w:eastAsia="Times New Roman" w:hAnsi="Times New Roman"/>
      <w:sz w:val="20"/>
    </w:rPr>
  </w:style>
  <w:style w:type="paragraph" w:customStyle="1" w:styleId="IPPHeading3">
    <w:name w:val="IPP Heading3"/>
    <w:basedOn w:val="IPPNormal"/>
    <w:qFormat/>
    <w:rsid w:val="00366E57"/>
    <w:pPr>
      <w:keepNext/>
      <w:tabs>
        <w:tab w:val="left" w:pos="567"/>
      </w:tabs>
      <w:spacing w:before="120" w:after="120"/>
      <w:ind w:left="567" w:hanging="567"/>
    </w:pPr>
    <w:rPr>
      <w:b/>
      <w:i/>
    </w:rPr>
  </w:style>
  <w:style w:type="character" w:customStyle="1" w:styleId="IPPnormalitalics">
    <w:name w:val="IPP normal italics"/>
    <w:basedOn w:val="DefaultParagraphFont"/>
    <w:rsid w:val="00366E57"/>
    <w:rPr>
      <w:rFonts w:ascii="Times New Roman" w:hAnsi="Times New Roman"/>
      <w:i/>
      <w:sz w:val="22"/>
      <w:lang w:val="en-US"/>
    </w:rPr>
  </w:style>
  <w:style w:type="character" w:customStyle="1" w:styleId="IPPNormalbold">
    <w:name w:val="IPP Normal bold"/>
    <w:basedOn w:val="PlainTextChar"/>
    <w:rsid w:val="00366E57"/>
    <w:rPr>
      <w:rFonts w:ascii="Times New Roman" w:eastAsia="Times" w:hAnsi="Times New Roman"/>
      <w:b/>
      <w:sz w:val="22"/>
      <w:szCs w:val="21"/>
      <w:lang w:val="en-AU" w:eastAsia="zh-CN"/>
    </w:rPr>
  </w:style>
  <w:style w:type="paragraph" w:customStyle="1" w:styleId="IPPHeadSection">
    <w:name w:val="IPP HeadSection"/>
    <w:basedOn w:val="Normal"/>
    <w:next w:val="Normal"/>
    <w:qFormat/>
    <w:rsid w:val="00366E57"/>
    <w:pPr>
      <w:keepNext/>
      <w:tabs>
        <w:tab w:val="left" w:pos="851"/>
      </w:tabs>
      <w:spacing w:before="360" w:after="120"/>
      <w:ind w:left="851" w:hanging="851"/>
      <w:outlineLvl w:val="0"/>
    </w:pPr>
    <w:rPr>
      <w:rFonts w:eastAsia="Times"/>
      <w:b/>
      <w:bCs/>
      <w:caps/>
      <w:sz w:val="24"/>
      <w:szCs w:val="22"/>
    </w:rPr>
  </w:style>
  <w:style w:type="paragraph" w:customStyle="1" w:styleId="IPPHeading1">
    <w:name w:val="IPP Heading1"/>
    <w:basedOn w:val="IPPNormal"/>
    <w:next w:val="IPPNormal"/>
    <w:qFormat/>
    <w:rsid w:val="00366E57"/>
    <w:pPr>
      <w:keepNext/>
      <w:tabs>
        <w:tab w:val="left" w:pos="567"/>
      </w:tabs>
      <w:spacing w:before="240" w:after="120"/>
      <w:ind w:left="567" w:hanging="567"/>
      <w:jc w:val="left"/>
      <w:outlineLvl w:val="1"/>
    </w:pPr>
    <w:rPr>
      <w:b/>
      <w:sz w:val="24"/>
      <w:szCs w:val="22"/>
    </w:rPr>
  </w:style>
  <w:style w:type="paragraph" w:customStyle="1" w:styleId="IPPSubhead">
    <w:name w:val="IPP Subhead"/>
    <w:basedOn w:val="Normal"/>
    <w:qFormat/>
    <w:rsid w:val="00366E57"/>
    <w:pPr>
      <w:keepNext/>
      <w:ind w:left="567" w:hanging="567"/>
      <w:jc w:val="left"/>
    </w:pPr>
    <w:rPr>
      <w:b/>
      <w:bCs/>
      <w:iCs/>
      <w:szCs w:val="22"/>
    </w:rPr>
  </w:style>
  <w:style w:type="character" w:customStyle="1" w:styleId="IPPNormalunderlined">
    <w:name w:val="IPP Normal underlined"/>
    <w:basedOn w:val="DefaultParagraphFont"/>
    <w:rsid w:val="00366E57"/>
    <w:rPr>
      <w:rFonts w:ascii="Times New Roman" w:hAnsi="Times New Roman"/>
      <w:sz w:val="22"/>
      <w:u w:val="single"/>
      <w:lang w:val="en-US"/>
    </w:rPr>
  </w:style>
  <w:style w:type="paragraph" w:customStyle="1" w:styleId="IPPBullet1">
    <w:name w:val="IPP Bullet1"/>
    <w:basedOn w:val="IPPBullet1Last"/>
    <w:qFormat/>
    <w:rsid w:val="00366E57"/>
    <w:pPr>
      <w:numPr>
        <w:numId w:val="7"/>
      </w:numPr>
      <w:spacing w:after="60"/>
    </w:pPr>
    <w:rPr>
      <w:lang w:val="en-US"/>
    </w:rPr>
  </w:style>
  <w:style w:type="paragraph" w:customStyle="1" w:styleId="IPPBullet1Last">
    <w:name w:val="IPP Bullet1Last"/>
    <w:basedOn w:val="IPPNormal"/>
    <w:next w:val="IPPNormal"/>
    <w:autoRedefine/>
    <w:qFormat/>
    <w:rsid w:val="00366E57"/>
    <w:pPr>
      <w:numPr>
        <w:numId w:val="4"/>
      </w:numPr>
    </w:pPr>
  </w:style>
  <w:style w:type="character" w:customStyle="1" w:styleId="IPPNormalstrikethrough">
    <w:name w:val="IPP Normal strikethrough"/>
    <w:rsid w:val="00366E57"/>
    <w:rPr>
      <w:rFonts w:ascii="Times New Roman" w:hAnsi="Times New Roman"/>
      <w:strike/>
      <w:dstrike w:val="0"/>
      <w:sz w:val="22"/>
    </w:rPr>
  </w:style>
  <w:style w:type="paragraph" w:customStyle="1" w:styleId="IPPTitle16pt">
    <w:name w:val="IPP Title16pt"/>
    <w:basedOn w:val="Normal"/>
    <w:qFormat/>
    <w:rsid w:val="00366E57"/>
    <w:pPr>
      <w:spacing w:after="720"/>
      <w:ind w:left="1701" w:right="1701"/>
      <w:jc w:val="center"/>
    </w:pPr>
    <w:rPr>
      <w:rFonts w:ascii="Arial" w:hAnsi="Arial" w:cs="Arial"/>
      <w:b/>
      <w:bCs/>
      <w:sz w:val="32"/>
      <w:szCs w:val="32"/>
    </w:rPr>
  </w:style>
  <w:style w:type="paragraph" w:customStyle="1" w:styleId="IPPTitle18pt">
    <w:name w:val="IPP Title18pt"/>
    <w:basedOn w:val="Normal"/>
    <w:qFormat/>
    <w:rsid w:val="00366E57"/>
    <w:pPr>
      <w:spacing w:after="360"/>
      <w:jc w:val="center"/>
    </w:pPr>
    <w:rPr>
      <w:rFonts w:ascii="Arial" w:hAnsi="Arial" w:cs="Arial"/>
      <w:b/>
      <w:bCs/>
      <w:sz w:val="36"/>
      <w:szCs w:val="36"/>
    </w:rPr>
  </w:style>
  <w:style w:type="paragraph" w:customStyle="1" w:styleId="IPPNormalCloseSpace">
    <w:name w:val="IPP NormalCloseSpace"/>
    <w:basedOn w:val="Normal"/>
    <w:qFormat/>
    <w:rsid w:val="00366E57"/>
    <w:pPr>
      <w:keepNext/>
      <w:spacing w:after="60"/>
    </w:pPr>
  </w:style>
  <w:style w:type="paragraph" w:customStyle="1" w:styleId="IPPHeading2">
    <w:name w:val="IPP Heading2"/>
    <w:basedOn w:val="IPPNormal"/>
    <w:next w:val="IPPNormal"/>
    <w:qFormat/>
    <w:rsid w:val="00366E57"/>
    <w:pPr>
      <w:keepNext/>
      <w:tabs>
        <w:tab w:val="left" w:pos="567"/>
      </w:tabs>
      <w:spacing w:before="120" w:after="120"/>
      <w:ind w:left="567" w:hanging="567"/>
      <w:jc w:val="left"/>
      <w:outlineLvl w:val="2"/>
    </w:pPr>
    <w:rPr>
      <w:b/>
      <w:sz w:val="24"/>
    </w:rPr>
  </w:style>
  <w:style w:type="paragraph" w:styleId="TOC1">
    <w:name w:val="toc 1"/>
    <w:basedOn w:val="IPPNormalCloseSpace"/>
    <w:next w:val="Normal"/>
    <w:autoRedefine/>
    <w:uiPriority w:val="39"/>
    <w:rsid w:val="00366E57"/>
    <w:pPr>
      <w:tabs>
        <w:tab w:val="right" w:leader="dot" w:pos="9072"/>
      </w:tabs>
      <w:spacing w:before="240"/>
      <w:ind w:left="567" w:hanging="567"/>
    </w:pPr>
  </w:style>
  <w:style w:type="paragraph" w:styleId="TOC2">
    <w:name w:val="toc 2"/>
    <w:basedOn w:val="TOC1"/>
    <w:next w:val="Normal"/>
    <w:autoRedefine/>
    <w:uiPriority w:val="39"/>
    <w:rsid w:val="00366E57"/>
    <w:pPr>
      <w:keepNext w:val="0"/>
      <w:tabs>
        <w:tab w:val="left" w:pos="425"/>
      </w:tabs>
      <w:spacing w:before="120" w:after="0"/>
      <w:ind w:left="425" w:right="284" w:hanging="425"/>
    </w:pPr>
  </w:style>
  <w:style w:type="paragraph" w:styleId="TOC3">
    <w:name w:val="toc 3"/>
    <w:basedOn w:val="TOC2"/>
    <w:next w:val="Normal"/>
    <w:autoRedefine/>
    <w:uiPriority w:val="39"/>
    <w:rsid w:val="00366E57"/>
    <w:pPr>
      <w:tabs>
        <w:tab w:val="left" w:pos="1276"/>
      </w:tabs>
      <w:spacing w:before="60"/>
      <w:ind w:left="1276" w:hanging="851"/>
    </w:pPr>
    <w:rPr>
      <w:rFonts w:eastAsia="Times"/>
    </w:rPr>
  </w:style>
  <w:style w:type="paragraph" w:styleId="TOC4">
    <w:name w:val="toc 4"/>
    <w:basedOn w:val="Normal"/>
    <w:next w:val="Normal"/>
    <w:autoRedefine/>
    <w:uiPriority w:val="39"/>
    <w:rsid w:val="00366E57"/>
    <w:pPr>
      <w:spacing w:after="120"/>
      <w:ind w:left="660"/>
    </w:pPr>
    <w:rPr>
      <w:rFonts w:eastAsia="Times"/>
      <w:lang w:val="en-AU"/>
    </w:rPr>
  </w:style>
  <w:style w:type="paragraph" w:styleId="TOC5">
    <w:name w:val="toc 5"/>
    <w:basedOn w:val="Normal"/>
    <w:next w:val="Normal"/>
    <w:autoRedefine/>
    <w:uiPriority w:val="39"/>
    <w:rsid w:val="00366E57"/>
    <w:pPr>
      <w:spacing w:after="120"/>
      <w:ind w:left="880"/>
    </w:pPr>
    <w:rPr>
      <w:rFonts w:eastAsia="Times"/>
      <w:lang w:val="en-AU"/>
    </w:rPr>
  </w:style>
  <w:style w:type="paragraph" w:styleId="TOC6">
    <w:name w:val="toc 6"/>
    <w:basedOn w:val="Normal"/>
    <w:next w:val="Normal"/>
    <w:autoRedefine/>
    <w:uiPriority w:val="39"/>
    <w:rsid w:val="00366E57"/>
    <w:pPr>
      <w:spacing w:after="120"/>
      <w:ind w:left="1100"/>
    </w:pPr>
    <w:rPr>
      <w:rFonts w:eastAsia="Times"/>
      <w:lang w:val="en-AU"/>
    </w:rPr>
  </w:style>
  <w:style w:type="paragraph" w:styleId="TOC7">
    <w:name w:val="toc 7"/>
    <w:basedOn w:val="Normal"/>
    <w:next w:val="Normal"/>
    <w:autoRedefine/>
    <w:uiPriority w:val="39"/>
    <w:rsid w:val="00366E57"/>
    <w:pPr>
      <w:spacing w:after="120"/>
      <w:ind w:left="1320"/>
    </w:pPr>
    <w:rPr>
      <w:rFonts w:eastAsia="Times"/>
      <w:lang w:val="en-AU"/>
    </w:rPr>
  </w:style>
  <w:style w:type="paragraph" w:styleId="TOC8">
    <w:name w:val="toc 8"/>
    <w:basedOn w:val="Normal"/>
    <w:next w:val="Normal"/>
    <w:autoRedefine/>
    <w:uiPriority w:val="39"/>
    <w:rsid w:val="00366E57"/>
    <w:pPr>
      <w:spacing w:after="120"/>
      <w:ind w:left="1540"/>
    </w:pPr>
    <w:rPr>
      <w:rFonts w:eastAsia="Times"/>
      <w:lang w:val="en-AU"/>
    </w:rPr>
  </w:style>
  <w:style w:type="paragraph" w:styleId="TOC9">
    <w:name w:val="toc 9"/>
    <w:basedOn w:val="Normal"/>
    <w:next w:val="Normal"/>
    <w:autoRedefine/>
    <w:uiPriority w:val="39"/>
    <w:rsid w:val="00366E57"/>
    <w:pPr>
      <w:spacing w:after="120"/>
      <w:ind w:left="1760"/>
    </w:pPr>
    <w:rPr>
      <w:rFonts w:eastAsia="Times"/>
      <w:lang w:val="en-AU"/>
    </w:rPr>
  </w:style>
  <w:style w:type="paragraph" w:customStyle="1" w:styleId="IPPReferences">
    <w:name w:val="IPP References"/>
    <w:basedOn w:val="IPPNormal"/>
    <w:qFormat/>
    <w:rsid w:val="00366E57"/>
    <w:pPr>
      <w:spacing w:after="60"/>
      <w:ind w:left="567" w:hanging="567"/>
    </w:pPr>
  </w:style>
  <w:style w:type="paragraph" w:customStyle="1" w:styleId="IPPArial">
    <w:name w:val="IPP Arial"/>
    <w:basedOn w:val="IPPNormal"/>
    <w:qFormat/>
    <w:rsid w:val="00366E57"/>
    <w:pPr>
      <w:spacing w:after="0"/>
    </w:pPr>
    <w:rPr>
      <w:rFonts w:ascii="Arial" w:hAnsi="Arial"/>
      <w:sz w:val="18"/>
    </w:rPr>
  </w:style>
  <w:style w:type="paragraph" w:customStyle="1" w:styleId="IPPArialTable">
    <w:name w:val="IPP Arial Table"/>
    <w:basedOn w:val="IPPArial"/>
    <w:qFormat/>
    <w:rsid w:val="00366E57"/>
    <w:pPr>
      <w:spacing w:before="60" w:after="60"/>
      <w:jc w:val="left"/>
    </w:pPr>
  </w:style>
  <w:style w:type="paragraph" w:customStyle="1" w:styleId="IPPHeaderlandscape">
    <w:name w:val="IPP Header landscape"/>
    <w:basedOn w:val="IPPHeader"/>
    <w:qFormat/>
    <w:rsid w:val="00366E57"/>
    <w:pPr>
      <w:pBdr>
        <w:bottom w:val="single" w:sz="4" w:space="1" w:color="auto"/>
      </w:pBdr>
      <w:tabs>
        <w:tab w:val="clear" w:pos="9072"/>
        <w:tab w:val="right" w:pos="14034"/>
      </w:tabs>
      <w:spacing w:after="0"/>
      <w:ind w:right="-32"/>
    </w:pPr>
    <w:rPr>
      <w:noProof/>
    </w:rPr>
  </w:style>
  <w:style w:type="paragraph" w:customStyle="1" w:styleId="IPPLetterList">
    <w:name w:val="IPP LetterList"/>
    <w:basedOn w:val="IPPBullet2"/>
    <w:qFormat/>
    <w:rsid w:val="00366E57"/>
    <w:pPr>
      <w:numPr>
        <w:numId w:val="8"/>
      </w:numPr>
      <w:jc w:val="left"/>
    </w:pPr>
  </w:style>
  <w:style w:type="paragraph" w:customStyle="1" w:styleId="IPPLetterListIndent">
    <w:name w:val="IPP LetterList Indent"/>
    <w:basedOn w:val="IPPLetterList"/>
    <w:qFormat/>
    <w:rsid w:val="00366E57"/>
    <w:pPr>
      <w:numPr>
        <w:numId w:val="2"/>
      </w:numPr>
    </w:pPr>
  </w:style>
  <w:style w:type="paragraph" w:customStyle="1" w:styleId="IPPFooterLandscape">
    <w:name w:val="IPP Footer Landscape"/>
    <w:basedOn w:val="IPPHeaderlandscape"/>
    <w:qFormat/>
    <w:rsid w:val="00366E57"/>
    <w:pPr>
      <w:pBdr>
        <w:top w:val="single" w:sz="4" w:space="1" w:color="auto"/>
        <w:bottom w:val="none" w:sz="0" w:space="0" w:color="auto"/>
      </w:pBdr>
      <w:jc w:val="right"/>
    </w:pPr>
    <w:rPr>
      <w:b/>
    </w:rPr>
  </w:style>
  <w:style w:type="paragraph" w:customStyle="1" w:styleId="IPPSubheadSpace">
    <w:name w:val="IPP Subhead Space"/>
    <w:basedOn w:val="IPPSubhead"/>
    <w:qFormat/>
    <w:rsid w:val="00366E57"/>
    <w:pPr>
      <w:tabs>
        <w:tab w:val="left" w:pos="567"/>
      </w:tabs>
      <w:spacing w:before="60" w:after="60"/>
    </w:pPr>
  </w:style>
  <w:style w:type="paragraph" w:customStyle="1" w:styleId="IPPSubheadSpaceAfter">
    <w:name w:val="IPP Subhead SpaceAfter"/>
    <w:basedOn w:val="IPPSubhead"/>
    <w:qFormat/>
    <w:rsid w:val="00366E57"/>
    <w:pPr>
      <w:spacing w:after="60"/>
    </w:pPr>
  </w:style>
  <w:style w:type="paragraph" w:customStyle="1" w:styleId="IPPHdg1Num">
    <w:name w:val="IPP Hdg1Num"/>
    <w:basedOn w:val="IPPHeading1"/>
    <w:next w:val="IPPNormal"/>
    <w:qFormat/>
    <w:rsid w:val="00366E57"/>
    <w:pPr>
      <w:numPr>
        <w:numId w:val="5"/>
      </w:numPr>
    </w:pPr>
  </w:style>
  <w:style w:type="paragraph" w:customStyle="1" w:styleId="IPPHdg2Num">
    <w:name w:val="IPP Hdg2Num"/>
    <w:basedOn w:val="IPPHeading2"/>
    <w:next w:val="IPPNormal"/>
    <w:qFormat/>
    <w:rsid w:val="00366E57"/>
    <w:pPr>
      <w:numPr>
        <w:ilvl w:val="1"/>
        <w:numId w:val="6"/>
      </w:numPr>
    </w:pPr>
  </w:style>
  <w:style w:type="paragraph" w:customStyle="1" w:styleId="IPPNumberedList">
    <w:name w:val="IPP NumberedList"/>
    <w:basedOn w:val="IPPBullet1"/>
    <w:qFormat/>
    <w:rsid w:val="00366E57"/>
    <w:pPr>
      <w:numPr>
        <w:numId w:val="10"/>
      </w:numPr>
    </w:pPr>
  </w:style>
  <w:style w:type="character" w:styleId="Strong">
    <w:name w:val="Strong"/>
    <w:basedOn w:val="DefaultParagraphFont"/>
    <w:uiPriority w:val="22"/>
    <w:qFormat/>
    <w:rsid w:val="00366E57"/>
    <w:rPr>
      <w:b/>
      <w:bCs/>
    </w:rPr>
  </w:style>
  <w:style w:type="paragraph" w:customStyle="1" w:styleId="IPPParagraphnumberingclose">
    <w:name w:val="IPP Paragraph numbering close"/>
    <w:basedOn w:val="IPPParagraphnumbering"/>
    <w:qFormat/>
    <w:rsid w:val="00366E57"/>
    <w:pPr>
      <w:keepNext/>
      <w:numPr>
        <w:numId w:val="0"/>
      </w:numPr>
      <w:spacing w:after="60"/>
    </w:pPr>
  </w:style>
  <w:style w:type="paragraph" w:customStyle="1" w:styleId="IPPNumberedListLast">
    <w:name w:val="IPP NumberedListLast"/>
    <w:basedOn w:val="IPPNumberedList"/>
    <w:qFormat/>
    <w:rsid w:val="00366E57"/>
    <w:pPr>
      <w:numPr>
        <w:numId w:val="0"/>
      </w:numPr>
      <w:spacing w:after="180"/>
    </w:pPr>
  </w:style>
  <w:style w:type="paragraph" w:customStyle="1" w:styleId="IPPPargraphnumbering">
    <w:name w:val="IPP Pargraph numbering"/>
    <w:basedOn w:val="IPPNormal"/>
    <w:qFormat/>
    <w:rsid w:val="00366E57"/>
    <w:pPr>
      <w:tabs>
        <w:tab w:val="num" w:pos="360"/>
      </w:tabs>
    </w:pPr>
    <w:rPr>
      <w:rFonts w:cs="Times New Roman"/>
      <w:lang w:val="en-US"/>
    </w:rPr>
  </w:style>
  <w:style w:type="character" w:customStyle="1" w:styleId="IPPNormalChar">
    <w:name w:val="IPP Normal Char"/>
    <w:link w:val="IPPNormal"/>
    <w:rsid w:val="00366E57"/>
    <w:rPr>
      <w:rFonts w:ascii="Times New Roman" w:eastAsia="Times" w:hAnsi="Times New Roman"/>
      <w:szCs w:val="24"/>
      <w:lang w:val="en-GB" w:eastAsia="zh-CN"/>
    </w:rPr>
  </w:style>
  <w:style w:type="character" w:customStyle="1" w:styleId="UnresolvedMention1">
    <w:name w:val="Unresolved Mention1"/>
    <w:basedOn w:val="DefaultParagraphFont"/>
    <w:uiPriority w:val="99"/>
    <w:semiHidden/>
    <w:unhideWhenUsed/>
    <w:rsid w:val="007F5013"/>
    <w:rPr>
      <w:color w:val="605E5C"/>
      <w:shd w:val="clear" w:color="auto" w:fill="E1DFDD"/>
    </w:rPr>
  </w:style>
  <w:style w:type="paragraph" w:styleId="Title">
    <w:name w:val="Title"/>
    <w:basedOn w:val="Normal"/>
    <w:next w:val="Normal"/>
    <w:link w:val="TitleChar"/>
    <w:uiPriority w:val="10"/>
    <w:qFormat/>
    <w:rsid w:val="0956352D"/>
    <w:pPr>
      <w:contextualSpacing/>
    </w:pPr>
    <w:rPr>
      <w:rFonts w:asciiTheme="majorHAnsi" w:eastAsiaTheme="majorEastAsia" w:hAnsiTheme="majorHAnsi" w:cstheme="majorBidi"/>
      <w:sz w:val="56"/>
      <w:szCs w:val="56"/>
    </w:rPr>
  </w:style>
  <w:style w:type="paragraph" w:styleId="Subtitle">
    <w:name w:val="Subtitle"/>
    <w:basedOn w:val="Normal"/>
    <w:next w:val="Normal"/>
    <w:link w:val="SubtitleChar"/>
    <w:uiPriority w:val="11"/>
    <w:qFormat/>
    <w:rsid w:val="0956352D"/>
    <w:rPr>
      <w:rFonts w:eastAsiaTheme="minorEastAsia"/>
      <w:color w:val="5A5A5A"/>
    </w:rPr>
  </w:style>
  <w:style w:type="paragraph" w:styleId="Quote">
    <w:name w:val="Quote"/>
    <w:basedOn w:val="Normal"/>
    <w:next w:val="Normal"/>
    <w:link w:val="QuoteChar"/>
    <w:uiPriority w:val="29"/>
    <w:qFormat/>
    <w:rsid w:val="0956352D"/>
    <w:pPr>
      <w:spacing w:before="200"/>
      <w:ind w:left="864" w:right="864"/>
      <w:jc w:val="center"/>
    </w:pPr>
    <w:rPr>
      <w:i/>
      <w:iCs/>
      <w:color w:val="404040" w:themeColor="text1" w:themeTint="BF"/>
    </w:rPr>
  </w:style>
  <w:style w:type="paragraph" w:styleId="IntenseQuote">
    <w:name w:val="Intense Quote"/>
    <w:basedOn w:val="Normal"/>
    <w:next w:val="Normal"/>
    <w:link w:val="IntenseQuoteChar"/>
    <w:uiPriority w:val="30"/>
    <w:qFormat/>
    <w:rsid w:val="0956352D"/>
    <w:pPr>
      <w:spacing w:before="360" w:after="360"/>
      <w:ind w:left="864" w:right="864"/>
      <w:jc w:val="center"/>
    </w:pPr>
    <w:rPr>
      <w:i/>
      <w:iCs/>
      <w:color w:val="5B9BD5" w:themeColor="accent1"/>
    </w:rPr>
  </w:style>
  <w:style w:type="character" w:customStyle="1" w:styleId="Heading4Char">
    <w:name w:val="Heading 4 Char"/>
    <w:basedOn w:val="DefaultParagraphFont"/>
    <w:link w:val="Heading4"/>
    <w:uiPriority w:val="9"/>
    <w:rsid w:val="0956352D"/>
    <w:rPr>
      <w:rFonts w:asciiTheme="majorHAnsi" w:eastAsiaTheme="majorEastAsia" w:hAnsiTheme="majorHAnsi" w:cstheme="majorBidi"/>
      <w:i/>
      <w:iCs/>
      <w:noProof w:val="0"/>
      <w:color w:val="2E74B5" w:themeColor="accent1" w:themeShade="BF"/>
      <w:lang w:val="en-GB"/>
    </w:rPr>
  </w:style>
  <w:style w:type="character" w:customStyle="1" w:styleId="Heading5Char">
    <w:name w:val="Heading 5 Char"/>
    <w:basedOn w:val="DefaultParagraphFont"/>
    <w:link w:val="Heading5"/>
    <w:uiPriority w:val="9"/>
    <w:rsid w:val="0956352D"/>
    <w:rPr>
      <w:rFonts w:asciiTheme="majorHAnsi" w:eastAsiaTheme="majorEastAsia" w:hAnsiTheme="majorHAnsi" w:cstheme="majorBidi"/>
      <w:noProof w:val="0"/>
      <w:color w:val="2E74B5" w:themeColor="accent1" w:themeShade="BF"/>
      <w:lang w:val="en-GB"/>
    </w:rPr>
  </w:style>
  <w:style w:type="character" w:customStyle="1" w:styleId="Heading6Char">
    <w:name w:val="Heading 6 Char"/>
    <w:basedOn w:val="DefaultParagraphFont"/>
    <w:link w:val="Heading6"/>
    <w:uiPriority w:val="9"/>
    <w:rsid w:val="0956352D"/>
    <w:rPr>
      <w:rFonts w:asciiTheme="majorHAnsi" w:eastAsiaTheme="majorEastAsia" w:hAnsiTheme="majorHAnsi" w:cstheme="majorBidi"/>
      <w:noProof w:val="0"/>
      <w:color w:val="1F4D78"/>
      <w:lang w:val="en-GB"/>
    </w:rPr>
  </w:style>
  <w:style w:type="character" w:customStyle="1" w:styleId="Heading7Char">
    <w:name w:val="Heading 7 Char"/>
    <w:basedOn w:val="DefaultParagraphFont"/>
    <w:link w:val="Heading7"/>
    <w:uiPriority w:val="9"/>
    <w:rsid w:val="0956352D"/>
    <w:rPr>
      <w:rFonts w:asciiTheme="majorHAnsi" w:eastAsiaTheme="majorEastAsia" w:hAnsiTheme="majorHAnsi" w:cstheme="majorBidi"/>
      <w:i/>
      <w:iCs/>
      <w:noProof w:val="0"/>
      <w:color w:val="1F4D78"/>
      <w:lang w:val="en-GB"/>
    </w:rPr>
  </w:style>
  <w:style w:type="character" w:customStyle="1" w:styleId="Heading8Char">
    <w:name w:val="Heading 8 Char"/>
    <w:basedOn w:val="DefaultParagraphFont"/>
    <w:link w:val="Heading8"/>
    <w:uiPriority w:val="9"/>
    <w:rsid w:val="0956352D"/>
    <w:rPr>
      <w:rFonts w:asciiTheme="majorHAnsi" w:eastAsiaTheme="majorEastAsia" w:hAnsiTheme="majorHAnsi" w:cstheme="majorBidi"/>
      <w:noProof w:val="0"/>
      <w:color w:val="272727"/>
      <w:sz w:val="21"/>
      <w:szCs w:val="21"/>
      <w:lang w:val="en-GB"/>
    </w:rPr>
  </w:style>
  <w:style w:type="character" w:customStyle="1" w:styleId="Heading9Char">
    <w:name w:val="Heading 9 Char"/>
    <w:basedOn w:val="DefaultParagraphFont"/>
    <w:link w:val="Heading9"/>
    <w:uiPriority w:val="9"/>
    <w:rsid w:val="0956352D"/>
    <w:rPr>
      <w:rFonts w:asciiTheme="majorHAnsi" w:eastAsiaTheme="majorEastAsia" w:hAnsiTheme="majorHAnsi" w:cstheme="majorBidi"/>
      <w:i/>
      <w:iCs/>
      <w:noProof w:val="0"/>
      <w:color w:val="272727"/>
      <w:sz w:val="21"/>
      <w:szCs w:val="21"/>
      <w:lang w:val="en-GB"/>
    </w:rPr>
  </w:style>
  <w:style w:type="character" w:customStyle="1" w:styleId="TitleChar">
    <w:name w:val="Title Char"/>
    <w:basedOn w:val="DefaultParagraphFont"/>
    <w:link w:val="Title"/>
    <w:uiPriority w:val="10"/>
    <w:rsid w:val="0956352D"/>
    <w:rPr>
      <w:rFonts w:asciiTheme="majorHAnsi" w:eastAsiaTheme="majorEastAsia" w:hAnsiTheme="majorHAnsi" w:cstheme="majorBidi"/>
      <w:noProof w:val="0"/>
      <w:sz w:val="56"/>
      <w:szCs w:val="56"/>
      <w:lang w:val="en-GB"/>
    </w:rPr>
  </w:style>
  <w:style w:type="character" w:customStyle="1" w:styleId="SubtitleChar">
    <w:name w:val="Subtitle Char"/>
    <w:basedOn w:val="DefaultParagraphFont"/>
    <w:link w:val="Subtitle"/>
    <w:uiPriority w:val="11"/>
    <w:rsid w:val="0956352D"/>
    <w:rPr>
      <w:rFonts w:asciiTheme="minorHAnsi" w:eastAsiaTheme="minorEastAsia" w:hAnsiTheme="minorHAnsi" w:cstheme="minorBidi"/>
      <w:noProof w:val="0"/>
      <w:color w:val="5A5A5A"/>
      <w:lang w:val="en-GB"/>
    </w:rPr>
  </w:style>
  <w:style w:type="character" w:customStyle="1" w:styleId="QuoteChar">
    <w:name w:val="Quote Char"/>
    <w:basedOn w:val="DefaultParagraphFont"/>
    <w:link w:val="Quote"/>
    <w:uiPriority w:val="29"/>
    <w:rsid w:val="0956352D"/>
    <w:rPr>
      <w:i/>
      <w:iCs/>
      <w:noProof w:val="0"/>
      <w:color w:val="404040" w:themeColor="text1" w:themeTint="BF"/>
      <w:lang w:val="en-GB"/>
    </w:rPr>
  </w:style>
  <w:style w:type="character" w:customStyle="1" w:styleId="IntenseQuoteChar">
    <w:name w:val="Intense Quote Char"/>
    <w:basedOn w:val="DefaultParagraphFont"/>
    <w:link w:val="IntenseQuote"/>
    <w:uiPriority w:val="30"/>
    <w:rsid w:val="0956352D"/>
    <w:rPr>
      <w:i/>
      <w:iCs/>
      <w:noProof w:val="0"/>
      <w:color w:val="5B9BD5" w:themeColor="accent1"/>
      <w:lang w:val="en-GB"/>
    </w:rPr>
  </w:style>
  <w:style w:type="paragraph" w:styleId="EndnoteText">
    <w:name w:val="endnote text"/>
    <w:basedOn w:val="Normal"/>
    <w:link w:val="EndnoteTextChar"/>
    <w:uiPriority w:val="99"/>
    <w:semiHidden/>
    <w:unhideWhenUsed/>
    <w:rsid w:val="0956352D"/>
    <w:rPr>
      <w:sz w:val="20"/>
      <w:szCs w:val="20"/>
    </w:rPr>
  </w:style>
  <w:style w:type="character" w:customStyle="1" w:styleId="EndnoteTextChar">
    <w:name w:val="Endnote Text Char"/>
    <w:basedOn w:val="DefaultParagraphFont"/>
    <w:link w:val="EndnoteText"/>
    <w:uiPriority w:val="99"/>
    <w:semiHidden/>
    <w:rsid w:val="0956352D"/>
    <w:rPr>
      <w:noProof w:val="0"/>
      <w:sz w:val="20"/>
      <w:szCs w:val="20"/>
      <w:lang w:val="en-GB"/>
    </w:rPr>
  </w:style>
  <w:style w:type="character" w:styleId="UnresolvedMention">
    <w:name w:val="Unresolved Mention"/>
    <w:basedOn w:val="DefaultParagraphFont"/>
    <w:uiPriority w:val="99"/>
    <w:semiHidden/>
    <w:unhideWhenUsed/>
    <w:rsid w:val="007A6E36"/>
    <w:rPr>
      <w:color w:val="605E5C"/>
      <w:shd w:val="clear" w:color="auto" w:fill="E1DFDD"/>
    </w:rPr>
  </w:style>
  <w:style w:type="character" w:styleId="Mention">
    <w:name w:val="Mention"/>
    <w:basedOn w:val="DefaultParagraphFont"/>
    <w:uiPriority w:val="99"/>
    <w:unhideWhenUsed/>
    <w:rsid w:val="00F95036"/>
    <w:rPr>
      <w:color w:val="2B579A"/>
      <w:shd w:val="clear" w:color="auto" w:fill="E6E6E6"/>
    </w:rPr>
  </w:style>
  <w:style w:type="table" w:customStyle="1" w:styleId="TableGrid1">
    <w:name w:val="Table Grid1"/>
    <w:basedOn w:val="TableNormal"/>
    <w:next w:val="TableGrid"/>
    <w:rsid w:val="00E91DE8"/>
    <w:pPr>
      <w:spacing w:after="200" w:line="276" w:lineRule="auto"/>
    </w:pPr>
    <w:rPr>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IntenseEmphasis">
    <w:name w:val="Intense Emphasis"/>
    <w:basedOn w:val="DefaultParagraphFont"/>
    <w:uiPriority w:val="21"/>
    <w:qFormat/>
    <w:rsid w:val="00C0335B"/>
    <w:rPr>
      <w:i/>
      <w:iCs/>
      <w:color w:val="2E74B5" w:themeColor="accent1" w:themeShade="BF"/>
    </w:rPr>
  </w:style>
  <w:style w:type="character" w:styleId="IntenseReference">
    <w:name w:val="Intense Reference"/>
    <w:basedOn w:val="DefaultParagraphFont"/>
    <w:uiPriority w:val="32"/>
    <w:qFormat/>
    <w:rsid w:val="00C0335B"/>
    <w:rPr>
      <w:b/>
      <w:bCs/>
      <w:smallCaps/>
      <w:color w:val="2E74B5" w:themeColor="accent1" w:themeShade="BF"/>
      <w:spacing w:val="5"/>
    </w:rPr>
  </w:style>
  <w:style w:type="character" w:customStyle="1" w:styleId="uv3um">
    <w:name w:val="uv3um"/>
    <w:basedOn w:val="DefaultParagraphFont"/>
    <w:rsid w:val="00C0335B"/>
  </w:style>
  <w:style w:type="paragraph" w:customStyle="1" w:styleId="EndNoteBibliography">
    <w:name w:val="EndNote Bibliography"/>
    <w:basedOn w:val="Normal"/>
    <w:link w:val="EndNoteBibliographyChar"/>
    <w:rsid w:val="00C0335B"/>
    <w:pPr>
      <w:spacing w:after="160"/>
      <w:jc w:val="left"/>
    </w:pPr>
    <w:rPr>
      <w:rFonts w:ascii="Calibri" w:eastAsiaTheme="minorHAnsi" w:hAnsi="Calibri" w:cs="Calibri"/>
      <w:noProof/>
      <w:szCs w:val="22"/>
      <w:lang w:val="en-US" w:eastAsia="en-US"/>
    </w:rPr>
  </w:style>
  <w:style w:type="character" w:customStyle="1" w:styleId="EndNoteBibliographyChar">
    <w:name w:val="EndNote Bibliography Char"/>
    <w:basedOn w:val="DefaultParagraphFont"/>
    <w:link w:val="EndNoteBibliography"/>
    <w:rsid w:val="00C0335B"/>
    <w:rPr>
      <w:rFonts w:ascii="Calibri" w:hAnsi="Calibri" w:cs="Calibri"/>
      <w:noProo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8172424">
      <w:bodyDiv w:val="1"/>
      <w:marLeft w:val="0"/>
      <w:marRight w:val="0"/>
      <w:marTop w:val="0"/>
      <w:marBottom w:val="0"/>
      <w:divBdr>
        <w:top w:val="none" w:sz="0" w:space="0" w:color="auto"/>
        <w:left w:val="none" w:sz="0" w:space="0" w:color="auto"/>
        <w:bottom w:val="none" w:sz="0" w:space="0" w:color="auto"/>
        <w:right w:val="none" w:sz="0" w:space="0" w:color="auto"/>
      </w:divBdr>
    </w:div>
    <w:div w:id="39135627">
      <w:bodyDiv w:val="1"/>
      <w:marLeft w:val="0"/>
      <w:marRight w:val="0"/>
      <w:marTop w:val="0"/>
      <w:marBottom w:val="0"/>
      <w:divBdr>
        <w:top w:val="none" w:sz="0" w:space="0" w:color="auto"/>
        <w:left w:val="none" w:sz="0" w:space="0" w:color="auto"/>
        <w:bottom w:val="none" w:sz="0" w:space="0" w:color="auto"/>
        <w:right w:val="none" w:sz="0" w:space="0" w:color="auto"/>
      </w:divBdr>
    </w:div>
    <w:div w:id="62146047">
      <w:bodyDiv w:val="1"/>
      <w:marLeft w:val="0"/>
      <w:marRight w:val="0"/>
      <w:marTop w:val="0"/>
      <w:marBottom w:val="0"/>
      <w:divBdr>
        <w:top w:val="none" w:sz="0" w:space="0" w:color="auto"/>
        <w:left w:val="none" w:sz="0" w:space="0" w:color="auto"/>
        <w:bottom w:val="none" w:sz="0" w:space="0" w:color="auto"/>
        <w:right w:val="none" w:sz="0" w:space="0" w:color="auto"/>
      </w:divBdr>
    </w:div>
    <w:div w:id="76635977">
      <w:bodyDiv w:val="1"/>
      <w:marLeft w:val="0"/>
      <w:marRight w:val="0"/>
      <w:marTop w:val="0"/>
      <w:marBottom w:val="0"/>
      <w:divBdr>
        <w:top w:val="none" w:sz="0" w:space="0" w:color="auto"/>
        <w:left w:val="none" w:sz="0" w:space="0" w:color="auto"/>
        <w:bottom w:val="none" w:sz="0" w:space="0" w:color="auto"/>
        <w:right w:val="none" w:sz="0" w:space="0" w:color="auto"/>
      </w:divBdr>
    </w:div>
    <w:div w:id="95828842">
      <w:bodyDiv w:val="1"/>
      <w:marLeft w:val="0"/>
      <w:marRight w:val="0"/>
      <w:marTop w:val="0"/>
      <w:marBottom w:val="0"/>
      <w:divBdr>
        <w:top w:val="none" w:sz="0" w:space="0" w:color="auto"/>
        <w:left w:val="none" w:sz="0" w:space="0" w:color="auto"/>
        <w:bottom w:val="none" w:sz="0" w:space="0" w:color="auto"/>
        <w:right w:val="none" w:sz="0" w:space="0" w:color="auto"/>
      </w:divBdr>
    </w:div>
    <w:div w:id="209726951">
      <w:bodyDiv w:val="1"/>
      <w:marLeft w:val="0"/>
      <w:marRight w:val="0"/>
      <w:marTop w:val="0"/>
      <w:marBottom w:val="0"/>
      <w:divBdr>
        <w:top w:val="none" w:sz="0" w:space="0" w:color="auto"/>
        <w:left w:val="none" w:sz="0" w:space="0" w:color="auto"/>
        <w:bottom w:val="none" w:sz="0" w:space="0" w:color="auto"/>
        <w:right w:val="none" w:sz="0" w:space="0" w:color="auto"/>
      </w:divBdr>
      <w:divsChild>
        <w:div w:id="2516171">
          <w:marLeft w:val="0"/>
          <w:marRight w:val="0"/>
          <w:marTop w:val="0"/>
          <w:marBottom w:val="0"/>
          <w:divBdr>
            <w:top w:val="none" w:sz="0" w:space="0" w:color="auto"/>
            <w:left w:val="none" w:sz="0" w:space="0" w:color="auto"/>
            <w:bottom w:val="none" w:sz="0" w:space="0" w:color="auto"/>
            <w:right w:val="none" w:sz="0" w:space="0" w:color="auto"/>
          </w:divBdr>
        </w:div>
        <w:div w:id="55974484">
          <w:marLeft w:val="0"/>
          <w:marRight w:val="0"/>
          <w:marTop w:val="0"/>
          <w:marBottom w:val="0"/>
          <w:divBdr>
            <w:top w:val="none" w:sz="0" w:space="0" w:color="auto"/>
            <w:left w:val="none" w:sz="0" w:space="0" w:color="auto"/>
            <w:bottom w:val="none" w:sz="0" w:space="0" w:color="auto"/>
            <w:right w:val="none" w:sz="0" w:space="0" w:color="auto"/>
          </w:divBdr>
        </w:div>
        <w:div w:id="585573070">
          <w:marLeft w:val="0"/>
          <w:marRight w:val="0"/>
          <w:marTop w:val="0"/>
          <w:marBottom w:val="0"/>
          <w:divBdr>
            <w:top w:val="none" w:sz="0" w:space="0" w:color="auto"/>
            <w:left w:val="none" w:sz="0" w:space="0" w:color="auto"/>
            <w:bottom w:val="none" w:sz="0" w:space="0" w:color="auto"/>
            <w:right w:val="none" w:sz="0" w:space="0" w:color="auto"/>
          </w:divBdr>
        </w:div>
        <w:div w:id="1350377037">
          <w:marLeft w:val="0"/>
          <w:marRight w:val="0"/>
          <w:marTop w:val="0"/>
          <w:marBottom w:val="0"/>
          <w:divBdr>
            <w:top w:val="none" w:sz="0" w:space="0" w:color="auto"/>
            <w:left w:val="none" w:sz="0" w:space="0" w:color="auto"/>
            <w:bottom w:val="none" w:sz="0" w:space="0" w:color="auto"/>
            <w:right w:val="none" w:sz="0" w:space="0" w:color="auto"/>
          </w:divBdr>
        </w:div>
      </w:divsChild>
    </w:div>
    <w:div w:id="210699488">
      <w:bodyDiv w:val="1"/>
      <w:marLeft w:val="0"/>
      <w:marRight w:val="0"/>
      <w:marTop w:val="0"/>
      <w:marBottom w:val="0"/>
      <w:divBdr>
        <w:top w:val="none" w:sz="0" w:space="0" w:color="auto"/>
        <w:left w:val="none" w:sz="0" w:space="0" w:color="auto"/>
        <w:bottom w:val="none" w:sz="0" w:space="0" w:color="auto"/>
        <w:right w:val="none" w:sz="0" w:space="0" w:color="auto"/>
      </w:divBdr>
      <w:divsChild>
        <w:div w:id="1018895816">
          <w:marLeft w:val="0"/>
          <w:marRight w:val="0"/>
          <w:marTop w:val="0"/>
          <w:marBottom w:val="0"/>
          <w:divBdr>
            <w:top w:val="none" w:sz="0" w:space="0" w:color="auto"/>
            <w:left w:val="none" w:sz="0" w:space="0" w:color="auto"/>
            <w:bottom w:val="none" w:sz="0" w:space="0" w:color="auto"/>
            <w:right w:val="none" w:sz="0" w:space="0" w:color="auto"/>
          </w:divBdr>
        </w:div>
        <w:div w:id="1987708680">
          <w:marLeft w:val="0"/>
          <w:marRight w:val="0"/>
          <w:marTop w:val="0"/>
          <w:marBottom w:val="0"/>
          <w:divBdr>
            <w:top w:val="none" w:sz="0" w:space="0" w:color="auto"/>
            <w:left w:val="none" w:sz="0" w:space="0" w:color="auto"/>
            <w:bottom w:val="none" w:sz="0" w:space="0" w:color="auto"/>
            <w:right w:val="none" w:sz="0" w:space="0" w:color="auto"/>
          </w:divBdr>
        </w:div>
      </w:divsChild>
    </w:div>
    <w:div w:id="377631936">
      <w:bodyDiv w:val="1"/>
      <w:marLeft w:val="0"/>
      <w:marRight w:val="0"/>
      <w:marTop w:val="0"/>
      <w:marBottom w:val="0"/>
      <w:divBdr>
        <w:top w:val="none" w:sz="0" w:space="0" w:color="auto"/>
        <w:left w:val="none" w:sz="0" w:space="0" w:color="auto"/>
        <w:bottom w:val="none" w:sz="0" w:space="0" w:color="auto"/>
        <w:right w:val="none" w:sz="0" w:space="0" w:color="auto"/>
      </w:divBdr>
      <w:divsChild>
        <w:div w:id="1025979289">
          <w:marLeft w:val="0"/>
          <w:marRight w:val="0"/>
          <w:marTop w:val="0"/>
          <w:marBottom w:val="0"/>
          <w:divBdr>
            <w:top w:val="none" w:sz="0" w:space="0" w:color="auto"/>
            <w:left w:val="none" w:sz="0" w:space="0" w:color="auto"/>
            <w:bottom w:val="none" w:sz="0" w:space="0" w:color="auto"/>
            <w:right w:val="none" w:sz="0" w:space="0" w:color="auto"/>
          </w:divBdr>
        </w:div>
      </w:divsChild>
    </w:div>
    <w:div w:id="385564304">
      <w:bodyDiv w:val="1"/>
      <w:marLeft w:val="0"/>
      <w:marRight w:val="0"/>
      <w:marTop w:val="0"/>
      <w:marBottom w:val="0"/>
      <w:divBdr>
        <w:top w:val="none" w:sz="0" w:space="0" w:color="auto"/>
        <w:left w:val="none" w:sz="0" w:space="0" w:color="auto"/>
        <w:bottom w:val="none" w:sz="0" w:space="0" w:color="auto"/>
        <w:right w:val="none" w:sz="0" w:space="0" w:color="auto"/>
      </w:divBdr>
      <w:divsChild>
        <w:div w:id="13386928">
          <w:marLeft w:val="0"/>
          <w:marRight w:val="0"/>
          <w:marTop w:val="0"/>
          <w:marBottom w:val="0"/>
          <w:divBdr>
            <w:top w:val="none" w:sz="0" w:space="0" w:color="auto"/>
            <w:left w:val="none" w:sz="0" w:space="0" w:color="auto"/>
            <w:bottom w:val="none" w:sz="0" w:space="0" w:color="auto"/>
            <w:right w:val="none" w:sz="0" w:space="0" w:color="auto"/>
          </w:divBdr>
        </w:div>
        <w:div w:id="28801067">
          <w:marLeft w:val="0"/>
          <w:marRight w:val="0"/>
          <w:marTop w:val="0"/>
          <w:marBottom w:val="0"/>
          <w:divBdr>
            <w:top w:val="none" w:sz="0" w:space="0" w:color="auto"/>
            <w:left w:val="none" w:sz="0" w:space="0" w:color="auto"/>
            <w:bottom w:val="none" w:sz="0" w:space="0" w:color="auto"/>
            <w:right w:val="none" w:sz="0" w:space="0" w:color="auto"/>
          </w:divBdr>
        </w:div>
        <w:div w:id="31074279">
          <w:marLeft w:val="0"/>
          <w:marRight w:val="0"/>
          <w:marTop w:val="0"/>
          <w:marBottom w:val="0"/>
          <w:divBdr>
            <w:top w:val="none" w:sz="0" w:space="0" w:color="auto"/>
            <w:left w:val="none" w:sz="0" w:space="0" w:color="auto"/>
            <w:bottom w:val="none" w:sz="0" w:space="0" w:color="auto"/>
            <w:right w:val="none" w:sz="0" w:space="0" w:color="auto"/>
          </w:divBdr>
        </w:div>
        <w:div w:id="31542509">
          <w:marLeft w:val="0"/>
          <w:marRight w:val="0"/>
          <w:marTop w:val="0"/>
          <w:marBottom w:val="0"/>
          <w:divBdr>
            <w:top w:val="none" w:sz="0" w:space="0" w:color="auto"/>
            <w:left w:val="none" w:sz="0" w:space="0" w:color="auto"/>
            <w:bottom w:val="none" w:sz="0" w:space="0" w:color="auto"/>
            <w:right w:val="none" w:sz="0" w:space="0" w:color="auto"/>
          </w:divBdr>
        </w:div>
        <w:div w:id="40444194">
          <w:marLeft w:val="0"/>
          <w:marRight w:val="0"/>
          <w:marTop w:val="0"/>
          <w:marBottom w:val="0"/>
          <w:divBdr>
            <w:top w:val="none" w:sz="0" w:space="0" w:color="auto"/>
            <w:left w:val="none" w:sz="0" w:space="0" w:color="auto"/>
            <w:bottom w:val="none" w:sz="0" w:space="0" w:color="auto"/>
            <w:right w:val="none" w:sz="0" w:space="0" w:color="auto"/>
          </w:divBdr>
        </w:div>
        <w:div w:id="61373382">
          <w:marLeft w:val="0"/>
          <w:marRight w:val="0"/>
          <w:marTop w:val="0"/>
          <w:marBottom w:val="0"/>
          <w:divBdr>
            <w:top w:val="none" w:sz="0" w:space="0" w:color="auto"/>
            <w:left w:val="none" w:sz="0" w:space="0" w:color="auto"/>
            <w:bottom w:val="none" w:sz="0" w:space="0" w:color="auto"/>
            <w:right w:val="none" w:sz="0" w:space="0" w:color="auto"/>
          </w:divBdr>
        </w:div>
        <w:div w:id="95176994">
          <w:marLeft w:val="0"/>
          <w:marRight w:val="0"/>
          <w:marTop w:val="0"/>
          <w:marBottom w:val="0"/>
          <w:divBdr>
            <w:top w:val="none" w:sz="0" w:space="0" w:color="auto"/>
            <w:left w:val="none" w:sz="0" w:space="0" w:color="auto"/>
            <w:bottom w:val="none" w:sz="0" w:space="0" w:color="auto"/>
            <w:right w:val="none" w:sz="0" w:space="0" w:color="auto"/>
          </w:divBdr>
        </w:div>
        <w:div w:id="227613315">
          <w:marLeft w:val="0"/>
          <w:marRight w:val="0"/>
          <w:marTop w:val="0"/>
          <w:marBottom w:val="0"/>
          <w:divBdr>
            <w:top w:val="none" w:sz="0" w:space="0" w:color="auto"/>
            <w:left w:val="none" w:sz="0" w:space="0" w:color="auto"/>
            <w:bottom w:val="none" w:sz="0" w:space="0" w:color="auto"/>
            <w:right w:val="none" w:sz="0" w:space="0" w:color="auto"/>
          </w:divBdr>
        </w:div>
        <w:div w:id="267125245">
          <w:marLeft w:val="0"/>
          <w:marRight w:val="0"/>
          <w:marTop w:val="0"/>
          <w:marBottom w:val="0"/>
          <w:divBdr>
            <w:top w:val="none" w:sz="0" w:space="0" w:color="auto"/>
            <w:left w:val="none" w:sz="0" w:space="0" w:color="auto"/>
            <w:bottom w:val="none" w:sz="0" w:space="0" w:color="auto"/>
            <w:right w:val="none" w:sz="0" w:space="0" w:color="auto"/>
          </w:divBdr>
        </w:div>
        <w:div w:id="302585287">
          <w:marLeft w:val="0"/>
          <w:marRight w:val="0"/>
          <w:marTop w:val="0"/>
          <w:marBottom w:val="0"/>
          <w:divBdr>
            <w:top w:val="none" w:sz="0" w:space="0" w:color="auto"/>
            <w:left w:val="none" w:sz="0" w:space="0" w:color="auto"/>
            <w:bottom w:val="none" w:sz="0" w:space="0" w:color="auto"/>
            <w:right w:val="none" w:sz="0" w:space="0" w:color="auto"/>
          </w:divBdr>
        </w:div>
        <w:div w:id="353846991">
          <w:marLeft w:val="0"/>
          <w:marRight w:val="0"/>
          <w:marTop w:val="0"/>
          <w:marBottom w:val="0"/>
          <w:divBdr>
            <w:top w:val="none" w:sz="0" w:space="0" w:color="auto"/>
            <w:left w:val="none" w:sz="0" w:space="0" w:color="auto"/>
            <w:bottom w:val="none" w:sz="0" w:space="0" w:color="auto"/>
            <w:right w:val="none" w:sz="0" w:space="0" w:color="auto"/>
          </w:divBdr>
        </w:div>
        <w:div w:id="703141788">
          <w:marLeft w:val="0"/>
          <w:marRight w:val="0"/>
          <w:marTop w:val="0"/>
          <w:marBottom w:val="0"/>
          <w:divBdr>
            <w:top w:val="none" w:sz="0" w:space="0" w:color="auto"/>
            <w:left w:val="none" w:sz="0" w:space="0" w:color="auto"/>
            <w:bottom w:val="none" w:sz="0" w:space="0" w:color="auto"/>
            <w:right w:val="none" w:sz="0" w:space="0" w:color="auto"/>
          </w:divBdr>
        </w:div>
        <w:div w:id="797794761">
          <w:marLeft w:val="0"/>
          <w:marRight w:val="0"/>
          <w:marTop w:val="0"/>
          <w:marBottom w:val="0"/>
          <w:divBdr>
            <w:top w:val="none" w:sz="0" w:space="0" w:color="auto"/>
            <w:left w:val="none" w:sz="0" w:space="0" w:color="auto"/>
            <w:bottom w:val="none" w:sz="0" w:space="0" w:color="auto"/>
            <w:right w:val="none" w:sz="0" w:space="0" w:color="auto"/>
          </w:divBdr>
        </w:div>
        <w:div w:id="912936416">
          <w:marLeft w:val="0"/>
          <w:marRight w:val="0"/>
          <w:marTop w:val="0"/>
          <w:marBottom w:val="0"/>
          <w:divBdr>
            <w:top w:val="none" w:sz="0" w:space="0" w:color="auto"/>
            <w:left w:val="none" w:sz="0" w:space="0" w:color="auto"/>
            <w:bottom w:val="none" w:sz="0" w:space="0" w:color="auto"/>
            <w:right w:val="none" w:sz="0" w:space="0" w:color="auto"/>
          </w:divBdr>
        </w:div>
        <w:div w:id="1047875726">
          <w:marLeft w:val="0"/>
          <w:marRight w:val="0"/>
          <w:marTop w:val="0"/>
          <w:marBottom w:val="0"/>
          <w:divBdr>
            <w:top w:val="none" w:sz="0" w:space="0" w:color="auto"/>
            <w:left w:val="none" w:sz="0" w:space="0" w:color="auto"/>
            <w:bottom w:val="none" w:sz="0" w:space="0" w:color="auto"/>
            <w:right w:val="none" w:sz="0" w:space="0" w:color="auto"/>
          </w:divBdr>
        </w:div>
        <w:div w:id="1051075613">
          <w:marLeft w:val="0"/>
          <w:marRight w:val="0"/>
          <w:marTop w:val="0"/>
          <w:marBottom w:val="0"/>
          <w:divBdr>
            <w:top w:val="none" w:sz="0" w:space="0" w:color="auto"/>
            <w:left w:val="none" w:sz="0" w:space="0" w:color="auto"/>
            <w:bottom w:val="none" w:sz="0" w:space="0" w:color="auto"/>
            <w:right w:val="none" w:sz="0" w:space="0" w:color="auto"/>
          </w:divBdr>
        </w:div>
        <w:div w:id="1091901301">
          <w:marLeft w:val="0"/>
          <w:marRight w:val="0"/>
          <w:marTop w:val="0"/>
          <w:marBottom w:val="0"/>
          <w:divBdr>
            <w:top w:val="none" w:sz="0" w:space="0" w:color="auto"/>
            <w:left w:val="none" w:sz="0" w:space="0" w:color="auto"/>
            <w:bottom w:val="none" w:sz="0" w:space="0" w:color="auto"/>
            <w:right w:val="none" w:sz="0" w:space="0" w:color="auto"/>
          </w:divBdr>
        </w:div>
        <w:div w:id="1170751870">
          <w:marLeft w:val="0"/>
          <w:marRight w:val="0"/>
          <w:marTop w:val="0"/>
          <w:marBottom w:val="0"/>
          <w:divBdr>
            <w:top w:val="none" w:sz="0" w:space="0" w:color="auto"/>
            <w:left w:val="none" w:sz="0" w:space="0" w:color="auto"/>
            <w:bottom w:val="none" w:sz="0" w:space="0" w:color="auto"/>
            <w:right w:val="none" w:sz="0" w:space="0" w:color="auto"/>
          </w:divBdr>
        </w:div>
        <w:div w:id="1177312062">
          <w:marLeft w:val="0"/>
          <w:marRight w:val="0"/>
          <w:marTop w:val="0"/>
          <w:marBottom w:val="0"/>
          <w:divBdr>
            <w:top w:val="none" w:sz="0" w:space="0" w:color="auto"/>
            <w:left w:val="none" w:sz="0" w:space="0" w:color="auto"/>
            <w:bottom w:val="none" w:sz="0" w:space="0" w:color="auto"/>
            <w:right w:val="none" w:sz="0" w:space="0" w:color="auto"/>
          </w:divBdr>
        </w:div>
        <w:div w:id="1358046536">
          <w:marLeft w:val="0"/>
          <w:marRight w:val="0"/>
          <w:marTop w:val="0"/>
          <w:marBottom w:val="0"/>
          <w:divBdr>
            <w:top w:val="none" w:sz="0" w:space="0" w:color="auto"/>
            <w:left w:val="none" w:sz="0" w:space="0" w:color="auto"/>
            <w:bottom w:val="none" w:sz="0" w:space="0" w:color="auto"/>
            <w:right w:val="none" w:sz="0" w:space="0" w:color="auto"/>
          </w:divBdr>
        </w:div>
        <w:div w:id="1461722076">
          <w:marLeft w:val="0"/>
          <w:marRight w:val="0"/>
          <w:marTop w:val="0"/>
          <w:marBottom w:val="0"/>
          <w:divBdr>
            <w:top w:val="none" w:sz="0" w:space="0" w:color="auto"/>
            <w:left w:val="none" w:sz="0" w:space="0" w:color="auto"/>
            <w:bottom w:val="none" w:sz="0" w:space="0" w:color="auto"/>
            <w:right w:val="none" w:sz="0" w:space="0" w:color="auto"/>
          </w:divBdr>
        </w:div>
        <w:div w:id="1514564843">
          <w:marLeft w:val="0"/>
          <w:marRight w:val="0"/>
          <w:marTop w:val="0"/>
          <w:marBottom w:val="0"/>
          <w:divBdr>
            <w:top w:val="none" w:sz="0" w:space="0" w:color="auto"/>
            <w:left w:val="none" w:sz="0" w:space="0" w:color="auto"/>
            <w:bottom w:val="none" w:sz="0" w:space="0" w:color="auto"/>
            <w:right w:val="none" w:sz="0" w:space="0" w:color="auto"/>
          </w:divBdr>
        </w:div>
        <w:div w:id="1530682717">
          <w:marLeft w:val="0"/>
          <w:marRight w:val="0"/>
          <w:marTop w:val="0"/>
          <w:marBottom w:val="0"/>
          <w:divBdr>
            <w:top w:val="none" w:sz="0" w:space="0" w:color="auto"/>
            <w:left w:val="none" w:sz="0" w:space="0" w:color="auto"/>
            <w:bottom w:val="none" w:sz="0" w:space="0" w:color="auto"/>
            <w:right w:val="none" w:sz="0" w:space="0" w:color="auto"/>
          </w:divBdr>
        </w:div>
        <w:div w:id="1648242277">
          <w:marLeft w:val="0"/>
          <w:marRight w:val="0"/>
          <w:marTop w:val="0"/>
          <w:marBottom w:val="0"/>
          <w:divBdr>
            <w:top w:val="none" w:sz="0" w:space="0" w:color="auto"/>
            <w:left w:val="none" w:sz="0" w:space="0" w:color="auto"/>
            <w:bottom w:val="none" w:sz="0" w:space="0" w:color="auto"/>
            <w:right w:val="none" w:sz="0" w:space="0" w:color="auto"/>
          </w:divBdr>
        </w:div>
        <w:div w:id="1682126522">
          <w:marLeft w:val="0"/>
          <w:marRight w:val="0"/>
          <w:marTop w:val="0"/>
          <w:marBottom w:val="0"/>
          <w:divBdr>
            <w:top w:val="none" w:sz="0" w:space="0" w:color="auto"/>
            <w:left w:val="none" w:sz="0" w:space="0" w:color="auto"/>
            <w:bottom w:val="none" w:sz="0" w:space="0" w:color="auto"/>
            <w:right w:val="none" w:sz="0" w:space="0" w:color="auto"/>
          </w:divBdr>
        </w:div>
        <w:div w:id="1729645197">
          <w:marLeft w:val="0"/>
          <w:marRight w:val="0"/>
          <w:marTop w:val="0"/>
          <w:marBottom w:val="0"/>
          <w:divBdr>
            <w:top w:val="none" w:sz="0" w:space="0" w:color="auto"/>
            <w:left w:val="none" w:sz="0" w:space="0" w:color="auto"/>
            <w:bottom w:val="none" w:sz="0" w:space="0" w:color="auto"/>
            <w:right w:val="none" w:sz="0" w:space="0" w:color="auto"/>
          </w:divBdr>
        </w:div>
        <w:div w:id="1730615876">
          <w:marLeft w:val="0"/>
          <w:marRight w:val="0"/>
          <w:marTop w:val="0"/>
          <w:marBottom w:val="0"/>
          <w:divBdr>
            <w:top w:val="none" w:sz="0" w:space="0" w:color="auto"/>
            <w:left w:val="none" w:sz="0" w:space="0" w:color="auto"/>
            <w:bottom w:val="none" w:sz="0" w:space="0" w:color="auto"/>
            <w:right w:val="none" w:sz="0" w:space="0" w:color="auto"/>
          </w:divBdr>
        </w:div>
        <w:div w:id="1786996776">
          <w:marLeft w:val="0"/>
          <w:marRight w:val="0"/>
          <w:marTop w:val="0"/>
          <w:marBottom w:val="0"/>
          <w:divBdr>
            <w:top w:val="none" w:sz="0" w:space="0" w:color="auto"/>
            <w:left w:val="none" w:sz="0" w:space="0" w:color="auto"/>
            <w:bottom w:val="none" w:sz="0" w:space="0" w:color="auto"/>
            <w:right w:val="none" w:sz="0" w:space="0" w:color="auto"/>
          </w:divBdr>
        </w:div>
        <w:div w:id="1800689071">
          <w:marLeft w:val="0"/>
          <w:marRight w:val="0"/>
          <w:marTop w:val="0"/>
          <w:marBottom w:val="0"/>
          <w:divBdr>
            <w:top w:val="none" w:sz="0" w:space="0" w:color="auto"/>
            <w:left w:val="none" w:sz="0" w:space="0" w:color="auto"/>
            <w:bottom w:val="none" w:sz="0" w:space="0" w:color="auto"/>
            <w:right w:val="none" w:sz="0" w:space="0" w:color="auto"/>
          </w:divBdr>
        </w:div>
        <w:div w:id="1876312250">
          <w:marLeft w:val="0"/>
          <w:marRight w:val="0"/>
          <w:marTop w:val="0"/>
          <w:marBottom w:val="0"/>
          <w:divBdr>
            <w:top w:val="none" w:sz="0" w:space="0" w:color="auto"/>
            <w:left w:val="none" w:sz="0" w:space="0" w:color="auto"/>
            <w:bottom w:val="none" w:sz="0" w:space="0" w:color="auto"/>
            <w:right w:val="none" w:sz="0" w:space="0" w:color="auto"/>
          </w:divBdr>
        </w:div>
        <w:div w:id="1881278607">
          <w:marLeft w:val="0"/>
          <w:marRight w:val="0"/>
          <w:marTop w:val="0"/>
          <w:marBottom w:val="0"/>
          <w:divBdr>
            <w:top w:val="none" w:sz="0" w:space="0" w:color="auto"/>
            <w:left w:val="none" w:sz="0" w:space="0" w:color="auto"/>
            <w:bottom w:val="none" w:sz="0" w:space="0" w:color="auto"/>
            <w:right w:val="none" w:sz="0" w:space="0" w:color="auto"/>
          </w:divBdr>
        </w:div>
        <w:div w:id="2002075646">
          <w:marLeft w:val="0"/>
          <w:marRight w:val="0"/>
          <w:marTop w:val="0"/>
          <w:marBottom w:val="0"/>
          <w:divBdr>
            <w:top w:val="none" w:sz="0" w:space="0" w:color="auto"/>
            <w:left w:val="none" w:sz="0" w:space="0" w:color="auto"/>
            <w:bottom w:val="none" w:sz="0" w:space="0" w:color="auto"/>
            <w:right w:val="none" w:sz="0" w:space="0" w:color="auto"/>
          </w:divBdr>
        </w:div>
        <w:div w:id="2027248814">
          <w:marLeft w:val="0"/>
          <w:marRight w:val="0"/>
          <w:marTop w:val="0"/>
          <w:marBottom w:val="0"/>
          <w:divBdr>
            <w:top w:val="none" w:sz="0" w:space="0" w:color="auto"/>
            <w:left w:val="none" w:sz="0" w:space="0" w:color="auto"/>
            <w:bottom w:val="none" w:sz="0" w:space="0" w:color="auto"/>
            <w:right w:val="none" w:sz="0" w:space="0" w:color="auto"/>
          </w:divBdr>
        </w:div>
        <w:div w:id="2039968420">
          <w:marLeft w:val="0"/>
          <w:marRight w:val="0"/>
          <w:marTop w:val="0"/>
          <w:marBottom w:val="0"/>
          <w:divBdr>
            <w:top w:val="none" w:sz="0" w:space="0" w:color="auto"/>
            <w:left w:val="none" w:sz="0" w:space="0" w:color="auto"/>
            <w:bottom w:val="none" w:sz="0" w:space="0" w:color="auto"/>
            <w:right w:val="none" w:sz="0" w:space="0" w:color="auto"/>
          </w:divBdr>
        </w:div>
      </w:divsChild>
    </w:div>
    <w:div w:id="458453206">
      <w:bodyDiv w:val="1"/>
      <w:marLeft w:val="0"/>
      <w:marRight w:val="0"/>
      <w:marTop w:val="0"/>
      <w:marBottom w:val="0"/>
      <w:divBdr>
        <w:top w:val="none" w:sz="0" w:space="0" w:color="auto"/>
        <w:left w:val="none" w:sz="0" w:space="0" w:color="auto"/>
        <w:bottom w:val="none" w:sz="0" w:space="0" w:color="auto"/>
        <w:right w:val="none" w:sz="0" w:space="0" w:color="auto"/>
      </w:divBdr>
      <w:divsChild>
        <w:div w:id="1163160497">
          <w:marLeft w:val="0"/>
          <w:marRight w:val="0"/>
          <w:marTop w:val="0"/>
          <w:marBottom w:val="0"/>
          <w:divBdr>
            <w:top w:val="none" w:sz="0" w:space="0" w:color="auto"/>
            <w:left w:val="none" w:sz="0" w:space="0" w:color="auto"/>
            <w:bottom w:val="none" w:sz="0" w:space="0" w:color="auto"/>
            <w:right w:val="none" w:sz="0" w:space="0" w:color="auto"/>
          </w:divBdr>
          <w:divsChild>
            <w:div w:id="358704133">
              <w:marLeft w:val="0"/>
              <w:marRight w:val="0"/>
              <w:marTop w:val="0"/>
              <w:marBottom w:val="0"/>
              <w:divBdr>
                <w:top w:val="none" w:sz="0" w:space="0" w:color="auto"/>
                <w:left w:val="none" w:sz="0" w:space="0" w:color="auto"/>
                <w:bottom w:val="none" w:sz="0" w:space="0" w:color="auto"/>
                <w:right w:val="none" w:sz="0" w:space="0" w:color="auto"/>
              </w:divBdr>
              <w:divsChild>
                <w:div w:id="779108614">
                  <w:marLeft w:val="0"/>
                  <w:marRight w:val="0"/>
                  <w:marTop w:val="0"/>
                  <w:marBottom w:val="0"/>
                  <w:divBdr>
                    <w:top w:val="none" w:sz="0" w:space="0" w:color="auto"/>
                    <w:left w:val="none" w:sz="0" w:space="0" w:color="auto"/>
                    <w:bottom w:val="none" w:sz="0" w:space="0" w:color="auto"/>
                    <w:right w:val="none" w:sz="0" w:space="0" w:color="auto"/>
                  </w:divBdr>
                  <w:divsChild>
                    <w:div w:id="64769574">
                      <w:marLeft w:val="0"/>
                      <w:marRight w:val="0"/>
                      <w:marTop w:val="60"/>
                      <w:marBottom w:val="60"/>
                      <w:divBdr>
                        <w:top w:val="none" w:sz="0" w:space="0" w:color="auto"/>
                        <w:left w:val="none" w:sz="0" w:space="0" w:color="auto"/>
                        <w:bottom w:val="none" w:sz="0" w:space="0" w:color="auto"/>
                        <w:right w:val="none" w:sz="0" w:space="0" w:color="auto"/>
                      </w:divBdr>
                    </w:div>
                  </w:divsChild>
                </w:div>
              </w:divsChild>
            </w:div>
          </w:divsChild>
        </w:div>
        <w:div w:id="1803881894">
          <w:marLeft w:val="0"/>
          <w:marRight w:val="0"/>
          <w:marTop w:val="0"/>
          <w:marBottom w:val="0"/>
          <w:divBdr>
            <w:top w:val="none" w:sz="0" w:space="0" w:color="auto"/>
            <w:left w:val="none" w:sz="0" w:space="0" w:color="auto"/>
            <w:bottom w:val="none" w:sz="0" w:space="0" w:color="auto"/>
            <w:right w:val="none" w:sz="0" w:space="0" w:color="auto"/>
          </w:divBdr>
          <w:divsChild>
            <w:div w:id="1184202233">
              <w:marLeft w:val="0"/>
              <w:marRight w:val="0"/>
              <w:marTop w:val="0"/>
              <w:marBottom w:val="0"/>
              <w:divBdr>
                <w:top w:val="none" w:sz="0" w:space="0" w:color="auto"/>
                <w:left w:val="none" w:sz="0" w:space="0" w:color="auto"/>
                <w:bottom w:val="none" w:sz="0" w:space="0" w:color="auto"/>
                <w:right w:val="none" w:sz="0" w:space="0" w:color="auto"/>
              </w:divBdr>
              <w:divsChild>
                <w:div w:id="1894468121">
                  <w:marLeft w:val="0"/>
                  <w:marRight w:val="0"/>
                  <w:marTop w:val="0"/>
                  <w:marBottom w:val="0"/>
                  <w:divBdr>
                    <w:top w:val="none" w:sz="0" w:space="0" w:color="auto"/>
                    <w:left w:val="none" w:sz="0" w:space="0" w:color="auto"/>
                    <w:bottom w:val="none" w:sz="0" w:space="0" w:color="auto"/>
                    <w:right w:val="none" w:sz="0" w:space="0" w:color="auto"/>
                  </w:divBdr>
                  <w:divsChild>
                    <w:div w:id="20376109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79999960">
      <w:bodyDiv w:val="1"/>
      <w:marLeft w:val="0"/>
      <w:marRight w:val="0"/>
      <w:marTop w:val="0"/>
      <w:marBottom w:val="0"/>
      <w:divBdr>
        <w:top w:val="none" w:sz="0" w:space="0" w:color="auto"/>
        <w:left w:val="none" w:sz="0" w:space="0" w:color="auto"/>
        <w:bottom w:val="none" w:sz="0" w:space="0" w:color="auto"/>
        <w:right w:val="none" w:sz="0" w:space="0" w:color="auto"/>
      </w:divBdr>
    </w:div>
    <w:div w:id="542329974">
      <w:bodyDiv w:val="1"/>
      <w:marLeft w:val="0"/>
      <w:marRight w:val="0"/>
      <w:marTop w:val="0"/>
      <w:marBottom w:val="0"/>
      <w:divBdr>
        <w:top w:val="none" w:sz="0" w:space="0" w:color="auto"/>
        <w:left w:val="none" w:sz="0" w:space="0" w:color="auto"/>
        <w:bottom w:val="none" w:sz="0" w:space="0" w:color="auto"/>
        <w:right w:val="none" w:sz="0" w:space="0" w:color="auto"/>
      </w:divBdr>
      <w:divsChild>
        <w:div w:id="56444056">
          <w:marLeft w:val="0"/>
          <w:marRight w:val="0"/>
          <w:marTop w:val="0"/>
          <w:marBottom w:val="0"/>
          <w:divBdr>
            <w:top w:val="none" w:sz="0" w:space="0" w:color="auto"/>
            <w:left w:val="none" w:sz="0" w:space="0" w:color="auto"/>
            <w:bottom w:val="none" w:sz="0" w:space="0" w:color="auto"/>
            <w:right w:val="none" w:sz="0" w:space="0" w:color="auto"/>
          </w:divBdr>
        </w:div>
        <w:div w:id="163133046">
          <w:marLeft w:val="0"/>
          <w:marRight w:val="0"/>
          <w:marTop w:val="0"/>
          <w:marBottom w:val="0"/>
          <w:divBdr>
            <w:top w:val="none" w:sz="0" w:space="0" w:color="auto"/>
            <w:left w:val="none" w:sz="0" w:space="0" w:color="auto"/>
            <w:bottom w:val="none" w:sz="0" w:space="0" w:color="auto"/>
            <w:right w:val="none" w:sz="0" w:space="0" w:color="auto"/>
          </w:divBdr>
        </w:div>
        <w:div w:id="245650005">
          <w:marLeft w:val="0"/>
          <w:marRight w:val="0"/>
          <w:marTop w:val="0"/>
          <w:marBottom w:val="0"/>
          <w:divBdr>
            <w:top w:val="none" w:sz="0" w:space="0" w:color="auto"/>
            <w:left w:val="none" w:sz="0" w:space="0" w:color="auto"/>
            <w:bottom w:val="none" w:sz="0" w:space="0" w:color="auto"/>
            <w:right w:val="none" w:sz="0" w:space="0" w:color="auto"/>
          </w:divBdr>
        </w:div>
        <w:div w:id="343097096">
          <w:marLeft w:val="0"/>
          <w:marRight w:val="0"/>
          <w:marTop w:val="0"/>
          <w:marBottom w:val="0"/>
          <w:divBdr>
            <w:top w:val="none" w:sz="0" w:space="0" w:color="auto"/>
            <w:left w:val="none" w:sz="0" w:space="0" w:color="auto"/>
            <w:bottom w:val="none" w:sz="0" w:space="0" w:color="auto"/>
            <w:right w:val="none" w:sz="0" w:space="0" w:color="auto"/>
          </w:divBdr>
        </w:div>
        <w:div w:id="354118847">
          <w:marLeft w:val="0"/>
          <w:marRight w:val="0"/>
          <w:marTop w:val="0"/>
          <w:marBottom w:val="0"/>
          <w:divBdr>
            <w:top w:val="none" w:sz="0" w:space="0" w:color="auto"/>
            <w:left w:val="none" w:sz="0" w:space="0" w:color="auto"/>
            <w:bottom w:val="none" w:sz="0" w:space="0" w:color="auto"/>
            <w:right w:val="none" w:sz="0" w:space="0" w:color="auto"/>
          </w:divBdr>
        </w:div>
        <w:div w:id="404651563">
          <w:marLeft w:val="0"/>
          <w:marRight w:val="0"/>
          <w:marTop w:val="0"/>
          <w:marBottom w:val="0"/>
          <w:divBdr>
            <w:top w:val="none" w:sz="0" w:space="0" w:color="auto"/>
            <w:left w:val="none" w:sz="0" w:space="0" w:color="auto"/>
            <w:bottom w:val="none" w:sz="0" w:space="0" w:color="auto"/>
            <w:right w:val="none" w:sz="0" w:space="0" w:color="auto"/>
          </w:divBdr>
        </w:div>
        <w:div w:id="556011504">
          <w:marLeft w:val="0"/>
          <w:marRight w:val="0"/>
          <w:marTop w:val="0"/>
          <w:marBottom w:val="0"/>
          <w:divBdr>
            <w:top w:val="none" w:sz="0" w:space="0" w:color="auto"/>
            <w:left w:val="none" w:sz="0" w:space="0" w:color="auto"/>
            <w:bottom w:val="none" w:sz="0" w:space="0" w:color="auto"/>
            <w:right w:val="none" w:sz="0" w:space="0" w:color="auto"/>
          </w:divBdr>
        </w:div>
        <w:div w:id="604122138">
          <w:marLeft w:val="0"/>
          <w:marRight w:val="0"/>
          <w:marTop w:val="0"/>
          <w:marBottom w:val="0"/>
          <w:divBdr>
            <w:top w:val="none" w:sz="0" w:space="0" w:color="auto"/>
            <w:left w:val="none" w:sz="0" w:space="0" w:color="auto"/>
            <w:bottom w:val="none" w:sz="0" w:space="0" w:color="auto"/>
            <w:right w:val="none" w:sz="0" w:space="0" w:color="auto"/>
          </w:divBdr>
        </w:div>
        <w:div w:id="668096837">
          <w:marLeft w:val="0"/>
          <w:marRight w:val="0"/>
          <w:marTop w:val="0"/>
          <w:marBottom w:val="0"/>
          <w:divBdr>
            <w:top w:val="none" w:sz="0" w:space="0" w:color="auto"/>
            <w:left w:val="none" w:sz="0" w:space="0" w:color="auto"/>
            <w:bottom w:val="none" w:sz="0" w:space="0" w:color="auto"/>
            <w:right w:val="none" w:sz="0" w:space="0" w:color="auto"/>
          </w:divBdr>
        </w:div>
        <w:div w:id="712463395">
          <w:marLeft w:val="0"/>
          <w:marRight w:val="0"/>
          <w:marTop w:val="0"/>
          <w:marBottom w:val="0"/>
          <w:divBdr>
            <w:top w:val="none" w:sz="0" w:space="0" w:color="auto"/>
            <w:left w:val="none" w:sz="0" w:space="0" w:color="auto"/>
            <w:bottom w:val="none" w:sz="0" w:space="0" w:color="auto"/>
            <w:right w:val="none" w:sz="0" w:space="0" w:color="auto"/>
          </w:divBdr>
        </w:div>
        <w:div w:id="755980363">
          <w:marLeft w:val="0"/>
          <w:marRight w:val="0"/>
          <w:marTop w:val="0"/>
          <w:marBottom w:val="0"/>
          <w:divBdr>
            <w:top w:val="none" w:sz="0" w:space="0" w:color="auto"/>
            <w:left w:val="none" w:sz="0" w:space="0" w:color="auto"/>
            <w:bottom w:val="none" w:sz="0" w:space="0" w:color="auto"/>
            <w:right w:val="none" w:sz="0" w:space="0" w:color="auto"/>
          </w:divBdr>
        </w:div>
        <w:div w:id="872615148">
          <w:marLeft w:val="0"/>
          <w:marRight w:val="0"/>
          <w:marTop w:val="0"/>
          <w:marBottom w:val="0"/>
          <w:divBdr>
            <w:top w:val="none" w:sz="0" w:space="0" w:color="auto"/>
            <w:left w:val="none" w:sz="0" w:space="0" w:color="auto"/>
            <w:bottom w:val="none" w:sz="0" w:space="0" w:color="auto"/>
            <w:right w:val="none" w:sz="0" w:space="0" w:color="auto"/>
          </w:divBdr>
        </w:div>
        <w:div w:id="905576657">
          <w:marLeft w:val="0"/>
          <w:marRight w:val="0"/>
          <w:marTop w:val="0"/>
          <w:marBottom w:val="0"/>
          <w:divBdr>
            <w:top w:val="none" w:sz="0" w:space="0" w:color="auto"/>
            <w:left w:val="none" w:sz="0" w:space="0" w:color="auto"/>
            <w:bottom w:val="none" w:sz="0" w:space="0" w:color="auto"/>
            <w:right w:val="none" w:sz="0" w:space="0" w:color="auto"/>
          </w:divBdr>
        </w:div>
        <w:div w:id="967203662">
          <w:marLeft w:val="0"/>
          <w:marRight w:val="0"/>
          <w:marTop w:val="0"/>
          <w:marBottom w:val="0"/>
          <w:divBdr>
            <w:top w:val="none" w:sz="0" w:space="0" w:color="auto"/>
            <w:left w:val="none" w:sz="0" w:space="0" w:color="auto"/>
            <w:bottom w:val="none" w:sz="0" w:space="0" w:color="auto"/>
            <w:right w:val="none" w:sz="0" w:space="0" w:color="auto"/>
          </w:divBdr>
        </w:div>
        <w:div w:id="1025906240">
          <w:marLeft w:val="0"/>
          <w:marRight w:val="0"/>
          <w:marTop w:val="0"/>
          <w:marBottom w:val="0"/>
          <w:divBdr>
            <w:top w:val="none" w:sz="0" w:space="0" w:color="auto"/>
            <w:left w:val="none" w:sz="0" w:space="0" w:color="auto"/>
            <w:bottom w:val="none" w:sz="0" w:space="0" w:color="auto"/>
            <w:right w:val="none" w:sz="0" w:space="0" w:color="auto"/>
          </w:divBdr>
        </w:div>
        <w:div w:id="1160847099">
          <w:marLeft w:val="0"/>
          <w:marRight w:val="0"/>
          <w:marTop w:val="0"/>
          <w:marBottom w:val="0"/>
          <w:divBdr>
            <w:top w:val="none" w:sz="0" w:space="0" w:color="auto"/>
            <w:left w:val="none" w:sz="0" w:space="0" w:color="auto"/>
            <w:bottom w:val="none" w:sz="0" w:space="0" w:color="auto"/>
            <w:right w:val="none" w:sz="0" w:space="0" w:color="auto"/>
          </w:divBdr>
        </w:div>
        <w:div w:id="1167328270">
          <w:marLeft w:val="0"/>
          <w:marRight w:val="0"/>
          <w:marTop w:val="0"/>
          <w:marBottom w:val="0"/>
          <w:divBdr>
            <w:top w:val="none" w:sz="0" w:space="0" w:color="auto"/>
            <w:left w:val="none" w:sz="0" w:space="0" w:color="auto"/>
            <w:bottom w:val="none" w:sz="0" w:space="0" w:color="auto"/>
            <w:right w:val="none" w:sz="0" w:space="0" w:color="auto"/>
          </w:divBdr>
        </w:div>
        <w:div w:id="1218321971">
          <w:marLeft w:val="0"/>
          <w:marRight w:val="0"/>
          <w:marTop w:val="0"/>
          <w:marBottom w:val="0"/>
          <w:divBdr>
            <w:top w:val="none" w:sz="0" w:space="0" w:color="auto"/>
            <w:left w:val="none" w:sz="0" w:space="0" w:color="auto"/>
            <w:bottom w:val="none" w:sz="0" w:space="0" w:color="auto"/>
            <w:right w:val="none" w:sz="0" w:space="0" w:color="auto"/>
          </w:divBdr>
        </w:div>
        <w:div w:id="1225140672">
          <w:marLeft w:val="0"/>
          <w:marRight w:val="0"/>
          <w:marTop w:val="0"/>
          <w:marBottom w:val="0"/>
          <w:divBdr>
            <w:top w:val="none" w:sz="0" w:space="0" w:color="auto"/>
            <w:left w:val="none" w:sz="0" w:space="0" w:color="auto"/>
            <w:bottom w:val="none" w:sz="0" w:space="0" w:color="auto"/>
            <w:right w:val="none" w:sz="0" w:space="0" w:color="auto"/>
          </w:divBdr>
        </w:div>
        <w:div w:id="1339963761">
          <w:marLeft w:val="0"/>
          <w:marRight w:val="0"/>
          <w:marTop w:val="0"/>
          <w:marBottom w:val="0"/>
          <w:divBdr>
            <w:top w:val="none" w:sz="0" w:space="0" w:color="auto"/>
            <w:left w:val="none" w:sz="0" w:space="0" w:color="auto"/>
            <w:bottom w:val="none" w:sz="0" w:space="0" w:color="auto"/>
            <w:right w:val="none" w:sz="0" w:space="0" w:color="auto"/>
          </w:divBdr>
        </w:div>
        <w:div w:id="1341080162">
          <w:marLeft w:val="0"/>
          <w:marRight w:val="0"/>
          <w:marTop w:val="0"/>
          <w:marBottom w:val="0"/>
          <w:divBdr>
            <w:top w:val="none" w:sz="0" w:space="0" w:color="auto"/>
            <w:left w:val="none" w:sz="0" w:space="0" w:color="auto"/>
            <w:bottom w:val="none" w:sz="0" w:space="0" w:color="auto"/>
            <w:right w:val="none" w:sz="0" w:space="0" w:color="auto"/>
          </w:divBdr>
        </w:div>
        <w:div w:id="1426683097">
          <w:marLeft w:val="0"/>
          <w:marRight w:val="0"/>
          <w:marTop w:val="0"/>
          <w:marBottom w:val="0"/>
          <w:divBdr>
            <w:top w:val="none" w:sz="0" w:space="0" w:color="auto"/>
            <w:left w:val="none" w:sz="0" w:space="0" w:color="auto"/>
            <w:bottom w:val="none" w:sz="0" w:space="0" w:color="auto"/>
            <w:right w:val="none" w:sz="0" w:space="0" w:color="auto"/>
          </w:divBdr>
        </w:div>
        <w:div w:id="1487169207">
          <w:marLeft w:val="0"/>
          <w:marRight w:val="0"/>
          <w:marTop w:val="0"/>
          <w:marBottom w:val="0"/>
          <w:divBdr>
            <w:top w:val="none" w:sz="0" w:space="0" w:color="auto"/>
            <w:left w:val="none" w:sz="0" w:space="0" w:color="auto"/>
            <w:bottom w:val="none" w:sz="0" w:space="0" w:color="auto"/>
            <w:right w:val="none" w:sz="0" w:space="0" w:color="auto"/>
          </w:divBdr>
        </w:div>
        <w:div w:id="1529224363">
          <w:marLeft w:val="0"/>
          <w:marRight w:val="0"/>
          <w:marTop w:val="0"/>
          <w:marBottom w:val="0"/>
          <w:divBdr>
            <w:top w:val="none" w:sz="0" w:space="0" w:color="auto"/>
            <w:left w:val="none" w:sz="0" w:space="0" w:color="auto"/>
            <w:bottom w:val="none" w:sz="0" w:space="0" w:color="auto"/>
            <w:right w:val="none" w:sz="0" w:space="0" w:color="auto"/>
          </w:divBdr>
        </w:div>
        <w:div w:id="1539469038">
          <w:marLeft w:val="0"/>
          <w:marRight w:val="0"/>
          <w:marTop w:val="0"/>
          <w:marBottom w:val="0"/>
          <w:divBdr>
            <w:top w:val="none" w:sz="0" w:space="0" w:color="auto"/>
            <w:left w:val="none" w:sz="0" w:space="0" w:color="auto"/>
            <w:bottom w:val="none" w:sz="0" w:space="0" w:color="auto"/>
            <w:right w:val="none" w:sz="0" w:space="0" w:color="auto"/>
          </w:divBdr>
        </w:div>
        <w:div w:id="1539925495">
          <w:marLeft w:val="0"/>
          <w:marRight w:val="0"/>
          <w:marTop w:val="0"/>
          <w:marBottom w:val="0"/>
          <w:divBdr>
            <w:top w:val="none" w:sz="0" w:space="0" w:color="auto"/>
            <w:left w:val="none" w:sz="0" w:space="0" w:color="auto"/>
            <w:bottom w:val="none" w:sz="0" w:space="0" w:color="auto"/>
            <w:right w:val="none" w:sz="0" w:space="0" w:color="auto"/>
          </w:divBdr>
        </w:div>
        <w:div w:id="1641838699">
          <w:marLeft w:val="0"/>
          <w:marRight w:val="0"/>
          <w:marTop w:val="0"/>
          <w:marBottom w:val="0"/>
          <w:divBdr>
            <w:top w:val="none" w:sz="0" w:space="0" w:color="auto"/>
            <w:left w:val="none" w:sz="0" w:space="0" w:color="auto"/>
            <w:bottom w:val="none" w:sz="0" w:space="0" w:color="auto"/>
            <w:right w:val="none" w:sz="0" w:space="0" w:color="auto"/>
          </w:divBdr>
        </w:div>
        <w:div w:id="1684622463">
          <w:marLeft w:val="0"/>
          <w:marRight w:val="0"/>
          <w:marTop w:val="0"/>
          <w:marBottom w:val="0"/>
          <w:divBdr>
            <w:top w:val="none" w:sz="0" w:space="0" w:color="auto"/>
            <w:left w:val="none" w:sz="0" w:space="0" w:color="auto"/>
            <w:bottom w:val="none" w:sz="0" w:space="0" w:color="auto"/>
            <w:right w:val="none" w:sz="0" w:space="0" w:color="auto"/>
          </w:divBdr>
        </w:div>
        <w:div w:id="1693801547">
          <w:marLeft w:val="0"/>
          <w:marRight w:val="0"/>
          <w:marTop w:val="0"/>
          <w:marBottom w:val="0"/>
          <w:divBdr>
            <w:top w:val="none" w:sz="0" w:space="0" w:color="auto"/>
            <w:left w:val="none" w:sz="0" w:space="0" w:color="auto"/>
            <w:bottom w:val="none" w:sz="0" w:space="0" w:color="auto"/>
            <w:right w:val="none" w:sz="0" w:space="0" w:color="auto"/>
          </w:divBdr>
        </w:div>
        <w:div w:id="1798602464">
          <w:marLeft w:val="0"/>
          <w:marRight w:val="0"/>
          <w:marTop w:val="0"/>
          <w:marBottom w:val="0"/>
          <w:divBdr>
            <w:top w:val="none" w:sz="0" w:space="0" w:color="auto"/>
            <w:left w:val="none" w:sz="0" w:space="0" w:color="auto"/>
            <w:bottom w:val="none" w:sz="0" w:space="0" w:color="auto"/>
            <w:right w:val="none" w:sz="0" w:space="0" w:color="auto"/>
          </w:divBdr>
        </w:div>
        <w:div w:id="1826125201">
          <w:marLeft w:val="0"/>
          <w:marRight w:val="0"/>
          <w:marTop w:val="0"/>
          <w:marBottom w:val="0"/>
          <w:divBdr>
            <w:top w:val="none" w:sz="0" w:space="0" w:color="auto"/>
            <w:left w:val="none" w:sz="0" w:space="0" w:color="auto"/>
            <w:bottom w:val="none" w:sz="0" w:space="0" w:color="auto"/>
            <w:right w:val="none" w:sz="0" w:space="0" w:color="auto"/>
          </w:divBdr>
        </w:div>
        <w:div w:id="1852913759">
          <w:marLeft w:val="0"/>
          <w:marRight w:val="0"/>
          <w:marTop w:val="0"/>
          <w:marBottom w:val="0"/>
          <w:divBdr>
            <w:top w:val="none" w:sz="0" w:space="0" w:color="auto"/>
            <w:left w:val="none" w:sz="0" w:space="0" w:color="auto"/>
            <w:bottom w:val="none" w:sz="0" w:space="0" w:color="auto"/>
            <w:right w:val="none" w:sz="0" w:space="0" w:color="auto"/>
          </w:divBdr>
        </w:div>
        <w:div w:id="1929269645">
          <w:marLeft w:val="0"/>
          <w:marRight w:val="0"/>
          <w:marTop w:val="0"/>
          <w:marBottom w:val="0"/>
          <w:divBdr>
            <w:top w:val="none" w:sz="0" w:space="0" w:color="auto"/>
            <w:left w:val="none" w:sz="0" w:space="0" w:color="auto"/>
            <w:bottom w:val="none" w:sz="0" w:space="0" w:color="auto"/>
            <w:right w:val="none" w:sz="0" w:space="0" w:color="auto"/>
          </w:divBdr>
        </w:div>
        <w:div w:id="2084986759">
          <w:marLeft w:val="0"/>
          <w:marRight w:val="0"/>
          <w:marTop w:val="0"/>
          <w:marBottom w:val="0"/>
          <w:divBdr>
            <w:top w:val="none" w:sz="0" w:space="0" w:color="auto"/>
            <w:left w:val="none" w:sz="0" w:space="0" w:color="auto"/>
            <w:bottom w:val="none" w:sz="0" w:space="0" w:color="auto"/>
            <w:right w:val="none" w:sz="0" w:space="0" w:color="auto"/>
          </w:divBdr>
        </w:div>
      </w:divsChild>
    </w:div>
    <w:div w:id="553008018">
      <w:bodyDiv w:val="1"/>
      <w:marLeft w:val="0"/>
      <w:marRight w:val="0"/>
      <w:marTop w:val="0"/>
      <w:marBottom w:val="0"/>
      <w:divBdr>
        <w:top w:val="none" w:sz="0" w:space="0" w:color="auto"/>
        <w:left w:val="none" w:sz="0" w:space="0" w:color="auto"/>
        <w:bottom w:val="none" w:sz="0" w:space="0" w:color="auto"/>
        <w:right w:val="none" w:sz="0" w:space="0" w:color="auto"/>
      </w:divBdr>
    </w:div>
    <w:div w:id="557595206">
      <w:bodyDiv w:val="1"/>
      <w:marLeft w:val="0"/>
      <w:marRight w:val="0"/>
      <w:marTop w:val="0"/>
      <w:marBottom w:val="0"/>
      <w:divBdr>
        <w:top w:val="none" w:sz="0" w:space="0" w:color="auto"/>
        <w:left w:val="none" w:sz="0" w:space="0" w:color="auto"/>
        <w:bottom w:val="none" w:sz="0" w:space="0" w:color="auto"/>
        <w:right w:val="none" w:sz="0" w:space="0" w:color="auto"/>
      </w:divBdr>
      <w:divsChild>
        <w:div w:id="176383531">
          <w:marLeft w:val="0"/>
          <w:marRight w:val="0"/>
          <w:marTop w:val="0"/>
          <w:marBottom w:val="0"/>
          <w:divBdr>
            <w:top w:val="none" w:sz="0" w:space="0" w:color="auto"/>
            <w:left w:val="none" w:sz="0" w:space="0" w:color="auto"/>
            <w:bottom w:val="none" w:sz="0" w:space="0" w:color="auto"/>
            <w:right w:val="none" w:sz="0" w:space="0" w:color="auto"/>
          </w:divBdr>
        </w:div>
        <w:div w:id="504782160">
          <w:marLeft w:val="0"/>
          <w:marRight w:val="0"/>
          <w:marTop w:val="0"/>
          <w:marBottom w:val="0"/>
          <w:divBdr>
            <w:top w:val="none" w:sz="0" w:space="0" w:color="auto"/>
            <w:left w:val="none" w:sz="0" w:space="0" w:color="auto"/>
            <w:bottom w:val="none" w:sz="0" w:space="0" w:color="auto"/>
            <w:right w:val="none" w:sz="0" w:space="0" w:color="auto"/>
          </w:divBdr>
        </w:div>
        <w:div w:id="667908806">
          <w:marLeft w:val="0"/>
          <w:marRight w:val="0"/>
          <w:marTop w:val="0"/>
          <w:marBottom w:val="0"/>
          <w:divBdr>
            <w:top w:val="none" w:sz="0" w:space="0" w:color="auto"/>
            <w:left w:val="none" w:sz="0" w:space="0" w:color="auto"/>
            <w:bottom w:val="none" w:sz="0" w:space="0" w:color="auto"/>
            <w:right w:val="none" w:sz="0" w:space="0" w:color="auto"/>
          </w:divBdr>
        </w:div>
        <w:div w:id="1792045669">
          <w:marLeft w:val="0"/>
          <w:marRight w:val="0"/>
          <w:marTop w:val="0"/>
          <w:marBottom w:val="0"/>
          <w:divBdr>
            <w:top w:val="none" w:sz="0" w:space="0" w:color="auto"/>
            <w:left w:val="none" w:sz="0" w:space="0" w:color="auto"/>
            <w:bottom w:val="none" w:sz="0" w:space="0" w:color="auto"/>
            <w:right w:val="none" w:sz="0" w:space="0" w:color="auto"/>
          </w:divBdr>
        </w:div>
      </w:divsChild>
    </w:div>
    <w:div w:id="571698438">
      <w:bodyDiv w:val="1"/>
      <w:marLeft w:val="0"/>
      <w:marRight w:val="0"/>
      <w:marTop w:val="0"/>
      <w:marBottom w:val="0"/>
      <w:divBdr>
        <w:top w:val="none" w:sz="0" w:space="0" w:color="auto"/>
        <w:left w:val="none" w:sz="0" w:space="0" w:color="auto"/>
        <w:bottom w:val="none" w:sz="0" w:space="0" w:color="auto"/>
        <w:right w:val="none" w:sz="0" w:space="0" w:color="auto"/>
      </w:divBdr>
      <w:divsChild>
        <w:div w:id="170071130">
          <w:marLeft w:val="0"/>
          <w:marRight w:val="0"/>
          <w:marTop w:val="0"/>
          <w:marBottom w:val="0"/>
          <w:divBdr>
            <w:top w:val="none" w:sz="0" w:space="0" w:color="auto"/>
            <w:left w:val="none" w:sz="0" w:space="0" w:color="auto"/>
            <w:bottom w:val="none" w:sz="0" w:space="0" w:color="auto"/>
            <w:right w:val="none" w:sz="0" w:space="0" w:color="auto"/>
          </w:divBdr>
        </w:div>
        <w:div w:id="472792116">
          <w:marLeft w:val="0"/>
          <w:marRight w:val="0"/>
          <w:marTop w:val="0"/>
          <w:marBottom w:val="0"/>
          <w:divBdr>
            <w:top w:val="none" w:sz="0" w:space="0" w:color="auto"/>
            <w:left w:val="none" w:sz="0" w:space="0" w:color="auto"/>
            <w:bottom w:val="none" w:sz="0" w:space="0" w:color="auto"/>
            <w:right w:val="none" w:sz="0" w:space="0" w:color="auto"/>
          </w:divBdr>
        </w:div>
        <w:div w:id="673075204">
          <w:marLeft w:val="0"/>
          <w:marRight w:val="0"/>
          <w:marTop w:val="0"/>
          <w:marBottom w:val="0"/>
          <w:divBdr>
            <w:top w:val="none" w:sz="0" w:space="0" w:color="auto"/>
            <w:left w:val="none" w:sz="0" w:space="0" w:color="auto"/>
            <w:bottom w:val="none" w:sz="0" w:space="0" w:color="auto"/>
            <w:right w:val="none" w:sz="0" w:space="0" w:color="auto"/>
          </w:divBdr>
        </w:div>
        <w:div w:id="736978988">
          <w:marLeft w:val="0"/>
          <w:marRight w:val="0"/>
          <w:marTop w:val="0"/>
          <w:marBottom w:val="0"/>
          <w:divBdr>
            <w:top w:val="none" w:sz="0" w:space="0" w:color="auto"/>
            <w:left w:val="none" w:sz="0" w:space="0" w:color="auto"/>
            <w:bottom w:val="none" w:sz="0" w:space="0" w:color="auto"/>
            <w:right w:val="none" w:sz="0" w:space="0" w:color="auto"/>
          </w:divBdr>
        </w:div>
        <w:div w:id="815226506">
          <w:marLeft w:val="0"/>
          <w:marRight w:val="0"/>
          <w:marTop w:val="0"/>
          <w:marBottom w:val="0"/>
          <w:divBdr>
            <w:top w:val="none" w:sz="0" w:space="0" w:color="auto"/>
            <w:left w:val="none" w:sz="0" w:space="0" w:color="auto"/>
            <w:bottom w:val="none" w:sz="0" w:space="0" w:color="auto"/>
            <w:right w:val="none" w:sz="0" w:space="0" w:color="auto"/>
          </w:divBdr>
        </w:div>
        <w:div w:id="849609516">
          <w:marLeft w:val="0"/>
          <w:marRight w:val="0"/>
          <w:marTop w:val="0"/>
          <w:marBottom w:val="0"/>
          <w:divBdr>
            <w:top w:val="none" w:sz="0" w:space="0" w:color="auto"/>
            <w:left w:val="none" w:sz="0" w:space="0" w:color="auto"/>
            <w:bottom w:val="none" w:sz="0" w:space="0" w:color="auto"/>
            <w:right w:val="none" w:sz="0" w:space="0" w:color="auto"/>
          </w:divBdr>
          <w:divsChild>
            <w:div w:id="107899424">
              <w:marLeft w:val="0"/>
              <w:marRight w:val="0"/>
              <w:marTop w:val="0"/>
              <w:marBottom w:val="0"/>
              <w:divBdr>
                <w:top w:val="none" w:sz="0" w:space="0" w:color="auto"/>
                <w:left w:val="none" w:sz="0" w:space="0" w:color="auto"/>
                <w:bottom w:val="none" w:sz="0" w:space="0" w:color="auto"/>
                <w:right w:val="none" w:sz="0" w:space="0" w:color="auto"/>
              </w:divBdr>
            </w:div>
            <w:div w:id="1035884752">
              <w:marLeft w:val="0"/>
              <w:marRight w:val="0"/>
              <w:marTop w:val="0"/>
              <w:marBottom w:val="0"/>
              <w:divBdr>
                <w:top w:val="none" w:sz="0" w:space="0" w:color="auto"/>
                <w:left w:val="none" w:sz="0" w:space="0" w:color="auto"/>
                <w:bottom w:val="none" w:sz="0" w:space="0" w:color="auto"/>
                <w:right w:val="none" w:sz="0" w:space="0" w:color="auto"/>
              </w:divBdr>
            </w:div>
            <w:div w:id="1426728698">
              <w:marLeft w:val="0"/>
              <w:marRight w:val="0"/>
              <w:marTop w:val="0"/>
              <w:marBottom w:val="0"/>
              <w:divBdr>
                <w:top w:val="none" w:sz="0" w:space="0" w:color="auto"/>
                <w:left w:val="none" w:sz="0" w:space="0" w:color="auto"/>
                <w:bottom w:val="none" w:sz="0" w:space="0" w:color="auto"/>
                <w:right w:val="none" w:sz="0" w:space="0" w:color="auto"/>
              </w:divBdr>
            </w:div>
            <w:div w:id="2130933369">
              <w:marLeft w:val="0"/>
              <w:marRight w:val="0"/>
              <w:marTop w:val="0"/>
              <w:marBottom w:val="0"/>
              <w:divBdr>
                <w:top w:val="none" w:sz="0" w:space="0" w:color="auto"/>
                <w:left w:val="none" w:sz="0" w:space="0" w:color="auto"/>
                <w:bottom w:val="none" w:sz="0" w:space="0" w:color="auto"/>
                <w:right w:val="none" w:sz="0" w:space="0" w:color="auto"/>
              </w:divBdr>
            </w:div>
          </w:divsChild>
        </w:div>
        <w:div w:id="970403884">
          <w:marLeft w:val="0"/>
          <w:marRight w:val="0"/>
          <w:marTop w:val="0"/>
          <w:marBottom w:val="0"/>
          <w:divBdr>
            <w:top w:val="none" w:sz="0" w:space="0" w:color="auto"/>
            <w:left w:val="none" w:sz="0" w:space="0" w:color="auto"/>
            <w:bottom w:val="none" w:sz="0" w:space="0" w:color="auto"/>
            <w:right w:val="none" w:sz="0" w:space="0" w:color="auto"/>
          </w:divBdr>
        </w:div>
        <w:div w:id="1097364215">
          <w:marLeft w:val="0"/>
          <w:marRight w:val="0"/>
          <w:marTop w:val="0"/>
          <w:marBottom w:val="0"/>
          <w:divBdr>
            <w:top w:val="none" w:sz="0" w:space="0" w:color="auto"/>
            <w:left w:val="none" w:sz="0" w:space="0" w:color="auto"/>
            <w:bottom w:val="none" w:sz="0" w:space="0" w:color="auto"/>
            <w:right w:val="none" w:sz="0" w:space="0" w:color="auto"/>
          </w:divBdr>
        </w:div>
        <w:div w:id="1100836607">
          <w:marLeft w:val="0"/>
          <w:marRight w:val="0"/>
          <w:marTop w:val="0"/>
          <w:marBottom w:val="0"/>
          <w:divBdr>
            <w:top w:val="none" w:sz="0" w:space="0" w:color="auto"/>
            <w:left w:val="none" w:sz="0" w:space="0" w:color="auto"/>
            <w:bottom w:val="none" w:sz="0" w:space="0" w:color="auto"/>
            <w:right w:val="none" w:sz="0" w:space="0" w:color="auto"/>
          </w:divBdr>
        </w:div>
        <w:div w:id="1194613783">
          <w:marLeft w:val="0"/>
          <w:marRight w:val="0"/>
          <w:marTop w:val="0"/>
          <w:marBottom w:val="0"/>
          <w:divBdr>
            <w:top w:val="none" w:sz="0" w:space="0" w:color="auto"/>
            <w:left w:val="none" w:sz="0" w:space="0" w:color="auto"/>
            <w:bottom w:val="none" w:sz="0" w:space="0" w:color="auto"/>
            <w:right w:val="none" w:sz="0" w:space="0" w:color="auto"/>
          </w:divBdr>
          <w:divsChild>
            <w:div w:id="1040934312">
              <w:marLeft w:val="0"/>
              <w:marRight w:val="0"/>
              <w:marTop w:val="0"/>
              <w:marBottom w:val="0"/>
              <w:divBdr>
                <w:top w:val="none" w:sz="0" w:space="0" w:color="auto"/>
                <w:left w:val="none" w:sz="0" w:space="0" w:color="auto"/>
                <w:bottom w:val="none" w:sz="0" w:space="0" w:color="auto"/>
                <w:right w:val="none" w:sz="0" w:space="0" w:color="auto"/>
              </w:divBdr>
            </w:div>
            <w:div w:id="1169634369">
              <w:marLeft w:val="0"/>
              <w:marRight w:val="0"/>
              <w:marTop w:val="0"/>
              <w:marBottom w:val="0"/>
              <w:divBdr>
                <w:top w:val="none" w:sz="0" w:space="0" w:color="auto"/>
                <w:left w:val="none" w:sz="0" w:space="0" w:color="auto"/>
                <w:bottom w:val="none" w:sz="0" w:space="0" w:color="auto"/>
                <w:right w:val="none" w:sz="0" w:space="0" w:color="auto"/>
              </w:divBdr>
            </w:div>
            <w:div w:id="1191724687">
              <w:marLeft w:val="0"/>
              <w:marRight w:val="0"/>
              <w:marTop w:val="0"/>
              <w:marBottom w:val="0"/>
              <w:divBdr>
                <w:top w:val="none" w:sz="0" w:space="0" w:color="auto"/>
                <w:left w:val="none" w:sz="0" w:space="0" w:color="auto"/>
                <w:bottom w:val="none" w:sz="0" w:space="0" w:color="auto"/>
                <w:right w:val="none" w:sz="0" w:space="0" w:color="auto"/>
              </w:divBdr>
            </w:div>
            <w:div w:id="1726903195">
              <w:marLeft w:val="0"/>
              <w:marRight w:val="0"/>
              <w:marTop w:val="0"/>
              <w:marBottom w:val="0"/>
              <w:divBdr>
                <w:top w:val="none" w:sz="0" w:space="0" w:color="auto"/>
                <w:left w:val="none" w:sz="0" w:space="0" w:color="auto"/>
                <w:bottom w:val="none" w:sz="0" w:space="0" w:color="auto"/>
                <w:right w:val="none" w:sz="0" w:space="0" w:color="auto"/>
              </w:divBdr>
            </w:div>
          </w:divsChild>
        </w:div>
        <w:div w:id="1200820581">
          <w:marLeft w:val="0"/>
          <w:marRight w:val="0"/>
          <w:marTop w:val="0"/>
          <w:marBottom w:val="0"/>
          <w:divBdr>
            <w:top w:val="none" w:sz="0" w:space="0" w:color="auto"/>
            <w:left w:val="none" w:sz="0" w:space="0" w:color="auto"/>
            <w:bottom w:val="none" w:sz="0" w:space="0" w:color="auto"/>
            <w:right w:val="none" w:sz="0" w:space="0" w:color="auto"/>
          </w:divBdr>
        </w:div>
        <w:div w:id="1438213662">
          <w:marLeft w:val="0"/>
          <w:marRight w:val="0"/>
          <w:marTop w:val="0"/>
          <w:marBottom w:val="0"/>
          <w:divBdr>
            <w:top w:val="none" w:sz="0" w:space="0" w:color="auto"/>
            <w:left w:val="none" w:sz="0" w:space="0" w:color="auto"/>
            <w:bottom w:val="none" w:sz="0" w:space="0" w:color="auto"/>
            <w:right w:val="none" w:sz="0" w:space="0" w:color="auto"/>
          </w:divBdr>
        </w:div>
        <w:div w:id="1542089690">
          <w:marLeft w:val="0"/>
          <w:marRight w:val="0"/>
          <w:marTop w:val="0"/>
          <w:marBottom w:val="0"/>
          <w:divBdr>
            <w:top w:val="none" w:sz="0" w:space="0" w:color="auto"/>
            <w:left w:val="none" w:sz="0" w:space="0" w:color="auto"/>
            <w:bottom w:val="none" w:sz="0" w:space="0" w:color="auto"/>
            <w:right w:val="none" w:sz="0" w:space="0" w:color="auto"/>
          </w:divBdr>
        </w:div>
        <w:div w:id="1733262838">
          <w:marLeft w:val="0"/>
          <w:marRight w:val="0"/>
          <w:marTop w:val="0"/>
          <w:marBottom w:val="0"/>
          <w:divBdr>
            <w:top w:val="none" w:sz="0" w:space="0" w:color="auto"/>
            <w:left w:val="none" w:sz="0" w:space="0" w:color="auto"/>
            <w:bottom w:val="none" w:sz="0" w:space="0" w:color="auto"/>
            <w:right w:val="none" w:sz="0" w:space="0" w:color="auto"/>
          </w:divBdr>
        </w:div>
        <w:div w:id="1983852625">
          <w:marLeft w:val="0"/>
          <w:marRight w:val="0"/>
          <w:marTop w:val="0"/>
          <w:marBottom w:val="0"/>
          <w:divBdr>
            <w:top w:val="none" w:sz="0" w:space="0" w:color="auto"/>
            <w:left w:val="none" w:sz="0" w:space="0" w:color="auto"/>
            <w:bottom w:val="none" w:sz="0" w:space="0" w:color="auto"/>
            <w:right w:val="none" w:sz="0" w:space="0" w:color="auto"/>
          </w:divBdr>
        </w:div>
        <w:div w:id="2020616301">
          <w:marLeft w:val="0"/>
          <w:marRight w:val="0"/>
          <w:marTop w:val="0"/>
          <w:marBottom w:val="0"/>
          <w:divBdr>
            <w:top w:val="none" w:sz="0" w:space="0" w:color="auto"/>
            <w:left w:val="none" w:sz="0" w:space="0" w:color="auto"/>
            <w:bottom w:val="none" w:sz="0" w:space="0" w:color="auto"/>
            <w:right w:val="none" w:sz="0" w:space="0" w:color="auto"/>
          </w:divBdr>
        </w:div>
      </w:divsChild>
    </w:div>
    <w:div w:id="602104378">
      <w:bodyDiv w:val="1"/>
      <w:marLeft w:val="0"/>
      <w:marRight w:val="0"/>
      <w:marTop w:val="0"/>
      <w:marBottom w:val="0"/>
      <w:divBdr>
        <w:top w:val="none" w:sz="0" w:space="0" w:color="auto"/>
        <w:left w:val="none" w:sz="0" w:space="0" w:color="auto"/>
        <w:bottom w:val="none" w:sz="0" w:space="0" w:color="auto"/>
        <w:right w:val="none" w:sz="0" w:space="0" w:color="auto"/>
      </w:divBdr>
    </w:div>
    <w:div w:id="606548834">
      <w:bodyDiv w:val="1"/>
      <w:marLeft w:val="0"/>
      <w:marRight w:val="0"/>
      <w:marTop w:val="0"/>
      <w:marBottom w:val="0"/>
      <w:divBdr>
        <w:top w:val="none" w:sz="0" w:space="0" w:color="auto"/>
        <w:left w:val="none" w:sz="0" w:space="0" w:color="auto"/>
        <w:bottom w:val="none" w:sz="0" w:space="0" w:color="auto"/>
        <w:right w:val="none" w:sz="0" w:space="0" w:color="auto"/>
      </w:divBdr>
    </w:div>
    <w:div w:id="647825139">
      <w:bodyDiv w:val="1"/>
      <w:marLeft w:val="0"/>
      <w:marRight w:val="0"/>
      <w:marTop w:val="0"/>
      <w:marBottom w:val="0"/>
      <w:divBdr>
        <w:top w:val="none" w:sz="0" w:space="0" w:color="auto"/>
        <w:left w:val="none" w:sz="0" w:space="0" w:color="auto"/>
        <w:bottom w:val="none" w:sz="0" w:space="0" w:color="auto"/>
        <w:right w:val="none" w:sz="0" w:space="0" w:color="auto"/>
      </w:divBdr>
    </w:div>
    <w:div w:id="736126087">
      <w:bodyDiv w:val="1"/>
      <w:marLeft w:val="0"/>
      <w:marRight w:val="0"/>
      <w:marTop w:val="0"/>
      <w:marBottom w:val="0"/>
      <w:divBdr>
        <w:top w:val="none" w:sz="0" w:space="0" w:color="auto"/>
        <w:left w:val="none" w:sz="0" w:space="0" w:color="auto"/>
        <w:bottom w:val="none" w:sz="0" w:space="0" w:color="auto"/>
        <w:right w:val="none" w:sz="0" w:space="0" w:color="auto"/>
      </w:divBdr>
    </w:div>
    <w:div w:id="988090905">
      <w:bodyDiv w:val="1"/>
      <w:marLeft w:val="0"/>
      <w:marRight w:val="0"/>
      <w:marTop w:val="0"/>
      <w:marBottom w:val="0"/>
      <w:divBdr>
        <w:top w:val="none" w:sz="0" w:space="0" w:color="auto"/>
        <w:left w:val="none" w:sz="0" w:space="0" w:color="auto"/>
        <w:bottom w:val="none" w:sz="0" w:space="0" w:color="auto"/>
        <w:right w:val="none" w:sz="0" w:space="0" w:color="auto"/>
      </w:divBdr>
    </w:div>
    <w:div w:id="994650064">
      <w:bodyDiv w:val="1"/>
      <w:marLeft w:val="0"/>
      <w:marRight w:val="0"/>
      <w:marTop w:val="0"/>
      <w:marBottom w:val="0"/>
      <w:divBdr>
        <w:top w:val="none" w:sz="0" w:space="0" w:color="auto"/>
        <w:left w:val="none" w:sz="0" w:space="0" w:color="auto"/>
        <w:bottom w:val="none" w:sz="0" w:space="0" w:color="auto"/>
        <w:right w:val="none" w:sz="0" w:space="0" w:color="auto"/>
      </w:divBdr>
    </w:div>
    <w:div w:id="1019548180">
      <w:bodyDiv w:val="1"/>
      <w:marLeft w:val="0"/>
      <w:marRight w:val="0"/>
      <w:marTop w:val="0"/>
      <w:marBottom w:val="0"/>
      <w:divBdr>
        <w:top w:val="none" w:sz="0" w:space="0" w:color="auto"/>
        <w:left w:val="none" w:sz="0" w:space="0" w:color="auto"/>
        <w:bottom w:val="none" w:sz="0" w:space="0" w:color="auto"/>
        <w:right w:val="none" w:sz="0" w:space="0" w:color="auto"/>
      </w:divBdr>
      <w:divsChild>
        <w:div w:id="729034604">
          <w:marLeft w:val="0"/>
          <w:marRight w:val="0"/>
          <w:marTop w:val="0"/>
          <w:marBottom w:val="0"/>
          <w:divBdr>
            <w:top w:val="none" w:sz="0" w:space="0" w:color="auto"/>
            <w:left w:val="none" w:sz="0" w:space="0" w:color="auto"/>
            <w:bottom w:val="none" w:sz="0" w:space="0" w:color="auto"/>
            <w:right w:val="none" w:sz="0" w:space="0" w:color="auto"/>
          </w:divBdr>
          <w:divsChild>
            <w:div w:id="219246528">
              <w:marLeft w:val="0"/>
              <w:marRight w:val="0"/>
              <w:marTop w:val="0"/>
              <w:marBottom w:val="0"/>
              <w:divBdr>
                <w:top w:val="none" w:sz="0" w:space="0" w:color="auto"/>
                <w:left w:val="none" w:sz="0" w:space="0" w:color="auto"/>
                <w:bottom w:val="none" w:sz="0" w:space="0" w:color="auto"/>
                <w:right w:val="none" w:sz="0" w:space="0" w:color="auto"/>
              </w:divBdr>
            </w:div>
            <w:div w:id="245112977">
              <w:marLeft w:val="0"/>
              <w:marRight w:val="0"/>
              <w:marTop w:val="0"/>
              <w:marBottom w:val="0"/>
              <w:divBdr>
                <w:top w:val="none" w:sz="0" w:space="0" w:color="auto"/>
                <w:left w:val="none" w:sz="0" w:space="0" w:color="auto"/>
                <w:bottom w:val="none" w:sz="0" w:space="0" w:color="auto"/>
                <w:right w:val="none" w:sz="0" w:space="0" w:color="auto"/>
              </w:divBdr>
            </w:div>
            <w:div w:id="334650811">
              <w:marLeft w:val="0"/>
              <w:marRight w:val="0"/>
              <w:marTop w:val="0"/>
              <w:marBottom w:val="0"/>
              <w:divBdr>
                <w:top w:val="none" w:sz="0" w:space="0" w:color="auto"/>
                <w:left w:val="none" w:sz="0" w:space="0" w:color="auto"/>
                <w:bottom w:val="none" w:sz="0" w:space="0" w:color="auto"/>
                <w:right w:val="none" w:sz="0" w:space="0" w:color="auto"/>
              </w:divBdr>
            </w:div>
            <w:div w:id="416488986">
              <w:marLeft w:val="0"/>
              <w:marRight w:val="0"/>
              <w:marTop w:val="0"/>
              <w:marBottom w:val="0"/>
              <w:divBdr>
                <w:top w:val="none" w:sz="0" w:space="0" w:color="auto"/>
                <w:left w:val="none" w:sz="0" w:space="0" w:color="auto"/>
                <w:bottom w:val="none" w:sz="0" w:space="0" w:color="auto"/>
                <w:right w:val="none" w:sz="0" w:space="0" w:color="auto"/>
              </w:divBdr>
            </w:div>
            <w:div w:id="437338793">
              <w:marLeft w:val="0"/>
              <w:marRight w:val="0"/>
              <w:marTop w:val="0"/>
              <w:marBottom w:val="0"/>
              <w:divBdr>
                <w:top w:val="none" w:sz="0" w:space="0" w:color="auto"/>
                <w:left w:val="none" w:sz="0" w:space="0" w:color="auto"/>
                <w:bottom w:val="none" w:sz="0" w:space="0" w:color="auto"/>
                <w:right w:val="none" w:sz="0" w:space="0" w:color="auto"/>
              </w:divBdr>
            </w:div>
            <w:div w:id="580143570">
              <w:marLeft w:val="0"/>
              <w:marRight w:val="0"/>
              <w:marTop w:val="0"/>
              <w:marBottom w:val="0"/>
              <w:divBdr>
                <w:top w:val="none" w:sz="0" w:space="0" w:color="auto"/>
                <w:left w:val="none" w:sz="0" w:space="0" w:color="auto"/>
                <w:bottom w:val="none" w:sz="0" w:space="0" w:color="auto"/>
                <w:right w:val="none" w:sz="0" w:space="0" w:color="auto"/>
              </w:divBdr>
            </w:div>
            <w:div w:id="580607618">
              <w:marLeft w:val="0"/>
              <w:marRight w:val="0"/>
              <w:marTop w:val="0"/>
              <w:marBottom w:val="0"/>
              <w:divBdr>
                <w:top w:val="none" w:sz="0" w:space="0" w:color="auto"/>
                <w:left w:val="none" w:sz="0" w:space="0" w:color="auto"/>
                <w:bottom w:val="none" w:sz="0" w:space="0" w:color="auto"/>
                <w:right w:val="none" w:sz="0" w:space="0" w:color="auto"/>
              </w:divBdr>
            </w:div>
            <w:div w:id="626740743">
              <w:marLeft w:val="0"/>
              <w:marRight w:val="0"/>
              <w:marTop w:val="0"/>
              <w:marBottom w:val="0"/>
              <w:divBdr>
                <w:top w:val="none" w:sz="0" w:space="0" w:color="auto"/>
                <w:left w:val="none" w:sz="0" w:space="0" w:color="auto"/>
                <w:bottom w:val="none" w:sz="0" w:space="0" w:color="auto"/>
                <w:right w:val="none" w:sz="0" w:space="0" w:color="auto"/>
              </w:divBdr>
            </w:div>
            <w:div w:id="651952236">
              <w:marLeft w:val="0"/>
              <w:marRight w:val="0"/>
              <w:marTop w:val="0"/>
              <w:marBottom w:val="0"/>
              <w:divBdr>
                <w:top w:val="none" w:sz="0" w:space="0" w:color="auto"/>
                <w:left w:val="none" w:sz="0" w:space="0" w:color="auto"/>
                <w:bottom w:val="none" w:sz="0" w:space="0" w:color="auto"/>
                <w:right w:val="none" w:sz="0" w:space="0" w:color="auto"/>
              </w:divBdr>
            </w:div>
            <w:div w:id="845705290">
              <w:marLeft w:val="0"/>
              <w:marRight w:val="0"/>
              <w:marTop w:val="0"/>
              <w:marBottom w:val="0"/>
              <w:divBdr>
                <w:top w:val="none" w:sz="0" w:space="0" w:color="auto"/>
                <w:left w:val="none" w:sz="0" w:space="0" w:color="auto"/>
                <w:bottom w:val="none" w:sz="0" w:space="0" w:color="auto"/>
                <w:right w:val="none" w:sz="0" w:space="0" w:color="auto"/>
              </w:divBdr>
            </w:div>
            <w:div w:id="1258254404">
              <w:marLeft w:val="0"/>
              <w:marRight w:val="0"/>
              <w:marTop w:val="0"/>
              <w:marBottom w:val="0"/>
              <w:divBdr>
                <w:top w:val="none" w:sz="0" w:space="0" w:color="auto"/>
                <w:left w:val="none" w:sz="0" w:space="0" w:color="auto"/>
                <w:bottom w:val="none" w:sz="0" w:space="0" w:color="auto"/>
                <w:right w:val="none" w:sz="0" w:space="0" w:color="auto"/>
              </w:divBdr>
            </w:div>
            <w:div w:id="1472674200">
              <w:marLeft w:val="0"/>
              <w:marRight w:val="0"/>
              <w:marTop w:val="0"/>
              <w:marBottom w:val="0"/>
              <w:divBdr>
                <w:top w:val="none" w:sz="0" w:space="0" w:color="auto"/>
                <w:left w:val="none" w:sz="0" w:space="0" w:color="auto"/>
                <w:bottom w:val="none" w:sz="0" w:space="0" w:color="auto"/>
                <w:right w:val="none" w:sz="0" w:space="0" w:color="auto"/>
              </w:divBdr>
            </w:div>
            <w:div w:id="1571234610">
              <w:marLeft w:val="0"/>
              <w:marRight w:val="0"/>
              <w:marTop w:val="0"/>
              <w:marBottom w:val="0"/>
              <w:divBdr>
                <w:top w:val="none" w:sz="0" w:space="0" w:color="auto"/>
                <w:left w:val="none" w:sz="0" w:space="0" w:color="auto"/>
                <w:bottom w:val="none" w:sz="0" w:space="0" w:color="auto"/>
                <w:right w:val="none" w:sz="0" w:space="0" w:color="auto"/>
              </w:divBdr>
            </w:div>
            <w:div w:id="1665040207">
              <w:marLeft w:val="0"/>
              <w:marRight w:val="0"/>
              <w:marTop w:val="0"/>
              <w:marBottom w:val="0"/>
              <w:divBdr>
                <w:top w:val="none" w:sz="0" w:space="0" w:color="auto"/>
                <w:left w:val="none" w:sz="0" w:space="0" w:color="auto"/>
                <w:bottom w:val="none" w:sz="0" w:space="0" w:color="auto"/>
                <w:right w:val="none" w:sz="0" w:space="0" w:color="auto"/>
              </w:divBdr>
            </w:div>
            <w:div w:id="1825244222">
              <w:marLeft w:val="0"/>
              <w:marRight w:val="0"/>
              <w:marTop w:val="0"/>
              <w:marBottom w:val="0"/>
              <w:divBdr>
                <w:top w:val="none" w:sz="0" w:space="0" w:color="auto"/>
                <w:left w:val="none" w:sz="0" w:space="0" w:color="auto"/>
                <w:bottom w:val="none" w:sz="0" w:space="0" w:color="auto"/>
                <w:right w:val="none" w:sz="0" w:space="0" w:color="auto"/>
              </w:divBdr>
            </w:div>
            <w:div w:id="1831629116">
              <w:marLeft w:val="0"/>
              <w:marRight w:val="0"/>
              <w:marTop w:val="0"/>
              <w:marBottom w:val="0"/>
              <w:divBdr>
                <w:top w:val="none" w:sz="0" w:space="0" w:color="auto"/>
                <w:left w:val="none" w:sz="0" w:space="0" w:color="auto"/>
                <w:bottom w:val="none" w:sz="0" w:space="0" w:color="auto"/>
                <w:right w:val="none" w:sz="0" w:space="0" w:color="auto"/>
              </w:divBdr>
            </w:div>
            <w:div w:id="1951280322">
              <w:marLeft w:val="0"/>
              <w:marRight w:val="0"/>
              <w:marTop w:val="0"/>
              <w:marBottom w:val="0"/>
              <w:divBdr>
                <w:top w:val="none" w:sz="0" w:space="0" w:color="auto"/>
                <w:left w:val="none" w:sz="0" w:space="0" w:color="auto"/>
                <w:bottom w:val="none" w:sz="0" w:space="0" w:color="auto"/>
                <w:right w:val="none" w:sz="0" w:space="0" w:color="auto"/>
              </w:divBdr>
            </w:div>
            <w:div w:id="2011175314">
              <w:marLeft w:val="0"/>
              <w:marRight w:val="0"/>
              <w:marTop w:val="0"/>
              <w:marBottom w:val="0"/>
              <w:divBdr>
                <w:top w:val="none" w:sz="0" w:space="0" w:color="auto"/>
                <w:left w:val="none" w:sz="0" w:space="0" w:color="auto"/>
                <w:bottom w:val="none" w:sz="0" w:space="0" w:color="auto"/>
                <w:right w:val="none" w:sz="0" w:space="0" w:color="auto"/>
              </w:divBdr>
            </w:div>
            <w:div w:id="2094423715">
              <w:marLeft w:val="0"/>
              <w:marRight w:val="0"/>
              <w:marTop w:val="0"/>
              <w:marBottom w:val="0"/>
              <w:divBdr>
                <w:top w:val="none" w:sz="0" w:space="0" w:color="auto"/>
                <w:left w:val="none" w:sz="0" w:space="0" w:color="auto"/>
                <w:bottom w:val="none" w:sz="0" w:space="0" w:color="auto"/>
                <w:right w:val="none" w:sz="0" w:space="0" w:color="auto"/>
              </w:divBdr>
            </w:div>
            <w:div w:id="2133398530">
              <w:marLeft w:val="0"/>
              <w:marRight w:val="0"/>
              <w:marTop w:val="0"/>
              <w:marBottom w:val="0"/>
              <w:divBdr>
                <w:top w:val="none" w:sz="0" w:space="0" w:color="auto"/>
                <w:left w:val="none" w:sz="0" w:space="0" w:color="auto"/>
                <w:bottom w:val="none" w:sz="0" w:space="0" w:color="auto"/>
                <w:right w:val="none" w:sz="0" w:space="0" w:color="auto"/>
              </w:divBdr>
            </w:div>
          </w:divsChild>
        </w:div>
        <w:div w:id="1228146590">
          <w:marLeft w:val="0"/>
          <w:marRight w:val="0"/>
          <w:marTop w:val="0"/>
          <w:marBottom w:val="0"/>
          <w:divBdr>
            <w:top w:val="none" w:sz="0" w:space="0" w:color="auto"/>
            <w:left w:val="none" w:sz="0" w:space="0" w:color="auto"/>
            <w:bottom w:val="none" w:sz="0" w:space="0" w:color="auto"/>
            <w:right w:val="none" w:sz="0" w:space="0" w:color="auto"/>
          </w:divBdr>
          <w:divsChild>
            <w:div w:id="264730351">
              <w:marLeft w:val="0"/>
              <w:marRight w:val="0"/>
              <w:marTop w:val="0"/>
              <w:marBottom w:val="0"/>
              <w:divBdr>
                <w:top w:val="none" w:sz="0" w:space="0" w:color="auto"/>
                <w:left w:val="none" w:sz="0" w:space="0" w:color="auto"/>
                <w:bottom w:val="none" w:sz="0" w:space="0" w:color="auto"/>
                <w:right w:val="none" w:sz="0" w:space="0" w:color="auto"/>
              </w:divBdr>
            </w:div>
            <w:div w:id="479201312">
              <w:marLeft w:val="0"/>
              <w:marRight w:val="0"/>
              <w:marTop w:val="0"/>
              <w:marBottom w:val="0"/>
              <w:divBdr>
                <w:top w:val="none" w:sz="0" w:space="0" w:color="auto"/>
                <w:left w:val="none" w:sz="0" w:space="0" w:color="auto"/>
                <w:bottom w:val="none" w:sz="0" w:space="0" w:color="auto"/>
                <w:right w:val="none" w:sz="0" w:space="0" w:color="auto"/>
              </w:divBdr>
            </w:div>
            <w:div w:id="583028028">
              <w:marLeft w:val="0"/>
              <w:marRight w:val="0"/>
              <w:marTop w:val="0"/>
              <w:marBottom w:val="0"/>
              <w:divBdr>
                <w:top w:val="none" w:sz="0" w:space="0" w:color="auto"/>
                <w:left w:val="none" w:sz="0" w:space="0" w:color="auto"/>
                <w:bottom w:val="none" w:sz="0" w:space="0" w:color="auto"/>
                <w:right w:val="none" w:sz="0" w:space="0" w:color="auto"/>
              </w:divBdr>
            </w:div>
            <w:div w:id="638652809">
              <w:marLeft w:val="0"/>
              <w:marRight w:val="0"/>
              <w:marTop w:val="0"/>
              <w:marBottom w:val="0"/>
              <w:divBdr>
                <w:top w:val="none" w:sz="0" w:space="0" w:color="auto"/>
                <w:left w:val="none" w:sz="0" w:space="0" w:color="auto"/>
                <w:bottom w:val="none" w:sz="0" w:space="0" w:color="auto"/>
                <w:right w:val="none" w:sz="0" w:space="0" w:color="auto"/>
              </w:divBdr>
            </w:div>
            <w:div w:id="1724450264">
              <w:marLeft w:val="0"/>
              <w:marRight w:val="0"/>
              <w:marTop w:val="0"/>
              <w:marBottom w:val="0"/>
              <w:divBdr>
                <w:top w:val="none" w:sz="0" w:space="0" w:color="auto"/>
                <w:left w:val="none" w:sz="0" w:space="0" w:color="auto"/>
                <w:bottom w:val="none" w:sz="0" w:space="0" w:color="auto"/>
                <w:right w:val="none" w:sz="0" w:space="0" w:color="auto"/>
              </w:divBdr>
            </w:div>
            <w:div w:id="21436210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7145663">
      <w:bodyDiv w:val="1"/>
      <w:marLeft w:val="0"/>
      <w:marRight w:val="0"/>
      <w:marTop w:val="0"/>
      <w:marBottom w:val="0"/>
      <w:divBdr>
        <w:top w:val="none" w:sz="0" w:space="0" w:color="auto"/>
        <w:left w:val="none" w:sz="0" w:space="0" w:color="auto"/>
        <w:bottom w:val="none" w:sz="0" w:space="0" w:color="auto"/>
        <w:right w:val="none" w:sz="0" w:space="0" w:color="auto"/>
      </w:divBdr>
    </w:div>
    <w:div w:id="1047800585">
      <w:bodyDiv w:val="1"/>
      <w:marLeft w:val="0"/>
      <w:marRight w:val="0"/>
      <w:marTop w:val="0"/>
      <w:marBottom w:val="0"/>
      <w:divBdr>
        <w:top w:val="none" w:sz="0" w:space="0" w:color="auto"/>
        <w:left w:val="none" w:sz="0" w:space="0" w:color="auto"/>
        <w:bottom w:val="none" w:sz="0" w:space="0" w:color="auto"/>
        <w:right w:val="none" w:sz="0" w:space="0" w:color="auto"/>
      </w:divBdr>
      <w:divsChild>
        <w:div w:id="1065032767">
          <w:marLeft w:val="0"/>
          <w:marRight w:val="0"/>
          <w:marTop w:val="0"/>
          <w:marBottom w:val="0"/>
          <w:divBdr>
            <w:top w:val="none" w:sz="0" w:space="0" w:color="auto"/>
            <w:left w:val="none" w:sz="0" w:space="0" w:color="auto"/>
            <w:bottom w:val="none" w:sz="0" w:space="0" w:color="auto"/>
            <w:right w:val="none" w:sz="0" w:space="0" w:color="auto"/>
          </w:divBdr>
        </w:div>
      </w:divsChild>
    </w:div>
    <w:div w:id="1105807320">
      <w:bodyDiv w:val="1"/>
      <w:marLeft w:val="0"/>
      <w:marRight w:val="0"/>
      <w:marTop w:val="0"/>
      <w:marBottom w:val="0"/>
      <w:divBdr>
        <w:top w:val="none" w:sz="0" w:space="0" w:color="auto"/>
        <w:left w:val="none" w:sz="0" w:space="0" w:color="auto"/>
        <w:bottom w:val="none" w:sz="0" w:space="0" w:color="auto"/>
        <w:right w:val="none" w:sz="0" w:space="0" w:color="auto"/>
      </w:divBdr>
    </w:div>
    <w:div w:id="1150907604">
      <w:bodyDiv w:val="1"/>
      <w:marLeft w:val="0"/>
      <w:marRight w:val="0"/>
      <w:marTop w:val="0"/>
      <w:marBottom w:val="0"/>
      <w:divBdr>
        <w:top w:val="none" w:sz="0" w:space="0" w:color="auto"/>
        <w:left w:val="none" w:sz="0" w:space="0" w:color="auto"/>
        <w:bottom w:val="none" w:sz="0" w:space="0" w:color="auto"/>
        <w:right w:val="none" w:sz="0" w:space="0" w:color="auto"/>
      </w:divBdr>
    </w:div>
    <w:div w:id="1243755107">
      <w:bodyDiv w:val="1"/>
      <w:marLeft w:val="0"/>
      <w:marRight w:val="0"/>
      <w:marTop w:val="0"/>
      <w:marBottom w:val="0"/>
      <w:divBdr>
        <w:top w:val="none" w:sz="0" w:space="0" w:color="auto"/>
        <w:left w:val="none" w:sz="0" w:space="0" w:color="auto"/>
        <w:bottom w:val="none" w:sz="0" w:space="0" w:color="auto"/>
        <w:right w:val="none" w:sz="0" w:space="0" w:color="auto"/>
      </w:divBdr>
    </w:div>
    <w:div w:id="1261328917">
      <w:bodyDiv w:val="1"/>
      <w:marLeft w:val="0"/>
      <w:marRight w:val="0"/>
      <w:marTop w:val="0"/>
      <w:marBottom w:val="0"/>
      <w:divBdr>
        <w:top w:val="none" w:sz="0" w:space="0" w:color="auto"/>
        <w:left w:val="none" w:sz="0" w:space="0" w:color="auto"/>
        <w:bottom w:val="none" w:sz="0" w:space="0" w:color="auto"/>
        <w:right w:val="none" w:sz="0" w:space="0" w:color="auto"/>
      </w:divBdr>
      <w:divsChild>
        <w:div w:id="340400197">
          <w:marLeft w:val="0"/>
          <w:marRight w:val="0"/>
          <w:marTop w:val="0"/>
          <w:marBottom w:val="0"/>
          <w:divBdr>
            <w:top w:val="none" w:sz="0" w:space="0" w:color="auto"/>
            <w:left w:val="none" w:sz="0" w:space="0" w:color="auto"/>
            <w:bottom w:val="none" w:sz="0" w:space="0" w:color="auto"/>
            <w:right w:val="none" w:sz="0" w:space="0" w:color="auto"/>
          </w:divBdr>
          <w:divsChild>
            <w:div w:id="50733076">
              <w:marLeft w:val="0"/>
              <w:marRight w:val="0"/>
              <w:marTop w:val="0"/>
              <w:marBottom w:val="0"/>
              <w:divBdr>
                <w:top w:val="none" w:sz="0" w:space="0" w:color="auto"/>
                <w:left w:val="none" w:sz="0" w:space="0" w:color="auto"/>
                <w:bottom w:val="none" w:sz="0" w:space="0" w:color="auto"/>
                <w:right w:val="none" w:sz="0" w:space="0" w:color="auto"/>
              </w:divBdr>
            </w:div>
            <w:div w:id="145125021">
              <w:marLeft w:val="0"/>
              <w:marRight w:val="0"/>
              <w:marTop w:val="0"/>
              <w:marBottom w:val="0"/>
              <w:divBdr>
                <w:top w:val="none" w:sz="0" w:space="0" w:color="auto"/>
                <w:left w:val="none" w:sz="0" w:space="0" w:color="auto"/>
                <w:bottom w:val="none" w:sz="0" w:space="0" w:color="auto"/>
                <w:right w:val="none" w:sz="0" w:space="0" w:color="auto"/>
              </w:divBdr>
            </w:div>
            <w:div w:id="247546117">
              <w:marLeft w:val="0"/>
              <w:marRight w:val="0"/>
              <w:marTop w:val="0"/>
              <w:marBottom w:val="0"/>
              <w:divBdr>
                <w:top w:val="none" w:sz="0" w:space="0" w:color="auto"/>
                <w:left w:val="none" w:sz="0" w:space="0" w:color="auto"/>
                <w:bottom w:val="none" w:sz="0" w:space="0" w:color="auto"/>
                <w:right w:val="none" w:sz="0" w:space="0" w:color="auto"/>
              </w:divBdr>
            </w:div>
            <w:div w:id="349452910">
              <w:marLeft w:val="0"/>
              <w:marRight w:val="0"/>
              <w:marTop w:val="0"/>
              <w:marBottom w:val="0"/>
              <w:divBdr>
                <w:top w:val="none" w:sz="0" w:space="0" w:color="auto"/>
                <w:left w:val="none" w:sz="0" w:space="0" w:color="auto"/>
                <w:bottom w:val="none" w:sz="0" w:space="0" w:color="auto"/>
                <w:right w:val="none" w:sz="0" w:space="0" w:color="auto"/>
              </w:divBdr>
            </w:div>
            <w:div w:id="573274017">
              <w:marLeft w:val="0"/>
              <w:marRight w:val="0"/>
              <w:marTop w:val="0"/>
              <w:marBottom w:val="0"/>
              <w:divBdr>
                <w:top w:val="none" w:sz="0" w:space="0" w:color="auto"/>
                <w:left w:val="none" w:sz="0" w:space="0" w:color="auto"/>
                <w:bottom w:val="none" w:sz="0" w:space="0" w:color="auto"/>
                <w:right w:val="none" w:sz="0" w:space="0" w:color="auto"/>
              </w:divBdr>
            </w:div>
            <w:div w:id="743844187">
              <w:marLeft w:val="0"/>
              <w:marRight w:val="0"/>
              <w:marTop w:val="0"/>
              <w:marBottom w:val="0"/>
              <w:divBdr>
                <w:top w:val="none" w:sz="0" w:space="0" w:color="auto"/>
                <w:left w:val="none" w:sz="0" w:space="0" w:color="auto"/>
                <w:bottom w:val="none" w:sz="0" w:space="0" w:color="auto"/>
                <w:right w:val="none" w:sz="0" w:space="0" w:color="auto"/>
              </w:divBdr>
            </w:div>
            <w:div w:id="792603217">
              <w:marLeft w:val="0"/>
              <w:marRight w:val="0"/>
              <w:marTop w:val="0"/>
              <w:marBottom w:val="0"/>
              <w:divBdr>
                <w:top w:val="none" w:sz="0" w:space="0" w:color="auto"/>
                <w:left w:val="none" w:sz="0" w:space="0" w:color="auto"/>
                <w:bottom w:val="none" w:sz="0" w:space="0" w:color="auto"/>
                <w:right w:val="none" w:sz="0" w:space="0" w:color="auto"/>
              </w:divBdr>
            </w:div>
            <w:div w:id="843933037">
              <w:marLeft w:val="0"/>
              <w:marRight w:val="0"/>
              <w:marTop w:val="0"/>
              <w:marBottom w:val="0"/>
              <w:divBdr>
                <w:top w:val="none" w:sz="0" w:space="0" w:color="auto"/>
                <w:left w:val="none" w:sz="0" w:space="0" w:color="auto"/>
                <w:bottom w:val="none" w:sz="0" w:space="0" w:color="auto"/>
                <w:right w:val="none" w:sz="0" w:space="0" w:color="auto"/>
              </w:divBdr>
            </w:div>
            <w:div w:id="965696970">
              <w:marLeft w:val="0"/>
              <w:marRight w:val="0"/>
              <w:marTop w:val="0"/>
              <w:marBottom w:val="0"/>
              <w:divBdr>
                <w:top w:val="none" w:sz="0" w:space="0" w:color="auto"/>
                <w:left w:val="none" w:sz="0" w:space="0" w:color="auto"/>
                <w:bottom w:val="none" w:sz="0" w:space="0" w:color="auto"/>
                <w:right w:val="none" w:sz="0" w:space="0" w:color="auto"/>
              </w:divBdr>
            </w:div>
            <w:div w:id="1001615201">
              <w:marLeft w:val="0"/>
              <w:marRight w:val="0"/>
              <w:marTop w:val="0"/>
              <w:marBottom w:val="0"/>
              <w:divBdr>
                <w:top w:val="none" w:sz="0" w:space="0" w:color="auto"/>
                <w:left w:val="none" w:sz="0" w:space="0" w:color="auto"/>
                <w:bottom w:val="none" w:sz="0" w:space="0" w:color="auto"/>
                <w:right w:val="none" w:sz="0" w:space="0" w:color="auto"/>
              </w:divBdr>
            </w:div>
            <w:div w:id="1106578330">
              <w:marLeft w:val="0"/>
              <w:marRight w:val="0"/>
              <w:marTop w:val="0"/>
              <w:marBottom w:val="0"/>
              <w:divBdr>
                <w:top w:val="none" w:sz="0" w:space="0" w:color="auto"/>
                <w:left w:val="none" w:sz="0" w:space="0" w:color="auto"/>
                <w:bottom w:val="none" w:sz="0" w:space="0" w:color="auto"/>
                <w:right w:val="none" w:sz="0" w:space="0" w:color="auto"/>
              </w:divBdr>
            </w:div>
            <w:div w:id="1253121394">
              <w:marLeft w:val="0"/>
              <w:marRight w:val="0"/>
              <w:marTop w:val="0"/>
              <w:marBottom w:val="0"/>
              <w:divBdr>
                <w:top w:val="none" w:sz="0" w:space="0" w:color="auto"/>
                <w:left w:val="none" w:sz="0" w:space="0" w:color="auto"/>
                <w:bottom w:val="none" w:sz="0" w:space="0" w:color="auto"/>
                <w:right w:val="none" w:sz="0" w:space="0" w:color="auto"/>
              </w:divBdr>
            </w:div>
            <w:div w:id="1356005927">
              <w:marLeft w:val="0"/>
              <w:marRight w:val="0"/>
              <w:marTop w:val="0"/>
              <w:marBottom w:val="0"/>
              <w:divBdr>
                <w:top w:val="none" w:sz="0" w:space="0" w:color="auto"/>
                <w:left w:val="none" w:sz="0" w:space="0" w:color="auto"/>
                <w:bottom w:val="none" w:sz="0" w:space="0" w:color="auto"/>
                <w:right w:val="none" w:sz="0" w:space="0" w:color="auto"/>
              </w:divBdr>
            </w:div>
            <w:div w:id="1560093752">
              <w:marLeft w:val="0"/>
              <w:marRight w:val="0"/>
              <w:marTop w:val="0"/>
              <w:marBottom w:val="0"/>
              <w:divBdr>
                <w:top w:val="none" w:sz="0" w:space="0" w:color="auto"/>
                <w:left w:val="none" w:sz="0" w:space="0" w:color="auto"/>
                <w:bottom w:val="none" w:sz="0" w:space="0" w:color="auto"/>
                <w:right w:val="none" w:sz="0" w:space="0" w:color="auto"/>
              </w:divBdr>
            </w:div>
            <w:div w:id="1565527160">
              <w:marLeft w:val="0"/>
              <w:marRight w:val="0"/>
              <w:marTop w:val="0"/>
              <w:marBottom w:val="0"/>
              <w:divBdr>
                <w:top w:val="none" w:sz="0" w:space="0" w:color="auto"/>
                <w:left w:val="none" w:sz="0" w:space="0" w:color="auto"/>
                <w:bottom w:val="none" w:sz="0" w:space="0" w:color="auto"/>
                <w:right w:val="none" w:sz="0" w:space="0" w:color="auto"/>
              </w:divBdr>
            </w:div>
            <w:div w:id="1588492268">
              <w:marLeft w:val="0"/>
              <w:marRight w:val="0"/>
              <w:marTop w:val="0"/>
              <w:marBottom w:val="0"/>
              <w:divBdr>
                <w:top w:val="none" w:sz="0" w:space="0" w:color="auto"/>
                <w:left w:val="none" w:sz="0" w:space="0" w:color="auto"/>
                <w:bottom w:val="none" w:sz="0" w:space="0" w:color="auto"/>
                <w:right w:val="none" w:sz="0" w:space="0" w:color="auto"/>
              </w:divBdr>
            </w:div>
            <w:div w:id="1641760618">
              <w:marLeft w:val="0"/>
              <w:marRight w:val="0"/>
              <w:marTop w:val="0"/>
              <w:marBottom w:val="0"/>
              <w:divBdr>
                <w:top w:val="none" w:sz="0" w:space="0" w:color="auto"/>
                <w:left w:val="none" w:sz="0" w:space="0" w:color="auto"/>
                <w:bottom w:val="none" w:sz="0" w:space="0" w:color="auto"/>
                <w:right w:val="none" w:sz="0" w:space="0" w:color="auto"/>
              </w:divBdr>
            </w:div>
            <w:div w:id="1650743151">
              <w:marLeft w:val="0"/>
              <w:marRight w:val="0"/>
              <w:marTop w:val="0"/>
              <w:marBottom w:val="0"/>
              <w:divBdr>
                <w:top w:val="none" w:sz="0" w:space="0" w:color="auto"/>
                <w:left w:val="none" w:sz="0" w:space="0" w:color="auto"/>
                <w:bottom w:val="none" w:sz="0" w:space="0" w:color="auto"/>
                <w:right w:val="none" w:sz="0" w:space="0" w:color="auto"/>
              </w:divBdr>
            </w:div>
            <w:div w:id="1754082360">
              <w:marLeft w:val="0"/>
              <w:marRight w:val="0"/>
              <w:marTop w:val="0"/>
              <w:marBottom w:val="0"/>
              <w:divBdr>
                <w:top w:val="none" w:sz="0" w:space="0" w:color="auto"/>
                <w:left w:val="none" w:sz="0" w:space="0" w:color="auto"/>
                <w:bottom w:val="none" w:sz="0" w:space="0" w:color="auto"/>
                <w:right w:val="none" w:sz="0" w:space="0" w:color="auto"/>
              </w:divBdr>
            </w:div>
            <w:div w:id="2037348013">
              <w:marLeft w:val="0"/>
              <w:marRight w:val="0"/>
              <w:marTop w:val="0"/>
              <w:marBottom w:val="0"/>
              <w:divBdr>
                <w:top w:val="none" w:sz="0" w:space="0" w:color="auto"/>
                <w:left w:val="none" w:sz="0" w:space="0" w:color="auto"/>
                <w:bottom w:val="none" w:sz="0" w:space="0" w:color="auto"/>
                <w:right w:val="none" w:sz="0" w:space="0" w:color="auto"/>
              </w:divBdr>
            </w:div>
          </w:divsChild>
        </w:div>
        <w:div w:id="2125537391">
          <w:marLeft w:val="0"/>
          <w:marRight w:val="0"/>
          <w:marTop w:val="0"/>
          <w:marBottom w:val="0"/>
          <w:divBdr>
            <w:top w:val="none" w:sz="0" w:space="0" w:color="auto"/>
            <w:left w:val="none" w:sz="0" w:space="0" w:color="auto"/>
            <w:bottom w:val="none" w:sz="0" w:space="0" w:color="auto"/>
            <w:right w:val="none" w:sz="0" w:space="0" w:color="auto"/>
          </w:divBdr>
          <w:divsChild>
            <w:div w:id="519048560">
              <w:marLeft w:val="0"/>
              <w:marRight w:val="0"/>
              <w:marTop w:val="0"/>
              <w:marBottom w:val="0"/>
              <w:divBdr>
                <w:top w:val="none" w:sz="0" w:space="0" w:color="auto"/>
                <w:left w:val="none" w:sz="0" w:space="0" w:color="auto"/>
                <w:bottom w:val="none" w:sz="0" w:space="0" w:color="auto"/>
                <w:right w:val="none" w:sz="0" w:space="0" w:color="auto"/>
              </w:divBdr>
            </w:div>
            <w:div w:id="523330938">
              <w:marLeft w:val="0"/>
              <w:marRight w:val="0"/>
              <w:marTop w:val="0"/>
              <w:marBottom w:val="0"/>
              <w:divBdr>
                <w:top w:val="none" w:sz="0" w:space="0" w:color="auto"/>
                <w:left w:val="none" w:sz="0" w:space="0" w:color="auto"/>
                <w:bottom w:val="none" w:sz="0" w:space="0" w:color="auto"/>
                <w:right w:val="none" w:sz="0" w:space="0" w:color="auto"/>
              </w:divBdr>
            </w:div>
            <w:div w:id="707025150">
              <w:marLeft w:val="0"/>
              <w:marRight w:val="0"/>
              <w:marTop w:val="0"/>
              <w:marBottom w:val="0"/>
              <w:divBdr>
                <w:top w:val="none" w:sz="0" w:space="0" w:color="auto"/>
                <w:left w:val="none" w:sz="0" w:space="0" w:color="auto"/>
                <w:bottom w:val="none" w:sz="0" w:space="0" w:color="auto"/>
                <w:right w:val="none" w:sz="0" w:space="0" w:color="auto"/>
              </w:divBdr>
            </w:div>
            <w:div w:id="1532837263">
              <w:marLeft w:val="0"/>
              <w:marRight w:val="0"/>
              <w:marTop w:val="0"/>
              <w:marBottom w:val="0"/>
              <w:divBdr>
                <w:top w:val="none" w:sz="0" w:space="0" w:color="auto"/>
                <w:left w:val="none" w:sz="0" w:space="0" w:color="auto"/>
                <w:bottom w:val="none" w:sz="0" w:space="0" w:color="auto"/>
                <w:right w:val="none" w:sz="0" w:space="0" w:color="auto"/>
              </w:divBdr>
            </w:div>
            <w:div w:id="1547109296">
              <w:marLeft w:val="0"/>
              <w:marRight w:val="0"/>
              <w:marTop w:val="0"/>
              <w:marBottom w:val="0"/>
              <w:divBdr>
                <w:top w:val="none" w:sz="0" w:space="0" w:color="auto"/>
                <w:left w:val="none" w:sz="0" w:space="0" w:color="auto"/>
                <w:bottom w:val="none" w:sz="0" w:space="0" w:color="auto"/>
                <w:right w:val="none" w:sz="0" w:space="0" w:color="auto"/>
              </w:divBdr>
            </w:div>
            <w:div w:id="18698749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3343318">
      <w:bodyDiv w:val="1"/>
      <w:marLeft w:val="0"/>
      <w:marRight w:val="0"/>
      <w:marTop w:val="0"/>
      <w:marBottom w:val="0"/>
      <w:divBdr>
        <w:top w:val="none" w:sz="0" w:space="0" w:color="auto"/>
        <w:left w:val="none" w:sz="0" w:space="0" w:color="auto"/>
        <w:bottom w:val="none" w:sz="0" w:space="0" w:color="auto"/>
        <w:right w:val="none" w:sz="0" w:space="0" w:color="auto"/>
      </w:divBdr>
    </w:div>
    <w:div w:id="1270160829">
      <w:bodyDiv w:val="1"/>
      <w:marLeft w:val="0"/>
      <w:marRight w:val="0"/>
      <w:marTop w:val="0"/>
      <w:marBottom w:val="0"/>
      <w:divBdr>
        <w:top w:val="none" w:sz="0" w:space="0" w:color="auto"/>
        <w:left w:val="none" w:sz="0" w:space="0" w:color="auto"/>
        <w:bottom w:val="none" w:sz="0" w:space="0" w:color="auto"/>
        <w:right w:val="none" w:sz="0" w:space="0" w:color="auto"/>
      </w:divBdr>
    </w:div>
    <w:div w:id="1305701847">
      <w:bodyDiv w:val="1"/>
      <w:marLeft w:val="0"/>
      <w:marRight w:val="0"/>
      <w:marTop w:val="0"/>
      <w:marBottom w:val="0"/>
      <w:divBdr>
        <w:top w:val="none" w:sz="0" w:space="0" w:color="auto"/>
        <w:left w:val="none" w:sz="0" w:space="0" w:color="auto"/>
        <w:bottom w:val="none" w:sz="0" w:space="0" w:color="auto"/>
        <w:right w:val="none" w:sz="0" w:space="0" w:color="auto"/>
      </w:divBdr>
    </w:div>
    <w:div w:id="1350833347">
      <w:bodyDiv w:val="1"/>
      <w:marLeft w:val="0"/>
      <w:marRight w:val="0"/>
      <w:marTop w:val="0"/>
      <w:marBottom w:val="0"/>
      <w:divBdr>
        <w:top w:val="none" w:sz="0" w:space="0" w:color="auto"/>
        <w:left w:val="none" w:sz="0" w:space="0" w:color="auto"/>
        <w:bottom w:val="none" w:sz="0" w:space="0" w:color="auto"/>
        <w:right w:val="none" w:sz="0" w:space="0" w:color="auto"/>
      </w:divBdr>
      <w:divsChild>
        <w:div w:id="47606415">
          <w:marLeft w:val="0"/>
          <w:marRight w:val="0"/>
          <w:marTop w:val="0"/>
          <w:marBottom w:val="0"/>
          <w:divBdr>
            <w:top w:val="none" w:sz="0" w:space="0" w:color="auto"/>
            <w:left w:val="none" w:sz="0" w:space="0" w:color="auto"/>
            <w:bottom w:val="none" w:sz="0" w:space="0" w:color="auto"/>
            <w:right w:val="none" w:sz="0" w:space="0" w:color="auto"/>
          </w:divBdr>
          <w:divsChild>
            <w:div w:id="228151101">
              <w:marLeft w:val="0"/>
              <w:marRight w:val="0"/>
              <w:marTop w:val="0"/>
              <w:marBottom w:val="0"/>
              <w:divBdr>
                <w:top w:val="none" w:sz="0" w:space="0" w:color="auto"/>
                <w:left w:val="none" w:sz="0" w:space="0" w:color="auto"/>
                <w:bottom w:val="none" w:sz="0" w:space="0" w:color="auto"/>
                <w:right w:val="none" w:sz="0" w:space="0" w:color="auto"/>
              </w:divBdr>
            </w:div>
          </w:divsChild>
        </w:div>
        <w:div w:id="88506074">
          <w:marLeft w:val="0"/>
          <w:marRight w:val="0"/>
          <w:marTop w:val="0"/>
          <w:marBottom w:val="0"/>
          <w:divBdr>
            <w:top w:val="none" w:sz="0" w:space="0" w:color="auto"/>
            <w:left w:val="none" w:sz="0" w:space="0" w:color="auto"/>
            <w:bottom w:val="none" w:sz="0" w:space="0" w:color="auto"/>
            <w:right w:val="none" w:sz="0" w:space="0" w:color="auto"/>
          </w:divBdr>
          <w:divsChild>
            <w:div w:id="1515223239">
              <w:marLeft w:val="0"/>
              <w:marRight w:val="0"/>
              <w:marTop w:val="0"/>
              <w:marBottom w:val="0"/>
              <w:divBdr>
                <w:top w:val="none" w:sz="0" w:space="0" w:color="auto"/>
                <w:left w:val="none" w:sz="0" w:space="0" w:color="auto"/>
                <w:bottom w:val="none" w:sz="0" w:space="0" w:color="auto"/>
                <w:right w:val="none" w:sz="0" w:space="0" w:color="auto"/>
              </w:divBdr>
            </w:div>
          </w:divsChild>
        </w:div>
        <w:div w:id="1093893919">
          <w:marLeft w:val="0"/>
          <w:marRight w:val="0"/>
          <w:marTop w:val="0"/>
          <w:marBottom w:val="0"/>
          <w:divBdr>
            <w:top w:val="none" w:sz="0" w:space="0" w:color="auto"/>
            <w:left w:val="none" w:sz="0" w:space="0" w:color="auto"/>
            <w:bottom w:val="none" w:sz="0" w:space="0" w:color="auto"/>
            <w:right w:val="none" w:sz="0" w:space="0" w:color="auto"/>
          </w:divBdr>
          <w:divsChild>
            <w:div w:id="73825891">
              <w:marLeft w:val="0"/>
              <w:marRight w:val="0"/>
              <w:marTop w:val="0"/>
              <w:marBottom w:val="0"/>
              <w:divBdr>
                <w:top w:val="none" w:sz="0" w:space="0" w:color="auto"/>
                <w:left w:val="none" w:sz="0" w:space="0" w:color="auto"/>
                <w:bottom w:val="none" w:sz="0" w:space="0" w:color="auto"/>
                <w:right w:val="none" w:sz="0" w:space="0" w:color="auto"/>
              </w:divBdr>
            </w:div>
          </w:divsChild>
        </w:div>
        <w:div w:id="1349672711">
          <w:marLeft w:val="0"/>
          <w:marRight w:val="0"/>
          <w:marTop w:val="0"/>
          <w:marBottom w:val="0"/>
          <w:divBdr>
            <w:top w:val="none" w:sz="0" w:space="0" w:color="auto"/>
            <w:left w:val="none" w:sz="0" w:space="0" w:color="auto"/>
            <w:bottom w:val="none" w:sz="0" w:space="0" w:color="auto"/>
            <w:right w:val="none" w:sz="0" w:space="0" w:color="auto"/>
          </w:divBdr>
          <w:divsChild>
            <w:div w:id="507603480">
              <w:marLeft w:val="0"/>
              <w:marRight w:val="0"/>
              <w:marTop w:val="0"/>
              <w:marBottom w:val="0"/>
              <w:divBdr>
                <w:top w:val="none" w:sz="0" w:space="0" w:color="auto"/>
                <w:left w:val="none" w:sz="0" w:space="0" w:color="auto"/>
                <w:bottom w:val="none" w:sz="0" w:space="0" w:color="auto"/>
                <w:right w:val="none" w:sz="0" w:space="0" w:color="auto"/>
              </w:divBdr>
            </w:div>
          </w:divsChild>
        </w:div>
        <w:div w:id="1683701104">
          <w:marLeft w:val="0"/>
          <w:marRight w:val="0"/>
          <w:marTop w:val="0"/>
          <w:marBottom w:val="0"/>
          <w:divBdr>
            <w:top w:val="none" w:sz="0" w:space="0" w:color="auto"/>
            <w:left w:val="none" w:sz="0" w:space="0" w:color="auto"/>
            <w:bottom w:val="none" w:sz="0" w:space="0" w:color="auto"/>
            <w:right w:val="none" w:sz="0" w:space="0" w:color="auto"/>
          </w:divBdr>
          <w:divsChild>
            <w:div w:id="575432020">
              <w:marLeft w:val="0"/>
              <w:marRight w:val="0"/>
              <w:marTop w:val="0"/>
              <w:marBottom w:val="0"/>
              <w:divBdr>
                <w:top w:val="none" w:sz="0" w:space="0" w:color="auto"/>
                <w:left w:val="none" w:sz="0" w:space="0" w:color="auto"/>
                <w:bottom w:val="none" w:sz="0" w:space="0" w:color="auto"/>
                <w:right w:val="none" w:sz="0" w:space="0" w:color="auto"/>
              </w:divBdr>
            </w:div>
          </w:divsChild>
        </w:div>
        <w:div w:id="1752770326">
          <w:marLeft w:val="0"/>
          <w:marRight w:val="0"/>
          <w:marTop w:val="0"/>
          <w:marBottom w:val="0"/>
          <w:divBdr>
            <w:top w:val="none" w:sz="0" w:space="0" w:color="auto"/>
            <w:left w:val="none" w:sz="0" w:space="0" w:color="auto"/>
            <w:bottom w:val="none" w:sz="0" w:space="0" w:color="auto"/>
            <w:right w:val="none" w:sz="0" w:space="0" w:color="auto"/>
          </w:divBdr>
          <w:divsChild>
            <w:div w:id="1890339474">
              <w:marLeft w:val="0"/>
              <w:marRight w:val="0"/>
              <w:marTop w:val="0"/>
              <w:marBottom w:val="0"/>
              <w:divBdr>
                <w:top w:val="none" w:sz="0" w:space="0" w:color="auto"/>
                <w:left w:val="none" w:sz="0" w:space="0" w:color="auto"/>
                <w:bottom w:val="none" w:sz="0" w:space="0" w:color="auto"/>
                <w:right w:val="none" w:sz="0" w:space="0" w:color="auto"/>
              </w:divBdr>
            </w:div>
          </w:divsChild>
        </w:div>
        <w:div w:id="1756320673">
          <w:marLeft w:val="0"/>
          <w:marRight w:val="0"/>
          <w:marTop w:val="0"/>
          <w:marBottom w:val="0"/>
          <w:divBdr>
            <w:top w:val="none" w:sz="0" w:space="0" w:color="auto"/>
            <w:left w:val="none" w:sz="0" w:space="0" w:color="auto"/>
            <w:bottom w:val="none" w:sz="0" w:space="0" w:color="auto"/>
            <w:right w:val="none" w:sz="0" w:space="0" w:color="auto"/>
          </w:divBdr>
          <w:divsChild>
            <w:div w:id="740835322">
              <w:marLeft w:val="0"/>
              <w:marRight w:val="0"/>
              <w:marTop w:val="0"/>
              <w:marBottom w:val="0"/>
              <w:divBdr>
                <w:top w:val="none" w:sz="0" w:space="0" w:color="auto"/>
                <w:left w:val="none" w:sz="0" w:space="0" w:color="auto"/>
                <w:bottom w:val="none" w:sz="0" w:space="0" w:color="auto"/>
                <w:right w:val="none" w:sz="0" w:space="0" w:color="auto"/>
              </w:divBdr>
            </w:div>
          </w:divsChild>
        </w:div>
        <w:div w:id="1882128483">
          <w:marLeft w:val="0"/>
          <w:marRight w:val="0"/>
          <w:marTop w:val="0"/>
          <w:marBottom w:val="0"/>
          <w:divBdr>
            <w:top w:val="none" w:sz="0" w:space="0" w:color="auto"/>
            <w:left w:val="none" w:sz="0" w:space="0" w:color="auto"/>
            <w:bottom w:val="none" w:sz="0" w:space="0" w:color="auto"/>
            <w:right w:val="none" w:sz="0" w:space="0" w:color="auto"/>
          </w:divBdr>
          <w:divsChild>
            <w:div w:id="59402206">
              <w:marLeft w:val="0"/>
              <w:marRight w:val="0"/>
              <w:marTop w:val="0"/>
              <w:marBottom w:val="0"/>
              <w:divBdr>
                <w:top w:val="none" w:sz="0" w:space="0" w:color="auto"/>
                <w:left w:val="none" w:sz="0" w:space="0" w:color="auto"/>
                <w:bottom w:val="none" w:sz="0" w:space="0" w:color="auto"/>
                <w:right w:val="none" w:sz="0" w:space="0" w:color="auto"/>
              </w:divBdr>
            </w:div>
            <w:div w:id="1080756380">
              <w:marLeft w:val="0"/>
              <w:marRight w:val="0"/>
              <w:marTop w:val="0"/>
              <w:marBottom w:val="0"/>
              <w:divBdr>
                <w:top w:val="none" w:sz="0" w:space="0" w:color="auto"/>
                <w:left w:val="none" w:sz="0" w:space="0" w:color="auto"/>
                <w:bottom w:val="none" w:sz="0" w:space="0" w:color="auto"/>
                <w:right w:val="none" w:sz="0" w:space="0" w:color="auto"/>
              </w:divBdr>
            </w:div>
            <w:div w:id="1372925124">
              <w:marLeft w:val="0"/>
              <w:marRight w:val="0"/>
              <w:marTop w:val="0"/>
              <w:marBottom w:val="0"/>
              <w:divBdr>
                <w:top w:val="none" w:sz="0" w:space="0" w:color="auto"/>
                <w:left w:val="none" w:sz="0" w:space="0" w:color="auto"/>
                <w:bottom w:val="none" w:sz="0" w:space="0" w:color="auto"/>
                <w:right w:val="none" w:sz="0" w:space="0" w:color="auto"/>
              </w:divBdr>
            </w:div>
            <w:div w:id="1695570776">
              <w:marLeft w:val="0"/>
              <w:marRight w:val="0"/>
              <w:marTop w:val="0"/>
              <w:marBottom w:val="0"/>
              <w:divBdr>
                <w:top w:val="none" w:sz="0" w:space="0" w:color="auto"/>
                <w:left w:val="none" w:sz="0" w:space="0" w:color="auto"/>
                <w:bottom w:val="none" w:sz="0" w:space="0" w:color="auto"/>
                <w:right w:val="none" w:sz="0" w:space="0" w:color="auto"/>
              </w:divBdr>
            </w:div>
            <w:div w:id="18750014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0984905">
      <w:bodyDiv w:val="1"/>
      <w:marLeft w:val="0"/>
      <w:marRight w:val="0"/>
      <w:marTop w:val="0"/>
      <w:marBottom w:val="0"/>
      <w:divBdr>
        <w:top w:val="none" w:sz="0" w:space="0" w:color="auto"/>
        <w:left w:val="none" w:sz="0" w:space="0" w:color="auto"/>
        <w:bottom w:val="none" w:sz="0" w:space="0" w:color="auto"/>
        <w:right w:val="none" w:sz="0" w:space="0" w:color="auto"/>
      </w:divBdr>
    </w:div>
    <w:div w:id="1380469429">
      <w:bodyDiv w:val="1"/>
      <w:marLeft w:val="0"/>
      <w:marRight w:val="0"/>
      <w:marTop w:val="0"/>
      <w:marBottom w:val="0"/>
      <w:divBdr>
        <w:top w:val="none" w:sz="0" w:space="0" w:color="auto"/>
        <w:left w:val="none" w:sz="0" w:space="0" w:color="auto"/>
        <w:bottom w:val="none" w:sz="0" w:space="0" w:color="auto"/>
        <w:right w:val="none" w:sz="0" w:space="0" w:color="auto"/>
      </w:divBdr>
      <w:divsChild>
        <w:div w:id="699597639">
          <w:marLeft w:val="0"/>
          <w:marRight w:val="0"/>
          <w:marTop w:val="0"/>
          <w:marBottom w:val="0"/>
          <w:divBdr>
            <w:top w:val="none" w:sz="0" w:space="0" w:color="auto"/>
            <w:left w:val="none" w:sz="0" w:space="0" w:color="auto"/>
            <w:bottom w:val="none" w:sz="0" w:space="0" w:color="auto"/>
            <w:right w:val="none" w:sz="0" w:space="0" w:color="auto"/>
          </w:divBdr>
        </w:div>
        <w:div w:id="796796858">
          <w:marLeft w:val="0"/>
          <w:marRight w:val="0"/>
          <w:marTop w:val="0"/>
          <w:marBottom w:val="0"/>
          <w:divBdr>
            <w:top w:val="none" w:sz="0" w:space="0" w:color="auto"/>
            <w:left w:val="none" w:sz="0" w:space="0" w:color="auto"/>
            <w:bottom w:val="none" w:sz="0" w:space="0" w:color="auto"/>
            <w:right w:val="none" w:sz="0" w:space="0" w:color="auto"/>
          </w:divBdr>
        </w:div>
      </w:divsChild>
    </w:div>
    <w:div w:id="1392733398">
      <w:bodyDiv w:val="1"/>
      <w:marLeft w:val="0"/>
      <w:marRight w:val="0"/>
      <w:marTop w:val="0"/>
      <w:marBottom w:val="0"/>
      <w:divBdr>
        <w:top w:val="none" w:sz="0" w:space="0" w:color="auto"/>
        <w:left w:val="none" w:sz="0" w:space="0" w:color="auto"/>
        <w:bottom w:val="none" w:sz="0" w:space="0" w:color="auto"/>
        <w:right w:val="none" w:sz="0" w:space="0" w:color="auto"/>
      </w:divBdr>
    </w:div>
    <w:div w:id="1439333142">
      <w:bodyDiv w:val="1"/>
      <w:marLeft w:val="0"/>
      <w:marRight w:val="0"/>
      <w:marTop w:val="0"/>
      <w:marBottom w:val="0"/>
      <w:divBdr>
        <w:top w:val="none" w:sz="0" w:space="0" w:color="auto"/>
        <w:left w:val="none" w:sz="0" w:space="0" w:color="auto"/>
        <w:bottom w:val="none" w:sz="0" w:space="0" w:color="auto"/>
        <w:right w:val="none" w:sz="0" w:space="0" w:color="auto"/>
      </w:divBdr>
    </w:div>
    <w:div w:id="1469475472">
      <w:bodyDiv w:val="1"/>
      <w:marLeft w:val="0"/>
      <w:marRight w:val="0"/>
      <w:marTop w:val="0"/>
      <w:marBottom w:val="0"/>
      <w:divBdr>
        <w:top w:val="none" w:sz="0" w:space="0" w:color="auto"/>
        <w:left w:val="none" w:sz="0" w:space="0" w:color="auto"/>
        <w:bottom w:val="none" w:sz="0" w:space="0" w:color="auto"/>
        <w:right w:val="none" w:sz="0" w:space="0" w:color="auto"/>
      </w:divBdr>
    </w:div>
    <w:div w:id="1512792953">
      <w:bodyDiv w:val="1"/>
      <w:marLeft w:val="0"/>
      <w:marRight w:val="0"/>
      <w:marTop w:val="0"/>
      <w:marBottom w:val="0"/>
      <w:divBdr>
        <w:top w:val="none" w:sz="0" w:space="0" w:color="auto"/>
        <w:left w:val="none" w:sz="0" w:space="0" w:color="auto"/>
        <w:bottom w:val="none" w:sz="0" w:space="0" w:color="auto"/>
        <w:right w:val="none" w:sz="0" w:space="0" w:color="auto"/>
      </w:divBdr>
      <w:divsChild>
        <w:div w:id="35281853">
          <w:marLeft w:val="0"/>
          <w:marRight w:val="0"/>
          <w:marTop w:val="0"/>
          <w:marBottom w:val="0"/>
          <w:divBdr>
            <w:top w:val="none" w:sz="0" w:space="0" w:color="auto"/>
            <w:left w:val="none" w:sz="0" w:space="0" w:color="auto"/>
            <w:bottom w:val="none" w:sz="0" w:space="0" w:color="auto"/>
            <w:right w:val="none" w:sz="0" w:space="0" w:color="auto"/>
          </w:divBdr>
          <w:divsChild>
            <w:div w:id="1582760570">
              <w:marLeft w:val="0"/>
              <w:marRight w:val="0"/>
              <w:marTop w:val="0"/>
              <w:marBottom w:val="0"/>
              <w:divBdr>
                <w:top w:val="none" w:sz="0" w:space="0" w:color="auto"/>
                <w:left w:val="none" w:sz="0" w:space="0" w:color="auto"/>
                <w:bottom w:val="none" w:sz="0" w:space="0" w:color="auto"/>
                <w:right w:val="none" w:sz="0" w:space="0" w:color="auto"/>
              </w:divBdr>
            </w:div>
          </w:divsChild>
        </w:div>
        <w:div w:id="335350654">
          <w:marLeft w:val="0"/>
          <w:marRight w:val="0"/>
          <w:marTop w:val="0"/>
          <w:marBottom w:val="0"/>
          <w:divBdr>
            <w:top w:val="none" w:sz="0" w:space="0" w:color="auto"/>
            <w:left w:val="none" w:sz="0" w:space="0" w:color="auto"/>
            <w:bottom w:val="none" w:sz="0" w:space="0" w:color="auto"/>
            <w:right w:val="none" w:sz="0" w:space="0" w:color="auto"/>
          </w:divBdr>
          <w:divsChild>
            <w:div w:id="818302816">
              <w:marLeft w:val="0"/>
              <w:marRight w:val="0"/>
              <w:marTop w:val="0"/>
              <w:marBottom w:val="0"/>
              <w:divBdr>
                <w:top w:val="none" w:sz="0" w:space="0" w:color="auto"/>
                <w:left w:val="none" w:sz="0" w:space="0" w:color="auto"/>
                <w:bottom w:val="none" w:sz="0" w:space="0" w:color="auto"/>
                <w:right w:val="none" w:sz="0" w:space="0" w:color="auto"/>
              </w:divBdr>
            </w:div>
            <w:div w:id="1080131382">
              <w:marLeft w:val="0"/>
              <w:marRight w:val="0"/>
              <w:marTop w:val="0"/>
              <w:marBottom w:val="0"/>
              <w:divBdr>
                <w:top w:val="none" w:sz="0" w:space="0" w:color="auto"/>
                <w:left w:val="none" w:sz="0" w:space="0" w:color="auto"/>
                <w:bottom w:val="none" w:sz="0" w:space="0" w:color="auto"/>
                <w:right w:val="none" w:sz="0" w:space="0" w:color="auto"/>
              </w:divBdr>
            </w:div>
            <w:div w:id="1327828494">
              <w:marLeft w:val="0"/>
              <w:marRight w:val="0"/>
              <w:marTop w:val="0"/>
              <w:marBottom w:val="0"/>
              <w:divBdr>
                <w:top w:val="none" w:sz="0" w:space="0" w:color="auto"/>
                <w:left w:val="none" w:sz="0" w:space="0" w:color="auto"/>
                <w:bottom w:val="none" w:sz="0" w:space="0" w:color="auto"/>
                <w:right w:val="none" w:sz="0" w:space="0" w:color="auto"/>
              </w:divBdr>
            </w:div>
            <w:div w:id="1510679111">
              <w:marLeft w:val="0"/>
              <w:marRight w:val="0"/>
              <w:marTop w:val="0"/>
              <w:marBottom w:val="0"/>
              <w:divBdr>
                <w:top w:val="none" w:sz="0" w:space="0" w:color="auto"/>
                <w:left w:val="none" w:sz="0" w:space="0" w:color="auto"/>
                <w:bottom w:val="none" w:sz="0" w:space="0" w:color="auto"/>
                <w:right w:val="none" w:sz="0" w:space="0" w:color="auto"/>
              </w:divBdr>
            </w:div>
            <w:div w:id="1876693375">
              <w:marLeft w:val="0"/>
              <w:marRight w:val="0"/>
              <w:marTop w:val="0"/>
              <w:marBottom w:val="0"/>
              <w:divBdr>
                <w:top w:val="none" w:sz="0" w:space="0" w:color="auto"/>
                <w:left w:val="none" w:sz="0" w:space="0" w:color="auto"/>
                <w:bottom w:val="none" w:sz="0" w:space="0" w:color="auto"/>
                <w:right w:val="none" w:sz="0" w:space="0" w:color="auto"/>
              </w:divBdr>
            </w:div>
          </w:divsChild>
        </w:div>
        <w:div w:id="634482412">
          <w:marLeft w:val="0"/>
          <w:marRight w:val="0"/>
          <w:marTop w:val="0"/>
          <w:marBottom w:val="0"/>
          <w:divBdr>
            <w:top w:val="none" w:sz="0" w:space="0" w:color="auto"/>
            <w:left w:val="none" w:sz="0" w:space="0" w:color="auto"/>
            <w:bottom w:val="none" w:sz="0" w:space="0" w:color="auto"/>
            <w:right w:val="none" w:sz="0" w:space="0" w:color="auto"/>
          </w:divBdr>
          <w:divsChild>
            <w:div w:id="692346204">
              <w:marLeft w:val="0"/>
              <w:marRight w:val="0"/>
              <w:marTop w:val="0"/>
              <w:marBottom w:val="0"/>
              <w:divBdr>
                <w:top w:val="none" w:sz="0" w:space="0" w:color="auto"/>
                <w:left w:val="none" w:sz="0" w:space="0" w:color="auto"/>
                <w:bottom w:val="none" w:sz="0" w:space="0" w:color="auto"/>
                <w:right w:val="none" w:sz="0" w:space="0" w:color="auto"/>
              </w:divBdr>
            </w:div>
          </w:divsChild>
        </w:div>
        <w:div w:id="686755837">
          <w:marLeft w:val="0"/>
          <w:marRight w:val="0"/>
          <w:marTop w:val="0"/>
          <w:marBottom w:val="0"/>
          <w:divBdr>
            <w:top w:val="none" w:sz="0" w:space="0" w:color="auto"/>
            <w:left w:val="none" w:sz="0" w:space="0" w:color="auto"/>
            <w:bottom w:val="none" w:sz="0" w:space="0" w:color="auto"/>
            <w:right w:val="none" w:sz="0" w:space="0" w:color="auto"/>
          </w:divBdr>
          <w:divsChild>
            <w:div w:id="982274175">
              <w:marLeft w:val="0"/>
              <w:marRight w:val="0"/>
              <w:marTop w:val="0"/>
              <w:marBottom w:val="0"/>
              <w:divBdr>
                <w:top w:val="none" w:sz="0" w:space="0" w:color="auto"/>
                <w:left w:val="none" w:sz="0" w:space="0" w:color="auto"/>
                <w:bottom w:val="none" w:sz="0" w:space="0" w:color="auto"/>
                <w:right w:val="none" w:sz="0" w:space="0" w:color="auto"/>
              </w:divBdr>
            </w:div>
          </w:divsChild>
        </w:div>
        <w:div w:id="1012337107">
          <w:marLeft w:val="0"/>
          <w:marRight w:val="0"/>
          <w:marTop w:val="0"/>
          <w:marBottom w:val="0"/>
          <w:divBdr>
            <w:top w:val="none" w:sz="0" w:space="0" w:color="auto"/>
            <w:left w:val="none" w:sz="0" w:space="0" w:color="auto"/>
            <w:bottom w:val="none" w:sz="0" w:space="0" w:color="auto"/>
            <w:right w:val="none" w:sz="0" w:space="0" w:color="auto"/>
          </w:divBdr>
          <w:divsChild>
            <w:div w:id="212237903">
              <w:marLeft w:val="0"/>
              <w:marRight w:val="0"/>
              <w:marTop w:val="0"/>
              <w:marBottom w:val="0"/>
              <w:divBdr>
                <w:top w:val="none" w:sz="0" w:space="0" w:color="auto"/>
                <w:left w:val="none" w:sz="0" w:space="0" w:color="auto"/>
                <w:bottom w:val="none" w:sz="0" w:space="0" w:color="auto"/>
                <w:right w:val="none" w:sz="0" w:space="0" w:color="auto"/>
              </w:divBdr>
            </w:div>
          </w:divsChild>
        </w:div>
        <w:div w:id="1762607720">
          <w:marLeft w:val="0"/>
          <w:marRight w:val="0"/>
          <w:marTop w:val="0"/>
          <w:marBottom w:val="0"/>
          <w:divBdr>
            <w:top w:val="none" w:sz="0" w:space="0" w:color="auto"/>
            <w:left w:val="none" w:sz="0" w:space="0" w:color="auto"/>
            <w:bottom w:val="none" w:sz="0" w:space="0" w:color="auto"/>
            <w:right w:val="none" w:sz="0" w:space="0" w:color="auto"/>
          </w:divBdr>
          <w:divsChild>
            <w:div w:id="1762949318">
              <w:marLeft w:val="0"/>
              <w:marRight w:val="0"/>
              <w:marTop w:val="0"/>
              <w:marBottom w:val="0"/>
              <w:divBdr>
                <w:top w:val="none" w:sz="0" w:space="0" w:color="auto"/>
                <w:left w:val="none" w:sz="0" w:space="0" w:color="auto"/>
                <w:bottom w:val="none" w:sz="0" w:space="0" w:color="auto"/>
                <w:right w:val="none" w:sz="0" w:space="0" w:color="auto"/>
              </w:divBdr>
            </w:div>
          </w:divsChild>
        </w:div>
        <w:div w:id="1799764535">
          <w:marLeft w:val="0"/>
          <w:marRight w:val="0"/>
          <w:marTop w:val="0"/>
          <w:marBottom w:val="0"/>
          <w:divBdr>
            <w:top w:val="none" w:sz="0" w:space="0" w:color="auto"/>
            <w:left w:val="none" w:sz="0" w:space="0" w:color="auto"/>
            <w:bottom w:val="none" w:sz="0" w:space="0" w:color="auto"/>
            <w:right w:val="none" w:sz="0" w:space="0" w:color="auto"/>
          </w:divBdr>
          <w:divsChild>
            <w:div w:id="1665546230">
              <w:marLeft w:val="0"/>
              <w:marRight w:val="0"/>
              <w:marTop w:val="0"/>
              <w:marBottom w:val="0"/>
              <w:divBdr>
                <w:top w:val="none" w:sz="0" w:space="0" w:color="auto"/>
                <w:left w:val="none" w:sz="0" w:space="0" w:color="auto"/>
                <w:bottom w:val="none" w:sz="0" w:space="0" w:color="auto"/>
                <w:right w:val="none" w:sz="0" w:space="0" w:color="auto"/>
              </w:divBdr>
            </w:div>
          </w:divsChild>
        </w:div>
        <w:div w:id="1838375086">
          <w:marLeft w:val="0"/>
          <w:marRight w:val="0"/>
          <w:marTop w:val="0"/>
          <w:marBottom w:val="0"/>
          <w:divBdr>
            <w:top w:val="none" w:sz="0" w:space="0" w:color="auto"/>
            <w:left w:val="none" w:sz="0" w:space="0" w:color="auto"/>
            <w:bottom w:val="none" w:sz="0" w:space="0" w:color="auto"/>
            <w:right w:val="none" w:sz="0" w:space="0" w:color="auto"/>
          </w:divBdr>
          <w:divsChild>
            <w:div w:id="19151206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8374715">
      <w:bodyDiv w:val="1"/>
      <w:marLeft w:val="0"/>
      <w:marRight w:val="0"/>
      <w:marTop w:val="0"/>
      <w:marBottom w:val="0"/>
      <w:divBdr>
        <w:top w:val="none" w:sz="0" w:space="0" w:color="auto"/>
        <w:left w:val="none" w:sz="0" w:space="0" w:color="auto"/>
        <w:bottom w:val="none" w:sz="0" w:space="0" w:color="auto"/>
        <w:right w:val="none" w:sz="0" w:space="0" w:color="auto"/>
      </w:divBdr>
    </w:div>
    <w:div w:id="1605111247">
      <w:bodyDiv w:val="1"/>
      <w:marLeft w:val="0"/>
      <w:marRight w:val="0"/>
      <w:marTop w:val="0"/>
      <w:marBottom w:val="0"/>
      <w:divBdr>
        <w:top w:val="none" w:sz="0" w:space="0" w:color="auto"/>
        <w:left w:val="none" w:sz="0" w:space="0" w:color="auto"/>
        <w:bottom w:val="none" w:sz="0" w:space="0" w:color="auto"/>
        <w:right w:val="none" w:sz="0" w:space="0" w:color="auto"/>
      </w:divBdr>
    </w:div>
    <w:div w:id="1783838932">
      <w:bodyDiv w:val="1"/>
      <w:marLeft w:val="0"/>
      <w:marRight w:val="0"/>
      <w:marTop w:val="0"/>
      <w:marBottom w:val="0"/>
      <w:divBdr>
        <w:top w:val="none" w:sz="0" w:space="0" w:color="auto"/>
        <w:left w:val="none" w:sz="0" w:space="0" w:color="auto"/>
        <w:bottom w:val="none" w:sz="0" w:space="0" w:color="auto"/>
        <w:right w:val="none" w:sz="0" w:space="0" w:color="auto"/>
      </w:divBdr>
      <w:divsChild>
        <w:div w:id="338196701">
          <w:marLeft w:val="0"/>
          <w:marRight w:val="0"/>
          <w:marTop w:val="0"/>
          <w:marBottom w:val="0"/>
          <w:divBdr>
            <w:top w:val="none" w:sz="0" w:space="0" w:color="auto"/>
            <w:left w:val="none" w:sz="0" w:space="0" w:color="auto"/>
            <w:bottom w:val="none" w:sz="0" w:space="0" w:color="auto"/>
            <w:right w:val="none" w:sz="0" w:space="0" w:color="auto"/>
          </w:divBdr>
        </w:div>
        <w:div w:id="704019264">
          <w:marLeft w:val="0"/>
          <w:marRight w:val="0"/>
          <w:marTop w:val="0"/>
          <w:marBottom w:val="0"/>
          <w:divBdr>
            <w:top w:val="none" w:sz="0" w:space="0" w:color="auto"/>
            <w:left w:val="none" w:sz="0" w:space="0" w:color="auto"/>
            <w:bottom w:val="none" w:sz="0" w:space="0" w:color="auto"/>
            <w:right w:val="none" w:sz="0" w:space="0" w:color="auto"/>
          </w:divBdr>
        </w:div>
        <w:div w:id="800267787">
          <w:marLeft w:val="0"/>
          <w:marRight w:val="0"/>
          <w:marTop w:val="0"/>
          <w:marBottom w:val="0"/>
          <w:divBdr>
            <w:top w:val="none" w:sz="0" w:space="0" w:color="auto"/>
            <w:left w:val="none" w:sz="0" w:space="0" w:color="auto"/>
            <w:bottom w:val="none" w:sz="0" w:space="0" w:color="auto"/>
            <w:right w:val="none" w:sz="0" w:space="0" w:color="auto"/>
          </w:divBdr>
        </w:div>
        <w:div w:id="890338020">
          <w:marLeft w:val="0"/>
          <w:marRight w:val="0"/>
          <w:marTop w:val="0"/>
          <w:marBottom w:val="0"/>
          <w:divBdr>
            <w:top w:val="none" w:sz="0" w:space="0" w:color="auto"/>
            <w:left w:val="none" w:sz="0" w:space="0" w:color="auto"/>
            <w:bottom w:val="none" w:sz="0" w:space="0" w:color="auto"/>
            <w:right w:val="none" w:sz="0" w:space="0" w:color="auto"/>
          </w:divBdr>
        </w:div>
        <w:div w:id="899903221">
          <w:marLeft w:val="0"/>
          <w:marRight w:val="0"/>
          <w:marTop w:val="0"/>
          <w:marBottom w:val="0"/>
          <w:divBdr>
            <w:top w:val="none" w:sz="0" w:space="0" w:color="auto"/>
            <w:left w:val="none" w:sz="0" w:space="0" w:color="auto"/>
            <w:bottom w:val="none" w:sz="0" w:space="0" w:color="auto"/>
            <w:right w:val="none" w:sz="0" w:space="0" w:color="auto"/>
          </w:divBdr>
        </w:div>
        <w:div w:id="1252155068">
          <w:marLeft w:val="0"/>
          <w:marRight w:val="0"/>
          <w:marTop w:val="0"/>
          <w:marBottom w:val="0"/>
          <w:divBdr>
            <w:top w:val="none" w:sz="0" w:space="0" w:color="auto"/>
            <w:left w:val="none" w:sz="0" w:space="0" w:color="auto"/>
            <w:bottom w:val="none" w:sz="0" w:space="0" w:color="auto"/>
            <w:right w:val="none" w:sz="0" w:space="0" w:color="auto"/>
          </w:divBdr>
        </w:div>
        <w:div w:id="1622955818">
          <w:marLeft w:val="0"/>
          <w:marRight w:val="0"/>
          <w:marTop w:val="0"/>
          <w:marBottom w:val="0"/>
          <w:divBdr>
            <w:top w:val="none" w:sz="0" w:space="0" w:color="auto"/>
            <w:left w:val="none" w:sz="0" w:space="0" w:color="auto"/>
            <w:bottom w:val="none" w:sz="0" w:space="0" w:color="auto"/>
            <w:right w:val="none" w:sz="0" w:space="0" w:color="auto"/>
          </w:divBdr>
        </w:div>
        <w:div w:id="1635255957">
          <w:marLeft w:val="0"/>
          <w:marRight w:val="0"/>
          <w:marTop w:val="0"/>
          <w:marBottom w:val="0"/>
          <w:divBdr>
            <w:top w:val="none" w:sz="0" w:space="0" w:color="auto"/>
            <w:left w:val="none" w:sz="0" w:space="0" w:color="auto"/>
            <w:bottom w:val="none" w:sz="0" w:space="0" w:color="auto"/>
            <w:right w:val="none" w:sz="0" w:space="0" w:color="auto"/>
          </w:divBdr>
        </w:div>
      </w:divsChild>
    </w:div>
    <w:div w:id="1797408320">
      <w:bodyDiv w:val="1"/>
      <w:marLeft w:val="0"/>
      <w:marRight w:val="0"/>
      <w:marTop w:val="0"/>
      <w:marBottom w:val="0"/>
      <w:divBdr>
        <w:top w:val="none" w:sz="0" w:space="0" w:color="auto"/>
        <w:left w:val="none" w:sz="0" w:space="0" w:color="auto"/>
        <w:bottom w:val="none" w:sz="0" w:space="0" w:color="auto"/>
        <w:right w:val="none" w:sz="0" w:space="0" w:color="auto"/>
      </w:divBdr>
      <w:divsChild>
        <w:div w:id="394399434">
          <w:marLeft w:val="547"/>
          <w:marRight w:val="0"/>
          <w:marTop w:val="200"/>
          <w:marBottom w:val="0"/>
          <w:divBdr>
            <w:top w:val="none" w:sz="0" w:space="0" w:color="auto"/>
            <w:left w:val="none" w:sz="0" w:space="0" w:color="auto"/>
            <w:bottom w:val="none" w:sz="0" w:space="0" w:color="auto"/>
            <w:right w:val="none" w:sz="0" w:space="0" w:color="auto"/>
          </w:divBdr>
        </w:div>
        <w:div w:id="1103379791">
          <w:marLeft w:val="547"/>
          <w:marRight w:val="0"/>
          <w:marTop w:val="200"/>
          <w:marBottom w:val="0"/>
          <w:divBdr>
            <w:top w:val="none" w:sz="0" w:space="0" w:color="auto"/>
            <w:left w:val="none" w:sz="0" w:space="0" w:color="auto"/>
            <w:bottom w:val="none" w:sz="0" w:space="0" w:color="auto"/>
            <w:right w:val="none" w:sz="0" w:space="0" w:color="auto"/>
          </w:divBdr>
        </w:div>
        <w:div w:id="1564099907">
          <w:marLeft w:val="547"/>
          <w:marRight w:val="0"/>
          <w:marTop w:val="200"/>
          <w:marBottom w:val="0"/>
          <w:divBdr>
            <w:top w:val="none" w:sz="0" w:space="0" w:color="auto"/>
            <w:left w:val="none" w:sz="0" w:space="0" w:color="auto"/>
            <w:bottom w:val="none" w:sz="0" w:space="0" w:color="auto"/>
            <w:right w:val="none" w:sz="0" w:space="0" w:color="auto"/>
          </w:divBdr>
        </w:div>
      </w:divsChild>
    </w:div>
    <w:div w:id="1845167079">
      <w:bodyDiv w:val="1"/>
      <w:marLeft w:val="0"/>
      <w:marRight w:val="0"/>
      <w:marTop w:val="0"/>
      <w:marBottom w:val="0"/>
      <w:divBdr>
        <w:top w:val="none" w:sz="0" w:space="0" w:color="auto"/>
        <w:left w:val="none" w:sz="0" w:space="0" w:color="auto"/>
        <w:bottom w:val="none" w:sz="0" w:space="0" w:color="auto"/>
        <w:right w:val="none" w:sz="0" w:space="0" w:color="auto"/>
      </w:divBdr>
      <w:divsChild>
        <w:div w:id="1119254886">
          <w:marLeft w:val="0"/>
          <w:marRight w:val="0"/>
          <w:marTop w:val="0"/>
          <w:marBottom w:val="0"/>
          <w:divBdr>
            <w:top w:val="none" w:sz="0" w:space="0" w:color="auto"/>
            <w:left w:val="none" w:sz="0" w:space="0" w:color="auto"/>
            <w:bottom w:val="none" w:sz="0" w:space="0" w:color="auto"/>
            <w:right w:val="none" w:sz="0" w:space="0" w:color="auto"/>
          </w:divBdr>
        </w:div>
      </w:divsChild>
    </w:div>
    <w:div w:id="1927377593">
      <w:bodyDiv w:val="1"/>
      <w:marLeft w:val="0"/>
      <w:marRight w:val="0"/>
      <w:marTop w:val="0"/>
      <w:marBottom w:val="0"/>
      <w:divBdr>
        <w:top w:val="none" w:sz="0" w:space="0" w:color="auto"/>
        <w:left w:val="none" w:sz="0" w:space="0" w:color="auto"/>
        <w:bottom w:val="none" w:sz="0" w:space="0" w:color="auto"/>
        <w:right w:val="none" w:sz="0" w:space="0" w:color="auto"/>
      </w:divBdr>
      <w:divsChild>
        <w:div w:id="1192842590">
          <w:marLeft w:val="0"/>
          <w:marRight w:val="0"/>
          <w:marTop w:val="0"/>
          <w:marBottom w:val="0"/>
          <w:divBdr>
            <w:top w:val="none" w:sz="0" w:space="0" w:color="auto"/>
            <w:left w:val="none" w:sz="0" w:space="0" w:color="auto"/>
            <w:bottom w:val="none" w:sz="0" w:space="0" w:color="auto"/>
            <w:right w:val="none" w:sz="0" w:space="0" w:color="auto"/>
          </w:divBdr>
          <w:divsChild>
            <w:div w:id="24914397">
              <w:marLeft w:val="0"/>
              <w:marRight w:val="0"/>
              <w:marTop w:val="0"/>
              <w:marBottom w:val="0"/>
              <w:divBdr>
                <w:top w:val="none" w:sz="0" w:space="0" w:color="auto"/>
                <w:left w:val="none" w:sz="0" w:space="0" w:color="auto"/>
                <w:bottom w:val="none" w:sz="0" w:space="0" w:color="auto"/>
                <w:right w:val="none" w:sz="0" w:space="0" w:color="auto"/>
              </w:divBdr>
            </w:div>
            <w:div w:id="301469989">
              <w:marLeft w:val="0"/>
              <w:marRight w:val="0"/>
              <w:marTop w:val="0"/>
              <w:marBottom w:val="0"/>
              <w:divBdr>
                <w:top w:val="none" w:sz="0" w:space="0" w:color="auto"/>
                <w:left w:val="none" w:sz="0" w:space="0" w:color="auto"/>
                <w:bottom w:val="none" w:sz="0" w:space="0" w:color="auto"/>
                <w:right w:val="none" w:sz="0" w:space="0" w:color="auto"/>
              </w:divBdr>
            </w:div>
            <w:div w:id="345062670">
              <w:marLeft w:val="0"/>
              <w:marRight w:val="0"/>
              <w:marTop w:val="0"/>
              <w:marBottom w:val="0"/>
              <w:divBdr>
                <w:top w:val="none" w:sz="0" w:space="0" w:color="auto"/>
                <w:left w:val="none" w:sz="0" w:space="0" w:color="auto"/>
                <w:bottom w:val="none" w:sz="0" w:space="0" w:color="auto"/>
                <w:right w:val="none" w:sz="0" w:space="0" w:color="auto"/>
              </w:divBdr>
            </w:div>
            <w:div w:id="679696955">
              <w:marLeft w:val="0"/>
              <w:marRight w:val="0"/>
              <w:marTop w:val="0"/>
              <w:marBottom w:val="0"/>
              <w:divBdr>
                <w:top w:val="none" w:sz="0" w:space="0" w:color="auto"/>
                <w:left w:val="none" w:sz="0" w:space="0" w:color="auto"/>
                <w:bottom w:val="none" w:sz="0" w:space="0" w:color="auto"/>
                <w:right w:val="none" w:sz="0" w:space="0" w:color="auto"/>
              </w:divBdr>
            </w:div>
            <w:div w:id="681511239">
              <w:marLeft w:val="0"/>
              <w:marRight w:val="0"/>
              <w:marTop w:val="0"/>
              <w:marBottom w:val="0"/>
              <w:divBdr>
                <w:top w:val="none" w:sz="0" w:space="0" w:color="auto"/>
                <w:left w:val="none" w:sz="0" w:space="0" w:color="auto"/>
                <w:bottom w:val="none" w:sz="0" w:space="0" w:color="auto"/>
                <w:right w:val="none" w:sz="0" w:space="0" w:color="auto"/>
              </w:divBdr>
            </w:div>
            <w:div w:id="707687033">
              <w:marLeft w:val="0"/>
              <w:marRight w:val="0"/>
              <w:marTop w:val="0"/>
              <w:marBottom w:val="0"/>
              <w:divBdr>
                <w:top w:val="none" w:sz="0" w:space="0" w:color="auto"/>
                <w:left w:val="none" w:sz="0" w:space="0" w:color="auto"/>
                <w:bottom w:val="none" w:sz="0" w:space="0" w:color="auto"/>
                <w:right w:val="none" w:sz="0" w:space="0" w:color="auto"/>
              </w:divBdr>
            </w:div>
            <w:div w:id="782846937">
              <w:marLeft w:val="0"/>
              <w:marRight w:val="0"/>
              <w:marTop w:val="0"/>
              <w:marBottom w:val="0"/>
              <w:divBdr>
                <w:top w:val="none" w:sz="0" w:space="0" w:color="auto"/>
                <w:left w:val="none" w:sz="0" w:space="0" w:color="auto"/>
                <w:bottom w:val="none" w:sz="0" w:space="0" w:color="auto"/>
                <w:right w:val="none" w:sz="0" w:space="0" w:color="auto"/>
              </w:divBdr>
            </w:div>
            <w:div w:id="893469654">
              <w:marLeft w:val="0"/>
              <w:marRight w:val="0"/>
              <w:marTop w:val="0"/>
              <w:marBottom w:val="0"/>
              <w:divBdr>
                <w:top w:val="none" w:sz="0" w:space="0" w:color="auto"/>
                <w:left w:val="none" w:sz="0" w:space="0" w:color="auto"/>
                <w:bottom w:val="none" w:sz="0" w:space="0" w:color="auto"/>
                <w:right w:val="none" w:sz="0" w:space="0" w:color="auto"/>
              </w:divBdr>
            </w:div>
            <w:div w:id="947390343">
              <w:marLeft w:val="0"/>
              <w:marRight w:val="0"/>
              <w:marTop w:val="0"/>
              <w:marBottom w:val="0"/>
              <w:divBdr>
                <w:top w:val="none" w:sz="0" w:space="0" w:color="auto"/>
                <w:left w:val="none" w:sz="0" w:space="0" w:color="auto"/>
                <w:bottom w:val="none" w:sz="0" w:space="0" w:color="auto"/>
                <w:right w:val="none" w:sz="0" w:space="0" w:color="auto"/>
              </w:divBdr>
            </w:div>
            <w:div w:id="969751832">
              <w:marLeft w:val="0"/>
              <w:marRight w:val="0"/>
              <w:marTop w:val="0"/>
              <w:marBottom w:val="0"/>
              <w:divBdr>
                <w:top w:val="none" w:sz="0" w:space="0" w:color="auto"/>
                <w:left w:val="none" w:sz="0" w:space="0" w:color="auto"/>
                <w:bottom w:val="none" w:sz="0" w:space="0" w:color="auto"/>
                <w:right w:val="none" w:sz="0" w:space="0" w:color="auto"/>
              </w:divBdr>
            </w:div>
            <w:div w:id="1153329439">
              <w:marLeft w:val="0"/>
              <w:marRight w:val="0"/>
              <w:marTop w:val="0"/>
              <w:marBottom w:val="0"/>
              <w:divBdr>
                <w:top w:val="none" w:sz="0" w:space="0" w:color="auto"/>
                <w:left w:val="none" w:sz="0" w:space="0" w:color="auto"/>
                <w:bottom w:val="none" w:sz="0" w:space="0" w:color="auto"/>
                <w:right w:val="none" w:sz="0" w:space="0" w:color="auto"/>
              </w:divBdr>
            </w:div>
            <w:div w:id="1265381366">
              <w:marLeft w:val="0"/>
              <w:marRight w:val="0"/>
              <w:marTop w:val="0"/>
              <w:marBottom w:val="0"/>
              <w:divBdr>
                <w:top w:val="none" w:sz="0" w:space="0" w:color="auto"/>
                <w:left w:val="none" w:sz="0" w:space="0" w:color="auto"/>
                <w:bottom w:val="none" w:sz="0" w:space="0" w:color="auto"/>
                <w:right w:val="none" w:sz="0" w:space="0" w:color="auto"/>
              </w:divBdr>
            </w:div>
            <w:div w:id="1330446596">
              <w:marLeft w:val="0"/>
              <w:marRight w:val="0"/>
              <w:marTop w:val="0"/>
              <w:marBottom w:val="0"/>
              <w:divBdr>
                <w:top w:val="none" w:sz="0" w:space="0" w:color="auto"/>
                <w:left w:val="none" w:sz="0" w:space="0" w:color="auto"/>
                <w:bottom w:val="none" w:sz="0" w:space="0" w:color="auto"/>
                <w:right w:val="none" w:sz="0" w:space="0" w:color="auto"/>
              </w:divBdr>
            </w:div>
            <w:div w:id="1370257990">
              <w:marLeft w:val="0"/>
              <w:marRight w:val="0"/>
              <w:marTop w:val="0"/>
              <w:marBottom w:val="0"/>
              <w:divBdr>
                <w:top w:val="none" w:sz="0" w:space="0" w:color="auto"/>
                <w:left w:val="none" w:sz="0" w:space="0" w:color="auto"/>
                <w:bottom w:val="none" w:sz="0" w:space="0" w:color="auto"/>
                <w:right w:val="none" w:sz="0" w:space="0" w:color="auto"/>
              </w:divBdr>
            </w:div>
            <w:div w:id="1552107696">
              <w:marLeft w:val="0"/>
              <w:marRight w:val="0"/>
              <w:marTop w:val="0"/>
              <w:marBottom w:val="0"/>
              <w:divBdr>
                <w:top w:val="none" w:sz="0" w:space="0" w:color="auto"/>
                <w:left w:val="none" w:sz="0" w:space="0" w:color="auto"/>
                <w:bottom w:val="none" w:sz="0" w:space="0" w:color="auto"/>
                <w:right w:val="none" w:sz="0" w:space="0" w:color="auto"/>
              </w:divBdr>
            </w:div>
            <w:div w:id="1615134803">
              <w:marLeft w:val="0"/>
              <w:marRight w:val="0"/>
              <w:marTop w:val="0"/>
              <w:marBottom w:val="0"/>
              <w:divBdr>
                <w:top w:val="none" w:sz="0" w:space="0" w:color="auto"/>
                <w:left w:val="none" w:sz="0" w:space="0" w:color="auto"/>
                <w:bottom w:val="none" w:sz="0" w:space="0" w:color="auto"/>
                <w:right w:val="none" w:sz="0" w:space="0" w:color="auto"/>
              </w:divBdr>
            </w:div>
            <w:div w:id="1655530515">
              <w:marLeft w:val="0"/>
              <w:marRight w:val="0"/>
              <w:marTop w:val="0"/>
              <w:marBottom w:val="0"/>
              <w:divBdr>
                <w:top w:val="none" w:sz="0" w:space="0" w:color="auto"/>
                <w:left w:val="none" w:sz="0" w:space="0" w:color="auto"/>
                <w:bottom w:val="none" w:sz="0" w:space="0" w:color="auto"/>
                <w:right w:val="none" w:sz="0" w:space="0" w:color="auto"/>
              </w:divBdr>
            </w:div>
            <w:div w:id="1666470420">
              <w:marLeft w:val="0"/>
              <w:marRight w:val="0"/>
              <w:marTop w:val="0"/>
              <w:marBottom w:val="0"/>
              <w:divBdr>
                <w:top w:val="none" w:sz="0" w:space="0" w:color="auto"/>
                <w:left w:val="none" w:sz="0" w:space="0" w:color="auto"/>
                <w:bottom w:val="none" w:sz="0" w:space="0" w:color="auto"/>
                <w:right w:val="none" w:sz="0" w:space="0" w:color="auto"/>
              </w:divBdr>
            </w:div>
            <w:div w:id="1728407082">
              <w:marLeft w:val="0"/>
              <w:marRight w:val="0"/>
              <w:marTop w:val="0"/>
              <w:marBottom w:val="0"/>
              <w:divBdr>
                <w:top w:val="none" w:sz="0" w:space="0" w:color="auto"/>
                <w:left w:val="none" w:sz="0" w:space="0" w:color="auto"/>
                <w:bottom w:val="none" w:sz="0" w:space="0" w:color="auto"/>
                <w:right w:val="none" w:sz="0" w:space="0" w:color="auto"/>
              </w:divBdr>
            </w:div>
            <w:div w:id="1920870223">
              <w:marLeft w:val="0"/>
              <w:marRight w:val="0"/>
              <w:marTop w:val="0"/>
              <w:marBottom w:val="0"/>
              <w:divBdr>
                <w:top w:val="none" w:sz="0" w:space="0" w:color="auto"/>
                <w:left w:val="none" w:sz="0" w:space="0" w:color="auto"/>
                <w:bottom w:val="none" w:sz="0" w:space="0" w:color="auto"/>
                <w:right w:val="none" w:sz="0" w:space="0" w:color="auto"/>
              </w:divBdr>
            </w:div>
          </w:divsChild>
        </w:div>
        <w:div w:id="1616672526">
          <w:marLeft w:val="0"/>
          <w:marRight w:val="0"/>
          <w:marTop w:val="0"/>
          <w:marBottom w:val="0"/>
          <w:divBdr>
            <w:top w:val="none" w:sz="0" w:space="0" w:color="auto"/>
            <w:left w:val="none" w:sz="0" w:space="0" w:color="auto"/>
            <w:bottom w:val="none" w:sz="0" w:space="0" w:color="auto"/>
            <w:right w:val="none" w:sz="0" w:space="0" w:color="auto"/>
          </w:divBdr>
          <w:divsChild>
            <w:div w:id="34813757">
              <w:marLeft w:val="0"/>
              <w:marRight w:val="0"/>
              <w:marTop w:val="0"/>
              <w:marBottom w:val="0"/>
              <w:divBdr>
                <w:top w:val="none" w:sz="0" w:space="0" w:color="auto"/>
                <w:left w:val="none" w:sz="0" w:space="0" w:color="auto"/>
                <w:bottom w:val="none" w:sz="0" w:space="0" w:color="auto"/>
                <w:right w:val="none" w:sz="0" w:space="0" w:color="auto"/>
              </w:divBdr>
            </w:div>
            <w:div w:id="666711433">
              <w:marLeft w:val="0"/>
              <w:marRight w:val="0"/>
              <w:marTop w:val="0"/>
              <w:marBottom w:val="0"/>
              <w:divBdr>
                <w:top w:val="none" w:sz="0" w:space="0" w:color="auto"/>
                <w:left w:val="none" w:sz="0" w:space="0" w:color="auto"/>
                <w:bottom w:val="none" w:sz="0" w:space="0" w:color="auto"/>
                <w:right w:val="none" w:sz="0" w:space="0" w:color="auto"/>
              </w:divBdr>
            </w:div>
            <w:div w:id="990058283">
              <w:marLeft w:val="0"/>
              <w:marRight w:val="0"/>
              <w:marTop w:val="0"/>
              <w:marBottom w:val="0"/>
              <w:divBdr>
                <w:top w:val="none" w:sz="0" w:space="0" w:color="auto"/>
                <w:left w:val="none" w:sz="0" w:space="0" w:color="auto"/>
                <w:bottom w:val="none" w:sz="0" w:space="0" w:color="auto"/>
                <w:right w:val="none" w:sz="0" w:space="0" w:color="auto"/>
              </w:divBdr>
            </w:div>
            <w:div w:id="1183323477">
              <w:marLeft w:val="0"/>
              <w:marRight w:val="0"/>
              <w:marTop w:val="0"/>
              <w:marBottom w:val="0"/>
              <w:divBdr>
                <w:top w:val="none" w:sz="0" w:space="0" w:color="auto"/>
                <w:left w:val="none" w:sz="0" w:space="0" w:color="auto"/>
                <w:bottom w:val="none" w:sz="0" w:space="0" w:color="auto"/>
                <w:right w:val="none" w:sz="0" w:space="0" w:color="auto"/>
              </w:divBdr>
            </w:div>
            <w:div w:id="1521163146">
              <w:marLeft w:val="0"/>
              <w:marRight w:val="0"/>
              <w:marTop w:val="0"/>
              <w:marBottom w:val="0"/>
              <w:divBdr>
                <w:top w:val="none" w:sz="0" w:space="0" w:color="auto"/>
                <w:left w:val="none" w:sz="0" w:space="0" w:color="auto"/>
                <w:bottom w:val="none" w:sz="0" w:space="0" w:color="auto"/>
                <w:right w:val="none" w:sz="0" w:space="0" w:color="auto"/>
              </w:divBdr>
            </w:div>
            <w:div w:id="16901080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8687223">
      <w:bodyDiv w:val="1"/>
      <w:marLeft w:val="0"/>
      <w:marRight w:val="0"/>
      <w:marTop w:val="0"/>
      <w:marBottom w:val="0"/>
      <w:divBdr>
        <w:top w:val="none" w:sz="0" w:space="0" w:color="auto"/>
        <w:left w:val="none" w:sz="0" w:space="0" w:color="auto"/>
        <w:bottom w:val="none" w:sz="0" w:space="0" w:color="auto"/>
        <w:right w:val="none" w:sz="0" w:space="0" w:color="auto"/>
      </w:divBdr>
      <w:divsChild>
        <w:div w:id="128089895">
          <w:marLeft w:val="0"/>
          <w:marRight w:val="0"/>
          <w:marTop w:val="0"/>
          <w:marBottom w:val="0"/>
          <w:divBdr>
            <w:top w:val="none" w:sz="0" w:space="0" w:color="auto"/>
            <w:left w:val="none" w:sz="0" w:space="0" w:color="auto"/>
            <w:bottom w:val="none" w:sz="0" w:space="0" w:color="auto"/>
            <w:right w:val="none" w:sz="0" w:space="0" w:color="auto"/>
          </w:divBdr>
          <w:divsChild>
            <w:div w:id="1058819531">
              <w:marLeft w:val="0"/>
              <w:marRight w:val="0"/>
              <w:marTop w:val="0"/>
              <w:marBottom w:val="0"/>
              <w:divBdr>
                <w:top w:val="none" w:sz="0" w:space="0" w:color="auto"/>
                <w:left w:val="none" w:sz="0" w:space="0" w:color="auto"/>
                <w:bottom w:val="none" w:sz="0" w:space="0" w:color="auto"/>
                <w:right w:val="none" w:sz="0" w:space="0" w:color="auto"/>
              </w:divBdr>
            </w:div>
          </w:divsChild>
        </w:div>
        <w:div w:id="1225487004">
          <w:marLeft w:val="0"/>
          <w:marRight w:val="0"/>
          <w:marTop w:val="0"/>
          <w:marBottom w:val="0"/>
          <w:divBdr>
            <w:top w:val="none" w:sz="0" w:space="0" w:color="auto"/>
            <w:left w:val="none" w:sz="0" w:space="0" w:color="auto"/>
            <w:bottom w:val="none" w:sz="0" w:space="0" w:color="auto"/>
            <w:right w:val="none" w:sz="0" w:space="0" w:color="auto"/>
          </w:divBdr>
          <w:divsChild>
            <w:div w:id="52779073">
              <w:marLeft w:val="0"/>
              <w:marRight w:val="0"/>
              <w:marTop w:val="0"/>
              <w:marBottom w:val="0"/>
              <w:divBdr>
                <w:top w:val="none" w:sz="0" w:space="0" w:color="auto"/>
                <w:left w:val="none" w:sz="0" w:space="0" w:color="auto"/>
                <w:bottom w:val="none" w:sz="0" w:space="0" w:color="auto"/>
                <w:right w:val="none" w:sz="0" w:space="0" w:color="auto"/>
              </w:divBdr>
            </w:div>
          </w:divsChild>
        </w:div>
        <w:div w:id="1304845605">
          <w:marLeft w:val="0"/>
          <w:marRight w:val="0"/>
          <w:marTop w:val="0"/>
          <w:marBottom w:val="0"/>
          <w:divBdr>
            <w:top w:val="none" w:sz="0" w:space="0" w:color="auto"/>
            <w:left w:val="none" w:sz="0" w:space="0" w:color="auto"/>
            <w:bottom w:val="none" w:sz="0" w:space="0" w:color="auto"/>
            <w:right w:val="none" w:sz="0" w:space="0" w:color="auto"/>
          </w:divBdr>
          <w:divsChild>
            <w:div w:id="4179427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0820598">
      <w:bodyDiv w:val="1"/>
      <w:marLeft w:val="0"/>
      <w:marRight w:val="0"/>
      <w:marTop w:val="0"/>
      <w:marBottom w:val="0"/>
      <w:divBdr>
        <w:top w:val="none" w:sz="0" w:space="0" w:color="auto"/>
        <w:left w:val="none" w:sz="0" w:space="0" w:color="auto"/>
        <w:bottom w:val="none" w:sz="0" w:space="0" w:color="auto"/>
        <w:right w:val="none" w:sz="0" w:space="0" w:color="auto"/>
      </w:divBdr>
      <w:divsChild>
        <w:div w:id="130708260">
          <w:marLeft w:val="0"/>
          <w:marRight w:val="0"/>
          <w:marTop w:val="0"/>
          <w:marBottom w:val="0"/>
          <w:divBdr>
            <w:top w:val="none" w:sz="0" w:space="0" w:color="auto"/>
            <w:left w:val="none" w:sz="0" w:space="0" w:color="auto"/>
            <w:bottom w:val="none" w:sz="0" w:space="0" w:color="auto"/>
            <w:right w:val="none" w:sz="0" w:space="0" w:color="auto"/>
          </w:divBdr>
          <w:divsChild>
            <w:div w:id="1220626033">
              <w:marLeft w:val="0"/>
              <w:marRight w:val="0"/>
              <w:marTop w:val="0"/>
              <w:marBottom w:val="0"/>
              <w:divBdr>
                <w:top w:val="none" w:sz="0" w:space="0" w:color="auto"/>
                <w:left w:val="none" w:sz="0" w:space="0" w:color="auto"/>
                <w:bottom w:val="none" w:sz="0" w:space="0" w:color="auto"/>
                <w:right w:val="none" w:sz="0" w:space="0" w:color="auto"/>
              </w:divBdr>
            </w:div>
          </w:divsChild>
        </w:div>
        <w:div w:id="310257013">
          <w:marLeft w:val="0"/>
          <w:marRight w:val="0"/>
          <w:marTop w:val="0"/>
          <w:marBottom w:val="0"/>
          <w:divBdr>
            <w:top w:val="none" w:sz="0" w:space="0" w:color="auto"/>
            <w:left w:val="none" w:sz="0" w:space="0" w:color="auto"/>
            <w:bottom w:val="none" w:sz="0" w:space="0" w:color="auto"/>
            <w:right w:val="none" w:sz="0" w:space="0" w:color="auto"/>
          </w:divBdr>
          <w:divsChild>
            <w:div w:id="1104496395">
              <w:marLeft w:val="0"/>
              <w:marRight w:val="0"/>
              <w:marTop w:val="0"/>
              <w:marBottom w:val="0"/>
              <w:divBdr>
                <w:top w:val="none" w:sz="0" w:space="0" w:color="auto"/>
                <w:left w:val="none" w:sz="0" w:space="0" w:color="auto"/>
                <w:bottom w:val="none" w:sz="0" w:space="0" w:color="auto"/>
                <w:right w:val="none" w:sz="0" w:space="0" w:color="auto"/>
              </w:divBdr>
            </w:div>
          </w:divsChild>
        </w:div>
        <w:div w:id="342250113">
          <w:marLeft w:val="0"/>
          <w:marRight w:val="0"/>
          <w:marTop w:val="0"/>
          <w:marBottom w:val="0"/>
          <w:divBdr>
            <w:top w:val="none" w:sz="0" w:space="0" w:color="auto"/>
            <w:left w:val="none" w:sz="0" w:space="0" w:color="auto"/>
            <w:bottom w:val="none" w:sz="0" w:space="0" w:color="auto"/>
            <w:right w:val="none" w:sz="0" w:space="0" w:color="auto"/>
          </w:divBdr>
          <w:divsChild>
            <w:div w:id="592863856">
              <w:marLeft w:val="0"/>
              <w:marRight w:val="0"/>
              <w:marTop w:val="0"/>
              <w:marBottom w:val="0"/>
              <w:divBdr>
                <w:top w:val="none" w:sz="0" w:space="0" w:color="auto"/>
                <w:left w:val="none" w:sz="0" w:space="0" w:color="auto"/>
                <w:bottom w:val="none" w:sz="0" w:space="0" w:color="auto"/>
                <w:right w:val="none" w:sz="0" w:space="0" w:color="auto"/>
              </w:divBdr>
            </w:div>
          </w:divsChild>
        </w:div>
        <w:div w:id="358286043">
          <w:marLeft w:val="0"/>
          <w:marRight w:val="0"/>
          <w:marTop w:val="0"/>
          <w:marBottom w:val="0"/>
          <w:divBdr>
            <w:top w:val="none" w:sz="0" w:space="0" w:color="auto"/>
            <w:left w:val="none" w:sz="0" w:space="0" w:color="auto"/>
            <w:bottom w:val="none" w:sz="0" w:space="0" w:color="auto"/>
            <w:right w:val="none" w:sz="0" w:space="0" w:color="auto"/>
          </w:divBdr>
          <w:divsChild>
            <w:div w:id="1394506791">
              <w:marLeft w:val="0"/>
              <w:marRight w:val="0"/>
              <w:marTop w:val="0"/>
              <w:marBottom w:val="0"/>
              <w:divBdr>
                <w:top w:val="none" w:sz="0" w:space="0" w:color="auto"/>
                <w:left w:val="none" w:sz="0" w:space="0" w:color="auto"/>
                <w:bottom w:val="none" w:sz="0" w:space="0" w:color="auto"/>
                <w:right w:val="none" w:sz="0" w:space="0" w:color="auto"/>
              </w:divBdr>
            </w:div>
          </w:divsChild>
        </w:div>
        <w:div w:id="780417936">
          <w:marLeft w:val="0"/>
          <w:marRight w:val="0"/>
          <w:marTop w:val="0"/>
          <w:marBottom w:val="0"/>
          <w:divBdr>
            <w:top w:val="none" w:sz="0" w:space="0" w:color="auto"/>
            <w:left w:val="none" w:sz="0" w:space="0" w:color="auto"/>
            <w:bottom w:val="none" w:sz="0" w:space="0" w:color="auto"/>
            <w:right w:val="none" w:sz="0" w:space="0" w:color="auto"/>
          </w:divBdr>
          <w:divsChild>
            <w:div w:id="1189295132">
              <w:marLeft w:val="0"/>
              <w:marRight w:val="0"/>
              <w:marTop w:val="0"/>
              <w:marBottom w:val="0"/>
              <w:divBdr>
                <w:top w:val="none" w:sz="0" w:space="0" w:color="auto"/>
                <w:left w:val="none" w:sz="0" w:space="0" w:color="auto"/>
                <w:bottom w:val="none" w:sz="0" w:space="0" w:color="auto"/>
                <w:right w:val="none" w:sz="0" w:space="0" w:color="auto"/>
              </w:divBdr>
            </w:div>
          </w:divsChild>
        </w:div>
        <w:div w:id="837036487">
          <w:marLeft w:val="0"/>
          <w:marRight w:val="0"/>
          <w:marTop w:val="0"/>
          <w:marBottom w:val="0"/>
          <w:divBdr>
            <w:top w:val="none" w:sz="0" w:space="0" w:color="auto"/>
            <w:left w:val="none" w:sz="0" w:space="0" w:color="auto"/>
            <w:bottom w:val="none" w:sz="0" w:space="0" w:color="auto"/>
            <w:right w:val="none" w:sz="0" w:space="0" w:color="auto"/>
          </w:divBdr>
          <w:divsChild>
            <w:div w:id="1704207404">
              <w:marLeft w:val="0"/>
              <w:marRight w:val="0"/>
              <w:marTop w:val="0"/>
              <w:marBottom w:val="0"/>
              <w:divBdr>
                <w:top w:val="none" w:sz="0" w:space="0" w:color="auto"/>
                <w:left w:val="none" w:sz="0" w:space="0" w:color="auto"/>
                <w:bottom w:val="none" w:sz="0" w:space="0" w:color="auto"/>
                <w:right w:val="none" w:sz="0" w:space="0" w:color="auto"/>
              </w:divBdr>
            </w:div>
          </w:divsChild>
        </w:div>
        <w:div w:id="1235972316">
          <w:marLeft w:val="0"/>
          <w:marRight w:val="0"/>
          <w:marTop w:val="0"/>
          <w:marBottom w:val="0"/>
          <w:divBdr>
            <w:top w:val="none" w:sz="0" w:space="0" w:color="auto"/>
            <w:left w:val="none" w:sz="0" w:space="0" w:color="auto"/>
            <w:bottom w:val="none" w:sz="0" w:space="0" w:color="auto"/>
            <w:right w:val="none" w:sz="0" w:space="0" w:color="auto"/>
          </w:divBdr>
          <w:divsChild>
            <w:div w:id="142503204">
              <w:marLeft w:val="0"/>
              <w:marRight w:val="0"/>
              <w:marTop w:val="0"/>
              <w:marBottom w:val="0"/>
              <w:divBdr>
                <w:top w:val="none" w:sz="0" w:space="0" w:color="auto"/>
                <w:left w:val="none" w:sz="0" w:space="0" w:color="auto"/>
                <w:bottom w:val="none" w:sz="0" w:space="0" w:color="auto"/>
                <w:right w:val="none" w:sz="0" w:space="0" w:color="auto"/>
              </w:divBdr>
            </w:div>
            <w:div w:id="228393399">
              <w:marLeft w:val="0"/>
              <w:marRight w:val="0"/>
              <w:marTop w:val="0"/>
              <w:marBottom w:val="0"/>
              <w:divBdr>
                <w:top w:val="none" w:sz="0" w:space="0" w:color="auto"/>
                <w:left w:val="none" w:sz="0" w:space="0" w:color="auto"/>
                <w:bottom w:val="none" w:sz="0" w:space="0" w:color="auto"/>
                <w:right w:val="none" w:sz="0" w:space="0" w:color="auto"/>
              </w:divBdr>
            </w:div>
            <w:div w:id="642781515">
              <w:marLeft w:val="0"/>
              <w:marRight w:val="0"/>
              <w:marTop w:val="0"/>
              <w:marBottom w:val="0"/>
              <w:divBdr>
                <w:top w:val="none" w:sz="0" w:space="0" w:color="auto"/>
                <w:left w:val="none" w:sz="0" w:space="0" w:color="auto"/>
                <w:bottom w:val="none" w:sz="0" w:space="0" w:color="auto"/>
                <w:right w:val="none" w:sz="0" w:space="0" w:color="auto"/>
              </w:divBdr>
            </w:div>
            <w:div w:id="1344628703">
              <w:marLeft w:val="0"/>
              <w:marRight w:val="0"/>
              <w:marTop w:val="0"/>
              <w:marBottom w:val="0"/>
              <w:divBdr>
                <w:top w:val="none" w:sz="0" w:space="0" w:color="auto"/>
                <w:left w:val="none" w:sz="0" w:space="0" w:color="auto"/>
                <w:bottom w:val="none" w:sz="0" w:space="0" w:color="auto"/>
                <w:right w:val="none" w:sz="0" w:space="0" w:color="auto"/>
              </w:divBdr>
            </w:div>
            <w:div w:id="2114664554">
              <w:marLeft w:val="0"/>
              <w:marRight w:val="0"/>
              <w:marTop w:val="0"/>
              <w:marBottom w:val="0"/>
              <w:divBdr>
                <w:top w:val="none" w:sz="0" w:space="0" w:color="auto"/>
                <w:left w:val="none" w:sz="0" w:space="0" w:color="auto"/>
                <w:bottom w:val="none" w:sz="0" w:space="0" w:color="auto"/>
                <w:right w:val="none" w:sz="0" w:space="0" w:color="auto"/>
              </w:divBdr>
            </w:div>
          </w:divsChild>
        </w:div>
        <w:div w:id="1635942317">
          <w:marLeft w:val="0"/>
          <w:marRight w:val="0"/>
          <w:marTop w:val="0"/>
          <w:marBottom w:val="0"/>
          <w:divBdr>
            <w:top w:val="none" w:sz="0" w:space="0" w:color="auto"/>
            <w:left w:val="none" w:sz="0" w:space="0" w:color="auto"/>
            <w:bottom w:val="none" w:sz="0" w:space="0" w:color="auto"/>
            <w:right w:val="none" w:sz="0" w:space="0" w:color="auto"/>
          </w:divBdr>
          <w:divsChild>
            <w:div w:id="3792863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2992701">
      <w:bodyDiv w:val="1"/>
      <w:marLeft w:val="0"/>
      <w:marRight w:val="0"/>
      <w:marTop w:val="0"/>
      <w:marBottom w:val="0"/>
      <w:divBdr>
        <w:top w:val="none" w:sz="0" w:space="0" w:color="auto"/>
        <w:left w:val="none" w:sz="0" w:space="0" w:color="auto"/>
        <w:bottom w:val="none" w:sz="0" w:space="0" w:color="auto"/>
        <w:right w:val="none" w:sz="0" w:space="0" w:color="auto"/>
      </w:divBdr>
    </w:div>
    <w:div w:id="2108500270">
      <w:bodyDiv w:val="1"/>
      <w:marLeft w:val="0"/>
      <w:marRight w:val="0"/>
      <w:marTop w:val="0"/>
      <w:marBottom w:val="0"/>
      <w:divBdr>
        <w:top w:val="none" w:sz="0" w:space="0" w:color="auto"/>
        <w:left w:val="none" w:sz="0" w:space="0" w:color="auto"/>
        <w:bottom w:val="none" w:sz="0" w:space="0" w:color="auto"/>
        <w:right w:val="none" w:sz="0" w:space="0" w:color="auto"/>
      </w:divBdr>
      <w:divsChild>
        <w:div w:id="261257165">
          <w:marLeft w:val="0"/>
          <w:marRight w:val="0"/>
          <w:marTop w:val="0"/>
          <w:marBottom w:val="0"/>
          <w:divBdr>
            <w:top w:val="none" w:sz="0" w:space="0" w:color="auto"/>
            <w:left w:val="none" w:sz="0" w:space="0" w:color="auto"/>
            <w:bottom w:val="none" w:sz="0" w:space="0" w:color="auto"/>
            <w:right w:val="none" w:sz="0" w:space="0" w:color="auto"/>
          </w:divBdr>
          <w:divsChild>
            <w:div w:id="319580128">
              <w:marLeft w:val="0"/>
              <w:marRight w:val="0"/>
              <w:marTop w:val="0"/>
              <w:marBottom w:val="0"/>
              <w:divBdr>
                <w:top w:val="none" w:sz="0" w:space="0" w:color="auto"/>
                <w:left w:val="none" w:sz="0" w:space="0" w:color="auto"/>
                <w:bottom w:val="none" w:sz="0" w:space="0" w:color="auto"/>
                <w:right w:val="none" w:sz="0" w:space="0" w:color="auto"/>
              </w:divBdr>
            </w:div>
            <w:div w:id="368604996">
              <w:marLeft w:val="0"/>
              <w:marRight w:val="0"/>
              <w:marTop w:val="0"/>
              <w:marBottom w:val="0"/>
              <w:divBdr>
                <w:top w:val="none" w:sz="0" w:space="0" w:color="auto"/>
                <w:left w:val="none" w:sz="0" w:space="0" w:color="auto"/>
                <w:bottom w:val="none" w:sz="0" w:space="0" w:color="auto"/>
                <w:right w:val="none" w:sz="0" w:space="0" w:color="auto"/>
              </w:divBdr>
            </w:div>
            <w:div w:id="392772854">
              <w:marLeft w:val="0"/>
              <w:marRight w:val="0"/>
              <w:marTop w:val="0"/>
              <w:marBottom w:val="0"/>
              <w:divBdr>
                <w:top w:val="none" w:sz="0" w:space="0" w:color="auto"/>
                <w:left w:val="none" w:sz="0" w:space="0" w:color="auto"/>
                <w:bottom w:val="none" w:sz="0" w:space="0" w:color="auto"/>
                <w:right w:val="none" w:sz="0" w:space="0" w:color="auto"/>
              </w:divBdr>
            </w:div>
            <w:div w:id="549147195">
              <w:marLeft w:val="0"/>
              <w:marRight w:val="0"/>
              <w:marTop w:val="0"/>
              <w:marBottom w:val="0"/>
              <w:divBdr>
                <w:top w:val="none" w:sz="0" w:space="0" w:color="auto"/>
                <w:left w:val="none" w:sz="0" w:space="0" w:color="auto"/>
                <w:bottom w:val="none" w:sz="0" w:space="0" w:color="auto"/>
                <w:right w:val="none" w:sz="0" w:space="0" w:color="auto"/>
              </w:divBdr>
            </w:div>
            <w:div w:id="591932816">
              <w:marLeft w:val="0"/>
              <w:marRight w:val="0"/>
              <w:marTop w:val="0"/>
              <w:marBottom w:val="0"/>
              <w:divBdr>
                <w:top w:val="none" w:sz="0" w:space="0" w:color="auto"/>
                <w:left w:val="none" w:sz="0" w:space="0" w:color="auto"/>
                <w:bottom w:val="none" w:sz="0" w:space="0" w:color="auto"/>
                <w:right w:val="none" w:sz="0" w:space="0" w:color="auto"/>
              </w:divBdr>
            </w:div>
            <w:div w:id="672878680">
              <w:marLeft w:val="0"/>
              <w:marRight w:val="0"/>
              <w:marTop w:val="0"/>
              <w:marBottom w:val="0"/>
              <w:divBdr>
                <w:top w:val="none" w:sz="0" w:space="0" w:color="auto"/>
                <w:left w:val="none" w:sz="0" w:space="0" w:color="auto"/>
                <w:bottom w:val="none" w:sz="0" w:space="0" w:color="auto"/>
                <w:right w:val="none" w:sz="0" w:space="0" w:color="auto"/>
              </w:divBdr>
            </w:div>
            <w:div w:id="819080816">
              <w:marLeft w:val="0"/>
              <w:marRight w:val="0"/>
              <w:marTop w:val="0"/>
              <w:marBottom w:val="0"/>
              <w:divBdr>
                <w:top w:val="none" w:sz="0" w:space="0" w:color="auto"/>
                <w:left w:val="none" w:sz="0" w:space="0" w:color="auto"/>
                <w:bottom w:val="none" w:sz="0" w:space="0" w:color="auto"/>
                <w:right w:val="none" w:sz="0" w:space="0" w:color="auto"/>
              </w:divBdr>
            </w:div>
            <w:div w:id="840705484">
              <w:marLeft w:val="0"/>
              <w:marRight w:val="0"/>
              <w:marTop w:val="0"/>
              <w:marBottom w:val="0"/>
              <w:divBdr>
                <w:top w:val="none" w:sz="0" w:space="0" w:color="auto"/>
                <w:left w:val="none" w:sz="0" w:space="0" w:color="auto"/>
                <w:bottom w:val="none" w:sz="0" w:space="0" w:color="auto"/>
                <w:right w:val="none" w:sz="0" w:space="0" w:color="auto"/>
              </w:divBdr>
            </w:div>
            <w:div w:id="901404951">
              <w:marLeft w:val="0"/>
              <w:marRight w:val="0"/>
              <w:marTop w:val="0"/>
              <w:marBottom w:val="0"/>
              <w:divBdr>
                <w:top w:val="none" w:sz="0" w:space="0" w:color="auto"/>
                <w:left w:val="none" w:sz="0" w:space="0" w:color="auto"/>
                <w:bottom w:val="none" w:sz="0" w:space="0" w:color="auto"/>
                <w:right w:val="none" w:sz="0" w:space="0" w:color="auto"/>
              </w:divBdr>
            </w:div>
            <w:div w:id="1149446670">
              <w:marLeft w:val="0"/>
              <w:marRight w:val="0"/>
              <w:marTop w:val="0"/>
              <w:marBottom w:val="0"/>
              <w:divBdr>
                <w:top w:val="none" w:sz="0" w:space="0" w:color="auto"/>
                <w:left w:val="none" w:sz="0" w:space="0" w:color="auto"/>
                <w:bottom w:val="none" w:sz="0" w:space="0" w:color="auto"/>
                <w:right w:val="none" w:sz="0" w:space="0" w:color="auto"/>
              </w:divBdr>
            </w:div>
            <w:div w:id="1235815760">
              <w:marLeft w:val="0"/>
              <w:marRight w:val="0"/>
              <w:marTop w:val="0"/>
              <w:marBottom w:val="0"/>
              <w:divBdr>
                <w:top w:val="none" w:sz="0" w:space="0" w:color="auto"/>
                <w:left w:val="none" w:sz="0" w:space="0" w:color="auto"/>
                <w:bottom w:val="none" w:sz="0" w:space="0" w:color="auto"/>
                <w:right w:val="none" w:sz="0" w:space="0" w:color="auto"/>
              </w:divBdr>
            </w:div>
            <w:div w:id="1241408226">
              <w:marLeft w:val="0"/>
              <w:marRight w:val="0"/>
              <w:marTop w:val="0"/>
              <w:marBottom w:val="0"/>
              <w:divBdr>
                <w:top w:val="none" w:sz="0" w:space="0" w:color="auto"/>
                <w:left w:val="none" w:sz="0" w:space="0" w:color="auto"/>
                <w:bottom w:val="none" w:sz="0" w:space="0" w:color="auto"/>
                <w:right w:val="none" w:sz="0" w:space="0" w:color="auto"/>
              </w:divBdr>
            </w:div>
            <w:div w:id="1361319870">
              <w:marLeft w:val="0"/>
              <w:marRight w:val="0"/>
              <w:marTop w:val="0"/>
              <w:marBottom w:val="0"/>
              <w:divBdr>
                <w:top w:val="none" w:sz="0" w:space="0" w:color="auto"/>
                <w:left w:val="none" w:sz="0" w:space="0" w:color="auto"/>
                <w:bottom w:val="none" w:sz="0" w:space="0" w:color="auto"/>
                <w:right w:val="none" w:sz="0" w:space="0" w:color="auto"/>
              </w:divBdr>
            </w:div>
            <w:div w:id="1464957808">
              <w:marLeft w:val="0"/>
              <w:marRight w:val="0"/>
              <w:marTop w:val="0"/>
              <w:marBottom w:val="0"/>
              <w:divBdr>
                <w:top w:val="none" w:sz="0" w:space="0" w:color="auto"/>
                <w:left w:val="none" w:sz="0" w:space="0" w:color="auto"/>
                <w:bottom w:val="none" w:sz="0" w:space="0" w:color="auto"/>
                <w:right w:val="none" w:sz="0" w:space="0" w:color="auto"/>
              </w:divBdr>
            </w:div>
            <w:div w:id="1475483655">
              <w:marLeft w:val="0"/>
              <w:marRight w:val="0"/>
              <w:marTop w:val="0"/>
              <w:marBottom w:val="0"/>
              <w:divBdr>
                <w:top w:val="none" w:sz="0" w:space="0" w:color="auto"/>
                <w:left w:val="none" w:sz="0" w:space="0" w:color="auto"/>
                <w:bottom w:val="none" w:sz="0" w:space="0" w:color="auto"/>
                <w:right w:val="none" w:sz="0" w:space="0" w:color="auto"/>
              </w:divBdr>
            </w:div>
            <w:div w:id="1658683079">
              <w:marLeft w:val="0"/>
              <w:marRight w:val="0"/>
              <w:marTop w:val="0"/>
              <w:marBottom w:val="0"/>
              <w:divBdr>
                <w:top w:val="none" w:sz="0" w:space="0" w:color="auto"/>
                <w:left w:val="none" w:sz="0" w:space="0" w:color="auto"/>
                <w:bottom w:val="none" w:sz="0" w:space="0" w:color="auto"/>
                <w:right w:val="none" w:sz="0" w:space="0" w:color="auto"/>
              </w:divBdr>
            </w:div>
            <w:div w:id="1710572228">
              <w:marLeft w:val="0"/>
              <w:marRight w:val="0"/>
              <w:marTop w:val="0"/>
              <w:marBottom w:val="0"/>
              <w:divBdr>
                <w:top w:val="none" w:sz="0" w:space="0" w:color="auto"/>
                <w:left w:val="none" w:sz="0" w:space="0" w:color="auto"/>
                <w:bottom w:val="none" w:sz="0" w:space="0" w:color="auto"/>
                <w:right w:val="none" w:sz="0" w:space="0" w:color="auto"/>
              </w:divBdr>
            </w:div>
            <w:div w:id="1780952081">
              <w:marLeft w:val="0"/>
              <w:marRight w:val="0"/>
              <w:marTop w:val="0"/>
              <w:marBottom w:val="0"/>
              <w:divBdr>
                <w:top w:val="none" w:sz="0" w:space="0" w:color="auto"/>
                <w:left w:val="none" w:sz="0" w:space="0" w:color="auto"/>
                <w:bottom w:val="none" w:sz="0" w:space="0" w:color="auto"/>
                <w:right w:val="none" w:sz="0" w:space="0" w:color="auto"/>
              </w:divBdr>
            </w:div>
            <w:div w:id="1876456687">
              <w:marLeft w:val="0"/>
              <w:marRight w:val="0"/>
              <w:marTop w:val="0"/>
              <w:marBottom w:val="0"/>
              <w:divBdr>
                <w:top w:val="none" w:sz="0" w:space="0" w:color="auto"/>
                <w:left w:val="none" w:sz="0" w:space="0" w:color="auto"/>
                <w:bottom w:val="none" w:sz="0" w:space="0" w:color="auto"/>
                <w:right w:val="none" w:sz="0" w:space="0" w:color="auto"/>
              </w:divBdr>
            </w:div>
            <w:div w:id="2129624387">
              <w:marLeft w:val="0"/>
              <w:marRight w:val="0"/>
              <w:marTop w:val="0"/>
              <w:marBottom w:val="0"/>
              <w:divBdr>
                <w:top w:val="none" w:sz="0" w:space="0" w:color="auto"/>
                <w:left w:val="none" w:sz="0" w:space="0" w:color="auto"/>
                <w:bottom w:val="none" w:sz="0" w:space="0" w:color="auto"/>
                <w:right w:val="none" w:sz="0" w:space="0" w:color="auto"/>
              </w:divBdr>
            </w:div>
          </w:divsChild>
        </w:div>
        <w:div w:id="586157824">
          <w:marLeft w:val="0"/>
          <w:marRight w:val="0"/>
          <w:marTop w:val="0"/>
          <w:marBottom w:val="0"/>
          <w:divBdr>
            <w:top w:val="none" w:sz="0" w:space="0" w:color="auto"/>
            <w:left w:val="none" w:sz="0" w:space="0" w:color="auto"/>
            <w:bottom w:val="none" w:sz="0" w:space="0" w:color="auto"/>
            <w:right w:val="none" w:sz="0" w:space="0" w:color="auto"/>
          </w:divBdr>
          <w:divsChild>
            <w:div w:id="348459213">
              <w:marLeft w:val="0"/>
              <w:marRight w:val="0"/>
              <w:marTop w:val="0"/>
              <w:marBottom w:val="0"/>
              <w:divBdr>
                <w:top w:val="none" w:sz="0" w:space="0" w:color="auto"/>
                <w:left w:val="none" w:sz="0" w:space="0" w:color="auto"/>
                <w:bottom w:val="none" w:sz="0" w:space="0" w:color="auto"/>
                <w:right w:val="none" w:sz="0" w:space="0" w:color="auto"/>
              </w:divBdr>
            </w:div>
            <w:div w:id="401413540">
              <w:marLeft w:val="0"/>
              <w:marRight w:val="0"/>
              <w:marTop w:val="0"/>
              <w:marBottom w:val="0"/>
              <w:divBdr>
                <w:top w:val="none" w:sz="0" w:space="0" w:color="auto"/>
                <w:left w:val="none" w:sz="0" w:space="0" w:color="auto"/>
                <w:bottom w:val="none" w:sz="0" w:space="0" w:color="auto"/>
                <w:right w:val="none" w:sz="0" w:space="0" w:color="auto"/>
              </w:divBdr>
            </w:div>
            <w:div w:id="807548663">
              <w:marLeft w:val="0"/>
              <w:marRight w:val="0"/>
              <w:marTop w:val="0"/>
              <w:marBottom w:val="0"/>
              <w:divBdr>
                <w:top w:val="none" w:sz="0" w:space="0" w:color="auto"/>
                <w:left w:val="none" w:sz="0" w:space="0" w:color="auto"/>
                <w:bottom w:val="none" w:sz="0" w:space="0" w:color="auto"/>
                <w:right w:val="none" w:sz="0" w:space="0" w:color="auto"/>
              </w:divBdr>
            </w:div>
            <w:div w:id="884293957">
              <w:marLeft w:val="0"/>
              <w:marRight w:val="0"/>
              <w:marTop w:val="0"/>
              <w:marBottom w:val="0"/>
              <w:divBdr>
                <w:top w:val="none" w:sz="0" w:space="0" w:color="auto"/>
                <w:left w:val="none" w:sz="0" w:space="0" w:color="auto"/>
                <w:bottom w:val="none" w:sz="0" w:space="0" w:color="auto"/>
                <w:right w:val="none" w:sz="0" w:space="0" w:color="auto"/>
              </w:divBdr>
            </w:div>
            <w:div w:id="1102845759">
              <w:marLeft w:val="0"/>
              <w:marRight w:val="0"/>
              <w:marTop w:val="0"/>
              <w:marBottom w:val="0"/>
              <w:divBdr>
                <w:top w:val="none" w:sz="0" w:space="0" w:color="auto"/>
                <w:left w:val="none" w:sz="0" w:space="0" w:color="auto"/>
                <w:bottom w:val="none" w:sz="0" w:space="0" w:color="auto"/>
                <w:right w:val="none" w:sz="0" w:space="0" w:color="auto"/>
              </w:divBdr>
            </w:div>
            <w:div w:id="20959775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864616">
      <w:bodyDiv w:val="1"/>
      <w:marLeft w:val="0"/>
      <w:marRight w:val="0"/>
      <w:marTop w:val="0"/>
      <w:marBottom w:val="0"/>
      <w:divBdr>
        <w:top w:val="none" w:sz="0" w:space="0" w:color="auto"/>
        <w:left w:val="none" w:sz="0" w:space="0" w:color="auto"/>
        <w:bottom w:val="none" w:sz="0" w:space="0" w:color="auto"/>
        <w:right w:val="none" w:sz="0" w:space="0" w:color="auto"/>
      </w:divBdr>
    </w:div>
    <w:div w:id="21270009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hyperlink" Target="https://doi.org/10.3390/ijms26051854" TargetMode="External"/><Relationship Id="rId21" Type="http://schemas.openxmlformats.org/officeDocument/2006/relationships/hyperlink" Target="https://doi.org/10.2478/v10102-009-0001-7" TargetMode="External"/><Relationship Id="rId42" Type="http://schemas.openxmlformats.org/officeDocument/2006/relationships/hyperlink" Target="http://www.ijtsrd.com/papers/ijtsrd64697.pdf" TargetMode="External"/><Relationship Id="rId47" Type="http://schemas.openxmlformats.org/officeDocument/2006/relationships/hyperlink" Target="https://doi.org/10.1017/9781139029117" TargetMode="External"/><Relationship Id="rId63" Type="http://schemas.openxmlformats.org/officeDocument/2006/relationships/hyperlink" Target="https://doi.org/10.7554/eLife.65655" TargetMode="External"/><Relationship Id="rId68" Type="http://schemas.openxmlformats.org/officeDocument/2006/relationships/hyperlink" Target="https://www.annualreviews.org/docserver/fulltext/phyto/62/1/annurev-phyto-121423-042102.pdf?expires=1756502026&amp;id=id&amp;accname=ar-365610&amp;checksum=8CF339E63FFBBD2FDAA8CFA210A865A7" TargetMode="External"/><Relationship Id="rId16" Type="http://schemas.openxmlformats.org/officeDocument/2006/relationships/image" Target="media/image6.png"/><Relationship Id="rId11" Type="http://schemas.openxmlformats.org/officeDocument/2006/relationships/header" Target="header1.xml"/><Relationship Id="rId32" Type="http://schemas.openxmlformats.org/officeDocument/2006/relationships/hyperlink" Target="https://assets.ippc.int/static/media/files/publication/en/2022/04/Concept_note_Plantibio_FV-1.pdf" TargetMode="External"/><Relationship Id="rId37" Type="http://schemas.openxmlformats.org/officeDocument/2006/relationships/hyperlink" Target="https://www.labiotech.eu/in-depth/new-antifungals-development/" TargetMode="External"/><Relationship Id="rId53" Type="http://schemas.openxmlformats.org/officeDocument/2006/relationships/hyperlink" Target="https://www.entomoljournal.com/archives/2017/vol5issue1/PartM/10-6-9-390.pdf" TargetMode="External"/><Relationship Id="rId58" Type="http://schemas.openxmlformats.org/officeDocument/2006/relationships/hyperlink" Target="https://doi.org/10.1038/s41467-021-25505-7" TargetMode="External"/><Relationship Id="rId74" Type="http://schemas.openxmlformats.org/officeDocument/2006/relationships/hyperlink" Target="https://bsppjournals.onlinelibrary.wiley.com/doi/epdf/10.1111/j.1365-3059.2011.02501.x" TargetMode="External"/><Relationship Id="rId79" Type="http://schemas.openxmlformats.org/officeDocument/2006/relationships/fontTable" Target="fontTable.xml"/><Relationship Id="rId5" Type="http://schemas.openxmlformats.org/officeDocument/2006/relationships/numbering" Target="numbering.xml"/><Relationship Id="rId61" Type="http://schemas.openxmlformats.org/officeDocument/2006/relationships/hyperlink" Target="https://www.annualreviews.org/content/journals/10.1146/annurev-phyto-080417-045946" TargetMode="External"/><Relationship Id="rId19" Type="http://schemas.openxmlformats.org/officeDocument/2006/relationships/image" Target="media/image9.jpeg"/><Relationship Id="rId14" Type="http://schemas.openxmlformats.org/officeDocument/2006/relationships/image" Target="media/image4.png"/><Relationship Id="rId22" Type="http://schemas.openxmlformats.org/officeDocument/2006/relationships/hyperlink" Target="https://doi.org/10.1038/s44259-024-00055-2" TargetMode="External"/><Relationship Id="rId27" Type="http://schemas.openxmlformats.org/officeDocument/2006/relationships/hyperlink" Target="https://www.frontiersin.org/journals/sustainable-food-systems/articles/10.3389/fsufs.2022.824714/full" TargetMode="External"/><Relationship Id="rId30" Type="http://schemas.openxmlformats.org/officeDocument/2006/relationships/hyperlink" Target="https://www.jlsb.science-line.com/attachments/article/64/J.%20Life%20Sci.%20Biomed.%208%286%29%2094-100,%202018.pdf" TargetMode="External"/><Relationship Id="rId35" Type="http://schemas.openxmlformats.org/officeDocument/2006/relationships/hyperlink" Target="https://www.fao.org/antimicrobial-resistance/background/what-is-it/en/" TargetMode="External"/><Relationship Id="rId43" Type="http://schemas.openxmlformats.org/officeDocument/2006/relationships/hyperlink" Target="https://doi.org/10.1371/journal.ppat.1002158" TargetMode="External"/><Relationship Id="rId48" Type="http://schemas.openxmlformats.org/officeDocument/2006/relationships/hyperlink" Target="https://doi.org/10.1038/s41559-018-0470-1" TargetMode="External"/><Relationship Id="rId56" Type="http://schemas.openxmlformats.org/officeDocument/2006/relationships/hyperlink" Target="https://doi.org/10.1016/j.ecoenv.2025.118890" TargetMode="External"/><Relationship Id="rId64" Type="http://schemas.openxmlformats.org/officeDocument/2006/relationships/hyperlink" Target="https://www.ncbi.nlm.nih.gov/books/NBK593490/" TargetMode="External"/><Relationship Id="rId69" Type="http://schemas.openxmlformats.org/officeDocument/2006/relationships/hyperlink" Target="https://doi.org/10.1016/j.tplants.2017.06.010" TargetMode="External"/><Relationship Id="rId77" Type="http://schemas.openxmlformats.org/officeDocument/2006/relationships/hyperlink" Target="https://www.frontiersin.org/journals/microbiology/articles/10.3389/fmicb.2021.610656/full" TargetMode="External"/><Relationship Id="rId8" Type="http://schemas.openxmlformats.org/officeDocument/2006/relationships/webSettings" Target="webSettings.xml"/><Relationship Id="rId51" Type="http://schemas.openxmlformats.org/officeDocument/2006/relationships/hyperlink" Target="https://openknowledge.fao.org/items/7979649d-47f7-448c-95ac-b1ca00adcfd9" TargetMode="External"/><Relationship Id="rId72" Type="http://schemas.openxmlformats.org/officeDocument/2006/relationships/hyperlink" Target="https://doi.org/10.3389/fmicb.2023.1221478" TargetMode="External"/><Relationship Id="rId80"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header" Target="header2.xml"/><Relationship Id="rId17" Type="http://schemas.openxmlformats.org/officeDocument/2006/relationships/image" Target="media/image7.png"/><Relationship Id="rId25" Type="http://schemas.openxmlformats.org/officeDocument/2006/relationships/hyperlink" Target="https://www.sciencedirect.com/science/article/pii/S0966842X24002154" TargetMode="External"/><Relationship Id="rId33" Type="http://schemas.openxmlformats.org/officeDocument/2006/relationships/hyperlink" Target="https://www.epa.gov/pesticides/epa-finalizes-framework-interagency-collaboration-resistance-risks-associated" TargetMode="External"/><Relationship Id="rId38" Type="http://schemas.openxmlformats.org/officeDocument/2006/relationships/hyperlink" Target="https://assets.ippc.int/static/media/files/publication/en/2025/02/49_CPM_2025_IPPC_observatory_surveys_on_antimicrobial_use_AMU_in_plant_protection_2025-02-17.pdf" TargetMode="External"/><Relationship Id="rId46" Type="http://schemas.openxmlformats.org/officeDocument/2006/relationships/hyperlink" Target="https://doi.org/10.2903/j.efsa.2021.6651" TargetMode="External"/><Relationship Id="rId59" Type="http://schemas.openxmlformats.org/officeDocument/2006/relationships/hyperlink" Target="https://doi.org/10.1371/journal.pstr.0000178" TargetMode="External"/><Relationship Id="rId67" Type="http://schemas.openxmlformats.org/officeDocument/2006/relationships/hyperlink" Target="https://www.nature.com/articles/s41586-019-1684-3" TargetMode="External"/><Relationship Id="rId20" Type="http://schemas.openxmlformats.org/officeDocument/2006/relationships/hyperlink" Target="https://www.canada.ca/content/dam/phac-aspc/documents/services/publications/drugs-health-products/pan-canadian-action-plan-antimicrobial-resistance/pan-canadian-action-plan-antimicrobial-resistance.pdf" TargetMode="External"/><Relationship Id="rId41" Type="http://schemas.openxmlformats.org/officeDocument/2006/relationships/hyperlink" Target="https://www.sciencedirect.com/science/article/pii/S1462901116300314?via%3Dihub" TargetMode="External"/><Relationship Id="rId54" Type="http://schemas.openxmlformats.org/officeDocument/2006/relationships/hyperlink" Target="https://doi.org/10.7717/peerj.10033" TargetMode="External"/><Relationship Id="rId62" Type="http://schemas.openxmlformats.org/officeDocument/2006/relationships/hyperlink" Target="https://doi.org/10.1016/j.fgb.2023.103829" TargetMode="External"/><Relationship Id="rId70" Type="http://schemas.openxmlformats.org/officeDocument/2006/relationships/hyperlink" Target="https://doi.org/10.1007/s10530-006-9069-6" TargetMode="External"/><Relationship Id="rId75" Type="http://schemas.openxmlformats.org/officeDocument/2006/relationships/hyperlink" Target="https://iris.who.int/bitstream/handle/10665/363682/9789240060241-eng.pdf?sequence=1" TargetMode="Externa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5.png"/><Relationship Id="rId23" Type="http://schemas.openxmlformats.org/officeDocument/2006/relationships/hyperlink" Target="https://doi.org/10.1111/ppa.13463" TargetMode="External"/><Relationship Id="rId28" Type="http://schemas.openxmlformats.org/officeDocument/2006/relationships/hyperlink" Target="https://doi.org/10.3390/plants13081135?via%3Dihub" TargetMode="External"/><Relationship Id="rId36" Type="http://schemas.openxmlformats.org/officeDocument/2006/relationships/hyperlink" Target="https://doi.org/10.1186/s42522-025-00150-y" TargetMode="External"/><Relationship Id="rId49" Type="http://schemas.openxmlformats.org/officeDocument/2006/relationships/hyperlink" Target="https://doi.org/10.1042/ETLS20200067" TargetMode="External"/><Relationship Id="rId57" Type="http://schemas.openxmlformats.org/officeDocument/2006/relationships/hyperlink" Target="https://www.sciencedirect.com/science/article/pii/S2352771425001168" TargetMode="External"/><Relationship Id="rId10" Type="http://schemas.openxmlformats.org/officeDocument/2006/relationships/endnotes" Target="endnotes.xml"/><Relationship Id="rId31" Type="http://schemas.openxmlformats.org/officeDocument/2006/relationships/hyperlink" Target="https://doi.org/10.3389/fvets.2018.00014" TargetMode="External"/><Relationship Id="rId44" Type="http://schemas.openxmlformats.org/officeDocument/2006/relationships/hyperlink" Target="https://www.fao.org/one-health/areas-of-work/plant-health/en" TargetMode="External"/><Relationship Id="rId52" Type="http://schemas.openxmlformats.org/officeDocument/2006/relationships/hyperlink" Target="https://www.researchgate.net/publication/316465128_Antibiotics_impact_plant_traits_even_at_small_concentrations" TargetMode="External"/><Relationship Id="rId60" Type="http://schemas.openxmlformats.org/officeDocument/2006/relationships/hyperlink" Target="https://doi.org/10.3390/agriculture12020289" TargetMode="External"/><Relationship Id="rId65" Type="http://schemas.openxmlformats.org/officeDocument/2006/relationships/hyperlink" Target="https://www.woah.org/app/uploads/2023/06/one-health-amr-research-prioritisation-launch-v7-2.pdf" TargetMode="External"/><Relationship Id="rId73" Type="http://schemas.openxmlformats.org/officeDocument/2006/relationships/hyperlink" Target="https://doi.org/10.2307/4450624" TargetMode="External"/><Relationship Id="rId78" Type="http://schemas.openxmlformats.org/officeDocument/2006/relationships/header" Target="header4.xml"/><Relationship Id="rId81" Type="http://schemas.microsoft.com/office/2020/10/relationships/intelligence" Target="intelligence2.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eader" Target="header3.xml"/><Relationship Id="rId18" Type="http://schemas.openxmlformats.org/officeDocument/2006/relationships/image" Target="media/image8.png"/><Relationship Id="rId39" Type="http://schemas.openxmlformats.org/officeDocument/2006/relationships/hyperlink" Target="https://elearning.fao.org/course/view.php?name=ippc-campus" TargetMode="External"/><Relationship Id="rId34" Type="http://schemas.openxmlformats.org/officeDocument/2006/relationships/hyperlink" Target="https://resistance.eppo.int/" TargetMode="External"/><Relationship Id="rId50" Type="http://schemas.openxmlformats.org/officeDocument/2006/relationships/hyperlink" Target="https://doi.org/10.1093/biosci/biaf110" TargetMode="External"/><Relationship Id="rId55" Type="http://schemas.openxmlformats.org/officeDocument/2006/relationships/hyperlink" Target="https://doi.org/10.1093/jacamr/dlaf106" TargetMode="External"/><Relationship Id="rId76" Type="http://schemas.openxmlformats.org/officeDocument/2006/relationships/hyperlink" Target="https://www.fao.org/one-health/highlights/plants-are-integral-to-a-one-health-approach/en" TargetMode="External"/><Relationship Id="rId7" Type="http://schemas.openxmlformats.org/officeDocument/2006/relationships/settings" Target="settings.xml"/><Relationship Id="rId71" Type="http://schemas.openxmlformats.org/officeDocument/2006/relationships/hyperlink" Target="https://dx.doi.org/10.1007/s10526-017-9801-4" TargetMode="External"/><Relationship Id="rId2" Type="http://schemas.openxmlformats.org/officeDocument/2006/relationships/customXml" Target="../customXml/item2.xml"/><Relationship Id="rId29" Type="http://schemas.openxmlformats.org/officeDocument/2006/relationships/hyperlink" Target="https://www.cabidigitallibrary.org/doi/10.1079/cabionehealth.2025.0013" TargetMode="External"/><Relationship Id="rId24" Type="http://schemas.openxmlformats.org/officeDocument/2006/relationships/hyperlink" Target="https://www.sciencedirect.com/science/article/pii/S0167880923004164" TargetMode="External"/><Relationship Id="rId40" Type="http://schemas.openxmlformats.org/officeDocument/2006/relationships/hyperlink" Target="http://www.weedscience.org/" TargetMode="External"/><Relationship Id="rId45" Type="http://schemas.openxmlformats.org/officeDocument/2006/relationships/hyperlink" Target="https://doi.org/10.46756/sci.fsa.vnq132" TargetMode="External"/><Relationship Id="rId66" Type="http://schemas.openxmlformats.org/officeDocument/2006/relationships/hyperlink" Target="https://www.sciencedirect.com/science/article/pii/S2352771424000466" TargetMode="External"/></Relationships>
</file>

<file path=word/_rels/footnotes.xml.rels><?xml version="1.0" encoding="UTF-8" standalone="yes"?>
<Relationships xmlns="http://schemas.openxmlformats.org/package/2006/relationships"><Relationship Id="rId3" Type="http://schemas.openxmlformats.org/officeDocument/2006/relationships/hyperlink" Target="https://assets.ippc.int/static/media/files/publication/en/2025/05/CPM-19_Report_2025-05-08.pdf" TargetMode="External"/><Relationship Id="rId2" Type="http://schemas.openxmlformats.org/officeDocument/2006/relationships/hyperlink" Target="https://www.ippc.int/en/publications/94284/" TargetMode="External"/><Relationship Id="rId1" Type="http://schemas.openxmlformats.org/officeDocument/2006/relationships/hyperlink" Target="https://www.ippc.int/en/publications/93481/" TargetMode="External"/></Relationships>
</file>

<file path=word/_rels/header3.xml.rels><?xml version="1.0" encoding="UTF-8" standalone="yes"?>
<Relationships xmlns="http://schemas.openxmlformats.org/package/2006/relationships"><Relationship Id="rId3" Type="http://schemas.openxmlformats.org/officeDocument/2006/relationships/image" Target="media/image3.jpg"/><Relationship Id="rId2" Type="http://schemas.openxmlformats.org/officeDocument/2006/relationships/image" Target="media/image2.png"/><Relationship Id="rId1" Type="http://schemas.openxmlformats.org/officeDocument/2006/relationships/image" Target="media/image1.jp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umbamouendou\AppData\Local\Microsoft\Windows\INetCache\Content.Outlook\4US932A0\IPPC_2015-06-04.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a05d7f75-f42e-4288-8809-604fd4d9691f" xsi:nil="true"/>
    <lcf76f155ced4ddcb4097134ff3c332f xmlns="ea6feb38-a85a-45e8-92e9-814486bbe375">
      <Terms xmlns="http://schemas.microsoft.com/office/infopath/2007/PartnerControls"/>
    </lcf76f155ced4ddcb4097134ff3c332f>
    <_Flow_SignoffStatus xmlns="ea6feb38-a85a-45e8-92e9-814486bbe375"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299519679B1A8B4091DBA33CE26F55F5" ma:contentTypeVersion="20" ma:contentTypeDescription="Create a new document." ma:contentTypeScope="" ma:versionID="58c79fb002f89a5111e50c4b7040bcb6">
  <xsd:schema xmlns:xsd="http://www.w3.org/2001/XMLSchema" xmlns:xs="http://www.w3.org/2001/XMLSchema" xmlns:p="http://schemas.microsoft.com/office/2006/metadata/properties" xmlns:ns2="a05d7f75-f42e-4288-8809-604fd4d9691f" xmlns:ns3="ea6feb38-a85a-45e8-92e9-814486bbe375" targetNamespace="http://schemas.microsoft.com/office/2006/metadata/properties" ma:root="true" ma:fieldsID="c7dd2e9d878049d154ba4207012eb770" ns2:_="" ns3:_="">
    <xsd:import namespace="a05d7f75-f42e-4288-8809-604fd4d9691f"/>
    <xsd:import namespace="ea6feb38-a85a-45e8-92e9-814486bbe375"/>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ServiceDateTaken" minOccurs="0"/>
                <xsd:element ref="ns3:MediaServiceAutoTags" minOccurs="0"/>
                <xsd:element ref="ns3:MediaServiceGenerationTime" minOccurs="0"/>
                <xsd:element ref="ns3:MediaServiceEventHashCode" minOccurs="0"/>
                <xsd:element ref="ns3:MediaServiceOCR" minOccurs="0"/>
                <xsd:element ref="ns3:MediaServiceLocation" minOccurs="0"/>
                <xsd:element ref="ns3:MediaLengthInSeconds" minOccurs="0"/>
                <xsd:element ref="ns3:_Flow_SignoffStatus" minOccurs="0"/>
                <xsd:element ref="ns3:lcf76f155ced4ddcb4097134ff3c332f" minOccurs="0"/>
                <xsd:element ref="ns2:TaxCatchAll" minOccurs="0"/>
                <xsd:element ref="ns3:MediaServiceObjectDetectorVersions" minOccurs="0"/>
                <xsd:element ref="ns3:MediaServiceSearchProperties" minOccurs="0"/>
                <xsd:element ref="ns3: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05d7f75-f42e-4288-8809-604fd4d9691f"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24" nillable="true" ma:displayName="Taxonomy Catch All Column" ma:hidden="true" ma:list="{540dbf57-1e7b-4a73-94c8-cbcaaea3fe5a}" ma:internalName="TaxCatchAll" ma:showField="CatchAllData" ma:web="a05d7f75-f42e-4288-8809-604fd4d9691f">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ea6feb38-a85a-45e8-92e9-814486bbe375"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_Flow_SignoffStatus" ma:index="21" nillable="true" ma:displayName="Sign-off status" ma:internalName="Sign_x002d_off_x0020_status">
      <xsd:simpleType>
        <xsd:restriction base="dms:Text"/>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f40eee1e-ad38-437e-be40-fc9f033adc9a"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5"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6" nillable="true" ma:displayName="MediaServiceSearchProperties" ma:hidden="true" ma:internalName="MediaServiceSearchProperties" ma:readOnly="true">
      <xsd:simpleType>
        <xsd:restriction base="dms:Note"/>
      </xsd:simpleType>
    </xsd:element>
    <xsd:element name="MediaServiceBillingMetadata" ma:index="27" nillable="true" ma:displayName="MediaServiceBillingMetadata" ma:hidden="true" ma:internalName="MediaServiceBilling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F017A47-9599-4C3F-82C8-519221445994}">
  <ds:schemaRefs>
    <ds:schemaRef ds:uri="http://schemas.microsoft.com/office/2006/metadata/properties"/>
    <ds:schemaRef ds:uri="http://schemas.microsoft.com/office/infopath/2007/PartnerControls"/>
    <ds:schemaRef ds:uri="a05d7f75-f42e-4288-8809-604fd4d9691f"/>
    <ds:schemaRef ds:uri="ea6feb38-a85a-45e8-92e9-814486bbe375"/>
  </ds:schemaRefs>
</ds:datastoreItem>
</file>

<file path=customXml/itemProps2.xml><?xml version="1.0" encoding="utf-8"?>
<ds:datastoreItem xmlns:ds="http://schemas.openxmlformats.org/officeDocument/2006/customXml" ds:itemID="{26875AB2-D22C-4A73-94C2-FB52B5A9B6E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05d7f75-f42e-4288-8809-604fd4d9691f"/>
    <ds:schemaRef ds:uri="ea6feb38-a85a-45e8-92e9-814486bbe37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6174A16E-5775-4687-BC83-2BE9D285DA44}">
  <ds:schemaRefs>
    <ds:schemaRef ds:uri="http://schemas.microsoft.com/sharepoint/v3/contenttype/forms"/>
  </ds:schemaRefs>
</ds:datastoreItem>
</file>

<file path=customXml/itemProps4.xml><?xml version="1.0" encoding="utf-8"?>
<ds:datastoreItem xmlns:ds="http://schemas.openxmlformats.org/officeDocument/2006/customXml" ds:itemID="{3DC27E5F-3D9F-4E17-BEDC-969A135506DC}">
  <ds:schemaRefs>
    <ds:schemaRef ds:uri="http://schemas.openxmlformats.org/officeDocument/2006/bibliography"/>
  </ds:schemaRefs>
</ds:datastoreItem>
</file>

<file path=docMetadata/LabelInfo.xml><?xml version="1.0" encoding="utf-8"?>
<clbl:labelList xmlns:clbl="http://schemas.microsoft.com/office/2020/mipLabelMetadata">
  <clbl:label id="{ed5b36e7-01ee-4ebc-867e-e03cfa0d4697}" enabled="0" method="" siteId="{ed5b36e7-01ee-4ebc-867e-e03cfa0d4697}" removed="1"/>
</clbl:labelList>
</file>

<file path=docProps/app.xml><?xml version="1.0" encoding="utf-8"?>
<Properties xmlns="http://schemas.openxmlformats.org/officeDocument/2006/extended-properties" xmlns:vt="http://schemas.openxmlformats.org/officeDocument/2006/docPropsVTypes">
  <Template>IPPC_2015-06-04</Template>
  <TotalTime>3</TotalTime>
  <Pages>24</Pages>
  <Words>11843</Words>
  <Characters>67510</Characters>
  <Application>Microsoft Office Word</Application>
  <DocSecurity>0</DocSecurity>
  <Lines>562</Lines>
  <Paragraphs>158</Paragraphs>
  <ScaleCrop>false</ScaleCrop>
  <Company>FAO of the UN</Company>
  <LinksUpToDate>false</LinksUpToDate>
  <CharactersWithSpaces>79195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Koumba, Descartes (NSP)</dc:creator>
  <cp:keywords/>
  <dc:description/>
  <cp:lastModifiedBy>Cassin, Aoife (NSPD)</cp:lastModifiedBy>
  <cp:revision>31</cp:revision>
  <dcterms:created xsi:type="dcterms:W3CDTF">2025-10-02T18:07:00Z</dcterms:created>
  <dcterms:modified xsi:type="dcterms:W3CDTF">2025-10-14T19:39:00Z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0x010100299519679B1A8B4091DBA33CE26F55F5</vt:lpwstr>
  </property>
  <property fmtid="{D5CDD505-2E9C-101B-9397-08002B2CF9AE}" pid="3" name="MediaServiceImageTags">
    <vt:lpwstr/>
  </property>
</Properties>
</file>