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40AAE" w14:textId="77777777" w:rsidR="00EC1A56" w:rsidRPr="0035678E" w:rsidRDefault="00EC1A56" w:rsidP="00EC1A56">
      <w:pPr>
        <w:pStyle w:val="IPPHeadSection"/>
        <w:jc w:val="center"/>
      </w:pPr>
      <w:r w:rsidRPr="0035678E">
        <w:t>Commission on Phytosanitary Measures</w:t>
      </w:r>
    </w:p>
    <w:p w14:paraId="227A6611" w14:textId="77777777" w:rsidR="00EC1A56" w:rsidRPr="0035678E" w:rsidRDefault="00EC1A56" w:rsidP="00EC1A56">
      <w:pPr>
        <w:pStyle w:val="IPPHeadSection"/>
        <w:jc w:val="center"/>
      </w:pPr>
      <w:r w:rsidRPr="0035678E">
        <w:t>STRATEGIC PLANNING GROUP</w:t>
      </w:r>
    </w:p>
    <w:p w14:paraId="4CAA5E23" w14:textId="77777777" w:rsidR="00EC1A56" w:rsidRPr="0035678E" w:rsidRDefault="00EC1A56" w:rsidP="00EC1A56">
      <w:pPr>
        <w:pStyle w:val="IPPHeadSection"/>
        <w:jc w:val="center"/>
      </w:pPr>
      <w:r w:rsidRPr="0035678E">
        <w:t>CONFERENCE ROOM PAPER</w:t>
      </w:r>
    </w:p>
    <w:p w14:paraId="3EEA34E3" w14:textId="77777777" w:rsidR="00EC1A56" w:rsidRPr="0035678E" w:rsidRDefault="00EC1A56" w:rsidP="00EC1A56">
      <w:pPr>
        <w:pStyle w:val="IPPHeadSection"/>
        <w:jc w:val="center"/>
      </w:pPr>
      <w:r w:rsidRPr="0035678E">
        <w:t>DEFICIENCIES AND CHALLENGES IN PHYTOSANITARY DIAGNOSIS IN DEVELOPING COUNTRIES</w:t>
      </w:r>
    </w:p>
    <w:p w14:paraId="39FBCFF1" w14:textId="77777777" w:rsidR="00EC1A56" w:rsidRDefault="00EC1A56" w:rsidP="00EC1A56">
      <w:pPr>
        <w:pStyle w:val="IPPHeading1"/>
        <w:jc w:val="center"/>
        <w:rPr>
          <w:b w:val="0"/>
          <w:bCs/>
        </w:rPr>
      </w:pPr>
      <w:r w:rsidRPr="00992647">
        <w:rPr>
          <w:b w:val="0"/>
          <w:bCs/>
        </w:rPr>
        <w:t>(</w:t>
      </w:r>
      <w:r>
        <w:rPr>
          <w:b w:val="0"/>
          <w:bCs/>
          <w:i/>
          <w:iCs/>
        </w:rPr>
        <w:t xml:space="preserve">Prepared </w:t>
      </w:r>
      <w:r w:rsidRPr="00992647">
        <w:rPr>
          <w:b w:val="0"/>
          <w:bCs/>
          <w:i/>
          <w:iCs/>
        </w:rPr>
        <w:t xml:space="preserve">by </w:t>
      </w:r>
      <w:r>
        <w:rPr>
          <w:b w:val="0"/>
          <w:bCs/>
          <w:i/>
          <w:iCs/>
        </w:rPr>
        <w:t>Dominican Republic</w:t>
      </w:r>
      <w:r w:rsidRPr="00992647">
        <w:rPr>
          <w:b w:val="0"/>
          <w:bCs/>
        </w:rPr>
        <w:t>)</w:t>
      </w:r>
    </w:p>
    <w:p w14:paraId="3B4D40DB" w14:textId="77777777" w:rsidR="00EC1A56" w:rsidRDefault="00EC1A56" w:rsidP="00EC1A56">
      <w:pPr>
        <w:pStyle w:val="IPPHeading1"/>
      </w:pPr>
      <w:r w:rsidRPr="0035678E">
        <w:t>Introduction</w:t>
      </w:r>
    </w:p>
    <w:p w14:paraId="1DBDEDA6" w14:textId="77777777" w:rsidR="00EC1A56" w:rsidRPr="00156DF0" w:rsidRDefault="00EC1A56" w:rsidP="007F72C6">
      <w:pPr>
        <w:pStyle w:val="IPPParagraphnumbering"/>
      </w:pPr>
      <w:r w:rsidRPr="00156DF0">
        <w:t xml:space="preserve">In today’s world, global trade is expanding faster than ever, climate change is reshaping ecosystems, and plant materials move across borders </w:t>
      </w:r>
      <w:proofErr w:type="gramStart"/>
      <w:r w:rsidRPr="00156DF0">
        <w:t>on a daily basis</w:t>
      </w:r>
      <w:proofErr w:type="gramEnd"/>
      <w:r w:rsidRPr="00156DF0">
        <w:t>. All of this makes agriculture and natural ecosystems increasingly vulnerable to invasive pests. To reduce those risks, strong plant health systems rely on diagnostics that are accurate, timely, and consistent across countries. That is the goal of the International Plant Protection Convention (IPPC), which has developed a series of International Standards for Phytosanitary Measures (ISPMs). Among them, ISPM 27 focuses specifically on diagnostic protocols for regulated pests, setting out methods and procedures to ensure that detection and identification are both reliable and comparable worldwide.</w:t>
      </w:r>
    </w:p>
    <w:p w14:paraId="1A52B5D9" w14:textId="77777777" w:rsidR="00EC1A56" w:rsidRPr="00156DF0" w:rsidRDefault="00EC1A56" w:rsidP="007F72C6">
      <w:pPr>
        <w:pStyle w:val="IPPParagraphnumbering"/>
      </w:pPr>
      <w:r w:rsidRPr="00156DF0">
        <w:t>The challenge is that many developing countries struggle to put these protocols into practice. Gaps in infrastructure, resources, and technical expertise often lead to delays in detecting pests, misdiagnoses, and weak surveillance systems. These shortcomings don’t just cause higher crop losses; they also translate into stricter trade restrictions and lost market opportunities. The problem becomes even more visible with ISPM-regulated diseases, where disagreements or uncertainty in diagnostics can completely block access to international markets or trigger quarantine actions.</w:t>
      </w:r>
    </w:p>
    <w:p w14:paraId="721716AD" w14:textId="77777777" w:rsidR="00EC1A56" w:rsidRPr="00156DF0" w:rsidRDefault="00EC1A56" w:rsidP="00EC1A56">
      <w:pPr>
        <w:pStyle w:val="IPPNormal"/>
      </w:pPr>
      <w:r w:rsidRPr="00156DF0">
        <w:t>This paper looks at where those weaknesses in diagnostic protocols come from, the difficulties countries face when trying to implement them, and what can be done to strengthen plant health diagnostics in resource-constrained settings.</w:t>
      </w:r>
    </w:p>
    <w:p w14:paraId="0574262A" w14:textId="77777777" w:rsidR="00EC1A56" w:rsidRPr="00606122" w:rsidRDefault="00EC1A56" w:rsidP="007F72C6">
      <w:pPr>
        <w:pStyle w:val="IPPHeading1"/>
      </w:pPr>
      <w:r w:rsidRPr="00606122">
        <w:t xml:space="preserve">Diagnostic Protocol Landscape </w:t>
      </w:r>
    </w:p>
    <w:p w14:paraId="53E8D846" w14:textId="77777777" w:rsidR="00EC1A56" w:rsidRDefault="00EC1A56" w:rsidP="007F72C6">
      <w:pPr>
        <w:pStyle w:val="IPPParagraphnumbering"/>
      </w:pPr>
      <w:r>
        <w:t xml:space="preserve">The IPPC has developed a suite of diagnostic protocols (DPs), annexed under ISPM 27 ¨Diagnostic protocols for regulated pests¨, for many regulated pest species or groups. These protocols aim to be harmonized, scientifically sound, and flexible to various laboratory contexts. However, their adoption and use in many countries is uneven. </w:t>
      </w:r>
    </w:p>
    <w:p w14:paraId="26BDC60E" w14:textId="77777777" w:rsidR="00EC1A56" w:rsidRDefault="00EC1A56" w:rsidP="007F72C6">
      <w:pPr>
        <w:pStyle w:val="IPPParagraphnumberingclose"/>
      </w:pPr>
      <w:r>
        <w:t>Key features of a high-quality diagnostic protocol include:</w:t>
      </w:r>
    </w:p>
    <w:p w14:paraId="5963CBA5" w14:textId="77777777" w:rsidR="00EC1A56" w:rsidRDefault="00EC1A56" w:rsidP="007F72C6">
      <w:pPr>
        <w:pStyle w:val="IPPBullet1"/>
      </w:pPr>
      <w:r>
        <w:t>Validated methods (morphological, molecular, serological, culture, etc.), with known sensitivity and specificity under varying conditions</w:t>
      </w:r>
    </w:p>
    <w:p w14:paraId="64885A7F" w14:textId="77777777" w:rsidR="00EC1A56" w:rsidRDefault="00EC1A56" w:rsidP="007F72C6">
      <w:pPr>
        <w:pStyle w:val="IPPBullet1"/>
      </w:pPr>
      <w:r>
        <w:t>Standardized sample collection, preservation, transport procedures</w:t>
      </w:r>
    </w:p>
    <w:p w14:paraId="5E04A702" w14:textId="77777777" w:rsidR="00EC1A56" w:rsidRDefault="00EC1A56" w:rsidP="007F72C6">
      <w:pPr>
        <w:pStyle w:val="IPPBullet1"/>
      </w:pPr>
      <w:r>
        <w:t>Quality control / proficiency testing / inter-laboratory comparison</w:t>
      </w:r>
    </w:p>
    <w:p w14:paraId="7387CEA4" w14:textId="77777777" w:rsidR="00EC1A56" w:rsidRDefault="00EC1A56" w:rsidP="007F72C6">
      <w:pPr>
        <w:pStyle w:val="IPPBullet1"/>
      </w:pPr>
      <w:r>
        <w:t>Reference materials, positive/negative controls, reagent sourcing</w:t>
      </w:r>
    </w:p>
    <w:p w14:paraId="3C0F5E64" w14:textId="77777777" w:rsidR="00EC1A56" w:rsidRDefault="00EC1A56" w:rsidP="007F72C6">
      <w:pPr>
        <w:pStyle w:val="IPPBullet1"/>
      </w:pPr>
      <w:r>
        <w:t>Clear decision rules (when to confirm, thresholds, re-tests)</w:t>
      </w:r>
    </w:p>
    <w:p w14:paraId="34A50310" w14:textId="77777777" w:rsidR="00EC1A56" w:rsidRDefault="00EC1A56" w:rsidP="007F72C6">
      <w:pPr>
        <w:pStyle w:val="IPPBullet1"/>
      </w:pPr>
      <w:r>
        <w:t>Documentation, training, and capacity for adaptation or updates in changing pest scenarios</w:t>
      </w:r>
    </w:p>
    <w:p w14:paraId="15ED5794" w14:textId="39F04D60" w:rsidR="00EC1A56" w:rsidRDefault="00EC1A56" w:rsidP="00637712">
      <w:pPr>
        <w:pStyle w:val="IPPBullet1Last"/>
      </w:pPr>
      <w:r>
        <w:lastRenderedPageBreak/>
        <w:t>Deficiencies often arise when one or more of these components are weak or missing in local contexts.</w:t>
      </w:r>
    </w:p>
    <w:p w14:paraId="4D459318" w14:textId="77777777" w:rsidR="00EC1A56" w:rsidRPr="00435CFB" w:rsidRDefault="00EC1A56" w:rsidP="007F72C6">
      <w:pPr>
        <w:pStyle w:val="IPPHeading1"/>
      </w:pPr>
      <w:r>
        <w:t xml:space="preserve">Common </w:t>
      </w:r>
      <w:r w:rsidRPr="00435CFB">
        <w:t xml:space="preserve">Deficiencies in Developing Country </w:t>
      </w:r>
    </w:p>
    <w:p w14:paraId="0128E0C1" w14:textId="77777777" w:rsidR="00EC1A56" w:rsidRDefault="00EC1A56" w:rsidP="00EC1A56">
      <w:pPr>
        <w:pStyle w:val="IPPNormal"/>
        <w:spacing w:after="0"/>
        <w:ind w:left="720"/>
      </w:pPr>
    </w:p>
    <w:p w14:paraId="5E9EA6A8" w14:textId="14536AF9" w:rsidR="00EC1A56" w:rsidRPr="001D05AA" w:rsidRDefault="00EC1A56" w:rsidP="001D05AA">
      <w:pPr>
        <w:pStyle w:val="IPPNumberedList"/>
        <w:rPr>
          <w:b/>
          <w:bCs/>
        </w:rPr>
      </w:pPr>
      <w:r w:rsidRPr="00637712">
        <w:rPr>
          <w:b/>
          <w:bCs/>
        </w:rPr>
        <w:t>Lack of local validation under field conditions</w:t>
      </w:r>
    </w:p>
    <w:p w14:paraId="076C525D" w14:textId="77777777" w:rsidR="00EC1A56" w:rsidRDefault="00EC1A56" w:rsidP="00637712">
      <w:pPr>
        <w:pStyle w:val="IPPParagraphnumbering"/>
      </w:pPr>
      <w:r>
        <w:t>Many standard protocols are developed in temperate or well-resourced labs; they may not perform well when local pest strains, environmental matrices, or resource constraints differ. Unvalidated reagents or primers may yield false negatives or false positives.</w:t>
      </w:r>
    </w:p>
    <w:p w14:paraId="61A074FA" w14:textId="77777777" w:rsidR="00EC1A56" w:rsidRPr="00E45EF5" w:rsidRDefault="00EC1A56" w:rsidP="00E45EF5">
      <w:pPr>
        <w:pStyle w:val="IPPNumberedList"/>
        <w:rPr>
          <w:b/>
          <w:bCs/>
        </w:rPr>
      </w:pPr>
      <w:r w:rsidRPr="00E45EF5">
        <w:rPr>
          <w:b/>
          <w:bCs/>
        </w:rPr>
        <w:t>Reagent, consumable, and equipment constraints</w:t>
      </w:r>
    </w:p>
    <w:p w14:paraId="63B487B0" w14:textId="77777777" w:rsidR="00EC1A56" w:rsidRDefault="00EC1A56" w:rsidP="00637712">
      <w:pPr>
        <w:pStyle w:val="IPPParagraphnumbering"/>
      </w:pPr>
      <w:r>
        <w:t xml:space="preserve">Some molecular assays require expensive reagents, cold chain, or specialized equipment (e.g. real-time PCR, sequencers). </w:t>
      </w:r>
      <w:proofErr w:type="gramStart"/>
      <w:r>
        <w:t>Developing country</w:t>
      </w:r>
      <w:proofErr w:type="gramEnd"/>
      <w:r>
        <w:t xml:space="preserve"> labs may struggle to procure or maintain those, which forces them to substitute or degrade performance.</w:t>
      </w:r>
    </w:p>
    <w:p w14:paraId="1FC66838" w14:textId="77777777" w:rsidR="00EC1A56" w:rsidRPr="00E45EF5" w:rsidRDefault="00EC1A56" w:rsidP="00E45EF5">
      <w:pPr>
        <w:pStyle w:val="IPPNumberedList"/>
        <w:rPr>
          <w:b/>
          <w:bCs/>
        </w:rPr>
      </w:pPr>
      <w:r w:rsidRPr="00E45EF5">
        <w:rPr>
          <w:b/>
          <w:bCs/>
        </w:rPr>
        <w:t>Inadequate quality assurance (QA) / quality control (QC) systems</w:t>
      </w:r>
    </w:p>
    <w:p w14:paraId="1998FACC" w14:textId="77777777" w:rsidR="00EC1A56" w:rsidRDefault="00EC1A56" w:rsidP="00637712">
      <w:pPr>
        <w:pStyle w:val="IPPParagraphnumbering"/>
      </w:pPr>
      <w:r>
        <w:t>Inter-laboratory comparisons, proficiency testing, blind verification, and accreditation are often lacking. Without QA/QC, confidence in results is reduced, which weakens trade credibility.</w:t>
      </w:r>
    </w:p>
    <w:p w14:paraId="1CDA1E68" w14:textId="77777777" w:rsidR="00EC1A56" w:rsidRPr="00E45EF5" w:rsidRDefault="00EC1A56" w:rsidP="00E45EF5">
      <w:pPr>
        <w:pStyle w:val="IPPNumberedList"/>
        <w:rPr>
          <w:b/>
          <w:bCs/>
        </w:rPr>
      </w:pPr>
      <w:r w:rsidRPr="00E45EF5">
        <w:rPr>
          <w:b/>
          <w:bCs/>
        </w:rPr>
        <w:t>Human resource and training gaps</w:t>
      </w:r>
    </w:p>
    <w:p w14:paraId="76CD3B64" w14:textId="77777777" w:rsidR="00EC1A56" w:rsidRDefault="00EC1A56" w:rsidP="00E45EF5">
      <w:pPr>
        <w:pStyle w:val="IPPParagraphnumbering"/>
      </w:pPr>
      <w:r>
        <w:t>Diagnostic protocols often require technical expertise (taxonomy, molecular biology, data analysis). Many countries have limited numbers of trained personnel, high staff turnover, or insufficient ongoing training.</w:t>
      </w:r>
    </w:p>
    <w:p w14:paraId="3A6C73B3" w14:textId="77777777" w:rsidR="00EC1A56" w:rsidRPr="00E45EF5" w:rsidRDefault="00EC1A56" w:rsidP="00E45EF5">
      <w:pPr>
        <w:pStyle w:val="IPPNumberedList"/>
        <w:rPr>
          <w:b/>
          <w:bCs/>
        </w:rPr>
      </w:pPr>
      <w:r w:rsidRPr="00E45EF5">
        <w:rPr>
          <w:b/>
          <w:bCs/>
        </w:rPr>
        <w:t>Weak sample collection, transport, cold chain, and preservation</w:t>
      </w:r>
    </w:p>
    <w:p w14:paraId="6D9F63FB" w14:textId="77777777" w:rsidR="00EC1A56" w:rsidRDefault="00EC1A56" w:rsidP="00E45EF5">
      <w:pPr>
        <w:pStyle w:val="IPPParagraphnumbering"/>
      </w:pPr>
      <w:r>
        <w:t>Even a perfect protocol fails if samples degrade on the way to the lab. Infrastructural issues such as long distances, poor roads, lack of reliable refrigeration, or delays hamper diagnostic accuracy.</w:t>
      </w:r>
    </w:p>
    <w:p w14:paraId="16CB78BD" w14:textId="77777777" w:rsidR="00EC1A56" w:rsidRPr="00E45EF5" w:rsidRDefault="00EC1A56" w:rsidP="00E45EF5">
      <w:pPr>
        <w:pStyle w:val="IPPNumberedList"/>
        <w:rPr>
          <w:b/>
          <w:bCs/>
        </w:rPr>
      </w:pPr>
      <w:r w:rsidRPr="00E45EF5">
        <w:rPr>
          <w:b/>
          <w:bCs/>
        </w:rPr>
        <w:t>Protocol versioning, adaptation, and updates</w:t>
      </w:r>
    </w:p>
    <w:p w14:paraId="16E3BB83" w14:textId="77777777" w:rsidR="00EC1A56" w:rsidRDefault="00EC1A56" w:rsidP="00E45EF5">
      <w:pPr>
        <w:pStyle w:val="IPPParagraphnumbering"/>
      </w:pPr>
      <w:r>
        <w:t>As new pest strains emerge or technology advances, protocols may need revisions. In some countries, mechanisms to adopt, validate, or update protocols are absent, so labs continue using outdated methods.</w:t>
      </w:r>
    </w:p>
    <w:p w14:paraId="399D43B1" w14:textId="77777777" w:rsidR="00EC1A56" w:rsidRPr="00E45EF5" w:rsidRDefault="00EC1A56" w:rsidP="00E45EF5">
      <w:pPr>
        <w:pStyle w:val="IPPNumberedList"/>
        <w:rPr>
          <w:b/>
          <w:bCs/>
        </w:rPr>
      </w:pPr>
      <w:r w:rsidRPr="00E45EF5">
        <w:rPr>
          <w:b/>
          <w:bCs/>
        </w:rPr>
        <w:t>Limited regional cooperation and sharing of reference material / expertise</w:t>
      </w:r>
    </w:p>
    <w:p w14:paraId="613AB27E" w14:textId="77777777" w:rsidR="00EC1A56" w:rsidRDefault="00EC1A56" w:rsidP="00E45EF5">
      <w:pPr>
        <w:pStyle w:val="IPPParagraphnumbering"/>
      </w:pPr>
      <w:r>
        <w:t>Many countries operate in isolation, lacking access to regional reference labs or shared resources, which limits capacity to confirm diagnoses or cross-check results.</w:t>
      </w:r>
    </w:p>
    <w:p w14:paraId="28F246EC" w14:textId="77777777" w:rsidR="00EC1A56" w:rsidRPr="00A53A60" w:rsidRDefault="00EC1A56" w:rsidP="00E45EF5">
      <w:pPr>
        <w:pStyle w:val="IPPHeading1"/>
      </w:pPr>
      <w:r w:rsidRPr="00A53A60">
        <w:t>Implementation Challenges in Developing Countries</w:t>
      </w:r>
    </w:p>
    <w:p w14:paraId="719782BB" w14:textId="77777777" w:rsidR="00EC1A56" w:rsidRDefault="00EC1A56" w:rsidP="00E45EF5">
      <w:pPr>
        <w:pStyle w:val="IPPParagraphnumbering"/>
      </w:pPr>
      <w:r>
        <w:t>In many developing countries, National Plant Protection Organizations (NPPOs) lack the strong institutional mandate, staffing, and authority needed to function effectively. The absence of clear legal frameworks and liability rules further discourages agencies from acting decisively on diagnostic results</w:t>
      </w:r>
    </w:p>
    <w:p w14:paraId="5C7F2636" w14:textId="77777777" w:rsidR="00EC1A56" w:rsidRDefault="00EC1A56" w:rsidP="00E45EF5">
      <w:pPr>
        <w:pStyle w:val="IPPParagraphnumbering"/>
      </w:pPr>
      <w:r>
        <w:t>Diagnostic laboratories are often housed within universities or agricultural research institutes, where their connection to regulatory enforcement is weak. At the same time, diagnostic systems tend to be underfunded because their long-term benefits—such as prevention and trade facilitation—are less visible and politically attractive than reactive pest control or farm subsidies. These structural weaknesses create space for disputes over diagnostic outcomes, such as false positives or false negatives, which can escalate into quarantine conflicts or trade disruptions. Adding to the challenge, plant health diagnostics frequently cut across multiple sectors—agriculture, forestry, environment, trade, border control, and customs—yet weak interagency coordination often results in duplication of efforts, operational gaps, or costly delays.</w:t>
      </w:r>
    </w:p>
    <w:p w14:paraId="14E9BD36" w14:textId="77777777" w:rsidR="00EC1A56" w:rsidRPr="00CD1834" w:rsidRDefault="00EC1A56" w:rsidP="00E45EF5">
      <w:pPr>
        <w:pStyle w:val="IPPHeading1"/>
      </w:pPr>
      <w:r w:rsidRPr="00CD1834">
        <w:lastRenderedPageBreak/>
        <w:t>Financial &amp; Logistical Barriers</w:t>
      </w:r>
    </w:p>
    <w:p w14:paraId="660C810E" w14:textId="77777777" w:rsidR="00EC1A56" w:rsidRDefault="00EC1A56" w:rsidP="002C7B7C">
      <w:pPr>
        <w:pStyle w:val="IPPParagraphnumbering"/>
      </w:pPr>
      <w:r>
        <w:t xml:space="preserve">Many diagnostic laboratories in developing countries operate under fragile financial conditions, often depending on short-term projects, donor grants, or user fees. Without stable and sustainable budgets, it becomes difficult to retain trained staff, secure essential consumables, or keep equipment functional. The situation is further complicated by the high costs of reagents and materials, which are driven up by import duties, shipping delays, cold chain requirements, and the limited number of </w:t>
      </w:r>
      <w:proofErr w:type="gramStart"/>
      <w:r>
        <w:t>suppliers—</w:t>
      </w:r>
      <w:proofErr w:type="gramEnd"/>
      <w:r>
        <w:t>factors that can also lead to stockouts. On top of this, infrastructure gaps remain a constant challenge: unreliable electricity, outdated facilities, weak internet connectivity, and inadequate refrigeration or controlled environments restrict the scope and quality of diagnostic work. Finally, geography plays a role as well. Remote areas with poor road networks make sample collection and transport difficult, and delays often compromise the integrity of specimens before they even reach the laboratory.</w:t>
      </w:r>
    </w:p>
    <w:p w14:paraId="42CEFACD" w14:textId="77777777" w:rsidR="00EC1A56" w:rsidRPr="00156DF0" w:rsidRDefault="00EC1A56" w:rsidP="002C7B7C">
      <w:pPr>
        <w:pStyle w:val="IPPHeading1"/>
      </w:pPr>
      <w:r w:rsidRPr="00156DF0">
        <w:t>Technical &amp; Capacity Limitations</w:t>
      </w:r>
    </w:p>
    <w:p w14:paraId="3CE64921" w14:textId="7081CB85" w:rsidR="00EC1A56" w:rsidRPr="002C7B7C" w:rsidRDefault="00EC1A56" w:rsidP="00EC1A56">
      <w:pPr>
        <w:pStyle w:val="IPPParagraphnumbering"/>
      </w:pPr>
      <w:r>
        <w:t>A major challenge for diagnostic systems in developing countries is the shortage and loss of skilled personnel. Even when staff are trained, many leave for private or overseas jobs, while retention and mentorship receive little attention. As a result, laboratories often work as generalists with limited specialization, which slows diagnoses and reduces quality. The adoption of new tools such as next-generation sequencing or portable diagnostics is further constrained by the need for capital and expertise, as well as limited capacity for bioinformatics and data interpretation. Finally, without proper field validation, local factors like co-infections, inhibitors, or variant strains frequently compromise test performance, leading to false negatives or uncertain results.</w:t>
      </w:r>
    </w:p>
    <w:p w14:paraId="69904609" w14:textId="7340A60A" w:rsidR="00EC1A56" w:rsidRDefault="00EC1A56" w:rsidP="002C7B7C">
      <w:pPr>
        <w:pStyle w:val="IPPHeading1"/>
      </w:pPr>
      <w:r w:rsidRPr="00156DF0">
        <w:t xml:space="preserve">How </w:t>
      </w:r>
      <w:proofErr w:type="gramStart"/>
      <w:r w:rsidRPr="00156DF0">
        <w:t>IPPC can</w:t>
      </w:r>
      <w:proofErr w:type="gramEnd"/>
      <w:r w:rsidRPr="00156DF0">
        <w:t xml:space="preserve"> help</w:t>
      </w:r>
      <w:r>
        <w:t xml:space="preserve">? </w:t>
      </w:r>
    </w:p>
    <w:p w14:paraId="5EDBB94F" w14:textId="77777777" w:rsidR="00EC1A56" w:rsidRDefault="00EC1A56" w:rsidP="002C7B7C">
      <w:pPr>
        <w:pStyle w:val="IPPParagraphnumberingclose"/>
      </w:pPr>
      <w:r>
        <w:t>As part of its mandate, the IPPC has certain limitations in what it can directly carry out. However, there are several meaningful actions it could take to help developing countries overcome their diagnostic challenges:</w:t>
      </w:r>
    </w:p>
    <w:p w14:paraId="2E60F713" w14:textId="77777777" w:rsidR="00EC1A56" w:rsidRDefault="00EC1A56" w:rsidP="00556EB7">
      <w:pPr>
        <w:pStyle w:val="IPPBullet1"/>
      </w:pPr>
      <w:r>
        <w:t>Promote the development and validation of affordable, portable diagnostic tools. For example, the PlantdX2.0 test is currently being trialed in Kenya and New Zealand for rapid field detection of crop viruses (mpi.govt.nz).</w:t>
      </w:r>
    </w:p>
    <w:p w14:paraId="58F3528B" w14:textId="77777777" w:rsidR="00EC1A56" w:rsidRDefault="00EC1A56" w:rsidP="00556EB7">
      <w:pPr>
        <w:pStyle w:val="IPPBullet1"/>
      </w:pPr>
      <w:r>
        <w:t>Support the use of artificial intelligence (AI) in pest identification, making diagnosis faster, more accurate, and more scalable.</w:t>
      </w:r>
    </w:p>
    <w:p w14:paraId="09B272A5" w14:textId="77777777" w:rsidR="00EC1A56" w:rsidRDefault="00EC1A56" w:rsidP="00556EB7">
      <w:pPr>
        <w:pStyle w:val="IPPBullet1"/>
      </w:pPr>
      <w:r>
        <w:t>Encourage stronger global cooperation through the sharing of methods, pooled reagents, and interconnected laboratory networks.</w:t>
      </w:r>
    </w:p>
    <w:p w14:paraId="1DE4D6BF" w14:textId="77777777" w:rsidR="00EC1A56" w:rsidRDefault="00EC1A56" w:rsidP="00556EB7">
      <w:pPr>
        <w:pStyle w:val="IPPBullet1"/>
      </w:pPr>
      <w:r>
        <w:t>Create a dedicated fund or mechanism for local adaptation and validation of protocols. Regional reference laboratories could provide guidance, while local laboratories carry out field validation, calibrate thresholds, and test for inhibitors or cross-reactions.</w:t>
      </w:r>
    </w:p>
    <w:p w14:paraId="6F0F16B4" w14:textId="77777777" w:rsidR="00EC1A56" w:rsidRDefault="00EC1A56" w:rsidP="00556EB7">
      <w:pPr>
        <w:pStyle w:val="IPPBullet1"/>
      </w:pPr>
      <w:r>
        <w:t>Expand proficiency testing, blind inter-laboratory comparisons, and external quality assessments to build trust and consistency in diagnostic results across countries.</w:t>
      </w:r>
    </w:p>
    <w:p w14:paraId="30E6F5DF" w14:textId="77777777" w:rsidR="00EC1A56" w:rsidRPr="00B01D2D" w:rsidRDefault="00EC1A56" w:rsidP="00556EB7">
      <w:pPr>
        <w:pStyle w:val="IPPBullet1"/>
      </w:pPr>
      <w:r>
        <w:t>Promote an “expert-to-expert” program, inspired by the Dominican Republic, where specialists from developed countries work directly with local teams to transfer skills, implement ISPM 27 annex protocols, and adapt them to local realities.</w:t>
      </w:r>
      <w:r w:rsidRPr="00B01D2D">
        <w:t xml:space="preserve"> </w:t>
      </w:r>
    </w:p>
    <w:p w14:paraId="277336DE" w14:textId="77777777" w:rsidR="00EC1A56" w:rsidRDefault="00EC1A56" w:rsidP="00EC1A56">
      <w:pPr>
        <w:pStyle w:val="IPPNormal"/>
      </w:pPr>
    </w:p>
    <w:p w14:paraId="0A0CA7BC" w14:textId="77777777" w:rsidR="00EC1A56" w:rsidRDefault="00EC1A56" w:rsidP="00EC1A56">
      <w:pPr>
        <w:pStyle w:val="IPPNormal"/>
      </w:pPr>
    </w:p>
    <w:p w14:paraId="228B9CE8" w14:textId="77777777" w:rsidR="00EC1A56" w:rsidRDefault="00EC1A56" w:rsidP="00EC1A56">
      <w:pPr>
        <w:pStyle w:val="IPPNormal"/>
      </w:pPr>
    </w:p>
    <w:p w14:paraId="610F404E" w14:textId="77777777" w:rsidR="00EC1A56" w:rsidRDefault="00EC1A56" w:rsidP="00EC1A56">
      <w:pPr>
        <w:pStyle w:val="IPPNormal"/>
      </w:pPr>
    </w:p>
    <w:p w14:paraId="2122C9E1" w14:textId="77777777" w:rsidR="00EC1A56" w:rsidRDefault="00EC1A56" w:rsidP="00EC1A56">
      <w:pPr>
        <w:pStyle w:val="IPPNormal"/>
      </w:pPr>
    </w:p>
    <w:p w14:paraId="4EA77289" w14:textId="77777777" w:rsidR="00EC1A56" w:rsidRPr="00B01D2D" w:rsidRDefault="00EC1A56" w:rsidP="00EC1A56">
      <w:pPr>
        <w:pStyle w:val="IPPNormal"/>
      </w:pPr>
    </w:p>
    <w:p w14:paraId="08E1DBA6" w14:textId="77777777" w:rsidR="00EC1A56" w:rsidRPr="0015647A" w:rsidRDefault="00EC1A56" w:rsidP="00556EB7">
      <w:pPr>
        <w:pStyle w:val="IPPHeading3"/>
      </w:pPr>
      <w:r>
        <w:rPr>
          <w:lang w:val="en-US"/>
        </w:rPr>
        <w:t xml:space="preserve"> </w:t>
      </w:r>
      <w:r w:rsidRPr="0015647A">
        <w:t>**** Expert-to-Expert Program</w:t>
      </w:r>
    </w:p>
    <w:p w14:paraId="5BB415AB" w14:textId="77777777" w:rsidR="00EC1A56" w:rsidRDefault="00EC1A56" w:rsidP="00556EB7">
      <w:pPr>
        <w:pStyle w:val="IPPParagraphnumbering"/>
      </w:pPr>
      <w:r>
        <w:t xml:space="preserve">An expert-to-expert program could be a particularly effective way for the IPPC to strengthen diagnostic capacity in developing countries. The idea, originally proposed by the Dominican Republic, is to create structured partnerships where experienced specialists from developed countries provide hands-on training and mentorship directly to their counterparts in resource-limited settings. </w:t>
      </w:r>
    </w:p>
    <w:p w14:paraId="26B01AF6" w14:textId="77777777" w:rsidR="00EC1A56" w:rsidRDefault="00EC1A56" w:rsidP="00556EB7">
      <w:pPr>
        <w:pStyle w:val="IPPParagraphnumbering"/>
      </w:pPr>
      <w:r>
        <w:t>Unlike general workshops or online courses, this model emphasizes practical, one-on-one knowledge transfer that is tailored to local realities. Experts would work alongside national laboratory staff to implement ISPM 27 annex protocols, adapt them to local conditions, and troubleshoot real diagnostic challenges. Such collaborations not only accelerate capacity building but also foster long-term professional networks, reduce reliance on external consultants, and build confidence in local diagnostic results—ultimately supporting both national plant health systems and global trade security.</w:t>
      </w:r>
    </w:p>
    <w:p w14:paraId="258B5606" w14:textId="77777777" w:rsidR="00EC1A56" w:rsidRPr="00B47717" w:rsidRDefault="00EC1A56" w:rsidP="00556EB7">
      <w:pPr>
        <w:pStyle w:val="IPPHeading1"/>
      </w:pPr>
      <w:r w:rsidRPr="00B47717">
        <w:t>Conclusion</w:t>
      </w:r>
    </w:p>
    <w:p w14:paraId="6D6FF267" w14:textId="77777777" w:rsidR="00EC1A56" w:rsidRDefault="00EC1A56" w:rsidP="00556EB7">
      <w:pPr>
        <w:pStyle w:val="IPPParagraphnumbering"/>
      </w:pPr>
      <w:r>
        <w:t xml:space="preserve">Strong diagnostic systems are essential for protecting plant health and enabling safe trade. While ISPM 27 provides an important framework, many developing countries face persistent </w:t>
      </w:r>
      <w:proofErr w:type="gramStart"/>
      <w:r>
        <w:t>barriers—</w:t>
      </w:r>
      <w:proofErr w:type="gramEnd"/>
      <w:r>
        <w:t xml:space="preserve">limited resources, infrastructure gaps, and technical capacity—that hinder effective implementation. Addressing these challenges requires targeted support, stronger global cooperation, and innovative approaches such as expert-to-expert exchanges. Maybe the protocols cannot be </w:t>
      </w:r>
      <w:proofErr w:type="gramStart"/>
      <w:r>
        <w:t>easier</w:t>
      </w:r>
      <w:proofErr w:type="gramEnd"/>
      <w:r>
        <w:t xml:space="preserve"> but the implementation barrier can be </w:t>
      </w:r>
      <w:proofErr w:type="gramStart"/>
      <w:r>
        <w:t>reduced</w:t>
      </w:r>
      <w:proofErr w:type="gramEnd"/>
      <w:r>
        <w:t xml:space="preserve"> and agriculture and market access will be maintenance. </w:t>
      </w:r>
    </w:p>
    <w:p w14:paraId="7AB34B88" w14:textId="77777777" w:rsidR="00EC1A56" w:rsidRPr="003165BE" w:rsidRDefault="00EC1A56" w:rsidP="00773A75">
      <w:pPr>
        <w:pStyle w:val="IPPHeading1"/>
      </w:pPr>
      <w:r w:rsidRPr="003165BE">
        <w:t>Recommendations</w:t>
      </w:r>
    </w:p>
    <w:p w14:paraId="4B6592D2" w14:textId="77777777" w:rsidR="00EC1A56" w:rsidRDefault="00EC1A56" w:rsidP="00773A75">
      <w:pPr>
        <w:pStyle w:val="IPPNumberedList"/>
        <w:numPr>
          <w:ilvl w:val="0"/>
          <w:numId w:val="33"/>
        </w:numPr>
      </w:pPr>
      <w:r>
        <w:t xml:space="preserve">Consider the diagnostic challenges faced by developing countries in implementing </w:t>
      </w:r>
      <w:proofErr w:type="gramStart"/>
      <w:r>
        <w:t>ISPM 27</w:t>
      </w:r>
      <w:proofErr w:type="gramEnd"/>
      <w:r>
        <w:t xml:space="preserve"> protocols.</w:t>
      </w:r>
    </w:p>
    <w:p w14:paraId="12BE6A38" w14:textId="77777777" w:rsidR="00EC1A56" w:rsidRPr="003165BE" w:rsidRDefault="00EC1A56" w:rsidP="00773A75">
      <w:pPr>
        <w:pStyle w:val="IPPNumberedList"/>
      </w:pPr>
      <w:r w:rsidRPr="003165BE">
        <w:t>Endorse and pilot an expert-to-expert program, building on the Dominican Republic’s proposal, to strengthen hands-on capacity building and practical implementation of ISPM 27 annex protocols.</w:t>
      </w:r>
    </w:p>
    <w:p w14:paraId="2DFD9759" w14:textId="77777777" w:rsidR="00EC1A56" w:rsidRPr="003165BE" w:rsidRDefault="00EC1A56" w:rsidP="00773A75">
      <w:pPr>
        <w:pStyle w:val="IPPNumberedList"/>
      </w:pPr>
      <w:r w:rsidRPr="003165BE">
        <w:t>Request the Bureau, in collaboration with the Standards Committee, to further analyze diagnostic barriers and propose actionable steps to improve the feasibility and accessibility of ISPM protocols across all regions.</w:t>
      </w:r>
    </w:p>
    <w:p w14:paraId="00B072A6" w14:textId="77777777" w:rsidR="009C106D" w:rsidRDefault="009C106D"/>
    <w:sectPr w:rsidR="009C106D" w:rsidSect="00534C05">
      <w:headerReference w:type="default" r:id="rId10"/>
      <w:footerReference w:type="default" r:id="rId11"/>
      <w:headerReference w:type="first" r:id="rId12"/>
      <w:footerReference w:type="first" r:id="rId13"/>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D2F8F" w14:textId="77777777" w:rsidR="00911F79" w:rsidRDefault="00911F79" w:rsidP="00911F79">
      <w:r>
        <w:separator/>
      </w:r>
    </w:p>
  </w:endnote>
  <w:endnote w:type="continuationSeparator" w:id="0">
    <w:p w14:paraId="6BCC5825" w14:textId="77777777" w:rsidR="00911F79" w:rsidRDefault="00911F79" w:rsidP="0091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90EF" w14:textId="62451D07" w:rsidR="00911F79" w:rsidRDefault="00F31DAB" w:rsidP="00F31DAB">
    <w:pPr>
      <w:pStyle w:val="IPPFooter"/>
      <w:tabs>
        <w:tab w:val="clear" w:pos="9072"/>
        <w:tab w:val="right" w:pos="9360"/>
      </w:tabs>
      <w:jc w:val="left"/>
    </w:pPr>
    <w:r w:rsidRPr="00A62A0E">
      <w:t>International Plant Protection Convention</w:t>
    </w:r>
    <w:r w:rsidRPr="00A62A0E">
      <w:tab/>
    </w:r>
    <w:r w:rsidRPr="00F31DAB">
      <w:rPr>
        <w:rStyle w:val="PageNumber"/>
        <w:b/>
        <w:bCs/>
      </w:rPr>
      <w:t xml:space="preserve">Page </w:t>
    </w:r>
    <w:r w:rsidRPr="00F31DAB">
      <w:rPr>
        <w:rStyle w:val="PageNumber"/>
        <w:b/>
        <w:bCs/>
      </w:rPr>
      <w:fldChar w:fldCharType="begin"/>
    </w:r>
    <w:r w:rsidRPr="00F31DAB">
      <w:rPr>
        <w:rStyle w:val="PageNumber"/>
        <w:b/>
        <w:bCs/>
      </w:rPr>
      <w:instrText xml:space="preserve"> PAGE </w:instrText>
    </w:r>
    <w:r w:rsidRPr="00F31DAB">
      <w:rPr>
        <w:rStyle w:val="PageNumber"/>
        <w:b/>
        <w:bCs/>
      </w:rPr>
      <w:fldChar w:fldCharType="separate"/>
    </w:r>
    <w:r w:rsidRPr="00F31DAB">
      <w:rPr>
        <w:rStyle w:val="PageNumber"/>
        <w:b/>
        <w:bCs/>
      </w:rPr>
      <w:t>1</w:t>
    </w:r>
    <w:r w:rsidRPr="00F31DAB">
      <w:rPr>
        <w:rStyle w:val="PageNumber"/>
        <w:b/>
        <w:bCs/>
      </w:rPr>
      <w:fldChar w:fldCharType="end"/>
    </w:r>
    <w:r w:rsidRPr="00F31DAB">
      <w:rPr>
        <w:rStyle w:val="PageNumber"/>
        <w:b/>
        <w:bCs/>
      </w:rPr>
      <w:t xml:space="preserve"> of </w:t>
    </w:r>
    <w:r w:rsidRPr="00F31DAB">
      <w:rPr>
        <w:rStyle w:val="PageNumber"/>
        <w:b/>
        <w:bCs/>
      </w:rPr>
      <w:fldChar w:fldCharType="begin"/>
    </w:r>
    <w:r w:rsidRPr="00F31DAB">
      <w:rPr>
        <w:rStyle w:val="PageNumber"/>
        <w:b/>
        <w:bCs/>
      </w:rPr>
      <w:instrText xml:space="preserve"> NUMPAGES </w:instrText>
    </w:r>
    <w:r w:rsidRPr="00F31DAB">
      <w:rPr>
        <w:rStyle w:val="PageNumber"/>
        <w:b/>
        <w:bCs/>
      </w:rPr>
      <w:fldChar w:fldCharType="separate"/>
    </w:r>
    <w:r w:rsidRPr="00F31DAB">
      <w:rPr>
        <w:rStyle w:val="PageNumber"/>
        <w:b/>
        <w:bCs/>
      </w:rPr>
      <w:t>4</w:t>
    </w:r>
    <w:r w:rsidRPr="00F31DAB">
      <w:rPr>
        <w:rStyle w:val="PageNumbe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445E" w14:textId="045DDBF4" w:rsidR="00911F79" w:rsidRDefault="00F31DAB" w:rsidP="00F31DAB">
    <w:pPr>
      <w:pStyle w:val="IPPFooter"/>
      <w:tabs>
        <w:tab w:val="clear" w:pos="9072"/>
        <w:tab w:val="right" w:pos="9360"/>
      </w:tabs>
      <w:jc w:val="left"/>
    </w:pPr>
    <w:r w:rsidRPr="00A62A0E">
      <w:t>International Plant Protection Convention</w:t>
    </w:r>
    <w:r w:rsidRPr="00A62A0E">
      <w:tab/>
    </w:r>
    <w:r w:rsidRPr="00F31DAB">
      <w:rPr>
        <w:rStyle w:val="PageNumber"/>
        <w:b/>
        <w:bCs/>
      </w:rPr>
      <w:t xml:space="preserve">Page </w:t>
    </w:r>
    <w:r w:rsidRPr="00F31DAB">
      <w:rPr>
        <w:rStyle w:val="PageNumber"/>
        <w:b/>
        <w:bCs/>
      </w:rPr>
      <w:fldChar w:fldCharType="begin"/>
    </w:r>
    <w:r w:rsidRPr="00F31DAB">
      <w:rPr>
        <w:rStyle w:val="PageNumber"/>
        <w:b/>
        <w:bCs/>
      </w:rPr>
      <w:instrText xml:space="preserve"> PAGE </w:instrText>
    </w:r>
    <w:r w:rsidRPr="00F31DAB">
      <w:rPr>
        <w:rStyle w:val="PageNumber"/>
        <w:b/>
        <w:bCs/>
      </w:rPr>
      <w:fldChar w:fldCharType="separate"/>
    </w:r>
    <w:r w:rsidRPr="00F31DAB">
      <w:rPr>
        <w:rStyle w:val="PageNumber"/>
        <w:b/>
        <w:bCs/>
      </w:rPr>
      <w:t>1</w:t>
    </w:r>
    <w:r w:rsidRPr="00F31DAB">
      <w:rPr>
        <w:rStyle w:val="PageNumber"/>
        <w:b/>
        <w:bCs/>
      </w:rPr>
      <w:fldChar w:fldCharType="end"/>
    </w:r>
    <w:r w:rsidRPr="00F31DAB">
      <w:rPr>
        <w:rStyle w:val="PageNumber"/>
        <w:b/>
        <w:bCs/>
      </w:rPr>
      <w:t xml:space="preserve"> of </w:t>
    </w:r>
    <w:r w:rsidRPr="00F31DAB">
      <w:rPr>
        <w:rStyle w:val="PageNumber"/>
        <w:b/>
        <w:bCs/>
      </w:rPr>
      <w:fldChar w:fldCharType="begin"/>
    </w:r>
    <w:r w:rsidRPr="00F31DAB">
      <w:rPr>
        <w:rStyle w:val="PageNumber"/>
        <w:b/>
        <w:bCs/>
      </w:rPr>
      <w:instrText xml:space="preserve"> NUMPAGES </w:instrText>
    </w:r>
    <w:r w:rsidRPr="00F31DAB">
      <w:rPr>
        <w:rStyle w:val="PageNumber"/>
        <w:b/>
        <w:bCs/>
      </w:rPr>
      <w:fldChar w:fldCharType="separate"/>
    </w:r>
    <w:r w:rsidRPr="00F31DAB">
      <w:rPr>
        <w:rStyle w:val="PageNumber"/>
        <w:b/>
        <w:bCs/>
      </w:rPr>
      <w:t>4</w:t>
    </w:r>
    <w:r w:rsidRPr="00F31DAB">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8FFED" w14:textId="77777777" w:rsidR="00911F79" w:rsidRDefault="00911F79" w:rsidP="00911F79">
      <w:r>
        <w:separator/>
      </w:r>
    </w:p>
  </w:footnote>
  <w:footnote w:type="continuationSeparator" w:id="0">
    <w:p w14:paraId="0D6A9414" w14:textId="77777777" w:rsidR="00911F79" w:rsidRDefault="00911F79" w:rsidP="00911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E94B" w14:textId="00C8F2BF" w:rsidR="00633F19" w:rsidRPr="0076596B" w:rsidRDefault="00633F19" w:rsidP="00633F19">
    <w:pPr>
      <w:pStyle w:val="IPPHeader"/>
      <w:tabs>
        <w:tab w:val="clear" w:pos="1134"/>
      </w:tabs>
      <w:spacing w:after="0"/>
    </w:pPr>
    <w:r>
      <w:t>CRP 01</w:t>
    </w:r>
    <w:r>
      <w:ptab w:relativeTo="margin" w:alignment="right" w:leader="none"/>
    </w:r>
    <w:r>
      <w:t>Deficiencies and challenge in phytosanitary diagnosis in developing countries</w:t>
    </w:r>
  </w:p>
  <w:p w14:paraId="22B9F885" w14:textId="77777777" w:rsidR="00911F79" w:rsidRDefault="00911F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4A9EC" w14:textId="569CC325" w:rsidR="00534C05" w:rsidRDefault="00534C05" w:rsidP="00534C05">
    <w:pPr>
      <w:pStyle w:val="IPPHeader"/>
      <w:tabs>
        <w:tab w:val="clear" w:pos="1134"/>
      </w:tabs>
      <w:spacing w:before="240" w:after="0"/>
    </w:pPr>
    <w:bookmarkStart w:id="0" w:name="_Hlk38796923"/>
    <w:bookmarkStart w:id="1" w:name="_Hlk38796924"/>
    <w:r>
      <w:rPr>
        <w:i/>
        <w:iCs/>
        <w:noProof/>
        <w14:ligatures w14:val="standardContextual"/>
      </w:rPr>
      <w:drawing>
        <wp:anchor distT="0" distB="0" distL="114300" distR="114300" simplePos="0" relativeHeight="251661312" behindDoc="0" locked="0" layoutInCell="1" allowOverlap="1" wp14:anchorId="54AC9CD9" wp14:editId="7D0A1BD4">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07DA7C8B" wp14:editId="63E8A2F5">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DF064ED"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6EC06F43" wp14:editId="67794A82">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332C5018" wp14:editId="46096DA7">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t xml:space="preserve">CRP </w:t>
    </w:r>
    <w:r>
      <w:t>01_SPG_2025</w:t>
    </w:r>
    <w:r w:rsidRPr="00606019">
      <w:t>_</w:t>
    </w:r>
    <w:r>
      <w:t>Oct</w:t>
    </w:r>
  </w:p>
  <w:p w14:paraId="4857AC3C" w14:textId="283E2F12" w:rsidR="00534C05" w:rsidRDefault="00534C05" w:rsidP="00534C05">
    <w:pPr>
      <w:pStyle w:val="IPPHeader"/>
      <w:tabs>
        <w:tab w:val="clear" w:pos="1134"/>
      </w:tabs>
      <w:spacing w:after="0"/>
    </w:pPr>
    <w:r w:rsidRPr="0076596B">
      <w:tab/>
      <w:t xml:space="preserve">Agenda item: </w:t>
    </w:r>
    <w:r>
      <w:t>6.8</w:t>
    </w:r>
  </w:p>
  <w:p w14:paraId="66774A0B" w14:textId="77777777" w:rsidR="00534C05" w:rsidRDefault="00534C05" w:rsidP="00534C05">
    <w:pPr>
      <w:pStyle w:val="IPPHeader"/>
      <w:tabs>
        <w:tab w:val="clear" w:pos="1134"/>
      </w:tabs>
      <w:spacing w:after="260"/>
    </w:pPr>
  </w:p>
  <w:p w14:paraId="09607672" w14:textId="14BC59DE" w:rsidR="00534C05" w:rsidRPr="0076596B" w:rsidRDefault="00633F19" w:rsidP="00534C05">
    <w:pPr>
      <w:pStyle w:val="IPPHeader"/>
      <w:tabs>
        <w:tab w:val="clear" w:pos="1134"/>
      </w:tabs>
      <w:spacing w:after="0"/>
    </w:pPr>
    <w:r>
      <w:t>Deficiencies and challenge in phytosanitary diagnosis in developing countries</w:t>
    </w:r>
  </w:p>
  <w:bookmarkEnd w:id="0"/>
  <w:bookmarkEnd w:id="1"/>
  <w:p w14:paraId="0A63FB3C" w14:textId="77777777" w:rsidR="00911F79" w:rsidRDefault="00911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384683"/>
    <w:multiLevelType w:val="hybridMultilevel"/>
    <w:tmpl w:val="A6CC9330"/>
    <w:lvl w:ilvl="0" w:tplc="A3B62350">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0111A58"/>
    <w:multiLevelType w:val="hybridMultilevel"/>
    <w:tmpl w:val="A87642F0"/>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A3F0768"/>
    <w:multiLevelType w:val="hybridMultilevel"/>
    <w:tmpl w:val="AFA02BE6"/>
    <w:lvl w:ilvl="0" w:tplc="A3B62350">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2A3225"/>
    <w:multiLevelType w:val="hybridMultilevel"/>
    <w:tmpl w:val="C2827FEE"/>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60720465">
    <w:abstractNumId w:val="22"/>
  </w:num>
  <w:num w:numId="2" w16cid:durableId="1447381719">
    <w:abstractNumId w:val="14"/>
  </w:num>
  <w:num w:numId="3" w16cid:durableId="765659860">
    <w:abstractNumId w:val="11"/>
  </w:num>
  <w:num w:numId="4" w16cid:durableId="535120531">
    <w:abstractNumId w:val="19"/>
  </w:num>
  <w:num w:numId="5" w16cid:durableId="1226531976">
    <w:abstractNumId w:val="21"/>
  </w:num>
  <w:num w:numId="6" w16cid:durableId="1749381087">
    <w:abstractNumId w:val="13"/>
  </w:num>
  <w:num w:numId="7" w16cid:durableId="1634940127">
    <w:abstractNumId w:val="12"/>
  </w:num>
  <w:num w:numId="8" w16cid:durableId="1189366223">
    <w:abstractNumId w:val="16"/>
  </w:num>
  <w:num w:numId="9" w16cid:durableId="1358458346">
    <w:abstractNumId w:val="24"/>
  </w:num>
  <w:num w:numId="10" w16cid:durableId="636107580">
    <w:abstractNumId w:val="20"/>
  </w:num>
  <w:num w:numId="11" w16cid:durableId="735201531">
    <w:abstractNumId w:val="17"/>
  </w:num>
  <w:num w:numId="12" w16cid:durableId="625426921">
    <w:abstractNumId w:val="25"/>
  </w:num>
  <w:num w:numId="13" w16cid:durableId="751855798">
    <w:abstractNumId w:val="15"/>
  </w:num>
  <w:num w:numId="14" w16cid:durableId="678849787">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875580671">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866791825">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976033951">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1230070415">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1977955482">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1752699161">
    <w:abstractNumId w:val="10"/>
  </w:num>
  <w:num w:numId="21" w16cid:durableId="1096559190">
    <w:abstractNumId w:val="18"/>
  </w:num>
  <w:num w:numId="22" w16cid:durableId="259989354">
    <w:abstractNumId w:val="23"/>
  </w:num>
  <w:num w:numId="23" w16cid:durableId="1712146357">
    <w:abstractNumId w:val="9"/>
  </w:num>
  <w:num w:numId="24" w16cid:durableId="1722557205">
    <w:abstractNumId w:val="7"/>
  </w:num>
  <w:num w:numId="25" w16cid:durableId="1201271">
    <w:abstractNumId w:val="6"/>
  </w:num>
  <w:num w:numId="26" w16cid:durableId="185826108">
    <w:abstractNumId w:val="5"/>
  </w:num>
  <w:num w:numId="27" w16cid:durableId="257298398">
    <w:abstractNumId w:val="4"/>
  </w:num>
  <w:num w:numId="28" w16cid:durableId="1676423577">
    <w:abstractNumId w:val="8"/>
  </w:num>
  <w:num w:numId="29" w16cid:durableId="125778737">
    <w:abstractNumId w:val="3"/>
  </w:num>
  <w:num w:numId="30" w16cid:durableId="776291828">
    <w:abstractNumId w:val="2"/>
  </w:num>
  <w:num w:numId="31" w16cid:durableId="410125225">
    <w:abstractNumId w:val="1"/>
  </w:num>
  <w:num w:numId="32" w16cid:durableId="128011168">
    <w:abstractNumId w:val="0"/>
  </w:num>
  <w:num w:numId="33" w16cid:durableId="1333533848">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56"/>
    <w:rsid w:val="00021AC5"/>
    <w:rsid w:val="001D05AA"/>
    <w:rsid w:val="002410E5"/>
    <w:rsid w:val="002C7B7C"/>
    <w:rsid w:val="00534C05"/>
    <w:rsid w:val="00556EB7"/>
    <w:rsid w:val="00633F19"/>
    <w:rsid w:val="00637712"/>
    <w:rsid w:val="00773A75"/>
    <w:rsid w:val="007F72C6"/>
    <w:rsid w:val="00911F79"/>
    <w:rsid w:val="009C106D"/>
    <w:rsid w:val="00C06057"/>
    <w:rsid w:val="00E45EF5"/>
    <w:rsid w:val="00EC1A56"/>
    <w:rsid w:val="00F31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2F8D2"/>
  <w15:chartTrackingRefBased/>
  <w15:docId w15:val="{4CD29413-DAE5-4F4F-A7D0-2E786DFE6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F79"/>
    <w:pPr>
      <w:spacing w:after="0" w:line="240" w:lineRule="auto"/>
      <w:jc w:val="both"/>
    </w:pPr>
    <w:rPr>
      <w:rFonts w:ascii="Times New Roman" w:eastAsia="MS Mincho" w:hAnsi="Times New Roman" w:cs="Times New Roman"/>
      <w:kern w:val="0"/>
      <w:sz w:val="22"/>
      <w:lang w:val="en-GB"/>
      <w14:ligatures w14:val="none"/>
    </w:rPr>
  </w:style>
  <w:style w:type="paragraph" w:styleId="Heading1">
    <w:name w:val="heading 1"/>
    <w:basedOn w:val="Normal"/>
    <w:next w:val="Normal"/>
    <w:link w:val="Heading1Char"/>
    <w:qFormat/>
    <w:rsid w:val="00911F7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11F7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11F79"/>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EC1A5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1A5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1A5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1A5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1A5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1A5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rsid w:val="00911F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1F79"/>
  </w:style>
  <w:style w:type="character" w:customStyle="1" w:styleId="Heading1Char">
    <w:name w:val="Heading 1 Char"/>
    <w:basedOn w:val="DefaultParagraphFont"/>
    <w:link w:val="Heading1"/>
    <w:rsid w:val="00911F79"/>
    <w:rPr>
      <w:rFonts w:ascii="Times New Roman" w:eastAsia="MS Mincho" w:hAnsi="Times New Roman" w:cs="Times New Roman"/>
      <w:b/>
      <w:bCs/>
      <w:kern w:val="0"/>
      <w:sz w:val="22"/>
      <w:lang w:val="en-GB"/>
      <w14:ligatures w14:val="none"/>
    </w:rPr>
  </w:style>
  <w:style w:type="character" w:customStyle="1" w:styleId="Heading2Char">
    <w:name w:val="Heading 2 Char"/>
    <w:basedOn w:val="DefaultParagraphFont"/>
    <w:link w:val="Heading2"/>
    <w:rsid w:val="00911F79"/>
    <w:rPr>
      <w:rFonts w:ascii="Calibri" w:eastAsia="MS Mincho" w:hAnsi="Calibri" w:cs="Times New Roman"/>
      <w:b/>
      <w:bCs/>
      <w:i/>
      <w:iCs/>
      <w:kern w:val="0"/>
      <w:sz w:val="28"/>
      <w:szCs w:val="28"/>
      <w:lang w:val="en-GB"/>
      <w14:ligatures w14:val="none"/>
    </w:rPr>
  </w:style>
  <w:style w:type="character" w:customStyle="1" w:styleId="Heading3Char">
    <w:name w:val="Heading 3 Char"/>
    <w:basedOn w:val="DefaultParagraphFont"/>
    <w:link w:val="Heading3"/>
    <w:rsid w:val="00911F79"/>
    <w:rPr>
      <w:rFonts w:ascii="Calibri" w:eastAsia="MS Mincho" w:hAnsi="Calibri" w:cs="Times New Roman"/>
      <w:b/>
      <w:bCs/>
      <w:kern w:val="0"/>
      <w:sz w:val="26"/>
      <w:szCs w:val="26"/>
      <w:lang w:val="en-GB"/>
      <w14:ligatures w14:val="none"/>
    </w:rPr>
  </w:style>
  <w:style w:type="character" w:customStyle="1" w:styleId="Heading4Char">
    <w:name w:val="Heading 4 Char"/>
    <w:basedOn w:val="DefaultParagraphFont"/>
    <w:link w:val="Heading4"/>
    <w:uiPriority w:val="9"/>
    <w:semiHidden/>
    <w:rsid w:val="00EC1A5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1A5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1A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1A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1A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1A56"/>
    <w:rPr>
      <w:rFonts w:eastAsiaTheme="majorEastAsia" w:cstheme="majorBidi"/>
      <w:color w:val="272727" w:themeColor="text1" w:themeTint="D8"/>
    </w:rPr>
  </w:style>
  <w:style w:type="paragraph" w:styleId="Title">
    <w:name w:val="Title"/>
    <w:basedOn w:val="Normal"/>
    <w:next w:val="Normal"/>
    <w:link w:val="TitleChar"/>
    <w:uiPriority w:val="10"/>
    <w:qFormat/>
    <w:rsid w:val="00EC1A5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1A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1A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1A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1A56"/>
    <w:pPr>
      <w:spacing w:before="160"/>
      <w:jc w:val="center"/>
    </w:pPr>
    <w:rPr>
      <w:i/>
      <w:iCs/>
      <w:color w:val="404040" w:themeColor="text1" w:themeTint="BF"/>
    </w:rPr>
  </w:style>
  <w:style w:type="character" w:customStyle="1" w:styleId="QuoteChar">
    <w:name w:val="Quote Char"/>
    <w:basedOn w:val="DefaultParagraphFont"/>
    <w:link w:val="Quote"/>
    <w:uiPriority w:val="29"/>
    <w:rsid w:val="00EC1A56"/>
    <w:rPr>
      <w:i/>
      <w:iCs/>
      <w:color w:val="404040" w:themeColor="text1" w:themeTint="BF"/>
    </w:rPr>
  </w:style>
  <w:style w:type="paragraph" w:styleId="ListParagraph">
    <w:name w:val="List Paragraph"/>
    <w:basedOn w:val="Normal"/>
    <w:uiPriority w:val="34"/>
    <w:qFormat/>
    <w:rsid w:val="00911F79"/>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EC1A56"/>
    <w:rPr>
      <w:i/>
      <w:iCs/>
      <w:color w:val="0F4761" w:themeColor="accent1" w:themeShade="BF"/>
    </w:rPr>
  </w:style>
  <w:style w:type="paragraph" w:styleId="IntenseQuote">
    <w:name w:val="Intense Quote"/>
    <w:basedOn w:val="Normal"/>
    <w:next w:val="Normal"/>
    <w:link w:val="IntenseQuoteChar"/>
    <w:uiPriority w:val="30"/>
    <w:qFormat/>
    <w:rsid w:val="00EC1A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1A56"/>
    <w:rPr>
      <w:i/>
      <w:iCs/>
      <w:color w:val="0F4761" w:themeColor="accent1" w:themeShade="BF"/>
    </w:rPr>
  </w:style>
  <w:style w:type="character" w:styleId="IntenseReference">
    <w:name w:val="Intense Reference"/>
    <w:basedOn w:val="DefaultParagraphFont"/>
    <w:uiPriority w:val="32"/>
    <w:qFormat/>
    <w:rsid w:val="00EC1A56"/>
    <w:rPr>
      <w:b/>
      <w:bCs/>
      <w:smallCaps/>
      <w:color w:val="0F4761" w:themeColor="accent1" w:themeShade="BF"/>
      <w:spacing w:val="5"/>
    </w:rPr>
  </w:style>
  <w:style w:type="paragraph" w:customStyle="1" w:styleId="IPPHeadSection">
    <w:name w:val="IPP HeadSection"/>
    <w:basedOn w:val="Normal"/>
    <w:next w:val="Normal"/>
    <w:qFormat/>
    <w:rsid w:val="00911F7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11F79"/>
    <w:pPr>
      <w:keepNext/>
      <w:tabs>
        <w:tab w:val="left" w:pos="567"/>
      </w:tabs>
      <w:spacing w:before="240" w:after="120"/>
      <w:ind w:left="567" w:hanging="567"/>
      <w:jc w:val="left"/>
      <w:outlineLvl w:val="1"/>
    </w:pPr>
    <w:rPr>
      <w:b/>
      <w:sz w:val="24"/>
      <w:szCs w:val="22"/>
    </w:rPr>
  </w:style>
  <w:style w:type="paragraph" w:customStyle="1" w:styleId="IPPNormal">
    <w:name w:val="IPP Normal"/>
    <w:basedOn w:val="Normal"/>
    <w:qFormat/>
    <w:rsid w:val="00911F79"/>
    <w:pPr>
      <w:spacing w:after="180"/>
    </w:pPr>
    <w:rPr>
      <w:rFonts w:eastAsia="Times"/>
    </w:rPr>
  </w:style>
  <w:style w:type="paragraph" w:styleId="FootnoteText">
    <w:name w:val="footnote text"/>
    <w:basedOn w:val="Normal"/>
    <w:link w:val="FootnoteTextChar"/>
    <w:semiHidden/>
    <w:rsid w:val="00911F79"/>
    <w:pPr>
      <w:spacing w:before="60"/>
    </w:pPr>
    <w:rPr>
      <w:sz w:val="20"/>
    </w:rPr>
  </w:style>
  <w:style w:type="character" w:customStyle="1" w:styleId="FootnoteTextChar">
    <w:name w:val="Footnote Text Char"/>
    <w:basedOn w:val="DefaultParagraphFont"/>
    <w:link w:val="FootnoteText"/>
    <w:semiHidden/>
    <w:rsid w:val="00911F79"/>
    <w:rPr>
      <w:rFonts w:ascii="Times New Roman" w:eastAsia="MS Mincho" w:hAnsi="Times New Roman" w:cs="Times New Roman"/>
      <w:kern w:val="0"/>
      <w:sz w:val="20"/>
      <w:lang w:val="en-GB"/>
      <w14:ligatures w14:val="none"/>
    </w:rPr>
  </w:style>
  <w:style w:type="character" w:styleId="FootnoteReference">
    <w:name w:val="footnote reference"/>
    <w:basedOn w:val="DefaultParagraphFont"/>
    <w:semiHidden/>
    <w:rsid w:val="00911F79"/>
    <w:rPr>
      <w:vertAlign w:val="superscript"/>
    </w:rPr>
  </w:style>
  <w:style w:type="paragraph" w:customStyle="1" w:styleId="Style">
    <w:name w:val="Style"/>
    <w:basedOn w:val="Footer"/>
    <w:autoRedefine/>
    <w:qFormat/>
    <w:rsid w:val="00911F7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911F79"/>
    <w:pPr>
      <w:tabs>
        <w:tab w:val="center" w:pos="4680"/>
        <w:tab w:val="right" w:pos="9360"/>
      </w:tabs>
    </w:pPr>
  </w:style>
  <w:style w:type="character" w:customStyle="1" w:styleId="FooterChar">
    <w:name w:val="Footer Char"/>
    <w:basedOn w:val="DefaultParagraphFont"/>
    <w:link w:val="Footer"/>
    <w:rsid w:val="00911F79"/>
    <w:rPr>
      <w:rFonts w:ascii="Times New Roman" w:eastAsia="MS Mincho" w:hAnsi="Times New Roman" w:cs="Times New Roman"/>
      <w:kern w:val="0"/>
      <w:sz w:val="22"/>
      <w:lang w:val="en-GB"/>
      <w14:ligatures w14:val="none"/>
    </w:rPr>
  </w:style>
  <w:style w:type="character" w:styleId="PageNumber">
    <w:name w:val="page number"/>
    <w:rsid w:val="00911F79"/>
    <w:rPr>
      <w:rFonts w:ascii="Arial" w:hAnsi="Arial"/>
      <w:b/>
      <w:sz w:val="18"/>
    </w:rPr>
  </w:style>
  <w:style w:type="paragraph" w:customStyle="1" w:styleId="IPPArialFootnote">
    <w:name w:val="IPP Arial Footnote"/>
    <w:basedOn w:val="IPPArialTable"/>
    <w:qFormat/>
    <w:rsid w:val="00911F79"/>
    <w:pPr>
      <w:tabs>
        <w:tab w:val="left" w:pos="28"/>
      </w:tabs>
      <w:ind w:left="284" w:hanging="284"/>
    </w:pPr>
    <w:rPr>
      <w:sz w:val="16"/>
    </w:rPr>
  </w:style>
  <w:style w:type="paragraph" w:customStyle="1" w:styleId="IPPContentsHead">
    <w:name w:val="IPP ContentsHead"/>
    <w:basedOn w:val="IPPSubhead"/>
    <w:next w:val="IPPNormal"/>
    <w:qFormat/>
    <w:rsid w:val="00911F79"/>
    <w:pPr>
      <w:spacing w:after="240"/>
    </w:pPr>
    <w:rPr>
      <w:sz w:val="24"/>
    </w:rPr>
  </w:style>
  <w:style w:type="table" w:styleId="TableGrid">
    <w:name w:val="Table Grid"/>
    <w:basedOn w:val="TableNormal"/>
    <w:rsid w:val="00911F79"/>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11F79"/>
    <w:rPr>
      <w:rFonts w:ascii="Tahoma" w:hAnsi="Tahoma" w:cs="Tahoma"/>
      <w:sz w:val="16"/>
      <w:szCs w:val="16"/>
    </w:rPr>
  </w:style>
  <w:style w:type="character" w:customStyle="1" w:styleId="BalloonTextChar">
    <w:name w:val="Balloon Text Char"/>
    <w:basedOn w:val="DefaultParagraphFont"/>
    <w:link w:val="BalloonText"/>
    <w:rsid w:val="00911F79"/>
    <w:rPr>
      <w:rFonts w:ascii="Tahoma" w:eastAsia="MS Mincho" w:hAnsi="Tahoma" w:cs="Tahoma"/>
      <w:kern w:val="0"/>
      <w:sz w:val="16"/>
      <w:szCs w:val="16"/>
      <w:lang w:val="en-GB"/>
      <w14:ligatures w14:val="none"/>
    </w:rPr>
  </w:style>
  <w:style w:type="paragraph" w:customStyle="1" w:styleId="IPPBullet2">
    <w:name w:val="IPP Bullet2"/>
    <w:basedOn w:val="IPPNormal"/>
    <w:next w:val="IPPBullet1"/>
    <w:qFormat/>
    <w:rsid w:val="00911F79"/>
    <w:pPr>
      <w:numPr>
        <w:numId w:val="9"/>
      </w:numPr>
      <w:tabs>
        <w:tab w:val="left" w:pos="1134"/>
      </w:tabs>
      <w:spacing w:after="60"/>
      <w:ind w:left="1134" w:hanging="567"/>
    </w:pPr>
  </w:style>
  <w:style w:type="paragraph" w:customStyle="1" w:styleId="IPPQuote">
    <w:name w:val="IPP Quote"/>
    <w:basedOn w:val="IPPNormal"/>
    <w:qFormat/>
    <w:rsid w:val="00911F79"/>
    <w:pPr>
      <w:ind w:left="851" w:right="851"/>
    </w:pPr>
    <w:rPr>
      <w:sz w:val="18"/>
    </w:rPr>
  </w:style>
  <w:style w:type="paragraph" w:customStyle="1" w:styleId="IPPIndentClose">
    <w:name w:val="IPP Indent Close"/>
    <w:basedOn w:val="IPPNormal"/>
    <w:qFormat/>
    <w:rsid w:val="00911F79"/>
    <w:pPr>
      <w:tabs>
        <w:tab w:val="left" w:pos="2835"/>
      </w:tabs>
      <w:spacing w:after="60"/>
      <w:ind w:left="567"/>
    </w:pPr>
  </w:style>
  <w:style w:type="paragraph" w:customStyle="1" w:styleId="IPPIndent">
    <w:name w:val="IPP Indent"/>
    <w:basedOn w:val="IPPIndentClose"/>
    <w:qFormat/>
    <w:rsid w:val="00911F79"/>
    <w:pPr>
      <w:spacing w:after="180"/>
    </w:pPr>
  </w:style>
  <w:style w:type="paragraph" w:customStyle="1" w:styleId="IPPFootnote">
    <w:name w:val="IPP Footnote"/>
    <w:basedOn w:val="IPPArialFootnote"/>
    <w:qFormat/>
    <w:rsid w:val="00911F7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11F79"/>
    <w:pPr>
      <w:keepNext/>
      <w:tabs>
        <w:tab w:val="left" w:pos="567"/>
      </w:tabs>
      <w:spacing w:before="120" w:after="120"/>
      <w:ind w:left="567" w:hanging="567"/>
    </w:pPr>
    <w:rPr>
      <w:b/>
      <w:i/>
    </w:rPr>
  </w:style>
  <w:style w:type="character" w:customStyle="1" w:styleId="IPPnormalitalics">
    <w:name w:val="IPP normal italics"/>
    <w:basedOn w:val="DefaultParagraphFont"/>
    <w:rsid w:val="00911F79"/>
    <w:rPr>
      <w:rFonts w:ascii="Times New Roman" w:hAnsi="Times New Roman"/>
      <w:i/>
      <w:sz w:val="22"/>
      <w:lang w:val="en-US"/>
    </w:rPr>
  </w:style>
  <w:style w:type="character" w:customStyle="1" w:styleId="IPPNormalbold">
    <w:name w:val="IPP Normal bold"/>
    <w:basedOn w:val="PlainTextChar"/>
    <w:rsid w:val="00911F79"/>
    <w:rPr>
      <w:rFonts w:ascii="Times New Roman" w:eastAsia="Times" w:hAnsi="Times New Roman" w:cs="Times New Roman"/>
      <w:b/>
      <w:kern w:val="0"/>
      <w:sz w:val="22"/>
      <w:szCs w:val="21"/>
      <w:lang w:val="en-AU"/>
      <w14:ligatures w14:val="none"/>
    </w:rPr>
  </w:style>
  <w:style w:type="paragraph" w:customStyle="1" w:styleId="IPPSubhead">
    <w:name w:val="IPP Subhead"/>
    <w:basedOn w:val="Normal"/>
    <w:qFormat/>
    <w:rsid w:val="00911F79"/>
    <w:pPr>
      <w:keepNext/>
      <w:ind w:left="567" w:hanging="567"/>
      <w:jc w:val="left"/>
    </w:pPr>
    <w:rPr>
      <w:b/>
      <w:bCs/>
      <w:iCs/>
      <w:szCs w:val="22"/>
    </w:rPr>
  </w:style>
  <w:style w:type="character" w:customStyle="1" w:styleId="IPPNormalunderlined">
    <w:name w:val="IPP Normal underlined"/>
    <w:basedOn w:val="DefaultParagraphFont"/>
    <w:rsid w:val="00911F79"/>
    <w:rPr>
      <w:rFonts w:ascii="Times New Roman" w:hAnsi="Times New Roman"/>
      <w:sz w:val="22"/>
      <w:u w:val="single"/>
      <w:lang w:val="en-US"/>
    </w:rPr>
  </w:style>
  <w:style w:type="paragraph" w:customStyle="1" w:styleId="IPPBullet1">
    <w:name w:val="IPP Bullet1"/>
    <w:basedOn w:val="IPPBullet1Last"/>
    <w:qFormat/>
    <w:rsid w:val="00911F79"/>
    <w:pPr>
      <w:numPr>
        <w:numId w:val="22"/>
      </w:numPr>
      <w:spacing w:after="60"/>
      <w:ind w:left="567" w:hanging="567"/>
    </w:pPr>
    <w:rPr>
      <w:lang w:val="en-US"/>
    </w:rPr>
  </w:style>
  <w:style w:type="paragraph" w:customStyle="1" w:styleId="IPPBullet1Last">
    <w:name w:val="IPP Bullet1Last"/>
    <w:basedOn w:val="IPPNormal"/>
    <w:next w:val="IPPNormal"/>
    <w:qFormat/>
    <w:rsid w:val="00911F79"/>
    <w:pPr>
      <w:numPr>
        <w:numId w:val="10"/>
      </w:numPr>
    </w:pPr>
  </w:style>
  <w:style w:type="character" w:customStyle="1" w:styleId="IPPNormalstrikethrough">
    <w:name w:val="IPP Normal strikethrough"/>
    <w:rsid w:val="00911F79"/>
    <w:rPr>
      <w:rFonts w:ascii="Times New Roman" w:hAnsi="Times New Roman"/>
      <w:strike/>
      <w:dstrike w:val="0"/>
      <w:sz w:val="22"/>
    </w:rPr>
  </w:style>
  <w:style w:type="paragraph" w:customStyle="1" w:styleId="IPPTitle16pt">
    <w:name w:val="IPP Title16pt"/>
    <w:basedOn w:val="Normal"/>
    <w:qFormat/>
    <w:rsid w:val="00911F7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11F79"/>
    <w:pPr>
      <w:spacing w:after="360"/>
      <w:jc w:val="center"/>
    </w:pPr>
    <w:rPr>
      <w:rFonts w:ascii="Arial" w:hAnsi="Arial" w:cs="Arial"/>
      <w:b/>
      <w:bCs/>
      <w:sz w:val="36"/>
      <w:szCs w:val="36"/>
    </w:rPr>
  </w:style>
  <w:style w:type="paragraph" w:customStyle="1" w:styleId="IPPHeader">
    <w:name w:val="IPP Header"/>
    <w:basedOn w:val="Normal"/>
    <w:qFormat/>
    <w:rsid w:val="00911F7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911F79"/>
    <w:pPr>
      <w:keepNext/>
      <w:tabs>
        <w:tab w:val="left" w:pos="567"/>
      </w:tabs>
      <w:spacing w:before="120"/>
      <w:jc w:val="left"/>
      <w:outlineLvl w:val="1"/>
    </w:pPr>
    <w:rPr>
      <w:b/>
      <w:sz w:val="24"/>
    </w:rPr>
  </w:style>
  <w:style w:type="numbering" w:customStyle="1" w:styleId="IPPParagraphnumberedlist">
    <w:name w:val="IPP Paragraph numbered list"/>
    <w:rsid w:val="00911F79"/>
    <w:pPr>
      <w:numPr>
        <w:numId w:val="8"/>
      </w:numPr>
    </w:pPr>
  </w:style>
  <w:style w:type="paragraph" w:customStyle="1" w:styleId="IPPNormalCloseSpace">
    <w:name w:val="IPP NormalCloseSpace"/>
    <w:basedOn w:val="Normal"/>
    <w:qFormat/>
    <w:rsid w:val="00911F79"/>
    <w:pPr>
      <w:keepNext/>
      <w:spacing w:after="60"/>
    </w:pPr>
  </w:style>
  <w:style w:type="paragraph" w:customStyle="1" w:styleId="IPPHeading2">
    <w:name w:val="IPP Heading2"/>
    <w:basedOn w:val="IPPNormal"/>
    <w:next w:val="IPPNormal"/>
    <w:qFormat/>
    <w:rsid w:val="00911F7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11F7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11F79"/>
    <w:pPr>
      <w:tabs>
        <w:tab w:val="right" w:leader="dot" w:pos="9072"/>
      </w:tabs>
      <w:spacing w:before="240"/>
      <w:ind w:left="567" w:hanging="567"/>
    </w:pPr>
  </w:style>
  <w:style w:type="paragraph" w:styleId="TOC2">
    <w:name w:val="toc 2"/>
    <w:basedOn w:val="TOC1"/>
    <w:next w:val="Normal"/>
    <w:autoRedefine/>
    <w:uiPriority w:val="39"/>
    <w:rsid w:val="00911F79"/>
    <w:pPr>
      <w:keepNext w:val="0"/>
      <w:tabs>
        <w:tab w:val="left" w:pos="425"/>
      </w:tabs>
      <w:spacing w:before="120" w:after="0"/>
      <w:ind w:left="425" w:right="284" w:hanging="425"/>
    </w:pPr>
  </w:style>
  <w:style w:type="paragraph" w:styleId="TOC3">
    <w:name w:val="toc 3"/>
    <w:basedOn w:val="TOC2"/>
    <w:next w:val="Normal"/>
    <w:autoRedefine/>
    <w:uiPriority w:val="39"/>
    <w:rsid w:val="00911F79"/>
    <w:pPr>
      <w:tabs>
        <w:tab w:val="left" w:pos="1276"/>
      </w:tabs>
      <w:spacing w:before="60"/>
      <w:ind w:left="1276" w:hanging="851"/>
    </w:pPr>
    <w:rPr>
      <w:rFonts w:eastAsia="Times"/>
    </w:rPr>
  </w:style>
  <w:style w:type="paragraph" w:styleId="TOC4">
    <w:name w:val="toc 4"/>
    <w:basedOn w:val="Normal"/>
    <w:next w:val="Normal"/>
    <w:autoRedefine/>
    <w:uiPriority w:val="39"/>
    <w:rsid w:val="00911F79"/>
    <w:pPr>
      <w:spacing w:after="120"/>
      <w:ind w:left="660"/>
    </w:pPr>
    <w:rPr>
      <w:rFonts w:eastAsia="Times"/>
      <w:lang w:val="en-AU"/>
    </w:rPr>
  </w:style>
  <w:style w:type="paragraph" w:styleId="TOC5">
    <w:name w:val="toc 5"/>
    <w:basedOn w:val="Normal"/>
    <w:next w:val="Normal"/>
    <w:autoRedefine/>
    <w:uiPriority w:val="39"/>
    <w:rsid w:val="00911F79"/>
    <w:pPr>
      <w:spacing w:after="120"/>
      <w:ind w:left="880"/>
    </w:pPr>
    <w:rPr>
      <w:rFonts w:eastAsia="Times"/>
      <w:lang w:val="en-AU"/>
    </w:rPr>
  </w:style>
  <w:style w:type="paragraph" w:styleId="TOC6">
    <w:name w:val="toc 6"/>
    <w:basedOn w:val="Normal"/>
    <w:next w:val="Normal"/>
    <w:autoRedefine/>
    <w:uiPriority w:val="39"/>
    <w:rsid w:val="00911F79"/>
    <w:pPr>
      <w:spacing w:after="120"/>
      <w:ind w:left="1100"/>
    </w:pPr>
    <w:rPr>
      <w:rFonts w:eastAsia="Times"/>
      <w:lang w:val="en-AU"/>
    </w:rPr>
  </w:style>
  <w:style w:type="paragraph" w:styleId="TOC7">
    <w:name w:val="toc 7"/>
    <w:basedOn w:val="Normal"/>
    <w:next w:val="Normal"/>
    <w:autoRedefine/>
    <w:uiPriority w:val="39"/>
    <w:rsid w:val="00911F79"/>
    <w:pPr>
      <w:spacing w:after="120"/>
      <w:ind w:left="1320"/>
    </w:pPr>
    <w:rPr>
      <w:rFonts w:eastAsia="Times"/>
      <w:lang w:val="en-AU"/>
    </w:rPr>
  </w:style>
  <w:style w:type="paragraph" w:styleId="TOC8">
    <w:name w:val="toc 8"/>
    <w:basedOn w:val="Normal"/>
    <w:next w:val="Normal"/>
    <w:autoRedefine/>
    <w:uiPriority w:val="39"/>
    <w:rsid w:val="00911F79"/>
    <w:pPr>
      <w:spacing w:after="120"/>
      <w:ind w:left="1540"/>
    </w:pPr>
    <w:rPr>
      <w:rFonts w:eastAsia="Times"/>
      <w:lang w:val="en-AU"/>
    </w:rPr>
  </w:style>
  <w:style w:type="paragraph" w:styleId="TOC9">
    <w:name w:val="toc 9"/>
    <w:basedOn w:val="Normal"/>
    <w:next w:val="Normal"/>
    <w:autoRedefine/>
    <w:uiPriority w:val="39"/>
    <w:rsid w:val="00911F79"/>
    <w:pPr>
      <w:spacing w:after="120"/>
      <w:ind w:left="1760"/>
    </w:pPr>
    <w:rPr>
      <w:rFonts w:eastAsia="Times"/>
      <w:lang w:val="en-AU"/>
    </w:rPr>
  </w:style>
  <w:style w:type="paragraph" w:customStyle="1" w:styleId="IPPReferences">
    <w:name w:val="IPP References"/>
    <w:basedOn w:val="IPPNormal"/>
    <w:qFormat/>
    <w:rsid w:val="00911F79"/>
    <w:pPr>
      <w:spacing w:after="60"/>
      <w:ind w:left="567" w:hanging="567"/>
    </w:pPr>
  </w:style>
  <w:style w:type="paragraph" w:customStyle="1" w:styleId="IPPArial">
    <w:name w:val="IPP Arial"/>
    <w:basedOn w:val="IPPNormal"/>
    <w:qFormat/>
    <w:rsid w:val="00911F79"/>
    <w:pPr>
      <w:spacing w:after="0"/>
    </w:pPr>
    <w:rPr>
      <w:rFonts w:ascii="Arial" w:hAnsi="Arial"/>
      <w:sz w:val="18"/>
    </w:rPr>
  </w:style>
  <w:style w:type="paragraph" w:customStyle="1" w:styleId="IPPArialTable">
    <w:name w:val="IPP Arial Table"/>
    <w:basedOn w:val="IPPArial"/>
    <w:qFormat/>
    <w:rsid w:val="00911F79"/>
    <w:pPr>
      <w:spacing w:before="60" w:after="60"/>
      <w:jc w:val="left"/>
    </w:pPr>
  </w:style>
  <w:style w:type="paragraph" w:customStyle="1" w:styleId="IPPHeaderlandscape">
    <w:name w:val="IPP Header landscape"/>
    <w:basedOn w:val="IPPHeader"/>
    <w:qFormat/>
    <w:rsid w:val="00911F7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11F7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11F79"/>
    <w:rPr>
      <w:rFonts w:ascii="Courier" w:eastAsia="Times" w:hAnsi="Courier" w:cs="Times New Roman"/>
      <w:kern w:val="0"/>
      <w:sz w:val="21"/>
      <w:szCs w:val="21"/>
      <w:lang w:val="en-AU"/>
      <w14:ligatures w14:val="none"/>
    </w:rPr>
  </w:style>
  <w:style w:type="paragraph" w:customStyle="1" w:styleId="IPPLetterList">
    <w:name w:val="IPP LetterList"/>
    <w:basedOn w:val="IPPBullet2"/>
    <w:qFormat/>
    <w:rsid w:val="00911F79"/>
    <w:pPr>
      <w:tabs>
        <w:tab w:val="num" w:pos="1134"/>
      </w:tabs>
      <w:jc w:val="left"/>
    </w:pPr>
  </w:style>
  <w:style w:type="paragraph" w:customStyle="1" w:styleId="IPPLetterListIndent">
    <w:name w:val="IPP LetterList Indent"/>
    <w:basedOn w:val="IPPLetterList"/>
    <w:qFormat/>
    <w:rsid w:val="00911F79"/>
    <w:pPr>
      <w:numPr>
        <w:numId w:val="6"/>
      </w:numPr>
    </w:pPr>
  </w:style>
  <w:style w:type="paragraph" w:customStyle="1" w:styleId="IPPFooterLandscape">
    <w:name w:val="IPP Footer Landscape"/>
    <w:basedOn w:val="IPPHeaderlandscape"/>
    <w:qFormat/>
    <w:rsid w:val="00911F79"/>
    <w:pPr>
      <w:pBdr>
        <w:top w:val="single" w:sz="4" w:space="1" w:color="auto"/>
        <w:bottom w:val="none" w:sz="0" w:space="0" w:color="auto"/>
      </w:pBdr>
      <w:jc w:val="right"/>
    </w:pPr>
    <w:rPr>
      <w:b/>
    </w:rPr>
  </w:style>
  <w:style w:type="paragraph" w:customStyle="1" w:styleId="IPPSubheadSpace">
    <w:name w:val="IPP Subhead Space"/>
    <w:basedOn w:val="IPPSubhead"/>
    <w:qFormat/>
    <w:rsid w:val="00911F79"/>
    <w:pPr>
      <w:tabs>
        <w:tab w:val="left" w:pos="567"/>
      </w:tabs>
      <w:spacing w:before="60" w:after="60"/>
    </w:pPr>
  </w:style>
  <w:style w:type="paragraph" w:customStyle="1" w:styleId="IPPSubheadSpaceAfter">
    <w:name w:val="IPP Subhead SpaceAfter"/>
    <w:basedOn w:val="IPPSubhead"/>
    <w:qFormat/>
    <w:rsid w:val="00911F79"/>
    <w:pPr>
      <w:spacing w:after="60"/>
    </w:pPr>
  </w:style>
  <w:style w:type="paragraph" w:customStyle="1" w:styleId="IPPHdg1Num">
    <w:name w:val="IPP Hdg1Num"/>
    <w:basedOn w:val="IPPHeading1"/>
    <w:next w:val="IPPNormal"/>
    <w:qFormat/>
    <w:rsid w:val="00911F79"/>
    <w:pPr>
      <w:numPr>
        <w:numId w:val="11"/>
      </w:numPr>
    </w:pPr>
  </w:style>
  <w:style w:type="paragraph" w:customStyle="1" w:styleId="IPPHdg2Num">
    <w:name w:val="IPP Hdg2Num"/>
    <w:basedOn w:val="IPPHeading2"/>
    <w:next w:val="IPPNormal"/>
    <w:qFormat/>
    <w:rsid w:val="00911F79"/>
    <w:pPr>
      <w:numPr>
        <w:ilvl w:val="1"/>
        <w:numId w:val="12"/>
      </w:numPr>
    </w:pPr>
  </w:style>
  <w:style w:type="paragraph" w:customStyle="1" w:styleId="IPPNumberedList">
    <w:name w:val="IPP NumberedList"/>
    <w:basedOn w:val="IPPBullet1"/>
    <w:qFormat/>
    <w:rsid w:val="00911F79"/>
    <w:pPr>
      <w:numPr>
        <w:numId w:val="20"/>
      </w:numPr>
    </w:pPr>
  </w:style>
  <w:style w:type="paragraph" w:styleId="Header">
    <w:name w:val="header"/>
    <w:basedOn w:val="Normal"/>
    <w:link w:val="HeaderChar"/>
    <w:rsid w:val="00911F79"/>
    <w:pPr>
      <w:tabs>
        <w:tab w:val="center" w:pos="4680"/>
        <w:tab w:val="right" w:pos="9360"/>
      </w:tabs>
    </w:pPr>
  </w:style>
  <w:style w:type="character" w:customStyle="1" w:styleId="HeaderChar">
    <w:name w:val="Header Char"/>
    <w:basedOn w:val="DefaultParagraphFont"/>
    <w:link w:val="Header"/>
    <w:rsid w:val="00911F79"/>
    <w:rPr>
      <w:rFonts w:ascii="Times New Roman" w:eastAsia="MS Mincho" w:hAnsi="Times New Roman" w:cs="Times New Roman"/>
      <w:kern w:val="0"/>
      <w:sz w:val="22"/>
      <w:lang w:val="en-GB"/>
      <w14:ligatures w14:val="none"/>
    </w:rPr>
  </w:style>
  <w:style w:type="character" w:styleId="Strong">
    <w:name w:val="Strong"/>
    <w:basedOn w:val="DefaultParagraphFont"/>
    <w:qFormat/>
    <w:rsid w:val="00911F79"/>
    <w:rPr>
      <w:b/>
      <w:bCs/>
    </w:rPr>
  </w:style>
  <w:style w:type="paragraph" w:customStyle="1" w:styleId="IPPParagraphnumbering">
    <w:name w:val="IPP Paragraph numbering"/>
    <w:basedOn w:val="IPPNormal"/>
    <w:qFormat/>
    <w:rsid w:val="00911F79"/>
    <w:pPr>
      <w:numPr>
        <w:numId w:val="19"/>
      </w:numPr>
    </w:pPr>
    <w:rPr>
      <w:lang w:val="en-US"/>
    </w:rPr>
  </w:style>
  <w:style w:type="paragraph" w:customStyle="1" w:styleId="IPPParagraphnumberingclose">
    <w:name w:val="IPP Paragraph numbering close"/>
    <w:basedOn w:val="IPPParagraphnumbering"/>
    <w:qFormat/>
    <w:rsid w:val="00911F79"/>
    <w:pPr>
      <w:keepNext/>
      <w:spacing w:after="60"/>
    </w:pPr>
  </w:style>
  <w:style w:type="paragraph" w:customStyle="1" w:styleId="IPPNumberedListLast">
    <w:name w:val="IPP NumberedListLast"/>
    <w:basedOn w:val="IPPNumberedList"/>
    <w:qFormat/>
    <w:rsid w:val="00911F79"/>
    <w:pPr>
      <w:spacing w:after="180"/>
    </w:pPr>
  </w:style>
  <w:style w:type="character" w:styleId="Hyperlink">
    <w:name w:val="Hyperlink"/>
    <w:basedOn w:val="DefaultParagraphFont"/>
    <w:unhideWhenUsed/>
    <w:rsid w:val="00911F79"/>
    <w:rPr>
      <w:color w:val="0000FF"/>
      <w:u w:val="single"/>
    </w:rPr>
  </w:style>
  <w:style w:type="character" w:styleId="FollowedHyperlink">
    <w:name w:val="FollowedHyperlink"/>
    <w:basedOn w:val="DefaultParagraphFont"/>
    <w:semiHidden/>
    <w:unhideWhenUsed/>
    <w:rsid w:val="00911F7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a974486d38db9168f0ef3d5f5c670704">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4ee2d1f40b07c99bcda9b216f3b3c2c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A7AD91-C9CE-4CBE-A94A-2EE59779ED19}">
  <ds:schemaRef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 ds:uri="http://purl.org/dc/terms/"/>
    <ds:schemaRef ds:uri="ea6feb38-a85a-45e8-92e9-814486bbe375"/>
    <ds:schemaRef ds:uri="a05d7f75-f42e-4288-8809-604fd4d9691f"/>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15DC6EB8-7817-4E5D-8E47-6EA07F16766B}">
  <ds:schemaRefs>
    <ds:schemaRef ds:uri="http://schemas.microsoft.com/sharepoint/v3/contenttype/forms"/>
  </ds:schemaRefs>
</ds:datastoreItem>
</file>

<file path=customXml/itemProps3.xml><?xml version="1.0" encoding="utf-8"?>
<ds:datastoreItem xmlns:ds="http://schemas.openxmlformats.org/officeDocument/2006/customXml" ds:itemID="{5BE8EA6D-56A3-4A19-AA19-2B2F1B8BB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IPPC_2024-06-17</Template>
  <TotalTime>22</TotalTime>
  <Pages>4</Pages>
  <Words>1685</Words>
  <Characters>9608</Characters>
  <Application>Microsoft Office Word</Application>
  <DocSecurity>0</DocSecurity>
  <Lines>80</Lines>
  <Paragraphs>22</Paragraphs>
  <ScaleCrop>false</ScaleCrop>
  <Company/>
  <LinksUpToDate>false</LinksUpToDate>
  <CharactersWithSpaces>11271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Cassin, Aoife (NSPD)</dc:creator>
  <cp:keywords/>
  <dc:description/>
  <cp:lastModifiedBy>Cassin, Aoife (NSPD)</cp:lastModifiedBy>
  <cp:revision>14</cp:revision>
  <dcterms:created xsi:type="dcterms:W3CDTF">2025-10-27T15:32:00Z</dcterms:created>
  <dcterms:modified xsi:type="dcterms:W3CDTF">2025-10-28T08:30:00Z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