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1DEC" w14:textId="0DA46C1C" w:rsidR="007D5ACB" w:rsidRDefault="007D5ACB" w:rsidP="00591F05">
      <w:pPr>
        <w:pStyle w:val="IPPHeadSection"/>
        <w:tabs>
          <w:tab w:val="clear" w:pos="851"/>
          <w:tab w:val="left" w:pos="720"/>
        </w:tabs>
        <w:ind w:left="0" w:firstLine="0"/>
        <w:jc w:val="center"/>
      </w:pPr>
      <w:r w:rsidRPr="007D5ACB">
        <w:t>APPPC Considerations and Recommendations on Commodity Standards</w:t>
      </w:r>
    </w:p>
    <w:p w14:paraId="3D2973CF" w14:textId="17992513" w:rsidR="00F84159" w:rsidRPr="00591F05" w:rsidRDefault="00F84159" w:rsidP="00F84159">
      <w:pPr>
        <w:spacing w:after="240"/>
        <w:jc w:val="center"/>
        <w:rPr>
          <w:rFonts w:cs="Times New Roman"/>
          <w:sz w:val="20"/>
          <w:szCs w:val="20"/>
        </w:rPr>
      </w:pPr>
      <w:r w:rsidRPr="00591F05">
        <w:rPr>
          <w:rFonts w:cs="Times New Roman"/>
          <w:sz w:val="20"/>
          <w:szCs w:val="20"/>
        </w:rPr>
        <w:t>(</w:t>
      </w:r>
      <w:r w:rsidRPr="00591F05">
        <w:rPr>
          <w:rFonts w:cs="Times New Roman"/>
          <w:i/>
          <w:iCs/>
          <w:sz w:val="20"/>
          <w:szCs w:val="20"/>
        </w:rPr>
        <w:t>Prepared by the Asia members of the SC</w:t>
      </w:r>
      <w:r w:rsidR="00D81A02" w:rsidRPr="00591F05">
        <w:rPr>
          <w:rFonts w:cs="Times New Roman"/>
          <w:i/>
          <w:iCs/>
          <w:sz w:val="20"/>
          <w:szCs w:val="20"/>
        </w:rPr>
        <w:t xml:space="preserve"> following discussion at the APPPC Regional Workshop</w:t>
      </w:r>
      <w:r w:rsidRPr="00591F05">
        <w:rPr>
          <w:rFonts w:cs="Times New Roman"/>
          <w:sz w:val="20"/>
          <w:szCs w:val="20"/>
        </w:rPr>
        <w:t>)</w:t>
      </w:r>
    </w:p>
    <w:p w14:paraId="0AC3E602" w14:textId="77777777" w:rsidR="00F84159" w:rsidRPr="00F84159" w:rsidRDefault="00F84159" w:rsidP="00F84159">
      <w:pPr>
        <w:spacing w:after="240"/>
        <w:jc w:val="center"/>
        <w:rPr>
          <w:rFonts w:cs="Times New Roman"/>
        </w:rPr>
      </w:pPr>
    </w:p>
    <w:p w14:paraId="7C6BCAE9" w14:textId="0B97A5CA" w:rsidR="007D5ACB" w:rsidRPr="00E1455E" w:rsidRDefault="007D5ACB" w:rsidP="00591F05">
      <w:pPr>
        <w:pStyle w:val="IPPHeading1"/>
      </w:pPr>
      <w:r w:rsidRPr="00E1455E">
        <w:t>Introduction</w:t>
      </w:r>
    </w:p>
    <w:p w14:paraId="4E54473A" w14:textId="0B452A3C" w:rsidR="007D5ACB" w:rsidRPr="007D5ACB" w:rsidRDefault="007D5ACB" w:rsidP="00591F05">
      <w:pPr>
        <w:pStyle w:val="IPPParagraphnumbering"/>
      </w:pPr>
      <w:r w:rsidRPr="002B2166">
        <w:t>At the</w:t>
      </w:r>
      <w:r w:rsidRPr="007D5ACB">
        <w:t xml:space="preserve"> Asia and Pacific Plant Protection Commission (APPPC) </w:t>
      </w:r>
      <w:r w:rsidRPr="002B2166">
        <w:t xml:space="preserve">Regional Workshop in Korea in September 2025, members and observers </w:t>
      </w:r>
      <w:r w:rsidRPr="007D5ACB">
        <w:t xml:space="preserve">identified several </w:t>
      </w:r>
      <w:r w:rsidRPr="002B2166">
        <w:t>key points</w:t>
      </w:r>
      <w:r w:rsidRPr="007D5ACB">
        <w:t xml:space="preserve"> related to the development of commodity standard</w:t>
      </w:r>
      <w:r w:rsidRPr="002B2166">
        <w:t xml:space="preserve"> annexes</w:t>
      </w:r>
      <w:r w:rsidRPr="007D5ACB">
        <w:t xml:space="preserve">. </w:t>
      </w:r>
      <w:r w:rsidR="00A43A78">
        <w:t xml:space="preserve">These points </w:t>
      </w:r>
      <w:r w:rsidR="00F84159">
        <w:t>concerned</w:t>
      </w:r>
      <w:r w:rsidR="001D00A6">
        <w:t>:</w:t>
      </w:r>
    </w:p>
    <w:p w14:paraId="1975D890" w14:textId="4E2E6B2C" w:rsidR="007D5ACB" w:rsidRPr="00E1455E" w:rsidRDefault="007D5ACB" w:rsidP="00591F05">
      <w:pPr>
        <w:pStyle w:val="IPPHdg1Num"/>
      </w:pPr>
      <w:r w:rsidRPr="00E1455E">
        <w:t xml:space="preserve"> Inclusion of </w:t>
      </w:r>
      <w:r w:rsidR="00E1455E">
        <w:t>p</w:t>
      </w:r>
      <w:r w:rsidRPr="00E1455E">
        <w:t xml:space="preserve">ests in </w:t>
      </w:r>
      <w:r w:rsidR="00E1455E">
        <w:t>c</w:t>
      </w:r>
      <w:r w:rsidRPr="00E1455E">
        <w:t xml:space="preserve">ommodity </w:t>
      </w:r>
      <w:r w:rsidR="00E1455E">
        <w:t>s</w:t>
      </w:r>
      <w:r w:rsidRPr="00E1455E">
        <w:t>tandard</w:t>
      </w:r>
      <w:r w:rsidR="00E1455E">
        <w:t xml:space="preserve"> annexe</w:t>
      </w:r>
      <w:r w:rsidRPr="00E1455E">
        <w:t>s</w:t>
      </w:r>
    </w:p>
    <w:p w14:paraId="5901C0E9" w14:textId="0F2752B4" w:rsidR="007D5ACB" w:rsidRPr="007D5ACB" w:rsidRDefault="004160FA" w:rsidP="00591F05">
      <w:pPr>
        <w:pStyle w:val="IPPParagraphnumbering"/>
      </w:pPr>
      <w:r w:rsidRPr="004160FA">
        <w:t>The scope of ISPM</w:t>
      </w:r>
      <w:r w:rsidR="00080395">
        <w:t xml:space="preserve"> </w:t>
      </w:r>
      <w:r w:rsidRPr="004160FA">
        <w:t>46 and its annexes does not include contamination or diversion from intended use of commodities. However,</w:t>
      </w:r>
      <w:r>
        <w:rPr>
          <w:rFonts w:hint="eastAsia"/>
          <w:lang w:eastAsia="ja-JP"/>
        </w:rPr>
        <w:t xml:space="preserve"> t</w:t>
      </w:r>
      <w:r w:rsidR="007D5ACB" w:rsidRPr="007D5ACB">
        <w:t>here is ongoing ambiguity regarding which pests should be included or excluded in commodity standard</w:t>
      </w:r>
      <w:r w:rsidR="0055215A">
        <w:t xml:space="preserve"> annexe</w:t>
      </w:r>
      <w:r w:rsidR="007D5ACB" w:rsidRPr="007D5ACB">
        <w:t>s</w:t>
      </w:r>
      <w:r w:rsidR="005204B1" w:rsidRPr="005204B1">
        <w:t xml:space="preserve"> </w:t>
      </w:r>
      <w:r w:rsidR="005204B1">
        <w:t>which have</w:t>
      </w:r>
      <w:r w:rsidR="005204B1" w:rsidRPr="007D5ACB">
        <w:t xml:space="preserve"> direct implications for th</w:t>
      </w:r>
      <w:r w:rsidR="00066ACE">
        <w:t>eir</w:t>
      </w:r>
      <w:r w:rsidR="005204B1" w:rsidRPr="007D5ACB">
        <w:t xml:space="preserve"> interpretation and application</w:t>
      </w:r>
      <w:r w:rsidR="007D5ACB" w:rsidRPr="007D5ACB">
        <w:t>. This uncertainty affects pests that fall into the following categories:</w:t>
      </w:r>
    </w:p>
    <w:p w14:paraId="3352981E" w14:textId="7165B0C9" w:rsidR="007D5ACB" w:rsidRPr="00AB050B" w:rsidRDefault="007D5ACB" w:rsidP="007D5ACB">
      <w:pPr>
        <w:numPr>
          <w:ilvl w:val="0"/>
          <w:numId w:val="1"/>
        </w:numPr>
        <w:rPr>
          <w:rFonts w:cs="Times New Roman"/>
        </w:rPr>
      </w:pPr>
      <w:r w:rsidRPr="007D5ACB">
        <w:rPr>
          <w:rFonts w:cs="Times New Roman"/>
          <w:b/>
          <w:bCs/>
        </w:rPr>
        <w:t>Incidental or contaminating pests</w:t>
      </w:r>
      <w:r w:rsidRPr="007D5ACB">
        <w:rPr>
          <w:rFonts w:cs="Times New Roman"/>
        </w:rPr>
        <w:t>: Those</w:t>
      </w:r>
      <w:r w:rsidR="00107297">
        <w:rPr>
          <w:rFonts w:cs="Times New Roman"/>
        </w:rPr>
        <w:t xml:space="preserve"> pests</w:t>
      </w:r>
      <w:r w:rsidRPr="007D5ACB">
        <w:rPr>
          <w:rFonts w:cs="Times New Roman"/>
        </w:rPr>
        <w:t xml:space="preserve"> associated with plant parts not intended for trade (e.g. leaves, soil, debris) or found as incidental contamination within consignments. </w:t>
      </w:r>
    </w:p>
    <w:p w14:paraId="02A278D7" w14:textId="510EE614" w:rsidR="007D5ACB" w:rsidRPr="007D5ACB" w:rsidRDefault="007D5ACB" w:rsidP="007D5ACB">
      <w:pPr>
        <w:numPr>
          <w:ilvl w:val="0"/>
          <w:numId w:val="1"/>
        </w:numPr>
        <w:rPr>
          <w:rFonts w:cs="Times New Roman"/>
        </w:rPr>
      </w:pPr>
      <w:r w:rsidRPr="007D5ACB">
        <w:rPr>
          <w:rFonts w:cs="Times New Roman"/>
          <w:b/>
          <w:bCs/>
        </w:rPr>
        <w:t xml:space="preserve">Pests linked to </w:t>
      </w:r>
      <w:r w:rsidR="00D2168F">
        <w:rPr>
          <w:rFonts w:cs="Times New Roman"/>
          <w:b/>
          <w:bCs/>
        </w:rPr>
        <w:t xml:space="preserve">discarded parts of </w:t>
      </w:r>
      <w:r w:rsidR="006A70EE">
        <w:rPr>
          <w:rFonts w:cs="Times New Roman"/>
          <w:b/>
          <w:bCs/>
        </w:rPr>
        <w:t>the commodity</w:t>
      </w:r>
      <w:r w:rsidRPr="007D5ACB">
        <w:rPr>
          <w:rFonts w:cs="Times New Roman"/>
        </w:rPr>
        <w:t xml:space="preserve">: Those </w:t>
      </w:r>
      <w:r w:rsidR="003F06F4">
        <w:rPr>
          <w:rFonts w:cs="Times New Roman"/>
        </w:rPr>
        <w:t xml:space="preserve">pests </w:t>
      </w:r>
      <w:r w:rsidRPr="007D5ACB">
        <w:rPr>
          <w:rFonts w:cs="Times New Roman"/>
        </w:rPr>
        <w:t xml:space="preserve">associated with </w:t>
      </w:r>
      <w:r w:rsidR="00D2168F">
        <w:rPr>
          <w:rFonts w:cs="Times New Roman"/>
        </w:rPr>
        <w:t>discarded plant parts</w:t>
      </w:r>
      <w:r w:rsidR="00D2168F" w:rsidRPr="007D5ACB">
        <w:rPr>
          <w:rFonts w:cs="Times New Roman"/>
        </w:rPr>
        <w:t xml:space="preserve"> </w:t>
      </w:r>
      <w:r w:rsidRPr="007D5ACB">
        <w:rPr>
          <w:rFonts w:cs="Times New Roman"/>
        </w:rPr>
        <w:t xml:space="preserve">generated during processing or </w:t>
      </w:r>
      <w:r w:rsidR="00D2168F">
        <w:rPr>
          <w:rFonts w:cs="Times New Roman"/>
        </w:rPr>
        <w:t xml:space="preserve">after </w:t>
      </w:r>
      <w:r w:rsidRPr="007D5ACB">
        <w:rPr>
          <w:rFonts w:cs="Times New Roman"/>
        </w:rPr>
        <w:t>consumption</w:t>
      </w:r>
      <w:r w:rsidR="007F7DF6">
        <w:rPr>
          <w:rFonts w:cs="Times New Roman"/>
        </w:rPr>
        <w:t xml:space="preserve"> of the commodity</w:t>
      </w:r>
      <w:r w:rsidRPr="007D5ACB">
        <w:rPr>
          <w:rFonts w:cs="Times New Roman"/>
        </w:rPr>
        <w:t>, such as fruit skins.</w:t>
      </w:r>
    </w:p>
    <w:p w14:paraId="2E027D97" w14:textId="38E6299C" w:rsidR="007D5ACB" w:rsidRDefault="007D5ACB" w:rsidP="007D5ACB">
      <w:pPr>
        <w:numPr>
          <w:ilvl w:val="0"/>
          <w:numId w:val="1"/>
        </w:numPr>
        <w:rPr>
          <w:rFonts w:cs="Times New Roman"/>
        </w:rPr>
      </w:pPr>
      <w:r w:rsidRPr="007D5ACB">
        <w:rPr>
          <w:rFonts w:cs="Times New Roman"/>
          <w:b/>
          <w:bCs/>
        </w:rPr>
        <w:t xml:space="preserve">Pests relevant only </w:t>
      </w:r>
      <w:r w:rsidR="00951021">
        <w:rPr>
          <w:rFonts w:cs="Times New Roman"/>
          <w:b/>
          <w:bCs/>
        </w:rPr>
        <w:t>if the commodity is</w:t>
      </w:r>
      <w:r w:rsidRPr="007D5ACB">
        <w:rPr>
          <w:rFonts w:cs="Times New Roman"/>
          <w:b/>
          <w:bCs/>
        </w:rPr>
        <w:t xml:space="preserve"> diver</w:t>
      </w:r>
      <w:r w:rsidR="00951021">
        <w:rPr>
          <w:rFonts w:cs="Times New Roman"/>
          <w:b/>
          <w:bCs/>
        </w:rPr>
        <w:t xml:space="preserve">ted from its intended </w:t>
      </w:r>
      <w:r w:rsidRPr="007D5ACB">
        <w:rPr>
          <w:rFonts w:cs="Times New Roman"/>
          <w:b/>
          <w:bCs/>
        </w:rPr>
        <w:t>use</w:t>
      </w:r>
      <w:r w:rsidRPr="007D5ACB">
        <w:rPr>
          <w:rFonts w:cs="Times New Roman"/>
        </w:rPr>
        <w:t xml:space="preserve">: Those </w:t>
      </w:r>
      <w:r w:rsidR="005D3524">
        <w:rPr>
          <w:rFonts w:cs="Times New Roman"/>
        </w:rPr>
        <w:t xml:space="preserve">pests </w:t>
      </w:r>
      <w:r w:rsidRPr="007D5ACB">
        <w:rPr>
          <w:rFonts w:cs="Times New Roman"/>
        </w:rPr>
        <w:t>that pose a phytosanitary risk only when the commodity is diverted from its intended use (e.g. planting instead of consumption), especially when such diversion is frequent or occurs inadvertently.</w:t>
      </w:r>
    </w:p>
    <w:p w14:paraId="70D70E5A" w14:textId="06C07D5E" w:rsidR="004B6EF6" w:rsidRPr="00AB050B" w:rsidRDefault="005D3091" w:rsidP="00591F05">
      <w:pPr>
        <w:pStyle w:val="IPPParagraphnumbering"/>
      </w:pPr>
      <w:r>
        <w:rPr>
          <w:rFonts w:hint="eastAsia"/>
          <w:lang w:eastAsia="ja-JP"/>
        </w:rPr>
        <w:t>P</w:t>
      </w:r>
      <w:r w:rsidR="005F736B">
        <w:rPr>
          <w:rFonts w:hint="eastAsia"/>
          <w:lang w:eastAsia="ja-JP"/>
        </w:rPr>
        <w:t>ests included in these</w:t>
      </w:r>
      <w:r w:rsidR="004B6EF6" w:rsidRPr="00AB050B">
        <w:t xml:space="preserve"> </w:t>
      </w:r>
      <w:r w:rsidR="00E6649A" w:rsidRPr="00AB050B">
        <w:t xml:space="preserve">categories </w:t>
      </w:r>
      <w:r w:rsidR="004B6EF6" w:rsidRPr="00AB050B">
        <w:t xml:space="preserve">may be regulated by NPPOs </w:t>
      </w:r>
      <w:r w:rsidR="004B6EF6" w:rsidRPr="00AB050B">
        <w:rPr>
          <w:lang w:eastAsia="ja-JP"/>
        </w:rPr>
        <w:t>based on the outcomes of their PRA or technical consideration</w:t>
      </w:r>
      <w:r w:rsidR="0003538D">
        <w:rPr>
          <w:rFonts w:hint="eastAsia"/>
          <w:lang w:eastAsia="ja-JP"/>
        </w:rPr>
        <w:t>s</w:t>
      </w:r>
      <w:r w:rsidR="00C5728D">
        <w:rPr>
          <w:lang w:eastAsia="ja-JP"/>
        </w:rPr>
        <w:t>.</w:t>
      </w:r>
    </w:p>
    <w:p w14:paraId="7CBEEA37" w14:textId="796BDF19" w:rsidR="007D5ACB" w:rsidRPr="007D5ACB" w:rsidRDefault="007D5ACB" w:rsidP="00591F05">
      <w:pPr>
        <w:pStyle w:val="IPPParagraphnumbering"/>
      </w:pPr>
      <w:r w:rsidRPr="007D5ACB">
        <w:t xml:space="preserve">The APPPC </w:t>
      </w:r>
      <w:r w:rsidR="00052C97">
        <w:t>members and observers propose</w:t>
      </w:r>
      <w:r w:rsidRPr="007D5ACB">
        <w:t xml:space="preserve"> </w:t>
      </w:r>
      <w:r w:rsidR="00915061">
        <w:rPr>
          <w:rFonts w:hint="eastAsia"/>
          <w:lang w:eastAsia="ja-JP"/>
        </w:rPr>
        <w:t>considering how to address</w:t>
      </w:r>
      <w:r w:rsidRPr="007D5ACB">
        <w:t xml:space="preserve"> </w:t>
      </w:r>
      <w:r w:rsidR="009B59AB">
        <w:rPr>
          <w:rFonts w:hint="eastAsia"/>
          <w:lang w:eastAsia="ja-JP"/>
        </w:rPr>
        <w:t xml:space="preserve">pests in </w:t>
      </w:r>
      <w:r w:rsidR="00052C97">
        <w:t>these categories</w:t>
      </w:r>
      <w:r w:rsidR="009B59AB">
        <w:rPr>
          <w:rFonts w:hint="eastAsia"/>
          <w:lang w:eastAsia="ja-JP"/>
        </w:rPr>
        <w:t>, for example</w:t>
      </w:r>
      <w:r w:rsidRPr="007D5ACB">
        <w:t>:</w:t>
      </w:r>
    </w:p>
    <w:p w14:paraId="432C3624" w14:textId="588A3CFB" w:rsidR="007D5ACB" w:rsidRPr="007D5ACB" w:rsidRDefault="00052C97" w:rsidP="007D5ACB">
      <w:pPr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e</w:t>
      </w:r>
      <w:r w:rsidR="007D5ACB" w:rsidRPr="007D5ACB">
        <w:rPr>
          <w:rFonts w:cs="Times New Roman"/>
        </w:rPr>
        <w:t>xplicit</w:t>
      </w:r>
      <w:r w:rsidRPr="00052C97">
        <w:rPr>
          <w:rFonts w:cs="Times New Roman"/>
        </w:rPr>
        <w:t>ly</w:t>
      </w:r>
      <w:r w:rsidR="007D5ACB" w:rsidRPr="007D5ACB">
        <w:rPr>
          <w:rFonts w:cs="Times New Roman"/>
        </w:rPr>
        <w:t xml:space="preserve"> exclu</w:t>
      </w:r>
      <w:r w:rsidRPr="00052C97">
        <w:rPr>
          <w:rFonts w:cs="Times New Roman"/>
        </w:rPr>
        <w:t>d</w:t>
      </w:r>
      <w:r w:rsidR="005264A6">
        <w:rPr>
          <w:rFonts w:cs="Times New Roman"/>
        </w:rPr>
        <w:t>ing then</w:t>
      </w:r>
      <w:r w:rsidRPr="00052C97">
        <w:rPr>
          <w:rFonts w:cs="Times New Roman"/>
        </w:rPr>
        <w:t xml:space="preserve"> </w:t>
      </w:r>
      <w:r w:rsidR="007D5ACB" w:rsidRPr="007D5ACB">
        <w:rPr>
          <w:rFonts w:cs="Times New Roman"/>
        </w:rPr>
        <w:t>from commodity standards where appropriate</w:t>
      </w:r>
      <w:r w:rsidRPr="00052C97">
        <w:rPr>
          <w:rFonts w:cs="Times New Roman"/>
        </w:rPr>
        <w:t xml:space="preserve">; </w:t>
      </w:r>
      <w:r w:rsidRPr="0055215A">
        <w:rPr>
          <w:rFonts w:cs="Times New Roman"/>
          <w:u w:val="single"/>
        </w:rPr>
        <w:t>or</w:t>
      </w:r>
    </w:p>
    <w:p w14:paraId="1225EE27" w14:textId="3CF5AC60" w:rsidR="007D5ACB" w:rsidRPr="007D5ACB" w:rsidRDefault="001D1D57" w:rsidP="007D5ACB">
      <w:pPr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 xml:space="preserve">providing </w:t>
      </w:r>
      <w:r w:rsidR="00052C97">
        <w:rPr>
          <w:rFonts w:cs="Times New Roman"/>
        </w:rPr>
        <w:t>s</w:t>
      </w:r>
      <w:r w:rsidR="007D5ACB" w:rsidRPr="007D5ACB">
        <w:rPr>
          <w:rFonts w:cs="Times New Roman"/>
        </w:rPr>
        <w:t xml:space="preserve">upplementary explanatory text in annexes to clarify </w:t>
      </w:r>
      <w:r w:rsidR="00052C97">
        <w:rPr>
          <w:rFonts w:cs="Times New Roman"/>
        </w:rPr>
        <w:t xml:space="preserve">when </w:t>
      </w:r>
      <w:r w:rsidR="007D5ACB" w:rsidRPr="007D5ACB">
        <w:rPr>
          <w:rFonts w:cs="Times New Roman"/>
        </w:rPr>
        <w:t xml:space="preserve">pest associations </w:t>
      </w:r>
      <w:r w:rsidR="00052C97">
        <w:rPr>
          <w:rFonts w:cs="Times New Roman"/>
        </w:rPr>
        <w:t xml:space="preserve">are unclear or </w:t>
      </w:r>
      <w:r w:rsidR="007D5ACB" w:rsidRPr="007D5ACB">
        <w:rPr>
          <w:rFonts w:cs="Times New Roman"/>
        </w:rPr>
        <w:t xml:space="preserve">diversion </w:t>
      </w:r>
      <w:r w:rsidR="00052C97">
        <w:rPr>
          <w:rFonts w:cs="Times New Roman"/>
        </w:rPr>
        <w:t xml:space="preserve">of the commodity </w:t>
      </w:r>
      <w:r w:rsidR="007D5ACB" w:rsidRPr="007D5ACB">
        <w:rPr>
          <w:rFonts w:cs="Times New Roman"/>
        </w:rPr>
        <w:t>from intended use is common.</w:t>
      </w:r>
    </w:p>
    <w:p w14:paraId="0740A33E" w14:textId="1B38EE8E" w:rsidR="007D5ACB" w:rsidRPr="00591F05" w:rsidRDefault="007D5ACB" w:rsidP="00591F05">
      <w:pPr>
        <w:pStyle w:val="IPPHdg1Num"/>
      </w:pPr>
      <w:r w:rsidRPr="00591F05">
        <w:t>Enhanc</w:t>
      </w:r>
      <w:r w:rsidR="00E1455E" w:rsidRPr="00591F05">
        <w:t>e</w:t>
      </w:r>
      <w:r w:rsidRPr="00591F05">
        <w:t xml:space="preserve"> </w:t>
      </w:r>
      <w:r w:rsidR="00E1455E" w:rsidRPr="00591F05">
        <w:t>t</w:t>
      </w:r>
      <w:r w:rsidRPr="00591F05">
        <w:t xml:space="preserve">ransparency in </w:t>
      </w:r>
      <w:r w:rsidR="00E1455E" w:rsidRPr="00591F05">
        <w:t>p</w:t>
      </w:r>
      <w:r w:rsidRPr="00591F05">
        <w:t xml:space="preserve">est </w:t>
      </w:r>
      <w:r w:rsidR="00E1455E" w:rsidRPr="00591F05">
        <w:t>e</w:t>
      </w:r>
      <w:r w:rsidRPr="00591F05">
        <w:t xml:space="preserve">xclusion </w:t>
      </w:r>
      <w:r w:rsidR="00E1455E" w:rsidRPr="00591F05">
        <w:t>d</w:t>
      </w:r>
      <w:r w:rsidRPr="00591F05">
        <w:t>ecisions</w:t>
      </w:r>
    </w:p>
    <w:p w14:paraId="55C332D3" w14:textId="77777777" w:rsidR="007D5ACB" w:rsidRPr="007D5ACB" w:rsidRDefault="007D5ACB" w:rsidP="00591F05">
      <w:pPr>
        <w:pStyle w:val="IPPParagraphnumbering"/>
      </w:pPr>
      <w:r w:rsidRPr="007D5ACB">
        <w:t>To support NPPOs in understanding and contributing to pest list development, greater transparency is needed in how pests are excluded from commodity standards.</w:t>
      </w:r>
    </w:p>
    <w:p w14:paraId="259F47D8" w14:textId="23FCD9D4" w:rsidR="007D5ACB" w:rsidRPr="007D5ACB" w:rsidRDefault="007D5ACB" w:rsidP="00591F05">
      <w:pPr>
        <w:pStyle w:val="IPPParagraphnumbering"/>
      </w:pPr>
      <w:r w:rsidRPr="007D5ACB">
        <w:t xml:space="preserve">The APPPC proposes that the </w:t>
      </w:r>
      <w:r w:rsidR="00D153E9">
        <w:t xml:space="preserve">SC </w:t>
      </w:r>
      <w:r w:rsidR="003609F2">
        <w:t>request</w:t>
      </w:r>
      <w:r w:rsidR="00D153E9">
        <w:t xml:space="preserve">s the </w:t>
      </w:r>
      <w:r w:rsidRPr="007D5ACB">
        <w:t>TPCS</w:t>
      </w:r>
      <w:r w:rsidR="00D153E9">
        <w:t xml:space="preserve"> to </w:t>
      </w:r>
      <w:r w:rsidR="003609F2" w:rsidRPr="003609F2">
        <w:t>p</w:t>
      </w:r>
      <w:r w:rsidRPr="003609F2">
        <w:t>ublish</w:t>
      </w:r>
      <w:r w:rsidR="00520015" w:rsidRPr="003609F2">
        <w:t xml:space="preserve"> </w:t>
      </w:r>
      <w:r w:rsidR="00FD70F5">
        <w:t xml:space="preserve">on the IPP a brief </w:t>
      </w:r>
      <w:r w:rsidRPr="003609F2">
        <w:t>rationale</w:t>
      </w:r>
      <w:r w:rsidR="00520015" w:rsidRPr="003609F2">
        <w:t xml:space="preserve"> for exclusion of </w:t>
      </w:r>
      <w:r w:rsidR="00FD70F5">
        <w:t xml:space="preserve">specific </w:t>
      </w:r>
      <w:r w:rsidR="00520015" w:rsidRPr="003609F2">
        <w:t>pests</w:t>
      </w:r>
      <w:r w:rsidR="00FD70F5">
        <w:t xml:space="preserve"> submitted by contracting parties from commodity standard annexes</w:t>
      </w:r>
      <w:r w:rsidR="003609F2">
        <w:t>.</w:t>
      </w:r>
      <w:r w:rsidR="00C70276">
        <w:t xml:space="preserve"> This </w:t>
      </w:r>
      <w:r w:rsidR="00A87FEB">
        <w:t>w</w:t>
      </w:r>
      <w:r w:rsidR="00C70276">
        <w:t>ould c</w:t>
      </w:r>
      <w:r w:rsidRPr="007D5ACB">
        <w:t xml:space="preserve">learly communicate the scope and decision-making process of the TPCS </w:t>
      </w:r>
      <w:r w:rsidR="00E34FE9">
        <w:t>and provide</w:t>
      </w:r>
      <w:r w:rsidRPr="007D5ACB">
        <w:t xml:space="preserve"> greater understanding </w:t>
      </w:r>
      <w:r w:rsidR="00E46236">
        <w:t>for</w:t>
      </w:r>
      <w:r w:rsidRPr="007D5ACB">
        <w:t xml:space="preserve"> NPPOs.</w:t>
      </w:r>
    </w:p>
    <w:p w14:paraId="6A93ECC1" w14:textId="4384C3BF" w:rsidR="007D5ACB" w:rsidRPr="007D5ACB" w:rsidRDefault="004B2ADD" w:rsidP="00591F05">
      <w:pPr>
        <w:pStyle w:val="IPPParagraphnumbering"/>
      </w:pPr>
      <w:r>
        <w:t>The APPPC also proposes that</w:t>
      </w:r>
      <w:r w:rsidR="007D5ACB" w:rsidRPr="007D5ACB">
        <w:t xml:space="preserve"> the</w:t>
      </w:r>
      <w:r w:rsidR="00E46236">
        <w:t>re is a</w:t>
      </w:r>
      <w:r w:rsidR="007D5ACB" w:rsidRPr="007D5ACB">
        <w:t xml:space="preserve"> CPM-20 side </w:t>
      </w:r>
      <w:r w:rsidR="00E46236">
        <w:t xml:space="preserve">session on </w:t>
      </w:r>
      <w:r w:rsidR="007D5ACB" w:rsidRPr="007D5ACB">
        <w:t>commodity standard</w:t>
      </w:r>
      <w:r w:rsidR="00E46236">
        <w:t xml:space="preserve"> annexe</w:t>
      </w:r>
      <w:r w:rsidR="007D5ACB" w:rsidRPr="007D5ACB">
        <w:t xml:space="preserve">s to promote </w:t>
      </w:r>
      <w:r w:rsidR="003B0CA7">
        <w:t>understanding</w:t>
      </w:r>
      <w:r w:rsidR="007D5ACB" w:rsidRPr="007D5ACB">
        <w:t xml:space="preserve"> and alignment across regions.</w:t>
      </w:r>
    </w:p>
    <w:p w14:paraId="197EBE7C" w14:textId="42908103" w:rsidR="00A6596C" w:rsidRPr="00E34FE9" w:rsidRDefault="00A6596C" w:rsidP="003A4A29">
      <w:pPr>
        <w:pStyle w:val="IPPNumberedList"/>
        <w:numPr>
          <w:ilvl w:val="0"/>
          <w:numId w:val="0"/>
        </w:numPr>
        <w:ind w:left="567"/>
      </w:pPr>
    </w:p>
    <w:sectPr w:rsidR="00A6596C" w:rsidRPr="00E34FE9" w:rsidSect="00591F05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5029F" w14:textId="77777777" w:rsidR="00892E5A" w:rsidRDefault="00892E5A" w:rsidP="008935B8">
      <w:r>
        <w:separator/>
      </w:r>
    </w:p>
  </w:endnote>
  <w:endnote w:type="continuationSeparator" w:id="0">
    <w:p w14:paraId="00DE3EFA" w14:textId="77777777" w:rsidR="00892E5A" w:rsidRDefault="00892E5A" w:rsidP="0089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9794" w14:textId="4BA1F718" w:rsidR="00591F05" w:rsidRPr="00591F05" w:rsidRDefault="00591F05" w:rsidP="00591F05">
    <w:pPr>
      <w:pStyle w:val="IPPFooter"/>
    </w:pPr>
    <w:r w:rsidRPr="00591F05">
      <w:rPr>
        <w:rStyle w:val="PageNumber"/>
        <w:b/>
      </w:rPr>
      <w:t xml:space="preserve">Page </w:t>
    </w:r>
    <w:r w:rsidRPr="00591F05">
      <w:rPr>
        <w:rStyle w:val="PageNumber"/>
        <w:b/>
      </w:rPr>
      <w:fldChar w:fldCharType="begin"/>
    </w:r>
    <w:r w:rsidRPr="00591F05">
      <w:rPr>
        <w:rStyle w:val="PageNumber"/>
        <w:b/>
      </w:rPr>
      <w:instrText xml:space="preserve"> PAGE </w:instrText>
    </w:r>
    <w:r w:rsidRPr="00591F05">
      <w:rPr>
        <w:rStyle w:val="PageNumber"/>
        <w:b/>
      </w:rPr>
      <w:fldChar w:fldCharType="separate"/>
    </w:r>
    <w:r w:rsidRPr="00591F05">
      <w:rPr>
        <w:rStyle w:val="PageNumber"/>
        <w:b/>
      </w:rPr>
      <w:t>2</w:t>
    </w:r>
    <w:r w:rsidRPr="00591F05">
      <w:rPr>
        <w:rStyle w:val="PageNumber"/>
        <w:b/>
      </w:rPr>
      <w:fldChar w:fldCharType="end"/>
    </w:r>
    <w:r w:rsidRPr="00591F05">
      <w:rPr>
        <w:rStyle w:val="PageNumber"/>
        <w:b/>
      </w:rPr>
      <w:t xml:space="preserve"> of </w:t>
    </w:r>
    <w:r w:rsidRPr="00591F05">
      <w:rPr>
        <w:rStyle w:val="PageNumber"/>
        <w:b/>
      </w:rPr>
      <w:fldChar w:fldCharType="begin"/>
    </w:r>
    <w:r w:rsidRPr="00591F05">
      <w:rPr>
        <w:rStyle w:val="PageNumber"/>
        <w:b/>
      </w:rPr>
      <w:instrText xml:space="preserve"> NUMPAGES </w:instrText>
    </w:r>
    <w:r w:rsidRPr="00591F05">
      <w:rPr>
        <w:rStyle w:val="PageNumber"/>
        <w:b/>
      </w:rPr>
      <w:fldChar w:fldCharType="separate"/>
    </w:r>
    <w:r w:rsidRPr="00591F05">
      <w:rPr>
        <w:rStyle w:val="PageNumber"/>
        <w:b/>
      </w:rPr>
      <w:t>2</w:t>
    </w:r>
    <w:r w:rsidRPr="00591F05">
      <w:rPr>
        <w:rStyle w:val="PageNumber"/>
        <w:b/>
      </w:rPr>
      <w:fldChar w:fldCharType="end"/>
    </w:r>
    <w:r w:rsidRPr="00591F05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0835D" w14:textId="5B172D2B" w:rsidR="00591F05" w:rsidRPr="00591F05" w:rsidRDefault="00591F05" w:rsidP="00591F05">
    <w:pPr>
      <w:pStyle w:val="IPPFooter"/>
    </w:pPr>
    <w:r w:rsidRPr="00591F05">
      <w:t>International Plant Protection Convention</w:t>
    </w:r>
    <w:r w:rsidRPr="00591F05">
      <w:tab/>
    </w:r>
    <w:r w:rsidRPr="00591F05">
      <w:rPr>
        <w:rStyle w:val="PageNumber"/>
        <w:b/>
        <w:bCs/>
      </w:rPr>
      <w:t xml:space="preserve">Page </w:t>
    </w:r>
    <w:r w:rsidRPr="00591F05">
      <w:rPr>
        <w:rStyle w:val="PageNumber"/>
        <w:b/>
        <w:bCs/>
      </w:rPr>
      <w:fldChar w:fldCharType="begin"/>
    </w:r>
    <w:r w:rsidRPr="00591F05">
      <w:rPr>
        <w:rStyle w:val="PageNumber"/>
        <w:b/>
        <w:bCs/>
      </w:rPr>
      <w:instrText xml:space="preserve"> PAGE </w:instrText>
    </w:r>
    <w:r w:rsidRPr="00591F05">
      <w:rPr>
        <w:rStyle w:val="PageNumber"/>
        <w:b/>
        <w:bCs/>
      </w:rPr>
      <w:fldChar w:fldCharType="separate"/>
    </w:r>
    <w:r w:rsidRPr="00591F05">
      <w:rPr>
        <w:rStyle w:val="PageNumber"/>
        <w:b/>
        <w:bCs/>
      </w:rPr>
      <w:t>1</w:t>
    </w:r>
    <w:r w:rsidRPr="00591F05">
      <w:rPr>
        <w:rStyle w:val="PageNumber"/>
        <w:b/>
        <w:bCs/>
      </w:rPr>
      <w:fldChar w:fldCharType="end"/>
    </w:r>
    <w:r w:rsidRPr="00591F05">
      <w:rPr>
        <w:rStyle w:val="PageNumber"/>
        <w:b/>
        <w:bCs/>
      </w:rPr>
      <w:t xml:space="preserve"> of </w:t>
    </w:r>
    <w:r w:rsidRPr="00591F05">
      <w:rPr>
        <w:rStyle w:val="PageNumber"/>
        <w:b/>
        <w:bCs/>
      </w:rPr>
      <w:fldChar w:fldCharType="begin"/>
    </w:r>
    <w:r w:rsidRPr="00591F05">
      <w:rPr>
        <w:rStyle w:val="PageNumber"/>
        <w:b/>
        <w:bCs/>
      </w:rPr>
      <w:instrText xml:space="preserve"> NUMPAGES </w:instrText>
    </w:r>
    <w:r w:rsidRPr="00591F05">
      <w:rPr>
        <w:rStyle w:val="PageNumber"/>
        <w:b/>
        <w:bCs/>
      </w:rPr>
      <w:fldChar w:fldCharType="separate"/>
    </w:r>
    <w:r w:rsidRPr="00591F05">
      <w:rPr>
        <w:rStyle w:val="PageNumber"/>
        <w:b/>
        <w:bCs/>
      </w:rPr>
      <w:t>2</w:t>
    </w:r>
    <w:r w:rsidRPr="00591F05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96E7" w14:textId="77777777" w:rsidR="00892E5A" w:rsidRDefault="00892E5A" w:rsidP="008935B8">
      <w:r>
        <w:separator/>
      </w:r>
    </w:p>
  </w:footnote>
  <w:footnote w:type="continuationSeparator" w:id="0">
    <w:p w14:paraId="0C860B9A" w14:textId="77777777" w:rsidR="00892E5A" w:rsidRDefault="00892E5A" w:rsidP="00893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32EC" w14:textId="350ADEFB" w:rsidR="00591F05" w:rsidRDefault="004B3C05" w:rsidP="004B3C05">
    <w:pPr>
      <w:pStyle w:val="IPPHeader"/>
      <w:tabs>
        <w:tab w:val="left" w:pos="3790"/>
      </w:tabs>
      <w:jc w:val="right"/>
    </w:pPr>
    <w:r w:rsidRPr="004B3C05">
      <w:rPr>
        <w:lang w:val="en-GB"/>
      </w:rPr>
      <w:t>19_TPCS_2025_Dec</w:t>
    </w:r>
    <w:r>
      <w:rPr>
        <w:rFonts w:cs="Arial"/>
        <w:szCs w:val="18"/>
        <w:lang w:val="en-GB"/>
      </w:rPr>
      <w:tab/>
    </w:r>
    <w:r w:rsidR="00A71F3A" w:rsidRPr="00A71F3A">
      <w:rPr>
        <w:rFonts w:cs="Arial"/>
        <w:szCs w:val="18"/>
      </w:rPr>
      <w:t>APPPC Considerations and Recommendations on Commodity Standards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ED09" w14:textId="3107EADD" w:rsidR="00591F05" w:rsidRPr="00D24B44" w:rsidRDefault="00591F05" w:rsidP="00591F05">
    <w:pPr>
      <w:pStyle w:val="IPPHeader"/>
      <w:tabs>
        <w:tab w:val="clear" w:pos="1134"/>
      </w:tabs>
      <w:spacing w:before="240"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A14648" wp14:editId="531236EF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7BC50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" strokecolor="black [3213]" strokeweight="1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7CD2558C" wp14:editId="2C28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36BA41B2" wp14:editId="2277198A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4E1B8EBC" wp14:editId="123FA6B4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4B44">
      <w:tab/>
    </w:r>
    <w:r w:rsidR="003441FF">
      <w:t>19</w:t>
    </w:r>
    <w:r w:rsidRPr="00D24B44">
      <w:t>_</w:t>
    </w:r>
    <w:r w:rsidR="003441FF">
      <w:t>TPCS</w:t>
    </w:r>
    <w:r w:rsidRPr="00D24B44">
      <w:t>_2025_</w:t>
    </w:r>
    <w:r w:rsidR="003441FF">
      <w:t>Dec</w:t>
    </w:r>
  </w:p>
  <w:p w14:paraId="10BD3F99" w14:textId="39DE1730" w:rsidR="00591F05" w:rsidRPr="00D24B44" w:rsidRDefault="00591F05" w:rsidP="00591F05">
    <w:pPr>
      <w:pStyle w:val="IPPHeader"/>
      <w:tabs>
        <w:tab w:val="clear" w:pos="1134"/>
      </w:tabs>
      <w:spacing w:after="0"/>
    </w:pPr>
    <w:r w:rsidRPr="00D24B44">
      <w:tab/>
      <w:t xml:space="preserve">Agenda item: </w:t>
    </w:r>
    <w:r w:rsidR="003441FF">
      <w:t>4</w:t>
    </w:r>
    <w:r w:rsidRPr="00D24B44">
      <w:t>.1</w:t>
    </w:r>
  </w:p>
  <w:p w14:paraId="473D9571" w14:textId="77777777" w:rsidR="00591F05" w:rsidRPr="00D24B44" w:rsidRDefault="00591F05" w:rsidP="00591F05">
    <w:pPr>
      <w:pStyle w:val="IPPHeader"/>
      <w:tabs>
        <w:tab w:val="clear" w:pos="1134"/>
      </w:tabs>
      <w:spacing w:after="260"/>
      <w:rPr>
        <w:iCs/>
      </w:rPr>
    </w:pPr>
  </w:p>
  <w:p w14:paraId="227E53BD" w14:textId="2037B3B2" w:rsidR="00591F05" w:rsidRDefault="00A71F3A" w:rsidP="00A71F3A">
    <w:pPr>
      <w:pStyle w:val="IPPHeader"/>
      <w:tabs>
        <w:tab w:val="clear" w:pos="1134"/>
      </w:tabs>
      <w:spacing w:after="0"/>
    </w:pPr>
    <w:r w:rsidRPr="00A71F3A">
      <w:rPr>
        <w:iCs/>
      </w:rPr>
      <w:t>APPPC Considerations and Recommendations on Commodity Standards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64F4"/>
    <w:multiLevelType w:val="multilevel"/>
    <w:tmpl w:val="C086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03838"/>
    <w:multiLevelType w:val="hybridMultilevel"/>
    <w:tmpl w:val="DC74D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594380C"/>
    <w:multiLevelType w:val="multilevel"/>
    <w:tmpl w:val="EA3C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7E58"/>
    <w:multiLevelType w:val="multilevel"/>
    <w:tmpl w:val="9792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3545C"/>
    <w:multiLevelType w:val="multilevel"/>
    <w:tmpl w:val="19A6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392194"/>
    <w:multiLevelType w:val="hybridMultilevel"/>
    <w:tmpl w:val="6F8A8F02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90516"/>
    <w:multiLevelType w:val="hybridMultilevel"/>
    <w:tmpl w:val="AF24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307EF"/>
    <w:multiLevelType w:val="hybridMultilevel"/>
    <w:tmpl w:val="88A48976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9255238">
    <w:abstractNumId w:val="3"/>
  </w:num>
  <w:num w:numId="2" w16cid:durableId="2028602248">
    <w:abstractNumId w:val="14"/>
  </w:num>
  <w:num w:numId="3" w16cid:durableId="2043431769">
    <w:abstractNumId w:val="7"/>
  </w:num>
  <w:num w:numId="4" w16cid:durableId="1596748853">
    <w:abstractNumId w:val="10"/>
  </w:num>
  <w:num w:numId="5" w16cid:durableId="565454529">
    <w:abstractNumId w:val="15"/>
  </w:num>
  <w:num w:numId="6" w16cid:durableId="2039428245">
    <w:abstractNumId w:val="18"/>
  </w:num>
  <w:num w:numId="7" w16cid:durableId="1059522558">
    <w:abstractNumId w:val="5"/>
  </w:num>
  <w:num w:numId="8" w16cid:durableId="254898679">
    <w:abstractNumId w:val="17"/>
  </w:num>
  <w:num w:numId="9" w16cid:durableId="594482862">
    <w:abstractNumId w:val="12"/>
  </w:num>
  <w:num w:numId="10" w16cid:durableId="48462875">
    <w:abstractNumId w:val="2"/>
  </w:num>
  <w:num w:numId="11" w16cid:durableId="1116019556">
    <w:abstractNumId w:val="1"/>
  </w:num>
  <w:num w:numId="12" w16cid:durableId="1564674894">
    <w:abstractNumId w:val="6"/>
  </w:num>
  <w:num w:numId="13" w16cid:durableId="567762381">
    <w:abstractNumId w:val="16"/>
  </w:num>
  <w:num w:numId="14" w16cid:durableId="277683861">
    <w:abstractNumId w:val="11"/>
  </w:num>
  <w:num w:numId="15" w16cid:durableId="1501971064">
    <w:abstractNumId w:val="8"/>
  </w:num>
  <w:num w:numId="16" w16cid:durableId="1173495610">
    <w:abstractNumId w:val="19"/>
  </w:num>
  <w:num w:numId="17" w16cid:durableId="413086808">
    <w:abstractNumId w:val="4"/>
  </w:num>
  <w:num w:numId="18" w16cid:durableId="138564066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3965169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22259404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49742730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89138507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49388224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726340635">
    <w:abstractNumId w:val="0"/>
  </w:num>
  <w:num w:numId="25" w16cid:durableId="1743212090">
    <w:abstractNumId w:val="9"/>
  </w:num>
  <w:num w:numId="26" w16cid:durableId="1153369343">
    <w:abstractNumId w:val="13"/>
  </w:num>
  <w:num w:numId="27" w16cid:durableId="112507677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5588565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945498424">
    <w:abstractNumId w:val="8"/>
  </w:num>
  <w:num w:numId="30" w16cid:durableId="15974048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CB"/>
    <w:rsid w:val="0003538D"/>
    <w:rsid w:val="00052C97"/>
    <w:rsid w:val="00066ACE"/>
    <w:rsid w:val="00080395"/>
    <w:rsid w:val="000919E6"/>
    <w:rsid w:val="00107297"/>
    <w:rsid w:val="001566AF"/>
    <w:rsid w:val="001804FE"/>
    <w:rsid w:val="001A1847"/>
    <w:rsid w:val="001A3FA3"/>
    <w:rsid w:val="001D00A6"/>
    <w:rsid w:val="001D1D55"/>
    <w:rsid w:val="001D1D57"/>
    <w:rsid w:val="001D2B68"/>
    <w:rsid w:val="002B2166"/>
    <w:rsid w:val="002C05D9"/>
    <w:rsid w:val="002F2527"/>
    <w:rsid w:val="003441FF"/>
    <w:rsid w:val="003609F2"/>
    <w:rsid w:val="003A4A29"/>
    <w:rsid w:val="003B0CA7"/>
    <w:rsid w:val="003D49F0"/>
    <w:rsid w:val="003D7DFD"/>
    <w:rsid w:val="003F06F4"/>
    <w:rsid w:val="004160FA"/>
    <w:rsid w:val="00424C26"/>
    <w:rsid w:val="004B2ADD"/>
    <w:rsid w:val="004B3C05"/>
    <w:rsid w:val="004B6EF6"/>
    <w:rsid w:val="00503C56"/>
    <w:rsid w:val="00520015"/>
    <w:rsid w:val="005204B1"/>
    <w:rsid w:val="005264A6"/>
    <w:rsid w:val="0055215A"/>
    <w:rsid w:val="005734D3"/>
    <w:rsid w:val="00591F05"/>
    <w:rsid w:val="005C3E77"/>
    <w:rsid w:val="005D3091"/>
    <w:rsid w:val="005D3524"/>
    <w:rsid w:val="005F736B"/>
    <w:rsid w:val="00605E49"/>
    <w:rsid w:val="00625FA2"/>
    <w:rsid w:val="0064352E"/>
    <w:rsid w:val="00651CDA"/>
    <w:rsid w:val="006552D0"/>
    <w:rsid w:val="006572C2"/>
    <w:rsid w:val="006A70EE"/>
    <w:rsid w:val="006B148B"/>
    <w:rsid w:val="007D5ACB"/>
    <w:rsid w:val="007F7DF6"/>
    <w:rsid w:val="00827646"/>
    <w:rsid w:val="00892E5A"/>
    <w:rsid w:val="008935B8"/>
    <w:rsid w:val="00915061"/>
    <w:rsid w:val="00923DED"/>
    <w:rsid w:val="00943AC8"/>
    <w:rsid w:val="00951021"/>
    <w:rsid w:val="00962051"/>
    <w:rsid w:val="00990878"/>
    <w:rsid w:val="009B59AB"/>
    <w:rsid w:val="009D78BC"/>
    <w:rsid w:val="00A34073"/>
    <w:rsid w:val="00A43A78"/>
    <w:rsid w:val="00A6596C"/>
    <w:rsid w:val="00A71F3A"/>
    <w:rsid w:val="00A87FEB"/>
    <w:rsid w:val="00AA0219"/>
    <w:rsid w:val="00AA66B8"/>
    <w:rsid w:val="00AB050B"/>
    <w:rsid w:val="00AB2A21"/>
    <w:rsid w:val="00B06AF8"/>
    <w:rsid w:val="00B15ED7"/>
    <w:rsid w:val="00BB2F2A"/>
    <w:rsid w:val="00BE3489"/>
    <w:rsid w:val="00C17870"/>
    <w:rsid w:val="00C23999"/>
    <w:rsid w:val="00C30ECA"/>
    <w:rsid w:val="00C517C2"/>
    <w:rsid w:val="00C5728D"/>
    <w:rsid w:val="00C70276"/>
    <w:rsid w:val="00CA316E"/>
    <w:rsid w:val="00D153E9"/>
    <w:rsid w:val="00D2168F"/>
    <w:rsid w:val="00D56E61"/>
    <w:rsid w:val="00D62BCA"/>
    <w:rsid w:val="00D81A02"/>
    <w:rsid w:val="00E00343"/>
    <w:rsid w:val="00E1455E"/>
    <w:rsid w:val="00E1653B"/>
    <w:rsid w:val="00E34FE9"/>
    <w:rsid w:val="00E46236"/>
    <w:rsid w:val="00E6649A"/>
    <w:rsid w:val="00EF2B6C"/>
    <w:rsid w:val="00EF521A"/>
    <w:rsid w:val="00F23C60"/>
    <w:rsid w:val="00F253A7"/>
    <w:rsid w:val="00F84159"/>
    <w:rsid w:val="00FD70F5"/>
    <w:rsid w:val="00FF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16D1F"/>
  <w15:chartTrackingRefBased/>
  <w15:docId w15:val="{CA4BE624-6806-4C0D-80E9-CA8DFAD1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F05"/>
    <w:pPr>
      <w:spacing w:after="0" w:line="240" w:lineRule="auto"/>
      <w:jc w:val="both"/>
    </w:pPr>
    <w:rPr>
      <w:rFonts w:ascii="Times New Roman" w:eastAsia="MS Mincho" w:hAnsi="Times New Roman"/>
      <w:kern w:val="0"/>
      <w:sz w:val="22"/>
      <w:lang w:val="en-GB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91F0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1F0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1F0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5A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5A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5A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5A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5A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5A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1F05"/>
    <w:rPr>
      <w:rFonts w:ascii="Times New Roman" w:eastAsia="MS Mincho" w:hAnsi="Times New Roman"/>
      <w:b/>
      <w:bCs/>
      <w:kern w:val="0"/>
      <w:sz w:val="22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rsid w:val="00591F05"/>
    <w:rPr>
      <w:rFonts w:ascii="Calibri" w:eastAsia="MS Mincho" w:hAnsi="Calibri"/>
      <w:b/>
      <w:bCs/>
      <w:i/>
      <w:iCs/>
      <w:kern w:val="0"/>
      <w:sz w:val="28"/>
      <w:szCs w:val="28"/>
      <w:lang w:val="en-GB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rsid w:val="00591F05"/>
    <w:rPr>
      <w:rFonts w:ascii="Calibri" w:eastAsia="MS Mincho" w:hAnsi="Calibri"/>
      <w:b/>
      <w:bCs/>
      <w:kern w:val="0"/>
      <w:sz w:val="26"/>
      <w:szCs w:val="26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5A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5A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5A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5A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5A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5A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5A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5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5A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5A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5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5A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1F0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IntenseEmphasis">
    <w:name w:val="Intense Emphasis"/>
    <w:basedOn w:val="DefaultParagraphFont"/>
    <w:uiPriority w:val="21"/>
    <w:qFormat/>
    <w:rsid w:val="007D5A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5AC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91F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1F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1F05"/>
    <w:rPr>
      <w:rFonts w:ascii="Times New Roman" w:eastAsia="MS Mincho" w:hAnsi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F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F05"/>
    <w:rPr>
      <w:rFonts w:ascii="Times New Roman" w:eastAsia="MS Mincho" w:hAnsi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591F05"/>
    <w:pPr>
      <w:spacing w:after="0" w:line="240" w:lineRule="auto"/>
    </w:pPr>
    <w:rPr>
      <w:rFonts w:eastAsiaTheme="minorHAnsi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rsid w:val="00591F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1F05"/>
    <w:rPr>
      <w:rFonts w:ascii="Tahoma" w:eastAsia="MS Mincho" w:hAnsi="Tahoma" w:cs="Tahoma"/>
      <w:kern w:val="0"/>
      <w:sz w:val="16"/>
      <w:szCs w:val="16"/>
      <w:lang w:val="en-GB" w:eastAsia="zh-CN"/>
      <w14:ligatures w14:val="none"/>
    </w:rPr>
  </w:style>
  <w:style w:type="paragraph" w:styleId="Header">
    <w:name w:val="header"/>
    <w:basedOn w:val="Normal"/>
    <w:link w:val="HeaderChar"/>
    <w:rsid w:val="00591F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1F05"/>
    <w:rPr>
      <w:rFonts w:ascii="Times New Roman" w:eastAsia="MS Mincho" w:hAnsi="Times New Roman"/>
      <w:kern w:val="0"/>
      <w:sz w:val="22"/>
      <w:lang w:val="en-GB" w:eastAsia="zh-CN"/>
      <w14:ligatures w14:val="none"/>
    </w:rPr>
  </w:style>
  <w:style w:type="paragraph" w:styleId="Footer">
    <w:name w:val="footer"/>
    <w:basedOn w:val="Normal"/>
    <w:link w:val="FooterChar"/>
    <w:rsid w:val="00591F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1F05"/>
    <w:rPr>
      <w:rFonts w:ascii="Times New Roman" w:eastAsia="MS Mincho" w:hAnsi="Times New Roman"/>
      <w:kern w:val="0"/>
      <w:sz w:val="22"/>
      <w:lang w:val="en-GB"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591F05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1F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91F05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rsid w:val="00591F0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1F05"/>
    <w:rPr>
      <w:rFonts w:ascii="Times New Roman" w:eastAsia="MS Mincho" w:hAnsi="Times New Roman"/>
      <w:kern w:val="0"/>
      <w:sz w:val="20"/>
      <w:lang w:val="en-GB" w:eastAsia="zh-CN"/>
      <w14:ligatures w14:val="none"/>
    </w:rPr>
  </w:style>
  <w:style w:type="character" w:styleId="FootnoteReference">
    <w:name w:val="footnote reference"/>
    <w:basedOn w:val="DefaultParagraphFont"/>
    <w:semiHidden/>
    <w:rsid w:val="00591F05"/>
    <w:rPr>
      <w:vertAlign w:val="superscript"/>
    </w:rPr>
  </w:style>
  <w:style w:type="paragraph" w:customStyle="1" w:styleId="Style">
    <w:name w:val="Style"/>
    <w:basedOn w:val="Footer"/>
    <w:autoRedefine/>
    <w:qFormat/>
    <w:rsid w:val="00591F0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1F0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1F0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1F05"/>
    <w:pPr>
      <w:spacing w:after="240"/>
    </w:pPr>
    <w:rPr>
      <w:sz w:val="24"/>
    </w:rPr>
  </w:style>
  <w:style w:type="table" w:styleId="TableGrid">
    <w:name w:val="Table Grid"/>
    <w:basedOn w:val="TableNormal"/>
    <w:rsid w:val="00591F05"/>
    <w:pPr>
      <w:spacing w:after="200" w:line="276" w:lineRule="auto"/>
    </w:pPr>
    <w:rPr>
      <w:rFonts w:eastAsiaTheme="minorHAnsi"/>
      <w:kern w:val="0"/>
      <w:sz w:val="22"/>
      <w:szCs w:val="22"/>
      <w:lang w:val="en-GB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591F05"/>
    <w:pPr>
      <w:numPr>
        <w:numId w:val="13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591F0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591F0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1F0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1F05"/>
    <w:pPr>
      <w:spacing w:after="180"/>
    </w:pPr>
  </w:style>
  <w:style w:type="paragraph" w:customStyle="1" w:styleId="IPPFootnote">
    <w:name w:val="IPP Footnote"/>
    <w:basedOn w:val="IPPArialFootnote"/>
    <w:qFormat/>
    <w:rsid w:val="00591F0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1F0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1F0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1F05"/>
    <w:rPr>
      <w:rFonts w:ascii="Times New Roman" w:eastAsia="Times" w:hAnsi="Times New Roman"/>
      <w:b/>
      <w:kern w:val="0"/>
      <w:sz w:val="22"/>
      <w:szCs w:val="21"/>
      <w:lang w:val="en-AU" w:eastAsia="zh-CN"/>
      <w14:ligatures w14:val="none"/>
    </w:rPr>
  </w:style>
  <w:style w:type="paragraph" w:customStyle="1" w:styleId="IPPHeadSection">
    <w:name w:val="IPP HeadSection"/>
    <w:basedOn w:val="Normal"/>
    <w:next w:val="Normal"/>
    <w:qFormat/>
    <w:rsid w:val="00591F0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91F0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91F0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91F0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1F05"/>
    <w:pPr>
      <w:numPr>
        <w:numId w:val="2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591F05"/>
    <w:pPr>
      <w:numPr>
        <w:numId w:val="14"/>
      </w:numPr>
    </w:pPr>
  </w:style>
  <w:style w:type="character" w:customStyle="1" w:styleId="IPPNormalstrikethrough">
    <w:name w:val="IPP Normal strikethrough"/>
    <w:rsid w:val="00591F0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1F0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1F0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1F0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591F0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1F05"/>
    <w:pPr>
      <w:numPr>
        <w:numId w:val="12"/>
      </w:numPr>
    </w:pPr>
  </w:style>
  <w:style w:type="paragraph" w:customStyle="1" w:styleId="IPPNormalCloseSpace">
    <w:name w:val="IPP NormalCloseSpace"/>
    <w:basedOn w:val="Normal"/>
    <w:qFormat/>
    <w:rsid w:val="00591F0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1F0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1F0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1F0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1F0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1F0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1F0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1F0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1F0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1F0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1F0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1F0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1F0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1F0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1F0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91F0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1F0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1F05"/>
    <w:rPr>
      <w:rFonts w:ascii="Courier" w:eastAsia="Times" w:hAnsi="Courier"/>
      <w:kern w:val="0"/>
      <w:sz w:val="21"/>
      <w:szCs w:val="21"/>
      <w:lang w:val="en-AU" w:eastAsia="zh-CN"/>
      <w14:ligatures w14:val="none"/>
    </w:rPr>
  </w:style>
  <w:style w:type="paragraph" w:customStyle="1" w:styleId="IPPLetterList">
    <w:name w:val="IPP LetterList"/>
    <w:basedOn w:val="IPPBullet2"/>
    <w:qFormat/>
    <w:rsid w:val="00591F05"/>
    <w:pPr>
      <w:numPr>
        <w:numId w:val="9"/>
      </w:numPr>
      <w:jc w:val="left"/>
    </w:pPr>
  </w:style>
  <w:style w:type="paragraph" w:customStyle="1" w:styleId="IPPLetterListIndent">
    <w:name w:val="IPP LetterList Indent"/>
    <w:basedOn w:val="IPPLetterList"/>
    <w:qFormat/>
    <w:rsid w:val="00591F05"/>
    <w:pPr>
      <w:numPr>
        <w:numId w:val="10"/>
      </w:numPr>
    </w:pPr>
  </w:style>
  <w:style w:type="paragraph" w:customStyle="1" w:styleId="IPPFooterLandscape">
    <w:name w:val="IPP Footer Landscape"/>
    <w:basedOn w:val="IPPHeaderlandscape"/>
    <w:qFormat/>
    <w:rsid w:val="00591F0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1F0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1F0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1F05"/>
    <w:pPr>
      <w:numPr>
        <w:numId w:val="15"/>
      </w:numPr>
    </w:pPr>
  </w:style>
  <w:style w:type="paragraph" w:customStyle="1" w:styleId="IPPHdg2Num">
    <w:name w:val="IPP Hdg2Num"/>
    <w:basedOn w:val="IPPHeading2"/>
    <w:next w:val="IPPNormal"/>
    <w:qFormat/>
    <w:rsid w:val="00591F05"/>
    <w:pPr>
      <w:numPr>
        <w:ilvl w:val="1"/>
        <w:numId w:val="16"/>
      </w:numPr>
    </w:pPr>
  </w:style>
  <w:style w:type="paragraph" w:customStyle="1" w:styleId="IPPNumberedList">
    <w:name w:val="IPP NumberedList"/>
    <w:basedOn w:val="IPPBullet1"/>
    <w:qFormat/>
    <w:rsid w:val="00591F05"/>
    <w:pPr>
      <w:numPr>
        <w:numId w:val="24"/>
      </w:numPr>
    </w:pPr>
  </w:style>
  <w:style w:type="character" w:styleId="Strong">
    <w:name w:val="Strong"/>
    <w:basedOn w:val="DefaultParagraphFont"/>
    <w:qFormat/>
    <w:rsid w:val="00591F05"/>
    <w:rPr>
      <w:b/>
      <w:bCs/>
    </w:rPr>
  </w:style>
  <w:style w:type="paragraph" w:customStyle="1" w:styleId="IPPParagraphnumbering">
    <w:name w:val="IPP Paragraph numbering"/>
    <w:basedOn w:val="IPPNormal"/>
    <w:qFormat/>
    <w:rsid w:val="00591F05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591F0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591F05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591F05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591F05"/>
    <w:rPr>
      <w:rFonts w:ascii="Times New Roman" w:eastAsia="Times" w:hAnsi="Times New Roman"/>
      <w:kern w:val="0"/>
      <w:sz w:val="22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7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6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64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59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11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44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4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17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991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343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7674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7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9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53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47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3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662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495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046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553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5439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0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9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37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61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74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47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868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296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932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229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788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7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5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93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48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85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57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476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73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88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106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4045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52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9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959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95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7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0473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963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07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6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2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3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1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91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0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81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35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16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10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481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3505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H\Downloads\Template%20styl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style</Template>
  <TotalTime>3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Ministry for Primary Industries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Wilson (Jo)</dc:creator>
  <cp:keywords/>
  <dc:description/>
  <cp:lastModifiedBy>Martino, Marina (NSPD)</cp:lastModifiedBy>
  <cp:revision>7</cp:revision>
  <dcterms:created xsi:type="dcterms:W3CDTF">2025-10-06T11:14:00Z</dcterms:created>
  <dcterms:modified xsi:type="dcterms:W3CDTF">2025-11-28T13:18:00Z</dcterms:modified>
</cp:coreProperties>
</file>