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D37A4" w14:textId="275538A5" w:rsidR="00F43CA5" w:rsidRDefault="00F43CA5" w:rsidP="00FF6DB9">
      <w:pPr>
        <w:pStyle w:val="IPPHeadSection"/>
        <w:jc w:val="center"/>
      </w:pPr>
      <w:r>
        <w:t>referenc</w:t>
      </w:r>
      <w:r w:rsidR="00C94EAC">
        <w:t xml:space="preserve">ing of </w:t>
      </w:r>
      <w:r>
        <w:t>pests in commodity standards</w:t>
      </w:r>
    </w:p>
    <w:p w14:paraId="5B83FE15" w14:textId="35AC16D5" w:rsidR="00F71B6F" w:rsidRDefault="00F71B6F" w:rsidP="00F71B6F">
      <w:pPr>
        <w:pStyle w:val="IPPParagraphnumbering"/>
      </w:pPr>
      <w:r>
        <w:t xml:space="preserve">There is currently inconsistency as to whether a Further reading section, including sources provided </w:t>
      </w:r>
      <w:r w:rsidRPr="00C94EAC">
        <w:t>by countries in support of inclusion or exclusion of pests</w:t>
      </w:r>
      <w:r>
        <w:t>, is included in draft commodity standards.</w:t>
      </w:r>
    </w:p>
    <w:p w14:paraId="67F34882" w14:textId="233EC6C5" w:rsidR="00C94EAC" w:rsidRDefault="004F4EEC" w:rsidP="00C94EAC">
      <w:pPr>
        <w:pStyle w:val="IPPHeading1"/>
      </w:pPr>
      <w:r>
        <w:t>Background: r</w:t>
      </w:r>
      <w:r w:rsidR="00C94EAC">
        <w:t>ationale for not including references for pests</w:t>
      </w:r>
    </w:p>
    <w:p w14:paraId="2B292B93" w14:textId="4CBCCFBE" w:rsidR="00C94EAC" w:rsidRDefault="00354282" w:rsidP="00C94EAC">
      <w:pPr>
        <w:pStyle w:val="IPPParagraphnumbering"/>
      </w:pPr>
      <w:r w:rsidRPr="00C94EAC">
        <w:t>ISPM</w:t>
      </w:r>
      <w:r>
        <w:t> </w:t>
      </w:r>
      <w:r w:rsidRPr="00C94EAC">
        <w:t xml:space="preserve">46 </w:t>
      </w:r>
      <w:r>
        <w:t>(</w:t>
      </w:r>
      <w:r w:rsidRPr="00354282">
        <w:rPr>
          <w:i/>
          <w:iCs/>
        </w:rPr>
        <w:t>Commodity-specific standards for phytosanitary measures</w:t>
      </w:r>
      <w:r>
        <w:t xml:space="preserve">) </w:t>
      </w:r>
      <w:r w:rsidRPr="00354282">
        <w:t>says</w:t>
      </w:r>
      <w:r w:rsidRPr="00C94EAC">
        <w:t xml:space="preserve"> “All sources of information on pests and options for phytosanitary measures include in the commodity standard are listed in the References section.”</w:t>
      </w:r>
      <w:r>
        <w:t xml:space="preserve"> However, w</w:t>
      </w:r>
      <w:r w:rsidR="00C94EAC">
        <w:t xml:space="preserve">hen drafting </w:t>
      </w:r>
      <w:r w:rsidR="008404C6">
        <w:t>Commodity Standard (</w:t>
      </w:r>
      <w:r>
        <w:t>CS</w:t>
      </w:r>
      <w:r w:rsidR="008404C6">
        <w:t>) No.</w:t>
      </w:r>
      <w:r>
        <w:t xml:space="preserve"> 1 (International movement of fresh </w:t>
      </w:r>
      <w:r>
        <w:rPr>
          <w:i/>
          <w:iCs/>
        </w:rPr>
        <w:t xml:space="preserve">Mangifera indica </w:t>
      </w:r>
      <w:r>
        <w:t>fruit)</w:t>
      </w:r>
      <w:r w:rsidR="00C94EAC">
        <w:t xml:space="preserve">, the </w:t>
      </w:r>
      <w:r w:rsidR="008404C6">
        <w:t>Technical Panel for Commodity Standards (</w:t>
      </w:r>
      <w:r w:rsidR="00C94EAC">
        <w:t>TPCS</w:t>
      </w:r>
      <w:r w:rsidR="008404C6">
        <w:t>)</w:t>
      </w:r>
      <w:r w:rsidR="00C94EAC">
        <w:t xml:space="preserve"> agreed not to provide a reference for the pests.</w:t>
      </w:r>
    </w:p>
    <w:p w14:paraId="52AAA27F" w14:textId="2B6514C4" w:rsidR="00420D3B" w:rsidRPr="00420D3B" w:rsidRDefault="00420D3B" w:rsidP="00C94EAC">
      <w:pPr>
        <w:pStyle w:val="IPPParagraphnumberingclose"/>
      </w:pPr>
      <w:r>
        <w:t xml:space="preserve">The following reasons are presented in the meeting reports listed </w:t>
      </w:r>
      <w:r w:rsidR="00C94EAC">
        <w:t>in the Appendix</w:t>
      </w:r>
      <w:r>
        <w:t>:</w:t>
      </w:r>
    </w:p>
    <w:p w14:paraId="0F0152AA" w14:textId="3734AA3D" w:rsidR="00FF6DB9" w:rsidRDefault="00607F23" w:rsidP="00FF6DB9">
      <w:pPr>
        <w:pStyle w:val="IPPBullet1"/>
      </w:pPr>
      <w:r>
        <w:t>It is n</w:t>
      </w:r>
      <w:r w:rsidR="00FF6DB9">
        <w:t>ot appropriate to name the country or countries that regulate the pest (which is the primary source that the pest i</w:t>
      </w:r>
      <w:r w:rsidR="00FF6DB9" w:rsidRPr="001510F8">
        <w:t>s regulated by at least one country</w:t>
      </w:r>
      <w:r w:rsidR="00FF6DB9">
        <w:t>)</w:t>
      </w:r>
      <w:r w:rsidR="00FF6DB9" w:rsidRPr="001510F8">
        <w:t>.</w:t>
      </w:r>
    </w:p>
    <w:p w14:paraId="2A5AB7DA" w14:textId="394B4690" w:rsidR="00FF6DB9" w:rsidRDefault="00607F23" w:rsidP="00FF6DB9">
      <w:pPr>
        <w:pStyle w:val="IPPBullet1"/>
      </w:pPr>
      <w:r>
        <w:t>It is n</w:t>
      </w:r>
      <w:r w:rsidR="00FF6DB9" w:rsidRPr="001510F8">
        <w:t xml:space="preserve">ot helpful to cite pest </w:t>
      </w:r>
      <w:r w:rsidR="0010401C">
        <w:t>risk analyses</w:t>
      </w:r>
      <w:r w:rsidR="00FF6DB9" w:rsidRPr="001510F8">
        <w:t xml:space="preserve">, as these </w:t>
      </w:r>
      <w:r w:rsidR="00FF6DB9">
        <w:t>a</w:t>
      </w:r>
      <w:r w:rsidR="00FF6DB9" w:rsidRPr="001510F8">
        <w:t>re published in a range of languages.</w:t>
      </w:r>
    </w:p>
    <w:p w14:paraId="15E7B7FA" w14:textId="77777777" w:rsidR="008A560B" w:rsidRDefault="008A560B" w:rsidP="008A560B">
      <w:pPr>
        <w:pStyle w:val="IPPBullet1"/>
      </w:pPr>
      <w:r>
        <w:t>Including references is not feasible because of the differing factors affecting pest–host associations in different countries.</w:t>
      </w:r>
    </w:p>
    <w:p w14:paraId="6553088A" w14:textId="0E3B351C" w:rsidR="00BA1A9D" w:rsidRDefault="00BA1A9D" w:rsidP="00FF6DB9">
      <w:pPr>
        <w:pStyle w:val="IPPBullet1"/>
      </w:pPr>
      <w:r>
        <w:t>It would be challenging to include references for pests consistently.</w:t>
      </w:r>
    </w:p>
    <w:p w14:paraId="32512DB9" w14:textId="2BE5FAF9" w:rsidR="00BA1A9D" w:rsidRDefault="00BA1A9D" w:rsidP="00BA1A9D">
      <w:pPr>
        <w:pStyle w:val="IPPBullet1"/>
      </w:pPr>
      <w:r>
        <w:t>If a source is given for one pest, then a source needed to be given for each pest, and the same would need to be done in all commodity standards</w:t>
      </w:r>
      <w:r w:rsidR="008A560B">
        <w:t>.</w:t>
      </w:r>
    </w:p>
    <w:p w14:paraId="312EC382" w14:textId="1466AB30" w:rsidR="00607F23" w:rsidRDefault="00607F23" w:rsidP="00FF6DB9">
      <w:pPr>
        <w:pStyle w:val="IPPBullet1"/>
      </w:pPr>
      <w:r>
        <w:t>There may be conflicting sources.</w:t>
      </w:r>
    </w:p>
    <w:p w14:paraId="43D6EE9F" w14:textId="6AFF4701" w:rsidR="00FF6DB9" w:rsidRDefault="00607F23" w:rsidP="00FF6DB9">
      <w:pPr>
        <w:pStyle w:val="IPPBullet1"/>
      </w:pPr>
      <w:r>
        <w:t xml:space="preserve">It is likely to be difficult to </w:t>
      </w:r>
      <w:r w:rsidR="00FF6DB9" w:rsidRPr="001510F8">
        <w:t>achiev</w:t>
      </w:r>
      <w:r>
        <w:t>e</w:t>
      </w:r>
      <w:r w:rsidR="00FF6DB9" w:rsidRPr="001510F8">
        <w:t xml:space="preserve"> consensus over the sources, as whichever source </w:t>
      </w:r>
      <w:r>
        <w:t>i</w:t>
      </w:r>
      <w:r w:rsidR="00FF6DB9" w:rsidRPr="001510F8">
        <w:t xml:space="preserve">s cited, there would probably be </w:t>
      </w:r>
      <w:r>
        <w:t xml:space="preserve">contracting parties </w:t>
      </w:r>
      <w:r w:rsidR="00FF6DB9" w:rsidRPr="001510F8">
        <w:t xml:space="preserve">that would dispute it. </w:t>
      </w:r>
    </w:p>
    <w:p w14:paraId="06D9363A" w14:textId="1F78004A" w:rsidR="00607F23" w:rsidRPr="001510F8" w:rsidRDefault="00607F23" w:rsidP="00607F23">
      <w:pPr>
        <w:pStyle w:val="IPPBullet1Last"/>
      </w:pPr>
      <w:r>
        <w:t xml:space="preserve">High-level collated sources are not suitable as an alternative, because </w:t>
      </w:r>
      <w:r w:rsidR="008A560B">
        <w:t xml:space="preserve">there is no single database that includes all the pests listed in a commodity standard; </w:t>
      </w:r>
      <w:r>
        <w:t xml:space="preserve">it would never be possible to provide a definitive reference as to whether the commodity is a host for a particular pest, as there are often conflicting accounts; although </w:t>
      </w:r>
      <w:r w:rsidR="0010401C" w:rsidRPr="001510F8">
        <w:t xml:space="preserve">pest </w:t>
      </w:r>
      <w:r w:rsidR="0010401C">
        <w:t>risk analyses</w:t>
      </w:r>
      <w:r>
        <w:t xml:space="preserve"> are transparent bilaterally, they may not be in the public domain and may be in different languages; and some high-level sources may not be sufficiently reliable.</w:t>
      </w:r>
      <w:r w:rsidR="008A560B">
        <w:t xml:space="preserve"> </w:t>
      </w:r>
    </w:p>
    <w:p w14:paraId="136C7BD2" w14:textId="1C8A9C27" w:rsidR="00FF6DB9" w:rsidRDefault="00420D3B" w:rsidP="00C94EAC">
      <w:pPr>
        <w:pStyle w:val="IPPParagraphnumberingclose"/>
      </w:pPr>
      <w:r>
        <w:t>The s</w:t>
      </w:r>
      <w:r w:rsidR="00607F23">
        <w:t xml:space="preserve">olution </w:t>
      </w:r>
      <w:r w:rsidR="000C703E">
        <w:t xml:space="preserve">used </w:t>
      </w:r>
      <w:r w:rsidR="00607F23">
        <w:t xml:space="preserve">by </w:t>
      </w:r>
      <w:proofErr w:type="gramStart"/>
      <w:r>
        <w:t xml:space="preserve">the </w:t>
      </w:r>
      <w:r w:rsidR="00607F23">
        <w:t>TPCS</w:t>
      </w:r>
      <w:proofErr w:type="gramEnd"/>
      <w:r w:rsidR="00607F23">
        <w:t xml:space="preserve"> </w:t>
      </w:r>
      <w:r w:rsidR="005C2317">
        <w:t xml:space="preserve">when drafting </w:t>
      </w:r>
      <w:r w:rsidR="00354282">
        <w:t>CS 1</w:t>
      </w:r>
      <w:r>
        <w:t xml:space="preserve"> was as follows</w:t>
      </w:r>
      <w:r w:rsidR="00607F23">
        <w:t>:</w:t>
      </w:r>
    </w:p>
    <w:p w14:paraId="515D532A" w14:textId="669757A0" w:rsidR="008A560B" w:rsidRDefault="00607F23" w:rsidP="000C703E">
      <w:pPr>
        <w:pStyle w:val="IPPIndent"/>
      </w:pPr>
      <w:r>
        <w:t xml:space="preserve">Text was included to say that the list of pests does not consider factors that affect the status of </w:t>
      </w:r>
      <w:r w:rsidR="008A560B" w:rsidRPr="00C62A01">
        <w:rPr>
          <w:i/>
          <w:iCs/>
        </w:rPr>
        <w:t>M.</w:t>
      </w:r>
      <w:r w:rsidR="008A560B">
        <w:rPr>
          <w:i/>
          <w:iCs/>
        </w:rPr>
        <w:t> </w:t>
      </w:r>
      <w:r w:rsidR="008A560B" w:rsidRPr="00C62A01">
        <w:rPr>
          <w:i/>
          <w:iCs/>
        </w:rPr>
        <w:t>indica</w:t>
      </w:r>
      <w:r w:rsidR="008A560B">
        <w:t xml:space="preserve"> fruit as a host, or factors that influence pest infestation of fruit in the country of origin, and that the relevance of the pest list should be evaluated using applicable expert sources.</w:t>
      </w:r>
    </w:p>
    <w:p w14:paraId="0A0966F4" w14:textId="281ADCA2" w:rsidR="000C703E" w:rsidRDefault="00420D3B" w:rsidP="00C94EAC">
      <w:pPr>
        <w:pStyle w:val="IPPParagraphnumberingclose"/>
      </w:pPr>
      <w:r>
        <w:t>The s</w:t>
      </w:r>
      <w:r w:rsidR="000C703E">
        <w:t xml:space="preserve">olution used by </w:t>
      </w:r>
      <w:r>
        <w:t xml:space="preserve">the </w:t>
      </w:r>
      <w:r w:rsidR="008404C6">
        <w:t>Standards Committee Working Group (</w:t>
      </w:r>
      <w:r w:rsidR="000C703E">
        <w:t>SC-7</w:t>
      </w:r>
      <w:r w:rsidR="008404C6">
        <w:t>)</w:t>
      </w:r>
      <w:r>
        <w:t xml:space="preserve"> </w:t>
      </w:r>
      <w:r w:rsidR="00C94EAC">
        <w:t xml:space="preserve">in 2024 </w:t>
      </w:r>
      <w:r w:rsidR="002D6988">
        <w:t xml:space="preserve">when revising </w:t>
      </w:r>
      <w:r w:rsidR="00354282">
        <w:t>CS 1</w:t>
      </w:r>
      <w:r>
        <w:t xml:space="preserve"> was as follows</w:t>
      </w:r>
      <w:r w:rsidR="000C703E">
        <w:t>:</w:t>
      </w:r>
    </w:p>
    <w:p w14:paraId="712657BF" w14:textId="16862CD2" w:rsidR="000C703E" w:rsidRDefault="000C703E" w:rsidP="000C703E">
      <w:pPr>
        <w:pStyle w:val="IPPIndent"/>
      </w:pPr>
      <w:r>
        <w:t>A footnote was added, saying that the information used to compile the list was supplied by at least one contracting party and may be provided by the secretariat upon request.</w:t>
      </w:r>
    </w:p>
    <w:p w14:paraId="51930FF1" w14:textId="47668353" w:rsidR="00C94EAC" w:rsidRDefault="00C94EAC" w:rsidP="00C94EAC">
      <w:pPr>
        <w:pStyle w:val="IPPHeading1"/>
      </w:pPr>
      <w:r>
        <w:t xml:space="preserve">The </w:t>
      </w:r>
      <w:r w:rsidR="004F4EEC">
        <w:t xml:space="preserve">current </w:t>
      </w:r>
      <w:r>
        <w:t>use of a Further reading section</w:t>
      </w:r>
    </w:p>
    <w:p w14:paraId="39CEBCB0" w14:textId="28B953CC" w:rsidR="008404C6" w:rsidRDefault="00354282" w:rsidP="00354282">
      <w:pPr>
        <w:pStyle w:val="IPPParagraphnumbering"/>
      </w:pPr>
      <w:r>
        <w:t>A</w:t>
      </w:r>
      <w:r w:rsidR="00C94EAC" w:rsidRPr="00C94EAC">
        <w:t xml:space="preserve"> Further reading section</w:t>
      </w:r>
      <w:r w:rsidR="008404C6">
        <w:t xml:space="preserve"> was included in </w:t>
      </w:r>
      <w:r w:rsidR="00C94EAC" w:rsidRPr="00C94EAC">
        <w:t xml:space="preserve">the draft </w:t>
      </w:r>
      <w:r w:rsidR="008404C6">
        <w:t xml:space="preserve">commodity standard for </w:t>
      </w:r>
      <w:r w:rsidR="00C94EAC" w:rsidRPr="008404C6">
        <w:rPr>
          <w:i/>
          <w:iCs/>
        </w:rPr>
        <w:t>Musa</w:t>
      </w:r>
      <w:r w:rsidR="00C94EAC" w:rsidRPr="00C94EAC">
        <w:t xml:space="preserve"> spp. </w:t>
      </w:r>
      <w:r w:rsidR="008404C6">
        <w:t xml:space="preserve">(2023-2028) </w:t>
      </w:r>
      <w:r w:rsidR="00C94EAC" w:rsidRPr="00C94EAC">
        <w:t xml:space="preserve">submitted </w:t>
      </w:r>
      <w:r w:rsidR="008404C6">
        <w:t xml:space="preserve">to the </w:t>
      </w:r>
      <w:r w:rsidR="0010401C">
        <w:t>Standards Committee (</w:t>
      </w:r>
      <w:r w:rsidR="00C94EAC" w:rsidRPr="00C94EAC">
        <w:t>SC</w:t>
      </w:r>
      <w:r w:rsidR="0010401C">
        <w:t>)</w:t>
      </w:r>
      <w:r w:rsidR="00C94EAC" w:rsidRPr="00C94EAC">
        <w:t xml:space="preserve"> </w:t>
      </w:r>
      <w:r w:rsidR="008404C6">
        <w:t xml:space="preserve">in </w:t>
      </w:r>
      <w:r w:rsidR="00C94EAC" w:rsidRPr="00C94EAC">
        <w:t>May 2025</w:t>
      </w:r>
      <w:r w:rsidR="0010401C">
        <w:t xml:space="preserve">. This contained </w:t>
      </w:r>
      <w:r w:rsidR="0010401C" w:rsidRPr="00C94EAC">
        <w:t>sources mentioned in information material submitted by countries in support of inclusion or exclusion of pests</w:t>
      </w:r>
      <w:r w:rsidR="0010401C">
        <w:t xml:space="preserve">. It was included </w:t>
      </w:r>
      <w:r w:rsidR="00C94EAC" w:rsidRPr="00C94EAC">
        <w:t xml:space="preserve">because </w:t>
      </w:r>
      <w:r w:rsidR="0010401C">
        <w:t xml:space="preserve">otherwise </w:t>
      </w:r>
      <w:r w:rsidR="00C94EAC" w:rsidRPr="00C94EAC">
        <w:t xml:space="preserve">the only references cited in the text or tables were ISPMs, so the References </w:t>
      </w:r>
      <w:r w:rsidR="0010401C">
        <w:t xml:space="preserve">would have simply consisted of </w:t>
      </w:r>
      <w:r w:rsidR="00C94EAC" w:rsidRPr="00C94EAC">
        <w:t xml:space="preserve">a general statement about ISPMs. </w:t>
      </w:r>
      <w:r w:rsidR="0010401C">
        <w:t xml:space="preserve">ISPM 46 is silent about the inclusion </w:t>
      </w:r>
      <w:r w:rsidR="0010401C">
        <w:lastRenderedPageBreak/>
        <w:t>of a Further reading section and FAO style allows it. Subsequently, references were cited in the text of the draft standard and hence added to the References section.</w:t>
      </w:r>
    </w:p>
    <w:p w14:paraId="11D78092" w14:textId="168868F3" w:rsidR="00C94EAC" w:rsidRDefault="00BD1272" w:rsidP="00354282">
      <w:pPr>
        <w:pStyle w:val="IPPParagraphnumbering"/>
      </w:pPr>
      <w:r>
        <w:t>T</w:t>
      </w:r>
      <w:r w:rsidR="0010401C">
        <w:t xml:space="preserve">he draft commodity standard </w:t>
      </w:r>
      <w:r>
        <w:t xml:space="preserve">for </w:t>
      </w:r>
      <w:r>
        <w:rPr>
          <w:i/>
          <w:iCs/>
        </w:rPr>
        <w:t xml:space="preserve">Citrus </w:t>
      </w:r>
      <w:r w:rsidRPr="00BD1272">
        <w:t>spp.</w:t>
      </w:r>
      <w:r>
        <w:t xml:space="preserve"> (2023-019) revised by the TPCS in June 2025 contained only a References section. However, there was insufficient time to discuss it at the meeting. After the meeting, as part of his refinement of the draft, the steward moved references that were not cited in the text into a new, </w:t>
      </w:r>
      <w:proofErr w:type="gramStart"/>
      <w:r>
        <w:t>Further</w:t>
      </w:r>
      <w:proofErr w:type="gramEnd"/>
      <w:r>
        <w:t xml:space="preserve"> reading section. This complies with FAO style</w:t>
      </w:r>
      <w:r w:rsidR="004F4EEC">
        <w:t>. However,</w:t>
      </w:r>
      <w:r>
        <w:t xml:space="preserve"> </w:t>
      </w:r>
      <w:r w:rsidR="004F4EEC">
        <w:t xml:space="preserve">this </w:t>
      </w:r>
      <w:r>
        <w:t xml:space="preserve">does now mean that there are two draft commodity standards with Further reading sections. The other draft commodity standards </w:t>
      </w:r>
      <w:r w:rsidR="004F4EEC">
        <w:t xml:space="preserve">– </w:t>
      </w:r>
      <w:r>
        <w:t xml:space="preserve">for </w:t>
      </w:r>
      <w:r>
        <w:rPr>
          <w:i/>
          <w:iCs/>
        </w:rPr>
        <w:t xml:space="preserve">Colocasia esculenta </w:t>
      </w:r>
      <w:r>
        <w:t>(2023-023)</w:t>
      </w:r>
      <w:r w:rsidR="00F71B6F">
        <w:t>, as submitted to first consultation in July 2025,</w:t>
      </w:r>
      <w:r>
        <w:t xml:space="preserve"> and </w:t>
      </w:r>
      <w:r>
        <w:rPr>
          <w:i/>
          <w:iCs/>
        </w:rPr>
        <w:t xml:space="preserve">Phaseolus vulgaris </w:t>
      </w:r>
      <w:r>
        <w:t xml:space="preserve">(2023-027)) </w:t>
      </w:r>
      <w:r w:rsidR="004F4EEC">
        <w:t xml:space="preserve">– </w:t>
      </w:r>
      <w:r w:rsidR="00F71B6F">
        <w:t xml:space="preserve">do </w:t>
      </w:r>
      <w:r>
        <w:t xml:space="preserve">not have </w:t>
      </w:r>
      <w:r w:rsidR="004F4EEC">
        <w:t xml:space="preserve">a </w:t>
      </w:r>
      <w:r>
        <w:t>Further reading section</w:t>
      </w:r>
      <w:r w:rsidR="00F71B6F">
        <w:t xml:space="preserve"> and neither does CS 1. So</w:t>
      </w:r>
      <w:r w:rsidR="004F4EEC">
        <w:t>,</w:t>
      </w:r>
      <w:r w:rsidR="00F71B6F">
        <w:t xml:space="preserve"> there is currently</w:t>
      </w:r>
      <w:r>
        <w:t xml:space="preserve"> </w:t>
      </w:r>
      <w:r w:rsidR="00C94EAC" w:rsidRPr="00C94EAC">
        <w:t>inconsisten</w:t>
      </w:r>
      <w:r w:rsidR="00F71B6F">
        <w:t>cy between standards</w:t>
      </w:r>
      <w:r w:rsidR="00C94EAC" w:rsidRPr="00C94EAC">
        <w:t xml:space="preserve">. </w:t>
      </w:r>
    </w:p>
    <w:p w14:paraId="431CFB33" w14:textId="44DFF772" w:rsidR="004F4EEC" w:rsidRDefault="004F4EEC" w:rsidP="004F4EEC">
      <w:pPr>
        <w:pStyle w:val="IPPParagraphnumberingclose"/>
      </w:pPr>
      <w:proofErr w:type="gramStart"/>
      <w:r>
        <w:t>The TPCS</w:t>
      </w:r>
      <w:proofErr w:type="gramEnd"/>
      <w:r>
        <w:t xml:space="preserve"> is invited to:</w:t>
      </w:r>
    </w:p>
    <w:p w14:paraId="1AE6C555" w14:textId="31D7CD23" w:rsidR="004F4EEC" w:rsidRPr="00C94EAC" w:rsidRDefault="003F1B41" w:rsidP="004F4EEC">
      <w:pPr>
        <w:pStyle w:val="IPPNumberedListLast"/>
      </w:pPr>
      <w:r>
        <w:rPr>
          <w:i/>
          <w:iCs/>
        </w:rPr>
        <w:t>recommend</w:t>
      </w:r>
      <w:r w:rsidR="004F4EEC">
        <w:rPr>
          <w:i/>
          <w:iCs/>
        </w:rPr>
        <w:t xml:space="preserve"> </w:t>
      </w:r>
      <w:r>
        <w:t xml:space="preserve">to the SC </w:t>
      </w:r>
      <w:r w:rsidR="008D114B">
        <w:t xml:space="preserve">whether </w:t>
      </w:r>
      <w:r w:rsidR="004F4EEC">
        <w:t xml:space="preserve">a Further reading section </w:t>
      </w:r>
      <w:r>
        <w:t xml:space="preserve">should be included </w:t>
      </w:r>
      <w:r w:rsidR="004F4EEC">
        <w:t xml:space="preserve">in </w:t>
      </w:r>
      <w:r>
        <w:t xml:space="preserve">all draft </w:t>
      </w:r>
      <w:r w:rsidR="004F4EEC">
        <w:t>commodity standards</w:t>
      </w:r>
      <w:r w:rsidR="00156D36">
        <w:t xml:space="preserve"> and, if so, what it should contain</w:t>
      </w:r>
      <w:r w:rsidR="00CA0E2A">
        <w:t>.</w:t>
      </w:r>
      <w:r w:rsidR="004F4EEC">
        <w:rPr>
          <w:i/>
          <w:iCs/>
        </w:rPr>
        <w:t xml:space="preserve"> </w:t>
      </w:r>
    </w:p>
    <w:p w14:paraId="7867E722" w14:textId="63676DBA" w:rsidR="00903CFE" w:rsidRDefault="00903CFE">
      <w:pPr>
        <w:spacing w:after="160" w:line="259" w:lineRule="auto"/>
        <w:jc w:val="left"/>
        <w:rPr>
          <w:rFonts w:eastAsia="Times"/>
          <w:b/>
          <w:sz w:val="24"/>
          <w:szCs w:val="22"/>
        </w:rPr>
      </w:pPr>
      <w:r>
        <w:br w:type="page"/>
      </w:r>
    </w:p>
    <w:p w14:paraId="2263FE7A" w14:textId="36AF2695" w:rsidR="000C703E" w:rsidRPr="00FF6DB9" w:rsidRDefault="00903CFE" w:rsidP="00903CFE">
      <w:pPr>
        <w:pStyle w:val="IPPAnnexHead"/>
      </w:pPr>
      <w:r>
        <w:lastRenderedPageBreak/>
        <w:t xml:space="preserve">Appendix: </w:t>
      </w:r>
      <w:r w:rsidR="00420D3B">
        <w:t>Extracts from meeting reports</w:t>
      </w:r>
    </w:p>
    <w:p w14:paraId="55E470CD" w14:textId="49E319F3" w:rsidR="00B86F88" w:rsidRDefault="00BB2EF4" w:rsidP="00BB2EF4">
      <w:pPr>
        <w:pStyle w:val="IPPSubheadSpace"/>
      </w:pPr>
      <w:r>
        <w:t>TPCS January 2025:</w:t>
      </w:r>
    </w:p>
    <w:p w14:paraId="4CF8F384" w14:textId="7C2393D8" w:rsidR="00BB2EF4" w:rsidRPr="0047072F" w:rsidRDefault="00BB2EF4" w:rsidP="00BB2EF4">
      <w:pPr>
        <w:pStyle w:val="IPPParagraphnumbering"/>
        <w:numPr>
          <w:ilvl w:val="0"/>
          <w:numId w:val="0"/>
        </w:numPr>
        <w:rPr>
          <w:lang w:val="en-GB"/>
        </w:rPr>
      </w:pPr>
      <w:r w:rsidRPr="00BB2EF4">
        <w:rPr>
          <w:color w:val="0070C0"/>
          <w:sz w:val="18"/>
          <w:szCs w:val="20"/>
          <w:lang w:val="en-GB"/>
        </w:rPr>
        <w:t>[108]</w:t>
      </w:r>
      <w:r>
        <w:rPr>
          <w:lang w:val="en-GB"/>
        </w:rPr>
        <w:t xml:space="preserve"> </w:t>
      </w:r>
      <w:r w:rsidRPr="0047072F">
        <w:rPr>
          <w:lang w:val="en-GB"/>
        </w:rPr>
        <w:t>The panel noted that, although references would be useful when listing measures, there was no need for this in the list of pests.</w:t>
      </w:r>
    </w:p>
    <w:p w14:paraId="54ED027D" w14:textId="023248DE" w:rsidR="00BB2EF4" w:rsidRDefault="00BB2EF4" w:rsidP="00BB2EF4">
      <w:pPr>
        <w:pStyle w:val="IPPSubheadSpace"/>
      </w:pPr>
      <w:r>
        <w:t>SC November 2023:</w:t>
      </w:r>
    </w:p>
    <w:p w14:paraId="6F6A143C" w14:textId="7CD150B1" w:rsidR="00FA019D" w:rsidRPr="001510F8" w:rsidRDefault="00FA019D" w:rsidP="00FA019D">
      <w:pPr>
        <w:pStyle w:val="IPPParagraphnumbering"/>
        <w:numPr>
          <w:ilvl w:val="0"/>
          <w:numId w:val="0"/>
        </w:numPr>
        <w:rPr>
          <w:lang w:val="en-GB"/>
        </w:rPr>
      </w:pPr>
      <w:r w:rsidRPr="00FA019D">
        <w:rPr>
          <w:color w:val="0070C0"/>
          <w:sz w:val="18"/>
          <w:szCs w:val="20"/>
          <w:lang w:val="en-GB"/>
        </w:rPr>
        <w:t>[45]</w:t>
      </w:r>
      <w:r>
        <w:rPr>
          <w:lang w:val="en-GB"/>
        </w:rPr>
        <w:t xml:space="preserve"> </w:t>
      </w:r>
      <w:r w:rsidRPr="001510F8">
        <w:rPr>
          <w:lang w:val="en-GB"/>
        </w:rPr>
        <w:t xml:space="preserve">The steward explained that the Technical Panel on Commodity Standards (TPCS) had decided not to cite the information sources for the pests, because the basic criterion for inclusion was that the pest was regulated by at least one country and the TPCS thought that it would not be appropriate to name the countries. They had also felt that it would not be helpful to cite pest PRAs, as these were published in a range of languages. </w:t>
      </w:r>
      <w:r>
        <w:rPr>
          <w:lang w:val="en-GB"/>
        </w:rPr>
        <w:t>T</w:t>
      </w:r>
      <w:r w:rsidRPr="001510F8">
        <w:rPr>
          <w:lang w:val="en-GB"/>
        </w:rPr>
        <w:t xml:space="preserve">he steward clarified that it was not the role of the TPCS to conduct PRA nor to question the technical justification of countries to regulate specific pests. She also highlighted the potential difficulties in achieving consensus over the sources, as whichever source was cited, there would probably be countries that would dispute it. </w:t>
      </w:r>
    </w:p>
    <w:p w14:paraId="5E2E9DB0" w14:textId="728A2E34" w:rsidR="00BB2EF4" w:rsidRDefault="00326144" w:rsidP="00326144">
      <w:pPr>
        <w:pStyle w:val="IPPSubheadSpace"/>
      </w:pPr>
      <w:r>
        <w:t>TPCS December 2023:</w:t>
      </w:r>
    </w:p>
    <w:p w14:paraId="27851549" w14:textId="5E6EDFA9" w:rsidR="00326144" w:rsidRDefault="00326144" w:rsidP="00326144">
      <w:pPr>
        <w:pStyle w:val="IPPNormal"/>
      </w:pPr>
      <w:r w:rsidRPr="00326144">
        <w:rPr>
          <w:color w:val="0070C0"/>
          <w:sz w:val="18"/>
          <w:szCs w:val="20"/>
        </w:rPr>
        <w:t xml:space="preserve">[18] </w:t>
      </w:r>
      <w:r w:rsidRPr="00B16072">
        <w:rPr>
          <w:b/>
          <w:bCs/>
        </w:rPr>
        <w:t>Referencing pests.</w:t>
      </w:r>
      <w:r>
        <w:t xml:space="preserve"> The steward explained that some SC members had strongly supported the suggestion made during consultation that a reference be included for the association of each pest with the host. Given the likelihood of conflicting references, the steward had instead added text to say that the list of pests did not consider factors that affected the status of mango fruit as a host or factors that influenced pest infestation of fruit in the country of origin. The TPCS supported this insertion.</w:t>
      </w:r>
    </w:p>
    <w:p w14:paraId="6D467F44" w14:textId="5BC148FD" w:rsidR="00326144" w:rsidRDefault="00326144" w:rsidP="00326144">
      <w:pPr>
        <w:pStyle w:val="IPPNormal"/>
      </w:pPr>
      <w:r w:rsidRPr="00326144">
        <w:rPr>
          <w:color w:val="0070C0"/>
          <w:sz w:val="18"/>
          <w:szCs w:val="20"/>
        </w:rPr>
        <w:t xml:space="preserve">[19] </w:t>
      </w:r>
      <w:r>
        <w:t>The TPCS returned to this issue later in the meeting, with one TPCS member suggesting that high-level, secondary sources of information (e.g.</w:t>
      </w:r>
      <w:r w:rsidR="00C62A01">
        <w:t> </w:t>
      </w:r>
      <w:r>
        <w:t>the European and Mediterranean Plant Protection Organization’s Global Database) could be cited for each pest. However, the steward expressed the view that such sources are not available for all pests; it would never be possible to provide a definitive reference as to whether the commodity is a host for a particular pest, as there were often conflicting accounts; although pest risk analyses are transparent bilaterally, they may not be in the public domain and may be in different languages; and some high-level sources may not be sufficiently reliable.</w:t>
      </w:r>
    </w:p>
    <w:p w14:paraId="448D387B" w14:textId="77777777" w:rsidR="00326144" w:rsidRDefault="00326144" w:rsidP="00326144">
      <w:pPr>
        <w:pStyle w:val="IPPNormal"/>
      </w:pPr>
      <w:r w:rsidRPr="00326144">
        <w:rPr>
          <w:color w:val="0070C0"/>
          <w:sz w:val="18"/>
          <w:szCs w:val="20"/>
        </w:rPr>
        <w:t xml:space="preserve">[20] </w:t>
      </w:r>
      <w:r>
        <w:t>The secretariat noted that if a source is given for one pest, then a source needed to be given for each pest, and the same would need to be done in all commodity standards.</w:t>
      </w:r>
    </w:p>
    <w:p w14:paraId="78BCAC5C" w14:textId="77777777" w:rsidR="00326144" w:rsidRDefault="00326144" w:rsidP="00326144">
      <w:pPr>
        <w:pStyle w:val="IPPNormal"/>
      </w:pPr>
      <w:r w:rsidRPr="00326144">
        <w:rPr>
          <w:color w:val="0070C0"/>
          <w:sz w:val="18"/>
          <w:szCs w:val="20"/>
        </w:rPr>
        <w:t xml:space="preserve">[21] </w:t>
      </w:r>
      <w:r>
        <w:t>One TPCS member commented that, although the TPCS may wish to request references for internal purposes, it would be challenging to include references for pests consistently.</w:t>
      </w:r>
    </w:p>
    <w:p w14:paraId="792D31EA" w14:textId="77777777" w:rsidR="00326144" w:rsidRDefault="00326144" w:rsidP="00326144">
      <w:pPr>
        <w:pStyle w:val="IPPNormal"/>
      </w:pPr>
      <w:r w:rsidRPr="00326144">
        <w:rPr>
          <w:color w:val="0070C0"/>
          <w:sz w:val="18"/>
          <w:szCs w:val="20"/>
        </w:rPr>
        <w:t xml:space="preserve">[22] </w:t>
      </w:r>
      <w:r>
        <w:t>The steward recalled that, when drafting the mango standard, the TPCS had omitted some pests suggested by countries and had recorded the reasons for these omissions in a spreadsheet.</w:t>
      </w:r>
    </w:p>
    <w:p w14:paraId="4AF255F3" w14:textId="5592A2A4" w:rsidR="00326144" w:rsidRDefault="00326144" w:rsidP="00326144">
      <w:pPr>
        <w:pStyle w:val="IPPNormal"/>
      </w:pPr>
      <w:r w:rsidRPr="00326144">
        <w:rPr>
          <w:color w:val="0070C0"/>
          <w:sz w:val="18"/>
          <w:szCs w:val="20"/>
        </w:rPr>
        <w:t xml:space="preserve">[23] </w:t>
      </w:r>
      <w:r>
        <w:t>The secretariat suggested that some general text could be included in the annex, referring to high-level sources. The secretariat commented that, if references for each pest were to be added, simple criteria could be applied for their inclusion and these criteria could be explicit, which could overcome the problem of there not being definitive sources for all pests. However, they acknowledged that commodity standards are not intended to be literature reviews.</w:t>
      </w:r>
    </w:p>
    <w:p w14:paraId="379A321B" w14:textId="6C4B64ED" w:rsidR="006A11D6" w:rsidRDefault="00B16072" w:rsidP="00B16072">
      <w:pPr>
        <w:pStyle w:val="IPPSubheadSpace"/>
      </w:pPr>
      <w:r>
        <w:t>SC-7 2024:</w:t>
      </w:r>
    </w:p>
    <w:p w14:paraId="65359AB5" w14:textId="7D6434AA" w:rsidR="00B16072" w:rsidRDefault="00B16072" w:rsidP="00B16072">
      <w:pPr>
        <w:pStyle w:val="IPPNormal"/>
      </w:pPr>
      <w:r w:rsidRPr="00B16072">
        <w:rPr>
          <w:color w:val="0070C0"/>
          <w:sz w:val="18"/>
          <w:szCs w:val="20"/>
        </w:rPr>
        <w:t>[13]</w:t>
      </w:r>
      <w:r>
        <w:t xml:space="preserve"> </w:t>
      </w:r>
      <w:r w:rsidRPr="00B16072">
        <w:rPr>
          <w:b/>
          <w:bCs/>
        </w:rPr>
        <w:t>Requests to include references for pest–host association in the pest list.</w:t>
      </w:r>
      <w:r>
        <w:t xml:space="preserve"> The steward explained that several consultation comments had suggested that pests identified in the list should have a reference to technically justify their inclusion in the list. This issue had been extensively discussed by the TPCS and Standards Committee (SC). It had been suggested that a secondary source be used, such as the EPPO</w:t>
      </w:r>
      <w:r w:rsidR="00C62A01">
        <w:t xml:space="preserve"> </w:t>
      </w:r>
      <w:r>
        <w:t>Global Database. However, this database did not include all pests listed and no other comparable, accurate databases were available to fill these gaps. The steward had also concluded that including references was not feasible because of the differing factors affecting pest–host associations in different countries. The steward pointed out that, to address this, new text had been added in the section on pests</w:t>
      </w:r>
      <w:r w:rsidR="00C62A01">
        <w:t xml:space="preserve"> </w:t>
      </w:r>
      <w:r>
        <w:t xml:space="preserve">associated with fresh </w:t>
      </w:r>
      <w:r w:rsidRPr="00C62A01">
        <w:rPr>
          <w:i/>
          <w:iCs/>
        </w:rPr>
        <w:t>M.</w:t>
      </w:r>
      <w:r w:rsidR="00C62A01">
        <w:rPr>
          <w:i/>
          <w:iCs/>
        </w:rPr>
        <w:t> </w:t>
      </w:r>
      <w:r w:rsidRPr="00C62A01">
        <w:rPr>
          <w:i/>
          <w:iCs/>
        </w:rPr>
        <w:t>indica</w:t>
      </w:r>
      <w:r>
        <w:t xml:space="preserve"> fruit. This stated that the list of pests did not consider factors that may </w:t>
      </w:r>
      <w:r>
        <w:lastRenderedPageBreak/>
        <w:t xml:space="preserve">affect the status of </w:t>
      </w:r>
      <w:r w:rsidRPr="00C62A01">
        <w:rPr>
          <w:i/>
          <w:iCs/>
        </w:rPr>
        <w:t>M.</w:t>
      </w:r>
      <w:r w:rsidR="00C62A01">
        <w:rPr>
          <w:i/>
          <w:iCs/>
        </w:rPr>
        <w:t> </w:t>
      </w:r>
      <w:r w:rsidRPr="00C62A01">
        <w:rPr>
          <w:i/>
          <w:iCs/>
        </w:rPr>
        <w:t>indica</w:t>
      </w:r>
      <w:r>
        <w:t xml:space="preserve"> fruit as a host, or factors that influenced pest infestation of fruit in the country of origin, and that the relevance of the pest list should be evaluated using applicable expert sources (e.g.</w:t>
      </w:r>
      <w:r w:rsidR="00C62A01">
        <w:t> </w:t>
      </w:r>
      <w:r>
        <w:t>information verified by exporting NPPOs, peer-reviewed literature). Moreover, the steward reported that the TPCS was discussing the development of a database to include all the information that was gathered from pest risk analyses, clarifying that such information was provided by the NPPOs.</w:t>
      </w:r>
    </w:p>
    <w:p w14:paraId="7AF9D7DB" w14:textId="13F03906" w:rsidR="00B16072" w:rsidRDefault="00B16072" w:rsidP="00B16072">
      <w:pPr>
        <w:pStyle w:val="IPPNormal"/>
      </w:pPr>
      <w:r w:rsidRPr="00B16072">
        <w:rPr>
          <w:color w:val="0070C0"/>
          <w:sz w:val="18"/>
          <w:szCs w:val="20"/>
        </w:rPr>
        <w:t xml:space="preserve">[14] </w:t>
      </w:r>
      <w:r>
        <w:t>The SC-7 discussed a proposal to include a footnote stating that the references for the list of pests would be made available on request, which could be modified later once the database had been developed. They considered various options, including referring the reader to the secretariat for references, listing the names of the countries that had provided the information, or referring the reader to the secretariat for the names of these countries. Eventually, the SC-7 agreed to add a footnote saying that the information used to compile the list was supplied by at least one contracting party and may be provided by the secretariat upon request</w:t>
      </w:r>
      <w:r w:rsidR="00156499">
        <w:t>.</w:t>
      </w:r>
    </w:p>
    <w:p w14:paraId="7FABD01A" w14:textId="0C1DB874" w:rsidR="00156499" w:rsidRDefault="00156499" w:rsidP="00156499">
      <w:pPr>
        <w:pStyle w:val="IPPSubheadSpace"/>
      </w:pPr>
      <w:r>
        <w:t>SC November 2024:</w:t>
      </w:r>
    </w:p>
    <w:p w14:paraId="2677CDEE" w14:textId="4C3844AD" w:rsidR="00156499" w:rsidRDefault="00C62A01" w:rsidP="00B16072">
      <w:pPr>
        <w:pStyle w:val="IPPNormal"/>
      </w:pPr>
      <w:r w:rsidRPr="00C62A01">
        <w:rPr>
          <w:color w:val="0070C0"/>
          <w:sz w:val="18"/>
          <w:szCs w:val="20"/>
        </w:rPr>
        <w:t>[26]</w:t>
      </w:r>
      <w:r>
        <w:t xml:space="preserve"> </w:t>
      </w:r>
      <w:r w:rsidR="00156499" w:rsidRPr="00156499">
        <w:rPr>
          <w:b/>
          <w:bCs/>
        </w:rPr>
        <w:t>References for pest–host association.</w:t>
      </w:r>
      <w:r w:rsidR="00156499" w:rsidRPr="00156499">
        <w:t xml:space="preserve"> The steward explained that references for pest–host association had not been included because additional text had been added after first consultation, and modified after second consultation, to emphasize the factors affecting pest–host association and the responsibilities of NPPOs. She also referred to the plans of the TPCS to develop a database that would provide further details of the sources of information.</w:t>
      </w:r>
    </w:p>
    <w:sectPr w:rsidR="00156499" w:rsidSect="00717480">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AF1B2" w14:textId="77777777" w:rsidR="000E2A64" w:rsidRDefault="000E2A64" w:rsidP="00717480">
      <w:r>
        <w:separator/>
      </w:r>
    </w:p>
  </w:endnote>
  <w:endnote w:type="continuationSeparator" w:id="0">
    <w:p w14:paraId="2A0769C9" w14:textId="77777777" w:rsidR="000E2A64" w:rsidRDefault="000E2A64" w:rsidP="0071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16712" w14:textId="62DA94A9" w:rsidR="00717480" w:rsidRPr="00717480" w:rsidRDefault="00717480" w:rsidP="00717480">
    <w:pPr>
      <w:pStyle w:val="IPPFooter"/>
      <w:jc w:val="both"/>
      <w:rPr>
        <w:szCs w:val="18"/>
      </w:rPr>
    </w:pP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4</w:t>
    </w:r>
    <w:r>
      <w:rPr>
        <w:szCs w:val="18"/>
      </w:rPr>
      <w:fldChar w:fldCharType="end"/>
    </w:r>
    <w:r>
      <w:tab/>
    </w:r>
    <w:r>
      <w:t>International Plant Protection Convention</w:t>
    </w:r>
    <w:r>
      <w:rPr>
        <w:szCs w:val="18"/>
      </w:rPr>
      <w:t xml:space="preserve"> </w:t>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2E30B" w14:textId="6ABBA97C" w:rsidR="00717480" w:rsidRPr="00717480" w:rsidRDefault="00717480" w:rsidP="00717480">
    <w:pPr>
      <w:pStyle w:val="IPPFooter"/>
      <w:jc w:val="both"/>
    </w:pPr>
    <w:r>
      <w:t>International Plant Protection Convention</w:t>
    </w:r>
    <w:r>
      <w:rPr>
        <w:rFonts w:cs="Arial"/>
        <w:szCs w:val="18"/>
      </w:rP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szCs w:val="18"/>
      </w:rPr>
      <w:t>3</w:t>
    </w:r>
    <w:r w:rsidRPr="00377B19">
      <w:rPr>
        <w:rFonts w:cs="Arial"/>
        <w:szCs w:val="18"/>
      </w:rPr>
      <w:fldChar w:fldCharType="end"/>
    </w:r>
    <w:r w:rsidRPr="00377B19">
      <w:rPr>
        <w:rFonts w:cs="Arial"/>
        <w:szCs w:val="18"/>
      </w:rPr>
      <w:t xml:space="preserve"> of </w:t>
    </w:r>
    <w:r>
      <w:rPr>
        <w:rFonts w:cs="Arial"/>
        <w:szCs w:val="18"/>
      </w:rPr>
      <w:fldChar w:fldCharType="begin"/>
    </w:r>
    <w:r>
      <w:rPr>
        <w:rFonts w:cs="Arial"/>
        <w:szCs w:val="18"/>
      </w:rPr>
      <w:instrText>NUMPAGES</w:instrText>
    </w:r>
    <w:r>
      <w:rPr>
        <w:rFonts w:cs="Arial"/>
        <w:szCs w:val="18"/>
      </w:rPr>
      <w:fldChar w:fldCharType="separate"/>
    </w:r>
    <w:r>
      <w:rPr>
        <w:rFonts w:cs="Arial"/>
        <w:szCs w:val="18"/>
      </w:rPr>
      <w:t>4</w:t>
    </w:r>
    <w:r>
      <w:rPr>
        <w:rFonts w:cs="Arial"/>
        <w:szCs w:val="18"/>
      </w:rPr>
      <w:fldChar w:fldCharType="end"/>
    </w:r>
    <w:r>
      <w:rPr>
        <w:rFonts w:cs="Arial"/>
        <w:szCs w:val="18"/>
        <w:lang w:val="en-GB"/>
      </w:rPr>
      <w:fldChar w:fldCharType="begin"/>
    </w:r>
    <w:r>
      <w:rPr>
        <w:rFonts w:cs="Arial"/>
        <w:szCs w:val="18"/>
        <w:lang w:val="en-GB"/>
      </w:rPr>
      <w:instrText>NUMPAGE</w:instrText>
    </w:r>
    <w:r>
      <w:rPr>
        <w:rFonts w:cs="Arial"/>
        <w:szCs w:val="18"/>
        <w:lang w:val="en-GB"/>
      </w:rPr>
      <w:fldChar w:fldCharType="end"/>
    </w:r>
    <w:r>
      <w:rPr>
        <w:rFonts w:cs="Arial"/>
        <w:szCs w:val="18"/>
      </w:rPr>
      <w:fldChar w:fldCharType="begin"/>
    </w:r>
    <w:r>
      <w:rPr>
        <w:rFonts w:cs="Arial"/>
        <w:szCs w:val="18"/>
      </w:rPr>
      <w:instrText xml:space="preserve"> NUMPAGE </w:instrText>
    </w:r>
    <w:r>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D3D5" w14:textId="77777777" w:rsidR="00717480" w:rsidRPr="00646C0F" w:rsidRDefault="00717480" w:rsidP="00717480">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p w14:paraId="1AFFFF9C" w14:textId="77777777" w:rsidR="00717480" w:rsidRPr="00717480" w:rsidRDefault="00717480">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753CF" w14:textId="77777777" w:rsidR="000E2A64" w:rsidRDefault="000E2A64" w:rsidP="00717480">
      <w:r>
        <w:separator/>
      </w:r>
    </w:p>
  </w:footnote>
  <w:footnote w:type="continuationSeparator" w:id="0">
    <w:p w14:paraId="4A58EC3D" w14:textId="77777777" w:rsidR="000E2A64" w:rsidRDefault="000E2A64" w:rsidP="00717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21518" w14:textId="355E13C0" w:rsidR="00717480" w:rsidRPr="00717480" w:rsidRDefault="00717480" w:rsidP="00717480">
    <w:pPr>
      <w:pStyle w:val="IPPHeader"/>
      <w:tabs>
        <w:tab w:val="clear" w:pos="1134"/>
      </w:tabs>
      <w:spacing w:after="0"/>
    </w:pPr>
    <w:bookmarkStart w:id="0" w:name="_Hlk38797139"/>
    <w:r w:rsidRPr="00717480">
      <w:rPr>
        <w:lang w:val="en-GB"/>
      </w:rPr>
      <w:t>CPR_0</w:t>
    </w:r>
    <w:r>
      <w:rPr>
        <w:lang w:val="en-GB"/>
      </w:rPr>
      <w:t>3</w:t>
    </w:r>
    <w:r w:rsidRPr="00717480">
      <w:rPr>
        <w:lang w:val="en-GB"/>
      </w:rPr>
      <w:t>_TPCS_2025_Dec</w:t>
    </w:r>
    <w:r>
      <w:tab/>
    </w:r>
    <w:bookmarkEnd w:id="0"/>
    <w:r>
      <w:t xml:space="preserve">Referencing pests in commodity standards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1FE0F" w14:textId="4CD2FB14" w:rsidR="00717480" w:rsidRPr="00717480" w:rsidRDefault="00717480" w:rsidP="00717480">
    <w:pPr>
      <w:pStyle w:val="IPPHeader"/>
    </w:pPr>
    <w:r>
      <w:t>Referencing pests in commodity standards</w:t>
    </w:r>
    <w:r>
      <w:rPr>
        <w:lang w:val="en-GB"/>
      </w:rPr>
      <w:tab/>
    </w:r>
    <w:r w:rsidRPr="00717480">
      <w:rPr>
        <w:lang w:val="en-GB"/>
      </w:rPr>
      <w:t>CPR_0</w:t>
    </w:r>
    <w:r>
      <w:rPr>
        <w:lang w:val="en-GB"/>
      </w:rPr>
      <w:t>3</w:t>
    </w:r>
    <w:r w:rsidRPr="00717480">
      <w:rPr>
        <w:lang w:val="en-GB"/>
      </w:rPr>
      <w:t>_TPCS_2025_Dec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B6EF" w14:textId="77777777" w:rsidR="00717480" w:rsidRPr="003603A0" w:rsidRDefault="00717480" w:rsidP="00717480">
    <w:pPr>
      <w:pStyle w:val="IPPHeader"/>
      <w:tabs>
        <w:tab w:val="clear" w:pos="1134"/>
      </w:tabs>
      <w:spacing w:before="240" w:after="0"/>
      <w:rPr>
        <w:lang w:val="pt-PT"/>
      </w:rPr>
    </w:pPr>
    <w:bookmarkStart w:id="1" w:name="_Hlk38796923"/>
    <w:bookmarkStart w:id="2" w:name="_Hlk38796924"/>
    <w:r>
      <w:rPr>
        <w:i/>
        <w:iCs/>
        <w:noProof/>
        <w14:ligatures w14:val="standardContextual"/>
      </w:rPr>
      <w:drawing>
        <wp:anchor distT="0" distB="0" distL="114300" distR="114300" simplePos="0" relativeHeight="251661312" behindDoc="0" locked="0" layoutInCell="1" allowOverlap="1" wp14:anchorId="6BB67477" wp14:editId="519EF8E8">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5ABFC9E6" wp14:editId="0AB172CC">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B2ACF93"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548DA159" wp14:editId="5873B7BC">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6A5C906B" wp14:editId="7C1D5300">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sidRPr="003603A0">
      <w:rPr>
        <w:lang w:val="pt-PT"/>
      </w:rPr>
      <w:tab/>
    </w:r>
    <w:r w:rsidRPr="00717480">
      <w:rPr>
        <w:lang w:val="en-GB"/>
      </w:rPr>
      <w:t>CPR_0</w:t>
    </w:r>
    <w:r>
      <w:rPr>
        <w:lang w:val="en-GB"/>
      </w:rPr>
      <w:t>3</w:t>
    </w:r>
    <w:r w:rsidRPr="00717480">
      <w:rPr>
        <w:lang w:val="en-GB"/>
      </w:rPr>
      <w:t>_TPCS_2025_Dec</w:t>
    </w:r>
  </w:p>
  <w:p w14:paraId="1027C1D9" w14:textId="77777777" w:rsidR="00717480" w:rsidRPr="003603A0" w:rsidRDefault="00717480" w:rsidP="00717480">
    <w:pPr>
      <w:pStyle w:val="IPPHeader"/>
      <w:tabs>
        <w:tab w:val="clear" w:pos="1134"/>
      </w:tabs>
      <w:spacing w:after="0"/>
      <w:rPr>
        <w:lang w:val="pt-PT"/>
      </w:rPr>
    </w:pPr>
    <w:r w:rsidRPr="003603A0">
      <w:rPr>
        <w:lang w:val="pt-PT"/>
      </w:rPr>
      <w:tab/>
    </w:r>
  </w:p>
  <w:p w14:paraId="60445F32" w14:textId="77777777" w:rsidR="00717480" w:rsidRPr="003603A0" w:rsidRDefault="00717480" w:rsidP="00717480">
    <w:pPr>
      <w:pStyle w:val="IPPHeader"/>
      <w:tabs>
        <w:tab w:val="clear" w:pos="1134"/>
      </w:tabs>
      <w:spacing w:after="260"/>
      <w:rPr>
        <w:lang w:val="pt-PT"/>
      </w:rPr>
    </w:pPr>
  </w:p>
  <w:p w14:paraId="6DF681BA" w14:textId="0C062A0E" w:rsidR="00717480" w:rsidRPr="00717480" w:rsidRDefault="00717480" w:rsidP="00717480">
    <w:pPr>
      <w:pStyle w:val="IPPHeader"/>
      <w:tabs>
        <w:tab w:val="clear" w:pos="1134"/>
      </w:tabs>
      <w:spacing w:after="0"/>
    </w:pPr>
    <w:r>
      <w:t xml:space="preserve">Referencing pests in commodity standards </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634940127">
    <w:abstractNumId w:val="11"/>
  </w:num>
  <w:num w:numId="4" w16cid:durableId="1189366223">
    <w:abstractNumId w:val="14"/>
  </w:num>
  <w:num w:numId="5" w16cid:durableId="1358458346">
    <w:abstractNumId w:val="20"/>
  </w:num>
  <w:num w:numId="6" w16cid:durableId="636107580">
    <w:abstractNumId w:val="17"/>
  </w:num>
  <w:num w:numId="7" w16cid:durableId="735201531">
    <w:abstractNumId w:val="15"/>
  </w:num>
  <w:num w:numId="8" w16cid:durableId="625426921">
    <w:abstractNumId w:val="21"/>
  </w:num>
  <w:num w:numId="9" w16cid:durableId="751855798">
    <w:abstractNumId w:val="13"/>
  </w:num>
  <w:num w:numId="10"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1752699161">
    <w:abstractNumId w:val="10"/>
  </w:num>
  <w:num w:numId="17" w16cid:durableId="1096559190">
    <w:abstractNumId w:val="16"/>
  </w:num>
  <w:num w:numId="18" w16cid:durableId="259989354">
    <w:abstractNumId w:val="19"/>
  </w:num>
  <w:num w:numId="19" w16cid:durableId="1712146357">
    <w:abstractNumId w:val="9"/>
  </w:num>
  <w:num w:numId="20" w16cid:durableId="1722557205">
    <w:abstractNumId w:val="7"/>
  </w:num>
  <w:num w:numId="21" w16cid:durableId="1201271">
    <w:abstractNumId w:val="6"/>
  </w:num>
  <w:num w:numId="22" w16cid:durableId="185826108">
    <w:abstractNumId w:val="5"/>
  </w:num>
  <w:num w:numId="23" w16cid:durableId="257298398">
    <w:abstractNumId w:val="4"/>
  </w:num>
  <w:num w:numId="24" w16cid:durableId="1676423577">
    <w:abstractNumId w:val="8"/>
  </w:num>
  <w:num w:numId="25" w16cid:durableId="125778737">
    <w:abstractNumId w:val="3"/>
  </w:num>
  <w:num w:numId="26" w16cid:durableId="776291828">
    <w:abstractNumId w:val="2"/>
  </w:num>
  <w:num w:numId="27" w16cid:durableId="410125225">
    <w:abstractNumId w:val="1"/>
  </w:num>
  <w:num w:numId="28" w16cid:durableId="128011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EF4"/>
    <w:rsid w:val="00062079"/>
    <w:rsid w:val="0008405B"/>
    <w:rsid w:val="000C703E"/>
    <w:rsid w:val="000E2A64"/>
    <w:rsid w:val="0010401C"/>
    <w:rsid w:val="00156499"/>
    <w:rsid w:val="00156D36"/>
    <w:rsid w:val="002D6988"/>
    <w:rsid w:val="00326144"/>
    <w:rsid w:val="00354282"/>
    <w:rsid w:val="003F11F2"/>
    <w:rsid w:val="003F1B41"/>
    <w:rsid w:val="003F7B2F"/>
    <w:rsid w:val="00420D3B"/>
    <w:rsid w:val="00461667"/>
    <w:rsid w:val="004F4EEC"/>
    <w:rsid w:val="005C2317"/>
    <w:rsid w:val="00607F23"/>
    <w:rsid w:val="006A11D6"/>
    <w:rsid w:val="00717480"/>
    <w:rsid w:val="008404C6"/>
    <w:rsid w:val="008A560B"/>
    <w:rsid w:val="008D114B"/>
    <w:rsid w:val="00903CFE"/>
    <w:rsid w:val="00A3654F"/>
    <w:rsid w:val="00AE3433"/>
    <w:rsid w:val="00B16072"/>
    <w:rsid w:val="00B86F88"/>
    <w:rsid w:val="00BA1A9D"/>
    <w:rsid w:val="00BB2EF4"/>
    <w:rsid w:val="00BD1272"/>
    <w:rsid w:val="00C232CF"/>
    <w:rsid w:val="00C62A01"/>
    <w:rsid w:val="00C94EAC"/>
    <w:rsid w:val="00CA0E2A"/>
    <w:rsid w:val="00EF2B5C"/>
    <w:rsid w:val="00F36160"/>
    <w:rsid w:val="00F43CA5"/>
    <w:rsid w:val="00F71B6F"/>
    <w:rsid w:val="00FA019D"/>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9F7C5"/>
  <w15:chartTrackingRefBased/>
  <w15:docId w15:val="{55661246-EA04-44E0-B3EC-1F3BCC4FA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EF4"/>
    <w:pPr>
      <w:spacing w:after="0" w:line="240" w:lineRule="auto"/>
      <w:jc w:val="both"/>
    </w:pPr>
    <w:rPr>
      <w:rFonts w:ascii="Times New Roman" w:eastAsia="MS Mincho" w:hAnsi="Times New Roman" w:cs="Times New Roman"/>
      <w:kern w:val="0"/>
      <w:szCs w:val="24"/>
      <w14:ligatures w14:val="none"/>
    </w:rPr>
  </w:style>
  <w:style w:type="paragraph" w:styleId="Heading1">
    <w:name w:val="heading 1"/>
    <w:basedOn w:val="Normal"/>
    <w:next w:val="Normal"/>
    <w:link w:val="Heading1Char"/>
    <w:qFormat/>
    <w:rsid w:val="00BB2EF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BB2EF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BB2EF4"/>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BB2E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2E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2EF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2EF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2EF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2EF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2EF4"/>
    <w:rPr>
      <w:rFonts w:ascii="Times New Roman" w:eastAsia="MS Mincho" w:hAnsi="Times New Roman" w:cs="Times New Roman"/>
      <w:b/>
      <w:bCs/>
      <w:kern w:val="0"/>
      <w:szCs w:val="24"/>
      <w14:ligatures w14:val="none"/>
    </w:rPr>
  </w:style>
  <w:style w:type="character" w:customStyle="1" w:styleId="Heading2Char">
    <w:name w:val="Heading 2 Char"/>
    <w:basedOn w:val="DefaultParagraphFont"/>
    <w:link w:val="Heading2"/>
    <w:rsid w:val="00BB2EF4"/>
    <w:rPr>
      <w:rFonts w:ascii="Calibri" w:eastAsia="MS Mincho" w:hAnsi="Calibri" w:cs="Times New Roman"/>
      <w:b/>
      <w:bCs/>
      <w:i/>
      <w:iCs/>
      <w:kern w:val="0"/>
      <w:sz w:val="28"/>
      <w:szCs w:val="28"/>
      <w14:ligatures w14:val="none"/>
    </w:rPr>
  </w:style>
  <w:style w:type="character" w:customStyle="1" w:styleId="Heading3Char">
    <w:name w:val="Heading 3 Char"/>
    <w:basedOn w:val="DefaultParagraphFont"/>
    <w:link w:val="Heading3"/>
    <w:rsid w:val="00BB2EF4"/>
    <w:rPr>
      <w:rFonts w:ascii="Calibri" w:eastAsia="MS Mincho" w:hAnsi="Calibri" w:cs="Times New Roman"/>
      <w:b/>
      <w:bCs/>
      <w:kern w:val="0"/>
      <w:sz w:val="26"/>
      <w:szCs w:val="26"/>
      <w14:ligatures w14:val="none"/>
    </w:rPr>
  </w:style>
  <w:style w:type="character" w:customStyle="1" w:styleId="Heading4Char">
    <w:name w:val="Heading 4 Char"/>
    <w:basedOn w:val="DefaultParagraphFont"/>
    <w:link w:val="Heading4"/>
    <w:uiPriority w:val="9"/>
    <w:semiHidden/>
    <w:rsid w:val="00BB2E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2E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2E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2E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2E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2EF4"/>
    <w:rPr>
      <w:rFonts w:eastAsiaTheme="majorEastAsia" w:cstheme="majorBidi"/>
      <w:color w:val="272727" w:themeColor="text1" w:themeTint="D8"/>
    </w:rPr>
  </w:style>
  <w:style w:type="paragraph" w:styleId="Title">
    <w:name w:val="Title"/>
    <w:basedOn w:val="Normal"/>
    <w:next w:val="Normal"/>
    <w:link w:val="TitleChar"/>
    <w:uiPriority w:val="10"/>
    <w:qFormat/>
    <w:rsid w:val="00BB2E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2E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2E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2E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2EF4"/>
    <w:pPr>
      <w:spacing w:before="160"/>
      <w:jc w:val="center"/>
    </w:pPr>
    <w:rPr>
      <w:i/>
      <w:iCs/>
      <w:color w:val="404040" w:themeColor="text1" w:themeTint="BF"/>
    </w:rPr>
  </w:style>
  <w:style w:type="character" w:customStyle="1" w:styleId="QuoteChar">
    <w:name w:val="Quote Char"/>
    <w:basedOn w:val="DefaultParagraphFont"/>
    <w:link w:val="Quote"/>
    <w:uiPriority w:val="29"/>
    <w:rsid w:val="00BB2EF4"/>
    <w:rPr>
      <w:i/>
      <w:iCs/>
      <w:color w:val="404040" w:themeColor="text1" w:themeTint="BF"/>
    </w:rPr>
  </w:style>
  <w:style w:type="paragraph" w:styleId="ListParagraph">
    <w:name w:val="List Paragraph"/>
    <w:basedOn w:val="Normal"/>
    <w:uiPriority w:val="34"/>
    <w:qFormat/>
    <w:rsid w:val="00BB2EF4"/>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BB2EF4"/>
    <w:rPr>
      <w:i/>
      <w:iCs/>
      <w:color w:val="0F4761" w:themeColor="accent1" w:themeShade="BF"/>
    </w:rPr>
  </w:style>
  <w:style w:type="paragraph" w:styleId="IntenseQuote">
    <w:name w:val="Intense Quote"/>
    <w:basedOn w:val="Normal"/>
    <w:next w:val="Normal"/>
    <w:link w:val="IntenseQuoteChar"/>
    <w:uiPriority w:val="30"/>
    <w:qFormat/>
    <w:rsid w:val="00BB2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2EF4"/>
    <w:rPr>
      <w:i/>
      <w:iCs/>
      <w:color w:val="0F4761" w:themeColor="accent1" w:themeShade="BF"/>
    </w:rPr>
  </w:style>
  <w:style w:type="character" w:styleId="IntenseReference">
    <w:name w:val="Intense Reference"/>
    <w:basedOn w:val="DefaultParagraphFont"/>
    <w:uiPriority w:val="32"/>
    <w:qFormat/>
    <w:rsid w:val="00BB2EF4"/>
    <w:rPr>
      <w:b/>
      <w:bCs/>
      <w:smallCaps/>
      <w:color w:val="0F4761" w:themeColor="accent1" w:themeShade="BF"/>
      <w:spacing w:val="5"/>
    </w:rPr>
  </w:style>
  <w:style w:type="paragraph" w:styleId="FootnoteText">
    <w:name w:val="footnote text"/>
    <w:basedOn w:val="Normal"/>
    <w:link w:val="FootnoteTextChar"/>
    <w:semiHidden/>
    <w:rsid w:val="00BB2EF4"/>
    <w:pPr>
      <w:spacing w:before="60"/>
    </w:pPr>
    <w:rPr>
      <w:sz w:val="20"/>
    </w:rPr>
  </w:style>
  <w:style w:type="character" w:customStyle="1" w:styleId="FootnoteTextChar">
    <w:name w:val="Footnote Text Char"/>
    <w:basedOn w:val="DefaultParagraphFont"/>
    <w:link w:val="FootnoteText"/>
    <w:semiHidden/>
    <w:rsid w:val="00BB2EF4"/>
    <w:rPr>
      <w:rFonts w:ascii="Times New Roman" w:eastAsia="MS Mincho" w:hAnsi="Times New Roman" w:cs="Times New Roman"/>
      <w:kern w:val="0"/>
      <w:sz w:val="20"/>
      <w:szCs w:val="24"/>
      <w14:ligatures w14:val="none"/>
    </w:rPr>
  </w:style>
  <w:style w:type="character" w:styleId="FootnoteReference">
    <w:name w:val="footnote reference"/>
    <w:basedOn w:val="DefaultParagraphFont"/>
    <w:semiHidden/>
    <w:rsid w:val="00BB2EF4"/>
    <w:rPr>
      <w:vertAlign w:val="superscript"/>
    </w:rPr>
  </w:style>
  <w:style w:type="paragraph" w:customStyle="1" w:styleId="Style">
    <w:name w:val="Style"/>
    <w:basedOn w:val="Footer"/>
    <w:autoRedefine/>
    <w:qFormat/>
    <w:rsid w:val="00BB2EF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BB2EF4"/>
    <w:pPr>
      <w:tabs>
        <w:tab w:val="center" w:pos="4680"/>
        <w:tab w:val="right" w:pos="9360"/>
      </w:tabs>
    </w:pPr>
  </w:style>
  <w:style w:type="character" w:customStyle="1" w:styleId="FooterChar">
    <w:name w:val="Footer Char"/>
    <w:basedOn w:val="DefaultParagraphFont"/>
    <w:link w:val="Footer"/>
    <w:rsid w:val="00BB2EF4"/>
    <w:rPr>
      <w:rFonts w:ascii="Times New Roman" w:eastAsia="MS Mincho" w:hAnsi="Times New Roman" w:cs="Times New Roman"/>
      <w:kern w:val="0"/>
      <w:szCs w:val="24"/>
      <w14:ligatures w14:val="none"/>
    </w:rPr>
  </w:style>
  <w:style w:type="character" w:styleId="PageNumber">
    <w:name w:val="page number"/>
    <w:rsid w:val="00BB2EF4"/>
    <w:rPr>
      <w:rFonts w:ascii="Arial" w:hAnsi="Arial"/>
      <w:b/>
      <w:sz w:val="18"/>
    </w:rPr>
  </w:style>
  <w:style w:type="paragraph" w:customStyle="1" w:styleId="IPPArialFootnote">
    <w:name w:val="IPP Arial Footnote"/>
    <w:basedOn w:val="IPPArialTable"/>
    <w:qFormat/>
    <w:rsid w:val="00BB2EF4"/>
    <w:pPr>
      <w:tabs>
        <w:tab w:val="left" w:pos="28"/>
      </w:tabs>
      <w:ind w:left="284" w:hanging="284"/>
    </w:pPr>
    <w:rPr>
      <w:sz w:val="16"/>
    </w:rPr>
  </w:style>
  <w:style w:type="paragraph" w:customStyle="1" w:styleId="IPPContentsHead">
    <w:name w:val="IPP ContentsHead"/>
    <w:basedOn w:val="IPPSubhead"/>
    <w:next w:val="IPPNormal"/>
    <w:qFormat/>
    <w:rsid w:val="00BB2EF4"/>
    <w:pPr>
      <w:spacing w:after="240"/>
    </w:pPr>
    <w:rPr>
      <w:sz w:val="24"/>
    </w:rPr>
  </w:style>
  <w:style w:type="table" w:styleId="TableGrid">
    <w:name w:val="Table Grid"/>
    <w:basedOn w:val="TableNormal"/>
    <w:rsid w:val="00BB2EF4"/>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B2EF4"/>
    <w:rPr>
      <w:rFonts w:ascii="Tahoma" w:hAnsi="Tahoma" w:cs="Tahoma"/>
      <w:sz w:val="16"/>
      <w:szCs w:val="16"/>
    </w:rPr>
  </w:style>
  <w:style w:type="character" w:customStyle="1" w:styleId="BalloonTextChar">
    <w:name w:val="Balloon Text Char"/>
    <w:basedOn w:val="DefaultParagraphFont"/>
    <w:link w:val="BalloonText"/>
    <w:rsid w:val="00BB2EF4"/>
    <w:rPr>
      <w:rFonts w:ascii="Tahoma" w:eastAsia="MS Mincho" w:hAnsi="Tahoma" w:cs="Tahoma"/>
      <w:kern w:val="0"/>
      <w:sz w:val="16"/>
      <w:szCs w:val="16"/>
      <w14:ligatures w14:val="none"/>
    </w:rPr>
  </w:style>
  <w:style w:type="paragraph" w:customStyle="1" w:styleId="IPPBullet2">
    <w:name w:val="IPP Bullet2"/>
    <w:basedOn w:val="IPPNormal"/>
    <w:next w:val="IPPBullet1"/>
    <w:qFormat/>
    <w:rsid w:val="00BB2EF4"/>
    <w:pPr>
      <w:numPr>
        <w:numId w:val="5"/>
      </w:numPr>
      <w:tabs>
        <w:tab w:val="left" w:pos="1134"/>
      </w:tabs>
      <w:spacing w:after="60"/>
      <w:ind w:left="1134" w:hanging="567"/>
    </w:pPr>
  </w:style>
  <w:style w:type="paragraph" w:customStyle="1" w:styleId="IPPQuote">
    <w:name w:val="IPP Quote"/>
    <w:basedOn w:val="IPPNormal"/>
    <w:qFormat/>
    <w:rsid w:val="00BB2EF4"/>
    <w:pPr>
      <w:ind w:left="851" w:right="851"/>
    </w:pPr>
    <w:rPr>
      <w:sz w:val="18"/>
    </w:rPr>
  </w:style>
  <w:style w:type="paragraph" w:customStyle="1" w:styleId="IPPNormal">
    <w:name w:val="IPP Normal"/>
    <w:basedOn w:val="Normal"/>
    <w:qFormat/>
    <w:rsid w:val="00BB2EF4"/>
    <w:pPr>
      <w:spacing w:after="180"/>
    </w:pPr>
    <w:rPr>
      <w:rFonts w:eastAsia="Times"/>
    </w:rPr>
  </w:style>
  <w:style w:type="paragraph" w:customStyle="1" w:styleId="IPPIndentClose">
    <w:name w:val="IPP Indent Close"/>
    <w:basedOn w:val="IPPNormal"/>
    <w:qFormat/>
    <w:rsid w:val="00BB2EF4"/>
    <w:pPr>
      <w:tabs>
        <w:tab w:val="left" w:pos="2835"/>
      </w:tabs>
      <w:spacing w:after="60"/>
      <w:ind w:left="567"/>
    </w:pPr>
  </w:style>
  <w:style w:type="paragraph" w:customStyle="1" w:styleId="IPPIndent">
    <w:name w:val="IPP Indent"/>
    <w:basedOn w:val="IPPIndentClose"/>
    <w:qFormat/>
    <w:rsid w:val="00BB2EF4"/>
    <w:pPr>
      <w:spacing w:after="180"/>
    </w:pPr>
  </w:style>
  <w:style w:type="paragraph" w:customStyle="1" w:styleId="IPPFootnote">
    <w:name w:val="IPP Footnote"/>
    <w:basedOn w:val="IPPArialFootnote"/>
    <w:qFormat/>
    <w:rsid w:val="00BB2EF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BB2EF4"/>
    <w:pPr>
      <w:keepNext/>
      <w:tabs>
        <w:tab w:val="left" w:pos="567"/>
      </w:tabs>
      <w:spacing w:before="120" w:after="120"/>
      <w:ind w:left="567" w:hanging="567"/>
    </w:pPr>
    <w:rPr>
      <w:b/>
      <w:i/>
    </w:rPr>
  </w:style>
  <w:style w:type="character" w:customStyle="1" w:styleId="IPPnormalitalics">
    <w:name w:val="IPP normal italics"/>
    <w:basedOn w:val="DefaultParagraphFont"/>
    <w:rsid w:val="00BB2EF4"/>
    <w:rPr>
      <w:rFonts w:ascii="Times New Roman" w:hAnsi="Times New Roman"/>
      <w:i/>
      <w:sz w:val="22"/>
      <w:lang w:val="en-US"/>
    </w:rPr>
  </w:style>
  <w:style w:type="character" w:customStyle="1" w:styleId="IPPNormalbold">
    <w:name w:val="IPP Normal bold"/>
    <w:basedOn w:val="PlainTextChar"/>
    <w:rsid w:val="00BB2EF4"/>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BB2EF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BB2EF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BB2EF4"/>
    <w:pPr>
      <w:keepNext/>
      <w:ind w:left="567" w:hanging="567"/>
      <w:jc w:val="left"/>
    </w:pPr>
    <w:rPr>
      <w:b/>
      <w:bCs/>
      <w:iCs/>
      <w:szCs w:val="22"/>
    </w:rPr>
  </w:style>
  <w:style w:type="character" w:customStyle="1" w:styleId="IPPNormalunderlined">
    <w:name w:val="IPP Normal underlined"/>
    <w:basedOn w:val="DefaultParagraphFont"/>
    <w:rsid w:val="00BB2EF4"/>
    <w:rPr>
      <w:rFonts w:ascii="Times New Roman" w:hAnsi="Times New Roman"/>
      <w:sz w:val="22"/>
      <w:u w:val="single"/>
      <w:lang w:val="en-US"/>
    </w:rPr>
  </w:style>
  <w:style w:type="paragraph" w:customStyle="1" w:styleId="IPPBullet1">
    <w:name w:val="IPP Bullet1"/>
    <w:basedOn w:val="IPPBullet1Last"/>
    <w:qFormat/>
    <w:rsid w:val="00BB2EF4"/>
    <w:pPr>
      <w:numPr>
        <w:numId w:val="18"/>
      </w:numPr>
      <w:spacing w:after="60"/>
      <w:ind w:left="567" w:hanging="567"/>
    </w:pPr>
    <w:rPr>
      <w:lang w:val="en-US"/>
    </w:rPr>
  </w:style>
  <w:style w:type="paragraph" w:customStyle="1" w:styleId="IPPBullet1Last">
    <w:name w:val="IPP Bullet1Last"/>
    <w:basedOn w:val="IPPNormal"/>
    <w:next w:val="IPPNormal"/>
    <w:qFormat/>
    <w:rsid w:val="00BB2EF4"/>
    <w:pPr>
      <w:numPr>
        <w:numId w:val="6"/>
      </w:numPr>
    </w:pPr>
  </w:style>
  <w:style w:type="character" w:customStyle="1" w:styleId="IPPNormalstrikethrough">
    <w:name w:val="IPP Normal strikethrough"/>
    <w:rsid w:val="00BB2EF4"/>
    <w:rPr>
      <w:rFonts w:ascii="Times New Roman" w:hAnsi="Times New Roman"/>
      <w:strike/>
      <w:dstrike w:val="0"/>
      <w:sz w:val="22"/>
    </w:rPr>
  </w:style>
  <w:style w:type="paragraph" w:customStyle="1" w:styleId="IPPTitle16pt">
    <w:name w:val="IPP Title16pt"/>
    <w:basedOn w:val="Normal"/>
    <w:qFormat/>
    <w:rsid w:val="00BB2EF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BB2EF4"/>
    <w:pPr>
      <w:spacing w:after="360"/>
      <w:jc w:val="center"/>
    </w:pPr>
    <w:rPr>
      <w:rFonts w:ascii="Arial" w:hAnsi="Arial" w:cs="Arial"/>
      <w:b/>
      <w:bCs/>
      <w:sz w:val="36"/>
      <w:szCs w:val="36"/>
    </w:rPr>
  </w:style>
  <w:style w:type="paragraph" w:customStyle="1" w:styleId="IPPHeader">
    <w:name w:val="IPP Header"/>
    <w:basedOn w:val="Normal"/>
    <w:qFormat/>
    <w:rsid w:val="00BB2EF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BB2EF4"/>
    <w:pPr>
      <w:keepNext/>
      <w:tabs>
        <w:tab w:val="left" w:pos="567"/>
      </w:tabs>
      <w:spacing w:before="120"/>
      <w:jc w:val="left"/>
      <w:outlineLvl w:val="1"/>
    </w:pPr>
    <w:rPr>
      <w:b/>
      <w:sz w:val="24"/>
    </w:rPr>
  </w:style>
  <w:style w:type="numbering" w:customStyle="1" w:styleId="IPPParagraphnumberedlist">
    <w:name w:val="IPP Paragraph numbered list"/>
    <w:rsid w:val="00BB2EF4"/>
    <w:pPr>
      <w:numPr>
        <w:numId w:val="4"/>
      </w:numPr>
    </w:pPr>
  </w:style>
  <w:style w:type="paragraph" w:customStyle="1" w:styleId="IPPNormalCloseSpace">
    <w:name w:val="IPP NormalCloseSpace"/>
    <w:basedOn w:val="Normal"/>
    <w:qFormat/>
    <w:rsid w:val="00BB2EF4"/>
    <w:pPr>
      <w:keepNext/>
      <w:spacing w:after="60"/>
    </w:pPr>
  </w:style>
  <w:style w:type="paragraph" w:customStyle="1" w:styleId="IPPHeading2">
    <w:name w:val="IPP Heading2"/>
    <w:basedOn w:val="IPPNormal"/>
    <w:next w:val="IPPNormal"/>
    <w:qFormat/>
    <w:rsid w:val="00BB2EF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BB2EF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BB2EF4"/>
    <w:pPr>
      <w:tabs>
        <w:tab w:val="right" w:leader="dot" w:pos="9072"/>
      </w:tabs>
      <w:spacing w:before="240"/>
      <w:ind w:left="567" w:hanging="567"/>
    </w:pPr>
  </w:style>
  <w:style w:type="paragraph" w:styleId="TOC2">
    <w:name w:val="toc 2"/>
    <w:basedOn w:val="TOC1"/>
    <w:next w:val="Normal"/>
    <w:autoRedefine/>
    <w:uiPriority w:val="39"/>
    <w:rsid w:val="00BB2EF4"/>
    <w:pPr>
      <w:keepNext w:val="0"/>
      <w:tabs>
        <w:tab w:val="left" w:pos="425"/>
      </w:tabs>
      <w:spacing w:before="120" w:after="0"/>
      <w:ind w:left="425" w:right="284" w:hanging="425"/>
    </w:pPr>
  </w:style>
  <w:style w:type="paragraph" w:styleId="TOC3">
    <w:name w:val="toc 3"/>
    <w:basedOn w:val="TOC2"/>
    <w:next w:val="Normal"/>
    <w:autoRedefine/>
    <w:uiPriority w:val="39"/>
    <w:rsid w:val="00BB2EF4"/>
    <w:pPr>
      <w:tabs>
        <w:tab w:val="left" w:pos="1276"/>
      </w:tabs>
      <w:spacing w:before="60"/>
      <w:ind w:left="1276" w:hanging="851"/>
    </w:pPr>
    <w:rPr>
      <w:rFonts w:eastAsia="Times"/>
    </w:rPr>
  </w:style>
  <w:style w:type="paragraph" w:styleId="TOC4">
    <w:name w:val="toc 4"/>
    <w:basedOn w:val="Normal"/>
    <w:next w:val="Normal"/>
    <w:autoRedefine/>
    <w:uiPriority w:val="39"/>
    <w:rsid w:val="00BB2EF4"/>
    <w:pPr>
      <w:spacing w:after="120"/>
      <w:ind w:left="660"/>
    </w:pPr>
    <w:rPr>
      <w:rFonts w:eastAsia="Times"/>
      <w:lang w:val="en-AU"/>
    </w:rPr>
  </w:style>
  <w:style w:type="paragraph" w:styleId="TOC5">
    <w:name w:val="toc 5"/>
    <w:basedOn w:val="Normal"/>
    <w:next w:val="Normal"/>
    <w:autoRedefine/>
    <w:uiPriority w:val="39"/>
    <w:rsid w:val="00BB2EF4"/>
    <w:pPr>
      <w:spacing w:after="120"/>
      <w:ind w:left="880"/>
    </w:pPr>
    <w:rPr>
      <w:rFonts w:eastAsia="Times"/>
      <w:lang w:val="en-AU"/>
    </w:rPr>
  </w:style>
  <w:style w:type="paragraph" w:styleId="TOC6">
    <w:name w:val="toc 6"/>
    <w:basedOn w:val="Normal"/>
    <w:next w:val="Normal"/>
    <w:autoRedefine/>
    <w:uiPriority w:val="39"/>
    <w:rsid w:val="00BB2EF4"/>
    <w:pPr>
      <w:spacing w:after="120"/>
      <w:ind w:left="1100"/>
    </w:pPr>
    <w:rPr>
      <w:rFonts w:eastAsia="Times"/>
      <w:lang w:val="en-AU"/>
    </w:rPr>
  </w:style>
  <w:style w:type="paragraph" w:styleId="TOC7">
    <w:name w:val="toc 7"/>
    <w:basedOn w:val="Normal"/>
    <w:next w:val="Normal"/>
    <w:autoRedefine/>
    <w:uiPriority w:val="39"/>
    <w:rsid w:val="00BB2EF4"/>
    <w:pPr>
      <w:spacing w:after="120"/>
      <w:ind w:left="1320"/>
    </w:pPr>
    <w:rPr>
      <w:rFonts w:eastAsia="Times"/>
      <w:lang w:val="en-AU"/>
    </w:rPr>
  </w:style>
  <w:style w:type="paragraph" w:styleId="TOC8">
    <w:name w:val="toc 8"/>
    <w:basedOn w:val="Normal"/>
    <w:next w:val="Normal"/>
    <w:autoRedefine/>
    <w:uiPriority w:val="39"/>
    <w:rsid w:val="00BB2EF4"/>
    <w:pPr>
      <w:spacing w:after="120"/>
      <w:ind w:left="1540"/>
    </w:pPr>
    <w:rPr>
      <w:rFonts w:eastAsia="Times"/>
      <w:lang w:val="en-AU"/>
    </w:rPr>
  </w:style>
  <w:style w:type="paragraph" w:styleId="TOC9">
    <w:name w:val="toc 9"/>
    <w:basedOn w:val="Normal"/>
    <w:next w:val="Normal"/>
    <w:autoRedefine/>
    <w:uiPriority w:val="39"/>
    <w:rsid w:val="00BB2EF4"/>
    <w:pPr>
      <w:spacing w:after="120"/>
      <w:ind w:left="1760"/>
    </w:pPr>
    <w:rPr>
      <w:rFonts w:eastAsia="Times"/>
      <w:lang w:val="en-AU"/>
    </w:rPr>
  </w:style>
  <w:style w:type="paragraph" w:customStyle="1" w:styleId="IPPReferences">
    <w:name w:val="IPP References"/>
    <w:basedOn w:val="IPPNormal"/>
    <w:qFormat/>
    <w:rsid w:val="00BB2EF4"/>
    <w:pPr>
      <w:spacing w:after="60"/>
      <w:ind w:left="567" w:hanging="567"/>
    </w:pPr>
  </w:style>
  <w:style w:type="paragraph" w:customStyle="1" w:styleId="IPPArial">
    <w:name w:val="IPP Arial"/>
    <w:basedOn w:val="IPPNormal"/>
    <w:qFormat/>
    <w:rsid w:val="00BB2EF4"/>
    <w:pPr>
      <w:spacing w:after="0"/>
    </w:pPr>
    <w:rPr>
      <w:rFonts w:ascii="Arial" w:hAnsi="Arial"/>
      <w:sz w:val="18"/>
    </w:rPr>
  </w:style>
  <w:style w:type="paragraph" w:customStyle="1" w:styleId="IPPArialTable">
    <w:name w:val="IPP Arial Table"/>
    <w:basedOn w:val="IPPArial"/>
    <w:qFormat/>
    <w:rsid w:val="00BB2EF4"/>
    <w:pPr>
      <w:spacing w:before="60" w:after="60"/>
      <w:jc w:val="left"/>
    </w:pPr>
  </w:style>
  <w:style w:type="paragraph" w:customStyle="1" w:styleId="IPPHeaderlandscape">
    <w:name w:val="IPP Header landscape"/>
    <w:basedOn w:val="IPPHeader"/>
    <w:qFormat/>
    <w:rsid w:val="00BB2EF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BB2EF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BB2EF4"/>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BB2EF4"/>
    <w:pPr>
      <w:numPr>
        <w:numId w:val="1"/>
      </w:numPr>
      <w:jc w:val="left"/>
    </w:pPr>
  </w:style>
  <w:style w:type="paragraph" w:customStyle="1" w:styleId="IPPLetterListIndent">
    <w:name w:val="IPP LetterList Indent"/>
    <w:basedOn w:val="IPPLetterList"/>
    <w:qFormat/>
    <w:rsid w:val="00BB2EF4"/>
    <w:pPr>
      <w:numPr>
        <w:numId w:val="2"/>
      </w:numPr>
    </w:pPr>
  </w:style>
  <w:style w:type="paragraph" w:customStyle="1" w:styleId="IPPFooterLandscape">
    <w:name w:val="IPP Footer Landscape"/>
    <w:basedOn w:val="IPPHeaderlandscape"/>
    <w:qFormat/>
    <w:rsid w:val="00BB2EF4"/>
    <w:pPr>
      <w:pBdr>
        <w:top w:val="single" w:sz="4" w:space="1" w:color="auto"/>
        <w:bottom w:val="none" w:sz="0" w:space="0" w:color="auto"/>
      </w:pBdr>
      <w:jc w:val="right"/>
    </w:pPr>
    <w:rPr>
      <w:b/>
    </w:rPr>
  </w:style>
  <w:style w:type="paragraph" w:customStyle="1" w:styleId="IPPSubheadSpace">
    <w:name w:val="IPP Subhead Space"/>
    <w:basedOn w:val="IPPSubhead"/>
    <w:qFormat/>
    <w:rsid w:val="00BB2EF4"/>
    <w:pPr>
      <w:tabs>
        <w:tab w:val="left" w:pos="567"/>
      </w:tabs>
      <w:spacing w:before="60" w:after="60"/>
    </w:pPr>
  </w:style>
  <w:style w:type="paragraph" w:customStyle="1" w:styleId="IPPSubheadSpaceAfter">
    <w:name w:val="IPP Subhead SpaceAfter"/>
    <w:basedOn w:val="IPPSubhead"/>
    <w:qFormat/>
    <w:rsid w:val="00BB2EF4"/>
    <w:pPr>
      <w:spacing w:after="60"/>
    </w:pPr>
  </w:style>
  <w:style w:type="paragraph" w:customStyle="1" w:styleId="IPPHdg1Num">
    <w:name w:val="IPP Hdg1Num"/>
    <w:basedOn w:val="IPPHeading1"/>
    <w:next w:val="IPPNormal"/>
    <w:qFormat/>
    <w:rsid w:val="00BB2EF4"/>
    <w:pPr>
      <w:numPr>
        <w:numId w:val="7"/>
      </w:numPr>
    </w:pPr>
  </w:style>
  <w:style w:type="paragraph" w:customStyle="1" w:styleId="IPPHdg2Num">
    <w:name w:val="IPP Hdg2Num"/>
    <w:basedOn w:val="IPPHeading2"/>
    <w:next w:val="IPPNormal"/>
    <w:qFormat/>
    <w:rsid w:val="00BB2EF4"/>
    <w:pPr>
      <w:numPr>
        <w:ilvl w:val="1"/>
        <w:numId w:val="8"/>
      </w:numPr>
    </w:pPr>
  </w:style>
  <w:style w:type="paragraph" w:customStyle="1" w:styleId="IPPNumberedList">
    <w:name w:val="IPP NumberedList"/>
    <w:basedOn w:val="IPPBullet1"/>
    <w:qFormat/>
    <w:rsid w:val="00BB2EF4"/>
    <w:pPr>
      <w:numPr>
        <w:numId w:val="16"/>
      </w:numPr>
    </w:pPr>
  </w:style>
  <w:style w:type="paragraph" w:styleId="Header">
    <w:name w:val="header"/>
    <w:basedOn w:val="Normal"/>
    <w:link w:val="HeaderChar"/>
    <w:rsid w:val="00BB2EF4"/>
    <w:pPr>
      <w:tabs>
        <w:tab w:val="center" w:pos="4680"/>
        <w:tab w:val="right" w:pos="9360"/>
      </w:tabs>
    </w:pPr>
  </w:style>
  <w:style w:type="character" w:customStyle="1" w:styleId="HeaderChar">
    <w:name w:val="Header Char"/>
    <w:basedOn w:val="DefaultParagraphFont"/>
    <w:link w:val="Header"/>
    <w:rsid w:val="00BB2EF4"/>
    <w:rPr>
      <w:rFonts w:ascii="Times New Roman" w:eastAsia="MS Mincho" w:hAnsi="Times New Roman" w:cs="Times New Roman"/>
      <w:kern w:val="0"/>
      <w:szCs w:val="24"/>
      <w14:ligatures w14:val="none"/>
    </w:rPr>
  </w:style>
  <w:style w:type="character" w:styleId="Strong">
    <w:name w:val="Strong"/>
    <w:basedOn w:val="DefaultParagraphFont"/>
    <w:qFormat/>
    <w:rsid w:val="00BB2EF4"/>
    <w:rPr>
      <w:b/>
      <w:bCs/>
    </w:rPr>
  </w:style>
  <w:style w:type="paragraph" w:customStyle="1" w:styleId="IPPParagraphnumbering">
    <w:name w:val="IPP Paragraph numbering"/>
    <w:basedOn w:val="IPPNormal"/>
    <w:link w:val="IPPParagraphnumberingChar"/>
    <w:qFormat/>
    <w:rsid w:val="00BB2EF4"/>
    <w:pPr>
      <w:numPr>
        <w:numId w:val="3"/>
      </w:numPr>
    </w:pPr>
    <w:rPr>
      <w:lang w:val="en-US"/>
    </w:rPr>
  </w:style>
  <w:style w:type="paragraph" w:customStyle="1" w:styleId="IPPParagraphnumberingclose">
    <w:name w:val="IPP Paragraph numbering close"/>
    <w:basedOn w:val="IPPParagraphnumbering"/>
    <w:qFormat/>
    <w:rsid w:val="00BB2EF4"/>
    <w:pPr>
      <w:keepNext/>
      <w:spacing w:after="60"/>
    </w:pPr>
  </w:style>
  <w:style w:type="paragraph" w:customStyle="1" w:styleId="IPPNumberedListLast">
    <w:name w:val="IPP NumberedListLast"/>
    <w:basedOn w:val="IPPNumberedList"/>
    <w:qFormat/>
    <w:rsid w:val="00BB2EF4"/>
    <w:pPr>
      <w:spacing w:after="180"/>
    </w:pPr>
  </w:style>
  <w:style w:type="character" w:styleId="Hyperlink">
    <w:name w:val="Hyperlink"/>
    <w:basedOn w:val="DefaultParagraphFont"/>
    <w:unhideWhenUsed/>
    <w:rsid w:val="00BB2EF4"/>
    <w:rPr>
      <w:color w:val="0000FF"/>
      <w:u w:val="single"/>
    </w:rPr>
  </w:style>
  <w:style w:type="character" w:styleId="FollowedHyperlink">
    <w:name w:val="FollowedHyperlink"/>
    <w:basedOn w:val="DefaultParagraphFont"/>
    <w:semiHidden/>
    <w:unhideWhenUsed/>
    <w:rsid w:val="00BB2EF4"/>
    <w:rPr>
      <w:color w:val="96607D" w:themeColor="followedHyperlink"/>
      <w:u w:val="single"/>
    </w:rPr>
  </w:style>
  <w:style w:type="character" w:customStyle="1" w:styleId="IPPParagraphnumberingChar">
    <w:name w:val="IPP Paragraph numbering Char"/>
    <w:basedOn w:val="DefaultParagraphFont"/>
    <w:link w:val="IPPParagraphnumbering"/>
    <w:rsid w:val="00FA019D"/>
    <w:rPr>
      <w:rFonts w:ascii="Times New Roman" w:eastAsia="Times" w:hAnsi="Times New Roman" w:cs="Times New Roman"/>
      <w:kern w:val="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inom\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874fc2d24026c35d16a58c601df2a502">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a3d087634ce51396f72b6ee578ed823"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CCDD6-5D93-4E78-AFC9-3DF471093C46}">
  <ds:schemaRefs>
    <ds:schemaRef ds:uri="http://schemas.microsoft.com/sharepoint/v3/contenttype/forms"/>
  </ds:schemaRefs>
</ds:datastoreItem>
</file>

<file path=customXml/itemProps2.xml><?xml version="1.0" encoding="utf-8"?>
<ds:datastoreItem xmlns:ds="http://schemas.openxmlformats.org/officeDocument/2006/customXml" ds:itemID="{BAE4526C-5E03-4777-B57A-9876F3E5115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D428E34F-B04E-4DD2-9763-E8B01D3E5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Template>
  <TotalTime>1</TotalTime>
  <Pages>4</Pages>
  <Words>1528</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Martino, Marina (NSPD)</cp:lastModifiedBy>
  <cp:revision>2</cp:revision>
  <dcterms:created xsi:type="dcterms:W3CDTF">2025-12-11T09:11:00Z</dcterms:created>
  <dcterms:modified xsi:type="dcterms:W3CDTF">2025-12-11T09:11:00Z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