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7EFF" w14:textId="77777777" w:rsidR="00A26731" w:rsidRDefault="00A26731" w:rsidP="0096154A">
      <w:pPr>
        <w:pStyle w:val="paragraph"/>
        <w:spacing w:before="0" w:beforeAutospacing="0" w:after="0" w:afterAutospacing="0"/>
        <w:ind w:left="555" w:hanging="555"/>
        <w:jc w:val="center"/>
        <w:textAlignment w:val="baseline"/>
        <w:rPr>
          <w:rStyle w:val="normaltextrun"/>
          <w:rFonts w:eastAsiaTheme="majorEastAsia"/>
          <w:b/>
          <w:bCs/>
        </w:rPr>
      </w:pPr>
    </w:p>
    <w:p w14:paraId="6FCFD95E" w14:textId="77777777" w:rsidR="002A3C61" w:rsidRPr="008F10F4" w:rsidRDefault="002A3C61" w:rsidP="002A3C61">
      <w:pPr>
        <w:spacing w:line="278" w:lineRule="auto"/>
        <w:jc w:val="center"/>
        <w:rPr>
          <w:rFonts w:ascii="Times New Roman" w:hAnsi="Times New Roman" w:cs="Times New Roman"/>
          <w:b/>
          <w:bCs/>
          <w:sz w:val="24"/>
          <w:szCs w:val="24"/>
        </w:rPr>
      </w:pPr>
      <w:r w:rsidRPr="008F10F4">
        <w:rPr>
          <w:rFonts w:ascii="Times New Roman" w:hAnsi="Times New Roman" w:cs="Times New Roman"/>
          <w:b/>
          <w:bCs/>
          <w:sz w:val="24"/>
          <w:szCs w:val="24"/>
        </w:rPr>
        <w:t>PROCEDURE FOR TERRITORIES TO REPORT ON NROS ON THE IPP</w:t>
      </w:r>
    </w:p>
    <w:p w14:paraId="0F4EF3F8" w14:textId="7C8A78D0" w:rsidR="0096154A" w:rsidRPr="0096154A" w:rsidRDefault="0096154A" w:rsidP="000A7F3E">
      <w:pPr>
        <w:pStyle w:val="paragraph"/>
        <w:spacing w:before="240" w:beforeAutospacing="0" w:after="0" w:afterAutospacing="0"/>
        <w:ind w:left="555" w:hanging="555"/>
        <w:jc w:val="center"/>
        <w:textAlignment w:val="baseline"/>
        <w:rPr>
          <w:i/>
          <w:iCs/>
        </w:rPr>
      </w:pPr>
      <w:r w:rsidRPr="000A7F3E">
        <w:rPr>
          <w:rStyle w:val="normaltextrun"/>
          <w:rFonts w:eastAsiaTheme="majorEastAsia"/>
          <w:i/>
          <w:iCs/>
          <w:sz w:val="22"/>
          <w:szCs w:val="22"/>
        </w:rPr>
        <w:t xml:space="preserve">(Prepared by the IPPC Secretariat) </w:t>
      </w:r>
    </w:p>
    <w:p w14:paraId="002E77A9" w14:textId="77777777" w:rsidR="0000345C" w:rsidRDefault="0000345C"/>
    <w:p w14:paraId="5A38E041" w14:textId="77777777" w:rsidR="002A3C61" w:rsidRDefault="002A3C61" w:rsidP="002A3C61"/>
    <w:p w14:paraId="52FFFCB2" w14:textId="77777777" w:rsidR="002A3C61" w:rsidRPr="008F10F4" w:rsidRDefault="002A3C61" w:rsidP="002A3C61">
      <w:pPr>
        <w:rPr>
          <w:rFonts w:ascii="Times New Roman" w:hAnsi="Times New Roman" w:cs="Times New Roman"/>
          <w:b/>
          <w:bCs/>
        </w:rPr>
      </w:pPr>
      <w:r w:rsidRPr="008F10F4">
        <w:rPr>
          <w:rFonts w:ascii="Times New Roman" w:hAnsi="Times New Roman" w:cs="Times New Roman"/>
          <w:b/>
          <w:bCs/>
        </w:rPr>
        <w:t>Background</w:t>
      </w:r>
    </w:p>
    <w:p w14:paraId="418E25C3" w14:textId="77777777" w:rsidR="002A3C61" w:rsidRPr="008F10F4" w:rsidRDefault="002A3C61" w:rsidP="002A3C61">
      <w:pPr>
        <w:pStyle w:val="IPPParagraphnumbering"/>
        <w:numPr>
          <w:ilvl w:val="0"/>
          <w:numId w:val="25"/>
        </w:numPr>
        <w:tabs>
          <w:tab w:val="num" w:pos="720"/>
        </w:tabs>
        <w:rPr>
          <w:szCs w:val="22"/>
        </w:rPr>
      </w:pPr>
      <w:r w:rsidRPr="002A3C61">
        <w:rPr>
          <w:szCs w:val="22"/>
        </w:rPr>
        <w:t>In April 2025, the</w:t>
      </w:r>
      <w:r w:rsidRPr="008F10F4">
        <w:rPr>
          <w:szCs w:val="22"/>
        </w:rPr>
        <w:t xml:space="preserve"> secretariat reported the concern raised by UK about the territories having their dedicated NROs page on the IPP considering that they are part of a contracting party which signed the Convention. </w:t>
      </w:r>
    </w:p>
    <w:p w14:paraId="054B6F4D" w14:textId="10237679" w:rsidR="002A3C61" w:rsidRPr="008F10F4" w:rsidRDefault="002A3C61" w:rsidP="002A3C61">
      <w:pPr>
        <w:pStyle w:val="IPPParagraphnumbering"/>
        <w:numPr>
          <w:ilvl w:val="0"/>
          <w:numId w:val="25"/>
        </w:numPr>
        <w:tabs>
          <w:tab w:val="num" w:pos="720"/>
        </w:tabs>
        <w:rPr>
          <w:szCs w:val="22"/>
        </w:rPr>
      </w:pPr>
      <w:r w:rsidRPr="008F10F4">
        <w:rPr>
          <w:szCs w:val="22"/>
        </w:rPr>
        <w:t xml:space="preserve">IC team reminded that according to the IPPC the NROs commitment are for the contracting parties while recognizing the sensitivity and potential legal concerns associated </w:t>
      </w:r>
      <w:r w:rsidRPr="002A3C61">
        <w:rPr>
          <w:szCs w:val="22"/>
        </w:rPr>
        <w:t>with</w:t>
      </w:r>
      <w:r w:rsidRPr="008F10F4">
        <w:rPr>
          <w:szCs w:val="22"/>
        </w:rPr>
        <w:t xml:space="preserve"> this issue requiring case-by-case analysis. </w:t>
      </w:r>
    </w:p>
    <w:p w14:paraId="39F99F0F" w14:textId="77777777" w:rsidR="002A3C61" w:rsidRPr="008F10F4" w:rsidRDefault="002A3C61" w:rsidP="002A3C61">
      <w:pPr>
        <w:pStyle w:val="IPPParagraphnumbering"/>
        <w:numPr>
          <w:ilvl w:val="0"/>
          <w:numId w:val="25"/>
        </w:numPr>
        <w:tabs>
          <w:tab w:val="num" w:pos="720"/>
        </w:tabs>
        <w:rPr>
          <w:szCs w:val="22"/>
        </w:rPr>
      </w:pPr>
      <w:r w:rsidRPr="008F10F4">
        <w:rPr>
          <w:szCs w:val="22"/>
        </w:rPr>
        <w:t>IC Team request the secretariat to work on a proposed procedure to adjust the NRO features and to consult the legal office to have more clarification on the ways to address the issue. </w:t>
      </w:r>
    </w:p>
    <w:p w14:paraId="3857E43B" w14:textId="77777777" w:rsidR="002A3C61" w:rsidRPr="002A3C61" w:rsidRDefault="002A3C61" w:rsidP="002A3C61">
      <w:pPr>
        <w:pStyle w:val="IPPParagraphnumbering"/>
        <w:numPr>
          <w:ilvl w:val="0"/>
          <w:numId w:val="25"/>
        </w:numPr>
        <w:tabs>
          <w:tab w:val="num" w:pos="720"/>
        </w:tabs>
        <w:rPr>
          <w:szCs w:val="22"/>
        </w:rPr>
      </w:pPr>
      <w:r w:rsidRPr="008F10F4">
        <w:rPr>
          <w:szCs w:val="22"/>
        </w:rPr>
        <w:t xml:space="preserve"> The IC team on NROs agreed the at this stage to not being in position to recommend a solution and that issue </w:t>
      </w:r>
      <w:r w:rsidRPr="002A3C61">
        <w:rPr>
          <w:szCs w:val="22"/>
        </w:rPr>
        <w:t>needs</w:t>
      </w:r>
      <w:r w:rsidRPr="008F10F4">
        <w:rPr>
          <w:szCs w:val="22"/>
        </w:rPr>
        <w:t xml:space="preserve"> to be discussed later based on </w:t>
      </w:r>
      <w:r w:rsidRPr="002A3C61">
        <w:rPr>
          <w:szCs w:val="22"/>
        </w:rPr>
        <w:t>legal</w:t>
      </w:r>
      <w:r w:rsidRPr="008F10F4">
        <w:rPr>
          <w:szCs w:val="22"/>
        </w:rPr>
        <w:t xml:space="preserve"> advice</w:t>
      </w:r>
      <w:r w:rsidRPr="002A3C61">
        <w:rPr>
          <w:szCs w:val="22"/>
        </w:rPr>
        <w:t>.</w:t>
      </w:r>
    </w:p>
    <w:p w14:paraId="1EDB86D9" w14:textId="77777777" w:rsidR="002A3C61" w:rsidRPr="002A3C61" w:rsidRDefault="002A3C61" w:rsidP="002A3C61">
      <w:pPr>
        <w:pStyle w:val="IPPParagraphnumbering"/>
        <w:numPr>
          <w:ilvl w:val="0"/>
          <w:numId w:val="25"/>
        </w:numPr>
        <w:tabs>
          <w:tab w:val="num" w:pos="720"/>
        </w:tabs>
        <w:rPr>
          <w:szCs w:val="22"/>
        </w:rPr>
      </w:pPr>
      <w:r w:rsidRPr="008F10F4">
        <w:rPr>
          <w:szCs w:val="22"/>
        </w:rPr>
        <w:t> </w:t>
      </w:r>
      <w:r w:rsidRPr="002A3C61">
        <w:rPr>
          <w:szCs w:val="22"/>
        </w:rPr>
        <w:t>In 2025, the secretariat focused its efforts on updating IPP contact information for the contracting parties or territories for which email delivery errors had been received following the mass email (Guernsey, Brunei, RPPO- IAPSC, Turkmenistan, Montserrat, Guadalupe, British Virgin Island, Anguilla, Puerto Rico, American Samoa and Réunion).</w:t>
      </w:r>
    </w:p>
    <w:p w14:paraId="66D0FD62" w14:textId="77777777" w:rsidR="002A3C61" w:rsidRPr="008F10F4" w:rsidRDefault="002A3C61" w:rsidP="002A3C61">
      <w:pPr>
        <w:pStyle w:val="IPPParagraphnumbering"/>
        <w:numPr>
          <w:ilvl w:val="0"/>
          <w:numId w:val="25"/>
        </w:numPr>
        <w:tabs>
          <w:tab w:val="num" w:pos="720"/>
        </w:tabs>
        <w:rPr>
          <w:szCs w:val="22"/>
        </w:rPr>
      </w:pPr>
      <w:r w:rsidRPr="002A3C61">
        <w:rPr>
          <w:szCs w:val="22"/>
        </w:rPr>
        <w:t>The Secretariat therefore conducted outreach activities with the relevant FAO field offices, NPPOs and RPPOs to find contact information about these countries and territories.</w:t>
      </w:r>
    </w:p>
    <w:p w14:paraId="7A958E89" w14:textId="77777777" w:rsidR="002A3C61" w:rsidRPr="002A3C61" w:rsidRDefault="002A3C61" w:rsidP="002A3C61">
      <w:pPr>
        <w:pStyle w:val="IPPParagraphnumbering"/>
        <w:numPr>
          <w:ilvl w:val="0"/>
          <w:numId w:val="25"/>
        </w:numPr>
        <w:tabs>
          <w:tab w:val="num" w:pos="720"/>
        </w:tabs>
        <w:rPr>
          <w:szCs w:val="22"/>
        </w:rPr>
      </w:pPr>
      <w:r w:rsidRPr="002A3C61">
        <w:rPr>
          <w:szCs w:val="22"/>
        </w:rPr>
        <w:t>The observation made on the CIPV portal is that several territories do not have valid contact addresses or have not updated their information in a long time, which echoes the request made by the UK about NROs information of territories, for which a follow-up was received last June on the same issue.</w:t>
      </w:r>
    </w:p>
    <w:p w14:paraId="568A1A39" w14:textId="77777777" w:rsidR="002A3C61" w:rsidRPr="002A3C61" w:rsidRDefault="002A3C61" w:rsidP="002A3C61">
      <w:pPr>
        <w:pStyle w:val="IPPParagraphnumbering"/>
        <w:numPr>
          <w:ilvl w:val="0"/>
          <w:numId w:val="25"/>
        </w:numPr>
        <w:tabs>
          <w:tab w:val="num" w:pos="720"/>
        </w:tabs>
        <w:rPr>
          <w:szCs w:val="22"/>
        </w:rPr>
      </w:pPr>
      <w:r w:rsidRPr="002A3C61">
        <w:rPr>
          <w:szCs w:val="22"/>
        </w:rPr>
        <w:t>In parallel, a communication from France was sent to the Secretariat requesting that all communications to the territories be sent through France's IPPC official contact point.</w:t>
      </w:r>
    </w:p>
    <w:p w14:paraId="0B1CF1AC" w14:textId="77777777" w:rsidR="002A3C61" w:rsidRPr="002A3C61" w:rsidRDefault="002A3C61" w:rsidP="002A3C61">
      <w:pPr>
        <w:pStyle w:val="IPPParagraphnumbering"/>
        <w:numPr>
          <w:ilvl w:val="0"/>
          <w:numId w:val="25"/>
        </w:numPr>
        <w:tabs>
          <w:tab w:val="num" w:pos="720"/>
        </w:tabs>
        <w:rPr>
          <w:szCs w:val="22"/>
        </w:rPr>
      </w:pPr>
      <w:r w:rsidRPr="002A3C61">
        <w:rPr>
          <w:szCs w:val="22"/>
        </w:rPr>
        <w:t xml:space="preserve">This underscores the need for clear mechanisms by which territories must report to the NROs and update their information on the IPP. </w:t>
      </w:r>
    </w:p>
    <w:p w14:paraId="70701BB6" w14:textId="77777777" w:rsidR="002A3C61" w:rsidRPr="002A3C61" w:rsidRDefault="002A3C61" w:rsidP="002A3C61">
      <w:pPr>
        <w:pStyle w:val="IPPParagraphnumbering"/>
        <w:numPr>
          <w:ilvl w:val="0"/>
          <w:numId w:val="25"/>
        </w:numPr>
        <w:tabs>
          <w:tab w:val="num" w:pos="720"/>
        </w:tabs>
        <w:rPr>
          <w:szCs w:val="22"/>
        </w:rPr>
      </w:pPr>
      <w:r w:rsidRPr="002A3C61">
        <w:rPr>
          <w:szCs w:val="22"/>
        </w:rPr>
        <w:t>Furthermore, the Secretariat has initiated discussions on modifying the information displayed on the IPP, including the possibility of replacing "country" with "contracting party" and creating a separate category for "territories," as well as adjusting the NRO features accordingly. Considering the implications of these changes, the Secretariat will make the necessary adjustments based on the advice of the legal department and the guidance of the IC.</w:t>
      </w:r>
    </w:p>
    <w:p w14:paraId="17E41938" w14:textId="77777777" w:rsidR="002A3C61" w:rsidRPr="002A3C61" w:rsidRDefault="002A3C61" w:rsidP="002A3C61">
      <w:pPr>
        <w:pStyle w:val="IPPParagraphnumbering"/>
        <w:numPr>
          <w:ilvl w:val="0"/>
          <w:numId w:val="25"/>
        </w:numPr>
        <w:tabs>
          <w:tab w:val="num" w:pos="720"/>
        </w:tabs>
        <w:rPr>
          <w:szCs w:val="22"/>
        </w:rPr>
      </w:pPr>
      <w:r w:rsidRPr="002A3C61">
        <w:rPr>
          <w:szCs w:val="22"/>
        </w:rPr>
        <w:t>As a follow up, the IPPC Secretariat has drafted a written to procedures to provide guidance on how to address the reporting obligations of territories. The proposed procedure is presented in Appendix 1.</w:t>
      </w:r>
    </w:p>
    <w:p w14:paraId="24A835D0" w14:textId="7404F9A0" w:rsidR="002A3C61" w:rsidRPr="002A3C61" w:rsidRDefault="002A3C61" w:rsidP="002A3C61">
      <w:pPr>
        <w:pStyle w:val="IPPParagraphnumbering"/>
        <w:numPr>
          <w:ilvl w:val="0"/>
          <w:numId w:val="25"/>
        </w:numPr>
        <w:tabs>
          <w:tab w:val="num" w:pos="720"/>
        </w:tabs>
        <w:rPr>
          <w:szCs w:val="22"/>
        </w:rPr>
      </w:pPr>
      <w:r w:rsidRPr="002A3C61">
        <w:rPr>
          <w:szCs w:val="22"/>
        </w:rPr>
        <w:lastRenderedPageBreak/>
        <w:t xml:space="preserve">This proposed procedure has been sent to the FAO legal office for review and advice and provided the following </w:t>
      </w:r>
      <w:r w:rsidRPr="002A3C61">
        <w:rPr>
          <w:szCs w:val="22"/>
        </w:rPr>
        <w:t>observations:</w:t>
      </w:r>
    </w:p>
    <w:p w14:paraId="64253671" w14:textId="77777777" w:rsidR="002A3C61" w:rsidRPr="00577FB9" w:rsidRDefault="002A3C61" w:rsidP="002A3C61">
      <w:pPr>
        <w:pStyle w:val="IPPParagraphnumbering"/>
        <w:numPr>
          <w:ilvl w:val="0"/>
          <w:numId w:val="25"/>
        </w:numPr>
        <w:tabs>
          <w:tab w:val="num" w:pos="720"/>
        </w:tabs>
        <w:rPr>
          <w:szCs w:val="22"/>
        </w:rPr>
      </w:pPr>
      <w:r w:rsidRPr="00577FB9">
        <w:rPr>
          <w:b/>
          <w:bCs/>
          <w:szCs w:val="22"/>
        </w:rPr>
        <w:t>Purpose</w:t>
      </w:r>
      <w:r w:rsidRPr="00577FB9">
        <w:rPr>
          <w:szCs w:val="22"/>
        </w:rPr>
        <w:t xml:space="preserve">: </w:t>
      </w:r>
      <w:r w:rsidRPr="002A3C61">
        <w:rPr>
          <w:szCs w:val="22"/>
        </w:rPr>
        <w:t>This</w:t>
      </w:r>
      <w:r w:rsidRPr="00577FB9">
        <w:rPr>
          <w:szCs w:val="22"/>
        </w:rPr>
        <w:t xml:space="preserve"> document has been developed to avoid “</w:t>
      </w:r>
      <w:r w:rsidRPr="00577FB9">
        <w:rPr>
          <w:i/>
          <w:iCs/>
          <w:szCs w:val="22"/>
        </w:rPr>
        <w:t>addressing the individual request of each contracting party such as the one raised by the UK</w:t>
      </w:r>
      <w:r w:rsidRPr="00577FB9">
        <w:rPr>
          <w:szCs w:val="22"/>
        </w:rPr>
        <w:t xml:space="preserve">". It would be useful to understand what specific request or concern was raised by the UK (or other contracting parties, as applicable) with respect to the reporting of NROs of territories. This would help us to better understand the purpose and </w:t>
      </w:r>
      <w:proofErr w:type="gramStart"/>
      <w:r w:rsidRPr="00577FB9">
        <w:rPr>
          <w:szCs w:val="22"/>
        </w:rPr>
        <w:t>intent</w:t>
      </w:r>
      <w:proofErr w:type="gramEnd"/>
      <w:r w:rsidRPr="00577FB9">
        <w:rPr>
          <w:szCs w:val="22"/>
        </w:rPr>
        <w:t xml:space="preserve"> of this document.</w:t>
      </w:r>
    </w:p>
    <w:p w14:paraId="02A66AA4" w14:textId="77777777" w:rsidR="002A3C61" w:rsidRPr="00577FB9" w:rsidRDefault="002A3C61" w:rsidP="002A3C61">
      <w:pPr>
        <w:pStyle w:val="IPPParagraphnumbering"/>
        <w:numPr>
          <w:ilvl w:val="0"/>
          <w:numId w:val="25"/>
        </w:numPr>
        <w:tabs>
          <w:tab w:val="num" w:pos="720"/>
        </w:tabs>
        <w:rPr>
          <w:szCs w:val="22"/>
        </w:rPr>
      </w:pPr>
      <w:r w:rsidRPr="00577FB9">
        <w:rPr>
          <w:b/>
          <w:bCs/>
          <w:szCs w:val="22"/>
        </w:rPr>
        <w:t xml:space="preserve">Scope: </w:t>
      </w:r>
      <w:r w:rsidRPr="00577FB9">
        <w:rPr>
          <w:szCs w:val="22"/>
        </w:rPr>
        <w:t xml:space="preserve">The scope of this guidance should be clarified, </w:t>
      </w:r>
      <w:r w:rsidRPr="002A3C61">
        <w:rPr>
          <w:szCs w:val="22"/>
        </w:rPr>
        <w:t>what</w:t>
      </w:r>
      <w:r w:rsidRPr="00577FB9">
        <w:rPr>
          <w:szCs w:val="22"/>
        </w:rPr>
        <w:t xml:space="preserve"> is meant by “territories”. </w:t>
      </w:r>
      <w:r w:rsidRPr="002A3C61">
        <w:rPr>
          <w:szCs w:val="22"/>
        </w:rPr>
        <w:t>The</w:t>
      </w:r>
      <w:r w:rsidRPr="00577FB9">
        <w:rPr>
          <w:szCs w:val="22"/>
        </w:rPr>
        <w:t xml:space="preserve"> main reference to territories in the Convention is under Article XV, paragraph 1, namely territories whose international relations are the responsibility of an IPPC contracting party and to which that party extends the application of the Convention. </w:t>
      </w:r>
      <w:r w:rsidRPr="002A3C61">
        <w:rPr>
          <w:szCs w:val="22"/>
        </w:rPr>
        <w:t>It should be</w:t>
      </w:r>
      <w:r w:rsidRPr="00577FB9">
        <w:rPr>
          <w:szCs w:val="22"/>
        </w:rPr>
        <w:t xml:space="preserve"> note</w:t>
      </w:r>
      <w:r w:rsidRPr="002A3C61">
        <w:rPr>
          <w:szCs w:val="22"/>
        </w:rPr>
        <w:t>d</w:t>
      </w:r>
      <w:r w:rsidRPr="00577FB9">
        <w:rPr>
          <w:szCs w:val="22"/>
        </w:rPr>
        <w:t xml:space="preserve"> that the 'List of Countries' on the IPPC website (</w:t>
      </w:r>
      <w:hyperlink r:id="rId11" w:history="1">
        <w:r w:rsidRPr="00577FB9">
          <w:rPr>
            <w:rStyle w:val="Hyperlink"/>
            <w:szCs w:val="22"/>
          </w:rPr>
          <w:t>https://www.ippc.int/en/countries/all/list-countries/</w:t>
        </w:r>
      </w:hyperlink>
      <w:r w:rsidRPr="00577FB9">
        <w:rPr>
          <w:szCs w:val="22"/>
        </w:rPr>
        <w:t xml:space="preserve">) lists some territories alongside the IPPC Contracting Parties and non-Contracting Parties. In this regard, </w:t>
      </w:r>
      <w:r w:rsidRPr="002A3C61">
        <w:rPr>
          <w:szCs w:val="22"/>
        </w:rPr>
        <w:t>it</w:t>
      </w:r>
      <w:r w:rsidRPr="00577FB9">
        <w:rPr>
          <w:szCs w:val="22"/>
        </w:rPr>
        <w:t xml:space="preserve"> would be </w:t>
      </w:r>
      <w:r w:rsidRPr="002A3C61">
        <w:rPr>
          <w:szCs w:val="22"/>
        </w:rPr>
        <w:t>better to</w:t>
      </w:r>
      <w:r w:rsidRPr="00577FB9">
        <w:rPr>
          <w:szCs w:val="22"/>
        </w:rPr>
        <w:t xml:space="preserve"> clarify: (</w:t>
      </w:r>
      <w:proofErr w:type="spellStart"/>
      <w:r w:rsidRPr="00577FB9">
        <w:rPr>
          <w:szCs w:val="22"/>
        </w:rPr>
        <w:t>i</w:t>
      </w:r>
      <w:proofErr w:type="spellEnd"/>
      <w:r w:rsidRPr="00577FB9">
        <w:rPr>
          <w:szCs w:val="22"/>
        </w:rPr>
        <w:t xml:space="preserve">) whether the territories listed on the IPPC website are those declared by the IPPC contracting parties under Article </w:t>
      </w:r>
      <w:r w:rsidRPr="002A3C61">
        <w:rPr>
          <w:szCs w:val="22"/>
        </w:rPr>
        <w:t>XV.1;</w:t>
      </w:r>
      <w:r w:rsidRPr="00577FB9">
        <w:rPr>
          <w:szCs w:val="22"/>
        </w:rPr>
        <w:t xml:space="preserve"> and (ii) whether these are the territories intended to be covered by this guidance. That clarification is essential before proceeding further, </w:t>
      </w:r>
      <w:proofErr w:type="gramStart"/>
      <w:r w:rsidRPr="00577FB9">
        <w:rPr>
          <w:szCs w:val="22"/>
        </w:rPr>
        <w:t>in order to</w:t>
      </w:r>
      <w:proofErr w:type="gramEnd"/>
      <w:r w:rsidRPr="00577FB9">
        <w:rPr>
          <w:szCs w:val="22"/>
        </w:rPr>
        <w:t xml:space="preserve"> avoid potential political </w:t>
      </w:r>
      <w:r w:rsidRPr="002A3C61">
        <w:rPr>
          <w:szCs w:val="22"/>
        </w:rPr>
        <w:t>sensitivity</w:t>
      </w:r>
      <w:r w:rsidRPr="00577FB9">
        <w:rPr>
          <w:szCs w:val="22"/>
        </w:rPr>
        <w:t>.</w:t>
      </w:r>
    </w:p>
    <w:p w14:paraId="4555C409" w14:textId="77777777" w:rsidR="002A3C61" w:rsidRPr="00577FB9" w:rsidRDefault="002A3C61" w:rsidP="002A3C61">
      <w:pPr>
        <w:pStyle w:val="IPPParagraphnumbering"/>
        <w:numPr>
          <w:ilvl w:val="0"/>
          <w:numId w:val="25"/>
        </w:numPr>
        <w:tabs>
          <w:tab w:val="num" w:pos="720"/>
        </w:tabs>
        <w:rPr>
          <w:szCs w:val="22"/>
        </w:rPr>
      </w:pPr>
      <w:r w:rsidRPr="00577FB9">
        <w:rPr>
          <w:b/>
          <w:bCs/>
          <w:szCs w:val="22"/>
        </w:rPr>
        <w:t>Format and title of the proposed document</w:t>
      </w:r>
      <w:r w:rsidRPr="00577FB9">
        <w:rPr>
          <w:szCs w:val="22"/>
        </w:rPr>
        <w:t xml:space="preserve">: If the decision is ultimately taken to proceed with such a document, </w:t>
      </w:r>
      <w:r w:rsidRPr="002A3C61">
        <w:rPr>
          <w:szCs w:val="22"/>
        </w:rPr>
        <w:t>the recommendation is to</w:t>
      </w:r>
      <w:r w:rsidRPr="00577FB9">
        <w:rPr>
          <w:szCs w:val="22"/>
        </w:rPr>
        <w:t xml:space="preserve"> circulate to the IPPC members as </w:t>
      </w:r>
      <w:r w:rsidRPr="002A3C61">
        <w:rPr>
          <w:szCs w:val="22"/>
        </w:rPr>
        <w:t>informal</w:t>
      </w:r>
      <w:r w:rsidRPr="00577FB9">
        <w:rPr>
          <w:szCs w:val="22"/>
        </w:rPr>
        <w:t xml:space="preserve"> guidance or an information note, rather than presented as </w:t>
      </w:r>
      <w:r w:rsidRPr="002A3C61">
        <w:rPr>
          <w:szCs w:val="22"/>
        </w:rPr>
        <w:t>a document</w:t>
      </w:r>
      <w:r w:rsidRPr="00577FB9">
        <w:rPr>
          <w:szCs w:val="22"/>
        </w:rPr>
        <w:t xml:space="preserve"> requiring formal adoption and amendment by the CPM. It would be unusual for a document of this nature – which is primarily operational – to be formally submitted before the CPM.</w:t>
      </w:r>
    </w:p>
    <w:p w14:paraId="064E586E" w14:textId="1B52395C" w:rsidR="002A3C61" w:rsidRPr="00577FB9" w:rsidRDefault="002A3C61" w:rsidP="002A3C61">
      <w:pPr>
        <w:pStyle w:val="IPPParagraphnumbering"/>
        <w:numPr>
          <w:ilvl w:val="0"/>
          <w:numId w:val="25"/>
        </w:numPr>
        <w:tabs>
          <w:tab w:val="num" w:pos="720"/>
        </w:tabs>
        <w:rPr>
          <w:szCs w:val="22"/>
        </w:rPr>
      </w:pPr>
      <w:r w:rsidRPr="00577FB9">
        <w:rPr>
          <w:szCs w:val="22"/>
        </w:rPr>
        <w:t>In terms of substance, we understand that the document proposes three options for reporting on NROs of territories: (1) “</w:t>
      </w:r>
      <w:r w:rsidRPr="00577FB9">
        <w:rPr>
          <w:i/>
          <w:iCs/>
          <w:szCs w:val="22"/>
        </w:rPr>
        <w:t>unique reporting</w:t>
      </w:r>
      <w:r w:rsidRPr="00577FB9">
        <w:rPr>
          <w:szCs w:val="22"/>
        </w:rPr>
        <w:t>” via the contracting party's page; (2) “</w:t>
      </w:r>
      <w:r w:rsidRPr="00577FB9">
        <w:rPr>
          <w:i/>
          <w:iCs/>
          <w:szCs w:val="22"/>
        </w:rPr>
        <w:t>mixed reporting</w:t>
      </w:r>
      <w:r w:rsidRPr="00577FB9">
        <w:rPr>
          <w:szCs w:val="22"/>
        </w:rPr>
        <w:t>”, where the territory's profile is retained in limited form (contact details only) and reporting is done via the contracting party’s page; and (3) “</w:t>
      </w:r>
      <w:r w:rsidRPr="00577FB9">
        <w:rPr>
          <w:i/>
          <w:iCs/>
          <w:szCs w:val="22"/>
        </w:rPr>
        <w:t>separate reporting</w:t>
      </w:r>
      <w:r w:rsidRPr="00577FB9">
        <w:rPr>
          <w:szCs w:val="22"/>
        </w:rPr>
        <w:t xml:space="preserve">”, where the contracting party and the territory report independently via their respective profiles. In this regard, </w:t>
      </w:r>
      <w:r w:rsidRPr="002A3C61">
        <w:rPr>
          <w:szCs w:val="22"/>
        </w:rPr>
        <w:t xml:space="preserve">there </w:t>
      </w:r>
      <w:r w:rsidRPr="002A3C61">
        <w:rPr>
          <w:szCs w:val="22"/>
        </w:rPr>
        <w:t>are</w:t>
      </w:r>
      <w:r w:rsidRPr="00577FB9">
        <w:rPr>
          <w:szCs w:val="22"/>
        </w:rPr>
        <w:t xml:space="preserve"> two comments</w:t>
      </w:r>
      <w:r w:rsidRPr="002A3C61">
        <w:rPr>
          <w:szCs w:val="22"/>
        </w:rPr>
        <w:t xml:space="preserve"> to consider</w:t>
      </w:r>
      <w:r w:rsidRPr="00577FB9">
        <w:rPr>
          <w:szCs w:val="22"/>
        </w:rPr>
        <w:t>:</w:t>
      </w:r>
    </w:p>
    <w:p w14:paraId="06A31F33" w14:textId="77777777" w:rsidR="002A3C61" w:rsidRPr="00577FB9" w:rsidRDefault="002A3C61" w:rsidP="002A3C61">
      <w:pPr>
        <w:pStyle w:val="IPPParagraphnumbering"/>
        <w:numPr>
          <w:ilvl w:val="0"/>
          <w:numId w:val="25"/>
        </w:numPr>
        <w:tabs>
          <w:tab w:val="num" w:pos="720"/>
        </w:tabs>
        <w:rPr>
          <w:szCs w:val="22"/>
        </w:rPr>
      </w:pPr>
      <w:r w:rsidRPr="00577FB9">
        <w:rPr>
          <w:szCs w:val="22"/>
        </w:rPr>
        <w:t> First, the “</w:t>
      </w:r>
      <w:r w:rsidRPr="00577FB9">
        <w:rPr>
          <w:i/>
          <w:iCs/>
          <w:szCs w:val="22"/>
        </w:rPr>
        <w:t>mixed reporting</w:t>
      </w:r>
      <w:r w:rsidRPr="00577FB9">
        <w:rPr>
          <w:szCs w:val="22"/>
        </w:rPr>
        <w:t xml:space="preserve">” option </w:t>
      </w:r>
      <w:r w:rsidRPr="002A3C61">
        <w:rPr>
          <w:szCs w:val="22"/>
        </w:rPr>
        <w:t xml:space="preserve">is </w:t>
      </w:r>
      <w:r w:rsidRPr="00577FB9">
        <w:rPr>
          <w:szCs w:val="22"/>
        </w:rPr>
        <w:t xml:space="preserve">somewhat misleading. </w:t>
      </w:r>
      <w:r w:rsidRPr="002A3C61">
        <w:rPr>
          <w:szCs w:val="22"/>
        </w:rPr>
        <w:t>The intent</w:t>
      </w:r>
      <w:r w:rsidRPr="00577FB9">
        <w:rPr>
          <w:szCs w:val="22"/>
        </w:rPr>
        <w:t xml:space="preserve"> understand under this option</w:t>
      </w:r>
      <w:r w:rsidRPr="002A3C61">
        <w:rPr>
          <w:szCs w:val="22"/>
        </w:rPr>
        <w:t xml:space="preserve"> is clear</w:t>
      </w:r>
      <w:r w:rsidRPr="00577FB9">
        <w:rPr>
          <w:szCs w:val="22"/>
        </w:rPr>
        <w:t>, the contracting party would report all NROs for the territory – just as in the “</w:t>
      </w:r>
      <w:r w:rsidRPr="00577FB9">
        <w:rPr>
          <w:i/>
          <w:iCs/>
          <w:szCs w:val="22"/>
        </w:rPr>
        <w:t>unique reporting</w:t>
      </w:r>
      <w:r w:rsidRPr="00577FB9">
        <w:rPr>
          <w:szCs w:val="22"/>
        </w:rPr>
        <w:t>” option – the only difference being that the territory’s profile would remain on the IPPC website with limited contact details. It therefore does not really seem to be a case of mixed reporting. More generally, it seems that there are essentially two options: (a) the contracting party reports all NROs for its country, including the territory(</w:t>
      </w:r>
      <w:proofErr w:type="spellStart"/>
      <w:r w:rsidRPr="00577FB9">
        <w:rPr>
          <w:szCs w:val="22"/>
        </w:rPr>
        <w:t>ies</w:t>
      </w:r>
      <w:proofErr w:type="spellEnd"/>
      <w:r w:rsidRPr="00577FB9">
        <w:rPr>
          <w:szCs w:val="22"/>
        </w:rPr>
        <w:t>) concerned; or (b) the contracting party agrees that the territory(</w:t>
      </w:r>
      <w:proofErr w:type="spellStart"/>
      <w:r w:rsidRPr="00577FB9">
        <w:rPr>
          <w:szCs w:val="22"/>
        </w:rPr>
        <w:t>ies</w:t>
      </w:r>
      <w:proofErr w:type="spellEnd"/>
      <w:r w:rsidRPr="00577FB9">
        <w:rPr>
          <w:szCs w:val="22"/>
        </w:rPr>
        <w:t>) report separately.</w:t>
      </w:r>
    </w:p>
    <w:p w14:paraId="3AF09396" w14:textId="0FB456D0" w:rsidR="002A3C61" w:rsidRPr="002A3C61" w:rsidRDefault="002A3C61" w:rsidP="002A3C61">
      <w:pPr>
        <w:pStyle w:val="IPPParagraphnumbering"/>
        <w:numPr>
          <w:ilvl w:val="0"/>
          <w:numId w:val="25"/>
        </w:numPr>
        <w:tabs>
          <w:tab w:val="num" w:pos="720"/>
        </w:tabs>
        <w:rPr>
          <w:szCs w:val="22"/>
        </w:rPr>
      </w:pPr>
      <w:r w:rsidRPr="00577FB9">
        <w:rPr>
          <w:szCs w:val="22"/>
        </w:rPr>
        <w:t> </w:t>
      </w:r>
      <w:r w:rsidRPr="002A3C61">
        <w:rPr>
          <w:szCs w:val="22"/>
        </w:rPr>
        <w:t>The</w:t>
      </w:r>
      <w:r w:rsidRPr="00577FB9">
        <w:rPr>
          <w:szCs w:val="22"/>
        </w:rPr>
        <w:t xml:space="preserve"> choice of </w:t>
      </w:r>
      <w:r w:rsidRPr="002A3C61">
        <w:rPr>
          <w:szCs w:val="22"/>
        </w:rPr>
        <w:t xml:space="preserve">the </w:t>
      </w:r>
      <w:r w:rsidRPr="00577FB9">
        <w:rPr>
          <w:szCs w:val="22"/>
        </w:rPr>
        <w:t xml:space="preserve">reporting option would affect how the territories are displayed on the IPPC List of Countries (with some profiles removed, some limited, and others retained in full). As noted above, </w:t>
      </w:r>
      <w:r w:rsidRPr="002A3C61">
        <w:rPr>
          <w:szCs w:val="22"/>
        </w:rPr>
        <w:t>it is</w:t>
      </w:r>
      <w:r w:rsidRPr="00577FB9">
        <w:rPr>
          <w:szCs w:val="22"/>
        </w:rPr>
        <w:t xml:space="preserve"> not clear whether the territories listed on the IPPC website are those referred to in Article </w:t>
      </w:r>
      <w:r w:rsidRPr="002A3C61">
        <w:rPr>
          <w:szCs w:val="22"/>
        </w:rPr>
        <w:t>XV (</w:t>
      </w:r>
      <w:r w:rsidRPr="00577FB9">
        <w:rPr>
          <w:szCs w:val="22"/>
        </w:rPr>
        <w:t xml:space="preserve">1) of the Convention. If so, the proposed arrangement could create inconsistencies, as some territories would appear in the list while others would not. In this regard, </w:t>
      </w:r>
      <w:r w:rsidRPr="002A3C61">
        <w:rPr>
          <w:szCs w:val="22"/>
        </w:rPr>
        <w:t xml:space="preserve">the suggestion is </w:t>
      </w:r>
      <w:r w:rsidRPr="002A3C61">
        <w:rPr>
          <w:szCs w:val="22"/>
        </w:rPr>
        <w:t>to explore</w:t>
      </w:r>
      <w:r w:rsidRPr="00577FB9">
        <w:rPr>
          <w:szCs w:val="22"/>
        </w:rPr>
        <w:t xml:space="preserve"> alternative approaches. For example: (</w:t>
      </w:r>
      <w:proofErr w:type="spellStart"/>
      <w:r w:rsidRPr="00577FB9">
        <w:rPr>
          <w:szCs w:val="22"/>
        </w:rPr>
        <w:t>i</w:t>
      </w:r>
      <w:proofErr w:type="spellEnd"/>
      <w:r w:rsidRPr="00577FB9">
        <w:rPr>
          <w:szCs w:val="22"/>
        </w:rPr>
        <w:t xml:space="preserve">) keeping all territories visible on the </w:t>
      </w:r>
      <w:r w:rsidRPr="002A3C61">
        <w:rPr>
          <w:szCs w:val="22"/>
        </w:rPr>
        <w:t>list but</w:t>
      </w:r>
      <w:r w:rsidRPr="00577FB9">
        <w:rPr>
          <w:szCs w:val="22"/>
        </w:rPr>
        <w:t xml:space="preserve"> adapting the information shown on their profiles depending on the selected reporting option; or (ii) restructuring the list so that territories always appear “under” or next to the name of their contracting party (without separate profiles).</w:t>
      </w:r>
    </w:p>
    <w:p w14:paraId="3A5AB3D7" w14:textId="77777777" w:rsidR="002A3C61" w:rsidRPr="002A3C61" w:rsidRDefault="002A3C61" w:rsidP="002A3C61">
      <w:pPr>
        <w:pStyle w:val="IPPParagraphnumbering"/>
        <w:numPr>
          <w:ilvl w:val="0"/>
          <w:numId w:val="25"/>
        </w:numPr>
        <w:tabs>
          <w:tab w:val="num" w:pos="720"/>
        </w:tabs>
        <w:rPr>
          <w:szCs w:val="22"/>
        </w:rPr>
      </w:pPr>
      <w:r w:rsidRPr="002A3C61">
        <w:rPr>
          <w:szCs w:val="22"/>
        </w:rPr>
        <w:t>The IC team on NROs is invited to:</w:t>
      </w:r>
    </w:p>
    <w:p w14:paraId="44B20A7C" w14:textId="77777777" w:rsidR="002A3C61" w:rsidRPr="002A3C61" w:rsidRDefault="002A3C61" w:rsidP="002A3C61">
      <w:pPr>
        <w:pStyle w:val="IPPParagraphnumbering"/>
        <w:numPr>
          <w:ilvl w:val="0"/>
          <w:numId w:val="27"/>
        </w:numPr>
        <w:rPr>
          <w:szCs w:val="22"/>
        </w:rPr>
      </w:pPr>
      <w:r w:rsidRPr="002A3C61">
        <w:rPr>
          <w:i/>
          <w:iCs/>
          <w:szCs w:val="22"/>
        </w:rPr>
        <w:t xml:space="preserve">review </w:t>
      </w:r>
      <w:r w:rsidRPr="002A3C61">
        <w:rPr>
          <w:szCs w:val="22"/>
        </w:rPr>
        <w:t>the proposed procedure for territories to report on NROs on the IPP presented in Appendix 1.</w:t>
      </w:r>
    </w:p>
    <w:p w14:paraId="7D49068B" w14:textId="77777777" w:rsidR="002A3C61" w:rsidRPr="002A3C61" w:rsidRDefault="002A3C61" w:rsidP="002A3C61">
      <w:pPr>
        <w:pStyle w:val="IPPParagraphnumbering"/>
        <w:numPr>
          <w:ilvl w:val="0"/>
          <w:numId w:val="27"/>
        </w:numPr>
        <w:tabs>
          <w:tab w:val="num" w:pos="720"/>
        </w:tabs>
        <w:rPr>
          <w:szCs w:val="22"/>
        </w:rPr>
      </w:pPr>
      <w:r w:rsidRPr="002A3C61">
        <w:rPr>
          <w:i/>
          <w:iCs/>
          <w:szCs w:val="22"/>
        </w:rPr>
        <w:t>discuss</w:t>
      </w:r>
      <w:r w:rsidRPr="002A3C61">
        <w:rPr>
          <w:szCs w:val="22"/>
        </w:rPr>
        <w:t xml:space="preserve"> the comments and recommendations of the FAO legal department and suggest the way to move forward.</w:t>
      </w:r>
    </w:p>
    <w:p w14:paraId="25C1AC21" w14:textId="77777777" w:rsidR="002A3C61" w:rsidRPr="00DF0532" w:rsidRDefault="002A3C61" w:rsidP="002A3C61">
      <w:pPr>
        <w:rPr>
          <w:rFonts w:ascii="Times New Roman" w:hAnsi="Times New Roman" w:cs="Times New Roman"/>
          <w:b/>
          <w:bCs/>
        </w:rPr>
      </w:pPr>
      <w:r>
        <w:rPr>
          <w:rFonts w:ascii="Times New Roman" w:hAnsi="Times New Roman" w:cs="Times New Roman"/>
          <w:b/>
          <w:bCs/>
        </w:rPr>
        <w:lastRenderedPageBreak/>
        <w:t xml:space="preserve">Appendix 1: </w:t>
      </w:r>
      <w:r w:rsidRPr="00DF0532">
        <w:rPr>
          <w:rFonts w:ascii="Times New Roman" w:hAnsi="Times New Roman" w:cs="Times New Roman"/>
          <w:b/>
          <w:bCs/>
        </w:rPr>
        <w:t>PROCEDURE FOR TERRITORIES TO REPORT ON NROS ON THE IPP</w:t>
      </w:r>
    </w:p>
    <w:p w14:paraId="11F533F9" w14:textId="77777777" w:rsidR="002A3C61" w:rsidRPr="00DF0532" w:rsidRDefault="002A3C61" w:rsidP="002A3C61">
      <w:pPr>
        <w:pStyle w:val="IPPParagraphnumbering"/>
        <w:tabs>
          <w:tab w:val="clear" w:pos="0"/>
        </w:tabs>
        <w:ind w:firstLine="0"/>
        <w:rPr>
          <w:sz w:val="24"/>
        </w:rPr>
      </w:pPr>
    </w:p>
    <w:p w14:paraId="06D7A3F6" w14:textId="77777777" w:rsidR="002A3C61" w:rsidRPr="00C207D5" w:rsidRDefault="002A3C61" w:rsidP="002A3C61">
      <w:pPr>
        <w:pStyle w:val="ListParagraph"/>
        <w:numPr>
          <w:ilvl w:val="0"/>
          <w:numId w:val="22"/>
        </w:numPr>
        <w:spacing w:line="278" w:lineRule="auto"/>
        <w:rPr>
          <w:rFonts w:ascii="Times New Roman" w:hAnsi="Times New Roman" w:cs="Times New Roman"/>
          <w:b/>
          <w:bCs/>
        </w:rPr>
      </w:pPr>
      <w:r w:rsidRPr="00C207D5">
        <w:rPr>
          <w:rFonts w:ascii="Times New Roman" w:hAnsi="Times New Roman" w:cs="Times New Roman"/>
          <w:b/>
          <w:bCs/>
        </w:rPr>
        <w:t>Introduction</w:t>
      </w:r>
    </w:p>
    <w:p w14:paraId="19B9D94E" w14:textId="77777777" w:rsidR="002A3C61" w:rsidRPr="00C207D5" w:rsidRDefault="002A3C61" w:rsidP="002A3C61">
      <w:pPr>
        <w:pStyle w:val="IPPParagraphnumbering"/>
        <w:numPr>
          <w:ilvl w:val="0"/>
          <w:numId w:val="26"/>
        </w:numPr>
        <w:tabs>
          <w:tab w:val="num" w:pos="720"/>
        </w:tabs>
        <w:rPr>
          <w:sz w:val="24"/>
        </w:rPr>
      </w:pPr>
      <w:r w:rsidRPr="00C460D3">
        <w:rPr>
          <w:sz w:val="24"/>
        </w:rPr>
        <w:t xml:space="preserve">The International Plant Protection Convention (IPPC) underscores the critical importance of timely and accurate reporting in safeguarding plant health and preventing the spread of pests. Recognizing that plant pests pose significant threats to agriculture, biodiversity, and trade, the contracting parties commit to full cooperation in the exchange of information related to the occurrence, outbreak, or spread of pests that may present immediate or potential danger. </w:t>
      </w:r>
    </w:p>
    <w:p w14:paraId="09D23D03" w14:textId="77777777" w:rsidR="002A3C61" w:rsidRPr="00C207D5" w:rsidRDefault="002A3C61" w:rsidP="002A3C61">
      <w:pPr>
        <w:pStyle w:val="IPPParagraphnumbering"/>
        <w:numPr>
          <w:ilvl w:val="0"/>
          <w:numId w:val="26"/>
        </w:numPr>
        <w:tabs>
          <w:tab w:val="num" w:pos="720"/>
        </w:tabs>
        <w:rPr>
          <w:sz w:val="24"/>
        </w:rPr>
      </w:pPr>
      <w:r w:rsidRPr="00C460D3">
        <w:rPr>
          <w:sz w:val="24"/>
        </w:rPr>
        <w:t>To this end, each contracting party is obligated to establish and maintain an official national plant protection organization responsible for the surveillance of both cultivated and wild plants, as well as plant products in storage or transit. This organization plays a pivotal role in detecting and reporting pest occurrences, outbreaks, and spread, thereby facilitating prompt and effective control measures.</w:t>
      </w:r>
    </w:p>
    <w:p w14:paraId="617B4DFE" w14:textId="77777777" w:rsidR="002A3C61" w:rsidRPr="00C207D5" w:rsidRDefault="002A3C61" w:rsidP="002A3C61">
      <w:pPr>
        <w:pStyle w:val="IPPParagraphnumbering"/>
        <w:numPr>
          <w:ilvl w:val="0"/>
          <w:numId w:val="26"/>
        </w:numPr>
        <w:tabs>
          <w:tab w:val="num" w:pos="720"/>
        </w:tabs>
        <w:rPr>
          <w:sz w:val="24"/>
        </w:rPr>
      </w:pPr>
      <w:r w:rsidRPr="00C460D3">
        <w:rPr>
          <w:sz w:val="24"/>
        </w:rPr>
        <w:t xml:space="preserve"> Importing parties are required to inform exporting or re-exporting parties of significant non-compliance with phytosanitary certification, prompting investigations and reporting of findings to ensure transparency and accountability. </w:t>
      </w:r>
    </w:p>
    <w:p w14:paraId="526BE210" w14:textId="77777777" w:rsidR="002A3C61" w:rsidRPr="00C460D3" w:rsidRDefault="002A3C61" w:rsidP="002A3C61">
      <w:pPr>
        <w:pStyle w:val="IPPParagraphnumbering"/>
        <w:numPr>
          <w:ilvl w:val="0"/>
          <w:numId w:val="26"/>
        </w:numPr>
        <w:tabs>
          <w:tab w:val="num" w:pos="720"/>
        </w:tabs>
        <w:rPr>
          <w:sz w:val="24"/>
        </w:rPr>
      </w:pPr>
      <w:r w:rsidRPr="00C460D3">
        <w:rPr>
          <w:sz w:val="24"/>
        </w:rPr>
        <w:t>Furthermore, the IPPC permits contracting parties to take appropriate emergency actions upon detecting pests that threaten their territories, highlighting the necessity of swift responses to emerging threats. Through these collective reporting obligations, the IPPC fosters international collaboration aimed at protecting plant resources, promoting safe trade, and contributing to global food security</w:t>
      </w:r>
      <w:r w:rsidRPr="00C207D5">
        <w:rPr>
          <w:sz w:val="24"/>
        </w:rPr>
        <w:t>.</w:t>
      </w:r>
    </w:p>
    <w:p w14:paraId="0FCC6305" w14:textId="77777777" w:rsidR="002A3C61" w:rsidRPr="00C207D5" w:rsidRDefault="002A3C61" w:rsidP="002A3C61">
      <w:pPr>
        <w:pStyle w:val="ListParagraph"/>
        <w:numPr>
          <w:ilvl w:val="0"/>
          <w:numId w:val="22"/>
        </w:numPr>
        <w:spacing w:line="278" w:lineRule="auto"/>
        <w:rPr>
          <w:rFonts w:ascii="Times New Roman" w:hAnsi="Times New Roman" w:cs="Times New Roman"/>
          <w:b/>
          <w:bCs/>
        </w:rPr>
      </w:pPr>
      <w:r w:rsidRPr="00C207D5">
        <w:rPr>
          <w:rFonts w:ascii="Times New Roman" w:hAnsi="Times New Roman" w:cs="Times New Roman"/>
          <w:b/>
          <w:bCs/>
        </w:rPr>
        <w:t xml:space="preserve">Rationale </w:t>
      </w:r>
    </w:p>
    <w:p w14:paraId="2EFF7D2D" w14:textId="77777777" w:rsidR="002A3C61" w:rsidRPr="00C207D5" w:rsidRDefault="002A3C61" w:rsidP="002A3C61">
      <w:pPr>
        <w:pStyle w:val="IPPParagraphnumbering"/>
        <w:numPr>
          <w:ilvl w:val="0"/>
          <w:numId w:val="26"/>
        </w:numPr>
        <w:tabs>
          <w:tab w:val="num" w:pos="720"/>
        </w:tabs>
        <w:rPr>
          <w:sz w:val="24"/>
        </w:rPr>
      </w:pPr>
      <w:r w:rsidRPr="00C207D5">
        <w:rPr>
          <w:sz w:val="24"/>
        </w:rPr>
        <w:t>The objective of this procedure is to establish a simplified approach enabling territories affiliated with contracting parties and these contracting parties to fulfill their obligations under the IPPC in a harmonized manner.</w:t>
      </w:r>
    </w:p>
    <w:p w14:paraId="1A71F055" w14:textId="77777777" w:rsidR="002A3C61" w:rsidRPr="00C207D5" w:rsidRDefault="002A3C61" w:rsidP="002A3C61">
      <w:pPr>
        <w:pStyle w:val="IPPParagraphnumbering"/>
        <w:numPr>
          <w:ilvl w:val="0"/>
          <w:numId w:val="26"/>
        </w:numPr>
        <w:tabs>
          <w:tab w:val="num" w:pos="720"/>
        </w:tabs>
        <w:rPr>
          <w:sz w:val="24"/>
        </w:rPr>
      </w:pPr>
      <w:r w:rsidRPr="00C207D5">
        <w:rPr>
          <w:sz w:val="24"/>
        </w:rPr>
        <w:t>The IPPC Phytosanitary Portal's configuration presents territories with the same features as the contracting parties to which they belong.</w:t>
      </w:r>
    </w:p>
    <w:p w14:paraId="201D9D36"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Description of the NPPO</w:t>
      </w:r>
    </w:p>
    <w:p w14:paraId="2B24DA2A"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Legislation: Phytosanitary Requirements/Restrictions/Prohibitions</w:t>
      </w:r>
    </w:p>
    <w:p w14:paraId="3FD243EA"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Entry Points</w:t>
      </w:r>
    </w:p>
    <w:p w14:paraId="00844CDE"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List of Regulated Pests</w:t>
      </w:r>
    </w:p>
    <w:p w14:paraId="6E85807E"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Pest Reports</w:t>
      </w:r>
      <w:r w:rsidRPr="00C207D5">
        <w:rPr>
          <w:rFonts w:ascii="Times New Roman" w:hAnsi="Times New Roman" w:cs="Times New Roman"/>
        </w:rPr>
        <w:tab/>
        <w:t>Organizational Arrangements for Plant Protection</w:t>
      </w:r>
    </w:p>
    <w:p w14:paraId="129F432F"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Rationale for Phytosanitary Requirements</w:t>
      </w:r>
    </w:p>
    <w:p w14:paraId="02E12630"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Non-compliance</w:t>
      </w:r>
    </w:p>
    <w:p w14:paraId="1282B730"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Pest status</w:t>
      </w:r>
    </w:p>
    <w:p w14:paraId="3BBA6550" w14:textId="77777777" w:rsidR="002A3C61" w:rsidRPr="00C207D5" w:rsidRDefault="002A3C61" w:rsidP="002A3C61">
      <w:pPr>
        <w:pStyle w:val="ListParagraph"/>
        <w:numPr>
          <w:ilvl w:val="0"/>
          <w:numId w:val="23"/>
        </w:numPr>
        <w:spacing w:line="278" w:lineRule="auto"/>
        <w:rPr>
          <w:rFonts w:ascii="Times New Roman" w:hAnsi="Times New Roman" w:cs="Times New Roman"/>
        </w:rPr>
      </w:pPr>
      <w:r w:rsidRPr="00C207D5">
        <w:rPr>
          <w:rFonts w:ascii="Times New Roman" w:hAnsi="Times New Roman" w:cs="Times New Roman"/>
        </w:rPr>
        <w:t>Emergency Actions</w:t>
      </w:r>
    </w:p>
    <w:p w14:paraId="78CD735E" w14:textId="77777777" w:rsidR="002A3C61" w:rsidRPr="00C207D5" w:rsidRDefault="002A3C61" w:rsidP="002A3C61">
      <w:pPr>
        <w:pStyle w:val="IPPParagraphnumbering"/>
        <w:numPr>
          <w:ilvl w:val="0"/>
          <w:numId w:val="26"/>
        </w:numPr>
        <w:tabs>
          <w:tab w:val="num" w:pos="720"/>
        </w:tabs>
        <w:rPr>
          <w:sz w:val="24"/>
        </w:rPr>
      </w:pPr>
      <w:r w:rsidRPr="00C207D5">
        <w:rPr>
          <w:sz w:val="24"/>
        </w:rPr>
        <w:t>This, depending on the case, involves reporting phytosanitary information associated with countries on the NROs, thus creating redundancy.</w:t>
      </w:r>
    </w:p>
    <w:p w14:paraId="7CCFDE06" w14:textId="77777777" w:rsidR="002A3C61" w:rsidRPr="00C207D5" w:rsidRDefault="002A3C61" w:rsidP="002A3C61">
      <w:pPr>
        <w:pStyle w:val="IPPParagraphnumbering"/>
        <w:numPr>
          <w:ilvl w:val="0"/>
          <w:numId w:val="26"/>
        </w:numPr>
        <w:tabs>
          <w:tab w:val="num" w:pos="720"/>
        </w:tabs>
        <w:rPr>
          <w:sz w:val="24"/>
        </w:rPr>
      </w:pPr>
      <w:r w:rsidRPr="00C207D5">
        <w:rPr>
          <w:sz w:val="24"/>
        </w:rPr>
        <w:lastRenderedPageBreak/>
        <w:t xml:space="preserve">In several cases, it has been observed that the contracting party page is frequently updated, but the associated territory page, being independent on the IPP, is often not updated and even contains none of the public NROs. </w:t>
      </w:r>
    </w:p>
    <w:p w14:paraId="4D857634" w14:textId="77777777" w:rsidR="002A3C61" w:rsidRPr="00C207D5" w:rsidRDefault="002A3C61" w:rsidP="002A3C61">
      <w:pPr>
        <w:pStyle w:val="IPPParagraphnumbering"/>
        <w:numPr>
          <w:ilvl w:val="0"/>
          <w:numId w:val="26"/>
        </w:numPr>
        <w:tabs>
          <w:tab w:val="num" w:pos="720"/>
        </w:tabs>
        <w:rPr>
          <w:sz w:val="24"/>
        </w:rPr>
      </w:pPr>
      <w:r w:rsidRPr="00C207D5">
        <w:rPr>
          <w:sz w:val="24"/>
        </w:rPr>
        <w:t>Article VIII paragraph 1(a). of the IPPC stated that : The contracting parties shall cooperate with one another to the fullest practicable extent in achieving the aims of this Convention, and shall in particular: a. cooperate in the exchange of information on plant pests, particularly the reporting of the occurrence, outbreak or spread of pests that may be of immediate or potential danger, in accordance with such procedures as may be established by the Commission.</w:t>
      </w:r>
    </w:p>
    <w:p w14:paraId="141483A2" w14:textId="77777777" w:rsidR="002A3C61" w:rsidRPr="00C207D5" w:rsidRDefault="002A3C61" w:rsidP="002A3C61">
      <w:pPr>
        <w:pStyle w:val="ListParagraph"/>
        <w:numPr>
          <w:ilvl w:val="0"/>
          <w:numId w:val="22"/>
        </w:numPr>
        <w:spacing w:line="278" w:lineRule="auto"/>
        <w:rPr>
          <w:rFonts w:ascii="Times New Roman" w:hAnsi="Times New Roman" w:cs="Times New Roman"/>
          <w:b/>
          <w:bCs/>
        </w:rPr>
      </w:pPr>
      <w:r w:rsidRPr="00C207D5">
        <w:rPr>
          <w:rFonts w:ascii="Times New Roman" w:hAnsi="Times New Roman" w:cs="Times New Roman"/>
          <w:b/>
          <w:bCs/>
        </w:rPr>
        <w:t xml:space="preserve">Unique reporting channel </w:t>
      </w:r>
    </w:p>
    <w:p w14:paraId="720A900D" w14:textId="77777777" w:rsidR="002A3C61" w:rsidRPr="00C207D5" w:rsidRDefault="002A3C61" w:rsidP="002A3C61">
      <w:pPr>
        <w:pStyle w:val="IPPParagraphnumbering"/>
        <w:numPr>
          <w:ilvl w:val="0"/>
          <w:numId w:val="26"/>
        </w:numPr>
        <w:tabs>
          <w:tab w:val="num" w:pos="720"/>
        </w:tabs>
        <w:rPr>
          <w:sz w:val="24"/>
        </w:rPr>
      </w:pPr>
      <w:r w:rsidRPr="00C207D5">
        <w:rPr>
          <w:sz w:val="24"/>
        </w:rPr>
        <w:t>Contracting parties with territories listed on the IPP may agree to have a single channel for NROs to be reported to the IPPC. In this case, a request must be sent by the contracting party to the IPPC Secretary, specifying that official communications and reporting on the IPPC portal will be made only through the contracting party's profile and the official Point of Contact. This request must clearly specify that the associated territory profiles (which must be listed in the request) must be removed from the IPP.</w:t>
      </w:r>
    </w:p>
    <w:p w14:paraId="1A453763" w14:textId="77777777" w:rsidR="002A3C61" w:rsidRPr="00C207D5" w:rsidRDefault="002A3C61" w:rsidP="002A3C61">
      <w:pPr>
        <w:pStyle w:val="IPPParagraphnumbering"/>
        <w:numPr>
          <w:ilvl w:val="0"/>
          <w:numId w:val="26"/>
        </w:numPr>
        <w:tabs>
          <w:tab w:val="num" w:pos="720"/>
        </w:tabs>
        <w:rPr>
          <w:sz w:val="24"/>
        </w:rPr>
      </w:pPr>
      <w:r w:rsidRPr="00C207D5">
        <w:rPr>
          <w:sz w:val="24"/>
        </w:rPr>
        <w:t>Upon receipt of the contracting party's letter, the Secretariat will delete the indicated territory profiles and publish an announcement on the IPP.</w:t>
      </w:r>
    </w:p>
    <w:p w14:paraId="6C6AA3C2" w14:textId="77777777" w:rsidR="002A3C61" w:rsidRPr="00C207D5" w:rsidRDefault="002A3C61" w:rsidP="002A3C61">
      <w:pPr>
        <w:pStyle w:val="ListParagraph"/>
        <w:numPr>
          <w:ilvl w:val="0"/>
          <w:numId w:val="22"/>
        </w:numPr>
        <w:spacing w:line="278" w:lineRule="auto"/>
        <w:rPr>
          <w:rFonts w:ascii="Times New Roman" w:hAnsi="Times New Roman" w:cs="Times New Roman"/>
          <w:b/>
          <w:bCs/>
        </w:rPr>
      </w:pPr>
      <w:r w:rsidRPr="00C207D5">
        <w:rPr>
          <w:rFonts w:ascii="Times New Roman" w:hAnsi="Times New Roman" w:cs="Times New Roman"/>
          <w:b/>
          <w:bCs/>
        </w:rPr>
        <w:t xml:space="preserve">Mixed reporting channel </w:t>
      </w:r>
    </w:p>
    <w:p w14:paraId="52193EAA" w14:textId="77777777" w:rsidR="002A3C61" w:rsidRPr="00C207D5" w:rsidRDefault="002A3C61" w:rsidP="002A3C61">
      <w:pPr>
        <w:pStyle w:val="IPPParagraphnumbering"/>
        <w:numPr>
          <w:ilvl w:val="0"/>
          <w:numId w:val="26"/>
        </w:numPr>
        <w:tabs>
          <w:tab w:val="num" w:pos="720"/>
        </w:tabs>
        <w:rPr>
          <w:sz w:val="24"/>
        </w:rPr>
      </w:pPr>
      <w:r w:rsidRPr="00C207D5">
        <w:rPr>
          <w:sz w:val="24"/>
        </w:rPr>
        <w:t>Contracting parties with territories listed on the IPP may agree to be appropriate to maintain the information on territories in the PPI by keeping only the contact information responsible for phytosanitary issues in the territory and deleting the other features of the territory profile. This involves (Description of the NPPO, Legislation: Phytosanitary Requirements/Restrictions/Prohibitions, Entry Points, List of Regulated Pests, Pest Reports, Organizational Arrangements for Plant Protection, Rationale for Phytosanitary Requirements, Non-compliance, Pest status, Emergency Actions).</w:t>
      </w:r>
    </w:p>
    <w:p w14:paraId="2D85DCE5" w14:textId="77777777" w:rsidR="002A3C61" w:rsidRPr="00C207D5" w:rsidRDefault="002A3C61" w:rsidP="002A3C61">
      <w:pPr>
        <w:pStyle w:val="IPPParagraphnumbering"/>
        <w:numPr>
          <w:ilvl w:val="0"/>
          <w:numId w:val="26"/>
        </w:numPr>
        <w:tabs>
          <w:tab w:val="num" w:pos="720"/>
        </w:tabs>
        <w:rPr>
          <w:sz w:val="24"/>
        </w:rPr>
      </w:pPr>
      <w:r w:rsidRPr="00C207D5">
        <w:rPr>
          <w:sz w:val="24"/>
        </w:rPr>
        <w:t>In this case, a request must be sent by the contracting party to the IPPC Secretary, specifying that the NROs features need to disactivated listing the territories expert the contact information of territory and the national reporting obligations will be made on the IPPC portal will be made only through the contracting party's profile.</w:t>
      </w:r>
    </w:p>
    <w:p w14:paraId="03780E91" w14:textId="77777777" w:rsidR="002A3C61" w:rsidRPr="00C207D5" w:rsidRDefault="002A3C61" w:rsidP="002A3C61">
      <w:pPr>
        <w:pStyle w:val="IPPParagraphnumbering"/>
        <w:numPr>
          <w:ilvl w:val="0"/>
          <w:numId w:val="26"/>
        </w:numPr>
        <w:tabs>
          <w:tab w:val="num" w:pos="720"/>
        </w:tabs>
        <w:rPr>
          <w:sz w:val="24"/>
        </w:rPr>
      </w:pPr>
      <w:r w:rsidRPr="00C207D5">
        <w:rPr>
          <w:sz w:val="24"/>
        </w:rPr>
        <w:t xml:space="preserve"> A link will be provided on the territory page to redirect NROs to the page of the contracting party to which it belongs. The IPPC official contact point of contacting party will be responsible for monitoring and ensure that the contact information of the affiliated territories is kept up to date on the PPI.</w:t>
      </w:r>
    </w:p>
    <w:p w14:paraId="2FD38E31" w14:textId="77777777" w:rsidR="002A3C61" w:rsidRPr="00C207D5" w:rsidRDefault="002A3C61" w:rsidP="002A3C61">
      <w:pPr>
        <w:pStyle w:val="ListParagraph"/>
        <w:numPr>
          <w:ilvl w:val="0"/>
          <w:numId w:val="22"/>
        </w:numPr>
        <w:spacing w:line="278" w:lineRule="auto"/>
        <w:rPr>
          <w:rFonts w:ascii="Times New Roman" w:hAnsi="Times New Roman" w:cs="Times New Roman"/>
          <w:b/>
          <w:bCs/>
        </w:rPr>
      </w:pPr>
      <w:r w:rsidRPr="00C207D5">
        <w:rPr>
          <w:rFonts w:ascii="Times New Roman" w:hAnsi="Times New Roman" w:cs="Times New Roman"/>
          <w:b/>
          <w:bCs/>
        </w:rPr>
        <w:t xml:space="preserve">Separate reporting </w:t>
      </w:r>
    </w:p>
    <w:p w14:paraId="6202CC82" w14:textId="77777777" w:rsidR="002A3C61" w:rsidRPr="00C207D5" w:rsidRDefault="002A3C61" w:rsidP="002A3C61">
      <w:pPr>
        <w:pStyle w:val="IPPParagraphnumbering"/>
        <w:numPr>
          <w:ilvl w:val="0"/>
          <w:numId w:val="26"/>
        </w:numPr>
        <w:tabs>
          <w:tab w:val="num" w:pos="720"/>
        </w:tabs>
        <w:rPr>
          <w:sz w:val="24"/>
        </w:rPr>
      </w:pPr>
      <w:r w:rsidRPr="00C207D5">
        <w:rPr>
          <w:sz w:val="24"/>
        </w:rPr>
        <w:t>If for organizational or administrative reasons, the Contracting Parties agree that it is more appropriate to report the NROs separately between the Contracting Party and the Territories. Contracting parties with territories listed on the IPP should notify the separate reporting system to the IPPC Secretary by an official correspondence.</w:t>
      </w:r>
    </w:p>
    <w:p w14:paraId="206C87D9" w14:textId="77777777" w:rsidR="002A3C61" w:rsidRPr="00C207D5" w:rsidRDefault="002A3C61" w:rsidP="002A3C61">
      <w:pPr>
        <w:pStyle w:val="IPPParagraphnumbering"/>
        <w:numPr>
          <w:ilvl w:val="0"/>
          <w:numId w:val="26"/>
        </w:numPr>
        <w:tabs>
          <w:tab w:val="num" w:pos="720"/>
        </w:tabs>
        <w:rPr>
          <w:sz w:val="24"/>
        </w:rPr>
      </w:pPr>
      <w:r w:rsidRPr="00C207D5">
        <w:rPr>
          <w:sz w:val="24"/>
        </w:rPr>
        <w:lastRenderedPageBreak/>
        <w:t>The IPPC official contact of contacting party point will be responsible for following up that the contact information of the affiliated territories is kept up to date on the PPI.</w:t>
      </w:r>
    </w:p>
    <w:p w14:paraId="7EA44387" w14:textId="77777777" w:rsidR="002A3C61" w:rsidRPr="00C207D5" w:rsidRDefault="002A3C61" w:rsidP="002A3C61">
      <w:pPr>
        <w:pStyle w:val="ListParagraph"/>
        <w:numPr>
          <w:ilvl w:val="0"/>
          <w:numId w:val="22"/>
        </w:numPr>
        <w:spacing w:line="278" w:lineRule="auto"/>
        <w:rPr>
          <w:rFonts w:ascii="Times New Roman" w:hAnsi="Times New Roman" w:cs="Times New Roman"/>
          <w:b/>
          <w:bCs/>
        </w:rPr>
      </w:pPr>
      <w:r w:rsidRPr="00C207D5">
        <w:rPr>
          <w:rFonts w:ascii="Times New Roman" w:hAnsi="Times New Roman" w:cs="Times New Roman"/>
          <w:b/>
          <w:bCs/>
        </w:rPr>
        <w:t xml:space="preserve">Amendment and revision </w:t>
      </w:r>
    </w:p>
    <w:p w14:paraId="7EBF9EFB" w14:textId="77777777" w:rsidR="002A3C61" w:rsidRPr="00C207D5" w:rsidRDefault="002A3C61" w:rsidP="002A3C61">
      <w:pPr>
        <w:pStyle w:val="IPPParagraphnumbering"/>
        <w:numPr>
          <w:ilvl w:val="0"/>
          <w:numId w:val="26"/>
        </w:numPr>
        <w:tabs>
          <w:tab w:val="num" w:pos="720"/>
        </w:tabs>
        <w:rPr>
          <w:sz w:val="24"/>
        </w:rPr>
      </w:pPr>
      <w:r w:rsidRPr="00C207D5">
        <w:rPr>
          <w:sz w:val="24"/>
        </w:rPr>
        <w:t>Amendments to Procedure for territories to report on NROs on the IPP will be adopted by the CPM at any plenary meeting.</w:t>
      </w:r>
    </w:p>
    <w:p w14:paraId="50F86F75" w14:textId="77777777" w:rsidR="002A3C61" w:rsidRDefault="002A3C61"/>
    <w:sectPr w:rsidR="002A3C61" w:rsidSect="00A2673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1DDB2" w14:textId="77777777" w:rsidR="00DD209C" w:rsidRDefault="00DD209C" w:rsidP="008657F2">
      <w:pPr>
        <w:spacing w:after="0" w:line="240" w:lineRule="auto"/>
      </w:pPr>
      <w:r>
        <w:separator/>
      </w:r>
    </w:p>
  </w:endnote>
  <w:endnote w:type="continuationSeparator" w:id="0">
    <w:p w14:paraId="101E45D3" w14:textId="77777777" w:rsidR="00DD209C" w:rsidRDefault="00DD209C" w:rsidP="00865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DFE9E" w14:textId="77777777" w:rsidR="002A3C61" w:rsidRDefault="002A3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0FCB" w14:textId="7A6A2D9F" w:rsidR="00A26731" w:rsidRPr="002A3C61" w:rsidRDefault="00A26731" w:rsidP="00A26731">
    <w:pPr>
      <w:pStyle w:val="IPPFooterLandscape"/>
      <w:jc w:val="both"/>
      <w:rPr>
        <w:b w:val="0"/>
      </w:rPr>
    </w:pPr>
    <w:r w:rsidRPr="00A62A0E">
      <w:t>Internatio</w:t>
    </w:r>
    <w:r>
      <w:t xml:space="preserve">nal Plant Protection Convention </w:t>
    </w:r>
    <w:r>
      <w:tab/>
    </w:r>
    <w:r w:rsidRPr="002A3C61">
      <w:rPr>
        <w:rStyle w:val="PageNumber"/>
        <w:b/>
      </w:rPr>
      <w:t xml:space="preserve">Page </w:t>
    </w:r>
    <w:r w:rsidRPr="002A3C61">
      <w:rPr>
        <w:rStyle w:val="PageNumber"/>
        <w:b/>
      </w:rPr>
      <w:fldChar w:fldCharType="begin"/>
    </w:r>
    <w:r w:rsidRPr="002A3C61">
      <w:rPr>
        <w:rStyle w:val="PageNumber"/>
        <w:b/>
      </w:rPr>
      <w:instrText xml:space="preserve"> PAGE </w:instrText>
    </w:r>
    <w:r w:rsidRPr="002A3C61">
      <w:rPr>
        <w:rStyle w:val="PageNumber"/>
        <w:b/>
      </w:rPr>
      <w:fldChar w:fldCharType="separate"/>
    </w:r>
    <w:r w:rsidRPr="002A3C61">
      <w:rPr>
        <w:rStyle w:val="PageNumber"/>
        <w:b/>
      </w:rPr>
      <w:t>1</w:t>
    </w:r>
    <w:r w:rsidRPr="002A3C61">
      <w:rPr>
        <w:rStyle w:val="PageNumber"/>
        <w:b/>
      </w:rPr>
      <w:fldChar w:fldCharType="end"/>
    </w:r>
    <w:r w:rsidRPr="002A3C61">
      <w:rPr>
        <w:rStyle w:val="PageNumber"/>
        <w:b/>
      </w:rPr>
      <w:t xml:space="preserve"> of </w:t>
    </w:r>
    <w:r w:rsidRPr="002A3C61">
      <w:rPr>
        <w:rStyle w:val="PageNumber"/>
        <w:b/>
      </w:rPr>
      <w:fldChar w:fldCharType="begin"/>
    </w:r>
    <w:r w:rsidRPr="002A3C61">
      <w:rPr>
        <w:rStyle w:val="PageNumber"/>
        <w:b/>
      </w:rPr>
      <w:instrText xml:space="preserve"> NUMPAGES </w:instrText>
    </w:r>
    <w:r w:rsidRPr="002A3C61">
      <w:rPr>
        <w:rStyle w:val="PageNumber"/>
        <w:b/>
      </w:rPr>
      <w:fldChar w:fldCharType="separate"/>
    </w:r>
    <w:r w:rsidRPr="002A3C61">
      <w:rPr>
        <w:rStyle w:val="PageNumber"/>
        <w:b/>
      </w:rPr>
      <w:t>7</w:t>
    </w:r>
    <w:r w:rsidRPr="002A3C61">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6604" w14:textId="0EE2FD02" w:rsidR="00A26731" w:rsidRPr="00A26731" w:rsidRDefault="00A26731" w:rsidP="00A26731">
    <w:pPr>
      <w:pStyle w:val="IPPFooterLandscape"/>
      <w:jc w:val="both"/>
      <w:rPr>
        <w:bCs/>
      </w:rPr>
    </w:pPr>
    <w:r w:rsidRPr="00A62A0E">
      <w:t>Internatio</w:t>
    </w:r>
    <w:r>
      <w:t xml:space="preserve">nal Plant Protection Convention </w:t>
    </w:r>
    <w:r>
      <w:tab/>
    </w:r>
    <w:r w:rsidRPr="002A3C61">
      <w:rPr>
        <w:rStyle w:val="PageNumber"/>
        <w:b/>
      </w:rPr>
      <w:t xml:space="preserve">Page </w:t>
    </w:r>
    <w:r w:rsidRPr="002A3C61">
      <w:rPr>
        <w:rStyle w:val="PageNumber"/>
        <w:b/>
      </w:rPr>
      <w:fldChar w:fldCharType="begin"/>
    </w:r>
    <w:r w:rsidRPr="002A3C61">
      <w:rPr>
        <w:rStyle w:val="PageNumber"/>
        <w:b/>
      </w:rPr>
      <w:instrText xml:space="preserve"> PAGE </w:instrText>
    </w:r>
    <w:r w:rsidRPr="002A3C61">
      <w:rPr>
        <w:rStyle w:val="PageNumber"/>
        <w:b/>
      </w:rPr>
      <w:fldChar w:fldCharType="separate"/>
    </w:r>
    <w:r w:rsidRPr="002A3C61">
      <w:rPr>
        <w:rStyle w:val="PageNumber"/>
        <w:b/>
      </w:rPr>
      <w:t>1</w:t>
    </w:r>
    <w:r w:rsidRPr="002A3C61">
      <w:rPr>
        <w:rStyle w:val="PageNumber"/>
        <w:b/>
      </w:rPr>
      <w:fldChar w:fldCharType="end"/>
    </w:r>
    <w:r w:rsidRPr="002A3C61">
      <w:rPr>
        <w:rStyle w:val="PageNumber"/>
        <w:b/>
      </w:rPr>
      <w:t xml:space="preserve"> of </w:t>
    </w:r>
    <w:r w:rsidRPr="002A3C61">
      <w:rPr>
        <w:rStyle w:val="PageNumber"/>
        <w:b/>
      </w:rPr>
      <w:fldChar w:fldCharType="begin"/>
    </w:r>
    <w:r w:rsidRPr="002A3C61">
      <w:rPr>
        <w:rStyle w:val="PageNumber"/>
        <w:b/>
      </w:rPr>
      <w:instrText xml:space="preserve"> NUMPAGES </w:instrText>
    </w:r>
    <w:r w:rsidRPr="002A3C61">
      <w:rPr>
        <w:rStyle w:val="PageNumber"/>
        <w:b/>
      </w:rPr>
      <w:fldChar w:fldCharType="separate"/>
    </w:r>
    <w:r w:rsidRPr="002A3C61">
      <w:rPr>
        <w:rStyle w:val="PageNumber"/>
        <w:b/>
      </w:rPr>
      <w:t>7</w:t>
    </w:r>
    <w:r w:rsidRPr="002A3C61">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A315" w14:textId="77777777" w:rsidR="00DD209C" w:rsidRDefault="00DD209C" w:rsidP="008657F2">
      <w:pPr>
        <w:spacing w:after="0" w:line="240" w:lineRule="auto"/>
      </w:pPr>
      <w:r>
        <w:separator/>
      </w:r>
    </w:p>
  </w:footnote>
  <w:footnote w:type="continuationSeparator" w:id="0">
    <w:p w14:paraId="2FC5F2F8" w14:textId="77777777" w:rsidR="00DD209C" w:rsidRDefault="00DD209C" w:rsidP="00865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56588" w14:textId="77777777" w:rsidR="002A3C61" w:rsidRDefault="002A3C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E2F32" w14:textId="4D4BF449" w:rsidR="00A26731" w:rsidRPr="002619CA" w:rsidRDefault="002A3C61" w:rsidP="00A26731">
    <w:pPr>
      <w:pStyle w:val="IPPHeader"/>
      <w:tabs>
        <w:tab w:val="clear" w:pos="9072"/>
        <w:tab w:val="right" w:pos="9320"/>
      </w:tabs>
      <w:spacing w:after="0"/>
      <w:jc w:val="right"/>
    </w:pPr>
    <w:r>
      <w:rPr>
        <w:rFonts w:eastAsia="Times"/>
        <w:szCs w:val="18"/>
      </w:rPr>
      <w:t>Procedure for territories to report on NROs</w:t>
    </w:r>
    <w:r w:rsidR="00A26731" w:rsidRPr="00A26731">
      <w:rPr>
        <w:rFonts w:eastAsia="Times"/>
        <w:szCs w:val="18"/>
      </w:rPr>
      <w:t xml:space="preserve"> </w:t>
    </w:r>
  </w:p>
  <w:p w14:paraId="059A726B" w14:textId="77777777" w:rsidR="00A26731" w:rsidRDefault="00A26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7F31" w14:textId="6C11E488" w:rsidR="00A26731" w:rsidRPr="00B40298" w:rsidRDefault="00A26731" w:rsidP="00A26731">
    <w:pPr>
      <w:pStyle w:val="IPPHeader"/>
      <w:tabs>
        <w:tab w:val="clear" w:pos="1134"/>
      </w:tabs>
      <w:spacing w:before="240" w:after="0"/>
      <w:rPr>
        <w:lang w:val="en-GB"/>
      </w:rPr>
    </w:pPr>
    <w:r>
      <w:rPr>
        <w:noProof/>
      </w:rPr>
      <mc:AlternateContent>
        <mc:Choice Requires="wps">
          <w:drawing>
            <wp:anchor distT="0" distB="0" distL="114300" distR="114300" simplePos="0" relativeHeight="251662336" behindDoc="0" locked="0" layoutInCell="1" allowOverlap="1" wp14:anchorId="23336C22" wp14:editId="06C8231B">
              <wp:simplePos x="0" y="0"/>
              <wp:positionH relativeFrom="margin">
                <wp:posOffset>1573530</wp:posOffset>
              </wp:positionH>
              <wp:positionV relativeFrom="page">
                <wp:posOffset>720090</wp:posOffset>
              </wp:positionV>
              <wp:extent cx="0" cy="360000"/>
              <wp:effectExtent l="0" t="0" r="38100" b="21590"/>
              <wp:wrapNone/>
              <wp:docPr id="2037128071"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C7E2FCE"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46F7729D" wp14:editId="1DF4C688">
          <wp:simplePos x="0" y="0"/>
          <wp:positionH relativeFrom="page">
            <wp:posOffset>0</wp:posOffset>
          </wp:positionH>
          <wp:positionV relativeFrom="page">
            <wp:posOffset>0</wp:posOffset>
          </wp:positionV>
          <wp:extent cx="7617600" cy="558000"/>
          <wp:effectExtent l="0" t="0" r="2540" b="0"/>
          <wp:wrapTopAndBottom/>
          <wp:docPr id="1007579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52710C8C" wp14:editId="55FB3917">
          <wp:simplePos x="0" y="0"/>
          <wp:positionH relativeFrom="page">
            <wp:posOffset>742950</wp:posOffset>
          </wp:positionH>
          <wp:positionV relativeFrom="page">
            <wp:posOffset>558165</wp:posOffset>
          </wp:positionV>
          <wp:extent cx="1728000" cy="698400"/>
          <wp:effectExtent l="0" t="0" r="5715" b="6985"/>
          <wp:wrapSquare wrapText="bothSides"/>
          <wp:docPr id="47101547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21CA0638" wp14:editId="5E5D442B">
          <wp:simplePos x="0" y="0"/>
          <wp:positionH relativeFrom="page">
            <wp:posOffset>2520315</wp:posOffset>
          </wp:positionH>
          <wp:positionV relativeFrom="page">
            <wp:posOffset>558165</wp:posOffset>
          </wp:positionV>
          <wp:extent cx="1756800" cy="698400"/>
          <wp:effectExtent l="0" t="0" r="0" b="6985"/>
          <wp:wrapSquare wrapText="bothSides"/>
          <wp:docPr id="194014833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sidRPr="00B40298">
      <w:rPr>
        <w:lang w:val="en-GB"/>
      </w:rPr>
      <w:tab/>
      <w:t>VM0</w:t>
    </w:r>
    <w:r w:rsidR="002A3C61">
      <w:rPr>
        <w:lang w:val="en-GB"/>
      </w:rPr>
      <w:t>2</w:t>
    </w:r>
    <w:r w:rsidRPr="00B40298">
      <w:rPr>
        <w:lang w:val="en-GB"/>
      </w:rPr>
      <w:t>_0</w:t>
    </w:r>
    <w:r w:rsidR="002A3C61">
      <w:rPr>
        <w:lang w:val="en-GB"/>
      </w:rPr>
      <w:t>5</w:t>
    </w:r>
    <w:r w:rsidRPr="00B40298">
      <w:rPr>
        <w:lang w:val="en-GB"/>
      </w:rPr>
      <w:t>_ICTeamNROs_2025</w:t>
    </w:r>
  </w:p>
  <w:p w14:paraId="099A5817" w14:textId="77777777" w:rsidR="00A26731" w:rsidRPr="00B40298" w:rsidRDefault="00A26731" w:rsidP="00A26731">
    <w:pPr>
      <w:pStyle w:val="IPPHeader"/>
      <w:tabs>
        <w:tab w:val="clear" w:pos="1134"/>
      </w:tabs>
      <w:spacing w:after="0"/>
      <w:rPr>
        <w:lang w:val="en-GB"/>
      </w:rPr>
    </w:pPr>
    <w:r w:rsidRPr="00B40298">
      <w:rPr>
        <w:lang w:val="en-GB"/>
      </w:rPr>
      <w:tab/>
    </w:r>
  </w:p>
  <w:p w14:paraId="0132234E" w14:textId="77777777" w:rsidR="00A26731" w:rsidRPr="00B40298" w:rsidRDefault="00A26731" w:rsidP="00A26731">
    <w:pPr>
      <w:pStyle w:val="IPPHeader"/>
      <w:tabs>
        <w:tab w:val="clear" w:pos="1134"/>
      </w:tabs>
      <w:spacing w:after="260"/>
      <w:jc w:val="right"/>
      <w:rPr>
        <w:iCs/>
        <w:lang w:val="en-GB"/>
      </w:rPr>
    </w:pPr>
  </w:p>
  <w:p w14:paraId="1ED50E42" w14:textId="70D9C937" w:rsidR="00A26731" w:rsidRPr="00A26731" w:rsidRDefault="002A3C61" w:rsidP="00A26731">
    <w:pPr>
      <w:pStyle w:val="IPPHeader"/>
      <w:tabs>
        <w:tab w:val="clear" w:pos="9072"/>
        <w:tab w:val="left" w:pos="4942"/>
        <w:tab w:val="left" w:pos="6153"/>
        <w:tab w:val="right" w:pos="9320"/>
      </w:tabs>
      <w:ind w:firstLine="142"/>
      <w:rPr>
        <w:i/>
        <w:iCs/>
        <w:lang w:val="en-JM"/>
      </w:rPr>
    </w:pPr>
    <w:bookmarkStart w:id="0" w:name="_Hlk210278205"/>
    <w:r>
      <w:rPr>
        <w:bCs/>
        <w:i/>
        <w:lang w:val="en-JM"/>
      </w:rPr>
      <w:t>Procedure for territories to report on NROs</w:t>
    </w:r>
    <w:r w:rsidR="00A26731">
      <w:rPr>
        <w:bCs/>
        <w:i/>
        <w:lang w:val="en-JM"/>
      </w:rPr>
      <w:t xml:space="preserve"> </w:t>
    </w:r>
    <w:bookmarkEnd w:id="0"/>
    <w:r w:rsidR="00A26731">
      <w:rPr>
        <w:i/>
        <w:iCs/>
        <w:lang w:val="en-JM"/>
      </w:rPr>
      <w:tab/>
    </w:r>
    <w:r w:rsidR="00A26731">
      <w:rPr>
        <w:i/>
        <w:iCs/>
        <w:lang w:val="en-JM"/>
      </w:rPr>
      <w:tab/>
    </w:r>
    <w:r w:rsidR="00A26731">
      <w:rPr>
        <w:i/>
        <w:iCs/>
        <w:lang w:val="en-JM"/>
      </w:rPr>
      <w:tab/>
      <w:t xml:space="preserve">   </w:t>
    </w:r>
    <w:r w:rsidR="00A26731" w:rsidRPr="007D05D0">
      <w:rPr>
        <w:i/>
      </w:rPr>
      <w:t>Agenda item:</w:t>
    </w:r>
    <w:r w:rsidR="00A26731" w:rsidRPr="00905BCE">
      <w:t xml:space="preserve"> </w:t>
    </w:r>
    <w:r>
      <w:rPr>
        <w:i/>
      </w:rPr>
      <w:t>6</w:t>
    </w:r>
    <w:r w:rsidR="00A26731" w:rsidRPr="007D05D0">
      <w:rPr>
        <w:i/>
      </w:rPr>
      <w:t>.</w:t>
    </w:r>
    <w:r w:rsidR="00A26731">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C08E9"/>
    <w:multiLevelType w:val="multilevel"/>
    <w:tmpl w:val="FAC618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A2A02"/>
    <w:multiLevelType w:val="multilevel"/>
    <w:tmpl w:val="70584F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1C4AEB"/>
    <w:multiLevelType w:val="hybridMultilevel"/>
    <w:tmpl w:val="A30CB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A621252"/>
    <w:multiLevelType w:val="multilevel"/>
    <w:tmpl w:val="E98AE5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095440"/>
    <w:multiLevelType w:val="hybridMultilevel"/>
    <w:tmpl w:val="A4E8E0FE"/>
    <w:lvl w:ilvl="0" w:tplc="4A507126">
      <w:start w:val="1"/>
      <w:numFmt w:val="decimal"/>
      <w:lvlText w:val="[%1]"/>
      <w:lvlJc w:val="left"/>
      <w:pPr>
        <w:ind w:left="238" w:hanging="360"/>
      </w:pPr>
      <w:rPr>
        <w:rFonts w:ascii="Arial Italic" w:hAnsi="Arial Italic" w:hint="default"/>
        <w:b w:val="0"/>
        <w:i/>
        <w:color w:val="0000FF"/>
        <w:sz w:val="16"/>
      </w:rPr>
    </w:lvl>
    <w:lvl w:ilvl="1" w:tplc="08090019" w:tentative="1">
      <w:start w:val="1"/>
      <w:numFmt w:val="lowerLetter"/>
      <w:lvlText w:val="%2."/>
      <w:lvlJc w:val="left"/>
      <w:pPr>
        <w:ind w:left="958" w:hanging="360"/>
      </w:pPr>
    </w:lvl>
    <w:lvl w:ilvl="2" w:tplc="0809001B" w:tentative="1">
      <w:start w:val="1"/>
      <w:numFmt w:val="lowerRoman"/>
      <w:lvlText w:val="%3."/>
      <w:lvlJc w:val="right"/>
      <w:pPr>
        <w:ind w:left="1678" w:hanging="180"/>
      </w:pPr>
    </w:lvl>
    <w:lvl w:ilvl="3" w:tplc="0809000F" w:tentative="1">
      <w:start w:val="1"/>
      <w:numFmt w:val="decimal"/>
      <w:lvlText w:val="%4."/>
      <w:lvlJc w:val="left"/>
      <w:pPr>
        <w:ind w:left="2398" w:hanging="360"/>
      </w:pPr>
    </w:lvl>
    <w:lvl w:ilvl="4" w:tplc="08090019" w:tentative="1">
      <w:start w:val="1"/>
      <w:numFmt w:val="lowerLetter"/>
      <w:lvlText w:val="%5."/>
      <w:lvlJc w:val="left"/>
      <w:pPr>
        <w:ind w:left="3118" w:hanging="360"/>
      </w:pPr>
    </w:lvl>
    <w:lvl w:ilvl="5" w:tplc="0809001B" w:tentative="1">
      <w:start w:val="1"/>
      <w:numFmt w:val="lowerRoman"/>
      <w:lvlText w:val="%6."/>
      <w:lvlJc w:val="right"/>
      <w:pPr>
        <w:ind w:left="3838" w:hanging="180"/>
      </w:pPr>
    </w:lvl>
    <w:lvl w:ilvl="6" w:tplc="0809000F" w:tentative="1">
      <w:start w:val="1"/>
      <w:numFmt w:val="decimal"/>
      <w:lvlText w:val="%7."/>
      <w:lvlJc w:val="left"/>
      <w:pPr>
        <w:ind w:left="4558" w:hanging="360"/>
      </w:pPr>
    </w:lvl>
    <w:lvl w:ilvl="7" w:tplc="08090019" w:tentative="1">
      <w:start w:val="1"/>
      <w:numFmt w:val="lowerLetter"/>
      <w:lvlText w:val="%8."/>
      <w:lvlJc w:val="left"/>
      <w:pPr>
        <w:ind w:left="5278" w:hanging="360"/>
      </w:pPr>
    </w:lvl>
    <w:lvl w:ilvl="8" w:tplc="0809001B" w:tentative="1">
      <w:start w:val="1"/>
      <w:numFmt w:val="lowerRoman"/>
      <w:lvlText w:val="%9."/>
      <w:lvlJc w:val="right"/>
      <w:pPr>
        <w:ind w:left="5998" w:hanging="180"/>
      </w:pPr>
    </w:lvl>
  </w:abstractNum>
  <w:abstractNum w:abstractNumId="7" w15:restartNumberingAfterBreak="0">
    <w:nsid w:val="1A444A29"/>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1CA52F65"/>
    <w:multiLevelType w:val="multilevel"/>
    <w:tmpl w:val="FDB0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DA08E2"/>
    <w:multiLevelType w:val="multilevel"/>
    <w:tmpl w:val="CA36F57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0177FD"/>
    <w:multiLevelType w:val="multilevel"/>
    <w:tmpl w:val="D1D68A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BC2CD0"/>
    <w:multiLevelType w:val="multilevel"/>
    <w:tmpl w:val="DA7096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846562"/>
    <w:multiLevelType w:val="multilevel"/>
    <w:tmpl w:val="5F9AEE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A355C1"/>
    <w:multiLevelType w:val="multilevel"/>
    <w:tmpl w:val="4C0A6F3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45FE685F"/>
    <w:multiLevelType w:val="multilevel"/>
    <w:tmpl w:val="34A27BF0"/>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520" w:hanging="2160"/>
      </w:pPr>
      <w:rPr>
        <w:rFonts w:hint="default"/>
        <w:b w:val="0"/>
      </w:rPr>
    </w:lvl>
  </w:abstractNum>
  <w:abstractNum w:abstractNumId="16" w15:restartNumberingAfterBreak="0">
    <w:nsid w:val="46921E20"/>
    <w:multiLevelType w:val="multilevel"/>
    <w:tmpl w:val="BE8A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8C32DB"/>
    <w:multiLevelType w:val="multilevel"/>
    <w:tmpl w:val="4EE8B0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6D1ADD"/>
    <w:multiLevelType w:val="multilevel"/>
    <w:tmpl w:val="ACE661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6B4623"/>
    <w:multiLevelType w:val="multilevel"/>
    <w:tmpl w:val="D2441A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BF3ED8"/>
    <w:multiLevelType w:val="multilevel"/>
    <w:tmpl w:val="5C5836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9E2CE4"/>
    <w:multiLevelType w:val="multilevel"/>
    <w:tmpl w:val="D21AD4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F615485"/>
    <w:multiLevelType w:val="multilevel"/>
    <w:tmpl w:val="5C548C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1554DD"/>
    <w:multiLevelType w:val="multilevel"/>
    <w:tmpl w:val="B8004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3F283D"/>
    <w:multiLevelType w:val="multilevel"/>
    <w:tmpl w:val="B3AE9B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FE42E4B"/>
    <w:multiLevelType w:val="hybridMultilevel"/>
    <w:tmpl w:val="70EC9C5E"/>
    <w:lvl w:ilvl="0" w:tplc="55E0F70E">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5335673">
    <w:abstractNumId w:val="16"/>
  </w:num>
  <w:num w:numId="2" w16cid:durableId="1003237431">
    <w:abstractNumId w:val="5"/>
  </w:num>
  <w:num w:numId="3" w16cid:durableId="523788421">
    <w:abstractNumId w:val="8"/>
  </w:num>
  <w:num w:numId="4" w16cid:durableId="1941716135">
    <w:abstractNumId w:val="21"/>
  </w:num>
  <w:num w:numId="5" w16cid:durableId="232205560">
    <w:abstractNumId w:val="10"/>
  </w:num>
  <w:num w:numId="6" w16cid:durableId="1619988129">
    <w:abstractNumId w:val="23"/>
  </w:num>
  <w:num w:numId="7" w16cid:durableId="130876754">
    <w:abstractNumId w:val="2"/>
  </w:num>
  <w:num w:numId="8" w16cid:durableId="1406222528">
    <w:abstractNumId w:val="20"/>
  </w:num>
  <w:num w:numId="9" w16cid:durableId="166754462">
    <w:abstractNumId w:val="18"/>
  </w:num>
  <w:num w:numId="10" w16cid:durableId="43022675">
    <w:abstractNumId w:val="24"/>
  </w:num>
  <w:num w:numId="11" w16cid:durableId="424885927">
    <w:abstractNumId w:val="9"/>
  </w:num>
  <w:num w:numId="12" w16cid:durableId="1777604136">
    <w:abstractNumId w:val="17"/>
  </w:num>
  <w:num w:numId="13" w16cid:durableId="1958022434">
    <w:abstractNumId w:val="19"/>
  </w:num>
  <w:num w:numId="14" w16cid:durableId="1842547718">
    <w:abstractNumId w:val="0"/>
  </w:num>
  <w:num w:numId="15" w16cid:durableId="234895340">
    <w:abstractNumId w:val="11"/>
  </w:num>
  <w:num w:numId="16" w16cid:durableId="1434402029">
    <w:abstractNumId w:val="12"/>
  </w:num>
  <w:num w:numId="17" w16cid:durableId="1965425968">
    <w:abstractNumId w:val="22"/>
  </w:num>
  <w:num w:numId="18" w16cid:durableId="2137605195">
    <w:abstractNumId w:val="13"/>
  </w:num>
  <w:num w:numId="19" w16cid:durableId="1752699161">
    <w:abstractNumId w:val="1"/>
  </w:num>
  <w:num w:numId="20" w16cid:durableId="553467387">
    <w:abstractNumId w:val="1"/>
    <w:lvlOverride w:ilvl="0">
      <w:startOverride w:val="1"/>
    </w:lvlOverride>
  </w:num>
  <w:num w:numId="21" w16cid:durableId="363942196">
    <w:abstractNumId w:val="6"/>
  </w:num>
  <w:num w:numId="22" w16cid:durableId="1596404380">
    <w:abstractNumId w:val="15"/>
  </w:num>
  <w:num w:numId="23" w16cid:durableId="1183789038">
    <w:abstractNumId w:val="3"/>
  </w:num>
  <w:num w:numId="24" w16cid:durableId="909342197">
    <w:abstractNumId w:val="14"/>
  </w:num>
  <w:num w:numId="25" w16cid:durableId="1277563066">
    <w:abstractNumId w:val="4"/>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098986867">
    <w:abstractNumId w:val="7"/>
  </w:num>
  <w:num w:numId="27" w16cid:durableId="19191737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45C"/>
    <w:rsid w:val="0000345C"/>
    <w:rsid w:val="000A7F3E"/>
    <w:rsid w:val="002A3C61"/>
    <w:rsid w:val="00835F19"/>
    <w:rsid w:val="008657F2"/>
    <w:rsid w:val="0096154A"/>
    <w:rsid w:val="00A26731"/>
    <w:rsid w:val="00AB6560"/>
    <w:rsid w:val="00C21CCC"/>
    <w:rsid w:val="00DD209C"/>
    <w:rsid w:val="00F21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AB0BD"/>
  <w15:chartTrackingRefBased/>
  <w15:docId w15:val="{14F6CCD4-EF8D-42B4-889B-9F74BA68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45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0345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0345C"/>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0345C"/>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0345C"/>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034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4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4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4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45C"/>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0345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0345C"/>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0345C"/>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0345C"/>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034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4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4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45C"/>
    <w:rPr>
      <w:rFonts w:eastAsiaTheme="majorEastAsia" w:cstheme="majorBidi"/>
      <w:color w:val="272727" w:themeColor="text1" w:themeTint="D8"/>
    </w:rPr>
  </w:style>
  <w:style w:type="paragraph" w:styleId="Title">
    <w:name w:val="Title"/>
    <w:basedOn w:val="Normal"/>
    <w:next w:val="Normal"/>
    <w:link w:val="TitleChar"/>
    <w:uiPriority w:val="10"/>
    <w:qFormat/>
    <w:rsid w:val="00003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4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4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4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45C"/>
    <w:pPr>
      <w:spacing w:before="160"/>
      <w:jc w:val="center"/>
    </w:pPr>
    <w:rPr>
      <w:i/>
      <w:iCs/>
      <w:color w:val="404040" w:themeColor="text1" w:themeTint="BF"/>
    </w:rPr>
  </w:style>
  <w:style w:type="character" w:customStyle="1" w:styleId="QuoteChar">
    <w:name w:val="Quote Char"/>
    <w:basedOn w:val="DefaultParagraphFont"/>
    <w:link w:val="Quote"/>
    <w:uiPriority w:val="29"/>
    <w:rsid w:val="0000345C"/>
    <w:rPr>
      <w:i/>
      <w:iCs/>
      <w:color w:val="404040" w:themeColor="text1" w:themeTint="BF"/>
    </w:rPr>
  </w:style>
  <w:style w:type="paragraph" w:styleId="ListParagraph">
    <w:name w:val="List Paragraph"/>
    <w:basedOn w:val="Normal"/>
    <w:uiPriority w:val="34"/>
    <w:qFormat/>
    <w:rsid w:val="0000345C"/>
    <w:pPr>
      <w:ind w:left="720"/>
      <w:contextualSpacing/>
    </w:pPr>
  </w:style>
  <w:style w:type="character" w:styleId="IntenseEmphasis">
    <w:name w:val="Intense Emphasis"/>
    <w:basedOn w:val="DefaultParagraphFont"/>
    <w:uiPriority w:val="21"/>
    <w:qFormat/>
    <w:rsid w:val="0000345C"/>
    <w:rPr>
      <w:i/>
      <w:iCs/>
      <w:color w:val="2E74B5" w:themeColor="accent1" w:themeShade="BF"/>
    </w:rPr>
  </w:style>
  <w:style w:type="paragraph" w:styleId="IntenseQuote">
    <w:name w:val="Intense Quote"/>
    <w:basedOn w:val="Normal"/>
    <w:next w:val="Normal"/>
    <w:link w:val="IntenseQuoteChar"/>
    <w:uiPriority w:val="30"/>
    <w:qFormat/>
    <w:rsid w:val="0000345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0345C"/>
    <w:rPr>
      <w:i/>
      <w:iCs/>
      <w:color w:val="2E74B5" w:themeColor="accent1" w:themeShade="BF"/>
    </w:rPr>
  </w:style>
  <w:style w:type="character" w:styleId="IntenseReference">
    <w:name w:val="Intense Reference"/>
    <w:basedOn w:val="DefaultParagraphFont"/>
    <w:uiPriority w:val="32"/>
    <w:qFormat/>
    <w:rsid w:val="0000345C"/>
    <w:rPr>
      <w:b/>
      <w:bCs/>
      <w:smallCaps/>
      <w:color w:val="2E74B5" w:themeColor="accent1" w:themeShade="BF"/>
      <w:spacing w:val="5"/>
    </w:rPr>
  </w:style>
  <w:style w:type="paragraph" w:customStyle="1" w:styleId="paragraph">
    <w:name w:val="paragraph"/>
    <w:basedOn w:val="Normal"/>
    <w:rsid w:val="0000345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00345C"/>
  </w:style>
  <w:style w:type="character" w:customStyle="1" w:styleId="eop">
    <w:name w:val="eop"/>
    <w:basedOn w:val="DefaultParagraphFont"/>
    <w:rsid w:val="0000345C"/>
  </w:style>
  <w:style w:type="character" w:customStyle="1" w:styleId="superscript">
    <w:name w:val="superscript"/>
    <w:basedOn w:val="DefaultParagraphFont"/>
    <w:rsid w:val="0000345C"/>
  </w:style>
  <w:style w:type="paragraph" w:customStyle="1" w:styleId="IPPNumberedList">
    <w:name w:val="IPP NumberedList"/>
    <w:basedOn w:val="Normal"/>
    <w:qFormat/>
    <w:rsid w:val="0000345C"/>
    <w:pPr>
      <w:numPr>
        <w:numId w:val="19"/>
      </w:numPr>
      <w:spacing w:after="60" w:line="240" w:lineRule="auto"/>
      <w:jc w:val="both"/>
    </w:pPr>
    <w:rPr>
      <w:rFonts w:ascii="Times New Roman" w:eastAsia="Times" w:hAnsi="Times New Roman" w:cs="Times New Roman"/>
      <w:szCs w:val="24"/>
    </w:rPr>
  </w:style>
  <w:style w:type="paragraph" w:customStyle="1" w:styleId="IPPHeading1">
    <w:name w:val="IPP Heading1"/>
    <w:basedOn w:val="Normal"/>
    <w:next w:val="Normal"/>
    <w:qFormat/>
    <w:rsid w:val="0000345C"/>
    <w:pPr>
      <w:keepNext/>
      <w:tabs>
        <w:tab w:val="left" w:pos="567"/>
      </w:tabs>
      <w:spacing w:before="240" w:after="120" w:line="240" w:lineRule="auto"/>
      <w:ind w:left="567" w:hanging="567"/>
      <w:outlineLvl w:val="1"/>
    </w:pPr>
    <w:rPr>
      <w:rFonts w:ascii="Times New Roman" w:eastAsia="Times" w:hAnsi="Times New Roman" w:cs="Times New Roman"/>
      <w:b/>
      <w:sz w:val="24"/>
      <w:lang w:val="en-GB"/>
    </w:rPr>
  </w:style>
  <w:style w:type="paragraph" w:customStyle="1" w:styleId="IPPParagraphnumbering">
    <w:name w:val="IPP Paragraph numbering"/>
    <w:basedOn w:val="Normal"/>
    <w:qFormat/>
    <w:rsid w:val="0000345C"/>
    <w:pPr>
      <w:tabs>
        <w:tab w:val="num" w:pos="0"/>
      </w:tabs>
      <w:spacing w:after="180" w:line="240" w:lineRule="auto"/>
      <w:ind w:hanging="482"/>
      <w:jc w:val="both"/>
    </w:pPr>
    <w:rPr>
      <w:rFonts w:ascii="Times New Roman" w:eastAsia="Times" w:hAnsi="Times New Roman" w:cs="Times New Roman"/>
      <w:szCs w:val="24"/>
    </w:rPr>
  </w:style>
  <w:style w:type="paragraph" w:styleId="FootnoteText">
    <w:name w:val="footnote text"/>
    <w:basedOn w:val="Normal"/>
    <w:link w:val="FootnoteTextChar"/>
    <w:uiPriority w:val="99"/>
    <w:semiHidden/>
    <w:unhideWhenUsed/>
    <w:rsid w:val="008657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57F2"/>
    <w:rPr>
      <w:sz w:val="20"/>
      <w:szCs w:val="20"/>
    </w:rPr>
  </w:style>
  <w:style w:type="character" w:styleId="FootnoteReference">
    <w:name w:val="footnote reference"/>
    <w:basedOn w:val="DefaultParagraphFont"/>
    <w:uiPriority w:val="99"/>
    <w:semiHidden/>
    <w:unhideWhenUsed/>
    <w:rsid w:val="008657F2"/>
    <w:rPr>
      <w:vertAlign w:val="superscript"/>
    </w:rPr>
  </w:style>
  <w:style w:type="character" w:styleId="Hyperlink">
    <w:name w:val="Hyperlink"/>
    <w:basedOn w:val="DefaultParagraphFont"/>
    <w:uiPriority w:val="99"/>
    <w:unhideWhenUsed/>
    <w:rsid w:val="008657F2"/>
    <w:rPr>
      <w:color w:val="0563C1" w:themeColor="hyperlink"/>
      <w:u w:val="single"/>
    </w:rPr>
  </w:style>
  <w:style w:type="character" w:styleId="UnresolvedMention">
    <w:name w:val="Unresolved Mention"/>
    <w:basedOn w:val="DefaultParagraphFont"/>
    <w:uiPriority w:val="99"/>
    <w:semiHidden/>
    <w:unhideWhenUsed/>
    <w:rsid w:val="008657F2"/>
    <w:rPr>
      <w:color w:val="605E5C"/>
      <w:shd w:val="clear" w:color="auto" w:fill="E1DFDD"/>
    </w:rPr>
  </w:style>
  <w:style w:type="paragraph" w:styleId="Header">
    <w:name w:val="header"/>
    <w:basedOn w:val="Normal"/>
    <w:link w:val="HeaderChar"/>
    <w:uiPriority w:val="99"/>
    <w:unhideWhenUsed/>
    <w:rsid w:val="00A267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6731"/>
  </w:style>
  <w:style w:type="paragraph" w:styleId="Footer">
    <w:name w:val="footer"/>
    <w:basedOn w:val="Normal"/>
    <w:link w:val="FooterChar"/>
    <w:uiPriority w:val="99"/>
    <w:unhideWhenUsed/>
    <w:rsid w:val="00A267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6731"/>
  </w:style>
  <w:style w:type="paragraph" w:customStyle="1" w:styleId="IPPHeader">
    <w:name w:val="IPP Header"/>
    <w:basedOn w:val="Normal"/>
    <w:qFormat/>
    <w:rsid w:val="00A26731"/>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character" w:styleId="PageNumber">
    <w:name w:val="page number"/>
    <w:rsid w:val="00A26731"/>
    <w:rPr>
      <w:rFonts w:ascii="Arial" w:hAnsi="Arial"/>
      <w:b/>
      <w:sz w:val="18"/>
    </w:rPr>
  </w:style>
  <w:style w:type="paragraph" w:customStyle="1" w:styleId="IPPFooterLandscape">
    <w:name w:val="IPP Footer Landscape"/>
    <w:basedOn w:val="Normal"/>
    <w:qFormat/>
    <w:rsid w:val="00A26731"/>
    <w:pPr>
      <w:pBdr>
        <w:top w:val="single" w:sz="4" w:space="1" w:color="auto"/>
      </w:pBdr>
      <w:tabs>
        <w:tab w:val="left" w:pos="1134"/>
        <w:tab w:val="right" w:pos="14034"/>
      </w:tabs>
      <w:spacing w:after="0" w:line="240" w:lineRule="auto"/>
      <w:ind w:right="-32"/>
      <w:jc w:val="right"/>
    </w:pPr>
    <w:rPr>
      <w:rFonts w:ascii="Arial" w:eastAsia="MS Mincho" w:hAnsi="Arial" w:cs="Times New Roman"/>
      <w:b/>
      <w:noProof/>
      <w:sz w:val="18"/>
      <w:szCs w:val="24"/>
    </w:rPr>
  </w:style>
  <w:style w:type="numbering" w:customStyle="1" w:styleId="IPPParagraphnumberedlist">
    <w:name w:val="IPP Paragraph numbered list"/>
    <w:rsid w:val="002A3C6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271185">
      <w:bodyDiv w:val="1"/>
      <w:marLeft w:val="0"/>
      <w:marRight w:val="0"/>
      <w:marTop w:val="0"/>
      <w:marBottom w:val="0"/>
      <w:divBdr>
        <w:top w:val="none" w:sz="0" w:space="0" w:color="auto"/>
        <w:left w:val="none" w:sz="0" w:space="0" w:color="auto"/>
        <w:bottom w:val="none" w:sz="0" w:space="0" w:color="auto"/>
        <w:right w:val="none" w:sz="0" w:space="0" w:color="auto"/>
      </w:divBdr>
      <w:divsChild>
        <w:div w:id="1696807426">
          <w:marLeft w:val="0"/>
          <w:marRight w:val="0"/>
          <w:marTop w:val="0"/>
          <w:marBottom w:val="0"/>
          <w:divBdr>
            <w:top w:val="none" w:sz="0" w:space="0" w:color="auto"/>
            <w:left w:val="none" w:sz="0" w:space="0" w:color="auto"/>
            <w:bottom w:val="none" w:sz="0" w:space="0" w:color="auto"/>
            <w:right w:val="none" w:sz="0" w:space="0" w:color="auto"/>
          </w:divBdr>
        </w:div>
        <w:div w:id="383481837">
          <w:marLeft w:val="0"/>
          <w:marRight w:val="0"/>
          <w:marTop w:val="0"/>
          <w:marBottom w:val="0"/>
          <w:divBdr>
            <w:top w:val="none" w:sz="0" w:space="0" w:color="auto"/>
            <w:left w:val="none" w:sz="0" w:space="0" w:color="auto"/>
            <w:bottom w:val="none" w:sz="0" w:space="0" w:color="auto"/>
            <w:right w:val="none" w:sz="0" w:space="0" w:color="auto"/>
          </w:divBdr>
        </w:div>
        <w:div w:id="1950816296">
          <w:marLeft w:val="0"/>
          <w:marRight w:val="0"/>
          <w:marTop w:val="0"/>
          <w:marBottom w:val="0"/>
          <w:divBdr>
            <w:top w:val="none" w:sz="0" w:space="0" w:color="auto"/>
            <w:left w:val="none" w:sz="0" w:space="0" w:color="auto"/>
            <w:bottom w:val="none" w:sz="0" w:space="0" w:color="auto"/>
            <w:right w:val="none" w:sz="0" w:space="0" w:color="auto"/>
          </w:divBdr>
        </w:div>
        <w:div w:id="1109080514">
          <w:marLeft w:val="0"/>
          <w:marRight w:val="0"/>
          <w:marTop w:val="0"/>
          <w:marBottom w:val="0"/>
          <w:divBdr>
            <w:top w:val="none" w:sz="0" w:space="0" w:color="auto"/>
            <w:left w:val="none" w:sz="0" w:space="0" w:color="auto"/>
            <w:bottom w:val="none" w:sz="0" w:space="0" w:color="auto"/>
            <w:right w:val="none" w:sz="0" w:space="0" w:color="auto"/>
          </w:divBdr>
        </w:div>
        <w:div w:id="128400056">
          <w:marLeft w:val="0"/>
          <w:marRight w:val="0"/>
          <w:marTop w:val="0"/>
          <w:marBottom w:val="0"/>
          <w:divBdr>
            <w:top w:val="none" w:sz="0" w:space="0" w:color="auto"/>
            <w:left w:val="none" w:sz="0" w:space="0" w:color="auto"/>
            <w:bottom w:val="none" w:sz="0" w:space="0" w:color="auto"/>
            <w:right w:val="none" w:sz="0" w:space="0" w:color="auto"/>
          </w:divBdr>
        </w:div>
        <w:div w:id="1062824366">
          <w:marLeft w:val="0"/>
          <w:marRight w:val="0"/>
          <w:marTop w:val="0"/>
          <w:marBottom w:val="0"/>
          <w:divBdr>
            <w:top w:val="none" w:sz="0" w:space="0" w:color="auto"/>
            <w:left w:val="none" w:sz="0" w:space="0" w:color="auto"/>
            <w:bottom w:val="none" w:sz="0" w:space="0" w:color="auto"/>
            <w:right w:val="none" w:sz="0" w:space="0" w:color="auto"/>
          </w:divBdr>
        </w:div>
        <w:div w:id="1509951003">
          <w:marLeft w:val="0"/>
          <w:marRight w:val="0"/>
          <w:marTop w:val="0"/>
          <w:marBottom w:val="0"/>
          <w:divBdr>
            <w:top w:val="none" w:sz="0" w:space="0" w:color="auto"/>
            <w:left w:val="none" w:sz="0" w:space="0" w:color="auto"/>
            <w:bottom w:val="none" w:sz="0" w:space="0" w:color="auto"/>
            <w:right w:val="none" w:sz="0" w:space="0" w:color="auto"/>
          </w:divBdr>
        </w:div>
        <w:div w:id="759136165">
          <w:marLeft w:val="0"/>
          <w:marRight w:val="0"/>
          <w:marTop w:val="0"/>
          <w:marBottom w:val="0"/>
          <w:divBdr>
            <w:top w:val="none" w:sz="0" w:space="0" w:color="auto"/>
            <w:left w:val="none" w:sz="0" w:space="0" w:color="auto"/>
            <w:bottom w:val="none" w:sz="0" w:space="0" w:color="auto"/>
            <w:right w:val="none" w:sz="0" w:space="0" w:color="auto"/>
          </w:divBdr>
        </w:div>
      </w:divsChild>
    </w:div>
    <w:div w:id="815610986">
      <w:bodyDiv w:val="1"/>
      <w:marLeft w:val="0"/>
      <w:marRight w:val="0"/>
      <w:marTop w:val="0"/>
      <w:marBottom w:val="0"/>
      <w:divBdr>
        <w:top w:val="none" w:sz="0" w:space="0" w:color="auto"/>
        <w:left w:val="none" w:sz="0" w:space="0" w:color="auto"/>
        <w:bottom w:val="none" w:sz="0" w:space="0" w:color="auto"/>
        <w:right w:val="none" w:sz="0" w:space="0" w:color="auto"/>
      </w:divBdr>
      <w:divsChild>
        <w:div w:id="1553536354">
          <w:marLeft w:val="0"/>
          <w:marRight w:val="0"/>
          <w:marTop w:val="0"/>
          <w:marBottom w:val="0"/>
          <w:divBdr>
            <w:top w:val="none" w:sz="0" w:space="0" w:color="auto"/>
            <w:left w:val="none" w:sz="0" w:space="0" w:color="auto"/>
            <w:bottom w:val="none" w:sz="0" w:space="0" w:color="auto"/>
            <w:right w:val="none" w:sz="0" w:space="0" w:color="auto"/>
          </w:divBdr>
        </w:div>
        <w:div w:id="1898734486">
          <w:marLeft w:val="0"/>
          <w:marRight w:val="0"/>
          <w:marTop w:val="0"/>
          <w:marBottom w:val="0"/>
          <w:divBdr>
            <w:top w:val="none" w:sz="0" w:space="0" w:color="auto"/>
            <w:left w:val="none" w:sz="0" w:space="0" w:color="auto"/>
            <w:bottom w:val="none" w:sz="0" w:space="0" w:color="auto"/>
            <w:right w:val="none" w:sz="0" w:space="0" w:color="auto"/>
          </w:divBdr>
        </w:div>
        <w:div w:id="1480997580">
          <w:marLeft w:val="0"/>
          <w:marRight w:val="0"/>
          <w:marTop w:val="0"/>
          <w:marBottom w:val="0"/>
          <w:divBdr>
            <w:top w:val="none" w:sz="0" w:space="0" w:color="auto"/>
            <w:left w:val="none" w:sz="0" w:space="0" w:color="auto"/>
            <w:bottom w:val="none" w:sz="0" w:space="0" w:color="auto"/>
            <w:right w:val="none" w:sz="0" w:space="0" w:color="auto"/>
          </w:divBdr>
        </w:div>
        <w:div w:id="937560954">
          <w:marLeft w:val="0"/>
          <w:marRight w:val="0"/>
          <w:marTop w:val="0"/>
          <w:marBottom w:val="0"/>
          <w:divBdr>
            <w:top w:val="none" w:sz="0" w:space="0" w:color="auto"/>
            <w:left w:val="none" w:sz="0" w:space="0" w:color="auto"/>
            <w:bottom w:val="none" w:sz="0" w:space="0" w:color="auto"/>
            <w:right w:val="none" w:sz="0" w:space="0" w:color="auto"/>
          </w:divBdr>
        </w:div>
        <w:div w:id="1402947925">
          <w:marLeft w:val="0"/>
          <w:marRight w:val="0"/>
          <w:marTop w:val="0"/>
          <w:marBottom w:val="0"/>
          <w:divBdr>
            <w:top w:val="none" w:sz="0" w:space="0" w:color="auto"/>
            <w:left w:val="none" w:sz="0" w:space="0" w:color="auto"/>
            <w:bottom w:val="none" w:sz="0" w:space="0" w:color="auto"/>
            <w:right w:val="none" w:sz="0" w:space="0" w:color="auto"/>
          </w:divBdr>
        </w:div>
        <w:div w:id="442266454">
          <w:marLeft w:val="0"/>
          <w:marRight w:val="0"/>
          <w:marTop w:val="0"/>
          <w:marBottom w:val="0"/>
          <w:divBdr>
            <w:top w:val="none" w:sz="0" w:space="0" w:color="auto"/>
            <w:left w:val="none" w:sz="0" w:space="0" w:color="auto"/>
            <w:bottom w:val="none" w:sz="0" w:space="0" w:color="auto"/>
            <w:right w:val="none" w:sz="0" w:space="0" w:color="auto"/>
          </w:divBdr>
        </w:div>
        <w:div w:id="1120033591">
          <w:marLeft w:val="0"/>
          <w:marRight w:val="0"/>
          <w:marTop w:val="0"/>
          <w:marBottom w:val="0"/>
          <w:divBdr>
            <w:top w:val="none" w:sz="0" w:space="0" w:color="auto"/>
            <w:left w:val="none" w:sz="0" w:space="0" w:color="auto"/>
            <w:bottom w:val="none" w:sz="0" w:space="0" w:color="auto"/>
            <w:right w:val="none" w:sz="0" w:space="0" w:color="auto"/>
          </w:divBdr>
        </w:div>
        <w:div w:id="787897628">
          <w:marLeft w:val="0"/>
          <w:marRight w:val="0"/>
          <w:marTop w:val="0"/>
          <w:marBottom w:val="0"/>
          <w:divBdr>
            <w:top w:val="none" w:sz="0" w:space="0" w:color="auto"/>
            <w:left w:val="none" w:sz="0" w:space="0" w:color="auto"/>
            <w:bottom w:val="none" w:sz="0" w:space="0" w:color="auto"/>
            <w:right w:val="none" w:sz="0" w:space="0" w:color="auto"/>
          </w:divBdr>
        </w:div>
      </w:divsChild>
    </w:div>
    <w:div w:id="1364860575">
      <w:bodyDiv w:val="1"/>
      <w:marLeft w:val="0"/>
      <w:marRight w:val="0"/>
      <w:marTop w:val="0"/>
      <w:marBottom w:val="0"/>
      <w:divBdr>
        <w:top w:val="none" w:sz="0" w:space="0" w:color="auto"/>
        <w:left w:val="none" w:sz="0" w:space="0" w:color="auto"/>
        <w:bottom w:val="none" w:sz="0" w:space="0" w:color="auto"/>
        <w:right w:val="none" w:sz="0" w:space="0" w:color="auto"/>
      </w:divBdr>
      <w:divsChild>
        <w:div w:id="1267810190">
          <w:marLeft w:val="0"/>
          <w:marRight w:val="0"/>
          <w:marTop w:val="0"/>
          <w:marBottom w:val="0"/>
          <w:divBdr>
            <w:top w:val="none" w:sz="0" w:space="0" w:color="auto"/>
            <w:left w:val="none" w:sz="0" w:space="0" w:color="auto"/>
            <w:bottom w:val="none" w:sz="0" w:space="0" w:color="auto"/>
            <w:right w:val="none" w:sz="0" w:space="0" w:color="auto"/>
          </w:divBdr>
        </w:div>
        <w:div w:id="839546487">
          <w:marLeft w:val="0"/>
          <w:marRight w:val="0"/>
          <w:marTop w:val="0"/>
          <w:marBottom w:val="0"/>
          <w:divBdr>
            <w:top w:val="none" w:sz="0" w:space="0" w:color="auto"/>
            <w:left w:val="none" w:sz="0" w:space="0" w:color="auto"/>
            <w:bottom w:val="none" w:sz="0" w:space="0" w:color="auto"/>
            <w:right w:val="none" w:sz="0" w:space="0" w:color="auto"/>
          </w:divBdr>
        </w:div>
        <w:div w:id="71046636">
          <w:marLeft w:val="0"/>
          <w:marRight w:val="0"/>
          <w:marTop w:val="0"/>
          <w:marBottom w:val="0"/>
          <w:divBdr>
            <w:top w:val="none" w:sz="0" w:space="0" w:color="auto"/>
            <w:left w:val="none" w:sz="0" w:space="0" w:color="auto"/>
            <w:bottom w:val="none" w:sz="0" w:space="0" w:color="auto"/>
            <w:right w:val="none" w:sz="0" w:space="0" w:color="auto"/>
          </w:divBdr>
        </w:div>
        <w:div w:id="21368043">
          <w:marLeft w:val="0"/>
          <w:marRight w:val="0"/>
          <w:marTop w:val="0"/>
          <w:marBottom w:val="0"/>
          <w:divBdr>
            <w:top w:val="none" w:sz="0" w:space="0" w:color="auto"/>
            <w:left w:val="none" w:sz="0" w:space="0" w:color="auto"/>
            <w:bottom w:val="none" w:sz="0" w:space="0" w:color="auto"/>
            <w:right w:val="none" w:sz="0" w:space="0" w:color="auto"/>
          </w:divBdr>
        </w:div>
        <w:div w:id="507060471">
          <w:marLeft w:val="0"/>
          <w:marRight w:val="0"/>
          <w:marTop w:val="0"/>
          <w:marBottom w:val="0"/>
          <w:divBdr>
            <w:top w:val="none" w:sz="0" w:space="0" w:color="auto"/>
            <w:left w:val="none" w:sz="0" w:space="0" w:color="auto"/>
            <w:bottom w:val="none" w:sz="0" w:space="0" w:color="auto"/>
            <w:right w:val="none" w:sz="0" w:space="0" w:color="auto"/>
          </w:divBdr>
        </w:div>
        <w:div w:id="128717517">
          <w:marLeft w:val="0"/>
          <w:marRight w:val="0"/>
          <w:marTop w:val="0"/>
          <w:marBottom w:val="0"/>
          <w:divBdr>
            <w:top w:val="none" w:sz="0" w:space="0" w:color="auto"/>
            <w:left w:val="none" w:sz="0" w:space="0" w:color="auto"/>
            <w:bottom w:val="none" w:sz="0" w:space="0" w:color="auto"/>
            <w:right w:val="none" w:sz="0" w:space="0" w:color="auto"/>
          </w:divBdr>
        </w:div>
        <w:div w:id="1051657878">
          <w:marLeft w:val="0"/>
          <w:marRight w:val="0"/>
          <w:marTop w:val="0"/>
          <w:marBottom w:val="0"/>
          <w:divBdr>
            <w:top w:val="none" w:sz="0" w:space="0" w:color="auto"/>
            <w:left w:val="none" w:sz="0" w:space="0" w:color="auto"/>
            <w:bottom w:val="none" w:sz="0" w:space="0" w:color="auto"/>
            <w:right w:val="none" w:sz="0" w:space="0" w:color="auto"/>
          </w:divBdr>
        </w:div>
        <w:div w:id="689573194">
          <w:marLeft w:val="0"/>
          <w:marRight w:val="0"/>
          <w:marTop w:val="0"/>
          <w:marBottom w:val="0"/>
          <w:divBdr>
            <w:top w:val="none" w:sz="0" w:space="0" w:color="auto"/>
            <w:left w:val="none" w:sz="0" w:space="0" w:color="auto"/>
            <w:bottom w:val="none" w:sz="0" w:space="0" w:color="auto"/>
            <w:right w:val="none" w:sz="0" w:space="0" w:color="auto"/>
          </w:divBdr>
        </w:div>
      </w:divsChild>
    </w:div>
    <w:div w:id="1521162274">
      <w:bodyDiv w:val="1"/>
      <w:marLeft w:val="0"/>
      <w:marRight w:val="0"/>
      <w:marTop w:val="0"/>
      <w:marBottom w:val="0"/>
      <w:divBdr>
        <w:top w:val="none" w:sz="0" w:space="0" w:color="auto"/>
        <w:left w:val="none" w:sz="0" w:space="0" w:color="auto"/>
        <w:bottom w:val="none" w:sz="0" w:space="0" w:color="auto"/>
        <w:right w:val="none" w:sz="0" w:space="0" w:color="auto"/>
      </w:divBdr>
      <w:divsChild>
        <w:div w:id="2111389415">
          <w:marLeft w:val="0"/>
          <w:marRight w:val="0"/>
          <w:marTop w:val="0"/>
          <w:marBottom w:val="0"/>
          <w:divBdr>
            <w:top w:val="none" w:sz="0" w:space="0" w:color="auto"/>
            <w:left w:val="none" w:sz="0" w:space="0" w:color="auto"/>
            <w:bottom w:val="none" w:sz="0" w:space="0" w:color="auto"/>
            <w:right w:val="none" w:sz="0" w:space="0" w:color="auto"/>
          </w:divBdr>
        </w:div>
        <w:div w:id="150563257">
          <w:marLeft w:val="0"/>
          <w:marRight w:val="0"/>
          <w:marTop w:val="0"/>
          <w:marBottom w:val="0"/>
          <w:divBdr>
            <w:top w:val="none" w:sz="0" w:space="0" w:color="auto"/>
            <w:left w:val="none" w:sz="0" w:space="0" w:color="auto"/>
            <w:bottom w:val="none" w:sz="0" w:space="0" w:color="auto"/>
            <w:right w:val="none" w:sz="0" w:space="0" w:color="auto"/>
          </w:divBdr>
        </w:div>
        <w:div w:id="1963728144">
          <w:marLeft w:val="0"/>
          <w:marRight w:val="0"/>
          <w:marTop w:val="0"/>
          <w:marBottom w:val="0"/>
          <w:divBdr>
            <w:top w:val="none" w:sz="0" w:space="0" w:color="auto"/>
            <w:left w:val="none" w:sz="0" w:space="0" w:color="auto"/>
            <w:bottom w:val="none" w:sz="0" w:space="0" w:color="auto"/>
            <w:right w:val="none" w:sz="0" w:space="0" w:color="auto"/>
          </w:divBdr>
        </w:div>
        <w:div w:id="1897013034">
          <w:marLeft w:val="0"/>
          <w:marRight w:val="0"/>
          <w:marTop w:val="0"/>
          <w:marBottom w:val="0"/>
          <w:divBdr>
            <w:top w:val="none" w:sz="0" w:space="0" w:color="auto"/>
            <w:left w:val="none" w:sz="0" w:space="0" w:color="auto"/>
            <w:bottom w:val="none" w:sz="0" w:space="0" w:color="auto"/>
            <w:right w:val="none" w:sz="0" w:space="0" w:color="auto"/>
          </w:divBdr>
        </w:div>
        <w:div w:id="412166670">
          <w:marLeft w:val="0"/>
          <w:marRight w:val="0"/>
          <w:marTop w:val="0"/>
          <w:marBottom w:val="0"/>
          <w:divBdr>
            <w:top w:val="none" w:sz="0" w:space="0" w:color="auto"/>
            <w:left w:val="none" w:sz="0" w:space="0" w:color="auto"/>
            <w:bottom w:val="none" w:sz="0" w:space="0" w:color="auto"/>
            <w:right w:val="none" w:sz="0" w:space="0" w:color="auto"/>
          </w:divBdr>
        </w:div>
        <w:div w:id="370887214">
          <w:marLeft w:val="0"/>
          <w:marRight w:val="0"/>
          <w:marTop w:val="0"/>
          <w:marBottom w:val="0"/>
          <w:divBdr>
            <w:top w:val="none" w:sz="0" w:space="0" w:color="auto"/>
            <w:left w:val="none" w:sz="0" w:space="0" w:color="auto"/>
            <w:bottom w:val="none" w:sz="0" w:space="0" w:color="auto"/>
            <w:right w:val="none" w:sz="0" w:space="0" w:color="auto"/>
          </w:divBdr>
        </w:div>
        <w:div w:id="1555313291">
          <w:marLeft w:val="0"/>
          <w:marRight w:val="0"/>
          <w:marTop w:val="0"/>
          <w:marBottom w:val="0"/>
          <w:divBdr>
            <w:top w:val="none" w:sz="0" w:space="0" w:color="auto"/>
            <w:left w:val="none" w:sz="0" w:space="0" w:color="auto"/>
            <w:bottom w:val="none" w:sz="0" w:space="0" w:color="auto"/>
            <w:right w:val="none" w:sz="0" w:space="0" w:color="auto"/>
          </w:divBdr>
        </w:div>
        <w:div w:id="1434202421">
          <w:marLeft w:val="0"/>
          <w:marRight w:val="0"/>
          <w:marTop w:val="0"/>
          <w:marBottom w:val="0"/>
          <w:divBdr>
            <w:top w:val="none" w:sz="0" w:space="0" w:color="auto"/>
            <w:left w:val="none" w:sz="0" w:space="0" w:color="auto"/>
            <w:bottom w:val="none" w:sz="0" w:space="0" w:color="auto"/>
            <w:right w:val="none" w:sz="0" w:space="0" w:color="auto"/>
          </w:divBdr>
        </w:div>
      </w:divsChild>
    </w:div>
    <w:div w:id="1627857478">
      <w:bodyDiv w:val="1"/>
      <w:marLeft w:val="0"/>
      <w:marRight w:val="0"/>
      <w:marTop w:val="0"/>
      <w:marBottom w:val="0"/>
      <w:divBdr>
        <w:top w:val="none" w:sz="0" w:space="0" w:color="auto"/>
        <w:left w:val="none" w:sz="0" w:space="0" w:color="auto"/>
        <w:bottom w:val="none" w:sz="0" w:space="0" w:color="auto"/>
        <w:right w:val="none" w:sz="0" w:space="0" w:color="auto"/>
      </w:divBdr>
      <w:divsChild>
        <w:div w:id="2084989487">
          <w:marLeft w:val="0"/>
          <w:marRight w:val="0"/>
          <w:marTop w:val="0"/>
          <w:marBottom w:val="0"/>
          <w:divBdr>
            <w:top w:val="none" w:sz="0" w:space="0" w:color="auto"/>
            <w:left w:val="none" w:sz="0" w:space="0" w:color="auto"/>
            <w:bottom w:val="none" w:sz="0" w:space="0" w:color="auto"/>
            <w:right w:val="none" w:sz="0" w:space="0" w:color="auto"/>
          </w:divBdr>
        </w:div>
        <w:div w:id="696858176">
          <w:marLeft w:val="0"/>
          <w:marRight w:val="0"/>
          <w:marTop w:val="0"/>
          <w:marBottom w:val="0"/>
          <w:divBdr>
            <w:top w:val="none" w:sz="0" w:space="0" w:color="auto"/>
            <w:left w:val="none" w:sz="0" w:space="0" w:color="auto"/>
            <w:bottom w:val="none" w:sz="0" w:space="0" w:color="auto"/>
            <w:right w:val="none" w:sz="0" w:space="0" w:color="auto"/>
          </w:divBdr>
        </w:div>
        <w:div w:id="602494760">
          <w:marLeft w:val="0"/>
          <w:marRight w:val="0"/>
          <w:marTop w:val="0"/>
          <w:marBottom w:val="0"/>
          <w:divBdr>
            <w:top w:val="none" w:sz="0" w:space="0" w:color="auto"/>
            <w:left w:val="none" w:sz="0" w:space="0" w:color="auto"/>
            <w:bottom w:val="none" w:sz="0" w:space="0" w:color="auto"/>
            <w:right w:val="none" w:sz="0" w:space="0" w:color="auto"/>
          </w:divBdr>
        </w:div>
        <w:div w:id="714083102">
          <w:marLeft w:val="0"/>
          <w:marRight w:val="0"/>
          <w:marTop w:val="0"/>
          <w:marBottom w:val="0"/>
          <w:divBdr>
            <w:top w:val="none" w:sz="0" w:space="0" w:color="auto"/>
            <w:left w:val="none" w:sz="0" w:space="0" w:color="auto"/>
            <w:bottom w:val="none" w:sz="0" w:space="0" w:color="auto"/>
            <w:right w:val="none" w:sz="0" w:space="0" w:color="auto"/>
          </w:divBdr>
        </w:div>
        <w:div w:id="96173362">
          <w:marLeft w:val="0"/>
          <w:marRight w:val="0"/>
          <w:marTop w:val="0"/>
          <w:marBottom w:val="0"/>
          <w:divBdr>
            <w:top w:val="none" w:sz="0" w:space="0" w:color="auto"/>
            <w:left w:val="none" w:sz="0" w:space="0" w:color="auto"/>
            <w:bottom w:val="none" w:sz="0" w:space="0" w:color="auto"/>
            <w:right w:val="none" w:sz="0" w:space="0" w:color="auto"/>
          </w:divBdr>
        </w:div>
        <w:div w:id="960069267">
          <w:marLeft w:val="0"/>
          <w:marRight w:val="0"/>
          <w:marTop w:val="0"/>
          <w:marBottom w:val="0"/>
          <w:divBdr>
            <w:top w:val="none" w:sz="0" w:space="0" w:color="auto"/>
            <w:left w:val="none" w:sz="0" w:space="0" w:color="auto"/>
            <w:bottom w:val="none" w:sz="0" w:space="0" w:color="auto"/>
            <w:right w:val="none" w:sz="0" w:space="0" w:color="auto"/>
          </w:divBdr>
        </w:div>
        <w:div w:id="207029348">
          <w:marLeft w:val="0"/>
          <w:marRight w:val="0"/>
          <w:marTop w:val="0"/>
          <w:marBottom w:val="0"/>
          <w:divBdr>
            <w:top w:val="none" w:sz="0" w:space="0" w:color="auto"/>
            <w:left w:val="none" w:sz="0" w:space="0" w:color="auto"/>
            <w:bottom w:val="none" w:sz="0" w:space="0" w:color="auto"/>
            <w:right w:val="none" w:sz="0" w:space="0" w:color="auto"/>
          </w:divBdr>
        </w:div>
        <w:div w:id="653143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ountries/all/list-countr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CD876-0B23-4240-814E-AD8DA3FB1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CB589-49B6-4126-AEA0-2591EED6B054}">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B7A29526-E35C-42DF-B705-9C39957EB562}">
  <ds:schemaRefs>
    <ds:schemaRef ds:uri="http://schemas.openxmlformats.org/officeDocument/2006/bibliography"/>
  </ds:schemaRefs>
</ds:datastoreItem>
</file>

<file path=customXml/itemProps4.xml><?xml version="1.0" encoding="utf-8"?>
<ds:datastoreItem xmlns:ds="http://schemas.openxmlformats.org/officeDocument/2006/customXml" ds:itemID="{458D8CA8-7467-4EC1-8F86-DEE9FB321D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Koumba, Descartes (NSPD)</cp:lastModifiedBy>
  <cp:revision>2</cp:revision>
  <dcterms:created xsi:type="dcterms:W3CDTF">2025-10-02T04:18:00Z</dcterms:created>
  <dcterms:modified xsi:type="dcterms:W3CDTF">2025-10-02T04:18:00Z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