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EB8B6" w14:textId="7526A2A3" w:rsidR="0096599A" w:rsidRPr="00C12449" w:rsidRDefault="0096599A" w:rsidP="0096599A">
      <w:pPr>
        <w:pStyle w:val="IPPHeading1"/>
        <w:rPr>
          <w:lang w:val="es-ES_tradnl"/>
        </w:rPr>
      </w:pPr>
      <w:r w:rsidRPr="00C12449">
        <w:rPr>
          <w:lang w:val="es-ES_tradnl"/>
        </w:rPr>
        <w:t>1.</w:t>
      </w:r>
      <w:r w:rsidRPr="00C12449">
        <w:rPr>
          <w:lang w:val="es-ES_tradnl"/>
        </w:rPr>
        <w:tab/>
        <w:t>Apertura de la reunión</w:t>
      </w:r>
    </w:p>
    <w:p w14:paraId="3243E095" w14:textId="235EB861" w:rsidR="00B2035B" w:rsidRPr="00C12449" w:rsidRDefault="00B2035B" w:rsidP="00B2035B">
      <w:pPr>
        <w:pStyle w:val="IPPParagraphnumbering"/>
        <w:rPr>
          <w:lang w:val="es-ES_tradnl"/>
        </w:rPr>
      </w:pPr>
      <w:r w:rsidRPr="00C12449">
        <w:rPr>
          <w:lang w:val="es-ES_tradnl"/>
        </w:rPr>
        <w:t>El Sr. Yurdi YASMI, Director de la División de Producción y Protección Vegetal de la FAO, dio la bienvenida a los participantes a la 20.ª reunión de la Comisión de Medidas Fitosanitarias (CMF), que se celebraba en modalidad híbrida (en línea y presencial)</w:t>
      </w:r>
      <w:r w:rsidRPr="00C12449">
        <w:rPr>
          <w:rStyle w:val="Refdenotaalpie"/>
          <w:lang w:val="es-ES_tradnl"/>
        </w:rPr>
        <w:footnoteReference w:id="1"/>
      </w:r>
      <w:r w:rsidRPr="00C12449">
        <w:rPr>
          <w:lang w:val="es-ES_tradnl"/>
        </w:rPr>
        <w:t>.</w:t>
      </w:r>
    </w:p>
    <w:p w14:paraId="666BF1F1" w14:textId="680EE5B4" w:rsidR="00B2035B" w:rsidRPr="00C12449" w:rsidRDefault="0043458E" w:rsidP="00B2035B">
      <w:pPr>
        <w:pStyle w:val="IPPParagraphnumbering"/>
        <w:rPr>
          <w:lang w:val="es-ES_tradnl"/>
        </w:rPr>
      </w:pPr>
      <w:r w:rsidRPr="00C12449">
        <w:rPr>
          <w:lang w:val="es-ES_tradnl"/>
        </w:rPr>
        <w:t>La CMF guardó un minuto de silencio en memoria del Sr. Ian SMITH (ex Director General de la Organización Europea y Mediterránea de Protección de las Plantas).</w:t>
      </w:r>
    </w:p>
    <w:p w14:paraId="15628C70" w14:textId="2C52C98B" w:rsidR="00BA506F" w:rsidRPr="00C12449" w:rsidRDefault="00F620D6" w:rsidP="0075343F">
      <w:pPr>
        <w:pStyle w:val="IPPParagraphnumbering"/>
        <w:rPr>
          <w:lang w:val="es-ES_tradnl"/>
        </w:rPr>
      </w:pPr>
      <w:r w:rsidRPr="00C12449">
        <w:rPr>
          <w:lang w:val="es-ES_tradnl"/>
        </w:rPr>
        <w:t xml:space="preserve">El Sr. QU Dongyu, Director General de la Organización de las Naciones Unidas para la Alimentación y la Agricultura (FAO), dio la bienvenida a todos y se refirió a la labor de la CMF en la aprobación de normas internacionales para luchar contra las plagas de las plantas, en el desarrollo de la solución ePhyto de la CIPF y en el fortalecimiento de la capacidad fitosanitaria. Asimismo, explicó las contribuciones de la labor conjunta de la CMF y la FAO a las </w:t>
      </w:r>
      <w:r w:rsidRPr="00C12449">
        <w:rPr>
          <w:i/>
          <w:iCs/>
          <w:lang w:val="es-ES_tradnl"/>
        </w:rPr>
        <w:t>cuatro mejoras</w:t>
      </w:r>
      <w:r w:rsidRPr="00C12449">
        <w:rPr>
          <w:lang w:val="es-ES_tradnl"/>
        </w:rPr>
        <w:t xml:space="preserve"> de la Organización, a saber, una </w:t>
      </w:r>
      <w:r w:rsidRPr="00C12449">
        <w:rPr>
          <w:i/>
          <w:iCs/>
          <w:lang w:val="es-ES_tradnl"/>
        </w:rPr>
        <w:t>mejor producción</w:t>
      </w:r>
      <w:r w:rsidRPr="00C12449">
        <w:rPr>
          <w:lang w:val="es-ES_tradnl"/>
        </w:rPr>
        <w:t>, una</w:t>
      </w:r>
      <w:r w:rsidRPr="00C12449">
        <w:rPr>
          <w:i/>
          <w:iCs/>
          <w:lang w:val="es-ES_tradnl"/>
        </w:rPr>
        <w:t xml:space="preserve"> mejor nutrición</w:t>
      </w:r>
      <w:r w:rsidRPr="00C12449">
        <w:rPr>
          <w:lang w:val="es-ES_tradnl"/>
        </w:rPr>
        <w:t xml:space="preserve">, un </w:t>
      </w:r>
      <w:r w:rsidRPr="00C12449">
        <w:rPr>
          <w:i/>
          <w:iCs/>
          <w:lang w:val="es-ES_tradnl"/>
        </w:rPr>
        <w:t>mejor medio ambiente</w:t>
      </w:r>
      <w:r w:rsidRPr="00C12449">
        <w:rPr>
          <w:lang w:val="es-ES_tradnl"/>
        </w:rPr>
        <w:t xml:space="preserve"> y </w:t>
      </w:r>
      <w:r w:rsidRPr="00C12449">
        <w:rPr>
          <w:i/>
          <w:iCs/>
          <w:lang w:val="es-ES_tradnl"/>
        </w:rPr>
        <w:t>una vida mejor</w:t>
      </w:r>
      <w:r w:rsidRPr="00C12449">
        <w:rPr>
          <w:lang w:val="es-ES_tradnl"/>
        </w:rPr>
        <w:t>, sin dejar a nadie atrás. No obstante, también hizo hincapié en la necesidad de que la CMF se mantuviera atenta y fuera innovadora en vista de la expansión del comercio internacional y del riesgo cada vez mayor de que las plagas de las plantas cruzaran las fronteras. En este contexto, el Director General destacó la feria de innovación sobre sanidad vegetal y las sesiones de carteles científicos que se celebrarían durante la semana de la CMF y cumplirían la función de foro en tiempo real para el intercambio de conocimientos.</w:t>
      </w:r>
    </w:p>
    <w:p w14:paraId="3A906CDB" w14:textId="792DA445" w:rsidR="00E4306B" w:rsidRPr="00C12449" w:rsidRDefault="00E4306B" w:rsidP="00E4306B">
      <w:pPr>
        <w:pStyle w:val="IPPParagraphnumbering"/>
        <w:rPr>
          <w:lang w:val="es-ES_tradnl"/>
        </w:rPr>
      </w:pPr>
      <w:r w:rsidRPr="00C12449">
        <w:rPr>
          <w:lang w:val="es-ES_tradnl"/>
        </w:rPr>
        <w:t>La Sra. Beth BECHDOL, Directora General Adjunta de la FAO, destacó la importancia crucial de la labor de la CMF en el fortalecimiento de los sistemas fitosanitarios y, por consiguiente, en la protección de la producción agrícola, los alimentos y los medios de vida a escala mundial. Señaló que la sanidad vegetal era una cuestión de política estratégica, no un nicho técnico; que las políticas fitosanitarias sólidas facilitaban el comercio seguro y protegían las economías y los medios de vida y que la coherencia de las políticas facilitaba la innovación que llegaba a los agricultores. También comentó que la fortaleza de la CMF radicaba no solo en las normas que aprobaba, sino también en el espíritu de cooperación que impulsaba dicha labor.</w:t>
      </w:r>
    </w:p>
    <w:p w14:paraId="56BD147B" w14:textId="7069B8C1" w:rsidR="00953AE0" w:rsidRPr="00C12449" w:rsidRDefault="00953AE0" w:rsidP="00953AE0">
      <w:pPr>
        <w:pStyle w:val="IPPParagraphnumbering"/>
        <w:rPr>
          <w:lang w:val="es-ES_tradnl"/>
        </w:rPr>
      </w:pPr>
      <w:r w:rsidRPr="00C12449">
        <w:rPr>
          <w:lang w:val="es-ES_tradnl"/>
        </w:rPr>
        <w:t xml:space="preserve">El Secretario de la Convención Internacional de Protección Fitosanitaria (CIPF), Sr. Enrico PEROTTI, destacó que las reuniones de la CMF eran fundamentales para establecer sistemas e instrumentos que impidieran que las plagas cruzaran las fronteras, destruyeran la biodiversidad y perturbaran el comercio internacional. Se refirió a los temas de la reunión —la aprobación de las Normas Internacionales para Medidas Fitosanitarias (NIMF), los avances en la aplicación del Marco Estratégico 2020-2030 de la CIPF y los informes de los órganos de la Convención— y alentó a los participantes a aprovechar la 20.ª reunión de la CMF para reafirmar su compromiso común con la misión de la CIPF: proteger de las plagas los recursos vegetales mundiales y garantizar el comercio en condiciones de inocuidad para lograr un mundo con seguridad alimentaria. </w:t>
      </w:r>
    </w:p>
    <w:p w14:paraId="7F437005" w14:textId="77777777" w:rsidR="004F0226" w:rsidRPr="00C12449" w:rsidRDefault="004F0226" w:rsidP="004F0226">
      <w:pPr>
        <w:pStyle w:val="IPPHeading1"/>
        <w:rPr>
          <w:lang w:val="es-ES_tradnl"/>
        </w:rPr>
      </w:pPr>
      <w:r w:rsidRPr="00C12449">
        <w:rPr>
          <w:lang w:val="es-ES_tradnl"/>
        </w:rPr>
        <w:t>2.</w:t>
      </w:r>
      <w:r w:rsidRPr="00C12449">
        <w:rPr>
          <w:lang w:val="es-ES_tradnl"/>
        </w:rPr>
        <w:tab/>
        <w:t>Discurso principal</w:t>
      </w:r>
    </w:p>
    <w:p w14:paraId="592D745D" w14:textId="5FEF1C97" w:rsidR="004F0226" w:rsidRPr="00C12449" w:rsidRDefault="004F0226" w:rsidP="004F0226">
      <w:pPr>
        <w:pStyle w:val="IPPHeading2"/>
        <w:ind w:left="0" w:firstLine="0"/>
        <w:rPr>
          <w:lang w:val="es-ES_tradnl"/>
        </w:rPr>
      </w:pPr>
      <w:r w:rsidRPr="00C12449">
        <w:rPr>
          <w:lang w:val="es-ES_tradnl"/>
        </w:rPr>
        <w:t>2.1</w:t>
      </w:r>
      <w:r w:rsidRPr="00C12449">
        <w:rPr>
          <w:lang w:val="es-ES_tradnl"/>
        </w:rPr>
        <w:tab/>
        <w:t>Discurso principal de la Ministra de Bioseguridad, Fronteras y Animales del Reino</w:t>
      </w:r>
      <w:r w:rsidR="004F033D" w:rsidRPr="00C12449">
        <w:rPr>
          <w:lang w:val="es-ES_tradnl"/>
        </w:rPr>
        <w:t> </w:t>
      </w:r>
      <w:r w:rsidRPr="00C12449">
        <w:rPr>
          <w:lang w:val="es-ES_tradnl"/>
        </w:rPr>
        <w:t>Unido de Gran Bretaña e Irlanda del Norte</w:t>
      </w:r>
    </w:p>
    <w:p w14:paraId="3FD5FA10" w14:textId="77777777" w:rsidR="004F0226" w:rsidRPr="00C12449" w:rsidRDefault="004F0226" w:rsidP="004F0226">
      <w:pPr>
        <w:pStyle w:val="IPPParagraphnumbering"/>
        <w:rPr>
          <w:lang w:val="es-ES_tradnl"/>
        </w:rPr>
      </w:pPr>
      <w:r w:rsidRPr="00C12449">
        <w:rPr>
          <w:lang w:val="es-ES_tradnl"/>
        </w:rPr>
        <w:t xml:space="preserve">La baronesa HAYMAN de Ullock, Ministra de Bioseguridad, Fronteras y Animales del Reino Unido de Gran Bretaña e Irlanda del Norte, expresó su agradecimiento por la labor de la CMF en la protección y promoción de la sanidad vegetal y la bioseguridad a escala mundial, que ocupaba un lugar central en el mandato de la FAO. Destacó que las normas comunes y la gestión eficaz de un sistema alimentario cuyo alcance cada vez era mayor en todo el mundo nos beneficiaban a todos, en todos los países y regiones. Explicó que esta era la razón por la que el Reino Unido seguía apoyando firmemente a la CIPF y su enfoque de “Una sola salud”, en particular mediante su contribución financiera al Programa fitosanitario </w:t>
      </w:r>
      <w:r w:rsidRPr="00C12449">
        <w:rPr>
          <w:lang w:val="es-ES_tradnl"/>
        </w:rPr>
        <w:lastRenderedPageBreak/>
        <w:t xml:space="preserve">africano. La ​​Ministra deseó lo mejor a los participantes de la CMF en los debates que mantendrían durante la semana y manifestó su interés en que el Reino Unido siguiera colaborando con la Comisión. </w:t>
      </w:r>
    </w:p>
    <w:p w14:paraId="0EE70F55" w14:textId="77777777" w:rsidR="004F0226" w:rsidRPr="00C12449" w:rsidRDefault="004F0226" w:rsidP="004F0226">
      <w:pPr>
        <w:pStyle w:val="IPPHeading2"/>
        <w:ind w:left="0" w:firstLine="0"/>
        <w:rPr>
          <w:bCs/>
          <w:lang w:val="es-ES_tradnl"/>
        </w:rPr>
      </w:pPr>
      <w:r w:rsidRPr="00C12449">
        <w:rPr>
          <w:lang w:val="es-ES_tradnl"/>
        </w:rPr>
        <w:t>2.2</w:t>
      </w:r>
      <w:r w:rsidRPr="00C12449">
        <w:rPr>
          <w:lang w:val="es-ES_tradnl"/>
        </w:rPr>
        <w:tab/>
        <w:t>Discurso principal del Ministro de la Autoridad de Cuarentena de Indonesia</w:t>
      </w:r>
    </w:p>
    <w:p w14:paraId="5143E959" w14:textId="77777777" w:rsidR="004F0226" w:rsidRPr="00C12449" w:rsidRDefault="004F0226" w:rsidP="004F0226">
      <w:pPr>
        <w:pStyle w:val="IPPParagraphnumbering"/>
        <w:rPr>
          <w:lang w:val="es-ES_tradnl"/>
        </w:rPr>
      </w:pPr>
      <w:r w:rsidRPr="00C12449">
        <w:rPr>
          <w:lang w:val="es-ES_tradnl"/>
        </w:rPr>
        <w:t xml:space="preserve">El Embajador de Indonesia ante la FAO pronunció el discurso inaugural en nombre del Sr. Sahat Manaor PANGGABEAN, Ministro de la Autoridad de Cuarentena de Indonesia. Informó a la CMF acerca de la larga trayectoria de la cuarentena vegetal en Indonesia e hizo hincapié en la importancia de la seguridad alimentaria y las amenazas planteadas por plagas como el gusano cogollero del maíz y la raza 4 tropical (R4T) de </w:t>
      </w:r>
      <w:r w:rsidRPr="00C12449">
        <w:rPr>
          <w:i/>
          <w:iCs/>
          <w:lang w:val="es-ES_tradnl"/>
        </w:rPr>
        <w:t>Fusarium</w:t>
      </w:r>
      <w:r w:rsidRPr="00C12449">
        <w:rPr>
          <w:lang w:val="es-ES_tradnl"/>
        </w:rPr>
        <w:t>. Señaló la necesidad de permanecer atentos a los efectos del cambio climático y se refirió al uso de agentes de control biológico, el manejo integrado de plagas y los enfoques de “Una sola salud”. Destacó asimismo la necesidad de contar con reservas de semillas sanas tras las inundaciones y de nuevas tecnologías adaptadas para la vigilancia. El Embajador reflexionó sobre los beneficios de la solución ePhyto de la CIPF y la aplicación de medidas de bioseguridad antes de la frontera, pero señaló los desafíos que planteaba el comercio electrónico. Concluyó expresando su agradecimiento a otras partes contratantes y a la Secretaría de la CIPF.</w:t>
      </w:r>
    </w:p>
    <w:p w14:paraId="355BE163" w14:textId="77777777" w:rsidR="004F0226" w:rsidRPr="00C12449" w:rsidRDefault="004F0226" w:rsidP="004F0226">
      <w:pPr>
        <w:pStyle w:val="IPPParagraphnumbering"/>
        <w:rPr>
          <w:lang w:val="es-ES_tradnl"/>
        </w:rPr>
      </w:pPr>
      <w:r w:rsidRPr="00C12449">
        <w:rPr>
          <w:lang w:val="es-ES_tradnl"/>
        </w:rPr>
        <w:t xml:space="preserve">A continuación, el presidente de la CMF pronunció unas palabras de apertura. Manifestó su interés en tratar los temas del programa y dio la bienvenida a todos los participantes, particularmente a los que asistían en línea. </w:t>
      </w:r>
    </w:p>
    <w:p w14:paraId="78734ED9" w14:textId="77777777" w:rsidR="001A2904" w:rsidRPr="00C12449" w:rsidRDefault="001A2904" w:rsidP="001A2904">
      <w:pPr>
        <w:pStyle w:val="IPPHeading1"/>
        <w:rPr>
          <w:lang w:val="es-ES_tradnl"/>
        </w:rPr>
      </w:pPr>
      <w:r w:rsidRPr="00C12449">
        <w:rPr>
          <w:lang w:val="es-ES_tradnl"/>
        </w:rPr>
        <w:t>3.</w:t>
      </w:r>
      <w:r w:rsidRPr="00C12449">
        <w:rPr>
          <w:lang w:val="es-ES_tradnl"/>
        </w:rPr>
        <w:tab/>
        <w:t>Aprobación del programa</w:t>
      </w:r>
    </w:p>
    <w:p w14:paraId="7AA4E2C0" w14:textId="77777777" w:rsidR="001A2904" w:rsidRPr="00C12449" w:rsidRDefault="001A2904" w:rsidP="001A2904">
      <w:pPr>
        <w:pStyle w:val="IPPParagraphnumberingclose"/>
        <w:rPr>
          <w:lang w:val="es-ES_tradnl"/>
        </w:rPr>
      </w:pPr>
      <w:r w:rsidRPr="00C12449">
        <w:rPr>
          <w:lang w:val="es-ES_tradnl"/>
        </w:rPr>
        <w:t>La CMF:</w:t>
      </w:r>
    </w:p>
    <w:p w14:paraId="229BCCC6" w14:textId="77777777" w:rsidR="001A2904" w:rsidRPr="00C12449" w:rsidRDefault="001A2904" w:rsidP="001A2904">
      <w:pPr>
        <w:pStyle w:val="IPPNumberedList"/>
        <w:spacing w:after="180"/>
        <w:rPr>
          <w:lang w:val="es-ES_tradnl"/>
        </w:rPr>
      </w:pPr>
      <w:r w:rsidRPr="00C12449">
        <w:rPr>
          <w:i/>
          <w:iCs/>
          <w:lang w:val="es-ES_tradnl"/>
        </w:rPr>
        <w:t>aprobó</w:t>
      </w:r>
      <w:r w:rsidRPr="00C12449">
        <w:rPr>
          <w:lang w:val="es-ES_tradnl"/>
        </w:rPr>
        <w:t xml:space="preserve"> el programa (Apéndice 1) y </w:t>
      </w:r>
      <w:r w:rsidRPr="00C12449">
        <w:rPr>
          <w:i/>
          <w:lang w:val="es-ES_tradnl"/>
        </w:rPr>
        <w:t>tomó nota</w:t>
      </w:r>
      <w:r w:rsidRPr="00C12449">
        <w:rPr>
          <w:lang w:val="es-ES_tradnl"/>
        </w:rPr>
        <w:t xml:space="preserve"> de la lista de documentos (Apéndice 2).</w:t>
      </w:r>
    </w:p>
    <w:p w14:paraId="4E0B867F" w14:textId="77777777" w:rsidR="001A2904" w:rsidRPr="00C12449" w:rsidRDefault="001A2904" w:rsidP="001A2904">
      <w:pPr>
        <w:pStyle w:val="IPPHeading2"/>
        <w:rPr>
          <w:lang w:val="es-ES_tradnl"/>
        </w:rPr>
      </w:pPr>
      <w:r w:rsidRPr="00C12449">
        <w:rPr>
          <w:lang w:val="es-ES_tradnl"/>
        </w:rPr>
        <w:t>3.1</w:t>
      </w:r>
      <w:r w:rsidRPr="00C12449">
        <w:rPr>
          <w:lang w:val="es-ES_tradnl"/>
        </w:rPr>
        <w:tab/>
        <w:t>Declaración de competencias presentada por la Unión Europea</w:t>
      </w:r>
    </w:p>
    <w:p w14:paraId="2B338351" w14:textId="77777777" w:rsidR="001A2904" w:rsidRPr="00C12449" w:rsidRDefault="001A2904" w:rsidP="001A2904">
      <w:pPr>
        <w:pStyle w:val="IPPParagraphnumberingclose"/>
        <w:rPr>
          <w:lang w:val="es-ES_tradnl"/>
        </w:rPr>
      </w:pPr>
      <w:r w:rsidRPr="00C12449">
        <w:rPr>
          <w:lang w:val="es-ES_tradnl"/>
        </w:rPr>
        <w:t>La CMF:</w:t>
      </w:r>
    </w:p>
    <w:p w14:paraId="72417158" w14:textId="77777777" w:rsidR="001A2904" w:rsidRPr="00C12449" w:rsidRDefault="001A2904" w:rsidP="001A2904">
      <w:pPr>
        <w:pStyle w:val="IPPNumberedList"/>
        <w:numPr>
          <w:ilvl w:val="0"/>
          <w:numId w:val="10"/>
        </w:numPr>
        <w:spacing w:after="180"/>
        <w:rPr>
          <w:lang w:val="es-ES_tradnl"/>
        </w:rPr>
      </w:pPr>
      <w:r w:rsidRPr="00C12449">
        <w:rPr>
          <w:i/>
          <w:lang w:val="es-ES_tradnl"/>
        </w:rPr>
        <w:t>tomó nota</w:t>
      </w:r>
      <w:r w:rsidRPr="00C12449">
        <w:rPr>
          <w:lang w:val="es-ES_tradnl"/>
        </w:rPr>
        <w:t xml:space="preserve"> de la Declaración de competencias y derechos de voto presentada por la Unión Europea y sus 27 Estados miembros</w:t>
      </w:r>
      <w:r w:rsidRPr="00C12449">
        <w:rPr>
          <w:rStyle w:val="Refdenotaalpie"/>
          <w:lang w:val="es-ES_tradnl"/>
        </w:rPr>
        <w:footnoteReference w:id="2"/>
      </w:r>
      <w:r w:rsidRPr="00C12449">
        <w:rPr>
          <w:lang w:val="es-ES_tradnl"/>
        </w:rPr>
        <w:t>.</w:t>
      </w:r>
    </w:p>
    <w:p w14:paraId="7508ABF7" w14:textId="77777777" w:rsidR="001A2904" w:rsidRPr="00C12449" w:rsidRDefault="001A2904" w:rsidP="001A2904">
      <w:pPr>
        <w:pStyle w:val="IPPHeading1"/>
        <w:rPr>
          <w:lang w:val="es-ES_tradnl"/>
        </w:rPr>
      </w:pPr>
      <w:r w:rsidRPr="00C12449">
        <w:rPr>
          <w:lang w:val="es-ES_tradnl"/>
        </w:rPr>
        <w:t>4.</w:t>
      </w:r>
      <w:r w:rsidRPr="00C12449">
        <w:rPr>
          <w:lang w:val="es-ES_tradnl"/>
        </w:rPr>
        <w:tab/>
        <w:t>Elección del Relator</w:t>
      </w:r>
    </w:p>
    <w:p w14:paraId="68BA2B53" w14:textId="77777777" w:rsidR="001A2904" w:rsidRPr="00C12449" w:rsidRDefault="001A2904" w:rsidP="001A2904">
      <w:pPr>
        <w:pStyle w:val="IPPParagraphnumberingclose"/>
        <w:rPr>
          <w:lang w:val="es-ES_tradnl"/>
        </w:rPr>
      </w:pPr>
      <w:r w:rsidRPr="00C12449">
        <w:rPr>
          <w:lang w:val="es-ES_tradnl"/>
        </w:rPr>
        <w:t>La CMF:</w:t>
      </w:r>
    </w:p>
    <w:p w14:paraId="491CEE16" w14:textId="77777777" w:rsidR="001A2904" w:rsidRPr="00C12449" w:rsidRDefault="001A2904" w:rsidP="008A40A5">
      <w:pPr>
        <w:pStyle w:val="IPPNumberedList"/>
        <w:numPr>
          <w:ilvl w:val="0"/>
          <w:numId w:val="60"/>
        </w:numPr>
        <w:spacing w:after="180"/>
        <w:rPr>
          <w:lang w:val="es-ES_tradnl"/>
        </w:rPr>
      </w:pPr>
      <w:r w:rsidRPr="00C12449">
        <w:rPr>
          <w:i/>
          <w:iCs/>
          <w:lang w:val="es-ES_tradnl"/>
        </w:rPr>
        <w:t>eligió</w:t>
      </w:r>
      <w:r w:rsidRPr="00C12449">
        <w:rPr>
          <w:lang w:val="es-ES_tradnl"/>
        </w:rPr>
        <w:t xml:space="preserve"> como Relator al Sr. Steve CÔTÉ (Canadá).</w:t>
      </w:r>
    </w:p>
    <w:p w14:paraId="244F8FB1" w14:textId="77777777" w:rsidR="000E6892" w:rsidRPr="00C12449" w:rsidRDefault="000E6892" w:rsidP="000E6892">
      <w:pPr>
        <w:pStyle w:val="IPPHeading1"/>
        <w:rPr>
          <w:lang w:val="es-ES_tradnl"/>
        </w:rPr>
      </w:pPr>
      <w:r w:rsidRPr="00C12449">
        <w:rPr>
          <w:lang w:val="es-ES_tradnl"/>
        </w:rPr>
        <w:t>6.</w:t>
      </w:r>
      <w:r w:rsidRPr="00C12449">
        <w:rPr>
          <w:lang w:val="es-ES_tradnl"/>
        </w:rPr>
        <w:tab/>
        <w:t>Informe del Presidente de la Comisión de Medidas Fitosanitarias</w:t>
      </w:r>
    </w:p>
    <w:p w14:paraId="1B484FC5" w14:textId="2D1386C0" w:rsidR="000E6892" w:rsidRPr="00C12449" w:rsidRDefault="000E6892" w:rsidP="000E6892">
      <w:pPr>
        <w:pStyle w:val="IPPParagraphnumbering"/>
        <w:rPr>
          <w:lang w:val="es-ES_tradnl"/>
        </w:rPr>
      </w:pPr>
      <w:r w:rsidRPr="00C12449">
        <w:rPr>
          <w:lang w:val="es-ES_tradnl"/>
        </w:rPr>
        <w:t>El Presidente de la Comisión remitió a la CMF a su informe</w:t>
      </w:r>
      <w:r w:rsidRPr="00C12449">
        <w:rPr>
          <w:rStyle w:val="Refdenotaalpie"/>
          <w:lang w:val="es-ES_tradnl"/>
        </w:rPr>
        <w:footnoteReference w:id="3"/>
      </w:r>
      <w:r w:rsidRPr="00C12449">
        <w:rPr>
          <w:lang w:val="es-ES_tradnl"/>
        </w:rPr>
        <w:t>. Observó que gran parte de la atención de la Mesa se había centrado en las finanzas y la gobernanza, junto con algunos de los programas emblemáticos de la Secretaría, e hizo referencia a la productiva reunión del Grupo sobre planificación estratégica (GPE) celebrada en octubre y al taller mundial de la CIPF sobre enfoques de sistemas, que tuvo lugar en diciembre. El Presidente de la CMF destacó algunos de los logros más importantes de</w:t>
      </w:r>
      <w:r w:rsidR="00DD779A" w:rsidRPr="00C12449">
        <w:rPr>
          <w:lang w:val="es-ES_tradnl"/>
        </w:rPr>
        <w:t> </w:t>
      </w:r>
      <w:r w:rsidRPr="00C12449">
        <w:rPr>
          <w:lang w:val="es-ES_tradnl"/>
        </w:rPr>
        <w:t xml:space="preserve">2025 e hizo hincapié en que los principales desafíos seguían siendo la financiación insuficiente y la falta de recursos de personal en la Secretaría. </w:t>
      </w:r>
    </w:p>
    <w:p w14:paraId="40290392" w14:textId="77777777" w:rsidR="000E6892" w:rsidRPr="00C12449" w:rsidRDefault="000E6892" w:rsidP="000E6892">
      <w:pPr>
        <w:pStyle w:val="IPPParagraphnumbering"/>
        <w:rPr>
          <w:lang w:val="es-ES_tradnl"/>
        </w:rPr>
      </w:pPr>
      <w:r w:rsidRPr="00C12449">
        <w:rPr>
          <w:lang w:val="es-ES_tradnl"/>
        </w:rPr>
        <w:t>Las partes contratantes reconocieron el apoyo de los donantes y el recibido por medio de contribuciones en especie, y expresaron su agradecimiento por el apoyo de la Secretaría.</w:t>
      </w:r>
    </w:p>
    <w:p w14:paraId="007ACB10" w14:textId="77777777" w:rsidR="000E6892" w:rsidRPr="00C12449" w:rsidRDefault="000E6892" w:rsidP="000E6892">
      <w:pPr>
        <w:pStyle w:val="IPPParagraphnumberingclose"/>
        <w:rPr>
          <w:lang w:val="es-ES_tradnl"/>
        </w:rPr>
      </w:pPr>
      <w:r w:rsidRPr="00C12449">
        <w:rPr>
          <w:lang w:val="es-ES_tradnl"/>
        </w:rPr>
        <w:t>La CMF:</w:t>
      </w:r>
    </w:p>
    <w:p w14:paraId="01CCE22F" w14:textId="77777777" w:rsidR="000E6892" w:rsidRPr="00C12449" w:rsidRDefault="000E6892" w:rsidP="000E6892">
      <w:pPr>
        <w:pStyle w:val="IPPNumberedList"/>
        <w:numPr>
          <w:ilvl w:val="0"/>
          <w:numId w:val="55"/>
        </w:numPr>
        <w:spacing w:after="180"/>
        <w:rPr>
          <w:lang w:val="es-ES_tradnl"/>
        </w:rPr>
      </w:pPr>
      <w:r w:rsidRPr="00C12449">
        <w:rPr>
          <w:i/>
          <w:iCs/>
          <w:lang w:val="es-ES_tradnl"/>
        </w:rPr>
        <w:t>tomó nota</w:t>
      </w:r>
      <w:r w:rsidRPr="00C12449">
        <w:rPr>
          <w:lang w:val="es-ES_tradnl"/>
        </w:rPr>
        <w:t xml:space="preserve"> del informe del Presidente de la Comisión. </w:t>
      </w:r>
    </w:p>
    <w:p w14:paraId="4D4B912D" w14:textId="77777777" w:rsidR="00CC42CC" w:rsidRPr="00C12449" w:rsidRDefault="00CC42CC" w:rsidP="00CC42CC">
      <w:pPr>
        <w:pStyle w:val="IPPHeading2"/>
        <w:rPr>
          <w:lang w:val="es-ES_tradnl"/>
        </w:rPr>
      </w:pPr>
      <w:r w:rsidRPr="00C12449">
        <w:rPr>
          <w:lang w:val="es-ES_tradnl"/>
        </w:rPr>
        <w:lastRenderedPageBreak/>
        <w:t>6.1</w:t>
      </w:r>
      <w:r w:rsidRPr="00C12449">
        <w:rPr>
          <w:lang w:val="es-ES_tradnl"/>
        </w:rPr>
        <w:tab/>
        <w:t>Replanteamiento de las NIMF</w:t>
      </w:r>
    </w:p>
    <w:p w14:paraId="670D53A5" w14:textId="77777777" w:rsidR="00CC42CC" w:rsidRPr="00C12449" w:rsidRDefault="00CC42CC" w:rsidP="00CC42CC">
      <w:pPr>
        <w:pStyle w:val="IPPParagraphnumbering"/>
        <w:rPr>
          <w:lang w:val="es-ES_tradnl"/>
        </w:rPr>
      </w:pPr>
      <w:r w:rsidRPr="00C12449">
        <w:rPr>
          <w:lang w:val="es-ES_tradnl"/>
        </w:rPr>
        <w:t>El Presidente de la CMF presentó un documento, preparado por él mismo y examinado por la Mesa, tras los debates mantenidos en el GPE sobre el replanteamiento de las NIMF</w:t>
      </w:r>
      <w:r w:rsidRPr="00C12449">
        <w:rPr>
          <w:rStyle w:val="Refdenotaalpie"/>
          <w:lang w:val="es-ES_tradnl"/>
        </w:rPr>
        <w:footnoteReference w:id="4"/>
      </w:r>
      <w:r w:rsidRPr="00C12449">
        <w:rPr>
          <w:lang w:val="es-ES_tradnl"/>
        </w:rPr>
        <w:t>. También hizo referencia a las diversas intervenciones escritas recibidas en respuesta a este documento</w:t>
      </w:r>
      <w:r w:rsidRPr="00C12449">
        <w:rPr>
          <w:rStyle w:val="Refdenotaalpie"/>
          <w:lang w:val="es-ES_tradnl"/>
        </w:rPr>
        <w:footnoteReference w:id="5"/>
      </w:r>
      <w:r w:rsidRPr="00C12449">
        <w:rPr>
          <w:lang w:val="es-ES_tradnl"/>
        </w:rPr>
        <w:t>.</w:t>
      </w:r>
    </w:p>
    <w:p w14:paraId="054EDB27" w14:textId="0AC64864" w:rsidR="00CC42CC" w:rsidRPr="00C12449" w:rsidRDefault="00CC42CC" w:rsidP="00CC42CC">
      <w:pPr>
        <w:pStyle w:val="IPPParagraphnumbering"/>
        <w:rPr>
          <w:lang w:val="es-ES_tradnl"/>
        </w:rPr>
      </w:pPr>
      <w:r w:rsidRPr="00C12449">
        <w:rPr>
          <w:lang w:val="es-ES_tradnl"/>
        </w:rPr>
        <w:t xml:space="preserve">Las partes contratantes expresaron amplio apoyo a la mejora de la redacción de las normas y reconocieron que el proceso no debía llevarse a cabo de manera apresurada, que se debía considerar exactamente lo que se necesitaba y las repercusiones de los cambios, y que no debía menoscabarse la integridad científica o técnica de las NIMF. La CMF señaló el valor potencial de contratar a un especialista en lenguaje sencillo para que apoyara la transición a este lenguaje, pero prefirió limitar el nivel de participación a la observación de los </w:t>
      </w:r>
      <w:r w:rsidR="009028F8" w:rsidRPr="00C12449">
        <w:rPr>
          <w:lang w:val="es-ES_tradnl"/>
        </w:rPr>
        <w:t xml:space="preserve">grupos de trabajo de expertos </w:t>
      </w:r>
      <w:r w:rsidRPr="00C12449">
        <w:rPr>
          <w:lang w:val="es-ES_tradnl"/>
        </w:rPr>
        <w:t xml:space="preserve">y la formulación de recomendaciones en primera instancia, en lugar de permitir que participara en la redacción propiamente dicha. El resultado podría orientar los próximos pasos. Si bien la CMF reconoció la posible utilidad de una encuesta específica del Observatorio de la CIPF para comprender las necesidades de las partes contratantes con respecto al uso de lenguaje sencillo en las NIMF, se expresaron puntos de vista divergentes acerca del momento oportuno para realizar esta encuesta. La CMF se planteó la elaboración de directrices en lenguaje sencillo, pero consideró que sería prematura. </w:t>
      </w:r>
    </w:p>
    <w:p w14:paraId="3D3A2476" w14:textId="77777777" w:rsidR="00CC42CC" w:rsidRPr="00C12449" w:rsidRDefault="00CC42CC" w:rsidP="00CC42CC">
      <w:pPr>
        <w:pStyle w:val="IPPParagraphnumberingclose"/>
        <w:rPr>
          <w:lang w:val="es-ES_tradnl"/>
        </w:rPr>
      </w:pPr>
      <w:r w:rsidRPr="00C12449">
        <w:rPr>
          <w:lang w:val="es-ES_tradnl"/>
        </w:rPr>
        <w:t>La CMF:</w:t>
      </w:r>
    </w:p>
    <w:p w14:paraId="7A958CAB" w14:textId="420AE416" w:rsidR="00CC42CC" w:rsidRPr="00C12449" w:rsidRDefault="00CC42CC" w:rsidP="008A40A5">
      <w:pPr>
        <w:pStyle w:val="IPPNumberedList"/>
        <w:numPr>
          <w:ilvl w:val="0"/>
          <w:numId w:val="61"/>
        </w:numPr>
        <w:rPr>
          <w:lang w:val="es-ES_tradnl"/>
        </w:rPr>
      </w:pPr>
      <w:r w:rsidRPr="00C12449">
        <w:rPr>
          <w:i/>
          <w:lang w:val="es-ES_tradnl"/>
        </w:rPr>
        <w:t>acordó</w:t>
      </w:r>
      <w:r w:rsidRPr="00C12449">
        <w:rPr>
          <w:lang w:val="es-ES_tradnl"/>
        </w:rPr>
        <w:t xml:space="preserve"> invitar a un especialista en inglés sencillo a observar los </w:t>
      </w:r>
      <w:r w:rsidR="009028F8" w:rsidRPr="00C12449">
        <w:rPr>
          <w:lang w:val="es-ES_tradnl"/>
        </w:rPr>
        <w:t>grupos de trabajo de expertos</w:t>
      </w:r>
      <w:r w:rsidRPr="00C12449">
        <w:rPr>
          <w:lang w:val="es-ES_tradnl"/>
        </w:rPr>
        <w:t xml:space="preserve"> para el proyecto de NIMF sobre el suministro seguro de ayuda humanitaria en el contexto fitosanitario (2021-020) y sobre la revisión del proyecto de NIMF reorganizada relativa al análisis del riesgo de plagas (2023-037) y a presentar un informe al GPE sobre sus observaciones y sugerencias de mejora; </w:t>
      </w:r>
    </w:p>
    <w:p w14:paraId="5642791A" w14:textId="77777777" w:rsidR="00CC42CC" w:rsidRPr="00C12449" w:rsidRDefault="00CC42CC" w:rsidP="00CC42CC">
      <w:pPr>
        <w:pStyle w:val="IPPNumberedList"/>
        <w:rPr>
          <w:lang w:val="es-ES_tradnl"/>
        </w:rPr>
      </w:pPr>
      <w:r w:rsidRPr="00C12449">
        <w:rPr>
          <w:i/>
          <w:lang w:val="es-ES_tradnl"/>
        </w:rPr>
        <w:t>solicitó</w:t>
      </w:r>
      <w:r w:rsidRPr="00C12449">
        <w:rPr>
          <w:lang w:val="es-ES_tradnl"/>
        </w:rPr>
        <w:t xml:space="preserve"> que la Secretaría y la Mesa designaran al especialista en inglés sencillo, mencionado en la decisión anterior, y que establecieran las expectativas;</w:t>
      </w:r>
    </w:p>
    <w:p w14:paraId="4F2CB362" w14:textId="321D6457" w:rsidR="00CC42CC" w:rsidRPr="00C12449" w:rsidRDefault="00CC42CC" w:rsidP="004F033D">
      <w:pPr>
        <w:pStyle w:val="IPPNumberedListLast"/>
        <w:rPr>
          <w:lang w:val="es-ES_tradnl"/>
        </w:rPr>
      </w:pPr>
      <w:r w:rsidRPr="00C12449">
        <w:rPr>
          <w:i/>
          <w:iCs/>
          <w:lang w:val="es-ES_tradnl"/>
        </w:rPr>
        <w:t>solicitó</w:t>
      </w:r>
      <w:r w:rsidRPr="00C12449">
        <w:rPr>
          <w:lang w:val="es-ES_tradnl"/>
        </w:rPr>
        <w:t xml:space="preserve"> que, tras las deliberaciones del GPE, la Secretaría colaborara con el </w:t>
      </w:r>
      <w:r w:rsidR="004F033D" w:rsidRPr="00C12449">
        <w:rPr>
          <w:lang w:val="es-ES_tradnl"/>
        </w:rPr>
        <w:t>Comité de Aplicación y Desarrollo de la Capacidad</w:t>
      </w:r>
      <w:r w:rsidR="004F033D" w:rsidRPr="00C12449">
        <w:rPr>
          <w:lang w:val="es-ES_tradnl"/>
        </w:rPr>
        <w:t xml:space="preserve"> (</w:t>
      </w:r>
      <w:r w:rsidRPr="00C12449">
        <w:rPr>
          <w:lang w:val="es-ES_tradnl"/>
        </w:rPr>
        <w:t>CADC</w:t>
      </w:r>
      <w:r w:rsidR="004F033D" w:rsidRPr="00C12449">
        <w:rPr>
          <w:lang w:val="es-ES_tradnl"/>
        </w:rPr>
        <w:t>)</w:t>
      </w:r>
      <w:r w:rsidRPr="00C12449">
        <w:rPr>
          <w:lang w:val="es-ES_tradnl"/>
        </w:rPr>
        <w:t xml:space="preserve"> para disponer una encuesta del Observatorio de la CIPF, basada en las recomendaciones del GPE y los documentos presentados por el CN y el CADC a la CMF en su 20.ª reunión (2026), a fin de comprender las necesidades de las partes contratantes y posteriormente realizar la encuesta a principios de 2027.</w:t>
      </w:r>
    </w:p>
    <w:p w14:paraId="78FB0475" w14:textId="77777777" w:rsidR="000E6892" w:rsidRPr="00C12449" w:rsidRDefault="000E6892" w:rsidP="000E6892">
      <w:pPr>
        <w:pStyle w:val="IPPHeading2"/>
        <w:rPr>
          <w:lang w:val="es-ES_tradnl"/>
        </w:rPr>
      </w:pPr>
      <w:r w:rsidRPr="00C12449">
        <w:rPr>
          <w:lang w:val="es-ES_tradnl"/>
        </w:rPr>
        <w:t>6.2</w:t>
      </w:r>
      <w:r w:rsidRPr="00C12449">
        <w:rPr>
          <w:lang w:val="es-ES_tradnl"/>
        </w:rPr>
        <w:tab/>
        <w:t>Situación futura del Comité financiero de la CIPF</w:t>
      </w:r>
    </w:p>
    <w:p w14:paraId="50E6FE5B" w14:textId="77777777" w:rsidR="000E6892" w:rsidRPr="00C12449" w:rsidRDefault="000E6892" w:rsidP="000E6892">
      <w:pPr>
        <w:pStyle w:val="IPPParagraphnumbering"/>
        <w:rPr>
          <w:lang w:val="es-ES_tradnl"/>
        </w:rPr>
      </w:pPr>
      <w:r w:rsidRPr="00C12449">
        <w:rPr>
          <w:lang w:val="es-ES_tradnl"/>
        </w:rPr>
        <w:t>El Presidente de la Comisión presentó una propuesta de la Mesa para disolver el Comité financiero de la CIPF y transferir las responsabilidades de este a la Mesa, en aras de la eficiencia</w:t>
      </w:r>
      <w:r w:rsidRPr="00C12449">
        <w:rPr>
          <w:rStyle w:val="Refdenotaalpie"/>
          <w:lang w:val="es-ES_tradnl"/>
        </w:rPr>
        <w:footnoteReference w:id="6"/>
      </w:r>
      <w:r w:rsidRPr="00C12449">
        <w:rPr>
          <w:lang w:val="es-ES_tradnl"/>
        </w:rPr>
        <w:t>. Explicó que el Reglamento vigente de la Mesa</w:t>
      </w:r>
      <w:r w:rsidRPr="00C12449">
        <w:rPr>
          <w:rStyle w:val="Refdenotaalpie"/>
          <w:lang w:val="es-ES_tradnl"/>
        </w:rPr>
        <w:footnoteReference w:id="7"/>
      </w:r>
      <w:r w:rsidRPr="00C12449">
        <w:rPr>
          <w:lang w:val="es-ES_tradnl"/>
        </w:rPr>
        <w:t xml:space="preserve"> incluía una disposición relativa a la planificación y gestión financieras.</w:t>
      </w:r>
    </w:p>
    <w:p w14:paraId="48B8C632" w14:textId="77777777" w:rsidR="000E6892" w:rsidRPr="00C12449" w:rsidRDefault="000E6892" w:rsidP="000E6892">
      <w:pPr>
        <w:pStyle w:val="IPPParagraphnumbering"/>
        <w:rPr>
          <w:lang w:val="es-ES_tradnl"/>
        </w:rPr>
      </w:pPr>
      <w:r w:rsidRPr="00C12449">
        <w:rPr>
          <w:lang w:val="es-ES_tradnl"/>
        </w:rPr>
        <w:t>En respuesta a una pregunta, la Secretaría aseguró a la CMF que el Oficial de finanzas de la Secretaría prestaba apoyo a la Mesa en sus debates sobre finanzas.</w:t>
      </w:r>
    </w:p>
    <w:p w14:paraId="73983D89" w14:textId="77777777" w:rsidR="000E6892" w:rsidRPr="00C12449" w:rsidRDefault="000E6892" w:rsidP="000E6892">
      <w:pPr>
        <w:pStyle w:val="IPPParagraphnumberingclose"/>
        <w:rPr>
          <w:lang w:val="es-ES_tradnl"/>
        </w:rPr>
      </w:pPr>
      <w:r w:rsidRPr="00C12449">
        <w:rPr>
          <w:lang w:val="es-ES_tradnl"/>
        </w:rPr>
        <w:t xml:space="preserve">La CMF: </w:t>
      </w:r>
    </w:p>
    <w:p w14:paraId="327D94A6" w14:textId="77777777" w:rsidR="000E6892" w:rsidRPr="00C12449" w:rsidRDefault="000E6892" w:rsidP="000E6892">
      <w:pPr>
        <w:pStyle w:val="IPPNumberedList"/>
        <w:numPr>
          <w:ilvl w:val="0"/>
          <w:numId w:val="52"/>
        </w:numPr>
        <w:rPr>
          <w:lang w:val="es-ES_tradnl"/>
        </w:rPr>
      </w:pPr>
      <w:r w:rsidRPr="00C12449">
        <w:rPr>
          <w:i/>
          <w:iCs/>
          <w:lang w:val="es-ES_tradnl"/>
        </w:rPr>
        <w:t>convino</w:t>
      </w:r>
      <w:r w:rsidRPr="00C12449">
        <w:rPr>
          <w:lang w:val="es-ES_tradnl"/>
        </w:rPr>
        <w:t xml:space="preserve"> en disolver el Comité financiero de la CIPF; </w:t>
      </w:r>
    </w:p>
    <w:p w14:paraId="16BC8318" w14:textId="77777777" w:rsidR="000E6892" w:rsidRPr="00C12449" w:rsidRDefault="000E6892" w:rsidP="000E6892">
      <w:pPr>
        <w:pStyle w:val="IPPNumberedList"/>
        <w:numPr>
          <w:ilvl w:val="0"/>
          <w:numId w:val="52"/>
        </w:numPr>
        <w:rPr>
          <w:lang w:val="es-ES_tradnl"/>
        </w:rPr>
      </w:pPr>
      <w:r w:rsidRPr="00C12449">
        <w:rPr>
          <w:i/>
          <w:iCs/>
          <w:lang w:val="es-ES_tradnl"/>
        </w:rPr>
        <w:t>convino</w:t>
      </w:r>
      <w:r w:rsidRPr="00C12449">
        <w:rPr>
          <w:lang w:val="es-ES_tradnl"/>
        </w:rPr>
        <w:t xml:space="preserve"> en transferir las responsabilidades del Comité financiero de la CIPF a la Mesa a fin de garantizar tanto la transparencia financiera como la supervisión; </w:t>
      </w:r>
    </w:p>
    <w:p w14:paraId="58FDDA94" w14:textId="77777777" w:rsidR="000E6892" w:rsidRPr="00C12449" w:rsidRDefault="000E6892" w:rsidP="000E6892">
      <w:pPr>
        <w:pStyle w:val="IPPNumberedList"/>
        <w:numPr>
          <w:ilvl w:val="0"/>
          <w:numId w:val="52"/>
        </w:numPr>
        <w:rPr>
          <w:lang w:val="es-ES_tradnl"/>
        </w:rPr>
      </w:pPr>
      <w:r w:rsidRPr="00C12449">
        <w:rPr>
          <w:i/>
          <w:iCs/>
          <w:lang w:val="es-ES_tradnl"/>
        </w:rPr>
        <w:lastRenderedPageBreak/>
        <w:t xml:space="preserve">convino </w:t>
      </w:r>
      <w:r w:rsidRPr="00C12449">
        <w:rPr>
          <w:lang w:val="es-ES_tradnl"/>
        </w:rPr>
        <w:t>en añadir un tema permanente al programa de cada reunión de la Mesa relativo a la planificación financiera, la presentación de informes financieros, la búsqueda de recursos y la elaboración de procedimientos en materia de transparencia financiera y movilización de recursos;</w:t>
      </w:r>
    </w:p>
    <w:p w14:paraId="1DB735B6" w14:textId="77777777" w:rsidR="000E6892" w:rsidRPr="00C12449" w:rsidRDefault="000E6892" w:rsidP="000E6892">
      <w:pPr>
        <w:pStyle w:val="IPPNumberedList"/>
        <w:numPr>
          <w:ilvl w:val="0"/>
          <w:numId w:val="52"/>
        </w:numPr>
        <w:rPr>
          <w:lang w:val="es-ES_tradnl"/>
        </w:rPr>
      </w:pPr>
      <w:r w:rsidRPr="00C12449">
        <w:rPr>
          <w:i/>
          <w:iCs/>
          <w:lang w:val="es-ES_tradnl"/>
        </w:rPr>
        <w:t xml:space="preserve">solicitó </w:t>
      </w:r>
      <w:r w:rsidRPr="00C12449">
        <w:rPr>
          <w:lang w:val="es-ES_tradnl"/>
        </w:rPr>
        <w:t>a la Secretaría que enmendara el Reglamento de la Mesa para aclarar que la planificación y gestión financieras se ajustaban a los procesos de gobernanza financiera de la FAO, y que presentara esas enmiendas a la Mesa para que las recomendara a la CMF en su 21.ª reunión (2027) con miras a su aprobación final.</w:t>
      </w:r>
    </w:p>
    <w:p w14:paraId="2BC73EDA" w14:textId="77777777" w:rsidR="001A2904" w:rsidRPr="00C12449" w:rsidRDefault="001A2904" w:rsidP="001A2904">
      <w:pPr>
        <w:pStyle w:val="IPPHeading1"/>
        <w:rPr>
          <w:lang w:val="es-ES_tradnl"/>
        </w:rPr>
      </w:pPr>
      <w:r w:rsidRPr="00C12449">
        <w:rPr>
          <w:lang w:val="es-ES_tradnl"/>
        </w:rPr>
        <w:t>7.</w:t>
      </w:r>
      <w:r w:rsidRPr="00C12449">
        <w:rPr>
          <w:lang w:val="es-ES_tradnl"/>
        </w:rPr>
        <w:tab/>
        <w:t>Informe de la Secretaría de la Convención Internacional de Protección Fitosanitaria</w:t>
      </w:r>
    </w:p>
    <w:p w14:paraId="15C2F8FB" w14:textId="77777777" w:rsidR="001A2904" w:rsidRPr="00C12449" w:rsidRDefault="001A2904" w:rsidP="001A2904">
      <w:pPr>
        <w:pStyle w:val="IPPParagraphnumbering"/>
        <w:rPr>
          <w:lang w:val="es-ES_tradnl"/>
        </w:rPr>
      </w:pPr>
      <w:r w:rsidRPr="00C12449">
        <w:rPr>
          <w:lang w:val="es-ES_tradnl"/>
        </w:rPr>
        <w:t>El Secretario de la CIPF se refirió al informe anual de 2025 de la Secretaría</w:t>
      </w:r>
      <w:r w:rsidRPr="00C12449">
        <w:rPr>
          <w:rStyle w:val="Refdenotaalpie"/>
          <w:lang w:val="es-ES_tradnl"/>
        </w:rPr>
        <w:footnoteReference w:id="8"/>
      </w:r>
      <w:r w:rsidRPr="00C12449">
        <w:rPr>
          <w:lang w:val="es-ES_tradnl"/>
        </w:rPr>
        <w:t>. Explicó que la Secretaría había avanzado en todos los pilares principales de su programa de trabajo, incluido el fortalecimiento de la capacidad digital, la facilitación del desarrollo de la capacidad en los países y la aprobación de la primera norma para productos por la CMF en su 19.ª reunión (2025).</w:t>
      </w:r>
    </w:p>
    <w:p w14:paraId="73D6691B" w14:textId="77777777" w:rsidR="001A2904" w:rsidRPr="00C12449" w:rsidRDefault="001A2904" w:rsidP="001A2904">
      <w:pPr>
        <w:pStyle w:val="IPPParagraphnumbering"/>
        <w:rPr>
          <w:lang w:val="es-ES_tradnl"/>
        </w:rPr>
      </w:pPr>
      <w:r w:rsidRPr="00C12449">
        <w:rPr>
          <w:lang w:val="es-ES_tradnl"/>
        </w:rPr>
        <w:t>La CMF tomó nota de la solicitud de que su informe se publicase oportunamente, con algunas sugerencias de mejoras de cara al futuro</w:t>
      </w:r>
      <w:r w:rsidRPr="00C12449">
        <w:rPr>
          <w:rStyle w:val="Refdenotaalpie"/>
          <w:lang w:val="es-ES_tradnl"/>
        </w:rPr>
        <w:footnoteReference w:id="9"/>
      </w:r>
      <w:r w:rsidRPr="00C12449">
        <w:rPr>
          <w:lang w:val="es-ES_tradnl"/>
        </w:rPr>
        <w:t>. La Secretaría aseguró a la CMF que cumpliría con los plazos y procedimientos establecidos y que tendría en cuenta estas sugerencias y otras enseñanzas extraídas.</w:t>
      </w:r>
    </w:p>
    <w:p w14:paraId="038B2C4B" w14:textId="77777777" w:rsidR="001A2904" w:rsidRPr="00C12449" w:rsidRDefault="001A2904" w:rsidP="001A2904">
      <w:pPr>
        <w:pStyle w:val="IPPParagraphnumberingclose"/>
        <w:rPr>
          <w:lang w:val="es-ES_tradnl"/>
        </w:rPr>
      </w:pPr>
      <w:r w:rsidRPr="00C12449">
        <w:rPr>
          <w:lang w:val="es-ES_tradnl"/>
        </w:rPr>
        <w:t>La CMF:</w:t>
      </w:r>
    </w:p>
    <w:p w14:paraId="0D2EF9EA" w14:textId="77777777" w:rsidR="001A2904" w:rsidRPr="00C12449" w:rsidRDefault="001A2904" w:rsidP="001A2904">
      <w:pPr>
        <w:pStyle w:val="IPPNumberedList"/>
        <w:numPr>
          <w:ilvl w:val="0"/>
          <w:numId w:val="13"/>
        </w:numPr>
        <w:spacing w:after="180"/>
        <w:rPr>
          <w:lang w:val="es-ES_tradnl"/>
        </w:rPr>
      </w:pPr>
      <w:r w:rsidRPr="00C12449">
        <w:rPr>
          <w:i/>
          <w:iCs/>
          <w:lang w:val="es-ES_tradnl"/>
        </w:rPr>
        <w:t xml:space="preserve">tomó nota </w:t>
      </w:r>
      <w:r w:rsidRPr="00C12449">
        <w:rPr>
          <w:lang w:val="es-ES_tradnl"/>
        </w:rPr>
        <w:t>del informe anual de 2025 de la Secretaría de la CIPF.</w:t>
      </w:r>
    </w:p>
    <w:p w14:paraId="07579DC1" w14:textId="77777777" w:rsidR="001A2904" w:rsidRPr="00C12449" w:rsidRDefault="001A2904" w:rsidP="001A2904">
      <w:pPr>
        <w:pStyle w:val="IPPHeading1"/>
        <w:rPr>
          <w:lang w:val="es-ES_tradnl"/>
        </w:rPr>
      </w:pPr>
      <w:r w:rsidRPr="00C12449">
        <w:rPr>
          <w:lang w:val="es-ES_tradnl"/>
        </w:rPr>
        <w:t>8.</w:t>
      </w:r>
      <w:r w:rsidRPr="00C12449">
        <w:rPr>
          <w:lang w:val="es-ES_tradnl"/>
        </w:rPr>
        <w:tab/>
        <w:t>Informe del Grupo sobre planificación estratégica</w:t>
      </w:r>
    </w:p>
    <w:p w14:paraId="474B9D33" w14:textId="256A5109" w:rsidR="001A2904" w:rsidRPr="00C12449" w:rsidRDefault="001A2904" w:rsidP="001A2904">
      <w:pPr>
        <w:pStyle w:val="IPPParagraphnumbering"/>
        <w:rPr>
          <w:lang w:val="es-ES_tradnl"/>
        </w:rPr>
      </w:pPr>
      <w:r w:rsidRPr="00C12449">
        <w:rPr>
          <w:lang w:val="es-ES_tradnl"/>
        </w:rPr>
        <w:t>El Presidente del GPE y Vicepresidente de la CMF presentó un informe resumido de la reunión del GPE que había tenido lugar en octubre de 2025</w:t>
      </w:r>
      <w:r w:rsidRPr="00C12449">
        <w:rPr>
          <w:rStyle w:val="Refdenotaalpie"/>
          <w:lang w:val="es-ES_tradnl"/>
        </w:rPr>
        <w:footnoteReference w:id="10"/>
      </w:r>
      <w:r w:rsidRPr="00C12449">
        <w:rPr>
          <w:lang w:val="es-ES_tradnl"/>
        </w:rPr>
        <w:t>. Destacó la importancia de las reuniones del GPE como foro estratégico para el debate, y explicó que el principal tema de debate en la reunión de 2025 había sido el replanteamiento de las NIMF.</w:t>
      </w:r>
    </w:p>
    <w:p w14:paraId="3ADA99B0" w14:textId="765AB772" w:rsidR="001A2904" w:rsidRPr="00C12449" w:rsidRDefault="001A2904" w:rsidP="001A2904">
      <w:pPr>
        <w:pStyle w:val="IPPParagraphnumbering"/>
        <w:rPr>
          <w:lang w:val="es-ES_tradnl"/>
        </w:rPr>
      </w:pPr>
      <w:r w:rsidRPr="00C12449">
        <w:rPr>
          <w:lang w:val="es-ES_tradnl"/>
        </w:rPr>
        <w:t>La CMF tomó nota de la propuesta de que se celebrara, a modo de prueba, una reunión del GPE fuera de Roma, por ejemplo en las instalaciones de la FAO en Bangkok (Tailandia)</w:t>
      </w:r>
      <w:r w:rsidRPr="00C12449">
        <w:rPr>
          <w:rStyle w:val="Refdenotaalpie"/>
          <w:lang w:val="es-ES_tradnl"/>
        </w:rPr>
        <w:footnoteReference w:id="11"/>
      </w:r>
      <w:r w:rsidRPr="00C12449">
        <w:rPr>
          <w:lang w:val="es-ES_tradnl"/>
        </w:rPr>
        <w:t>. También tomó nota de que el Brasil se había ofrecido a albergar una reunión de uno de los órganos de la CIPF, como el GPE o la Mesa.</w:t>
      </w:r>
    </w:p>
    <w:p w14:paraId="6F46C329" w14:textId="77777777" w:rsidR="001A2904" w:rsidRPr="00C12449" w:rsidRDefault="001A2904" w:rsidP="001A2904">
      <w:pPr>
        <w:pStyle w:val="IPPParagraphnumberingclose"/>
        <w:rPr>
          <w:lang w:val="es-ES_tradnl"/>
        </w:rPr>
      </w:pPr>
      <w:r w:rsidRPr="00C12449">
        <w:rPr>
          <w:lang w:val="es-ES_tradnl"/>
        </w:rPr>
        <w:t>La CMF:</w:t>
      </w:r>
    </w:p>
    <w:p w14:paraId="08B9EE04" w14:textId="7DB6A230" w:rsidR="001A2904" w:rsidRPr="00C12449" w:rsidRDefault="001A2904" w:rsidP="001A2904">
      <w:pPr>
        <w:pStyle w:val="IPPNumberedList"/>
        <w:numPr>
          <w:ilvl w:val="0"/>
          <w:numId w:val="14"/>
        </w:numPr>
        <w:rPr>
          <w:lang w:val="es-ES_tradnl"/>
        </w:rPr>
      </w:pPr>
      <w:r w:rsidRPr="00C12449">
        <w:rPr>
          <w:i/>
          <w:iCs/>
          <w:lang w:val="es-ES_tradnl"/>
        </w:rPr>
        <w:t>tomó nota</w:t>
      </w:r>
      <w:r w:rsidRPr="00C12449">
        <w:rPr>
          <w:lang w:val="es-ES_tradnl"/>
        </w:rPr>
        <w:t xml:space="preserve"> del informe del GPE</w:t>
      </w:r>
      <w:r w:rsidR="00D6586B" w:rsidRPr="00C12449">
        <w:rPr>
          <w:lang w:val="es-ES_tradnl"/>
        </w:rPr>
        <w:t>;</w:t>
      </w:r>
      <w:r w:rsidRPr="00C12449">
        <w:rPr>
          <w:lang w:val="es-ES_tradnl"/>
        </w:rPr>
        <w:t xml:space="preserve"> </w:t>
      </w:r>
    </w:p>
    <w:p w14:paraId="5FECB524" w14:textId="77777777" w:rsidR="001A2904" w:rsidRPr="00C12449" w:rsidRDefault="001A2904" w:rsidP="001A2904">
      <w:pPr>
        <w:pStyle w:val="IPPNumberedList"/>
        <w:numPr>
          <w:ilvl w:val="0"/>
          <w:numId w:val="14"/>
        </w:numPr>
        <w:rPr>
          <w:lang w:val="es-ES_tradnl"/>
        </w:rPr>
      </w:pPr>
      <w:r w:rsidRPr="00C12449">
        <w:rPr>
          <w:i/>
          <w:iCs/>
          <w:lang w:val="es-ES_tradnl"/>
        </w:rPr>
        <w:t>solicitó</w:t>
      </w:r>
      <w:r w:rsidRPr="00C12449">
        <w:rPr>
          <w:lang w:val="es-ES_tradnl"/>
        </w:rPr>
        <w:t xml:space="preserve"> a la Secretaría que, dentro de las tres semanas siguientes, analizara los costos y beneficios de la celebración de reuniones del GPE fuera de Roma, para someterlos a la consideración de la Mesa en una reunión virtual. </w:t>
      </w:r>
    </w:p>
    <w:p w14:paraId="3AFDAB8A" w14:textId="77777777" w:rsidR="001A2904" w:rsidRPr="00C12449" w:rsidRDefault="001A2904" w:rsidP="001A2904">
      <w:pPr>
        <w:pStyle w:val="IPPHeading1"/>
        <w:rPr>
          <w:lang w:val="es-ES_tradnl"/>
        </w:rPr>
      </w:pPr>
      <w:r w:rsidRPr="00C12449">
        <w:rPr>
          <w:lang w:val="es-ES_tradnl"/>
        </w:rPr>
        <w:t>9.</w:t>
      </w:r>
      <w:r w:rsidRPr="00C12449">
        <w:rPr>
          <w:lang w:val="es-ES_tradnl"/>
        </w:rPr>
        <w:tab/>
        <w:t>Informes de los órganos auxiliares de la Comisión de Medidas Fitosanitarias</w:t>
      </w:r>
    </w:p>
    <w:p w14:paraId="30AAA673" w14:textId="77777777" w:rsidR="001A2904" w:rsidRPr="00C12449" w:rsidRDefault="001A2904" w:rsidP="001A2904">
      <w:pPr>
        <w:pStyle w:val="IPPHeading2"/>
        <w:rPr>
          <w:lang w:val="es-ES_tradnl"/>
        </w:rPr>
      </w:pPr>
      <w:r w:rsidRPr="00C12449">
        <w:rPr>
          <w:lang w:val="es-ES_tradnl"/>
        </w:rPr>
        <w:t>9.1</w:t>
      </w:r>
      <w:r w:rsidRPr="00C12449">
        <w:rPr>
          <w:lang w:val="es-ES_tradnl"/>
        </w:rPr>
        <w:tab/>
        <w:t>Informe del Comité de Normas</w:t>
      </w:r>
    </w:p>
    <w:p w14:paraId="1DC05109" w14:textId="77777777" w:rsidR="001A2904" w:rsidRPr="00C12449" w:rsidRDefault="001A2904" w:rsidP="001A2904">
      <w:pPr>
        <w:pStyle w:val="IPPParagraphnumbering"/>
        <w:rPr>
          <w:lang w:val="es-ES_tradnl"/>
        </w:rPr>
      </w:pPr>
      <w:r w:rsidRPr="00C12449">
        <w:rPr>
          <w:lang w:val="es-ES_tradnl"/>
        </w:rPr>
        <w:t>La Presidenta del CN presentó el informe de las actividades del Comité realizadas durante 2025</w:t>
      </w:r>
      <w:r w:rsidRPr="00C12449">
        <w:rPr>
          <w:rStyle w:val="Refdenotaalpie"/>
          <w:lang w:val="es-ES_tradnl"/>
        </w:rPr>
        <w:footnoteReference w:id="12"/>
      </w:r>
      <w:r w:rsidRPr="00C12449">
        <w:rPr>
          <w:lang w:val="es-ES_tradnl"/>
        </w:rPr>
        <w:t xml:space="preserve">. Entre ellas se incluían la revisión y la aprobación de los proyectos de especificaciones y los proyectos de NIMF para someterlos a la consulta o la aprobación de la CMF, y los debates acerca de posibles formas de avanzar en relación con los proyectos de NIMF que llevaban más tiempo pendientes y las cuestiones planteadas durante la redacción. El CN también había comenzado a examinar el Manual de </w:t>
      </w:r>
      <w:r w:rsidRPr="00C12449">
        <w:rPr>
          <w:lang w:val="es-ES_tradnl"/>
        </w:rPr>
        <w:lastRenderedPageBreak/>
        <w:t>procedimiento de la CIPF para el establecimiento de normas, en particular las directrices sobre la función de los administradores principales y los administradores adjuntos. La Presidenta del CN informó de que el Comité había considerado opciones provisionales para mantener la información que se hubiera suprimido de las NIMF, había preparado un documento expositivo para contribuir al debate del GPE sobre el replanteamiento de las NIMF y había examinado las propuestas presentadas a raíz de la convocatoria abierta para la presentación de temas y formulado sus recomendaciones al respecto. El CN había facilitado la realización de los talleres regionales de la CIPF de 2025 y había supervisado los cuatro paneles técnicos de la CIPF.</w:t>
      </w:r>
    </w:p>
    <w:p w14:paraId="75F19624" w14:textId="77777777" w:rsidR="001A2904" w:rsidRPr="00C12449" w:rsidRDefault="001A2904" w:rsidP="001A2904">
      <w:pPr>
        <w:pStyle w:val="IPPParagraphnumbering"/>
        <w:rPr>
          <w:lang w:val="es-ES_tradnl"/>
        </w:rPr>
      </w:pPr>
      <w:r w:rsidRPr="00C12449">
        <w:rPr>
          <w:lang w:val="es-ES_tradnl"/>
        </w:rPr>
        <w:t>La CMF puso de relieve la importancia de que las partes contratantes participaran activamente en la elaboración de proyectos de normas para productos respondiendo a las solicitudes de información.</w:t>
      </w:r>
    </w:p>
    <w:p w14:paraId="5019D50B" w14:textId="77777777" w:rsidR="001A2904" w:rsidRPr="00C12449" w:rsidRDefault="001A2904" w:rsidP="001A2904">
      <w:pPr>
        <w:pStyle w:val="IPPParagraphnumberingclose"/>
        <w:rPr>
          <w:lang w:val="es-ES_tradnl"/>
        </w:rPr>
      </w:pPr>
      <w:r w:rsidRPr="00C12449">
        <w:rPr>
          <w:lang w:val="es-ES_tradnl"/>
        </w:rPr>
        <w:t>La CMF:</w:t>
      </w:r>
    </w:p>
    <w:p w14:paraId="0A0EEB7B" w14:textId="77777777" w:rsidR="001A2904" w:rsidRPr="00C12449" w:rsidRDefault="001A2904" w:rsidP="001A2904">
      <w:pPr>
        <w:pStyle w:val="IPPNumberedList"/>
        <w:numPr>
          <w:ilvl w:val="0"/>
          <w:numId w:val="33"/>
        </w:numPr>
        <w:rPr>
          <w:lang w:val="es-ES_tradnl"/>
        </w:rPr>
      </w:pPr>
      <w:r w:rsidRPr="00C12449">
        <w:rPr>
          <w:i/>
          <w:iCs/>
          <w:lang w:val="es-ES_tradnl"/>
        </w:rPr>
        <w:t>tomó nota</w:t>
      </w:r>
      <w:r w:rsidRPr="00C12449">
        <w:rPr>
          <w:lang w:val="es-ES_tradnl"/>
        </w:rPr>
        <w:t xml:space="preserve"> del informe sobre las actividades del Comité de Normas en 2025;</w:t>
      </w:r>
    </w:p>
    <w:p w14:paraId="796C710C" w14:textId="77777777" w:rsidR="001A2904" w:rsidRPr="00C12449" w:rsidRDefault="001A2904" w:rsidP="001A2904">
      <w:pPr>
        <w:pStyle w:val="IPPNumberedList"/>
        <w:rPr>
          <w:lang w:val="es-ES_tradnl"/>
        </w:rPr>
      </w:pPr>
      <w:r w:rsidRPr="00C12449">
        <w:rPr>
          <w:i/>
          <w:iCs/>
          <w:lang w:val="es-ES_tradnl"/>
        </w:rPr>
        <w:t>expresó el agradecimiento</w:t>
      </w:r>
      <w:r w:rsidRPr="00C12449">
        <w:rPr>
          <w:lang w:val="es-ES_tradnl"/>
        </w:rPr>
        <w:t xml:space="preserve"> a las partes contratantes y los miembros del CN, tanto antiguos como actuales, por su apoyo al procedimiento de establecimiento de normas;</w:t>
      </w:r>
    </w:p>
    <w:p w14:paraId="5039CF5F" w14:textId="77777777" w:rsidR="001A2904" w:rsidRPr="00C12449" w:rsidRDefault="001A2904" w:rsidP="001A2904">
      <w:pPr>
        <w:pStyle w:val="IPPNumberedList"/>
        <w:rPr>
          <w:lang w:val="es-ES_tradnl"/>
        </w:rPr>
      </w:pPr>
      <w:r w:rsidRPr="00C12449">
        <w:rPr>
          <w:i/>
          <w:iCs/>
          <w:lang w:val="es-ES_tradnl"/>
        </w:rPr>
        <w:t>agradeció</w:t>
      </w:r>
      <w:r w:rsidRPr="00C12449">
        <w:rPr>
          <w:lang w:val="es-ES_tradnl"/>
        </w:rPr>
        <w:t xml:space="preserve"> las contribuciones de los miembros del Grupo técnico sobre protocolos de diagnóstico que dejaron el Grupo en 2025:</w:t>
      </w:r>
    </w:p>
    <w:p w14:paraId="54D54CA6" w14:textId="5AE5A765" w:rsidR="001A2904" w:rsidRPr="00C12449" w:rsidRDefault="001A2904" w:rsidP="001A2904">
      <w:pPr>
        <w:pStyle w:val="IPPBullet2"/>
        <w:rPr>
          <w:lang w:val="es-ES_tradnl"/>
        </w:rPr>
      </w:pPr>
      <w:r w:rsidRPr="00C12449">
        <w:rPr>
          <w:lang w:val="es-ES_tradnl"/>
        </w:rPr>
        <w:t>Sra. Vessela MAVRODIEVA (Estados Unidos de América)</w:t>
      </w:r>
      <w:r w:rsidR="00D6586B" w:rsidRPr="00C12449">
        <w:rPr>
          <w:lang w:val="es-ES_tradnl"/>
        </w:rPr>
        <w:t>,</w:t>
      </w:r>
    </w:p>
    <w:p w14:paraId="15EA4DAE" w14:textId="77777777" w:rsidR="001A2904" w:rsidRPr="00C12449" w:rsidRDefault="001A2904" w:rsidP="001A2904">
      <w:pPr>
        <w:pStyle w:val="IPPBullet2"/>
        <w:rPr>
          <w:lang w:val="es-ES_tradnl"/>
        </w:rPr>
      </w:pPr>
      <w:r w:rsidRPr="00C12449">
        <w:rPr>
          <w:lang w:val="es-ES_tradnl"/>
        </w:rPr>
        <w:t>Sra. Yazmin RIVERA (Estados Unidos de América);</w:t>
      </w:r>
    </w:p>
    <w:p w14:paraId="58B2C9BA" w14:textId="77777777" w:rsidR="001A2904" w:rsidRPr="00C12449" w:rsidRDefault="001A2904" w:rsidP="001A2904">
      <w:pPr>
        <w:pStyle w:val="IPPNumberedList"/>
        <w:rPr>
          <w:lang w:val="es-ES_tradnl"/>
        </w:rPr>
      </w:pPr>
      <w:r w:rsidRPr="00C12449">
        <w:rPr>
          <w:i/>
          <w:iCs/>
          <w:lang w:val="es-ES_tradnl"/>
        </w:rPr>
        <w:t>agradeció</w:t>
      </w:r>
      <w:r w:rsidRPr="00C12449">
        <w:rPr>
          <w:lang w:val="es-ES_tradnl"/>
        </w:rPr>
        <w:t xml:space="preserve"> las contribuciones del miembro del Grupo técnico sobre normas para productos que dejó el Grupo en 2025:</w:t>
      </w:r>
    </w:p>
    <w:p w14:paraId="5DF1C347" w14:textId="219C2392" w:rsidR="001A2904" w:rsidRPr="00C12449" w:rsidRDefault="001A2904" w:rsidP="001A2904">
      <w:pPr>
        <w:pStyle w:val="IPPBullet2"/>
        <w:rPr>
          <w:lang w:val="es-ES_tradnl"/>
        </w:rPr>
      </w:pPr>
      <w:r w:rsidRPr="00C12449">
        <w:rPr>
          <w:lang w:val="es-ES_tradnl"/>
        </w:rPr>
        <w:t>Sr. Douglas KERRUISH (Australia)</w:t>
      </w:r>
      <w:r w:rsidR="00D6586B" w:rsidRPr="00C12449">
        <w:rPr>
          <w:lang w:val="es-ES_tradnl"/>
        </w:rPr>
        <w:t>,</w:t>
      </w:r>
    </w:p>
    <w:p w14:paraId="1EDD6B6A" w14:textId="77777777" w:rsidR="001A2904" w:rsidRPr="00C12449" w:rsidRDefault="001A2904" w:rsidP="001A2904">
      <w:pPr>
        <w:pStyle w:val="IPPNumberedList"/>
        <w:rPr>
          <w:lang w:val="es-ES_tradnl"/>
        </w:rPr>
      </w:pPr>
      <w:r w:rsidRPr="00C12449">
        <w:rPr>
          <w:i/>
          <w:iCs/>
          <w:lang w:val="es-ES_tradnl"/>
        </w:rPr>
        <w:t>agradeció</w:t>
      </w:r>
      <w:r w:rsidRPr="00C12449">
        <w:rPr>
          <w:lang w:val="es-ES_tradnl"/>
        </w:rPr>
        <w:t xml:space="preserve"> las contribuciones de los miembros del Grupo técnico sobre el glosario de términos fitosanitarios que dejaron el Grupo en 2025:</w:t>
      </w:r>
    </w:p>
    <w:p w14:paraId="2F6E7536" w14:textId="5EE5FAD2" w:rsidR="001A2904" w:rsidRPr="00C12449" w:rsidRDefault="001A2904" w:rsidP="001A2904">
      <w:pPr>
        <w:pStyle w:val="IPPBullet2"/>
        <w:rPr>
          <w:lang w:val="es-ES_tradnl"/>
        </w:rPr>
      </w:pPr>
      <w:r w:rsidRPr="00C12449">
        <w:rPr>
          <w:lang w:val="es-ES_tradnl"/>
        </w:rPr>
        <w:t>Sr. Ebbe NORDBO (Dinamarca)</w:t>
      </w:r>
      <w:r w:rsidR="00D6586B" w:rsidRPr="00C12449">
        <w:rPr>
          <w:lang w:val="es-ES_tradnl"/>
        </w:rPr>
        <w:t>,</w:t>
      </w:r>
    </w:p>
    <w:p w14:paraId="3B9358D5" w14:textId="77777777" w:rsidR="001A2904" w:rsidRPr="00C12449" w:rsidRDefault="001A2904" w:rsidP="001A2904">
      <w:pPr>
        <w:pStyle w:val="IPPBullet2"/>
        <w:rPr>
          <w:lang w:val="es-ES_tradnl"/>
        </w:rPr>
      </w:pPr>
      <w:r w:rsidRPr="00C12449">
        <w:rPr>
          <w:lang w:val="es-ES_tradnl"/>
        </w:rPr>
        <w:t>Sra. Shaza Roshdy OMAR (Egipto);</w:t>
      </w:r>
    </w:p>
    <w:p w14:paraId="1EC3B068" w14:textId="77777777" w:rsidR="001A2904" w:rsidRPr="00C12449" w:rsidRDefault="001A2904" w:rsidP="001A2904">
      <w:pPr>
        <w:pStyle w:val="IPPNumberedList"/>
        <w:rPr>
          <w:lang w:val="es-ES_tradnl"/>
        </w:rPr>
      </w:pPr>
      <w:r w:rsidRPr="00C12449">
        <w:rPr>
          <w:i/>
          <w:iCs/>
          <w:lang w:val="es-ES_tradnl"/>
        </w:rPr>
        <w:t>agradeció</w:t>
      </w:r>
      <w:r w:rsidRPr="00C12449">
        <w:rPr>
          <w:lang w:val="es-ES_tradnl"/>
        </w:rPr>
        <w:t xml:space="preserve"> las contribuciones de los miembros del Grupo técnico sobre tratamientos fitosanitarios que dejaron el Grupo en 2025:</w:t>
      </w:r>
    </w:p>
    <w:p w14:paraId="54535521" w14:textId="652C619A" w:rsidR="001A2904" w:rsidRPr="00C12449" w:rsidRDefault="001A2904" w:rsidP="001A2904">
      <w:pPr>
        <w:pStyle w:val="IPPBullet2"/>
        <w:rPr>
          <w:lang w:val="es-ES_tradnl"/>
        </w:rPr>
      </w:pPr>
      <w:r w:rsidRPr="00C12449">
        <w:rPr>
          <w:lang w:val="es-ES_tradnl"/>
        </w:rPr>
        <w:t>Sr. Toshiyuki DOHINO (Japón)</w:t>
      </w:r>
      <w:r w:rsidR="00D6586B" w:rsidRPr="00C12449">
        <w:rPr>
          <w:lang w:val="es-ES_tradnl"/>
        </w:rPr>
        <w:t>,</w:t>
      </w:r>
    </w:p>
    <w:p w14:paraId="1BF5BA8B" w14:textId="77777777" w:rsidR="001A2904" w:rsidRPr="00C12449" w:rsidRDefault="001A2904" w:rsidP="001A2904">
      <w:pPr>
        <w:pStyle w:val="IPPBullet2"/>
        <w:rPr>
          <w:lang w:val="es-ES_tradnl"/>
        </w:rPr>
      </w:pPr>
      <w:r w:rsidRPr="00C12449">
        <w:rPr>
          <w:lang w:val="es-ES_tradnl"/>
        </w:rPr>
        <w:t>Sr. Eduardo WILLINK (Argentina);</w:t>
      </w:r>
    </w:p>
    <w:p w14:paraId="3D021B05" w14:textId="77777777" w:rsidR="001A2904" w:rsidRPr="00C12449" w:rsidRDefault="001A2904" w:rsidP="001A2904">
      <w:pPr>
        <w:pStyle w:val="IPPNumberedList"/>
        <w:rPr>
          <w:lang w:val="es-ES_tradnl"/>
        </w:rPr>
      </w:pPr>
      <w:r w:rsidRPr="00C12449">
        <w:rPr>
          <w:i/>
          <w:iCs/>
          <w:lang w:val="es-ES_tradnl"/>
        </w:rPr>
        <w:t>aprobó</w:t>
      </w:r>
      <w:r w:rsidRPr="00C12449">
        <w:rPr>
          <w:lang w:val="es-ES_tradnl"/>
        </w:rPr>
        <w:t xml:space="preserve"> la revisión del Mandato y Reglamento del CN, de forma que la redacción actual “Un representante del CADC podrá asistir como observador” se sustituyera por “Un representante del CADC asistirá como observador”;</w:t>
      </w:r>
    </w:p>
    <w:p w14:paraId="14D37552" w14:textId="77777777" w:rsidR="001A2904" w:rsidRPr="00C12449" w:rsidRDefault="001A2904" w:rsidP="001A2904">
      <w:pPr>
        <w:pStyle w:val="IPPNumberedListLast"/>
        <w:rPr>
          <w:lang w:val="es-ES_tradnl"/>
        </w:rPr>
      </w:pPr>
      <w:r w:rsidRPr="00C12449">
        <w:rPr>
          <w:i/>
          <w:iCs/>
          <w:lang w:val="es-ES_tradnl"/>
        </w:rPr>
        <w:t xml:space="preserve">alentó </w:t>
      </w:r>
      <w:r w:rsidRPr="00C12449">
        <w:rPr>
          <w:lang w:val="es-ES_tradnl"/>
        </w:rPr>
        <w:t>a las partes contratantes a presentar las plagas y medidas para su inclusión en los proyectos de anexos a la NIMF 46 (</w:t>
      </w:r>
      <w:r w:rsidRPr="00C12449">
        <w:rPr>
          <w:i/>
          <w:iCs/>
          <w:lang w:val="es-ES_tradnl"/>
        </w:rPr>
        <w:t>Normas para medidas fitosanitarias específicas para productos</w:t>
      </w:r>
      <w:r w:rsidRPr="00C12449">
        <w:rPr>
          <w:lang w:val="es-ES_tradnl"/>
        </w:rPr>
        <w:t>) durante la fase de solicitud de información, aunque posteriormente pudieran complementar sus propuestas durante la primera consulta.</w:t>
      </w:r>
    </w:p>
    <w:p w14:paraId="0F4890DA" w14:textId="77777777" w:rsidR="001A2904" w:rsidRPr="00C12449" w:rsidRDefault="001A2904" w:rsidP="001A2904">
      <w:pPr>
        <w:pStyle w:val="IPPParagraphnumbering"/>
        <w:rPr>
          <w:lang w:val="es-ES_tradnl"/>
        </w:rPr>
      </w:pPr>
      <w:r w:rsidRPr="00C12449">
        <w:rPr>
          <w:highlight w:val="yellow"/>
          <w:lang w:val="es-ES_tradnl"/>
        </w:rPr>
        <w:t>[</w:t>
      </w:r>
      <w:r w:rsidRPr="00C12449">
        <w:rPr>
          <w:i/>
          <w:iCs/>
          <w:highlight w:val="yellow"/>
          <w:lang w:val="es-ES_tradnl"/>
        </w:rPr>
        <w:t>Nota (ha de eliminarse tras la aprobación del informe): la decisión en la que se otorga un reconocimiento a los miembros del CN que se fueron en 2025 figura en el marco del tema 23 del programa, a fin de que sea coherente con la decisión de otorgar un reconocimiento a los miembros del CADC.</w:t>
      </w:r>
      <w:r w:rsidRPr="00C12449">
        <w:rPr>
          <w:highlight w:val="yellow"/>
          <w:lang w:val="es-ES_tradnl"/>
        </w:rPr>
        <w:t>]</w:t>
      </w:r>
      <w:r w:rsidRPr="00C12449">
        <w:rPr>
          <w:lang w:val="es-ES_tradnl"/>
        </w:rPr>
        <w:t xml:space="preserve"> </w:t>
      </w:r>
    </w:p>
    <w:p w14:paraId="6DE9A84D" w14:textId="77777777" w:rsidR="001A2904" w:rsidRPr="00C12449" w:rsidRDefault="001A2904" w:rsidP="001A2904">
      <w:pPr>
        <w:pStyle w:val="IPPHeading3"/>
        <w:rPr>
          <w:lang w:val="es-ES_tradnl"/>
        </w:rPr>
      </w:pPr>
      <w:r w:rsidRPr="00C12449">
        <w:rPr>
          <w:lang w:val="es-ES_tradnl"/>
        </w:rPr>
        <w:t>9.1.1</w:t>
      </w:r>
      <w:r w:rsidRPr="00C12449">
        <w:rPr>
          <w:lang w:val="es-ES_tradnl"/>
        </w:rPr>
        <w:tab/>
        <w:t>Lista de temas de las normas de la Convención Internacional de Protección Fitosanitaria</w:t>
      </w:r>
    </w:p>
    <w:p w14:paraId="37EA7926" w14:textId="71F8FD3D" w:rsidR="001A2904" w:rsidRPr="00C12449" w:rsidRDefault="001A2904" w:rsidP="001A2904">
      <w:pPr>
        <w:pStyle w:val="IPPParagraphnumbering"/>
        <w:rPr>
          <w:lang w:val="es-ES_tradnl"/>
        </w:rPr>
      </w:pPr>
      <w:r w:rsidRPr="00C12449">
        <w:rPr>
          <w:lang w:val="es-ES_tradnl"/>
        </w:rPr>
        <w:t>La Presidenta del CN presentó un documento sobre los cambios en la Lista de temas de las normas de la CIPF</w:t>
      </w:r>
      <w:r w:rsidRPr="00C12449">
        <w:rPr>
          <w:rStyle w:val="Refdenotaalpie"/>
          <w:lang w:val="es-ES_tradnl"/>
        </w:rPr>
        <w:footnoteReference w:id="13"/>
      </w:r>
      <w:r w:rsidRPr="00C12449">
        <w:rPr>
          <w:lang w:val="es-ES_tradnl"/>
        </w:rPr>
        <w:t xml:space="preserve">. En él se enumeraban las modificaciones a las cuestiones (términos del glosario, </w:t>
      </w:r>
      <w:r w:rsidR="00975BDA" w:rsidRPr="00C12449">
        <w:rPr>
          <w:lang w:val="es-ES_tradnl"/>
        </w:rPr>
        <w:t xml:space="preserve">protocolos de diagnóstico </w:t>
      </w:r>
      <w:r w:rsidR="00975BDA" w:rsidRPr="00C12449">
        <w:rPr>
          <w:lang w:val="es-ES_tradnl"/>
        </w:rPr>
        <w:t>[</w:t>
      </w:r>
      <w:r w:rsidR="00975BDA" w:rsidRPr="00C12449">
        <w:rPr>
          <w:lang w:val="es-ES_tradnl"/>
        </w:rPr>
        <w:t>PD</w:t>
      </w:r>
      <w:r w:rsidR="00975BDA" w:rsidRPr="00C12449">
        <w:rPr>
          <w:lang w:val="es-ES_tradnl"/>
        </w:rPr>
        <w:t>]</w:t>
      </w:r>
      <w:r w:rsidR="00975BDA" w:rsidRPr="00C12449">
        <w:rPr>
          <w:lang w:val="es-ES_tradnl"/>
        </w:rPr>
        <w:t xml:space="preserve"> </w:t>
      </w:r>
      <w:r w:rsidRPr="00C12449">
        <w:rPr>
          <w:lang w:val="es-ES_tradnl"/>
        </w:rPr>
        <w:t xml:space="preserve">y tratamientos fitosanitarios [TF]) que había realizado el CN. También se exponían otros cambios en la Lista de temas de las normas de la CIPF que había recomendado el CN, en particular </w:t>
      </w:r>
      <w:r w:rsidRPr="00C12449">
        <w:rPr>
          <w:lang w:val="es-ES_tradnl"/>
        </w:rPr>
        <w:lastRenderedPageBreak/>
        <w:t>las recomendaciones del Comité respecto de las propuestas de temas derivadas de la convocatoria para la presentación de temas sobre normas y aplicación en curso.</w:t>
      </w:r>
    </w:p>
    <w:p w14:paraId="3936854A" w14:textId="77777777" w:rsidR="001A2904" w:rsidRPr="00C12449" w:rsidRDefault="001A2904" w:rsidP="001A2904">
      <w:pPr>
        <w:pStyle w:val="IPPParagraphnumbering"/>
        <w:rPr>
          <w:lang w:val="es-ES_tradnl"/>
        </w:rPr>
      </w:pPr>
      <w:r w:rsidRPr="00C12449">
        <w:rPr>
          <w:lang w:val="es-ES_tradnl"/>
        </w:rPr>
        <w:t>La CMF examinó la propuesta del CN de suprimir el estado pendiente del tema “Reducción al mínimo de los movimientos de plagas mediante contenedores aéreos y aeronaves” (2008-002) y asignarle prioridad 2. Sin embargo, la CMF convino en no modificar el estado hasta que se hubiera avanzado más en la labor relativa a los contenedores marítimos, ya que el desarrollo de los dos temas estaba relacionado</w:t>
      </w:r>
      <w:r w:rsidRPr="00C12449">
        <w:rPr>
          <w:rStyle w:val="Refdenotaalpie"/>
          <w:lang w:val="es-ES_tradnl"/>
        </w:rPr>
        <w:footnoteReference w:id="14"/>
      </w:r>
      <w:r w:rsidRPr="00C12449">
        <w:rPr>
          <w:lang w:val="es-ES_tradnl"/>
        </w:rPr>
        <w:t xml:space="preserve">. </w:t>
      </w:r>
    </w:p>
    <w:p w14:paraId="7BA44397" w14:textId="77777777" w:rsidR="001A2904" w:rsidRPr="00C12449" w:rsidRDefault="001A2904" w:rsidP="001A2904">
      <w:pPr>
        <w:pStyle w:val="IPPParagraphnumberingclose"/>
        <w:rPr>
          <w:lang w:val="es-ES_tradnl"/>
        </w:rPr>
      </w:pPr>
      <w:r w:rsidRPr="00C12449">
        <w:rPr>
          <w:lang w:val="es-ES_tradnl"/>
        </w:rPr>
        <w:t xml:space="preserve">La CMF: </w:t>
      </w:r>
    </w:p>
    <w:p w14:paraId="67C204A5" w14:textId="75377315" w:rsidR="001A2904" w:rsidRPr="00C12449" w:rsidRDefault="001A2904" w:rsidP="001A2904">
      <w:pPr>
        <w:pStyle w:val="IPPNumberedList"/>
        <w:numPr>
          <w:ilvl w:val="0"/>
          <w:numId w:val="34"/>
        </w:numPr>
        <w:rPr>
          <w:lang w:val="es-ES_tradnl"/>
        </w:rPr>
      </w:pPr>
      <w:r w:rsidRPr="00C12449">
        <w:rPr>
          <w:i/>
          <w:iCs/>
          <w:lang w:val="es-ES_tradnl"/>
        </w:rPr>
        <w:t>tomó nota</w:t>
      </w:r>
      <w:r w:rsidRPr="00C12449">
        <w:rPr>
          <w:lang w:val="es-ES_tradnl"/>
        </w:rPr>
        <w:t xml:space="preserve"> de los ajustes a las cuestiones realizados por el CN en la Lista de temas de las normas de la CIPF (presentados en el documento CPM 2026/07);</w:t>
      </w:r>
    </w:p>
    <w:p w14:paraId="19391379" w14:textId="77777777" w:rsidR="001A2904" w:rsidRPr="00C12449" w:rsidRDefault="001A2904" w:rsidP="001A2904">
      <w:pPr>
        <w:pStyle w:val="IPPNumberedList"/>
        <w:rPr>
          <w:lang w:val="es-ES_tradnl"/>
        </w:rPr>
      </w:pPr>
      <w:r w:rsidRPr="00C12449">
        <w:rPr>
          <w:i/>
          <w:iCs/>
          <w:lang w:val="es-ES_tradnl"/>
        </w:rPr>
        <w:t xml:space="preserve">añadió </w:t>
      </w:r>
      <w:r w:rsidRPr="00C12449">
        <w:rPr>
          <w:lang w:val="es-ES_tradnl"/>
        </w:rPr>
        <w:t>la revisión específica de la NIMF 8 (</w:t>
      </w:r>
      <w:r w:rsidRPr="00C12449">
        <w:rPr>
          <w:i/>
          <w:iCs/>
          <w:lang w:val="es-ES_tradnl"/>
        </w:rPr>
        <w:t>Determinación de la condición de una plaga en un área</w:t>
      </w:r>
      <w:r w:rsidRPr="00C12449">
        <w:rPr>
          <w:lang w:val="es-ES_tradnl"/>
        </w:rPr>
        <w:t>) en relación con las descripciones de “plaga ausente” con prioridad 1, a la “Lista de temas de las normas de la CIPF” para resolver la ambigüedad con la NIMF 5 (</w:t>
      </w:r>
      <w:r w:rsidRPr="00C12449">
        <w:rPr>
          <w:i/>
          <w:iCs/>
          <w:lang w:val="es-ES_tradnl"/>
        </w:rPr>
        <w:t>Glosario de términos fitosanitarios</w:t>
      </w:r>
      <w:r w:rsidRPr="00C12449">
        <w:rPr>
          <w:lang w:val="es-ES_tradnl"/>
        </w:rPr>
        <w:t>);</w:t>
      </w:r>
    </w:p>
    <w:p w14:paraId="3DACC127" w14:textId="77777777" w:rsidR="001A2904" w:rsidRPr="00C12449" w:rsidRDefault="001A2904" w:rsidP="001A2904">
      <w:pPr>
        <w:pStyle w:val="IPPNumberedList"/>
        <w:rPr>
          <w:lang w:val="es-ES_tradnl"/>
        </w:rPr>
      </w:pPr>
      <w:r w:rsidRPr="00C12449">
        <w:rPr>
          <w:i/>
          <w:iCs/>
          <w:lang w:val="es-ES_tradnl"/>
        </w:rPr>
        <w:t>cambió</w:t>
      </w:r>
      <w:r w:rsidRPr="00C12449">
        <w:rPr>
          <w:lang w:val="es-ES_tradnl"/>
        </w:rPr>
        <w:t xml:space="preserve"> la prioridad de la revisión de la NIMF 23 (</w:t>
      </w:r>
      <w:r w:rsidRPr="00C12449">
        <w:rPr>
          <w:i/>
          <w:iCs/>
          <w:lang w:val="es-ES_tradnl"/>
        </w:rPr>
        <w:t>Directrices para la inspección</w:t>
      </w:r>
      <w:r w:rsidRPr="00C12449">
        <w:rPr>
          <w:lang w:val="es-ES_tradnl"/>
        </w:rPr>
        <w:t>) (2023-014) de prioridad 2 a prioridad 1;</w:t>
      </w:r>
    </w:p>
    <w:p w14:paraId="277AD7DA" w14:textId="77777777" w:rsidR="001A2904" w:rsidRPr="00C12449" w:rsidRDefault="001A2904" w:rsidP="001A2904">
      <w:pPr>
        <w:pStyle w:val="IPPNumberedList"/>
        <w:rPr>
          <w:lang w:val="es-ES_tradnl"/>
        </w:rPr>
      </w:pPr>
      <w:r w:rsidRPr="00C12449">
        <w:rPr>
          <w:i/>
          <w:iCs/>
          <w:lang w:val="es-ES_tradnl"/>
        </w:rPr>
        <w:t>añadió</w:t>
      </w:r>
      <w:r w:rsidRPr="00C12449">
        <w:rPr>
          <w:lang w:val="es-ES_tradnl"/>
        </w:rPr>
        <w:t xml:space="preserve"> el tema “Revisión de la NIMF 3” (</w:t>
      </w:r>
      <w:r w:rsidRPr="00C12449">
        <w:rPr>
          <w:i/>
          <w:iCs/>
          <w:lang w:val="es-ES_tradnl"/>
        </w:rPr>
        <w:t>Directrices para la exportación, el envío, la importación y liberación de agentes de control biológico y otros organismos benéficos</w:t>
      </w:r>
      <w:r w:rsidRPr="00C12449">
        <w:rPr>
          <w:lang w:val="es-ES_tradnl"/>
        </w:rPr>
        <w:t>)</w:t>
      </w:r>
      <w:r w:rsidRPr="00C12449">
        <w:rPr>
          <w:lang w:val="es-ES_tradnl"/>
        </w:rPr>
        <w:br/>
        <w:t>(2025-010), con prioridad 1, a la “Lista de temas de las normas de la CIPF”;</w:t>
      </w:r>
    </w:p>
    <w:p w14:paraId="2EB78224" w14:textId="77777777" w:rsidR="001A2904" w:rsidRPr="00C12449" w:rsidRDefault="001A2904" w:rsidP="001A2904">
      <w:pPr>
        <w:pStyle w:val="IPPNumberedList"/>
        <w:rPr>
          <w:lang w:val="es-ES_tradnl"/>
        </w:rPr>
      </w:pPr>
      <w:r w:rsidRPr="00C12449">
        <w:rPr>
          <w:i/>
          <w:iCs/>
          <w:lang w:val="es-ES_tradnl"/>
        </w:rPr>
        <w:t>aprobó</w:t>
      </w:r>
      <w:r w:rsidRPr="00C12449">
        <w:rPr>
          <w:lang w:val="es-ES_tradnl"/>
        </w:rPr>
        <w:t xml:space="preserve"> la “Lista de temas de las normas de la CIPF”, con las modificaciones mencionadas anteriormente;</w:t>
      </w:r>
    </w:p>
    <w:p w14:paraId="51085E8B" w14:textId="77777777" w:rsidR="001A2904" w:rsidRPr="00C12449" w:rsidRDefault="001A2904" w:rsidP="001A2904">
      <w:pPr>
        <w:pStyle w:val="IPPNumberedListLast"/>
        <w:rPr>
          <w:lang w:val="es-ES_tradnl"/>
        </w:rPr>
      </w:pPr>
      <w:r w:rsidRPr="00C12449">
        <w:rPr>
          <w:i/>
          <w:iCs/>
          <w:lang w:val="es-ES_tradnl"/>
        </w:rPr>
        <w:t>solicitó</w:t>
      </w:r>
      <w:r w:rsidRPr="00C12449">
        <w:rPr>
          <w:lang w:val="es-ES_tradnl"/>
        </w:rPr>
        <w:t xml:space="preserve"> que la Secretaría actualizara la base de datos de la lista de temas en el Portal fitosanitario internacional (PFI), en función de las decisiones que adoptase la CMF en su 20.ª reunión (2026).</w:t>
      </w:r>
    </w:p>
    <w:p w14:paraId="2E879FE5" w14:textId="77777777" w:rsidR="001A2904" w:rsidRPr="00C12449" w:rsidRDefault="001A2904" w:rsidP="001A2904">
      <w:pPr>
        <w:pStyle w:val="IPPHeading2"/>
        <w:rPr>
          <w:lang w:val="es-ES_tradnl"/>
        </w:rPr>
      </w:pPr>
      <w:r w:rsidRPr="00C12449">
        <w:rPr>
          <w:lang w:val="es-ES_tradnl"/>
        </w:rPr>
        <w:t>9.2</w:t>
      </w:r>
      <w:r w:rsidRPr="00C12449">
        <w:rPr>
          <w:lang w:val="es-ES_tradnl"/>
        </w:rPr>
        <w:tab/>
        <w:t>Informe del Comité de Aplicación y Desarrollo de la Capacidad</w:t>
      </w:r>
    </w:p>
    <w:p w14:paraId="240DDF7F" w14:textId="77777777" w:rsidR="001A2904" w:rsidRPr="00C12449" w:rsidRDefault="001A2904" w:rsidP="001A2904">
      <w:pPr>
        <w:pStyle w:val="IPPParagraphnumbering"/>
        <w:rPr>
          <w:lang w:val="es-ES_tradnl"/>
        </w:rPr>
      </w:pPr>
      <w:r w:rsidRPr="00C12449">
        <w:rPr>
          <w:lang w:val="es-ES_tradnl"/>
        </w:rPr>
        <w:t>El Presidente del CADC presentó una visión general de las actividades en materia de aplicación y desarrollo de la capacidad realizadas durante 2025</w:t>
      </w:r>
      <w:r w:rsidRPr="00C12449">
        <w:rPr>
          <w:rStyle w:val="Refdenotaalpie"/>
          <w:lang w:val="es-ES_tradnl"/>
        </w:rPr>
        <w:footnoteReference w:id="15"/>
      </w:r>
      <w:r w:rsidRPr="00C12449">
        <w:rPr>
          <w:lang w:val="es-ES_tradnl"/>
        </w:rPr>
        <w:t xml:space="preserve">. Explicó que el CADC y la Unidad de Aplicación y Facilitación de la Secretaría habían contribuido a impulsar cinco temas de la Agenda de desarrollo del Marco estratégico de la CIPF para 2020-2030, habían celebrado un seminario web dedicado a la utilización de nuevas tecnologías en el ámbito de la protección fitosanitaria y habían consolidado la evaluación de la capacidad fitosanitaria como motor de las inversiones y el fortalecimiento institucional. También habían ampliado el programa de trabajo del Observatorio de la CIPF y habían añadido nuevos cursos en línea al Campus sobre la sanidad vegetal. El Presidente del CADC informó de que el Comité había contribuido a los debates del GPE acerca del replanteamiento de las NIMF y había trabajado con el CN para garantizar que los materiales de aplicación fueran más accesibles en el Portal fitosanitario internacional (PFI). Asimismo, puso de relieve dos recomendaciones clave del CADC a la CMF, a saber: garantizar una financiación predecible y sostenible para desarrollar las actividades de aplicación esenciales a las que no se destinaba financiación suficiente (tal como había recomendado la Comisión en su 19.ª reunión [2025]) y crear tres puestos adicionales en la Secretaría, con cargo al presupuesto ordinario. </w:t>
      </w:r>
    </w:p>
    <w:p w14:paraId="4343D3AB" w14:textId="77777777" w:rsidR="001A2904" w:rsidRPr="00C12449" w:rsidRDefault="001A2904" w:rsidP="001A2904">
      <w:pPr>
        <w:pStyle w:val="IPPParagraphnumbering"/>
        <w:rPr>
          <w:lang w:val="es-ES_tradnl"/>
        </w:rPr>
      </w:pPr>
      <w:r w:rsidRPr="00C12449">
        <w:rPr>
          <w:lang w:val="es-ES_tradnl"/>
        </w:rPr>
        <w:t>La CMF tomó nota de las sugerencias que se habían formulado acerca de las formas de mejorar la colaboración entre el CN y el CADC, velando por que las normas y los materiales de orientación de apoyo se elaboraran en paralelo</w:t>
      </w:r>
      <w:r w:rsidRPr="00C12449">
        <w:rPr>
          <w:rStyle w:val="Refdenotaalpie"/>
          <w:lang w:val="es-ES_tradnl"/>
        </w:rPr>
        <w:footnoteReference w:id="16"/>
      </w:r>
      <w:r w:rsidRPr="00C12449">
        <w:rPr>
          <w:lang w:val="es-ES_tradnl"/>
        </w:rPr>
        <w:t xml:space="preserve">. Asimismo, tomó nota de la solicitud de que se llevaran a cabo más ejercicios de simulación de intervenciones en situaciones de emergencia, y reconoció que sería preciso examinar con detenimiento las implicaciones que tendrían para otras esferas de la labor de la Secretaría </w:t>
      </w:r>
      <w:r w:rsidRPr="00C12449">
        <w:rPr>
          <w:lang w:val="es-ES_tradnl"/>
        </w:rPr>
        <w:lastRenderedPageBreak/>
        <w:t>los posibles cambios introducidos en relación con los puestos con cargo al presupuesto ordinario dentro de dicho órgano.</w:t>
      </w:r>
    </w:p>
    <w:p w14:paraId="1C1C1A5E" w14:textId="77777777" w:rsidR="001A2904" w:rsidRPr="00C12449" w:rsidRDefault="001A2904" w:rsidP="001A2904">
      <w:pPr>
        <w:pStyle w:val="IPPParagraphnumberingclose"/>
        <w:rPr>
          <w:lang w:val="es-ES_tradnl"/>
        </w:rPr>
      </w:pPr>
      <w:r w:rsidRPr="00C12449">
        <w:rPr>
          <w:lang w:val="es-ES_tradnl"/>
        </w:rPr>
        <w:t xml:space="preserve">La CMF: </w:t>
      </w:r>
    </w:p>
    <w:p w14:paraId="7D2C5A6B" w14:textId="77777777" w:rsidR="001A2904" w:rsidRPr="00C12449" w:rsidRDefault="001A2904" w:rsidP="001A2904">
      <w:pPr>
        <w:pStyle w:val="IPPNumberedList"/>
        <w:numPr>
          <w:ilvl w:val="0"/>
          <w:numId w:val="35"/>
        </w:numPr>
        <w:rPr>
          <w:lang w:val="es-ES_tradnl"/>
        </w:rPr>
      </w:pPr>
      <w:r w:rsidRPr="00C12449">
        <w:rPr>
          <w:i/>
          <w:iCs/>
          <w:lang w:val="es-ES_tradnl"/>
        </w:rPr>
        <w:t>tomó nota</w:t>
      </w:r>
      <w:r w:rsidRPr="00C12449">
        <w:rPr>
          <w:lang w:val="es-ES_tradnl"/>
        </w:rPr>
        <w:t xml:space="preserve"> de la labor realizada en 2025 por el CADC, de las actividades del Subgrupo del CADC sobre el Observatorio de la CIPF y de las actividades de los equipos del CADC sobre el comercio electrónico, la R4T de </w:t>
      </w:r>
      <w:r w:rsidRPr="00C12449">
        <w:rPr>
          <w:i/>
          <w:iCs/>
          <w:lang w:val="es-ES_tradnl"/>
        </w:rPr>
        <w:t>Fusarium</w:t>
      </w:r>
      <w:r w:rsidRPr="00C12449">
        <w:rPr>
          <w:lang w:val="es-ES_tradnl"/>
        </w:rPr>
        <w:t>, la autorización de entidades terceras, la revisión de los temas sobre aplicación, las obligaciones nacionales de presentación de informes (ONPI), la ECF, los proyectos y la aportación de recursos;</w:t>
      </w:r>
    </w:p>
    <w:p w14:paraId="2995A5A5" w14:textId="77777777" w:rsidR="001A2904" w:rsidRPr="00C12449" w:rsidRDefault="001A2904" w:rsidP="001A2904">
      <w:pPr>
        <w:pStyle w:val="IPPNumberedList"/>
        <w:rPr>
          <w:lang w:val="es-ES_tradnl"/>
        </w:rPr>
      </w:pPr>
      <w:r w:rsidRPr="00C12449">
        <w:rPr>
          <w:i/>
          <w:iCs/>
          <w:lang w:val="es-ES_tradnl"/>
        </w:rPr>
        <w:t>tomó nota</w:t>
      </w:r>
      <w:r w:rsidRPr="00C12449">
        <w:rPr>
          <w:lang w:val="es-ES_tradnl"/>
        </w:rPr>
        <w:t xml:space="preserve"> de la decisión que adoptó la CMF en su 19.ª reunión (2025) de </w:t>
      </w:r>
      <w:r w:rsidRPr="00C12449">
        <w:rPr>
          <w:i/>
          <w:iCs/>
          <w:lang w:val="es-ES_tradnl"/>
        </w:rPr>
        <w:t>solicitar</w:t>
      </w:r>
      <w:r w:rsidRPr="00C12449">
        <w:rPr>
          <w:lang w:val="es-ES_tradnl"/>
        </w:rPr>
        <w:t xml:space="preserve"> que la Secretaría de la CIPF, con el asesoramiento y la orientación del Comité Financiero o la Mesa de la CMF, sopesara la posibilidad de crear tres puestos adicionales con cargo al presupuesto ordinario para la Unidad de Aplicación y Facilitación, especialmente para la elaboración de guías y materiales de capacitación, a fin de que el equipo cumpliera su mandato básico, conforme se recomendaba en la evaluación de la mejora de la Secretaría de la CIPF de 2014;</w:t>
      </w:r>
    </w:p>
    <w:p w14:paraId="6D007EA2" w14:textId="77777777" w:rsidR="001A2904" w:rsidRPr="00C12449" w:rsidRDefault="001A2904" w:rsidP="001A2904">
      <w:pPr>
        <w:pStyle w:val="IPPNumberedList"/>
        <w:rPr>
          <w:lang w:val="es-ES_tradnl"/>
        </w:rPr>
      </w:pPr>
      <w:r w:rsidRPr="00C12449">
        <w:rPr>
          <w:i/>
          <w:iCs/>
          <w:lang w:val="es-ES_tradnl"/>
        </w:rPr>
        <w:t>tomó nota</w:t>
      </w:r>
      <w:r w:rsidRPr="00C12449">
        <w:rPr>
          <w:lang w:val="es-ES_tradnl"/>
        </w:rPr>
        <w:t xml:space="preserve"> de la decisión que adoptó la CMF en su 19.ª reunión (2025) de </w:t>
      </w:r>
      <w:r w:rsidRPr="00C12449">
        <w:rPr>
          <w:i/>
          <w:iCs/>
          <w:lang w:val="es-ES_tradnl"/>
        </w:rPr>
        <w:t>solicitar</w:t>
      </w:r>
      <w:r w:rsidRPr="00C12449">
        <w:rPr>
          <w:lang w:val="es-ES_tradnl"/>
        </w:rPr>
        <w:t xml:space="preserve"> que la Secretaría de la CIPF, con el asesoramiento y la orientación del Comité Financiero o la Mesa de la CMF, considerara que se aportasen recursos financieros suficientes para las actividades básicas y prioritarias de la CIPF que no contaban con financiación o no disponían de financiación suficiente: 50 000 USD anuales para ONPI, 50 000 USD anuales para ECF, 50 000 USD anuales para el Sistema de alerta y respuesta ante brotes de plagas (SARBP), 50 000 USD anuales para el Observatorio de la CIPF y 50 000 USD anuales para la elaboración de guías y materiales de capacitación;</w:t>
      </w:r>
    </w:p>
    <w:p w14:paraId="470708EF" w14:textId="77777777" w:rsidR="001A2904" w:rsidRPr="00C12449" w:rsidRDefault="001A2904" w:rsidP="001A2904">
      <w:pPr>
        <w:pStyle w:val="IPPNumberedList"/>
        <w:rPr>
          <w:lang w:val="es-ES_tradnl"/>
        </w:rPr>
      </w:pPr>
      <w:r w:rsidRPr="00C12449">
        <w:rPr>
          <w:i/>
          <w:iCs/>
          <w:lang w:val="es-ES_tradnl"/>
        </w:rPr>
        <w:t>solicitó</w:t>
      </w:r>
      <w:r w:rsidRPr="00C12449">
        <w:rPr>
          <w:lang w:val="es-ES_tradnl"/>
        </w:rPr>
        <w:t xml:space="preserve"> que la Secretaría de la CIPF colaborase con la Mesa de la CMF para dar prioridad en 2026 a las medidas y actividades mencionadas y </w:t>
      </w:r>
      <w:r w:rsidRPr="00C12449">
        <w:rPr>
          <w:i/>
          <w:iCs/>
          <w:lang w:val="es-ES_tradnl"/>
        </w:rPr>
        <w:t>alentó</w:t>
      </w:r>
      <w:r w:rsidRPr="00C12449">
        <w:rPr>
          <w:lang w:val="es-ES_tradnl"/>
        </w:rPr>
        <w:t xml:space="preserve"> a las partes contratantes y los asociados a ofrecer apoyo financiero y contribuciones en especie para sostener las actividades de aplicación y desarrollo de la capacidad;</w:t>
      </w:r>
    </w:p>
    <w:p w14:paraId="73EE8ADE" w14:textId="77777777" w:rsidR="001A2904" w:rsidRPr="00C12449" w:rsidRDefault="001A2904" w:rsidP="001A2904">
      <w:pPr>
        <w:pStyle w:val="IPPNumberedList"/>
        <w:rPr>
          <w:lang w:val="es-ES_tradnl"/>
        </w:rPr>
      </w:pPr>
      <w:r w:rsidRPr="00C12449">
        <w:rPr>
          <w:i/>
          <w:iCs/>
          <w:lang w:val="es-ES_tradnl"/>
        </w:rPr>
        <w:t>dio las gracias</w:t>
      </w:r>
      <w:r w:rsidRPr="00C12449">
        <w:rPr>
          <w:lang w:val="es-ES_tradnl"/>
        </w:rPr>
        <w:t xml:space="preserve"> a los expertos que habían participado en la elaboración de las guías y los materiales de capacitación de la CIPF (Apéndice X), luego de sus destacadas contribuciones;</w:t>
      </w:r>
    </w:p>
    <w:p w14:paraId="215262E2" w14:textId="77777777" w:rsidR="001A2904" w:rsidRPr="00C12449" w:rsidRDefault="001A2904" w:rsidP="001A2904">
      <w:pPr>
        <w:pStyle w:val="IPPNumberedListLast"/>
        <w:rPr>
          <w:lang w:val="es-ES_tradnl"/>
        </w:rPr>
      </w:pPr>
      <w:r w:rsidRPr="00C12449">
        <w:rPr>
          <w:i/>
          <w:iCs/>
          <w:lang w:val="es-ES_tradnl"/>
        </w:rPr>
        <w:t>reconoció</w:t>
      </w:r>
      <w:r w:rsidRPr="00C12449">
        <w:rPr>
          <w:lang w:val="es-ES_tradnl"/>
        </w:rPr>
        <w:t xml:space="preserve"> el inestimable apoyo brindado por los asociados y los correctores de pruebas (Apéndice X) a la hora de traducir las guías y los materiales de capacitación de la CIPF y comprobar la exactitud de las traducciones.</w:t>
      </w:r>
    </w:p>
    <w:p w14:paraId="70A831DE" w14:textId="77777777" w:rsidR="001A2904" w:rsidRPr="00C12449" w:rsidRDefault="001A2904" w:rsidP="001A2904">
      <w:pPr>
        <w:pStyle w:val="IPPHeading3"/>
        <w:rPr>
          <w:lang w:val="es-ES_tradnl"/>
        </w:rPr>
      </w:pPr>
      <w:r w:rsidRPr="00C12449">
        <w:rPr>
          <w:lang w:val="es-ES_tradnl"/>
        </w:rPr>
        <w:t>9.2.1</w:t>
      </w:r>
      <w:r w:rsidRPr="00C12449">
        <w:rPr>
          <w:lang w:val="es-ES_tradnl"/>
        </w:rPr>
        <w:tab/>
        <w:t>Lista de temas relativos a la aplicación y el desarrollo de la capacidad</w:t>
      </w:r>
    </w:p>
    <w:p w14:paraId="7F8E1392" w14:textId="77777777" w:rsidR="001A2904" w:rsidRPr="00C12449" w:rsidRDefault="001A2904" w:rsidP="001A2904">
      <w:pPr>
        <w:pStyle w:val="IPPParagraphnumbering"/>
        <w:rPr>
          <w:lang w:val="es-ES_tradnl"/>
        </w:rPr>
      </w:pPr>
      <w:r w:rsidRPr="00C12449">
        <w:rPr>
          <w:lang w:val="es-ES_tradnl"/>
        </w:rPr>
        <w:t>El Presidente del CADC presentó un documento sobre los cambios realizados por el Comité en la Lista de temas relativos a la aplicación y el desarrollo de la capacidad, en particular los derivados del examen del CADC de los temas propuestos y de la convocatoria para la presentación de temas sobre normas y aplicación en curso</w:t>
      </w:r>
      <w:r w:rsidRPr="00C12449">
        <w:rPr>
          <w:rStyle w:val="Refdenotaalpie"/>
          <w:lang w:val="es-ES_tradnl"/>
        </w:rPr>
        <w:footnoteReference w:id="17"/>
      </w:r>
      <w:r w:rsidRPr="00C12449">
        <w:rPr>
          <w:lang w:val="es-ES_tradnl"/>
        </w:rPr>
        <w:t xml:space="preserve">. </w:t>
      </w:r>
    </w:p>
    <w:p w14:paraId="0891C70C" w14:textId="38BDC856" w:rsidR="001A2904" w:rsidRPr="00C12449" w:rsidRDefault="001A2904" w:rsidP="001A2904">
      <w:pPr>
        <w:pStyle w:val="IPPParagraphnumbering"/>
        <w:rPr>
          <w:lang w:val="es-ES_tradnl"/>
        </w:rPr>
      </w:pPr>
      <w:r w:rsidRPr="00C12449">
        <w:rPr>
          <w:lang w:val="es-ES_tradnl"/>
        </w:rPr>
        <w:t>La CMF tomó nota de que el tema “Cursos de capacitación sobre la raza 4 tropical de Fusarium” (2023</w:t>
      </w:r>
      <w:r w:rsidR="00A3148D" w:rsidRPr="00C12449">
        <w:rPr>
          <w:lang w:val="es-ES_tradnl"/>
        </w:rPr>
        <w:noBreakHyphen/>
      </w:r>
      <w:r w:rsidRPr="00C12449">
        <w:rPr>
          <w:lang w:val="es-ES_tradnl"/>
        </w:rPr>
        <w:t>002) se había suprimido de la lista de temas porque se había finalizado, pero que los propios materiales quedarían a disposición.</w:t>
      </w:r>
    </w:p>
    <w:p w14:paraId="5B8DC657" w14:textId="77777777" w:rsidR="001A2904" w:rsidRPr="00C12449" w:rsidRDefault="001A2904" w:rsidP="001A2904">
      <w:pPr>
        <w:pStyle w:val="IPPParagraphnumberingclose"/>
        <w:rPr>
          <w:lang w:val="es-ES_tradnl"/>
        </w:rPr>
      </w:pPr>
      <w:r w:rsidRPr="00C12449">
        <w:rPr>
          <w:lang w:val="es-ES_tradnl"/>
        </w:rPr>
        <w:t xml:space="preserve">La CMF: </w:t>
      </w:r>
    </w:p>
    <w:p w14:paraId="68FECD2C" w14:textId="77777777" w:rsidR="001A2904" w:rsidRPr="00C12449" w:rsidRDefault="001A2904" w:rsidP="001A2904">
      <w:pPr>
        <w:pStyle w:val="IPPNumberedList"/>
        <w:numPr>
          <w:ilvl w:val="0"/>
          <w:numId w:val="36"/>
        </w:numPr>
        <w:rPr>
          <w:lang w:val="es-ES_tradnl"/>
        </w:rPr>
      </w:pPr>
      <w:r w:rsidRPr="00C12449">
        <w:rPr>
          <w:i/>
          <w:iCs/>
          <w:lang w:val="es-ES_tradnl"/>
        </w:rPr>
        <w:t>tomó nota</w:t>
      </w:r>
      <w:r w:rsidRPr="00C12449">
        <w:rPr>
          <w:lang w:val="es-ES_tradnl"/>
        </w:rPr>
        <w:t xml:space="preserve"> de las actualizaciones de las guías y los materiales de capacitación de la CIPF;</w:t>
      </w:r>
    </w:p>
    <w:p w14:paraId="1211FB76" w14:textId="77777777" w:rsidR="001A2904" w:rsidRPr="00C12449" w:rsidRDefault="001A2904" w:rsidP="001A2904">
      <w:pPr>
        <w:pStyle w:val="IPPNumberedList"/>
        <w:rPr>
          <w:lang w:val="es-ES_tradnl"/>
        </w:rPr>
      </w:pPr>
      <w:r w:rsidRPr="00C12449">
        <w:rPr>
          <w:i/>
          <w:iCs/>
          <w:lang w:val="es-ES_tradnl"/>
        </w:rPr>
        <w:t xml:space="preserve">tomó nota </w:t>
      </w:r>
      <w:r w:rsidRPr="00C12449">
        <w:rPr>
          <w:lang w:val="es-ES_tradnl"/>
        </w:rPr>
        <w:t xml:space="preserve">de los ajustes realizados por el CADC en la Lista de temas relativos a la aplicación y el desarrollo de la capacidad (tal como presentados en el documento CPM 2026/28), y </w:t>
      </w:r>
      <w:r w:rsidRPr="00C12449">
        <w:rPr>
          <w:i/>
          <w:iCs/>
          <w:lang w:val="es-ES_tradnl"/>
        </w:rPr>
        <w:t>se mostró de acuerdo</w:t>
      </w:r>
      <w:r w:rsidRPr="00C12449">
        <w:rPr>
          <w:lang w:val="es-ES_tradnl"/>
        </w:rPr>
        <w:t xml:space="preserve"> con seguir ajustando la prioridad del “Curso de aprendizaje electrónico sobre el paquete de capacitación para la aplicación de la solución ePhyto de la CIPF” (2026-005) para que se convirtiera en prioridad 1;</w:t>
      </w:r>
    </w:p>
    <w:p w14:paraId="56E8959D" w14:textId="77777777" w:rsidR="001A2904" w:rsidRPr="00C12449" w:rsidRDefault="001A2904" w:rsidP="001A2904">
      <w:pPr>
        <w:pStyle w:val="IPPNumberedListLast"/>
        <w:rPr>
          <w:lang w:val="es-ES_tradnl"/>
        </w:rPr>
      </w:pPr>
      <w:r w:rsidRPr="00C12449">
        <w:rPr>
          <w:i/>
          <w:iCs/>
          <w:lang w:val="es-ES_tradnl"/>
        </w:rPr>
        <w:lastRenderedPageBreak/>
        <w:t>aprobó</w:t>
      </w:r>
      <w:r w:rsidRPr="00C12449">
        <w:rPr>
          <w:lang w:val="es-ES_tradnl"/>
        </w:rPr>
        <w:t xml:space="preserve"> la Lista de temas relativos a la aplicación y el desarrollo de la capacidad, con dichas modificaciones.</w:t>
      </w:r>
    </w:p>
    <w:p w14:paraId="02EDE16F" w14:textId="55F41C25" w:rsidR="001A2904" w:rsidRPr="00C12449" w:rsidRDefault="001A2904" w:rsidP="001A2904">
      <w:pPr>
        <w:pStyle w:val="IPPHeading2"/>
        <w:rPr>
          <w:lang w:val="es-ES_tradnl"/>
        </w:rPr>
      </w:pPr>
      <w:r w:rsidRPr="00C12449">
        <w:rPr>
          <w:lang w:val="es-ES_tradnl"/>
        </w:rPr>
        <w:t>9.3</w:t>
      </w:r>
      <w:r w:rsidRPr="00C12449">
        <w:rPr>
          <w:lang w:val="es-ES_tradnl"/>
        </w:rPr>
        <w:tab/>
        <w:t xml:space="preserve">Recomendaciones del Comité de Normas y el Comité de Aplicación y Desarrollo de la Capacidad </w:t>
      </w:r>
      <w:r w:rsidR="00C12449" w:rsidRPr="00C12449">
        <w:rPr>
          <w:lang w:val="es-ES_tradnl"/>
        </w:rPr>
        <w:t>en relación con</w:t>
      </w:r>
      <w:r w:rsidRPr="00C12449">
        <w:rPr>
          <w:lang w:val="es-ES_tradnl"/>
        </w:rPr>
        <w:t xml:space="preserve"> la convocatoria de la CIPF para la presentación de temas sobre normas y aplicación</w:t>
      </w:r>
    </w:p>
    <w:p w14:paraId="7AEE0A08" w14:textId="77777777" w:rsidR="001A2904" w:rsidRPr="00C12449" w:rsidRDefault="001A2904" w:rsidP="001A2904">
      <w:pPr>
        <w:pStyle w:val="IPPParagraphnumbering"/>
        <w:rPr>
          <w:lang w:val="es-ES_tradnl"/>
        </w:rPr>
      </w:pPr>
      <w:r w:rsidRPr="00C12449">
        <w:rPr>
          <w:lang w:val="es-ES_tradnl"/>
        </w:rPr>
        <w:t>El Presidente del CADC presentó un documento, en nombre de la Presidenta del CN y en el suyo propio, acerca de la convocatoria para la presentación de temas sobre normas y aplicación en curso</w:t>
      </w:r>
      <w:r w:rsidRPr="00C12449">
        <w:rPr>
          <w:rStyle w:val="Refdenotaalpie"/>
          <w:lang w:val="es-ES_tradnl"/>
        </w:rPr>
        <w:footnoteReference w:id="18"/>
      </w:r>
      <w:r w:rsidRPr="00C12449">
        <w:rPr>
          <w:lang w:val="es-ES_tradnl"/>
        </w:rPr>
        <w:t>. Resumió el resultado del examen del CN y el CADC relativo a las propuestas recibidas, sobre el que se informa en el marco de los temas 9.1 y 9.2 del programa de la presente reunión. Mencionó asimismo la experiencia del CN y el CADC respecto de la convocatoria abierta.</w:t>
      </w:r>
    </w:p>
    <w:p w14:paraId="1903C348" w14:textId="77777777" w:rsidR="001A2904" w:rsidRPr="00C12449" w:rsidRDefault="001A2904" w:rsidP="001A2904">
      <w:pPr>
        <w:pStyle w:val="IPPParagraphnumberingclose"/>
        <w:rPr>
          <w:lang w:val="es-ES_tradnl"/>
        </w:rPr>
      </w:pPr>
      <w:r w:rsidRPr="00C12449">
        <w:rPr>
          <w:lang w:val="es-ES_tradnl"/>
        </w:rPr>
        <w:t xml:space="preserve">La CMF: </w:t>
      </w:r>
    </w:p>
    <w:p w14:paraId="40675AA0" w14:textId="77777777" w:rsidR="001A2904" w:rsidRPr="00C12449" w:rsidRDefault="001A2904" w:rsidP="001A2904">
      <w:pPr>
        <w:pStyle w:val="IPPNumberedList"/>
        <w:numPr>
          <w:ilvl w:val="0"/>
          <w:numId w:val="37"/>
        </w:numPr>
        <w:rPr>
          <w:lang w:val="es-ES_tradnl"/>
        </w:rPr>
      </w:pPr>
      <w:r w:rsidRPr="00C12449">
        <w:rPr>
          <w:i/>
          <w:iCs/>
          <w:lang w:val="es-ES_tradnl"/>
        </w:rPr>
        <w:t xml:space="preserve">tomó nota </w:t>
      </w:r>
      <w:r w:rsidRPr="00C12449">
        <w:rPr>
          <w:lang w:val="es-ES_tradnl"/>
        </w:rPr>
        <w:t>de</w:t>
      </w:r>
      <w:r w:rsidRPr="00C12449">
        <w:rPr>
          <w:i/>
          <w:iCs/>
          <w:lang w:val="es-ES_tradnl"/>
        </w:rPr>
        <w:t xml:space="preserve"> </w:t>
      </w:r>
      <w:r w:rsidRPr="00C12449">
        <w:rPr>
          <w:lang w:val="es-ES_tradnl"/>
        </w:rPr>
        <w:t>las propuestas recibidas en respuesta a la convocatoria para la presentación de temas sobre normas y aplicación en curso hasta septiembre de 2025 (inclusive);</w:t>
      </w:r>
    </w:p>
    <w:p w14:paraId="580C922D" w14:textId="77777777" w:rsidR="001A2904" w:rsidRPr="00C12449" w:rsidRDefault="001A2904" w:rsidP="001A2904">
      <w:pPr>
        <w:pStyle w:val="IPPNumberedList"/>
        <w:rPr>
          <w:lang w:val="es-ES_tradnl"/>
        </w:rPr>
      </w:pPr>
      <w:r w:rsidRPr="00C12449">
        <w:rPr>
          <w:i/>
          <w:iCs/>
          <w:lang w:val="es-ES_tradnl"/>
        </w:rPr>
        <w:t>tomó nota</w:t>
      </w:r>
      <w:r w:rsidRPr="00C12449">
        <w:rPr>
          <w:i/>
          <w:lang w:val="es-ES_tradnl"/>
        </w:rPr>
        <w:t xml:space="preserve"> </w:t>
      </w:r>
      <w:r w:rsidRPr="00C12449">
        <w:rPr>
          <w:lang w:val="es-ES_tradnl"/>
        </w:rPr>
        <w:t>del resultado del examen del CN y el CADC de los temas propuestos y las decisiones resultantes adoptadas por la CMF en la presente reunión en el marco de los temas 9.1 y 9.2 del programa;</w:t>
      </w:r>
    </w:p>
    <w:p w14:paraId="7550B152" w14:textId="77777777" w:rsidR="001A2904" w:rsidRPr="00C12449" w:rsidRDefault="001A2904" w:rsidP="001A2904">
      <w:pPr>
        <w:pStyle w:val="IPPNumberedListLast"/>
        <w:rPr>
          <w:lang w:val="es-ES_tradnl"/>
        </w:rPr>
      </w:pPr>
      <w:r w:rsidRPr="00C12449">
        <w:rPr>
          <w:i/>
          <w:iCs/>
          <w:lang w:val="es-ES_tradnl"/>
        </w:rPr>
        <w:t>alentó</w:t>
      </w:r>
      <w:r w:rsidRPr="00C12449">
        <w:rPr>
          <w:lang w:val="es-ES_tradnl"/>
        </w:rPr>
        <w:t xml:space="preserve"> a las partes contratantes y a las organizaciones regionales de protección fitosanitaria (ORPF) a que participasen activamente en la convocatoria para la presentación de temas sobre normas y aplicación en curso enviando para ello propuestas adecuadamente preparadas y pertinentes a escala mundial para normas, recursos para la aplicación y estudios del Observatorio de la CIPF.</w:t>
      </w:r>
    </w:p>
    <w:p w14:paraId="45684EE5" w14:textId="77777777" w:rsidR="000E6892" w:rsidRPr="00C12449" w:rsidRDefault="000E6892" w:rsidP="000E6892">
      <w:pPr>
        <w:pStyle w:val="IPPHeading1"/>
        <w:rPr>
          <w:lang w:val="es-ES_tradnl"/>
        </w:rPr>
      </w:pPr>
      <w:r w:rsidRPr="00C12449">
        <w:rPr>
          <w:lang w:val="es-ES_tradnl"/>
        </w:rPr>
        <w:t>10.</w:t>
      </w:r>
      <w:r w:rsidRPr="00C12449">
        <w:rPr>
          <w:lang w:val="es-ES_tradnl"/>
        </w:rPr>
        <w:tab/>
        <w:t>Informe financiero y presupuesto</w:t>
      </w:r>
    </w:p>
    <w:p w14:paraId="4DA78048" w14:textId="77777777" w:rsidR="000E6892" w:rsidRPr="00C12449" w:rsidRDefault="000E6892" w:rsidP="000E6892">
      <w:pPr>
        <w:pStyle w:val="IPPHeading2"/>
        <w:rPr>
          <w:lang w:val="es-ES_tradnl"/>
        </w:rPr>
      </w:pPr>
      <w:r w:rsidRPr="00C12449">
        <w:rPr>
          <w:lang w:val="es-ES_tradnl"/>
        </w:rPr>
        <w:t>10.1</w:t>
      </w:r>
      <w:r w:rsidRPr="00C12449">
        <w:rPr>
          <w:lang w:val="es-ES_tradnl"/>
        </w:rPr>
        <w:tab/>
        <w:t>Informe financiero de la Secretaría de la Convención Internacional de Protección Fitosanitaria correspondiente a 2025</w:t>
      </w:r>
    </w:p>
    <w:p w14:paraId="2DF139E0" w14:textId="77777777" w:rsidR="000E6892" w:rsidRPr="00C12449" w:rsidRDefault="000E6892" w:rsidP="000E6892">
      <w:pPr>
        <w:pStyle w:val="IPPParagraphnumbering"/>
        <w:rPr>
          <w:lang w:val="es-ES_tradnl"/>
        </w:rPr>
      </w:pPr>
      <w:r w:rsidRPr="00C12449">
        <w:rPr>
          <w:lang w:val="es-ES_tradnl"/>
        </w:rPr>
        <w:t>La Secretaría de la CIPF presentó su informe financiero, en el que se detallaban los recursos disponibles en 2025 procedentes del presupuesto del Programa ordinario de la FAO y de fuentes extrapresupuestarias, así como en especie (no financieros)</w:t>
      </w:r>
      <w:r w:rsidRPr="00C12449">
        <w:rPr>
          <w:rStyle w:val="Refdenotaalpie"/>
          <w:lang w:val="es-ES_tradnl"/>
        </w:rPr>
        <w:footnoteReference w:id="19"/>
      </w:r>
      <w:r w:rsidRPr="00C12449">
        <w:rPr>
          <w:lang w:val="es-ES_tradnl"/>
        </w:rPr>
        <w:t xml:space="preserve">. Aclaró que algunas de las contribuciones realizadas en 2025, por ejemplo, para la solución ePhyto de la CIPF, no se limitaban a 2025 o 2026, sino que correspondían a un período más largo. La Secretaría reconoció el aumento de la financiación del Programa ordinario de la FAO para el bienio 2026-27, agradeció a todos su generosidad y alentó a las partes contratantes y a otros donantes a seguir contribuyendo. </w:t>
      </w:r>
    </w:p>
    <w:p w14:paraId="1A46198C" w14:textId="77777777" w:rsidR="000E6892" w:rsidRPr="00C12449" w:rsidRDefault="000E6892" w:rsidP="000E6892">
      <w:pPr>
        <w:pStyle w:val="IPPParagraphnumbering"/>
        <w:rPr>
          <w:lang w:val="es-ES_tradnl"/>
        </w:rPr>
      </w:pPr>
      <w:r w:rsidRPr="00C12449">
        <w:rPr>
          <w:lang w:val="es-ES_tradnl"/>
        </w:rPr>
        <w:t>Las partes contratantes prometieron contribuciones financieras para 2026</w:t>
      </w:r>
      <w:r w:rsidRPr="00C12449">
        <w:rPr>
          <w:rStyle w:val="Refdenotaalpie"/>
          <w:lang w:val="es-ES_tradnl"/>
        </w:rPr>
        <w:footnoteReference w:id="20"/>
      </w:r>
      <w:r w:rsidRPr="00C12449">
        <w:rPr>
          <w:lang w:val="es-ES_tradnl"/>
        </w:rPr>
        <w:t>.</w:t>
      </w:r>
    </w:p>
    <w:p w14:paraId="0E4EDB2A" w14:textId="77777777" w:rsidR="000E6892" w:rsidRPr="00C12449" w:rsidRDefault="000E6892" w:rsidP="000E6892">
      <w:pPr>
        <w:pStyle w:val="IPPParagraphnumbering"/>
        <w:rPr>
          <w:lang w:val="es-ES_tradnl"/>
        </w:rPr>
      </w:pPr>
      <w:r w:rsidRPr="00C12449">
        <w:rPr>
          <w:lang w:val="es-ES_tradnl"/>
        </w:rPr>
        <w:t>La CMF tomó nota de la sugerencia de que la Secretaría siguiera llevando a cabo sus procesos de presentación de informes financieros para garantizar la transparencia en la manera en que se habían asignado los fondos</w:t>
      </w:r>
      <w:r w:rsidRPr="00C12449">
        <w:rPr>
          <w:rStyle w:val="Refdenotaalpie"/>
          <w:lang w:val="es-ES_tradnl"/>
        </w:rPr>
        <w:footnoteReference w:id="21"/>
      </w:r>
      <w:r w:rsidRPr="00C12449">
        <w:rPr>
          <w:lang w:val="es-ES_tradnl"/>
        </w:rPr>
        <w:t>, y de la sugerencia de que se hiciera una petición de donaciones para el Programa fitosanitario africano. También señaló la importancia de mejorar los obstáculos prácticos para la aplicación de la solución ePhyto de la CIPF en los países, como la falta de una conexión estable a Internet.</w:t>
      </w:r>
    </w:p>
    <w:p w14:paraId="023AA2CB" w14:textId="77777777" w:rsidR="000E6892" w:rsidRPr="00C12449" w:rsidRDefault="000E6892" w:rsidP="000E6892">
      <w:pPr>
        <w:pStyle w:val="IPPParagraphnumberingclose"/>
        <w:rPr>
          <w:lang w:val="es-ES_tradnl"/>
        </w:rPr>
      </w:pPr>
      <w:r w:rsidRPr="00C12449">
        <w:rPr>
          <w:lang w:val="es-ES_tradnl"/>
        </w:rPr>
        <w:t xml:space="preserve">La CMF: </w:t>
      </w:r>
    </w:p>
    <w:p w14:paraId="1E83F2A1" w14:textId="77777777" w:rsidR="000E6892" w:rsidRPr="00C12449" w:rsidRDefault="000E6892" w:rsidP="000E6892">
      <w:pPr>
        <w:pStyle w:val="IPPNumberedList"/>
        <w:numPr>
          <w:ilvl w:val="0"/>
          <w:numId w:val="22"/>
        </w:numPr>
        <w:rPr>
          <w:lang w:val="es-ES_tradnl"/>
        </w:rPr>
      </w:pPr>
      <w:r w:rsidRPr="00C12449">
        <w:rPr>
          <w:i/>
          <w:iCs/>
          <w:lang w:val="es-ES_tradnl"/>
        </w:rPr>
        <w:t>tomó nota</w:t>
      </w:r>
      <w:r w:rsidRPr="00C12449">
        <w:rPr>
          <w:lang w:val="es-ES_tradnl"/>
        </w:rPr>
        <w:t xml:space="preserve"> del informe financiero de la Secretaría de la CIPF correspondiente a 2025;</w:t>
      </w:r>
    </w:p>
    <w:p w14:paraId="46FFDCC3" w14:textId="77777777" w:rsidR="000E6892" w:rsidRPr="00C12449" w:rsidRDefault="000E6892" w:rsidP="000E6892">
      <w:pPr>
        <w:pStyle w:val="IPPNumberedList"/>
        <w:rPr>
          <w:lang w:val="es-ES_tradnl"/>
        </w:rPr>
      </w:pPr>
      <w:r w:rsidRPr="00C12449">
        <w:rPr>
          <w:i/>
          <w:iCs/>
          <w:lang w:val="es-ES_tradnl"/>
        </w:rPr>
        <w:lastRenderedPageBreak/>
        <w:t>aprobó</w:t>
      </w:r>
      <w:r w:rsidRPr="00C12449">
        <w:rPr>
          <w:lang w:val="es-ES_tradnl"/>
        </w:rPr>
        <w:t xml:space="preserve"> el informe financiero correspondiente a 2025 del Fondo fiduciario de donantes múltiples de la CIPF (Fondo fiduciario especial de la CIPF) y el Fondo fiduciario de donantes múltiples de la CIPF para ePhyto presentados en el Cuadro 3 y el Cuadro 5 del documento CPM 2026/42, respectivamente;</w:t>
      </w:r>
    </w:p>
    <w:p w14:paraId="60C50040" w14:textId="77777777" w:rsidR="000E6892" w:rsidRPr="00C12449" w:rsidRDefault="000E6892" w:rsidP="000E6892">
      <w:pPr>
        <w:pStyle w:val="IPPNumberedList"/>
        <w:rPr>
          <w:lang w:val="es-ES_tradnl"/>
        </w:rPr>
      </w:pPr>
      <w:r w:rsidRPr="00C12449">
        <w:rPr>
          <w:i/>
          <w:iCs/>
          <w:lang w:val="es-ES_tradnl"/>
        </w:rPr>
        <w:t>alentó</w:t>
      </w:r>
      <w:r w:rsidRPr="00C12449">
        <w:rPr>
          <w:lang w:val="es-ES_tradnl"/>
        </w:rPr>
        <w:t xml:space="preserve"> a las partes contratantes a aportar contribuciones al Fondo fiduciario de donantes múltiples de la CIPF (Fondo fiduciario especial de la CIPF), al Fondo fiduciario de donantes múltiples de ePhyto, al Fondo fiduciario de donantes múltiples de la CIPF para el Programa fitosanitario africano y a los proyectos de la Convención, preferiblemente de forma continua; </w:t>
      </w:r>
    </w:p>
    <w:p w14:paraId="00A7882C" w14:textId="77777777" w:rsidR="000E6892" w:rsidRPr="00C12449" w:rsidRDefault="000E6892" w:rsidP="000E6892">
      <w:pPr>
        <w:pStyle w:val="IPPNumberedListLast"/>
        <w:rPr>
          <w:lang w:val="es-ES_tradnl"/>
        </w:rPr>
      </w:pPr>
      <w:r w:rsidRPr="00C12449">
        <w:rPr>
          <w:i/>
          <w:iCs/>
          <w:lang w:val="es-ES_tradnl"/>
        </w:rPr>
        <w:t>expresó su agradecimiento</w:t>
      </w:r>
      <w:r w:rsidRPr="00C12449">
        <w:rPr>
          <w:lang w:val="es-ES_tradnl"/>
        </w:rPr>
        <w:t xml:space="preserve"> a las partes contratantes que habían contribuido al programa de trabajo de la Secretaría de la CIPF en 2025.</w:t>
      </w:r>
    </w:p>
    <w:p w14:paraId="361FA932" w14:textId="77777777" w:rsidR="000E6892" w:rsidRPr="00C12449" w:rsidRDefault="000E6892" w:rsidP="000E6892">
      <w:pPr>
        <w:pStyle w:val="IPPHeading2"/>
        <w:rPr>
          <w:lang w:val="es-ES_tradnl"/>
        </w:rPr>
      </w:pPr>
      <w:r w:rsidRPr="00C12449">
        <w:rPr>
          <w:lang w:val="es-ES_tradnl"/>
        </w:rPr>
        <w:t>10.2</w:t>
      </w:r>
      <w:r w:rsidRPr="00C12449">
        <w:rPr>
          <w:lang w:val="es-ES_tradnl"/>
        </w:rPr>
        <w:tab/>
        <w:t>Plan de trabajo y presupuesto de la Secretaría de la Convención Internacional de Protección Fitosanitaria para 2026</w:t>
      </w:r>
    </w:p>
    <w:p w14:paraId="77AAB941" w14:textId="77777777" w:rsidR="000E6892" w:rsidRPr="00C12449" w:rsidRDefault="000E6892" w:rsidP="000E6892">
      <w:pPr>
        <w:pStyle w:val="IPPParagraphnumbering"/>
        <w:rPr>
          <w:lang w:val="es-ES_tradnl"/>
        </w:rPr>
      </w:pPr>
      <w:r w:rsidRPr="00C12449">
        <w:rPr>
          <w:lang w:val="es-ES_tradnl"/>
        </w:rPr>
        <w:t>La Secretaría presentó su Plan de trabajo y presupuesto para 2026 y explicó que estos permitían poner en práctica el Marco estratégico de la CIPF para 2020-2030, impulsaban la misión de la Convención y abarcaban todas las partes de la Secretaría</w:t>
      </w:r>
      <w:r w:rsidRPr="00C12449">
        <w:rPr>
          <w:rStyle w:val="Refdenotaalpie"/>
          <w:lang w:val="es-ES_tradnl"/>
        </w:rPr>
        <w:footnoteReference w:id="22"/>
      </w:r>
      <w:r w:rsidRPr="00C12449">
        <w:rPr>
          <w:lang w:val="es-ES_tradnl"/>
        </w:rPr>
        <w:t>.</w:t>
      </w:r>
    </w:p>
    <w:p w14:paraId="6B91F2F7" w14:textId="77777777" w:rsidR="000E6892" w:rsidRPr="00C12449" w:rsidRDefault="000E6892" w:rsidP="000E6892">
      <w:pPr>
        <w:pStyle w:val="IPPParagraphnumbering"/>
        <w:rPr>
          <w:lang w:val="es-ES_tradnl"/>
        </w:rPr>
      </w:pPr>
      <w:r w:rsidRPr="00C12449">
        <w:rPr>
          <w:lang w:val="es-ES_tradnl"/>
        </w:rPr>
        <w:t>La CMF señaló la necesidad de establecer prioridades adecuadas para proteger la financiación de la solución ePhyto de la CIPF y solicitó que se duplicara la financiación destinada a la compra de tabletas para su uso en los países del Programa fitosanitario africano.</w:t>
      </w:r>
    </w:p>
    <w:p w14:paraId="5922CD6A" w14:textId="2505409E" w:rsidR="000E6892" w:rsidRPr="00C12449" w:rsidRDefault="000E6892" w:rsidP="000E6892">
      <w:pPr>
        <w:pStyle w:val="IPPParagraphnumbering"/>
        <w:rPr>
          <w:lang w:val="es-ES_tradnl"/>
        </w:rPr>
      </w:pPr>
      <w:r w:rsidRPr="00C12449">
        <w:rPr>
          <w:lang w:val="es-ES_tradnl"/>
        </w:rPr>
        <w:t>La CMF acogió con agrado los ofrecimientos del Japón y de Grecia para albergar los grupos de trabajo de expertos sobre la “Revisión del proyecto de reorganización de la norma relacionada con el análisis del riesgo de plagas” (2023-037) y sobre la revisión de la NIMF 12 (</w:t>
      </w:r>
      <w:r w:rsidRPr="00C12449">
        <w:rPr>
          <w:i/>
          <w:iCs/>
          <w:lang w:val="es-ES_tradnl"/>
        </w:rPr>
        <w:t>Certificados fitosanitarios</w:t>
      </w:r>
      <w:r w:rsidRPr="00C12449">
        <w:rPr>
          <w:lang w:val="es-ES_tradnl"/>
        </w:rPr>
        <w:t>) (2023</w:t>
      </w:r>
      <w:r w:rsidR="00A3148D" w:rsidRPr="00C12449">
        <w:rPr>
          <w:lang w:val="es-ES_tradnl"/>
        </w:rPr>
        <w:noBreakHyphen/>
      </w:r>
      <w:r w:rsidRPr="00C12449">
        <w:rPr>
          <w:lang w:val="es-ES_tradnl"/>
        </w:rPr>
        <w:t xml:space="preserve">020), respectivamente. </w:t>
      </w:r>
    </w:p>
    <w:p w14:paraId="272F33B3" w14:textId="77777777" w:rsidR="000E6892" w:rsidRPr="00C12449" w:rsidRDefault="000E6892" w:rsidP="000E6892">
      <w:pPr>
        <w:pStyle w:val="IPPParagraphnumbering"/>
        <w:rPr>
          <w:lang w:val="es-ES_tradnl"/>
        </w:rPr>
      </w:pPr>
      <w:r w:rsidRPr="00C12449">
        <w:rPr>
          <w:lang w:val="es-ES_tradnl"/>
        </w:rPr>
        <w:t>La CMF examinó la propuesta de que los grupos de trabajo de expertos se celebrasen en Roma por razones logísticas y de costo.</w:t>
      </w:r>
    </w:p>
    <w:p w14:paraId="58DF2BD9" w14:textId="77777777" w:rsidR="000E6892" w:rsidRPr="00C12449" w:rsidRDefault="000E6892" w:rsidP="000E6892">
      <w:pPr>
        <w:pStyle w:val="IPPParagraphnumberingclose"/>
        <w:rPr>
          <w:lang w:val="es-ES_tradnl"/>
        </w:rPr>
      </w:pPr>
      <w:r w:rsidRPr="00C12449">
        <w:rPr>
          <w:lang w:val="es-ES_tradnl"/>
        </w:rPr>
        <w:t xml:space="preserve">La CMF: </w:t>
      </w:r>
    </w:p>
    <w:p w14:paraId="04A20B29" w14:textId="1012B6E5" w:rsidR="000E6892" w:rsidRPr="00C12449" w:rsidRDefault="000E6892" w:rsidP="000E6892">
      <w:pPr>
        <w:pStyle w:val="IPPNumberedList"/>
        <w:numPr>
          <w:ilvl w:val="0"/>
          <w:numId w:val="26"/>
        </w:numPr>
        <w:rPr>
          <w:lang w:val="es-ES_tradnl"/>
        </w:rPr>
      </w:pPr>
      <w:r w:rsidRPr="00C12449">
        <w:rPr>
          <w:i/>
          <w:iCs/>
          <w:lang w:val="es-ES_tradnl"/>
        </w:rPr>
        <w:t>aprobó</w:t>
      </w:r>
      <w:r w:rsidRPr="00C12449">
        <w:rPr>
          <w:lang w:val="es-ES_tradnl"/>
        </w:rPr>
        <w:t xml:space="preserve"> el Plan de trabajo y presupuesto de la Secretaría de la CIPF para 2026</w:t>
      </w:r>
      <w:r w:rsidR="00A3148D" w:rsidRPr="00C12449">
        <w:rPr>
          <w:lang w:val="es-ES_tradnl"/>
        </w:rPr>
        <w:t>;</w:t>
      </w:r>
      <w:r w:rsidRPr="00C12449">
        <w:rPr>
          <w:lang w:val="es-ES_tradnl"/>
        </w:rPr>
        <w:t xml:space="preserve"> </w:t>
      </w:r>
    </w:p>
    <w:p w14:paraId="5792E9E0" w14:textId="77777777" w:rsidR="000E6892" w:rsidRPr="00C12449" w:rsidRDefault="000E6892" w:rsidP="000E6892">
      <w:pPr>
        <w:pStyle w:val="IPPNumberedList"/>
        <w:numPr>
          <w:ilvl w:val="0"/>
          <w:numId w:val="26"/>
        </w:numPr>
        <w:rPr>
          <w:lang w:val="es-ES_tradnl"/>
        </w:rPr>
      </w:pPr>
      <w:r w:rsidRPr="00C12449">
        <w:rPr>
          <w:i/>
          <w:lang w:val="es-ES_tradnl"/>
        </w:rPr>
        <w:t>solicitó</w:t>
      </w:r>
      <w:r w:rsidRPr="00C12449">
        <w:rPr>
          <w:lang w:val="es-ES_tradnl"/>
        </w:rPr>
        <w:t xml:space="preserve"> que la Secretaría se propusiera organizar cuatro grupos de trabajo de expertos al año para la elaboración de proyectos de NIMF;</w:t>
      </w:r>
    </w:p>
    <w:p w14:paraId="3A23293E" w14:textId="77777777" w:rsidR="000E6892" w:rsidRPr="00C12449" w:rsidRDefault="000E6892" w:rsidP="000E6892">
      <w:pPr>
        <w:pStyle w:val="IPPNumberedList"/>
        <w:numPr>
          <w:ilvl w:val="0"/>
          <w:numId w:val="26"/>
        </w:numPr>
        <w:rPr>
          <w:lang w:val="es-ES_tradnl"/>
        </w:rPr>
      </w:pPr>
      <w:r w:rsidRPr="00C12449">
        <w:rPr>
          <w:i/>
          <w:lang w:val="es-ES_tradnl"/>
        </w:rPr>
        <w:t>invitó</w:t>
      </w:r>
      <w:r w:rsidRPr="00C12449">
        <w:rPr>
          <w:lang w:val="es-ES_tradnl"/>
        </w:rPr>
        <w:t xml:space="preserve"> al CN a seguir estudiando las propuestas recogidas en el documento CPM 2026/INF/36 en relación con este tema del programa, incluida la propuesta de albergar los grupos de trabajo de expertos en Roma. </w:t>
      </w:r>
    </w:p>
    <w:p w14:paraId="3B4D9462" w14:textId="77777777" w:rsidR="00CC42CC" w:rsidRPr="00C12449" w:rsidRDefault="00CC42CC" w:rsidP="00CC42CC">
      <w:pPr>
        <w:pStyle w:val="IPPHeading1"/>
        <w:rPr>
          <w:lang w:val="es-ES_tradnl"/>
        </w:rPr>
      </w:pPr>
      <w:r w:rsidRPr="00C12449">
        <w:rPr>
          <w:lang w:val="es-ES_tradnl"/>
        </w:rPr>
        <w:t>11.</w:t>
      </w:r>
      <w:r w:rsidRPr="00C12449">
        <w:rPr>
          <w:lang w:val="es-ES_tradnl"/>
        </w:rPr>
        <w:tab/>
        <w:t>Aprobación de normas internacionales para medidas fitosanitarias</w:t>
      </w:r>
    </w:p>
    <w:p w14:paraId="2A42370A" w14:textId="77777777" w:rsidR="00CC42CC" w:rsidRPr="00C12449" w:rsidRDefault="00CC42CC" w:rsidP="00CC42CC">
      <w:pPr>
        <w:pStyle w:val="IPPParagraphnumbering"/>
        <w:rPr>
          <w:lang w:val="es-ES_tradnl"/>
        </w:rPr>
      </w:pPr>
      <w:r w:rsidRPr="00C12449">
        <w:rPr>
          <w:lang w:val="es-ES_tradnl"/>
        </w:rPr>
        <w:t>La Secretaría presentó los documentos correspondientes a este tema del programa, en los que se exponían los proyectos de NIMF propuestos por el CN para someterlos a la aprobación de la CMF y las actividades relacionadas con la traducción de las normas aprobadas</w:t>
      </w:r>
      <w:r w:rsidRPr="00C12449">
        <w:rPr>
          <w:rStyle w:val="Refdenotaalpie"/>
          <w:lang w:val="es-ES_tradnl"/>
        </w:rPr>
        <w:footnoteReference w:id="23"/>
      </w:r>
      <w:r w:rsidRPr="00C12449">
        <w:rPr>
          <w:lang w:val="es-ES_tradnl"/>
        </w:rPr>
        <w:t xml:space="preserve">. </w:t>
      </w:r>
    </w:p>
    <w:p w14:paraId="49464064" w14:textId="552FE025" w:rsidR="00CC42CC" w:rsidRPr="00C12449" w:rsidRDefault="00CC42CC" w:rsidP="00CC42CC">
      <w:pPr>
        <w:pStyle w:val="IPPParagraphnumberingclose"/>
        <w:rPr>
          <w:lang w:val="es-ES_tradnl"/>
        </w:rPr>
      </w:pPr>
      <w:r w:rsidRPr="00C12449">
        <w:rPr>
          <w:lang w:val="es-ES_tradnl"/>
        </w:rPr>
        <w:t>La Secretaría informó a la CMF de que se habían recibido dos objeciones dentro del plazo para la presentación de objeciones especificado en el procedimiento de establecimiento de normas (tres</w:t>
      </w:r>
      <w:r w:rsidR="009028F8" w:rsidRPr="00C12449">
        <w:rPr>
          <w:lang w:val="es-ES_tradnl"/>
        </w:rPr>
        <w:t> </w:t>
      </w:r>
      <w:r w:rsidRPr="00C12449">
        <w:rPr>
          <w:lang w:val="es-ES_tradnl"/>
        </w:rPr>
        <w:t>semanas antes de la 20.ª reunión de la CMF)</w:t>
      </w:r>
      <w:r w:rsidRPr="00C12449">
        <w:rPr>
          <w:rStyle w:val="Refdenotaalpie"/>
          <w:lang w:val="es-ES_tradnl"/>
        </w:rPr>
        <w:footnoteReference w:id="24"/>
      </w:r>
      <w:r w:rsidRPr="00C12449">
        <w:rPr>
          <w:lang w:val="es-ES_tradnl"/>
        </w:rPr>
        <w:t>:</w:t>
      </w:r>
    </w:p>
    <w:p w14:paraId="27211A4A" w14:textId="77777777" w:rsidR="00CC42CC" w:rsidRPr="00C12449" w:rsidRDefault="00CC42CC" w:rsidP="00CC42CC">
      <w:pPr>
        <w:pStyle w:val="IPPBullet1"/>
        <w:rPr>
          <w:lang w:val="es-ES_tradnl"/>
        </w:rPr>
      </w:pPr>
      <w:r w:rsidRPr="00C12449">
        <w:rPr>
          <w:lang w:val="es-ES_tradnl"/>
        </w:rPr>
        <w:t>Una de ellas hacía referencia al proyecto de revisión de la NIMF 26 (</w:t>
      </w:r>
      <w:r w:rsidRPr="00C12449">
        <w:rPr>
          <w:i/>
          <w:iCs/>
          <w:lang w:val="es-ES_tradnl"/>
        </w:rPr>
        <w:t>Establecimiento y mantenimiento de áreas libres de plagas para moscas tefrítidas de la fruta)</w:t>
      </w:r>
      <w:r w:rsidRPr="00C12449">
        <w:rPr>
          <w:lang w:val="es-ES_tradnl"/>
        </w:rPr>
        <w:t xml:space="preserve"> (2021-010). Dicha objeción no se oponía a la adopción de la NIMF, sino que sugería mejoras técnicas para el texto y cuestionaba la inclusión de las definiciones de algunos términos. Una parte contratante había </w:t>
      </w:r>
      <w:r w:rsidRPr="00C12449">
        <w:rPr>
          <w:lang w:val="es-ES_tradnl"/>
        </w:rPr>
        <w:lastRenderedPageBreak/>
        <w:t>presentado una respuesta por escrito, en la que proponía las enmiendas al texto que eran necesarias para abordar las preocupaciones manifestadas en la objeción</w:t>
      </w:r>
      <w:r w:rsidRPr="00C12449">
        <w:rPr>
          <w:rStyle w:val="Refdenotaalpie"/>
          <w:lang w:val="es-ES_tradnl"/>
        </w:rPr>
        <w:footnoteReference w:id="25"/>
      </w:r>
      <w:r w:rsidRPr="00C12449">
        <w:rPr>
          <w:lang w:val="es-ES_tradnl"/>
        </w:rPr>
        <w:t>.</w:t>
      </w:r>
    </w:p>
    <w:p w14:paraId="3BFA5A2E" w14:textId="247DF596" w:rsidR="00CC42CC" w:rsidRPr="00C12449" w:rsidRDefault="00CC42CC" w:rsidP="00CC42CC">
      <w:pPr>
        <w:pStyle w:val="IPPBullet1Last"/>
        <w:rPr>
          <w:lang w:val="es-ES_tradnl"/>
        </w:rPr>
      </w:pPr>
      <w:r w:rsidRPr="00C12449">
        <w:rPr>
          <w:lang w:val="es-ES_tradnl"/>
        </w:rPr>
        <w:t>La otra objeción rechazaba la aprobación del proyecto de anexo “Inspección de campo”</w:t>
      </w:r>
      <w:r w:rsidR="00A3148D" w:rsidRPr="00C12449">
        <w:rPr>
          <w:lang w:val="es-ES_tradnl"/>
        </w:rPr>
        <w:t xml:space="preserve"> </w:t>
      </w:r>
      <w:r w:rsidRPr="00C12449">
        <w:rPr>
          <w:lang w:val="es-ES_tradnl"/>
        </w:rPr>
        <w:t>(2021</w:t>
      </w:r>
      <w:r w:rsidR="00A3148D" w:rsidRPr="00C12449">
        <w:rPr>
          <w:lang w:val="es-ES_tradnl"/>
        </w:rPr>
        <w:noBreakHyphen/>
      </w:r>
      <w:r w:rsidRPr="00C12449">
        <w:rPr>
          <w:lang w:val="es-ES_tradnl"/>
        </w:rPr>
        <w:t>018) de la NIMF 23 (</w:t>
      </w:r>
      <w:r w:rsidRPr="00C12449">
        <w:rPr>
          <w:i/>
          <w:iCs/>
          <w:lang w:val="es-ES_tradnl"/>
        </w:rPr>
        <w:t>Directrices para la inspección</w:t>
      </w:r>
      <w:r w:rsidRPr="00C12449">
        <w:rPr>
          <w:lang w:val="es-ES_tradnl"/>
        </w:rPr>
        <w:t xml:space="preserve">) y expresaba preocupación por las fechas y la coherencia entre las normas. Esa comunicación tenía por objeto evitar las incoherencias conceptuales y operativas entre el anexo y el cuerpo de la norma, cuya revisión ya se había previsto en el plan de trabajo de la CIPF. En ella se recomendaba elaborar el anexo como NIMF independiente y se ofrecían dos </w:t>
      </w:r>
      <w:proofErr w:type="gramStart"/>
      <w:r w:rsidRPr="00C12449">
        <w:rPr>
          <w:lang w:val="es-ES_tradnl"/>
        </w:rPr>
        <w:t>opciones alternativas</w:t>
      </w:r>
      <w:proofErr w:type="gramEnd"/>
      <w:r w:rsidRPr="00C12449">
        <w:rPr>
          <w:lang w:val="es-ES_tradnl"/>
        </w:rPr>
        <w:t>. Algunas partes contratantes habían presentado una respuesta por escrito en la que sugerían algunas revisiones mínimas necesarias que permitirían que la CMF aprobara el proyecto de anexo como NIMF independiente y que la NIMF 23 pasara a denominarse “</w:t>
      </w:r>
      <w:r w:rsidRPr="00C12449">
        <w:rPr>
          <w:i/>
          <w:iCs/>
          <w:lang w:val="es-ES_tradnl"/>
        </w:rPr>
        <w:t>Inspección de envíos</w:t>
      </w:r>
      <w:r w:rsidRPr="00C12449">
        <w:rPr>
          <w:lang w:val="es-ES_tradnl"/>
        </w:rPr>
        <w:t>” cuando se procediera a su revisión</w:t>
      </w:r>
      <w:r w:rsidRPr="00C12449">
        <w:rPr>
          <w:rStyle w:val="Refdenotaalpie"/>
          <w:lang w:val="es-ES_tradnl"/>
        </w:rPr>
        <w:footnoteReference w:id="26"/>
      </w:r>
      <w:r w:rsidRPr="00C12449">
        <w:rPr>
          <w:lang w:val="es-ES_tradnl"/>
        </w:rPr>
        <w:t>.</w:t>
      </w:r>
    </w:p>
    <w:p w14:paraId="0E6273A0" w14:textId="77777777" w:rsidR="00CC42CC" w:rsidRPr="00C12449" w:rsidRDefault="00CC42CC" w:rsidP="00CC42CC">
      <w:pPr>
        <w:pStyle w:val="IPPParagraphnumbering"/>
        <w:rPr>
          <w:lang w:val="es-ES_tradnl"/>
        </w:rPr>
      </w:pPr>
      <w:r w:rsidRPr="00C12449">
        <w:rPr>
          <w:lang w:val="es-ES_tradnl"/>
        </w:rPr>
        <w:t>Las partes contratantes que habían presentado la objeción a la NIMF 26 revisada aceptaron las enmiendas propuestas en la respuesta por escrito mencionada anteriormente.</w:t>
      </w:r>
    </w:p>
    <w:p w14:paraId="71FA7D97" w14:textId="77777777" w:rsidR="00CC42CC" w:rsidRPr="00C12449" w:rsidRDefault="00CC42CC" w:rsidP="00CC42CC">
      <w:pPr>
        <w:pStyle w:val="IPPParagraphnumbering"/>
        <w:rPr>
          <w:lang w:val="es-ES_tradnl"/>
        </w:rPr>
      </w:pPr>
      <w:r w:rsidRPr="00C12449">
        <w:rPr>
          <w:lang w:val="es-ES_tradnl"/>
        </w:rPr>
        <w:t>En relación con el anexo a la NIMF 23, el Presidente de la CMF sugirió que las partes contratantes interesadas participaran en una reunión de Amigos del Presidente, que tuvo lugar al margen de la reunión. Ello llevó a que se sometiera a consideración un texto modificado</w:t>
      </w:r>
      <w:r w:rsidRPr="00C12449">
        <w:rPr>
          <w:rStyle w:val="Refdenotaalpie"/>
          <w:lang w:val="es-ES_tradnl"/>
        </w:rPr>
        <w:footnoteReference w:id="27"/>
      </w:r>
      <w:r w:rsidRPr="00C12449">
        <w:rPr>
          <w:lang w:val="es-ES_tradnl"/>
        </w:rPr>
        <w:t>, que luego fue examinado por la CMF. Una parte contratante sugirió que se suprimiera la declaración “el anexo no abarca la realización de pruebas de muestras” de la sección “Ámbito”. Sin embargo, la CMF señaló que esta frase sencillamente aclaraba que los requisitos para la realización de pruebas no estaban incluidos en la norma; no estaba diciendo que la realización de pruebas no fuera importante.</w:t>
      </w:r>
    </w:p>
    <w:p w14:paraId="31B0FA19" w14:textId="77777777" w:rsidR="00CC42CC" w:rsidRPr="00C12449" w:rsidRDefault="00CC42CC" w:rsidP="00CC42CC">
      <w:pPr>
        <w:pStyle w:val="IPPParagraphnumberingclose"/>
        <w:rPr>
          <w:lang w:val="es-ES_tradnl"/>
        </w:rPr>
      </w:pPr>
      <w:r w:rsidRPr="00C12449">
        <w:rPr>
          <w:lang w:val="es-ES_tradnl"/>
        </w:rPr>
        <w:t xml:space="preserve">La CMF: </w:t>
      </w:r>
    </w:p>
    <w:p w14:paraId="6D776ED1" w14:textId="77777777" w:rsidR="00CC42CC" w:rsidRPr="00C12449" w:rsidRDefault="00CC42CC" w:rsidP="00CC42CC">
      <w:pPr>
        <w:pStyle w:val="IPPNumberedList"/>
        <w:numPr>
          <w:ilvl w:val="0"/>
          <w:numId w:val="38"/>
        </w:numPr>
        <w:rPr>
          <w:lang w:val="es-ES_tradnl"/>
        </w:rPr>
      </w:pPr>
      <w:r w:rsidRPr="00C12449">
        <w:rPr>
          <w:i/>
          <w:iCs/>
          <w:lang w:val="es-ES_tradnl"/>
        </w:rPr>
        <w:t>aprobó</w:t>
      </w:r>
      <w:r w:rsidRPr="00C12449">
        <w:rPr>
          <w:lang w:val="es-ES_tradnl"/>
        </w:rPr>
        <w:t xml:space="preserve"> la revisión de la NIMF 26 (</w:t>
      </w:r>
      <w:r w:rsidRPr="00C12449">
        <w:rPr>
          <w:i/>
          <w:iCs/>
          <w:lang w:val="es-ES_tradnl"/>
        </w:rPr>
        <w:t>Establecimiento y mantenimiento de áreas libres de plagas para moscas tefrítidas de la fruta</w:t>
      </w:r>
      <w:r w:rsidRPr="00C12449">
        <w:rPr>
          <w:lang w:val="es-ES_tradnl"/>
        </w:rPr>
        <w:t xml:space="preserve">) (2021-010) tras incorporar las modificaciones presentadas en el Apéndice 1 del documento CPM 2026/INF/32, y </w:t>
      </w:r>
      <w:r w:rsidRPr="00C12449">
        <w:rPr>
          <w:i/>
          <w:iCs/>
          <w:lang w:val="es-ES_tradnl"/>
        </w:rPr>
        <w:t>revocó</w:t>
      </w:r>
      <w:r w:rsidRPr="00C12449">
        <w:rPr>
          <w:lang w:val="es-ES_tradnl"/>
        </w:rPr>
        <w:t xml:space="preserve"> la versión aprobada anteriormente;</w:t>
      </w:r>
    </w:p>
    <w:p w14:paraId="19E32AAF" w14:textId="77777777" w:rsidR="00CC42CC" w:rsidRPr="00C12449" w:rsidRDefault="00CC42CC" w:rsidP="00CC42CC">
      <w:pPr>
        <w:pStyle w:val="IPPNumberedList"/>
        <w:rPr>
          <w:lang w:val="es-ES_tradnl"/>
        </w:rPr>
      </w:pPr>
      <w:r w:rsidRPr="00C12449">
        <w:rPr>
          <w:i/>
          <w:iCs/>
          <w:lang w:val="es-ES_tradnl"/>
        </w:rPr>
        <w:t>aprobó</w:t>
      </w:r>
      <w:r w:rsidRPr="00C12449">
        <w:rPr>
          <w:lang w:val="es-ES_tradnl"/>
        </w:rPr>
        <w:t xml:space="preserve"> la NIMF 48 (</w:t>
      </w:r>
      <w:r w:rsidRPr="00C12449">
        <w:rPr>
          <w:i/>
          <w:iCs/>
          <w:lang w:val="es-ES_tradnl"/>
        </w:rPr>
        <w:t>Inspección de campo</w:t>
      </w:r>
      <w:r w:rsidRPr="00C12449">
        <w:rPr>
          <w:lang w:val="es-ES_tradnl"/>
        </w:rPr>
        <w:t>) (2021-018) tal como figura en el documento CPM 2026/CRP/10;</w:t>
      </w:r>
    </w:p>
    <w:p w14:paraId="3AE93EA3" w14:textId="77777777" w:rsidR="00CC42CC" w:rsidRPr="00C12449" w:rsidRDefault="00CC42CC" w:rsidP="00CC42CC">
      <w:pPr>
        <w:pStyle w:val="IPPNumberedList"/>
        <w:rPr>
          <w:lang w:val="es-ES_tradnl"/>
        </w:rPr>
      </w:pPr>
      <w:r w:rsidRPr="00C12449">
        <w:rPr>
          <w:i/>
          <w:iCs/>
          <w:lang w:val="es-ES_tradnl"/>
        </w:rPr>
        <w:t xml:space="preserve">aprobó el </w:t>
      </w:r>
      <w:r w:rsidRPr="00C12449">
        <w:rPr>
          <w:lang w:val="es-ES_tradnl"/>
        </w:rPr>
        <w:t xml:space="preserve">TF 47 (Tratamiento de irradiación contra </w:t>
      </w:r>
      <w:r w:rsidRPr="00C12449">
        <w:rPr>
          <w:i/>
          <w:iCs/>
          <w:lang w:val="es-ES_tradnl"/>
        </w:rPr>
        <w:t>Planococcus lilacinus</w:t>
      </w:r>
      <w:r w:rsidRPr="00C12449">
        <w:rPr>
          <w:lang w:val="es-ES_tradnl"/>
        </w:rPr>
        <w:t>) (2023-035), que figura en el documento CPM 2026/10_03, como Anexo 47 a la NIMF 28 (</w:t>
      </w:r>
      <w:r w:rsidRPr="00C12449">
        <w:rPr>
          <w:i/>
          <w:iCs/>
          <w:lang w:val="es-ES_tradnl"/>
        </w:rPr>
        <w:t>Tratamientos fitosanitarios para plagas reglamentadas</w:t>
      </w:r>
      <w:r w:rsidRPr="00C12449">
        <w:rPr>
          <w:lang w:val="es-ES_tradnl"/>
        </w:rPr>
        <w:t xml:space="preserve">); </w:t>
      </w:r>
    </w:p>
    <w:p w14:paraId="2114BC7F" w14:textId="77777777" w:rsidR="00CC42CC" w:rsidRPr="00C12449" w:rsidRDefault="00CC42CC" w:rsidP="00CC42CC">
      <w:pPr>
        <w:pStyle w:val="IPPNumberedList"/>
        <w:rPr>
          <w:lang w:val="es-ES_tradnl"/>
        </w:rPr>
      </w:pPr>
      <w:r w:rsidRPr="00C12449">
        <w:rPr>
          <w:i/>
          <w:iCs/>
          <w:lang w:val="es-ES_tradnl"/>
        </w:rPr>
        <w:t xml:space="preserve">aprobó el </w:t>
      </w:r>
      <w:r w:rsidRPr="00C12449">
        <w:rPr>
          <w:lang w:val="es-ES_tradnl"/>
        </w:rPr>
        <w:t xml:space="preserve">TF 48 (Tratamiento de irradiación contra </w:t>
      </w:r>
      <w:r w:rsidRPr="00C12449">
        <w:rPr>
          <w:i/>
          <w:iCs/>
          <w:lang w:val="es-ES_tradnl"/>
        </w:rPr>
        <w:t>Planococcus marginatus</w:t>
      </w:r>
      <w:r w:rsidRPr="00C12449">
        <w:rPr>
          <w:lang w:val="es-ES_tradnl"/>
        </w:rPr>
        <w:t>) (2023-034), que figura en el documento CPM 2026/10_04, como Anexo 48 a la NIMF 28 (</w:t>
      </w:r>
      <w:r w:rsidRPr="00C12449">
        <w:rPr>
          <w:i/>
          <w:iCs/>
          <w:lang w:val="es-ES_tradnl"/>
        </w:rPr>
        <w:t>Tratamientos fitosanitarios para plagas reglamentadas</w:t>
      </w:r>
      <w:r w:rsidRPr="00C12449">
        <w:rPr>
          <w:lang w:val="es-ES_tradnl"/>
        </w:rPr>
        <w:t>);</w:t>
      </w:r>
    </w:p>
    <w:p w14:paraId="33902057" w14:textId="77777777" w:rsidR="00CC42CC" w:rsidRPr="00C12449" w:rsidRDefault="00CC42CC" w:rsidP="00CC42CC">
      <w:pPr>
        <w:pStyle w:val="IPPNumberedList"/>
        <w:rPr>
          <w:lang w:val="es-ES_tradnl"/>
        </w:rPr>
      </w:pPr>
      <w:r w:rsidRPr="00C12449">
        <w:rPr>
          <w:i/>
          <w:iCs/>
          <w:lang w:val="es-ES_tradnl"/>
        </w:rPr>
        <w:t xml:space="preserve">aprobó el </w:t>
      </w:r>
      <w:r w:rsidRPr="00C12449">
        <w:rPr>
          <w:lang w:val="es-ES_tradnl"/>
        </w:rPr>
        <w:t xml:space="preserve">TF 49 (Tratamiento de irradiación contra </w:t>
      </w:r>
      <w:r w:rsidRPr="00C12449">
        <w:rPr>
          <w:i/>
          <w:iCs/>
          <w:lang w:val="es-ES_tradnl"/>
        </w:rPr>
        <w:t>Pseudococcus baliteus</w:t>
      </w:r>
      <w:r w:rsidRPr="00C12449">
        <w:rPr>
          <w:lang w:val="es-ES_tradnl"/>
        </w:rPr>
        <w:t>) (2023-033), que figura en el documento CPM 2026/10_05, como Anexo 49 a la NIMF 28 (</w:t>
      </w:r>
      <w:r w:rsidRPr="00C12449">
        <w:rPr>
          <w:i/>
          <w:iCs/>
          <w:lang w:val="es-ES_tradnl"/>
        </w:rPr>
        <w:t>Tratamientos fitosanitarios para plagas reglamentadas</w:t>
      </w:r>
      <w:r w:rsidRPr="00C12449">
        <w:rPr>
          <w:lang w:val="es-ES_tradnl"/>
        </w:rPr>
        <w:t>);</w:t>
      </w:r>
    </w:p>
    <w:p w14:paraId="3B357908" w14:textId="77777777" w:rsidR="00CC42CC" w:rsidRPr="00C12449" w:rsidRDefault="00CC42CC" w:rsidP="00CC42CC">
      <w:pPr>
        <w:pStyle w:val="IPPNumberedList"/>
        <w:rPr>
          <w:lang w:val="es-ES_tradnl"/>
        </w:rPr>
      </w:pPr>
      <w:r w:rsidRPr="00C12449">
        <w:rPr>
          <w:i/>
          <w:iCs/>
          <w:lang w:val="es-ES_tradnl"/>
        </w:rPr>
        <w:t xml:space="preserve">tomó nota </w:t>
      </w:r>
      <w:r w:rsidRPr="00C12449">
        <w:rPr>
          <w:lang w:val="es-ES_tradnl"/>
        </w:rPr>
        <w:t>de la aprobación en 2025 por el CN, en nombre de la CMF, de los dos PD siguientes (anexos a la NIMF 27 [</w:t>
      </w:r>
      <w:r w:rsidRPr="00C12449">
        <w:rPr>
          <w:i/>
          <w:iCs/>
          <w:lang w:val="es-ES_tradnl"/>
        </w:rPr>
        <w:t>Protocolos de diagnóstico para las plagas reglamentadas</w:t>
      </w:r>
      <w:r w:rsidRPr="00C12449">
        <w:rPr>
          <w:lang w:val="es-ES_tradnl"/>
        </w:rPr>
        <w:t>]):</w:t>
      </w:r>
    </w:p>
    <w:p w14:paraId="0D70F011" w14:textId="0A091323" w:rsidR="00CC42CC" w:rsidRPr="00C12449" w:rsidRDefault="00CC42CC" w:rsidP="00CC42CC">
      <w:pPr>
        <w:pStyle w:val="IPPBullet2"/>
        <w:rPr>
          <w:lang w:val="es-ES_tradnl"/>
        </w:rPr>
      </w:pPr>
      <w:r w:rsidRPr="00C12449">
        <w:rPr>
          <w:lang w:val="es-ES_tradnl"/>
        </w:rPr>
        <w:t>PD 35 (</w:t>
      </w:r>
      <w:r w:rsidRPr="00C12449">
        <w:rPr>
          <w:i/>
          <w:lang w:val="es-ES_tradnl"/>
        </w:rPr>
        <w:t>Meloidogyne mali</w:t>
      </w:r>
      <w:r w:rsidRPr="00C12449">
        <w:rPr>
          <w:lang w:val="es-ES_tradnl"/>
        </w:rPr>
        <w:t>) (2018-019)</w:t>
      </w:r>
      <w:r w:rsidR="00D6586B" w:rsidRPr="00C12449">
        <w:rPr>
          <w:lang w:val="es-ES_tradnl"/>
        </w:rPr>
        <w:t>,</w:t>
      </w:r>
    </w:p>
    <w:p w14:paraId="40B66C94" w14:textId="77777777" w:rsidR="00CC42CC" w:rsidRPr="00C12449" w:rsidRDefault="00CC42CC" w:rsidP="00CC42CC">
      <w:pPr>
        <w:pStyle w:val="IPPBullet2"/>
        <w:rPr>
          <w:lang w:val="es-ES_tradnl"/>
        </w:rPr>
      </w:pPr>
      <w:r w:rsidRPr="00C12449">
        <w:rPr>
          <w:lang w:val="es-ES_tradnl"/>
        </w:rPr>
        <w:t xml:space="preserve">PD 36 (género </w:t>
      </w:r>
      <w:r w:rsidRPr="00C12449">
        <w:rPr>
          <w:i/>
          <w:lang w:val="es-ES_tradnl"/>
        </w:rPr>
        <w:t>Pospiviroid</w:t>
      </w:r>
      <w:r w:rsidRPr="00C12449">
        <w:rPr>
          <w:lang w:val="es-ES_tradnl"/>
        </w:rPr>
        <w:t>) (2018-031);</w:t>
      </w:r>
    </w:p>
    <w:p w14:paraId="317050A5" w14:textId="77777777" w:rsidR="00CC42CC" w:rsidRPr="00C12449" w:rsidRDefault="00CC42CC" w:rsidP="00CC42CC">
      <w:pPr>
        <w:pStyle w:val="IPPNumberedList"/>
        <w:rPr>
          <w:lang w:val="es-ES_tradnl"/>
        </w:rPr>
      </w:pPr>
      <w:r w:rsidRPr="00C12449">
        <w:rPr>
          <w:i/>
          <w:iCs/>
          <w:lang w:val="es-ES_tradnl"/>
        </w:rPr>
        <w:t xml:space="preserve">agradeció </w:t>
      </w:r>
      <w:r w:rsidRPr="00C12449">
        <w:rPr>
          <w:lang w:val="es-ES_tradnl"/>
        </w:rPr>
        <w:t>a los expertos de los grupos encargados de la redacción de las normas aprobadas y a sus partes contratantes u organizaciones internacionales (Apéndice X) por su contribución activa a la elaboración de estas normas;</w:t>
      </w:r>
    </w:p>
    <w:p w14:paraId="3CD28C7A" w14:textId="77777777" w:rsidR="00CC42CC" w:rsidRPr="00C12449" w:rsidRDefault="00CC42CC" w:rsidP="00CC42CC">
      <w:pPr>
        <w:pStyle w:val="IPPNumberedList"/>
        <w:rPr>
          <w:lang w:val="es-ES_tradnl"/>
        </w:rPr>
      </w:pPr>
      <w:r w:rsidRPr="00C12449">
        <w:rPr>
          <w:i/>
          <w:iCs/>
          <w:lang w:val="es-ES_tradnl"/>
        </w:rPr>
        <w:t>tomó nota</w:t>
      </w:r>
      <w:r w:rsidRPr="00C12449">
        <w:rPr>
          <w:lang w:val="es-ES_tradnl"/>
        </w:rPr>
        <w:t xml:space="preserve"> de que las NIMF siguientes (incluidos los anexos) y una recomendación de la CMF habían sido examinadas por los grupos de revisión del árabe, el chino y el español y por los </w:t>
      </w:r>
      <w:r w:rsidRPr="00C12449">
        <w:rPr>
          <w:lang w:val="es-ES_tradnl"/>
        </w:rPr>
        <w:lastRenderedPageBreak/>
        <w:t>servicios de traducción de la FAO, y de que la Secretaría había incorporado las correspondientes modificaciones y sustituido en el PFI las versiones aprobadas anteriormente:</w:t>
      </w:r>
    </w:p>
    <w:p w14:paraId="7464098C" w14:textId="77777777" w:rsidR="00CC42CC" w:rsidRPr="00C12449" w:rsidRDefault="00CC42CC" w:rsidP="00CC42CC">
      <w:pPr>
        <w:pStyle w:val="IPPBullet2"/>
        <w:rPr>
          <w:lang w:val="es-ES_tradnl"/>
        </w:rPr>
      </w:pPr>
      <w:r w:rsidRPr="00C12449">
        <w:rPr>
          <w:lang w:val="es-ES_tradnl"/>
        </w:rPr>
        <w:t>NIMF 4 (</w:t>
      </w:r>
      <w:r w:rsidRPr="00C12449">
        <w:rPr>
          <w:i/>
          <w:iCs/>
          <w:lang w:val="es-ES_tradnl"/>
        </w:rPr>
        <w:t>Requisitos para el establecimiento de áreas libres de plagas</w:t>
      </w:r>
      <w:r w:rsidRPr="00C12449">
        <w:rPr>
          <w:lang w:val="es-ES_tradnl"/>
        </w:rPr>
        <w:t>),</w:t>
      </w:r>
    </w:p>
    <w:p w14:paraId="3CCF28E9" w14:textId="77777777" w:rsidR="00CC42CC" w:rsidRPr="00C12449" w:rsidRDefault="00CC42CC" w:rsidP="00CC42CC">
      <w:pPr>
        <w:pStyle w:val="IPPBullet2"/>
        <w:rPr>
          <w:lang w:val="es-ES_tradnl"/>
        </w:rPr>
      </w:pPr>
      <w:r w:rsidRPr="00C12449">
        <w:rPr>
          <w:lang w:val="es-ES_tradnl"/>
        </w:rPr>
        <w:t xml:space="preserve">enmiendas de 2022 a la NIMF 5, </w:t>
      </w:r>
    </w:p>
    <w:p w14:paraId="72613F98" w14:textId="77777777" w:rsidR="00CC42CC" w:rsidRPr="00C12449" w:rsidRDefault="00CC42CC" w:rsidP="00CC42CC">
      <w:pPr>
        <w:pStyle w:val="IPPBullet2"/>
        <w:rPr>
          <w:lang w:val="es-ES_tradnl"/>
        </w:rPr>
      </w:pPr>
      <w:r w:rsidRPr="00C12449">
        <w:rPr>
          <w:lang w:val="es-ES_tradnl"/>
        </w:rPr>
        <w:t>Anexo 1 (Criterios de evaluación de la información disponible para determinar la condición de una fruta como hospedante de moscas de la fruta [Tephritidae]) a la NIMF 37 (</w:t>
      </w:r>
      <w:r w:rsidRPr="00C12449">
        <w:rPr>
          <w:i/>
          <w:iCs/>
          <w:lang w:val="es-ES_tradnl"/>
        </w:rPr>
        <w:t xml:space="preserve">Determinación de la condición de una fruta como hospedante de moscas de la fruta </w:t>
      </w:r>
      <w:r w:rsidRPr="00C12449">
        <w:rPr>
          <w:lang w:val="es-ES_tradnl"/>
        </w:rPr>
        <w:t>[Tephritidae]),</w:t>
      </w:r>
    </w:p>
    <w:p w14:paraId="17D198F7" w14:textId="77777777" w:rsidR="00CC42CC" w:rsidRPr="00C12449" w:rsidRDefault="00CC42CC" w:rsidP="00CC42CC">
      <w:pPr>
        <w:pStyle w:val="IPPBullet2"/>
        <w:rPr>
          <w:lang w:val="es-ES_tradnl"/>
        </w:rPr>
      </w:pPr>
      <w:r w:rsidRPr="00C12449">
        <w:rPr>
          <w:lang w:val="es-ES_tradnl"/>
        </w:rPr>
        <w:t>Anexo 1 (Utilización de enfoques de sistemas para manejar el riesgo de plagas asociado al movimiento de madera) a la NIMF 39 (</w:t>
      </w:r>
      <w:r w:rsidRPr="00C12449">
        <w:rPr>
          <w:i/>
          <w:iCs/>
          <w:lang w:val="es-ES_tradnl"/>
        </w:rPr>
        <w:t>Movimiento internacional de madera</w:t>
      </w:r>
      <w:r w:rsidRPr="00C12449">
        <w:rPr>
          <w:lang w:val="es-ES_tradnl"/>
        </w:rPr>
        <w:t>),</w:t>
      </w:r>
    </w:p>
    <w:p w14:paraId="5EE60130" w14:textId="77777777" w:rsidR="00CC42CC" w:rsidRPr="00C12449" w:rsidRDefault="00CC42CC" w:rsidP="00CC42CC">
      <w:pPr>
        <w:pStyle w:val="IPPBullet2"/>
        <w:rPr>
          <w:lang w:val="es-ES_tradnl"/>
        </w:rPr>
      </w:pPr>
      <w:r w:rsidRPr="00C12449">
        <w:rPr>
          <w:lang w:val="es-ES_tradnl"/>
        </w:rPr>
        <w:t>Anexo a la NIMF 28 (</w:t>
      </w:r>
      <w:r w:rsidRPr="00C12449">
        <w:rPr>
          <w:i/>
          <w:iCs/>
          <w:lang w:val="es-ES_tradnl"/>
        </w:rPr>
        <w:t>Tratamientos fitosanitarios para plagas reglamentadas</w:t>
      </w:r>
      <w:r w:rsidRPr="00C12449">
        <w:rPr>
          <w:lang w:val="es-ES_tradnl"/>
        </w:rPr>
        <w:t xml:space="preserve">): TF 46 (Tratamiento con frío contra </w:t>
      </w:r>
      <w:r w:rsidRPr="00C12449">
        <w:rPr>
          <w:i/>
          <w:iCs/>
          <w:lang w:val="es-ES_tradnl"/>
        </w:rPr>
        <w:t>Thaumatotibia leucotreta</w:t>
      </w:r>
      <w:r w:rsidRPr="00C12449">
        <w:rPr>
          <w:lang w:val="es-ES_tradnl"/>
        </w:rPr>
        <w:t xml:space="preserve"> en </w:t>
      </w:r>
      <w:r w:rsidRPr="00C12449">
        <w:rPr>
          <w:i/>
          <w:iCs/>
          <w:lang w:val="es-ES_tradnl"/>
        </w:rPr>
        <w:t>Citrus sinensis</w:t>
      </w:r>
      <w:r w:rsidRPr="00C12449">
        <w:rPr>
          <w:lang w:val="es-ES_tradnl"/>
        </w:rPr>
        <w:t>),</w:t>
      </w:r>
    </w:p>
    <w:p w14:paraId="38C876E3" w14:textId="77777777" w:rsidR="00CC42CC" w:rsidRPr="00C12449" w:rsidRDefault="00CC42CC" w:rsidP="00CC42CC">
      <w:pPr>
        <w:pStyle w:val="IPPBullet2"/>
        <w:rPr>
          <w:lang w:val="es-ES_tradnl"/>
        </w:rPr>
      </w:pPr>
      <w:r w:rsidRPr="00C12449">
        <w:rPr>
          <w:lang w:val="es-ES_tradnl"/>
        </w:rPr>
        <w:t>Anexo a la NIMF 46 (</w:t>
      </w:r>
      <w:r w:rsidRPr="00C12449">
        <w:rPr>
          <w:i/>
          <w:iCs/>
          <w:lang w:val="es-ES_tradnl"/>
        </w:rPr>
        <w:t>Normas para medidas fitosanitarias específicas para productos</w:t>
      </w:r>
      <w:r w:rsidRPr="00C12449">
        <w:rPr>
          <w:lang w:val="es-ES_tradnl"/>
        </w:rPr>
        <w:t>): norma para productos 1 (Movimiento internacional del fruto fresco de</w:t>
      </w:r>
      <w:r w:rsidRPr="00C12449">
        <w:rPr>
          <w:i/>
          <w:iCs/>
          <w:lang w:val="es-ES_tradnl"/>
        </w:rPr>
        <w:t xml:space="preserve"> Mangifera indica</w:t>
      </w:r>
      <w:r w:rsidRPr="00C12449">
        <w:rPr>
          <w:lang w:val="es-ES_tradnl"/>
        </w:rPr>
        <w:t>),</w:t>
      </w:r>
    </w:p>
    <w:p w14:paraId="7D85C43E" w14:textId="77777777" w:rsidR="00CC42CC" w:rsidRPr="00C12449" w:rsidRDefault="00CC42CC" w:rsidP="00CC42CC">
      <w:pPr>
        <w:pStyle w:val="IPPBullet2"/>
        <w:rPr>
          <w:lang w:val="es-ES_tradnl"/>
        </w:rPr>
      </w:pPr>
      <w:r w:rsidRPr="00C12449">
        <w:rPr>
          <w:lang w:val="es-ES_tradnl"/>
        </w:rPr>
        <w:t>recomendación de la CMF sobre “Reducir al mínimo el riesgo de plagas asociado a la vía de los contenedores marítimos” (R-06);</w:t>
      </w:r>
    </w:p>
    <w:p w14:paraId="0FC6804D" w14:textId="77777777" w:rsidR="00CC42CC" w:rsidRPr="00C12449" w:rsidRDefault="00CC42CC" w:rsidP="00CC42CC">
      <w:pPr>
        <w:pStyle w:val="IPPNumberedListLast"/>
        <w:rPr>
          <w:lang w:val="es-ES_tradnl"/>
        </w:rPr>
      </w:pPr>
      <w:r w:rsidRPr="00C12449">
        <w:rPr>
          <w:i/>
          <w:iCs/>
          <w:lang w:val="es-ES_tradnl"/>
        </w:rPr>
        <w:t>agradeció</w:t>
      </w:r>
      <w:r w:rsidRPr="00C12449">
        <w:rPr>
          <w:lang w:val="es-ES_tradnl"/>
        </w:rPr>
        <w:t xml:space="preserve"> a las partes contratantes y las ORPF que participan en los grupos de revisión lingüística, así como a los servicios de traducción de la FAO, sus esfuerzos y su duro trabajo con miras a mejorar las versiones en los distintos idiomas de las NIMF (incluidos los anexos) y las recomendaciones de la CMF.</w:t>
      </w:r>
    </w:p>
    <w:p w14:paraId="6B3A812C" w14:textId="77777777" w:rsidR="00B44466" w:rsidRPr="00C12449" w:rsidRDefault="00B44466" w:rsidP="00B44466">
      <w:pPr>
        <w:pStyle w:val="IPPHeading2"/>
        <w:rPr>
          <w:lang w:val="es-ES_tradnl"/>
        </w:rPr>
      </w:pPr>
      <w:r w:rsidRPr="00C12449">
        <w:rPr>
          <w:lang w:val="es-ES_tradnl"/>
        </w:rPr>
        <w:t>11.1</w:t>
      </w:r>
      <w:r w:rsidRPr="00C12449">
        <w:rPr>
          <w:lang w:val="es-ES_tradnl"/>
        </w:rPr>
        <w:tab/>
        <w:t>Enmiendas a tinta a normas internacionales para medidas fitosanitarias aprobadas</w:t>
      </w:r>
    </w:p>
    <w:p w14:paraId="3E7A57BE" w14:textId="77777777" w:rsidR="00B44466" w:rsidRPr="00C12449" w:rsidRDefault="00B44466" w:rsidP="00B44466">
      <w:pPr>
        <w:pStyle w:val="IPPParagraphnumbering"/>
        <w:rPr>
          <w:lang w:val="es-ES_tradnl"/>
        </w:rPr>
      </w:pPr>
      <w:r w:rsidRPr="00C12449">
        <w:rPr>
          <w:lang w:val="es-ES_tradnl"/>
        </w:rPr>
        <w:t>La Secretaría presentó un documento sobre las propuestas de enmiendas a tinta de las NIMF aprobadas, resultantes de los exámenes de la coherencia</w:t>
      </w:r>
      <w:r w:rsidRPr="00C12449">
        <w:rPr>
          <w:rStyle w:val="Refdenotaalpie"/>
          <w:lang w:val="es-ES_tradnl"/>
        </w:rPr>
        <w:footnoteReference w:id="28"/>
      </w:r>
      <w:r w:rsidRPr="00C12449">
        <w:rPr>
          <w:lang w:val="es-ES_tradnl"/>
        </w:rPr>
        <w:t>.</w:t>
      </w:r>
    </w:p>
    <w:p w14:paraId="7684D715" w14:textId="77777777" w:rsidR="00B44466" w:rsidRPr="00C12449" w:rsidRDefault="00B44466" w:rsidP="00B44466">
      <w:pPr>
        <w:pStyle w:val="IPPParagraphnumberingclose"/>
        <w:rPr>
          <w:lang w:val="es-ES_tradnl"/>
        </w:rPr>
      </w:pPr>
      <w:r w:rsidRPr="00C12449">
        <w:rPr>
          <w:lang w:val="es-ES_tradnl"/>
        </w:rPr>
        <w:t>La CMF:</w:t>
      </w:r>
    </w:p>
    <w:p w14:paraId="613C3045" w14:textId="77777777" w:rsidR="00B44466" w:rsidRPr="00C12449" w:rsidRDefault="00B44466" w:rsidP="00B44466">
      <w:pPr>
        <w:pStyle w:val="IPPNumberedList"/>
        <w:numPr>
          <w:ilvl w:val="0"/>
          <w:numId w:val="42"/>
        </w:numPr>
        <w:rPr>
          <w:lang w:val="es-ES_tradnl"/>
        </w:rPr>
      </w:pPr>
      <w:r w:rsidRPr="00C12449">
        <w:rPr>
          <w:i/>
          <w:iCs/>
          <w:lang w:val="es-ES_tradnl"/>
        </w:rPr>
        <w:t xml:space="preserve">tomó nota </w:t>
      </w:r>
      <w:r w:rsidRPr="00C12449">
        <w:rPr>
          <w:lang w:val="es-ES_tradnl"/>
        </w:rPr>
        <w:t>de la supresión del término “organización de protección fitosanitaria (nacional)” de la NIMF 5 como enmienda a tinta, ya que este término es simplemente una referencia cruzada al término “organización nacional de protección fitosanitaria” (Documento adjunto 01 del documento CPM 2026/28, en inglés);</w:t>
      </w:r>
    </w:p>
    <w:p w14:paraId="5D14B9C8" w14:textId="77777777" w:rsidR="00B44466" w:rsidRPr="00C12449" w:rsidRDefault="00B44466" w:rsidP="00B44466">
      <w:pPr>
        <w:pStyle w:val="IPPNumberedList"/>
        <w:rPr>
          <w:lang w:val="es-ES_tradnl"/>
        </w:rPr>
      </w:pPr>
      <w:r w:rsidRPr="00C12449">
        <w:rPr>
          <w:i/>
          <w:iCs/>
          <w:lang w:val="es-ES_tradnl"/>
        </w:rPr>
        <w:t>tomó nota</w:t>
      </w:r>
      <w:r w:rsidRPr="00C12449">
        <w:rPr>
          <w:lang w:val="es-ES_tradnl"/>
        </w:rPr>
        <w:t xml:space="preserve"> de las enmiendas a tinta a la versión española de la NIMF 15 (</w:t>
      </w:r>
      <w:r w:rsidRPr="00C12449">
        <w:rPr>
          <w:i/>
          <w:iCs/>
          <w:lang w:val="es-ES_tradnl"/>
        </w:rPr>
        <w:t>Reglamentación del embalaje de madera utilizado en el comercio internacional</w:t>
      </w:r>
      <w:r w:rsidRPr="00C12449">
        <w:rPr>
          <w:lang w:val="es-ES_tradnl"/>
        </w:rPr>
        <w:t>) en aras de la coherencia en la traducción de la palabra inglesa “remanufactured” y del término de la NIMF 5 “point of entry” (Documento adjunto 02 del documento CPM 2026/28, en inglés);</w:t>
      </w:r>
    </w:p>
    <w:p w14:paraId="7F280B03" w14:textId="77777777" w:rsidR="00B44466" w:rsidRPr="00C12449" w:rsidRDefault="00B44466" w:rsidP="00B44466">
      <w:pPr>
        <w:pStyle w:val="IPPNumberedList"/>
        <w:rPr>
          <w:lang w:val="es-ES_tradnl"/>
        </w:rPr>
      </w:pPr>
      <w:r w:rsidRPr="00C12449">
        <w:rPr>
          <w:i/>
          <w:iCs/>
          <w:lang w:val="es-ES_tradnl"/>
        </w:rPr>
        <w:t>tomó nota</w:t>
      </w:r>
      <w:r w:rsidRPr="00C12449">
        <w:rPr>
          <w:lang w:val="es-ES_tradnl"/>
        </w:rPr>
        <w:t xml:space="preserve"> de que las enmiendas a tinta se introducirían en las versiones de las normas pertinentes en todos los idiomas de la FAO en función de la disponibilidad de recursos;</w:t>
      </w:r>
    </w:p>
    <w:p w14:paraId="3E3B7EBB" w14:textId="77777777" w:rsidR="00B44466" w:rsidRPr="00C12449" w:rsidRDefault="00B44466" w:rsidP="00B44466">
      <w:pPr>
        <w:pStyle w:val="IPPNumberedListLast"/>
        <w:rPr>
          <w:lang w:val="es-ES_tradnl"/>
        </w:rPr>
      </w:pPr>
      <w:r w:rsidRPr="00C12449">
        <w:rPr>
          <w:i/>
          <w:iCs/>
          <w:lang w:val="es-ES_tradnl"/>
        </w:rPr>
        <w:t xml:space="preserve">tomó nota </w:t>
      </w:r>
      <w:r w:rsidRPr="00C12449">
        <w:rPr>
          <w:lang w:val="es-ES_tradnl"/>
        </w:rPr>
        <w:t>de que, una vez que la Secretaría hubiera introducido las enmiendas a tinta, las versiones anteriores de las normas se sustituirían por las nuevas versiones resultantes.</w:t>
      </w:r>
    </w:p>
    <w:p w14:paraId="06679061" w14:textId="5B987055" w:rsidR="001A2904" w:rsidRPr="00C12449" w:rsidRDefault="001A2904" w:rsidP="001A2904">
      <w:pPr>
        <w:pStyle w:val="IPPHeading1"/>
        <w:rPr>
          <w:lang w:val="es-ES_tradnl"/>
        </w:rPr>
      </w:pPr>
      <w:r w:rsidRPr="00C12449">
        <w:rPr>
          <w:lang w:val="es-ES_tradnl"/>
        </w:rPr>
        <w:t>12.</w:t>
      </w:r>
      <w:r w:rsidRPr="00C12449">
        <w:rPr>
          <w:lang w:val="es-ES_tradnl"/>
        </w:rPr>
        <w:tab/>
        <w:t>Recomendaciones de la Comisión de Medidas Fitosanitarias</w:t>
      </w:r>
    </w:p>
    <w:p w14:paraId="4E1A93E8" w14:textId="77777777" w:rsidR="001A2904" w:rsidRPr="00C12449" w:rsidRDefault="001A2904" w:rsidP="001A2904">
      <w:pPr>
        <w:pStyle w:val="IPPParagraphnumbering"/>
        <w:rPr>
          <w:lang w:val="es-ES_tradnl"/>
        </w:rPr>
      </w:pPr>
      <w:r w:rsidRPr="00C12449">
        <w:rPr>
          <w:lang w:val="es-ES_tradnl"/>
        </w:rPr>
        <w:t>El Presidente de la Comisión hizo referencia al documento correspondiente a este tema del programa, en el que se exponían los antecedentes de la formulación de recomendaciones de la CMF</w:t>
      </w:r>
      <w:r w:rsidRPr="00C12449">
        <w:rPr>
          <w:rStyle w:val="Refdenotaalpie"/>
          <w:lang w:val="es-ES_tradnl"/>
        </w:rPr>
        <w:footnoteReference w:id="29"/>
      </w:r>
      <w:r w:rsidRPr="00C12449">
        <w:rPr>
          <w:lang w:val="es-ES_tradnl"/>
        </w:rPr>
        <w:t>.</w:t>
      </w:r>
    </w:p>
    <w:p w14:paraId="6CA90DBC" w14:textId="77777777" w:rsidR="001A2904" w:rsidRPr="00C12449" w:rsidRDefault="001A2904" w:rsidP="001A2904">
      <w:pPr>
        <w:pStyle w:val="IPPParagraphnumberingclose"/>
        <w:rPr>
          <w:lang w:val="es-ES_tradnl"/>
        </w:rPr>
      </w:pPr>
      <w:r w:rsidRPr="00C12449">
        <w:rPr>
          <w:lang w:val="es-ES_tradnl"/>
        </w:rPr>
        <w:t xml:space="preserve">La CMF: </w:t>
      </w:r>
    </w:p>
    <w:p w14:paraId="2C80D910" w14:textId="77777777" w:rsidR="001A2904" w:rsidRPr="00C12449" w:rsidRDefault="001A2904" w:rsidP="001A2904">
      <w:pPr>
        <w:pStyle w:val="IPPNumberedList"/>
        <w:numPr>
          <w:ilvl w:val="0"/>
          <w:numId w:val="41"/>
        </w:numPr>
        <w:rPr>
          <w:lang w:val="es-ES_tradnl"/>
        </w:rPr>
      </w:pPr>
      <w:r w:rsidRPr="00C12449">
        <w:rPr>
          <w:i/>
          <w:lang w:val="es-ES_tradnl"/>
        </w:rPr>
        <w:t>observó</w:t>
      </w:r>
      <w:r w:rsidRPr="00C12449">
        <w:rPr>
          <w:lang w:val="es-ES_tradnl"/>
        </w:rPr>
        <w:t xml:space="preserve"> que no se habían presentado a la Secretaría propuestas de recomendaciones de la CMF desde la 19.ª reunión (2025) de la Comisión;</w:t>
      </w:r>
    </w:p>
    <w:p w14:paraId="661406B6" w14:textId="77777777" w:rsidR="001A2904" w:rsidRPr="00C12449" w:rsidRDefault="001A2904" w:rsidP="001A2904">
      <w:pPr>
        <w:pStyle w:val="IPPNumberedListLast"/>
        <w:rPr>
          <w:lang w:val="es-ES_tradnl"/>
        </w:rPr>
      </w:pPr>
      <w:r w:rsidRPr="00C12449">
        <w:rPr>
          <w:i/>
          <w:lang w:val="es-ES_tradnl"/>
        </w:rPr>
        <w:lastRenderedPageBreak/>
        <w:t xml:space="preserve">alentó </w:t>
      </w:r>
      <w:r w:rsidRPr="00C12449">
        <w:rPr>
          <w:lang w:val="es-ES_tradnl"/>
        </w:rPr>
        <w:t>a las partes contratantes, las ORPF, los grupos de debate de la CMF, otros órganos auxiliares y la Secretaría a que considerasen la posibilidad de formular nuevas propuestas de recomendaciones de la CMF a la Secretaría para su presentación a la Comisión.</w:t>
      </w:r>
    </w:p>
    <w:p w14:paraId="1EFC0E9C" w14:textId="77777777" w:rsidR="00B44466" w:rsidRPr="00C12449" w:rsidRDefault="00B44466" w:rsidP="00B44466">
      <w:pPr>
        <w:pStyle w:val="IPPHeading2"/>
        <w:rPr>
          <w:lang w:val="es-ES_tradnl"/>
        </w:rPr>
      </w:pPr>
      <w:r w:rsidRPr="00C12449">
        <w:rPr>
          <w:lang w:val="es-ES_tradnl"/>
        </w:rPr>
        <w:t>13.2</w:t>
      </w:r>
      <w:r w:rsidRPr="00C12449">
        <w:rPr>
          <w:lang w:val="es-ES_tradnl"/>
        </w:rPr>
        <w:tab/>
        <w:t>Normas internacionales para medidas fitosanitarias específicas para productos y vías</w:t>
      </w:r>
    </w:p>
    <w:p w14:paraId="46C933BD" w14:textId="1788AB93" w:rsidR="00B44466" w:rsidRPr="00C12449" w:rsidRDefault="00B44466" w:rsidP="00B44466">
      <w:pPr>
        <w:pStyle w:val="IPPParagraphnumbering"/>
        <w:rPr>
          <w:lang w:val="es-ES_tradnl"/>
        </w:rPr>
      </w:pPr>
      <w:r w:rsidRPr="00C12449">
        <w:rPr>
          <w:lang w:val="es-ES_tradnl"/>
        </w:rPr>
        <w:t>La Secretaría presentó información actualizada sobre el tema de la Agenda de desarrollo titulado “Normas internacionales para medidas fitosanitarias específicas para productos y vías”</w:t>
      </w:r>
      <w:r w:rsidRPr="00C12449">
        <w:rPr>
          <w:rStyle w:val="Refdenotaalpie"/>
          <w:lang w:val="es-ES_tradnl"/>
        </w:rPr>
        <w:footnoteReference w:id="30"/>
      </w:r>
      <w:r w:rsidRPr="00C12449">
        <w:rPr>
          <w:lang w:val="es-ES_tradnl"/>
        </w:rPr>
        <w:t>, describió los avances en la elaboración de proyectos de normas para productos (anexos a la NIMF 46) e informó sobre los debates celebrados en los órganos de la CIPF acerca de la preocupación manifestada en relación con el posible uso indebido de las normas para productos y los criterios para determinar qué plagas incluir en ellas. En respuesta a estas preocupaciones, el CN había debatido el uso de la terminología relativa a la ausencia de plagas y confirmó que el Grupo técnico sobre normas para productos (GTNP) podría ejercer plenamente su autoridad para excluir plagas si las pruebas presentadas no demostraban que el producto constituía una vía de entrada para la plaga. La Secretaría se refirió también a la propuesta para celebrar un taller conjunto de la CIPF y la Comisión de Protección Vegetal para Asia y el Pacífico sobre normas para productos</w:t>
      </w:r>
      <w:r w:rsidRPr="00C12449">
        <w:rPr>
          <w:rStyle w:val="Refdenotaalpie"/>
          <w:lang w:val="es-ES_tradnl"/>
        </w:rPr>
        <w:footnoteReference w:id="31"/>
      </w:r>
      <w:r w:rsidRPr="00C12449">
        <w:rPr>
          <w:lang w:val="es-ES_tradnl"/>
        </w:rPr>
        <w:t>.</w:t>
      </w:r>
    </w:p>
    <w:p w14:paraId="2FD2B4ED" w14:textId="552E4D73" w:rsidR="00B44466" w:rsidRPr="00C12449" w:rsidRDefault="00B44466" w:rsidP="00B44466">
      <w:pPr>
        <w:pStyle w:val="IPPParagraphnumbering"/>
        <w:rPr>
          <w:lang w:val="es-ES_tradnl"/>
        </w:rPr>
      </w:pPr>
      <w:r w:rsidRPr="00C12449">
        <w:rPr>
          <w:lang w:val="es-ES_tradnl"/>
        </w:rPr>
        <w:t xml:space="preserve">La CMF reconoció que, si bien el tema “Movimiento internacional de la fruta fresca de </w:t>
      </w:r>
      <w:r w:rsidRPr="00C12449">
        <w:rPr>
          <w:i/>
          <w:lang w:val="es-ES_tradnl"/>
        </w:rPr>
        <w:t>Citrus sinensis</w:t>
      </w:r>
      <w:r w:rsidRPr="00C12449">
        <w:rPr>
          <w:lang w:val="es-ES_tradnl"/>
        </w:rPr>
        <w:t xml:space="preserve"> (naranja) (2023</w:t>
      </w:r>
      <w:r w:rsidR="00D6586B" w:rsidRPr="00C12449">
        <w:rPr>
          <w:lang w:val="es-ES_tradnl"/>
        </w:rPr>
        <w:noBreakHyphen/>
      </w:r>
      <w:r w:rsidRPr="00C12449">
        <w:rPr>
          <w:lang w:val="es-ES_tradnl"/>
        </w:rPr>
        <w:t xml:space="preserve">027)” (de prioridad 2) estaba incluido en el ámbito del tema “Movimiento internacional de los frutos cítricos (2023-019)” (de prioridad 1), sería prudente mantenerlo en el programa de trabajo hasta que se aprobara la norma para frutos cítricos, en caso de que esta última resultara inviable. </w:t>
      </w:r>
    </w:p>
    <w:p w14:paraId="4173A4B7" w14:textId="77777777" w:rsidR="00B44466" w:rsidRPr="00C12449" w:rsidRDefault="00B44466" w:rsidP="00B44466">
      <w:pPr>
        <w:pStyle w:val="IPPParagraphnumbering"/>
        <w:rPr>
          <w:lang w:val="es-ES_tradnl"/>
        </w:rPr>
      </w:pPr>
      <w:r w:rsidRPr="00C12449">
        <w:rPr>
          <w:lang w:val="es-ES_tradnl"/>
        </w:rPr>
        <w:t>La CMF tomó nota de la preocupación por que en los proyectos de normas para productos básicos siguieran apareciendo plagas de escasa movilidad y plagas cuya asociación con la vía de entrada presentaban un alto grado de incertidumbre</w:t>
      </w:r>
      <w:r w:rsidRPr="00C12449">
        <w:rPr>
          <w:rStyle w:val="Refdenotaalpie"/>
          <w:lang w:val="es-ES_tradnl"/>
        </w:rPr>
        <w:footnoteReference w:id="32"/>
      </w:r>
      <w:r w:rsidRPr="00C12449">
        <w:rPr>
          <w:lang w:val="es-ES_tradnl"/>
        </w:rPr>
        <w:t>, y reconoció la importancia de que las partes contratantes proporcionaran una justificación técnica al proponer que se añadieran plagas a los proyectos de normas para productos</w:t>
      </w:r>
      <w:r w:rsidRPr="00C12449">
        <w:rPr>
          <w:rStyle w:val="Refdenotaalpie"/>
          <w:lang w:val="es-ES_tradnl"/>
        </w:rPr>
        <w:footnoteReference w:id="33"/>
      </w:r>
      <w:r w:rsidRPr="00C12449">
        <w:rPr>
          <w:lang w:val="es-ES_tradnl"/>
        </w:rPr>
        <w:t>. La CMF señaló que la NIMF 46 incluía salvaguardias contra el uso indebido o la interpretación errónea de sus anexos, y que el CN y el GTNP también seguían examinando los criterios para excluir plagas de los proyectos de normas para productos. La CMF tomó nota de una solicitud de que la comunidad de la CIPF y el CN continuaran dedicando tiempo suficiente a la elaboración de este primer conjunto de normas a fin de sentar una base sólida para las normas posteriores</w:t>
      </w:r>
      <w:r w:rsidRPr="00C12449">
        <w:rPr>
          <w:rStyle w:val="Refdenotaalpie"/>
          <w:lang w:val="es-ES_tradnl"/>
        </w:rPr>
        <w:footnoteReference w:id="34"/>
      </w:r>
      <w:r w:rsidRPr="00C12449">
        <w:rPr>
          <w:lang w:val="es-ES_tradnl"/>
        </w:rPr>
        <w:t>.</w:t>
      </w:r>
    </w:p>
    <w:p w14:paraId="12B0B0F5" w14:textId="71495F36" w:rsidR="00B44466" w:rsidRPr="00C12449" w:rsidRDefault="00B44466" w:rsidP="00B44466">
      <w:pPr>
        <w:pStyle w:val="IPPParagraphnumbering"/>
        <w:rPr>
          <w:lang w:val="es-ES_tradnl"/>
        </w:rPr>
      </w:pPr>
      <w:r w:rsidRPr="00C12449">
        <w:rPr>
          <w:lang w:val="es-ES_tradnl"/>
        </w:rPr>
        <w:t>La CMF examinó la propuesta de la Comisión de Protección Vegetal para Asia y el Pacífico, Nueva</w:t>
      </w:r>
      <w:r w:rsidR="00D6586B" w:rsidRPr="00C12449">
        <w:rPr>
          <w:lang w:val="es-ES_tradnl"/>
        </w:rPr>
        <w:t> </w:t>
      </w:r>
      <w:r w:rsidRPr="00C12449">
        <w:rPr>
          <w:lang w:val="es-ES_tradnl"/>
        </w:rPr>
        <w:t>Zelandia y la República de Corea de celebrar un taller conjunto de la CIPF y dicha Comisión sobre normas para productos</w:t>
      </w:r>
      <w:r w:rsidRPr="00C12449">
        <w:rPr>
          <w:rStyle w:val="Refdenotaalpie"/>
          <w:lang w:val="es-ES_tradnl"/>
        </w:rPr>
        <w:footnoteReference w:id="35"/>
      </w:r>
      <w:r w:rsidRPr="00C12449">
        <w:rPr>
          <w:lang w:val="es-ES_tradnl"/>
        </w:rPr>
        <w:t xml:space="preserve">. En la propuesta se incluyó el ofrecimiento de las tres partes de brindar financiación. Filipinas y Nueva Zelandia se ofrecieron a formar parte del comité organizador del taller. </w:t>
      </w:r>
    </w:p>
    <w:p w14:paraId="1F815636" w14:textId="77777777" w:rsidR="00B44466" w:rsidRPr="00C12449" w:rsidRDefault="00B44466" w:rsidP="00B44466">
      <w:pPr>
        <w:pStyle w:val="IPPParagraphnumberingclose"/>
        <w:rPr>
          <w:lang w:val="es-ES_tradnl"/>
        </w:rPr>
      </w:pPr>
      <w:r w:rsidRPr="00C12449">
        <w:rPr>
          <w:lang w:val="es-ES_tradnl"/>
        </w:rPr>
        <w:t>La CMF:</w:t>
      </w:r>
    </w:p>
    <w:p w14:paraId="3FD519BA" w14:textId="77777777" w:rsidR="00B44466" w:rsidRPr="00C12449" w:rsidRDefault="00B44466" w:rsidP="00B44466">
      <w:pPr>
        <w:pStyle w:val="IPPNumberedList"/>
        <w:numPr>
          <w:ilvl w:val="0"/>
          <w:numId w:val="58"/>
        </w:numPr>
        <w:rPr>
          <w:lang w:val="es-ES_tradnl"/>
        </w:rPr>
      </w:pPr>
      <w:r w:rsidRPr="00C12449">
        <w:rPr>
          <w:i/>
          <w:lang w:val="es-ES_tradnl"/>
        </w:rPr>
        <w:t>tomó nota</w:t>
      </w:r>
      <w:r w:rsidRPr="00C12449">
        <w:rPr>
          <w:lang w:val="es-ES_tradnl"/>
        </w:rPr>
        <w:t xml:space="preserve"> de la información actualizada sobre el tema de la Agenda de desarrollo titulado “Normas internacionales para medidas fitosanitarias específicas para productos y vías”;</w:t>
      </w:r>
    </w:p>
    <w:p w14:paraId="6D48D2AE" w14:textId="77777777" w:rsidR="00B44466" w:rsidRPr="00C12449" w:rsidRDefault="00B44466" w:rsidP="00B44466">
      <w:pPr>
        <w:pStyle w:val="IPPNumberedList"/>
        <w:rPr>
          <w:lang w:val="es-ES_tradnl"/>
        </w:rPr>
      </w:pPr>
      <w:r w:rsidRPr="00C12449">
        <w:rPr>
          <w:i/>
          <w:iCs/>
          <w:lang w:val="es-ES_tradnl"/>
        </w:rPr>
        <w:t>respaldó</w:t>
      </w:r>
      <w:r w:rsidRPr="00C12449">
        <w:rPr>
          <w:lang w:val="es-ES_tradnl"/>
        </w:rPr>
        <w:t xml:space="preserve"> la propuesta de organizar un taller mundial conjunto de la CIPF y la Comisión de Protección Vegetal para Asia y el Pacífico sobre normas para productos en junio de 2027 y </w:t>
      </w:r>
      <w:r w:rsidRPr="00C12449">
        <w:rPr>
          <w:i/>
          <w:lang w:val="es-ES_tradnl"/>
        </w:rPr>
        <w:t>solicitó</w:t>
      </w:r>
      <w:r w:rsidRPr="00C12449">
        <w:rPr>
          <w:lang w:val="es-ES_tradnl"/>
        </w:rPr>
        <w:t xml:space="preserve"> que la Secretaría de la CIPF, en colaboración con dicha Comisión, estableciera un comité organizador bajo la supervisión de la Mesa de la CMF;</w:t>
      </w:r>
    </w:p>
    <w:p w14:paraId="1DC73C72" w14:textId="77777777" w:rsidR="00B44466" w:rsidRPr="00C12449" w:rsidRDefault="00B44466" w:rsidP="00B44466">
      <w:pPr>
        <w:pStyle w:val="IPPNumberedListLast"/>
        <w:rPr>
          <w:lang w:val="es-ES_tradnl"/>
        </w:rPr>
      </w:pPr>
      <w:r w:rsidRPr="00C12449">
        <w:rPr>
          <w:i/>
          <w:lang w:val="es-ES_tradnl"/>
        </w:rPr>
        <w:lastRenderedPageBreak/>
        <w:t>alentó</w:t>
      </w:r>
      <w:r w:rsidRPr="00C12449">
        <w:rPr>
          <w:lang w:val="es-ES_tradnl"/>
        </w:rPr>
        <w:t xml:space="preserve"> a las partes contratantes a participar activamente en la convocatoria en curso de la CIPF para la presentación de temas sobre normas y aplicación y en cualquier convocatoria futura de la CIPF de material de información para la elaboración de normas específicas para productos.</w:t>
      </w:r>
    </w:p>
    <w:p w14:paraId="36C3B1BF" w14:textId="77777777" w:rsidR="008C2C23" w:rsidRPr="00C12449" w:rsidRDefault="008C2C23" w:rsidP="008C2C23">
      <w:pPr>
        <w:pStyle w:val="IPPHeading2"/>
        <w:rPr>
          <w:lang w:val="es-ES_tradnl"/>
        </w:rPr>
      </w:pPr>
      <w:r w:rsidRPr="00C12449">
        <w:rPr>
          <w:lang w:val="es-ES_tradnl"/>
        </w:rPr>
        <w:t>13.3</w:t>
      </w:r>
      <w:r w:rsidRPr="00C12449">
        <w:rPr>
          <w:lang w:val="es-ES_tradnl"/>
        </w:rPr>
        <w:tab/>
        <w:t>Gestión de las vías de dispersión a través del comercio electrónico y los servicios postales y de mensajería</w:t>
      </w:r>
    </w:p>
    <w:p w14:paraId="0C86B093" w14:textId="77777777" w:rsidR="008C2C23" w:rsidRPr="00C12449" w:rsidRDefault="008C2C23" w:rsidP="008C2C23">
      <w:pPr>
        <w:pStyle w:val="IPPParagraphnumbering"/>
        <w:rPr>
          <w:lang w:val="es-ES_tradnl"/>
        </w:rPr>
      </w:pPr>
      <w:r w:rsidRPr="00C12449">
        <w:rPr>
          <w:lang w:val="es-ES_tradnl"/>
        </w:rPr>
        <w:t>El responsable del Equipo del CADC sobre comercio electrónico presentó información actualizada sobre el tema de la Agenda de desarrollo titulado “Gestión de las vías de dispersión a través del comercio electrónico y los servicios postales y de mensajería”</w:t>
      </w:r>
      <w:r w:rsidRPr="00C12449">
        <w:rPr>
          <w:rStyle w:val="Refdenotaalpie"/>
          <w:lang w:val="es-ES_tradnl"/>
        </w:rPr>
        <w:footnoteReference w:id="36"/>
      </w:r>
      <w:r w:rsidRPr="00C12449">
        <w:rPr>
          <w:lang w:val="es-ES_tradnl"/>
        </w:rPr>
        <w:t>. Informó de que la primera fase del trabajo había concluido y que la CMF debía decidir si iniciar la segunda fase (2026-2030), basándose en los logros de la primera fase y en las conclusiones y recomendaciones del estudio del Observatorio de la CIPF sobre comercio electrónico. El responsable del CADC remitió a la CMF al plan de actuación propuesto para una posible segunda fase y a los recursos financieros necesarios para llevarla a cabo.</w:t>
      </w:r>
    </w:p>
    <w:p w14:paraId="2630B61F" w14:textId="77777777" w:rsidR="008C2C23" w:rsidRPr="00C12449" w:rsidRDefault="008C2C23" w:rsidP="008C2C23">
      <w:pPr>
        <w:pStyle w:val="IPPParagraphnumbering"/>
        <w:rPr>
          <w:lang w:val="es-ES_tradnl"/>
        </w:rPr>
      </w:pPr>
      <w:r w:rsidRPr="00C12449">
        <w:rPr>
          <w:lang w:val="es-ES_tradnl"/>
        </w:rPr>
        <w:t xml:space="preserve">La CMF tomó nota de la sugerencia de que lo ideal sería que el informe derivado del estudio del Observatorio se publicara antes de pasar a la segunda fase, de modo que las partes contratantes pudieran comprender plenamente las conclusiones de la primera fase antes de que convinieran en avanzar a la segunda fase. Sin embargo, habida cuenta de la urgencia de este tema de la Agenda de desarrollo, la CMF convino en seguir adelante y señaló la importancia de que en las futuras reuniones de la Comisión se dispusiera de los informes completos siempre que fuera posible. </w:t>
      </w:r>
    </w:p>
    <w:p w14:paraId="35C77803" w14:textId="77777777" w:rsidR="008C2C23" w:rsidRPr="00C12449" w:rsidRDefault="008C2C23" w:rsidP="008C2C23">
      <w:pPr>
        <w:pStyle w:val="IPPParagraphnumberingclose"/>
        <w:rPr>
          <w:lang w:val="es-ES_tradnl"/>
        </w:rPr>
      </w:pPr>
      <w:r w:rsidRPr="00C12449">
        <w:rPr>
          <w:lang w:val="es-ES_tradnl"/>
        </w:rPr>
        <w:t>La CMF:</w:t>
      </w:r>
    </w:p>
    <w:p w14:paraId="4053E022" w14:textId="77777777" w:rsidR="008C2C23" w:rsidRPr="00C12449" w:rsidRDefault="008C2C23" w:rsidP="008C2C23">
      <w:pPr>
        <w:pStyle w:val="IPPNumberedList"/>
        <w:numPr>
          <w:ilvl w:val="0"/>
          <w:numId w:val="16"/>
        </w:numPr>
        <w:rPr>
          <w:lang w:val="es-ES_tradnl"/>
        </w:rPr>
      </w:pPr>
      <w:r w:rsidRPr="00C12449">
        <w:rPr>
          <w:i/>
          <w:lang w:val="es-ES_tradnl"/>
        </w:rPr>
        <w:t>tomó nota</w:t>
      </w:r>
      <w:r w:rsidRPr="00C12449">
        <w:rPr>
          <w:lang w:val="es-ES_tradnl"/>
        </w:rPr>
        <w:t xml:space="preserve"> de la próxima publicación del estudio del Observatorio de la CIPF sobre comercio electrónico;</w:t>
      </w:r>
    </w:p>
    <w:p w14:paraId="6CCA5868" w14:textId="77777777" w:rsidR="008C2C23" w:rsidRPr="00C12449" w:rsidRDefault="008C2C23" w:rsidP="008C2C23">
      <w:pPr>
        <w:pStyle w:val="IPPNumberedList"/>
        <w:rPr>
          <w:lang w:val="es-ES_tradnl"/>
        </w:rPr>
      </w:pPr>
      <w:r w:rsidRPr="00C12449">
        <w:rPr>
          <w:i/>
          <w:iCs/>
          <w:lang w:val="es-ES_tradnl"/>
        </w:rPr>
        <w:t>invitó</w:t>
      </w:r>
      <w:r w:rsidRPr="00C12449">
        <w:rPr>
          <w:lang w:val="es-ES_tradnl"/>
        </w:rPr>
        <w:t xml:space="preserve"> a las partes contratantes y a las ORPF a que tomaran medidas en los planos nacional y regional basadas en las recomendaciones derivadas del estudio del Observatorio de la CIPF sobre comercio electrónico, que se presentaban en el Apéndice 1 del documento CPM 2026/15;</w:t>
      </w:r>
    </w:p>
    <w:p w14:paraId="29AE88BE" w14:textId="77777777" w:rsidR="008C2C23" w:rsidRPr="00C12449" w:rsidRDefault="008C2C23" w:rsidP="008C2C23">
      <w:pPr>
        <w:pStyle w:val="IPPNumberedList"/>
        <w:rPr>
          <w:lang w:val="es-ES_tradnl"/>
        </w:rPr>
      </w:pPr>
      <w:r w:rsidRPr="00C12449">
        <w:rPr>
          <w:i/>
          <w:iCs/>
          <w:lang w:val="es-ES_tradnl"/>
        </w:rPr>
        <w:t xml:space="preserve">aprobó </w:t>
      </w:r>
      <w:r w:rsidRPr="00C12449">
        <w:rPr>
          <w:lang w:val="es-ES_tradnl"/>
        </w:rPr>
        <w:t xml:space="preserve">la hoja de ruta propuesta para la segunda fase del tema de la Agenda de desarrollo titulado “Gestión de las vías de dispersión a través del comercio electrónico y los servicios postales y de mensajería” (2026-2030) y </w:t>
      </w:r>
      <w:r w:rsidRPr="00C12449">
        <w:rPr>
          <w:i/>
          <w:iCs/>
          <w:lang w:val="es-ES_tradnl"/>
        </w:rPr>
        <w:t xml:space="preserve">convino </w:t>
      </w:r>
      <w:r w:rsidRPr="00C12449">
        <w:rPr>
          <w:lang w:val="es-ES_tradnl"/>
        </w:rPr>
        <w:t xml:space="preserve">en que debía ponerse en marcha la segunda fase tras </w:t>
      </w:r>
      <w:r w:rsidRPr="00C12449">
        <w:rPr>
          <w:i/>
          <w:iCs/>
          <w:lang w:val="es-ES_tradnl"/>
        </w:rPr>
        <w:t xml:space="preserve">tomar nota </w:t>
      </w:r>
      <w:r w:rsidRPr="00C12449">
        <w:rPr>
          <w:lang w:val="es-ES_tradnl"/>
        </w:rPr>
        <w:t xml:space="preserve">de los recursos financieros necesarios para llevarla a cabo, que figuraban en el Apéndice 2 del documento CPM 2026/15; </w:t>
      </w:r>
    </w:p>
    <w:p w14:paraId="27C09759" w14:textId="77777777" w:rsidR="008C2C23" w:rsidRPr="00C12449" w:rsidRDefault="008C2C23" w:rsidP="008C2C23">
      <w:pPr>
        <w:pStyle w:val="IPPNumberedListLast"/>
        <w:rPr>
          <w:lang w:val="es-ES_tradnl"/>
        </w:rPr>
      </w:pPr>
      <w:r w:rsidRPr="00C12449">
        <w:rPr>
          <w:i/>
          <w:iCs/>
          <w:lang w:val="es-ES_tradnl"/>
        </w:rPr>
        <w:t>reconoció</w:t>
      </w:r>
      <w:r w:rsidRPr="00C12449">
        <w:rPr>
          <w:lang w:val="es-ES_tradnl"/>
        </w:rPr>
        <w:t xml:space="preserve"> que la ejecución de la segunda fase dependía de la disponibilidad de suficientes recursos financieros y </w:t>
      </w:r>
      <w:r w:rsidRPr="00C12449">
        <w:rPr>
          <w:i/>
          <w:iCs/>
          <w:lang w:val="es-ES_tradnl"/>
        </w:rPr>
        <w:t>solicitó</w:t>
      </w:r>
      <w:r w:rsidRPr="00C12449">
        <w:rPr>
          <w:lang w:val="es-ES_tradnl"/>
        </w:rPr>
        <w:t xml:space="preserve"> que se obtuvieran los fondos necesarios para permitir su inicio.</w:t>
      </w:r>
    </w:p>
    <w:p w14:paraId="0096425E" w14:textId="77777777" w:rsidR="008C2C23" w:rsidRPr="00C12449" w:rsidRDefault="008C2C23" w:rsidP="008C2C23">
      <w:pPr>
        <w:pStyle w:val="IPPHeading2"/>
        <w:rPr>
          <w:lang w:val="es-ES_tradnl"/>
        </w:rPr>
      </w:pPr>
      <w:r w:rsidRPr="00C12449">
        <w:rPr>
          <w:lang w:val="es-ES_tradnl"/>
        </w:rPr>
        <w:t>13.4</w:t>
      </w:r>
      <w:r w:rsidRPr="00C12449">
        <w:rPr>
          <w:lang w:val="es-ES_tradnl"/>
        </w:rPr>
        <w:tab/>
        <w:t>Posibilitación del uso de entidades terceras</w:t>
      </w:r>
    </w:p>
    <w:p w14:paraId="1F7CD2B0" w14:textId="77777777" w:rsidR="008C2C23" w:rsidRPr="00C12449" w:rsidRDefault="008C2C23" w:rsidP="008C2C23">
      <w:pPr>
        <w:pStyle w:val="IPPParagraphnumbering"/>
        <w:rPr>
          <w:color w:val="000000" w:themeColor="text1"/>
          <w:lang w:val="es-ES_tradnl"/>
        </w:rPr>
      </w:pPr>
      <w:r w:rsidRPr="00C12449">
        <w:rPr>
          <w:lang w:val="es-ES_tradnl"/>
        </w:rPr>
        <w:t>La Secretaría presentó información actualizada sobre el tema de la Agenda de desarrollo titulado “Formulación de orientación sobre el uso de entidades terceras”</w:t>
      </w:r>
      <w:r w:rsidRPr="00C12449">
        <w:rPr>
          <w:rStyle w:val="Refdenotaalpie"/>
          <w:lang w:val="es-ES_tradnl"/>
        </w:rPr>
        <w:footnoteReference w:id="37"/>
      </w:r>
      <w:r w:rsidRPr="00C12449">
        <w:rPr>
          <w:lang w:val="es-ES_tradnl"/>
        </w:rPr>
        <w:t>, cuya actividad principal era la elaboración de dos guías de la CIPF: una sobre la autorización de entidades terceras y otra sobre auditorías en el contexto fitosanitario.</w:t>
      </w:r>
      <w:r w:rsidRPr="00C12449">
        <w:rPr>
          <w:color w:val="000000" w:themeColor="text1"/>
          <w:lang w:val="es-ES_tradnl"/>
        </w:rPr>
        <w:t xml:space="preserve"> La Secretaría informó de que se había abierto una convocatoria de expertos y se había publicado material técnico en relación con la guía sobre auditorías, y comunicó que el CADC había convenido en que los trabajos relativos a la guía sobre autorización se pondrían en marcha una vez que se dispusiera de un borrador inicial de la guía sobre auditorías.</w:t>
      </w:r>
    </w:p>
    <w:p w14:paraId="12AB68CE" w14:textId="77777777" w:rsidR="008C2C23" w:rsidRPr="00C12449" w:rsidRDefault="008C2C23" w:rsidP="008C2C23">
      <w:pPr>
        <w:pStyle w:val="IPPParagraphnumberingclose"/>
        <w:rPr>
          <w:lang w:val="es-ES_tradnl"/>
        </w:rPr>
      </w:pPr>
      <w:r w:rsidRPr="00C12449">
        <w:rPr>
          <w:lang w:val="es-ES_tradnl"/>
        </w:rPr>
        <w:t>La CMF:</w:t>
      </w:r>
    </w:p>
    <w:p w14:paraId="54E07506" w14:textId="77777777" w:rsidR="008C2C23" w:rsidRPr="00C12449" w:rsidRDefault="008C2C23" w:rsidP="008C2C23">
      <w:pPr>
        <w:pStyle w:val="IPPNumberedList"/>
        <w:numPr>
          <w:ilvl w:val="0"/>
          <w:numId w:val="44"/>
        </w:numPr>
        <w:rPr>
          <w:lang w:val="es-ES_tradnl"/>
        </w:rPr>
      </w:pPr>
      <w:r w:rsidRPr="00C12449">
        <w:rPr>
          <w:lang w:val="es-ES_tradnl"/>
        </w:rPr>
        <w:t xml:space="preserve">agradeció a Australia y el Canadá la aportación de fondos para la elaboración de las guías </w:t>
      </w:r>
      <w:r w:rsidRPr="00C12449">
        <w:rPr>
          <w:i/>
          <w:iCs/>
          <w:lang w:val="es-ES_tradnl"/>
        </w:rPr>
        <w:t>Autorización a entidades para emprender acciones fitosanitarias</w:t>
      </w:r>
      <w:r w:rsidRPr="00C12449">
        <w:rPr>
          <w:lang w:val="es-ES_tradnl"/>
        </w:rPr>
        <w:t xml:space="preserve"> (2018-040) y </w:t>
      </w:r>
      <w:r w:rsidRPr="00C12449">
        <w:rPr>
          <w:i/>
          <w:iCs/>
          <w:lang w:val="es-ES_tradnl"/>
        </w:rPr>
        <w:t>Guía sobre la realización de auditorías en el contexto fitosanitario</w:t>
      </w:r>
      <w:r w:rsidRPr="00C12449">
        <w:rPr>
          <w:lang w:val="es-ES_tradnl"/>
        </w:rPr>
        <w:t xml:space="preserve"> (2021-009);</w:t>
      </w:r>
    </w:p>
    <w:p w14:paraId="41F642A1" w14:textId="77777777" w:rsidR="008C2C23" w:rsidRPr="00C12449" w:rsidRDefault="008C2C23" w:rsidP="008C2C23">
      <w:pPr>
        <w:pStyle w:val="IPPNumberedList"/>
        <w:rPr>
          <w:lang w:val="es-ES_tradnl"/>
        </w:rPr>
      </w:pPr>
      <w:r w:rsidRPr="00C12449">
        <w:rPr>
          <w:i/>
          <w:iCs/>
          <w:lang w:val="es-ES_tradnl"/>
        </w:rPr>
        <w:t>tomó nota</w:t>
      </w:r>
      <w:r w:rsidRPr="00C12449">
        <w:rPr>
          <w:lang w:val="es-ES_tradnl"/>
        </w:rPr>
        <w:t xml:space="preserve"> de que se habían iniciado los trabajos sobre el tema de la agenda de desarrollo titulado “Formulación de orientación sobre el uso de entidades terceras”;</w:t>
      </w:r>
    </w:p>
    <w:p w14:paraId="1F66FBBF" w14:textId="77777777" w:rsidR="008C2C23" w:rsidRPr="00C12449" w:rsidRDefault="008C2C23" w:rsidP="008C2C23">
      <w:pPr>
        <w:pStyle w:val="IPPNumberedListLast"/>
        <w:rPr>
          <w:lang w:val="es-ES_tradnl"/>
        </w:rPr>
      </w:pPr>
      <w:r w:rsidRPr="00C12449">
        <w:rPr>
          <w:i/>
          <w:iCs/>
          <w:lang w:val="es-ES_tradnl"/>
        </w:rPr>
        <w:lastRenderedPageBreak/>
        <w:t>alentó</w:t>
      </w:r>
      <w:r w:rsidRPr="00C12449">
        <w:rPr>
          <w:lang w:val="es-ES_tradnl"/>
        </w:rPr>
        <w:t xml:space="preserve"> a las partes contratantes a responder a la convocatoria de expertos para la elaboración de la guía </w:t>
      </w:r>
      <w:r w:rsidRPr="00C12449">
        <w:rPr>
          <w:i/>
          <w:iCs/>
          <w:lang w:val="es-ES_tradnl"/>
        </w:rPr>
        <w:t>Autorización a entidades para emprender acciones fitosanitarias</w:t>
      </w:r>
      <w:r w:rsidRPr="00C12449">
        <w:rPr>
          <w:lang w:val="es-ES_tradnl"/>
        </w:rPr>
        <w:t>, que se abrirá en 2026.</w:t>
      </w:r>
    </w:p>
    <w:p w14:paraId="676157B3" w14:textId="77777777" w:rsidR="008C2C23" w:rsidRPr="00C12449" w:rsidRDefault="008C2C23" w:rsidP="008C2C23">
      <w:pPr>
        <w:pStyle w:val="IPPHeading2"/>
        <w:rPr>
          <w:lang w:val="es-ES_tradnl"/>
        </w:rPr>
      </w:pPr>
      <w:r w:rsidRPr="00C12449">
        <w:rPr>
          <w:lang w:val="es-ES_tradnl"/>
        </w:rPr>
        <w:t>13.5</w:t>
      </w:r>
      <w:r w:rsidRPr="00C12449">
        <w:rPr>
          <w:lang w:val="es-ES_tradnl"/>
        </w:rPr>
        <w:tab/>
        <w:t>Fortalecimiento de los sistemas de alerta y respuesta ante brotes de plagas. Información actualizada presentada por el Grupo directivo</w:t>
      </w:r>
    </w:p>
    <w:p w14:paraId="1C6E5FEC" w14:textId="77777777" w:rsidR="008C2C23" w:rsidRPr="00C12449" w:rsidRDefault="008C2C23" w:rsidP="008C2C23">
      <w:pPr>
        <w:pStyle w:val="IPPParagraphnumbering"/>
        <w:rPr>
          <w:lang w:val="es-ES_tradnl"/>
        </w:rPr>
      </w:pPr>
      <w:r w:rsidRPr="00C12449">
        <w:rPr>
          <w:lang w:val="es-ES_tradnl"/>
        </w:rPr>
        <w:t>La Presidenta del Grupo directivo del SARBP presentó información actualizada y describió el propósito del Sistema, el proceso de evaluación para determinar las plagas incipientes que suscitaban preocupación a nivel mundial y los resultados del ciclo de evaluación de 2025</w:t>
      </w:r>
      <w:r w:rsidRPr="00C12449">
        <w:rPr>
          <w:rStyle w:val="Refdenotaalpie"/>
          <w:lang w:val="es-ES_tradnl"/>
        </w:rPr>
        <w:footnoteReference w:id="38"/>
      </w:r>
      <w:r w:rsidRPr="00C12449">
        <w:rPr>
          <w:lang w:val="es-ES_tradnl"/>
        </w:rPr>
        <w:t>. Destacó asimismo las sinergias entre el SARBP, el Programa fitosanitario africano y la Feria de innovación sobre sanidad vegetal celebrada en la 20.ª reunión de la CMF (2026). Siguiendo con la presentación, la Secretaría explicó que el SARBP estaba pasando de la fase experimental a la puesta en marcha del sistema operativo. El mandato del Grupo directivo acababa de finalizar y la Mesa había aprobado el mandato de un nuevo Grupo directivo, tal como solicitó la CMF en su 19.ª reunión (2025).</w:t>
      </w:r>
      <w:r w:rsidRPr="00C12449">
        <w:rPr>
          <w:color w:val="00B050"/>
          <w:lang w:val="es-ES_tradnl"/>
        </w:rPr>
        <w:t xml:space="preserve"> </w:t>
      </w:r>
      <w:r w:rsidRPr="00C12449">
        <w:rPr>
          <w:lang w:val="es-ES_tradnl"/>
        </w:rPr>
        <w:t>La Secretaría también había comenzado a publicar alertas mundiales de plagas y los resúmenes mensuales de presentación de información sobre plagas de la CIPF; sin embargo, las futuras actividades del SARBP dependerían de la financiación</w:t>
      </w:r>
      <w:r w:rsidRPr="00C12449">
        <w:rPr>
          <w:rStyle w:val="Refdenotaalpie"/>
          <w:lang w:val="es-ES_tradnl"/>
        </w:rPr>
        <w:footnoteReference w:id="39"/>
      </w:r>
      <w:r w:rsidRPr="00C12449">
        <w:rPr>
          <w:lang w:val="es-ES_tradnl"/>
        </w:rPr>
        <w:t>.</w:t>
      </w:r>
    </w:p>
    <w:p w14:paraId="5162A631" w14:textId="77777777" w:rsidR="008C2C23" w:rsidRPr="00C12449" w:rsidRDefault="008C2C23" w:rsidP="008C2C23">
      <w:pPr>
        <w:pStyle w:val="IPPParagraphnumbering"/>
        <w:rPr>
          <w:lang w:val="es-ES_tradnl"/>
        </w:rPr>
      </w:pPr>
      <w:r w:rsidRPr="00C12449">
        <w:rPr>
          <w:lang w:val="es-ES_tradnl"/>
        </w:rPr>
        <w:t>La CMF expresó su agradecimiento al Grupo directivo del SARBP por la información actualizada y por los enormes progresos realizados</w:t>
      </w:r>
      <w:r w:rsidRPr="00C12449">
        <w:rPr>
          <w:rStyle w:val="Refdenotaalpie"/>
          <w:lang w:val="es-ES_tradnl"/>
        </w:rPr>
        <w:footnoteReference w:id="40"/>
      </w:r>
      <w:r w:rsidRPr="00C12449">
        <w:rPr>
          <w:lang w:val="es-ES_tradnl"/>
        </w:rPr>
        <w:t>.</w:t>
      </w:r>
    </w:p>
    <w:p w14:paraId="508E8E40" w14:textId="77777777" w:rsidR="008C2C23" w:rsidRPr="00C12449" w:rsidRDefault="008C2C23" w:rsidP="008C2C23">
      <w:pPr>
        <w:pStyle w:val="IPPParagraphnumbering"/>
        <w:rPr>
          <w:lang w:val="es-ES_tradnl"/>
        </w:rPr>
      </w:pPr>
      <w:r w:rsidRPr="00C12449">
        <w:rPr>
          <w:lang w:val="es-ES_tradnl"/>
        </w:rPr>
        <w:t xml:space="preserve">La CMF reconoció que sería útil evaluar lo que otras regiones y partes contratantes estaban llevando a cabo en relación con el análisis prospectivo (por ejemplo, el proyecto EUPHRESCO denominado “Análisis prospectivo cuantitativo mediante modelización climática para determinar las especies con potencial de convertirse en plagas vegetales”). La Secretaría confirmó que el mandato del nuevo Grupo directivo del SARBP era lo suficientemente amplio como para abarcar esta tarea. </w:t>
      </w:r>
    </w:p>
    <w:p w14:paraId="07F40F09" w14:textId="77777777" w:rsidR="008C2C23" w:rsidRPr="00C12449" w:rsidRDefault="008C2C23" w:rsidP="008C2C23">
      <w:pPr>
        <w:pStyle w:val="IPPParagraphnumbering"/>
        <w:rPr>
          <w:lang w:val="es-ES_tradnl"/>
        </w:rPr>
      </w:pPr>
      <w:r w:rsidRPr="00C12449">
        <w:rPr>
          <w:lang w:val="es-ES_tradnl"/>
        </w:rPr>
        <w:t>En respuesta a las preguntas sobre por qué no se habían incluido determinadas plagas en la lista de plagas incipientes que suscitaban preocupación a nivel mundial, la Secretaría explicó que los criterios y la justificación se encontraban a disposición en el PFI, y alentó a las partes contratantes a que propusieran plagas para su evaluación, ya que la lista era dinámica y podía revisarse en cualquier momento si se disponía de nueva información.</w:t>
      </w:r>
    </w:p>
    <w:p w14:paraId="38F18152" w14:textId="77777777" w:rsidR="008C2C23" w:rsidRPr="00C12449" w:rsidRDefault="008C2C23" w:rsidP="008C2C23">
      <w:pPr>
        <w:pStyle w:val="IPPParagraphnumberingclose"/>
        <w:rPr>
          <w:lang w:val="es-ES_tradnl"/>
        </w:rPr>
      </w:pPr>
      <w:r w:rsidRPr="00C12449">
        <w:rPr>
          <w:lang w:val="es-ES_tradnl"/>
        </w:rPr>
        <w:t xml:space="preserve">La CMF: </w:t>
      </w:r>
    </w:p>
    <w:p w14:paraId="23FAF158" w14:textId="77777777" w:rsidR="008C2C23" w:rsidRPr="00C12449" w:rsidRDefault="008C2C23" w:rsidP="008C2C23">
      <w:pPr>
        <w:pStyle w:val="IPPNumberedList"/>
        <w:numPr>
          <w:ilvl w:val="0"/>
          <w:numId w:val="45"/>
        </w:numPr>
        <w:rPr>
          <w:lang w:val="es-ES_tradnl"/>
        </w:rPr>
      </w:pPr>
      <w:r w:rsidRPr="00C12449">
        <w:rPr>
          <w:i/>
          <w:iCs/>
          <w:lang w:val="es-ES_tradnl"/>
        </w:rPr>
        <w:t xml:space="preserve">tomó nota </w:t>
      </w:r>
      <w:r w:rsidRPr="00C12449">
        <w:rPr>
          <w:lang w:val="es-ES_tradnl"/>
        </w:rPr>
        <w:t>de los avances logrados en la aplicación del SARBP desde la 19.ª reunión de la CMF (2025);</w:t>
      </w:r>
    </w:p>
    <w:p w14:paraId="6D098C8A" w14:textId="77777777" w:rsidR="008C2C23" w:rsidRPr="00C12449" w:rsidRDefault="008C2C23" w:rsidP="008C2C23">
      <w:pPr>
        <w:pStyle w:val="IPPNumberedList"/>
        <w:rPr>
          <w:lang w:val="es-ES_tradnl"/>
        </w:rPr>
      </w:pPr>
      <w:r w:rsidRPr="00C12449">
        <w:rPr>
          <w:i/>
          <w:iCs/>
          <w:lang w:val="es-ES_tradnl"/>
        </w:rPr>
        <w:t>tomó nota</w:t>
      </w:r>
      <w:r w:rsidRPr="00C12449">
        <w:rPr>
          <w:lang w:val="es-ES_tradnl"/>
        </w:rPr>
        <w:t xml:space="preserve"> de la finalización del mandato del actual Grupo directivo del SARBP y del inicio de la transición de la gobernanza hacia el establecimiento del nuevo Grupo directivo, de conformidad con el mandato aprobado por la Mesa de la CMF, tal como solicitó la CMF en su 19.ª reunión;</w:t>
      </w:r>
    </w:p>
    <w:p w14:paraId="22618697" w14:textId="77777777" w:rsidR="008C2C23" w:rsidRPr="00C12449" w:rsidRDefault="008C2C23" w:rsidP="008C2C23">
      <w:pPr>
        <w:pStyle w:val="IPPNumberedList"/>
        <w:rPr>
          <w:lang w:val="es-ES_tradnl"/>
        </w:rPr>
      </w:pPr>
      <w:r w:rsidRPr="00C12449">
        <w:rPr>
          <w:i/>
          <w:iCs/>
          <w:lang w:val="es-ES_tradnl"/>
        </w:rPr>
        <w:t>reconoció</w:t>
      </w:r>
      <w:r w:rsidRPr="00C12449">
        <w:rPr>
          <w:lang w:val="es-ES_tradnl"/>
        </w:rPr>
        <w:t xml:space="preserve"> la contribución de los miembros del Grupo directivo actual (Apéndice X) y </w:t>
      </w:r>
      <w:r w:rsidRPr="00C12449">
        <w:rPr>
          <w:i/>
          <w:iCs/>
          <w:lang w:val="es-ES_tradnl"/>
        </w:rPr>
        <w:t>agradeció</w:t>
      </w:r>
      <w:r w:rsidRPr="00C12449">
        <w:rPr>
          <w:lang w:val="es-ES_tradnl"/>
        </w:rPr>
        <w:t xml:space="preserve"> sus esfuerzos;</w:t>
      </w:r>
    </w:p>
    <w:p w14:paraId="12751D75" w14:textId="77777777" w:rsidR="008C2C23" w:rsidRPr="00C12449" w:rsidRDefault="008C2C23" w:rsidP="008C2C23">
      <w:pPr>
        <w:pStyle w:val="IPPNumberedListLast"/>
        <w:rPr>
          <w:lang w:val="es-ES_tradnl"/>
        </w:rPr>
      </w:pPr>
      <w:r w:rsidRPr="00C12449">
        <w:rPr>
          <w:i/>
          <w:iCs/>
          <w:lang w:val="es-ES_tradnl"/>
        </w:rPr>
        <w:t>reconoció</w:t>
      </w:r>
      <w:r w:rsidRPr="00C12449">
        <w:rPr>
          <w:lang w:val="es-ES_tradnl"/>
        </w:rPr>
        <w:t xml:space="preserve"> el inicio de las actividades de análisis prospectivo y el fortalecimiento de la colaboración con asociados estratégicos, entre ellos el CAB International, la Autoridad Europea de Seguridad Alimentaria y el Programa fitosanitario africano.</w:t>
      </w:r>
    </w:p>
    <w:p w14:paraId="794DF6FE" w14:textId="668BB2DE" w:rsidR="00CC42CC" w:rsidRPr="00C12449" w:rsidRDefault="00CC42CC" w:rsidP="00CC42CC">
      <w:pPr>
        <w:pStyle w:val="IPPHeading2"/>
        <w:rPr>
          <w:lang w:val="es-ES_tradnl"/>
        </w:rPr>
      </w:pPr>
      <w:r w:rsidRPr="00C12449">
        <w:rPr>
          <w:lang w:val="es-ES_tradnl"/>
        </w:rPr>
        <w:t>13.6</w:t>
      </w:r>
      <w:r w:rsidRPr="00C12449">
        <w:rPr>
          <w:lang w:val="es-ES_tradnl"/>
        </w:rPr>
        <w:tab/>
        <w:t xml:space="preserve">Evaluación y gestión de </w:t>
      </w:r>
      <w:r w:rsidR="00C12449" w:rsidRPr="00C12449">
        <w:rPr>
          <w:lang w:val="es-ES_tradnl"/>
        </w:rPr>
        <w:t>los efectos</w:t>
      </w:r>
      <w:r w:rsidRPr="00C12449">
        <w:rPr>
          <w:lang w:val="es-ES_tradnl"/>
        </w:rPr>
        <w:t xml:space="preserve"> del cambio climático en la sanidad vegetal. Información actualizada presentada por el Grupo de debate de la Comisión de Medidas Fitosanitarias</w:t>
      </w:r>
    </w:p>
    <w:p w14:paraId="3F09541A" w14:textId="77777777" w:rsidR="00CC42CC" w:rsidRPr="00C12449" w:rsidRDefault="00CC42CC" w:rsidP="00CC42CC">
      <w:pPr>
        <w:pStyle w:val="IPPParagraphnumbering"/>
        <w:rPr>
          <w:lang w:val="es-ES_tradnl"/>
        </w:rPr>
      </w:pPr>
      <w:r w:rsidRPr="00C12449">
        <w:rPr>
          <w:lang w:val="es-ES_tradnl"/>
        </w:rPr>
        <w:t>La Secretaría presentó información actualizada del Grupo de debate de la CMF sobre las repercusiones del cambio climático en la sanidad vegetal, que finalizó su mandato en esta reunión</w:t>
      </w:r>
      <w:r w:rsidRPr="00C12449">
        <w:rPr>
          <w:rStyle w:val="Refdenotaalpie"/>
          <w:lang w:val="es-ES_tradnl"/>
        </w:rPr>
        <w:footnoteReference w:id="41"/>
      </w:r>
      <w:r w:rsidRPr="00C12449">
        <w:rPr>
          <w:lang w:val="es-ES_tradnl"/>
        </w:rPr>
        <w:t xml:space="preserve">. Desde la </w:t>
      </w:r>
      <w:r w:rsidRPr="00C12449">
        <w:rPr>
          <w:lang w:val="es-ES_tradnl"/>
        </w:rPr>
        <w:lastRenderedPageBreak/>
        <w:t>información actualizada presentada en la 19.ª reunión de la CMF (2025), las actividades habían incluido una serie de seminarios web, la finalización del contenido técnico de un conjunto de hojas informativas y la formulación de recomendaciones dirigidas al CN sobre cómo incorporar las consideraciones relativas al cambio climático en los análisis de riesgo de plagas. En octubre de 2025, la Mesa había reconocido las excelentes contribuciones realizadas por el Grupo de debate y había recomendado que las actividades sobre cambio climático se incorporaran a las actividades generales de la Secretaría.</w:t>
      </w:r>
    </w:p>
    <w:p w14:paraId="63EC3D97" w14:textId="77777777" w:rsidR="00CC42CC" w:rsidRPr="00C12449" w:rsidRDefault="00CC42CC" w:rsidP="00CC42CC">
      <w:pPr>
        <w:pStyle w:val="IPPParagraphnumbering"/>
        <w:rPr>
          <w:lang w:val="es-ES_tradnl"/>
        </w:rPr>
      </w:pPr>
      <w:r w:rsidRPr="00C12449">
        <w:rPr>
          <w:lang w:val="es-ES_tradnl"/>
        </w:rPr>
        <w:t>La CMF tomó nota de la solicitud de que el material del Grupo de debate se publicara en la página de destino sobre cambio climático del PFI y se actualizara periódicamente.</w:t>
      </w:r>
      <w:r w:rsidRPr="00C12449">
        <w:rPr>
          <w:i/>
          <w:lang w:val="es-ES_tradnl"/>
        </w:rPr>
        <w:t xml:space="preserve"> </w:t>
      </w:r>
    </w:p>
    <w:p w14:paraId="7903A304" w14:textId="77777777" w:rsidR="00CC42CC" w:rsidRPr="00C12449" w:rsidRDefault="00CC42CC" w:rsidP="00CC42CC">
      <w:pPr>
        <w:pStyle w:val="IPPParagraphnumberingclose"/>
        <w:rPr>
          <w:lang w:val="es-ES_tradnl"/>
        </w:rPr>
      </w:pPr>
      <w:r w:rsidRPr="00C12449">
        <w:rPr>
          <w:lang w:val="es-ES_tradnl"/>
        </w:rPr>
        <w:t>La CMF:</w:t>
      </w:r>
    </w:p>
    <w:p w14:paraId="1B91D681" w14:textId="77777777" w:rsidR="00CC42CC" w:rsidRPr="00C12449" w:rsidRDefault="00CC42CC" w:rsidP="00CC42CC">
      <w:pPr>
        <w:pStyle w:val="IPPNumberedList"/>
        <w:numPr>
          <w:ilvl w:val="0"/>
          <w:numId w:val="46"/>
        </w:numPr>
        <w:rPr>
          <w:lang w:val="es-ES_tradnl"/>
        </w:rPr>
      </w:pPr>
      <w:r w:rsidRPr="00C12449">
        <w:rPr>
          <w:i/>
          <w:iCs/>
          <w:lang w:val="es-ES_tradnl"/>
        </w:rPr>
        <w:t>tomó nota</w:t>
      </w:r>
      <w:r w:rsidRPr="00C12449">
        <w:rPr>
          <w:lang w:val="es-ES_tradnl"/>
        </w:rPr>
        <w:t xml:space="preserve"> de los progresos realizados por el Grupo de debate de la CMF sobre las repercusiones del cambio climático en la sanidad vegetal desde la 19.ª reunión de la CMF (2025);</w:t>
      </w:r>
    </w:p>
    <w:p w14:paraId="44DEC4B1" w14:textId="77777777" w:rsidR="00CC42CC" w:rsidRPr="00C12449" w:rsidRDefault="00CC42CC" w:rsidP="00CC42CC">
      <w:pPr>
        <w:pStyle w:val="IPPNumberedList"/>
        <w:rPr>
          <w:lang w:val="es-ES_tradnl"/>
        </w:rPr>
      </w:pPr>
      <w:r w:rsidRPr="00C12449">
        <w:rPr>
          <w:i/>
          <w:lang w:val="es-ES_tradnl"/>
        </w:rPr>
        <w:t>expresó su reconocimiento y agradecimiento</w:t>
      </w:r>
      <w:r w:rsidRPr="00C12449">
        <w:rPr>
          <w:lang w:val="es-ES_tradnl"/>
        </w:rPr>
        <w:t xml:space="preserve"> a los miembros del Grupo de debate (Apéndice X) por su compromiso y contribuciones técnicas;</w:t>
      </w:r>
    </w:p>
    <w:p w14:paraId="312C8C20" w14:textId="77777777" w:rsidR="00CC42CC" w:rsidRPr="00C12449" w:rsidRDefault="00CC42CC" w:rsidP="00CC42CC">
      <w:pPr>
        <w:pStyle w:val="IPPNumberedList"/>
        <w:rPr>
          <w:lang w:val="es-ES_tradnl"/>
        </w:rPr>
      </w:pPr>
      <w:r w:rsidRPr="00C12449">
        <w:rPr>
          <w:i/>
          <w:lang w:val="es-ES_tradnl"/>
        </w:rPr>
        <w:t>respaldó</w:t>
      </w:r>
      <w:r w:rsidRPr="00C12449">
        <w:rPr>
          <w:lang w:val="es-ES_tradnl"/>
        </w:rPr>
        <w:t xml:space="preserve"> la integración de las actividades restantes relacionadas con el clima en programas o líneas de trabajo en curso de la Secretaría; </w:t>
      </w:r>
    </w:p>
    <w:p w14:paraId="15086897" w14:textId="77777777" w:rsidR="00CC42CC" w:rsidRPr="00C12449" w:rsidRDefault="00CC42CC" w:rsidP="00CC42CC">
      <w:pPr>
        <w:pStyle w:val="IPPNumberedList"/>
        <w:rPr>
          <w:lang w:val="es-ES_tradnl"/>
        </w:rPr>
      </w:pPr>
      <w:r w:rsidRPr="00C12449">
        <w:rPr>
          <w:i/>
          <w:lang w:val="es-ES_tradnl"/>
        </w:rPr>
        <w:t>solicitó</w:t>
      </w:r>
      <w:r w:rsidRPr="00C12449">
        <w:rPr>
          <w:lang w:val="es-ES_tradnl"/>
        </w:rPr>
        <w:t xml:space="preserve"> que la Secretaría y la Mesa presentaran un plan en la reunión del GPE de 2026 y luego en la 21.ª reunión de la CMF (2027) en el que se indicara de qué manera se integrarían las actividades relacionadas con el cambio climático en programas o líneas de trabajo en curso de la Secretaría.</w:t>
      </w:r>
    </w:p>
    <w:p w14:paraId="6831DBE3" w14:textId="77777777" w:rsidR="00CC42CC" w:rsidRPr="00C12449" w:rsidRDefault="00CC42CC" w:rsidP="00CC42CC">
      <w:pPr>
        <w:pStyle w:val="IPPHeading2"/>
        <w:rPr>
          <w:lang w:val="es-ES_tradnl"/>
        </w:rPr>
      </w:pPr>
      <w:r w:rsidRPr="00C12449">
        <w:rPr>
          <w:lang w:val="es-ES_tradnl"/>
        </w:rPr>
        <w:t>13.7</w:t>
      </w:r>
      <w:r w:rsidRPr="00C12449">
        <w:rPr>
          <w:lang w:val="es-ES_tradnl"/>
        </w:rPr>
        <w:tab/>
        <w:t>Información actualizada presentada por el Grupo de debate de la CMF sobre la coordinación de la investigación fitosanitaria a nivel mundial</w:t>
      </w:r>
    </w:p>
    <w:p w14:paraId="5BCD7971" w14:textId="77777777" w:rsidR="00CC42CC" w:rsidRPr="00C12449" w:rsidRDefault="00CC42CC" w:rsidP="00CC42CC">
      <w:pPr>
        <w:pStyle w:val="IPPParagraphnumbering"/>
        <w:rPr>
          <w:lang w:val="es-ES_tradnl"/>
        </w:rPr>
      </w:pPr>
      <w:r w:rsidRPr="00C12449">
        <w:rPr>
          <w:lang w:val="es-ES_tradnl"/>
        </w:rPr>
        <w:t>El Presidente del Grupo de debate de la CMF sobre la coordinación de la investigación fitosanitaria a nivel mundial presentó información actualizada del Grupo de debate, que finalizó su mandato en esta reunión</w:t>
      </w:r>
      <w:r w:rsidRPr="00C12449">
        <w:rPr>
          <w:rStyle w:val="Refdenotaalpie"/>
          <w:lang w:val="es-ES_tradnl"/>
        </w:rPr>
        <w:footnoteReference w:id="42"/>
      </w:r>
      <w:r w:rsidRPr="00C12449">
        <w:rPr>
          <w:lang w:val="es-ES_tradnl"/>
        </w:rPr>
        <w:t>. El Presidente informó que el Grupo de debate había llevado a cabo un estudio de delimitación del alcance en el que había detectado y analizado las redes de investigación existentes e investigado las necesidades y requisitos de las ONPF. A partir de este ejercicio, el Grupo de debate determinó diferentes tipos de estructuras orgánicas para las redes de investigación, detectó deficiencias en la cobertura y sugirió posibles soluciones para subsanarlas. El Grupo de debate había propuesto que las redes de investigación existentes se reunieran con las ONPF y las ORPF en un marco mundial y que se prorrogara el mandato del Grupo con objeto de finalizar una propuesta y elaborar un plan de aplicación para dicho marco.</w:t>
      </w:r>
    </w:p>
    <w:p w14:paraId="74B8C60E" w14:textId="77777777" w:rsidR="00CC42CC" w:rsidRPr="00C12449" w:rsidRDefault="00CC42CC" w:rsidP="00CC42CC">
      <w:pPr>
        <w:pStyle w:val="IPPParagraphnumbering"/>
        <w:rPr>
          <w:lang w:val="es-ES_tradnl"/>
        </w:rPr>
      </w:pPr>
      <w:r w:rsidRPr="00C12449">
        <w:rPr>
          <w:lang w:val="es-ES_tradnl"/>
        </w:rPr>
        <w:t>La CMF consideró la sugerencia de que, dada la complejidad de las redes de investigación, se estudiaran enfoques de menor costo como alternativa al establecimiento de un marco de redes de investigación dirigido por la CIPF, y de que la cuestión podría examinarse durante la elaboración del próximo marco estratégico de la CIPF, en lugar de prorrogar el mandato del Grupo de debate</w:t>
      </w:r>
      <w:r w:rsidRPr="00C12449">
        <w:rPr>
          <w:rStyle w:val="Refdenotaalpie"/>
          <w:lang w:val="es-ES_tradnl"/>
        </w:rPr>
        <w:footnoteReference w:id="43"/>
      </w:r>
      <w:r w:rsidRPr="00C12449">
        <w:rPr>
          <w:lang w:val="es-ES_tradnl"/>
        </w:rPr>
        <w:t>. Sin embargo, tras diversas manifestaciones de apoyo en sentido contrario, se alcanzó un consenso para ampliar el mandato del Grupo de debate tal como se había propuesto.</w:t>
      </w:r>
    </w:p>
    <w:p w14:paraId="6F92F767" w14:textId="77777777" w:rsidR="00CC42CC" w:rsidRPr="00C12449" w:rsidRDefault="00CC42CC" w:rsidP="00CC42CC">
      <w:pPr>
        <w:pStyle w:val="IPPParagraphnumberingclose"/>
        <w:rPr>
          <w:lang w:val="es-ES_tradnl"/>
        </w:rPr>
      </w:pPr>
      <w:r w:rsidRPr="00C12449">
        <w:rPr>
          <w:lang w:val="es-ES_tradnl"/>
        </w:rPr>
        <w:t>La CMF:</w:t>
      </w:r>
    </w:p>
    <w:p w14:paraId="742A0F0B" w14:textId="77777777" w:rsidR="00CC42CC" w:rsidRPr="00C12449" w:rsidRDefault="00CC42CC" w:rsidP="00CC42CC">
      <w:pPr>
        <w:pStyle w:val="IPPNumberedList"/>
        <w:numPr>
          <w:ilvl w:val="0"/>
          <w:numId w:val="47"/>
        </w:numPr>
        <w:rPr>
          <w:lang w:val="es-ES_tradnl"/>
        </w:rPr>
      </w:pPr>
      <w:r w:rsidRPr="00C12449">
        <w:rPr>
          <w:i/>
          <w:iCs/>
          <w:lang w:val="es-ES_tradnl"/>
        </w:rPr>
        <w:t>tomó nota</w:t>
      </w:r>
      <w:r w:rsidRPr="00C12449">
        <w:rPr>
          <w:lang w:val="es-ES_tradnl"/>
        </w:rPr>
        <w:t xml:space="preserve"> del informe relativo al estudio de delimitación del alcance presentado por el Grupo de debate de la CMF sobre la coordinación de la investigación fitosanitaria a nivel mundial; </w:t>
      </w:r>
    </w:p>
    <w:p w14:paraId="0C90171B" w14:textId="77777777" w:rsidR="00CC42CC" w:rsidRPr="00C12449" w:rsidRDefault="00CC42CC" w:rsidP="00CC42CC">
      <w:pPr>
        <w:pStyle w:val="IPPNumberedList"/>
        <w:numPr>
          <w:ilvl w:val="0"/>
          <w:numId w:val="47"/>
        </w:numPr>
        <w:rPr>
          <w:lang w:val="es-ES_tradnl"/>
        </w:rPr>
      </w:pPr>
      <w:r w:rsidRPr="00C12449">
        <w:rPr>
          <w:i/>
          <w:lang w:val="es-ES_tradnl"/>
        </w:rPr>
        <w:t>prorrogó</w:t>
      </w:r>
      <w:r w:rsidRPr="00C12449">
        <w:rPr>
          <w:lang w:val="es-ES_tradnl"/>
        </w:rPr>
        <w:t xml:space="preserve"> el mandato del Grupo de debate de la CMF hasta el final de la 21.ª reunión de la Comisión (2027), y le encomendó que finalizara una propuesta relativa a un marco de políticas e investigación y que elaborase un plan de aplicación para dicho marco.</w:t>
      </w:r>
    </w:p>
    <w:p w14:paraId="18FFFAF8" w14:textId="77777777" w:rsidR="00CC42CC" w:rsidRPr="00C12449" w:rsidRDefault="00CC42CC" w:rsidP="00CC42CC">
      <w:pPr>
        <w:pStyle w:val="IPPHeading2"/>
        <w:rPr>
          <w:lang w:val="es-ES_tradnl"/>
        </w:rPr>
      </w:pPr>
      <w:r w:rsidRPr="00C12449">
        <w:rPr>
          <w:lang w:val="es-ES_tradnl"/>
        </w:rPr>
        <w:lastRenderedPageBreak/>
        <w:t>13.8</w:t>
      </w:r>
      <w:r w:rsidRPr="00C12449">
        <w:rPr>
          <w:lang w:val="es-ES_tradnl"/>
        </w:rPr>
        <w:tab/>
        <w:t xml:space="preserve">Creación de redes de laboratorios de diagnóstico </w:t>
      </w:r>
    </w:p>
    <w:p w14:paraId="2F4BBF61" w14:textId="77777777" w:rsidR="00CC42CC" w:rsidRPr="00C12449" w:rsidRDefault="00CC42CC" w:rsidP="00CC42CC">
      <w:pPr>
        <w:pStyle w:val="IPPParagraphnumbering"/>
        <w:rPr>
          <w:lang w:val="es-ES_tradnl"/>
        </w:rPr>
      </w:pPr>
      <w:r w:rsidRPr="00C12449">
        <w:rPr>
          <w:lang w:val="es-ES_tradnl"/>
        </w:rPr>
        <w:t>La Secretaría presentó información actualizada sobre el tema de la Agenda de desarrollo titulado “Creación de redes de laboratorios de diagnóstico”</w:t>
      </w:r>
      <w:r w:rsidRPr="00C12449">
        <w:rPr>
          <w:rStyle w:val="Refdenotaalpie"/>
          <w:lang w:val="es-ES_tradnl"/>
        </w:rPr>
        <w:footnoteReference w:id="44"/>
      </w:r>
      <w:r w:rsidRPr="00C12449">
        <w:rPr>
          <w:lang w:val="es-ES_tradnl"/>
        </w:rPr>
        <w:t>. La Secretaría explicó que un consultor a título no oneroso había llevado a cabo una evaluación inicial del estado de las redes de laboratorios de diagnóstico y la había presentado al GPE en 2025. Las recomendaciones de este estudio, incluidas en el documento relativo a este tema del programa, serían consideradas por el Grupo de debate de la CMF en su primera reunión presencial, que se celebraría en junio de 2026. Mientras tanto, se invitó a la CMF a formular observaciones.</w:t>
      </w:r>
    </w:p>
    <w:p w14:paraId="07F9CA6D" w14:textId="77777777" w:rsidR="00CC42CC" w:rsidRPr="00C12449" w:rsidRDefault="00CC42CC" w:rsidP="00CC42CC">
      <w:pPr>
        <w:pStyle w:val="IPPParagraphnumbering"/>
        <w:rPr>
          <w:lang w:val="es-ES_tradnl"/>
        </w:rPr>
      </w:pPr>
      <w:r w:rsidRPr="00C12449">
        <w:rPr>
          <w:lang w:val="es-ES_tradnl"/>
        </w:rPr>
        <w:t>La CMF consideró la sugerencia de que podría ser necesario examinar las tareas restantes del Grupo de debate para considerar cómo mejorar, y no duplicar, las redes de diagnóstico existentes, y de que las principales recomendaciones del informe final se tuvieran en cuenta en la elaboración del próximo marco estratégico de la CIPF. La CMF también tomó nota de la sugerencia de que el Grupo de debate llevara a cabo consultas adicionales, dado que cada país se encontraba en una etapas diferente en cuanto a su acceso a las redes de diagnóstico.</w:t>
      </w:r>
    </w:p>
    <w:p w14:paraId="14D77771" w14:textId="77777777" w:rsidR="00CC42CC" w:rsidRPr="00C12449" w:rsidRDefault="00CC42CC" w:rsidP="00CC42CC">
      <w:pPr>
        <w:pStyle w:val="IPPParagraphnumberingclose"/>
        <w:rPr>
          <w:lang w:val="es-ES_tradnl"/>
        </w:rPr>
      </w:pPr>
      <w:r w:rsidRPr="00C12449">
        <w:rPr>
          <w:lang w:val="es-ES_tradnl"/>
        </w:rPr>
        <w:t xml:space="preserve">La CMF: </w:t>
      </w:r>
    </w:p>
    <w:p w14:paraId="290DD43D" w14:textId="77777777" w:rsidR="00CC42CC" w:rsidRPr="00C12449" w:rsidRDefault="00CC42CC" w:rsidP="008A40A5">
      <w:pPr>
        <w:pStyle w:val="IPPNumberedList"/>
        <w:numPr>
          <w:ilvl w:val="0"/>
          <w:numId w:val="62"/>
        </w:numPr>
        <w:rPr>
          <w:lang w:val="es-ES_tradnl"/>
        </w:rPr>
      </w:pPr>
      <w:r w:rsidRPr="00C12449">
        <w:rPr>
          <w:i/>
          <w:iCs/>
          <w:lang w:val="es-ES_tradnl"/>
        </w:rPr>
        <w:t>tomó nota</w:t>
      </w:r>
      <w:r w:rsidRPr="00C12449">
        <w:rPr>
          <w:lang w:val="es-ES_tradnl"/>
        </w:rPr>
        <w:t xml:space="preserve"> del documento sobre el tema de la Agenda de desarrollo titulado “Creación de redes de laboratorios de diagnóstico”; </w:t>
      </w:r>
    </w:p>
    <w:p w14:paraId="1293E5C1" w14:textId="77777777" w:rsidR="00CC42CC" w:rsidRPr="00C12449" w:rsidRDefault="00CC42CC" w:rsidP="00CC42CC">
      <w:pPr>
        <w:pStyle w:val="IPPNumberedList"/>
        <w:rPr>
          <w:lang w:val="es-ES_tradnl"/>
        </w:rPr>
      </w:pPr>
      <w:r w:rsidRPr="00C12449">
        <w:rPr>
          <w:i/>
          <w:lang w:val="es-ES_tradnl"/>
        </w:rPr>
        <w:t>alentó</w:t>
      </w:r>
      <w:r w:rsidRPr="00C12449">
        <w:rPr>
          <w:lang w:val="es-ES_tradnl"/>
        </w:rPr>
        <w:t xml:space="preserve"> a las partes contratantes y a las ORPF a enviar comentarios sobre las recomendaciones del presente informe a la Secretaría para su consideración por el Grupo de debate;</w:t>
      </w:r>
    </w:p>
    <w:p w14:paraId="4EE1DC6D" w14:textId="77777777" w:rsidR="00CC42CC" w:rsidRPr="00C12449" w:rsidRDefault="00CC42CC" w:rsidP="00CC42CC">
      <w:pPr>
        <w:pStyle w:val="IPPNumberedList"/>
        <w:rPr>
          <w:lang w:val="es-ES_tradnl"/>
        </w:rPr>
      </w:pPr>
      <w:r w:rsidRPr="00C12449">
        <w:rPr>
          <w:i/>
          <w:lang w:val="es-ES_tradnl"/>
        </w:rPr>
        <w:t>agradeció</w:t>
      </w:r>
      <w:r w:rsidRPr="00C12449">
        <w:rPr>
          <w:lang w:val="es-ES_tradnl"/>
        </w:rPr>
        <w:t xml:space="preserve"> a Sudáfrica la puesta a disposición de un consultor a título no oneroso para que llevara a cabo la evaluación inicial del estado de las redes de laboratorios de diagnóstico;</w:t>
      </w:r>
    </w:p>
    <w:p w14:paraId="49D22E18" w14:textId="77777777" w:rsidR="00CC42CC" w:rsidRPr="00C12449" w:rsidRDefault="00CC42CC" w:rsidP="00CC42CC">
      <w:pPr>
        <w:pStyle w:val="IPPNumberedList"/>
        <w:rPr>
          <w:lang w:val="es-ES_tradnl"/>
        </w:rPr>
      </w:pPr>
      <w:r w:rsidRPr="00C12449">
        <w:rPr>
          <w:i/>
          <w:lang w:val="es-ES_tradnl"/>
        </w:rPr>
        <w:t>solicitó</w:t>
      </w:r>
      <w:r w:rsidRPr="00C12449">
        <w:rPr>
          <w:lang w:val="es-ES_tradnl"/>
        </w:rPr>
        <w:t xml:space="preserve"> que la Mesa examinara los mandatos de los grupos de debate, teniendo en cuenta las conclusiones de la evaluación anterior, y los modificara según procediera;</w:t>
      </w:r>
    </w:p>
    <w:p w14:paraId="1F3F2929" w14:textId="77777777" w:rsidR="00CC42CC" w:rsidRPr="00C12449" w:rsidRDefault="00CC42CC" w:rsidP="008A40A5">
      <w:pPr>
        <w:pStyle w:val="IPPNumberedListLast"/>
        <w:rPr>
          <w:lang w:val="es-ES_tradnl"/>
        </w:rPr>
      </w:pPr>
      <w:r w:rsidRPr="00C12449">
        <w:rPr>
          <w:i/>
          <w:lang w:val="es-ES_tradnl"/>
        </w:rPr>
        <w:t>pidió</w:t>
      </w:r>
      <w:r w:rsidRPr="00C12449">
        <w:rPr>
          <w:lang w:val="es-ES_tradnl"/>
        </w:rPr>
        <w:t xml:space="preserve"> que el Grupo de debate elaborara su informe final para presentarlo en la 22.ª reunión de la CMF (2028).</w:t>
      </w:r>
    </w:p>
    <w:p w14:paraId="1DB02697" w14:textId="07FDD7E0" w:rsidR="00CC42CC" w:rsidRPr="00C12449" w:rsidRDefault="00CC42CC" w:rsidP="00CC42CC">
      <w:pPr>
        <w:pStyle w:val="IPPHeading2"/>
        <w:rPr>
          <w:lang w:val="es-ES_tradnl"/>
        </w:rPr>
      </w:pPr>
      <w:r w:rsidRPr="00C12449">
        <w:rPr>
          <w:lang w:val="es-ES_tradnl"/>
        </w:rPr>
        <w:t>13.9</w:t>
      </w:r>
      <w:r w:rsidRPr="00C12449">
        <w:rPr>
          <w:lang w:val="es-ES_tradnl"/>
        </w:rPr>
        <w:tab/>
        <w:t>Observatorio de la CIPF: Informe sobre los progresos respecto de las actividades de</w:t>
      </w:r>
      <w:r w:rsidR="00975BDA" w:rsidRPr="00C12449">
        <w:rPr>
          <w:lang w:val="es-ES_tradnl"/>
        </w:rPr>
        <w:t> </w:t>
      </w:r>
      <w:r w:rsidRPr="00C12449">
        <w:rPr>
          <w:lang w:val="es-ES_tradnl"/>
        </w:rPr>
        <w:t>2025 y plan de trabajo para 2026</w:t>
      </w:r>
    </w:p>
    <w:p w14:paraId="09C5294E" w14:textId="77777777" w:rsidR="00CC42CC" w:rsidRPr="00C12449" w:rsidRDefault="00CC42CC" w:rsidP="00CC42CC">
      <w:pPr>
        <w:pStyle w:val="IPPParagraphnumbering"/>
        <w:rPr>
          <w:lang w:val="es-ES_tradnl"/>
        </w:rPr>
      </w:pPr>
      <w:r w:rsidRPr="00C12449">
        <w:rPr>
          <w:lang w:val="es-ES_tradnl"/>
        </w:rPr>
        <w:t>La Secretaría presentó un informe sobre los progresos respecto de las actividades del Observatorio de la CIPF de 2025 y el plan de trabajo para 2026</w:t>
      </w:r>
      <w:r w:rsidRPr="00C12449">
        <w:rPr>
          <w:rStyle w:val="Refdenotaalpie"/>
          <w:lang w:val="es-ES_tradnl"/>
        </w:rPr>
        <w:footnoteReference w:id="45"/>
      </w:r>
      <w:r w:rsidRPr="00C12449">
        <w:rPr>
          <w:lang w:val="es-ES_tradnl"/>
        </w:rPr>
        <w:t xml:space="preserve">. Entre las actividades realizadas en 2025 figuraban la finalización de los estudios sobre comercio electrónico y sobre el uso de antimicrobianos, junto con la colaboración continuada con los observatorios del Codex Alimentarius y la Organización Mundial de Sanidad Animal. El plan de trabajo para 2026 se centró en el inicio de la tercera encuesta general de la CIPF, y en él se acordó la forma de proceder respecto del examen y la evaluación finales de los temas de la Agenda de desarrollo del Marco estratégico de la CIPF para 2020-2030, el examen de los temas que se presentaran y la movilización de recursos. </w:t>
      </w:r>
    </w:p>
    <w:p w14:paraId="6BCE3C85" w14:textId="77777777" w:rsidR="00CC42CC" w:rsidRPr="00C12449" w:rsidRDefault="00CC42CC" w:rsidP="00CC42CC">
      <w:pPr>
        <w:pStyle w:val="IPPParagraphnumbering"/>
        <w:rPr>
          <w:lang w:val="es-ES_tradnl"/>
        </w:rPr>
      </w:pPr>
      <w:r w:rsidRPr="00C12449">
        <w:rPr>
          <w:lang w:val="es-ES_tradnl"/>
        </w:rPr>
        <w:t>Si bien la Secretaría invitó a la CMF a considerar dos opciones para la evaluación final del Marco estratégico, la Comisión también consideró una sugerencia alternativa: que un pequeño grupo que informara a la Mesa, o la propia Mesa, llevara a cabo el examen mediante una evaluación de las realizaciones logradas por los grupos de debate competentes y de otras actividades pertinentes</w:t>
      </w:r>
      <w:r w:rsidRPr="00C12449">
        <w:rPr>
          <w:rStyle w:val="Refdenotaalpie"/>
          <w:lang w:val="es-ES_tradnl"/>
        </w:rPr>
        <w:footnoteReference w:id="46"/>
      </w:r>
      <w:r w:rsidRPr="00C12449">
        <w:rPr>
          <w:lang w:val="es-ES_tradnl"/>
        </w:rPr>
        <w:t>. Dado que no se alcanzó un consenso para aplicar este enfoque, la CMF acordó que el Observatorio de la CIPF debía llevar a cabo la evaluación, tal como se había previsto en un inicio, y señaló que dicha actividad estaba comprendida en su mandato.</w:t>
      </w:r>
    </w:p>
    <w:p w14:paraId="61F4BA71" w14:textId="77777777" w:rsidR="00CC42CC" w:rsidRPr="00C12449" w:rsidRDefault="00CC42CC" w:rsidP="00CC42CC">
      <w:pPr>
        <w:pStyle w:val="IPPParagraphnumbering"/>
        <w:rPr>
          <w:lang w:val="es-ES_tradnl"/>
        </w:rPr>
      </w:pPr>
      <w:r w:rsidRPr="00C12449">
        <w:rPr>
          <w:lang w:val="es-ES_tradnl"/>
        </w:rPr>
        <w:lastRenderedPageBreak/>
        <w:t>La CMF tomó nota de las ventajas de contratar a un especialista en encuestas para velar por que la encuesta estuviera estructurada de forma coherente y fuera de alta calidad</w:t>
      </w:r>
      <w:r w:rsidRPr="00C12449">
        <w:rPr>
          <w:rStyle w:val="Refdenotaalpie"/>
          <w:lang w:val="es-ES_tradnl"/>
        </w:rPr>
        <w:footnoteReference w:id="47"/>
      </w:r>
      <w:r w:rsidRPr="00C12449">
        <w:rPr>
          <w:lang w:val="es-ES_tradnl"/>
        </w:rPr>
        <w:t>.</w:t>
      </w:r>
    </w:p>
    <w:p w14:paraId="04A17245" w14:textId="77777777" w:rsidR="00CC42CC" w:rsidRPr="00C12449" w:rsidRDefault="00CC42CC" w:rsidP="00CC42CC">
      <w:pPr>
        <w:pStyle w:val="IPPParagraphnumberingclose"/>
        <w:rPr>
          <w:lang w:val="es-ES_tradnl"/>
        </w:rPr>
      </w:pPr>
      <w:r w:rsidRPr="00C12449">
        <w:rPr>
          <w:lang w:val="es-ES_tradnl"/>
        </w:rPr>
        <w:t>La CMF:</w:t>
      </w:r>
    </w:p>
    <w:p w14:paraId="40A98627" w14:textId="77777777" w:rsidR="00CC42CC" w:rsidRPr="00C12449" w:rsidRDefault="00CC42CC" w:rsidP="00CC42CC">
      <w:pPr>
        <w:pStyle w:val="IPPNumberedList"/>
        <w:numPr>
          <w:ilvl w:val="0"/>
          <w:numId w:val="53"/>
        </w:numPr>
        <w:rPr>
          <w:lang w:val="es-ES_tradnl"/>
        </w:rPr>
      </w:pPr>
      <w:r w:rsidRPr="00C12449">
        <w:rPr>
          <w:i/>
          <w:iCs/>
          <w:lang w:val="es-ES_tradnl"/>
        </w:rPr>
        <w:t xml:space="preserve">tomó nota </w:t>
      </w:r>
      <w:r w:rsidRPr="00C12449">
        <w:rPr>
          <w:lang w:val="es-ES_tradnl"/>
        </w:rPr>
        <w:t>del estado de las actividades del plan de trabajo del Observatorio de la CIPF para 2025, incluido el hecho de que algunas actividades no pudieron completarse debido a la falta de financiación específica;</w:t>
      </w:r>
    </w:p>
    <w:p w14:paraId="428C4BC7" w14:textId="77777777" w:rsidR="00CC42CC" w:rsidRPr="00C12449" w:rsidRDefault="00CC42CC" w:rsidP="00CC42CC">
      <w:pPr>
        <w:pStyle w:val="IPPNumberedList"/>
        <w:rPr>
          <w:lang w:val="es-ES_tradnl"/>
        </w:rPr>
      </w:pPr>
      <w:r w:rsidRPr="00C12449">
        <w:rPr>
          <w:i/>
          <w:iCs/>
          <w:lang w:val="es-ES_tradnl"/>
        </w:rPr>
        <w:t xml:space="preserve">tomó nota </w:t>
      </w:r>
      <w:r w:rsidRPr="00C12449">
        <w:rPr>
          <w:lang w:val="es-ES_tradnl"/>
        </w:rPr>
        <w:t>del plan de trabajo del Observatorio de la CIPF para 2026;</w:t>
      </w:r>
    </w:p>
    <w:p w14:paraId="1B43E152" w14:textId="77777777" w:rsidR="00CC42CC" w:rsidRPr="00C12449" w:rsidRDefault="00CC42CC" w:rsidP="00CC42CC">
      <w:pPr>
        <w:pStyle w:val="IPPNumberedList"/>
        <w:rPr>
          <w:lang w:val="es-ES_tradnl"/>
        </w:rPr>
      </w:pPr>
      <w:r w:rsidRPr="00C12449">
        <w:rPr>
          <w:i/>
          <w:iCs/>
          <w:lang w:val="es-ES_tradnl"/>
        </w:rPr>
        <w:t>tomó nota</w:t>
      </w:r>
      <w:r w:rsidRPr="00C12449">
        <w:rPr>
          <w:lang w:val="es-ES_tradnl"/>
        </w:rPr>
        <w:t xml:space="preserve"> de la decisión adoptada por la CMF en su 17.ª reunión (2023) y en su 19.ª reunión (2025) en la que </w:t>
      </w:r>
      <w:r w:rsidRPr="00C12449">
        <w:rPr>
          <w:i/>
          <w:iCs/>
          <w:lang w:val="es-ES_tradnl"/>
        </w:rPr>
        <w:t>solicitaba</w:t>
      </w:r>
      <w:r w:rsidRPr="00C12449">
        <w:rPr>
          <w:lang w:val="es-ES_tradnl"/>
        </w:rPr>
        <w:t xml:space="preserve"> a la Secretaría que considerase la posibilidad de crear un nuevo puesto de director de programas, que estaría a cargo de la coordinación y el seguimiento del programa, así como de la presentación de informes al respecto y la movilización de fondos, y en la que </w:t>
      </w:r>
      <w:r w:rsidRPr="00C12449">
        <w:rPr>
          <w:i/>
          <w:iCs/>
          <w:lang w:val="es-ES_tradnl"/>
        </w:rPr>
        <w:t>solicitaba</w:t>
      </w:r>
      <w:r w:rsidRPr="00C12449">
        <w:rPr>
          <w:lang w:val="es-ES_tradnl"/>
        </w:rPr>
        <w:t xml:space="preserve"> a la Mesa que aplicara esta decisión; </w:t>
      </w:r>
    </w:p>
    <w:p w14:paraId="1627B9F8" w14:textId="77777777" w:rsidR="00CC42CC" w:rsidRPr="00C12449" w:rsidRDefault="00CC42CC" w:rsidP="00CC42CC">
      <w:pPr>
        <w:pStyle w:val="IPPNumberedList"/>
        <w:rPr>
          <w:lang w:val="es-ES_tradnl"/>
        </w:rPr>
      </w:pPr>
      <w:r w:rsidRPr="00C12449">
        <w:rPr>
          <w:i/>
          <w:iCs/>
          <w:lang w:val="es-ES_tradnl"/>
        </w:rPr>
        <w:t>solicitó</w:t>
      </w:r>
      <w:r w:rsidRPr="00C12449">
        <w:rPr>
          <w:lang w:val="es-ES_tradnl"/>
        </w:rPr>
        <w:t xml:space="preserve"> al Secretario de la CIPF que colaborase con la Mesa para considerar la posibilidad de crear un nuevo puesto de director de programas, que estaría a cargo de la coordinación y el seguimiento del programa, así como de la presentación de informes al respecto y la movilización de fondos en 2026; </w:t>
      </w:r>
    </w:p>
    <w:p w14:paraId="0D1614E5" w14:textId="77777777" w:rsidR="00CC42CC" w:rsidRPr="00C12449" w:rsidRDefault="00CC42CC" w:rsidP="00CC42CC">
      <w:pPr>
        <w:pStyle w:val="IPPNumberedList"/>
        <w:rPr>
          <w:lang w:val="es-ES_tradnl"/>
        </w:rPr>
      </w:pPr>
      <w:r w:rsidRPr="00C12449">
        <w:rPr>
          <w:i/>
          <w:iCs/>
          <w:lang w:val="es-ES_tradnl"/>
        </w:rPr>
        <w:t>alentó</w:t>
      </w:r>
      <w:r w:rsidRPr="00C12449">
        <w:rPr>
          <w:lang w:val="es-ES_tradnl"/>
        </w:rPr>
        <w:t xml:space="preserve"> a los puntos de contacto oficiales de la CIPF a responder a la solicitud de presentación de datos sobre el uso de antimicrobianos en el ámbito de la sanidad vegetal a través de la plataforma del Sistema internacional de la FAO para el seguimiento de la resistencia a los antimicrobianos (InFARM) de la FAO;</w:t>
      </w:r>
    </w:p>
    <w:p w14:paraId="232C58B4" w14:textId="77777777" w:rsidR="00CC42CC" w:rsidRPr="00C12449" w:rsidRDefault="00CC42CC" w:rsidP="00CC42CC">
      <w:pPr>
        <w:pStyle w:val="IPPNumberedList"/>
        <w:rPr>
          <w:lang w:val="es-ES_tradnl"/>
        </w:rPr>
      </w:pPr>
      <w:r w:rsidRPr="00C12449">
        <w:rPr>
          <w:i/>
          <w:lang w:val="es-ES_tradnl"/>
        </w:rPr>
        <w:t>acordó</w:t>
      </w:r>
      <w:r w:rsidRPr="00C12449">
        <w:rPr>
          <w:lang w:val="es-ES_tradnl"/>
        </w:rPr>
        <w:t xml:space="preserve"> que el Observatorio de la CIPF llevase a cabo en 2027 el examen y la evaluación finales de los temas de la Agenda de desarrollo del Marco estratégico de la CIPF para 2020-2030, de conformidad con el mandato propuesto en el Apéndice 3 del documento CPM 2026/21, y </w:t>
      </w:r>
      <w:r w:rsidRPr="00C12449">
        <w:rPr>
          <w:i/>
          <w:iCs/>
          <w:lang w:val="es-ES_tradnl"/>
        </w:rPr>
        <w:t xml:space="preserve">solicitó </w:t>
      </w:r>
      <w:r w:rsidRPr="00C12449">
        <w:rPr>
          <w:lang w:val="es-ES_tradnl"/>
        </w:rPr>
        <w:t xml:space="preserve">que se asignaran los recursos financieros necesarios, a más tardar en 2026; </w:t>
      </w:r>
    </w:p>
    <w:p w14:paraId="7753BE1D" w14:textId="77777777" w:rsidR="00CC42CC" w:rsidRPr="00C12449" w:rsidRDefault="00CC42CC" w:rsidP="00CC42CC">
      <w:pPr>
        <w:pStyle w:val="IPPNumberedList"/>
        <w:rPr>
          <w:lang w:val="es-ES_tradnl"/>
        </w:rPr>
      </w:pPr>
      <w:r w:rsidRPr="00C12449">
        <w:rPr>
          <w:i/>
          <w:iCs/>
          <w:lang w:val="es-ES_tradnl"/>
        </w:rPr>
        <w:t xml:space="preserve">tomó nota </w:t>
      </w:r>
      <w:r w:rsidRPr="00C12449">
        <w:rPr>
          <w:lang w:val="es-ES_tradnl"/>
        </w:rPr>
        <w:t xml:space="preserve">de los esfuerzos realizados para reelaborar y normalizar la tercera encuesta general de la CIPF; </w:t>
      </w:r>
    </w:p>
    <w:p w14:paraId="62B15EBC" w14:textId="6DC71AC4" w:rsidR="00CC42CC" w:rsidRPr="00C12449" w:rsidRDefault="00CC42CC" w:rsidP="00CC42CC">
      <w:pPr>
        <w:pStyle w:val="IPPNumberedList"/>
        <w:rPr>
          <w:lang w:val="es-ES_tradnl"/>
        </w:rPr>
      </w:pPr>
      <w:r w:rsidRPr="00C12449">
        <w:rPr>
          <w:i/>
          <w:lang w:val="es-ES_tradnl"/>
        </w:rPr>
        <w:t>tomó nota</w:t>
      </w:r>
      <w:r w:rsidRPr="00C12449">
        <w:rPr>
          <w:lang w:val="es-ES_tradnl"/>
        </w:rPr>
        <w:t xml:space="preserve"> del inicio de la tercera encuesta general de la CIPF reelaborada en el segundo semestre de</w:t>
      </w:r>
      <w:r w:rsidR="00975BDA" w:rsidRPr="00C12449">
        <w:rPr>
          <w:lang w:val="es-ES_tradnl"/>
        </w:rPr>
        <w:t> </w:t>
      </w:r>
      <w:r w:rsidRPr="00C12449">
        <w:rPr>
          <w:lang w:val="es-ES_tradnl"/>
        </w:rPr>
        <w:t xml:space="preserve">2026 y </w:t>
      </w:r>
      <w:r w:rsidRPr="00C12449">
        <w:rPr>
          <w:i/>
          <w:lang w:val="es-ES_tradnl"/>
        </w:rPr>
        <w:t xml:space="preserve">solicitó </w:t>
      </w:r>
      <w:r w:rsidRPr="00C12449">
        <w:rPr>
          <w:lang w:val="es-ES_tradnl"/>
        </w:rPr>
        <w:t xml:space="preserve">a las partes contratantes que participasen activamente y respondieran a la encuesta; </w:t>
      </w:r>
    </w:p>
    <w:p w14:paraId="498C4A68" w14:textId="77777777" w:rsidR="00CC42CC" w:rsidRPr="00C12449" w:rsidRDefault="00CC42CC" w:rsidP="007E3C37">
      <w:pPr>
        <w:pStyle w:val="IPPNumberedListLast"/>
        <w:rPr>
          <w:lang w:val="es-ES_tradnl"/>
        </w:rPr>
      </w:pPr>
      <w:r w:rsidRPr="00C12449">
        <w:rPr>
          <w:i/>
          <w:iCs/>
          <w:lang w:val="es-ES_tradnl"/>
        </w:rPr>
        <w:t>agradeció</w:t>
      </w:r>
      <w:r w:rsidRPr="00C12449">
        <w:rPr>
          <w:lang w:val="es-ES_tradnl"/>
        </w:rPr>
        <w:t xml:space="preserve"> las contribuciones financieras del Gobierno de la República de Corea para apoyar la labor relativa a la tercera encuesta general de la CIPF. </w:t>
      </w:r>
    </w:p>
    <w:p w14:paraId="6927AE65" w14:textId="77777777" w:rsidR="00CC42CC" w:rsidRPr="00C12449" w:rsidRDefault="00CC42CC" w:rsidP="00CC42CC">
      <w:pPr>
        <w:pStyle w:val="IPPHeading1"/>
        <w:rPr>
          <w:lang w:val="es-ES_tradnl"/>
        </w:rPr>
      </w:pPr>
      <w:r w:rsidRPr="00C12449">
        <w:rPr>
          <w:lang w:val="es-ES_tradnl"/>
        </w:rPr>
        <w:t>14.</w:t>
      </w:r>
      <w:r w:rsidRPr="00C12449">
        <w:rPr>
          <w:lang w:val="es-ES_tradnl"/>
        </w:rPr>
        <w:tab/>
        <w:t>Información actualizada presentada por otros grupos de debate de la Comisión de Medidas Fitosanitarias</w:t>
      </w:r>
    </w:p>
    <w:p w14:paraId="325A578C" w14:textId="77777777" w:rsidR="00CC42CC" w:rsidRPr="00C12449" w:rsidRDefault="00CC42CC" w:rsidP="00CC42CC">
      <w:pPr>
        <w:pStyle w:val="IPPHeading2"/>
        <w:rPr>
          <w:lang w:val="es-ES_tradnl"/>
        </w:rPr>
      </w:pPr>
      <w:r w:rsidRPr="00C12449">
        <w:rPr>
          <w:lang w:val="es-ES_tradnl"/>
        </w:rPr>
        <w:t>14.1</w:t>
      </w:r>
      <w:r w:rsidRPr="00C12449">
        <w:rPr>
          <w:lang w:val="es-ES_tradnl"/>
        </w:rPr>
        <w:tab/>
        <w:t>Informe del Grupo de debate de la CMF sobre suministro seguro de ayuda alimentaria y de otro tipo de ayuda humanitaria</w:t>
      </w:r>
    </w:p>
    <w:p w14:paraId="4EDD5D31" w14:textId="77777777" w:rsidR="00CC42CC" w:rsidRPr="00C12449" w:rsidRDefault="00CC42CC" w:rsidP="00CC42CC">
      <w:pPr>
        <w:pStyle w:val="IPPParagraphnumbering"/>
        <w:rPr>
          <w:lang w:val="es-ES_tradnl"/>
        </w:rPr>
      </w:pPr>
      <w:r w:rsidRPr="00C12449">
        <w:rPr>
          <w:lang w:val="es-ES_tradnl"/>
        </w:rPr>
        <w:t>La Vicepresidenta del Grupo de debate de la CMF sobre suministro seguro de ayuda alimentaria y de otro tipo de ayuda humanitaria presentó el informe final del Grupo</w:t>
      </w:r>
      <w:r w:rsidRPr="00C12449">
        <w:rPr>
          <w:rStyle w:val="Refdenotaalpie"/>
          <w:lang w:val="es-ES_tradnl"/>
        </w:rPr>
        <w:footnoteReference w:id="48"/>
      </w:r>
      <w:r w:rsidRPr="00C12449">
        <w:rPr>
          <w:lang w:val="es-ES_tradnl"/>
        </w:rPr>
        <w:t xml:space="preserve">. Confirmó que, con la presentación de la sesión científica durante la reunión (en lugar de un seminario web) y la inclusión del plan de acción en el informe del Grupo de debate, este había ejecutado con éxito todas sus tareas y concluía su mandato en la presente reunión. La Vicepresidenta del Grupo de debate destacó la complejidad de prestar ayuda humanitaria y la importancia de transmitir mensajes claros. Asimismo, hizo hincapié en que el Grupo de debate había trabajado según el principio de “no hacer daño”, consciente de que la preservación de la vida humana era primordial; por lo tanto, la finalidad del proyecto de NIMF sería ayudar a que las ONPF desempeñaran sus funciones sin retrasar la prestación de ayuda. </w:t>
      </w:r>
    </w:p>
    <w:p w14:paraId="1D4CF7A5" w14:textId="77777777" w:rsidR="00CC42CC" w:rsidRPr="00C12449" w:rsidRDefault="00CC42CC" w:rsidP="00975BDA">
      <w:pPr>
        <w:pStyle w:val="IPPParagraphnumbering"/>
        <w:spacing w:after="120"/>
        <w:rPr>
          <w:lang w:val="es-ES_tradnl"/>
        </w:rPr>
      </w:pPr>
      <w:r w:rsidRPr="00C12449">
        <w:rPr>
          <w:lang w:val="es-ES_tradnl"/>
        </w:rPr>
        <w:lastRenderedPageBreak/>
        <w:t>Las partes contratantes pusieron de relieve la necesidad de tomar en consideración el riesgo de plagas asociado a la ayuda humanitaria que atravesaba países de tránsito. Una ORPF también manifestó su intención de aportar recursos e instrumentos para realizar ejercicios de simulación, lo cual se sometería a consideración de la Secretaría.</w:t>
      </w:r>
    </w:p>
    <w:p w14:paraId="2CC53C6D" w14:textId="77777777" w:rsidR="00CC42CC" w:rsidRPr="00C12449" w:rsidRDefault="00CC42CC" w:rsidP="00975BDA">
      <w:pPr>
        <w:pStyle w:val="IPPParagraphnumbering"/>
        <w:spacing w:after="120"/>
        <w:rPr>
          <w:lang w:val="es-ES_tradnl"/>
        </w:rPr>
      </w:pPr>
      <w:r w:rsidRPr="00C12449">
        <w:rPr>
          <w:lang w:val="es-ES_tradnl"/>
        </w:rPr>
        <w:t xml:space="preserve">La Secretaría informó a la CMF de que, como consecuencia de las recientes dificultades para viajar por el mundo, se había pospuesto el grupo de trabajo de expertos relativo al proyecto de NIMF sobre el </w:t>
      </w:r>
      <w:r w:rsidRPr="00C12449">
        <w:rPr>
          <w:i/>
          <w:iCs/>
          <w:lang w:val="es-ES_tradnl"/>
        </w:rPr>
        <w:t xml:space="preserve">Suministro seguro de ayuda humanitaria en el contexto fitosanitario </w:t>
      </w:r>
      <w:r w:rsidRPr="00C12449">
        <w:rPr>
          <w:lang w:val="es-ES_tradnl"/>
        </w:rPr>
        <w:t>(2021-020), que estaba previsto para la semana siguiente a la presente reunión. La Secretaría agradeció a Fiji y a la Organización de Protección Fitosanitaria del Pacífico por aceptar la organización conjunta del grupo de trabajo de expertos.</w:t>
      </w:r>
    </w:p>
    <w:p w14:paraId="25ABE004" w14:textId="77777777" w:rsidR="00CC42CC" w:rsidRPr="00C12449" w:rsidRDefault="00CC42CC" w:rsidP="00CC42CC">
      <w:pPr>
        <w:pStyle w:val="IPPParagraphnumberingclose"/>
        <w:rPr>
          <w:lang w:val="es-ES_tradnl"/>
        </w:rPr>
      </w:pPr>
      <w:r w:rsidRPr="00C12449">
        <w:rPr>
          <w:lang w:val="es-ES_tradnl"/>
        </w:rPr>
        <w:t xml:space="preserve">La CMF: </w:t>
      </w:r>
    </w:p>
    <w:p w14:paraId="4DBDB8B1" w14:textId="77777777" w:rsidR="00CC42CC" w:rsidRPr="00C12449" w:rsidRDefault="00CC42CC" w:rsidP="00CC42CC">
      <w:pPr>
        <w:pStyle w:val="IPPNumberedList"/>
        <w:numPr>
          <w:ilvl w:val="0"/>
          <w:numId w:val="18"/>
        </w:numPr>
        <w:rPr>
          <w:lang w:val="es-ES_tradnl"/>
        </w:rPr>
      </w:pPr>
      <w:r w:rsidRPr="00C12449">
        <w:rPr>
          <w:i/>
          <w:iCs/>
          <w:lang w:val="es-ES_tradnl"/>
        </w:rPr>
        <w:t>tomó nota</w:t>
      </w:r>
      <w:r w:rsidRPr="00C12449">
        <w:rPr>
          <w:lang w:val="es-ES_tradnl"/>
        </w:rPr>
        <w:t xml:space="preserve"> del informe final del Grupo de debate de la CMF sobre suministro seguro de ayuda alimentaria y de otro tipo de ayuda humanitaria;</w:t>
      </w:r>
    </w:p>
    <w:p w14:paraId="026343D5" w14:textId="77777777" w:rsidR="00CC42CC" w:rsidRPr="00C12449" w:rsidRDefault="00CC42CC" w:rsidP="00CC42CC">
      <w:pPr>
        <w:pStyle w:val="IPPNumberedList"/>
        <w:rPr>
          <w:lang w:val="es-ES_tradnl"/>
        </w:rPr>
      </w:pPr>
      <w:r w:rsidRPr="00C12449">
        <w:rPr>
          <w:i/>
          <w:iCs/>
          <w:lang w:val="es-ES_tradnl"/>
        </w:rPr>
        <w:t>dio las gracias</w:t>
      </w:r>
      <w:r w:rsidRPr="00C12449">
        <w:rPr>
          <w:lang w:val="es-ES_tradnl"/>
        </w:rPr>
        <w:t xml:space="preserve"> a Australia por sus contribuciones financieras a la labor del Grupo de debate y a todas las ONPF, ORPF y organizaciones mencionadas en el informe del Grupo de debate por su apoyo directo;</w:t>
      </w:r>
    </w:p>
    <w:p w14:paraId="352DFA93" w14:textId="77777777" w:rsidR="00CC42CC" w:rsidRPr="00C12449" w:rsidRDefault="00CC42CC" w:rsidP="00CC42CC">
      <w:pPr>
        <w:pStyle w:val="IPPNumberedList"/>
        <w:rPr>
          <w:lang w:val="es-ES_tradnl"/>
        </w:rPr>
      </w:pPr>
      <w:r w:rsidRPr="00C12449">
        <w:rPr>
          <w:i/>
          <w:iCs/>
          <w:lang w:val="es-ES_tradnl"/>
        </w:rPr>
        <w:t>se mostró de acuerdo con</w:t>
      </w:r>
      <w:r w:rsidRPr="00C12449">
        <w:rPr>
          <w:lang w:val="es-ES_tradnl"/>
        </w:rPr>
        <w:t xml:space="preserve"> el plan de acción para la colaboración con otras organizaciones en relación con el movimiento seguro de ayuda humanitaria, que figura en el Anexo 1 del documento CPM 2026/22, y </w:t>
      </w:r>
      <w:r w:rsidRPr="00C12449">
        <w:rPr>
          <w:i/>
          <w:iCs/>
          <w:lang w:val="es-ES_tradnl"/>
        </w:rPr>
        <w:t>tomó nota</w:t>
      </w:r>
      <w:r w:rsidRPr="00C12449">
        <w:rPr>
          <w:lang w:val="es-ES_tradnl"/>
        </w:rPr>
        <w:t xml:space="preserve"> de la forma en la que la comunidad de la CIPF podría ayudar a aplicar las propuestas o los resultados pertinentes;</w:t>
      </w:r>
    </w:p>
    <w:p w14:paraId="3FF2BC16" w14:textId="77777777" w:rsidR="00CC42CC" w:rsidRPr="00C12449" w:rsidRDefault="00CC42CC" w:rsidP="00975BDA">
      <w:pPr>
        <w:pStyle w:val="IPPNumberedListLast"/>
        <w:spacing w:after="120"/>
        <w:rPr>
          <w:lang w:val="es-ES_tradnl"/>
        </w:rPr>
      </w:pPr>
      <w:r w:rsidRPr="00C12449">
        <w:rPr>
          <w:i/>
          <w:iCs/>
          <w:lang w:val="es-ES_tradnl"/>
        </w:rPr>
        <w:t>reconoció</w:t>
      </w:r>
      <w:r w:rsidRPr="00C12449">
        <w:rPr>
          <w:lang w:val="es-ES_tradnl"/>
        </w:rPr>
        <w:t xml:space="preserve"> la contribución de los miembros del Grupo de debate (Apéndice X) y </w:t>
      </w:r>
      <w:r w:rsidRPr="00C12449">
        <w:rPr>
          <w:i/>
          <w:iCs/>
          <w:lang w:val="es-ES_tradnl"/>
        </w:rPr>
        <w:t>agradeció</w:t>
      </w:r>
      <w:r w:rsidRPr="00C12449">
        <w:rPr>
          <w:lang w:val="es-ES_tradnl"/>
        </w:rPr>
        <w:t xml:space="preserve"> su trabajo.</w:t>
      </w:r>
    </w:p>
    <w:p w14:paraId="059A0925" w14:textId="77777777" w:rsidR="005439F9" w:rsidRPr="00C12449" w:rsidRDefault="005439F9" w:rsidP="005439F9">
      <w:pPr>
        <w:pStyle w:val="IPPHeading2"/>
        <w:rPr>
          <w:lang w:val="es-ES_tradnl"/>
        </w:rPr>
      </w:pPr>
      <w:r w:rsidRPr="00C12449">
        <w:rPr>
          <w:lang w:val="es-ES_tradnl"/>
        </w:rPr>
        <w:t>14.2</w:t>
      </w:r>
      <w:r w:rsidRPr="00C12449">
        <w:rPr>
          <w:lang w:val="es-ES_tradnl"/>
        </w:rPr>
        <w:tab/>
        <w:t>Información actualizada facilitada por el Grupo de debate de la CMF sobre contenedores marítimos</w:t>
      </w:r>
    </w:p>
    <w:p w14:paraId="015D7217" w14:textId="77777777" w:rsidR="005439F9" w:rsidRPr="00C12449" w:rsidRDefault="005439F9" w:rsidP="00975BDA">
      <w:pPr>
        <w:pStyle w:val="IPPParagraphnumbering"/>
        <w:spacing w:after="120"/>
        <w:rPr>
          <w:lang w:val="es-ES_tradnl"/>
        </w:rPr>
      </w:pPr>
      <w:r w:rsidRPr="00C12449">
        <w:rPr>
          <w:lang w:val="es-ES_tradnl"/>
        </w:rPr>
        <w:t>Uno de los dos copresidentes del Grupo de debate de la CMF sobre contenedores marítimos presentó información actualizada sobre las actividades del grupo</w:t>
      </w:r>
      <w:r w:rsidRPr="00C12449">
        <w:rPr>
          <w:rStyle w:val="Refdenotaalpie"/>
          <w:lang w:val="es-ES_tradnl"/>
        </w:rPr>
        <w:footnoteReference w:id="49"/>
      </w:r>
      <w:r w:rsidRPr="00C12449">
        <w:rPr>
          <w:lang w:val="es-ES_tradnl"/>
        </w:rPr>
        <w:t xml:space="preserve">. Informó de que el Grupo de debate había prestado apoyo a la celebración de un simposio en octubre de 2025, había continuado con su evaluación de las medidas reglamentarias y no reglamentarias y había seguido perfeccionando el enfoque de la responsabilidad de custodia. Sin embargo, el Grupo de debate no había podido ultimar su evaluación de la eficacia de la recomendación de la CMF sobre </w:t>
      </w:r>
      <w:r w:rsidRPr="00C12449">
        <w:rPr>
          <w:i/>
          <w:iCs/>
          <w:lang w:val="es-ES_tradnl"/>
        </w:rPr>
        <w:t>Contenedores marítimos</w:t>
      </w:r>
      <w:r w:rsidRPr="00C12449">
        <w:rPr>
          <w:lang w:val="es-ES_tradnl"/>
        </w:rPr>
        <w:t xml:space="preserve"> (R-06), ya que había resultado imposible obtener suficientes datos idóneos. Además, las observaciones recogidas en varios talleres regionales de la CIPF y de algunas ONPF durante el simposio indicaban que tanto el conocimiento como la aplicación de la recomendación de la CMF seguían siendo muy limitados. Explicó que, habida cuenta de la escasa asistencia al simposio de 2025, el Grupo de debate había propuesto que, en lugar de celebrar un taller internacional en 2026 como estaba previsto, su atención se centrara en otros medios para incrementar la sensibilización y recabar observaciones.</w:t>
      </w:r>
    </w:p>
    <w:p w14:paraId="78EE7ED2" w14:textId="77777777" w:rsidR="005439F9" w:rsidRPr="00C12449" w:rsidRDefault="005439F9" w:rsidP="00975BDA">
      <w:pPr>
        <w:pStyle w:val="IPPParagraphnumbering"/>
        <w:spacing w:after="120"/>
        <w:rPr>
          <w:lang w:val="es-ES_tradnl"/>
        </w:rPr>
      </w:pPr>
      <w:r w:rsidRPr="00C12449">
        <w:rPr>
          <w:lang w:val="es-ES_tradnl"/>
        </w:rPr>
        <w:t>La CMF tomó nota de la sugerencia de que el Grupo de debate determinara y programara una colaboración continua con las partes interesadas, y acogió con agrado la confirmación por parte del Canadá de que su promesa de contribución financiera para celebrar un taller sobre contenedores marítimos en 2026</w:t>
      </w:r>
      <w:r w:rsidRPr="00C12449">
        <w:rPr>
          <w:rStyle w:val="Refdenotaalpie"/>
          <w:lang w:val="es-ES_tradnl"/>
        </w:rPr>
        <w:footnoteReference w:id="50"/>
      </w:r>
      <w:r w:rsidRPr="00C12449">
        <w:rPr>
          <w:lang w:val="es-ES_tradnl"/>
        </w:rPr>
        <w:t xml:space="preserve"> podría utilizarse en apoyo de esta iniciativa.</w:t>
      </w:r>
    </w:p>
    <w:p w14:paraId="70842D68" w14:textId="77777777" w:rsidR="005439F9" w:rsidRPr="00C12449" w:rsidRDefault="005439F9" w:rsidP="00975BDA">
      <w:pPr>
        <w:pStyle w:val="IPPParagraphnumbering"/>
        <w:spacing w:after="120"/>
        <w:rPr>
          <w:lang w:val="es-ES_tradnl"/>
        </w:rPr>
      </w:pPr>
      <w:r w:rsidRPr="00C12449">
        <w:rPr>
          <w:lang w:val="es-ES_tradnl"/>
        </w:rPr>
        <w:t>La CMF acogió con satisfacción las enmiendas al Código de prácticas para la arrumazón de las unidades de transporte (Código CTU) presentadas por el Grupo de debate, y tomó nota del riesgo de plagas que planteaban los contenedores marítimos vacíos.</w:t>
      </w:r>
    </w:p>
    <w:p w14:paraId="19CEE28C" w14:textId="77777777" w:rsidR="005439F9" w:rsidRPr="00C12449" w:rsidRDefault="005439F9" w:rsidP="00975BDA">
      <w:pPr>
        <w:pStyle w:val="IPPParagraphnumberingclose"/>
        <w:spacing w:after="0"/>
        <w:rPr>
          <w:lang w:val="es-ES_tradnl"/>
        </w:rPr>
      </w:pPr>
      <w:r w:rsidRPr="00C12449">
        <w:rPr>
          <w:lang w:val="es-ES_tradnl"/>
        </w:rPr>
        <w:t>La CMF:</w:t>
      </w:r>
    </w:p>
    <w:p w14:paraId="30D5E0C3" w14:textId="77777777" w:rsidR="005439F9" w:rsidRPr="00C12449" w:rsidRDefault="005439F9" w:rsidP="00975BDA">
      <w:pPr>
        <w:pStyle w:val="IPPNumberedList"/>
        <w:numPr>
          <w:ilvl w:val="0"/>
          <w:numId w:val="48"/>
        </w:numPr>
        <w:spacing w:after="120"/>
        <w:rPr>
          <w:lang w:val="es-ES_tradnl"/>
        </w:rPr>
      </w:pPr>
      <w:r w:rsidRPr="00C12449">
        <w:rPr>
          <w:i/>
          <w:lang w:val="es-ES_tradnl"/>
        </w:rPr>
        <w:t>tomó nota</w:t>
      </w:r>
      <w:r w:rsidRPr="00C12449">
        <w:rPr>
          <w:lang w:val="es-ES_tradnl"/>
        </w:rPr>
        <w:t xml:space="preserve"> de la información actualizada de 2025 del Grupo de debate de la CMF sobre contenedores marítimos.</w:t>
      </w:r>
    </w:p>
    <w:sectPr w:rsidR="005439F9" w:rsidRPr="00C12449" w:rsidSect="003E3770">
      <w:headerReference w:type="even" r:id="rId11"/>
      <w:footerReference w:type="even" r:id="rId12"/>
      <w:footerReference w:type="default" r:id="rId13"/>
      <w:footerReference w:type="first" r:id="rId14"/>
      <w:pgSz w:w="11906" w:h="16838" w:code="9"/>
      <w:pgMar w:top="1559" w:right="1418" w:bottom="1418" w:left="1418" w:header="851"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2FA8F" w14:textId="77777777" w:rsidR="00ED0B19" w:rsidRDefault="00ED0B19" w:rsidP="0096599A">
      <w:r>
        <w:separator/>
      </w:r>
    </w:p>
  </w:endnote>
  <w:endnote w:type="continuationSeparator" w:id="0">
    <w:p w14:paraId="03F99C35" w14:textId="77777777" w:rsidR="00ED0B19" w:rsidRDefault="00ED0B19" w:rsidP="0096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3651B" w14:textId="56E5B233" w:rsidR="0096599A" w:rsidRDefault="0096599A" w:rsidP="0096599A">
    <w:pPr>
      <w:pStyle w:val="IPPFooter"/>
    </w:pPr>
    <w:r>
      <w:t xml:space="preserve">Página </w:t>
    </w:r>
    <w:r w:rsidRPr="0003592E">
      <w:fldChar w:fldCharType="begin"/>
    </w:r>
    <w:r w:rsidRPr="0003592E">
      <w:instrText xml:space="preserve"> PAGE  \* Arabic  \* MERGEFORMAT </w:instrText>
    </w:r>
    <w:r w:rsidRPr="0003592E">
      <w:fldChar w:fldCharType="separate"/>
    </w:r>
    <w:r w:rsidRPr="0003592E">
      <w:t>3</w:t>
    </w:r>
    <w:r w:rsidRPr="0003592E">
      <w:fldChar w:fldCharType="end"/>
    </w:r>
    <w:r>
      <w:t xml:space="preserve"> de </w:t>
    </w:r>
    <w:fldSimple w:instr="NUMPAGES  \* Arabic  \* MERGEFORMAT">
      <w:r w:rsidRPr="0003592E">
        <w:t>3</w:t>
      </w:r>
    </w:fldSimple>
    <w:r>
      <w:rPr>
        <w:b w:val="0"/>
      </w:rPr>
      <w:tab/>
    </w:r>
    <w:r>
      <w:rPr>
        <w:bCs/>
      </w:rPr>
      <w:t>Convención Internacional de Protección Fitosanitaria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28700" w14:textId="50AD8540" w:rsidR="0096599A" w:rsidRDefault="0083767F" w:rsidP="0083767F">
    <w:pPr>
      <w:pStyle w:val="Piedepgina"/>
    </w:pPr>
    <w:r>
      <w:rPr>
        <w:b/>
      </w:rPr>
      <w:tab/>
    </w:r>
    <w:r w:rsidR="0096599A">
      <w:rPr>
        <w:b/>
      </w:rPr>
      <w:fldChar w:fldCharType="begin"/>
    </w:r>
    <w:r w:rsidR="0096599A">
      <w:instrText xml:space="preserve"> PAGE  \* Arabic  \* MERGEFORMAT </w:instrText>
    </w:r>
    <w:r w:rsidR="0096599A">
      <w:rPr>
        <w:b/>
      </w:rPr>
      <w:fldChar w:fldCharType="separate"/>
    </w:r>
    <w:r w:rsidR="0096599A">
      <w:t>1</w:t>
    </w:r>
    <w:r w:rsidR="0096599A">
      <w:rP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4CF6A" w14:textId="5D0CE3AD" w:rsidR="0096599A" w:rsidRPr="0003592E" w:rsidRDefault="0096599A" w:rsidP="0096599A">
    <w:pPr>
      <w:pStyle w:val="IPPFooter"/>
    </w:pPr>
    <w:r>
      <w:t>Convención Internacional de Protección Fitosanitaria</w:t>
    </w:r>
    <w:r>
      <w:tab/>
      <w:t xml:space="preserve">Página </w:t>
    </w:r>
    <w:r w:rsidRPr="0003592E">
      <w:fldChar w:fldCharType="begin"/>
    </w:r>
    <w:r w:rsidRPr="0003592E">
      <w:instrText xml:space="preserve"> PAGE  \* Arabic  \* MERGEFORMAT </w:instrText>
    </w:r>
    <w:r w:rsidRPr="0003592E">
      <w:fldChar w:fldCharType="separate"/>
    </w:r>
    <w:r w:rsidRPr="0003592E">
      <w:t>3</w:t>
    </w:r>
    <w:r w:rsidRPr="0003592E">
      <w:fldChar w:fldCharType="end"/>
    </w:r>
    <w:r>
      <w:t xml:space="preserve"> de </w:t>
    </w:r>
    <w:fldSimple w:instr="NUMPAGES  \* Arabic  \* MERGEFORMAT">
      <w:r w:rsidRPr="0003592E">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21AEA" w14:textId="77777777" w:rsidR="00ED0B19" w:rsidRDefault="00ED0B19" w:rsidP="0096599A">
      <w:r>
        <w:separator/>
      </w:r>
    </w:p>
  </w:footnote>
  <w:footnote w:type="continuationSeparator" w:id="0">
    <w:p w14:paraId="65081BC7" w14:textId="77777777" w:rsidR="00ED0B19" w:rsidRDefault="00ED0B19" w:rsidP="0096599A">
      <w:r>
        <w:continuationSeparator/>
      </w:r>
    </w:p>
  </w:footnote>
  <w:footnote w:id="1">
    <w:p w14:paraId="71F4C1AF" w14:textId="77777777" w:rsidR="00B2035B" w:rsidRPr="00A50C4D" w:rsidRDefault="00B2035B" w:rsidP="00DD779A">
      <w:pPr>
        <w:pStyle w:val="IPPFootnote"/>
        <w:jc w:val="left"/>
        <w:rPr>
          <w:i/>
          <w:iCs/>
        </w:rPr>
      </w:pPr>
      <w:r>
        <w:rPr>
          <w:rStyle w:val="Refdenotaalpie"/>
        </w:rPr>
        <w:footnoteRef/>
      </w:r>
      <w:r>
        <w:t xml:space="preserve"> Lista de participantes: [</w:t>
      </w:r>
      <w:r>
        <w:rPr>
          <w:i/>
          <w:highlight w:val="yellow"/>
        </w:rPr>
        <w:t>insertar enlace</w:t>
      </w:r>
      <w:r>
        <w:t>]</w:t>
      </w:r>
    </w:p>
  </w:footnote>
  <w:footnote w:id="2">
    <w:p w14:paraId="53A642A4" w14:textId="77777777" w:rsidR="001A2904" w:rsidRDefault="001A2904" w:rsidP="00DD779A">
      <w:pPr>
        <w:pStyle w:val="IPPFootnote"/>
        <w:jc w:val="left"/>
      </w:pPr>
      <w:r>
        <w:rPr>
          <w:rStyle w:val="Refdenotaalpie"/>
        </w:rPr>
        <w:footnoteRef/>
      </w:r>
      <w:r>
        <w:t xml:space="preserve"> CPM 2026/INF/27.</w:t>
      </w:r>
    </w:p>
  </w:footnote>
  <w:footnote w:id="3">
    <w:p w14:paraId="2C0DCF7D" w14:textId="77777777" w:rsidR="000E6892" w:rsidRDefault="000E6892" w:rsidP="00DD779A">
      <w:pPr>
        <w:pStyle w:val="IPPFootnote"/>
        <w:jc w:val="left"/>
      </w:pPr>
      <w:r>
        <w:rPr>
          <w:rStyle w:val="Refdenotaalpie"/>
        </w:rPr>
        <w:footnoteRef/>
      </w:r>
      <w:r>
        <w:t xml:space="preserve"> CPM 2026/43.</w:t>
      </w:r>
    </w:p>
  </w:footnote>
  <w:footnote w:id="4">
    <w:p w14:paraId="00EAA7BF" w14:textId="77777777" w:rsidR="00CC42CC" w:rsidRDefault="00CC42CC" w:rsidP="00DD779A">
      <w:pPr>
        <w:pStyle w:val="IPPFootnote"/>
        <w:jc w:val="left"/>
      </w:pPr>
      <w:r>
        <w:rPr>
          <w:rStyle w:val="Refdenotaalpie"/>
        </w:rPr>
        <w:footnoteRef/>
      </w:r>
      <w:r>
        <w:t xml:space="preserve"> CPM 2026/44.</w:t>
      </w:r>
    </w:p>
  </w:footnote>
  <w:footnote w:id="5">
    <w:p w14:paraId="45320881" w14:textId="77777777" w:rsidR="00CC42CC" w:rsidRPr="00047C94" w:rsidRDefault="00CC42CC" w:rsidP="00DD779A">
      <w:pPr>
        <w:pStyle w:val="IPPFootnote"/>
        <w:jc w:val="left"/>
      </w:pPr>
      <w:r>
        <w:rPr>
          <w:rStyle w:val="Refdenotaalpie"/>
        </w:rPr>
        <w:footnoteRef/>
      </w:r>
      <w:r>
        <w:t xml:space="preserve"> CPM 2026/INF/05; CPM 2026/INF/24; CPM 2026/INF/29; CPM 2026/INF/33; CPM 2026/INF/34; CPM 2026/INF/36.</w:t>
      </w:r>
    </w:p>
  </w:footnote>
  <w:footnote w:id="6">
    <w:p w14:paraId="189447B5" w14:textId="77777777" w:rsidR="000E6892" w:rsidRDefault="000E6892" w:rsidP="00DD779A">
      <w:pPr>
        <w:pStyle w:val="IPPFootnote"/>
        <w:jc w:val="left"/>
      </w:pPr>
      <w:r>
        <w:rPr>
          <w:rStyle w:val="Refdenotaalpie"/>
        </w:rPr>
        <w:footnoteRef/>
      </w:r>
      <w:r>
        <w:t xml:space="preserve"> CPM 2026/04.</w:t>
      </w:r>
    </w:p>
  </w:footnote>
  <w:footnote w:id="7">
    <w:p w14:paraId="0B8FB443" w14:textId="77777777" w:rsidR="000E6892" w:rsidRDefault="000E6892" w:rsidP="00DD779A">
      <w:pPr>
        <w:pStyle w:val="IPPFootnote"/>
        <w:jc w:val="left"/>
      </w:pPr>
      <w:r>
        <w:rPr>
          <w:rStyle w:val="Refdenotaalpie"/>
        </w:rPr>
        <w:footnoteRef/>
      </w:r>
      <w:r>
        <w:t xml:space="preserve"> Artículo II del Anexo I del Reglamento de la CMF.</w:t>
      </w:r>
    </w:p>
  </w:footnote>
  <w:footnote w:id="8">
    <w:p w14:paraId="5E36301E" w14:textId="77777777" w:rsidR="001A2904" w:rsidRDefault="001A2904" w:rsidP="00DD779A">
      <w:pPr>
        <w:pStyle w:val="IPPFootnote"/>
        <w:jc w:val="left"/>
      </w:pPr>
      <w:r>
        <w:rPr>
          <w:rStyle w:val="Refdenotaalpie"/>
        </w:rPr>
        <w:footnoteRef/>
      </w:r>
      <w:r>
        <w:t xml:space="preserve"> CPM 2026/40.</w:t>
      </w:r>
    </w:p>
  </w:footnote>
  <w:footnote w:id="9">
    <w:p w14:paraId="5FE0CBE2" w14:textId="77777777" w:rsidR="001A2904" w:rsidRDefault="001A2904" w:rsidP="00DD779A">
      <w:pPr>
        <w:pStyle w:val="IPPFootnote"/>
        <w:jc w:val="left"/>
      </w:pPr>
      <w:r>
        <w:rPr>
          <w:rStyle w:val="Refdenotaalpie"/>
        </w:rPr>
        <w:footnoteRef/>
      </w:r>
      <w:r>
        <w:t xml:space="preserve"> CPM 2026/CRP/07.</w:t>
      </w:r>
    </w:p>
  </w:footnote>
  <w:footnote w:id="10">
    <w:p w14:paraId="16EE0DEE" w14:textId="77777777" w:rsidR="001A2904" w:rsidRDefault="001A2904" w:rsidP="00DD779A">
      <w:pPr>
        <w:pStyle w:val="IPPFootnote"/>
        <w:jc w:val="left"/>
      </w:pPr>
      <w:r>
        <w:rPr>
          <w:rStyle w:val="Refdenotaalpie"/>
        </w:rPr>
        <w:footnoteRef/>
      </w:r>
      <w:r>
        <w:t xml:space="preserve"> CPM 2026/05.</w:t>
      </w:r>
    </w:p>
  </w:footnote>
  <w:footnote w:id="11">
    <w:p w14:paraId="459933DC" w14:textId="77777777" w:rsidR="001A2904" w:rsidRDefault="001A2904" w:rsidP="00DD779A">
      <w:pPr>
        <w:pStyle w:val="IPPFootnote"/>
        <w:jc w:val="left"/>
      </w:pPr>
      <w:r>
        <w:rPr>
          <w:rStyle w:val="Refdenotaalpie"/>
        </w:rPr>
        <w:footnoteRef/>
      </w:r>
      <w:r>
        <w:t xml:space="preserve"> CPM 2026/INF/37.</w:t>
      </w:r>
    </w:p>
  </w:footnote>
  <w:footnote w:id="12">
    <w:p w14:paraId="491FCE91" w14:textId="77777777" w:rsidR="001A2904" w:rsidRDefault="001A2904" w:rsidP="00DD779A">
      <w:pPr>
        <w:pStyle w:val="IPPFootnote"/>
        <w:jc w:val="left"/>
      </w:pPr>
      <w:r>
        <w:rPr>
          <w:rStyle w:val="Refdenotaalpie"/>
        </w:rPr>
        <w:footnoteRef/>
      </w:r>
      <w:r>
        <w:t xml:space="preserve"> CPM 2026/06.</w:t>
      </w:r>
    </w:p>
  </w:footnote>
  <w:footnote w:id="13">
    <w:p w14:paraId="644462DF" w14:textId="77777777" w:rsidR="001A2904" w:rsidRDefault="001A2904" w:rsidP="00DD779A">
      <w:pPr>
        <w:pStyle w:val="IPPFootnote"/>
        <w:jc w:val="left"/>
      </w:pPr>
      <w:r>
        <w:rPr>
          <w:rStyle w:val="Refdenotaalpie"/>
        </w:rPr>
        <w:footnoteRef/>
      </w:r>
      <w:r>
        <w:t xml:space="preserve"> CPM 2026/07.</w:t>
      </w:r>
    </w:p>
  </w:footnote>
  <w:footnote w:id="14">
    <w:p w14:paraId="2E91E8D1" w14:textId="77777777" w:rsidR="001A2904" w:rsidRDefault="001A2904" w:rsidP="00DD779A">
      <w:pPr>
        <w:pStyle w:val="IPPFootnote"/>
        <w:jc w:val="left"/>
      </w:pPr>
      <w:r>
        <w:rPr>
          <w:rStyle w:val="Refdenotaalpie"/>
        </w:rPr>
        <w:footnoteRef/>
      </w:r>
      <w:r>
        <w:t xml:space="preserve"> CPM 2026/CRP/01; CPM 2026/INF/36.</w:t>
      </w:r>
    </w:p>
  </w:footnote>
  <w:footnote w:id="15">
    <w:p w14:paraId="33C08745" w14:textId="77777777" w:rsidR="001A2904" w:rsidRDefault="001A2904" w:rsidP="00DD779A">
      <w:pPr>
        <w:pStyle w:val="IPPFootnote"/>
        <w:jc w:val="left"/>
      </w:pPr>
      <w:r>
        <w:rPr>
          <w:rStyle w:val="Refdenotaalpie"/>
        </w:rPr>
        <w:footnoteRef/>
      </w:r>
      <w:r>
        <w:t xml:space="preserve"> CPM 2026/36.</w:t>
      </w:r>
    </w:p>
  </w:footnote>
  <w:footnote w:id="16">
    <w:p w14:paraId="7C1236BB" w14:textId="77777777" w:rsidR="001A2904" w:rsidRDefault="001A2904" w:rsidP="00DD779A">
      <w:pPr>
        <w:pStyle w:val="IPPFootnote"/>
        <w:jc w:val="left"/>
      </w:pPr>
      <w:r>
        <w:rPr>
          <w:rStyle w:val="Refdenotaalpie"/>
        </w:rPr>
        <w:footnoteRef/>
      </w:r>
      <w:r>
        <w:t xml:space="preserve"> CPM 2026/INF/37.</w:t>
      </w:r>
    </w:p>
  </w:footnote>
  <w:footnote w:id="17">
    <w:p w14:paraId="61CAADE0" w14:textId="77777777" w:rsidR="001A2904" w:rsidRDefault="001A2904" w:rsidP="00DD779A">
      <w:pPr>
        <w:pStyle w:val="IPPFootnote"/>
        <w:jc w:val="left"/>
      </w:pPr>
      <w:r>
        <w:rPr>
          <w:rStyle w:val="Refdenotaalpie"/>
        </w:rPr>
        <w:footnoteRef/>
      </w:r>
      <w:r>
        <w:t xml:space="preserve"> CPM 2026/08.</w:t>
      </w:r>
    </w:p>
  </w:footnote>
  <w:footnote w:id="18">
    <w:p w14:paraId="33AF82FD" w14:textId="77777777" w:rsidR="001A2904" w:rsidRDefault="001A2904" w:rsidP="00DD779A">
      <w:pPr>
        <w:pStyle w:val="IPPFootnote"/>
        <w:jc w:val="left"/>
      </w:pPr>
      <w:r>
        <w:rPr>
          <w:rStyle w:val="Refdenotaalpie"/>
        </w:rPr>
        <w:footnoteRef/>
      </w:r>
      <w:r>
        <w:t xml:space="preserve"> CPM 2026/09.</w:t>
      </w:r>
    </w:p>
  </w:footnote>
  <w:footnote w:id="19">
    <w:p w14:paraId="71F1F474" w14:textId="77777777" w:rsidR="000E6892" w:rsidRDefault="000E6892" w:rsidP="00DD779A">
      <w:pPr>
        <w:pStyle w:val="IPPFootnote"/>
        <w:jc w:val="left"/>
      </w:pPr>
      <w:r>
        <w:rPr>
          <w:rStyle w:val="Refdenotaalpie"/>
        </w:rPr>
        <w:footnoteRef/>
      </w:r>
      <w:r>
        <w:t xml:space="preserve"> CPM 2026/42.</w:t>
      </w:r>
    </w:p>
  </w:footnote>
  <w:footnote w:id="20">
    <w:p w14:paraId="6A3C0A89" w14:textId="77777777" w:rsidR="000E6892" w:rsidRDefault="000E6892" w:rsidP="00DD779A">
      <w:pPr>
        <w:pStyle w:val="IPPFootnote"/>
        <w:jc w:val="left"/>
      </w:pPr>
      <w:r>
        <w:rPr>
          <w:rStyle w:val="Refdenotaalpie"/>
        </w:rPr>
        <w:footnoteRef/>
      </w:r>
      <w:r>
        <w:t xml:space="preserve"> CPM 2026/CRP/12.</w:t>
      </w:r>
    </w:p>
  </w:footnote>
  <w:footnote w:id="21">
    <w:p w14:paraId="1C6D287A" w14:textId="77777777" w:rsidR="000E6892" w:rsidRDefault="000E6892" w:rsidP="00DD779A">
      <w:pPr>
        <w:pStyle w:val="IPPFootnote"/>
        <w:jc w:val="left"/>
      </w:pPr>
      <w:r>
        <w:rPr>
          <w:rStyle w:val="Refdenotaalpie"/>
        </w:rPr>
        <w:footnoteRef/>
      </w:r>
      <w:r>
        <w:t xml:space="preserve"> CPM 2026/INF/37.</w:t>
      </w:r>
    </w:p>
  </w:footnote>
  <w:footnote w:id="22">
    <w:p w14:paraId="22B689B8" w14:textId="77777777" w:rsidR="000E6892" w:rsidRDefault="000E6892" w:rsidP="00DD779A">
      <w:pPr>
        <w:pStyle w:val="IPPFootnote"/>
        <w:jc w:val="left"/>
      </w:pPr>
      <w:r>
        <w:rPr>
          <w:rStyle w:val="Refdenotaalpie"/>
        </w:rPr>
        <w:footnoteRef/>
      </w:r>
      <w:r>
        <w:t xml:space="preserve"> CPM 2026/39.</w:t>
      </w:r>
    </w:p>
  </w:footnote>
  <w:footnote w:id="23">
    <w:p w14:paraId="4D34D487" w14:textId="77777777" w:rsidR="00CC42CC" w:rsidRDefault="00CC42CC" w:rsidP="00DD779A">
      <w:pPr>
        <w:pStyle w:val="IPPFootnote"/>
        <w:jc w:val="left"/>
      </w:pPr>
      <w:r>
        <w:rPr>
          <w:rStyle w:val="Refdenotaalpie"/>
        </w:rPr>
        <w:footnoteRef/>
      </w:r>
      <w:r>
        <w:t xml:space="preserve"> CPM 2026/10_Rev1 (documentos adjuntos 1 a 5 incluidos).</w:t>
      </w:r>
    </w:p>
  </w:footnote>
  <w:footnote w:id="24">
    <w:p w14:paraId="7ECA0E9D" w14:textId="77777777" w:rsidR="00CC42CC" w:rsidRDefault="00CC42CC" w:rsidP="00DD779A">
      <w:pPr>
        <w:pStyle w:val="IPPFootnote"/>
        <w:jc w:val="left"/>
      </w:pPr>
      <w:r>
        <w:rPr>
          <w:rStyle w:val="Refdenotaalpie"/>
        </w:rPr>
        <w:footnoteRef/>
      </w:r>
      <w:r>
        <w:t xml:space="preserve"> CPM 2026/INF/11.</w:t>
      </w:r>
    </w:p>
  </w:footnote>
  <w:footnote w:id="25">
    <w:p w14:paraId="289F997E" w14:textId="77777777" w:rsidR="00CC42CC" w:rsidRDefault="00CC42CC" w:rsidP="00DD779A">
      <w:pPr>
        <w:pStyle w:val="IPPFootnote"/>
        <w:jc w:val="left"/>
      </w:pPr>
      <w:r>
        <w:rPr>
          <w:rStyle w:val="Refdenotaalpie"/>
        </w:rPr>
        <w:footnoteRef/>
      </w:r>
      <w:r>
        <w:t xml:space="preserve"> CPM 2026/INF/32.</w:t>
      </w:r>
    </w:p>
  </w:footnote>
  <w:footnote w:id="26">
    <w:p w14:paraId="0DD04560" w14:textId="77777777" w:rsidR="00CC42CC" w:rsidRDefault="00CC42CC" w:rsidP="00DD779A">
      <w:pPr>
        <w:pStyle w:val="IPPFootnote"/>
        <w:jc w:val="left"/>
      </w:pPr>
      <w:r>
        <w:rPr>
          <w:rStyle w:val="Refdenotaalpie"/>
        </w:rPr>
        <w:footnoteRef/>
      </w:r>
      <w:r>
        <w:t xml:space="preserve"> CPM 2026/INF/28.</w:t>
      </w:r>
    </w:p>
  </w:footnote>
  <w:footnote w:id="27">
    <w:p w14:paraId="0A023C1C" w14:textId="77777777" w:rsidR="00CC42CC" w:rsidRDefault="00CC42CC" w:rsidP="00DD779A">
      <w:pPr>
        <w:pStyle w:val="IPPFootnote"/>
        <w:jc w:val="left"/>
      </w:pPr>
      <w:r>
        <w:rPr>
          <w:rStyle w:val="Refdenotaalpie"/>
        </w:rPr>
        <w:footnoteRef/>
      </w:r>
      <w:r>
        <w:t xml:space="preserve"> CPM 2026/CRP/10.</w:t>
      </w:r>
    </w:p>
  </w:footnote>
  <w:footnote w:id="28">
    <w:p w14:paraId="0B79A387" w14:textId="77777777" w:rsidR="00B44466" w:rsidRDefault="00B44466" w:rsidP="00DD779A">
      <w:pPr>
        <w:pStyle w:val="IPPFootnote"/>
        <w:jc w:val="left"/>
      </w:pPr>
      <w:r>
        <w:rPr>
          <w:rStyle w:val="Refdenotaalpie"/>
        </w:rPr>
        <w:footnoteRef/>
      </w:r>
      <w:r>
        <w:t xml:space="preserve"> CPM 2026/28.</w:t>
      </w:r>
    </w:p>
  </w:footnote>
  <w:footnote w:id="29">
    <w:p w14:paraId="29527465" w14:textId="77777777" w:rsidR="001A2904" w:rsidRDefault="001A2904" w:rsidP="00DD779A">
      <w:pPr>
        <w:pStyle w:val="IPPFootnote"/>
        <w:jc w:val="left"/>
      </w:pPr>
      <w:r>
        <w:rPr>
          <w:rStyle w:val="Refdenotaalpie"/>
        </w:rPr>
        <w:footnoteRef/>
      </w:r>
      <w:r>
        <w:t xml:space="preserve"> CPM 2026/34.</w:t>
      </w:r>
    </w:p>
  </w:footnote>
  <w:footnote w:id="30">
    <w:p w14:paraId="7F66B628" w14:textId="77777777" w:rsidR="00B44466" w:rsidRDefault="00B44466" w:rsidP="00DD779A">
      <w:pPr>
        <w:pStyle w:val="IPPFootnote"/>
        <w:jc w:val="left"/>
      </w:pPr>
      <w:r>
        <w:rPr>
          <w:rStyle w:val="Refdenotaalpie"/>
        </w:rPr>
        <w:footnoteRef/>
      </w:r>
      <w:r>
        <w:t xml:space="preserve"> CPM 2026/14.</w:t>
      </w:r>
    </w:p>
  </w:footnote>
  <w:footnote w:id="31">
    <w:p w14:paraId="22670715" w14:textId="77777777" w:rsidR="00B44466" w:rsidRDefault="00B44466" w:rsidP="00DD779A">
      <w:pPr>
        <w:pStyle w:val="IPPFootnote"/>
        <w:jc w:val="left"/>
      </w:pPr>
      <w:r>
        <w:rPr>
          <w:rStyle w:val="Refdenotaalpie"/>
        </w:rPr>
        <w:footnoteRef/>
      </w:r>
      <w:r>
        <w:t xml:space="preserve"> CPM 2026/CRP/02_Rev1.</w:t>
      </w:r>
    </w:p>
  </w:footnote>
  <w:footnote w:id="32">
    <w:p w14:paraId="65876F7E" w14:textId="77777777" w:rsidR="00B44466" w:rsidRDefault="00B44466" w:rsidP="00DD779A">
      <w:pPr>
        <w:pStyle w:val="IPPFootnote"/>
        <w:jc w:val="left"/>
      </w:pPr>
      <w:r>
        <w:rPr>
          <w:rStyle w:val="Refdenotaalpie"/>
        </w:rPr>
        <w:footnoteRef/>
      </w:r>
      <w:r>
        <w:t xml:space="preserve"> CPM 2026/INF/22.</w:t>
      </w:r>
    </w:p>
  </w:footnote>
  <w:footnote w:id="33">
    <w:p w14:paraId="17CD1DD3" w14:textId="77777777" w:rsidR="00B44466" w:rsidRDefault="00B44466" w:rsidP="00DD779A">
      <w:pPr>
        <w:pStyle w:val="IPPFootnote"/>
        <w:jc w:val="left"/>
      </w:pPr>
      <w:r>
        <w:rPr>
          <w:rStyle w:val="Refdenotaalpie"/>
        </w:rPr>
        <w:footnoteRef/>
      </w:r>
      <w:r>
        <w:t xml:space="preserve"> CPM 2026/CRP/01.</w:t>
      </w:r>
    </w:p>
  </w:footnote>
  <w:footnote w:id="34">
    <w:p w14:paraId="32FDF474" w14:textId="77777777" w:rsidR="00B44466" w:rsidRDefault="00B44466" w:rsidP="00DD779A">
      <w:pPr>
        <w:pStyle w:val="IPPFootnote"/>
        <w:jc w:val="left"/>
      </w:pPr>
      <w:r>
        <w:rPr>
          <w:rStyle w:val="Refdenotaalpie"/>
        </w:rPr>
        <w:footnoteRef/>
      </w:r>
      <w:r>
        <w:t xml:space="preserve"> CPM 2026/CRP/01.</w:t>
      </w:r>
    </w:p>
  </w:footnote>
  <w:footnote w:id="35">
    <w:p w14:paraId="5397E6F2" w14:textId="77777777" w:rsidR="00B44466" w:rsidRDefault="00B44466" w:rsidP="00DD779A">
      <w:pPr>
        <w:pStyle w:val="IPPFootnote"/>
        <w:jc w:val="left"/>
      </w:pPr>
      <w:r>
        <w:rPr>
          <w:rStyle w:val="Refdenotaalpie"/>
        </w:rPr>
        <w:footnoteRef/>
      </w:r>
      <w:r>
        <w:t xml:space="preserve"> CPM 2026/CRP/02_Rev1; CPM 2026/INF/36.</w:t>
      </w:r>
    </w:p>
  </w:footnote>
  <w:footnote w:id="36">
    <w:p w14:paraId="227AFF42" w14:textId="77777777" w:rsidR="008C2C23" w:rsidRDefault="008C2C23" w:rsidP="00DD779A">
      <w:pPr>
        <w:pStyle w:val="IPPFootnote"/>
        <w:jc w:val="left"/>
      </w:pPr>
      <w:r>
        <w:rPr>
          <w:rStyle w:val="Refdenotaalpie"/>
        </w:rPr>
        <w:footnoteRef/>
      </w:r>
      <w:r>
        <w:t xml:space="preserve"> CPM 2026/15.</w:t>
      </w:r>
    </w:p>
  </w:footnote>
  <w:footnote w:id="37">
    <w:p w14:paraId="4CD49F62" w14:textId="77777777" w:rsidR="008C2C23" w:rsidRDefault="008C2C23" w:rsidP="00DD779A">
      <w:pPr>
        <w:pStyle w:val="IPPFootnote"/>
        <w:jc w:val="left"/>
      </w:pPr>
      <w:r>
        <w:rPr>
          <w:rStyle w:val="Refdenotaalpie"/>
        </w:rPr>
        <w:footnoteRef/>
      </w:r>
      <w:r>
        <w:t xml:space="preserve"> CPM 2026/16.</w:t>
      </w:r>
    </w:p>
  </w:footnote>
  <w:footnote w:id="38">
    <w:p w14:paraId="31F7D9BC" w14:textId="77777777" w:rsidR="008C2C23" w:rsidRDefault="008C2C23" w:rsidP="00DD779A">
      <w:pPr>
        <w:pStyle w:val="IPPFootnote"/>
        <w:jc w:val="left"/>
      </w:pPr>
      <w:r>
        <w:rPr>
          <w:rStyle w:val="Refdenotaalpie"/>
        </w:rPr>
        <w:footnoteRef/>
      </w:r>
      <w:r>
        <w:t xml:space="preserve"> CPM 2026/17.</w:t>
      </w:r>
    </w:p>
  </w:footnote>
  <w:footnote w:id="39">
    <w:p w14:paraId="0C68DF09" w14:textId="77777777" w:rsidR="008C2C23" w:rsidRDefault="008C2C23" w:rsidP="00DD779A">
      <w:pPr>
        <w:pStyle w:val="IPPFootnote"/>
        <w:jc w:val="left"/>
      </w:pPr>
      <w:r>
        <w:rPr>
          <w:rStyle w:val="Refdenotaalpie"/>
        </w:rPr>
        <w:footnoteRef/>
      </w:r>
      <w:r>
        <w:t xml:space="preserve"> CPM 2026/INF/18.</w:t>
      </w:r>
    </w:p>
  </w:footnote>
  <w:footnote w:id="40">
    <w:p w14:paraId="2E4118AA" w14:textId="77777777" w:rsidR="008C2C23" w:rsidRDefault="008C2C23" w:rsidP="00DD779A">
      <w:pPr>
        <w:pStyle w:val="IPPFootnote"/>
        <w:jc w:val="left"/>
      </w:pPr>
      <w:r>
        <w:rPr>
          <w:rStyle w:val="Refdenotaalpie"/>
        </w:rPr>
        <w:footnoteRef/>
      </w:r>
      <w:r>
        <w:t xml:space="preserve"> CPM 2026/CRP/01.</w:t>
      </w:r>
    </w:p>
  </w:footnote>
  <w:footnote w:id="41">
    <w:p w14:paraId="7EA12ED6" w14:textId="77777777" w:rsidR="00CC42CC" w:rsidRDefault="00CC42CC" w:rsidP="00DD779A">
      <w:pPr>
        <w:pStyle w:val="IPPFootnote"/>
        <w:jc w:val="left"/>
      </w:pPr>
      <w:r>
        <w:rPr>
          <w:rStyle w:val="Refdenotaalpie"/>
        </w:rPr>
        <w:footnoteRef/>
      </w:r>
      <w:r>
        <w:t xml:space="preserve"> CPM 2026/18.</w:t>
      </w:r>
    </w:p>
  </w:footnote>
  <w:footnote w:id="42">
    <w:p w14:paraId="0ED30EE6" w14:textId="77777777" w:rsidR="00CC42CC" w:rsidRDefault="00CC42CC" w:rsidP="00DD779A">
      <w:pPr>
        <w:pStyle w:val="IPPFootnote"/>
        <w:jc w:val="left"/>
      </w:pPr>
      <w:r>
        <w:rPr>
          <w:rStyle w:val="Refdenotaalpie"/>
        </w:rPr>
        <w:footnoteRef/>
      </w:r>
      <w:r>
        <w:t xml:space="preserve"> CPM 2026/19, incluido el informe completo del Grupo de debate que figura en el Documento adjunto 1.</w:t>
      </w:r>
    </w:p>
  </w:footnote>
  <w:footnote w:id="43">
    <w:p w14:paraId="51EF47D9" w14:textId="77777777" w:rsidR="00CC42CC" w:rsidRDefault="00CC42CC" w:rsidP="00DD779A">
      <w:pPr>
        <w:pStyle w:val="IPPFootnote"/>
        <w:jc w:val="left"/>
      </w:pPr>
      <w:r>
        <w:rPr>
          <w:rStyle w:val="Refdenotaalpie"/>
        </w:rPr>
        <w:footnoteRef/>
      </w:r>
      <w:r>
        <w:t xml:space="preserve"> CPM 2026/INF/38.</w:t>
      </w:r>
    </w:p>
  </w:footnote>
  <w:footnote w:id="44">
    <w:p w14:paraId="551AC696" w14:textId="77777777" w:rsidR="00CC42CC" w:rsidRDefault="00CC42CC" w:rsidP="00DD779A">
      <w:pPr>
        <w:pStyle w:val="IPPFootnote"/>
        <w:jc w:val="left"/>
      </w:pPr>
      <w:r>
        <w:rPr>
          <w:rStyle w:val="Refdenotaalpie"/>
        </w:rPr>
        <w:footnoteRef/>
      </w:r>
      <w:r>
        <w:t xml:space="preserve"> CPM 2026/20.</w:t>
      </w:r>
    </w:p>
  </w:footnote>
  <w:footnote w:id="45">
    <w:p w14:paraId="35B5272F" w14:textId="77777777" w:rsidR="00CC42CC" w:rsidRDefault="00CC42CC" w:rsidP="00DD779A">
      <w:pPr>
        <w:pStyle w:val="IPPFootnote"/>
        <w:jc w:val="left"/>
      </w:pPr>
      <w:r>
        <w:rPr>
          <w:rStyle w:val="Refdenotaalpie"/>
        </w:rPr>
        <w:footnoteRef/>
      </w:r>
      <w:r>
        <w:t xml:space="preserve"> CPM 2026/21_Rev1.</w:t>
      </w:r>
    </w:p>
  </w:footnote>
  <w:footnote w:id="46">
    <w:p w14:paraId="01AD0235" w14:textId="77777777" w:rsidR="00CC42CC" w:rsidRDefault="00CC42CC" w:rsidP="00DD779A">
      <w:pPr>
        <w:pStyle w:val="IPPFootnote"/>
        <w:jc w:val="left"/>
      </w:pPr>
      <w:r>
        <w:rPr>
          <w:rStyle w:val="Refdenotaalpie"/>
        </w:rPr>
        <w:footnoteRef/>
      </w:r>
      <w:r>
        <w:t xml:space="preserve"> CPM 2026/CRP/06.</w:t>
      </w:r>
    </w:p>
  </w:footnote>
  <w:footnote w:id="47">
    <w:p w14:paraId="653A4D58" w14:textId="77777777" w:rsidR="00CC42CC" w:rsidRDefault="00CC42CC" w:rsidP="00DD779A">
      <w:pPr>
        <w:pStyle w:val="IPPFootnote"/>
        <w:jc w:val="left"/>
      </w:pPr>
      <w:r>
        <w:rPr>
          <w:rStyle w:val="Refdenotaalpie"/>
        </w:rPr>
        <w:footnoteRef/>
      </w:r>
      <w:r>
        <w:t xml:space="preserve"> CPM 2026/CRP/01.</w:t>
      </w:r>
    </w:p>
  </w:footnote>
  <w:footnote w:id="48">
    <w:p w14:paraId="5E266AF0" w14:textId="77777777" w:rsidR="00CC42CC" w:rsidRDefault="00CC42CC" w:rsidP="00DD779A">
      <w:pPr>
        <w:pStyle w:val="IPPFootnote"/>
        <w:jc w:val="left"/>
      </w:pPr>
      <w:r>
        <w:rPr>
          <w:rStyle w:val="Refdenotaalpie"/>
        </w:rPr>
        <w:footnoteRef/>
      </w:r>
      <w:r>
        <w:t xml:space="preserve"> CPM 2026/22.</w:t>
      </w:r>
    </w:p>
  </w:footnote>
  <w:footnote w:id="49">
    <w:p w14:paraId="181C72C2" w14:textId="77777777" w:rsidR="005439F9" w:rsidRDefault="005439F9" w:rsidP="00DD779A">
      <w:pPr>
        <w:pStyle w:val="IPPFootnote"/>
        <w:jc w:val="left"/>
      </w:pPr>
      <w:r>
        <w:rPr>
          <w:rStyle w:val="Refdenotaalpie"/>
        </w:rPr>
        <w:footnoteRef/>
      </w:r>
      <w:r>
        <w:t xml:space="preserve"> CPM 2026/23.</w:t>
      </w:r>
    </w:p>
  </w:footnote>
  <w:footnote w:id="50">
    <w:p w14:paraId="166B2EC2" w14:textId="77777777" w:rsidR="005439F9" w:rsidRDefault="005439F9" w:rsidP="00DD779A">
      <w:pPr>
        <w:pStyle w:val="IPPFootnote"/>
        <w:jc w:val="left"/>
      </w:pPr>
      <w:r>
        <w:rPr>
          <w:rStyle w:val="Refdenotaalpie"/>
        </w:rPr>
        <w:footnoteRef/>
      </w:r>
      <w:r>
        <w:t xml:space="preserve"> CPM 2026/CRP/12.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04E63" w14:textId="556FDEF8" w:rsidR="0096599A" w:rsidRDefault="0096599A" w:rsidP="0096599A">
    <w:pPr>
      <w:pStyle w:val="IPPHeade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4"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1590C79"/>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7"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94152547">
    <w:abstractNumId w:val="7"/>
  </w:num>
  <w:num w:numId="2" w16cid:durableId="285430020">
    <w:abstractNumId w:val="2"/>
  </w:num>
  <w:num w:numId="3" w16cid:durableId="1212962626">
    <w:abstractNumId w:val="3"/>
  </w:num>
  <w:num w:numId="4" w16cid:durableId="1256401422">
    <w:abstractNumId w:val="9"/>
  </w:num>
  <w:num w:numId="5" w16cid:durableId="101271903">
    <w:abstractNumId w:val="6"/>
  </w:num>
  <w:num w:numId="6" w16cid:durableId="164757676">
    <w:abstractNumId w:val="4"/>
  </w:num>
  <w:num w:numId="7" w16cid:durableId="1823961567">
    <w:abstractNumId w:val="10"/>
  </w:num>
  <w:num w:numId="8" w16cid:durableId="103884033">
    <w:abstractNumId w:val="0"/>
  </w:num>
  <w:num w:numId="9" w16cid:durableId="2133016773">
    <w:abstractNumId w:val="8"/>
  </w:num>
  <w:num w:numId="10" w16cid:durableId="924068450">
    <w:abstractNumId w:val="0"/>
    <w:lvlOverride w:ilvl="0">
      <w:startOverride w:val="1"/>
    </w:lvlOverride>
  </w:num>
  <w:num w:numId="11" w16cid:durableId="1603104852">
    <w:abstractNumId w:val="0"/>
    <w:lvlOverride w:ilvl="0">
      <w:startOverride w:val="1"/>
    </w:lvlOverride>
  </w:num>
  <w:num w:numId="12" w16cid:durableId="474764105">
    <w:abstractNumId w:val="0"/>
    <w:lvlOverride w:ilvl="0">
      <w:startOverride w:val="1"/>
    </w:lvlOverride>
  </w:num>
  <w:num w:numId="13" w16cid:durableId="1642878484">
    <w:abstractNumId w:val="0"/>
    <w:lvlOverride w:ilvl="0">
      <w:startOverride w:val="1"/>
    </w:lvlOverride>
  </w:num>
  <w:num w:numId="14" w16cid:durableId="530385663">
    <w:abstractNumId w:val="0"/>
    <w:lvlOverride w:ilvl="0">
      <w:startOverride w:val="1"/>
    </w:lvlOverride>
  </w:num>
  <w:num w:numId="15" w16cid:durableId="1053046214">
    <w:abstractNumId w:val="5"/>
  </w:num>
  <w:num w:numId="16" w16cid:durableId="1935438666">
    <w:abstractNumId w:val="0"/>
    <w:lvlOverride w:ilvl="0">
      <w:startOverride w:val="1"/>
    </w:lvlOverride>
  </w:num>
  <w:num w:numId="17" w16cid:durableId="1348365046">
    <w:abstractNumId w:val="0"/>
    <w:lvlOverride w:ilvl="0">
      <w:startOverride w:val="1"/>
    </w:lvlOverride>
  </w:num>
  <w:num w:numId="18" w16cid:durableId="1344628798">
    <w:abstractNumId w:val="0"/>
    <w:lvlOverride w:ilvl="0">
      <w:startOverride w:val="1"/>
    </w:lvlOverride>
  </w:num>
  <w:num w:numId="19" w16cid:durableId="1844735818">
    <w:abstractNumId w:val="0"/>
    <w:lvlOverride w:ilvl="0">
      <w:startOverride w:val="1"/>
    </w:lvlOverride>
  </w:num>
  <w:num w:numId="20" w16cid:durableId="1776097363">
    <w:abstractNumId w:val="0"/>
    <w:lvlOverride w:ilvl="0">
      <w:startOverride w:val="1"/>
    </w:lvlOverride>
  </w:num>
  <w:num w:numId="21" w16cid:durableId="1092438001">
    <w:abstractNumId w:val="0"/>
    <w:lvlOverride w:ilvl="0">
      <w:startOverride w:val="1"/>
    </w:lvlOverride>
  </w:num>
  <w:num w:numId="22" w16cid:durableId="1340699096">
    <w:abstractNumId w:val="0"/>
    <w:lvlOverride w:ilvl="0">
      <w:startOverride w:val="1"/>
    </w:lvlOverride>
  </w:num>
  <w:num w:numId="23" w16cid:durableId="1813139088">
    <w:abstractNumId w:val="0"/>
    <w:lvlOverride w:ilvl="0">
      <w:startOverride w:val="1"/>
    </w:lvlOverride>
  </w:num>
  <w:num w:numId="24" w16cid:durableId="1080100831">
    <w:abstractNumId w:val="0"/>
    <w:lvlOverride w:ilvl="0">
      <w:startOverride w:val="1"/>
    </w:lvlOverride>
  </w:num>
  <w:num w:numId="25" w16cid:durableId="558246979">
    <w:abstractNumId w:val="0"/>
    <w:lvlOverride w:ilvl="0">
      <w:startOverride w:val="1"/>
    </w:lvlOverride>
  </w:num>
  <w:num w:numId="26" w16cid:durableId="6912674">
    <w:abstractNumId w:val="0"/>
    <w:lvlOverride w:ilvl="0">
      <w:startOverride w:val="1"/>
    </w:lvlOverride>
  </w:num>
  <w:num w:numId="27" w16cid:durableId="753091793">
    <w:abstractNumId w:val="0"/>
    <w:lvlOverride w:ilvl="0">
      <w:startOverride w:val="1"/>
    </w:lvlOverride>
  </w:num>
  <w:num w:numId="28" w16cid:durableId="1836066231">
    <w:abstractNumId w:val="0"/>
    <w:lvlOverride w:ilvl="0">
      <w:startOverride w:val="1"/>
    </w:lvlOverride>
  </w:num>
  <w:num w:numId="29" w16cid:durableId="1774398016">
    <w:abstractNumId w:val="0"/>
    <w:lvlOverride w:ilvl="0">
      <w:startOverride w:val="1"/>
    </w:lvlOverride>
  </w:num>
  <w:num w:numId="30" w16cid:durableId="1608847921">
    <w:abstractNumId w:val="0"/>
    <w:lvlOverride w:ilvl="0">
      <w:startOverride w:val="1"/>
    </w:lvlOverride>
  </w:num>
  <w:num w:numId="31" w16cid:durableId="64186455">
    <w:abstractNumId w:val="0"/>
    <w:lvlOverride w:ilvl="0">
      <w:startOverride w:val="1"/>
    </w:lvlOverride>
  </w:num>
  <w:num w:numId="32" w16cid:durableId="953832372">
    <w:abstractNumId w:val="0"/>
    <w:lvlOverride w:ilvl="0">
      <w:startOverride w:val="1"/>
    </w:lvlOverride>
  </w:num>
  <w:num w:numId="33" w16cid:durableId="149712735">
    <w:abstractNumId w:val="0"/>
    <w:lvlOverride w:ilvl="0">
      <w:startOverride w:val="1"/>
    </w:lvlOverride>
  </w:num>
  <w:num w:numId="34" w16cid:durableId="335964269">
    <w:abstractNumId w:val="0"/>
    <w:lvlOverride w:ilvl="0">
      <w:startOverride w:val="1"/>
    </w:lvlOverride>
  </w:num>
  <w:num w:numId="35" w16cid:durableId="511148017">
    <w:abstractNumId w:val="0"/>
    <w:lvlOverride w:ilvl="0">
      <w:startOverride w:val="1"/>
    </w:lvlOverride>
  </w:num>
  <w:num w:numId="36" w16cid:durableId="523251414">
    <w:abstractNumId w:val="0"/>
    <w:lvlOverride w:ilvl="0">
      <w:startOverride w:val="1"/>
    </w:lvlOverride>
  </w:num>
  <w:num w:numId="37" w16cid:durableId="288170926">
    <w:abstractNumId w:val="0"/>
    <w:lvlOverride w:ilvl="0">
      <w:startOverride w:val="1"/>
    </w:lvlOverride>
  </w:num>
  <w:num w:numId="38" w16cid:durableId="481117752">
    <w:abstractNumId w:val="0"/>
    <w:lvlOverride w:ilvl="0">
      <w:startOverride w:val="1"/>
    </w:lvlOverride>
  </w:num>
  <w:num w:numId="39" w16cid:durableId="804471566">
    <w:abstractNumId w:val="0"/>
    <w:lvlOverride w:ilvl="0">
      <w:startOverride w:val="1"/>
    </w:lvlOverride>
  </w:num>
  <w:num w:numId="40" w16cid:durableId="1435899203">
    <w:abstractNumId w:val="0"/>
    <w:lvlOverride w:ilvl="0">
      <w:startOverride w:val="1"/>
    </w:lvlOverride>
  </w:num>
  <w:num w:numId="41" w16cid:durableId="1328166515">
    <w:abstractNumId w:val="0"/>
    <w:lvlOverride w:ilvl="0">
      <w:startOverride w:val="1"/>
    </w:lvlOverride>
  </w:num>
  <w:num w:numId="42" w16cid:durableId="1150169805">
    <w:abstractNumId w:val="0"/>
    <w:lvlOverride w:ilvl="0">
      <w:startOverride w:val="1"/>
    </w:lvlOverride>
  </w:num>
  <w:num w:numId="43" w16cid:durableId="199246766">
    <w:abstractNumId w:val="0"/>
    <w:lvlOverride w:ilvl="0">
      <w:startOverride w:val="1"/>
    </w:lvlOverride>
  </w:num>
  <w:num w:numId="44" w16cid:durableId="529611125">
    <w:abstractNumId w:val="0"/>
    <w:lvlOverride w:ilvl="0">
      <w:startOverride w:val="1"/>
    </w:lvlOverride>
  </w:num>
  <w:num w:numId="45" w16cid:durableId="1956522836">
    <w:abstractNumId w:val="0"/>
    <w:lvlOverride w:ilvl="0">
      <w:startOverride w:val="1"/>
    </w:lvlOverride>
  </w:num>
  <w:num w:numId="46" w16cid:durableId="858466037">
    <w:abstractNumId w:val="0"/>
    <w:lvlOverride w:ilvl="0">
      <w:startOverride w:val="1"/>
    </w:lvlOverride>
  </w:num>
  <w:num w:numId="47" w16cid:durableId="1211379033">
    <w:abstractNumId w:val="0"/>
    <w:lvlOverride w:ilvl="0">
      <w:startOverride w:val="1"/>
    </w:lvlOverride>
  </w:num>
  <w:num w:numId="48" w16cid:durableId="1906599604">
    <w:abstractNumId w:val="0"/>
    <w:lvlOverride w:ilvl="0">
      <w:startOverride w:val="1"/>
    </w:lvlOverride>
  </w:num>
  <w:num w:numId="49" w16cid:durableId="197795548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0" w16cid:durableId="197934289">
    <w:abstractNumId w:val="0"/>
    <w:lvlOverride w:ilvl="0">
      <w:startOverride w:val="1"/>
    </w:lvlOverride>
  </w:num>
  <w:num w:numId="51" w16cid:durableId="1699702471">
    <w:abstractNumId w:val="0"/>
    <w:lvlOverride w:ilvl="0">
      <w:startOverride w:val="1"/>
    </w:lvlOverride>
  </w:num>
  <w:num w:numId="52" w16cid:durableId="70741501">
    <w:abstractNumId w:val="0"/>
    <w:lvlOverride w:ilvl="0">
      <w:startOverride w:val="1"/>
    </w:lvlOverride>
  </w:num>
  <w:num w:numId="53" w16cid:durableId="1124735769">
    <w:abstractNumId w:val="0"/>
    <w:lvlOverride w:ilvl="0">
      <w:startOverride w:val="1"/>
    </w:lvlOverride>
  </w:num>
  <w:num w:numId="54" w16cid:durableId="1703245289">
    <w:abstractNumId w:val="0"/>
    <w:lvlOverride w:ilvl="0">
      <w:startOverride w:val="1"/>
    </w:lvlOverride>
  </w:num>
  <w:num w:numId="55" w16cid:durableId="1146899477">
    <w:abstractNumId w:val="0"/>
    <w:lvlOverride w:ilvl="0">
      <w:startOverride w:val="1"/>
    </w:lvlOverride>
  </w:num>
  <w:num w:numId="56" w16cid:durableId="1478761297">
    <w:abstractNumId w:val="0"/>
    <w:lvlOverride w:ilvl="0">
      <w:startOverride w:val="1"/>
    </w:lvlOverride>
  </w:num>
  <w:num w:numId="57" w16cid:durableId="1429885445">
    <w:abstractNumId w:val="1"/>
  </w:num>
  <w:num w:numId="58" w16cid:durableId="1797724077">
    <w:abstractNumId w:val="0"/>
    <w:lvlOverride w:ilvl="0">
      <w:startOverride w:val="1"/>
    </w:lvlOverride>
  </w:num>
  <w:num w:numId="59" w16cid:durableId="484857520">
    <w:abstractNumId w:val="0"/>
    <w:lvlOverride w:ilvl="0">
      <w:startOverride w:val="1"/>
    </w:lvlOverride>
  </w:num>
  <w:num w:numId="60" w16cid:durableId="1948543249">
    <w:abstractNumId w:val="0"/>
    <w:lvlOverride w:ilvl="0">
      <w:startOverride w:val="1"/>
    </w:lvlOverride>
  </w:num>
  <w:num w:numId="61" w16cid:durableId="188032271">
    <w:abstractNumId w:val="0"/>
    <w:lvlOverride w:ilvl="0">
      <w:startOverride w:val="1"/>
    </w:lvlOverride>
  </w:num>
  <w:num w:numId="62" w16cid:durableId="1016495486">
    <w:abstractNumId w:val="0"/>
    <w:lvlOverride w:ilvl="0">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B5A"/>
    <w:rsid w:val="00001077"/>
    <w:rsid w:val="00001277"/>
    <w:rsid w:val="00001FCB"/>
    <w:rsid w:val="0000202B"/>
    <w:rsid w:val="000022A8"/>
    <w:rsid w:val="00002421"/>
    <w:rsid w:val="0000262D"/>
    <w:rsid w:val="00002EB3"/>
    <w:rsid w:val="00003334"/>
    <w:rsid w:val="0000336F"/>
    <w:rsid w:val="00003B07"/>
    <w:rsid w:val="00003C70"/>
    <w:rsid w:val="0000454A"/>
    <w:rsid w:val="00004E4D"/>
    <w:rsid w:val="00005183"/>
    <w:rsid w:val="0000538A"/>
    <w:rsid w:val="000053C3"/>
    <w:rsid w:val="00005918"/>
    <w:rsid w:val="00005E85"/>
    <w:rsid w:val="00006013"/>
    <w:rsid w:val="00006453"/>
    <w:rsid w:val="00006E97"/>
    <w:rsid w:val="00007987"/>
    <w:rsid w:val="000079EC"/>
    <w:rsid w:val="00007EEB"/>
    <w:rsid w:val="0001002F"/>
    <w:rsid w:val="000100D4"/>
    <w:rsid w:val="0001033C"/>
    <w:rsid w:val="00010AF6"/>
    <w:rsid w:val="00010CB6"/>
    <w:rsid w:val="000113C5"/>
    <w:rsid w:val="000115CB"/>
    <w:rsid w:val="00011AFA"/>
    <w:rsid w:val="000133A4"/>
    <w:rsid w:val="000139FD"/>
    <w:rsid w:val="00013F54"/>
    <w:rsid w:val="00014013"/>
    <w:rsid w:val="00014237"/>
    <w:rsid w:val="00014E4B"/>
    <w:rsid w:val="00015977"/>
    <w:rsid w:val="00015D72"/>
    <w:rsid w:val="00015F36"/>
    <w:rsid w:val="0001726F"/>
    <w:rsid w:val="000208AE"/>
    <w:rsid w:val="000224AE"/>
    <w:rsid w:val="000229F0"/>
    <w:rsid w:val="00024996"/>
    <w:rsid w:val="00024D2D"/>
    <w:rsid w:val="0002592C"/>
    <w:rsid w:val="00025E29"/>
    <w:rsid w:val="00026824"/>
    <w:rsid w:val="00026B13"/>
    <w:rsid w:val="00026D2A"/>
    <w:rsid w:val="00027065"/>
    <w:rsid w:val="000270FF"/>
    <w:rsid w:val="00027C99"/>
    <w:rsid w:val="000303BB"/>
    <w:rsid w:val="00030896"/>
    <w:rsid w:val="00031B84"/>
    <w:rsid w:val="00031DB8"/>
    <w:rsid w:val="00031F1D"/>
    <w:rsid w:val="00032CE5"/>
    <w:rsid w:val="00032DED"/>
    <w:rsid w:val="00033524"/>
    <w:rsid w:val="00033CED"/>
    <w:rsid w:val="000342C1"/>
    <w:rsid w:val="000343C5"/>
    <w:rsid w:val="000346A4"/>
    <w:rsid w:val="000349AE"/>
    <w:rsid w:val="00034B7B"/>
    <w:rsid w:val="00034CF3"/>
    <w:rsid w:val="00034EBA"/>
    <w:rsid w:val="000355F5"/>
    <w:rsid w:val="0003572D"/>
    <w:rsid w:val="0003592E"/>
    <w:rsid w:val="00035B77"/>
    <w:rsid w:val="00035D59"/>
    <w:rsid w:val="00036436"/>
    <w:rsid w:val="000368BE"/>
    <w:rsid w:val="00036E0C"/>
    <w:rsid w:val="00036E92"/>
    <w:rsid w:val="00037F8D"/>
    <w:rsid w:val="00040ABB"/>
    <w:rsid w:val="00041608"/>
    <w:rsid w:val="000418C1"/>
    <w:rsid w:val="00042F64"/>
    <w:rsid w:val="00043587"/>
    <w:rsid w:val="00043ACE"/>
    <w:rsid w:val="0004433D"/>
    <w:rsid w:val="00044E45"/>
    <w:rsid w:val="00044E9D"/>
    <w:rsid w:val="0004509B"/>
    <w:rsid w:val="0004563B"/>
    <w:rsid w:val="00045CB0"/>
    <w:rsid w:val="00046819"/>
    <w:rsid w:val="00047A86"/>
    <w:rsid w:val="000500B7"/>
    <w:rsid w:val="00050678"/>
    <w:rsid w:val="00051067"/>
    <w:rsid w:val="000512A2"/>
    <w:rsid w:val="0005203C"/>
    <w:rsid w:val="00052666"/>
    <w:rsid w:val="0005269D"/>
    <w:rsid w:val="00052FE7"/>
    <w:rsid w:val="0005351C"/>
    <w:rsid w:val="00053BC5"/>
    <w:rsid w:val="00054279"/>
    <w:rsid w:val="000543CC"/>
    <w:rsid w:val="000544EA"/>
    <w:rsid w:val="0005521A"/>
    <w:rsid w:val="00056E56"/>
    <w:rsid w:val="000575D7"/>
    <w:rsid w:val="00057A23"/>
    <w:rsid w:val="00057F41"/>
    <w:rsid w:val="0006096F"/>
    <w:rsid w:val="000611A2"/>
    <w:rsid w:val="000628D9"/>
    <w:rsid w:val="000630F5"/>
    <w:rsid w:val="0006401A"/>
    <w:rsid w:val="000654DE"/>
    <w:rsid w:val="00065560"/>
    <w:rsid w:val="00065E43"/>
    <w:rsid w:val="000661CB"/>
    <w:rsid w:val="00066D33"/>
    <w:rsid w:val="00067A2B"/>
    <w:rsid w:val="00070107"/>
    <w:rsid w:val="00070DCC"/>
    <w:rsid w:val="00071708"/>
    <w:rsid w:val="0007266D"/>
    <w:rsid w:val="000728A7"/>
    <w:rsid w:val="00072EA3"/>
    <w:rsid w:val="00073472"/>
    <w:rsid w:val="00073702"/>
    <w:rsid w:val="00073CCD"/>
    <w:rsid w:val="000741F8"/>
    <w:rsid w:val="000745D3"/>
    <w:rsid w:val="00074C88"/>
    <w:rsid w:val="00074E62"/>
    <w:rsid w:val="00074F0E"/>
    <w:rsid w:val="00075223"/>
    <w:rsid w:val="00075CE4"/>
    <w:rsid w:val="00075FDC"/>
    <w:rsid w:val="00076560"/>
    <w:rsid w:val="00077907"/>
    <w:rsid w:val="00080DC5"/>
    <w:rsid w:val="00080F1C"/>
    <w:rsid w:val="00081B90"/>
    <w:rsid w:val="00083493"/>
    <w:rsid w:val="00084881"/>
    <w:rsid w:val="00084C5E"/>
    <w:rsid w:val="0008755E"/>
    <w:rsid w:val="00090CC0"/>
    <w:rsid w:val="00090EC0"/>
    <w:rsid w:val="000910C7"/>
    <w:rsid w:val="000913B8"/>
    <w:rsid w:val="000928B2"/>
    <w:rsid w:val="00092CB8"/>
    <w:rsid w:val="000933D3"/>
    <w:rsid w:val="00093FEB"/>
    <w:rsid w:val="000942A1"/>
    <w:rsid w:val="000944A6"/>
    <w:rsid w:val="00094705"/>
    <w:rsid w:val="000949F9"/>
    <w:rsid w:val="00094CB1"/>
    <w:rsid w:val="000953BF"/>
    <w:rsid w:val="0009628B"/>
    <w:rsid w:val="00096559"/>
    <w:rsid w:val="00096F5E"/>
    <w:rsid w:val="00097119"/>
    <w:rsid w:val="00097B95"/>
    <w:rsid w:val="00097D51"/>
    <w:rsid w:val="00097FD4"/>
    <w:rsid w:val="000A0C32"/>
    <w:rsid w:val="000A0CB6"/>
    <w:rsid w:val="000A1B0B"/>
    <w:rsid w:val="000A1FD9"/>
    <w:rsid w:val="000A223C"/>
    <w:rsid w:val="000A2C28"/>
    <w:rsid w:val="000A2CCC"/>
    <w:rsid w:val="000A3730"/>
    <w:rsid w:val="000A3D6A"/>
    <w:rsid w:val="000A423B"/>
    <w:rsid w:val="000A4668"/>
    <w:rsid w:val="000A56D5"/>
    <w:rsid w:val="000A5DDC"/>
    <w:rsid w:val="000A631B"/>
    <w:rsid w:val="000A67F9"/>
    <w:rsid w:val="000A75D3"/>
    <w:rsid w:val="000B04F6"/>
    <w:rsid w:val="000B0CEE"/>
    <w:rsid w:val="000B14A7"/>
    <w:rsid w:val="000B16D4"/>
    <w:rsid w:val="000B2237"/>
    <w:rsid w:val="000B3C62"/>
    <w:rsid w:val="000B585E"/>
    <w:rsid w:val="000B66C4"/>
    <w:rsid w:val="000B6899"/>
    <w:rsid w:val="000B6D93"/>
    <w:rsid w:val="000B6EA5"/>
    <w:rsid w:val="000B75D3"/>
    <w:rsid w:val="000B76B3"/>
    <w:rsid w:val="000C00AB"/>
    <w:rsid w:val="000C02FC"/>
    <w:rsid w:val="000C088A"/>
    <w:rsid w:val="000C0940"/>
    <w:rsid w:val="000C1AA8"/>
    <w:rsid w:val="000C1B02"/>
    <w:rsid w:val="000C2123"/>
    <w:rsid w:val="000C250C"/>
    <w:rsid w:val="000C2B62"/>
    <w:rsid w:val="000C3AA0"/>
    <w:rsid w:val="000C3F60"/>
    <w:rsid w:val="000C4FBE"/>
    <w:rsid w:val="000C5CC2"/>
    <w:rsid w:val="000C5E58"/>
    <w:rsid w:val="000C60F8"/>
    <w:rsid w:val="000C64A0"/>
    <w:rsid w:val="000C64D6"/>
    <w:rsid w:val="000C75E4"/>
    <w:rsid w:val="000C7D7E"/>
    <w:rsid w:val="000C7F48"/>
    <w:rsid w:val="000D0062"/>
    <w:rsid w:val="000D076B"/>
    <w:rsid w:val="000D093D"/>
    <w:rsid w:val="000D160F"/>
    <w:rsid w:val="000D1F77"/>
    <w:rsid w:val="000D2094"/>
    <w:rsid w:val="000D28CB"/>
    <w:rsid w:val="000D2D20"/>
    <w:rsid w:val="000D3120"/>
    <w:rsid w:val="000D39AB"/>
    <w:rsid w:val="000D5E26"/>
    <w:rsid w:val="000D661F"/>
    <w:rsid w:val="000D710D"/>
    <w:rsid w:val="000D755F"/>
    <w:rsid w:val="000D7FA2"/>
    <w:rsid w:val="000E0B2A"/>
    <w:rsid w:val="000E0EB8"/>
    <w:rsid w:val="000E1F22"/>
    <w:rsid w:val="000E2001"/>
    <w:rsid w:val="000E25B1"/>
    <w:rsid w:val="000E2F6F"/>
    <w:rsid w:val="000E37CC"/>
    <w:rsid w:val="000E3DF0"/>
    <w:rsid w:val="000E41A4"/>
    <w:rsid w:val="000E5598"/>
    <w:rsid w:val="000E63A7"/>
    <w:rsid w:val="000E64B3"/>
    <w:rsid w:val="000E6727"/>
    <w:rsid w:val="000E6892"/>
    <w:rsid w:val="000E76AF"/>
    <w:rsid w:val="000E7A1D"/>
    <w:rsid w:val="000F0341"/>
    <w:rsid w:val="000F092D"/>
    <w:rsid w:val="000F0FD6"/>
    <w:rsid w:val="000F1082"/>
    <w:rsid w:val="000F279E"/>
    <w:rsid w:val="000F37D9"/>
    <w:rsid w:val="000F3839"/>
    <w:rsid w:val="000F3DF6"/>
    <w:rsid w:val="000F408D"/>
    <w:rsid w:val="000F4172"/>
    <w:rsid w:val="000F4366"/>
    <w:rsid w:val="000F4809"/>
    <w:rsid w:val="000F4B82"/>
    <w:rsid w:val="000F503A"/>
    <w:rsid w:val="000F54C9"/>
    <w:rsid w:val="000F5904"/>
    <w:rsid w:val="000F5AA5"/>
    <w:rsid w:val="000F60B6"/>
    <w:rsid w:val="000F6136"/>
    <w:rsid w:val="000F6934"/>
    <w:rsid w:val="000F72DD"/>
    <w:rsid w:val="000F7910"/>
    <w:rsid w:val="0010013F"/>
    <w:rsid w:val="00100FD6"/>
    <w:rsid w:val="00101AA2"/>
    <w:rsid w:val="00102940"/>
    <w:rsid w:val="0010370E"/>
    <w:rsid w:val="00103F45"/>
    <w:rsid w:val="00104134"/>
    <w:rsid w:val="00104162"/>
    <w:rsid w:val="0010567E"/>
    <w:rsid w:val="00105FC5"/>
    <w:rsid w:val="00106388"/>
    <w:rsid w:val="00106A1D"/>
    <w:rsid w:val="00106DA2"/>
    <w:rsid w:val="00107063"/>
    <w:rsid w:val="00107899"/>
    <w:rsid w:val="00107978"/>
    <w:rsid w:val="00110BA5"/>
    <w:rsid w:val="001114C0"/>
    <w:rsid w:val="00114029"/>
    <w:rsid w:val="00114449"/>
    <w:rsid w:val="0011478B"/>
    <w:rsid w:val="00114F59"/>
    <w:rsid w:val="00115FDF"/>
    <w:rsid w:val="0011682E"/>
    <w:rsid w:val="00117428"/>
    <w:rsid w:val="001179B3"/>
    <w:rsid w:val="00121D94"/>
    <w:rsid w:val="0012230C"/>
    <w:rsid w:val="001228AC"/>
    <w:rsid w:val="00123EA2"/>
    <w:rsid w:val="00124303"/>
    <w:rsid w:val="001245CB"/>
    <w:rsid w:val="001245F5"/>
    <w:rsid w:val="00124615"/>
    <w:rsid w:val="001247F8"/>
    <w:rsid w:val="001251A0"/>
    <w:rsid w:val="001260B0"/>
    <w:rsid w:val="001260EB"/>
    <w:rsid w:val="0012623B"/>
    <w:rsid w:val="001265F9"/>
    <w:rsid w:val="00127966"/>
    <w:rsid w:val="0012796F"/>
    <w:rsid w:val="00130843"/>
    <w:rsid w:val="00130C67"/>
    <w:rsid w:val="0013307A"/>
    <w:rsid w:val="0013474A"/>
    <w:rsid w:val="00134D1C"/>
    <w:rsid w:val="001357C6"/>
    <w:rsid w:val="0013621A"/>
    <w:rsid w:val="00136719"/>
    <w:rsid w:val="00136F07"/>
    <w:rsid w:val="00137A08"/>
    <w:rsid w:val="00140E20"/>
    <w:rsid w:val="001413C7"/>
    <w:rsid w:val="00141AB0"/>
    <w:rsid w:val="00141B3D"/>
    <w:rsid w:val="00141E79"/>
    <w:rsid w:val="00142B54"/>
    <w:rsid w:val="00143633"/>
    <w:rsid w:val="00144817"/>
    <w:rsid w:val="00146947"/>
    <w:rsid w:val="00146D4D"/>
    <w:rsid w:val="00146E02"/>
    <w:rsid w:val="00146E93"/>
    <w:rsid w:val="001474AB"/>
    <w:rsid w:val="00147ADF"/>
    <w:rsid w:val="00150524"/>
    <w:rsid w:val="00150857"/>
    <w:rsid w:val="00151AB4"/>
    <w:rsid w:val="001525D0"/>
    <w:rsid w:val="00152A47"/>
    <w:rsid w:val="001539D1"/>
    <w:rsid w:val="00154749"/>
    <w:rsid w:val="001559E8"/>
    <w:rsid w:val="00156508"/>
    <w:rsid w:val="00156827"/>
    <w:rsid w:val="00156EAD"/>
    <w:rsid w:val="00156F5E"/>
    <w:rsid w:val="00156F92"/>
    <w:rsid w:val="001576D0"/>
    <w:rsid w:val="00160398"/>
    <w:rsid w:val="00160952"/>
    <w:rsid w:val="00160A98"/>
    <w:rsid w:val="00161A2E"/>
    <w:rsid w:val="001624FA"/>
    <w:rsid w:val="00162CE7"/>
    <w:rsid w:val="00162DFE"/>
    <w:rsid w:val="00162EBF"/>
    <w:rsid w:val="001631D0"/>
    <w:rsid w:val="00163284"/>
    <w:rsid w:val="00163D66"/>
    <w:rsid w:val="00164116"/>
    <w:rsid w:val="001650EC"/>
    <w:rsid w:val="0016510A"/>
    <w:rsid w:val="00165ACA"/>
    <w:rsid w:val="00165D82"/>
    <w:rsid w:val="001660D4"/>
    <w:rsid w:val="00166744"/>
    <w:rsid w:val="001667BE"/>
    <w:rsid w:val="00166914"/>
    <w:rsid w:val="00166ACD"/>
    <w:rsid w:val="00167F48"/>
    <w:rsid w:val="00171190"/>
    <w:rsid w:val="00171BCC"/>
    <w:rsid w:val="00172083"/>
    <w:rsid w:val="0017215F"/>
    <w:rsid w:val="0017251C"/>
    <w:rsid w:val="00172AFD"/>
    <w:rsid w:val="00172BA2"/>
    <w:rsid w:val="00172F10"/>
    <w:rsid w:val="0017327C"/>
    <w:rsid w:val="001737A9"/>
    <w:rsid w:val="001739D3"/>
    <w:rsid w:val="00174018"/>
    <w:rsid w:val="00174EAB"/>
    <w:rsid w:val="00174F23"/>
    <w:rsid w:val="001755BD"/>
    <w:rsid w:val="00176D10"/>
    <w:rsid w:val="00176DFB"/>
    <w:rsid w:val="001776D7"/>
    <w:rsid w:val="00177DC6"/>
    <w:rsid w:val="00180692"/>
    <w:rsid w:val="00180C44"/>
    <w:rsid w:val="00180FE2"/>
    <w:rsid w:val="00181431"/>
    <w:rsid w:val="0018289F"/>
    <w:rsid w:val="00183972"/>
    <w:rsid w:val="00183A63"/>
    <w:rsid w:val="00185064"/>
    <w:rsid w:val="001854B7"/>
    <w:rsid w:val="001870B4"/>
    <w:rsid w:val="00187AE0"/>
    <w:rsid w:val="00187D3A"/>
    <w:rsid w:val="0019071D"/>
    <w:rsid w:val="0019136C"/>
    <w:rsid w:val="00191CD4"/>
    <w:rsid w:val="00191F75"/>
    <w:rsid w:val="00192114"/>
    <w:rsid w:val="001922F4"/>
    <w:rsid w:val="00192CA9"/>
    <w:rsid w:val="001930D9"/>
    <w:rsid w:val="00193B3C"/>
    <w:rsid w:val="00193D90"/>
    <w:rsid w:val="00194601"/>
    <w:rsid w:val="00194C2A"/>
    <w:rsid w:val="0019519F"/>
    <w:rsid w:val="00196BC5"/>
    <w:rsid w:val="001979A3"/>
    <w:rsid w:val="001A00A0"/>
    <w:rsid w:val="001A040B"/>
    <w:rsid w:val="001A05E8"/>
    <w:rsid w:val="001A07CF"/>
    <w:rsid w:val="001A0CC4"/>
    <w:rsid w:val="001A0F00"/>
    <w:rsid w:val="001A1EFC"/>
    <w:rsid w:val="001A25A3"/>
    <w:rsid w:val="001A26BB"/>
    <w:rsid w:val="001A2904"/>
    <w:rsid w:val="001A2FC8"/>
    <w:rsid w:val="001A3549"/>
    <w:rsid w:val="001A3559"/>
    <w:rsid w:val="001A428F"/>
    <w:rsid w:val="001A4BA1"/>
    <w:rsid w:val="001A4C21"/>
    <w:rsid w:val="001A4D18"/>
    <w:rsid w:val="001A648D"/>
    <w:rsid w:val="001A6C5C"/>
    <w:rsid w:val="001A7125"/>
    <w:rsid w:val="001A7472"/>
    <w:rsid w:val="001A79BE"/>
    <w:rsid w:val="001B0174"/>
    <w:rsid w:val="001B0537"/>
    <w:rsid w:val="001B0697"/>
    <w:rsid w:val="001B0846"/>
    <w:rsid w:val="001B1632"/>
    <w:rsid w:val="001B173F"/>
    <w:rsid w:val="001B1C4A"/>
    <w:rsid w:val="001B1D5C"/>
    <w:rsid w:val="001B2FED"/>
    <w:rsid w:val="001B37DD"/>
    <w:rsid w:val="001B453B"/>
    <w:rsid w:val="001B47A3"/>
    <w:rsid w:val="001B51C3"/>
    <w:rsid w:val="001B53EC"/>
    <w:rsid w:val="001B618E"/>
    <w:rsid w:val="001B62CB"/>
    <w:rsid w:val="001B63E9"/>
    <w:rsid w:val="001B69C4"/>
    <w:rsid w:val="001B6E4F"/>
    <w:rsid w:val="001B7763"/>
    <w:rsid w:val="001B7950"/>
    <w:rsid w:val="001B7CCB"/>
    <w:rsid w:val="001C01B5"/>
    <w:rsid w:val="001C049C"/>
    <w:rsid w:val="001C05AC"/>
    <w:rsid w:val="001C0824"/>
    <w:rsid w:val="001C0AC0"/>
    <w:rsid w:val="001C15CC"/>
    <w:rsid w:val="001C2084"/>
    <w:rsid w:val="001C3CC8"/>
    <w:rsid w:val="001C4E01"/>
    <w:rsid w:val="001C59FE"/>
    <w:rsid w:val="001C63BA"/>
    <w:rsid w:val="001C6470"/>
    <w:rsid w:val="001C6C46"/>
    <w:rsid w:val="001C7379"/>
    <w:rsid w:val="001C7BE9"/>
    <w:rsid w:val="001D0B28"/>
    <w:rsid w:val="001D0EE2"/>
    <w:rsid w:val="001D18B0"/>
    <w:rsid w:val="001D236B"/>
    <w:rsid w:val="001D26B3"/>
    <w:rsid w:val="001D2E44"/>
    <w:rsid w:val="001D319F"/>
    <w:rsid w:val="001D35DA"/>
    <w:rsid w:val="001D4C5D"/>
    <w:rsid w:val="001D544B"/>
    <w:rsid w:val="001D61B4"/>
    <w:rsid w:val="001D61CD"/>
    <w:rsid w:val="001D63BC"/>
    <w:rsid w:val="001D6BD4"/>
    <w:rsid w:val="001D6CFF"/>
    <w:rsid w:val="001D6E61"/>
    <w:rsid w:val="001D6F49"/>
    <w:rsid w:val="001D7328"/>
    <w:rsid w:val="001E03FE"/>
    <w:rsid w:val="001E052F"/>
    <w:rsid w:val="001E0731"/>
    <w:rsid w:val="001E0C92"/>
    <w:rsid w:val="001E0F6C"/>
    <w:rsid w:val="001E16BE"/>
    <w:rsid w:val="001E1AAB"/>
    <w:rsid w:val="001E1BEE"/>
    <w:rsid w:val="001E22F8"/>
    <w:rsid w:val="001E26F0"/>
    <w:rsid w:val="001E2C7B"/>
    <w:rsid w:val="001E33E7"/>
    <w:rsid w:val="001E34B4"/>
    <w:rsid w:val="001E34F6"/>
    <w:rsid w:val="001E45C0"/>
    <w:rsid w:val="001E481A"/>
    <w:rsid w:val="001E501A"/>
    <w:rsid w:val="001E6356"/>
    <w:rsid w:val="001E64DC"/>
    <w:rsid w:val="001E7E06"/>
    <w:rsid w:val="001F0F3A"/>
    <w:rsid w:val="001F1523"/>
    <w:rsid w:val="001F2044"/>
    <w:rsid w:val="001F232B"/>
    <w:rsid w:val="001F243E"/>
    <w:rsid w:val="001F2744"/>
    <w:rsid w:val="001F290A"/>
    <w:rsid w:val="001F298A"/>
    <w:rsid w:val="001F2A1D"/>
    <w:rsid w:val="001F3D80"/>
    <w:rsid w:val="001F541B"/>
    <w:rsid w:val="001F661A"/>
    <w:rsid w:val="001F6C9B"/>
    <w:rsid w:val="00200237"/>
    <w:rsid w:val="002004AC"/>
    <w:rsid w:val="002008A4"/>
    <w:rsid w:val="00200F43"/>
    <w:rsid w:val="00201701"/>
    <w:rsid w:val="00201E79"/>
    <w:rsid w:val="0020277D"/>
    <w:rsid w:val="00202DD6"/>
    <w:rsid w:val="00203A1C"/>
    <w:rsid w:val="00204C3A"/>
    <w:rsid w:val="00205676"/>
    <w:rsid w:val="002072BD"/>
    <w:rsid w:val="00207BC6"/>
    <w:rsid w:val="00210018"/>
    <w:rsid w:val="00210B3A"/>
    <w:rsid w:val="00210DB7"/>
    <w:rsid w:val="0021170C"/>
    <w:rsid w:val="00211718"/>
    <w:rsid w:val="00211F39"/>
    <w:rsid w:val="0021231A"/>
    <w:rsid w:val="002127C3"/>
    <w:rsid w:val="00213443"/>
    <w:rsid w:val="00213697"/>
    <w:rsid w:val="00213B9C"/>
    <w:rsid w:val="00215992"/>
    <w:rsid w:val="00215CC8"/>
    <w:rsid w:val="00216CDE"/>
    <w:rsid w:val="00216D35"/>
    <w:rsid w:val="00217AF1"/>
    <w:rsid w:val="00217F76"/>
    <w:rsid w:val="00220B08"/>
    <w:rsid w:val="00220CB9"/>
    <w:rsid w:val="0022163D"/>
    <w:rsid w:val="00221E2F"/>
    <w:rsid w:val="00222DDA"/>
    <w:rsid w:val="00224DD2"/>
    <w:rsid w:val="00224E87"/>
    <w:rsid w:val="0022580A"/>
    <w:rsid w:val="00225AF3"/>
    <w:rsid w:val="00226783"/>
    <w:rsid w:val="00226AA3"/>
    <w:rsid w:val="002271D7"/>
    <w:rsid w:val="00227328"/>
    <w:rsid w:val="00227FAB"/>
    <w:rsid w:val="00230CD3"/>
    <w:rsid w:val="00230EF8"/>
    <w:rsid w:val="00232172"/>
    <w:rsid w:val="00232245"/>
    <w:rsid w:val="00232311"/>
    <w:rsid w:val="00232629"/>
    <w:rsid w:val="002326A9"/>
    <w:rsid w:val="002333F5"/>
    <w:rsid w:val="00233FBD"/>
    <w:rsid w:val="0023431A"/>
    <w:rsid w:val="00234CB0"/>
    <w:rsid w:val="002350F0"/>
    <w:rsid w:val="0023595F"/>
    <w:rsid w:val="002373BD"/>
    <w:rsid w:val="00240046"/>
    <w:rsid w:val="00241193"/>
    <w:rsid w:val="0024167B"/>
    <w:rsid w:val="0024264C"/>
    <w:rsid w:val="002426D4"/>
    <w:rsid w:val="002426F0"/>
    <w:rsid w:val="00242D9A"/>
    <w:rsid w:val="002432D8"/>
    <w:rsid w:val="002435CA"/>
    <w:rsid w:val="002435DB"/>
    <w:rsid w:val="0024380A"/>
    <w:rsid w:val="002443DB"/>
    <w:rsid w:val="00244B7A"/>
    <w:rsid w:val="002451E4"/>
    <w:rsid w:val="0024548C"/>
    <w:rsid w:val="0024569C"/>
    <w:rsid w:val="00246214"/>
    <w:rsid w:val="002465E7"/>
    <w:rsid w:val="00246D61"/>
    <w:rsid w:val="00246E9F"/>
    <w:rsid w:val="0024728A"/>
    <w:rsid w:val="002472BB"/>
    <w:rsid w:val="00250676"/>
    <w:rsid w:val="002509F2"/>
    <w:rsid w:val="00250BBB"/>
    <w:rsid w:val="00251625"/>
    <w:rsid w:val="00252637"/>
    <w:rsid w:val="00253285"/>
    <w:rsid w:val="0025359B"/>
    <w:rsid w:val="00253A1B"/>
    <w:rsid w:val="00253E18"/>
    <w:rsid w:val="002547EB"/>
    <w:rsid w:val="0025488A"/>
    <w:rsid w:val="002548FE"/>
    <w:rsid w:val="00254C87"/>
    <w:rsid w:val="002552AB"/>
    <w:rsid w:val="002553D7"/>
    <w:rsid w:val="00255982"/>
    <w:rsid w:val="00257082"/>
    <w:rsid w:val="00257462"/>
    <w:rsid w:val="00257464"/>
    <w:rsid w:val="00260084"/>
    <w:rsid w:val="00260AC4"/>
    <w:rsid w:val="00260B6A"/>
    <w:rsid w:val="00260C98"/>
    <w:rsid w:val="00260CD1"/>
    <w:rsid w:val="002617B9"/>
    <w:rsid w:val="002628BF"/>
    <w:rsid w:val="00263BCC"/>
    <w:rsid w:val="00263E85"/>
    <w:rsid w:val="00263FC0"/>
    <w:rsid w:val="002641AE"/>
    <w:rsid w:val="00264295"/>
    <w:rsid w:val="00264763"/>
    <w:rsid w:val="00265577"/>
    <w:rsid w:val="00267AF8"/>
    <w:rsid w:val="00270D0D"/>
    <w:rsid w:val="00270DC4"/>
    <w:rsid w:val="002711E9"/>
    <w:rsid w:val="0027138E"/>
    <w:rsid w:val="002719CE"/>
    <w:rsid w:val="00273C29"/>
    <w:rsid w:val="00273F86"/>
    <w:rsid w:val="00276007"/>
    <w:rsid w:val="00276289"/>
    <w:rsid w:val="00276AE7"/>
    <w:rsid w:val="002770FB"/>
    <w:rsid w:val="00277EC9"/>
    <w:rsid w:val="00280095"/>
    <w:rsid w:val="00280755"/>
    <w:rsid w:val="00280B0E"/>
    <w:rsid w:val="00280B8D"/>
    <w:rsid w:val="00280F46"/>
    <w:rsid w:val="00281746"/>
    <w:rsid w:val="00281871"/>
    <w:rsid w:val="002827CC"/>
    <w:rsid w:val="00282994"/>
    <w:rsid w:val="00282A03"/>
    <w:rsid w:val="00282EA6"/>
    <w:rsid w:val="002830B1"/>
    <w:rsid w:val="002832C6"/>
    <w:rsid w:val="00284A2C"/>
    <w:rsid w:val="0028549B"/>
    <w:rsid w:val="002857E7"/>
    <w:rsid w:val="00285ED7"/>
    <w:rsid w:val="00285FD0"/>
    <w:rsid w:val="00286BCA"/>
    <w:rsid w:val="002878A3"/>
    <w:rsid w:val="0029068E"/>
    <w:rsid w:val="00290B50"/>
    <w:rsid w:val="00290C84"/>
    <w:rsid w:val="0029109A"/>
    <w:rsid w:val="00291DBE"/>
    <w:rsid w:val="0029210C"/>
    <w:rsid w:val="002922D1"/>
    <w:rsid w:val="00293130"/>
    <w:rsid w:val="00294D82"/>
    <w:rsid w:val="00295917"/>
    <w:rsid w:val="00296510"/>
    <w:rsid w:val="00296615"/>
    <w:rsid w:val="00296D67"/>
    <w:rsid w:val="002974BE"/>
    <w:rsid w:val="00297978"/>
    <w:rsid w:val="00297DDB"/>
    <w:rsid w:val="002A05B0"/>
    <w:rsid w:val="002A0996"/>
    <w:rsid w:val="002A0B5B"/>
    <w:rsid w:val="002A11F5"/>
    <w:rsid w:val="002A1452"/>
    <w:rsid w:val="002A1AEA"/>
    <w:rsid w:val="002A2174"/>
    <w:rsid w:val="002A2ACC"/>
    <w:rsid w:val="002A3184"/>
    <w:rsid w:val="002A42E6"/>
    <w:rsid w:val="002A456F"/>
    <w:rsid w:val="002A51C6"/>
    <w:rsid w:val="002A58BA"/>
    <w:rsid w:val="002A5FFE"/>
    <w:rsid w:val="002A60D5"/>
    <w:rsid w:val="002A647D"/>
    <w:rsid w:val="002A65A1"/>
    <w:rsid w:val="002A7390"/>
    <w:rsid w:val="002A73CE"/>
    <w:rsid w:val="002A7575"/>
    <w:rsid w:val="002A7C1C"/>
    <w:rsid w:val="002B03C4"/>
    <w:rsid w:val="002B1972"/>
    <w:rsid w:val="002B1CBF"/>
    <w:rsid w:val="002B280A"/>
    <w:rsid w:val="002B293B"/>
    <w:rsid w:val="002B2B96"/>
    <w:rsid w:val="002B2C9B"/>
    <w:rsid w:val="002B32C6"/>
    <w:rsid w:val="002B330F"/>
    <w:rsid w:val="002B3502"/>
    <w:rsid w:val="002B3B3E"/>
    <w:rsid w:val="002B3FE6"/>
    <w:rsid w:val="002B569A"/>
    <w:rsid w:val="002B6338"/>
    <w:rsid w:val="002B650C"/>
    <w:rsid w:val="002B675A"/>
    <w:rsid w:val="002B69FA"/>
    <w:rsid w:val="002B6A49"/>
    <w:rsid w:val="002B72F1"/>
    <w:rsid w:val="002B75A9"/>
    <w:rsid w:val="002B7A05"/>
    <w:rsid w:val="002C0841"/>
    <w:rsid w:val="002C0EAB"/>
    <w:rsid w:val="002C1D2A"/>
    <w:rsid w:val="002C1F00"/>
    <w:rsid w:val="002C211B"/>
    <w:rsid w:val="002C2ABD"/>
    <w:rsid w:val="002C2F70"/>
    <w:rsid w:val="002C34B0"/>
    <w:rsid w:val="002C381C"/>
    <w:rsid w:val="002C38F5"/>
    <w:rsid w:val="002C41D7"/>
    <w:rsid w:val="002C4F65"/>
    <w:rsid w:val="002C5815"/>
    <w:rsid w:val="002C5A85"/>
    <w:rsid w:val="002C6157"/>
    <w:rsid w:val="002C6CA5"/>
    <w:rsid w:val="002C7137"/>
    <w:rsid w:val="002C74CA"/>
    <w:rsid w:val="002C7A03"/>
    <w:rsid w:val="002D05C4"/>
    <w:rsid w:val="002D170B"/>
    <w:rsid w:val="002D19B9"/>
    <w:rsid w:val="002D217C"/>
    <w:rsid w:val="002D287B"/>
    <w:rsid w:val="002D3A00"/>
    <w:rsid w:val="002D3B06"/>
    <w:rsid w:val="002D4C2A"/>
    <w:rsid w:val="002D4EF6"/>
    <w:rsid w:val="002D52E1"/>
    <w:rsid w:val="002D5355"/>
    <w:rsid w:val="002D5885"/>
    <w:rsid w:val="002D596C"/>
    <w:rsid w:val="002D5C28"/>
    <w:rsid w:val="002D6251"/>
    <w:rsid w:val="002D6905"/>
    <w:rsid w:val="002D694C"/>
    <w:rsid w:val="002D6EB1"/>
    <w:rsid w:val="002D6ED7"/>
    <w:rsid w:val="002D6FDD"/>
    <w:rsid w:val="002D76C8"/>
    <w:rsid w:val="002D7AD3"/>
    <w:rsid w:val="002E0449"/>
    <w:rsid w:val="002E0495"/>
    <w:rsid w:val="002E0C0E"/>
    <w:rsid w:val="002E0C48"/>
    <w:rsid w:val="002E113C"/>
    <w:rsid w:val="002E188D"/>
    <w:rsid w:val="002E1C64"/>
    <w:rsid w:val="002E263E"/>
    <w:rsid w:val="002E2C09"/>
    <w:rsid w:val="002E31AC"/>
    <w:rsid w:val="002E333F"/>
    <w:rsid w:val="002E36C9"/>
    <w:rsid w:val="002E3B45"/>
    <w:rsid w:val="002E5324"/>
    <w:rsid w:val="002E605A"/>
    <w:rsid w:val="002F02B8"/>
    <w:rsid w:val="002F0AEB"/>
    <w:rsid w:val="002F0E02"/>
    <w:rsid w:val="002F1B0B"/>
    <w:rsid w:val="002F2D1D"/>
    <w:rsid w:val="002F2F97"/>
    <w:rsid w:val="002F464F"/>
    <w:rsid w:val="002F47D5"/>
    <w:rsid w:val="002F487C"/>
    <w:rsid w:val="002F5758"/>
    <w:rsid w:val="002F5DF6"/>
    <w:rsid w:val="002F60F5"/>
    <w:rsid w:val="002F7833"/>
    <w:rsid w:val="002F78B9"/>
    <w:rsid w:val="0030003A"/>
    <w:rsid w:val="00300225"/>
    <w:rsid w:val="00301053"/>
    <w:rsid w:val="0030177F"/>
    <w:rsid w:val="00301D33"/>
    <w:rsid w:val="00302126"/>
    <w:rsid w:val="00302339"/>
    <w:rsid w:val="0030292E"/>
    <w:rsid w:val="00304F70"/>
    <w:rsid w:val="0030517D"/>
    <w:rsid w:val="003053EB"/>
    <w:rsid w:val="00305723"/>
    <w:rsid w:val="0030584C"/>
    <w:rsid w:val="00305F40"/>
    <w:rsid w:val="0030677C"/>
    <w:rsid w:val="0030687E"/>
    <w:rsid w:val="0030690A"/>
    <w:rsid w:val="00306EF5"/>
    <w:rsid w:val="00307DDD"/>
    <w:rsid w:val="00307F15"/>
    <w:rsid w:val="00310310"/>
    <w:rsid w:val="00310DEF"/>
    <w:rsid w:val="0031153B"/>
    <w:rsid w:val="003115AF"/>
    <w:rsid w:val="003129B7"/>
    <w:rsid w:val="00312F1C"/>
    <w:rsid w:val="003136EB"/>
    <w:rsid w:val="00313F7E"/>
    <w:rsid w:val="00314764"/>
    <w:rsid w:val="003161B2"/>
    <w:rsid w:val="0031630E"/>
    <w:rsid w:val="00316694"/>
    <w:rsid w:val="00317AF9"/>
    <w:rsid w:val="0032018D"/>
    <w:rsid w:val="00320212"/>
    <w:rsid w:val="00321D05"/>
    <w:rsid w:val="00322A82"/>
    <w:rsid w:val="00322D99"/>
    <w:rsid w:val="003237C2"/>
    <w:rsid w:val="003241E0"/>
    <w:rsid w:val="00324664"/>
    <w:rsid w:val="00325A7D"/>
    <w:rsid w:val="00325D10"/>
    <w:rsid w:val="00326CEF"/>
    <w:rsid w:val="00327E6C"/>
    <w:rsid w:val="00327ED0"/>
    <w:rsid w:val="00330214"/>
    <w:rsid w:val="00330D57"/>
    <w:rsid w:val="00330E04"/>
    <w:rsid w:val="00331010"/>
    <w:rsid w:val="003317C0"/>
    <w:rsid w:val="00331825"/>
    <w:rsid w:val="00333ADD"/>
    <w:rsid w:val="00333E5D"/>
    <w:rsid w:val="003363B3"/>
    <w:rsid w:val="00336BD5"/>
    <w:rsid w:val="00336CFB"/>
    <w:rsid w:val="003372C4"/>
    <w:rsid w:val="003404D6"/>
    <w:rsid w:val="00341419"/>
    <w:rsid w:val="00341A0C"/>
    <w:rsid w:val="00343068"/>
    <w:rsid w:val="00343702"/>
    <w:rsid w:val="003445FF"/>
    <w:rsid w:val="00345049"/>
    <w:rsid w:val="0034511C"/>
    <w:rsid w:val="003455C1"/>
    <w:rsid w:val="0034577A"/>
    <w:rsid w:val="00345833"/>
    <w:rsid w:val="003459B5"/>
    <w:rsid w:val="00345A91"/>
    <w:rsid w:val="00345DCD"/>
    <w:rsid w:val="003463D9"/>
    <w:rsid w:val="00346C12"/>
    <w:rsid w:val="00350991"/>
    <w:rsid w:val="00351CC0"/>
    <w:rsid w:val="00351E13"/>
    <w:rsid w:val="003524D3"/>
    <w:rsid w:val="003547CD"/>
    <w:rsid w:val="00354F7F"/>
    <w:rsid w:val="00355A48"/>
    <w:rsid w:val="00356B2C"/>
    <w:rsid w:val="00356CD3"/>
    <w:rsid w:val="00356DC5"/>
    <w:rsid w:val="003574D2"/>
    <w:rsid w:val="003600B4"/>
    <w:rsid w:val="003609F8"/>
    <w:rsid w:val="00360E37"/>
    <w:rsid w:val="00360F84"/>
    <w:rsid w:val="00361278"/>
    <w:rsid w:val="003615A3"/>
    <w:rsid w:val="00361CFF"/>
    <w:rsid w:val="0036366E"/>
    <w:rsid w:val="00363B34"/>
    <w:rsid w:val="00364077"/>
    <w:rsid w:val="003642DE"/>
    <w:rsid w:val="00364786"/>
    <w:rsid w:val="00364987"/>
    <w:rsid w:val="00364D64"/>
    <w:rsid w:val="00364F07"/>
    <w:rsid w:val="00365119"/>
    <w:rsid w:val="00365AF0"/>
    <w:rsid w:val="00365F99"/>
    <w:rsid w:val="003662CF"/>
    <w:rsid w:val="0036644C"/>
    <w:rsid w:val="003664FF"/>
    <w:rsid w:val="003672E2"/>
    <w:rsid w:val="003677CE"/>
    <w:rsid w:val="00370586"/>
    <w:rsid w:val="00371792"/>
    <w:rsid w:val="00371A04"/>
    <w:rsid w:val="0037278F"/>
    <w:rsid w:val="00373039"/>
    <w:rsid w:val="00374B06"/>
    <w:rsid w:val="00374BB3"/>
    <w:rsid w:val="00374E48"/>
    <w:rsid w:val="00376E5F"/>
    <w:rsid w:val="0037723C"/>
    <w:rsid w:val="00377D16"/>
    <w:rsid w:val="00380612"/>
    <w:rsid w:val="003808F7"/>
    <w:rsid w:val="00380C95"/>
    <w:rsid w:val="00381F2F"/>
    <w:rsid w:val="00382395"/>
    <w:rsid w:val="003828C9"/>
    <w:rsid w:val="003829EE"/>
    <w:rsid w:val="00382DEA"/>
    <w:rsid w:val="00382F94"/>
    <w:rsid w:val="003834D1"/>
    <w:rsid w:val="00383C33"/>
    <w:rsid w:val="00383F67"/>
    <w:rsid w:val="003846F7"/>
    <w:rsid w:val="00385053"/>
    <w:rsid w:val="00386118"/>
    <w:rsid w:val="00386CCE"/>
    <w:rsid w:val="00386F89"/>
    <w:rsid w:val="00391585"/>
    <w:rsid w:val="00391915"/>
    <w:rsid w:val="00392063"/>
    <w:rsid w:val="0039293D"/>
    <w:rsid w:val="00392B56"/>
    <w:rsid w:val="003939B5"/>
    <w:rsid w:val="0039442C"/>
    <w:rsid w:val="00395CC6"/>
    <w:rsid w:val="003970AD"/>
    <w:rsid w:val="003972D6"/>
    <w:rsid w:val="003A0276"/>
    <w:rsid w:val="003A07F0"/>
    <w:rsid w:val="003A0A09"/>
    <w:rsid w:val="003A138D"/>
    <w:rsid w:val="003A1646"/>
    <w:rsid w:val="003A1A04"/>
    <w:rsid w:val="003A1F77"/>
    <w:rsid w:val="003A3038"/>
    <w:rsid w:val="003A31E6"/>
    <w:rsid w:val="003A361D"/>
    <w:rsid w:val="003A4833"/>
    <w:rsid w:val="003A4888"/>
    <w:rsid w:val="003A4B0C"/>
    <w:rsid w:val="003A5224"/>
    <w:rsid w:val="003A7018"/>
    <w:rsid w:val="003A7DEB"/>
    <w:rsid w:val="003B02B4"/>
    <w:rsid w:val="003B0832"/>
    <w:rsid w:val="003B0CB4"/>
    <w:rsid w:val="003B19B9"/>
    <w:rsid w:val="003B2D9E"/>
    <w:rsid w:val="003B2DDE"/>
    <w:rsid w:val="003B32D9"/>
    <w:rsid w:val="003B4999"/>
    <w:rsid w:val="003B4E7A"/>
    <w:rsid w:val="003B5415"/>
    <w:rsid w:val="003B57BE"/>
    <w:rsid w:val="003B5845"/>
    <w:rsid w:val="003B59D8"/>
    <w:rsid w:val="003B5CD7"/>
    <w:rsid w:val="003B5E74"/>
    <w:rsid w:val="003B63C9"/>
    <w:rsid w:val="003C01ED"/>
    <w:rsid w:val="003C0801"/>
    <w:rsid w:val="003C08C6"/>
    <w:rsid w:val="003C0C75"/>
    <w:rsid w:val="003C0E3C"/>
    <w:rsid w:val="003C15C9"/>
    <w:rsid w:val="003C16F9"/>
    <w:rsid w:val="003C3053"/>
    <w:rsid w:val="003C37CB"/>
    <w:rsid w:val="003C3D1C"/>
    <w:rsid w:val="003C497B"/>
    <w:rsid w:val="003C4D68"/>
    <w:rsid w:val="003C57B3"/>
    <w:rsid w:val="003C5D5E"/>
    <w:rsid w:val="003C6A57"/>
    <w:rsid w:val="003C6B63"/>
    <w:rsid w:val="003C6DDB"/>
    <w:rsid w:val="003C7213"/>
    <w:rsid w:val="003C7615"/>
    <w:rsid w:val="003C76B1"/>
    <w:rsid w:val="003C7720"/>
    <w:rsid w:val="003C7965"/>
    <w:rsid w:val="003C7A48"/>
    <w:rsid w:val="003C7D50"/>
    <w:rsid w:val="003C7DCE"/>
    <w:rsid w:val="003D15D4"/>
    <w:rsid w:val="003D16F5"/>
    <w:rsid w:val="003D2380"/>
    <w:rsid w:val="003D25F6"/>
    <w:rsid w:val="003D2DCD"/>
    <w:rsid w:val="003D3B17"/>
    <w:rsid w:val="003D3F52"/>
    <w:rsid w:val="003D3F91"/>
    <w:rsid w:val="003D4098"/>
    <w:rsid w:val="003D4860"/>
    <w:rsid w:val="003D526E"/>
    <w:rsid w:val="003D5B0B"/>
    <w:rsid w:val="003D61C8"/>
    <w:rsid w:val="003D6407"/>
    <w:rsid w:val="003D6540"/>
    <w:rsid w:val="003D6784"/>
    <w:rsid w:val="003D6C59"/>
    <w:rsid w:val="003D6CF5"/>
    <w:rsid w:val="003D6FA6"/>
    <w:rsid w:val="003D7709"/>
    <w:rsid w:val="003D7B59"/>
    <w:rsid w:val="003D7C00"/>
    <w:rsid w:val="003E0044"/>
    <w:rsid w:val="003E06D4"/>
    <w:rsid w:val="003E0781"/>
    <w:rsid w:val="003E12A4"/>
    <w:rsid w:val="003E14A0"/>
    <w:rsid w:val="003E1C75"/>
    <w:rsid w:val="003E20B3"/>
    <w:rsid w:val="003E3099"/>
    <w:rsid w:val="003E3770"/>
    <w:rsid w:val="003E491B"/>
    <w:rsid w:val="003E5928"/>
    <w:rsid w:val="003E5D52"/>
    <w:rsid w:val="003E654D"/>
    <w:rsid w:val="003E6F9D"/>
    <w:rsid w:val="003E755C"/>
    <w:rsid w:val="003E7935"/>
    <w:rsid w:val="003E7B14"/>
    <w:rsid w:val="003E7C8D"/>
    <w:rsid w:val="003F0327"/>
    <w:rsid w:val="003F0772"/>
    <w:rsid w:val="003F245D"/>
    <w:rsid w:val="003F2748"/>
    <w:rsid w:val="003F29AA"/>
    <w:rsid w:val="003F4CCB"/>
    <w:rsid w:val="003F518F"/>
    <w:rsid w:val="003F5CED"/>
    <w:rsid w:val="003F6127"/>
    <w:rsid w:val="003F6688"/>
    <w:rsid w:val="003F6A34"/>
    <w:rsid w:val="003F720A"/>
    <w:rsid w:val="003F76DC"/>
    <w:rsid w:val="00400350"/>
    <w:rsid w:val="00400674"/>
    <w:rsid w:val="004010EC"/>
    <w:rsid w:val="00401665"/>
    <w:rsid w:val="00401BA7"/>
    <w:rsid w:val="0040393C"/>
    <w:rsid w:val="00403CDE"/>
    <w:rsid w:val="0040437B"/>
    <w:rsid w:val="00404827"/>
    <w:rsid w:val="00404CEE"/>
    <w:rsid w:val="00406204"/>
    <w:rsid w:val="004062C8"/>
    <w:rsid w:val="004073F3"/>
    <w:rsid w:val="00410AB8"/>
    <w:rsid w:val="00410CA2"/>
    <w:rsid w:val="00410D60"/>
    <w:rsid w:val="00411041"/>
    <w:rsid w:val="004112BF"/>
    <w:rsid w:val="0041154D"/>
    <w:rsid w:val="00411593"/>
    <w:rsid w:val="00411678"/>
    <w:rsid w:val="004120C8"/>
    <w:rsid w:val="00412EC2"/>
    <w:rsid w:val="00413E49"/>
    <w:rsid w:val="0041512E"/>
    <w:rsid w:val="00415220"/>
    <w:rsid w:val="00415279"/>
    <w:rsid w:val="00415918"/>
    <w:rsid w:val="00416218"/>
    <w:rsid w:val="004163CE"/>
    <w:rsid w:val="00420CF3"/>
    <w:rsid w:val="00421551"/>
    <w:rsid w:val="00421E4A"/>
    <w:rsid w:val="004228AE"/>
    <w:rsid w:val="00423660"/>
    <w:rsid w:val="00424483"/>
    <w:rsid w:val="004245E3"/>
    <w:rsid w:val="00424674"/>
    <w:rsid w:val="00425173"/>
    <w:rsid w:val="00425CB0"/>
    <w:rsid w:val="00425FAD"/>
    <w:rsid w:val="00426039"/>
    <w:rsid w:val="00426268"/>
    <w:rsid w:val="00426C6E"/>
    <w:rsid w:val="00430498"/>
    <w:rsid w:val="0043187A"/>
    <w:rsid w:val="00431C28"/>
    <w:rsid w:val="00432848"/>
    <w:rsid w:val="004341E3"/>
    <w:rsid w:val="0043458E"/>
    <w:rsid w:val="00434857"/>
    <w:rsid w:val="00434D17"/>
    <w:rsid w:val="004359A7"/>
    <w:rsid w:val="00435B4B"/>
    <w:rsid w:val="0043752D"/>
    <w:rsid w:val="004375A9"/>
    <w:rsid w:val="0043763A"/>
    <w:rsid w:val="00437870"/>
    <w:rsid w:val="0043798B"/>
    <w:rsid w:val="00437B26"/>
    <w:rsid w:val="0044063B"/>
    <w:rsid w:val="00440693"/>
    <w:rsid w:val="00442BB5"/>
    <w:rsid w:val="00444B76"/>
    <w:rsid w:val="0044511C"/>
    <w:rsid w:val="00445306"/>
    <w:rsid w:val="0044545C"/>
    <w:rsid w:val="004456C4"/>
    <w:rsid w:val="0044615F"/>
    <w:rsid w:val="004475E2"/>
    <w:rsid w:val="0044794A"/>
    <w:rsid w:val="00447C58"/>
    <w:rsid w:val="00447D75"/>
    <w:rsid w:val="00447EE3"/>
    <w:rsid w:val="00450A0C"/>
    <w:rsid w:val="0045109E"/>
    <w:rsid w:val="00451FA9"/>
    <w:rsid w:val="00453D54"/>
    <w:rsid w:val="00453DBB"/>
    <w:rsid w:val="004541A9"/>
    <w:rsid w:val="00454CE6"/>
    <w:rsid w:val="00455F1D"/>
    <w:rsid w:val="00456638"/>
    <w:rsid w:val="00456A40"/>
    <w:rsid w:val="00457739"/>
    <w:rsid w:val="00457A6F"/>
    <w:rsid w:val="004602A4"/>
    <w:rsid w:val="0046078B"/>
    <w:rsid w:val="00460957"/>
    <w:rsid w:val="00460C04"/>
    <w:rsid w:val="00461B40"/>
    <w:rsid w:val="0046238F"/>
    <w:rsid w:val="0046268C"/>
    <w:rsid w:val="00462EF3"/>
    <w:rsid w:val="00463B55"/>
    <w:rsid w:val="00463EE6"/>
    <w:rsid w:val="00465365"/>
    <w:rsid w:val="00465A59"/>
    <w:rsid w:val="00465EA2"/>
    <w:rsid w:val="004675E2"/>
    <w:rsid w:val="004701D7"/>
    <w:rsid w:val="00470D73"/>
    <w:rsid w:val="004710D1"/>
    <w:rsid w:val="004712A6"/>
    <w:rsid w:val="00471F23"/>
    <w:rsid w:val="0047250C"/>
    <w:rsid w:val="00472E15"/>
    <w:rsid w:val="004735D5"/>
    <w:rsid w:val="00475B3D"/>
    <w:rsid w:val="00476197"/>
    <w:rsid w:val="00476900"/>
    <w:rsid w:val="00476CEC"/>
    <w:rsid w:val="00477479"/>
    <w:rsid w:val="00477DEA"/>
    <w:rsid w:val="00480885"/>
    <w:rsid w:val="00480C91"/>
    <w:rsid w:val="00480EA9"/>
    <w:rsid w:val="00481676"/>
    <w:rsid w:val="00482098"/>
    <w:rsid w:val="0048297B"/>
    <w:rsid w:val="004846E4"/>
    <w:rsid w:val="0048545E"/>
    <w:rsid w:val="00485FBD"/>
    <w:rsid w:val="00485FFA"/>
    <w:rsid w:val="00486DC8"/>
    <w:rsid w:val="004870B5"/>
    <w:rsid w:val="00487948"/>
    <w:rsid w:val="0049020F"/>
    <w:rsid w:val="00491190"/>
    <w:rsid w:val="00491C49"/>
    <w:rsid w:val="00492120"/>
    <w:rsid w:val="00492447"/>
    <w:rsid w:val="00494AE7"/>
    <w:rsid w:val="00494DD7"/>
    <w:rsid w:val="00494FDF"/>
    <w:rsid w:val="0049507A"/>
    <w:rsid w:val="004951FE"/>
    <w:rsid w:val="00495FA4"/>
    <w:rsid w:val="004967F7"/>
    <w:rsid w:val="0049684D"/>
    <w:rsid w:val="00497845"/>
    <w:rsid w:val="00497DAF"/>
    <w:rsid w:val="00497F8E"/>
    <w:rsid w:val="004A06BE"/>
    <w:rsid w:val="004A2175"/>
    <w:rsid w:val="004A218C"/>
    <w:rsid w:val="004A2D55"/>
    <w:rsid w:val="004A3491"/>
    <w:rsid w:val="004A388C"/>
    <w:rsid w:val="004A40B7"/>
    <w:rsid w:val="004A49F8"/>
    <w:rsid w:val="004A5057"/>
    <w:rsid w:val="004A5365"/>
    <w:rsid w:val="004A6D2C"/>
    <w:rsid w:val="004A715E"/>
    <w:rsid w:val="004B002D"/>
    <w:rsid w:val="004B0638"/>
    <w:rsid w:val="004B099D"/>
    <w:rsid w:val="004B0C6B"/>
    <w:rsid w:val="004B1A15"/>
    <w:rsid w:val="004B1BAB"/>
    <w:rsid w:val="004B1E8C"/>
    <w:rsid w:val="004B2A26"/>
    <w:rsid w:val="004B364F"/>
    <w:rsid w:val="004B3879"/>
    <w:rsid w:val="004B3B5C"/>
    <w:rsid w:val="004B70F2"/>
    <w:rsid w:val="004B73C8"/>
    <w:rsid w:val="004B7E38"/>
    <w:rsid w:val="004B7FA2"/>
    <w:rsid w:val="004C0823"/>
    <w:rsid w:val="004C0ED2"/>
    <w:rsid w:val="004C0F96"/>
    <w:rsid w:val="004C1A02"/>
    <w:rsid w:val="004C2803"/>
    <w:rsid w:val="004C2BB4"/>
    <w:rsid w:val="004C2CE2"/>
    <w:rsid w:val="004C3737"/>
    <w:rsid w:val="004C38DE"/>
    <w:rsid w:val="004C51A4"/>
    <w:rsid w:val="004C5278"/>
    <w:rsid w:val="004C55D4"/>
    <w:rsid w:val="004C6052"/>
    <w:rsid w:val="004C654C"/>
    <w:rsid w:val="004C6D0A"/>
    <w:rsid w:val="004C72CD"/>
    <w:rsid w:val="004C739D"/>
    <w:rsid w:val="004D038C"/>
    <w:rsid w:val="004D0CB6"/>
    <w:rsid w:val="004D217A"/>
    <w:rsid w:val="004D35C8"/>
    <w:rsid w:val="004D4111"/>
    <w:rsid w:val="004D4B8C"/>
    <w:rsid w:val="004D592C"/>
    <w:rsid w:val="004D7651"/>
    <w:rsid w:val="004D7DDB"/>
    <w:rsid w:val="004E2AB2"/>
    <w:rsid w:val="004E2D07"/>
    <w:rsid w:val="004E2EDE"/>
    <w:rsid w:val="004E3E92"/>
    <w:rsid w:val="004E5157"/>
    <w:rsid w:val="004E5925"/>
    <w:rsid w:val="004E5961"/>
    <w:rsid w:val="004E74BA"/>
    <w:rsid w:val="004E782F"/>
    <w:rsid w:val="004E79C5"/>
    <w:rsid w:val="004F017D"/>
    <w:rsid w:val="004F0226"/>
    <w:rsid w:val="004F033D"/>
    <w:rsid w:val="004F06AB"/>
    <w:rsid w:val="004F0BF7"/>
    <w:rsid w:val="004F0D5D"/>
    <w:rsid w:val="004F1797"/>
    <w:rsid w:val="004F1839"/>
    <w:rsid w:val="004F1868"/>
    <w:rsid w:val="004F19A5"/>
    <w:rsid w:val="004F24BD"/>
    <w:rsid w:val="004F38E0"/>
    <w:rsid w:val="004F4044"/>
    <w:rsid w:val="004F49CA"/>
    <w:rsid w:val="004F5911"/>
    <w:rsid w:val="004F62EB"/>
    <w:rsid w:val="004F6380"/>
    <w:rsid w:val="004F63F7"/>
    <w:rsid w:val="004F70C6"/>
    <w:rsid w:val="004F71B0"/>
    <w:rsid w:val="004F7C4D"/>
    <w:rsid w:val="005002F9"/>
    <w:rsid w:val="00500336"/>
    <w:rsid w:val="00500E3D"/>
    <w:rsid w:val="0050117A"/>
    <w:rsid w:val="005012F0"/>
    <w:rsid w:val="0050142D"/>
    <w:rsid w:val="00502103"/>
    <w:rsid w:val="0050226B"/>
    <w:rsid w:val="0050332F"/>
    <w:rsid w:val="0050383C"/>
    <w:rsid w:val="00503C8C"/>
    <w:rsid w:val="00504939"/>
    <w:rsid w:val="00505828"/>
    <w:rsid w:val="00506115"/>
    <w:rsid w:val="00506A10"/>
    <w:rsid w:val="00506AC4"/>
    <w:rsid w:val="00506D84"/>
    <w:rsid w:val="00507144"/>
    <w:rsid w:val="00507434"/>
    <w:rsid w:val="00507487"/>
    <w:rsid w:val="005077E4"/>
    <w:rsid w:val="00507AF9"/>
    <w:rsid w:val="00507B83"/>
    <w:rsid w:val="00507E54"/>
    <w:rsid w:val="00510508"/>
    <w:rsid w:val="00510B52"/>
    <w:rsid w:val="00510E71"/>
    <w:rsid w:val="00510FC2"/>
    <w:rsid w:val="0051199F"/>
    <w:rsid w:val="00511F26"/>
    <w:rsid w:val="005127E8"/>
    <w:rsid w:val="00512E2B"/>
    <w:rsid w:val="00513326"/>
    <w:rsid w:val="005138ED"/>
    <w:rsid w:val="00514608"/>
    <w:rsid w:val="00514D54"/>
    <w:rsid w:val="00515929"/>
    <w:rsid w:val="0051594C"/>
    <w:rsid w:val="00515EE4"/>
    <w:rsid w:val="0051604C"/>
    <w:rsid w:val="00516891"/>
    <w:rsid w:val="00516C83"/>
    <w:rsid w:val="00517069"/>
    <w:rsid w:val="0051762B"/>
    <w:rsid w:val="005176A2"/>
    <w:rsid w:val="0052030D"/>
    <w:rsid w:val="005204FF"/>
    <w:rsid w:val="00520B1D"/>
    <w:rsid w:val="00520FED"/>
    <w:rsid w:val="00522467"/>
    <w:rsid w:val="00522732"/>
    <w:rsid w:val="00523C20"/>
    <w:rsid w:val="00524604"/>
    <w:rsid w:val="005248CC"/>
    <w:rsid w:val="005249A8"/>
    <w:rsid w:val="00524A23"/>
    <w:rsid w:val="00524C85"/>
    <w:rsid w:val="00525099"/>
    <w:rsid w:val="005262CF"/>
    <w:rsid w:val="00526725"/>
    <w:rsid w:val="0053055E"/>
    <w:rsid w:val="005307C5"/>
    <w:rsid w:val="00530A24"/>
    <w:rsid w:val="00531A48"/>
    <w:rsid w:val="0053276F"/>
    <w:rsid w:val="0053286C"/>
    <w:rsid w:val="00533355"/>
    <w:rsid w:val="005337F9"/>
    <w:rsid w:val="00533D00"/>
    <w:rsid w:val="0053411A"/>
    <w:rsid w:val="0053491E"/>
    <w:rsid w:val="00534F4F"/>
    <w:rsid w:val="005354DB"/>
    <w:rsid w:val="00535CA6"/>
    <w:rsid w:val="00535D41"/>
    <w:rsid w:val="005360F5"/>
    <w:rsid w:val="005362D7"/>
    <w:rsid w:val="0053675B"/>
    <w:rsid w:val="0053688B"/>
    <w:rsid w:val="005368DE"/>
    <w:rsid w:val="0053748A"/>
    <w:rsid w:val="00537B73"/>
    <w:rsid w:val="00537E85"/>
    <w:rsid w:val="00540244"/>
    <w:rsid w:val="005406F8"/>
    <w:rsid w:val="00540F6F"/>
    <w:rsid w:val="00540FD4"/>
    <w:rsid w:val="00541974"/>
    <w:rsid w:val="00542EA6"/>
    <w:rsid w:val="005439F9"/>
    <w:rsid w:val="00543D78"/>
    <w:rsid w:val="005440E7"/>
    <w:rsid w:val="005457C5"/>
    <w:rsid w:val="00545DBC"/>
    <w:rsid w:val="005502E2"/>
    <w:rsid w:val="00550C16"/>
    <w:rsid w:val="00551726"/>
    <w:rsid w:val="005519B9"/>
    <w:rsid w:val="00552261"/>
    <w:rsid w:val="0055268E"/>
    <w:rsid w:val="00552D30"/>
    <w:rsid w:val="0055382A"/>
    <w:rsid w:val="0055387F"/>
    <w:rsid w:val="0055404E"/>
    <w:rsid w:val="005540DE"/>
    <w:rsid w:val="00554971"/>
    <w:rsid w:val="005562C0"/>
    <w:rsid w:val="00556649"/>
    <w:rsid w:val="00556FE4"/>
    <w:rsid w:val="00557530"/>
    <w:rsid w:val="00557670"/>
    <w:rsid w:val="00560737"/>
    <w:rsid w:val="00561350"/>
    <w:rsid w:val="00561800"/>
    <w:rsid w:val="00561CF9"/>
    <w:rsid w:val="00561DD9"/>
    <w:rsid w:val="00563536"/>
    <w:rsid w:val="00563A39"/>
    <w:rsid w:val="00565616"/>
    <w:rsid w:val="0056578E"/>
    <w:rsid w:val="00565FA5"/>
    <w:rsid w:val="005661B9"/>
    <w:rsid w:val="00566850"/>
    <w:rsid w:val="00566E11"/>
    <w:rsid w:val="00567006"/>
    <w:rsid w:val="00567311"/>
    <w:rsid w:val="00567648"/>
    <w:rsid w:val="0056768B"/>
    <w:rsid w:val="005677E7"/>
    <w:rsid w:val="00567DEA"/>
    <w:rsid w:val="005700F1"/>
    <w:rsid w:val="0057139C"/>
    <w:rsid w:val="00571E94"/>
    <w:rsid w:val="0057241D"/>
    <w:rsid w:val="00573521"/>
    <w:rsid w:val="00573D43"/>
    <w:rsid w:val="00574191"/>
    <w:rsid w:val="00574ABC"/>
    <w:rsid w:val="00575601"/>
    <w:rsid w:val="005759BB"/>
    <w:rsid w:val="00576253"/>
    <w:rsid w:val="00576E42"/>
    <w:rsid w:val="00577F5A"/>
    <w:rsid w:val="00580388"/>
    <w:rsid w:val="00581D16"/>
    <w:rsid w:val="00582099"/>
    <w:rsid w:val="005823B2"/>
    <w:rsid w:val="005826AC"/>
    <w:rsid w:val="0058339E"/>
    <w:rsid w:val="005838FE"/>
    <w:rsid w:val="00585BF1"/>
    <w:rsid w:val="00585D7C"/>
    <w:rsid w:val="00586587"/>
    <w:rsid w:val="005873DF"/>
    <w:rsid w:val="00587608"/>
    <w:rsid w:val="00587BA6"/>
    <w:rsid w:val="005904B5"/>
    <w:rsid w:val="00590A67"/>
    <w:rsid w:val="00590AB2"/>
    <w:rsid w:val="00591549"/>
    <w:rsid w:val="00591618"/>
    <w:rsid w:val="00591717"/>
    <w:rsid w:val="00591956"/>
    <w:rsid w:val="00591E0E"/>
    <w:rsid w:val="00593A1D"/>
    <w:rsid w:val="00594B83"/>
    <w:rsid w:val="0059713B"/>
    <w:rsid w:val="0059718B"/>
    <w:rsid w:val="0059724D"/>
    <w:rsid w:val="005979C5"/>
    <w:rsid w:val="005A0B62"/>
    <w:rsid w:val="005A0C00"/>
    <w:rsid w:val="005A1B5F"/>
    <w:rsid w:val="005A1BF7"/>
    <w:rsid w:val="005A1F96"/>
    <w:rsid w:val="005A26B7"/>
    <w:rsid w:val="005A2DAB"/>
    <w:rsid w:val="005A3491"/>
    <w:rsid w:val="005A3659"/>
    <w:rsid w:val="005A3C67"/>
    <w:rsid w:val="005A4287"/>
    <w:rsid w:val="005A4362"/>
    <w:rsid w:val="005A436F"/>
    <w:rsid w:val="005A44CC"/>
    <w:rsid w:val="005B02B1"/>
    <w:rsid w:val="005B02CE"/>
    <w:rsid w:val="005B0310"/>
    <w:rsid w:val="005B204B"/>
    <w:rsid w:val="005B2F20"/>
    <w:rsid w:val="005B2F2A"/>
    <w:rsid w:val="005B31E4"/>
    <w:rsid w:val="005B3599"/>
    <w:rsid w:val="005B3AFF"/>
    <w:rsid w:val="005B3D14"/>
    <w:rsid w:val="005B523C"/>
    <w:rsid w:val="005B53E6"/>
    <w:rsid w:val="005B58E1"/>
    <w:rsid w:val="005B5BC6"/>
    <w:rsid w:val="005B674D"/>
    <w:rsid w:val="005B7050"/>
    <w:rsid w:val="005B75C5"/>
    <w:rsid w:val="005B7D9C"/>
    <w:rsid w:val="005C06ED"/>
    <w:rsid w:val="005C1710"/>
    <w:rsid w:val="005C28BF"/>
    <w:rsid w:val="005C2C14"/>
    <w:rsid w:val="005C2D96"/>
    <w:rsid w:val="005C3116"/>
    <w:rsid w:val="005C340D"/>
    <w:rsid w:val="005C3557"/>
    <w:rsid w:val="005C3D8B"/>
    <w:rsid w:val="005C4250"/>
    <w:rsid w:val="005C45BA"/>
    <w:rsid w:val="005C46EF"/>
    <w:rsid w:val="005C4908"/>
    <w:rsid w:val="005C4BC4"/>
    <w:rsid w:val="005C5032"/>
    <w:rsid w:val="005C55AB"/>
    <w:rsid w:val="005C660F"/>
    <w:rsid w:val="005C6C43"/>
    <w:rsid w:val="005C6F3B"/>
    <w:rsid w:val="005C73E9"/>
    <w:rsid w:val="005D0607"/>
    <w:rsid w:val="005D16CC"/>
    <w:rsid w:val="005D27F0"/>
    <w:rsid w:val="005D54A8"/>
    <w:rsid w:val="005D61F6"/>
    <w:rsid w:val="005D6E58"/>
    <w:rsid w:val="005D70BF"/>
    <w:rsid w:val="005D78DD"/>
    <w:rsid w:val="005E0722"/>
    <w:rsid w:val="005E0871"/>
    <w:rsid w:val="005E0A4A"/>
    <w:rsid w:val="005E0EC7"/>
    <w:rsid w:val="005E1024"/>
    <w:rsid w:val="005E12F3"/>
    <w:rsid w:val="005E1F60"/>
    <w:rsid w:val="005E23E2"/>
    <w:rsid w:val="005E2D1B"/>
    <w:rsid w:val="005E2ECB"/>
    <w:rsid w:val="005E44AE"/>
    <w:rsid w:val="005E4522"/>
    <w:rsid w:val="005E4774"/>
    <w:rsid w:val="005E5D1E"/>
    <w:rsid w:val="005E6631"/>
    <w:rsid w:val="005E6A2C"/>
    <w:rsid w:val="005E6B5A"/>
    <w:rsid w:val="005E72EF"/>
    <w:rsid w:val="005F1404"/>
    <w:rsid w:val="005F2D33"/>
    <w:rsid w:val="005F2FFE"/>
    <w:rsid w:val="005F30B2"/>
    <w:rsid w:val="005F46C7"/>
    <w:rsid w:val="005F5B85"/>
    <w:rsid w:val="005F5D0F"/>
    <w:rsid w:val="005F6F01"/>
    <w:rsid w:val="005F75B9"/>
    <w:rsid w:val="00600329"/>
    <w:rsid w:val="006004F9"/>
    <w:rsid w:val="006015E5"/>
    <w:rsid w:val="00602CE8"/>
    <w:rsid w:val="0060410B"/>
    <w:rsid w:val="00604422"/>
    <w:rsid w:val="00604600"/>
    <w:rsid w:val="006057D7"/>
    <w:rsid w:val="00605D58"/>
    <w:rsid w:val="006063DE"/>
    <w:rsid w:val="00606871"/>
    <w:rsid w:val="00607E11"/>
    <w:rsid w:val="0061082E"/>
    <w:rsid w:val="00611E33"/>
    <w:rsid w:val="00612B43"/>
    <w:rsid w:val="00612CAF"/>
    <w:rsid w:val="00614548"/>
    <w:rsid w:val="00615215"/>
    <w:rsid w:val="00616A38"/>
    <w:rsid w:val="00620002"/>
    <w:rsid w:val="00620344"/>
    <w:rsid w:val="006206C6"/>
    <w:rsid w:val="0062155D"/>
    <w:rsid w:val="006227C6"/>
    <w:rsid w:val="0062298C"/>
    <w:rsid w:val="00624025"/>
    <w:rsid w:val="00624BD0"/>
    <w:rsid w:val="006253ED"/>
    <w:rsid w:val="006257DF"/>
    <w:rsid w:val="00627CB6"/>
    <w:rsid w:val="00631C74"/>
    <w:rsid w:val="00631D41"/>
    <w:rsid w:val="00631E50"/>
    <w:rsid w:val="006326D8"/>
    <w:rsid w:val="00632BE6"/>
    <w:rsid w:val="0063380B"/>
    <w:rsid w:val="006340B8"/>
    <w:rsid w:val="0063522F"/>
    <w:rsid w:val="006369CD"/>
    <w:rsid w:val="00636CD2"/>
    <w:rsid w:val="00636E3C"/>
    <w:rsid w:val="006371D4"/>
    <w:rsid w:val="00637367"/>
    <w:rsid w:val="00637FB0"/>
    <w:rsid w:val="006403B3"/>
    <w:rsid w:val="006409E9"/>
    <w:rsid w:val="00640B37"/>
    <w:rsid w:val="006422E9"/>
    <w:rsid w:val="006426AA"/>
    <w:rsid w:val="0064330A"/>
    <w:rsid w:val="006433EF"/>
    <w:rsid w:val="00643AC9"/>
    <w:rsid w:val="00643BB9"/>
    <w:rsid w:val="00643DDF"/>
    <w:rsid w:val="0064487F"/>
    <w:rsid w:val="00644A00"/>
    <w:rsid w:val="00644F40"/>
    <w:rsid w:val="006450D6"/>
    <w:rsid w:val="00645940"/>
    <w:rsid w:val="00645984"/>
    <w:rsid w:val="00645AB6"/>
    <w:rsid w:val="00647037"/>
    <w:rsid w:val="006474F7"/>
    <w:rsid w:val="00647EDC"/>
    <w:rsid w:val="006501D9"/>
    <w:rsid w:val="00650211"/>
    <w:rsid w:val="00650B70"/>
    <w:rsid w:val="00651122"/>
    <w:rsid w:val="00652258"/>
    <w:rsid w:val="006523F2"/>
    <w:rsid w:val="00652E40"/>
    <w:rsid w:val="00654574"/>
    <w:rsid w:val="00656366"/>
    <w:rsid w:val="006612D2"/>
    <w:rsid w:val="0066199B"/>
    <w:rsid w:val="006626B6"/>
    <w:rsid w:val="00662C2A"/>
    <w:rsid w:val="0066443E"/>
    <w:rsid w:val="00664851"/>
    <w:rsid w:val="00664C3A"/>
    <w:rsid w:val="00665143"/>
    <w:rsid w:val="0066623E"/>
    <w:rsid w:val="0066662D"/>
    <w:rsid w:val="00667361"/>
    <w:rsid w:val="006673EE"/>
    <w:rsid w:val="00667ADD"/>
    <w:rsid w:val="00667B35"/>
    <w:rsid w:val="006700AF"/>
    <w:rsid w:val="00670406"/>
    <w:rsid w:val="006705CE"/>
    <w:rsid w:val="00670877"/>
    <w:rsid w:val="00670DD1"/>
    <w:rsid w:val="00671DA9"/>
    <w:rsid w:val="006727A7"/>
    <w:rsid w:val="00672880"/>
    <w:rsid w:val="006734D2"/>
    <w:rsid w:val="00673805"/>
    <w:rsid w:val="006748F5"/>
    <w:rsid w:val="00675B8F"/>
    <w:rsid w:val="00677003"/>
    <w:rsid w:val="00677537"/>
    <w:rsid w:val="00677750"/>
    <w:rsid w:val="006803F1"/>
    <w:rsid w:val="0068104B"/>
    <w:rsid w:val="00681DC1"/>
    <w:rsid w:val="00681FD1"/>
    <w:rsid w:val="00681FFA"/>
    <w:rsid w:val="00682EC5"/>
    <w:rsid w:val="006851CA"/>
    <w:rsid w:val="0068537A"/>
    <w:rsid w:val="0068577E"/>
    <w:rsid w:val="006863B0"/>
    <w:rsid w:val="0068780D"/>
    <w:rsid w:val="006925D2"/>
    <w:rsid w:val="006928DB"/>
    <w:rsid w:val="006929D7"/>
    <w:rsid w:val="00692D56"/>
    <w:rsid w:val="006931ED"/>
    <w:rsid w:val="006933D2"/>
    <w:rsid w:val="0069367E"/>
    <w:rsid w:val="00693C10"/>
    <w:rsid w:val="00694D0D"/>
    <w:rsid w:val="006958F4"/>
    <w:rsid w:val="00695B97"/>
    <w:rsid w:val="00695D96"/>
    <w:rsid w:val="0069625A"/>
    <w:rsid w:val="0069627B"/>
    <w:rsid w:val="00697597"/>
    <w:rsid w:val="006979A4"/>
    <w:rsid w:val="006A1375"/>
    <w:rsid w:val="006A189B"/>
    <w:rsid w:val="006A3249"/>
    <w:rsid w:val="006A5B11"/>
    <w:rsid w:val="006A6473"/>
    <w:rsid w:val="006A6752"/>
    <w:rsid w:val="006A6F19"/>
    <w:rsid w:val="006A6F29"/>
    <w:rsid w:val="006A7299"/>
    <w:rsid w:val="006A74C0"/>
    <w:rsid w:val="006B0333"/>
    <w:rsid w:val="006B062C"/>
    <w:rsid w:val="006B1288"/>
    <w:rsid w:val="006B1AB0"/>
    <w:rsid w:val="006B261A"/>
    <w:rsid w:val="006B2CFD"/>
    <w:rsid w:val="006B2E1E"/>
    <w:rsid w:val="006B2F21"/>
    <w:rsid w:val="006B3E81"/>
    <w:rsid w:val="006B409F"/>
    <w:rsid w:val="006B4E93"/>
    <w:rsid w:val="006B5370"/>
    <w:rsid w:val="006B5BC7"/>
    <w:rsid w:val="006B78E3"/>
    <w:rsid w:val="006C0646"/>
    <w:rsid w:val="006C0B3F"/>
    <w:rsid w:val="006C3776"/>
    <w:rsid w:val="006C43D9"/>
    <w:rsid w:val="006C49BA"/>
    <w:rsid w:val="006C52D6"/>
    <w:rsid w:val="006C6207"/>
    <w:rsid w:val="006C6647"/>
    <w:rsid w:val="006D0726"/>
    <w:rsid w:val="006D07EA"/>
    <w:rsid w:val="006D0B38"/>
    <w:rsid w:val="006D1102"/>
    <w:rsid w:val="006D24F1"/>
    <w:rsid w:val="006D2619"/>
    <w:rsid w:val="006D3954"/>
    <w:rsid w:val="006D416D"/>
    <w:rsid w:val="006D4E08"/>
    <w:rsid w:val="006D5DA6"/>
    <w:rsid w:val="006D6A34"/>
    <w:rsid w:val="006D6BCF"/>
    <w:rsid w:val="006D6C86"/>
    <w:rsid w:val="006D7B04"/>
    <w:rsid w:val="006D7BAB"/>
    <w:rsid w:val="006E0ECD"/>
    <w:rsid w:val="006E0F24"/>
    <w:rsid w:val="006E1001"/>
    <w:rsid w:val="006E129C"/>
    <w:rsid w:val="006E1568"/>
    <w:rsid w:val="006E1E5D"/>
    <w:rsid w:val="006E2B13"/>
    <w:rsid w:val="006E2E18"/>
    <w:rsid w:val="006E3578"/>
    <w:rsid w:val="006E3DD6"/>
    <w:rsid w:val="006E499E"/>
    <w:rsid w:val="006E61EA"/>
    <w:rsid w:val="006E63C9"/>
    <w:rsid w:val="006E6BB4"/>
    <w:rsid w:val="006F027A"/>
    <w:rsid w:val="006F064B"/>
    <w:rsid w:val="006F0A72"/>
    <w:rsid w:val="006F1295"/>
    <w:rsid w:val="006F1BD8"/>
    <w:rsid w:val="006F1DF3"/>
    <w:rsid w:val="006F370C"/>
    <w:rsid w:val="006F3BAE"/>
    <w:rsid w:val="006F4053"/>
    <w:rsid w:val="006F5518"/>
    <w:rsid w:val="006F5D6B"/>
    <w:rsid w:val="006F6071"/>
    <w:rsid w:val="006F60DE"/>
    <w:rsid w:val="006F615E"/>
    <w:rsid w:val="006F6BB9"/>
    <w:rsid w:val="006F6F94"/>
    <w:rsid w:val="006F7FB1"/>
    <w:rsid w:val="00700232"/>
    <w:rsid w:val="007007DC"/>
    <w:rsid w:val="00700BA3"/>
    <w:rsid w:val="00701B71"/>
    <w:rsid w:val="00702109"/>
    <w:rsid w:val="007022A7"/>
    <w:rsid w:val="007033E3"/>
    <w:rsid w:val="00703960"/>
    <w:rsid w:val="00703995"/>
    <w:rsid w:val="00703DF1"/>
    <w:rsid w:val="00704E98"/>
    <w:rsid w:val="00704FCB"/>
    <w:rsid w:val="0070532D"/>
    <w:rsid w:val="00705845"/>
    <w:rsid w:val="007059B3"/>
    <w:rsid w:val="00705D5F"/>
    <w:rsid w:val="00706C9F"/>
    <w:rsid w:val="00706CD2"/>
    <w:rsid w:val="0070780B"/>
    <w:rsid w:val="007078E9"/>
    <w:rsid w:val="007102CA"/>
    <w:rsid w:val="007111F0"/>
    <w:rsid w:val="007148F4"/>
    <w:rsid w:val="0071551F"/>
    <w:rsid w:val="00715C89"/>
    <w:rsid w:val="00717E23"/>
    <w:rsid w:val="007205A5"/>
    <w:rsid w:val="00720E1D"/>
    <w:rsid w:val="00720E5E"/>
    <w:rsid w:val="00721727"/>
    <w:rsid w:val="0072380F"/>
    <w:rsid w:val="00723C17"/>
    <w:rsid w:val="0072417D"/>
    <w:rsid w:val="0072501E"/>
    <w:rsid w:val="00725A27"/>
    <w:rsid w:val="00725CB2"/>
    <w:rsid w:val="00726647"/>
    <w:rsid w:val="0072687D"/>
    <w:rsid w:val="007275BC"/>
    <w:rsid w:val="00730566"/>
    <w:rsid w:val="00730B64"/>
    <w:rsid w:val="007317C6"/>
    <w:rsid w:val="007328CF"/>
    <w:rsid w:val="00732BD0"/>
    <w:rsid w:val="00732F78"/>
    <w:rsid w:val="007335FA"/>
    <w:rsid w:val="00733684"/>
    <w:rsid w:val="00734118"/>
    <w:rsid w:val="00734BC4"/>
    <w:rsid w:val="00734C4B"/>
    <w:rsid w:val="007355DD"/>
    <w:rsid w:val="0073572F"/>
    <w:rsid w:val="00735FFC"/>
    <w:rsid w:val="007367E3"/>
    <w:rsid w:val="007402D4"/>
    <w:rsid w:val="00740386"/>
    <w:rsid w:val="00740862"/>
    <w:rsid w:val="007411C2"/>
    <w:rsid w:val="00741CEC"/>
    <w:rsid w:val="00741D81"/>
    <w:rsid w:val="00741FBC"/>
    <w:rsid w:val="007434A5"/>
    <w:rsid w:val="00745958"/>
    <w:rsid w:val="00746E2B"/>
    <w:rsid w:val="00747199"/>
    <w:rsid w:val="00747444"/>
    <w:rsid w:val="0075048E"/>
    <w:rsid w:val="00750B38"/>
    <w:rsid w:val="00751A3F"/>
    <w:rsid w:val="0075343F"/>
    <w:rsid w:val="0075351B"/>
    <w:rsid w:val="00754242"/>
    <w:rsid w:val="007546CF"/>
    <w:rsid w:val="00757688"/>
    <w:rsid w:val="007578CA"/>
    <w:rsid w:val="007608FC"/>
    <w:rsid w:val="0076110C"/>
    <w:rsid w:val="00761FC1"/>
    <w:rsid w:val="00762557"/>
    <w:rsid w:val="00763B42"/>
    <w:rsid w:val="007640C9"/>
    <w:rsid w:val="00764BBE"/>
    <w:rsid w:val="00764CC4"/>
    <w:rsid w:val="00765031"/>
    <w:rsid w:val="00765303"/>
    <w:rsid w:val="00765407"/>
    <w:rsid w:val="007661FE"/>
    <w:rsid w:val="0076677B"/>
    <w:rsid w:val="0076678D"/>
    <w:rsid w:val="00766FB0"/>
    <w:rsid w:val="0076724E"/>
    <w:rsid w:val="00767464"/>
    <w:rsid w:val="00767499"/>
    <w:rsid w:val="007702A9"/>
    <w:rsid w:val="00770518"/>
    <w:rsid w:val="00770740"/>
    <w:rsid w:val="00770C52"/>
    <w:rsid w:val="00770FB0"/>
    <w:rsid w:val="00771C88"/>
    <w:rsid w:val="00771CB0"/>
    <w:rsid w:val="007722A9"/>
    <w:rsid w:val="007722FF"/>
    <w:rsid w:val="00772749"/>
    <w:rsid w:val="0077279C"/>
    <w:rsid w:val="007736C2"/>
    <w:rsid w:val="007738A0"/>
    <w:rsid w:val="0077444F"/>
    <w:rsid w:val="0077480D"/>
    <w:rsid w:val="007754FC"/>
    <w:rsid w:val="007758D6"/>
    <w:rsid w:val="00775BEE"/>
    <w:rsid w:val="00775FC8"/>
    <w:rsid w:val="007761FD"/>
    <w:rsid w:val="00777101"/>
    <w:rsid w:val="0077722F"/>
    <w:rsid w:val="007773CD"/>
    <w:rsid w:val="0077754E"/>
    <w:rsid w:val="007775F5"/>
    <w:rsid w:val="0077781A"/>
    <w:rsid w:val="00783449"/>
    <w:rsid w:val="0078465F"/>
    <w:rsid w:val="00784860"/>
    <w:rsid w:val="00785E84"/>
    <w:rsid w:val="0078666D"/>
    <w:rsid w:val="00786844"/>
    <w:rsid w:val="00787260"/>
    <w:rsid w:val="00787BFE"/>
    <w:rsid w:val="00787D53"/>
    <w:rsid w:val="0079018C"/>
    <w:rsid w:val="0079041C"/>
    <w:rsid w:val="00790FAD"/>
    <w:rsid w:val="00791365"/>
    <w:rsid w:val="007915AD"/>
    <w:rsid w:val="007918F2"/>
    <w:rsid w:val="0079199F"/>
    <w:rsid w:val="00791E5B"/>
    <w:rsid w:val="00791EB9"/>
    <w:rsid w:val="007947A3"/>
    <w:rsid w:val="00794B61"/>
    <w:rsid w:val="00794E7E"/>
    <w:rsid w:val="00795CF8"/>
    <w:rsid w:val="00796331"/>
    <w:rsid w:val="0079680A"/>
    <w:rsid w:val="00797F20"/>
    <w:rsid w:val="007A1096"/>
    <w:rsid w:val="007A11FD"/>
    <w:rsid w:val="007A1206"/>
    <w:rsid w:val="007A17FD"/>
    <w:rsid w:val="007A34CE"/>
    <w:rsid w:val="007A49C5"/>
    <w:rsid w:val="007A5825"/>
    <w:rsid w:val="007A5CC9"/>
    <w:rsid w:val="007A5D16"/>
    <w:rsid w:val="007A61E5"/>
    <w:rsid w:val="007A63EF"/>
    <w:rsid w:val="007A641B"/>
    <w:rsid w:val="007A6959"/>
    <w:rsid w:val="007A7E17"/>
    <w:rsid w:val="007A7F9F"/>
    <w:rsid w:val="007B024D"/>
    <w:rsid w:val="007B0C6E"/>
    <w:rsid w:val="007B13B0"/>
    <w:rsid w:val="007B2CF2"/>
    <w:rsid w:val="007B495B"/>
    <w:rsid w:val="007B4F52"/>
    <w:rsid w:val="007B616B"/>
    <w:rsid w:val="007B63DF"/>
    <w:rsid w:val="007B767F"/>
    <w:rsid w:val="007B77CA"/>
    <w:rsid w:val="007C04E8"/>
    <w:rsid w:val="007C0A99"/>
    <w:rsid w:val="007C0EEB"/>
    <w:rsid w:val="007C1162"/>
    <w:rsid w:val="007C21A5"/>
    <w:rsid w:val="007C2211"/>
    <w:rsid w:val="007C2F06"/>
    <w:rsid w:val="007C2FAB"/>
    <w:rsid w:val="007C3F1A"/>
    <w:rsid w:val="007C4108"/>
    <w:rsid w:val="007C6B82"/>
    <w:rsid w:val="007C7301"/>
    <w:rsid w:val="007C75F1"/>
    <w:rsid w:val="007C78CB"/>
    <w:rsid w:val="007D0861"/>
    <w:rsid w:val="007D09CA"/>
    <w:rsid w:val="007D3128"/>
    <w:rsid w:val="007D390F"/>
    <w:rsid w:val="007D3E50"/>
    <w:rsid w:val="007D423E"/>
    <w:rsid w:val="007D46AF"/>
    <w:rsid w:val="007D5082"/>
    <w:rsid w:val="007D569E"/>
    <w:rsid w:val="007D5ABD"/>
    <w:rsid w:val="007D5C60"/>
    <w:rsid w:val="007D5DA2"/>
    <w:rsid w:val="007D67F0"/>
    <w:rsid w:val="007D68E6"/>
    <w:rsid w:val="007D6C8A"/>
    <w:rsid w:val="007D6DA5"/>
    <w:rsid w:val="007D72FB"/>
    <w:rsid w:val="007D7659"/>
    <w:rsid w:val="007D78BA"/>
    <w:rsid w:val="007E0489"/>
    <w:rsid w:val="007E0FB6"/>
    <w:rsid w:val="007E10D9"/>
    <w:rsid w:val="007E18AB"/>
    <w:rsid w:val="007E19F8"/>
    <w:rsid w:val="007E1D6B"/>
    <w:rsid w:val="007E1F87"/>
    <w:rsid w:val="007E30B3"/>
    <w:rsid w:val="007E3624"/>
    <w:rsid w:val="007E3B5D"/>
    <w:rsid w:val="007E3C37"/>
    <w:rsid w:val="007E4380"/>
    <w:rsid w:val="007E44F8"/>
    <w:rsid w:val="007E4DEA"/>
    <w:rsid w:val="007E6780"/>
    <w:rsid w:val="007E7A17"/>
    <w:rsid w:val="007F00A7"/>
    <w:rsid w:val="007F2841"/>
    <w:rsid w:val="007F29F8"/>
    <w:rsid w:val="007F2DD0"/>
    <w:rsid w:val="007F3608"/>
    <w:rsid w:val="007F37C7"/>
    <w:rsid w:val="007F3840"/>
    <w:rsid w:val="007F391C"/>
    <w:rsid w:val="007F4F69"/>
    <w:rsid w:val="007F66F1"/>
    <w:rsid w:val="00800642"/>
    <w:rsid w:val="00801656"/>
    <w:rsid w:val="008017D1"/>
    <w:rsid w:val="008018D2"/>
    <w:rsid w:val="008030D8"/>
    <w:rsid w:val="008033E4"/>
    <w:rsid w:val="00804A8D"/>
    <w:rsid w:val="00806DA4"/>
    <w:rsid w:val="008072AC"/>
    <w:rsid w:val="008073E5"/>
    <w:rsid w:val="00810770"/>
    <w:rsid w:val="008110E4"/>
    <w:rsid w:val="0081132A"/>
    <w:rsid w:val="00811594"/>
    <w:rsid w:val="00811AAB"/>
    <w:rsid w:val="00811D82"/>
    <w:rsid w:val="008148EF"/>
    <w:rsid w:val="008149B6"/>
    <w:rsid w:val="00814C98"/>
    <w:rsid w:val="008151F8"/>
    <w:rsid w:val="00815373"/>
    <w:rsid w:val="00815C37"/>
    <w:rsid w:val="00816D4A"/>
    <w:rsid w:val="008173F0"/>
    <w:rsid w:val="0081793C"/>
    <w:rsid w:val="008202F4"/>
    <w:rsid w:val="0082084B"/>
    <w:rsid w:val="00820939"/>
    <w:rsid w:val="00820CA1"/>
    <w:rsid w:val="00821A05"/>
    <w:rsid w:val="00821BA2"/>
    <w:rsid w:val="00822094"/>
    <w:rsid w:val="00822C6B"/>
    <w:rsid w:val="00823107"/>
    <w:rsid w:val="0082331F"/>
    <w:rsid w:val="00823474"/>
    <w:rsid w:val="00823503"/>
    <w:rsid w:val="00823602"/>
    <w:rsid w:val="00823727"/>
    <w:rsid w:val="008237DD"/>
    <w:rsid w:val="00823BF8"/>
    <w:rsid w:val="00823CA4"/>
    <w:rsid w:val="00823CF3"/>
    <w:rsid w:val="00823E87"/>
    <w:rsid w:val="00824AE4"/>
    <w:rsid w:val="00825626"/>
    <w:rsid w:val="00825943"/>
    <w:rsid w:val="00825B65"/>
    <w:rsid w:val="00826071"/>
    <w:rsid w:val="008266F8"/>
    <w:rsid w:val="00826B4D"/>
    <w:rsid w:val="00827064"/>
    <w:rsid w:val="0082739F"/>
    <w:rsid w:val="00827E10"/>
    <w:rsid w:val="00830885"/>
    <w:rsid w:val="008308CC"/>
    <w:rsid w:val="00830BAB"/>
    <w:rsid w:val="00830E4B"/>
    <w:rsid w:val="0083184F"/>
    <w:rsid w:val="008319A5"/>
    <w:rsid w:val="0083202E"/>
    <w:rsid w:val="00832A69"/>
    <w:rsid w:val="00832B21"/>
    <w:rsid w:val="0083306E"/>
    <w:rsid w:val="00833CA5"/>
    <w:rsid w:val="00834026"/>
    <w:rsid w:val="008352DA"/>
    <w:rsid w:val="008355CC"/>
    <w:rsid w:val="00835753"/>
    <w:rsid w:val="00836041"/>
    <w:rsid w:val="00836340"/>
    <w:rsid w:val="00836AEC"/>
    <w:rsid w:val="0083720D"/>
    <w:rsid w:val="00837457"/>
    <w:rsid w:val="0083753E"/>
    <w:rsid w:val="0083767F"/>
    <w:rsid w:val="00837FA9"/>
    <w:rsid w:val="008403BD"/>
    <w:rsid w:val="008405F6"/>
    <w:rsid w:val="00840AC9"/>
    <w:rsid w:val="0084155C"/>
    <w:rsid w:val="008422B3"/>
    <w:rsid w:val="008430B6"/>
    <w:rsid w:val="00843C26"/>
    <w:rsid w:val="00844333"/>
    <w:rsid w:val="0084442A"/>
    <w:rsid w:val="008454CF"/>
    <w:rsid w:val="00845728"/>
    <w:rsid w:val="00845D3E"/>
    <w:rsid w:val="00845E3A"/>
    <w:rsid w:val="00846BDC"/>
    <w:rsid w:val="008505BC"/>
    <w:rsid w:val="008507A9"/>
    <w:rsid w:val="00850D11"/>
    <w:rsid w:val="00850F25"/>
    <w:rsid w:val="00851068"/>
    <w:rsid w:val="00851CA1"/>
    <w:rsid w:val="00852969"/>
    <w:rsid w:val="008537E7"/>
    <w:rsid w:val="00853B6B"/>
    <w:rsid w:val="00854E2C"/>
    <w:rsid w:val="0085534F"/>
    <w:rsid w:val="00857054"/>
    <w:rsid w:val="008602FD"/>
    <w:rsid w:val="00860A89"/>
    <w:rsid w:val="0086193E"/>
    <w:rsid w:val="008619F2"/>
    <w:rsid w:val="00861AEB"/>
    <w:rsid w:val="00862225"/>
    <w:rsid w:val="00862493"/>
    <w:rsid w:val="008627B2"/>
    <w:rsid w:val="00863945"/>
    <w:rsid w:val="00863A1C"/>
    <w:rsid w:val="00863B3F"/>
    <w:rsid w:val="00864879"/>
    <w:rsid w:val="00864888"/>
    <w:rsid w:val="00864D4C"/>
    <w:rsid w:val="00865605"/>
    <w:rsid w:val="00865885"/>
    <w:rsid w:val="00865B56"/>
    <w:rsid w:val="0086643F"/>
    <w:rsid w:val="008664CB"/>
    <w:rsid w:val="0086672E"/>
    <w:rsid w:val="008669CE"/>
    <w:rsid w:val="00866CDE"/>
    <w:rsid w:val="00867A6E"/>
    <w:rsid w:val="0087013B"/>
    <w:rsid w:val="00871142"/>
    <w:rsid w:val="0087151C"/>
    <w:rsid w:val="008716CA"/>
    <w:rsid w:val="00871E46"/>
    <w:rsid w:val="0087227C"/>
    <w:rsid w:val="00872BE3"/>
    <w:rsid w:val="00873F46"/>
    <w:rsid w:val="008742AB"/>
    <w:rsid w:val="008750C2"/>
    <w:rsid w:val="008753F0"/>
    <w:rsid w:val="0087541D"/>
    <w:rsid w:val="00875635"/>
    <w:rsid w:val="00876391"/>
    <w:rsid w:val="00877550"/>
    <w:rsid w:val="0088040B"/>
    <w:rsid w:val="00880949"/>
    <w:rsid w:val="00881507"/>
    <w:rsid w:val="00881C7A"/>
    <w:rsid w:val="0088257E"/>
    <w:rsid w:val="008825D2"/>
    <w:rsid w:val="00882601"/>
    <w:rsid w:val="0088310B"/>
    <w:rsid w:val="0088356B"/>
    <w:rsid w:val="00883B0B"/>
    <w:rsid w:val="00883BEC"/>
    <w:rsid w:val="00884440"/>
    <w:rsid w:val="0088597E"/>
    <w:rsid w:val="00885996"/>
    <w:rsid w:val="00885D12"/>
    <w:rsid w:val="00885FE1"/>
    <w:rsid w:val="00886257"/>
    <w:rsid w:val="008865C3"/>
    <w:rsid w:val="00886C06"/>
    <w:rsid w:val="00886EC6"/>
    <w:rsid w:val="008871AA"/>
    <w:rsid w:val="0088755A"/>
    <w:rsid w:val="008876C4"/>
    <w:rsid w:val="00887A3A"/>
    <w:rsid w:val="008908FE"/>
    <w:rsid w:val="00891D63"/>
    <w:rsid w:val="00891F8E"/>
    <w:rsid w:val="00892049"/>
    <w:rsid w:val="008920D7"/>
    <w:rsid w:val="00892877"/>
    <w:rsid w:val="008928C6"/>
    <w:rsid w:val="0089290F"/>
    <w:rsid w:val="00892B0D"/>
    <w:rsid w:val="00892C72"/>
    <w:rsid w:val="0089316A"/>
    <w:rsid w:val="008934F7"/>
    <w:rsid w:val="008935C2"/>
    <w:rsid w:val="00893A3F"/>
    <w:rsid w:val="0089430C"/>
    <w:rsid w:val="0089444B"/>
    <w:rsid w:val="008947DD"/>
    <w:rsid w:val="00894BCD"/>
    <w:rsid w:val="008A0100"/>
    <w:rsid w:val="008A16EC"/>
    <w:rsid w:val="008A1A2A"/>
    <w:rsid w:val="008A3844"/>
    <w:rsid w:val="008A3FDD"/>
    <w:rsid w:val="008A40A5"/>
    <w:rsid w:val="008A43ED"/>
    <w:rsid w:val="008A453D"/>
    <w:rsid w:val="008A483D"/>
    <w:rsid w:val="008A48DC"/>
    <w:rsid w:val="008A5DD4"/>
    <w:rsid w:val="008A636F"/>
    <w:rsid w:val="008A76E0"/>
    <w:rsid w:val="008B05EB"/>
    <w:rsid w:val="008B062D"/>
    <w:rsid w:val="008B0737"/>
    <w:rsid w:val="008B0BDD"/>
    <w:rsid w:val="008B1482"/>
    <w:rsid w:val="008B1BC6"/>
    <w:rsid w:val="008B28D2"/>
    <w:rsid w:val="008B3237"/>
    <w:rsid w:val="008B3A4B"/>
    <w:rsid w:val="008B3D2F"/>
    <w:rsid w:val="008B4179"/>
    <w:rsid w:val="008B44D3"/>
    <w:rsid w:val="008B4998"/>
    <w:rsid w:val="008B5289"/>
    <w:rsid w:val="008B535D"/>
    <w:rsid w:val="008B5EB9"/>
    <w:rsid w:val="008B66EC"/>
    <w:rsid w:val="008B68FE"/>
    <w:rsid w:val="008B6E66"/>
    <w:rsid w:val="008B704E"/>
    <w:rsid w:val="008C098D"/>
    <w:rsid w:val="008C0CF8"/>
    <w:rsid w:val="008C1043"/>
    <w:rsid w:val="008C1D1D"/>
    <w:rsid w:val="008C207A"/>
    <w:rsid w:val="008C2952"/>
    <w:rsid w:val="008C2C23"/>
    <w:rsid w:val="008C2DF9"/>
    <w:rsid w:val="008C575E"/>
    <w:rsid w:val="008C5819"/>
    <w:rsid w:val="008C6532"/>
    <w:rsid w:val="008C6920"/>
    <w:rsid w:val="008C6931"/>
    <w:rsid w:val="008C706B"/>
    <w:rsid w:val="008C7491"/>
    <w:rsid w:val="008C7EC1"/>
    <w:rsid w:val="008D008B"/>
    <w:rsid w:val="008D0259"/>
    <w:rsid w:val="008D07ED"/>
    <w:rsid w:val="008D0E02"/>
    <w:rsid w:val="008D301E"/>
    <w:rsid w:val="008D3450"/>
    <w:rsid w:val="008D3F42"/>
    <w:rsid w:val="008D46F2"/>
    <w:rsid w:val="008D53B4"/>
    <w:rsid w:val="008D5686"/>
    <w:rsid w:val="008D58B7"/>
    <w:rsid w:val="008D6A28"/>
    <w:rsid w:val="008D6E3A"/>
    <w:rsid w:val="008D75DB"/>
    <w:rsid w:val="008D7F39"/>
    <w:rsid w:val="008E053E"/>
    <w:rsid w:val="008E120D"/>
    <w:rsid w:val="008E19A2"/>
    <w:rsid w:val="008E1EB6"/>
    <w:rsid w:val="008E3650"/>
    <w:rsid w:val="008E525F"/>
    <w:rsid w:val="008E5382"/>
    <w:rsid w:val="008E5488"/>
    <w:rsid w:val="008E5985"/>
    <w:rsid w:val="008E6096"/>
    <w:rsid w:val="008E60A6"/>
    <w:rsid w:val="008E6A44"/>
    <w:rsid w:val="008E6FCB"/>
    <w:rsid w:val="008E716C"/>
    <w:rsid w:val="008E7C9D"/>
    <w:rsid w:val="008E7E1F"/>
    <w:rsid w:val="008F0254"/>
    <w:rsid w:val="008F0612"/>
    <w:rsid w:val="008F1807"/>
    <w:rsid w:val="008F1931"/>
    <w:rsid w:val="008F1AEB"/>
    <w:rsid w:val="008F2165"/>
    <w:rsid w:val="008F471F"/>
    <w:rsid w:val="008F4A04"/>
    <w:rsid w:val="008F54CE"/>
    <w:rsid w:val="008F5A40"/>
    <w:rsid w:val="008F5DAD"/>
    <w:rsid w:val="008F5F99"/>
    <w:rsid w:val="008F6692"/>
    <w:rsid w:val="008F68F8"/>
    <w:rsid w:val="008F77C4"/>
    <w:rsid w:val="008F7968"/>
    <w:rsid w:val="00901A6D"/>
    <w:rsid w:val="00901D1D"/>
    <w:rsid w:val="00902030"/>
    <w:rsid w:val="00902310"/>
    <w:rsid w:val="009028F8"/>
    <w:rsid w:val="009032D2"/>
    <w:rsid w:val="009039CC"/>
    <w:rsid w:val="00903EEC"/>
    <w:rsid w:val="009043B4"/>
    <w:rsid w:val="00905BA7"/>
    <w:rsid w:val="0090644C"/>
    <w:rsid w:val="00906A33"/>
    <w:rsid w:val="0090720E"/>
    <w:rsid w:val="0090746D"/>
    <w:rsid w:val="00907701"/>
    <w:rsid w:val="009078DF"/>
    <w:rsid w:val="00907B58"/>
    <w:rsid w:val="00907C3E"/>
    <w:rsid w:val="00907DBC"/>
    <w:rsid w:val="00910C94"/>
    <w:rsid w:val="00911208"/>
    <w:rsid w:val="009117C2"/>
    <w:rsid w:val="00911A6F"/>
    <w:rsid w:val="00911EEE"/>
    <w:rsid w:val="0091282E"/>
    <w:rsid w:val="00912838"/>
    <w:rsid w:val="009128BF"/>
    <w:rsid w:val="00912900"/>
    <w:rsid w:val="00912E0C"/>
    <w:rsid w:val="00912F56"/>
    <w:rsid w:val="00913199"/>
    <w:rsid w:val="009135AA"/>
    <w:rsid w:val="009150E7"/>
    <w:rsid w:val="00915B9B"/>
    <w:rsid w:val="0091602C"/>
    <w:rsid w:val="009217D2"/>
    <w:rsid w:val="00921D89"/>
    <w:rsid w:val="009221BB"/>
    <w:rsid w:val="00923006"/>
    <w:rsid w:val="009237F9"/>
    <w:rsid w:val="009238DD"/>
    <w:rsid w:val="00923B5B"/>
    <w:rsid w:val="00923EB9"/>
    <w:rsid w:val="00923F66"/>
    <w:rsid w:val="00925DA8"/>
    <w:rsid w:val="00926BDD"/>
    <w:rsid w:val="00927392"/>
    <w:rsid w:val="009312AC"/>
    <w:rsid w:val="00932D41"/>
    <w:rsid w:val="00934F70"/>
    <w:rsid w:val="00935ADF"/>
    <w:rsid w:val="00935AE7"/>
    <w:rsid w:val="009370BE"/>
    <w:rsid w:val="00940BEA"/>
    <w:rsid w:val="00940C55"/>
    <w:rsid w:val="00941C96"/>
    <w:rsid w:val="00941F00"/>
    <w:rsid w:val="0094277C"/>
    <w:rsid w:val="00943A12"/>
    <w:rsid w:val="00943E17"/>
    <w:rsid w:val="00943E33"/>
    <w:rsid w:val="00943F1B"/>
    <w:rsid w:val="009442F6"/>
    <w:rsid w:val="00944532"/>
    <w:rsid w:val="00944B66"/>
    <w:rsid w:val="0094512C"/>
    <w:rsid w:val="009456CA"/>
    <w:rsid w:val="009466AC"/>
    <w:rsid w:val="009469A7"/>
    <w:rsid w:val="00947756"/>
    <w:rsid w:val="009478C1"/>
    <w:rsid w:val="00947C6B"/>
    <w:rsid w:val="0095139F"/>
    <w:rsid w:val="00951B51"/>
    <w:rsid w:val="00952ADD"/>
    <w:rsid w:val="00952F45"/>
    <w:rsid w:val="00952FDE"/>
    <w:rsid w:val="0095310B"/>
    <w:rsid w:val="00953524"/>
    <w:rsid w:val="00953AE0"/>
    <w:rsid w:val="00953B2A"/>
    <w:rsid w:val="009542D8"/>
    <w:rsid w:val="00954798"/>
    <w:rsid w:val="00954924"/>
    <w:rsid w:val="009553A5"/>
    <w:rsid w:val="00956F2B"/>
    <w:rsid w:val="0096010F"/>
    <w:rsid w:val="00960494"/>
    <w:rsid w:val="009609F0"/>
    <w:rsid w:val="0096192F"/>
    <w:rsid w:val="00961E13"/>
    <w:rsid w:val="0096205F"/>
    <w:rsid w:val="00962707"/>
    <w:rsid w:val="0096292E"/>
    <w:rsid w:val="00962AB9"/>
    <w:rsid w:val="00963BC9"/>
    <w:rsid w:val="009644E2"/>
    <w:rsid w:val="00964676"/>
    <w:rsid w:val="0096599A"/>
    <w:rsid w:val="00965C83"/>
    <w:rsid w:val="0096654A"/>
    <w:rsid w:val="00966869"/>
    <w:rsid w:val="00967384"/>
    <w:rsid w:val="009673BA"/>
    <w:rsid w:val="00967F7D"/>
    <w:rsid w:val="00971390"/>
    <w:rsid w:val="00972414"/>
    <w:rsid w:val="009735F6"/>
    <w:rsid w:val="009739E7"/>
    <w:rsid w:val="00973B0D"/>
    <w:rsid w:val="00973D1F"/>
    <w:rsid w:val="00974F5F"/>
    <w:rsid w:val="00975BDA"/>
    <w:rsid w:val="009766F8"/>
    <w:rsid w:val="00980091"/>
    <w:rsid w:val="0098021B"/>
    <w:rsid w:val="009802C7"/>
    <w:rsid w:val="009803A3"/>
    <w:rsid w:val="00980477"/>
    <w:rsid w:val="0098123F"/>
    <w:rsid w:val="00981767"/>
    <w:rsid w:val="00981F46"/>
    <w:rsid w:val="00982114"/>
    <w:rsid w:val="00982465"/>
    <w:rsid w:val="0098301A"/>
    <w:rsid w:val="0098311E"/>
    <w:rsid w:val="00983995"/>
    <w:rsid w:val="009844F4"/>
    <w:rsid w:val="00984B76"/>
    <w:rsid w:val="00985404"/>
    <w:rsid w:val="00985E62"/>
    <w:rsid w:val="009872EE"/>
    <w:rsid w:val="00987690"/>
    <w:rsid w:val="00992481"/>
    <w:rsid w:val="00992FB6"/>
    <w:rsid w:val="00993D07"/>
    <w:rsid w:val="0099462C"/>
    <w:rsid w:val="00994CA6"/>
    <w:rsid w:val="00996D53"/>
    <w:rsid w:val="009973BD"/>
    <w:rsid w:val="00997E08"/>
    <w:rsid w:val="009A11DB"/>
    <w:rsid w:val="009A1654"/>
    <w:rsid w:val="009A2352"/>
    <w:rsid w:val="009A362B"/>
    <w:rsid w:val="009A3CAD"/>
    <w:rsid w:val="009A465B"/>
    <w:rsid w:val="009A4893"/>
    <w:rsid w:val="009A4D59"/>
    <w:rsid w:val="009A6037"/>
    <w:rsid w:val="009A6155"/>
    <w:rsid w:val="009A623C"/>
    <w:rsid w:val="009A7379"/>
    <w:rsid w:val="009A7E48"/>
    <w:rsid w:val="009A7FE0"/>
    <w:rsid w:val="009B1576"/>
    <w:rsid w:val="009B18BF"/>
    <w:rsid w:val="009B1E47"/>
    <w:rsid w:val="009B2486"/>
    <w:rsid w:val="009B32E8"/>
    <w:rsid w:val="009B43A3"/>
    <w:rsid w:val="009B4488"/>
    <w:rsid w:val="009B5183"/>
    <w:rsid w:val="009B58FC"/>
    <w:rsid w:val="009B68C0"/>
    <w:rsid w:val="009B6AC1"/>
    <w:rsid w:val="009B6F3C"/>
    <w:rsid w:val="009B75E0"/>
    <w:rsid w:val="009B7940"/>
    <w:rsid w:val="009B7CBA"/>
    <w:rsid w:val="009C0CC7"/>
    <w:rsid w:val="009C151B"/>
    <w:rsid w:val="009C233C"/>
    <w:rsid w:val="009C287E"/>
    <w:rsid w:val="009C367C"/>
    <w:rsid w:val="009C4F9F"/>
    <w:rsid w:val="009C5214"/>
    <w:rsid w:val="009C5B6E"/>
    <w:rsid w:val="009C5D79"/>
    <w:rsid w:val="009C700E"/>
    <w:rsid w:val="009D06BB"/>
    <w:rsid w:val="009D0965"/>
    <w:rsid w:val="009D108C"/>
    <w:rsid w:val="009D1372"/>
    <w:rsid w:val="009D21C4"/>
    <w:rsid w:val="009D2741"/>
    <w:rsid w:val="009D2FE2"/>
    <w:rsid w:val="009D4493"/>
    <w:rsid w:val="009D44F2"/>
    <w:rsid w:val="009D4D10"/>
    <w:rsid w:val="009D5B7B"/>
    <w:rsid w:val="009D5F37"/>
    <w:rsid w:val="009D661B"/>
    <w:rsid w:val="009D6E50"/>
    <w:rsid w:val="009D7409"/>
    <w:rsid w:val="009E02A9"/>
    <w:rsid w:val="009E04D8"/>
    <w:rsid w:val="009E144D"/>
    <w:rsid w:val="009E2568"/>
    <w:rsid w:val="009E27D2"/>
    <w:rsid w:val="009E2BBD"/>
    <w:rsid w:val="009E3E3B"/>
    <w:rsid w:val="009E4B32"/>
    <w:rsid w:val="009E5BFC"/>
    <w:rsid w:val="009E6CAA"/>
    <w:rsid w:val="009E6ED9"/>
    <w:rsid w:val="009E7063"/>
    <w:rsid w:val="009E722B"/>
    <w:rsid w:val="009E72E6"/>
    <w:rsid w:val="009E7C7C"/>
    <w:rsid w:val="009F0D72"/>
    <w:rsid w:val="009F19A7"/>
    <w:rsid w:val="009F1E25"/>
    <w:rsid w:val="009F2510"/>
    <w:rsid w:val="009F2BDC"/>
    <w:rsid w:val="009F356F"/>
    <w:rsid w:val="009F3B8B"/>
    <w:rsid w:val="009F3DFA"/>
    <w:rsid w:val="009F400C"/>
    <w:rsid w:val="009F40E9"/>
    <w:rsid w:val="009F642C"/>
    <w:rsid w:val="009F7E8F"/>
    <w:rsid w:val="00A0078A"/>
    <w:rsid w:val="00A01838"/>
    <w:rsid w:val="00A01FB9"/>
    <w:rsid w:val="00A025C2"/>
    <w:rsid w:val="00A02DEF"/>
    <w:rsid w:val="00A0324B"/>
    <w:rsid w:val="00A041C9"/>
    <w:rsid w:val="00A042E2"/>
    <w:rsid w:val="00A04400"/>
    <w:rsid w:val="00A04A4C"/>
    <w:rsid w:val="00A04C24"/>
    <w:rsid w:val="00A0507F"/>
    <w:rsid w:val="00A05622"/>
    <w:rsid w:val="00A059B6"/>
    <w:rsid w:val="00A05A79"/>
    <w:rsid w:val="00A0667A"/>
    <w:rsid w:val="00A07041"/>
    <w:rsid w:val="00A07134"/>
    <w:rsid w:val="00A0748D"/>
    <w:rsid w:val="00A079F2"/>
    <w:rsid w:val="00A07E05"/>
    <w:rsid w:val="00A105B4"/>
    <w:rsid w:val="00A108D8"/>
    <w:rsid w:val="00A109A7"/>
    <w:rsid w:val="00A120CC"/>
    <w:rsid w:val="00A12D03"/>
    <w:rsid w:val="00A12F31"/>
    <w:rsid w:val="00A12F73"/>
    <w:rsid w:val="00A13106"/>
    <w:rsid w:val="00A13743"/>
    <w:rsid w:val="00A14125"/>
    <w:rsid w:val="00A150A6"/>
    <w:rsid w:val="00A1515E"/>
    <w:rsid w:val="00A15272"/>
    <w:rsid w:val="00A15607"/>
    <w:rsid w:val="00A15FF8"/>
    <w:rsid w:val="00A1681C"/>
    <w:rsid w:val="00A16E0A"/>
    <w:rsid w:val="00A17440"/>
    <w:rsid w:val="00A20826"/>
    <w:rsid w:val="00A208B5"/>
    <w:rsid w:val="00A20D7D"/>
    <w:rsid w:val="00A212D9"/>
    <w:rsid w:val="00A214C7"/>
    <w:rsid w:val="00A217D4"/>
    <w:rsid w:val="00A221E2"/>
    <w:rsid w:val="00A22256"/>
    <w:rsid w:val="00A22C26"/>
    <w:rsid w:val="00A22F26"/>
    <w:rsid w:val="00A22F38"/>
    <w:rsid w:val="00A23112"/>
    <w:rsid w:val="00A232FC"/>
    <w:rsid w:val="00A2482C"/>
    <w:rsid w:val="00A24C36"/>
    <w:rsid w:val="00A25BDE"/>
    <w:rsid w:val="00A26A41"/>
    <w:rsid w:val="00A26B29"/>
    <w:rsid w:val="00A27E9E"/>
    <w:rsid w:val="00A302EE"/>
    <w:rsid w:val="00A3033B"/>
    <w:rsid w:val="00A30CF8"/>
    <w:rsid w:val="00A3148D"/>
    <w:rsid w:val="00A31735"/>
    <w:rsid w:val="00A31C9A"/>
    <w:rsid w:val="00A31EFD"/>
    <w:rsid w:val="00A320D3"/>
    <w:rsid w:val="00A32229"/>
    <w:rsid w:val="00A32667"/>
    <w:rsid w:val="00A33A0E"/>
    <w:rsid w:val="00A33F23"/>
    <w:rsid w:val="00A346BC"/>
    <w:rsid w:val="00A34C32"/>
    <w:rsid w:val="00A35570"/>
    <w:rsid w:val="00A35FF0"/>
    <w:rsid w:val="00A36C84"/>
    <w:rsid w:val="00A37AF2"/>
    <w:rsid w:val="00A403CD"/>
    <w:rsid w:val="00A40DE2"/>
    <w:rsid w:val="00A41644"/>
    <w:rsid w:val="00A41BC6"/>
    <w:rsid w:val="00A41D4E"/>
    <w:rsid w:val="00A431DF"/>
    <w:rsid w:val="00A436ED"/>
    <w:rsid w:val="00A437B0"/>
    <w:rsid w:val="00A44555"/>
    <w:rsid w:val="00A44655"/>
    <w:rsid w:val="00A44990"/>
    <w:rsid w:val="00A45F81"/>
    <w:rsid w:val="00A46419"/>
    <w:rsid w:val="00A46CB8"/>
    <w:rsid w:val="00A477FB"/>
    <w:rsid w:val="00A47868"/>
    <w:rsid w:val="00A50C4D"/>
    <w:rsid w:val="00A52D23"/>
    <w:rsid w:val="00A52E64"/>
    <w:rsid w:val="00A53436"/>
    <w:rsid w:val="00A53859"/>
    <w:rsid w:val="00A5400A"/>
    <w:rsid w:val="00A54D6A"/>
    <w:rsid w:val="00A5504B"/>
    <w:rsid w:val="00A55C5E"/>
    <w:rsid w:val="00A56315"/>
    <w:rsid w:val="00A57156"/>
    <w:rsid w:val="00A576DB"/>
    <w:rsid w:val="00A57E4F"/>
    <w:rsid w:val="00A6041C"/>
    <w:rsid w:val="00A61132"/>
    <w:rsid w:val="00A61EA3"/>
    <w:rsid w:val="00A61F0B"/>
    <w:rsid w:val="00A61F74"/>
    <w:rsid w:val="00A62182"/>
    <w:rsid w:val="00A6226F"/>
    <w:rsid w:val="00A62796"/>
    <w:rsid w:val="00A62884"/>
    <w:rsid w:val="00A64293"/>
    <w:rsid w:val="00A643AC"/>
    <w:rsid w:val="00A644AE"/>
    <w:rsid w:val="00A6456D"/>
    <w:rsid w:val="00A64D33"/>
    <w:rsid w:val="00A654D4"/>
    <w:rsid w:val="00A655C6"/>
    <w:rsid w:val="00A65E28"/>
    <w:rsid w:val="00A66150"/>
    <w:rsid w:val="00A66354"/>
    <w:rsid w:val="00A6654A"/>
    <w:rsid w:val="00A6687D"/>
    <w:rsid w:val="00A66DB2"/>
    <w:rsid w:val="00A67077"/>
    <w:rsid w:val="00A670A1"/>
    <w:rsid w:val="00A6716E"/>
    <w:rsid w:val="00A677A8"/>
    <w:rsid w:val="00A67E8B"/>
    <w:rsid w:val="00A67F67"/>
    <w:rsid w:val="00A710BB"/>
    <w:rsid w:val="00A71BA4"/>
    <w:rsid w:val="00A73773"/>
    <w:rsid w:val="00A74530"/>
    <w:rsid w:val="00A74EFD"/>
    <w:rsid w:val="00A75DE6"/>
    <w:rsid w:val="00A75DF8"/>
    <w:rsid w:val="00A75F30"/>
    <w:rsid w:val="00A76463"/>
    <w:rsid w:val="00A764C6"/>
    <w:rsid w:val="00A7692F"/>
    <w:rsid w:val="00A76BCE"/>
    <w:rsid w:val="00A76F81"/>
    <w:rsid w:val="00A7712F"/>
    <w:rsid w:val="00A77422"/>
    <w:rsid w:val="00A77D2D"/>
    <w:rsid w:val="00A80C06"/>
    <w:rsid w:val="00A810CC"/>
    <w:rsid w:val="00A82770"/>
    <w:rsid w:val="00A837B1"/>
    <w:rsid w:val="00A85448"/>
    <w:rsid w:val="00A85942"/>
    <w:rsid w:val="00A869AC"/>
    <w:rsid w:val="00A86A17"/>
    <w:rsid w:val="00A87119"/>
    <w:rsid w:val="00A8789C"/>
    <w:rsid w:val="00A9028F"/>
    <w:rsid w:val="00A90610"/>
    <w:rsid w:val="00A90723"/>
    <w:rsid w:val="00A93C6F"/>
    <w:rsid w:val="00A93FFB"/>
    <w:rsid w:val="00A940B8"/>
    <w:rsid w:val="00A94B58"/>
    <w:rsid w:val="00A95059"/>
    <w:rsid w:val="00A956A1"/>
    <w:rsid w:val="00A975F7"/>
    <w:rsid w:val="00A9775E"/>
    <w:rsid w:val="00A97827"/>
    <w:rsid w:val="00A97F52"/>
    <w:rsid w:val="00AA0480"/>
    <w:rsid w:val="00AA0875"/>
    <w:rsid w:val="00AA0955"/>
    <w:rsid w:val="00AA0B68"/>
    <w:rsid w:val="00AA0D8A"/>
    <w:rsid w:val="00AA1EBD"/>
    <w:rsid w:val="00AA35B4"/>
    <w:rsid w:val="00AA3B16"/>
    <w:rsid w:val="00AA3DB8"/>
    <w:rsid w:val="00AA523C"/>
    <w:rsid w:val="00AA5FF6"/>
    <w:rsid w:val="00AA65B6"/>
    <w:rsid w:val="00AA6EB2"/>
    <w:rsid w:val="00AA707A"/>
    <w:rsid w:val="00AA72F7"/>
    <w:rsid w:val="00AA7F89"/>
    <w:rsid w:val="00AB02AB"/>
    <w:rsid w:val="00AB18C2"/>
    <w:rsid w:val="00AB20E4"/>
    <w:rsid w:val="00AB25DF"/>
    <w:rsid w:val="00AB3DE5"/>
    <w:rsid w:val="00AB3EEB"/>
    <w:rsid w:val="00AB427C"/>
    <w:rsid w:val="00AB610A"/>
    <w:rsid w:val="00AB6ABC"/>
    <w:rsid w:val="00AB6BFA"/>
    <w:rsid w:val="00AB6DED"/>
    <w:rsid w:val="00AB7603"/>
    <w:rsid w:val="00AB7917"/>
    <w:rsid w:val="00AB7C83"/>
    <w:rsid w:val="00AC218B"/>
    <w:rsid w:val="00AC219F"/>
    <w:rsid w:val="00AC2C9A"/>
    <w:rsid w:val="00AC34B0"/>
    <w:rsid w:val="00AC3658"/>
    <w:rsid w:val="00AC38B9"/>
    <w:rsid w:val="00AC4ABF"/>
    <w:rsid w:val="00AC4F1C"/>
    <w:rsid w:val="00AC5F85"/>
    <w:rsid w:val="00AC65E6"/>
    <w:rsid w:val="00AC66DE"/>
    <w:rsid w:val="00AC70E5"/>
    <w:rsid w:val="00AC71F9"/>
    <w:rsid w:val="00AC7268"/>
    <w:rsid w:val="00AC7796"/>
    <w:rsid w:val="00AC7DCF"/>
    <w:rsid w:val="00AD017B"/>
    <w:rsid w:val="00AD02F0"/>
    <w:rsid w:val="00AD0E6F"/>
    <w:rsid w:val="00AD1402"/>
    <w:rsid w:val="00AD1F5E"/>
    <w:rsid w:val="00AD2D6F"/>
    <w:rsid w:val="00AD3A5B"/>
    <w:rsid w:val="00AD3D92"/>
    <w:rsid w:val="00AD58E7"/>
    <w:rsid w:val="00AD5C8A"/>
    <w:rsid w:val="00AD70CC"/>
    <w:rsid w:val="00AD7644"/>
    <w:rsid w:val="00AD7D02"/>
    <w:rsid w:val="00AE0DC9"/>
    <w:rsid w:val="00AE19E2"/>
    <w:rsid w:val="00AE2C26"/>
    <w:rsid w:val="00AE3082"/>
    <w:rsid w:val="00AE375E"/>
    <w:rsid w:val="00AE3E27"/>
    <w:rsid w:val="00AE4686"/>
    <w:rsid w:val="00AE5FBA"/>
    <w:rsid w:val="00AE7358"/>
    <w:rsid w:val="00AE7A93"/>
    <w:rsid w:val="00AE7BBF"/>
    <w:rsid w:val="00AF0178"/>
    <w:rsid w:val="00AF062C"/>
    <w:rsid w:val="00AF0721"/>
    <w:rsid w:val="00AF113E"/>
    <w:rsid w:val="00AF14F1"/>
    <w:rsid w:val="00AF20AE"/>
    <w:rsid w:val="00AF228C"/>
    <w:rsid w:val="00AF31A2"/>
    <w:rsid w:val="00AF35B6"/>
    <w:rsid w:val="00AF3672"/>
    <w:rsid w:val="00AF4224"/>
    <w:rsid w:val="00AF436C"/>
    <w:rsid w:val="00AF4CD0"/>
    <w:rsid w:val="00AF5B95"/>
    <w:rsid w:val="00AF6555"/>
    <w:rsid w:val="00AF7492"/>
    <w:rsid w:val="00AF75E1"/>
    <w:rsid w:val="00B0122D"/>
    <w:rsid w:val="00B02EAA"/>
    <w:rsid w:val="00B02F4D"/>
    <w:rsid w:val="00B03225"/>
    <w:rsid w:val="00B04601"/>
    <w:rsid w:val="00B0462D"/>
    <w:rsid w:val="00B0504A"/>
    <w:rsid w:val="00B05BF5"/>
    <w:rsid w:val="00B0609E"/>
    <w:rsid w:val="00B060E3"/>
    <w:rsid w:val="00B0638C"/>
    <w:rsid w:val="00B06AA9"/>
    <w:rsid w:val="00B0743A"/>
    <w:rsid w:val="00B106D4"/>
    <w:rsid w:val="00B10A1E"/>
    <w:rsid w:val="00B10F76"/>
    <w:rsid w:val="00B11030"/>
    <w:rsid w:val="00B110B8"/>
    <w:rsid w:val="00B114B9"/>
    <w:rsid w:val="00B1167E"/>
    <w:rsid w:val="00B12471"/>
    <w:rsid w:val="00B12510"/>
    <w:rsid w:val="00B12904"/>
    <w:rsid w:val="00B12E54"/>
    <w:rsid w:val="00B1437F"/>
    <w:rsid w:val="00B14EDD"/>
    <w:rsid w:val="00B14F51"/>
    <w:rsid w:val="00B1546E"/>
    <w:rsid w:val="00B15611"/>
    <w:rsid w:val="00B15BBD"/>
    <w:rsid w:val="00B16304"/>
    <w:rsid w:val="00B167C4"/>
    <w:rsid w:val="00B16C37"/>
    <w:rsid w:val="00B17EE5"/>
    <w:rsid w:val="00B2008E"/>
    <w:rsid w:val="00B2035B"/>
    <w:rsid w:val="00B2181C"/>
    <w:rsid w:val="00B221DA"/>
    <w:rsid w:val="00B22862"/>
    <w:rsid w:val="00B230A1"/>
    <w:rsid w:val="00B23464"/>
    <w:rsid w:val="00B238D0"/>
    <w:rsid w:val="00B23D73"/>
    <w:rsid w:val="00B2426C"/>
    <w:rsid w:val="00B246B3"/>
    <w:rsid w:val="00B24B6C"/>
    <w:rsid w:val="00B25011"/>
    <w:rsid w:val="00B2509B"/>
    <w:rsid w:val="00B25745"/>
    <w:rsid w:val="00B2746F"/>
    <w:rsid w:val="00B27E90"/>
    <w:rsid w:val="00B30409"/>
    <w:rsid w:val="00B304AD"/>
    <w:rsid w:val="00B30F86"/>
    <w:rsid w:val="00B323DC"/>
    <w:rsid w:val="00B32720"/>
    <w:rsid w:val="00B32A75"/>
    <w:rsid w:val="00B34C95"/>
    <w:rsid w:val="00B35158"/>
    <w:rsid w:val="00B35425"/>
    <w:rsid w:val="00B369F4"/>
    <w:rsid w:val="00B40160"/>
    <w:rsid w:val="00B4133D"/>
    <w:rsid w:val="00B41F55"/>
    <w:rsid w:val="00B42A83"/>
    <w:rsid w:val="00B42CD3"/>
    <w:rsid w:val="00B42E31"/>
    <w:rsid w:val="00B43989"/>
    <w:rsid w:val="00B44466"/>
    <w:rsid w:val="00B44470"/>
    <w:rsid w:val="00B44E98"/>
    <w:rsid w:val="00B4500F"/>
    <w:rsid w:val="00B45343"/>
    <w:rsid w:val="00B454A9"/>
    <w:rsid w:val="00B463D3"/>
    <w:rsid w:val="00B46D12"/>
    <w:rsid w:val="00B47939"/>
    <w:rsid w:val="00B5091C"/>
    <w:rsid w:val="00B510CD"/>
    <w:rsid w:val="00B510F4"/>
    <w:rsid w:val="00B513F9"/>
    <w:rsid w:val="00B51439"/>
    <w:rsid w:val="00B514BA"/>
    <w:rsid w:val="00B51E3B"/>
    <w:rsid w:val="00B51EAE"/>
    <w:rsid w:val="00B52027"/>
    <w:rsid w:val="00B52FED"/>
    <w:rsid w:val="00B53DB4"/>
    <w:rsid w:val="00B54174"/>
    <w:rsid w:val="00B54991"/>
    <w:rsid w:val="00B54BC1"/>
    <w:rsid w:val="00B54F7C"/>
    <w:rsid w:val="00B55123"/>
    <w:rsid w:val="00B5520E"/>
    <w:rsid w:val="00B55963"/>
    <w:rsid w:val="00B559EB"/>
    <w:rsid w:val="00B55B65"/>
    <w:rsid w:val="00B55D60"/>
    <w:rsid w:val="00B60146"/>
    <w:rsid w:val="00B601FE"/>
    <w:rsid w:val="00B6020A"/>
    <w:rsid w:val="00B60A4C"/>
    <w:rsid w:val="00B6130A"/>
    <w:rsid w:val="00B6235E"/>
    <w:rsid w:val="00B63C76"/>
    <w:rsid w:val="00B64840"/>
    <w:rsid w:val="00B6499A"/>
    <w:rsid w:val="00B64A32"/>
    <w:rsid w:val="00B65C4B"/>
    <w:rsid w:val="00B65E6F"/>
    <w:rsid w:val="00B6643A"/>
    <w:rsid w:val="00B66815"/>
    <w:rsid w:val="00B676A0"/>
    <w:rsid w:val="00B67992"/>
    <w:rsid w:val="00B67BAC"/>
    <w:rsid w:val="00B710C2"/>
    <w:rsid w:val="00B71440"/>
    <w:rsid w:val="00B715D2"/>
    <w:rsid w:val="00B7171D"/>
    <w:rsid w:val="00B72912"/>
    <w:rsid w:val="00B73D8C"/>
    <w:rsid w:val="00B74766"/>
    <w:rsid w:val="00B76130"/>
    <w:rsid w:val="00B76B1C"/>
    <w:rsid w:val="00B771A8"/>
    <w:rsid w:val="00B80426"/>
    <w:rsid w:val="00B8043D"/>
    <w:rsid w:val="00B81215"/>
    <w:rsid w:val="00B821D4"/>
    <w:rsid w:val="00B82202"/>
    <w:rsid w:val="00B828B1"/>
    <w:rsid w:val="00B8403D"/>
    <w:rsid w:val="00B84D5E"/>
    <w:rsid w:val="00B85C36"/>
    <w:rsid w:val="00B86070"/>
    <w:rsid w:val="00B86726"/>
    <w:rsid w:val="00B87055"/>
    <w:rsid w:val="00B9152C"/>
    <w:rsid w:val="00B91C56"/>
    <w:rsid w:val="00B92690"/>
    <w:rsid w:val="00B92A68"/>
    <w:rsid w:val="00B93807"/>
    <w:rsid w:val="00B93A0E"/>
    <w:rsid w:val="00B93AAB"/>
    <w:rsid w:val="00B93D39"/>
    <w:rsid w:val="00B9471A"/>
    <w:rsid w:val="00B947DC"/>
    <w:rsid w:val="00B95A75"/>
    <w:rsid w:val="00B95DCD"/>
    <w:rsid w:val="00B962A6"/>
    <w:rsid w:val="00B96358"/>
    <w:rsid w:val="00BA10EC"/>
    <w:rsid w:val="00BA1896"/>
    <w:rsid w:val="00BA39A7"/>
    <w:rsid w:val="00BA42BF"/>
    <w:rsid w:val="00BA4333"/>
    <w:rsid w:val="00BA506F"/>
    <w:rsid w:val="00BA50B5"/>
    <w:rsid w:val="00BA5164"/>
    <w:rsid w:val="00BA5482"/>
    <w:rsid w:val="00BA56BB"/>
    <w:rsid w:val="00BA5F83"/>
    <w:rsid w:val="00BA6133"/>
    <w:rsid w:val="00BA66F1"/>
    <w:rsid w:val="00BA67CC"/>
    <w:rsid w:val="00BA6F09"/>
    <w:rsid w:val="00BA761F"/>
    <w:rsid w:val="00BB02F8"/>
    <w:rsid w:val="00BB04C3"/>
    <w:rsid w:val="00BB100E"/>
    <w:rsid w:val="00BB101C"/>
    <w:rsid w:val="00BB11D7"/>
    <w:rsid w:val="00BB15B5"/>
    <w:rsid w:val="00BB1CE4"/>
    <w:rsid w:val="00BB1EC4"/>
    <w:rsid w:val="00BB224B"/>
    <w:rsid w:val="00BB23A8"/>
    <w:rsid w:val="00BB2670"/>
    <w:rsid w:val="00BB26D6"/>
    <w:rsid w:val="00BB297D"/>
    <w:rsid w:val="00BB2C8F"/>
    <w:rsid w:val="00BB3C1A"/>
    <w:rsid w:val="00BB4203"/>
    <w:rsid w:val="00BB4D74"/>
    <w:rsid w:val="00BB4FE4"/>
    <w:rsid w:val="00BB53A0"/>
    <w:rsid w:val="00BB53EA"/>
    <w:rsid w:val="00BB55CA"/>
    <w:rsid w:val="00BB56D8"/>
    <w:rsid w:val="00BB5D58"/>
    <w:rsid w:val="00BB624F"/>
    <w:rsid w:val="00BB6772"/>
    <w:rsid w:val="00BB79B3"/>
    <w:rsid w:val="00BC00F5"/>
    <w:rsid w:val="00BC020C"/>
    <w:rsid w:val="00BC1021"/>
    <w:rsid w:val="00BC1736"/>
    <w:rsid w:val="00BC2811"/>
    <w:rsid w:val="00BC2C6E"/>
    <w:rsid w:val="00BC2E8C"/>
    <w:rsid w:val="00BC436D"/>
    <w:rsid w:val="00BC50C0"/>
    <w:rsid w:val="00BC5655"/>
    <w:rsid w:val="00BC56EE"/>
    <w:rsid w:val="00BC58DD"/>
    <w:rsid w:val="00BC795D"/>
    <w:rsid w:val="00BC7A88"/>
    <w:rsid w:val="00BC7CC1"/>
    <w:rsid w:val="00BC7EB7"/>
    <w:rsid w:val="00BD12FE"/>
    <w:rsid w:val="00BD13B3"/>
    <w:rsid w:val="00BD171D"/>
    <w:rsid w:val="00BD183F"/>
    <w:rsid w:val="00BD2E38"/>
    <w:rsid w:val="00BD362D"/>
    <w:rsid w:val="00BD3BC0"/>
    <w:rsid w:val="00BD3CBE"/>
    <w:rsid w:val="00BD431B"/>
    <w:rsid w:val="00BD4681"/>
    <w:rsid w:val="00BD6C02"/>
    <w:rsid w:val="00BD71D1"/>
    <w:rsid w:val="00BD7376"/>
    <w:rsid w:val="00BD7CBD"/>
    <w:rsid w:val="00BD7E35"/>
    <w:rsid w:val="00BE0ACB"/>
    <w:rsid w:val="00BE10E3"/>
    <w:rsid w:val="00BE1D58"/>
    <w:rsid w:val="00BE2045"/>
    <w:rsid w:val="00BE30B8"/>
    <w:rsid w:val="00BE4024"/>
    <w:rsid w:val="00BE47E1"/>
    <w:rsid w:val="00BE4F15"/>
    <w:rsid w:val="00BE5222"/>
    <w:rsid w:val="00BE6465"/>
    <w:rsid w:val="00BE65BB"/>
    <w:rsid w:val="00BE6BC8"/>
    <w:rsid w:val="00BE7977"/>
    <w:rsid w:val="00BF0091"/>
    <w:rsid w:val="00BF0AA0"/>
    <w:rsid w:val="00BF0E98"/>
    <w:rsid w:val="00BF0F9E"/>
    <w:rsid w:val="00BF11BA"/>
    <w:rsid w:val="00BF127A"/>
    <w:rsid w:val="00BF12EF"/>
    <w:rsid w:val="00BF1C43"/>
    <w:rsid w:val="00BF2252"/>
    <w:rsid w:val="00BF2AF3"/>
    <w:rsid w:val="00BF3BE3"/>
    <w:rsid w:val="00BF4163"/>
    <w:rsid w:val="00BF43CD"/>
    <w:rsid w:val="00BF4B43"/>
    <w:rsid w:val="00BF51D6"/>
    <w:rsid w:val="00BF57D3"/>
    <w:rsid w:val="00BF6067"/>
    <w:rsid w:val="00BF6A6E"/>
    <w:rsid w:val="00BF767A"/>
    <w:rsid w:val="00BF7BC0"/>
    <w:rsid w:val="00BF7D8B"/>
    <w:rsid w:val="00BF7FB8"/>
    <w:rsid w:val="00C001B7"/>
    <w:rsid w:val="00C00FA3"/>
    <w:rsid w:val="00C01460"/>
    <w:rsid w:val="00C01D9B"/>
    <w:rsid w:val="00C041B4"/>
    <w:rsid w:val="00C05495"/>
    <w:rsid w:val="00C0699A"/>
    <w:rsid w:val="00C06AEB"/>
    <w:rsid w:val="00C07BF8"/>
    <w:rsid w:val="00C07C8B"/>
    <w:rsid w:val="00C1037E"/>
    <w:rsid w:val="00C1145F"/>
    <w:rsid w:val="00C11995"/>
    <w:rsid w:val="00C11B46"/>
    <w:rsid w:val="00C12100"/>
    <w:rsid w:val="00C12449"/>
    <w:rsid w:val="00C14FEA"/>
    <w:rsid w:val="00C153E3"/>
    <w:rsid w:val="00C15499"/>
    <w:rsid w:val="00C15622"/>
    <w:rsid w:val="00C17683"/>
    <w:rsid w:val="00C176B6"/>
    <w:rsid w:val="00C1798D"/>
    <w:rsid w:val="00C17FC8"/>
    <w:rsid w:val="00C20B15"/>
    <w:rsid w:val="00C2158D"/>
    <w:rsid w:val="00C21865"/>
    <w:rsid w:val="00C2362F"/>
    <w:rsid w:val="00C23866"/>
    <w:rsid w:val="00C23FB0"/>
    <w:rsid w:val="00C2549F"/>
    <w:rsid w:val="00C25DAA"/>
    <w:rsid w:val="00C266F2"/>
    <w:rsid w:val="00C279D9"/>
    <w:rsid w:val="00C27F79"/>
    <w:rsid w:val="00C308CB"/>
    <w:rsid w:val="00C3099F"/>
    <w:rsid w:val="00C30A8B"/>
    <w:rsid w:val="00C30FE8"/>
    <w:rsid w:val="00C319E3"/>
    <w:rsid w:val="00C31F92"/>
    <w:rsid w:val="00C32079"/>
    <w:rsid w:val="00C3320E"/>
    <w:rsid w:val="00C33AA9"/>
    <w:rsid w:val="00C36D08"/>
    <w:rsid w:val="00C41FC6"/>
    <w:rsid w:val="00C423E2"/>
    <w:rsid w:val="00C42962"/>
    <w:rsid w:val="00C43306"/>
    <w:rsid w:val="00C43993"/>
    <w:rsid w:val="00C43C43"/>
    <w:rsid w:val="00C43E9F"/>
    <w:rsid w:val="00C43FD6"/>
    <w:rsid w:val="00C440AF"/>
    <w:rsid w:val="00C441BB"/>
    <w:rsid w:val="00C4504B"/>
    <w:rsid w:val="00C46072"/>
    <w:rsid w:val="00C47530"/>
    <w:rsid w:val="00C47FA6"/>
    <w:rsid w:val="00C502A7"/>
    <w:rsid w:val="00C5079E"/>
    <w:rsid w:val="00C50E4B"/>
    <w:rsid w:val="00C5272E"/>
    <w:rsid w:val="00C53743"/>
    <w:rsid w:val="00C53D98"/>
    <w:rsid w:val="00C5443D"/>
    <w:rsid w:val="00C549EC"/>
    <w:rsid w:val="00C553A1"/>
    <w:rsid w:val="00C555ED"/>
    <w:rsid w:val="00C556AA"/>
    <w:rsid w:val="00C56067"/>
    <w:rsid w:val="00C560B8"/>
    <w:rsid w:val="00C56DF0"/>
    <w:rsid w:val="00C57080"/>
    <w:rsid w:val="00C571B2"/>
    <w:rsid w:val="00C57285"/>
    <w:rsid w:val="00C579E1"/>
    <w:rsid w:val="00C60291"/>
    <w:rsid w:val="00C602E5"/>
    <w:rsid w:val="00C604CB"/>
    <w:rsid w:val="00C60B94"/>
    <w:rsid w:val="00C61093"/>
    <w:rsid w:val="00C62271"/>
    <w:rsid w:val="00C624EB"/>
    <w:rsid w:val="00C626A5"/>
    <w:rsid w:val="00C631F7"/>
    <w:rsid w:val="00C63BDD"/>
    <w:rsid w:val="00C64797"/>
    <w:rsid w:val="00C6497F"/>
    <w:rsid w:val="00C64B87"/>
    <w:rsid w:val="00C65D15"/>
    <w:rsid w:val="00C65DDE"/>
    <w:rsid w:val="00C665A7"/>
    <w:rsid w:val="00C66785"/>
    <w:rsid w:val="00C673C9"/>
    <w:rsid w:val="00C67AC0"/>
    <w:rsid w:val="00C67B71"/>
    <w:rsid w:val="00C67CB5"/>
    <w:rsid w:val="00C67EA6"/>
    <w:rsid w:val="00C70E0A"/>
    <w:rsid w:val="00C71814"/>
    <w:rsid w:val="00C722E0"/>
    <w:rsid w:val="00C72BB4"/>
    <w:rsid w:val="00C72F95"/>
    <w:rsid w:val="00C74242"/>
    <w:rsid w:val="00C7456C"/>
    <w:rsid w:val="00C74B56"/>
    <w:rsid w:val="00C74ED4"/>
    <w:rsid w:val="00C75885"/>
    <w:rsid w:val="00C76484"/>
    <w:rsid w:val="00C77945"/>
    <w:rsid w:val="00C803B7"/>
    <w:rsid w:val="00C804B4"/>
    <w:rsid w:val="00C81600"/>
    <w:rsid w:val="00C8192D"/>
    <w:rsid w:val="00C81F1A"/>
    <w:rsid w:val="00C82F78"/>
    <w:rsid w:val="00C83437"/>
    <w:rsid w:val="00C8351D"/>
    <w:rsid w:val="00C83B76"/>
    <w:rsid w:val="00C84396"/>
    <w:rsid w:val="00C8440F"/>
    <w:rsid w:val="00C846BF"/>
    <w:rsid w:val="00C848BF"/>
    <w:rsid w:val="00C84DB0"/>
    <w:rsid w:val="00C85238"/>
    <w:rsid w:val="00C85B5A"/>
    <w:rsid w:val="00C85F53"/>
    <w:rsid w:val="00C86028"/>
    <w:rsid w:val="00C87701"/>
    <w:rsid w:val="00C87F1A"/>
    <w:rsid w:val="00C901C0"/>
    <w:rsid w:val="00C90A79"/>
    <w:rsid w:val="00C91563"/>
    <w:rsid w:val="00C92C01"/>
    <w:rsid w:val="00C93361"/>
    <w:rsid w:val="00C93D12"/>
    <w:rsid w:val="00C93E15"/>
    <w:rsid w:val="00C94F4D"/>
    <w:rsid w:val="00C954DA"/>
    <w:rsid w:val="00C960CA"/>
    <w:rsid w:val="00C96982"/>
    <w:rsid w:val="00C97751"/>
    <w:rsid w:val="00CA0A68"/>
    <w:rsid w:val="00CA0B0F"/>
    <w:rsid w:val="00CA12EB"/>
    <w:rsid w:val="00CA1304"/>
    <w:rsid w:val="00CA151F"/>
    <w:rsid w:val="00CA1D24"/>
    <w:rsid w:val="00CA1E47"/>
    <w:rsid w:val="00CA20E4"/>
    <w:rsid w:val="00CA275B"/>
    <w:rsid w:val="00CA2F02"/>
    <w:rsid w:val="00CA361F"/>
    <w:rsid w:val="00CA3B1B"/>
    <w:rsid w:val="00CA3C5A"/>
    <w:rsid w:val="00CA4B55"/>
    <w:rsid w:val="00CA4F1C"/>
    <w:rsid w:val="00CA6098"/>
    <w:rsid w:val="00CA69A9"/>
    <w:rsid w:val="00CA6F59"/>
    <w:rsid w:val="00CA71A1"/>
    <w:rsid w:val="00CB10A9"/>
    <w:rsid w:val="00CB275C"/>
    <w:rsid w:val="00CB4396"/>
    <w:rsid w:val="00CB479B"/>
    <w:rsid w:val="00CB4DA5"/>
    <w:rsid w:val="00CB63E5"/>
    <w:rsid w:val="00CB665D"/>
    <w:rsid w:val="00CB71B2"/>
    <w:rsid w:val="00CB745C"/>
    <w:rsid w:val="00CB7C95"/>
    <w:rsid w:val="00CC18F3"/>
    <w:rsid w:val="00CC2303"/>
    <w:rsid w:val="00CC24F3"/>
    <w:rsid w:val="00CC28C1"/>
    <w:rsid w:val="00CC2C71"/>
    <w:rsid w:val="00CC2E46"/>
    <w:rsid w:val="00CC36A1"/>
    <w:rsid w:val="00CC41D9"/>
    <w:rsid w:val="00CC42CC"/>
    <w:rsid w:val="00CC4419"/>
    <w:rsid w:val="00CC4BCE"/>
    <w:rsid w:val="00CC4D73"/>
    <w:rsid w:val="00CC4EB5"/>
    <w:rsid w:val="00CC4F27"/>
    <w:rsid w:val="00CC5132"/>
    <w:rsid w:val="00CC5AFF"/>
    <w:rsid w:val="00CC5B30"/>
    <w:rsid w:val="00CC6F03"/>
    <w:rsid w:val="00CC703D"/>
    <w:rsid w:val="00CD0B92"/>
    <w:rsid w:val="00CD0BC4"/>
    <w:rsid w:val="00CD0C4F"/>
    <w:rsid w:val="00CD1A00"/>
    <w:rsid w:val="00CD1C6B"/>
    <w:rsid w:val="00CD29E8"/>
    <w:rsid w:val="00CD2DB9"/>
    <w:rsid w:val="00CD3854"/>
    <w:rsid w:val="00CD3914"/>
    <w:rsid w:val="00CD393E"/>
    <w:rsid w:val="00CD394D"/>
    <w:rsid w:val="00CD4533"/>
    <w:rsid w:val="00CD465A"/>
    <w:rsid w:val="00CD4BA1"/>
    <w:rsid w:val="00CD5A2F"/>
    <w:rsid w:val="00CD5A45"/>
    <w:rsid w:val="00CD5B4F"/>
    <w:rsid w:val="00CD6409"/>
    <w:rsid w:val="00CD6F67"/>
    <w:rsid w:val="00CD7BA2"/>
    <w:rsid w:val="00CE0218"/>
    <w:rsid w:val="00CE0CED"/>
    <w:rsid w:val="00CE1CF6"/>
    <w:rsid w:val="00CE1F12"/>
    <w:rsid w:val="00CE2FA6"/>
    <w:rsid w:val="00CE3564"/>
    <w:rsid w:val="00CE43F2"/>
    <w:rsid w:val="00CE45DF"/>
    <w:rsid w:val="00CE5023"/>
    <w:rsid w:val="00CE56B8"/>
    <w:rsid w:val="00CE5E77"/>
    <w:rsid w:val="00CE6A29"/>
    <w:rsid w:val="00CF0070"/>
    <w:rsid w:val="00CF0DE5"/>
    <w:rsid w:val="00CF0FD6"/>
    <w:rsid w:val="00CF13DF"/>
    <w:rsid w:val="00CF182B"/>
    <w:rsid w:val="00CF22B8"/>
    <w:rsid w:val="00CF25E9"/>
    <w:rsid w:val="00CF2FCF"/>
    <w:rsid w:val="00CF3BDF"/>
    <w:rsid w:val="00CF413C"/>
    <w:rsid w:val="00CF4647"/>
    <w:rsid w:val="00CF486F"/>
    <w:rsid w:val="00CF53B7"/>
    <w:rsid w:val="00CF60A5"/>
    <w:rsid w:val="00CF7733"/>
    <w:rsid w:val="00CF783E"/>
    <w:rsid w:val="00CF7E2A"/>
    <w:rsid w:val="00D001AB"/>
    <w:rsid w:val="00D0031A"/>
    <w:rsid w:val="00D00DD2"/>
    <w:rsid w:val="00D01629"/>
    <w:rsid w:val="00D01671"/>
    <w:rsid w:val="00D01CE4"/>
    <w:rsid w:val="00D01CE5"/>
    <w:rsid w:val="00D02C81"/>
    <w:rsid w:val="00D03018"/>
    <w:rsid w:val="00D04D51"/>
    <w:rsid w:val="00D05089"/>
    <w:rsid w:val="00D055CD"/>
    <w:rsid w:val="00D05E16"/>
    <w:rsid w:val="00D06207"/>
    <w:rsid w:val="00D0638D"/>
    <w:rsid w:val="00D07C6D"/>
    <w:rsid w:val="00D07E9F"/>
    <w:rsid w:val="00D07F40"/>
    <w:rsid w:val="00D10F68"/>
    <w:rsid w:val="00D12323"/>
    <w:rsid w:val="00D12813"/>
    <w:rsid w:val="00D13241"/>
    <w:rsid w:val="00D13D22"/>
    <w:rsid w:val="00D13FED"/>
    <w:rsid w:val="00D1479C"/>
    <w:rsid w:val="00D15067"/>
    <w:rsid w:val="00D15E7F"/>
    <w:rsid w:val="00D16508"/>
    <w:rsid w:val="00D16758"/>
    <w:rsid w:val="00D16CC3"/>
    <w:rsid w:val="00D16FC9"/>
    <w:rsid w:val="00D17A54"/>
    <w:rsid w:val="00D2020A"/>
    <w:rsid w:val="00D20B5F"/>
    <w:rsid w:val="00D20D5F"/>
    <w:rsid w:val="00D21ACA"/>
    <w:rsid w:val="00D22CA6"/>
    <w:rsid w:val="00D24196"/>
    <w:rsid w:val="00D24BFB"/>
    <w:rsid w:val="00D24EF8"/>
    <w:rsid w:val="00D2512D"/>
    <w:rsid w:val="00D2553D"/>
    <w:rsid w:val="00D25A4A"/>
    <w:rsid w:val="00D26194"/>
    <w:rsid w:val="00D26968"/>
    <w:rsid w:val="00D27FAC"/>
    <w:rsid w:val="00D30734"/>
    <w:rsid w:val="00D30C7C"/>
    <w:rsid w:val="00D30E40"/>
    <w:rsid w:val="00D31AA5"/>
    <w:rsid w:val="00D32220"/>
    <w:rsid w:val="00D32453"/>
    <w:rsid w:val="00D329B4"/>
    <w:rsid w:val="00D35B99"/>
    <w:rsid w:val="00D36127"/>
    <w:rsid w:val="00D37032"/>
    <w:rsid w:val="00D37274"/>
    <w:rsid w:val="00D37424"/>
    <w:rsid w:val="00D420D7"/>
    <w:rsid w:val="00D428BE"/>
    <w:rsid w:val="00D4291D"/>
    <w:rsid w:val="00D43990"/>
    <w:rsid w:val="00D45EEF"/>
    <w:rsid w:val="00D466A1"/>
    <w:rsid w:val="00D4790B"/>
    <w:rsid w:val="00D5043E"/>
    <w:rsid w:val="00D50497"/>
    <w:rsid w:val="00D51308"/>
    <w:rsid w:val="00D52ABB"/>
    <w:rsid w:val="00D53E56"/>
    <w:rsid w:val="00D548B3"/>
    <w:rsid w:val="00D54A35"/>
    <w:rsid w:val="00D55D39"/>
    <w:rsid w:val="00D55EF9"/>
    <w:rsid w:val="00D5608D"/>
    <w:rsid w:val="00D567F5"/>
    <w:rsid w:val="00D57800"/>
    <w:rsid w:val="00D57EA9"/>
    <w:rsid w:val="00D60A24"/>
    <w:rsid w:val="00D60E67"/>
    <w:rsid w:val="00D6115A"/>
    <w:rsid w:val="00D621EF"/>
    <w:rsid w:val="00D635D2"/>
    <w:rsid w:val="00D63761"/>
    <w:rsid w:val="00D639C9"/>
    <w:rsid w:val="00D63D45"/>
    <w:rsid w:val="00D63DDB"/>
    <w:rsid w:val="00D64E8D"/>
    <w:rsid w:val="00D64ECF"/>
    <w:rsid w:val="00D64EDA"/>
    <w:rsid w:val="00D64FC5"/>
    <w:rsid w:val="00D6516A"/>
    <w:rsid w:val="00D655D0"/>
    <w:rsid w:val="00D6586B"/>
    <w:rsid w:val="00D65980"/>
    <w:rsid w:val="00D65E11"/>
    <w:rsid w:val="00D676E6"/>
    <w:rsid w:val="00D678D8"/>
    <w:rsid w:val="00D67D76"/>
    <w:rsid w:val="00D705E9"/>
    <w:rsid w:val="00D706E1"/>
    <w:rsid w:val="00D720ED"/>
    <w:rsid w:val="00D721C2"/>
    <w:rsid w:val="00D723F0"/>
    <w:rsid w:val="00D726BF"/>
    <w:rsid w:val="00D727AF"/>
    <w:rsid w:val="00D72BD0"/>
    <w:rsid w:val="00D730ED"/>
    <w:rsid w:val="00D734DD"/>
    <w:rsid w:val="00D74497"/>
    <w:rsid w:val="00D74799"/>
    <w:rsid w:val="00D74F77"/>
    <w:rsid w:val="00D75101"/>
    <w:rsid w:val="00D76065"/>
    <w:rsid w:val="00D761FA"/>
    <w:rsid w:val="00D76590"/>
    <w:rsid w:val="00D76617"/>
    <w:rsid w:val="00D76822"/>
    <w:rsid w:val="00D76C0A"/>
    <w:rsid w:val="00D76C30"/>
    <w:rsid w:val="00D7724A"/>
    <w:rsid w:val="00D804F5"/>
    <w:rsid w:val="00D80735"/>
    <w:rsid w:val="00D80F88"/>
    <w:rsid w:val="00D81091"/>
    <w:rsid w:val="00D817C5"/>
    <w:rsid w:val="00D817D8"/>
    <w:rsid w:val="00D81E45"/>
    <w:rsid w:val="00D820CF"/>
    <w:rsid w:val="00D825B0"/>
    <w:rsid w:val="00D837E3"/>
    <w:rsid w:val="00D83928"/>
    <w:rsid w:val="00D84509"/>
    <w:rsid w:val="00D84834"/>
    <w:rsid w:val="00D85B35"/>
    <w:rsid w:val="00D85F6F"/>
    <w:rsid w:val="00D86822"/>
    <w:rsid w:val="00D86B9E"/>
    <w:rsid w:val="00D90132"/>
    <w:rsid w:val="00D907B9"/>
    <w:rsid w:val="00D90828"/>
    <w:rsid w:val="00D90ED5"/>
    <w:rsid w:val="00D91429"/>
    <w:rsid w:val="00D9192D"/>
    <w:rsid w:val="00D91B61"/>
    <w:rsid w:val="00D945EA"/>
    <w:rsid w:val="00D9491E"/>
    <w:rsid w:val="00D94B8A"/>
    <w:rsid w:val="00D976A0"/>
    <w:rsid w:val="00D97A76"/>
    <w:rsid w:val="00DA0249"/>
    <w:rsid w:val="00DA0B6E"/>
    <w:rsid w:val="00DA1197"/>
    <w:rsid w:val="00DA1391"/>
    <w:rsid w:val="00DA2899"/>
    <w:rsid w:val="00DA2CC6"/>
    <w:rsid w:val="00DA2EE1"/>
    <w:rsid w:val="00DA2F68"/>
    <w:rsid w:val="00DA3E9E"/>
    <w:rsid w:val="00DA477C"/>
    <w:rsid w:val="00DA4E1B"/>
    <w:rsid w:val="00DA5173"/>
    <w:rsid w:val="00DA5E59"/>
    <w:rsid w:val="00DA5E7E"/>
    <w:rsid w:val="00DA5F15"/>
    <w:rsid w:val="00DA60BD"/>
    <w:rsid w:val="00DA6F1A"/>
    <w:rsid w:val="00DA7717"/>
    <w:rsid w:val="00DA78D8"/>
    <w:rsid w:val="00DA7CB9"/>
    <w:rsid w:val="00DB04A5"/>
    <w:rsid w:val="00DB211F"/>
    <w:rsid w:val="00DB216D"/>
    <w:rsid w:val="00DB227D"/>
    <w:rsid w:val="00DB24BA"/>
    <w:rsid w:val="00DB2828"/>
    <w:rsid w:val="00DB2CCB"/>
    <w:rsid w:val="00DB36AC"/>
    <w:rsid w:val="00DB37BA"/>
    <w:rsid w:val="00DB4D5C"/>
    <w:rsid w:val="00DB4EEB"/>
    <w:rsid w:val="00DB4F7C"/>
    <w:rsid w:val="00DB5F5A"/>
    <w:rsid w:val="00DB6D54"/>
    <w:rsid w:val="00DB7B03"/>
    <w:rsid w:val="00DB7C08"/>
    <w:rsid w:val="00DB7F72"/>
    <w:rsid w:val="00DB7FC4"/>
    <w:rsid w:val="00DC021E"/>
    <w:rsid w:val="00DC1053"/>
    <w:rsid w:val="00DC13EF"/>
    <w:rsid w:val="00DC14F8"/>
    <w:rsid w:val="00DC278D"/>
    <w:rsid w:val="00DC4D90"/>
    <w:rsid w:val="00DC4DA4"/>
    <w:rsid w:val="00DC4F56"/>
    <w:rsid w:val="00DC641D"/>
    <w:rsid w:val="00DC69A4"/>
    <w:rsid w:val="00DC6D3D"/>
    <w:rsid w:val="00DC7492"/>
    <w:rsid w:val="00DD21AF"/>
    <w:rsid w:val="00DD243E"/>
    <w:rsid w:val="00DD28DD"/>
    <w:rsid w:val="00DD298A"/>
    <w:rsid w:val="00DD2EC1"/>
    <w:rsid w:val="00DD3077"/>
    <w:rsid w:val="00DD3286"/>
    <w:rsid w:val="00DD343E"/>
    <w:rsid w:val="00DD416A"/>
    <w:rsid w:val="00DD4914"/>
    <w:rsid w:val="00DD4CF4"/>
    <w:rsid w:val="00DD52BC"/>
    <w:rsid w:val="00DD55EE"/>
    <w:rsid w:val="00DD57E8"/>
    <w:rsid w:val="00DD5983"/>
    <w:rsid w:val="00DD5FCB"/>
    <w:rsid w:val="00DD6305"/>
    <w:rsid w:val="00DD779A"/>
    <w:rsid w:val="00DD7C61"/>
    <w:rsid w:val="00DE0451"/>
    <w:rsid w:val="00DE04CC"/>
    <w:rsid w:val="00DE0D4E"/>
    <w:rsid w:val="00DE19BC"/>
    <w:rsid w:val="00DE1FFD"/>
    <w:rsid w:val="00DE267F"/>
    <w:rsid w:val="00DE3367"/>
    <w:rsid w:val="00DE35A0"/>
    <w:rsid w:val="00DE42AF"/>
    <w:rsid w:val="00DE44E7"/>
    <w:rsid w:val="00DE4FEB"/>
    <w:rsid w:val="00DE52FE"/>
    <w:rsid w:val="00DE5D38"/>
    <w:rsid w:val="00DE5E5A"/>
    <w:rsid w:val="00DE618A"/>
    <w:rsid w:val="00DE7D25"/>
    <w:rsid w:val="00DF0800"/>
    <w:rsid w:val="00DF1141"/>
    <w:rsid w:val="00DF18C4"/>
    <w:rsid w:val="00DF1BB8"/>
    <w:rsid w:val="00DF1C38"/>
    <w:rsid w:val="00DF1E10"/>
    <w:rsid w:val="00DF21B4"/>
    <w:rsid w:val="00DF2692"/>
    <w:rsid w:val="00DF50F9"/>
    <w:rsid w:val="00DF54D9"/>
    <w:rsid w:val="00DF66CA"/>
    <w:rsid w:val="00DF6721"/>
    <w:rsid w:val="00DF72BE"/>
    <w:rsid w:val="00DF7974"/>
    <w:rsid w:val="00E006F3"/>
    <w:rsid w:val="00E00962"/>
    <w:rsid w:val="00E00B13"/>
    <w:rsid w:val="00E00BFF"/>
    <w:rsid w:val="00E01662"/>
    <w:rsid w:val="00E01D3A"/>
    <w:rsid w:val="00E01E89"/>
    <w:rsid w:val="00E023C5"/>
    <w:rsid w:val="00E028A7"/>
    <w:rsid w:val="00E02E4F"/>
    <w:rsid w:val="00E034B4"/>
    <w:rsid w:val="00E03C43"/>
    <w:rsid w:val="00E03F54"/>
    <w:rsid w:val="00E048B4"/>
    <w:rsid w:val="00E05010"/>
    <w:rsid w:val="00E05118"/>
    <w:rsid w:val="00E051D0"/>
    <w:rsid w:val="00E061BE"/>
    <w:rsid w:val="00E0678B"/>
    <w:rsid w:val="00E068B5"/>
    <w:rsid w:val="00E07229"/>
    <w:rsid w:val="00E07A26"/>
    <w:rsid w:val="00E101E0"/>
    <w:rsid w:val="00E1185C"/>
    <w:rsid w:val="00E11C04"/>
    <w:rsid w:val="00E13242"/>
    <w:rsid w:val="00E14613"/>
    <w:rsid w:val="00E14E24"/>
    <w:rsid w:val="00E152BE"/>
    <w:rsid w:val="00E15960"/>
    <w:rsid w:val="00E16B2A"/>
    <w:rsid w:val="00E211BE"/>
    <w:rsid w:val="00E22126"/>
    <w:rsid w:val="00E22C2B"/>
    <w:rsid w:val="00E2326B"/>
    <w:rsid w:val="00E23F8B"/>
    <w:rsid w:val="00E25F3F"/>
    <w:rsid w:val="00E26A5D"/>
    <w:rsid w:val="00E26E3F"/>
    <w:rsid w:val="00E27379"/>
    <w:rsid w:val="00E275D2"/>
    <w:rsid w:val="00E27C17"/>
    <w:rsid w:val="00E27C23"/>
    <w:rsid w:val="00E300A0"/>
    <w:rsid w:val="00E30A73"/>
    <w:rsid w:val="00E31737"/>
    <w:rsid w:val="00E318D5"/>
    <w:rsid w:val="00E31EEA"/>
    <w:rsid w:val="00E32CE3"/>
    <w:rsid w:val="00E32DA5"/>
    <w:rsid w:val="00E3395F"/>
    <w:rsid w:val="00E33A09"/>
    <w:rsid w:val="00E349B8"/>
    <w:rsid w:val="00E34DE2"/>
    <w:rsid w:val="00E3541D"/>
    <w:rsid w:val="00E356B0"/>
    <w:rsid w:val="00E358DA"/>
    <w:rsid w:val="00E35911"/>
    <w:rsid w:val="00E3710F"/>
    <w:rsid w:val="00E3742F"/>
    <w:rsid w:val="00E37A25"/>
    <w:rsid w:val="00E37D4A"/>
    <w:rsid w:val="00E37D92"/>
    <w:rsid w:val="00E4096B"/>
    <w:rsid w:val="00E41D67"/>
    <w:rsid w:val="00E42959"/>
    <w:rsid w:val="00E4306B"/>
    <w:rsid w:val="00E434CE"/>
    <w:rsid w:val="00E43AA2"/>
    <w:rsid w:val="00E4495D"/>
    <w:rsid w:val="00E453F1"/>
    <w:rsid w:val="00E458FF"/>
    <w:rsid w:val="00E46821"/>
    <w:rsid w:val="00E47984"/>
    <w:rsid w:val="00E47C2B"/>
    <w:rsid w:val="00E47C2C"/>
    <w:rsid w:val="00E507C1"/>
    <w:rsid w:val="00E517AD"/>
    <w:rsid w:val="00E5220D"/>
    <w:rsid w:val="00E52C45"/>
    <w:rsid w:val="00E52C9F"/>
    <w:rsid w:val="00E530F9"/>
    <w:rsid w:val="00E54920"/>
    <w:rsid w:val="00E54E03"/>
    <w:rsid w:val="00E55789"/>
    <w:rsid w:val="00E55EE5"/>
    <w:rsid w:val="00E5612A"/>
    <w:rsid w:val="00E56D9A"/>
    <w:rsid w:val="00E56E12"/>
    <w:rsid w:val="00E5718B"/>
    <w:rsid w:val="00E57618"/>
    <w:rsid w:val="00E57C01"/>
    <w:rsid w:val="00E602C6"/>
    <w:rsid w:val="00E60C7F"/>
    <w:rsid w:val="00E614AB"/>
    <w:rsid w:val="00E61E2F"/>
    <w:rsid w:val="00E62A42"/>
    <w:rsid w:val="00E633BF"/>
    <w:rsid w:val="00E63FC5"/>
    <w:rsid w:val="00E640FD"/>
    <w:rsid w:val="00E64558"/>
    <w:rsid w:val="00E65086"/>
    <w:rsid w:val="00E65497"/>
    <w:rsid w:val="00E656B6"/>
    <w:rsid w:val="00E66529"/>
    <w:rsid w:val="00E66B09"/>
    <w:rsid w:val="00E66E50"/>
    <w:rsid w:val="00E67442"/>
    <w:rsid w:val="00E67A0B"/>
    <w:rsid w:val="00E67ADB"/>
    <w:rsid w:val="00E700E8"/>
    <w:rsid w:val="00E702C1"/>
    <w:rsid w:val="00E70D2F"/>
    <w:rsid w:val="00E7157E"/>
    <w:rsid w:val="00E71B15"/>
    <w:rsid w:val="00E7325C"/>
    <w:rsid w:val="00E73A44"/>
    <w:rsid w:val="00E73A7D"/>
    <w:rsid w:val="00E7472D"/>
    <w:rsid w:val="00E76070"/>
    <w:rsid w:val="00E767B8"/>
    <w:rsid w:val="00E772A1"/>
    <w:rsid w:val="00E82FF8"/>
    <w:rsid w:val="00E83078"/>
    <w:rsid w:val="00E8385B"/>
    <w:rsid w:val="00E83F8E"/>
    <w:rsid w:val="00E86244"/>
    <w:rsid w:val="00E8699A"/>
    <w:rsid w:val="00E86FA7"/>
    <w:rsid w:val="00E8762C"/>
    <w:rsid w:val="00E906B1"/>
    <w:rsid w:val="00E90AE7"/>
    <w:rsid w:val="00E90DAF"/>
    <w:rsid w:val="00E9288C"/>
    <w:rsid w:val="00E92C4D"/>
    <w:rsid w:val="00E93EA3"/>
    <w:rsid w:val="00E9428F"/>
    <w:rsid w:val="00E955F9"/>
    <w:rsid w:val="00E97347"/>
    <w:rsid w:val="00E97EF5"/>
    <w:rsid w:val="00EA007E"/>
    <w:rsid w:val="00EA1167"/>
    <w:rsid w:val="00EA184E"/>
    <w:rsid w:val="00EA1B8C"/>
    <w:rsid w:val="00EA21CB"/>
    <w:rsid w:val="00EA24D5"/>
    <w:rsid w:val="00EA2511"/>
    <w:rsid w:val="00EA2E93"/>
    <w:rsid w:val="00EA2FBC"/>
    <w:rsid w:val="00EA39F3"/>
    <w:rsid w:val="00EA3A3F"/>
    <w:rsid w:val="00EA4153"/>
    <w:rsid w:val="00EA47EB"/>
    <w:rsid w:val="00EA47FF"/>
    <w:rsid w:val="00EA52AC"/>
    <w:rsid w:val="00EA5D6B"/>
    <w:rsid w:val="00EB04D3"/>
    <w:rsid w:val="00EB05DB"/>
    <w:rsid w:val="00EB09AD"/>
    <w:rsid w:val="00EB1DB5"/>
    <w:rsid w:val="00EB3065"/>
    <w:rsid w:val="00EB3627"/>
    <w:rsid w:val="00EB39EB"/>
    <w:rsid w:val="00EB3BC0"/>
    <w:rsid w:val="00EB3F66"/>
    <w:rsid w:val="00EB4DD8"/>
    <w:rsid w:val="00EB60DF"/>
    <w:rsid w:val="00EB63E4"/>
    <w:rsid w:val="00EB6853"/>
    <w:rsid w:val="00EB7944"/>
    <w:rsid w:val="00EB7E00"/>
    <w:rsid w:val="00EC067B"/>
    <w:rsid w:val="00EC0C73"/>
    <w:rsid w:val="00EC0F59"/>
    <w:rsid w:val="00EC10AC"/>
    <w:rsid w:val="00EC11CB"/>
    <w:rsid w:val="00EC1C40"/>
    <w:rsid w:val="00EC2775"/>
    <w:rsid w:val="00EC3825"/>
    <w:rsid w:val="00EC47C5"/>
    <w:rsid w:val="00EC4950"/>
    <w:rsid w:val="00EC580B"/>
    <w:rsid w:val="00EC5D48"/>
    <w:rsid w:val="00EC6544"/>
    <w:rsid w:val="00EC702D"/>
    <w:rsid w:val="00EC76CD"/>
    <w:rsid w:val="00ED03B9"/>
    <w:rsid w:val="00ED0738"/>
    <w:rsid w:val="00ED07A6"/>
    <w:rsid w:val="00ED0B19"/>
    <w:rsid w:val="00ED0C0C"/>
    <w:rsid w:val="00ED1CF4"/>
    <w:rsid w:val="00ED1D2A"/>
    <w:rsid w:val="00ED22B2"/>
    <w:rsid w:val="00ED3755"/>
    <w:rsid w:val="00ED3EFD"/>
    <w:rsid w:val="00ED404B"/>
    <w:rsid w:val="00ED4943"/>
    <w:rsid w:val="00ED501E"/>
    <w:rsid w:val="00ED509F"/>
    <w:rsid w:val="00ED5B02"/>
    <w:rsid w:val="00ED5CFB"/>
    <w:rsid w:val="00ED6A3C"/>
    <w:rsid w:val="00ED7CA0"/>
    <w:rsid w:val="00ED7E15"/>
    <w:rsid w:val="00EE0103"/>
    <w:rsid w:val="00EE1BAE"/>
    <w:rsid w:val="00EE1EC6"/>
    <w:rsid w:val="00EE2811"/>
    <w:rsid w:val="00EE2A63"/>
    <w:rsid w:val="00EE3406"/>
    <w:rsid w:val="00EE39DF"/>
    <w:rsid w:val="00EE49C5"/>
    <w:rsid w:val="00EE4F00"/>
    <w:rsid w:val="00EE541A"/>
    <w:rsid w:val="00EE582F"/>
    <w:rsid w:val="00EE5AEF"/>
    <w:rsid w:val="00EE5EA3"/>
    <w:rsid w:val="00EE5FEE"/>
    <w:rsid w:val="00EE6279"/>
    <w:rsid w:val="00EF09AB"/>
    <w:rsid w:val="00EF100B"/>
    <w:rsid w:val="00EF10F5"/>
    <w:rsid w:val="00EF260C"/>
    <w:rsid w:val="00EF35C3"/>
    <w:rsid w:val="00EF3806"/>
    <w:rsid w:val="00EF3810"/>
    <w:rsid w:val="00EF3DCF"/>
    <w:rsid w:val="00EF493D"/>
    <w:rsid w:val="00EF4C8A"/>
    <w:rsid w:val="00EF5459"/>
    <w:rsid w:val="00EF5517"/>
    <w:rsid w:val="00EF56F4"/>
    <w:rsid w:val="00EF59CF"/>
    <w:rsid w:val="00F0004C"/>
    <w:rsid w:val="00F00434"/>
    <w:rsid w:val="00F007E8"/>
    <w:rsid w:val="00F0196A"/>
    <w:rsid w:val="00F01BEC"/>
    <w:rsid w:val="00F023E8"/>
    <w:rsid w:val="00F02892"/>
    <w:rsid w:val="00F02BE3"/>
    <w:rsid w:val="00F03172"/>
    <w:rsid w:val="00F03AAC"/>
    <w:rsid w:val="00F03EE2"/>
    <w:rsid w:val="00F0418A"/>
    <w:rsid w:val="00F04508"/>
    <w:rsid w:val="00F04F3C"/>
    <w:rsid w:val="00F05A82"/>
    <w:rsid w:val="00F05AF0"/>
    <w:rsid w:val="00F0621F"/>
    <w:rsid w:val="00F06E66"/>
    <w:rsid w:val="00F070EC"/>
    <w:rsid w:val="00F07279"/>
    <w:rsid w:val="00F07514"/>
    <w:rsid w:val="00F07B7C"/>
    <w:rsid w:val="00F1010B"/>
    <w:rsid w:val="00F10FDA"/>
    <w:rsid w:val="00F11892"/>
    <w:rsid w:val="00F12F9A"/>
    <w:rsid w:val="00F1358C"/>
    <w:rsid w:val="00F13B86"/>
    <w:rsid w:val="00F13F13"/>
    <w:rsid w:val="00F157F9"/>
    <w:rsid w:val="00F16DA8"/>
    <w:rsid w:val="00F17769"/>
    <w:rsid w:val="00F17898"/>
    <w:rsid w:val="00F17B53"/>
    <w:rsid w:val="00F20F9F"/>
    <w:rsid w:val="00F2123F"/>
    <w:rsid w:val="00F213AE"/>
    <w:rsid w:val="00F2163F"/>
    <w:rsid w:val="00F2215D"/>
    <w:rsid w:val="00F22A6C"/>
    <w:rsid w:val="00F22F2D"/>
    <w:rsid w:val="00F22FBE"/>
    <w:rsid w:val="00F239C6"/>
    <w:rsid w:val="00F23EC3"/>
    <w:rsid w:val="00F23F29"/>
    <w:rsid w:val="00F247CF"/>
    <w:rsid w:val="00F24CBA"/>
    <w:rsid w:val="00F24F09"/>
    <w:rsid w:val="00F25334"/>
    <w:rsid w:val="00F25352"/>
    <w:rsid w:val="00F25415"/>
    <w:rsid w:val="00F25FB6"/>
    <w:rsid w:val="00F3094A"/>
    <w:rsid w:val="00F31F3F"/>
    <w:rsid w:val="00F32092"/>
    <w:rsid w:val="00F320CE"/>
    <w:rsid w:val="00F3292C"/>
    <w:rsid w:val="00F32F94"/>
    <w:rsid w:val="00F3360E"/>
    <w:rsid w:val="00F33ACC"/>
    <w:rsid w:val="00F346BE"/>
    <w:rsid w:val="00F34B38"/>
    <w:rsid w:val="00F34C47"/>
    <w:rsid w:val="00F3543D"/>
    <w:rsid w:val="00F35775"/>
    <w:rsid w:val="00F358A2"/>
    <w:rsid w:val="00F35F28"/>
    <w:rsid w:val="00F36083"/>
    <w:rsid w:val="00F36141"/>
    <w:rsid w:val="00F361BB"/>
    <w:rsid w:val="00F365CF"/>
    <w:rsid w:val="00F36782"/>
    <w:rsid w:val="00F3785B"/>
    <w:rsid w:val="00F3789C"/>
    <w:rsid w:val="00F37922"/>
    <w:rsid w:val="00F37DA2"/>
    <w:rsid w:val="00F4115E"/>
    <w:rsid w:val="00F42201"/>
    <w:rsid w:val="00F42257"/>
    <w:rsid w:val="00F42D29"/>
    <w:rsid w:val="00F433E7"/>
    <w:rsid w:val="00F43C28"/>
    <w:rsid w:val="00F44CE5"/>
    <w:rsid w:val="00F46E0C"/>
    <w:rsid w:val="00F47A9F"/>
    <w:rsid w:val="00F508B0"/>
    <w:rsid w:val="00F52400"/>
    <w:rsid w:val="00F53268"/>
    <w:rsid w:val="00F5447A"/>
    <w:rsid w:val="00F54A20"/>
    <w:rsid w:val="00F55C69"/>
    <w:rsid w:val="00F567F2"/>
    <w:rsid w:val="00F569AA"/>
    <w:rsid w:val="00F569CB"/>
    <w:rsid w:val="00F577FD"/>
    <w:rsid w:val="00F579E6"/>
    <w:rsid w:val="00F57BB0"/>
    <w:rsid w:val="00F617B1"/>
    <w:rsid w:val="00F620D6"/>
    <w:rsid w:val="00F62E4D"/>
    <w:rsid w:val="00F6327D"/>
    <w:rsid w:val="00F63598"/>
    <w:rsid w:val="00F63F86"/>
    <w:rsid w:val="00F6529A"/>
    <w:rsid w:val="00F6658D"/>
    <w:rsid w:val="00F7024C"/>
    <w:rsid w:val="00F703BB"/>
    <w:rsid w:val="00F7084D"/>
    <w:rsid w:val="00F70EE5"/>
    <w:rsid w:val="00F7133D"/>
    <w:rsid w:val="00F718E9"/>
    <w:rsid w:val="00F7318D"/>
    <w:rsid w:val="00F73594"/>
    <w:rsid w:val="00F7437A"/>
    <w:rsid w:val="00F754B9"/>
    <w:rsid w:val="00F7572F"/>
    <w:rsid w:val="00F768A5"/>
    <w:rsid w:val="00F76947"/>
    <w:rsid w:val="00F76F7C"/>
    <w:rsid w:val="00F774FA"/>
    <w:rsid w:val="00F806F5"/>
    <w:rsid w:val="00F80849"/>
    <w:rsid w:val="00F80F4A"/>
    <w:rsid w:val="00F8209E"/>
    <w:rsid w:val="00F825C1"/>
    <w:rsid w:val="00F82819"/>
    <w:rsid w:val="00F83216"/>
    <w:rsid w:val="00F84457"/>
    <w:rsid w:val="00F84BD3"/>
    <w:rsid w:val="00F84D7E"/>
    <w:rsid w:val="00F87042"/>
    <w:rsid w:val="00F874D6"/>
    <w:rsid w:val="00F87CBB"/>
    <w:rsid w:val="00F90439"/>
    <w:rsid w:val="00F90891"/>
    <w:rsid w:val="00F90C26"/>
    <w:rsid w:val="00F90C60"/>
    <w:rsid w:val="00F90D7B"/>
    <w:rsid w:val="00F91A3F"/>
    <w:rsid w:val="00F966C0"/>
    <w:rsid w:val="00F96D61"/>
    <w:rsid w:val="00F97E9D"/>
    <w:rsid w:val="00FA1757"/>
    <w:rsid w:val="00FA1AAC"/>
    <w:rsid w:val="00FA2191"/>
    <w:rsid w:val="00FA22B6"/>
    <w:rsid w:val="00FA2837"/>
    <w:rsid w:val="00FA405C"/>
    <w:rsid w:val="00FA40BD"/>
    <w:rsid w:val="00FA4643"/>
    <w:rsid w:val="00FA53C5"/>
    <w:rsid w:val="00FA5836"/>
    <w:rsid w:val="00FA6ED7"/>
    <w:rsid w:val="00FB0BED"/>
    <w:rsid w:val="00FB11E1"/>
    <w:rsid w:val="00FB2F3F"/>
    <w:rsid w:val="00FB3A2A"/>
    <w:rsid w:val="00FB3FB3"/>
    <w:rsid w:val="00FB4AE3"/>
    <w:rsid w:val="00FB62F4"/>
    <w:rsid w:val="00FB6756"/>
    <w:rsid w:val="00FB7BB0"/>
    <w:rsid w:val="00FC0354"/>
    <w:rsid w:val="00FC10E1"/>
    <w:rsid w:val="00FC38D0"/>
    <w:rsid w:val="00FC402C"/>
    <w:rsid w:val="00FC4291"/>
    <w:rsid w:val="00FC4499"/>
    <w:rsid w:val="00FC45BD"/>
    <w:rsid w:val="00FC4CDB"/>
    <w:rsid w:val="00FC4F4A"/>
    <w:rsid w:val="00FC5A4B"/>
    <w:rsid w:val="00FC6AC2"/>
    <w:rsid w:val="00FC7633"/>
    <w:rsid w:val="00FD05A2"/>
    <w:rsid w:val="00FD0E19"/>
    <w:rsid w:val="00FD18A1"/>
    <w:rsid w:val="00FD3D85"/>
    <w:rsid w:val="00FD43DF"/>
    <w:rsid w:val="00FD46A5"/>
    <w:rsid w:val="00FD4B96"/>
    <w:rsid w:val="00FD6073"/>
    <w:rsid w:val="00FD62AB"/>
    <w:rsid w:val="00FD6403"/>
    <w:rsid w:val="00FD672D"/>
    <w:rsid w:val="00FD751A"/>
    <w:rsid w:val="00FD78CC"/>
    <w:rsid w:val="00FD7A91"/>
    <w:rsid w:val="00FD7AE4"/>
    <w:rsid w:val="00FD7EE4"/>
    <w:rsid w:val="00FE1588"/>
    <w:rsid w:val="00FE195A"/>
    <w:rsid w:val="00FE2031"/>
    <w:rsid w:val="00FE236F"/>
    <w:rsid w:val="00FE2505"/>
    <w:rsid w:val="00FE2619"/>
    <w:rsid w:val="00FE3122"/>
    <w:rsid w:val="00FE3530"/>
    <w:rsid w:val="00FE41C0"/>
    <w:rsid w:val="00FE5A5B"/>
    <w:rsid w:val="00FE5C86"/>
    <w:rsid w:val="00FE683F"/>
    <w:rsid w:val="00FE6935"/>
    <w:rsid w:val="00FE7161"/>
    <w:rsid w:val="00FE75C5"/>
    <w:rsid w:val="00FE7962"/>
    <w:rsid w:val="00FE7DFC"/>
    <w:rsid w:val="00FF0509"/>
    <w:rsid w:val="00FF13F4"/>
    <w:rsid w:val="00FF1E0A"/>
    <w:rsid w:val="00FF2882"/>
    <w:rsid w:val="00FF2B26"/>
    <w:rsid w:val="00FF3B26"/>
    <w:rsid w:val="00FF3BC6"/>
    <w:rsid w:val="00FF4F80"/>
    <w:rsid w:val="00FF5082"/>
    <w:rsid w:val="00FF5E1F"/>
    <w:rsid w:val="00FF62B0"/>
    <w:rsid w:val="00FF65BB"/>
    <w:rsid w:val="00FF7385"/>
    <w:rsid w:val="0152F7BC"/>
    <w:rsid w:val="03440436"/>
    <w:rsid w:val="0488C7C7"/>
    <w:rsid w:val="05F06967"/>
    <w:rsid w:val="088B0285"/>
    <w:rsid w:val="08AECEC7"/>
    <w:rsid w:val="095079EB"/>
    <w:rsid w:val="0AF0BB57"/>
    <w:rsid w:val="0C4ACA10"/>
    <w:rsid w:val="0D36CF9D"/>
    <w:rsid w:val="0DDDB7D9"/>
    <w:rsid w:val="0F13D710"/>
    <w:rsid w:val="1088E406"/>
    <w:rsid w:val="11EE010F"/>
    <w:rsid w:val="1373FE57"/>
    <w:rsid w:val="13D4E68C"/>
    <w:rsid w:val="141907E6"/>
    <w:rsid w:val="14E846F5"/>
    <w:rsid w:val="154C82EC"/>
    <w:rsid w:val="1692304D"/>
    <w:rsid w:val="195E28F1"/>
    <w:rsid w:val="1A29BB1D"/>
    <w:rsid w:val="1B83BF82"/>
    <w:rsid w:val="1DFAE72D"/>
    <w:rsid w:val="1E7363AC"/>
    <w:rsid w:val="20A555A1"/>
    <w:rsid w:val="2239E6D4"/>
    <w:rsid w:val="2337EC1A"/>
    <w:rsid w:val="257A76F6"/>
    <w:rsid w:val="266A3D67"/>
    <w:rsid w:val="285F0F4B"/>
    <w:rsid w:val="2A1B4AB0"/>
    <w:rsid w:val="2AB644E8"/>
    <w:rsid w:val="2FF0E59C"/>
    <w:rsid w:val="34ADED5A"/>
    <w:rsid w:val="350D211A"/>
    <w:rsid w:val="3A162A38"/>
    <w:rsid w:val="3A3CB0C6"/>
    <w:rsid w:val="3AF90FD9"/>
    <w:rsid w:val="3B62D2A1"/>
    <w:rsid w:val="3BB7CE68"/>
    <w:rsid w:val="3CA74AA7"/>
    <w:rsid w:val="3E9E621C"/>
    <w:rsid w:val="43DE5AC4"/>
    <w:rsid w:val="444918D9"/>
    <w:rsid w:val="499FA213"/>
    <w:rsid w:val="4A113ED2"/>
    <w:rsid w:val="4A913B8E"/>
    <w:rsid w:val="4AE49D79"/>
    <w:rsid w:val="4B5AC820"/>
    <w:rsid w:val="5008CC1D"/>
    <w:rsid w:val="53AB9FB3"/>
    <w:rsid w:val="5564F8E8"/>
    <w:rsid w:val="5858A96C"/>
    <w:rsid w:val="5CB64872"/>
    <w:rsid w:val="60AFAF5C"/>
    <w:rsid w:val="60DE3AD6"/>
    <w:rsid w:val="62650AB9"/>
    <w:rsid w:val="63437FC9"/>
    <w:rsid w:val="638808F0"/>
    <w:rsid w:val="66BB6E08"/>
    <w:rsid w:val="698A9376"/>
    <w:rsid w:val="6BC6E192"/>
    <w:rsid w:val="7261BBA6"/>
    <w:rsid w:val="736202A9"/>
    <w:rsid w:val="76476EF5"/>
    <w:rsid w:val="79ACF185"/>
    <w:rsid w:val="7C89A6E2"/>
    <w:rsid w:val="7EE0D9C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D2FA63"/>
  <w15:chartTrackingRefBased/>
  <w15:docId w15:val="{683A5B24-562F-45FF-9520-28018100C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7101"/>
    <w:pPr>
      <w:spacing w:after="0" w:line="240" w:lineRule="auto"/>
      <w:jc w:val="both"/>
    </w:pPr>
    <w:rPr>
      <w:rFonts w:ascii="Times New Roman" w:eastAsia="MS Mincho" w:hAnsi="Times New Roman" w:cs="Times New Roman"/>
      <w:szCs w:val="24"/>
    </w:rPr>
  </w:style>
  <w:style w:type="paragraph" w:styleId="Ttulo1">
    <w:name w:val="heading 1"/>
    <w:basedOn w:val="Normal"/>
    <w:next w:val="Normal"/>
    <w:link w:val="Ttulo1Car"/>
    <w:qFormat/>
    <w:rsid w:val="00777101"/>
    <w:pPr>
      <w:keepNext/>
      <w:overflowPunct w:val="0"/>
      <w:autoSpaceDE w:val="0"/>
      <w:autoSpaceDN w:val="0"/>
      <w:adjustRightInd w:val="0"/>
      <w:textAlignment w:val="baseline"/>
      <w:outlineLvl w:val="0"/>
    </w:pPr>
    <w:rPr>
      <w:b/>
      <w:bCs/>
    </w:rPr>
  </w:style>
  <w:style w:type="paragraph" w:styleId="Ttulo2">
    <w:name w:val="heading 2"/>
    <w:basedOn w:val="Normal"/>
    <w:next w:val="Normal"/>
    <w:link w:val="Ttulo2Car"/>
    <w:qFormat/>
    <w:rsid w:val="00777101"/>
    <w:pPr>
      <w:keepNext/>
      <w:spacing w:before="240" w:after="60"/>
      <w:outlineLvl w:val="1"/>
    </w:pPr>
    <w:rPr>
      <w:rFonts w:ascii="Calibri" w:hAnsi="Calibri"/>
      <w:b/>
      <w:bCs/>
      <w:i/>
      <w:iCs/>
      <w:sz w:val="28"/>
      <w:szCs w:val="28"/>
    </w:rPr>
  </w:style>
  <w:style w:type="paragraph" w:styleId="Ttulo3">
    <w:name w:val="heading 3"/>
    <w:basedOn w:val="Normal"/>
    <w:next w:val="Normal"/>
    <w:link w:val="Ttulo3Car"/>
    <w:qFormat/>
    <w:rsid w:val="00777101"/>
    <w:pPr>
      <w:keepNext/>
      <w:spacing w:before="240" w:after="60"/>
      <w:outlineLvl w:val="2"/>
    </w:pPr>
    <w:rPr>
      <w:rFonts w:ascii="Calibri" w:hAnsi="Calibri"/>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777101"/>
    <w:rPr>
      <w:rFonts w:ascii="Times New Roman" w:eastAsia="MS Mincho" w:hAnsi="Times New Roman" w:cs="Times New Roman"/>
      <w:b/>
      <w:bCs/>
      <w:szCs w:val="24"/>
    </w:rPr>
  </w:style>
  <w:style w:type="character" w:customStyle="1" w:styleId="Ttulo2Car">
    <w:name w:val="Título 2 Car"/>
    <w:basedOn w:val="Fuentedeprrafopredeter"/>
    <w:link w:val="Ttulo2"/>
    <w:rsid w:val="00777101"/>
    <w:rPr>
      <w:rFonts w:ascii="Calibri" w:eastAsia="MS Mincho" w:hAnsi="Calibri" w:cs="Times New Roman"/>
      <w:b/>
      <w:bCs/>
      <w:i/>
      <w:iCs/>
      <w:sz w:val="28"/>
      <w:szCs w:val="28"/>
    </w:rPr>
  </w:style>
  <w:style w:type="character" w:customStyle="1" w:styleId="Ttulo3Car">
    <w:name w:val="Título 3 Car"/>
    <w:basedOn w:val="Fuentedeprrafopredeter"/>
    <w:link w:val="Ttulo3"/>
    <w:rsid w:val="00777101"/>
    <w:rPr>
      <w:rFonts w:ascii="Calibri" w:eastAsia="MS Mincho" w:hAnsi="Calibri" w:cs="Times New Roman"/>
      <w:b/>
      <w:bCs/>
      <w:sz w:val="26"/>
      <w:szCs w:val="26"/>
    </w:rPr>
  </w:style>
  <w:style w:type="paragraph" w:styleId="Textonotapie">
    <w:name w:val="footnote text"/>
    <w:basedOn w:val="Normal"/>
    <w:link w:val="TextonotapieCar"/>
    <w:semiHidden/>
    <w:rsid w:val="00777101"/>
    <w:pPr>
      <w:spacing w:before="60"/>
    </w:pPr>
    <w:rPr>
      <w:sz w:val="20"/>
    </w:rPr>
  </w:style>
  <w:style w:type="character" w:customStyle="1" w:styleId="TextonotapieCar">
    <w:name w:val="Texto nota pie Car"/>
    <w:basedOn w:val="Fuentedeprrafopredeter"/>
    <w:link w:val="Textonotapie"/>
    <w:semiHidden/>
    <w:rsid w:val="00777101"/>
    <w:rPr>
      <w:rFonts w:ascii="Times New Roman" w:eastAsia="MS Mincho" w:hAnsi="Times New Roman" w:cs="Times New Roman"/>
      <w:sz w:val="20"/>
      <w:szCs w:val="24"/>
    </w:rPr>
  </w:style>
  <w:style w:type="character" w:styleId="Refdenotaalpie">
    <w:name w:val="footnote reference"/>
    <w:basedOn w:val="Fuentedeprrafopredeter"/>
    <w:semiHidden/>
    <w:rsid w:val="00777101"/>
    <w:rPr>
      <w:vertAlign w:val="superscript"/>
    </w:rPr>
  </w:style>
  <w:style w:type="paragraph" w:customStyle="1" w:styleId="Style">
    <w:name w:val="Style"/>
    <w:basedOn w:val="Piedepgina"/>
    <w:autoRedefine/>
    <w:qFormat/>
    <w:rsid w:val="00777101"/>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paragraph" w:styleId="Piedepgina">
    <w:name w:val="footer"/>
    <w:basedOn w:val="Normal"/>
    <w:link w:val="PiedepginaCar"/>
    <w:rsid w:val="00777101"/>
    <w:pPr>
      <w:tabs>
        <w:tab w:val="center" w:pos="4680"/>
        <w:tab w:val="right" w:pos="9360"/>
      </w:tabs>
    </w:pPr>
  </w:style>
  <w:style w:type="character" w:customStyle="1" w:styleId="PiedepginaCar">
    <w:name w:val="Pie de página Car"/>
    <w:basedOn w:val="Fuentedeprrafopredeter"/>
    <w:link w:val="Piedepgina"/>
    <w:rsid w:val="00777101"/>
    <w:rPr>
      <w:rFonts w:ascii="Times New Roman" w:eastAsia="MS Mincho" w:hAnsi="Times New Roman" w:cs="Times New Roman"/>
      <w:szCs w:val="24"/>
    </w:rPr>
  </w:style>
  <w:style w:type="character" w:styleId="Nmerodepgina">
    <w:name w:val="page number"/>
    <w:rsid w:val="00777101"/>
    <w:rPr>
      <w:rFonts w:ascii="Arial" w:hAnsi="Arial"/>
      <w:b/>
      <w:sz w:val="18"/>
    </w:rPr>
  </w:style>
  <w:style w:type="paragraph" w:customStyle="1" w:styleId="IPPArialFootnote">
    <w:name w:val="IPP Arial Footnote"/>
    <w:basedOn w:val="IPPArialTable"/>
    <w:qFormat/>
    <w:rsid w:val="00777101"/>
    <w:pPr>
      <w:tabs>
        <w:tab w:val="left" w:pos="28"/>
      </w:tabs>
      <w:ind w:left="284" w:hanging="284"/>
    </w:pPr>
    <w:rPr>
      <w:sz w:val="16"/>
    </w:rPr>
  </w:style>
  <w:style w:type="paragraph" w:customStyle="1" w:styleId="IPPContentsHead">
    <w:name w:val="IPP ContentsHead"/>
    <w:basedOn w:val="IPPSubhead"/>
    <w:next w:val="IPPNormal"/>
    <w:qFormat/>
    <w:rsid w:val="00777101"/>
    <w:pPr>
      <w:spacing w:after="240"/>
    </w:pPr>
    <w:rPr>
      <w:sz w:val="24"/>
    </w:rPr>
  </w:style>
  <w:style w:type="table" w:styleId="Tablaconcuadrcula">
    <w:name w:val="Table Grid"/>
    <w:basedOn w:val="Tablanormal"/>
    <w:rsid w:val="00777101"/>
    <w:pPr>
      <w:spacing w:after="0" w:line="240" w:lineRule="auto"/>
    </w:pPr>
    <w:rPr>
      <w:rFonts w:ascii="Cambria" w:eastAsia="MS Mincho" w:hAnsi="Cambria"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777101"/>
    <w:rPr>
      <w:rFonts w:ascii="Tahoma" w:hAnsi="Tahoma" w:cs="Tahoma"/>
      <w:sz w:val="16"/>
      <w:szCs w:val="16"/>
    </w:rPr>
  </w:style>
  <w:style w:type="character" w:customStyle="1" w:styleId="TextodegloboCar">
    <w:name w:val="Texto de globo Car"/>
    <w:basedOn w:val="Fuentedeprrafopredeter"/>
    <w:link w:val="Textodeglobo"/>
    <w:rsid w:val="00777101"/>
    <w:rPr>
      <w:rFonts w:ascii="Tahoma" w:eastAsia="MS Mincho" w:hAnsi="Tahoma" w:cs="Tahoma"/>
      <w:sz w:val="16"/>
      <w:szCs w:val="16"/>
    </w:rPr>
  </w:style>
  <w:style w:type="paragraph" w:customStyle="1" w:styleId="IPPBullet2">
    <w:name w:val="IPP Bullet2"/>
    <w:basedOn w:val="IPPNormal"/>
    <w:next w:val="IPPBullet1"/>
    <w:qFormat/>
    <w:rsid w:val="00777101"/>
    <w:pPr>
      <w:numPr>
        <w:numId w:val="4"/>
      </w:numPr>
      <w:tabs>
        <w:tab w:val="left" w:pos="1134"/>
      </w:tabs>
      <w:spacing w:after="60"/>
      <w:ind w:left="1134" w:hanging="567"/>
    </w:pPr>
  </w:style>
  <w:style w:type="paragraph" w:customStyle="1" w:styleId="IPPQuote">
    <w:name w:val="IPP Quote"/>
    <w:basedOn w:val="IPPNormal"/>
    <w:qFormat/>
    <w:rsid w:val="00777101"/>
    <w:pPr>
      <w:ind w:left="851" w:right="851"/>
    </w:pPr>
    <w:rPr>
      <w:sz w:val="18"/>
    </w:rPr>
  </w:style>
  <w:style w:type="paragraph" w:customStyle="1" w:styleId="IPPNormal">
    <w:name w:val="IPP Normal"/>
    <w:basedOn w:val="Normal"/>
    <w:qFormat/>
    <w:rsid w:val="00777101"/>
    <w:pPr>
      <w:spacing w:after="180"/>
    </w:pPr>
    <w:rPr>
      <w:rFonts w:eastAsia="Times"/>
    </w:rPr>
  </w:style>
  <w:style w:type="paragraph" w:customStyle="1" w:styleId="IPPIndentClose">
    <w:name w:val="IPP Indent Close"/>
    <w:basedOn w:val="IPPNormal"/>
    <w:qFormat/>
    <w:rsid w:val="00777101"/>
    <w:pPr>
      <w:tabs>
        <w:tab w:val="left" w:pos="2835"/>
      </w:tabs>
      <w:spacing w:after="60"/>
      <w:ind w:left="567"/>
    </w:pPr>
  </w:style>
  <w:style w:type="paragraph" w:customStyle="1" w:styleId="IPPIndent">
    <w:name w:val="IPP Indent"/>
    <w:basedOn w:val="IPPIndentClose"/>
    <w:qFormat/>
    <w:rsid w:val="00777101"/>
    <w:pPr>
      <w:spacing w:after="180"/>
    </w:pPr>
  </w:style>
  <w:style w:type="paragraph" w:customStyle="1" w:styleId="IPPFootnote">
    <w:name w:val="IPP Footnote"/>
    <w:basedOn w:val="IPPArialFootnote"/>
    <w:qFormat/>
    <w:rsid w:val="00777101"/>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777101"/>
    <w:pPr>
      <w:keepNext/>
      <w:tabs>
        <w:tab w:val="left" w:pos="567"/>
      </w:tabs>
      <w:spacing w:before="120" w:after="120"/>
      <w:ind w:left="567" w:hanging="567"/>
    </w:pPr>
    <w:rPr>
      <w:b/>
      <w:i/>
    </w:rPr>
  </w:style>
  <w:style w:type="character" w:customStyle="1" w:styleId="IPPnormalitalics">
    <w:name w:val="IPP normal italics"/>
    <w:basedOn w:val="Fuentedeprrafopredeter"/>
    <w:rsid w:val="00777101"/>
    <w:rPr>
      <w:rFonts w:ascii="Times New Roman" w:hAnsi="Times New Roman"/>
      <w:i/>
      <w:sz w:val="22"/>
      <w:lang w:val="es-ES"/>
    </w:rPr>
  </w:style>
  <w:style w:type="character" w:customStyle="1" w:styleId="IPPNormalbold">
    <w:name w:val="IPP Normal bold"/>
    <w:basedOn w:val="TextosinformatoCar"/>
    <w:rsid w:val="00777101"/>
    <w:rPr>
      <w:rFonts w:ascii="Times New Roman" w:eastAsia="Times" w:hAnsi="Times New Roman" w:cs="Times New Roman"/>
      <w:b/>
      <w:sz w:val="22"/>
      <w:szCs w:val="21"/>
      <w:lang w:val="es-ES"/>
    </w:rPr>
  </w:style>
  <w:style w:type="paragraph" w:customStyle="1" w:styleId="IPPHeadSection">
    <w:name w:val="IPP HeadSection"/>
    <w:basedOn w:val="Normal"/>
    <w:next w:val="Normal"/>
    <w:qFormat/>
    <w:rsid w:val="00777101"/>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777101"/>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777101"/>
    <w:pPr>
      <w:keepNext/>
      <w:ind w:left="567" w:hanging="567"/>
      <w:jc w:val="left"/>
    </w:pPr>
    <w:rPr>
      <w:b/>
      <w:bCs/>
      <w:iCs/>
      <w:szCs w:val="22"/>
    </w:rPr>
  </w:style>
  <w:style w:type="character" w:customStyle="1" w:styleId="IPPNormalunderlined">
    <w:name w:val="IPP Normal underlined"/>
    <w:basedOn w:val="Fuentedeprrafopredeter"/>
    <w:rsid w:val="00777101"/>
    <w:rPr>
      <w:rFonts w:ascii="Times New Roman" w:hAnsi="Times New Roman"/>
      <w:sz w:val="22"/>
      <w:u w:val="single"/>
      <w:lang w:val="es-ES"/>
    </w:rPr>
  </w:style>
  <w:style w:type="paragraph" w:customStyle="1" w:styleId="IPPBullet1">
    <w:name w:val="IPP Bullet1"/>
    <w:basedOn w:val="IPPBullet1Last"/>
    <w:qFormat/>
    <w:rsid w:val="00777101"/>
    <w:pPr>
      <w:numPr>
        <w:numId w:val="9"/>
      </w:numPr>
      <w:spacing w:after="60"/>
      <w:ind w:left="567" w:hanging="567"/>
    </w:pPr>
  </w:style>
  <w:style w:type="paragraph" w:customStyle="1" w:styleId="IPPBullet1Last">
    <w:name w:val="IPP Bullet1Last"/>
    <w:basedOn w:val="IPPNormal"/>
    <w:next w:val="IPPNormal"/>
    <w:qFormat/>
    <w:rsid w:val="00777101"/>
    <w:pPr>
      <w:numPr>
        <w:numId w:val="5"/>
      </w:numPr>
    </w:pPr>
  </w:style>
  <w:style w:type="character" w:customStyle="1" w:styleId="IPPNormalstrikethrough">
    <w:name w:val="IPP Normal strikethrough"/>
    <w:rsid w:val="00777101"/>
    <w:rPr>
      <w:rFonts w:ascii="Times New Roman" w:hAnsi="Times New Roman"/>
      <w:strike/>
      <w:dstrike w:val="0"/>
      <w:sz w:val="22"/>
    </w:rPr>
  </w:style>
  <w:style w:type="paragraph" w:customStyle="1" w:styleId="IPPTitle16pt">
    <w:name w:val="IPP Title16pt"/>
    <w:basedOn w:val="Normal"/>
    <w:qFormat/>
    <w:rsid w:val="00777101"/>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777101"/>
    <w:pPr>
      <w:spacing w:after="360"/>
      <w:jc w:val="center"/>
    </w:pPr>
    <w:rPr>
      <w:rFonts w:ascii="Arial" w:hAnsi="Arial" w:cs="Arial"/>
      <w:b/>
      <w:bCs/>
      <w:sz w:val="36"/>
      <w:szCs w:val="36"/>
    </w:rPr>
  </w:style>
  <w:style w:type="paragraph" w:customStyle="1" w:styleId="IPPHeader">
    <w:name w:val="IPP Header"/>
    <w:basedOn w:val="Normal"/>
    <w:qFormat/>
    <w:rsid w:val="00777101"/>
    <w:pPr>
      <w:pBdr>
        <w:bottom w:val="single" w:sz="4" w:space="4" w:color="auto"/>
      </w:pBdr>
      <w:tabs>
        <w:tab w:val="left" w:pos="1134"/>
        <w:tab w:val="right" w:pos="9072"/>
      </w:tabs>
      <w:spacing w:after="120"/>
      <w:jc w:val="left"/>
    </w:pPr>
    <w:rPr>
      <w:rFonts w:ascii="Arial" w:hAnsi="Arial"/>
      <w:sz w:val="18"/>
    </w:rPr>
  </w:style>
  <w:style w:type="paragraph" w:customStyle="1" w:styleId="IPPAnnexHead">
    <w:name w:val="IPP AnnexHead"/>
    <w:basedOn w:val="IPPNormal"/>
    <w:next w:val="IPPNormal"/>
    <w:qFormat/>
    <w:rsid w:val="00777101"/>
    <w:pPr>
      <w:keepNext/>
      <w:tabs>
        <w:tab w:val="left" w:pos="567"/>
      </w:tabs>
      <w:spacing w:before="120"/>
      <w:jc w:val="left"/>
      <w:outlineLvl w:val="1"/>
    </w:pPr>
    <w:rPr>
      <w:b/>
      <w:sz w:val="24"/>
    </w:rPr>
  </w:style>
  <w:style w:type="numbering" w:customStyle="1" w:styleId="IPPParagraphnumberedlist">
    <w:name w:val="IPP Paragraph numbered list"/>
    <w:rsid w:val="00777101"/>
    <w:pPr>
      <w:numPr>
        <w:numId w:val="3"/>
      </w:numPr>
    </w:pPr>
  </w:style>
  <w:style w:type="paragraph" w:customStyle="1" w:styleId="IPPNormalCloseSpace">
    <w:name w:val="IPP NormalCloseSpace"/>
    <w:basedOn w:val="Normal"/>
    <w:qFormat/>
    <w:rsid w:val="00777101"/>
    <w:pPr>
      <w:keepNext/>
      <w:spacing w:after="60"/>
    </w:pPr>
  </w:style>
  <w:style w:type="paragraph" w:customStyle="1" w:styleId="IPPHeading2">
    <w:name w:val="IPP Heading2"/>
    <w:basedOn w:val="IPPNormal"/>
    <w:next w:val="IPPNormal"/>
    <w:qFormat/>
    <w:rsid w:val="00777101"/>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Textosinformato"/>
    <w:qFormat/>
    <w:rsid w:val="00777101"/>
    <w:pPr>
      <w:pBdr>
        <w:top w:val="single" w:sz="4" w:space="4" w:color="auto"/>
        <w:bottom w:val="none" w:sz="0" w:space="0" w:color="auto"/>
      </w:pBdr>
      <w:tabs>
        <w:tab w:val="clear" w:pos="1134"/>
      </w:tabs>
      <w:jc w:val="right"/>
    </w:pPr>
    <w:rPr>
      <w:b/>
    </w:rPr>
  </w:style>
  <w:style w:type="paragraph" w:styleId="TDC1">
    <w:name w:val="toc 1"/>
    <w:basedOn w:val="IPPNormalCloseSpace"/>
    <w:next w:val="Normal"/>
    <w:autoRedefine/>
    <w:uiPriority w:val="39"/>
    <w:rsid w:val="00777101"/>
    <w:pPr>
      <w:tabs>
        <w:tab w:val="right" w:leader="dot" w:pos="9072"/>
      </w:tabs>
      <w:spacing w:before="240"/>
      <w:ind w:left="567" w:hanging="567"/>
    </w:pPr>
  </w:style>
  <w:style w:type="paragraph" w:styleId="TDC2">
    <w:name w:val="toc 2"/>
    <w:basedOn w:val="TDC1"/>
    <w:next w:val="Normal"/>
    <w:autoRedefine/>
    <w:uiPriority w:val="39"/>
    <w:rsid w:val="00777101"/>
    <w:pPr>
      <w:keepNext w:val="0"/>
      <w:tabs>
        <w:tab w:val="left" w:pos="425"/>
      </w:tabs>
      <w:spacing w:before="120" w:after="0"/>
      <w:ind w:left="425" w:right="284" w:hanging="425"/>
    </w:pPr>
  </w:style>
  <w:style w:type="paragraph" w:styleId="TDC3">
    <w:name w:val="toc 3"/>
    <w:basedOn w:val="TDC2"/>
    <w:next w:val="Normal"/>
    <w:autoRedefine/>
    <w:uiPriority w:val="39"/>
    <w:rsid w:val="00777101"/>
    <w:pPr>
      <w:tabs>
        <w:tab w:val="left" w:pos="1276"/>
      </w:tabs>
      <w:spacing w:before="60"/>
      <w:ind w:left="1276" w:hanging="851"/>
    </w:pPr>
    <w:rPr>
      <w:rFonts w:eastAsia="Times"/>
    </w:rPr>
  </w:style>
  <w:style w:type="paragraph" w:styleId="TDC4">
    <w:name w:val="toc 4"/>
    <w:basedOn w:val="Normal"/>
    <w:next w:val="Normal"/>
    <w:autoRedefine/>
    <w:uiPriority w:val="39"/>
    <w:rsid w:val="00777101"/>
    <w:pPr>
      <w:spacing w:after="120"/>
      <w:ind w:left="660"/>
    </w:pPr>
    <w:rPr>
      <w:rFonts w:eastAsia="Times"/>
    </w:rPr>
  </w:style>
  <w:style w:type="paragraph" w:styleId="TDC5">
    <w:name w:val="toc 5"/>
    <w:basedOn w:val="Normal"/>
    <w:next w:val="Normal"/>
    <w:autoRedefine/>
    <w:uiPriority w:val="39"/>
    <w:rsid w:val="00777101"/>
    <w:pPr>
      <w:spacing w:after="120"/>
      <w:ind w:left="880"/>
    </w:pPr>
    <w:rPr>
      <w:rFonts w:eastAsia="Times"/>
    </w:rPr>
  </w:style>
  <w:style w:type="paragraph" w:styleId="TDC6">
    <w:name w:val="toc 6"/>
    <w:basedOn w:val="Normal"/>
    <w:next w:val="Normal"/>
    <w:autoRedefine/>
    <w:uiPriority w:val="39"/>
    <w:rsid w:val="00777101"/>
    <w:pPr>
      <w:spacing w:after="120"/>
      <w:ind w:left="1100"/>
    </w:pPr>
    <w:rPr>
      <w:rFonts w:eastAsia="Times"/>
    </w:rPr>
  </w:style>
  <w:style w:type="paragraph" w:styleId="TDC7">
    <w:name w:val="toc 7"/>
    <w:basedOn w:val="Normal"/>
    <w:next w:val="Normal"/>
    <w:autoRedefine/>
    <w:uiPriority w:val="39"/>
    <w:rsid w:val="00777101"/>
    <w:pPr>
      <w:spacing w:after="120"/>
      <w:ind w:left="1320"/>
    </w:pPr>
    <w:rPr>
      <w:rFonts w:eastAsia="Times"/>
    </w:rPr>
  </w:style>
  <w:style w:type="paragraph" w:styleId="TDC8">
    <w:name w:val="toc 8"/>
    <w:basedOn w:val="Normal"/>
    <w:next w:val="Normal"/>
    <w:autoRedefine/>
    <w:uiPriority w:val="39"/>
    <w:rsid w:val="00777101"/>
    <w:pPr>
      <w:spacing w:after="120"/>
      <w:ind w:left="1540"/>
    </w:pPr>
    <w:rPr>
      <w:rFonts w:eastAsia="Times"/>
    </w:rPr>
  </w:style>
  <w:style w:type="paragraph" w:styleId="TDC9">
    <w:name w:val="toc 9"/>
    <w:basedOn w:val="Normal"/>
    <w:next w:val="Normal"/>
    <w:autoRedefine/>
    <w:uiPriority w:val="39"/>
    <w:rsid w:val="00777101"/>
    <w:pPr>
      <w:spacing w:after="120"/>
      <w:ind w:left="1760"/>
    </w:pPr>
    <w:rPr>
      <w:rFonts w:eastAsia="Times"/>
    </w:rPr>
  </w:style>
  <w:style w:type="paragraph" w:customStyle="1" w:styleId="IPPReferences">
    <w:name w:val="IPP References"/>
    <w:basedOn w:val="IPPNormal"/>
    <w:qFormat/>
    <w:rsid w:val="00777101"/>
    <w:pPr>
      <w:spacing w:after="60"/>
      <w:ind w:left="567" w:hanging="567"/>
    </w:pPr>
  </w:style>
  <w:style w:type="paragraph" w:customStyle="1" w:styleId="IPPArial">
    <w:name w:val="IPP Arial"/>
    <w:basedOn w:val="IPPNormal"/>
    <w:qFormat/>
    <w:rsid w:val="00777101"/>
    <w:pPr>
      <w:spacing w:after="0"/>
    </w:pPr>
    <w:rPr>
      <w:rFonts w:ascii="Arial" w:hAnsi="Arial"/>
      <w:sz w:val="18"/>
    </w:rPr>
  </w:style>
  <w:style w:type="paragraph" w:customStyle="1" w:styleId="IPPArialTable">
    <w:name w:val="IPP Arial Table"/>
    <w:basedOn w:val="IPPArial"/>
    <w:qFormat/>
    <w:rsid w:val="00777101"/>
    <w:pPr>
      <w:spacing w:before="60" w:after="60"/>
      <w:jc w:val="left"/>
    </w:pPr>
  </w:style>
  <w:style w:type="paragraph" w:customStyle="1" w:styleId="IPPHeaderlandscape">
    <w:name w:val="IPP Header landscape"/>
    <w:basedOn w:val="IPPHeader"/>
    <w:qFormat/>
    <w:rsid w:val="00777101"/>
    <w:pPr>
      <w:pBdr>
        <w:bottom w:val="single" w:sz="4" w:space="1" w:color="auto"/>
      </w:pBdr>
      <w:tabs>
        <w:tab w:val="clear" w:pos="9072"/>
        <w:tab w:val="right" w:pos="14034"/>
      </w:tabs>
      <w:spacing w:after="0"/>
      <w:ind w:right="-32"/>
    </w:pPr>
    <w:rPr>
      <w:noProof/>
    </w:rPr>
  </w:style>
  <w:style w:type="paragraph" w:styleId="Textosinformato">
    <w:name w:val="Plain Text"/>
    <w:basedOn w:val="Normal"/>
    <w:link w:val="TextosinformatoCar"/>
    <w:uiPriority w:val="99"/>
    <w:unhideWhenUsed/>
    <w:rsid w:val="00777101"/>
    <w:pPr>
      <w:jc w:val="left"/>
    </w:pPr>
    <w:rPr>
      <w:rFonts w:ascii="Courier" w:eastAsia="Times" w:hAnsi="Courier"/>
      <w:sz w:val="21"/>
      <w:szCs w:val="21"/>
    </w:rPr>
  </w:style>
  <w:style w:type="character" w:customStyle="1" w:styleId="TextosinformatoCar">
    <w:name w:val="Texto sin formato Car"/>
    <w:basedOn w:val="Fuentedeprrafopredeter"/>
    <w:link w:val="Textosinformato"/>
    <w:uiPriority w:val="99"/>
    <w:rsid w:val="00777101"/>
    <w:rPr>
      <w:rFonts w:ascii="Courier" w:eastAsia="Times" w:hAnsi="Courier" w:cs="Times New Roman"/>
      <w:sz w:val="21"/>
      <w:szCs w:val="21"/>
      <w:lang w:val="es-ES"/>
    </w:rPr>
  </w:style>
  <w:style w:type="paragraph" w:customStyle="1" w:styleId="IPPLetterList">
    <w:name w:val="IPP LetterList"/>
    <w:basedOn w:val="IPPBullet2"/>
    <w:qFormat/>
    <w:rsid w:val="00777101"/>
    <w:pPr>
      <w:numPr>
        <w:numId w:val="1"/>
      </w:numPr>
      <w:jc w:val="left"/>
    </w:pPr>
  </w:style>
  <w:style w:type="paragraph" w:customStyle="1" w:styleId="IPPLetterListIndent">
    <w:name w:val="IPP LetterList Indent"/>
    <w:basedOn w:val="IPPLetterList"/>
    <w:qFormat/>
    <w:rsid w:val="00777101"/>
    <w:pPr>
      <w:numPr>
        <w:numId w:val="2"/>
      </w:numPr>
    </w:pPr>
  </w:style>
  <w:style w:type="paragraph" w:customStyle="1" w:styleId="IPPFooterLandscape">
    <w:name w:val="IPP Footer Landscape"/>
    <w:basedOn w:val="IPPHeaderlandscape"/>
    <w:qFormat/>
    <w:rsid w:val="00777101"/>
    <w:pPr>
      <w:pBdr>
        <w:top w:val="single" w:sz="4" w:space="1" w:color="auto"/>
        <w:bottom w:val="none" w:sz="0" w:space="0" w:color="auto"/>
      </w:pBdr>
      <w:jc w:val="right"/>
    </w:pPr>
    <w:rPr>
      <w:b/>
    </w:rPr>
  </w:style>
  <w:style w:type="paragraph" w:customStyle="1" w:styleId="IPPSubheadSpace">
    <w:name w:val="IPP Subhead Space"/>
    <w:basedOn w:val="IPPSubhead"/>
    <w:qFormat/>
    <w:rsid w:val="00777101"/>
    <w:pPr>
      <w:tabs>
        <w:tab w:val="left" w:pos="567"/>
      </w:tabs>
      <w:spacing w:before="60" w:after="60"/>
    </w:pPr>
  </w:style>
  <w:style w:type="paragraph" w:customStyle="1" w:styleId="IPPSubheadSpaceAfter">
    <w:name w:val="IPP Subhead SpaceAfter"/>
    <w:basedOn w:val="IPPSubhead"/>
    <w:qFormat/>
    <w:rsid w:val="00777101"/>
    <w:pPr>
      <w:spacing w:after="60"/>
    </w:pPr>
  </w:style>
  <w:style w:type="paragraph" w:customStyle="1" w:styleId="IPPHdg1Num">
    <w:name w:val="IPP Hdg1Num"/>
    <w:basedOn w:val="IPPHeading1"/>
    <w:next w:val="IPPNormal"/>
    <w:qFormat/>
    <w:rsid w:val="00777101"/>
    <w:pPr>
      <w:numPr>
        <w:numId w:val="6"/>
      </w:numPr>
    </w:pPr>
  </w:style>
  <w:style w:type="paragraph" w:customStyle="1" w:styleId="IPPHdg2Num">
    <w:name w:val="IPP Hdg2Num"/>
    <w:basedOn w:val="IPPHeading2"/>
    <w:next w:val="IPPNormal"/>
    <w:qFormat/>
    <w:rsid w:val="00777101"/>
    <w:pPr>
      <w:numPr>
        <w:ilvl w:val="1"/>
        <w:numId w:val="7"/>
      </w:numPr>
    </w:pPr>
  </w:style>
  <w:style w:type="paragraph" w:customStyle="1" w:styleId="IPPNumberedList">
    <w:name w:val="IPP NumberedList"/>
    <w:basedOn w:val="IPPBullet1"/>
    <w:qFormat/>
    <w:rsid w:val="00777101"/>
    <w:pPr>
      <w:numPr>
        <w:numId w:val="8"/>
      </w:numPr>
    </w:pPr>
  </w:style>
  <w:style w:type="paragraph" w:styleId="Encabezado">
    <w:name w:val="header"/>
    <w:basedOn w:val="Normal"/>
    <w:link w:val="EncabezadoCar"/>
    <w:rsid w:val="00777101"/>
    <w:pPr>
      <w:tabs>
        <w:tab w:val="center" w:pos="4680"/>
        <w:tab w:val="right" w:pos="9360"/>
      </w:tabs>
    </w:pPr>
  </w:style>
  <w:style w:type="character" w:customStyle="1" w:styleId="EncabezadoCar">
    <w:name w:val="Encabezado Car"/>
    <w:basedOn w:val="Fuentedeprrafopredeter"/>
    <w:link w:val="Encabezado"/>
    <w:rsid w:val="00777101"/>
    <w:rPr>
      <w:rFonts w:ascii="Times New Roman" w:eastAsia="MS Mincho" w:hAnsi="Times New Roman" w:cs="Times New Roman"/>
      <w:szCs w:val="24"/>
    </w:rPr>
  </w:style>
  <w:style w:type="character" w:styleId="Textoennegrita">
    <w:name w:val="Strong"/>
    <w:basedOn w:val="Fuentedeprrafopredeter"/>
    <w:qFormat/>
    <w:rsid w:val="00777101"/>
    <w:rPr>
      <w:b/>
      <w:bCs/>
    </w:rPr>
  </w:style>
  <w:style w:type="paragraph" w:styleId="Prrafodelista">
    <w:name w:val="List Paragraph"/>
    <w:basedOn w:val="Normal"/>
    <w:uiPriority w:val="34"/>
    <w:qFormat/>
    <w:rsid w:val="00777101"/>
    <w:pPr>
      <w:spacing w:line="240" w:lineRule="atLeast"/>
      <w:ind w:leftChars="400" w:left="800"/>
    </w:pPr>
    <w:rPr>
      <w:rFonts w:ascii="Verdana" w:eastAsia="Times New Roman" w:hAnsi="Verdana"/>
      <w:sz w:val="20"/>
      <w:lang w:eastAsia="nl-NL"/>
    </w:rPr>
  </w:style>
  <w:style w:type="paragraph" w:customStyle="1" w:styleId="IPPParagraphnumbering">
    <w:name w:val="IPP Paragraph numbering"/>
    <w:basedOn w:val="IPPNormal"/>
    <w:qFormat/>
    <w:rsid w:val="00777101"/>
    <w:pPr>
      <w:numPr>
        <w:numId w:val="49"/>
      </w:numPr>
    </w:pPr>
  </w:style>
  <w:style w:type="paragraph" w:customStyle="1" w:styleId="IPPParagraphnumberingclose">
    <w:name w:val="IPP Paragraph numbering close"/>
    <w:basedOn w:val="IPPParagraphnumbering"/>
    <w:qFormat/>
    <w:rsid w:val="00777101"/>
    <w:pPr>
      <w:keepNext/>
      <w:spacing w:after="60"/>
    </w:pPr>
  </w:style>
  <w:style w:type="paragraph" w:customStyle="1" w:styleId="IPPNumberedListLast">
    <w:name w:val="IPP NumberedListLast"/>
    <w:basedOn w:val="IPPNumberedList"/>
    <w:qFormat/>
    <w:rsid w:val="00777101"/>
    <w:pPr>
      <w:spacing w:after="180"/>
    </w:pPr>
  </w:style>
  <w:style w:type="character" w:styleId="Hipervnculo">
    <w:name w:val="Hyperlink"/>
    <w:basedOn w:val="Fuentedeprrafopredeter"/>
    <w:unhideWhenUsed/>
    <w:rsid w:val="00777101"/>
    <w:rPr>
      <w:color w:val="0000FF"/>
      <w:u w:val="single"/>
    </w:rPr>
  </w:style>
  <w:style w:type="character" w:styleId="Hipervnculovisitado">
    <w:name w:val="FollowedHyperlink"/>
    <w:basedOn w:val="Fuentedeprrafopredeter"/>
    <w:semiHidden/>
    <w:unhideWhenUsed/>
    <w:rsid w:val="00777101"/>
    <w:rPr>
      <w:color w:val="954F72" w:themeColor="followedHyperlink"/>
      <w:u w:val="single"/>
    </w:rPr>
  </w:style>
  <w:style w:type="character" w:styleId="Refdecomentario">
    <w:name w:val="annotation reference"/>
    <w:basedOn w:val="Fuentedeprrafopredeter"/>
    <w:uiPriority w:val="99"/>
    <w:unhideWhenUsed/>
    <w:rsid w:val="009456CA"/>
    <w:rPr>
      <w:sz w:val="16"/>
      <w:szCs w:val="16"/>
    </w:rPr>
  </w:style>
  <w:style w:type="paragraph" w:styleId="Textocomentario">
    <w:name w:val="annotation text"/>
    <w:basedOn w:val="Normal"/>
    <w:link w:val="TextocomentarioCar"/>
    <w:uiPriority w:val="99"/>
    <w:unhideWhenUsed/>
    <w:qFormat/>
    <w:rsid w:val="009456CA"/>
    <w:rPr>
      <w:sz w:val="20"/>
      <w:szCs w:val="20"/>
    </w:rPr>
  </w:style>
  <w:style w:type="character" w:customStyle="1" w:styleId="TextocomentarioCar">
    <w:name w:val="Texto comentario Car"/>
    <w:basedOn w:val="Fuentedeprrafopredeter"/>
    <w:link w:val="Textocomentario"/>
    <w:uiPriority w:val="99"/>
    <w:qFormat/>
    <w:rsid w:val="009456CA"/>
    <w:rPr>
      <w:rFonts w:ascii="Times New Roman" w:eastAsia="MS Mincho" w:hAnsi="Times New Roman"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9456CA"/>
    <w:rPr>
      <w:b/>
      <w:bCs/>
    </w:rPr>
  </w:style>
  <w:style w:type="character" w:customStyle="1" w:styleId="AsuntodelcomentarioCar">
    <w:name w:val="Asunto del comentario Car"/>
    <w:basedOn w:val="TextocomentarioCar"/>
    <w:link w:val="Asuntodelcomentario"/>
    <w:uiPriority w:val="99"/>
    <w:semiHidden/>
    <w:rsid w:val="009456CA"/>
    <w:rPr>
      <w:rFonts w:ascii="Times New Roman" w:eastAsia="MS Mincho" w:hAnsi="Times New Roman" w:cs="Times New Roman"/>
      <w:b/>
      <w:bCs/>
      <w:sz w:val="20"/>
      <w:szCs w:val="20"/>
    </w:rPr>
  </w:style>
  <w:style w:type="character" w:customStyle="1" w:styleId="normaltextrun">
    <w:name w:val="normaltextrun"/>
    <w:basedOn w:val="Fuentedeprrafopredeter"/>
    <w:rsid w:val="004735D5"/>
  </w:style>
  <w:style w:type="character" w:styleId="Mencinsinresolver">
    <w:name w:val="Unresolved Mention"/>
    <w:basedOn w:val="Fuentedeprrafopredeter"/>
    <w:uiPriority w:val="99"/>
    <w:semiHidden/>
    <w:unhideWhenUsed/>
    <w:rsid w:val="00277EC9"/>
    <w:rPr>
      <w:color w:val="605E5C"/>
      <w:shd w:val="clear" w:color="auto" w:fill="E1DFDD"/>
    </w:rPr>
  </w:style>
  <w:style w:type="paragraph" w:styleId="Revisin">
    <w:name w:val="Revision"/>
    <w:hidden/>
    <w:uiPriority w:val="99"/>
    <w:semiHidden/>
    <w:rsid w:val="003F6688"/>
    <w:pPr>
      <w:spacing w:after="0" w:line="240" w:lineRule="auto"/>
    </w:pPr>
    <w:rPr>
      <w:rFonts w:ascii="Times New Roman" w:eastAsia="MS Mincho" w:hAnsi="Times New Roman" w:cs="Times New Roman"/>
      <w:szCs w:val="24"/>
    </w:rPr>
  </w:style>
  <w:style w:type="character" w:styleId="Mencionar">
    <w:name w:val="Mention"/>
    <w:basedOn w:val="Fuentedeprrafopredeter"/>
    <w:uiPriority w:val="99"/>
    <w:unhideWhenUsed/>
    <w:rsid w:val="0045109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ren\Desktop\IPPC_2024-06-1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20" ma:contentTypeDescription="Create a new document." ma:contentTypeScope="" ma:versionID="b72606be95184b31bbffc9f10e45c298">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904f0f7eebb84c862977ddae8185dd6d"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Props1.xml><?xml version="1.0" encoding="utf-8"?>
<ds:datastoreItem xmlns:ds="http://schemas.openxmlformats.org/officeDocument/2006/customXml" ds:itemID="{69E34BEA-0364-4B9F-9178-A1AD3E8B1DE2}">
  <ds:schemaRefs>
    <ds:schemaRef ds:uri="http://schemas.microsoft.com/sharepoint/v3/contenttype/forms"/>
  </ds:schemaRefs>
</ds:datastoreItem>
</file>

<file path=customXml/itemProps2.xml><?xml version="1.0" encoding="utf-8"?>
<ds:datastoreItem xmlns:ds="http://schemas.openxmlformats.org/officeDocument/2006/customXml" ds:itemID="{ED279F87-521B-47D5-965C-E1CB511F0B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FBDF4A-9EFF-4818-BCE6-BF201DCDA6F5}">
  <ds:schemaRefs>
    <ds:schemaRef ds:uri="http://schemas.openxmlformats.org/officeDocument/2006/bibliography"/>
  </ds:schemaRefs>
</ds:datastoreItem>
</file>

<file path=customXml/itemProps4.xml><?xml version="1.0" encoding="utf-8"?>
<ds:datastoreItem xmlns:ds="http://schemas.openxmlformats.org/officeDocument/2006/customXml" ds:itemID="{25F1FFF2-C280-45BD-9955-19CBC72A0C66}">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docProps/app.xml><?xml version="1.0" encoding="utf-8"?>
<Properties xmlns="http://schemas.openxmlformats.org/officeDocument/2006/extended-properties" xmlns:vt="http://schemas.openxmlformats.org/officeDocument/2006/docPropsVTypes">
  <Template>IPPC_2024-06-17.dotx</Template>
  <TotalTime>1</TotalTime>
  <Pages>18</Pages>
  <Words>9665</Words>
  <Characters>52197</Characters>
  <Application>Microsoft Office Word</Application>
  <DocSecurity>0</DocSecurity>
  <Lines>790</Lines>
  <Paragraphs>363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CPM-20_DRAFT 1</dc:title>
  <dc:subject/>
  <dc:creator>Karen Rouen</dc:creator>
  <cp:keywords/>
  <dc:description/>
  <cp:lastModifiedBy>Romei, Diego (CSGL)</cp:lastModifiedBy>
  <cp:revision>3</cp:revision>
  <cp:lastPrinted>2026-03-12T23:28:00Z</cp:lastPrinted>
  <dcterms:created xsi:type="dcterms:W3CDTF">2026-03-12T23:27:00Z</dcterms:created>
  <dcterms:modified xsi:type="dcterms:W3CDTF">2026-03-12T23:28:00Z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docLang">
    <vt:lpwstr>en</vt:lpwstr>
  </property>
  <property fmtid="{D5CDD505-2E9C-101B-9397-08002B2CF9AE}" pid="4" name="MediaServiceImageTags">
    <vt:lpwstr/>
  </property>
  <property fmtid="{D5CDD505-2E9C-101B-9397-08002B2CF9AE}" pid="5" name="GrammarlyDocumentId">
    <vt:lpwstr>30727ab8-051f-4304-8e22-29fde59d90d1</vt:lpwstr>
  </property>
</Properties>
</file>