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511BB" w14:textId="29D9F2BA" w:rsidR="00D21A3F" w:rsidRPr="00D80811" w:rsidRDefault="00D80811" w:rsidP="658A0D34">
      <w:pPr>
        <w:pStyle w:val="IPPHeading1"/>
        <w:jc w:val="center"/>
        <w:rPr>
          <w:caps/>
        </w:rPr>
      </w:pPr>
      <w:r w:rsidRPr="076EDAC7">
        <w:rPr>
          <w:caps/>
        </w:rPr>
        <w:t>Cpm burea</w:t>
      </w:r>
      <w:r w:rsidR="645E5AE9" w:rsidRPr="076EDAC7">
        <w:rPr>
          <w:caps/>
        </w:rPr>
        <w:t>u</w:t>
      </w:r>
      <w:r w:rsidRPr="076EDAC7">
        <w:rPr>
          <w:caps/>
        </w:rPr>
        <w:t xml:space="preserve"> meeting</w:t>
      </w:r>
      <w:r w:rsidR="00D21A3F" w:rsidRPr="076EDAC7">
        <w:rPr>
          <w:caps/>
        </w:rPr>
        <w:t> </w:t>
      </w:r>
    </w:p>
    <w:p w14:paraId="11D41943" w14:textId="77777777" w:rsidR="00FB2370" w:rsidRPr="00262B8C" w:rsidRDefault="00FB2370" w:rsidP="00351511">
      <w:pPr>
        <w:pStyle w:val="IPPHeading1"/>
        <w:jc w:val="center"/>
        <w:rPr>
          <w:caps/>
        </w:rPr>
      </w:pPr>
      <w:r w:rsidRPr="00FB2370">
        <w:rPr>
          <w:bCs/>
          <w:caps/>
        </w:rPr>
        <w:t xml:space="preserve">Proposal to Extend the Mandate of the CPM Focus Group on </w:t>
      </w:r>
      <w:r w:rsidRPr="00262B8C">
        <w:rPr>
          <w:caps/>
        </w:rPr>
        <w:t>Plant Health in the Context of One Health</w:t>
      </w:r>
    </w:p>
    <w:p w14:paraId="11033DFF" w14:textId="3B2F582E" w:rsidR="00262B8C" w:rsidRPr="00262B8C" w:rsidRDefault="00262B8C" w:rsidP="00262B8C">
      <w:pPr>
        <w:pStyle w:val="IPPHeading1"/>
        <w:jc w:val="center"/>
        <w:rPr>
          <w:caps/>
        </w:rPr>
      </w:pPr>
      <w:r w:rsidRPr="00262B8C">
        <w:rPr>
          <w:caps/>
        </w:rPr>
        <w:t>Agenda item 5.7</w:t>
      </w:r>
    </w:p>
    <w:p w14:paraId="6F074DA7" w14:textId="7DE338D5" w:rsidR="00351511" w:rsidRPr="00DB4887" w:rsidRDefault="00351511" w:rsidP="00351511">
      <w:pPr>
        <w:pStyle w:val="IPPHeading1"/>
        <w:jc w:val="center"/>
        <w:rPr>
          <w:b w:val="0"/>
          <w:caps/>
        </w:rPr>
      </w:pPr>
      <w:r w:rsidRPr="00DB4887">
        <w:rPr>
          <w:b w:val="0"/>
          <w:caps/>
        </w:rPr>
        <w:t>(</w:t>
      </w:r>
      <w:r w:rsidRPr="00DB4887">
        <w:rPr>
          <w:b w:val="0"/>
          <w:i/>
          <w:iCs/>
          <w:caps/>
          <w:sz w:val="22"/>
          <w:szCs w:val="20"/>
        </w:rPr>
        <w:t>P</w:t>
      </w:r>
      <w:r w:rsidRPr="00DB4887">
        <w:rPr>
          <w:b w:val="0"/>
          <w:i/>
          <w:iCs/>
          <w:sz w:val="22"/>
          <w:szCs w:val="20"/>
        </w:rPr>
        <w:t xml:space="preserve">repared by the </w:t>
      </w:r>
      <w:r w:rsidR="00B424C3">
        <w:rPr>
          <w:b w:val="0"/>
          <w:i/>
          <w:iCs/>
          <w:sz w:val="22"/>
          <w:szCs w:val="20"/>
        </w:rPr>
        <w:t>IPPC Secretariat with input from the CPM Focus Group on Plant Health in the Context of One Health</w:t>
      </w:r>
      <w:r w:rsidRPr="00DB4887">
        <w:rPr>
          <w:b w:val="0"/>
          <w:caps/>
        </w:rPr>
        <w:t>) </w:t>
      </w:r>
    </w:p>
    <w:p w14:paraId="72A1C40B" w14:textId="6E164E8B" w:rsidR="00691C60" w:rsidRPr="00F14A9F" w:rsidRDefault="00EE4792" w:rsidP="00EE4792">
      <w:pPr>
        <w:pStyle w:val="IPPHeading1"/>
      </w:pPr>
      <w:r>
        <w:t>1.</w:t>
      </w:r>
      <w:r>
        <w:tab/>
      </w:r>
      <w:r w:rsidR="00F7417C">
        <w:t>Background</w:t>
      </w:r>
    </w:p>
    <w:p w14:paraId="3C8C0E76" w14:textId="64D03494" w:rsidR="00842F33" w:rsidRDefault="00842F33" w:rsidP="00842F33">
      <w:pPr>
        <w:pStyle w:val="IPPParagraphnumbering"/>
      </w:pPr>
      <w:bookmarkStart w:id="0" w:name="_Hlk38797103"/>
      <w:r>
        <w:t>CPM‑18 (2024) established the CPM Focus Group on Plant Health in the Context of One Health with Terms of Reference (</w:t>
      </w:r>
      <w:proofErr w:type="spellStart"/>
      <w:r>
        <w:t>ToR</w:t>
      </w:r>
      <w:proofErr w:type="spellEnd"/>
      <w:r>
        <w:t>)</w:t>
      </w:r>
      <w:r>
        <w:rPr>
          <w:rStyle w:val="FootnoteReference"/>
        </w:rPr>
        <w:footnoteReference w:id="1"/>
      </w:r>
      <w:r>
        <w:t xml:space="preserve"> that include, as primary tasks, conducting a study to better understand linkages between plant health and One Health, and developing an action plan for communication and advocacy to promote plant health within One Health frameworks.</w:t>
      </w:r>
    </w:p>
    <w:p w14:paraId="6413945D" w14:textId="382993B6" w:rsidR="00842F33" w:rsidRDefault="00842F33" w:rsidP="00842F33">
      <w:pPr>
        <w:pStyle w:val="IPPParagraphnumbering"/>
      </w:pPr>
      <w:r>
        <w:t xml:space="preserve">The focus group has met </w:t>
      </w:r>
      <w:proofErr w:type="gramStart"/>
      <w:r>
        <w:t>on a monthly basis</w:t>
      </w:r>
      <w:proofErr w:type="gramEnd"/>
      <w:r>
        <w:t xml:space="preserve"> since January 2025 to advance its mandate. Its work has progressed despite the absence of a dedicated budget allocation, relying primarily on in‑kind contributions and voluntary expert support from focus group members, the IPPC Secretariat and FAO technical colleagues.</w:t>
      </w:r>
    </w:p>
    <w:p w14:paraId="5E2FA945" w14:textId="7F5658C2" w:rsidR="00842F33" w:rsidRDefault="00842F33" w:rsidP="00842F33">
      <w:pPr>
        <w:pStyle w:val="IPPParagraphnumbering"/>
      </w:pPr>
      <w:r>
        <w:t>Further details on the work undertaken and deliverables produced by the focus group are provided under CPM‑20 (2026) agenda item 14.3.</w:t>
      </w:r>
      <w:r>
        <w:rPr>
          <w:rStyle w:val="FootnoteReference"/>
        </w:rPr>
        <w:footnoteReference w:id="2"/>
      </w:r>
    </w:p>
    <w:p w14:paraId="45F93CE2" w14:textId="19809953" w:rsidR="000E0A7F" w:rsidRDefault="3349743E" w:rsidP="076EDAC7">
      <w:pPr>
        <w:pStyle w:val="IPPParagraphnumbering"/>
      </w:pPr>
      <w:r>
        <w:t>While significant progress has been made, some activities originally envisaged to be completed by CPM‑20</w:t>
      </w:r>
      <w:r w:rsidR="58734038">
        <w:t xml:space="preserve"> (2026)</w:t>
      </w:r>
      <w:r>
        <w:t xml:space="preserve"> remain in progress. This paper therefore seeks CPM Bureau endorsement to extend the mandate of the CPM Focus Group on Plant Health in the Context of One Health for an additional one‑year period, </w:t>
      </w:r>
      <w:proofErr w:type="gramStart"/>
      <w:r>
        <w:t>in order to</w:t>
      </w:r>
      <w:proofErr w:type="gramEnd"/>
      <w:r>
        <w:t xml:space="preserve"> allow completion of key activities under its ToR that could not be finalized as initially planned</w:t>
      </w:r>
      <w:r w:rsidR="1C67CE41">
        <w:t xml:space="preserve">. This delay </w:t>
      </w:r>
      <w:r w:rsidR="08D92521">
        <w:t xml:space="preserve">is primarily attributed </w:t>
      </w:r>
      <w:r>
        <w:t xml:space="preserve">to the </w:t>
      </w:r>
      <w:r w:rsidR="76FC05F9">
        <w:t>late</w:t>
      </w:r>
      <w:r w:rsidR="37B4F9A1">
        <w:t xml:space="preserve"> establishment of the focus group</w:t>
      </w:r>
      <w:r w:rsidR="6534315D">
        <w:t>, resulting from a lack of nominations from the</w:t>
      </w:r>
      <w:r w:rsidR="21E95AFD">
        <w:t xml:space="preserve"> regions, as well as the </w:t>
      </w:r>
      <w:r>
        <w:t>absence of a dedicated budget allocation</w:t>
      </w:r>
      <w:r w:rsidR="06659B9A">
        <w:t>.</w:t>
      </w:r>
    </w:p>
    <w:bookmarkEnd w:id="0"/>
    <w:p w14:paraId="55063E52" w14:textId="2A4B21CA" w:rsidR="37D07B32" w:rsidRPr="00975CB6" w:rsidRDefault="08603019" w:rsidP="076EDAC7">
      <w:pPr>
        <w:pStyle w:val="IPPParagraphnumbering"/>
      </w:pPr>
      <w:r>
        <w:t>This paper will be submitted as CPM-20 information paper, and t</w:t>
      </w:r>
      <w:r w:rsidR="18D883C0">
        <w:t xml:space="preserve">he </w:t>
      </w:r>
      <w:r w:rsidR="2603D043">
        <w:t xml:space="preserve">CPM </w:t>
      </w:r>
      <w:r w:rsidR="18D883C0">
        <w:t xml:space="preserve">Bureau </w:t>
      </w:r>
      <w:r w:rsidR="3184863E">
        <w:t>feedback and decision</w:t>
      </w:r>
      <w:r w:rsidR="18D883C0">
        <w:t xml:space="preserve"> will then be presented during CPM</w:t>
      </w:r>
      <w:r w:rsidR="4EC53C97">
        <w:t>-</w:t>
      </w:r>
      <w:r w:rsidR="18D883C0">
        <w:t xml:space="preserve">20 to </w:t>
      </w:r>
      <w:r w:rsidR="5A236A20">
        <w:t>clarify</w:t>
      </w:r>
      <w:r w:rsidR="18D883C0">
        <w:t xml:space="preserve"> the decision point</w:t>
      </w:r>
      <w:r w:rsidR="6591DAA6">
        <w:t>s</w:t>
      </w:r>
      <w:r w:rsidR="18D883C0">
        <w:t xml:space="preserve"> in the paper CPM 2026/24</w:t>
      </w:r>
      <w:r w:rsidR="437C1927">
        <w:t>.</w:t>
      </w:r>
    </w:p>
    <w:p w14:paraId="48D82955" w14:textId="6367FC56" w:rsidR="00EE4792" w:rsidRPr="00EE4792" w:rsidRDefault="00EE4792" w:rsidP="00EE4792">
      <w:pPr>
        <w:pStyle w:val="IPPHeading1"/>
      </w:pPr>
      <w:r>
        <w:t>2.</w:t>
      </w:r>
      <w:r>
        <w:tab/>
      </w:r>
      <w:r w:rsidR="00F7417C">
        <w:t xml:space="preserve">Update on progress of key focus group </w:t>
      </w:r>
      <w:r w:rsidR="7B2E13FD">
        <w:t>activities</w:t>
      </w:r>
    </w:p>
    <w:p w14:paraId="168E118C" w14:textId="7F8B28E9" w:rsidR="00EE4792" w:rsidRPr="00EE4792" w:rsidRDefault="00EE4792" w:rsidP="00EA4FD6">
      <w:pPr>
        <w:pStyle w:val="IPPHeading2"/>
      </w:pPr>
      <w:bookmarkStart w:id="1" w:name="_Hlk221873116"/>
      <w:r w:rsidRPr="00EE4792">
        <w:t>2.1</w:t>
      </w:r>
      <w:r w:rsidRPr="00EE4792">
        <w:tab/>
      </w:r>
      <w:r w:rsidR="00F7417C" w:rsidRPr="00F7417C">
        <w:t>Study on plant health and One Health</w:t>
      </w:r>
      <w:bookmarkEnd w:id="1"/>
    </w:p>
    <w:p w14:paraId="3ED5A274" w14:textId="77777777" w:rsidR="00842F33" w:rsidRPr="00842F33" w:rsidRDefault="00842F33" w:rsidP="001F0B9A">
      <w:pPr>
        <w:pStyle w:val="IPPParagraphnumbering"/>
        <w:spacing w:line="300" w:lineRule="atLeast"/>
        <w:rPr>
          <w:rFonts w:eastAsia="Times New Roman"/>
          <w:szCs w:val="22"/>
        </w:rPr>
      </w:pPr>
      <w:r w:rsidRPr="00842F33">
        <w:rPr>
          <w:szCs w:val="22"/>
        </w:rPr>
        <w:t xml:space="preserve">The focus group initiated the study on plant health in the context of One Health following CPM‑19 (2025) discussions on a possible CPM recommendation on antimicrobial resistance (AMR). These discussions highlighted concerns regarding the lack of clarity on the role of plant health within One Health, the potentially narrow scope of such a recommendation, and the focus group’s capacity to address these issues within the existing timeframe. Consequently, CPM‑19 requested the focus group </w:t>
      </w:r>
      <w:r w:rsidRPr="00842F33">
        <w:rPr>
          <w:szCs w:val="22"/>
        </w:rPr>
        <w:lastRenderedPageBreak/>
        <w:t>to prioritize tasks related to consideration of a formal CPM recommendation and to present findings and recommendations to the Strategic Planning Group (SPG).</w:t>
      </w:r>
    </w:p>
    <w:p w14:paraId="2156A485" w14:textId="77777777" w:rsidR="00842F33" w:rsidRDefault="00842F33" w:rsidP="001F0B9A">
      <w:pPr>
        <w:pStyle w:val="IPPParagraphnumbering"/>
        <w:spacing w:line="300" w:lineRule="atLeast"/>
        <w:rPr>
          <w:rFonts w:eastAsia="Times New Roman"/>
          <w:szCs w:val="22"/>
        </w:rPr>
      </w:pPr>
      <w:r w:rsidRPr="00842F33">
        <w:rPr>
          <w:rFonts w:eastAsia="Times New Roman"/>
          <w:szCs w:val="22"/>
        </w:rPr>
        <w:t xml:space="preserve">The study began with a comprehensive desk and literature review. An initial plan to hire an international phytosanitary specialist was reconsidered when Michelle Gray, focus group and Bureau member from North America, volunteered to co‑lead the review with the IPPC Secretariat. This approach was endorsed by the focus group, particularly </w:t>
      </w:r>
      <w:proofErr w:type="gramStart"/>
      <w:r w:rsidRPr="00842F33">
        <w:rPr>
          <w:rFonts w:eastAsia="Times New Roman"/>
          <w:szCs w:val="22"/>
        </w:rPr>
        <w:t>in light of</w:t>
      </w:r>
      <w:proofErr w:type="gramEnd"/>
      <w:r w:rsidRPr="00842F33">
        <w:rPr>
          <w:rFonts w:eastAsia="Times New Roman"/>
          <w:szCs w:val="22"/>
        </w:rPr>
        <w:t xml:space="preserve"> the absence of a dedicated budget. Focus group members contributed technical resources and reviewed </w:t>
      </w:r>
      <w:proofErr w:type="gramStart"/>
      <w:r w:rsidRPr="00842F33">
        <w:rPr>
          <w:rFonts w:eastAsia="Times New Roman"/>
          <w:szCs w:val="22"/>
        </w:rPr>
        <w:t>outputs</w:t>
      </w:r>
      <w:proofErr w:type="gramEnd"/>
      <w:r w:rsidRPr="00842F33">
        <w:rPr>
          <w:rFonts w:eastAsia="Times New Roman"/>
          <w:szCs w:val="22"/>
        </w:rPr>
        <w:t xml:space="preserve"> throughout the process.</w:t>
      </w:r>
    </w:p>
    <w:p w14:paraId="2D8D1968" w14:textId="3EEC3200" w:rsidR="00842F33" w:rsidRDefault="00842F33" w:rsidP="001F0B9A">
      <w:pPr>
        <w:pStyle w:val="IPPParagraphnumbering"/>
        <w:spacing w:line="300" w:lineRule="atLeast"/>
        <w:rPr>
          <w:rFonts w:eastAsia="Times New Roman"/>
          <w:szCs w:val="22"/>
        </w:rPr>
      </w:pPr>
      <w:r w:rsidRPr="00842F33">
        <w:rPr>
          <w:rFonts w:eastAsia="Times New Roman"/>
          <w:szCs w:val="22"/>
        </w:rPr>
        <w:t>The desk and literature review report, including an assessment of the role of plant health within One Health and the state of antimicrobial use (AMU) and AMR in plant health, was presented to the SPG in 2025.</w:t>
      </w:r>
      <w:r w:rsidRPr="004330E1">
        <w:rPr>
          <w:rStyle w:val="FootnoteReference"/>
          <w:rFonts w:eastAsia="Times New Roman"/>
          <w:szCs w:val="22"/>
        </w:rPr>
        <w:footnoteReference w:id="3"/>
      </w:r>
      <w:r w:rsidRPr="00842F33">
        <w:rPr>
          <w:rFonts w:eastAsia="Times New Roman"/>
          <w:szCs w:val="22"/>
        </w:rPr>
        <w:t xml:space="preserve"> The SPG commended the Secretariat and the focus group for the quality and relevance of the work and acknowledged the progress and recommendations made.</w:t>
      </w:r>
    </w:p>
    <w:p w14:paraId="5CFDBFD5" w14:textId="42179481" w:rsidR="008548BA" w:rsidRPr="00842F33" w:rsidRDefault="00842F33" w:rsidP="00842F33">
      <w:pPr>
        <w:pStyle w:val="IPPParagraphnumbering"/>
        <w:spacing w:line="300" w:lineRule="atLeast"/>
        <w:rPr>
          <w:rFonts w:eastAsia="Times New Roman"/>
          <w:szCs w:val="22"/>
        </w:rPr>
      </w:pPr>
      <w:r w:rsidRPr="00842F33">
        <w:rPr>
          <w:rFonts w:eastAsia="Times New Roman"/>
          <w:szCs w:val="22"/>
        </w:rPr>
        <w:t>Building on the desk and literature review, the study is now being further developed. Marie Verhaegen, the FAO Plant Production and Protection Division (NSP) focal point who has participated in the focus group since its inception, is working with the IPPC Secretariat to draft and finalize the study. Preliminary insights emerging from the study include the following:</w:t>
      </w:r>
    </w:p>
    <w:p w14:paraId="2FBF92CE" w14:textId="5CF288BA" w:rsidR="008548BA" w:rsidRDefault="008548BA" w:rsidP="00842F33">
      <w:pPr>
        <w:pStyle w:val="IPPBullet1"/>
      </w:pPr>
      <w:r w:rsidRPr="658A0D34">
        <w:rPr>
          <w:b/>
          <w:bCs/>
        </w:rPr>
        <w:t xml:space="preserve">Plant health is an essential pillar of One Health. </w:t>
      </w:r>
      <w:r>
        <w:t>Plant health is closely connected to human, animal and environmental health</w:t>
      </w:r>
      <w:r w:rsidR="00842F33">
        <w:t xml:space="preserve"> through its roles in food security and </w:t>
      </w:r>
      <w:r w:rsidR="51131DAF">
        <w:t>safety</w:t>
      </w:r>
      <w:r w:rsidR="00842F33">
        <w:t>, ecosystem stability and oxygen production, while maintaining a distinct scope compared to zoonotic diseases.</w:t>
      </w:r>
    </w:p>
    <w:p w14:paraId="14F3EBAA" w14:textId="664781C8" w:rsidR="008548BA" w:rsidRDefault="008548BA" w:rsidP="008548BA">
      <w:pPr>
        <w:pStyle w:val="IPPBullet1"/>
      </w:pPr>
      <w:r w:rsidRPr="008548BA">
        <w:rPr>
          <w:b/>
          <w:bCs/>
        </w:rPr>
        <w:t>Strong phytosanitary systems are fundamental to One Health.</w:t>
      </w:r>
      <w:r>
        <w:t xml:space="preserve"> Robust national phytosanitary systems are essential for preventing and managing plant pest risks with potential broader environmental, economic and health consequences.</w:t>
      </w:r>
    </w:p>
    <w:p w14:paraId="63CF006B" w14:textId="09674E2A" w:rsidR="008548BA" w:rsidRDefault="008548BA" w:rsidP="008548BA">
      <w:pPr>
        <w:pStyle w:val="IPPBullet1"/>
      </w:pPr>
      <w:r w:rsidRPr="076EDAC7">
        <w:rPr>
          <w:b/>
          <w:bCs/>
        </w:rPr>
        <w:t>The Phytosanitary Capacity Evaluation (PCE) tool is a One Health tool.</w:t>
      </w:r>
      <w:r>
        <w:t xml:space="preserve"> The PCE is a key instrument for strengthening national phytosanitary systems and should be further emphasized as a practical One Health tool. By enhancing capacities for prevention and risk management, it helps prevent and manag</w:t>
      </w:r>
      <w:r w:rsidR="2DC61512">
        <w:t>e</w:t>
      </w:r>
      <w:r>
        <w:t xml:space="preserve"> plant health threats, which can </w:t>
      </w:r>
      <w:r w:rsidR="723033EE">
        <w:t>improve</w:t>
      </w:r>
      <w:r>
        <w:t xml:space="preserve"> human, animal and environmental health.</w:t>
      </w:r>
    </w:p>
    <w:p w14:paraId="48E2B7C8" w14:textId="1D24B903" w:rsidR="008548BA" w:rsidRPr="008548BA" w:rsidRDefault="008548BA" w:rsidP="00842F33">
      <w:pPr>
        <w:pStyle w:val="IPPBullet1"/>
      </w:pPr>
      <w:r w:rsidRPr="703CB159">
        <w:rPr>
          <w:b/>
          <w:bCs/>
        </w:rPr>
        <w:t>Early integration of One Health considerations</w:t>
      </w:r>
      <w:r w:rsidR="228417AB" w:rsidRPr="703CB159">
        <w:rPr>
          <w:b/>
          <w:bCs/>
        </w:rPr>
        <w:t xml:space="preserve"> should be integrated</w:t>
      </w:r>
      <w:r w:rsidRPr="703CB159">
        <w:rPr>
          <w:b/>
          <w:bCs/>
        </w:rPr>
        <w:t xml:space="preserve"> into IPPC topics for standards and implementation materials.</w:t>
      </w:r>
      <w:r>
        <w:t xml:space="preserve"> One Health perspectives should be considered when new topics are proposed for phytosanitary standards and implementation and capacity development materials. </w:t>
      </w:r>
      <w:r w:rsidR="00842F33">
        <w:t xml:space="preserve">This would support proactive mainstreaming of </w:t>
      </w:r>
      <w:r w:rsidR="359BDA32">
        <w:t>cross sectoral</w:t>
      </w:r>
      <w:r w:rsidR="00842F33">
        <w:t xml:space="preserve"> perspectives and raise awareness among One Health partners</w:t>
      </w:r>
      <w:r w:rsidR="005F2415">
        <w:t>.</w:t>
      </w:r>
    </w:p>
    <w:p w14:paraId="5499032C" w14:textId="6681764D" w:rsidR="008548BA" w:rsidRPr="008548BA" w:rsidRDefault="31609A47" w:rsidP="2346BCC7">
      <w:pPr>
        <w:pStyle w:val="IPPBullet1"/>
      </w:pPr>
      <w:r w:rsidRPr="076EDAC7">
        <w:rPr>
          <w:b/>
          <w:bCs/>
        </w:rPr>
        <w:t>Limited</w:t>
      </w:r>
      <w:r w:rsidR="76E299A4" w:rsidRPr="076EDAC7">
        <w:rPr>
          <w:b/>
          <w:bCs/>
        </w:rPr>
        <w:t xml:space="preserve"> evidence of </w:t>
      </w:r>
      <w:r w:rsidR="30E7C804" w:rsidRPr="076EDAC7">
        <w:rPr>
          <w:b/>
          <w:bCs/>
        </w:rPr>
        <w:t xml:space="preserve">AMR </w:t>
      </w:r>
      <w:r w:rsidR="0FC6B362" w:rsidRPr="076EDAC7">
        <w:rPr>
          <w:b/>
          <w:bCs/>
        </w:rPr>
        <w:t>in plant</w:t>
      </w:r>
      <w:r w:rsidR="3ECA39B2" w:rsidRPr="076EDAC7">
        <w:rPr>
          <w:b/>
          <w:bCs/>
        </w:rPr>
        <w:t xml:space="preserve"> pathogen</w:t>
      </w:r>
      <w:r w:rsidR="0FC6B362" w:rsidRPr="076EDAC7">
        <w:rPr>
          <w:b/>
          <w:bCs/>
        </w:rPr>
        <w:t>s</w:t>
      </w:r>
      <w:r w:rsidR="3349743E" w:rsidRPr="076EDAC7">
        <w:rPr>
          <w:b/>
          <w:bCs/>
        </w:rPr>
        <w:t xml:space="preserve">. </w:t>
      </w:r>
      <w:r w:rsidR="3349743E">
        <w:t>Findings from IPPC Observatory surveys indicate that anti</w:t>
      </w:r>
      <w:r w:rsidR="6372F218">
        <w:t>biotic</w:t>
      </w:r>
      <w:r w:rsidR="3349743E">
        <w:t xml:space="preserve"> use in plant health is limited, </w:t>
      </w:r>
      <w:r w:rsidR="24EA8A2F">
        <w:t>whereas</w:t>
      </w:r>
      <w:r w:rsidR="3349743E">
        <w:t xml:space="preserve"> fungicide</w:t>
      </w:r>
      <w:r w:rsidR="5F6FEC9B">
        <w:t xml:space="preserve"> use</w:t>
      </w:r>
      <w:r w:rsidR="44C5B39F">
        <w:t xml:space="preserve"> is</w:t>
      </w:r>
      <w:r w:rsidR="3349743E">
        <w:t xml:space="preserve"> more pr</w:t>
      </w:r>
      <w:r w:rsidR="4F3A11F4">
        <w:t>evalent</w:t>
      </w:r>
      <w:r w:rsidR="2EB860D3">
        <w:t>.</w:t>
      </w:r>
      <w:r w:rsidR="3349743E">
        <w:t xml:space="preserve"> </w:t>
      </w:r>
      <w:r w:rsidR="15904D19">
        <w:t>Additionally,</w:t>
      </w:r>
      <w:r w:rsidR="2A14947F">
        <w:t xml:space="preserve"> current</w:t>
      </w:r>
      <w:r w:rsidR="3349743E">
        <w:t xml:space="preserve"> evidence of </w:t>
      </w:r>
      <w:r w:rsidR="5B80A4F8">
        <w:t>antibiotic resistance</w:t>
      </w:r>
      <w:r w:rsidR="3349743E">
        <w:t xml:space="preserve"> in plant</w:t>
      </w:r>
      <w:r w:rsidR="77FAF402">
        <w:t xml:space="preserve"> pathogen</w:t>
      </w:r>
      <w:r w:rsidR="3349743E">
        <w:t xml:space="preserve">s </w:t>
      </w:r>
      <w:r w:rsidR="1A831F59">
        <w:t>remains</w:t>
      </w:r>
      <w:r w:rsidR="3349743E">
        <w:t xml:space="preserve"> limited. Nonetheless, a proactive approach could include consideration of a CPM Recommendation and related guidance on AMU.</w:t>
      </w:r>
    </w:p>
    <w:p w14:paraId="35D49B58" w14:textId="475D4237" w:rsidR="00C11B8D" w:rsidRDefault="003D72AD" w:rsidP="00975CB6">
      <w:pPr>
        <w:pStyle w:val="IPPBullet1"/>
      </w:pPr>
      <w:r w:rsidRPr="076EDAC7">
        <w:rPr>
          <w:b/>
          <w:bCs/>
        </w:rPr>
        <w:t xml:space="preserve">Leveraging the IPPC's </w:t>
      </w:r>
      <w:r w:rsidR="001C08A5" w:rsidRPr="076EDAC7">
        <w:rPr>
          <w:b/>
          <w:bCs/>
        </w:rPr>
        <w:t xml:space="preserve">role within </w:t>
      </w:r>
      <w:r w:rsidR="2FA41FD7" w:rsidRPr="076EDAC7">
        <w:rPr>
          <w:b/>
          <w:bCs/>
        </w:rPr>
        <w:t xml:space="preserve">the </w:t>
      </w:r>
      <w:r w:rsidR="008548BA" w:rsidRPr="076EDAC7">
        <w:rPr>
          <w:b/>
          <w:bCs/>
        </w:rPr>
        <w:t>World Trade Organization’s (WTO) Sanitary and Phytosanitary Measures (SPS) framework</w:t>
      </w:r>
      <w:r w:rsidR="009558B1" w:rsidRPr="076EDAC7">
        <w:rPr>
          <w:b/>
          <w:bCs/>
        </w:rPr>
        <w:t>, as a standard setting body</w:t>
      </w:r>
      <w:r w:rsidR="00E55132" w:rsidRPr="076EDAC7">
        <w:rPr>
          <w:b/>
          <w:bCs/>
        </w:rPr>
        <w:t xml:space="preserve"> </w:t>
      </w:r>
      <w:r w:rsidR="00A036A9" w:rsidRPr="076EDAC7">
        <w:rPr>
          <w:b/>
          <w:bCs/>
        </w:rPr>
        <w:t>to strengthen One Health integration</w:t>
      </w:r>
      <w:r w:rsidR="00E55132" w:rsidRPr="076EDAC7">
        <w:rPr>
          <w:b/>
          <w:bCs/>
        </w:rPr>
        <w:t>.</w:t>
      </w:r>
      <w:r w:rsidR="008548BA">
        <w:t xml:space="preserve"> </w:t>
      </w:r>
      <w:r w:rsidR="00842F33">
        <w:t>As a WTO</w:t>
      </w:r>
      <w:r w:rsidR="140A3E81">
        <w:t xml:space="preserve"> </w:t>
      </w:r>
      <w:r w:rsidR="00842F33">
        <w:t xml:space="preserve">recognized </w:t>
      </w:r>
      <w:r w:rsidR="17A53A85">
        <w:t>standard setting</w:t>
      </w:r>
      <w:r w:rsidR="00842F33">
        <w:t xml:space="preserve"> body under the SPS Agreement, alongside </w:t>
      </w:r>
      <w:r w:rsidR="00842F33" w:rsidRPr="076EDAC7">
        <w:rPr>
          <w:i/>
          <w:iCs/>
        </w:rPr>
        <w:t>Codex Alimentarius</w:t>
      </w:r>
      <w:r w:rsidR="00842F33">
        <w:t xml:space="preserve"> and </w:t>
      </w:r>
      <w:r w:rsidR="7179DFA0">
        <w:t>the World Organisation for Animal Health (</w:t>
      </w:r>
      <w:r w:rsidR="00842F33">
        <w:t>WOAH</w:t>
      </w:r>
      <w:r w:rsidR="1C6A48B7">
        <w:t>)</w:t>
      </w:r>
      <w:r w:rsidR="00842F33">
        <w:t>, the IPPC operates within an established global framework linking plant health, trade and standards. This role provides a strong foundation for deeper engagement in One Health.</w:t>
      </w:r>
      <w:r w:rsidR="009558B1">
        <w:t xml:space="preserve"> </w:t>
      </w:r>
    </w:p>
    <w:p w14:paraId="3C6CD8F9" w14:textId="3BDA4AF9" w:rsidR="00842F33" w:rsidRPr="00842F33" w:rsidRDefault="002E0A14" w:rsidP="2346BCC7">
      <w:pPr>
        <w:pStyle w:val="IPPBullet1Last"/>
        <w:spacing w:line="300" w:lineRule="atLeast"/>
        <w:rPr>
          <w:rFonts w:eastAsia="Times New Roman"/>
        </w:rPr>
      </w:pPr>
      <w:r w:rsidRPr="703CB159">
        <w:rPr>
          <w:b/>
          <w:bCs/>
        </w:rPr>
        <w:lastRenderedPageBreak/>
        <w:t>Communication and awareness raising</w:t>
      </w:r>
      <w:r w:rsidR="00243031" w:rsidRPr="703CB159">
        <w:rPr>
          <w:b/>
          <w:bCs/>
        </w:rPr>
        <w:t xml:space="preserve"> on IPPC’s </w:t>
      </w:r>
      <w:r w:rsidR="0099462F" w:rsidRPr="703CB159">
        <w:rPr>
          <w:b/>
          <w:bCs/>
        </w:rPr>
        <w:t xml:space="preserve">contribution to </w:t>
      </w:r>
      <w:r w:rsidR="00243031" w:rsidRPr="703CB159">
        <w:rPr>
          <w:b/>
          <w:bCs/>
        </w:rPr>
        <w:t>One Health within and beyond the IPPC community</w:t>
      </w:r>
      <w:r w:rsidRPr="703CB159">
        <w:rPr>
          <w:b/>
          <w:bCs/>
        </w:rPr>
        <w:t xml:space="preserve">. </w:t>
      </w:r>
      <w:r w:rsidRPr="703CB159">
        <w:rPr>
          <w:lang w:val="en-US"/>
        </w:rPr>
        <w:t>Communication and awareness of plant health contributions within the One Health community should be strengthened</w:t>
      </w:r>
      <w:r>
        <w:t xml:space="preserve"> to raise awareness on IPPC’s role within One Health, both within </w:t>
      </w:r>
      <w:r w:rsidR="00842F33">
        <w:t xml:space="preserve">and beyond </w:t>
      </w:r>
      <w:r>
        <w:t>the IPPC community</w:t>
      </w:r>
      <w:r w:rsidR="00842F33">
        <w:t>.</w:t>
      </w:r>
    </w:p>
    <w:p w14:paraId="690C07A7" w14:textId="667CCDDD" w:rsidR="00D86157" w:rsidRPr="00D86157" w:rsidRDefault="50B1CA8C" w:rsidP="00D86157">
      <w:pPr>
        <w:pStyle w:val="IPPParagraphnumbering"/>
      </w:pPr>
      <w:r>
        <w:t xml:space="preserve">To complement the desk and literature review with country-level perspectives, a dedicated </w:t>
      </w:r>
      <w:hyperlink r:id="rId11">
        <w:r w:rsidRPr="076EDAC7">
          <w:rPr>
            <w:rStyle w:val="Hyperlink"/>
          </w:rPr>
          <w:t>mini-survey</w:t>
        </w:r>
      </w:hyperlink>
      <w:r>
        <w:t xml:space="preserve"> was launched in February 2026 to IPPC Contracting Parties and RPPOs for a two-week period. The mini</w:t>
      </w:r>
      <w:r w:rsidR="6AB40E69">
        <w:t xml:space="preserve"> </w:t>
      </w:r>
      <w:r>
        <w:t>survey approach was selected to ensure methodological rigor, transparency, representativeness, and efficiency in terms of both cost and time. By enabling direct input from all IPPC Contracting Parties and RPPOs, the data gathered will be integrated into the study to strengthen its empirical foundation and provide more robust, evidence-based recommendations to CPM.</w:t>
      </w:r>
    </w:p>
    <w:p w14:paraId="74774EB6" w14:textId="0237D118" w:rsidR="001F0B9A" w:rsidRPr="00FB2370" w:rsidRDefault="00FB2370" w:rsidP="00975CB6">
      <w:pPr>
        <w:pStyle w:val="IPPParagraphnumbering"/>
        <w:spacing w:line="300" w:lineRule="atLeast"/>
      </w:pPr>
      <w:r>
        <w:t>While substantial progress has been achieved, the study has not yet been finalized. Additional time is required to</w:t>
      </w:r>
      <w:r w:rsidR="3BF62B8A">
        <w:t xml:space="preserve"> collect and analy</w:t>
      </w:r>
      <w:r w:rsidR="5D5B54BE">
        <w:t>z</w:t>
      </w:r>
      <w:r w:rsidR="3BF62B8A">
        <w:t>e responses to the mini-survey,</w:t>
      </w:r>
      <w:r>
        <w:t xml:space="preserve"> complete drafting, consolidate recommendations, undertake structured peer review involving relevant CPM focus groups and FAO technical working groups, and finalize advice to CPM.</w:t>
      </w:r>
    </w:p>
    <w:p w14:paraId="378A031B" w14:textId="1AA75BA1" w:rsidR="001F0B9A" w:rsidRDefault="0061684D" w:rsidP="0061684D">
      <w:pPr>
        <w:pStyle w:val="IPPHeading2"/>
      </w:pPr>
      <w:r w:rsidRPr="00EE4792">
        <w:t>2.</w:t>
      </w:r>
      <w:r>
        <w:t>2</w:t>
      </w:r>
      <w:r w:rsidRPr="00EE4792">
        <w:tab/>
      </w:r>
      <w:r>
        <w:t>Communication strategy to strengthen visibility of plant health within One Health</w:t>
      </w:r>
    </w:p>
    <w:p w14:paraId="05E53F61" w14:textId="4FA39B88" w:rsidR="0061684D" w:rsidRDefault="0061684D" w:rsidP="0061684D">
      <w:pPr>
        <w:pStyle w:val="IPPParagraphnumbering"/>
        <w:spacing w:line="300" w:lineRule="atLeast"/>
      </w:pPr>
      <w:r w:rsidRPr="0061684D">
        <w:t xml:space="preserve">In parallel with the study, the focus group’s </w:t>
      </w:r>
      <w:proofErr w:type="spellStart"/>
      <w:r>
        <w:t>ToR</w:t>
      </w:r>
      <w:proofErr w:type="spellEnd"/>
      <w:r w:rsidRPr="0061684D">
        <w:t xml:space="preserve"> envisaged the development of a communication and advocacy action plan to elevate the profile of plant health within One Health. Progress has been made through regular engagement with the FAO Technical Working Group on One Health and contributions to the </w:t>
      </w:r>
      <w:r w:rsidRPr="0061684D">
        <w:rPr>
          <w:i/>
          <w:iCs/>
        </w:rPr>
        <w:t>FAO Framework for One Health in Agrifood Systems</w:t>
      </w:r>
      <w:r w:rsidRPr="0061684D">
        <w:t>, ensuring that plant health considerations were adequately reflected. However, the structured communication strategy foreseen under the mandate has not yet been completed. Its development depends on the finalization of the study’s</w:t>
      </w:r>
      <w:r>
        <w:t xml:space="preserve"> </w:t>
      </w:r>
      <w:r w:rsidRPr="0061684D">
        <w:t>recommendations and requires additional time</w:t>
      </w:r>
      <w:r>
        <w:t>.</w:t>
      </w:r>
    </w:p>
    <w:p w14:paraId="03C4C195" w14:textId="21C02308" w:rsidR="0061684D" w:rsidRDefault="0061684D" w:rsidP="0061684D">
      <w:pPr>
        <w:pStyle w:val="IPPHeading1"/>
      </w:pPr>
      <w:r>
        <w:t>3.</w:t>
      </w:r>
      <w:r>
        <w:tab/>
        <w:t>Rationale for a request to extend the mandate of the focus group</w:t>
      </w:r>
    </w:p>
    <w:p w14:paraId="1A35C8E0" w14:textId="47D2BFD8" w:rsidR="00B3545B" w:rsidRPr="0061684D" w:rsidRDefault="2A0AF435" w:rsidP="00FD5D0E">
      <w:pPr>
        <w:pStyle w:val="IPPParagraphnumbering"/>
        <w:spacing w:line="300" w:lineRule="atLeast"/>
      </w:pPr>
      <w:r>
        <w:t xml:space="preserve">The focus group's progress was initially hampered by a delayed start, as its establishment was postponed due to the absence of nominations from regions. This late establishment reduced the time available to complete the activities envisaged under its Terms of Reference within the original timeframe. </w:t>
      </w:r>
    </w:p>
    <w:p w14:paraId="303BF541" w14:textId="35BA87CA" w:rsidR="00B3545B" w:rsidRPr="0061684D" w:rsidRDefault="6BC4F73A" w:rsidP="00FD5D0E">
      <w:pPr>
        <w:pStyle w:val="IPPParagraphnumbering"/>
        <w:spacing w:line="300" w:lineRule="atLeast"/>
      </w:pPr>
      <w:r>
        <w:t>Beyond this initial setback</w:t>
      </w:r>
      <w:r w:rsidR="48B41F51">
        <w:t xml:space="preserve">, </w:t>
      </w:r>
      <w:r w:rsidR="47814E18">
        <w:t>t</w:t>
      </w:r>
      <w:r w:rsidR="0008C8E0">
        <w:t>hroughout its mandate, the focus group has operated without a dedicated budget, relying largely on in‑kind contributions from members, the IPPC Secretariat and FAO technical colleagues. While this approach has enabled meaningful progress, it has affected the pace of finalization of key tasks, particularly those requiring coordination, drafting and review</w:t>
      </w:r>
      <w:r w:rsidR="21BA6587">
        <w:t>.</w:t>
      </w:r>
      <w:r w:rsidR="6B12477A">
        <w:t xml:space="preserve"> </w:t>
      </w:r>
      <w:r w:rsidR="7DFA55E3">
        <w:t xml:space="preserve">This experience demonstrates that </w:t>
      </w:r>
      <w:r w:rsidR="37C6ED5D">
        <w:t xml:space="preserve">the success of </w:t>
      </w:r>
      <w:r w:rsidR="6527B38C">
        <w:t xml:space="preserve">CPM </w:t>
      </w:r>
      <w:r w:rsidR="7DFA55E3">
        <w:t xml:space="preserve">focus groups with substantial mandates </w:t>
      </w:r>
      <w:r w:rsidR="5CE28230">
        <w:t>depend</w:t>
      </w:r>
      <w:r w:rsidR="2C4216CA">
        <w:t>s</w:t>
      </w:r>
      <w:r w:rsidR="5CE28230">
        <w:t xml:space="preserve"> </w:t>
      </w:r>
      <w:r w:rsidR="48190863">
        <w:t>on dedicated</w:t>
      </w:r>
      <w:r w:rsidR="7DFA55E3">
        <w:t xml:space="preserve"> budget allocations to ensure timely delivery of </w:t>
      </w:r>
      <w:r w:rsidR="731809EF">
        <w:t>intended</w:t>
      </w:r>
      <w:r w:rsidR="7DFA55E3">
        <w:t xml:space="preserve"> outputs </w:t>
      </w:r>
      <w:r w:rsidR="731809EF">
        <w:t xml:space="preserve">and </w:t>
      </w:r>
      <w:r w:rsidR="7E1BC6BD">
        <w:t xml:space="preserve">fulfillment of </w:t>
      </w:r>
      <w:r w:rsidR="5E295836">
        <w:t>their objectives.</w:t>
      </w:r>
    </w:p>
    <w:p w14:paraId="16A33597" w14:textId="3B4B0586" w:rsidR="0061684D" w:rsidRPr="00FB2370" w:rsidRDefault="00FB2370" w:rsidP="00975CB6">
      <w:pPr>
        <w:pStyle w:val="IPPParagraphnumbering"/>
        <w:spacing w:line="300" w:lineRule="atLeast"/>
        <w:jc w:val="left"/>
      </w:pPr>
      <w:r>
        <w:t xml:space="preserve">Extending the mandate of the focus group for an additional year would allow completion of the study on plant health and One Health, including peer review and final recommendations, as well as the development of a targeted communication and advocacy strategy. This would ensure that CPM receives </w:t>
      </w:r>
      <w:r w:rsidR="72911ACB">
        <w:t>well</w:t>
      </w:r>
      <w:r w:rsidR="6EFF9930">
        <w:t>-</w:t>
      </w:r>
      <w:r w:rsidR="72911ACB">
        <w:t>substantiated</w:t>
      </w:r>
      <w:r>
        <w:t xml:space="preserve"> advice and that the work undertaken to date delivers its full intended value</w:t>
      </w:r>
      <w:r w:rsidR="00C14839">
        <w:t xml:space="preserve">. </w:t>
      </w:r>
    </w:p>
    <w:p w14:paraId="468A3253" w14:textId="2704E88A" w:rsidR="006D0900" w:rsidRDefault="006D0900" w:rsidP="006600EC">
      <w:pPr>
        <w:pStyle w:val="IPPHeading1"/>
      </w:pPr>
      <w:r>
        <w:lastRenderedPageBreak/>
        <w:t>Recommendation</w:t>
      </w:r>
      <w:r w:rsidR="00EE4792">
        <w:t>s</w:t>
      </w:r>
    </w:p>
    <w:p w14:paraId="3EB97D35" w14:textId="65C2D683" w:rsidR="006D0900" w:rsidRDefault="006D0900" w:rsidP="00AE7C80">
      <w:pPr>
        <w:pStyle w:val="IPPParagraphnumberingclose"/>
      </w:pPr>
      <w:r>
        <w:t xml:space="preserve">The </w:t>
      </w:r>
      <w:r w:rsidR="00B775E9">
        <w:t>CPM</w:t>
      </w:r>
      <w:r w:rsidR="002768F3">
        <w:t xml:space="preserve"> </w:t>
      </w:r>
      <w:r w:rsidR="00C14839">
        <w:t xml:space="preserve">Bureau </w:t>
      </w:r>
      <w:r>
        <w:t>is</w:t>
      </w:r>
      <w:r w:rsidR="000D4C87">
        <w:t xml:space="preserve"> </w:t>
      </w:r>
      <w:r w:rsidR="000D4C87" w:rsidRPr="00AE0CB3">
        <w:rPr>
          <w:i/>
        </w:rPr>
        <w:t>invited</w:t>
      </w:r>
      <w:r w:rsidR="000D4C87">
        <w:t xml:space="preserve"> to</w:t>
      </w:r>
      <w:r>
        <w:t>:</w:t>
      </w:r>
    </w:p>
    <w:p w14:paraId="5E20A875" w14:textId="41C7CBA5" w:rsidR="00C14839" w:rsidRDefault="00C14839" w:rsidP="007B3668">
      <w:pPr>
        <w:pStyle w:val="IPPNumberedList"/>
      </w:pPr>
      <w:r w:rsidRPr="2CECDD83">
        <w:rPr>
          <w:i/>
          <w:iCs/>
        </w:rPr>
        <w:t>note</w:t>
      </w:r>
      <w:r>
        <w:t xml:space="preserve"> progress of the </w:t>
      </w:r>
      <w:r w:rsidRPr="2CECDD83">
        <w:rPr>
          <w:i/>
          <w:iCs/>
        </w:rPr>
        <w:t xml:space="preserve">study on plant health and One Health </w:t>
      </w:r>
      <w:r>
        <w:t>and the preliminary insights presented in this paper</w:t>
      </w:r>
      <w:r w:rsidR="0C17B042">
        <w:t>, expected to be finalised after CPM-20 (2026)</w:t>
      </w:r>
      <w:r w:rsidR="69DF213E">
        <w:t xml:space="preserve"> in April </w:t>
      </w:r>
      <w:proofErr w:type="gramStart"/>
      <w:r w:rsidR="69DF213E">
        <w:t>2026</w:t>
      </w:r>
      <w:r w:rsidR="0C17B042">
        <w:t>;</w:t>
      </w:r>
      <w:proofErr w:type="gramEnd"/>
    </w:p>
    <w:p w14:paraId="0768B804" w14:textId="6A8A283E" w:rsidR="00653165" w:rsidRDefault="004F59FE" w:rsidP="007B3668">
      <w:pPr>
        <w:pStyle w:val="IPPNumberedList"/>
      </w:pPr>
      <w:r w:rsidRPr="004F59FE">
        <w:rPr>
          <w:i/>
          <w:iCs/>
        </w:rPr>
        <w:t xml:space="preserve">note </w:t>
      </w:r>
      <w:r w:rsidRPr="00975CB6">
        <w:t xml:space="preserve">the launch of a targeted mini-survey to IPPC Contracting Parties and RPPOs, designed to </w:t>
      </w:r>
      <w:r w:rsidR="00481237">
        <w:t>support</w:t>
      </w:r>
      <w:r w:rsidRPr="00975CB6">
        <w:t xml:space="preserve"> </w:t>
      </w:r>
      <w:r>
        <w:t xml:space="preserve">the </w:t>
      </w:r>
      <w:r w:rsidRPr="00C14839">
        <w:rPr>
          <w:i/>
          <w:iCs/>
        </w:rPr>
        <w:t>study on plant health and One Health</w:t>
      </w:r>
      <w:r>
        <w:rPr>
          <w:i/>
          <w:iCs/>
        </w:rPr>
        <w:t xml:space="preserve"> </w:t>
      </w:r>
      <w:r w:rsidR="007747A6" w:rsidRPr="007747A6">
        <w:rPr>
          <w:lang w:val="en-GB"/>
        </w:rPr>
        <w:t xml:space="preserve">with country-level perspectives and strengthen the evidence base of the study's analysis and </w:t>
      </w:r>
      <w:proofErr w:type="gramStart"/>
      <w:r w:rsidR="007747A6" w:rsidRPr="007747A6">
        <w:rPr>
          <w:lang w:val="en-GB"/>
        </w:rPr>
        <w:t>recommendations;</w:t>
      </w:r>
      <w:proofErr w:type="gramEnd"/>
    </w:p>
    <w:p w14:paraId="2730E94F" w14:textId="51333B1C" w:rsidR="00C14839" w:rsidRPr="00B05CFF" w:rsidRDefault="00C14839" w:rsidP="007B3668">
      <w:pPr>
        <w:pStyle w:val="IPPNumberedList"/>
      </w:pPr>
      <w:r w:rsidRPr="703CB159">
        <w:rPr>
          <w:i/>
          <w:iCs/>
        </w:rPr>
        <w:t xml:space="preserve">note </w:t>
      </w:r>
      <w:r>
        <w:t>that</w:t>
      </w:r>
      <w:r w:rsidRPr="703CB159">
        <w:rPr>
          <w:i/>
          <w:iCs/>
        </w:rPr>
        <w:t xml:space="preserve"> </w:t>
      </w:r>
      <w:r w:rsidRPr="703CB159">
        <w:rPr>
          <w:lang w:val="en-GB"/>
        </w:rPr>
        <w:t xml:space="preserve">the development of a communication strategy to strengthen visibility of plant health within One Health will be based on the final analysis and recommendations from the </w:t>
      </w:r>
      <w:r w:rsidRPr="703CB159">
        <w:rPr>
          <w:i/>
          <w:iCs/>
        </w:rPr>
        <w:t>study</w:t>
      </w:r>
      <w:r>
        <w:t xml:space="preserve"> </w:t>
      </w:r>
      <w:r w:rsidRPr="703CB159">
        <w:rPr>
          <w:i/>
          <w:iCs/>
        </w:rPr>
        <w:t xml:space="preserve">on plant health and One </w:t>
      </w:r>
      <w:proofErr w:type="gramStart"/>
      <w:r w:rsidRPr="703CB159">
        <w:rPr>
          <w:i/>
          <w:iCs/>
        </w:rPr>
        <w:t>Health</w:t>
      </w:r>
      <w:r>
        <w:t>;</w:t>
      </w:r>
      <w:proofErr w:type="gramEnd"/>
      <w:r>
        <w:t xml:space="preserve"> </w:t>
      </w:r>
    </w:p>
    <w:p w14:paraId="748F9046" w14:textId="0292EF08" w:rsidR="00CF1ED0" w:rsidRDefault="00C14839" w:rsidP="00975CB6">
      <w:pPr>
        <w:pStyle w:val="IPPNumberedList"/>
      </w:pPr>
      <w:r w:rsidRPr="703CB159">
        <w:rPr>
          <w:i/>
          <w:iCs/>
        </w:rPr>
        <w:t xml:space="preserve">consider </w:t>
      </w:r>
      <w:r>
        <w:t>extending the mandate of the CPM Focus Group on Plant Health in the Context of One Health until CPM-21 (2027) t</w:t>
      </w:r>
      <w:r w:rsidR="00FB2370">
        <w:t xml:space="preserve">o allow completion of activities currently in progress, while ensuring the required quality of </w:t>
      </w:r>
      <w:proofErr w:type="gramStart"/>
      <w:r w:rsidR="00FB2370">
        <w:t>outputs</w:t>
      </w:r>
      <w:r w:rsidR="00CF1ED0">
        <w:t>;</w:t>
      </w:r>
      <w:proofErr w:type="gramEnd"/>
      <w:r w:rsidR="00CF1ED0">
        <w:t xml:space="preserve"> </w:t>
      </w:r>
    </w:p>
    <w:p w14:paraId="7C6A05DA" w14:textId="40BC5057" w:rsidR="006D0900" w:rsidRPr="002926DA" w:rsidRDefault="00CF1ED0" w:rsidP="703CB159">
      <w:pPr>
        <w:pStyle w:val="IPPNumberedList"/>
        <w:rPr>
          <w:lang w:val="en-GB"/>
        </w:rPr>
      </w:pPr>
      <w:r w:rsidRPr="703CB159">
        <w:rPr>
          <w:i/>
          <w:iCs/>
        </w:rPr>
        <w:t>agree</w:t>
      </w:r>
      <w:r>
        <w:t xml:space="preserve"> </w:t>
      </w:r>
      <w:r w:rsidRPr="703CB159">
        <w:rPr>
          <w:lang w:val="en-GB"/>
        </w:rPr>
        <w:t>that the CPM Bureau discussions and decisions from its March 2026 meeting regarding the CPM Focus Group on Plant Health in the Context of One Health be presented to CPM-20 (2026) under agenda item 14.3 to inform the Commission's consideration of the focus group's progress and future mandate</w:t>
      </w:r>
      <w:r w:rsidR="6B045C61" w:rsidRPr="703CB159">
        <w:rPr>
          <w:lang w:val="en-GB"/>
        </w:rPr>
        <w:t>; and,</w:t>
      </w:r>
    </w:p>
    <w:p w14:paraId="4407EA61" w14:textId="1FD56EF0" w:rsidR="6B045C61" w:rsidRDefault="4A0BF301" w:rsidP="076EDAC7">
      <w:pPr>
        <w:pStyle w:val="IPPNumberedList"/>
        <w:rPr>
          <w:i/>
          <w:iCs/>
        </w:rPr>
        <w:sectPr w:rsidR="6B045C61" w:rsidSect="00391F60">
          <w:headerReference w:type="even" r:id="rId12"/>
          <w:headerReference w:type="default" r:id="rId13"/>
          <w:footerReference w:type="even" r:id="rId14"/>
          <w:footerReference w:type="default" r:id="rId15"/>
          <w:headerReference w:type="first" r:id="rId16"/>
          <w:footerReference w:type="first" r:id="rId17"/>
          <w:pgSz w:w="11906" w:h="16838" w:code="9"/>
          <w:pgMar w:top="1411" w:right="1555" w:bottom="1411" w:left="1411" w:header="720" w:footer="720" w:gutter="0"/>
          <w:cols w:space="708"/>
          <w:titlePg/>
          <w:docGrid w:linePitch="360"/>
        </w:sectPr>
      </w:pPr>
      <w:r w:rsidRPr="076EDAC7">
        <w:rPr>
          <w:i/>
          <w:iCs/>
        </w:rPr>
        <w:t xml:space="preserve">note </w:t>
      </w:r>
      <w:r w:rsidR="4561BD80" w:rsidRPr="076EDAC7">
        <w:t xml:space="preserve">that adequate </w:t>
      </w:r>
      <w:r w:rsidR="3F6379C5" w:rsidRPr="076EDAC7">
        <w:t>budget</w:t>
      </w:r>
      <w:r w:rsidR="7AD6E992" w:rsidRPr="076EDAC7">
        <w:t xml:space="preserve"> provisions are an important enabler for the timely and effective delivery of planned outputs under </w:t>
      </w:r>
      <w:r w:rsidR="3F6379C5" w:rsidRPr="076EDAC7">
        <w:t>CPM-mandated activities, including Focus Groups</w:t>
      </w:r>
      <w:r w:rsidR="51DD1949" w:rsidRPr="076EDAC7">
        <w:rPr>
          <w:i/>
          <w:iCs/>
        </w:rPr>
        <w:t>.</w:t>
      </w:r>
    </w:p>
    <w:p w14:paraId="0AE60BF7" w14:textId="47C78AEE" w:rsidR="002768F3" w:rsidRDefault="002768F3">
      <w:pPr>
        <w:spacing w:after="160" w:line="259" w:lineRule="auto"/>
        <w:jc w:val="left"/>
      </w:pPr>
    </w:p>
    <w:p w14:paraId="4D8DB45B" w14:textId="77777777" w:rsidR="002768F3" w:rsidRDefault="002768F3">
      <w:pPr>
        <w:spacing w:after="160" w:line="259" w:lineRule="auto"/>
        <w:jc w:val="left"/>
        <w:rPr>
          <w:rFonts w:eastAsia="Times"/>
          <w:lang w:val="en-US"/>
        </w:rPr>
      </w:pPr>
    </w:p>
    <w:p w14:paraId="5E823480" w14:textId="77777777" w:rsidR="002768F3" w:rsidRDefault="002768F3" w:rsidP="00EE4792">
      <w:pPr>
        <w:pStyle w:val="IPPParagraphnumbering"/>
        <w:numPr>
          <w:ilvl w:val="0"/>
          <w:numId w:val="0"/>
        </w:numPr>
      </w:pPr>
    </w:p>
    <w:p w14:paraId="7EB673F8" w14:textId="77777777" w:rsidR="00804A4B" w:rsidRDefault="00804A4B" w:rsidP="00EE4792">
      <w:pPr>
        <w:pStyle w:val="IPPParagraphnumbering"/>
        <w:numPr>
          <w:ilvl w:val="0"/>
          <w:numId w:val="0"/>
        </w:numPr>
      </w:pPr>
    </w:p>
    <w:p w14:paraId="6CEB3463" w14:textId="77777777" w:rsidR="00804A4B" w:rsidRDefault="00804A4B" w:rsidP="00EE4792">
      <w:pPr>
        <w:pStyle w:val="IPPParagraphnumbering"/>
        <w:numPr>
          <w:ilvl w:val="0"/>
          <w:numId w:val="0"/>
        </w:numPr>
      </w:pPr>
    </w:p>
    <w:p w14:paraId="09889207" w14:textId="77777777" w:rsidR="00804A4B" w:rsidRDefault="00804A4B" w:rsidP="00EE4792">
      <w:pPr>
        <w:pStyle w:val="IPPParagraphnumbering"/>
        <w:numPr>
          <w:ilvl w:val="0"/>
          <w:numId w:val="0"/>
        </w:numPr>
      </w:pPr>
    </w:p>
    <w:p w14:paraId="38180D69" w14:textId="77777777" w:rsidR="00804A4B" w:rsidRDefault="00804A4B" w:rsidP="00EE4792">
      <w:pPr>
        <w:pStyle w:val="IPPParagraphnumbering"/>
        <w:numPr>
          <w:ilvl w:val="0"/>
          <w:numId w:val="0"/>
        </w:numPr>
      </w:pPr>
    </w:p>
    <w:p w14:paraId="31D4CF3B" w14:textId="77777777" w:rsidR="00804A4B" w:rsidRDefault="00804A4B" w:rsidP="00EE4792">
      <w:pPr>
        <w:pStyle w:val="IPPParagraphnumbering"/>
        <w:numPr>
          <w:ilvl w:val="0"/>
          <w:numId w:val="0"/>
        </w:numPr>
      </w:pPr>
    </w:p>
    <w:p w14:paraId="543CF03C" w14:textId="77777777" w:rsidR="00804A4B" w:rsidRDefault="00804A4B" w:rsidP="00EE4792">
      <w:pPr>
        <w:pStyle w:val="IPPParagraphnumbering"/>
        <w:numPr>
          <w:ilvl w:val="0"/>
          <w:numId w:val="0"/>
        </w:numPr>
      </w:pPr>
    </w:p>
    <w:p w14:paraId="63C70A33" w14:textId="77777777" w:rsidR="00804A4B" w:rsidRDefault="00804A4B" w:rsidP="00EE4792">
      <w:pPr>
        <w:pStyle w:val="IPPParagraphnumbering"/>
        <w:numPr>
          <w:ilvl w:val="0"/>
          <w:numId w:val="0"/>
        </w:numPr>
      </w:pPr>
    </w:p>
    <w:p w14:paraId="3FC37B76" w14:textId="77777777" w:rsidR="00804A4B" w:rsidRDefault="00804A4B" w:rsidP="00EE4792">
      <w:pPr>
        <w:pStyle w:val="IPPParagraphnumbering"/>
        <w:numPr>
          <w:ilvl w:val="0"/>
          <w:numId w:val="0"/>
        </w:numPr>
      </w:pPr>
    </w:p>
    <w:p w14:paraId="258BC2FD" w14:textId="77777777" w:rsidR="00804A4B" w:rsidRDefault="00804A4B" w:rsidP="00EE4792">
      <w:pPr>
        <w:pStyle w:val="IPPParagraphnumbering"/>
        <w:numPr>
          <w:ilvl w:val="0"/>
          <w:numId w:val="0"/>
        </w:numPr>
      </w:pPr>
    </w:p>
    <w:p w14:paraId="679998EF" w14:textId="77777777" w:rsidR="00804A4B" w:rsidRDefault="00804A4B" w:rsidP="00EE4792">
      <w:pPr>
        <w:pStyle w:val="IPPParagraphnumbering"/>
        <w:numPr>
          <w:ilvl w:val="0"/>
          <w:numId w:val="0"/>
        </w:numPr>
      </w:pPr>
    </w:p>
    <w:p w14:paraId="5F3E679C" w14:textId="77777777" w:rsidR="00804A4B" w:rsidRDefault="00804A4B" w:rsidP="00EE4792">
      <w:pPr>
        <w:pStyle w:val="IPPParagraphnumbering"/>
        <w:numPr>
          <w:ilvl w:val="0"/>
          <w:numId w:val="0"/>
        </w:numPr>
      </w:pPr>
    </w:p>
    <w:p w14:paraId="0E9E39D9" w14:textId="77777777" w:rsidR="00804A4B" w:rsidRDefault="00804A4B" w:rsidP="00EE4792">
      <w:pPr>
        <w:pStyle w:val="IPPParagraphnumbering"/>
        <w:numPr>
          <w:ilvl w:val="0"/>
          <w:numId w:val="0"/>
        </w:numPr>
      </w:pPr>
    </w:p>
    <w:p w14:paraId="00C15169" w14:textId="77777777" w:rsidR="00804A4B" w:rsidRDefault="00804A4B" w:rsidP="00EE4792">
      <w:pPr>
        <w:pStyle w:val="IPPParagraphnumbering"/>
        <w:numPr>
          <w:ilvl w:val="0"/>
          <w:numId w:val="0"/>
        </w:numPr>
      </w:pPr>
    </w:p>
    <w:p w14:paraId="6E4EBD00" w14:textId="77777777" w:rsidR="00804A4B" w:rsidRDefault="00804A4B" w:rsidP="00EE4792">
      <w:pPr>
        <w:pStyle w:val="IPPParagraphnumbering"/>
        <w:numPr>
          <w:ilvl w:val="0"/>
          <w:numId w:val="0"/>
        </w:numPr>
      </w:pPr>
    </w:p>
    <w:p w14:paraId="19397F02" w14:textId="77777777" w:rsidR="00804A4B" w:rsidRDefault="00804A4B" w:rsidP="00EE4792">
      <w:pPr>
        <w:pStyle w:val="IPPParagraphnumbering"/>
        <w:numPr>
          <w:ilvl w:val="0"/>
          <w:numId w:val="0"/>
        </w:numPr>
      </w:pPr>
    </w:p>
    <w:p w14:paraId="5E33F961" w14:textId="77777777" w:rsidR="00804A4B" w:rsidRDefault="00804A4B" w:rsidP="00EE4792">
      <w:pPr>
        <w:pStyle w:val="IPPParagraphnumbering"/>
        <w:numPr>
          <w:ilvl w:val="0"/>
          <w:numId w:val="0"/>
        </w:numPr>
      </w:pPr>
    </w:p>
    <w:p w14:paraId="2612727E" w14:textId="77777777" w:rsidR="00804A4B" w:rsidRDefault="00804A4B" w:rsidP="00EE4792">
      <w:pPr>
        <w:pStyle w:val="IPPParagraphnumbering"/>
        <w:numPr>
          <w:ilvl w:val="0"/>
          <w:numId w:val="0"/>
        </w:numPr>
      </w:pPr>
    </w:p>
    <w:p w14:paraId="3AB6F95B" w14:textId="77777777" w:rsidR="00804A4B" w:rsidRDefault="00804A4B" w:rsidP="00EE4792">
      <w:pPr>
        <w:pStyle w:val="IPPParagraphnumbering"/>
        <w:numPr>
          <w:ilvl w:val="0"/>
          <w:numId w:val="0"/>
        </w:numPr>
      </w:pPr>
    </w:p>
    <w:p w14:paraId="58A0B721" w14:textId="77777777" w:rsidR="00804A4B" w:rsidRDefault="00804A4B" w:rsidP="00EE4792">
      <w:pPr>
        <w:pStyle w:val="IPPParagraphnumbering"/>
        <w:numPr>
          <w:ilvl w:val="0"/>
          <w:numId w:val="0"/>
        </w:numPr>
      </w:pPr>
    </w:p>
    <w:p w14:paraId="5F5173AC" w14:textId="7B50FA96" w:rsidR="00804A4B" w:rsidRDefault="00804A4B" w:rsidP="00EE4792">
      <w:pPr>
        <w:pStyle w:val="IPPParagraphnumbering"/>
        <w:numPr>
          <w:ilvl w:val="0"/>
          <w:numId w:val="0"/>
        </w:numPr>
      </w:pPr>
      <w:r>
        <w:rPr>
          <w:noProof/>
        </w:rPr>
        <mc:AlternateContent>
          <mc:Choice Requires="wps">
            <w:drawing>
              <wp:anchor distT="45720" distB="45720" distL="114300" distR="114300" simplePos="0" relativeHeight="251658240" behindDoc="0" locked="0" layoutInCell="1" allowOverlap="1" wp14:anchorId="6CAA469F" wp14:editId="5B6444F6">
                <wp:simplePos x="0" y="0"/>
                <wp:positionH relativeFrom="margin">
                  <wp:posOffset>0</wp:posOffset>
                </wp:positionH>
                <wp:positionV relativeFrom="page">
                  <wp:posOffset>8924925</wp:posOffset>
                </wp:positionV>
                <wp:extent cx="5760000" cy="676800"/>
                <wp:effectExtent l="0" t="0" r="1270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676800"/>
                        </a:xfrm>
                        <a:prstGeom prst="rect">
                          <a:avLst/>
                        </a:prstGeom>
                        <a:solidFill>
                          <a:srgbClr val="FFFFFF"/>
                        </a:solidFill>
                        <a:ln w="15875">
                          <a:solidFill>
                            <a:schemeClr val="bg1">
                              <a:lumMod val="65000"/>
                            </a:schemeClr>
                          </a:solidFill>
                          <a:miter lim="800000"/>
                          <a:headEnd/>
                          <a:tailEnd/>
                        </a:ln>
                      </wps:spPr>
                      <wps:txbx>
                        <w:txbxContent>
                          <w:p w14:paraId="52CF71E3" w14:textId="77777777" w:rsidR="00804A4B" w:rsidRDefault="00804A4B" w:rsidP="00804A4B">
                            <w:pPr>
                              <w:pStyle w:val="IPPArial"/>
                            </w:pPr>
                            <w:r w:rsidRPr="00602743">
                              <w:t>The designations employed and the presentation of material in this document do not imply the expression of any opinion whatsoever on the part of the Food and Agriculture Organization of the United Nations (FAO) concerning the legal or development status of any country, territory, city or area or of its authorities, or concerning the delimitation of its frontiers or boundaries.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CB330AE">
              <v:shapetype id="_x0000_t202" coordsize="21600,21600" o:spt="202" path="m,l,21600r21600,l21600,xe" w14:anchorId="6CAA469F">
                <v:stroke joinstyle="miter"/>
                <v:path gradientshapeok="t" o:connecttype="rect"/>
              </v:shapetype>
              <v:shape id="Text Box 2" style="position:absolute;left:0;text-align:left;margin-left:0;margin-top:702.75pt;width:453.55pt;height:53.3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spid="_x0000_s1026" strokecolor="#a5a5a5 [2092]" strokeweight="1.2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">
                <v:textbox>
                  <w:txbxContent>
                    <w:p w:rsidR="00804A4B" w:rsidP="00804A4B" w:rsidRDefault="00804A4B" w14:paraId="1F4802F4" w14:textId="77777777">
                      <w:pPr>
                        <w:pStyle w:val="IPPArial"/>
                      </w:pPr>
                      <w:r w:rsidRPr="00602743">
                        <w:t>The designations employed and the presentation of material in this document do not imply the expression of any opinion whatsoever on the part of the Food and Agriculture Organization of the United Nations (FAO) concerning the legal or development status of any country, territory, city or area or of its authorities, or concerning the delimitation of its frontiers or boundaries.</w:t>
                      </w:r>
                    </w:p>
                  </w:txbxContent>
                </v:textbox>
                <w10:wrap type="square" anchorx="margin" anchory="page"/>
              </v:shape>
            </w:pict>
          </mc:Fallback>
        </mc:AlternateContent>
      </w:r>
    </w:p>
    <w:sectPr w:rsidR="00804A4B" w:rsidSect="002768F3">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E9792" w14:textId="77777777" w:rsidR="004E495E" w:rsidRDefault="004E495E" w:rsidP="002B4ADC">
      <w:r>
        <w:separator/>
      </w:r>
    </w:p>
  </w:endnote>
  <w:endnote w:type="continuationSeparator" w:id="0">
    <w:p w14:paraId="6D354D11" w14:textId="77777777" w:rsidR="004E495E" w:rsidRDefault="004E495E" w:rsidP="002B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FB82F" w14:textId="77777777" w:rsidR="006D0900" w:rsidRPr="00646C0F" w:rsidRDefault="006D0900" w:rsidP="00842559">
    <w:pPr>
      <w:pStyle w:val="IPPFooter"/>
      <w:jc w:val="both"/>
      <w:rPr>
        <w:szCs w:val="18"/>
      </w:rPr>
    </w:pP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sidR="00D84789">
      <w:rPr>
        <w:noProof/>
        <w:szCs w:val="18"/>
      </w:rPr>
      <w:t>2</w:t>
    </w:r>
    <w:r w:rsidRPr="00377B19">
      <w:rPr>
        <w:szCs w:val="18"/>
      </w:rPr>
      <w:fldChar w:fldCharType="end"/>
    </w:r>
    <w:r>
      <w:rPr>
        <w:szCs w:val="18"/>
      </w:rPr>
      <w:t xml:space="preserve"> of 5</w:t>
    </w:r>
    <w:r w:rsidRPr="00646C0F">
      <w:t xml:space="preserve"> </w:t>
    </w:r>
    <w: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AD188" w14:textId="77777777" w:rsidR="006D0900" w:rsidRPr="00646C0F" w:rsidRDefault="006D0900" w:rsidP="00842559">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sidR="00D84789">
      <w:rPr>
        <w:noProof/>
        <w:szCs w:val="18"/>
      </w:rPr>
      <w:t>3</w:t>
    </w:r>
    <w:r w:rsidRPr="00377B19">
      <w:rPr>
        <w:szCs w:val="18"/>
      </w:rPr>
      <w:fldChar w:fldCharType="end"/>
    </w:r>
    <w:r>
      <w:rPr>
        <w:szCs w:val="18"/>
      </w:rPr>
      <w:t xml:space="preserve"> of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F3E3" w14:textId="7241D505" w:rsidR="006D0900" w:rsidRPr="00646C0F" w:rsidRDefault="006D0900" w:rsidP="004D1CB2">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sidR="00787E7E">
      <w:rPr>
        <w:noProof/>
        <w:szCs w:val="18"/>
      </w:rPr>
      <w:t>1</w:t>
    </w:r>
    <w:r w:rsidRPr="00377B19">
      <w:rPr>
        <w:szCs w:val="18"/>
      </w:rPr>
      <w:fldChar w:fldCharType="end"/>
    </w:r>
    <w:r w:rsidR="005E53FD">
      <w:rPr>
        <w:szCs w:val="18"/>
      </w:rPr>
      <w:t xml:space="preserve"> of </w:t>
    </w:r>
    <w:r w:rsidR="00AD2010">
      <w:rPr>
        <w:szCs w:val="18"/>
      </w:rPr>
      <w:fldChar w:fldCharType="begin"/>
    </w:r>
    <w:r w:rsidR="00AD2010">
      <w:rPr>
        <w:szCs w:val="18"/>
      </w:rPr>
      <w:instrText>NUMPAGES</w:instrText>
    </w:r>
    <w:r w:rsidR="00AD2010">
      <w:rPr>
        <w:szCs w:val="18"/>
      </w:rPr>
      <w:fldChar w:fldCharType="separate"/>
    </w:r>
    <w:r w:rsidR="00787E7E">
      <w:rPr>
        <w:noProof/>
        <w:szCs w:val="18"/>
      </w:rPr>
      <w:t>2</w:t>
    </w:r>
    <w:r w:rsidR="00AD2010">
      <w:rPr>
        <w:szCs w:val="18"/>
      </w:rPr>
      <w:fldChar w:fldCharType="end"/>
    </w:r>
    <w:r w:rsidR="003B13B8">
      <w:rPr>
        <w:szCs w:val="18"/>
      </w:rPr>
      <w:fldChar w:fldCharType="begin"/>
    </w:r>
    <w:r w:rsidR="003B13B8">
      <w:rPr>
        <w:szCs w:val="18"/>
      </w:rPr>
      <w:instrText>NUMPAGE</w:instrText>
    </w:r>
    <w:r w:rsidR="003B13B8">
      <w:rPr>
        <w:szCs w:val="18"/>
      </w:rPr>
      <w:fldChar w:fldCharType="end"/>
    </w:r>
    <w:r w:rsidR="00CB1BBC">
      <w:rPr>
        <w:szCs w:val="18"/>
      </w:rPr>
      <w:fldChar w:fldCharType="begin"/>
    </w:r>
    <w:r w:rsidR="00CB1BBC">
      <w:rPr>
        <w:szCs w:val="18"/>
      </w:rPr>
      <w:instrText xml:space="preserve"> NUMPAGE </w:instrText>
    </w:r>
    <w:r w:rsidR="00CB1BBC">
      <w:rP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C945" w14:textId="354C5865" w:rsidR="003E28FF" w:rsidRPr="003E28FF" w:rsidRDefault="00B86E84" w:rsidP="00B86E84">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E53FD">
      <w:rPr>
        <w:rFonts w:cs="Arial"/>
        <w:noProof/>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E53FD">
      <w:rPr>
        <w:rFonts w:cs="Arial"/>
        <w:noProof/>
        <w:szCs w:val="18"/>
      </w:rPr>
      <w:t>4</w:t>
    </w:r>
    <w:r w:rsidRPr="00377B19">
      <w:rPr>
        <w:rFonts w:cs="Arial"/>
        <w:szCs w:val="18"/>
      </w:rPr>
      <w:fldChar w:fldCharType="end"/>
    </w:r>
    <w:r>
      <w:rPr>
        <w:rFonts w:cs="Arial"/>
        <w:szCs w:val="18"/>
      </w:rPr>
      <w:tab/>
    </w:r>
    <w:r w:rsidR="003E28FF">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F840" w14:textId="41B56F6A" w:rsidR="003E28FF" w:rsidRPr="003E28FF" w:rsidRDefault="003E28FF" w:rsidP="003E28FF">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E53FD">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E53FD">
      <w:rPr>
        <w:rFonts w:cs="Arial"/>
        <w:noProof/>
        <w:szCs w:val="18"/>
      </w:rPr>
      <w:t>4</w:t>
    </w:r>
    <w:r w:rsidRPr="00377B19">
      <w:rPr>
        <w:rFonts w:cs="Arial"/>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8347" w14:textId="7896C9C3" w:rsidR="003E28FF" w:rsidRPr="003E28FF" w:rsidRDefault="003E28FF" w:rsidP="003E28FF">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787E7E">
      <w:rPr>
        <w:rFonts w:cs="Arial"/>
        <w:noProof/>
        <w:szCs w:val="18"/>
      </w:rPr>
      <w:t>2</w:t>
    </w:r>
    <w:r w:rsidRPr="00377B19">
      <w:rPr>
        <w:rFonts w:cs="Arial"/>
        <w:szCs w:val="18"/>
      </w:rPr>
      <w:fldChar w:fldCharType="end"/>
    </w:r>
    <w:r w:rsidRPr="00377B19">
      <w:rPr>
        <w:rFonts w:cs="Arial"/>
        <w:szCs w:val="18"/>
      </w:rPr>
      <w:t xml:space="preserve"> of </w:t>
    </w:r>
    <w:r w:rsidR="00AD2010">
      <w:rPr>
        <w:rFonts w:cs="Arial"/>
        <w:szCs w:val="18"/>
      </w:rPr>
      <w:fldChar w:fldCharType="begin"/>
    </w:r>
    <w:r w:rsidR="00AD2010">
      <w:rPr>
        <w:rFonts w:cs="Arial"/>
        <w:szCs w:val="18"/>
      </w:rPr>
      <w:instrText>NUMPAGES</w:instrText>
    </w:r>
    <w:r w:rsidR="00AD2010">
      <w:rPr>
        <w:rFonts w:cs="Arial"/>
        <w:szCs w:val="18"/>
      </w:rPr>
      <w:fldChar w:fldCharType="separate"/>
    </w:r>
    <w:r w:rsidR="00787E7E">
      <w:rPr>
        <w:rFonts w:cs="Arial"/>
        <w:noProof/>
        <w:szCs w:val="18"/>
      </w:rPr>
      <w:t>2</w:t>
    </w:r>
    <w:r w:rsidR="00AD2010">
      <w:rPr>
        <w:rFonts w:cs="Arial"/>
        <w:szCs w:val="18"/>
      </w:rPr>
      <w:fldChar w:fldCharType="end"/>
    </w:r>
    <w:r w:rsidR="00787E7E">
      <w:rPr>
        <w:rFonts w:cs="Arial"/>
        <w:szCs w:val="18"/>
      </w:rPr>
      <w:tab/>
    </w:r>
    <w:r w:rsidR="00787E7E">
      <w:t>International Plant Protection Convention</w:t>
    </w:r>
    <w:r w:rsidR="00787E7E">
      <w:rPr>
        <w:rFonts w:cs="Arial"/>
        <w:szCs w:val="18"/>
        <w:lang w:val="en-GB"/>
      </w:rPr>
      <w:t xml:space="preserve"> </w:t>
    </w:r>
    <w:r w:rsidR="003B13B8">
      <w:rPr>
        <w:rFonts w:cs="Arial"/>
        <w:szCs w:val="18"/>
        <w:lang w:val="en-GB"/>
      </w:rPr>
      <w:fldChar w:fldCharType="begin"/>
    </w:r>
    <w:r w:rsidR="003B13B8">
      <w:rPr>
        <w:rFonts w:cs="Arial"/>
        <w:szCs w:val="18"/>
        <w:lang w:val="en-GB"/>
      </w:rPr>
      <w:instrText>NUMPAGE</w:instrText>
    </w:r>
    <w:r w:rsidR="003B13B8">
      <w:rPr>
        <w:rFonts w:cs="Arial"/>
        <w:szCs w:val="18"/>
        <w:lang w:val="en-GB"/>
      </w:rPr>
      <w:fldChar w:fldCharType="end"/>
    </w:r>
    <w:r w:rsidR="00CB1BBC">
      <w:rPr>
        <w:rFonts w:cs="Arial"/>
        <w:szCs w:val="18"/>
      </w:rPr>
      <w:fldChar w:fldCharType="begin"/>
    </w:r>
    <w:r w:rsidR="00CB1BBC">
      <w:rPr>
        <w:rFonts w:cs="Arial"/>
        <w:szCs w:val="18"/>
      </w:rPr>
      <w:instrText xml:space="preserve"> NUMPAGE </w:instrText>
    </w:r>
    <w:r w:rsidR="00CB1BBC">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97805" w14:textId="77777777" w:rsidR="004E495E" w:rsidRDefault="004E495E" w:rsidP="002B4ADC">
      <w:r>
        <w:separator/>
      </w:r>
    </w:p>
  </w:footnote>
  <w:footnote w:type="continuationSeparator" w:id="0">
    <w:p w14:paraId="594DB4F1" w14:textId="77777777" w:rsidR="004E495E" w:rsidRDefault="004E495E" w:rsidP="002B4ADC">
      <w:r>
        <w:continuationSeparator/>
      </w:r>
    </w:p>
  </w:footnote>
  <w:footnote w:id="1">
    <w:p w14:paraId="4C14746B" w14:textId="6F7FAC2A" w:rsidR="00842F33" w:rsidRDefault="00842F33" w:rsidP="00842F33">
      <w:pPr>
        <w:pStyle w:val="FootnoteText"/>
      </w:pPr>
      <w:r>
        <w:rPr>
          <w:rStyle w:val="FootnoteReference"/>
        </w:rPr>
        <w:footnoteRef/>
      </w:r>
      <w:r w:rsidR="076EDAC7">
        <w:t xml:space="preserve"> </w:t>
      </w:r>
      <w:r w:rsidR="076EDAC7" w:rsidRPr="000E0A7F">
        <w:t xml:space="preserve">CPM FG on Plant Health in the context of One Health TOR: </w:t>
      </w:r>
      <w:hyperlink r:id="rId1">
        <w:r w:rsidR="076EDAC7" w:rsidRPr="076EDAC7">
          <w:rPr>
            <w:rStyle w:val="Hyperlink"/>
          </w:rPr>
          <w:t>https://www.ippc.int/en/publications/93481/</w:t>
        </w:r>
      </w:hyperlink>
      <w:r w:rsidR="076EDAC7" w:rsidRPr="000E0A7F">
        <w:t xml:space="preserve">   </w:t>
      </w:r>
      <w:r w:rsidR="076EDAC7">
        <w:t xml:space="preserve"> </w:t>
      </w:r>
    </w:p>
  </w:footnote>
  <w:footnote w:id="2">
    <w:p w14:paraId="6BA47B82" w14:textId="77777777" w:rsidR="00842F33" w:rsidRDefault="00842F33" w:rsidP="00842F33">
      <w:pPr>
        <w:pStyle w:val="FootnoteText"/>
      </w:pPr>
      <w:r>
        <w:rPr>
          <w:rStyle w:val="FootnoteReference"/>
        </w:rPr>
        <w:footnoteRef/>
      </w:r>
      <w:r>
        <w:t xml:space="preserve"> CPM 2026/24</w:t>
      </w:r>
    </w:p>
  </w:footnote>
  <w:footnote w:id="3">
    <w:p w14:paraId="19978FD3" w14:textId="77777777" w:rsidR="00842F33" w:rsidRDefault="00842F33" w:rsidP="00842F33">
      <w:pPr>
        <w:pStyle w:val="FootnoteText"/>
      </w:pPr>
      <w:r>
        <w:rPr>
          <w:rStyle w:val="FootnoteReference"/>
        </w:rPr>
        <w:footnoteRef/>
      </w:r>
      <w:r>
        <w:t xml:space="preserve"> Plant Health within One </w:t>
      </w:r>
      <w:proofErr w:type="spellStart"/>
      <w:r>
        <w:t>Helath</w:t>
      </w:r>
      <w:proofErr w:type="spellEnd"/>
      <w:r>
        <w:t>: d</w:t>
      </w:r>
      <w:r w:rsidRPr="001F0B9A">
        <w:t xml:space="preserve">esk and literature review report, annex 1: </w:t>
      </w:r>
      <w:hyperlink r:id="rId2" w:history="1">
        <w:r w:rsidRPr="00717F4E">
          <w:rPr>
            <w:rStyle w:val="Hyperlink"/>
          </w:rPr>
          <w:t>https://www.ippc.int/en/publications/95076/</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314BF" w14:textId="77777777" w:rsidR="006D0900" w:rsidRPr="00FA179D" w:rsidRDefault="006D0900" w:rsidP="003C444D">
    <w:pPr>
      <w:pStyle w:val="IPPHeader"/>
    </w:pPr>
    <w:r>
      <w:tab/>
    </w:r>
    <w:r>
      <w:tab/>
    </w:r>
    <w:r w:rsidRPr="00FA179D">
      <w:t>Consistency of terminology and purpose of the IPPC Glossary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0852" w14:textId="3BC789F0" w:rsidR="000A5ED7" w:rsidRPr="0076596B" w:rsidRDefault="00891247" w:rsidP="000A5ED7">
    <w:pPr>
      <w:pStyle w:val="IPPHeader"/>
      <w:tabs>
        <w:tab w:val="clear" w:pos="1134"/>
      </w:tabs>
      <w:spacing w:after="0"/>
    </w:pPr>
    <w:r>
      <w:rPr>
        <w:rFonts w:eastAsia="Arial" w:cs="Arial"/>
        <w:color w:val="000000" w:themeColor="text1"/>
        <w:szCs w:val="18"/>
      </w:rPr>
      <w:t>04</w:t>
    </w:r>
    <w:r w:rsidRPr="4966EAA5">
      <w:rPr>
        <w:rFonts w:eastAsia="Arial" w:cs="Arial"/>
        <w:color w:val="000000" w:themeColor="text1"/>
        <w:szCs w:val="18"/>
      </w:rPr>
      <w:t>_Bureau_2026_Mar</w:t>
    </w:r>
    <w:r>
      <w:rPr>
        <w:rFonts w:eastAsia="Arial" w:cs="Arial"/>
        <w:color w:val="000000" w:themeColor="text1"/>
        <w:szCs w:val="18"/>
      </w:rPr>
      <w:t xml:space="preserve"> (</w:t>
    </w:r>
    <w:r w:rsidR="000A5ED7">
      <w:rPr>
        <w:rFonts w:eastAsia="Arial" w:cs="Arial"/>
        <w:color w:val="000000" w:themeColor="text1"/>
        <w:szCs w:val="18"/>
      </w:rPr>
      <w:t>5.7)</w:t>
    </w:r>
    <w:r w:rsidR="000A5ED7">
      <w:rPr>
        <w:rFonts w:eastAsia="Arial" w:cs="Arial"/>
        <w:color w:val="000000" w:themeColor="text1"/>
        <w:szCs w:val="18"/>
      </w:rPr>
      <w:ptab w:relativeTo="margin" w:alignment="right" w:leader="none"/>
    </w:r>
    <w:r w:rsidR="000A5ED7" w:rsidRPr="00FB2370">
      <w:t xml:space="preserve">Proposal to Extend the Mandate of the CPM </w:t>
    </w:r>
    <w:r w:rsidR="00262B8C">
      <w:t>FG PHOH</w:t>
    </w:r>
  </w:p>
  <w:p w14:paraId="659047D8" w14:textId="38BC191E" w:rsidR="006D0900" w:rsidRPr="00891247" w:rsidRDefault="006D0900" w:rsidP="00891247">
    <w:pPr>
      <w:jc w:val="left"/>
      <w:rPr>
        <w:rFonts w:ascii="Arial" w:eastAsia="Arial" w:hAnsi="Arial" w:cs="Arial"/>
        <w:sz w:val="18"/>
        <w:szCs w:val="18"/>
        <w:lang w:val="en-US"/>
      </w:rPr>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39F7D" w14:textId="10D9E913" w:rsidR="006D0900" w:rsidRPr="003603A0" w:rsidRDefault="00003F94" w:rsidP="003603A0">
    <w:pPr>
      <w:pStyle w:val="IPPHeader"/>
      <w:tabs>
        <w:tab w:val="clear" w:pos="1134"/>
      </w:tabs>
      <w:spacing w:before="240" w:after="0"/>
      <w:rPr>
        <w:lang w:val="pt-PT"/>
      </w:rPr>
    </w:pPr>
    <w:bookmarkStart w:id="2" w:name="_Hlk38796923"/>
    <w:bookmarkStart w:id="3" w:name="_Hlk38796924"/>
    <w:r>
      <w:rPr>
        <w:i/>
        <w:iCs/>
        <w:noProof/>
        <w14:ligatures w14:val="standardContextual"/>
      </w:rPr>
      <w:drawing>
        <wp:anchor distT="0" distB="0" distL="114300" distR="114300" simplePos="0" relativeHeight="251658242" behindDoc="0" locked="0" layoutInCell="1" allowOverlap="1" wp14:anchorId="2552696B" wp14:editId="1F65EA20">
          <wp:simplePos x="0" y="0"/>
          <wp:positionH relativeFrom="page">
            <wp:posOffset>2520315</wp:posOffset>
          </wp:positionH>
          <wp:positionV relativeFrom="page">
            <wp:posOffset>558165</wp:posOffset>
          </wp:positionV>
          <wp:extent cx="1756800" cy="698400"/>
          <wp:effectExtent l="0" t="0" r="0" b="6985"/>
          <wp:wrapSquare wrapText="bothSides"/>
          <wp:docPr id="1389584771"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3" behindDoc="0" locked="0" layoutInCell="1" allowOverlap="1" wp14:anchorId="3F80BC14" wp14:editId="625F0FAC">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9BD90A9">
            <v:line id="Straight Connector 1"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5pt" from="124pt,56.7pt" to="124pt,85.05pt" w14:anchorId="5565B1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v:stroke joinstyle="miter"/>
              <w10:wrap anchorx="margin" anchory="page"/>
            </v:line>
          </w:pict>
        </mc:Fallback>
      </mc:AlternateContent>
    </w:r>
    <w:r w:rsidR="00836DFD" w:rsidRPr="000321A6">
      <w:rPr>
        <w:noProof/>
      </w:rPr>
      <w:drawing>
        <wp:anchor distT="0" distB="0" distL="114300" distR="114300" simplePos="0" relativeHeight="251658240" behindDoc="0" locked="0" layoutInCell="1" allowOverlap="1" wp14:anchorId="44BCCCED" wp14:editId="6EFA1D0C">
          <wp:simplePos x="0" y="0"/>
          <wp:positionH relativeFrom="page">
            <wp:posOffset>0</wp:posOffset>
          </wp:positionH>
          <wp:positionV relativeFrom="page">
            <wp:posOffset>0</wp:posOffset>
          </wp:positionV>
          <wp:extent cx="7617600" cy="558000"/>
          <wp:effectExtent l="0" t="0" r="2540" b="0"/>
          <wp:wrapTopAndBottom/>
          <wp:docPr id="17487508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sidR="00836DFD">
      <w:rPr>
        <w:noProof/>
        <w14:ligatures w14:val="standardContextual"/>
      </w:rPr>
      <w:drawing>
        <wp:anchor distT="0" distB="0" distL="114300" distR="114300" simplePos="0" relativeHeight="251658241" behindDoc="0" locked="0" layoutInCell="1" allowOverlap="1" wp14:anchorId="374F0A89" wp14:editId="15E64BD3">
          <wp:simplePos x="0" y="0"/>
          <wp:positionH relativeFrom="page">
            <wp:posOffset>742950</wp:posOffset>
          </wp:positionH>
          <wp:positionV relativeFrom="page">
            <wp:posOffset>558165</wp:posOffset>
          </wp:positionV>
          <wp:extent cx="1728000" cy="698400"/>
          <wp:effectExtent l="0" t="0" r="5715" b="6985"/>
          <wp:wrapSquare wrapText="bothSides"/>
          <wp:docPr id="1085835722"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00691C60" w:rsidRPr="003603A0">
      <w:rPr>
        <w:lang w:val="pt-PT"/>
      </w:rPr>
      <w:tab/>
    </w:r>
  </w:p>
  <w:p w14:paraId="767A3987" w14:textId="6A8C95B6" w:rsidR="006D0900" w:rsidRPr="003603A0" w:rsidRDefault="00624A6E" w:rsidP="003603A0">
    <w:pPr>
      <w:pStyle w:val="IPPHeader"/>
      <w:tabs>
        <w:tab w:val="clear" w:pos="1134"/>
      </w:tabs>
      <w:spacing w:after="0"/>
      <w:rPr>
        <w:lang w:val="pt-PT"/>
      </w:rPr>
    </w:pPr>
    <w:r w:rsidRPr="003603A0">
      <w:rPr>
        <w:lang w:val="pt-PT"/>
      </w:rPr>
      <w:tab/>
    </w:r>
  </w:p>
  <w:p w14:paraId="745416EF" w14:textId="77777777" w:rsidR="0082103C" w:rsidRPr="003603A0" w:rsidRDefault="0082103C" w:rsidP="003603A0">
    <w:pPr>
      <w:pStyle w:val="IPPHeader"/>
      <w:tabs>
        <w:tab w:val="clear" w:pos="1134"/>
      </w:tabs>
      <w:spacing w:after="260"/>
      <w:rPr>
        <w:lang w:val="pt-PT"/>
      </w:rPr>
    </w:pPr>
  </w:p>
  <w:p w14:paraId="4C94791D" w14:textId="366CD680" w:rsidR="0082103C" w:rsidRPr="0076596B" w:rsidRDefault="00FB2370" w:rsidP="003603A0">
    <w:pPr>
      <w:pStyle w:val="IPPHeader"/>
      <w:tabs>
        <w:tab w:val="clear" w:pos="1134"/>
      </w:tabs>
      <w:spacing w:after="0"/>
    </w:pPr>
    <w:r w:rsidRPr="00FB2370">
      <w:t xml:space="preserve">Proposal to Extend the Mandate of the </w:t>
    </w:r>
    <w:r w:rsidR="00262B8C" w:rsidRPr="00FB2370">
      <w:t xml:space="preserve">CPM </w:t>
    </w:r>
    <w:r w:rsidR="00262B8C">
      <w:t>FG PHOH</w:t>
    </w:r>
  </w:p>
  <w:bookmarkEnd w:id="2"/>
  <w:bookmarkEnd w:id="3"/>
  <w:p w14:paraId="797E80E8" w14:textId="690D27EF" w:rsidR="006D0900" w:rsidRDefault="006D0900" w:rsidP="003603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33C1" w14:textId="0DD9514B" w:rsidR="0077142E" w:rsidRPr="0077142E" w:rsidRDefault="00B0047E" w:rsidP="00482D62">
    <w:pPr>
      <w:pStyle w:val="IPPHeader"/>
    </w:pPr>
    <w:r>
      <w:t>10</w:t>
    </w:r>
    <w:r w:rsidR="00B86E84">
      <w:t>_SC_</w:t>
    </w:r>
    <w:r w:rsidR="00BD6E0C">
      <w:t>Nov</w:t>
    </w:r>
    <w:r w:rsidR="00B86E84">
      <w:t>_2017 (</w:t>
    </w:r>
    <w:r>
      <w:t>9</w:t>
    </w:r>
    <w:r w:rsidR="00BD6E0C">
      <w:t>.</w:t>
    </w:r>
    <w:r>
      <w:t>1</w:t>
    </w:r>
    <w:r w:rsidR="00B86E84">
      <w:t>)</w:t>
    </w:r>
    <w:r w:rsidR="00B86E84">
      <w:tab/>
    </w:r>
    <w:r w:rsidR="00482D62" w:rsidRPr="00287312">
      <w:rPr>
        <w:bCs/>
        <w:i/>
        <w:iCs/>
        <w:szCs w:val="18"/>
        <w:lang w:val="en-GB"/>
      </w:rPr>
      <w:t>Guidelines for a</w:t>
    </w:r>
    <w:r w:rsidR="00482D62">
      <w:rPr>
        <w:bCs/>
        <w:i/>
        <w:iCs/>
        <w:szCs w:val="18"/>
        <w:lang w:val="en-GB"/>
      </w:rPr>
      <w:t xml:space="preserve"> consistent ISPM terminology</w:t>
    </w:r>
    <w:r w:rsidR="00482D62" w:rsidRPr="00645242" w:rsidDel="003B10F8">
      <w:rPr>
        <w:szCs w:val="1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FF70F" w14:textId="280FF17E" w:rsidR="002B4ADC" w:rsidRPr="002B4ADC" w:rsidRDefault="00482D62">
    <w:pPr>
      <w:pStyle w:val="IPPHeader"/>
    </w:pPr>
    <w:r w:rsidRPr="00482D62">
      <w:rPr>
        <w:bCs/>
        <w:i/>
        <w:iCs/>
        <w:szCs w:val="18"/>
        <w:lang w:val="en-GB"/>
      </w:rPr>
      <w:t xml:space="preserve"> </w:t>
    </w:r>
    <w:r w:rsidR="002768F3">
      <w:rPr>
        <w:lang w:val="pt-PT"/>
      </w:rPr>
      <w:t>CPM 2026/N.N (N.N)</w:t>
    </w:r>
    <w:r w:rsidR="002768F3">
      <w:tab/>
    </w:r>
    <w:r w:rsidR="002768F3">
      <w:rPr>
        <w:bCs/>
        <w:i/>
        <w:iCs/>
        <w:szCs w:val="18"/>
        <w:lang w:val="en-GB"/>
      </w:rPr>
      <w:t>Document title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B305E" w14:textId="6FA3B976" w:rsidR="00793538" w:rsidRPr="002B4ADC" w:rsidRDefault="00E22746">
    <w:pPr>
      <w:pStyle w:val="IPPHeader"/>
    </w:pPr>
    <w:bookmarkStart w:id="4" w:name="_Hlk38797139"/>
    <w:r>
      <w:rPr>
        <w:lang w:val="pt-PT"/>
      </w:rPr>
      <w:t>CPM 202</w:t>
    </w:r>
    <w:r w:rsidR="005B3410">
      <w:rPr>
        <w:lang w:val="pt-PT"/>
      </w:rPr>
      <w:t>6</w:t>
    </w:r>
    <w:r>
      <w:rPr>
        <w:lang w:val="pt-PT"/>
      </w:rPr>
      <w:t>/</w:t>
    </w:r>
    <w:r w:rsidR="00C621ED">
      <w:rPr>
        <w:lang w:val="pt-PT"/>
      </w:rPr>
      <w:t>N.N</w:t>
    </w:r>
    <w:r w:rsidR="005B3410">
      <w:rPr>
        <w:lang w:val="pt-PT"/>
      </w:rPr>
      <w:t xml:space="preserve"> (N.N)</w:t>
    </w:r>
    <w:r w:rsidR="00482D62">
      <w:tab/>
    </w:r>
    <w:r w:rsidR="005E53FD" w:rsidRPr="00F77092">
      <w:rPr>
        <w:bCs/>
        <w:szCs w:val="18"/>
        <w:lang w:val="en-GB"/>
      </w:rPr>
      <w:t>Document title</w:t>
    </w:r>
  </w:p>
  <w:bookmarkEnd w:id="4"/>
  <w:p w14:paraId="28E073DB" w14:textId="77777777" w:rsidR="00F022D3" w:rsidRPr="00F022D3" w:rsidRDefault="00F022D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7F21DA5"/>
    <w:multiLevelType w:val="multilevel"/>
    <w:tmpl w:val="FFD885F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225FCE"/>
    <w:multiLevelType w:val="hybridMultilevel"/>
    <w:tmpl w:val="571A1CD6"/>
    <w:lvl w:ilvl="0" w:tplc="CF2206FC">
      <w:start w:val="18"/>
      <w:numFmt w:val="bullet"/>
      <w:lvlText w:val="-"/>
      <w:lvlJc w:val="left"/>
      <w:pPr>
        <w:ind w:left="720" w:hanging="360"/>
      </w:pPr>
      <w:rPr>
        <w:rFonts w:ascii="Aptos" w:eastAsiaTheme="minorHAnsi" w:hAnsi="Aptos" w:cstheme="minorBidi"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E5180"/>
    <w:multiLevelType w:val="multilevel"/>
    <w:tmpl w:val="A7D4E4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76623247">
    <w:abstractNumId w:val="9"/>
  </w:num>
  <w:num w:numId="2" w16cid:durableId="315455127">
    <w:abstractNumId w:val="1"/>
  </w:num>
  <w:num w:numId="3" w16cid:durableId="79520713">
    <w:abstractNumId w:val="4"/>
  </w:num>
  <w:num w:numId="4" w16cid:durableId="1577280186">
    <w:abstractNumId w:val="7"/>
  </w:num>
  <w:num w:numId="5" w16cid:durableId="280763718">
    <w:abstractNumId w:val="15"/>
  </w:num>
  <w:num w:numId="6" w16cid:durableId="1292903261">
    <w:abstractNumId w:val="3"/>
  </w:num>
  <w:num w:numId="7" w16cid:durableId="638847168">
    <w:abstractNumId w:val="2"/>
  </w:num>
  <w:num w:numId="8" w16cid:durableId="604775870">
    <w:abstractNumId w:val="8"/>
  </w:num>
  <w:num w:numId="9" w16cid:durableId="1256212346">
    <w:abstractNumId w:val="18"/>
  </w:num>
  <w:num w:numId="10" w16cid:durableId="1827739327">
    <w:abstractNumId w:val="14"/>
  </w:num>
  <w:num w:numId="11" w16cid:durableId="1137603254">
    <w:abstractNumId w:val="11"/>
  </w:num>
  <w:num w:numId="12" w16cid:durableId="292568007">
    <w:abstractNumId w:val="20"/>
  </w:num>
  <w:num w:numId="13" w16cid:durableId="1542935101">
    <w:abstractNumId w:val="5"/>
  </w:num>
  <w:num w:numId="14" w16cid:durableId="13672421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1463810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45510656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20941946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204081615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00401778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1026908355">
    <w:abstractNumId w:val="0"/>
  </w:num>
  <w:num w:numId="21" w16cid:durableId="625546059">
    <w:abstractNumId w:val="12"/>
  </w:num>
  <w:num w:numId="22" w16cid:durableId="1200246193">
    <w:abstractNumId w:val="17"/>
  </w:num>
  <w:num w:numId="23" w16cid:durableId="1902210887">
    <w:abstractNumId w:val="13"/>
  </w:num>
  <w:num w:numId="24" w16cid:durableId="748574246">
    <w:abstractNumId w:val="10"/>
  </w:num>
  <w:num w:numId="25" w16cid:durableId="1472794627">
    <w:abstractNumId w:val="6"/>
  </w:num>
  <w:num w:numId="26" w16cid:durableId="643704443">
    <w:abstractNumId w:val="19"/>
  </w:num>
  <w:num w:numId="27" w16cid:durableId="722370324">
    <w:abstractNumId w:val="16"/>
  </w:num>
  <w:num w:numId="28" w16cid:durableId="109590300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9512541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197460412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16cid:durableId="67824116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16cid:durableId="831905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16cid:durableId="75046865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16cid:durableId="170382204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16cid:durableId="94753986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16cid:durableId="47364357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16cid:durableId="179945188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16cid:durableId="821119166">
    <w:abstractNumId w:val="0"/>
  </w:num>
  <w:num w:numId="39" w16cid:durableId="1973779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DB5"/>
    <w:rsid w:val="00003F94"/>
    <w:rsid w:val="00004E11"/>
    <w:rsid w:val="00014866"/>
    <w:rsid w:val="00072256"/>
    <w:rsid w:val="000736E7"/>
    <w:rsid w:val="0007693F"/>
    <w:rsid w:val="00081FF7"/>
    <w:rsid w:val="0008C8E0"/>
    <w:rsid w:val="00091B7C"/>
    <w:rsid w:val="000A5ED7"/>
    <w:rsid w:val="000D4C87"/>
    <w:rsid w:val="000E0A7F"/>
    <w:rsid w:val="000E431B"/>
    <w:rsid w:val="000E482C"/>
    <w:rsid w:val="000F4448"/>
    <w:rsid w:val="000F6B05"/>
    <w:rsid w:val="0010283E"/>
    <w:rsid w:val="001232F2"/>
    <w:rsid w:val="00123FC3"/>
    <w:rsid w:val="00124E7C"/>
    <w:rsid w:val="00127741"/>
    <w:rsid w:val="00131678"/>
    <w:rsid w:val="00134147"/>
    <w:rsid w:val="001354B7"/>
    <w:rsid w:val="0013610C"/>
    <w:rsid w:val="0016647C"/>
    <w:rsid w:val="0017633E"/>
    <w:rsid w:val="00180609"/>
    <w:rsid w:val="001938B6"/>
    <w:rsid w:val="001B057D"/>
    <w:rsid w:val="001C08A5"/>
    <w:rsid w:val="001D2C99"/>
    <w:rsid w:val="001D4518"/>
    <w:rsid w:val="001E1212"/>
    <w:rsid w:val="001E47C3"/>
    <w:rsid w:val="001E6302"/>
    <w:rsid w:val="001F0B9A"/>
    <w:rsid w:val="0021005C"/>
    <w:rsid w:val="002246D8"/>
    <w:rsid w:val="00231FAB"/>
    <w:rsid w:val="00243031"/>
    <w:rsid w:val="00244FE8"/>
    <w:rsid w:val="00255E3A"/>
    <w:rsid w:val="00262B8C"/>
    <w:rsid w:val="00273CD7"/>
    <w:rsid w:val="00274435"/>
    <w:rsid w:val="002768F3"/>
    <w:rsid w:val="0028413E"/>
    <w:rsid w:val="00285635"/>
    <w:rsid w:val="00287312"/>
    <w:rsid w:val="002953AA"/>
    <w:rsid w:val="002A22CB"/>
    <w:rsid w:val="002A780E"/>
    <w:rsid w:val="002B3206"/>
    <w:rsid w:val="002B4ADC"/>
    <w:rsid w:val="002D0488"/>
    <w:rsid w:val="002E0A14"/>
    <w:rsid w:val="002E1F8C"/>
    <w:rsid w:val="002F5118"/>
    <w:rsid w:val="00304DFA"/>
    <w:rsid w:val="003065A6"/>
    <w:rsid w:val="00310617"/>
    <w:rsid w:val="00314F05"/>
    <w:rsid w:val="00332504"/>
    <w:rsid w:val="0033372E"/>
    <w:rsid w:val="003355DD"/>
    <w:rsid w:val="0035120A"/>
    <w:rsid w:val="00351511"/>
    <w:rsid w:val="003515FB"/>
    <w:rsid w:val="003603A0"/>
    <w:rsid w:val="00366CA9"/>
    <w:rsid w:val="0037317D"/>
    <w:rsid w:val="00373B16"/>
    <w:rsid w:val="00385372"/>
    <w:rsid w:val="0038629A"/>
    <w:rsid w:val="00387DEC"/>
    <w:rsid w:val="00390CB7"/>
    <w:rsid w:val="00391F60"/>
    <w:rsid w:val="00392DB2"/>
    <w:rsid w:val="003B019A"/>
    <w:rsid w:val="003B03DF"/>
    <w:rsid w:val="003B10F8"/>
    <w:rsid w:val="003B13B8"/>
    <w:rsid w:val="003C1A3F"/>
    <w:rsid w:val="003C7289"/>
    <w:rsid w:val="003D72AD"/>
    <w:rsid w:val="003E15F6"/>
    <w:rsid w:val="003E28FF"/>
    <w:rsid w:val="003F3380"/>
    <w:rsid w:val="003F75BF"/>
    <w:rsid w:val="00415851"/>
    <w:rsid w:val="00416496"/>
    <w:rsid w:val="0043062D"/>
    <w:rsid w:val="004330E1"/>
    <w:rsid w:val="00434EB1"/>
    <w:rsid w:val="00434F31"/>
    <w:rsid w:val="00436A50"/>
    <w:rsid w:val="0044B316"/>
    <w:rsid w:val="004526C3"/>
    <w:rsid w:val="00453F02"/>
    <w:rsid w:val="00476790"/>
    <w:rsid w:val="004808AE"/>
    <w:rsid w:val="00481237"/>
    <w:rsid w:val="00482D62"/>
    <w:rsid w:val="004843E3"/>
    <w:rsid w:val="00486572"/>
    <w:rsid w:val="004B42E2"/>
    <w:rsid w:val="004B5F82"/>
    <w:rsid w:val="004B6DAE"/>
    <w:rsid w:val="004C2C27"/>
    <w:rsid w:val="004D4785"/>
    <w:rsid w:val="004E1912"/>
    <w:rsid w:val="004E495E"/>
    <w:rsid w:val="004F335C"/>
    <w:rsid w:val="004F59FE"/>
    <w:rsid w:val="00513212"/>
    <w:rsid w:val="00515A5B"/>
    <w:rsid w:val="00520FA0"/>
    <w:rsid w:val="005260C8"/>
    <w:rsid w:val="00533145"/>
    <w:rsid w:val="0054044E"/>
    <w:rsid w:val="00544F73"/>
    <w:rsid w:val="005659F7"/>
    <w:rsid w:val="00571CDB"/>
    <w:rsid w:val="0057377B"/>
    <w:rsid w:val="00582BB1"/>
    <w:rsid w:val="005A06E6"/>
    <w:rsid w:val="005B3410"/>
    <w:rsid w:val="005D4576"/>
    <w:rsid w:val="005E3BCC"/>
    <w:rsid w:val="005E53FD"/>
    <w:rsid w:val="005E71C5"/>
    <w:rsid w:val="005F2415"/>
    <w:rsid w:val="005F2694"/>
    <w:rsid w:val="0061684D"/>
    <w:rsid w:val="00620009"/>
    <w:rsid w:val="00624A6E"/>
    <w:rsid w:val="006361B3"/>
    <w:rsid w:val="00640F9F"/>
    <w:rsid w:val="00645242"/>
    <w:rsid w:val="00653165"/>
    <w:rsid w:val="006600EC"/>
    <w:rsid w:val="00676509"/>
    <w:rsid w:val="00691C60"/>
    <w:rsid w:val="006938AD"/>
    <w:rsid w:val="006A56E7"/>
    <w:rsid w:val="006B6EE7"/>
    <w:rsid w:val="006D0900"/>
    <w:rsid w:val="006E4A9E"/>
    <w:rsid w:val="006F56A9"/>
    <w:rsid w:val="0070078F"/>
    <w:rsid w:val="00701D4C"/>
    <w:rsid w:val="00707AEF"/>
    <w:rsid w:val="007230F9"/>
    <w:rsid w:val="00727BF8"/>
    <w:rsid w:val="00751D88"/>
    <w:rsid w:val="00751F23"/>
    <w:rsid w:val="007554FC"/>
    <w:rsid w:val="0076596B"/>
    <w:rsid w:val="0077142E"/>
    <w:rsid w:val="00774131"/>
    <w:rsid w:val="007747A6"/>
    <w:rsid w:val="0078622C"/>
    <w:rsid w:val="00787E7E"/>
    <w:rsid w:val="00793538"/>
    <w:rsid w:val="007A3727"/>
    <w:rsid w:val="007A48D3"/>
    <w:rsid w:val="007A5F00"/>
    <w:rsid w:val="007A7BFD"/>
    <w:rsid w:val="007B2907"/>
    <w:rsid w:val="007B3668"/>
    <w:rsid w:val="007D22B6"/>
    <w:rsid w:val="007F4518"/>
    <w:rsid w:val="00804A4B"/>
    <w:rsid w:val="0082103C"/>
    <w:rsid w:val="00824C82"/>
    <w:rsid w:val="00825A18"/>
    <w:rsid w:val="008272A5"/>
    <w:rsid w:val="00831E5F"/>
    <w:rsid w:val="00836DFD"/>
    <w:rsid w:val="00842F33"/>
    <w:rsid w:val="008439F2"/>
    <w:rsid w:val="00843E67"/>
    <w:rsid w:val="00844081"/>
    <w:rsid w:val="008548BA"/>
    <w:rsid w:val="00855A01"/>
    <w:rsid w:val="00891247"/>
    <w:rsid w:val="00893A93"/>
    <w:rsid w:val="00894BE4"/>
    <w:rsid w:val="008C0DE8"/>
    <w:rsid w:val="008D3890"/>
    <w:rsid w:val="008F731D"/>
    <w:rsid w:val="00913B5C"/>
    <w:rsid w:val="00914598"/>
    <w:rsid w:val="00931362"/>
    <w:rsid w:val="00935DEE"/>
    <w:rsid w:val="00945EC6"/>
    <w:rsid w:val="00946589"/>
    <w:rsid w:val="009558B1"/>
    <w:rsid w:val="00966AAE"/>
    <w:rsid w:val="00973D2F"/>
    <w:rsid w:val="00975CB6"/>
    <w:rsid w:val="009806E7"/>
    <w:rsid w:val="009879C6"/>
    <w:rsid w:val="00987CB3"/>
    <w:rsid w:val="0099462F"/>
    <w:rsid w:val="00995148"/>
    <w:rsid w:val="009A3FDC"/>
    <w:rsid w:val="009A4B45"/>
    <w:rsid w:val="009C0664"/>
    <w:rsid w:val="009C20F6"/>
    <w:rsid w:val="009C26E7"/>
    <w:rsid w:val="009E017C"/>
    <w:rsid w:val="009E7E1C"/>
    <w:rsid w:val="009F0EE6"/>
    <w:rsid w:val="009F3378"/>
    <w:rsid w:val="00A036A9"/>
    <w:rsid w:val="00A05970"/>
    <w:rsid w:val="00A06912"/>
    <w:rsid w:val="00A06BE4"/>
    <w:rsid w:val="00A62EC4"/>
    <w:rsid w:val="00A81F48"/>
    <w:rsid w:val="00A81FD8"/>
    <w:rsid w:val="00A8305B"/>
    <w:rsid w:val="00AA3B4E"/>
    <w:rsid w:val="00AA4F7E"/>
    <w:rsid w:val="00AC542F"/>
    <w:rsid w:val="00AD1FB4"/>
    <w:rsid w:val="00AD2010"/>
    <w:rsid w:val="00AD413D"/>
    <w:rsid w:val="00AD7D36"/>
    <w:rsid w:val="00AE0CB3"/>
    <w:rsid w:val="00AE7C80"/>
    <w:rsid w:val="00B0047E"/>
    <w:rsid w:val="00B01B79"/>
    <w:rsid w:val="00B05CFF"/>
    <w:rsid w:val="00B07AAA"/>
    <w:rsid w:val="00B113A6"/>
    <w:rsid w:val="00B16749"/>
    <w:rsid w:val="00B26376"/>
    <w:rsid w:val="00B3545B"/>
    <w:rsid w:val="00B379CB"/>
    <w:rsid w:val="00B40AB3"/>
    <w:rsid w:val="00B424C3"/>
    <w:rsid w:val="00B5454D"/>
    <w:rsid w:val="00B606D8"/>
    <w:rsid w:val="00B775E9"/>
    <w:rsid w:val="00B8388A"/>
    <w:rsid w:val="00B86E84"/>
    <w:rsid w:val="00B93292"/>
    <w:rsid w:val="00B93839"/>
    <w:rsid w:val="00B959FB"/>
    <w:rsid w:val="00B95EF8"/>
    <w:rsid w:val="00BA64A4"/>
    <w:rsid w:val="00BC260B"/>
    <w:rsid w:val="00BC29B0"/>
    <w:rsid w:val="00BD3BAC"/>
    <w:rsid w:val="00BD6E0C"/>
    <w:rsid w:val="00BE2460"/>
    <w:rsid w:val="00BF1620"/>
    <w:rsid w:val="00C060FE"/>
    <w:rsid w:val="00C0D77D"/>
    <w:rsid w:val="00C10D0D"/>
    <w:rsid w:val="00C11B8D"/>
    <w:rsid w:val="00C14839"/>
    <w:rsid w:val="00C26A35"/>
    <w:rsid w:val="00C32EF7"/>
    <w:rsid w:val="00C621ED"/>
    <w:rsid w:val="00C64A47"/>
    <w:rsid w:val="00C64FBF"/>
    <w:rsid w:val="00C77CB7"/>
    <w:rsid w:val="00C916BA"/>
    <w:rsid w:val="00C96801"/>
    <w:rsid w:val="00C97F75"/>
    <w:rsid w:val="00CA0889"/>
    <w:rsid w:val="00CA3DB5"/>
    <w:rsid w:val="00CB1BBC"/>
    <w:rsid w:val="00CE5647"/>
    <w:rsid w:val="00CF1ED0"/>
    <w:rsid w:val="00CF260B"/>
    <w:rsid w:val="00D128ED"/>
    <w:rsid w:val="00D13C0F"/>
    <w:rsid w:val="00D21A3F"/>
    <w:rsid w:val="00D33F6B"/>
    <w:rsid w:val="00D34782"/>
    <w:rsid w:val="00D4566F"/>
    <w:rsid w:val="00D46BF8"/>
    <w:rsid w:val="00D5376A"/>
    <w:rsid w:val="00D60D3F"/>
    <w:rsid w:val="00D66F0E"/>
    <w:rsid w:val="00D746C8"/>
    <w:rsid w:val="00D77A0B"/>
    <w:rsid w:val="00D80811"/>
    <w:rsid w:val="00D84789"/>
    <w:rsid w:val="00D86157"/>
    <w:rsid w:val="00DA6BC6"/>
    <w:rsid w:val="00DB167F"/>
    <w:rsid w:val="00DC1F71"/>
    <w:rsid w:val="00DE561D"/>
    <w:rsid w:val="00E01D1B"/>
    <w:rsid w:val="00E12426"/>
    <w:rsid w:val="00E22746"/>
    <w:rsid w:val="00E352B5"/>
    <w:rsid w:val="00E354FA"/>
    <w:rsid w:val="00E55132"/>
    <w:rsid w:val="00E5745D"/>
    <w:rsid w:val="00E7536E"/>
    <w:rsid w:val="00EA0760"/>
    <w:rsid w:val="00EA0F11"/>
    <w:rsid w:val="00EA164B"/>
    <w:rsid w:val="00EA4FD6"/>
    <w:rsid w:val="00EA5FE8"/>
    <w:rsid w:val="00EB0554"/>
    <w:rsid w:val="00ED684E"/>
    <w:rsid w:val="00EE4792"/>
    <w:rsid w:val="00EF2968"/>
    <w:rsid w:val="00F00A1A"/>
    <w:rsid w:val="00F022D3"/>
    <w:rsid w:val="00F07092"/>
    <w:rsid w:val="00F135D7"/>
    <w:rsid w:val="00F14A9F"/>
    <w:rsid w:val="00F363AF"/>
    <w:rsid w:val="00F4451B"/>
    <w:rsid w:val="00F60065"/>
    <w:rsid w:val="00F72965"/>
    <w:rsid w:val="00F7417C"/>
    <w:rsid w:val="00F760EF"/>
    <w:rsid w:val="00F77092"/>
    <w:rsid w:val="00F8401C"/>
    <w:rsid w:val="00F874C9"/>
    <w:rsid w:val="00F90C06"/>
    <w:rsid w:val="00FA5B40"/>
    <w:rsid w:val="00FA7056"/>
    <w:rsid w:val="00FB2370"/>
    <w:rsid w:val="00FB75CA"/>
    <w:rsid w:val="00FC5CA9"/>
    <w:rsid w:val="00FD4689"/>
    <w:rsid w:val="00FD4CE6"/>
    <w:rsid w:val="00FD5D0E"/>
    <w:rsid w:val="00FE0A89"/>
    <w:rsid w:val="00FE2587"/>
    <w:rsid w:val="03655925"/>
    <w:rsid w:val="03B348DA"/>
    <w:rsid w:val="04944F6C"/>
    <w:rsid w:val="056FD78E"/>
    <w:rsid w:val="05EF1478"/>
    <w:rsid w:val="06659B9A"/>
    <w:rsid w:val="06738CB3"/>
    <w:rsid w:val="06BF157F"/>
    <w:rsid w:val="06C58BF7"/>
    <w:rsid w:val="076157B3"/>
    <w:rsid w:val="076EDAC7"/>
    <w:rsid w:val="08603019"/>
    <w:rsid w:val="08D92521"/>
    <w:rsid w:val="0A72E829"/>
    <w:rsid w:val="0AA3A5F0"/>
    <w:rsid w:val="0BA055EF"/>
    <w:rsid w:val="0C17B042"/>
    <w:rsid w:val="0C35BE45"/>
    <w:rsid w:val="0DA87115"/>
    <w:rsid w:val="0E14DA1D"/>
    <w:rsid w:val="0ECF86FB"/>
    <w:rsid w:val="0F43167B"/>
    <w:rsid w:val="0F6932F6"/>
    <w:rsid w:val="0FC6B362"/>
    <w:rsid w:val="102C9B97"/>
    <w:rsid w:val="10923B32"/>
    <w:rsid w:val="1119F037"/>
    <w:rsid w:val="12F0E395"/>
    <w:rsid w:val="12F16E20"/>
    <w:rsid w:val="12F5733C"/>
    <w:rsid w:val="1347845F"/>
    <w:rsid w:val="140A3E81"/>
    <w:rsid w:val="1430E856"/>
    <w:rsid w:val="149F7DC6"/>
    <w:rsid w:val="153FA840"/>
    <w:rsid w:val="15904D19"/>
    <w:rsid w:val="16044E5E"/>
    <w:rsid w:val="17A53A85"/>
    <w:rsid w:val="17D8DCAE"/>
    <w:rsid w:val="18D883C0"/>
    <w:rsid w:val="19065D07"/>
    <w:rsid w:val="1A831F59"/>
    <w:rsid w:val="1A8BFA84"/>
    <w:rsid w:val="1BED8442"/>
    <w:rsid w:val="1C67CE41"/>
    <w:rsid w:val="1C6A48B7"/>
    <w:rsid w:val="1D1E00C4"/>
    <w:rsid w:val="1DB7F5A1"/>
    <w:rsid w:val="1F862751"/>
    <w:rsid w:val="2038442A"/>
    <w:rsid w:val="2078B7AF"/>
    <w:rsid w:val="21BA6587"/>
    <w:rsid w:val="21E95AFD"/>
    <w:rsid w:val="227ECAB9"/>
    <w:rsid w:val="228417AB"/>
    <w:rsid w:val="2346BCC7"/>
    <w:rsid w:val="242D5904"/>
    <w:rsid w:val="24EA8A2F"/>
    <w:rsid w:val="25966FEB"/>
    <w:rsid w:val="2603D043"/>
    <w:rsid w:val="268833B7"/>
    <w:rsid w:val="27C2CA81"/>
    <w:rsid w:val="27C3BD8D"/>
    <w:rsid w:val="28AF9FA5"/>
    <w:rsid w:val="2A0AF435"/>
    <w:rsid w:val="2A14947F"/>
    <w:rsid w:val="2A1C1A74"/>
    <w:rsid w:val="2A880740"/>
    <w:rsid w:val="2B6B6F51"/>
    <w:rsid w:val="2BF8F6EF"/>
    <w:rsid w:val="2C4216CA"/>
    <w:rsid w:val="2CECDD83"/>
    <w:rsid w:val="2D193262"/>
    <w:rsid w:val="2DC61512"/>
    <w:rsid w:val="2E8ADC36"/>
    <w:rsid w:val="2EB860D3"/>
    <w:rsid w:val="2FA41FD7"/>
    <w:rsid w:val="3012DB78"/>
    <w:rsid w:val="30E7C804"/>
    <w:rsid w:val="313D9B47"/>
    <w:rsid w:val="31609A47"/>
    <w:rsid w:val="3184863E"/>
    <w:rsid w:val="32670FD5"/>
    <w:rsid w:val="3332E0EE"/>
    <w:rsid w:val="333E24E4"/>
    <w:rsid w:val="3349743E"/>
    <w:rsid w:val="341629F6"/>
    <w:rsid w:val="347F7C6F"/>
    <w:rsid w:val="359BDA32"/>
    <w:rsid w:val="35FE2B69"/>
    <w:rsid w:val="371BD9CD"/>
    <w:rsid w:val="37B4F9A1"/>
    <w:rsid w:val="37C6ED5D"/>
    <w:rsid w:val="37D07B32"/>
    <w:rsid w:val="37E1CB99"/>
    <w:rsid w:val="38BA19BA"/>
    <w:rsid w:val="38F2C2EF"/>
    <w:rsid w:val="39F0E277"/>
    <w:rsid w:val="39F1DB35"/>
    <w:rsid w:val="3A79B17B"/>
    <w:rsid w:val="3B257169"/>
    <w:rsid w:val="3BF62B8A"/>
    <w:rsid w:val="3D20ED37"/>
    <w:rsid w:val="3D7E70C0"/>
    <w:rsid w:val="3E2AAE34"/>
    <w:rsid w:val="3ECA39B2"/>
    <w:rsid w:val="3F0F9D54"/>
    <w:rsid w:val="3F6379C5"/>
    <w:rsid w:val="3FE39C37"/>
    <w:rsid w:val="411F413D"/>
    <w:rsid w:val="42724BE0"/>
    <w:rsid w:val="4343938A"/>
    <w:rsid w:val="437C1927"/>
    <w:rsid w:val="4397E80D"/>
    <w:rsid w:val="4410B85B"/>
    <w:rsid w:val="447C8EBC"/>
    <w:rsid w:val="44BC5B8C"/>
    <w:rsid w:val="44C5B39F"/>
    <w:rsid w:val="44DA9F0D"/>
    <w:rsid w:val="4561BD80"/>
    <w:rsid w:val="4595668F"/>
    <w:rsid w:val="45C7C70E"/>
    <w:rsid w:val="45E95F13"/>
    <w:rsid w:val="4692AAEE"/>
    <w:rsid w:val="46C515A7"/>
    <w:rsid w:val="47814E18"/>
    <w:rsid w:val="48190863"/>
    <w:rsid w:val="489DBB34"/>
    <w:rsid w:val="48B41F51"/>
    <w:rsid w:val="4A0BF301"/>
    <w:rsid w:val="4A23DE11"/>
    <w:rsid w:val="4ADDBD55"/>
    <w:rsid w:val="4BD8CCAB"/>
    <w:rsid w:val="4CED5B68"/>
    <w:rsid w:val="4D8306FE"/>
    <w:rsid w:val="4E993452"/>
    <w:rsid w:val="4EC0FA67"/>
    <w:rsid w:val="4EC53C97"/>
    <w:rsid w:val="4F3A11F4"/>
    <w:rsid w:val="4F6B90CE"/>
    <w:rsid w:val="502AEF6A"/>
    <w:rsid w:val="504FD6C2"/>
    <w:rsid w:val="506A2630"/>
    <w:rsid w:val="50B1CA8C"/>
    <w:rsid w:val="51131DAF"/>
    <w:rsid w:val="511906B3"/>
    <w:rsid w:val="514909FD"/>
    <w:rsid w:val="51D28A28"/>
    <w:rsid w:val="51DD1949"/>
    <w:rsid w:val="53203895"/>
    <w:rsid w:val="53489D1E"/>
    <w:rsid w:val="53EDF2E1"/>
    <w:rsid w:val="542A77AA"/>
    <w:rsid w:val="54C55004"/>
    <w:rsid w:val="54E70A91"/>
    <w:rsid w:val="556D9EF0"/>
    <w:rsid w:val="55755659"/>
    <w:rsid w:val="560E5AC4"/>
    <w:rsid w:val="5680F3F3"/>
    <w:rsid w:val="56D58B37"/>
    <w:rsid w:val="57E4A67B"/>
    <w:rsid w:val="58734038"/>
    <w:rsid w:val="5971CFD9"/>
    <w:rsid w:val="5A020BD9"/>
    <w:rsid w:val="5A236A20"/>
    <w:rsid w:val="5ABD2000"/>
    <w:rsid w:val="5B2942ED"/>
    <w:rsid w:val="5B80A4F8"/>
    <w:rsid w:val="5BE3506B"/>
    <w:rsid w:val="5C96BC89"/>
    <w:rsid w:val="5CE28230"/>
    <w:rsid w:val="5CE4045E"/>
    <w:rsid w:val="5CE6D33D"/>
    <w:rsid w:val="5D5B54BE"/>
    <w:rsid w:val="5E295836"/>
    <w:rsid w:val="5E5957D4"/>
    <w:rsid w:val="5F6FEC9B"/>
    <w:rsid w:val="5F84DABF"/>
    <w:rsid w:val="6009F265"/>
    <w:rsid w:val="608B5E1E"/>
    <w:rsid w:val="60AD2CCB"/>
    <w:rsid w:val="614E9A94"/>
    <w:rsid w:val="61CFA69A"/>
    <w:rsid w:val="6238FBB9"/>
    <w:rsid w:val="6256718C"/>
    <w:rsid w:val="62B5D0F1"/>
    <w:rsid w:val="62D6E8FC"/>
    <w:rsid w:val="630443E2"/>
    <w:rsid w:val="6372F218"/>
    <w:rsid w:val="645E5AE9"/>
    <w:rsid w:val="64C7ABE5"/>
    <w:rsid w:val="64F2ACBD"/>
    <w:rsid w:val="6527B38C"/>
    <w:rsid w:val="6534315D"/>
    <w:rsid w:val="657CDF0A"/>
    <w:rsid w:val="658A0D34"/>
    <w:rsid w:val="6591DAA6"/>
    <w:rsid w:val="674CDB55"/>
    <w:rsid w:val="677FA4F0"/>
    <w:rsid w:val="67BB4825"/>
    <w:rsid w:val="68E7686F"/>
    <w:rsid w:val="69DF213E"/>
    <w:rsid w:val="6A06D7F8"/>
    <w:rsid w:val="6AB40E69"/>
    <w:rsid w:val="6B045C61"/>
    <w:rsid w:val="6B12477A"/>
    <w:rsid w:val="6B79F996"/>
    <w:rsid w:val="6BC4F73A"/>
    <w:rsid w:val="6BDF2631"/>
    <w:rsid w:val="6C219C62"/>
    <w:rsid w:val="6C94D9E6"/>
    <w:rsid w:val="6DEDDBB5"/>
    <w:rsid w:val="6EFF9930"/>
    <w:rsid w:val="6F111D8D"/>
    <w:rsid w:val="6F483227"/>
    <w:rsid w:val="6FB83C38"/>
    <w:rsid w:val="6FD02DE0"/>
    <w:rsid w:val="703CB159"/>
    <w:rsid w:val="70C67C66"/>
    <w:rsid w:val="7179DFA0"/>
    <w:rsid w:val="719B0D3E"/>
    <w:rsid w:val="72104835"/>
    <w:rsid w:val="723033EE"/>
    <w:rsid w:val="72911ACB"/>
    <w:rsid w:val="72C4610E"/>
    <w:rsid w:val="731809EF"/>
    <w:rsid w:val="732CC32E"/>
    <w:rsid w:val="73FA3260"/>
    <w:rsid w:val="7446DEB1"/>
    <w:rsid w:val="7569766F"/>
    <w:rsid w:val="7598D227"/>
    <w:rsid w:val="75E8EF63"/>
    <w:rsid w:val="76668CB4"/>
    <w:rsid w:val="76A29A15"/>
    <w:rsid w:val="76E299A4"/>
    <w:rsid w:val="76FC05F9"/>
    <w:rsid w:val="77FAF402"/>
    <w:rsid w:val="783783A9"/>
    <w:rsid w:val="79DFD8AD"/>
    <w:rsid w:val="7AD6E992"/>
    <w:rsid w:val="7B2E13FD"/>
    <w:rsid w:val="7BE53741"/>
    <w:rsid w:val="7D45D414"/>
    <w:rsid w:val="7DFA55E3"/>
    <w:rsid w:val="7E067FED"/>
    <w:rsid w:val="7E1BC6BD"/>
    <w:rsid w:val="7F490C36"/>
    <w:rsid w:val="7FC60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FC1AE"/>
  <w15:chartTrackingRefBased/>
  <w15:docId w15:val="{FCC06945-9301-4DE7-ADA0-320047A71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CE6"/>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FD4CE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D4CE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D4CE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D4CE6"/>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D66F0E"/>
    <w:rPr>
      <w:sz w:val="16"/>
      <w:szCs w:val="16"/>
    </w:rPr>
  </w:style>
  <w:style w:type="paragraph" w:styleId="CommentText">
    <w:name w:val="annotation text"/>
    <w:basedOn w:val="Normal"/>
    <w:link w:val="CommentTextChar"/>
    <w:uiPriority w:val="99"/>
    <w:unhideWhenUsed/>
    <w:qFormat/>
    <w:rsid w:val="00D66F0E"/>
    <w:rPr>
      <w:sz w:val="20"/>
      <w:szCs w:val="20"/>
    </w:rPr>
  </w:style>
  <w:style w:type="character" w:customStyle="1" w:styleId="CommentTextChar">
    <w:name w:val="Comment Text Char"/>
    <w:basedOn w:val="DefaultParagraphFont"/>
    <w:link w:val="CommentText"/>
    <w:uiPriority w:val="99"/>
    <w:qFormat/>
    <w:rsid w:val="00D66F0E"/>
    <w:rPr>
      <w:sz w:val="20"/>
      <w:szCs w:val="20"/>
    </w:rPr>
  </w:style>
  <w:style w:type="paragraph" w:styleId="CommentSubject">
    <w:name w:val="annotation subject"/>
    <w:basedOn w:val="CommentText"/>
    <w:next w:val="CommentText"/>
    <w:link w:val="CommentSubjectChar"/>
    <w:uiPriority w:val="99"/>
    <w:semiHidden/>
    <w:unhideWhenUsed/>
    <w:rsid w:val="00D66F0E"/>
    <w:rPr>
      <w:b/>
      <w:bCs/>
    </w:rPr>
  </w:style>
  <w:style w:type="character" w:customStyle="1" w:styleId="CommentSubjectChar">
    <w:name w:val="Comment Subject Char"/>
    <w:basedOn w:val="CommentTextChar"/>
    <w:link w:val="CommentSubject"/>
    <w:uiPriority w:val="99"/>
    <w:semiHidden/>
    <w:rsid w:val="00D66F0E"/>
    <w:rPr>
      <w:b/>
      <w:bCs/>
      <w:sz w:val="20"/>
      <w:szCs w:val="20"/>
    </w:rPr>
  </w:style>
  <w:style w:type="paragraph" w:styleId="BalloonText">
    <w:name w:val="Balloon Text"/>
    <w:basedOn w:val="Normal"/>
    <w:link w:val="BalloonTextChar"/>
    <w:rsid w:val="00FD4CE6"/>
    <w:rPr>
      <w:rFonts w:ascii="Tahoma" w:hAnsi="Tahoma" w:cs="Tahoma"/>
      <w:sz w:val="16"/>
      <w:szCs w:val="16"/>
    </w:rPr>
  </w:style>
  <w:style w:type="character" w:customStyle="1" w:styleId="BalloonTextChar">
    <w:name w:val="Balloon Text Char"/>
    <w:basedOn w:val="DefaultParagraphFont"/>
    <w:link w:val="BalloonText"/>
    <w:rsid w:val="00FD4CE6"/>
    <w:rPr>
      <w:rFonts w:ascii="Tahoma" w:eastAsia="MS Mincho" w:hAnsi="Tahoma" w:cs="Tahoma"/>
      <w:sz w:val="16"/>
      <w:szCs w:val="16"/>
    </w:rPr>
  </w:style>
  <w:style w:type="character" w:customStyle="1" w:styleId="Heading1Char">
    <w:name w:val="Heading 1 Char"/>
    <w:basedOn w:val="DefaultParagraphFont"/>
    <w:link w:val="Heading1"/>
    <w:rsid w:val="00FD4CE6"/>
    <w:rPr>
      <w:rFonts w:ascii="Times New Roman" w:eastAsia="MS Mincho" w:hAnsi="Times New Roman" w:cs="Times New Roman"/>
      <w:b/>
      <w:bCs/>
      <w:szCs w:val="24"/>
    </w:rPr>
  </w:style>
  <w:style w:type="character" w:customStyle="1" w:styleId="Heading2Char">
    <w:name w:val="Heading 2 Char"/>
    <w:basedOn w:val="DefaultParagraphFont"/>
    <w:link w:val="Heading2"/>
    <w:rsid w:val="00FD4CE6"/>
    <w:rPr>
      <w:rFonts w:ascii="Calibri" w:eastAsia="MS Mincho" w:hAnsi="Calibri" w:cs="Times New Roman"/>
      <w:b/>
      <w:bCs/>
      <w:i/>
      <w:iCs/>
      <w:sz w:val="28"/>
      <w:szCs w:val="28"/>
    </w:rPr>
  </w:style>
  <w:style w:type="character" w:customStyle="1" w:styleId="Heading3Char">
    <w:name w:val="Heading 3 Char"/>
    <w:basedOn w:val="DefaultParagraphFont"/>
    <w:link w:val="Heading3"/>
    <w:rsid w:val="00FD4CE6"/>
    <w:rPr>
      <w:rFonts w:ascii="Calibri" w:eastAsia="MS Mincho" w:hAnsi="Calibri" w:cs="Times New Roman"/>
      <w:b/>
      <w:bCs/>
      <w:sz w:val="26"/>
      <w:szCs w:val="26"/>
    </w:rPr>
  </w:style>
  <w:style w:type="paragraph" w:styleId="FootnoteText">
    <w:name w:val="footnote text"/>
    <w:basedOn w:val="Normal"/>
    <w:link w:val="FootnoteTextChar"/>
    <w:semiHidden/>
    <w:rsid w:val="00FD4CE6"/>
    <w:pPr>
      <w:spacing w:before="60"/>
    </w:pPr>
    <w:rPr>
      <w:sz w:val="20"/>
    </w:rPr>
  </w:style>
  <w:style w:type="character" w:customStyle="1" w:styleId="FootnoteTextChar">
    <w:name w:val="Footnote Text Char"/>
    <w:basedOn w:val="DefaultParagraphFont"/>
    <w:link w:val="FootnoteText"/>
    <w:semiHidden/>
    <w:rsid w:val="00FD4CE6"/>
    <w:rPr>
      <w:rFonts w:ascii="Times New Roman" w:eastAsia="MS Mincho" w:hAnsi="Times New Roman" w:cs="Times New Roman"/>
      <w:sz w:val="20"/>
      <w:szCs w:val="24"/>
    </w:rPr>
  </w:style>
  <w:style w:type="character" w:styleId="FootnoteReference">
    <w:name w:val="footnote reference"/>
    <w:basedOn w:val="DefaultParagraphFont"/>
    <w:semiHidden/>
    <w:rsid w:val="00FD4CE6"/>
    <w:rPr>
      <w:vertAlign w:val="superscript"/>
    </w:rPr>
  </w:style>
  <w:style w:type="paragraph" w:customStyle="1" w:styleId="Style">
    <w:name w:val="Style"/>
    <w:basedOn w:val="Footer"/>
    <w:autoRedefine/>
    <w:qFormat/>
    <w:rsid w:val="00FD4CE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FD4CE6"/>
    <w:pPr>
      <w:tabs>
        <w:tab w:val="center" w:pos="4680"/>
        <w:tab w:val="right" w:pos="9360"/>
      </w:tabs>
    </w:pPr>
  </w:style>
  <w:style w:type="character" w:customStyle="1" w:styleId="FooterChar">
    <w:name w:val="Footer Char"/>
    <w:basedOn w:val="DefaultParagraphFont"/>
    <w:link w:val="Footer"/>
    <w:rsid w:val="00FD4CE6"/>
    <w:rPr>
      <w:rFonts w:ascii="Times New Roman" w:eastAsia="MS Mincho" w:hAnsi="Times New Roman" w:cs="Times New Roman"/>
      <w:szCs w:val="24"/>
    </w:rPr>
  </w:style>
  <w:style w:type="character" w:styleId="PageNumber">
    <w:name w:val="page number"/>
    <w:rsid w:val="00FD4CE6"/>
    <w:rPr>
      <w:rFonts w:ascii="Arial" w:hAnsi="Arial"/>
      <w:b/>
      <w:sz w:val="18"/>
    </w:rPr>
  </w:style>
  <w:style w:type="paragraph" w:customStyle="1" w:styleId="IPPArialFootnote">
    <w:name w:val="IPP Arial Footnote"/>
    <w:basedOn w:val="IPPArialTable"/>
    <w:qFormat/>
    <w:rsid w:val="00FD4CE6"/>
    <w:pPr>
      <w:tabs>
        <w:tab w:val="left" w:pos="28"/>
      </w:tabs>
      <w:ind w:left="284" w:hanging="284"/>
    </w:pPr>
    <w:rPr>
      <w:sz w:val="16"/>
    </w:rPr>
  </w:style>
  <w:style w:type="paragraph" w:customStyle="1" w:styleId="IPPContentsHead">
    <w:name w:val="IPP ContentsHead"/>
    <w:basedOn w:val="IPPSubhead"/>
    <w:next w:val="IPPNormal"/>
    <w:qFormat/>
    <w:rsid w:val="00FD4CE6"/>
    <w:pPr>
      <w:spacing w:after="240"/>
    </w:pPr>
    <w:rPr>
      <w:sz w:val="24"/>
    </w:rPr>
  </w:style>
  <w:style w:type="paragraph" w:customStyle="1" w:styleId="IPPBullet2">
    <w:name w:val="IPP Bullet2"/>
    <w:basedOn w:val="IPPNormal"/>
    <w:next w:val="IPPBullet1"/>
    <w:qFormat/>
    <w:rsid w:val="00FD4CE6"/>
    <w:pPr>
      <w:numPr>
        <w:numId w:val="9"/>
      </w:numPr>
      <w:tabs>
        <w:tab w:val="left" w:pos="1134"/>
      </w:tabs>
      <w:spacing w:after="60"/>
      <w:ind w:left="1134" w:hanging="567"/>
    </w:pPr>
  </w:style>
  <w:style w:type="paragraph" w:customStyle="1" w:styleId="IPPQuote">
    <w:name w:val="IPP Quote"/>
    <w:basedOn w:val="IPPNormal"/>
    <w:qFormat/>
    <w:rsid w:val="00FD4CE6"/>
    <w:pPr>
      <w:ind w:left="851" w:right="851"/>
    </w:pPr>
    <w:rPr>
      <w:sz w:val="18"/>
    </w:rPr>
  </w:style>
  <w:style w:type="paragraph" w:customStyle="1" w:styleId="IPPNormal">
    <w:name w:val="IPP Normal"/>
    <w:basedOn w:val="Normal"/>
    <w:link w:val="IPPNormalChar"/>
    <w:qFormat/>
    <w:rsid w:val="00FD4CE6"/>
    <w:pPr>
      <w:spacing w:after="180"/>
    </w:pPr>
    <w:rPr>
      <w:rFonts w:eastAsia="Times"/>
    </w:rPr>
  </w:style>
  <w:style w:type="paragraph" w:customStyle="1" w:styleId="IPPIndentClose">
    <w:name w:val="IPP Indent Close"/>
    <w:basedOn w:val="IPPNormal"/>
    <w:qFormat/>
    <w:rsid w:val="00FD4CE6"/>
    <w:pPr>
      <w:tabs>
        <w:tab w:val="left" w:pos="2835"/>
      </w:tabs>
      <w:spacing w:after="60"/>
      <w:ind w:left="567"/>
    </w:pPr>
  </w:style>
  <w:style w:type="paragraph" w:customStyle="1" w:styleId="IPPIndent">
    <w:name w:val="IPP Indent"/>
    <w:basedOn w:val="IPPIndentClose"/>
    <w:qFormat/>
    <w:rsid w:val="00FD4CE6"/>
    <w:pPr>
      <w:spacing w:after="180"/>
    </w:pPr>
  </w:style>
  <w:style w:type="paragraph" w:customStyle="1" w:styleId="IPPFootnote">
    <w:name w:val="IPP Footnote"/>
    <w:basedOn w:val="IPPArialFootnote"/>
    <w:qFormat/>
    <w:rsid w:val="00FD4CE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D4CE6"/>
    <w:pPr>
      <w:keepNext/>
      <w:tabs>
        <w:tab w:val="left" w:pos="567"/>
      </w:tabs>
      <w:spacing w:before="120" w:after="120"/>
      <w:ind w:left="567" w:hanging="567"/>
    </w:pPr>
    <w:rPr>
      <w:b/>
      <w:i/>
    </w:rPr>
  </w:style>
  <w:style w:type="character" w:customStyle="1" w:styleId="IPPnormalitalics">
    <w:name w:val="IPP normal italics"/>
    <w:basedOn w:val="DefaultParagraphFont"/>
    <w:rsid w:val="00FD4CE6"/>
    <w:rPr>
      <w:rFonts w:ascii="Times New Roman" w:hAnsi="Times New Roman"/>
      <w:i/>
      <w:sz w:val="22"/>
      <w:lang w:val="en-US"/>
    </w:rPr>
  </w:style>
  <w:style w:type="character" w:customStyle="1" w:styleId="IPPNormalbold">
    <w:name w:val="IPP Normal bold"/>
    <w:basedOn w:val="PlainTextChar"/>
    <w:rsid w:val="00FD4CE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D4CE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D4CE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D4CE6"/>
    <w:pPr>
      <w:keepNext/>
      <w:ind w:left="567" w:hanging="567"/>
      <w:jc w:val="left"/>
    </w:pPr>
    <w:rPr>
      <w:b/>
      <w:bCs/>
      <w:iCs/>
      <w:szCs w:val="22"/>
    </w:rPr>
  </w:style>
  <w:style w:type="character" w:customStyle="1" w:styleId="IPPNormalunderlined">
    <w:name w:val="IPP Normal underlined"/>
    <w:basedOn w:val="DefaultParagraphFont"/>
    <w:rsid w:val="00FD4CE6"/>
    <w:rPr>
      <w:rFonts w:ascii="Times New Roman" w:hAnsi="Times New Roman"/>
      <w:sz w:val="22"/>
      <w:u w:val="single"/>
      <w:lang w:val="en-US"/>
    </w:rPr>
  </w:style>
  <w:style w:type="paragraph" w:customStyle="1" w:styleId="IPPBullet1">
    <w:name w:val="IPP Bullet1"/>
    <w:basedOn w:val="IPPBullet1Last"/>
    <w:qFormat/>
    <w:rsid w:val="00FD4CE6"/>
    <w:pPr>
      <w:numPr>
        <w:numId w:val="22"/>
      </w:numPr>
      <w:spacing w:after="60"/>
      <w:ind w:left="567" w:hanging="567"/>
    </w:pPr>
    <w:rPr>
      <w:lang w:val="en-US"/>
    </w:rPr>
  </w:style>
  <w:style w:type="paragraph" w:customStyle="1" w:styleId="IPPBullet1Last">
    <w:name w:val="IPP Bullet1Last"/>
    <w:basedOn w:val="IPPNormal"/>
    <w:next w:val="IPPNormal"/>
    <w:autoRedefine/>
    <w:qFormat/>
    <w:rsid w:val="00FD4CE6"/>
    <w:pPr>
      <w:numPr>
        <w:numId w:val="10"/>
      </w:numPr>
    </w:pPr>
  </w:style>
  <w:style w:type="character" w:customStyle="1" w:styleId="IPPNormalstrikethrough">
    <w:name w:val="IPP Normal strikethrough"/>
    <w:rsid w:val="00FD4CE6"/>
    <w:rPr>
      <w:rFonts w:ascii="Times New Roman" w:hAnsi="Times New Roman"/>
      <w:strike/>
      <w:dstrike w:val="0"/>
      <w:sz w:val="22"/>
    </w:rPr>
  </w:style>
  <w:style w:type="paragraph" w:customStyle="1" w:styleId="IPPTitle16pt">
    <w:name w:val="IPP Title16pt"/>
    <w:basedOn w:val="Normal"/>
    <w:qFormat/>
    <w:rsid w:val="00FD4CE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D4CE6"/>
    <w:pPr>
      <w:spacing w:after="360"/>
      <w:jc w:val="center"/>
    </w:pPr>
    <w:rPr>
      <w:rFonts w:ascii="Arial" w:hAnsi="Arial" w:cs="Arial"/>
      <w:b/>
      <w:bCs/>
      <w:sz w:val="36"/>
      <w:szCs w:val="36"/>
    </w:rPr>
  </w:style>
  <w:style w:type="paragraph" w:customStyle="1" w:styleId="IPPHeader">
    <w:name w:val="IPP Header"/>
    <w:basedOn w:val="Normal"/>
    <w:qFormat/>
    <w:rsid w:val="00FD4CE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D4CE6"/>
    <w:pPr>
      <w:keepNext/>
      <w:tabs>
        <w:tab w:val="left" w:pos="567"/>
      </w:tabs>
      <w:spacing w:before="120"/>
      <w:jc w:val="left"/>
      <w:outlineLvl w:val="1"/>
    </w:pPr>
    <w:rPr>
      <w:b/>
      <w:sz w:val="24"/>
    </w:rPr>
  </w:style>
  <w:style w:type="numbering" w:customStyle="1" w:styleId="IPPParagraphnumberedlist">
    <w:name w:val="IPP Paragraph numbered list"/>
    <w:rsid w:val="00FD4CE6"/>
    <w:pPr>
      <w:numPr>
        <w:numId w:val="8"/>
      </w:numPr>
    </w:pPr>
  </w:style>
  <w:style w:type="paragraph" w:customStyle="1" w:styleId="IPPNormalCloseSpace">
    <w:name w:val="IPP NormalCloseSpace"/>
    <w:basedOn w:val="Normal"/>
    <w:qFormat/>
    <w:rsid w:val="00FD4CE6"/>
    <w:pPr>
      <w:keepNext/>
      <w:spacing w:after="60"/>
    </w:pPr>
  </w:style>
  <w:style w:type="paragraph" w:customStyle="1" w:styleId="IPPHeading2">
    <w:name w:val="IPP Heading2"/>
    <w:basedOn w:val="IPPNormal"/>
    <w:next w:val="IPPNormal"/>
    <w:qFormat/>
    <w:rsid w:val="00FD4CE6"/>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D4CE6"/>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D4CE6"/>
    <w:pPr>
      <w:tabs>
        <w:tab w:val="right" w:leader="dot" w:pos="9072"/>
      </w:tabs>
      <w:spacing w:before="240"/>
      <w:ind w:left="567" w:hanging="567"/>
    </w:pPr>
  </w:style>
  <w:style w:type="paragraph" w:styleId="TOC2">
    <w:name w:val="toc 2"/>
    <w:basedOn w:val="TOC1"/>
    <w:next w:val="Normal"/>
    <w:autoRedefine/>
    <w:uiPriority w:val="39"/>
    <w:rsid w:val="00FD4CE6"/>
    <w:pPr>
      <w:keepNext w:val="0"/>
      <w:tabs>
        <w:tab w:val="left" w:pos="425"/>
      </w:tabs>
      <w:spacing w:before="120" w:after="0"/>
      <w:ind w:left="425" w:right="284" w:hanging="425"/>
    </w:pPr>
  </w:style>
  <w:style w:type="paragraph" w:styleId="TOC3">
    <w:name w:val="toc 3"/>
    <w:basedOn w:val="TOC2"/>
    <w:next w:val="Normal"/>
    <w:autoRedefine/>
    <w:uiPriority w:val="39"/>
    <w:rsid w:val="00FD4CE6"/>
    <w:pPr>
      <w:tabs>
        <w:tab w:val="left" w:pos="1276"/>
      </w:tabs>
      <w:spacing w:before="60"/>
      <w:ind w:left="1276" w:hanging="851"/>
    </w:pPr>
    <w:rPr>
      <w:rFonts w:eastAsia="Times"/>
    </w:rPr>
  </w:style>
  <w:style w:type="paragraph" w:styleId="TOC4">
    <w:name w:val="toc 4"/>
    <w:basedOn w:val="Normal"/>
    <w:next w:val="Normal"/>
    <w:autoRedefine/>
    <w:uiPriority w:val="39"/>
    <w:rsid w:val="00FD4CE6"/>
    <w:pPr>
      <w:spacing w:after="120"/>
      <w:ind w:left="660"/>
    </w:pPr>
    <w:rPr>
      <w:rFonts w:eastAsia="Times"/>
      <w:lang w:val="en-AU"/>
    </w:rPr>
  </w:style>
  <w:style w:type="paragraph" w:styleId="TOC5">
    <w:name w:val="toc 5"/>
    <w:basedOn w:val="Normal"/>
    <w:next w:val="Normal"/>
    <w:autoRedefine/>
    <w:uiPriority w:val="39"/>
    <w:rsid w:val="00FD4CE6"/>
    <w:pPr>
      <w:spacing w:after="120"/>
      <w:ind w:left="880"/>
    </w:pPr>
    <w:rPr>
      <w:rFonts w:eastAsia="Times"/>
      <w:lang w:val="en-AU"/>
    </w:rPr>
  </w:style>
  <w:style w:type="paragraph" w:styleId="TOC6">
    <w:name w:val="toc 6"/>
    <w:basedOn w:val="Normal"/>
    <w:next w:val="Normal"/>
    <w:autoRedefine/>
    <w:uiPriority w:val="39"/>
    <w:rsid w:val="00FD4CE6"/>
    <w:pPr>
      <w:spacing w:after="120"/>
      <w:ind w:left="1100"/>
    </w:pPr>
    <w:rPr>
      <w:rFonts w:eastAsia="Times"/>
      <w:lang w:val="en-AU"/>
    </w:rPr>
  </w:style>
  <w:style w:type="paragraph" w:styleId="TOC7">
    <w:name w:val="toc 7"/>
    <w:basedOn w:val="Normal"/>
    <w:next w:val="Normal"/>
    <w:autoRedefine/>
    <w:uiPriority w:val="39"/>
    <w:rsid w:val="00FD4CE6"/>
    <w:pPr>
      <w:spacing w:after="120"/>
      <w:ind w:left="1320"/>
    </w:pPr>
    <w:rPr>
      <w:rFonts w:eastAsia="Times"/>
      <w:lang w:val="en-AU"/>
    </w:rPr>
  </w:style>
  <w:style w:type="paragraph" w:styleId="TOC8">
    <w:name w:val="toc 8"/>
    <w:basedOn w:val="Normal"/>
    <w:next w:val="Normal"/>
    <w:autoRedefine/>
    <w:uiPriority w:val="39"/>
    <w:rsid w:val="00FD4CE6"/>
    <w:pPr>
      <w:spacing w:after="120"/>
      <w:ind w:left="1540"/>
    </w:pPr>
    <w:rPr>
      <w:rFonts w:eastAsia="Times"/>
      <w:lang w:val="en-AU"/>
    </w:rPr>
  </w:style>
  <w:style w:type="paragraph" w:styleId="TOC9">
    <w:name w:val="toc 9"/>
    <w:basedOn w:val="Normal"/>
    <w:next w:val="Normal"/>
    <w:autoRedefine/>
    <w:uiPriority w:val="39"/>
    <w:rsid w:val="00FD4CE6"/>
    <w:pPr>
      <w:spacing w:after="120"/>
      <w:ind w:left="1760"/>
    </w:pPr>
    <w:rPr>
      <w:rFonts w:eastAsia="Times"/>
      <w:lang w:val="en-AU"/>
    </w:rPr>
  </w:style>
  <w:style w:type="paragraph" w:customStyle="1" w:styleId="IPPReferences">
    <w:name w:val="IPP References"/>
    <w:basedOn w:val="IPPNormal"/>
    <w:qFormat/>
    <w:rsid w:val="00FD4CE6"/>
    <w:pPr>
      <w:spacing w:after="60"/>
      <w:ind w:left="567" w:hanging="567"/>
    </w:pPr>
  </w:style>
  <w:style w:type="paragraph" w:customStyle="1" w:styleId="IPPArial">
    <w:name w:val="IPP Arial"/>
    <w:basedOn w:val="IPPNormal"/>
    <w:qFormat/>
    <w:rsid w:val="00FD4CE6"/>
    <w:pPr>
      <w:spacing w:after="0"/>
    </w:pPr>
    <w:rPr>
      <w:rFonts w:ascii="Arial" w:hAnsi="Arial"/>
      <w:sz w:val="18"/>
    </w:rPr>
  </w:style>
  <w:style w:type="paragraph" w:customStyle="1" w:styleId="IPPArialTable">
    <w:name w:val="IPP Arial Table"/>
    <w:basedOn w:val="IPPArial"/>
    <w:qFormat/>
    <w:rsid w:val="00FD4CE6"/>
    <w:pPr>
      <w:spacing w:before="60" w:after="60"/>
      <w:jc w:val="left"/>
    </w:pPr>
  </w:style>
  <w:style w:type="paragraph" w:customStyle="1" w:styleId="IPPHeaderlandscape">
    <w:name w:val="IPP Header landscape"/>
    <w:basedOn w:val="IPPHeader"/>
    <w:qFormat/>
    <w:rsid w:val="00FD4CE6"/>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D4CE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D4CE6"/>
    <w:rPr>
      <w:rFonts w:ascii="Courier" w:eastAsia="Times" w:hAnsi="Courier" w:cs="Times New Roman"/>
      <w:sz w:val="21"/>
      <w:szCs w:val="21"/>
      <w:lang w:val="en-AU"/>
    </w:rPr>
  </w:style>
  <w:style w:type="paragraph" w:customStyle="1" w:styleId="IPPLetterList">
    <w:name w:val="IPP LetterList"/>
    <w:basedOn w:val="IPPBullet2"/>
    <w:qFormat/>
    <w:rsid w:val="00FD4CE6"/>
    <w:pPr>
      <w:tabs>
        <w:tab w:val="num" w:pos="1134"/>
      </w:tabs>
      <w:jc w:val="left"/>
    </w:pPr>
  </w:style>
  <w:style w:type="paragraph" w:customStyle="1" w:styleId="IPPLetterListIndent">
    <w:name w:val="IPP LetterList Indent"/>
    <w:basedOn w:val="IPPLetterList"/>
    <w:qFormat/>
    <w:rsid w:val="00FD4CE6"/>
    <w:pPr>
      <w:numPr>
        <w:numId w:val="6"/>
      </w:numPr>
    </w:pPr>
  </w:style>
  <w:style w:type="paragraph" w:customStyle="1" w:styleId="IPPFooterLandscape">
    <w:name w:val="IPP Footer Landscape"/>
    <w:basedOn w:val="IPPHeaderlandscape"/>
    <w:qFormat/>
    <w:rsid w:val="00FD4CE6"/>
    <w:pPr>
      <w:pBdr>
        <w:top w:val="single" w:sz="4" w:space="1" w:color="auto"/>
        <w:bottom w:val="none" w:sz="0" w:space="0" w:color="auto"/>
      </w:pBdr>
      <w:jc w:val="right"/>
    </w:pPr>
    <w:rPr>
      <w:b/>
    </w:rPr>
  </w:style>
  <w:style w:type="paragraph" w:customStyle="1" w:styleId="IPPSubheadSpace">
    <w:name w:val="IPP Subhead Space"/>
    <w:basedOn w:val="IPPSubhead"/>
    <w:qFormat/>
    <w:rsid w:val="00FD4CE6"/>
    <w:pPr>
      <w:tabs>
        <w:tab w:val="left" w:pos="567"/>
      </w:tabs>
      <w:spacing w:before="60" w:after="60"/>
    </w:pPr>
  </w:style>
  <w:style w:type="paragraph" w:customStyle="1" w:styleId="IPPSubheadSpaceAfter">
    <w:name w:val="IPP Subhead SpaceAfter"/>
    <w:basedOn w:val="IPPSubhead"/>
    <w:qFormat/>
    <w:rsid w:val="00FD4CE6"/>
    <w:pPr>
      <w:spacing w:after="60"/>
    </w:pPr>
  </w:style>
  <w:style w:type="paragraph" w:customStyle="1" w:styleId="IPPHdg1Num">
    <w:name w:val="IPP Hdg1Num"/>
    <w:basedOn w:val="IPPHeading1"/>
    <w:next w:val="IPPNormal"/>
    <w:qFormat/>
    <w:rsid w:val="00FD4CE6"/>
    <w:pPr>
      <w:numPr>
        <w:numId w:val="11"/>
      </w:numPr>
    </w:pPr>
  </w:style>
  <w:style w:type="paragraph" w:customStyle="1" w:styleId="IPPHdg2Num">
    <w:name w:val="IPP Hdg2Num"/>
    <w:basedOn w:val="IPPHeading2"/>
    <w:next w:val="IPPNormal"/>
    <w:qFormat/>
    <w:rsid w:val="00FD4CE6"/>
    <w:pPr>
      <w:numPr>
        <w:ilvl w:val="1"/>
        <w:numId w:val="12"/>
      </w:numPr>
    </w:pPr>
  </w:style>
  <w:style w:type="paragraph" w:customStyle="1" w:styleId="IPPNumberedList">
    <w:name w:val="IPP NumberedList"/>
    <w:basedOn w:val="IPPBullet1"/>
    <w:qFormat/>
    <w:rsid w:val="00FD4CE6"/>
    <w:pPr>
      <w:numPr>
        <w:numId w:val="20"/>
      </w:numPr>
    </w:pPr>
  </w:style>
  <w:style w:type="paragraph" w:styleId="Header">
    <w:name w:val="header"/>
    <w:basedOn w:val="Normal"/>
    <w:link w:val="HeaderChar"/>
    <w:rsid w:val="00FD4CE6"/>
    <w:pPr>
      <w:tabs>
        <w:tab w:val="center" w:pos="4680"/>
        <w:tab w:val="right" w:pos="9360"/>
      </w:tabs>
    </w:pPr>
  </w:style>
  <w:style w:type="character" w:customStyle="1" w:styleId="HeaderChar">
    <w:name w:val="Header Char"/>
    <w:basedOn w:val="DefaultParagraphFont"/>
    <w:link w:val="Header"/>
    <w:rsid w:val="00FD4CE6"/>
    <w:rPr>
      <w:rFonts w:ascii="Times New Roman" w:eastAsia="MS Mincho" w:hAnsi="Times New Roman" w:cs="Times New Roman"/>
      <w:szCs w:val="24"/>
    </w:rPr>
  </w:style>
  <w:style w:type="character" w:styleId="Strong">
    <w:name w:val="Strong"/>
    <w:basedOn w:val="DefaultParagraphFont"/>
    <w:qFormat/>
    <w:rsid w:val="00FD4CE6"/>
    <w:rPr>
      <w:b/>
      <w:bCs/>
    </w:rPr>
  </w:style>
  <w:style w:type="paragraph" w:styleId="ListParagraph">
    <w:name w:val="List Paragraph"/>
    <w:basedOn w:val="Normal"/>
    <w:uiPriority w:val="34"/>
    <w:qFormat/>
    <w:rsid w:val="00FD4CE6"/>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FD4CE6"/>
    <w:pPr>
      <w:numPr>
        <w:numId w:val="14"/>
      </w:numPr>
    </w:pPr>
    <w:rPr>
      <w:lang w:val="en-US"/>
    </w:rPr>
  </w:style>
  <w:style w:type="paragraph" w:customStyle="1" w:styleId="IPPParagraphnumberingclose">
    <w:name w:val="IPP Paragraph numbering close"/>
    <w:basedOn w:val="IPPParagraphnumbering"/>
    <w:qFormat/>
    <w:rsid w:val="00FD4CE6"/>
    <w:pPr>
      <w:keepNext/>
      <w:spacing w:after="60"/>
    </w:pPr>
  </w:style>
  <w:style w:type="paragraph" w:customStyle="1" w:styleId="IPPNumberedListLast">
    <w:name w:val="IPP NumberedListLast"/>
    <w:basedOn w:val="IPPNumberedList"/>
    <w:qFormat/>
    <w:rsid w:val="00FD4CE6"/>
    <w:pPr>
      <w:spacing w:after="180"/>
    </w:pPr>
  </w:style>
  <w:style w:type="character" w:customStyle="1" w:styleId="IPPNormalChar">
    <w:name w:val="IPP Normal Char"/>
    <w:link w:val="IPPNormal"/>
    <w:rsid w:val="006D0900"/>
    <w:rPr>
      <w:rFonts w:ascii="Times New Roman" w:eastAsia="Times" w:hAnsi="Times New Roman" w:cs="Times New Roman"/>
      <w:szCs w:val="24"/>
    </w:rPr>
  </w:style>
  <w:style w:type="paragraph" w:styleId="NoSpacing">
    <w:name w:val="No Spacing"/>
    <w:uiPriority w:val="1"/>
    <w:qFormat/>
    <w:rsid w:val="006D0900"/>
    <w:pPr>
      <w:spacing w:after="0" w:line="240" w:lineRule="auto"/>
    </w:pPr>
    <w:rPr>
      <w:lang w:val="ru-RU"/>
    </w:rPr>
  </w:style>
  <w:style w:type="paragraph" w:styleId="Revision">
    <w:name w:val="Revision"/>
    <w:hidden/>
    <w:uiPriority w:val="99"/>
    <w:semiHidden/>
    <w:rsid w:val="00751D88"/>
    <w:pPr>
      <w:spacing w:after="0" w:line="240" w:lineRule="auto"/>
    </w:pPr>
    <w:rPr>
      <w:rFonts w:ascii="Times New Roman" w:eastAsia="MS Mincho" w:hAnsi="Times New Roman" w:cs="Times New Roman"/>
      <w:szCs w:val="24"/>
    </w:rPr>
  </w:style>
  <w:style w:type="paragraph" w:styleId="NormalWeb">
    <w:name w:val="Normal (Web)"/>
    <w:basedOn w:val="Normal"/>
    <w:uiPriority w:val="99"/>
    <w:semiHidden/>
    <w:unhideWhenUsed/>
    <w:rsid w:val="001F0B9A"/>
    <w:pPr>
      <w:spacing w:before="100" w:beforeAutospacing="1" w:after="100" w:afterAutospacing="1"/>
      <w:jc w:val="left"/>
    </w:pPr>
    <w:rPr>
      <w:rFonts w:eastAsia="Times New Roman"/>
      <w:sz w:val="24"/>
      <w:lang w:val="en-US"/>
    </w:rPr>
  </w:style>
  <w:style w:type="character" w:styleId="Hyperlink">
    <w:name w:val="Hyperlink"/>
    <w:basedOn w:val="DefaultParagraphFont"/>
    <w:uiPriority w:val="99"/>
    <w:unhideWhenUsed/>
    <w:rsid w:val="001F0B9A"/>
    <w:rPr>
      <w:color w:val="0563C1" w:themeColor="hyperlink"/>
      <w:u w:val="single"/>
    </w:rPr>
  </w:style>
  <w:style w:type="character" w:styleId="UnresolvedMention">
    <w:name w:val="Unresolved Mention"/>
    <w:basedOn w:val="DefaultParagraphFont"/>
    <w:uiPriority w:val="99"/>
    <w:semiHidden/>
    <w:unhideWhenUsed/>
    <w:rsid w:val="001F0B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ms.cloud.microsoft/e/GwfqzJGjZ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publications/95076/" TargetMode="External"/><Relationship Id="rId1" Type="http://schemas.openxmlformats.org/officeDocument/2006/relationships/hyperlink" Target="https://www.ippc.int/en/publications/93481/"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Desktop\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b72606be95184b31bbffc9f10e45c298">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904f0f7eebb84c862977ddae8185dd6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E1C735-C946-4D80-8934-35A686648724}">
  <ds:schemaRefs>
    <ds:schemaRef ds:uri="http://schemas.microsoft.com/sharepoint/v3/contenttype/forms"/>
  </ds:schemaRefs>
</ds:datastoreItem>
</file>

<file path=customXml/itemProps2.xml><?xml version="1.0" encoding="utf-8"?>
<ds:datastoreItem xmlns:ds="http://schemas.openxmlformats.org/officeDocument/2006/customXml" ds:itemID="{48A49D70-F4E8-4492-A7FD-BB740055D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B247EB-A22E-41E2-9717-0F960BF1F61F}">
  <ds:schemaRefs>
    <ds:schemaRef ds:uri="http://schemas.openxmlformats.org/officeDocument/2006/bibliography"/>
  </ds:schemaRefs>
</ds:datastoreItem>
</file>

<file path=customXml/itemProps4.xml><?xml version="1.0" encoding="utf-8"?>
<ds:datastoreItem xmlns:ds="http://schemas.openxmlformats.org/officeDocument/2006/customXml" ds:itemID="{104338CB-7120-4116-B111-55BCBE781594}">
  <ds:schemaRefs>
    <ds:schemaRef ds:uri="http://schemas.microsoft.com/office/2006/documentManagement/types"/>
    <ds:schemaRef ds:uri="http://purl.org/dc/elements/1.1/"/>
    <ds:schemaRef ds:uri="http://purl.org/dc/dcmitype/"/>
    <ds:schemaRef ds:uri="http://purl.org/dc/terms/"/>
    <ds:schemaRef ds:uri="http://www.w3.org/XML/1998/namespace"/>
    <ds:schemaRef ds:uri="a05d7f75-f42e-4288-8809-604fd4d9691f"/>
    <ds:schemaRef ds:uri="http://schemas.microsoft.com/office/2006/metadata/properties"/>
    <ds:schemaRef ds:uri="http://schemas.microsoft.com/office/infopath/2007/PartnerControls"/>
    <ds:schemaRef ds:uri="http://schemas.openxmlformats.org/package/2006/metadata/core-properties"/>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IPPC_2015-06-04</Template>
  <TotalTime>3</TotalTime>
  <Pages>5</Pages>
  <Words>1615</Words>
  <Characters>9207</Characters>
  <Application>Microsoft Office Word</Application>
  <DocSecurity>0</DocSecurity>
  <Lines>767</Lines>
  <Paragraphs>601</Paragraphs>
  <ScaleCrop>false</ScaleCrop>
  <Company>FAO of the UN</Company>
  <LinksUpToDate>false</LinksUpToDate>
  <CharactersWithSpaces>10221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Larson, Brent (AGDI)</dc:creator>
  <cp:keywords/>
  <dc:description/>
  <cp:lastModifiedBy>Cassin, Aoife (NSPD)</cp:lastModifiedBy>
  <cp:revision>91</cp:revision>
  <cp:lastPrinted>2017-11-03T16:01:00Z</cp:lastPrinted>
  <dcterms:created xsi:type="dcterms:W3CDTF">2026-02-13T10:38:00Z</dcterms:created>
  <dcterms:modified xsi:type="dcterms:W3CDTF">2026-02-24T13:24:00Z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docLang">
    <vt:lpwstr>en</vt:lpwstr>
  </property>
</Properties>
</file>