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500E8" w14:textId="77777777" w:rsidR="004A298E" w:rsidRPr="0010621C" w:rsidRDefault="004A298E" w:rsidP="004A298E">
      <w:pPr>
        <w:pStyle w:val="IPPHeadSection"/>
        <w:jc w:val="center"/>
        <w:rPr>
          <w:smallCaps/>
        </w:rPr>
      </w:pPr>
      <w:r w:rsidRPr="0010621C">
        <w:t>Commission on Phytosanitary Measures</w:t>
      </w:r>
    </w:p>
    <w:p w14:paraId="4030AA1C" w14:textId="77777777" w:rsidR="004A298E" w:rsidRDefault="004A298E" w:rsidP="004A298E">
      <w:pPr>
        <w:pStyle w:val="IPPHeadSection"/>
        <w:jc w:val="center"/>
      </w:pPr>
      <w:r w:rsidRPr="0010621C">
        <w:t>Bureau meeting</w:t>
      </w:r>
    </w:p>
    <w:p w14:paraId="3F1B2FA0" w14:textId="77777777" w:rsidR="004A298E" w:rsidRPr="001B4247" w:rsidRDefault="004A298E" w:rsidP="004A298E">
      <w:pPr>
        <w:pStyle w:val="IPPHeadSection"/>
        <w:jc w:val="center"/>
      </w:pPr>
      <w:r w:rsidRPr="001B4247">
        <w:t>Funding arrangements for IPPC Regional Workshops</w:t>
      </w:r>
    </w:p>
    <w:p w14:paraId="60746978" w14:textId="198FDA44" w:rsidR="00165BFB" w:rsidRPr="006D6589" w:rsidRDefault="00165BFB" w:rsidP="000E4AF3">
      <w:pPr>
        <w:pStyle w:val="IPPHeading1"/>
        <w:jc w:val="center"/>
        <w:rPr>
          <w:i/>
          <w:iCs/>
          <w:sz w:val="20"/>
          <w:szCs w:val="20"/>
        </w:rPr>
      </w:pPr>
      <w:r w:rsidRPr="2D986274">
        <w:rPr>
          <w:b w:val="0"/>
          <w:i/>
          <w:iCs/>
          <w:sz w:val="20"/>
          <w:szCs w:val="20"/>
        </w:rPr>
        <w:t>(Prepared by the IPPC Secretariat)</w:t>
      </w:r>
    </w:p>
    <w:p w14:paraId="1D2301DD" w14:textId="77777777" w:rsidR="008D2073" w:rsidRPr="001B4247" w:rsidRDefault="008D2073" w:rsidP="000E4AF3">
      <w:pPr>
        <w:pStyle w:val="IPPHeading1"/>
        <w:jc w:val="both"/>
      </w:pPr>
      <w:r w:rsidRPr="001B4247">
        <w:t>Background</w:t>
      </w:r>
    </w:p>
    <w:p w14:paraId="61772E3D" w14:textId="2856CCCB" w:rsidR="00F83A20" w:rsidRPr="0000168F" w:rsidRDefault="008D2073" w:rsidP="000E4AF3">
      <w:pPr>
        <w:pStyle w:val="IPPParagraphnumbering"/>
        <w:rPr>
          <w:lang w:val="en-GB"/>
        </w:rPr>
      </w:pPr>
      <w:r>
        <w:t xml:space="preserve">The International Plant Protection Convention (IPPC) Regional Workshops </w:t>
      </w:r>
      <w:r w:rsidR="25F67839">
        <w:t xml:space="preserve">(RW) </w:t>
      </w:r>
      <w:r>
        <w:t xml:space="preserve">are annual IPPC activities with the objectives to </w:t>
      </w:r>
      <w:r w:rsidR="3CEE8980">
        <w:t>analyze</w:t>
      </w:r>
      <w:r>
        <w:t xml:space="preserve"> and prepare comments online for draft International Standards on Phytosanitary Measures (ISPMs) </w:t>
      </w:r>
      <w:r w:rsidR="5768CBF8">
        <w:t>and implementation and capacity development materials</w:t>
      </w:r>
      <w:r>
        <w:t xml:space="preserve">, </w:t>
      </w:r>
      <w:r w:rsidR="002418FF">
        <w:t>st</w:t>
      </w:r>
      <w:r w:rsidR="00A562E8">
        <w:t>rengthening</w:t>
      </w:r>
      <w:r>
        <w:t xml:space="preserve"> phytosanitary capacity, to raise awareness of activities across the IPPC community, and to provide a forum for the exchange of experiences and ideas at regional level.</w:t>
      </w:r>
    </w:p>
    <w:p w14:paraId="6BDFDD3D" w14:textId="4D66411B" w:rsidR="007815E7" w:rsidRPr="004D179A" w:rsidRDefault="007815E7" w:rsidP="000E4AF3">
      <w:pPr>
        <w:pStyle w:val="IPPParagraphnumbering"/>
        <w:shd w:val="clear" w:color="auto" w:fill="FFFFFF" w:themeFill="background1"/>
        <w:rPr>
          <w:lang w:val="en-GB"/>
        </w:rPr>
      </w:pPr>
      <w:r w:rsidRPr="004D179A">
        <w:t xml:space="preserve">Each IPPC RW has unique organizational, logistical, and funding circumstances. </w:t>
      </w:r>
    </w:p>
    <w:p w14:paraId="0DB189B8" w14:textId="3B8C9CEB" w:rsidR="007C6052" w:rsidRPr="007B7474" w:rsidRDefault="2EF6F310" w:rsidP="000E4AF3">
      <w:pPr>
        <w:pStyle w:val="IPPParagraphnumbering"/>
        <w:shd w:val="clear" w:color="auto" w:fill="FFFFFF" w:themeFill="background1"/>
      </w:pPr>
      <w:r w:rsidRPr="004D179A">
        <w:t>According to</w:t>
      </w:r>
      <w:r w:rsidR="4663EA46" w:rsidRPr="004D179A">
        <w:t xml:space="preserve"> </w:t>
      </w:r>
      <w:r w:rsidR="48E05387" w:rsidRPr="004D179A">
        <w:t>the</w:t>
      </w:r>
      <w:r w:rsidR="4663EA46" w:rsidRPr="004D179A">
        <w:t xml:space="preserve"> guidelines for RW</w:t>
      </w:r>
      <w:r w:rsidR="003E0241" w:rsidRPr="007B7474">
        <w:rPr>
          <w:rStyle w:val="FootnoteReference"/>
        </w:rPr>
        <w:footnoteReference w:id="2"/>
      </w:r>
      <w:r w:rsidR="15A88156" w:rsidRPr="004D179A">
        <w:t>,</w:t>
      </w:r>
      <w:r w:rsidR="5308E5B9">
        <w:t xml:space="preserve"> </w:t>
      </w:r>
      <w:r w:rsidR="27AAB768">
        <w:t xml:space="preserve">members of the </w:t>
      </w:r>
      <w:r w:rsidR="5E584D5A">
        <w:t xml:space="preserve">regional </w:t>
      </w:r>
      <w:r w:rsidR="27AAB768">
        <w:t>organising</w:t>
      </w:r>
      <w:r w:rsidR="27AAB768" w:rsidRPr="50B525CD">
        <w:t xml:space="preserve"> committee, including RPPOs</w:t>
      </w:r>
      <w:r w:rsidR="1AD1EE3E">
        <w:t xml:space="preserve"> (Regional Plant Protection Organisations</w:t>
      </w:r>
      <w:r w:rsidR="1AD1EE3E" w:rsidRPr="50B525CD">
        <w:t>)</w:t>
      </w:r>
      <w:r w:rsidR="27AAB768">
        <w:t>, the Implementation and Capacity Development Committee (IC), the Standards Committee (SC)</w:t>
      </w:r>
      <w:r w:rsidR="27AAB768" w:rsidRPr="50B525CD">
        <w:t xml:space="preserve"> and the CPM Bureau, as well as workshop participants, are encouraged to secure funding for their attendance.</w:t>
      </w:r>
    </w:p>
    <w:p w14:paraId="4227A568" w14:textId="35455014" w:rsidR="00AF2A70" w:rsidRDefault="567DB591" w:rsidP="000E4AF3">
      <w:pPr>
        <w:pStyle w:val="IPPParagraphnumbering"/>
        <w:shd w:val="clear" w:color="auto" w:fill="FFFFFF" w:themeFill="background1"/>
      </w:pPr>
      <w:r>
        <w:t>The</w:t>
      </w:r>
      <w:r w:rsidR="779FF4C4" w:rsidRPr="004D179A">
        <w:t xml:space="preserve"> IPPC Secretariat may financially support one participant per Contracti</w:t>
      </w:r>
      <w:r w:rsidR="3825A79F" w:rsidRPr="004D179A">
        <w:t>ng</w:t>
      </w:r>
      <w:r w:rsidR="779FF4C4" w:rsidRPr="004D179A">
        <w:t xml:space="preserve"> Part</w:t>
      </w:r>
      <w:r w:rsidR="5D63F4A5">
        <w:t>y</w:t>
      </w:r>
      <w:r w:rsidR="779FF4C4" w:rsidRPr="004D179A">
        <w:t xml:space="preserve">. This support follows the World Bank criteria used for prioritizing participants to receive travel </w:t>
      </w:r>
      <w:r w:rsidR="5BB80EF9" w:rsidRPr="004D179A">
        <w:t>assistance</w:t>
      </w:r>
      <w:r w:rsidR="00AF2A70">
        <w:rPr>
          <w:rStyle w:val="FootnoteReference"/>
        </w:rPr>
        <w:footnoteReference w:id="3"/>
      </w:r>
      <w:r w:rsidR="5BB80EF9">
        <w:t>.</w:t>
      </w:r>
    </w:p>
    <w:p w14:paraId="5348659E" w14:textId="3050FF4F" w:rsidR="007C6052" w:rsidRPr="007B7474" w:rsidRDefault="22BE86EB" w:rsidP="000E4AF3">
      <w:pPr>
        <w:pStyle w:val="IPPParagraphnumbering"/>
        <w:shd w:val="clear" w:color="auto" w:fill="FFFFFF" w:themeFill="background1"/>
      </w:pPr>
      <w:r>
        <w:t>RPPOs and FAO regional and subregional offices are strongly encouraged to contribute financially to the organisation of Regional Workshops, as the agenda includes issues of common interest to both the IPPC community and FAO. Given the limited budget available from the IPPC Secretariat, advance planning and budget allocation at regional level are essential to ensure effective organisation, sustainability and regional ownership.</w:t>
      </w:r>
    </w:p>
    <w:p w14:paraId="3FAB9498" w14:textId="089AC7ED" w:rsidR="007C6052" w:rsidRPr="007B7474" w:rsidRDefault="2BB05670" w:rsidP="000E4AF3">
      <w:pPr>
        <w:pStyle w:val="IPPParagraphnumbering"/>
        <w:spacing w:before="240" w:after="240"/>
      </w:pPr>
      <w:r>
        <w:t>Regional Workshops serve as a forum for regions to address topics of shared interest and regional phytosanitary priorities. Sustained financial commitment at regional level is therefore critical to maintaining their long-term viability.</w:t>
      </w:r>
    </w:p>
    <w:p w14:paraId="3DABBF16" w14:textId="77777777" w:rsidR="00F83A20" w:rsidRPr="00F83A20" w:rsidRDefault="00F83A20" w:rsidP="000E4AF3">
      <w:pPr>
        <w:pStyle w:val="IPPParagraphnumbering"/>
        <w:rPr>
          <w:lang w:val="en-GB"/>
        </w:rPr>
      </w:pPr>
      <w:r>
        <w:t>In 2025, the IPPC Regional Workshops were hosted in seven countries. The IPPC Secretariat extends its sincere appreciation to Argentina, Fiji, Oman, the Republic of Congo, the Republic of Korea, Trinidad and Tobago, and Türkiye for their generous hospitality in hosting these workshops.</w:t>
      </w:r>
    </w:p>
    <w:p w14:paraId="3BFC52C9" w14:textId="0D4F7E44" w:rsidR="008D2073" w:rsidRPr="008D2073" w:rsidRDefault="008D2073" w:rsidP="000E4AF3">
      <w:pPr>
        <w:pStyle w:val="IPPHeading1"/>
        <w:jc w:val="both"/>
      </w:pPr>
      <w:r w:rsidRPr="00C860B6">
        <w:t>Budget scope and reporting basis</w:t>
      </w:r>
    </w:p>
    <w:p w14:paraId="5A00CCD3" w14:textId="26419903" w:rsidR="008D2073" w:rsidRPr="008D2073" w:rsidRDefault="008D2073" w:rsidP="000E4AF3">
      <w:pPr>
        <w:pStyle w:val="IPPParagraphnumbering"/>
        <w:rPr>
          <w:lang w:val="en-GB"/>
        </w:rPr>
      </w:pPr>
      <w:r>
        <w:t xml:space="preserve">This paper provides a consolidated overview of </w:t>
      </w:r>
      <w:r w:rsidR="007B7474">
        <w:t>expenditure</w:t>
      </w:r>
      <w:r>
        <w:t xml:space="preserve"> related to the organi</w:t>
      </w:r>
      <w:r w:rsidR="4CCCD8B2">
        <w:t>z</w:t>
      </w:r>
      <w:r>
        <w:t>ation and delivery of the 2025 IPPC Regional Workshops</w:t>
      </w:r>
      <w:r w:rsidR="00572142">
        <w:t xml:space="preserve">. </w:t>
      </w:r>
      <w:r>
        <w:t xml:space="preserve">Expenditures include direct financial allocations provided to </w:t>
      </w:r>
      <w:r>
        <w:lastRenderedPageBreak/>
        <w:t>regions for workshop delivery,</w:t>
      </w:r>
      <w:r w:rsidR="005E277E">
        <w:t xml:space="preserve"> travel </w:t>
      </w:r>
      <w:r w:rsidR="007364DF">
        <w:t>assistance</w:t>
      </w:r>
      <w:r w:rsidR="00832027">
        <w:t xml:space="preserve"> for eligible contracting parties,</w:t>
      </w:r>
      <w:r>
        <w:t xml:space="preserve"> as well as Secretariat staff travel required to support coordination, technical facilitation, and oversight.</w:t>
      </w:r>
    </w:p>
    <w:p w14:paraId="6BBE9264" w14:textId="69E26873" w:rsidR="008D2073" w:rsidRPr="00C860B6" w:rsidRDefault="008D2073" w:rsidP="000E4AF3">
      <w:pPr>
        <w:pStyle w:val="IPPHeading1"/>
        <w:jc w:val="both"/>
      </w:pPr>
      <w:r>
        <w:t>Regional allocation of funds</w:t>
      </w:r>
      <w:r w:rsidR="5BF53BA8">
        <w:t xml:space="preserve"> in 2025</w:t>
      </w:r>
    </w:p>
    <w:p w14:paraId="2BFED5A3" w14:textId="7708DF22" w:rsidR="008D2073" w:rsidRPr="007B7474" w:rsidRDefault="007364DF" w:rsidP="000E4AF3">
      <w:pPr>
        <w:pStyle w:val="IPPParagraphnumbering"/>
        <w:rPr>
          <w:lang w:val="en-GB"/>
        </w:rPr>
      </w:pPr>
      <w:r>
        <w:t xml:space="preserve">Based on </w:t>
      </w:r>
      <w:r w:rsidR="00181822">
        <w:t>the resources available and considering the need expressed by the regions, the IPPC Secretariat allocated f</w:t>
      </w:r>
      <w:r w:rsidR="008D2073">
        <w:t xml:space="preserve">inancial resources to regions to support the delivery of Regional Workshops, including costs related to venues, logistics, training materials, </w:t>
      </w:r>
      <w:r w:rsidR="00240780">
        <w:t>travel</w:t>
      </w:r>
      <w:r w:rsidR="008D2073">
        <w:t>, and local coordination. Recorded expenditures by region were as follows:</w:t>
      </w:r>
    </w:p>
    <w:tbl>
      <w:tblPr>
        <w:tblStyle w:val="TableGrid"/>
        <w:tblpPr w:leftFromText="180" w:rightFromText="180" w:vertAnchor="text" w:horzAnchor="margin" w:tblpY="2132"/>
        <w:tblW w:w="5000" w:type="pct"/>
        <w:tblLook w:val="04A0" w:firstRow="1" w:lastRow="0" w:firstColumn="1" w:lastColumn="0" w:noHBand="0" w:noVBand="1"/>
      </w:tblPr>
      <w:tblGrid>
        <w:gridCol w:w="2683"/>
        <w:gridCol w:w="2682"/>
        <w:gridCol w:w="3695"/>
      </w:tblGrid>
      <w:tr w:rsidR="009A311D" w:rsidRPr="001B4247" w14:paraId="2B01E0AA" w14:textId="77777777" w:rsidTr="00885FFC">
        <w:tc>
          <w:tcPr>
            <w:tcW w:w="1481" w:type="pct"/>
          </w:tcPr>
          <w:p w14:paraId="0084AC1E" w14:textId="77777777" w:rsidR="009A311D" w:rsidRPr="001B4247" w:rsidRDefault="2CA40499" w:rsidP="00885FFC">
            <w:pPr>
              <w:pStyle w:val="IPPArialTable"/>
              <w:jc w:val="both"/>
              <w:rPr>
                <w:b/>
                <w:bCs/>
              </w:rPr>
            </w:pPr>
            <w:r w:rsidRPr="001B4247">
              <w:rPr>
                <w:b/>
                <w:bCs/>
              </w:rPr>
              <w:t>Region</w:t>
            </w:r>
          </w:p>
        </w:tc>
        <w:tc>
          <w:tcPr>
            <w:tcW w:w="1480" w:type="pct"/>
          </w:tcPr>
          <w:p w14:paraId="7CCBA18F" w14:textId="04F2BD27" w:rsidR="009A311D" w:rsidRPr="001B4247" w:rsidRDefault="447482EB" w:rsidP="00885FFC">
            <w:pPr>
              <w:pStyle w:val="IPPArialTable"/>
              <w:jc w:val="both"/>
              <w:rPr>
                <w:b/>
                <w:bCs/>
              </w:rPr>
            </w:pPr>
            <w:r w:rsidRPr="001B4247">
              <w:rPr>
                <w:b/>
                <w:bCs/>
              </w:rPr>
              <w:t xml:space="preserve">Budget </w:t>
            </w:r>
            <w:r w:rsidR="4665E222" w:rsidRPr="001B4247">
              <w:rPr>
                <w:b/>
                <w:bCs/>
              </w:rPr>
              <w:t>a</w:t>
            </w:r>
            <w:r w:rsidR="2CA40499" w:rsidRPr="001B4247">
              <w:rPr>
                <w:b/>
                <w:bCs/>
              </w:rPr>
              <w:t>llocated</w:t>
            </w:r>
            <w:r w:rsidRPr="001B4247">
              <w:rPr>
                <w:b/>
                <w:bCs/>
              </w:rPr>
              <w:t xml:space="preserve"> (USD)</w:t>
            </w:r>
            <w:r w:rsidR="12595EEF" w:rsidRPr="001B4247">
              <w:rPr>
                <w:b/>
                <w:bCs/>
              </w:rPr>
              <w:t xml:space="preserve"> by the IPPC Secretariat</w:t>
            </w:r>
          </w:p>
        </w:tc>
        <w:tc>
          <w:tcPr>
            <w:tcW w:w="2039" w:type="pct"/>
          </w:tcPr>
          <w:p w14:paraId="7DCB6647" w14:textId="535E0A40" w:rsidR="1341143A" w:rsidRPr="001B4247" w:rsidRDefault="1BE4C048" w:rsidP="00885FFC">
            <w:pPr>
              <w:pStyle w:val="IPPArialTable"/>
              <w:jc w:val="both"/>
              <w:rPr>
                <w:b/>
                <w:bCs/>
              </w:rPr>
            </w:pPr>
            <w:r w:rsidRPr="001B4247">
              <w:rPr>
                <w:b/>
                <w:bCs/>
              </w:rPr>
              <w:t xml:space="preserve">Actual </w:t>
            </w:r>
            <w:r w:rsidR="737335E7" w:rsidRPr="001B4247">
              <w:rPr>
                <w:b/>
                <w:bCs/>
              </w:rPr>
              <w:t>Expenditures</w:t>
            </w:r>
            <w:r w:rsidRPr="001B4247">
              <w:rPr>
                <w:b/>
                <w:bCs/>
              </w:rPr>
              <w:t xml:space="preserve"> (USD)</w:t>
            </w:r>
          </w:p>
        </w:tc>
      </w:tr>
      <w:tr w:rsidR="00651DDA" w:rsidRPr="001B4247" w14:paraId="6C1A5AC5" w14:textId="77777777" w:rsidTr="00885FFC">
        <w:tc>
          <w:tcPr>
            <w:tcW w:w="1481" w:type="pct"/>
          </w:tcPr>
          <w:p w14:paraId="037F13EF" w14:textId="60F4EC4A" w:rsidR="00651DDA" w:rsidRPr="001B4247" w:rsidRDefault="00651DDA" w:rsidP="00885FFC">
            <w:pPr>
              <w:pStyle w:val="IPPArialTable"/>
              <w:jc w:val="both"/>
            </w:pPr>
            <w:r w:rsidRPr="001B4247">
              <w:t>Africa</w:t>
            </w:r>
          </w:p>
        </w:tc>
        <w:tc>
          <w:tcPr>
            <w:tcW w:w="1480" w:type="pct"/>
          </w:tcPr>
          <w:p w14:paraId="3D2C6B3A" w14:textId="5783E1D9" w:rsidR="00651DDA" w:rsidRPr="001B4247" w:rsidRDefault="00651DDA" w:rsidP="00885FFC">
            <w:pPr>
              <w:pStyle w:val="IPPArialTable"/>
              <w:jc w:val="both"/>
            </w:pPr>
            <w:r w:rsidRPr="001B4247">
              <w:t>57.5</w:t>
            </w:r>
            <w:r w:rsidR="00172AE0" w:rsidRPr="001B4247">
              <w:t>30</w:t>
            </w:r>
          </w:p>
        </w:tc>
        <w:tc>
          <w:tcPr>
            <w:tcW w:w="2039" w:type="pct"/>
          </w:tcPr>
          <w:p w14:paraId="1C09BA03" w14:textId="00887AC8" w:rsidR="1AF9DBFB" w:rsidRPr="001B4247" w:rsidRDefault="2B9EF89E" w:rsidP="00885FFC">
            <w:pPr>
              <w:pStyle w:val="IPPArialTable"/>
              <w:jc w:val="both"/>
              <w:rPr>
                <w:b/>
                <w:bCs/>
              </w:rPr>
            </w:pPr>
            <w:r>
              <w:t>66</w:t>
            </w:r>
            <w:r w:rsidR="24EDD60F">
              <w:t>,</w:t>
            </w:r>
            <w:r>
              <w:t>207.08</w:t>
            </w:r>
          </w:p>
        </w:tc>
      </w:tr>
      <w:tr w:rsidR="009A311D" w:rsidRPr="001B4247" w14:paraId="48F88C08" w14:textId="77777777" w:rsidTr="00885FFC">
        <w:tc>
          <w:tcPr>
            <w:tcW w:w="1481" w:type="pct"/>
          </w:tcPr>
          <w:p w14:paraId="0214A690" w14:textId="1E404263" w:rsidR="009A311D" w:rsidRPr="001B4247" w:rsidRDefault="63E56223" w:rsidP="00885FFC">
            <w:pPr>
              <w:pStyle w:val="IPPArialTable"/>
              <w:jc w:val="both"/>
            </w:pPr>
            <w:r w:rsidRPr="001B4247">
              <w:t xml:space="preserve">Near </w:t>
            </w:r>
            <w:r w:rsidR="2CA40499" w:rsidRPr="001B4247">
              <w:t>East and North Africa</w:t>
            </w:r>
          </w:p>
        </w:tc>
        <w:tc>
          <w:tcPr>
            <w:tcW w:w="1480" w:type="pct"/>
          </w:tcPr>
          <w:p w14:paraId="6D469CC1" w14:textId="171871AE" w:rsidR="009A311D" w:rsidRPr="001B4247" w:rsidRDefault="323A9125" w:rsidP="00885FFC">
            <w:pPr>
              <w:pStyle w:val="IPPArialTable"/>
              <w:jc w:val="both"/>
            </w:pPr>
            <w:r w:rsidRPr="001B4247">
              <w:t>26</w:t>
            </w:r>
            <w:r w:rsidR="5A1D7AFD" w:rsidRPr="001B4247">
              <w:t>.</w:t>
            </w:r>
            <w:r w:rsidR="4F0CB33C" w:rsidRPr="001B4247">
              <w:t>000</w:t>
            </w:r>
          </w:p>
        </w:tc>
        <w:tc>
          <w:tcPr>
            <w:tcW w:w="2039" w:type="pct"/>
          </w:tcPr>
          <w:p w14:paraId="0C2A4F05" w14:textId="55E19415" w:rsidR="347BBEE4" w:rsidRPr="001B4247" w:rsidRDefault="62E4D9FE" w:rsidP="00885FFC">
            <w:pPr>
              <w:pStyle w:val="IPPArialTable"/>
              <w:jc w:val="both"/>
              <w:rPr>
                <w:b/>
                <w:bCs/>
              </w:rPr>
            </w:pPr>
            <w:r>
              <w:t>23</w:t>
            </w:r>
            <w:r w:rsidR="48D313E6">
              <w:t>,</w:t>
            </w:r>
            <w:r>
              <w:t>841.11</w:t>
            </w:r>
          </w:p>
        </w:tc>
      </w:tr>
      <w:tr w:rsidR="00172AE0" w:rsidRPr="001B4247" w14:paraId="7258185D" w14:textId="77777777" w:rsidTr="00885FFC">
        <w:tc>
          <w:tcPr>
            <w:tcW w:w="1481" w:type="pct"/>
          </w:tcPr>
          <w:p w14:paraId="0220D950" w14:textId="223FA336" w:rsidR="00172AE0" w:rsidRPr="001B4247" w:rsidRDefault="00172AE0" w:rsidP="00885FFC">
            <w:pPr>
              <w:pStyle w:val="IPPArialTable"/>
              <w:jc w:val="both"/>
            </w:pPr>
            <w:r w:rsidRPr="001B4247">
              <w:t xml:space="preserve">Latin America </w:t>
            </w:r>
          </w:p>
        </w:tc>
        <w:tc>
          <w:tcPr>
            <w:tcW w:w="1480" w:type="pct"/>
          </w:tcPr>
          <w:p w14:paraId="413D93B3" w14:textId="7E6520E3" w:rsidR="00172AE0" w:rsidRPr="001B4247" w:rsidRDefault="00172AE0" w:rsidP="00885FFC">
            <w:pPr>
              <w:pStyle w:val="IPPArialTable"/>
              <w:jc w:val="both"/>
            </w:pPr>
            <w:r>
              <w:t>21.000</w:t>
            </w:r>
          </w:p>
        </w:tc>
        <w:tc>
          <w:tcPr>
            <w:tcW w:w="2039" w:type="pct"/>
          </w:tcPr>
          <w:p w14:paraId="56127CB5" w14:textId="0E47DA27" w:rsidR="013F53E1" w:rsidRPr="001B4247" w:rsidRDefault="57A5162E" w:rsidP="00885FFC">
            <w:pPr>
              <w:pStyle w:val="IPPArialTable"/>
              <w:jc w:val="both"/>
            </w:pPr>
            <w:r>
              <w:t>12</w:t>
            </w:r>
            <w:r w:rsidR="49256C52">
              <w:t>,</w:t>
            </w:r>
            <w:r>
              <w:t>763</w:t>
            </w:r>
          </w:p>
        </w:tc>
      </w:tr>
      <w:tr w:rsidR="00172AE0" w:rsidRPr="001B4247" w14:paraId="7F0F0E1F" w14:textId="77777777" w:rsidTr="00885FFC">
        <w:tc>
          <w:tcPr>
            <w:tcW w:w="1481" w:type="pct"/>
          </w:tcPr>
          <w:p w14:paraId="2FB0F2CA" w14:textId="432108DC" w:rsidR="00172AE0" w:rsidRPr="001B4247" w:rsidRDefault="00172AE0" w:rsidP="00885FFC">
            <w:pPr>
              <w:pStyle w:val="IPPArialTable"/>
              <w:jc w:val="both"/>
            </w:pPr>
            <w:r w:rsidRPr="001B4247">
              <w:t>Caribbean</w:t>
            </w:r>
          </w:p>
        </w:tc>
        <w:tc>
          <w:tcPr>
            <w:tcW w:w="1480" w:type="pct"/>
          </w:tcPr>
          <w:p w14:paraId="325EEF4C" w14:textId="655DB530" w:rsidR="00172AE0" w:rsidRPr="001B4247" w:rsidRDefault="00172AE0" w:rsidP="00885FFC">
            <w:pPr>
              <w:pStyle w:val="IPPArialTable"/>
              <w:jc w:val="both"/>
            </w:pPr>
            <w:r w:rsidRPr="001B4247">
              <w:t>21.000</w:t>
            </w:r>
          </w:p>
        </w:tc>
        <w:tc>
          <w:tcPr>
            <w:tcW w:w="2039" w:type="pct"/>
          </w:tcPr>
          <w:p w14:paraId="175E913E" w14:textId="521F7E15" w:rsidR="17ADA8FF" w:rsidRPr="001B4247" w:rsidRDefault="0C16D82A" w:rsidP="00885FFC">
            <w:pPr>
              <w:pStyle w:val="IPPArialTable"/>
              <w:jc w:val="both"/>
            </w:pPr>
            <w:r w:rsidRPr="001B4247">
              <w:t>21,000</w:t>
            </w:r>
          </w:p>
        </w:tc>
      </w:tr>
      <w:tr w:rsidR="00172AE0" w:rsidRPr="001B4247" w14:paraId="63FB73B2" w14:textId="77777777" w:rsidTr="00885FFC">
        <w:tc>
          <w:tcPr>
            <w:tcW w:w="1481" w:type="pct"/>
          </w:tcPr>
          <w:p w14:paraId="560E799D" w14:textId="624347F6" w:rsidR="00172AE0" w:rsidRPr="001B4247" w:rsidRDefault="00172AE0" w:rsidP="00885FFC">
            <w:pPr>
              <w:pStyle w:val="IPPArialTable"/>
              <w:jc w:val="both"/>
            </w:pPr>
            <w:r w:rsidRPr="001B4247">
              <w:t>Pacific</w:t>
            </w:r>
          </w:p>
        </w:tc>
        <w:tc>
          <w:tcPr>
            <w:tcW w:w="1480" w:type="pct"/>
          </w:tcPr>
          <w:p w14:paraId="045C4CD0" w14:textId="4A2C8FEB" w:rsidR="00172AE0" w:rsidRPr="001B4247" w:rsidRDefault="00172AE0" w:rsidP="00885FFC">
            <w:pPr>
              <w:pStyle w:val="IPPArialTable"/>
              <w:jc w:val="both"/>
            </w:pPr>
            <w:r w:rsidRPr="001B4247">
              <w:t>17.750</w:t>
            </w:r>
          </w:p>
        </w:tc>
        <w:tc>
          <w:tcPr>
            <w:tcW w:w="2039" w:type="pct"/>
          </w:tcPr>
          <w:p w14:paraId="7B77D52D" w14:textId="652A9FBA" w:rsidR="365AB5D0" w:rsidRPr="001B4247" w:rsidRDefault="6D3D91AA" w:rsidP="00885FFC">
            <w:pPr>
              <w:pStyle w:val="IPPArialTable"/>
              <w:jc w:val="both"/>
            </w:pPr>
            <w:r>
              <w:t>15</w:t>
            </w:r>
            <w:r w:rsidR="5689E77C">
              <w:t>,</w:t>
            </w:r>
            <w:r>
              <w:t>340</w:t>
            </w:r>
          </w:p>
        </w:tc>
      </w:tr>
      <w:tr w:rsidR="009A311D" w:rsidRPr="001B4247" w14:paraId="2DBBB768" w14:textId="77777777" w:rsidTr="00885FFC">
        <w:tc>
          <w:tcPr>
            <w:tcW w:w="1481" w:type="pct"/>
          </w:tcPr>
          <w:p w14:paraId="38AB8C91" w14:textId="769261B9" w:rsidR="009A311D" w:rsidRPr="001B4247" w:rsidRDefault="00E3625A" w:rsidP="00885FFC">
            <w:pPr>
              <w:pStyle w:val="IPPArialTable"/>
              <w:jc w:val="both"/>
            </w:pPr>
            <w:r w:rsidRPr="001B4247">
              <w:t>Europe and Central Asia</w:t>
            </w:r>
          </w:p>
        </w:tc>
        <w:tc>
          <w:tcPr>
            <w:tcW w:w="1480" w:type="pct"/>
          </w:tcPr>
          <w:p w14:paraId="283C55FE" w14:textId="618231A2" w:rsidR="009A311D" w:rsidRPr="001B4247" w:rsidRDefault="00E84931" w:rsidP="00885FFC">
            <w:pPr>
              <w:pStyle w:val="IPPArialTable"/>
              <w:jc w:val="both"/>
            </w:pPr>
            <w:r w:rsidRPr="001B4247">
              <w:t>14.272</w:t>
            </w:r>
          </w:p>
        </w:tc>
        <w:tc>
          <w:tcPr>
            <w:tcW w:w="2039" w:type="pct"/>
          </w:tcPr>
          <w:p w14:paraId="6ABD4E0B" w14:textId="4F9434E7" w:rsidR="1868F026" w:rsidRPr="001B4247" w:rsidRDefault="0FDCBDFD" w:rsidP="00885FFC">
            <w:pPr>
              <w:pStyle w:val="IPPArialTable"/>
              <w:jc w:val="both"/>
            </w:pPr>
            <w:r w:rsidRPr="001B4247">
              <w:t>5,451</w:t>
            </w:r>
          </w:p>
        </w:tc>
      </w:tr>
      <w:tr w:rsidR="00172AE0" w:rsidRPr="001B4247" w14:paraId="530775D7" w14:textId="77777777" w:rsidTr="00885FFC">
        <w:tc>
          <w:tcPr>
            <w:tcW w:w="1481" w:type="pct"/>
          </w:tcPr>
          <w:p w14:paraId="1577EB39" w14:textId="08AB8F3E" w:rsidR="00172AE0" w:rsidRPr="001B4247" w:rsidRDefault="00172AE0" w:rsidP="00885FFC">
            <w:pPr>
              <w:pStyle w:val="IPPArialTable"/>
              <w:jc w:val="both"/>
            </w:pPr>
            <w:r w:rsidRPr="001B4247">
              <w:t>Asia</w:t>
            </w:r>
          </w:p>
        </w:tc>
        <w:tc>
          <w:tcPr>
            <w:tcW w:w="1480" w:type="pct"/>
          </w:tcPr>
          <w:p w14:paraId="3487A666" w14:textId="459AB8FE" w:rsidR="00172AE0" w:rsidRPr="001B4247" w:rsidRDefault="00172AE0" w:rsidP="00885FFC">
            <w:pPr>
              <w:pStyle w:val="IPPArialTable"/>
              <w:jc w:val="both"/>
            </w:pPr>
            <w:r w:rsidRPr="001B4247">
              <w:t>5.000</w:t>
            </w:r>
          </w:p>
        </w:tc>
        <w:tc>
          <w:tcPr>
            <w:tcW w:w="2039" w:type="pct"/>
          </w:tcPr>
          <w:p w14:paraId="690896DC" w14:textId="5B4B7DB7" w:rsidR="71F3D70E" w:rsidRPr="001B4247" w:rsidRDefault="3F4B4E5D" w:rsidP="00885FFC">
            <w:pPr>
              <w:pStyle w:val="IPPArialTable"/>
              <w:jc w:val="both"/>
            </w:pPr>
            <w:r w:rsidRPr="001B4247">
              <w:t>3,696</w:t>
            </w:r>
          </w:p>
        </w:tc>
      </w:tr>
    </w:tbl>
    <w:p w14:paraId="41321F91" w14:textId="324D58B7" w:rsidR="00172AE0" w:rsidRPr="001B4247" w:rsidRDefault="0A001C16" w:rsidP="000E4AF3">
      <w:pPr>
        <w:pStyle w:val="IPPHeading1"/>
        <w:jc w:val="both"/>
      </w:pPr>
      <w:r w:rsidRPr="12158E7D">
        <w:rPr>
          <w:sz w:val="22"/>
        </w:rPr>
        <w:t>Table 1: IPPC Secretariat budget allocated and actual expenditures for 2025</w:t>
      </w:r>
    </w:p>
    <w:p w14:paraId="46AA80D9" w14:textId="01D39C21" w:rsidR="00F37271" w:rsidRDefault="25376FFF" w:rsidP="00885FFC">
      <w:pPr>
        <w:pStyle w:val="IPPParagraphnumbering"/>
      </w:pPr>
      <w:r>
        <w:t>In some regions, FAO, RPPOs and host countries provided some financial support for the IPPC Regional Workshops including interpretation, communications, report writing, travel assistance, venue and organi</w:t>
      </w:r>
      <w:r w:rsidR="27357E8E">
        <w:t>z</w:t>
      </w:r>
      <w:r>
        <w:t>ation of field activity. However, the financial details of these contributions were not shared</w:t>
      </w:r>
      <w:r w:rsidR="260BA186">
        <w:t xml:space="preserve"> </w:t>
      </w:r>
      <w:r>
        <w:t>with the IPPC Secretariat.</w:t>
      </w:r>
    </w:p>
    <w:p w14:paraId="0FDE0A10" w14:textId="3040B08D" w:rsidR="00F37271" w:rsidRDefault="0E4AB434" w:rsidP="000E4AF3">
      <w:pPr>
        <w:pStyle w:val="IPPParagraphnumbering"/>
        <w:rPr>
          <w:b/>
          <w:bCs/>
          <w:lang w:val="en-GB"/>
        </w:rPr>
      </w:pPr>
      <w:r>
        <w:t>The variations reflect differences in regional cost structures, the number of participants, workshop duration, and logistical requirements.</w:t>
      </w:r>
    </w:p>
    <w:p w14:paraId="18ADDBF1" w14:textId="1FD8B1E4" w:rsidR="008D2073" w:rsidRPr="00C860B6" w:rsidRDefault="008D2073" w:rsidP="000E4AF3">
      <w:pPr>
        <w:pStyle w:val="IPPHeading1"/>
        <w:jc w:val="both"/>
      </w:pPr>
      <w:r w:rsidRPr="00C860B6">
        <w:t>Secretariat staff</w:t>
      </w:r>
    </w:p>
    <w:p w14:paraId="5C0E0426" w14:textId="044B9BCB" w:rsidR="32CDCD8F" w:rsidRDefault="32CDCD8F" w:rsidP="000E4AF3">
      <w:pPr>
        <w:pStyle w:val="IPPParagraphnumbering"/>
        <w:spacing w:before="240" w:after="240"/>
      </w:pPr>
      <w:r>
        <w:t>Approximately USD 50,000 was allocated to Secretariat staff travel to support seven Regional Workshops. This investment strengthened institutional coherence, ensured alignment with CPM decisions and IPPC governance processes, and enhanced the Secretariat’s capacity to provide consistent technical guidance across regions.</w:t>
      </w:r>
    </w:p>
    <w:p w14:paraId="3E286BFC" w14:textId="08E7E60C" w:rsidR="32CDCD8F" w:rsidRDefault="124C97ED" w:rsidP="000E4AF3">
      <w:pPr>
        <w:pStyle w:val="IPPParagraphnumbering"/>
        <w:spacing w:before="240" w:after="240"/>
      </w:pPr>
      <w:r>
        <w:t xml:space="preserve">Secretariat participation in the Regional Workshops provides strategic value by safeguarding the integrity, </w:t>
      </w:r>
      <w:r w:rsidR="7CD46156">
        <w:t>consistency,</w:t>
      </w:r>
      <w:r>
        <w:t xml:space="preserve"> and quality of regional deliberations. Through direct engagement, Secretariat Leads ensure that discussions are aligned with the IPPC Strategic Framework, CPM decisions and ongoing standards development and implementation processes. Their presence supports harmonised interpretation of draft ISPMs, implementation guidance and governance matters across regions.</w:t>
      </w:r>
    </w:p>
    <w:p w14:paraId="462ADFC9" w14:textId="2A218BB0" w:rsidR="32CDCD8F" w:rsidRDefault="32CDCD8F" w:rsidP="000E4AF3">
      <w:pPr>
        <w:pStyle w:val="IPPParagraphnumbering"/>
        <w:spacing w:before="240" w:after="240"/>
      </w:pPr>
      <w:r>
        <w:t xml:space="preserve">Rather than focusing solely on facilitation functions, Secretariat involvement </w:t>
      </w:r>
      <w:r w:rsidR="005D0379">
        <w:t>serves as</w:t>
      </w:r>
      <w:r>
        <w:t xml:space="preserve"> a quality assurance role. It ensures that regional feedback is technically robust, accurately reflected and institutionally coherent before transmission to the Standards Committee, the Implementation and Capacity Development Committee and the CPM Bureau. This contributes to informed decision-making at global level and strengthens the link between regional consultations and CPM governance structures.</w:t>
      </w:r>
    </w:p>
    <w:p w14:paraId="38524040" w14:textId="4116F64C" w:rsidR="32CDCD8F" w:rsidRDefault="32CDCD8F" w:rsidP="000E4AF3">
      <w:pPr>
        <w:pStyle w:val="IPPParagraphnumbering"/>
        <w:spacing w:before="240" w:after="240"/>
      </w:pPr>
      <w:r>
        <w:lastRenderedPageBreak/>
        <w:t>Secretariat Leads also support institutional continuity by promoting balanced participation, reinforcing procedural integrity and maintaining constructive engagement among Contracting Parties and partners. Their engagement enhances transparency, consistency and trust in the regional consultation process, while helping to mitigate risks of misalignment or fragmentation across regions.</w:t>
      </w:r>
    </w:p>
    <w:p w14:paraId="720F7187" w14:textId="6A97B355" w:rsidR="50B525CD" w:rsidRDefault="32CDCD8F" w:rsidP="000E4AF3">
      <w:pPr>
        <w:pStyle w:val="IPPParagraphnumbering"/>
        <w:spacing w:before="240" w:after="240"/>
      </w:pPr>
      <w:r>
        <w:t>Overall, the Secretariat’s engagement in the Regional Workshops represents a strategic governance function that underpins the credibility, quality and effectiveness of the IPPC’s global standard-setting and implementation system.</w:t>
      </w:r>
    </w:p>
    <w:p w14:paraId="0C7F9408" w14:textId="704F84B1" w:rsidR="00F37271" w:rsidRPr="00C860B6" w:rsidRDefault="00F37271" w:rsidP="000E4AF3">
      <w:pPr>
        <w:pStyle w:val="IPPHeading1"/>
        <w:jc w:val="both"/>
      </w:pPr>
      <w:r w:rsidRPr="00C860B6">
        <w:t>Total expenditure for 2025</w:t>
      </w:r>
    </w:p>
    <w:p w14:paraId="07CE85D1" w14:textId="18B6DDCC" w:rsidR="00055E31" w:rsidRPr="00AF2A70" w:rsidRDefault="5289B951" w:rsidP="000E4AF3">
      <w:pPr>
        <w:pStyle w:val="IPPParagraphnumbering"/>
        <w:rPr>
          <w:rFonts w:eastAsia="Times New Roman"/>
        </w:rPr>
      </w:pPr>
      <w:r w:rsidRPr="12158E7D">
        <w:rPr>
          <w:rFonts w:eastAsia="Times New Roman"/>
        </w:rPr>
        <w:t>The total expenditure for the 2025 IPPC Regional Workshops amounted to approximately USD 209,000.89, comprising USD 148,298.89 in direct regional allocations, USD 11,810.33 for IC, SC and Bureau</w:t>
      </w:r>
      <w:r w:rsidR="265538F3" w:rsidRPr="12158E7D">
        <w:rPr>
          <w:rFonts w:eastAsia="Times New Roman"/>
        </w:rPr>
        <w:t xml:space="preserve"> member</w:t>
      </w:r>
      <w:r w:rsidRPr="12158E7D">
        <w:rPr>
          <w:rFonts w:eastAsia="Times New Roman"/>
        </w:rPr>
        <w:t xml:space="preserve"> travel</w:t>
      </w:r>
      <w:r w:rsidR="67C0583D" w:rsidRPr="12158E7D">
        <w:rPr>
          <w:rFonts w:eastAsia="Times New Roman"/>
        </w:rPr>
        <w:t xml:space="preserve"> support</w:t>
      </w:r>
      <w:r w:rsidRPr="12158E7D">
        <w:rPr>
          <w:rFonts w:eastAsia="Times New Roman"/>
        </w:rPr>
        <w:t>, and approximately USD 50,000 in Secretariat staff travel costs.</w:t>
      </w:r>
    </w:p>
    <w:p w14:paraId="5E89357A" w14:textId="77777777" w:rsidR="008D2073" w:rsidRPr="00C860B6" w:rsidRDefault="008D2073" w:rsidP="000E4AF3">
      <w:pPr>
        <w:pStyle w:val="IPPHeading1"/>
        <w:jc w:val="both"/>
      </w:pPr>
      <w:r w:rsidRPr="00C860B6">
        <w:t>Sustainability considerations and outlook for 2026</w:t>
      </w:r>
    </w:p>
    <w:p w14:paraId="50D568EE" w14:textId="2E205965" w:rsidR="008D2073" w:rsidRDefault="008D2073" w:rsidP="000E4AF3">
      <w:pPr>
        <w:pStyle w:val="IPPParagraphnumbering"/>
        <w:rPr>
          <w:lang w:val="en-GB"/>
        </w:rPr>
      </w:pPr>
      <w:r>
        <w:t>Looking ahead to 2026, the Secretariat anticipates that the budget allocations provided to regions and host countries for the organi</w:t>
      </w:r>
      <w:r w:rsidR="2DFEFA7F">
        <w:t>z</w:t>
      </w:r>
      <w:r>
        <w:t xml:space="preserve">ation of IPPC Regional Workshops will either remain at current levels or </w:t>
      </w:r>
      <w:r w:rsidR="00055E31">
        <w:t xml:space="preserve">be slightly </w:t>
      </w:r>
      <w:r>
        <w:t>increase</w:t>
      </w:r>
      <w:r w:rsidR="00055E31">
        <w:t>d</w:t>
      </w:r>
      <w:r>
        <w:t>, subject to available resources.</w:t>
      </w:r>
    </w:p>
    <w:p w14:paraId="47DC4D5E" w14:textId="49BEF40D" w:rsidR="00CE10F7" w:rsidRPr="00B63650" w:rsidRDefault="7BBBABDD" w:rsidP="000E4AF3">
      <w:pPr>
        <w:pStyle w:val="IPPParagraphnumbering"/>
        <w:rPr>
          <w:lang w:val="en-GB"/>
        </w:rPr>
      </w:pPr>
      <w:r>
        <w:t xml:space="preserve">There is an urgent need to strengthen regional contributions and support for the organization of IPPC Regional Workshops. To ensure the integrity and long‑term sustainability of these workshops, </w:t>
      </w:r>
      <w:r w:rsidR="46226B03">
        <w:t xml:space="preserve">a </w:t>
      </w:r>
      <w:r>
        <w:t>strong financial commitment is required both at the regional level and from</w:t>
      </w:r>
      <w:r w:rsidR="055B3DCD">
        <w:t xml:space="preserve"> host</w:t>
      </w:r>
      <w:r>
        <w:t xml:space="preserve"> countries.</w:t>
      </w:r>
    </w:p>
    <w:p w14:paraId="10447CDE" w14:textId="4F32DCA1" w:rsidR="28F20451" w:rsidRDefault="28F20451" w:rsidP="000E4AF3">
      <w:pPr>
        <w:pStyle w:val="IPPParagraphnumbering"/>
        <w:rPr>
          <w:lang w:val="en-GB"/>
        </w:rPr>
      </w:pPr>
      <w:r w:rsidRPr="315DC65B">
        <w:rPr>
          <w:lang w:val="en-GB"/>
        </w:rPr>
        <w:t>The budget allocation is determined in proportion to the number of Contracting Parties within each region and the corresponding number of countries eligible for travel support from the IPPC Secretariat.</w:t>
      </w:r>
    </w:p>
    <w:tbl>
      <w:tblPr>
        <w:tblStyle w:val="TableGrid"/>
        <w:tblW w:w="5000" w:type="pct"/>
        <w:tblLook w:val="04A0" w:firstRow="1" w:lastRow="0" w:firstColumn="1" w:lastColumn="0" w:noHBand="0" w:noVBand="1"/>
      </w:tblPr>
      <w:tblGrid>
        <w:gridCol w:w="3020"/>
        <w:gridCol w:w="3021"/>
        <w:gridCol w:w="3019"/>
      </w:tblGrid>
      <w:tr w:rsidR="009A311D" w:rsidRPr="001B4247" w14:paraId="7A9B34D9" w14:textId="77777777" w:rsidTr="713FF20E">
        <w:tc>
          <w:tcPr>
            <w:tcW w:w="1667" w:type="pct"/>
          </w:tcPr>
          <w:p w14:paraId="28934986" w14:textId="3813649A" w:rsidR="009A311D" w:rsidRPr="001B4247" w:rsidRDefault="4767D4DD" w:rsidP="000E4AF3">
            <w:pPr>
              <w:pStyle w:val="IPPArialTable"/>
              <w:jc w:val="both"/>
              <w:rPr>
                <w:b/>
                <w:bCs/>
              </w:rPr>
            </w:pPr>
            <w:r w:rsidRPr="3C9C2233">
              <w:rPr>
                <w:b/>
                <w:bCs/>
              </w:rPr>
              <w:t>Region</w:t>
            </w:r>
            <w:r w:rsidR="739F9F32" w:rsidRPr="3C9C2233">
              <w:rPr>
                <w:b/>
                <w:bCs/>
              </w:rPr>
              <w:t>s</w:t>
            </w:r>
          </w:p>
        </w:tc>
        <w:tc>
          <w:tcPr>
            <w:tcW w:w="1667" w:type="pct"/>
          </w:tcPr>
          <w:p w14:paraId="357860A3" w14:textId="5B073C9D" w:rsidR="009A311D" w:rsidRPr="001B4247" w:rsidRDefault="18F42961" w:rsidP="000E4AF3">
            <w:pPr>
              <w:pStyle w:val="IPPArialTable"/>
              <w:jc w:val="both"/>
              <w:rPr>
                <w:b/>
                <w:bCs/>
              </w:rPr>
            </w:pPr>
            <w:r w:rsidRPr="001B4247">
              <w:rPr>
                <w:b/>
                <w:bCs/>
              </w:rPr>
              <w:t xml:space="preserve">USD </w:t>
            </w:r>
            <w:r w:rsidR="00D7303B">
              <w:rPr>
                <w:b/>
                <w:bCs/>
              </w:rPr>
              <w:t>Proposed allocation</w:t>
            </w:r>
            <w:r w:rsidRPr="001B4247">
              <w:rPr>
                <w:b/>
                <w:bCs/>
              </w:rPr>
              <w:t xml:space="preserve"> for 2026 by the IPPC secretariat</w:t>
            </w:r>
          </w:p>
        </w:tc>
        <w:tc>
          <w:tcPr>
            <w:tcW w:w="1667" w:type="pct"/>
          </w:tcPr>
          <w:p w14:paraId="66202794" w14:textId="2673D426" w:rsidR="009A311D" w:rsidRPr="001B4247" w:rsidRDefault="18F42961" w:rsidP="000E4AF3">
            <w:pPr>
              <w:pStyle w:val="IPPArialTable"/>
              <w:jc w:val="both"/>
              <w:rPr>
                <w:b/>
                <w:bCs/>
              </w:rPr>
            </w:pPr>
            <w:r w:rsidRPr="001B4247">
              <w:rPr>
                <w:b/>
                <w:bCs/>
              </w:rPr>
              <w:t>% change from 2025</w:t>
            </w:r>
          </w:p>
        </w:tc>
      </w:tr>
      <w:tr w:rsidR="004C4127" w:rsidRPr="001B4247" w14:paraId="1A1E3950" w14:textId="77777777" w:rsidTr="713FF20E">
        <w:tc>
          <w:tcPr>
            <w:tcW w:w="1667" w:type="pct"/>
          </w:tcPr>
          <w:p w14:paraId="2F47721A" w14:textId="16984EFD" w:rsidR="004C4127" w:rsidRPr="001B4247" w:rsidRDefault="00713814" w:rsidP="000E4AF3">
            <w:pPr>
              <w:pStyle w:val="IPPArialTable"/>
              <w:jc w:val="both"/>
            </w:pPr>
            <w:r w:rsidRPr="001B4247">
              <w:t>Near</w:t>
            </w:r>
            <w:r w:rsidR="781CED09" w:rsidRPr="001B4247">
              <w:t xml:space="preserve"> East and North Africa</w:t>
            </w:r>
          </w:p>
        </w:tc>
        <w:tc>
          <w:tcPr>
            <w:tcW w:w="1667" w:type="pct"/>
          </w:tcPr>
          <w:p w14:paraId="62F1204B" w14:textId="0521FF88" w:rsidR="004C4127" w:rsidRPr="001B4247" w:rsidRDefault="004C4127" w:rsidP="000E4AF3">
            <w:pPr>
              <w:pStyle w:val="IPPArialTable"/>
              <w:jc w:val="both"/>
            </w:pPr>
            <w:r w:rsidRPr="001B4247">
              <w:t>26.000</w:t>
            </w:r>
          </w:p>
        </w:tc>
        <w:tc>
          <w:tcPr>
            <w:tcW w:w="1667" w:type="pct"/>
          </w:tcPr>
          <w:p w14:paraId="5770B6B6" w14:textId="28E01CC8" w:rsidR="004C4127" w:rsidRPr="001B4247" w:rsidRDefault="004C4127" w:rsidP="000E4AF3">
            <w:pPr>
              <w:pStyle w:val="IPPArialTable"/>
              <w:jc w:val="both"/>
            </w:pPr>
            <w:r w:rsidRPr="001B4247">
              <w:t>0%</w:t>
            </w:r>
          </w:p>
        </w:tc>
      </w:tr>
      <w:tr w:rsidR="004C4127" w:rsidRPr="001B4247" w14:paraId="341E4DFE" w14:textId="77777777" w:rsidTr="713FF20E">
        <w:tc>
          <w:tcPr>
            <w:tcW w:w="1667" w:type="pct"/>
          </w:tcPr>
          <w:p w14:paraId="148979B2" w14:textId="01E540E0" w:rsidR="004C4127" w:rsidRPr="001B4247" w:rsidRDefault="004C4127" w:rsidP="000E4AF3">
            <w:pPr>
              <w:pStyle w:val="IPPArialTable"/>
              <w:jc w:val="both"/>
            </w:pPr>
            <w:r w:rsidRPr="001B4247">
              <w:t>Africa</w:t>
            </w:r>
          </w:p>
        </w:tc>
        <w:tc>
          <w:tcPr>
            <w:tcW w:w="1667" w:type="pct"/>
          </w:tcPr>
          <w:p w14:paraId="790E6E03" w14:textId="357A0152" w:rsidR="004C4127" w:rsidRPr="001B4247" w:rsidRDefault="004C4127" w:rsidP="000E4AF3">
            <w:pPr>
              <w:pStyle w:val="IPPArialTable"/>
              <w:jc w:val="both"/>
            </w:pPr>
            <w:r w:rsidRPr="001B4247">
              <w:t>55.000</w:t>
            </w:r>
          </w:p>
        </w:tc>
        <w:tc>
          <w:tcPr>
            <w:tcW w:w="1667" w:type="pct"/>
          </w:tcPr>
          <w:p w14:paraId="399F6CD1" w14:textId="11A5DF6B" w:rsidR="004C4127" w:rsidRPr="001B4247" w:rsidRDefault="008F3BF4" w:rsidP="000E4AF3">
            <w:pPr>
              <w:pStyle w:val="IPPArialTable"/>
              <w:jc w:val="both"/>
            </w:pPr>
            <w:r w:rsidRPr="001B4247">
              <w:t xml:space="preserve">- </w:t>
            </w:r>
            <w:r w:rsidR="781CED09" w:rsidRPr="001B4247">
              <w:t>4.4%</w:t>
            </w:r>
          </w:p>
        </w:tc>
      </w:tr>
      <w:tr w:rsidR="004C4127" w:rsidRPr="001B4247" w14:paraId="3B457AC8" w14:textId="77777777" w:rsidTr="713FF20E">
        <w:tc>
          <w:tcPr>
            <w:tcW w:w="1667" w:type="pct"/>
          </w:tcPr>
          <w:p w14:paraId="09A2C85E" w14:textId="52F69256" w:rsidR="004C4127" w:rsidRPr="001B4247" w:rsidRDefault="004C4127" w:rsidP="000E4AF3">
            <w:pPr>
              <w:pStyle w:val="IPPArialTable"/>
              <w:jc w:val="both"/>
            </w:pPr>
            <w:r w:rsidRPr="001B4247">
              <w:t>Europe and Central Asia</w:t>
            </w:r>
          </w:p>
        </w:tc>
        <w:tc>
          <w:tcPr>
            <w:tcW w:w="1667" w:type="pct"/>
          </w:tcPr>
          <w:p w14:paraId="44ED6F60" w14:textId="7F7B6C0D" w:rsidR="004C4127" w:rsidRPr="001B4247" w:rsidRDefault="004C4127" w:rsidP="000E4AF3">
            <w:pPr>
              <w:pStyle w:val="IPPArialTable"/>
              <w:jc w:val="both"/>
            </w:pPr>
            <w:r w:rsidRPr="001B4247">
              <w:t>15.000</w:t>
            </w:r>
          </w:p>
        </w:tc>
        <w:tc>
          <w:tcPr>
            <w:tcW w:w="1667" w:type="pct"/>
          </w:tcPr>
          <w:p w14:paraId="63D69CAD" w14:textId="7945233E" w:rsidR="004C4127" w:rsidRPr="001B4247" w:rsidRDefault="00055E31" w:rsidP="000E4AF3">
            <w:pPr>
              <w:pStyle w:val="IPPArialTable"/>
              <w:jc w:val="both"/>
            </w:pPr>
            <w:r w:rsidRPr="001B4247">
              <w:t>5.1%</w:t>
            </w:r>
          </w:p>
        </w:tc>
      </w:tr>
      <w:tr w:rsidR="004C4127" w:rsidRPr="001B4247" w14:paraId="6F097C1B" w14:textId="77777777" w:rsidTr="713FF20E">
        <w:tc>
          <w:tcPr>
            <w:tcW w:w="1667" w:type="pct"/>
          </w:tcPr>
          <w:p w14:paraId="73840DA4" w14:textId="5858D997" w:rsidR="004C4127" w:rsidRPr="001B4247" w:rsidRDefault="004C4127" w:rsidP="000E4AF3">
            <w:pPr>
              <w:pStyle w:val="IPPArialTable"/>
              <w:jc w:val="both"/>
            </w:pPr>
            <w:r w:rsidRPr="001B4247">
              <w:t xml:space="preserve">Latin America </w:t>
            </w:r>
          </w:p>
        </w:tc>
        <w:tc>
          <w:tcPr>
            <w:tcW w:w="1667" w:type="pct"/>
          </w:tcPr>
          <w:p w14:paraId="2C0C3541" w14:textId="19748383" w:rsidR="004C4127" w:rsidRPr="001B4247" w:rsidRDefault="175EBB36" w:rsidP="000E4AF3">
            <w:pPr>
              <w:pStyle w:val="IPPArialTable"/>
              <w:jc w:val="both"/>
            </w:pPr>
            <w:r>
              <w:t>21.000</w:t>
            </w:r>
          </w:p>
        </w:tc>
        <w:tc>
          <w:tcPr>
            <w:tcW w:w="1667" w:type="pct"/>
          </w:tcPr>
          <w:p w14:paraId="6B63CF02" w14:textId="43B278A7" w:rsidR="004C4127" w:rsidRPr="001B4247" w:rsidRDefault="00055E31" w:rsidP="000E4AF3">
            <w:pPr>
              <w:pStyle w:val="IPPArialTable"/>
              <w:jc w:val="both"/>
            </w:pPr>
            <w:r w:rsidRPr="001B4247">
              <w:t>0%</w:t>
            </w:r>
          </w:p>
        </w:tc>
      </w:tr>
      <w:tr w:rsidR="004C4127" w:rsidRPr="001B4247" w14:paraId="7A8A0412" w14:textId="77777777" w:rsidTr="713FF20E">
        <w:tc>
          <w:tcPr>
            <w:tcW w:w="1667" w:type="pct"/>
          </w:tcPr>
          <w:p w14:paraId="59EB05BA" w14:textId="63A0595C" w:rsidR="004C4127" w:rsidRPr="001B4247" w:rsidRDefault="004C4127" w:rsidP="000E4AF3">
            <w:pPr>
              <w:pStyle w:val="IPPArialTable"/>
              <w:jc w:val="both"/>
            </w:pPr>
            <w:r w:rsidRPr="001B4247">
              <w:t>Pacific</w:t>
            </w:r>
          </w:p>
        </w:tc>
        <w:tc>
          <w:tcPr>
            <w:tcW w:w="1667" w:type="pct"/>
          </w:tcPr>
          <w:p w14:paraId="28479C65" w14:textId="7BE43348" w:rsidR="004C4127" w:rsidRPr="001B4247" w:rsidRDefault="004C4127" w:rsidP="000E4AF3">
            <w:pPr>
              <w:pStyle w:val="IPPArialTable"/>
              <w:jc w:val="both"/>
            </w:pPr>
            <w:r w:rsidRPr="001B4247">
              <w:t>20.000</w:t>
            </w:r>
          </w:p>
        </w:tc>
        <w:tc>
          <w:tcPr>
            <w:tcW w:w="1667" w:type="pct"/>
          </w:tcPr>
          <w:p w14:paraId="5E4790C7" w14:textId="06F82F04" w:rsidR="004C4127" w:rsidRPr="001B4247" w:rsidRDefault="00055E31" w:rsidP="000E4AF3">
            <w:pPr>
              <w:pStyle w:val="IPPArialTable"/>
              <w:jc w:val="both"/>
            </w:pPr>
            <w:r w:rsidRPr="001B4247">
              <w:t>12.68%</w:t>
            </w:r>
          </w:p>
        </w:tc>
      </w:tr>
      <w:tr w:rsidR="004C4127" w:rsidRPr="001B4247" w14:paraId="33460192" w14:textId="77777777" w:rsidTr="713FF20E">
        <w:tc>
          <w:tcPr>
            <w:tcW w:w="1667" w:type="pct"/>
          </w:tcPr>
          <w:p w14:paraId="1BCB2851" w14:textId="199100A8" w:rsidR="004C4127" w:rsidRPr="001B4247" w:rsidRDefault="004C4127" w:rsidP="000E4AF3">
            <w:pPr>
              <w:pStyle w:val="IPPArialTable"/>
              <w:jc w:val="both"/>
            </w:pPr>
            <w:r w:rsidRPr="001B4247">
              <w:t>Caribbean</w:t>
            </w:r>
          </w:p>
        </w:tc>
        <w:tc>
          <w:tcPr>
            <w:tcW w:w="1667" w:type="pct"/>
          </w:tcPr>
          <w:p w14:paraId="5BD675FA" w14:textId="1851050C" w:rsidR="004C4127" w:rsidRPr="001B4247" w:rsidRDefault="004C4127" w:rsidP="000E4AF3">
            <w:pPr>
              <w:pStyle w:val="IPPArialTable"/>
              <w:jc w:val="both"/>
            </w:pPr>
            <w:r w:rsidRPr="001B4247">
              <w:t>28.000</w:t>
            </w:r>
          </w:p>
        </w:tc>
        <w:tc>
          <w:tcPr>
            <w:tcW w:w="1667" w:type="pct"/>
          </w:tcPr>
          <w:p w14:paraId="4D78EDC2" w14:textId="06F2A6EE" w:rsidR="004C4127" w:rsidRPr="001B4247" w:rsidRDefault="00055E31" w:rsidP="000E4AF3">
            <w:pPr>
              <w:pStyle w:val="IPPArialTable"/>
              <w:jc w:val="both"/>
            </w:pPr>
            <w:r w:rsidRPr="001B4247">
              <w:t>33.33%</w:t>
            </w:r>
          </w:p>
        </w:tc>
      </w:tr>
      <w:tr w:rsidR="004C4127" w:rsidRPr="001B4247" w14:paraId="47D82C60" w14:textId="77777777" w:rsidTr="713FF20E">
        <w:tc>
          <w:tcPr>
            <w:tcW w:w="1667" w:type="pct"/>
          </w:tcPr>
          <w:p w14:paraId="1FB70C91" w14:textId="6AD2E586" w:rsidR="004C4127" w:rsidRPr="001B4247" w:rsidRDefault="004C4127" w:rsidP="000E4AF3">
            <w:pPr>
              <w:pStyle w:val="IPPArialTable"/>
              <w:jc w:val="both"/>
            </w:pPr>
            <w:r w:rsidRPr="001B4247">
              <w:t>Asia</w:t>
            </w:r>
          </w:p>
        </w:tc>
        <w:tc>
          <w:tcPr>
            <w:tcW w:w="1667" w:type="pct"/>
          </w:tcPr>
          <w:p w14:paraId="4C69D7F0" w14:textId="0DF4603C" w:rsidR="004C4127" w:rsidRPr="001B4247" w:rsidRDefault="004C4127" w:rsidP="000E4AF3">
            <w:pPr>
              <w:pStyle w:val="IPPArialTable"/>
              <w:jc w:val="both"/>
            </w:pPr>
            <w:r w:rsidRPr="001B4247">
              <w:t>5.000</w:t>
            </w:r>
          </w:p>
        </w:tc>
        <w:tc>
          <w:tcPr>
            <w:tcW w:w="1667" w:type="pct"/>
          </w:tcPr>
          <w:p w14:paraId="138DF40C" w14:textId="7F07D2FD" w:rsidR="004C4127" w:rsidRPr="001B4247" w:rsidRDefault="00055E31" w:rsidP="000E4AF3">
            <w:pPr>
              <w:pStyle w:val="IPPArialTable"/>
              <w:jc w:val="both"/>
            </w:pPr>
            <w:r w:rsidRPr="001B4247">
              <w:t>0%</w:t>
            </w:r>
          </w:p>
        </w:tc>
      </w:tr>
    </w:tbl>
    <w:p w14:paraId="26F0FDBB" w14:textId="7228A339" w:rsidR="7430678D" w:rsidRDefault="7430678D" w:rsidP="000E4AF3">
      <w:pPr>
        <w:pStyle w:val="IPPParagraphnumbering"/>
        <w:numPr>
          <w:ilvl w:val="0"/>
          <w:numId w:val="0"/>
        </w:numPr>
        <w:rPr>
          <w:sz w:val="20"/>
          <w:szCs w:val="20"/>
          <w:lang w:val="en-GB"/>
        </w:rPr>
      </w:pPr>
      <w:r w:rsidRPr="2D986274">
        <w:rPr>
          <w:b/>
          <w:bCs/>
          <w:sz w:val="20"/>
          <w:szCs w:val="20"/>
        </w:rPr>
        <w:t>Table 2:</w:t>
      </w:r>
      <w:r w:rsidRPr="2D986274">
        <w:rPr>
          <w:sz w:val="20"/>
          <w:szCs w:val="20"/>
        </w:rPr>
        <w:t xml:space="preserve"> IPPC Secretariat proposed budget allocat</w:t>
      </w:r>
      <w:r w:rsidR="450DA43B" w:rsidRPr="2D986274">
        <w:rPr>
          <w:sz w:val="20"/>
          <w:szCs w:val="20"/>
        </w:rPr>
        <w:t>ion</w:t>
      </w:r>
      <w:r w:rsidRPr="2D986274">
        <w:rPr>
          <w:sz w:val="20"/>
          <w:szCs w:val="20"/>
        </w:rPr>
        <w:t xml:space="preserve"> for 2026</w:t>
      </w:r>
    </w:p>
    <w:p w14:paraId="0B190323" w14:textId="6A683C17" w:rsidR="77FAB536" w:rsidRPr="0032018D" w:rsidRDefault="4E45363C" w:rsidP="000E4AF3">
      <w:pPr>
        <w:pStyle w:val="IPPParagraphnumbering"/>
      </w:pPr>
      <w:r>
        <w:t xml:space="preserve"> </w:t>
      </w:r>
      <w:r w:rsidR="74C4E191" w:rsidRPr="0032018D">
        <w:t>The proposed 2026 allocations reflect a moderate overall increase compared to 2025, remaining broadly aligned with previous levels and within an approximate 10 percent adjustment range of allocated budget for 2025. The distribution across regions has been recalibrated on the basis of 2025 expenditure patterns, feedback from Regional Organizing Committees and the number of countries eligible for travel support. The objective of the adjustments is to ensure a more proportionate and needs-based allocation while maintaining fiscal discipline within the Secretariat’s limited budget envelope.</w:t>
      </w:r>
    </w:p>
    <w:p w14:paraId="56DB0A82" w14:textId="3176A6B0" w:rsidR="4E45363C" w:rsidRDefault="4E45363C" w:rsidP="000E4AF3">
      <w:pPr>
        <w:pStyle w:val="IPPParagraphnumbering"/>
      </w:pPr>
      <w:r w:rsidRPr="315DC65B">
        <w:t xml:space="preserve">In </w:t>
      </w:r>
      <w:r w:rsidR="10E8AD14" w:rsidRPr="315DC65B">
        <w:t>this context</w:t>
      </w:r>
      <w:r w:rsidRPr="315DC65B">
        <w:t>, increases are proposed for the Pacific and the Caribbean in response to regional feedback and structural funding considerations. In the Pacific, higher travel costs and geographic dispersion justify additional support, while in the Caribbean the increase addresses the withdrawal of previous external funding and ensures continued minimum coverage for eligible participants.</w:t>
      </w:r>
    </w:p>
    <w:p w14:paraId="15B01597" w14:textId="16230863" w:rsidR="4E45363C" w:rsidRDefault="49D2FAF7" w:rsidP="000E4AF3">
      <w:pPr>
        <w:pStyle w:val="IPPParagraphnumbering"/>
      </w:pPr>
      <w:r>
        <w:t xml:space="preserve">It should be noted that the proposed figures are indicative estimates for planning purposes and remain subject to review and adjustment by </w:t>
      </w:r>
      <w:r w:rsidR="39839312">
        <w:t xml:space="preserve">the IPPC </w:t>
      </w:r>
      <w:r>
        <w:t>Management, depending on evolving budgetary considerations and resource availability.</w:t>
      </w:r>
    </w:p>
    <w:p w14:paraId="60256DDB" w14:textId="401D0840" w:rsidR="008D2073" w:rsidRPr="00F83A20" w:rsidRDefault="14A45E39" w:rsidP="000E4AF3">
      <w:pPr>
        <w:pStyle w:val="IPPHeading1"/>
        <w:ind w:left="0" w:firstLine="0"/>
        <w:jc w:val="both"/>
      </w:pPr>
      <w:r>
        <w:t>Total proposed IPPC Secretariat budget</w:t>
      </w:r>
      <w:r w:rsidR="00AB1E2F">
        <w:t xml:space="preserve"> for</w:t>
      </w:r>
      <w:r w:rsidR="26249E34">
        <w:t xml:space="preserve"> supporting Regional Workshops in</w:t>
      </w:r>
      <w:r w:rsidR="00AB1E2F">
        <w:t xml:space="preserve"> 2026</w:t>
      </w:r>
    </w:p>
    <w:p w14:paraId="5AD1198E" w14:textId="0FCA1FA5" w:rsidR="000761EB" w:rsidRPr="00F83A20" w:rsidRDefault="5511048F" w:rsidP="000E4AF3">
      <w:pPr>
        <w:pStyle w:val="IPPParagraphnumbering"/>
      </w:pPr>
      <w:r>
        <w:t xml:space="preserve">The total </w:t>
      </w:r>
      <w:r w:rsidR="090CE243">
        <w:t xml:space="preserve">proposed </w:t>
      </w:r>
      <w:r w:rsidR="0AA121F9">
        <w:t xml:space="preserve">total IPPC Secretariat </w:t>
      </w:r>
      <w:r w:rsidR="090CE243">
        <w:t xml:space="preserve">budget </w:t>
      </w:r>
      <w:r w:rsidR="5B5D9D34">
        <w:t>to support the organi</w:t>
      </w:r>
      <w:r>
        <w:t>s</w:t>
      </w:r>
      <w:r w:rsidR="5B5D9D34">
        <w:t>ation of the 2026</w:t>
      </w:r>
      <w:r>
        <w:t xml:space="preserve"> IPPC Regional Workshops will be </w:t>
      </w:r>
      <w:r w:rsidR="249C22F8">
        <w:t>approximately USD</w:t>
      </w:r>
      <w:r w:rsidR="688936A9">
        <w:t xml:space="preserve"> 170,000.</w:t>
      </w:r>
      <w:r w:rsidR="2B3D51D4">
        <w:t xml:space="preserve"> </w:t>
      </w:r>
    </w:p>
    <w:p w14:paraId="7396C578" w14:textId="14E89861" w:rsidR="00D07A16" w:rsidRDefault="00CA48E2" w:rsidP="000E4AF3">
      <w:pPr>
        <w:pStyle w:val="IPPHeading1"/>
        <w:jc w:val="both"/>
      </w:pPr>
      <w:r>
        <w:t>Recommendation</w:t>
      </w:r>
    </w:p>
    <w:p w14:paraId="0DB1D548" w14:textId="31A64E58" w:rsidR="00CA48E2" w:rsidRDefault="00CA48E2" w:rsidP="000E4AF3">
      <w:pPr>
        <w:pStyle w:val="IPPParagraphnumbering"/>
        <w:numPr>
          <w:ilvl w:val="0"/>
          <w:numId w:val="13"/>
        </w:numPr>
      </w:pPr>
      <w:r>
        <w:t>The CPM Bureau is invited to:</w:t>
      </w:r>
    </w:p>
    <w:p w14:paraId="36F771DA" w14:textId="541FCC71" w:rsidR="00B60E1D" w:rsidRDefault="00CA48E2" w:rsidP="000E4AF3">
      <w:pPr>
        <w:pStyle w:val="IPPNumberedList"/>
      </w:pPr>
      <w:r w:rsidRPr="2D986274">
        <w:rPr>
          <w:i/>
          <w:iCs/>
        </w:rPr>
        <w:t>note</w:t>
      </w:r>
      <w:r>
        <w:t xml:space="preserve"> the </w:t>
      </w:r>
      <w:r w:rsidR="00C4450E">
        <w:t>tentative budget alloca</w:t>
      </w:r>
      <w:r w:rsidR="00152955">
        <w:t>tion for 2026 IPPC Regional Workshop</w:t>
      </w:r>
      <w:r w:rsidR="00373DF1">
        <w:t>s</w:t>
      </w:r>
      <w:r w:rsidR="00152955">
        <w:t>;</w:t>
      </w:r>
      <w:r w:rsidR="001B4247">
        <w:t xml:space="preserve"> and</w:t>
      </w:r>
    </w:p>
    <w:p w14:paraId="1FAB1E9C" w14:textId="3985F96E" w:rsidR="00152955" w:rsidRPr="00B42A08" w:rsidRDefault="00373DF1" w:rsidP="000E4AF3">
      <w:pPr>
        <w:pStyle w:val="IPPNumberedList"/>
      </w:pPr>
      <w:r w:rsidRPr="007B7474">
        <w:rPr>
          <w:i/>
          <w:iCs/>
        </w:rPr>
        <w:t>encourage</w:t>
      </w:r>
      <w:r w:rsidR="00527D70" w:rsidRPr="007B7474">
        <w:rPr>
          <w:i/>
          <w:iCs/>
        </w:rPr>
        <w:t xml:space="preserve"> </w:t>
      </w:r>
      <w:r w:rsidR="00527D70">
        <w:t>Contracting Parties</w:t>
      </w:r>
      <w:r>
        <w:t xml:space="preserve"> and RPPOs</w:t>
      </w:r>
      <w:r w:rsidR="00527D70">
        <w:t xml:space="preserve"> to</w:t>
      </w:r>
      <w:r>
        <w:t xml:space="preserve"> secure </w:t>
      </w:r>
      <w:r w:rsidR="00742EA5">
        <w:t xml:space="preserve">additional </w:t>
      </w:r>
      <w:r>
        <w:t>financial contribution</w:t>
      </w:r>
      <w:r w:rsidR="001E644E">
        <w:t>s</w:t>
      </w:r>
      <w:r>
        <w:t xml:space="preserve"> for the </w:t>
      </w:r>
      <w:r w:rsidR="00742EA5">
        <w:t xml:space="preserve">organization of the </w:t>
      </w:r>
      <w:r>
        <w:t>IPPC Regional Workshops</w:t>
      </w:r>
      <w:r w:rsidR="00BF0B0A">
        <w:t>.</w:t>
      </w:r>
    </w:p>
    <w:sectPr w:rsidR="00152955" w:rsidRPr="00B42A08" w:rsidSect="00F92AF5">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559"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632C8" w14:textId="77777777" w:rsidR="00B35A53" w:rsidRPr="00F83A20" w:rsidRDefault="00B35A53" w:rsidP="002B4ADC">
      <w:r w:rsidRPr="00F83A20">
        <w:separator/>
      </w:r>
    </w:p>
  </w:endnote>
  <w:endnote w:type="continuationSeparator" w:id="0">
    <w:p w14:paraId="7EF8BBCA" w14:textId="77777777" w:rsidR="00B35A53" w:rsidRPr="00F83A20" w:rsidRDefault="00B35A53" w:rsidP="002B4ADC">
      <w:r w:rsidRPr="00F83A20">
        <w:continuationSeparator/>
      </w:r>
    </w:p>
  </w:endnote>
  <w:endnote w:type="continuationNotice" w:id="1">
    <w:p w14:paraId="3FE31FB0" w14:textId="77777777" w:rsidR="00B35A53" w:rsidRPr="00F83A20" w:rsidRDefault="00B35A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khbar MT">
    <w:altName w:val="Times New Roman"/>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C945" w14:textId="20A05A47" w:rsidR="003E28FF" w:rsidRPr="00F83A20" w:rsidRDefault="2D986274" w:rsidP="00B86E84">
    <w:pPr>
      <w:pStyle w:val="IPPFooter"/>
      <w:rPr>
        <w:lang w:val="en-GB"/>
      </w:rPr>
    </w:pPr>
    <w:r w:rsidRPr="2D986274">
      <w:rPr>
        <w:rFonts w:cs="Arial"/>
      </w:rPr>
      <w:t xml:space="preserve">Page </w:t>
    </w:r>
    <w:r w:rsidR="00B86E84" w:rsidRPr="2D986274">
      <w:rPr>
        <w:rFonts w:cs="Arial"/>
      </w:rPr>
      <w:fldChar w:fldCharType="begin"/>
    </w:r>
    <w:r w:rsidR="00B86E84" w:rsidRPr="2D986274">
      <w:rPr>
        <w:rFonts w:cs="Arial"/>
        <w:lang w:val="en-GB"/>
      </w:rPr>
      <w:instrText xml:space="preserve"> PAGE </w:instrText>
    </w:r>
    <w:r w:rsidR="00B86E84" w:rsidRPr="2D986274">
      <w:rPr>
        <w:rFonts w:cs="Arial"/>
        <w:lang w:val="en-GB"/>
      </w:rPr>
      <w:fldChar w:fldCharType="separate"/>
    </w:r>
    <w:r w:rsidRPr="2D986274">
      <w:rPr>
        <w:rFonts w:cs="Arial"/>
      </w:rPr>
      <w:t>4</w:t>
    </w:r>
    <w:r w:rsidR="00B86E84" w:rsidRPr="2D986274">
      <w:rPr>
        <w:rFonts w:cs="Arial"/>
      </w:rPr>
      <w:fldChar w:fldCharType="end"/>
    </w:r>
    <w:r w:rsidRPr="2D986274">
      <w:rPr>
        <w:rFonts w:cs="Arial"/>
      </w:rPr>
      <w:t xml:space="preserve"> of </w:t>
    </w:r>
    <w:r w:rsidR="00B86E84" w:rsidRPr="2D986274">
      <w:rPr>
        <w:rFonts w:cs="Arial"/>
      </w:rPr>
      <w:fldChar w:fldCharType="begin"/>
    </w:r>
    <w:r w:rsidR="00B86E84" w:rsidRPr="2D986274">
      <w:rPr>
        <w:rFonts w:cs="Arial"/>
        <w:lang w:val="en-GB"/>
      </w:rPr>
      <w:instrText xml:space="preserve"> NUMPAGES  </w:instrText>
    </w:r>
    <w:r w:rsidR="00B86E84" w:rsidRPr="2D986274">
      <w:rPr>
        <w:rFonts w:cs="Arial"/>
        <w:lang w:val="en-GB"/>
      </w:rPr>
      <w:fldChar w:fldCharType="separate"/>
    </w:r>
    <w:r w:rsidRPr="2D986274">
      <w:rPr>
        <w:rFonts w:cs="Arial"/>
      </w:rPr>
      <w:t>4</w:t>
    </w:r>
    <w:r w:rsidR="00B86E84" w:rsidRPr="2D986274">
      <w:rPr>
        <w:rFonts w:cs="Arial"/>
      </w:rPr>
      <w:fldChar w:fldCharType="end"/>
    </w:r>
    <w:r w:rsidR="00B86E84">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F840" w14:textId="6C971527" w:rsidR="003E28FF" w:rsidRPr="00F83A20" w:rsidRDefault="2D986274" w:rsidP="003E28FF">
    <w:pPr>
      <w:pStyle w:val="IPPFooter"/>
      <w:rPr>
        <w:lang w:val="en-GB"/>
      </w:rPr>
    </w:pPr>
    <w:r>
      <w:t>International Plant Protection Convention</w:t>
    </w:r>
    <w:r w:rsidR="003E28FF">
      <w:tab/>
    </w:r>
    <w:r w:rsidRPr="2D986274">
      <w:rPr>
        <w:rFonts w:cs="Arial"/>
      </w:rPr>
      <w:t xml:space="preserve">Page </w:t>
    </w:r>
    <w:r w:rsidR="003E28FF" w:rsidRPr="2D986274">
      <w:rPr>
        <w:rFonts w:cs="Arial"/>
      </w:rPr>
      <w:fldChar w:fldCharType="begin"/>
    </w:r>
    <w:r w:rsidR="003E28FF" w:rsidRPr="2D986274">
      <w:rPr>
        <w:rFonts w:cs="Arial"/>
        <w:lang w:val="en-GB"/>
      </w:rPr>
      <w:instrText xml:space="preserve"> PAGE </w:instrText>
    </w:r>
    <w:r w:rsidR="003E28FF" w:rsidRPr="2D986274">
      <w:rPr>
        <w:rFonts w:cs="Arial"/>
        <w:lang w:val="en-GB"/>
      </w:rPr>
      <w:fldChar w:fldCharType="separate"/>
    </w:r>
    <w:r w:rsidRPr="2D986274">
      <w:rPr>
        <w:rFonts w:cs="Arial"/>
      </w:rPr>
      <w:t>3</w:t>
    </w:r>
    <w:r w:rsidR="003E28FF" w:rsidRPr="2D986274">
      <w:rPr>
        <w:rFonts w:cs="Arial"/>
      </w:rPr>
      <w:fldChar w:fldCharType="end"/>
    </w:r>
    <w:r w:rsidRPr="2D986274">
      <w:rPr>
        <w:rFonts w:cs="Arial"/>
      </w:rPr>
      <w:t xml:space="preserve"> of </w:t>
    </w:r>
    <w:r w:rsidR="003E28FF" w:rsidRPr="2D986274">
      <w:rPr>
        <w:rFonts w:cs="Arial"/>
      </w:rPr>
      <w:fldChar w:fldCharType="begin"/>
    </w:r>
    <w:r w:rsidR="003E28FF" w:rsidRPr="2D986274">
      <w:rPr>
        <w:rFonts w:cs="Arial"/>
        <w:lang w:val="en-GB"/>
      </w:rPr>
      <w:instrText xml:space="preserve"> NUMPAGES  </w:instrText>
    </w:r>
    <w:r w:rsidR="003E28FF" w:rsidRPr="2D986274">
      <w:rPr>
        <w:rFonts w:cs="Arial"/>
        <w:lang w:val="en-GB"/>
      </w:rPr>
      <w:fldChar w:fldCharType="separate"/>
    </w:r>
    <w:r w:rsidRPr="2D986274">
      <w:rPr>
        <w:rFonts w:cs="Arial"/>
      </w:rPr>
      <w:t>4</w:t>
    </w:r>
    <w:r w:rsidR="003E28FF" w:rsidRPr="2D986274">
      <w:rP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8347" w14:textId="0B611675" w:rsidR="003E28FF" w:rsidRPr="00F83A20" w:rsidRDefault="2D986274" w:rsidP="003618A9">
    <w:pPr>
      <w:pStyle w:val="IPPFooter"/>
      <w:jc w:val="both"/>
      <w:rPr>
        <w:lang w:val="en-GB"/>
      </w:rPr>
    </w:pPr>
    <w:r>
      <w:t>International Plant Protection Convention</w:t>
    </w:r>
    <w:r w:rsidRPr="2D986274">
      <w:rPr>
        <w:rFonts w:cs="Arial"/>
      </w:rPr>
      <w:t xml:space="preserve"> </w:t>
    </w:r>
    <w:r w:rsidR="00787E7E">
      <w:tab/>
    </w:r>
    <w:r w:rsidRPr="2D986274">
      <w:rPr>
        <w:rFonts w:cs="Arial"/>
      </w:rPr>
      <w:t xml:space="preserve">Page </w:t>
    </w:r>
    <w:r w:rsidR="00787E7E" w:rsidRPr="2D986274">
      <w:rPr>
        <w:rFonts w:cs="Arial"/>
      </w:rPr>
      <w:fldChar w:fldCharType="begin"/>
    </w:r>
    <w:r w:rsidR="00787E7E" w:rsidRPr="2D986274">
      <w:rPr>
        <w:rFonts w:cs="Arial"/>
        <w:lang w:val="en-GB"/>
      </w:rPr>
      <w:instrText xml:space="preserve"> PAGE </w:instrText>
    </w:r>
    <w:r w:rsidR="00787E7E" w:rsidRPr="2D986274">
      <w:rPr>
        <w:rFonts w:cs="Arial"/>
        <w:lang w:val="en-GB"/>
      </w:rPr>
      <w:fldChar w:fldCharType="separate"/>
    </w:r>
    <w:r w:rsidRPr="2D986274">
      <w:rPr>
        <w:rFonts w:cs="Arial"/>
      </w:rPr>
      <w:t>1</w:t>
    </w:r>
    <w:r w:rsidR="00787E7E" w:rsidRPr="2D986274">
      <w:rPr>
        <w:rFonts w:cs="Arial"/>
      </w:rPr>
      <w:fldChar w:fldCharType="end"/>
    </w:r>
    <w:r w:rsidRPr="2D986274">
      <w:rPr>
        <w:rFonts w:cs="Arial"/>
      </w:rPr>
      <w:t xml:space="preserve"> of </w:t>
    </w:r>
    <w:r w:rsidR="00787E7E" w:rsidRPr="2D986274">
      <w:rPr>
        <w:rFonts w:cs="Arial"/>
      </w:rPr>
      <w:fldChar w:fldCharType="begin"/>
    </w:r>
    <w:r w:rsidR="00787E7E" w:rsidRPr="2D986274">
      <w:rPr>
        <w:rFonts w:cs="Arial"/>
        <w:lang w:val="en-GB"/>
      </w:rPr>
      <w:instrText>NUMPAGES</w:instrText>
    </w:r>
    <w:r w:rsidR="00787E7E" w:rsidRPr="2D986274">
      <w:rPr>
        <w:rFonts w:cs="Arial"/>
        <w:lang w:val="en-GB"/>
      </w:rPr>
      <w:fldChar w:fldCharType="separate"/>
    </w:r>
    <w:r w:rsidRPr="2D986274">
      <w:rPr>
        <w:rFonts w:cs="Arial"/>
      </w:rPr>
      <w:t>8</w:t>
    </w:r>
    <w:r w:rsidR="00787E7E" w:rsidRPr="2D986274">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CEE11" w14:textId="77777777" w:rsidR="00B35A53" w:rsidRPr="00F83A20" w:rsidRDefault="00B35A53" w:rsidP="002B4ADC">
      <w:r w:rsidRPr="00F83A20">
        <w:separator/>
      </w:r>
    </w:p>
  </w:footnote>
  <w:footnote w:type="continuationSeparator" w:id="0">
    <w:p w14:paraId="0CCF435C" w14:textId="77777777" w:rsidR="00B35A53" w:rsidRPr="00F83A20" w:rsidRDefault="00B35A53" w:rsidP="002B4ADC">
      <w:r w:rsidRPr="00F83A20">
        <w:continuationSeparator/>
      </w:r>
    </w:p>
  </w:footnote>
  <w:footnote w:type="continuationNotice" w:id="1">
    <w:p w14:paraId="70D68254" w14:textId="77777777" w:rsidR="00B35A53" w:rsidRPr="00F83A20" w:rsidRDefault="00B35A53"/>
  </w:footnote>
  <w:footnote w:id="2">
    <w:p w14:paraId="012CA1BB" w14:textId="4E50E1EF" w:rsidR="003E0241" w:rsidRPr="007B7474" w:rsidRDefault="003E0241" w:rsidP="00F44FAB">
      <w:pPr>
        <w:pStyle w:val="FootnoteText"/>
        <w:rPr>
          <w:lang w:val="en-US"/>
        </w:rPr>
      </w:pPr>
      <w:r w:rsidRPr="005355A7">
        <w:rPr>
          <w:rStyle w:val="FootnoteReference"/>
        </w:rPr>
        <w:footnoteRef/>
      </w:r>
      <w:r w:rsidR="005355A7">
        <w:rPr>
          <w:lang w:val="en-US"/>
        </w:rPr>
        <w:t xml:space="preserve"> </w:t>
      </w:r>
      <w:r w:rsidR="005355A7" w:rsidRPr="007B7474">
        <w:rPr>
          <w:lang w:val="en-US"/>
        </w:rPr>
        <w:t>Guidelines for IPPC Regional Workshops:</w:t>
      </w:r>
      <w:r w:rsidR="005A189F">
        <w:rPr>
          <w:lang w:val="en-US"/>
        </w:rPr>
        <w:t xml:space="preserve"> </w:t>
      </w:r>
      <w:hyperlink r:id="rId1" w:history="1">
        <w:r w:rsidR="005A189F" w:rsidRPr="006D4831">
          <w:rPr>
            <w:rStyle w:val="Hyperlink"/>
          </w:rPr>
          <w:t>https://www.ippc.int/en/publications/87113/</w:t>
        </w:r>
      </w:hyperlink>
      <w:r w:rsidR="005A189F">
        <w:t xml:space="preserve"> </w:t>
      </w:r>
    </w:p>
  </w:footnote>
  <w:footnote w:id="3">
    <w:p w14:paraId="6A510400" w14:textId="77777777" w:rsidR="00AF2A70" w:rsidRPr="007B7474" w:rsidRDefault="00AF2A70" w:rsidP="00AF2A70">
      <w:pPr>
        <w:pStyle w:val="FootnoteText"/>
        <w:rPr>
          <w:b/>
          <w:bCs/>
          <w:lang w:val="en-US"/>
        </w:rPr>
      </w:pPr>
      <w:r>
        <w:rPr>
          <w:rStyle w:val="FootnoteReference"/>
        </w:rPr>
        <w:footnoteRef/>
      </w:r>
      <w:r>
        <w:t xml:space="preserve"> </w:t>
      </w:r>
      <w:r w:rsidRPr="007B7474">
        <w:rPr>
          <w:lang w:val="en-US"/>
        </w:rPr>
        <w:t>Criteria used for prioritizing participants to receive travel assistance to attend meetings organized by the IPPC Secretariat</w:t>
      </w:r>
      <w:r>
        <w:rPr>
          <w:b/>
          <w:bCs/>
          <w:lang w:val="en-US"/>
        </w:rPr>
        <w:t xml:space="preserve">: </w:t>
      </w:r>
      <w:hyperlink r:id="rId2" w:history="1">
        <w:r w:rsidRPr="009C49A9">
          <w:rPr>
            <w:rStyle w:val="Hyperlink"/>
          </w:rPr>
          <w:t>https://www.ippc.int/en/publications/1036/</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33C1" w14:textId="7CB950D9" w:rsidR="0077142E" w:rsidRPr="00F83A20" w:rsidRDefault="00F806BF" w:rsidP="00482D62">
    <w:pPr>
      <w:pStyle w:val="IPPHeader"/>
      <w:rPr>
        <w:lang w:val="en-GB"/>
      </w:rPr>
    </w:pPr>
    <w:r>
      <w:t>07</w:t>
    </w:r>
    <w:r w:rsidRPr="009B7C54">
      <w:t>_Bureau_2026_Mar</w:t>
    </w:r>
    <w:r>
      <w:t xml:space="preserve"> (5.4)</w:t>
    </w:r>
    <w:r>
      <w:ptab w:relativeTo="margin" w:alignment="right" w:leader="none"/>
    </w:r>
    <w:r w:rsidR="2D986274">
      <w:t>Funding arrangements for IPPC regional workshops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52A69" w14:textId="77777777" w:rsidR="00F806BF" w:rsidRPr="00F83A20" w:rsidRDefault="00F806BF" w:rsidP="00F806BF">
    <w:pPr>
      <w:pStyle w:val="IPPHeader"/>
      <w:rPr>
        <w:lang w:val="en-GB"/>
      </w:rPr>
    </w:pPr>
    <w:r>
      <w:t>07</w:t>
    </w:r>
    <w:r w:rsidRPr="009B7C54">
      <w:t>_Bureau_2026_Mar</w:t>
    </w:r>
    <w:r>
      <w:t xml:space="preserve"> (5.4)</w:t>
    </w:r>
    <w:r>
      <w:ptab w:relativeTo="margin" w:alignment="right" w:leader="none"/>
    </w:r>
    <w:r>
      <w:t>Funding arrangements for IPPC regional workshops</w:t>
    </w:r>
  </w:p>
  <w:p w14:paraId="404FF70F" w14:textId="13969F2D" w:rsidR="002B4ADC" w:rsidRPr="00F806BF" w:rsidRDefault="002B4ADC" w:rsidP="00F80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CA467" w14:textId="77777777" w:rsidR="00F92AF5" w:rsidRDefault="00F92AF5" w:rsidP="00F92AF5">
    <w:pPr>
      <w:pStyle w:val="Header"/>
    </w:pPr>
  </w:p>
  <w:p w14:paraId="1B05F985" w14:textId="02C20A2E" w:rsidR="00F92AF5" w:rsidRPr="009B7C54" w:rsidRDefault="00F92AF5" w:rsidP="00F92AF5">
    <w:pPr>
      <w:pStyle w:val="IPPHeader"/>
      <w:tabs>
        <w:tab w:val="clear" w:pos="1134"/>
      </w:tabs>
      <w:spacing w:before="240" w:after="0"/>
      <w:ind w:left="880"/>
    </w:pPr>
    <w:bookmarkStart w:id="0" w:name="_Hlk38796923"/>
    <w:bookmarkStart w:id="1" w:name="_Hlk38796924"/>
    <w:r>
      <w:rPr>
        <w:i/>
        <w:iCs/>
        <w:noProof/>
        <w14:ligatures w14:val="standardContextual"/>
      </w:rPr>
      <w:drawing>
        <wp:anchor distT="0" distB="0" distL="114300" distR="114300" simplePos="0" relativeHeight="251658242" behindDoc="0" locked="0" layoutInCell="1" allowOverlap="1" wp14:anchorId="14BB3C62" wp14:editId="6E084687">
          <wp:simplePos x="0" y="0"/>
          <wp:positionH relativeFrom="page">
            <wp:posOffset>2520315</wp:posOffset>
          </wp:positionH>
          <wp:positionV relativeFrom="page">
            <wp:posOffset>558165</wp:posOffset>
          </wp:positionV>
          <wp:extent cx="1756800" cy="698400"/>
          <wp:effectExtent l="0" t="0" r="0" b="6985"/>
          <wp:wrapSquare wrapText="bothSides"/>
          <wp:docPr id="718703887"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3" behindDoc="0" locked="0" layoutInCell="1" allowOverlap="1" wp14:anchorId="4E869B75" wp14:editId="1D06BF6F">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E2FEF75">
            <v:line id="Straight Connector 1" style="position:absolute;z-index:251658243;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5pt" from="124pt,56.7pt" to="124pt,85.05pt" w14:anchorId="75FDF16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v:stroke joinstyle="miter"/>
              <w10:wrap anchorx="margin" anchory="page"/>
            </v:line>
          </w:pict>
        </mc:Fallback>
      </mc:AlternateContent>
    </w:r>
    <w:r w:rsidRPr="000321A6">
      <w:rPr>
        <w:noProof/>
      </w:rPr>
      <w:drawing>
        <wp:anchor distT="0" distB="0" distL="114300" distR="114300" simplePos="0" relativeHeight="251658240" behindDoc="0" locked="0" layoutInCell="1" allowOverlap="1" wp14:anchorId="26EAB654" wp14:editId="1561866A">
          <wp:simplePos x="0" y="0"/>
          <wp:positionH relativeFrom="page">
            <wp:posOffset>0</wp:posOffset>
          </wp:positionH>
          <wp:positionV relativeFrom="page">
            <wp:posOffset>0</wp:posOffset>
          </wp:positionV>
          <wp:extent cx="7617600" cy="558000"/>
          <wp:effectExtent l="0" t="0" r="2540" b="0"/>
          <wp:wrapTopAndBottom/>
          <wp:docPr id="1316512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58241" behindDoc="0" locked="0" layoutInCell="1" allowOverlap="1" wp14:anchorId="596E5870" wp14:editId="7943A8E9">
          <wp:simplePos x="0" y="0"/>
          <wp:positionH relativeFrom="page">
            <wp:posOffset>742950</wp:posOffset>
          </wp:positionH>
          <wp:positionV relativeFrom="page">
            <wp:posOffset>558165</wp:posOffset>
          </wp:positionV>
          <wp:extent cx="1728000" cy="698400"/>
          <wp:effectExtent l="0" t="0" r="5715" b="6985"/>
          <wp:wrapSquare wrapText="bothSides"/>
          <wp:docPr id="254387476"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Pr="009B7C54">
      <w:tab/>
    </w:r>
    <w:r w:rsidR="009350FE">
      <w:t>07</w:t>
    </w:r>
    <w:r w:rsidRPr="009B7C54">
      <w:t>_Bureau_2026_Mar</w:t>
    </w:r>
  </w:p>
  <w:p w14:paraId="779A9F02" w14:textId="064230E3" w:rsidR="00F92AF5" w:rsidRPr="009B7C54" w:rsidRDefault="00F92AF5" w:rsidP="00F92AF5">
    <w:pPr>
      <w:pStyle w:val="IPPHeader"/>
      <w:tabs>
        <w:tab w:val="clear" w:pos="1134"/>
      </w:tabs>
      <w:spacing w:after="0"/>
      <w:ind w:left="880"/>
    </w:pPr>
    <w:r w:rsidRPr="009B7C54">
      <w:tab/>
      <w:t xml:space="preserve">Agenda item: </w:t>
    </w:r>
    <w:r w:rsidR="00F806BF">
      <w:t>5.4</w:t>
    </w:r>
  </w:p>
  <w:p w14:paraId="61F18307" w14:textId="4F422ADF" w:rsidR="00F92AF5" w:rsidRPr="009B7C54" w:rsidRDefault="00F92AF5" w:rsidP="00F92AF5">
    <w:pPr>
      <w:pStyle w:val="IPPHeader"/>
      <w:tabs>
        <w:tab w:val="clear" w:pos="1134"/>
      </w:tabs>
      <w:spacing w:after="260"/>
      <w:ind w:left="880"/>
    </w:pPr>
  </w:p>
  <w:bookmarkEnd w:id="0"/>
  <w:bookmarkEnd w:id="1"/>
  <w:p w14:paraId="5988AC47" w14:textId="39B6E4B8" w:rsidR="006A51CB" w:rsidRPr="009B7C54" w:rsidRDefault="009B7C54" w:rsidP="009B7C54">
    <w:pPr>
      <w:pStyle w:val="IPPHeader"/>
      <w:tabs>
        <w:tab w:val="clear" w:pos="1134"/>
      </w:tabs>
      <w:spacing w:after="0"/>
      <w:ind w:left="880"/>
    </w:pPr>
    <w:r w:rsidRPr="009B7C54">
      <w:t>Funding arrangements for IPPC regional workshops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C70905"/>
    <w:multiLevelType w:val="hybridMultilevel"/>
    <w:tmpl w:val="701A1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992785"/>
    <w:multiLevelType w:val="multilevel"/>
    <w:tmpl w:val="87F8D82C"/>
    <w:styleLink w:val="WesternSequentialList"/>
    <w:lvl w:ilvl="0">
      <w:start w:val="1"/>
      <w:numFmt w:val="decimal"/>
      <w:pStyle w:val="SequentialList"/>
      <w:lvlText w:val="%1)"/>
      <w:lvlJc w:val="left"/>
      <w:pPr>
        <w:ind w:left="357" w:firstLine="0"/>
      </w:p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5" w15:restartNumberingAfterBreak="0">
    <w:nsid w:val="31BB5DA9"/>
    <w:multiLevelType w:val="hybridMultilevel"/>
    <w:tmpl w:val="7C122660"/>
    <w:lvl w:ilvl="0" w:tplc="BD1C66BC">
      <w:start w:val="1"/>
      <w:numFmt w:val="decimal"/>
      <w:lvlText w:val="[1]"/>
      <w:lvlJc w:val="left"/>
      <w:pPr>
        <w:ind w:left="720" w:hanging="360"/>
      </w:pPr>
    </w:lvl>
    <w:lvl w:ilvl="1" w:tplc="B0FC52EA">
      <w:start w:val="1"/>
      <w:numFmt w:val="lowerLetter"/>
      <w:lvlText w:val="%2."/>
      <w:lvlJc w:val="left"/>
      <w:pPr>
        <w:ind w:left="1440" w:hanging="360"/>
      </w:pPr>
    </w:lvl>
    <w:lvl w:ilvl="2" w:tplc="32FC437A">
      <w:start w:val="1"/>
      <w:numFmt w:val="lowerRoman"/>
      <w:lvlText w:val="%3."/>
      <w:lvlJc w:val="right"/>
      <w:pPr>
        <w:ind w:left="2160" w:hanging="180"/>
      </w:pPr>
    </w:lvl>
    <w:lvl w:ilvl="3" w:tplc="0D82B8AA">
      <w:start w:val="1"/>
      <w:numFmt w:val="decimal"/>
      <w:lvlText w:val="%4."/>
      <w:lvlJc w:val="left"/>
      <w:pPr>
        <w:ind w:left="2880" w:hanging="360"/>
      </w:pPr>
    </w:lvl>
    <w:lvl w:ilvl="4" w:tplc="F5929BB0">
      <w:start w:val="1"/>
      <w:numFmt w:val="lowerLetter"/>
      <w:lvlText w:val="%5."/>
      <w:lvlJc w:val="left"/>
      <w:pPr>
        <w:ind w:left="3600" w:hanging="360"/>
      </w:pPr>
    </w:lvl>
    <w:lvl w:ilvl="5" w:tplc="1EAE72FA">
      <w:start w:val="1"/>
      <w:numFmt w:val="lowerRoman"/>
      <w:lvlText w:val="%6."/>
      <w:lvlJc w:val="right"/>
      <w:pPr>
        <w:ind w:left="4320" w:hanging="180"/>
      </w:pPr>
    </w:lvl>
    <w:lvl w:ilvl="6" w:tplc="4C68C31C">
      <w:start w:val="1"/>
      <w:numFmt w:val="decimal"/>
      <w:lvlText w:val="%7."/>
      <w:lvlJc w:val="left"/>
      <w:pPr>
        <w:ind w:left="5040" w:hanging="360"/>
      </w:pPr>
    </w:lvl>
    <w:lvl w:ilvl="7" w:tplc="973C86B4">
      <w:start w:val="1"/>
      <w:numFmt w:val="lowerLetter"/>
      <w:lvlText w:val="%8."/>
      <w:lvlJc w:val="left"/>
      <w:pPr>
        <w:ind w:left="5760" w:hanging="360"/>
      </w:pPr>
    </w:lvl>
    <w:lvl w:ilvl="8" w:tplc="4BB02B04">
      <w:start w:val="1"/>
      <w:numFmt w:val="lowerRoman"/>
      <w:lvlText w:val="%9."/>
      <w:lvlJc w:val="right"/>
      <w:pPr>
        <w:ind w:left="6480" w:hanging="180"/>
      </w:p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5A1A6680"/>
    <w:multiLevelType w:val="multilevel"/>
    <w:tmpl w:val="0CE2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FB51E6"/>
    <w:multiLevelType w:val="multilevel"/>
    <w:tmpl w:val="41EA2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CC0E76"/>
    <w:multiLevelType w:val="hybridMultilevel"/>
    <w:tmpl w:val="E196BF70"/>
    <w:lvl w:ilvl="0" w:tplc="D6E6EE32">
      <w:start w:val="1"/>
      <w:numFmt w:val="decimal"/>
      <w:lvlText w:val="[1]"/>
      <w:lvlJc w:val="left"/>
      <w:pPr>
        <w:ind w:left="720" w:hanging="360"/>
      </w:pPr>
    </w:lvl>
    <w:lvl w:ilvl="1" w:tplc="B10233A2">
      <w:start w:val="1"/>
      <w:numFmt w:val="lowerLetter"/>
      <w:lvlText w:val="%2."/>
      <w:lvlJc w:val="left"/>
      <w:pPr>
        <w:ind w:left="1440" w:hanging="360"/>
      </w:pPr>
    </w:lvl>
    <w:lvl w:ilvl="2" w:tplc="34089534">
      <w:start w:val="1"/>
      <w:numFmt w:val="lowerRoman"/>
      <w:lvlText w:val="%3."/>
      <w:lvlJc w:val="right"/>
      <w:pPr>
        <w:ind w:left="2160" w:hanging="180"/>
      </w:pPr>
    </w:lvl>
    <w:lvl w:ilvl="3" w:tplc="62526612">
      <w:start w:val="1"/>
      <w:numFmt w:val="decimal"/>
      <w:lvlText w:val="%4."/>
      <w:lvlJc w:val="left"/>
      <w:pPr>
        <w:ind w:left="2880" w:hanging="360"/>
      </w:pPr>
    </w:lvl>
    <w:lvl w:ilvl="4" w:tplc="17880148">
      <w:start w:val="1"/>
      <w:numFmt w:val="lowerLetter"/>
      <w:lvlText w:val="%5."/>
      <w:lvlJc w:val="left"/>
      <w:pPr>
        <w:ind w:left="3600" w:hanging="360"/>
      </w:pPr>
    </w:lvl>
    <w:lvl w:ilvl="5" w:tplc="A74CAB84">
      <w:start w:val="1"/>
      <w:numFmt w:val="lowerRoman"/>
      <w:lvlText w:val="%6."/>
      <w:lvlJc w:val="right"/>
      <w:pPr>
        <w:ind w:left="4320" w:hanging="180"/>
      </w:pPr>
    </w:lvl>
    <w:lvl w:ilvl="6" w:tplc="6372785A">
      <w:start w:val="1"/>
      <w:numFmt w:val="decimal"/>
      <w:lvlText w:val="%7."/>
      <w:lvlJc w:val="left"/>
      <w:pPr>
        <w:ind w:left="5040" w:hanging="360"/>
      </w:pPr>
    </w:lvl>
    <w:lvl w:ilvl="7" w:tplc="7F44C154">
      <w:start w:val="1"/>
      <w:numFmt w:val="lowerLetter"/>
      <w:lvlText w:val="%8."/>
      <w:lvlJc w:val="left"/>
      <w:pPr>
        <w:ind w:left="5760" w:hanging="360"/>
      </w:pPr>
    </w:lvl>
    <w:lvl w:ilvl="8" w:tplc="293C3832">
      <w:start w:val="1"/>
      <w:numFmt w:val="lowerRoman"/>
      <w:lvlText w:val="%9."/>
      <w:lvlJc w:val="right"/>
      <w:pPr>
        <w:ind w:left="6480" w:hanging="180"/>
      </w:p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1276060">
    <w:abstractNumId w:val="11"/>
  </w:num>
  <w:num w:numId="2" w16cid:durableId="259457189">
    <w:abstractNumId w:val="5"/>
  </w:num>
  <w:num w:numId="3" w16cid:durableId="280763718">
    <w:abstractNumId w:val="12"/>
  </w:num>
  <w:num w:numId="4" w16cid:durableId="1292903261">
    <w:abstractNumId w:val="2"/>
  </w:num>
  <w:num w:numId="5" w16cid:durableId="604775870">
    <w:abstractNumId w:val="6"/>
  </w:num>
  <w:num w:numId="6" w16cid:durableId="1256212346">
    <w:abstractNumId w:val="14"/>
  </w:num>
  <w:num w:numId="7" w16cid:durableId="1827739327">
    <w:abstractNumId w:val="8"/>
  </w:num>
  <w:num w:numId="8" w16cid:durableId="1137603254">
    <w:abstractNumId w:val="7"/>
  </w:num>
  <w:num w:numId="9" w16cid:durableId="292568007">
    <w:abstractNumId w:val="15"/>
  </w:num>
  <w:num w:numId="10" w16cid:durableId="1367242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1026908355">
    <w:abstractNumId w:val="0"/>
  </w:num>
  <w:num w:numId="12" w16cid:durableId="1200246193">
    <w:abstractNumId w:val="13"/>
  </w:num>
  <w:num w:numId="13" w16cid:durableId="5588565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197795548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720859378">
    <w:abstractNumId w:val="4"/>
  </w:num>
  <w:num w:numId="16" w16cid:durableId="1952279734">
    <w:abstractNumId w:val="10"/>
  </w:num>
  <w:num w:numId="17" w16cid:durableId="1196893366">
    <w:abstractNumId w:val="9"/>
  </w:num>
  <w:num w:numId="18" w16cid:durableId="12465937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4975013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1499954985">
    <w:abstractNumId w:val="3"/>
  </w:num>
  <w:num w:numId="21" w16cid:durableId="207978693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12073771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124756913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DB5"/>
    <w:rsid w:val="00000BB8"/>
    <w:rsid w:val="00001065"/>
    <w:rsid w:val="0000168F"/>
    <w:rsid w:val="00001D2A"/>
    <w:rsid w:val="000026DC"/>
    <w:rsid w:val="00002AE1"/>
    <w:rsid w:val="0000378B"/>
    <w:rsid w:val="00003F94"/>
    <w:rsid w:val="00004E11"/>
    <w:rsid w:val="00005A9A"/>
    <w:rsid w:val="00006FD0"/>
    <w:rsid w:val="0000703B"/>
    <w:rsid w:val="00007049"/>
    <w:rsid w:val="00007C41"/>
    <w:rsid w:val="00010038"/>
    <w:rsid w:val="00012037"/>
    <w:rsid w:val="000125EF"/>
    <w:rsid w:val="00012927"/>
    <w:rsid w:val="00013F7B"/>
    <w:rsid w:val="0001431E"/>
    <w:rsid w:val="0001467E"/>
    <w:rsid w:val="00014866"/>
    <w:rsid w:val="0001526D"/>
    <w:rsid w:val="00015675"/>
    <w:rsid w:val="00015CF1"/>
    <w:rsid w:val="000165CD"/>
    <w:rsid w:val="00016EFD"/>
    <w:rsid w:val="00017765"/>
    <w:rsid w:val="000236F9"/>
    <w:rsid w:val="00023865"/>
    <w:rsid w:val="00023F2B"/>
    <w:rsid w:val="0002580D"/>
    <w:rsid w:val="000265AD"/>
    <w:rsid w:val="00026614"/>
    <w:rsid w:val="000274A2"/>
    <w:rsid w:val="000309D7"/>
    <w:rsid w:val="00032BC9"/>
    <w:rsid w:val="000330DB"/>
    <w:rsid w:val="0003451C"/>
    <w:rsid w:val="00034E5B"/>
    <w:rsid w:val="0003501F"/>
    <w:rsid w:val="00035541"/>
    <w:rsid w:val="000357AD"/>
    <w:rsid w:val="00036603"/>
    <w:rsid w:val="00036663"/>
    <w:rsid w:val="000367A1"/>
    <w:rsid w:val="00037915"/>
    <w:rsid w:val="00037ED0"/>
    <w:rsid w:val="000400A6"/>
    <w:rsid w:val="000402AE"/>
    <w:rsid w:val="000411EE"/>
    <w:rsid w:val="00042AC1"/>
    <w:rsid w:val="00044A0F"/>
    <w:rsid w:val="000456C5"/>
    <w:rsid w:val="00045B4F"/>
    <w:rsid w:val="000476A5"/>
    <w:rsid w:val="00047AC4"/>
    <w:rsid w:val="00050308"/>
    <w:rsid w:val="00052BA6"/>
    <w:rsid w:val="00052FAD"/>
    <w:rsid w:val="00053002"/>
    <w:rsid w:val="0005348F"/>
    <w:rsid w:val="00054415"/>
    <w:rsid w:val="000549C1"/>
    <w:rsid w:val="0005557E"/>
    <w:rsid w:val="00055E31"/>
    <w:rsid w:val="0005621A"/>
    <w:rsid w:val="00056A6D"/>
    <w:rsid w:val="00056BE4"/>
    <w:rsid w:val="00056D22"/>
    <w:rsid w:val="00057AA3"/>
    <w:rsid w:val="0006058F"/>
    <w:rsid w:val="00060E0F"/>
    <w:rsid w:val="000628AD"/>
    <w:rsid w:val="00063A40"/>
    <w:rsid w:val="00066FE8"/>
    <w:rsid w:val="000707E6"/>
    <w:rsid w:val="00070B2F"/>
    <w:rsid w:val="00070BDE"/>
    <w:rsid w:val="00071116"/>
    <w:rsid w:val="00072046"/>
    <w:rsid w:val="00072849"/>
    <w:rsid w:val="00072945"/>
    <w:rsid w:val="00073067"/>
    <w:rsid w:val="000736E7"/>
    <w:rsid w:val="00075B07"/>
    <w:rsid w:val="000761EB"/>
    <w:rsid w:val="000763AA"/>
    <w:rsid w:val="0007693F"/>
    <w:rsid w:val="00080E00"/>
    <w:rsid w:val="000819FB"/>
    <w:rsid w:val="000826AC"/>
    <w:rsid w:val="00082F20"/>
    <w:rsid w:val="00083878"/>
    <w:rsid w:val="00085C96"/>
    <w:rsid w:val="00086490"/>
    <w:rsid w:val="000876C7"/>
    <w:rsid w:val="0009093F"/>
    <w:rsid w:val="00090EB8"/>
    <w:rsid w:val="000910B4"/>
    <w:rsid w:val="00091960"/>
    <w:rsid w:val="00091AA4"/>
    <w:rsid w:val="00091B7C"/>
    <w:rsid w:val="00092B32"/>
    <w:rsid w:val="00092E7A"/>
    <w:rsid w:val="00095CDD"/>
    <w:rsid w:val="000961E9"/>
    <w:rsid w:val="000966F4"/>
    <w:rsid w:val="00096F31"/>
    <w:rsid w:val="00097A24"/>
    <w:rsid w:val="00097AA1"/>
    <w:rsid w:val="00097EE6"/>
    <w:rsid w:val="000A0E51"/>
    <w:rsid w:val="000A136A"/>
    <w:rsid w:val="000A139C"/>
    <w:rsid w:val="000A4E2D"/>
    <w:rsid w:val="000A5C79"/>
    <w:rsid w:val="000A60E7"/>
    <w:rsid w:val="000A7A94"/>
    <w:rsid w:val="000A7AC3"/>
    <w:rsid w:val="000B0012"/>
    <w:rsid w:val="000B00F5"/>
    <w:rsid w:val="000B15E7"/>
    <w:rsid w:val="000B1BE5"/>
    <w:rsid w:val="000B2188"/>
    <w:rsid w:val="000B2E70"/>
    <w:rsid w:val="000B301F"/>
    <w:rsid w:val="000B47C9"/>
    <w:rsid w:val="000B581F"/>
    <w:rsid w:val="000B6CA3"/>
    <w:rsid w:val="000C0796"/>
    <w:rsid w:val="000C3007"/>
    <w:rsid w:val="000C3176"/>
    <w:rsid w:val="000C34C4"/>
    <w:rsid w:val="000C378D"/>
    <w:rsid w:val="000C388B"/>
    <w:rsid w:val="000C3A4F"/>
    <w:rsid w:val="000C44E5"/>
    <w:rsid w:val="000C4FC6"/>
    <w:rsid w:val="000C53EB"/>
    <w:rsid w:val="000C5B1D"/>
    <w:rsid w:val="000C706B"/>
    <w:rsid w:val="000C7457"/>
    <w:rsid w:val="000C784A"/>
    <w:rsid w:val="000D01F3"/>
    <w:rsid w:val="000D0BC9"/>
    <w:rsid w:val="000D0FE9"/>
    <w:rsid w:val="000D12D5"/>
    <w:rsid w:val="000D1FBD"/>
    <w:rsid w:val="000D2AD6"/>
    <w:rsid w:val="000D2B23"/>
    <w:rsid w:val="000D4C87"/>
    <w:rsid w:val="000D5694"/>
    <w:rsid w:val="000D5A68"/>
    <w:rsid w:val="000D669A"/>
    <w:rsid w:val="000D6AE3"/>
    <w:rsid w:val="000D79AD"/>
    <w:rsid w:val="000E392E"/>
    <w:rsid w:val="000E482C"/>
    <w:rsid w:val="000E4AF3"/>
    <w:rsid w:val="000E4D6D"/>
    <w:rsid w:val="000F0369"/>
    <w:rsid w:val="000F0671"/>
    <w:rsid w:val="000F103C"/>
    <w:rsid w:val="000F4448"/>
    <w:rsid w:val="000F47E2"/>
    <w:rsid w:val="000F5B0D"/>
    <w:rsid w:val="000F614A"/>
    <w:rsid w:val="000F6B05"/>
    <w:rsid w:val="0010198A"/>
    <w:rsid w:val="0010283E"/>
    <w:rsid w:val="00102F40"/>
    <w:rsid w:val="0010444B"/>
    <w:rsid w:val="0010465A"/>
    <w:rsid w:val="00105741"/>
    <w:rsid w:val="00106DCA"/>
    <w:rsid w:val="00106E71"/>
    <w:rsid w:val="00107B00"/>
    <w:rsid w:val="00110432"/>
    <w:rsid w:val="00111B7C"/>
    <w:rsid w:val="00111BBD"/>
    <w:rsid w:val="00111ED4"/>
    <w:rsid w:val="0011274A"/>
    <w:rsid w:val="0011426C"/>
    <w:rsid w:val="00115C26"/>
    <w:rsid w:val="001178A3"/>
    <w:rsid w:val="00120A20"/>
    <w:rsid w:val="00120DAB"/>
    <w:rsid w:val="0012192A"/>
    <w:rsid w:val="00121A0B"/>
    <w:rsid w:val="001232F2"/>
    <w:rsid w:val="001239D0"/>
    <w:rsid w:val="00123AF9"/>
    <w:rsid w:val="001244D0"/>
    <w:rsid w:val="00127279"/>
    <w:rsid w:val="00127741"/>
    <w:rsid w:val="00130462"/>
    <w:rsid w:val="00130F10"/>
    <w:rsid w:val="00131678"/>
    <w:rsid w:val="00131F3E"/>
    <w:rsid w:val="00132F28"/>
    <w:rsid w:val="001354B7"/>
    <w:rsid w:val="00135F34"/>
    <w:rsid w:val="0013610C"/>
    <w:rsid w:val="00140BE5"/>
    <w:rsid w:val="00142031"/>
    <w:rsid w:val="00142391"/>
    <w:rsid w:val="00144EF3"/>
    <w:rsid w:val="0014504B"/>
    <w:rsid w:val="00146836"/>
    <w:rsid w:val="00146FFD"/>
    <w:rsid w:val="00147A75"/>
    <w:rsid w:val="00150B01"/>
    <w:rsid w:val="001515C3"/>
    <w:rsid w:val="00152825"/>
    <w:rsid w:val="00152955"/>
    <w:rsid w:val="0015359A"/>
    <w:rsid w:val="001535A6"/>
    <w:rsid w:val="0015381D"/>
    <w:rsid w:val="00153AC2"/>
    <w:rsid w:val="001577E0"/>
    <w:rsid w:val="00157DC3"/>
    <w:rsid w:val="00160563"/>
    <w:rsid w:val="0016077A"/>
    <w:rsid w:val="00163263"/>
    <w:rsid w:val="00163737"/>
    <w:rsid w:val="001644CB"/>
    <w:rsid w:val="001645FD"/>
    <w:rsid w:val="0016571D"/>
    <w:rsid w:val="0016588A"/>
    <w:rsid w:val="0016596E"/>
    <w:rsid w:val="00165BFB"/>
    <w:rsid w:val="00165F9D"/>
    <w:rsid w:val="001660F1"/>
    <w:rsid w:val="0016647C"/>
    <w:rsid w:val="00167068"/>
    <w:rsid w:val="00167BE4"/>
    <w:rsid w:val="00171047"/>
    <w:rsid w:val="0017116A"/>
    <w:rsid w:val="00172AE0"/>
    <w:rsid w:val="00173A56"/>
    <w:rsid w:val="00173C0F"/>
    <w:rsid w:val="00174741"/>
    <w:rsid w:val="0017679D"/>
    <w:rsid w:val="001806FD"/>
    <w:rsid w:val="0018110C"/>
    <w:rsid w:val="00181360"/>
    <w:rsid w:val="00181822"/>
    <w:rsid w:val="00182BF2"/>
    <w:rsid w:val="00182F47"/>
    <w:rsid w:val="00183929"/>
    <w:rsid w:val="00183C08"/>
    <w:rsid w:val="00184691"/>
    <w:rsid w:val="001854B1"/>
    <w:rsid w:val="00185D86"/>
    <w:rsid w:val="00186CB3"/>
    <w:rsid w:val="00187CB1"/>
    <w:rsid w:val="00187D63"/>
    <w:rsid w:val="0019020E"/>
    <w:rsid w:val="0019053C"/>
    <w:rsid w:val="001905F6"/>
    <w:rsid w:val="0019126D"/>
    <w:rsid w:val="001914F5"/>
    <w:rsid w:val="0019249E"/>
    <w:rsid w:val="00192B3E"/>
    <w:rsid w:val="00193527"/>
    <w:rsid w:val="0019533C"/>
    <w:rsid w:val="00195C96"/>
    <w:rsid w:val="00196205"/>
    <w:rsid w:val="00196865"/>
    <w:rsid w:val="00196E38"/>
    <w:rsid w:val="00197B59"/>
    <w:rsid w:val="001A0682"/>
    <w:rsid w:val="001A29BA"/>
    <w:rsid w:val="001A2BE5"/>
    <w:rsid w:val="001A3905"/>
    <w:rsid w:val="001A3E2B"/>
    <w:rsid w:val="001A3ED7"/>
    <w:rsid w:val="001A4A36"/>
    <w:rsid w:val="001A4D4B"/>
    <w:rsid w:val="001A5C4D"/>
    <w:rsid w:val="001B0028"/>
    <w:rsid w:val="001B0378"/>
    <w:rsid w:val="001B1630"/>
    <w:rsid w:val="001B247B"/>
    <w:rsid w:val="001B4247"/>
    <w:rsid w:val="001B43A4"/>
    <w:rsid w:val="001B46B8"/>
    <w:rsid w:val="001B5AE8"/>
    <w:rsid w:val="001B5FFB"/>
    <w:rsid w:val="001BE90F"/>
    <w:rsid w:val="001C0703"/>
    <w:rsid w:val="001C0A73"/>
    <w:rsid w:val="001C2D03"/>
    <w:rsid w:val="001C4CF1"/>
    <w:rsid w:val="001C5D37"/>
    <w:rsid w:val="001C631B"/>
    <w:rsid w:val="001C695D"/>
    <w:rsid w:val="001C6E6B"/>
    <w:rsid w:val="001D12E6"/>
    <w:rsid w:val="001D1760"/>
    <w:rsid w:val="001D17A4"/>
    <w:rsid w:val="001D2C99"/>
    <w:rsid w:val="001D3B15"/>
    <w:rsid w:val="001D42AE"/>
    <w:rsid w:val="001D4437"/>
    <w:rsid w:val="001D4518"/>
    <w:rsid w:val="001D55E4"/>
    <w:rsid w:val="001D758B"/>
    <w:rsid w:val="001D7853"/>
    <w:rsid w:val="001D79CE"/>
    <w:rsid w:val="001E104A"/>
    <w:rsid w:val="001E1212"/>
    <w:rsid w:val="001E13BA"/>
    <w:rsid w:val="001E1C84"/>
    <w:rsid w:val="001E42DA"/>
    <w:rsid w:val="001E4782"/>
    <w:rsid w:val="001E6302"/>
    <w:rsid w:val="001E644E"/>
    <w:rsid w:val="001E690F"/>
    <w:rsid w:val="001E7B42"/>
    <w:rsid w:val="001E7BBB"/>
    <w:rsid w:val="001F18C2"/>
    <w:rsid w:val="001F29BD"/>
    <w:rsid w:val="001F2DB1"/>
    <w:rsid w:val="001F552E"/>
    <w:rsid w:val="001F6D51"/>
    <w:rsid w:val="001F7C70"/>
    <w:rsid w:val="002011A8"/>
    <w:rsid w:val="002024DF"/>
    <w:rsid w:val="00202DAD"/>
    <w:rsid w:val="0020329A"/>
    <w:rsid w:val="00203C80"/>
    <w:rsid w:val="00204561"/>
    <w:rsid w:val="00204D31"/>
    <w:rsid w:val="00204F5F"/>
    <w:rsid w:val="00205BFA"/>
    <w:rsid w:val="002062E5"/>
    <w:rsid w:val="00206DA3"/>
    <w:rsid w:val="0020704F"/>
    <w:rsid w:val="00207FD7"/>
    <w:rsid w:val="0021005C"/>
    <w:rsid w:val="002104EC"/>
    <w:rsid w:val="00211D1A"/>
    <w:rsid w:val="00212C4A"/>
    <w:rsid w:val="00212DAF"/>
    <w:rsid w:val="002144C3"/>
    <w:rsid w:val="00215051"/>
    <w:rsid w:val="0021548A"/>
    <w:rsid w:val="00216633"/>
    <w:rsid w:val="0021775A"/>
    <w:rsid w:val="002177EF"/>
    <w:rsid w:val="0022016C"/>
    <w:rsid w:val="00220E73"/>
    <w:rsid w:val="00221D21"/>
    <w:rsid w:val="00222448"/>
    <w:rsid w:val="00222BE8"/>
    <w:rsid w:val="00222DA1"/>
    <w:rsid w:val="00223E41"/>
    <w:rsid w:val="00223FB1"/>
    <w:rsid w:val="00224CFC"/>
    <w:rsid w:val="002251E8"/>
    <w:rsid w:val="00225861"/>
    <w:rsid w:val="002262EC"/>
    <w:rsid w:val="0022667B"/>
    <w:rsid w:val="00226D5C"/>
    <w:rsid w:val="0023001B"/>
    <w:rsid w:val="0023061F"/>
    <w:rsid w:val="0023193A"/>
    <w:rsid w:val="00231FAB"/>
    <w:rsid w:val="002327D5"/>
    <w:rsid w:val="002334B5"/>
    <w:rsid w:val="002339A1"/>
    <w:rsid w:val="00233D20"/>
    <w:rsid w:val="00233E6A"/>
    <w:rsid w:val="002359C8"/>
    <w:rsid w:val="0023666A"/>
    <w:rsid w:val="00236B5A"/>
    <w:rsid w:val="00240780"/>
    <w:rsid w:val="002413EF"/>
    <w:rsid w:val="002418FF"/>
    <w:rsid w:val="00241A65"/>
    <w:rsid w:val="002442BB"/>
    <w:rsid w:val="00244FE8"/>
    <w:rsid w:val="00245CD1"/>
    <w:rsid w:val="00245E70"/>
    <w:rsid w:val="00246253"/>
    <w:rsid w:val="0024651C"/>
    <w:rsid w:val="002472F1"/>
    <w:rsid w:val="002473DE"/>
    <w:rsid w:val="00250975"/>
    <w:rsid w:val="00251EC4"/>
    <w:rsid w:val="0025327C"/>
    <w:rsid w:val="00253CED"/>
    <w:rsid w:val="002544E8"/>
    <w:rsid w:val="00257B1E"/>
    <w:rsid w:val="00257BB6"/>
    <w:rsid w:val="00257F33"/>
    <w:rsid w:val="00260162"/>
    <w:rsid w:val="002613C0"/>
    <w:rsid w:val="00261AE4"/>
    <w:rsid w:val="00262D51"/>
    <w:rsid w:val="0026348D"/>
    <w:rsid w:val="00263ADF"/>
    <w:rsid w:val="00263FE6"/>
    <w:rsid w:val="00264851"/>
    <w:rsid w:val="00264EA1"/>
    <w:rsid w:val="00264F32"/>
    <w:rsid w:val="00267809"/>
    <w:rsid w:val="002678C7"/>
    <w:rsid w:val="002705B6"/>
    <w:rsid w:val="00271315"/>
    <w:rsid w:val="0027132C"/>
    <w:rsid w:val="0027175C"/>
    <w:rsid w:val="00272C30"/>
    <w:rsid w:val="00273167"/>
    <w:rsid w:val="002736AB"/>
    <w:rsid w:val="00273CD7"/>
    <w:rsid w:val="00275902"/>
    <w:rsid w:val="00276314"/>
    <w:rsid w:val="002807A0"/>
    <w:rsid w:val="002809D7"/>
    <w:rsid w:val="002817EF"/>
    <w:rsid w:val="0028191D"/>
    <w:rsid w:val="00281B5D"/>
    <w:rsid w:val="00281B85"/>
    <w:rsid w:val="00282081"/>
    <w:rsid w:val="0028413E"/>
    <w:rsid w:val="00284F3B"/>
    <w:rsid w:val="002850C2"/>
    <w:rsid w:val="00285635"/>
    <w:rsid w:val="002857CD"/>
    <w:rsid w:val="0028689D"/>
    <w:rsid w:val="00286B5B"/>
    <w:rsid w:val="00286E81"/>
    <w:rsid w:val="00287312"/>
    <w:rsid w:val="00291B7F"/>
    <w:rsid w:val="00291E45"/>
    <w:rsid w:val="0029290B"/>
    <w:rsid w:val="00292E32"/>
    <w:rsid w:val="0029334D"/>
    <w:rsid w:val="002937F7"/>
    <w:rsid w:val="002944EE"/>
    <w:rsid w:val="00295286"/>
    <w:rsid w:val="002953AA"/>
    <w:rsid w:val="00295E82"/>
    <w:rsid w:val="00296A3B"/>
    <w:rsid w:val="00297023"/>
    <w:rsid w:val="00297705"/>
    <w:rsid w:val="002A02B1"/>
    <w:rsid w:val="002A0C5B"/>
    <w:rsid w:val="002A1056"/>
    <w:rsid w:val="002A22CB"/>
    <w:rsid w:val="002A3163"/>
    <w:rsid w:val="002A5841"/>
    <w:rsid w:val="002A67E8"/>
    <w:rsid w:val="002A69E1"/>
    <w:rsid w:val="002A6CB2"/>
    <w:rsid w:val="002A7F27"/>
    <w:rsid w:val="002A7FB1"/>
    <w:rsid w:val="002B09AE"/>
    <w:rsid w:val="002B0E22"/>
    <w:rsid w:val="002B17F8"/>
    <w:rsid w:val="002B1D3C"/>
    <w:rsid w:val="002B2F46"/>
    <w:rsid w:val="002B3206"/>
    <w:rsid w:val="002B3559"/>
    <w:rsid w:val="002B41E7"/>
    <w:rsid w:val="002B4269"/>
    <w:rsid w:val="002B4ADC"/>
    <w:rsid w:val="002B4F74"/>
    <w:rsid w:val="002B52B1"/>
    <w:rsid w:val="002B6234"/>
    <w:rsid w:val="002C129C"/>
    <w:rsid w:val="002C1B80"/>
    <w:rsid w:val="002C2464"/>
    <w:rsid w:val="002C2F27"/>
    <w:rsid w:val="002C3E70"/>
    <w:rsid w:val="002C4092"/>
    <w:rsid w:val="002D0488"/>
    <w:rsid w:val="002D0826"/>
    <w:rsid w:val="002D307A"/>
    <w:rsid w:val="002D4EE1"/>
    <w:rsid w:val="002D7ABB"/>
    <w:rsid w:val="002E016D"/>
    <w:rsid w:val="002E14BE"/>
    <w:rsid w:val="002E1FCA"/>
    <w:rsid w:val="002E2027"/>
    <w:rsid w:val="002E5926"/>
    <w:rsid w:val="002E63BB"/>
    <w:rsid w:val="002E742B"/>
    <w:rsid w:val="002F0BFF"/>
    <w:rsid w:val="002F0D96"/>
    <w:rsid w:val="002F4879"/>
    <w:rsid w:val="002F5774"/>
    <w:rsid w:val="002F679D"/>
    <w:rsid w:val="0030010C"/>
    <w:rsid w:val="003001BF"/>
    <w:rsid w:val="00301B14"/>
    <w:rsid w:val="00301F38"/>
    <w:rsid w:val="00304695"/>
    <w:rsid w:val="00304DFA"/>
    <w:rsid w:val="003060E5"/>
    <w:rsid w:val="003065A6"/>
    <w:rsid w:val="00306995"/>
    <w:rsid w:val="0030703E"/>
    <w:rsid w:val="003070E4"/>
    <w:rsid w:val="00307A81"/>
    <w:rsid w:val="00310617"/>
    <w:rsid w:val="00311C3C"/>
    <w:rsid w:val="003142BA"/>
    <w:rsid w:val="00314F05"/>
    <w:rsid w:val="00315CF1"/>
    <w:rsid w:val="003160DB"/>
    <w:rsid w:val="00316765"/>
    <w:rsid w:val="00316D72"/>
    <w:rsid w:val="0032018D"/>
    <w:rsid w:val="0032116A"/>
    <w:rsid w:val="00322FD6"/>
    <w:rsid w:val="003236FC"/>
    <w:rsid w:val="00324A24"/>
    <w:rsid w:val="00325D9C"/>
    <w:rsid w:val="003268D7"/>
    <w:rsid w:val="0032793E"/>
    <w:rsid w:val="0033372E"/>
    <w:rsid w:val="0033425A"/>
    <w:rsid w:val="003343D2"/>
    <w:rsid w:val="00337042"/>
    <w:rsid w:val="0033758A"/>
    <w:rsid w:val="00337A42"/>
    <w:rsid w:val="00340093"/>
    <w:rsid w:val="0034011E"/>
    <w:rsid w:val="00340612"/>
    <w:rsid w:val="003416CB"/>
    <w:rsid w:val="003422FE"/>
    <w:rsid w:val="003438F8"/>
    <w:rsid w:val="003440BB"/>
    <w:rsid w:val="003443B9"/>
    <w:rsid w:val="00344F29"/>
    <w:rsid w:val="00345253"/>
    <w:rsid w:val="00345B5E"/>
    <w:rsid w:val="00345F79"/>
    <w:rsid w:val="00346507"/>
    <w:rsid w:val="00347C32"/>
    <w:rsid w:val="00347E5B"/>
    <w:rsid w:val="00347FA6"/>
    <w:rsid w:val="00351180"/>
    <w:rsid w:val="0035120A"/>
    <w:rsid w:val="00351511"/>
    <w:rsid w:val="003515FB"/>
    <w:rsid w:val="00351647"/>
    <w:rsid w:val="00352BBC"/>
    <w:rsid w:val="0035566A"/>
    <w:rsid w:val="00355F1A"/>
    <w:rsid w:val="00356FC3"/>
    <w:rsid w:val="00357521"/>
    <w:rsid w:val="003603A0"/>
    <w:rsid w:val="0036118E"/>
    <w:rsid w:val="003611F6"/>
    <w:rsid w:val="003618A9"/>
    <w:rsid w:val="00361A5E"/>
    <w:rsid w:val="0036221E"/>
    <w:rsid w:val="00362265"/>
    <w:rsid w:val="003641E4"/>
    <w:rsid w:val="00364314"/>
    <w:rsid w:val="003647C5"/>
    <w:rsid w:val="00365469"/>
    <w:rsid w:val="00366F8B"/>
    <w:rsid w:val="00367DBF"/>
    <w:rsid w:val="00367F71"/>
    <w:rsid w:val="00370776"/>
    <w:rsid w:val="00370EC4"/>
    <w:rsid w:val="0037105F"/>
    <w:rsid w:val="00372CFA"/>
    <w:rsid w:val="0037317D"/>
    <w:rsid w:val="003732EA"/>
    <w:rsid w:val="0037340E"/>
    <w:rsid w:val="00373B16"/>
    <w:rsid w:val="00373DF1"/>
    <w:rsid w:val="00376E35"/>
    <w:rsid w:val="00377306"/>
    <w:rsid w:val="00380154"/>
    <w:rsid w:val="003803CA"/>
    <w:rsid w:val="003821A2"/>
    <w:rsid w:val="00383303"/>
    <w:rsid w:val="003834B7"/>
    <w:rsid w:val="00383E41"/>
    <w:rsid w:val="00383E8F"/>
    <w:rsid w:val="003842DB"/>
    <w:rsid w:val="0038438C"/>
    <w:rsid w:val="0038451A"/>
    <w:rsid w:val="00385372"/>
    <w:rsid w:val="0038556C"/>
    <w:rsid w:val="00385D9D"/>
    <w:rsid w:val="0038629A"/>
    <w:rsid w:val="00390498"/>
    <w:rsid w:val="00390CB7"/>
    <w:rsid w:val="00391CB0"/>
    <w:rsid w:val="00391F60"/>
    <w:rsid w:val="00392DB2"/>
    <w:rsid w:val="00395573"/>
    <w:rsid w:val="00395CDD"/>
    <w:rsid w:val="003964F3"/>
    <w:rsid w:val="00396A63"/>
    <w:rsid w:val="00397002"/>
    <w:rsid w:val="003976D2"/>
    <w:rsid w:val="00397858"/>
    <w:rsid w:val="00397EDC"/>
    <w:rsid w:val="003A1708"/>
    <w:rsid w:val="003A27FD"/>
    <w:rsid w:val="003A2D0D"/>
    <w:rsid w:val="003A34E5"/>
    <w:rsid w:val="003A3D6C"/>
    <w:rsid w:val="003A4085"/>
    <w:rsid w:val="003A547C"/>
    <w:rsid w:val="003A76E8"/>
    <w:rsid w:val="003A7823"/>
    <w:rsid w:val="003B019A"/>
    <w:rsid w:val="003B03DF"/>
    <w:rsid w:val="003B0765"/>
    <w:rsid w:val="003B10F8"/>
    <w:rsid w:val="003B13B8"/>
    <w:rsid w:val="003B1C1B"/>
    <w:rsid w:val="003B1EF5"/>
    <w:rsid w:val="003B219E"/>
    <w:rsid w:val="003B2990"/>
    <w:rsid w:val="003B2E69"/>
    <w:rsid w:val="003B31E8"/>
    <w:rsid w:val="003B39F4"/>
    <w:rsid w:val="003B4258"/>
    <w:rsid w:val="003B657A"/>
    <w:rsid w:val="003C07EA"/>
    <w:rsid w:val="003C1A3F"/>
    <w:rsid w:val="003C2341"/>
    <w:rsid w:val="003C2B83"/>
    <w:rsid w:val="003C326A"/>
    <w:rsid w:val="003C3602"/>
    <w:rsid w:val="003C4382"/>
    <w:rsid w:val="003C4987"/>
    <w:rsid w:val="003C54E5"/>
    <w:rsid w:val="003C5F70"/>
    <w:rsid w:val="003C631B"/>
    <w:rsid w:val="003C729B"/>
    <w:rsid w:val="003C7A9D"/>
    <w:rsid w:val="003D0158"/>
    <w:rsid w:val="003D19DC"/>
    <w:rsid w:val="003D2BF9"/>
    <w:rsid w:val="003D3AB9"/>
    <w:rsid w:val="003D3E72"/>
    <w:rsid w:val="003D4B20"/>
    <w:rsid w:val="003D4F6D"/>
    <w:rsid w:val="003D6DEC"/>
    <w:rsid w:val="003D7CF5"/>
    <w:rsid w:val="003E0241"/>
    <w:rsid w:val="003E0A0A"/>
    <w:rsid w:val="003E103F"/>
    <w:rsid w:val="003E1186"/>
    <w:rsid w:val="003E15F6"/>
    <w:rsid w:val="003E28FF"/>
    <w:rsid w:val="003E3562"/>
    <w:rsid w:val="003E3651"/>
    <w:rsid w:val="003E3997"/>
    <w:rsid w:val="003E50FC"/>
    <w:rsid w:val="003E54C0"/>
    <w:rsid w:val="003E563F"/>
    <w:rsid w:val="003E598F"/>
    <w:rsid w:val="003F0676"/>
    <w:rsid w:val="003F083C"/>
    <w:rsid w:val="003F0B8B"/>
    <w:rsid w:val="003F1635"/>
    <w:rsid w:val="003F1A97"/>
    <w:rsid w:val="003F24FB"/>
    <w:rsid w:val="003F337F"/>
    <w:rsid w:val="003F3380"/>
    <w:rsid w:val="003F68CE"/>
    <w:rsid w:val="003F68DA"/>
    <w:rsid w:val="003F75BF"/>
    <w:rsid w:val="0040054D"/>
    <w:rsid w:val="00400825"/>
    <w:rsid w:val="00400FB3"/>
    <w:rsid w:val="0040287C"/>
    <w:rsid w:val="00402DE7"/>
    <w:rsid w:val="00402FDA"/>
    <w:rsid w:val="00403AED"/>
    <w:rsid w:val="004049BD"/>
    <w:rsid w:val="0040753B"/>
    <w:rsid w:val="0041016A"/>
    <w:rsid w:val="00410C35"/>
    <w:rsid w:val="00412F1A"/>
    <w:rsid w:val="00415851"/>
    <w:rsid w:val="004166BD"/>
    <w:rsid w:val="004169F9"/>
    <w:rsid w:val="00416B2D"/>
    <w:rsid w:val="0041719C"/>
    <w:rsid w:val="00420EBA"/>
    <w:rsid w:val="004219C6"/>
    <w:rsid w:val="00421E22"/>
    <w:rsid w:val="00422816"/>
    <w:rsid w:val="00423DD4"/>
    <w:rsid w:val="0042427D"/>
    <w:rsid w:val="00424C25"/>
    <w:rsid w:val="00425458"/>
    <w:rsid w:val="00425F56"/>
    <w:rsid w:val="0042628D"/>
    <w:rsid w:val="0042670F"/>
    <w:rsid w:val="004271A8"/>
    <w:rsid w:val="004274DC"/>
    <w:rsid w:val="00431298"/>
    <w:rsid w:val="004313C0"/>
    <w:rsid w:val="00431F19"/>
    <w:rsid w:val="00434EB1"/>
    <w:rsid w:val="00434F31"/>
    <w:rsid w:val="004353C4"/>
    <w:rsid w:val="00436A50"/>
    <w:rsid w:val="00440FCB"/>
    <w:rsid w:val="00441087"/>
    <w:rsid w:val="004417F1"/>
    <w:rsid w:val="004425A4"/>
    <w:rsid w:val="00442FBB"/>
    <w:rsid w:val="00444453"/>
    <w:rsid w:val="00445996"/>
    <w:rsid w:val="00445C2A"/>
    <w:rsid w:val="00446708"/>
    <w:rsid w:val="004473E8"/>
    <w:rsid w:val="00450879"/>
    <w:rsid w:val="00450B2A"/>
    <w:rsid w:val="004516C3"/>
    <w:rsid w:val="00451CAF"/>
    <w:rsid w:val="00451EA7"/>
    <w:rsid w:val="00452238"/>
    <w:rsid w:val="004531F6"/>
    <w:rsid w:val="00455CB9"/>
    <w:rsid w:val="00455FFE"/>
    <w:rsid w:val="00460470"/>
    <w:rsid w:val="004609E8"/>
    <w:rsid w:val="0046136C"/>
    <w:rsid w:val="00461470"/>
    <w:rsid w:val="004625DB"/>
    <w:rsid w:val="00462CE8"/>
    <w:rsid w:val="00462E9B"/>
    <w:rsid w:val="004641D4"/>
    <w:rsid w:val="00464580"/>
    <w:rsid w:val="00464DDC"/>
    <w:rsid w:val="00464F5F"/>
    <w:rsid w:val="0046635F"/>
    <w:rsid w:val="004679BE"/>
    <w:rsid w:val="004726F6"/>
    <w:rsid w:val="004742EF"/>
    <w:rsid w:val="00475211"/>
    <w:rsid w:val="004754E2"/>
    <w:rsid w:val="00475B17"/>
    <w:rsid w:val="0048073A"/>
    <w:rsid w:val="00480896"/>
    <w:rsid w:val="00480A31"/>
    <w:rsid w:val="004810C5"/>
    <w:rsid w:val="00481291"/>
    <w:rsid w:val="00482D0D"/>
    <w:rsid w:val="00482D62"/>
    <w:rsid w:val="00483FBF"/>
    <w:rsid w:val="004843E3"/>
    <w:rsid w:val="004849B9"/>
    <w:rsid w:val="00486572"/>
    <w:rsid w:val="00490042"/>
    <w:rsid w:val="004904F6"/>
    <w:rsid w:val="00490C00"/>
    <w:rsid w:val="004919C3"/>
    <w:rsid w:val="00492D76"/>
    <w:rsid w:val="00493D74"/>
    <w:rsid w:val="004943A1"/>
    <w:rsid w:val="004947F4"/>
    <w:rsid w:val="004956AD"/>
    <w:rsid w:val="00495ADC"/>
    <w:rsid w:val="00495BB1"/>
    <w:rsid w:val="00495CAC"/>
    <w:rsid w:val="00495DBC"/>
    <w:rsid w:val="004A0AA4"/>
    <w:rsid w:val="004A0CC4"/>
    <w:rsid w:val="004A1193"/>
    <w:rsid w:val="004A166A"/>
    <w:rsid w:val="004A1995"/>
    <w:rsid w:val="004A1BB8"/>
    <w:rsid w:val="004A1EC7"/>
    <w:rsid w:val="004A298E"/>
    <w:rsid w:val="004A2B87"/>
    <w:rsid w:val="004A396D"/>
    <w:rsid w:val="004A5469"/>
    <w:rsid w:val="004A5BB7"/>
    <w:rsid w:val="004B1B8C"/>
    <w:rsid w:val="004B299A"/>
    <w:rsid w:val="004B42E2"/>
    <w:rsid w:val="004B443A"/>
    <w:rsid w:val="004B4605"/>
    <w:rsid w:val="004B4762"/>
    <w:rsid w:val="004B5542"/>
    <w:rsid w:val="004B5B4D"/>
    <w:rsid w:val="004B5D49"/>
    <w:rsid w:val="004B5E47"/>
    <w:rsid w:val="004B5F82"/>
    <w:rsid w:val="004B6DAE"/>
    <w:rsid w:val="004C1086"/>
    <w:rsid w:val="004C2644"/>
    <w:rsid w:val="004C26A0"/>
    <w:rsid w:val="004C2C27"/>
    <w:rsid w:val="004C4127"/>
    <w:rsid w:val="004C4C0D"/>
    <w:rsid w:val="004C53B6"/>
    <w:rsid w:val="004C53F9"/>
    <w:rsid w:val="004C58FE"/>
    <w:rsid w:val="004C598F"/>
    <w:rsid w:val="004C7E72"/>
    <w:rsid w:val="004C7E83"/>
    <w:rsid w:val="004D07FC"/>
    <w:rsid w:val="004D0C67"/>
    <w:rsid w:val="004D179A"/>
    <w:rsid w:val="004D1C57"/>
    <w:rsid w:val="004D3FAA"/>
    <w:rsid w:val="004D4785"/>
    <w:rsid w:val="004D4B20"/>
    <w:rsid w:val="004D6224"/>
    <w:rsid w:val="004D7086"/>
    <w:rsid w:val="004D7562"/>
    <w:rsid w:val="004E15C4"/>
    <w:rsid w:val="004E1A59"/>
    <w:rsid w:val="004E1E1B"/>
    <w:rsid w:val="004E25E1"/>
    <w:rsid w:val="004E30AA"/>
    <w:rsid w:val="004E3A55"/>
    <w:rsid w:val="004E3D41"/>
    <w:rsid w:val="004E3D77"/>
    <w:rsid w:val="004E3DD5"/>
    <w:rsid w:val="004E495E"/>
    <w:rsid w:val="004E4DCC"/>
    <w:rsid w:val="004E5CAA"/>
    <w:rsid w:val="004E6297"/>
    <w:rsid w:val="004F0256"/>
    <w:rsid w:val="004F0F7C"/>
    <w:rsid w:val="004F1C63"/>
    <w:rsid w:val="004F2966"/>
    <w:rsid w:val="004F2AE0"/>
    <w:rsid w:val="004F2CB8"/>
    <w:rsid w:val="004F2CD1"/>
    <w:rsid w:val="004F3284"/>
    <w:rsid w:val="004F335C"/>
    <w:rsid w:val="004F3F5F"/>
    <w:rsid w:val="004F4545"/>
    <w:rsid w:val="004F513C"/>
    <w:rsid w:val="004F5BDA"/>
    <w:rsid w:val="004F5F89"/>
    <w:rsid w:val="004F7454"/>
    <w:rsid w:val="004F758F"/>
    <w:rsid w:val="004F7A47"/>
    <w:rsid w:val="005001D2"/>
    <w:rsid w:val="00500245"/>
    <w:rsid w:val="00502FD2"/>
    <w:rsid w:val="00503C3A"/>
    <w:rsid w:val="005062D1"/>
    <w:rsid w:val="005065C9"/>
    <w:rsid w:val="00510476"/>
    <w:rsid w:val="0051082D"/>
    <w:rsid w:val="00510ACC"/>
    <w:rsid w:val="005111B5"/>
    <w:rsid w:val="00511572"/>
    <w:rsid w:val="0051241B"/>
    <w:rsid w:val="00512BE7"/>
    <w:rsid w:val="00514AA1"/>
    <w:rsid w:val="00514C45"/>
    <w:rsid w:val="00516847"/>
    <w:rsid w:val="00520F37"/>
    <w:rsid w:val="00520FA0"/>
    <w:rsid w:val="00521318"/>
    <w:rsid w:val="005213E7"/>
    <w:rsid w:val="005260C8"/>
    <w:rsid w:val="0052715C"/>
    <w:rsid w:val="00527ABB"/>
    <w:rsid w:val="00527D70"/>
    <w:rsid w:val="005304B4"/>
    <w:rsid w:val="00530D37"/>
    <w:rsid w:val="00531125"/>
    <w:rsid w:val="00533145"/>
    <w:rsid w:val="00533D4E"/>
    <w:rsid w:val="0053470E"/>
    <w:rsid w:val="00534ECB"/>
    <w:rsid w:val="00535581"/>
    <w:rsid w:val="005355A7"/>
    <w:rsid w:val="005371B1"/>
    <w:rsid w:val="00537C84"/>
    <w:rsid w:val="00537D55"/>
    <w:rsid w:val="00540145"/>
    <w:rsid w:val="005404E3"/>
    <w:rsid w:val="005430DF"/>
    <w:rsid w:val="00543635"/>
    <w:rsid w:val="005438BB"/>
    <w:rsid w:val="00543D07"/>
    <w:rsid w:val="00544F73"/>
    <w:rsid w:val="0054684D"/>
    <w:rsid w:val="00546E99"/>
    <w:rsid w:val="005477C5"/>
    <w:rsid w:val="00550F8C"/>
    <w:rsid w:val="0055113A"/>
    <w:rsid w:val="00551DC5"/>
    <w:rsid w:val="00553B27"/>
    <w:rsid w:val="00553D79"/>
    <w:rsid w:val="00554332"/>
    <w:rsid w:val="00556025"/>
    <w:rsid w:val="00556ABD"/>
    <w:rsid w:val="00557A94"/>
    <w:rsid w:val="0056019A"/>
    <w:rsid w:val="00561298"/>
    <w:rsid w:val="00561FF8"/>
    <w:rsid w:val="00562832"/>
    <w:rsid w:val="00564E11"/>
    <w:rsid w:val="00565084"/>
    <w:rsid w:val="005659E8"/>
    <w:rsid w:val="005659F7"/>
    <w:rsid w:val="00567606"/>
    <w:rsid w:val="00567A58"/>
    <w:rsid w:val="00567F36"/>
    <w:rsid w:val="005705BA"/>
    <w:rsid w:val="0057092C"/>
    <w:rsid w:val="00570ADC"/>
    <w:rsid w:val="00570FD5"/>
    <w:rsid w:val="00571800"/>
    <w:rsid w:val="00571A35"/>
    <w:rsid w:val="00571CDB"/>
    <w:rsid w:val="00572142"/>
    <w:rsid w:val="00572D5A"/>
    <w:rsid w:val="00573278"/>
    <w:rsid w:val="0057377B"/>
    <w:rsid w:val="005773C2"/>
    <w:rsid w:val="005801DE"/>
    <w:rsid w:val="00580C06"/>
    <w:rsid w:val="00581754"/>
    <w:rsid w:val="00582BB1"/>
    <w:rsid w:val="00583A2A"/>
    <w:rsid w:val="00585A72"/>
    <w:rsid w:val="00585C04"/>
    <w:rsid w:val="00586312"/>
    <w:rsid w:val="005867BB"/>
    <w:rsid w:val="00587BF2"/>
    <w:rsid w:val="00587C41"/>
    <w:rsid w:val="00587E06"/>
    <w:rsid w:val="005915C5"/>
    <w:rsid w:val="0059294F"/>
    <w:rsid w:val="00592D31"/>
    <w:rsid w:val="00593DF3"/>
    <w:rsid w:val="00594457"/>
    <w:rsid w:val="00594507"/>
    <w:rsid w:val="005945C6"/>
    <w:rsid w:val="00594B33"/>
    <w:rsid w:val="00596398"/>
    <w:rsid w:val="005964D8"/>
    <w:rsid w:val="00597A55"/>
    <w:rsid w:val="005A06E6"/>
    <w:rsid w:val="005A0871"/>
    <w:rsid w:val="005A10D4"/>
    <w:rsid w:val="005A12C2"/>
    <w:rsid w:val="005A1326"/>
    <w:rsid w:val="005A189F"/>
    <w:rsid w:val="005A1A9F"/>
    <w:rsid w:val="005A1B48"/>
    <w:rsid w:val="005A2CF8"/>
    <w:rsid w:val="005A321F"/>
    <w:rsid w:val="005A3283"/>
    <w:rsid w:val="005A59FB"/>
    <w:rsid w:val="005A7795"/>
    <w:rsid w:val="005A787D"/>
    <w:rsid w:val="005B0CCD"/>
    <w:rsid w:val="005B1144"/>
    <w:rsid w:val="005B1512"/>
    <w:rsid w:val="005B3F47"/>
    <w:rsid w:val="005B4ECD"/>
    <w:rsid w:val="005B5B16"/>
    <w:rsid w:val="005B6D3E"/>
    <w:rsid w:val="005B70CA"/>
    <w:rsid w:val="005B7C6C"/>
    <w:rsid w:val="005B7D0B"/>
    <w:rsid w:val="005C021B"/>
    <w:rsid w:val="005C0BA9"/>
    <w:rsid w:val="005C12DB"/>
    <w:rsid w:val="005C1F69"/>
    <w:rsid w:val="005C367F"/>
    <w:rsid w:val="005C526B"/>
    <w:rsid w:val="005C5A0C"/>
    <w:rsid w:val="005C5B76"/>
    <w:rsid w:val="005C5D4B"/>
    <w:rsid w:val="005C738F"/>
    <w:rsid w:val="005C751D"/>
    <w:rsid w:val="005D032E"/>
    <w:rsid w:val="005D0379"/>
    <w:rsid w:val="005D17D0"/>
    <w:rsid w:val="005D2E3D"/>
    <w:rsid w:val="005D3224"/>
    <w:rsid w:val="005D37C7"/>
    <w:rsid w:val="005D39AD"/>
    <w:rsid w:val="005D3B3A"/>
    <w:rsid w:val="005D46A3"/>
    <w:rsid w:val="005D5134"/>
    <w:rsid w:val="005D682B"/>
    <w:rsid w:val="005D70FE"/>
    <w:rsid w:val="005E0D09"/>
    <w:rsid w:val="005E0D55"/>
    <w:rsid w:val="005E1E77"/>
    <w:rsid w:val="005E1F9F"/>
    <w:rsid w:val="005E254F"/>
    <w:rsid w:val="005E25AF"/>
    <w:rsid w:val="005E277E"/>
    <w:rsid w:val="005E2BBD"/>
    <w:rsid w:val="005E314D"/>
    <w:rsid w:val="005E317E"/>
    <w:rsid w:val="005E34C6"/>
    <w:rsid w:val="005E356C"/>
    <w:rsid w:val="005E3BCC"/>
    <w:rsid w:val="005E3CC7"/>
    <w:rsid w:val="005E47E3"/>
    <w:rsid w:val="005E49ED"/>
    <w:rsid w:val="005E52EC"/>
    <w:rsid w:val="005E530E"/>
    <w:rsid w:val="005E53FD"/>
    <w:rsid w:val="005E5C52"/>
    <w:rsid w:val="005E68DC"/>
    <w:rsid w:val="005E7288"/>
    <w:rsid w:val="005F0AB8"/>
    <w:rsid w:val="005F1E81"/>
    <w:rsid w:val="005F2347"/>
    <w:rsid w:val="005F2383"/>
    <w:rsid w:val="005F2694"/>
    <w:rsid w:val="005F2DE3"/>
    <w:rsid w:val="005F311B"/>
    <w:rsid w:val="005F3EE0"/>
    <w:rsid w:val="005F5F49"/>
    <w:rsid w:val="005F7181"/>
    <w:rsid w:val="005F74C9"/>
    <w:rsid w:val="00600D84"/>
    <w:rsid w:val="00601DDC"/>
    <w:rsid w:val="00603917"/>
    <w:rsid w:val="0060553C"/>
    <w:rsid w:val="006055FE"/>
    <w:rsid w:val="0061016A"/>
    <w:rsid w:val="00610437"/>
    <w:rsid w:val="00610582"/>
    <w:rsid w:val="00611C23"/>
    <w:rsid w:val="00612A03"/>
    <w:rsid w:val="0061328C"/>
    <w:rsid w:val="00613F46"/>
    <w:rsid w:val="006140A8"/>
    <w:rsid w:val="0061418C"/>
    <w:rsid w:val="00614410"/>
    <w:rsid w:val="00614D01"/>
    <w:rsid w:val="00617FC6"/>
    <w:rsid w:val="00620009"/>
    <w:rsid w:val="006201B1"/>
    <w:rsid w:val="006202E9"/>
    <w:rsid w:val="00620501"/>
    <w:rsid w:val="00620C51"/>
    <w:rsid w:val="00621A6F"/>
    <w:rsid w:val="0062257F"/>
    <w:rsid w:val="00624A6E"/>
    <w:rsid w:val="006253CB"/>
    <w:rsid w:val="00626166"/>
    <w:rsid w:val="0062711D"/>
    <w:rsid w:val="00630994"/>
    <w:rsid w:val="00630A8A"/>
    <w:rsid w:val="00631522"/>
    <w:rsid w:val="00632491"/>
    <w:rsid w:val="00633227"/>
    <w:rsid w:val="0063325C"/>
    <w:rsid w:val="00633903"/>
    <w:rsid w:val="00633D6D"/>
    <w:rsid w:val="0063411C"/>
    <w:rsid w:val="006344A2"/>
    <w:rsid w:val="00635329"/>
    <w:rsid w:val="006361B3"/>
    <w:rsid w:val="0064055E"/>
    <w:rsid w:val="00640F17"/>
    <w:rsid w:val="00641660"/>
    <w:rsid w:val="00641DE4"/>
    <w:rsid w:val="006420E9"/>
    <w:rsid w:val="00642EF7"/>
    <w:rsid w:val="006433DC"/>
    <w:rsid w:val="006435A8"/>
    <w:rsid w:val="0064387F"/>
    <w:rsid w:val="00644034"/>
    <w:rsid w:val="006448DB"/>
    <w:rsid w:val="00645242"/>
    <w:rsid w:val="0064575B"/>
    <w:rsid w:val="00646CE7"/>
    <w:rsid w:val="00646F6A"/>
    <w:rsid w:val="0064790C"/>
    <w:rsid w:val="006479B5"/>
    <w:rsid w:val="00647EA0"/>
    <w:rsid w:val="006514B4"/>
    <w:rsid w:val="00651DDA"/>
    <w:rsid w:val="00652162"/>
    <w:rsid w:val="00652868"/>
    <w:rsid w:val="00655300"/>
    <w:rsid w:val="00656FAC"/>
    <w:rsid w:val="006600EC"/>
    <w:rsid w:val="00660B73"/>
    <w:rsid w:val="0066145B"/>
    <w:rsid w:val="006621EC"/>
    <w:rsid w:val="0066239E"/>
    <w:rsid w:val="00662D5F"/>
    <w:rsid w:val="0066324C"/>
    <w:rsid w:val="006633F3"/>
    <w:rsid w:val="0066351A"/>
    <w:rsid w:val="00663D9E"/>
    <w:rsid w:val="006646C7"/>
    <w:rsid w:val="00664C3E"/>
    <w:rsid w:val="0066503E"/>
    <w:rsid w:val="00665375"/>
    <w:rsid w:val="00665F7C"/>
    <w:rsid w:val="00666741"/>
    <w:rsid w:val="00666DA2"/>
    <w:rsid w:val="00666E0E"/>
    <w:rsid w:val="00666E1E"/>
    <w:rsid w:val="00670E75"/>
    <w:rsid w:val="00670E85"/>
    <w:rsid w:val="0067211B"/>
    <w:rsid w:val="00672203"/>
    <w:rsid w:val="006727AB"/>
    <w:rsid w:val="00672DCF"/>
    <w:rsid w:val="00673D3A"/>
    <w:rsid w:val="0067410D"/>
    <w:rsid w:val="00674A93"/>
    <w:rsid w:val="00675E61"/>
    <w:rsid w:val="00676262"/>
    <w:rsid w:val="00676509"/>
    <w:rsid w:val="00676786"/>
    <w:rsid w:val="00680E9C"/>
    <w:rsid w:val="00682196"/>
    <w:rsid w:val="006825A8"/>
    <w:rsid w:val="00682885"/>
    <w:rsid w:val="0068395F"/>
    <w:rsid w:val="00683D16"/>
    <w:rsid w:val="00684BE3"/>
    <w:rsid w:val="00686029"/>
    <w:rsid w:val="0068760B"/>
    <w:rsid w:val="006876E5"/>
    <w:rsid w:val="006918BE"/>
    <w:rsid w:val="0069197A"/>
    <w:rsid w:val="00691C60"/>
    <w:rsid w:val="00692EEB"/>
    <w:rsid w:val="00693811"/>
    <w:rsid w:val="006938AD"/>
    <w:rsid w:val="00694665"/>
    <w:rsid w:val="00694B99"/>
    <w:rsid w:val="0069527F"/>
    <w:rsid w:val="00697C6E"/>
    <w:rsid w:val="006A0920"/>
    <w:rsid w:val="006A1BC2"/>
    <w:rsid w:val="006A1BDD"/>
    <w:rsid w:val="006A1CAE"/>
    <w:rsid w:val="006A28EA"/>
    <w:rsid w:val="006A2B57"/>
    <w:rsid w:val="006A51CB"/>
    <w:rsid w:val="006A56E7"/>
    <w:rsid w:val="006A5AA3"/>
    <w:rsid w:val="006A663D"/>
    <w:rsid w:val="006A665A"/>
    <w:rsid w:val="006A7FD0"/>
    <w:rsid w:val="006B112C"/>
    <w:rsid w:val="006B1CBB"/>
    <w:rsid w:val="006B2C69"/>
    <w:rsid w:val="006B35E2"/>
    <w:rsid w:val="006B4794"/>
    <w:rsid w:val="006B4D07"/>
    <w:rsid w:val="006B6EE7"/>
    <w:rsid w:val="006B7FBC"/>
    <w:rsid w:val="006C13AB"/>
    <w:rsid w:val="006C1FF0"/>
    <w:rsid w:val="006C2437"/>
    <w:rsid w:val="006C442E"/>
    <w:rsid w:val="006C4489"/>
    <w:rsid w:val="006C4664"/>
    <w:rsid w:val="006C4B30"/>
    <w:rsid w:val="006C5225"/>
    <w:rsid w:val="006C586C"/>
    <w:rsid w:val="006C6018"/>
    <w:rsid w:val="006C6919"/>
    <w:rsid w:val="006C6D06"/>
    <w:rsid w:val="006D0900"/>
    <w:rsid w:val="006D337E"/>
    <w:rsid w:val="006D61BB"/>
    <w:rsid w:val="006D6589"/>
    <w:rsid w:val="006E2237"/>
    <w:rsid w:val="006E23BA"/>
    <w:rsid w:val="006E3DA3"/>
    <w:rsid w:val="006E4759"/>
    <w:rsid w:val="006E4A9E"/>
    <w:rsid w:val="006E552B"/>
    <w:rsid w:val="006E56A2"/>
    <w:rsid w:val="006E57B0"/>
    <w:rsid w:val="006E6775"/>
    <w:rsid w:val="006E74E3"/>
    <w:rsid w:val="006E7911"/>
    <w:rsid w:val="006E7A1F"/>
    <w:rsid w:val="006F06AD"/>
    <w:rsid w:val="006F0E68"/>
    <w:rsid w:val="006F12F9"/>
    <w:rsid w:val="006F2CF6"/>
    <w:rsid w:val="006F3134"/>
    <w:rsid w:val="006F34F7"/>
    <w:rsid w:val="006F37A4"/>
    <w:rsid w:val="006F4563"/>
    <w:rsid w:val="006F56A9"/>
    <w:rsid w:val="006F577C"/>
    <w:rsid w:val="006F5B2C"/>
    <w:rsid w:val="006F6110"/>
    <w:rsid w:val="006F7454"/>
    <w:rsid w:val="006F7F71"/>
    <w:rsid w:val="00700475"/>
    <w:rsid w:val="00700513"/>
    <w:rsid w:val="00700594"/>
    <w:rsid w:val="0070078F"/>
    <w:rsid w:val="00700F04"/>
    <w:rsid w:val="00701A29"/>
    <w:rsid w:val="00701D4C"/>
    <w:rsid w:val="0070234C"/>
    <w:rsid w:val="007026B8"/>
    <w:rsid w:val="00702E1F"/>
    <w:rsid w:val="00702E23"/>
    <w:rsid w:val="00703DD2"/>
    <w:rsid w:val="00703FAD"/>
    <w:rsid w:val="00705957"/>
    <w:rsid w:val="007061C8"/>
    <w:rsid w:val="00706345"/>
    <w:rsid w:val="0070741E"/>
    <w:rsid w:val="00707809"/>
    <w:rsid w:val="00710BCD"/>
    <w:rsid w:val="00712253"/>
    <w:rsid w:val="0071244E"/>
    <w:rsid w:val="007124C9"/>
    <w:rsid w:val="0071323C"/>
    <w:rsid w:val="00713814"/>
    <w:rsid w:val="0071448E"/>
    <w:rsid w:val="0071600A"/>
    <w:rsid w:val="00716E53"/>
    <w:rsid w:val="007170F4"/>
    <w:rsid w:val="00717B10"/>
    <w:rsid w:val="00720B00"/>
    <w:rsid w:val="007224AC"/>
    <w:rsid w:val="007230F9"/>
    <w:rsid w:val="0072368B"/>
    <w:rsid w:val="0072400C"/>
    <w:rsid w:val="007253EE"/>
    <w:rsid w:val="00725F56"/>
    <w:rsid w:val="00726F65"/>
    <w:rsid w:val="00727BF8"/>
    <w:rsid w:val="007302A3"/>
    <w:rsid w:val="00731428"/>
    <w:rsid w:val="007335C6"/>
    <w:rsid w:val="00733892"/>
    <w:rsid w:val="00734D43"/>
    <w:rsid w:val="00735AEA"/>
    <w:rsid w:val="0073609A"/>
    <w:rsid w:val="007364DF"/>
    <w:rsid w:val="00736850"/>
    <w:rsid w:val="00736FD1"/>
    <w:rsid w:val="007402EE"/>
    <w:rsid w:val="0074078A"/>
    <w:rsid w:val="00740B6D"/>
    <w:rsid w:val="00741885"/>
    <w:rsid w:val="0074293D"/>
    <w:rsid w:val="00742EA5"/>
    <w:rsid w:val="007430C7"/>
    <w:rsid w:val="00743AAB"/>
    <w:rsid w:val="00743ECD"/>
    <w:rsid w:val="007442D7"/>
    <w:rsid w:val="00745031"/>
    <w:rsid w:val="00745264"/>
    <w:rsid w:val="00745639"/>
    <w:rsid w:val="00746ACF"/>
    <w:rsid w:val="007476C6"/>
    <w:rsid w:val="00747A01"/>
    <w:rsid w:val="007501E8"/>
    <w:rsid w:val="00750DFF"/>
    <w:rsid w:val="00750F94"/>
    <w:rsid w:val="007519C7"/>
    <w:rsid w:val="00751D88"/>
    <w:rsid w:val="00752566"/>
    <w:rsid w:val="00752A73"/>
    <w:rsid w:val="007532D9"/>
    <w:rsid w:val="007562EB"/>
    <w:rsid w:val="007567A6"/>
    <w:rsid w:val="00757D55"/>
    <w:rsid w:val="007600AD"/>
    <w:rsid w:val="0076058C"/>
    <w:rsid w:val="00760867"/>
    <w:rsid w:val="00760D74"/>
    <w:rsid w:val="00760E48"/>
    <w:rsid w:val="00761172"/>
    <w:rsid w:val="0076146C"/>
    <w:rsid w:val="00761B89"/>
    <w:rsid w:val="007620D7"/>
    <w:rsid w:val="00762C0B"/>
    <w:rsid w:val="0076369F"/>
    <w:rsid w:val="0076486F"/>
    <w:rsid w:val="0076596B"/>
    <w:rsid w:val="00765A6C"/>
    <w:rsid w:val="00767AD8"/>
    <w:rsid w:val="007700B4"/>
    <w:rsid w:val="00771012"/>
    <w:rsid w:val="0077116A"/>
    <w:rsid w:val="0077142E"/>
    <w:rsid w:val="007730AF"/>
    <w:rsid w:val="00774131"/>
    <w:rsid w:val="0077448E"/>
    <w:rsid w:val="007744FB"/>
    <w:rsid w:val="00774BCD"/>
    <w:rsid w:val="007755CF"/>
    <w:rsid w:val="00780E40"/>
    <w:rsid w:val="0078147D"/>
    <w:rsid w:val="007815E7"/>
    <w:rsid w:val="007827E7"/>
    <w:rsid w:val="00782E8B"/>
    <w:rsid w:val="00784245"/>
    <w:rsid w:val="0078510E"/>
    <w:rsid w:val="00785518"/>
    <w:rsid w:val="00785A7B"/>
    <w:rsid w:val="0078622C"/>
    <w:rsid w:val="00786909"/>
    <w:rsid w:val="00786F34"/>
    <w:rsid w:val="00787E7E"/>
    <w:rsid w:val="00790052"/>
    <w:rsid w:val="00790A23"/>
    <w:rsid w:val="007910FD"/>
    <w:rsid w:val="00791BD5"/>
    <w:rsid w:val="0079348C"/>
    <w:rsid w:val="00793538"/>
    <w:rsid w:val="0079500C"/>
    <w:rsid w:val="0079557D"/>
    <w:rsid w:val="00795B73"/>
    <w:rsid w:val="007A0A94"/>
    <w:rsid w:val="007A1311"/>
    <w:rsid w:val="007A1D44"/>
    <w:rsid w:val="007A29F0"/>
    <w:rsid w:val="007A3727"/>
    <w:rsid w:val="007A48D3"/>
    <w:rsid w:val="007A4B22"/>
    <w:rsid w:val="007A795B"/>
    <w:rsid w:val="007A7F9C"/>
    <w:rsid w:val="007B0141"/>
    <w:rsid w:val="007B03D7"/>
    <w:rsid w:val="007B1371"/>
    <w:rsid w:val="007B1FD4"/>
    <w:rsid w:val="007B30C6"/>
    <w:rsid w:val="007B3668"/>
    <w:rsid w:val="007B3965"/>
    <w:rsid w:val="007B6323"/>
    <w:rsid w:val="007B693E"/>
    <w:rsid w:val="007B71CD"/>
    <w:rsid w:val="007B727F"/>
    <w:rsid w:val="007B7474"/>
    <w:rsid w:val="007C26C7"/>
    <w:rsid w:val="007C30DC"/>
    <w:rsid w:val="007C6052"/>
    <w:rsid w:val="007C6357"/>
    <w:rsid w:val="007C64C8"/>
    <w:rsid w:val="007C78FE"/>
    <w:rsid w:val="007C7E1B"/>
    <w:rsid w:val="007D045E"/>
    <w:rsid w:val="007D1230"/>
    <w:rsid w:val="007D2098"/>
    <w:rsid w:val="007D2231"/>
    <w:rsid w:val="007D22B6"/>
    <w:rsid w:val="007D2A9E"/>
    <w:rsid w:val="007D3197"/>
    <w:rsid w:val="007D3564"/>
    <w:rsid w:val="007D735C"/>
    <w:rsid w:val="007D7716"/>
    <w:rsid w:val="007E0C7B"/>
    <w:rsid w:val="007E166A"/>
    <w:rsid w:val="007E1B1F"/>
    <w:rsid w:val="007E2FD9"/>
    <w:rsid w:val="007E3548"/>
    <w:rsid w:val="007E3DC3"/>
    <w:rsid w:val="007E3E45"/>
    <w:rsid w:val="007E50D6"/>
    <w:rsid w:val="007E55C3"/>
    <w:rsid w:val="007E69B0"/>
    <w:rsid w:val="007E6EFE"/>
    <w:rsid w:val="007E797F"/>
    <w:rsid w:val="007E7FEB"/>
    <w:rsid w:val="007F0168"/>
    <w:rsid w:val="007F0559"/>
    <w:rsid w:val="007F0FC5"/>
    <w:rsid w:val="007F164F"/>
    <w:rsid w:val="007F211A"/>
    <w:rsid w:val="007F4518"/>
    <w:rsid w:val="007F47C6"/>
    <w:rsid w:val="007F507F"/>
    <w:rsid w:val="007F61A4"/>
    <w:rsid w:val="007F698A"/>
    <w:rsid w:val="007F6D7D"/>
    <w:rsid w:val="007F7B5B"/>
    <w:rsid w:val="00800EC2"/>
    <w:rsid w:val="00800F51"/>
    <w:rsid w:val="0080249F"/>
    <w:rsid w:val="00803E56"/>
    <w:rsid w:val="008040F3"/>
    <w:rsid w:val="00804525"/>
    <w:rsid w:val="00804BAE"/>
    <w:rsid w:val="008058A2"/>
    <w:rsid w:val="00806BCD"/>
    <w:rsid w:val="00810C2F"/>
    <w:rsid w:val="00813308"/>
    <w:rsid w:val="00813312"/>
    <w:rsid w:val="0081442D"/>
    <w:rsid w:val="00815CB3"/>
    <w:rsid w:val="00816A21"/>
    <w:rsid w:val="00820294"/>
    <w:rsid w:val="008208C4"/>
    <w:rsid w:val="00820B41"/>
    <w:rsid w:val="0082103C"/>
    <w:rsid w:val="00823DE4"/>
    <w:rsid w:val="00824C82"/>
    <w:rsid w:val="008250E7"/>
    <w:rsid w:val="0082526A"/>
    <w:rsid w:val="008265D1"/>
    <w:rsid w:val="0082721F"/>
    <w:rsid w:val="008272A5"/>
    <w:rsid w:val="00827937"/>
    <w:rsid w:val="00827FD7"/>
    <w:rsid w:val="00830DFB"/>
    <w:rsid w:val="0083131F"/>
    <w:rsid w:val="00831821"/>
    <w:rsid w:val="00832027"/>
    <w:rsid w:val="00832D3C"/>
    <w:rsid w:val="008330A9"/>
    <w:rsid w:val="00835428"/>
    <w:rsid w:val="008361FD"/>
    <w:rsid w:val="00836AE8"/>
    <w:rsid w:val="00836B2E"/>
    <w:rsid w:val="00836DFD"/>
    <w:rsid w:val="00836E31"/>
    <w:rsid w:val="00837582"/>
    <w:rsid w:val="0084036E"/>
    <w:rsid w:val="0084070C"/>
    <w:rsid w:val="00840810"/>
    <w:rsid w:val="00840E74"/>
    <w:rsid w:val="008411DB"/>
    <w:rsid w:val="00841467"/>
    <w:rsid w:val="00841885"/>
    <w:rsid w:val="00841C7A"/>
    <w:rsid w:val="00842A15"/>
    <w:rsid w:val="00842A93"/>
    <w:rsid w:val="00842F25"/>
    <w:rsid w:val="008439F2"/>
    <w:rsid w:val="00843E67"/>
    <w:rsid w:val="00844081"/>
    <w:rsid w:val="008440F5"/>
    <w:rsid w:val="00846D16"/>
    <w:rsid w:val="00847C00"/>
    <w:rsid w:val="008506F9"/>
    <w:rsid w:val="00851719"/>
    <w:rsid w:val="008522BE"/>
    <w:rsid w:val="00852573"/>
    <w:rsid w:val="00852A9B"/>
    <w:rsid w:val="008545CB"/>
    <w:rsid w:val="00854D3D"/>
    <w:rsid w:val="00855CF5"/>
    <w:rsid w:val="00855D2A"/>
    <w:rsid w:val="00856196"/>
    <w:rsid w:val="008562A4"/>
    <w:rsid w:val="00856802"/>
    <w:rsid w:val="008568F2"/>
    <w:rsid w:val="00856A70"/>
    <w:rsid w:val="00857E6B"/>
    <w:rsid w:val="00860223"/>
    <w:rsid w:val="00862045"/>
    <w:rsid w:val="0086382B"/>
    <w:rsid w:val="0086621F"/>
    <w:rsid w:val="0086676F"/>
    <w:rsid w:val="00867746"/>
    <w:rsid w:val="00867E8A"/>
    <w:rsid w:val="008702FF"/>
    <w:rsid w:val="00870979"/>
    <w:rsid w:val="00870B75"/>
    <w:rsid w:val="00871EDE"/>
    <w:rsid w:val="00872275"/>
    <w:rsid w:val="00872A29"/>
    <w:rsid w:val="00872ADE"/>
    <w:rsid w:val="008739B3"/>
    <w:rsid w:val="00875247"/>
    <w:rsid w:val="00875744"/>
    <w:rsid w:val="00875B68"/>
    <w:rsid w:val="00876DAE"/>
    <w:rsid w:val="0088047B"/>
    <w:rsid w:val="008808B7"/>
    <w:rsid w:val="00882738"/>
    <w:rsid w:val="00882CE1"/>
    <w:rsid w:val="00883354"/>
    <w:rsid w:val="00884298"/>
    <w:rsid w:val="0088511F"/>
    <w:rsid w:val="00885229"/>
    <w:rsid w:val="00885EE1"/>
    <w:rsid w:val="00885FFC"/>
    <w:rsid w:val="0088611E"/>
    <w:rsid w:val="00886C0C"/>
    <w:rsid w:val="00887D4A"/>
    <w:rsid w:val="0089120C"/>
    <w:rsid w:val="0089264F"/>
    <w:rsid w:val="00892B1F"/>
    <w:rsid w:val="00893A93"/>
    <w:rsid w:val="00894BE4"/>
    <w:rsid w:val="00896855"/>
    <w:rsid w:val="008972EB"/>
    <w:rsid w:val="008978CB"/>
    <w:rsid w:val="008A02C8"/>
    <w:rsid w:val="008A0B7D"/>
    <w:rsid w:val="008A2FDC"/>
    <w:rsid w:val="008A6FAF"/>
    <w:rsid w:val="008A72E1"/>
    <w:rsid w:val="008A7429"/>
    <w:rsid w:val="008A744B"/>
    <w:rsid w:val="008B0029"/>
    <w:rsid w:val="008B0752"/>
    <w:rsid w:val="008B0D50"/>
    <w:rsid w:val="008B1624"/>
    <w:rsid w:val="008B364F"/>
    <w:rsid w:val="008B4094"/>
    <w:rsid w:val="008B498A"/>
    <w:rsid w:val="008C0DE8"/>
    <w:rsid w:val="008C16A9"/>
    <w:rsid w:val="008C1BAE"/>
    <w:rsid w:val="008C25E2"/>
    <w:rsid w:val="008C2751"/>
    <w:rsid w:val="008C2BCC"/>
    <w:rsid w:val="008C39C5"/>
    <w:rsid w:val="008C3F92"/>
    <w:rsid w:val="008C52FD"/>
    <w:rsid w:val="008C538C"/>
    <w:rsid w:val="008C5CBB"/>
    <w:rsid w:val="008C6243"/>
    <w:rsid w:val="008C646D"/>
    <w:rsid w:val="008C658B"/>
    <w:rsid w:val="008C6952"/>
    <w:rsid w:val="008C6C14"/>
    <w:rsid w:val="008C7449"/>
    <w:rsid w:val="008C77F8"/>
    <w:rsid w:val="008D0C7D"/>
    <w:rsid w:val="008D2073"/>
    <w:rsid w:val="008D211E"/>
    <w:rsid w:val="008D3120"/>
    <w:rsid w:val="008D3265"/>
    <w:rsid w:val="008D3778"/>
    <w:rsid w:val="008D3890"/>
    <w:rsid w:val="008D3B1E"/>
    <w:rsid w:val="008D454B"/>
    <w:rsid w:val="008D45CB"/>
    <w:rsid w:val="008D77CA"/>
    <w:rsid w:val="008D7F03"/>
    <w:rsid w:val="008E0D24"/>
    <w:rsid w:val="008E1584"/>
    <w:rsid w:val="008E1E63"/>
    <w:rsid w:val="008E211A"/>
    <w:rsid w:val="008E21E2"/>
    <w:rsid w:val="008E27F9"/>
    <w:rsid w:val="008E33BD"/>
    <w:rsid w:val="008E6A8F"/>
    <w:rsid w:val="008E75BA"/>
    <w:rsid w:val="008E78E7"/>
    <w:rsid w:val="008F03C1"/>
    <w:rsid w:val="008F17CD"/>
    <w:rsid w:val="008F1FFB"/>
    <w:rsid w:val="008F3632"/>
    <w:rsid w:val="008F3BF4"/>
    <w:rsid w:val="008F3E54"/>
    <w:rsid w:val="008F4CDF"/>
    <w:rsid w:val="008F5066"/>
    <w:rsid w:val="008F6FAD"/>
    <w:rsid w:val="008F731D"/>
    <w:rsid w:val="008F76CA"/>
    <w:rsid w:val="008F7843"/>
    <w:rsid w:val="0090109B"/>
    <w:rsid w:val="0090302A"/>
    <w:rsid w:val="00903229"/>
    <w:rsid w:val="0090392C"/>
    <w:rsid w:val="00903DE2"/>
    <w:rsid w:val="00904A44"/>
    <w:rsid w:val="009050DF"/>
    <w:rsid w:val="009055EB"/>
    <w:rsid w:val="00905693"/>
    <w:rsid w:val="009060B6"/>
    <w:rsid w:val="009063D8"/>
    <w:rsid w:val="0090788F"/>
    <w:rsid w:val="009102B1"/>
    <w:rsid w:val="0091034E"/>
    <w:rsid w:val="00910600"/>
    <w:rsid w:val="00910608"/>
    <w:rsid w:val="009119B0"/>
    <w:rsid w:val="00913A16"/>
    <w:rsid w:val="00913B5C"/>
    <w:rsid w:val="00914598"/>
    <w:rsid w:val="0091582C"/>
    <w:rsid w:val="00916DF3"/>
    <w:rsid w:val="00920D78"/>
    <w:rsid w:val="00922842"/>
    <w:rsid w:val="00922912"/>
    <w:rsid w:val="00922FD3"/>
    <w:rsid w:val="009247C4"/>
    <w:rsid w:val="0092601C"/>
    <w:rsid w:val="00930116"/>
    <w:rsid w:val="009305EE"/>
    <w:rsid w:val="00930B2A"/>
    <w:rsid w:val="00930DDB"/>
    <w:rsid w:val="00931362"/>
    <w:rsid w:val="00931470"/>
    <w:rsid w:val="00932CA5"/>
    <w:rsid w:val="00933856"/>
    <w:rsid w:val="00933D0B"/>
    <w:rsid w:val="00934420"/>
    <w:rsid w:val="0093493E"/>
    <w:rsid w:val="009350FE"/>
    <w:rsid w:val="009354AD"/>
    <w:rsid w:val="00935D5D"/>
    <w:rsid w:val="00935DEE"/>
    <w:rsid w:val="00936020"/>
    <w:rsid w:val="00936144"/>
    <w:rsid w:val="009368FF"/>
    <w:rsid w:val="00937C8C"/>
    <w:rsid w:val="00937DF1"/>
    <w:rsid w:val="00937ED7"/>
    <w:rsid w:val="00940827"/>
    <w:rsid w:val="009426C5"/>
    <w:rsid w:val="00942F25"/>
    <w:rsid w:val="0094334C"/>
    <w:rsid w:val="009438FA"/>
    <w:rsid w:val="009458A1"/>
    <w:rsid w:val="00945D15"/>
    <w:rsid w:val="00946589"/>
    <w:rsid w:val="0094750D"/>
    <w:rsid w:val="009500CD"/>
    <w:rsid w:val="00950E4F"/>
    <w:rsid w:val="0095213C"/>
    <w:rsid w:val="009529B9"/>
    <w:rsid w:val="00953212"/>
    <w:rsid w:val="009533A4"/>
    <w:rsid w:val="009534A8"/>
    <w:rsid w:val="00954CA8"/>
    <w:rsid w:val="00954DDD"/>
    <w:rsid w:val="009557F1"/>
    <w:rsid w:val="0095729B"/>
    <w:rsid w:val="00957AB3"/>
    <w:rsid w:val="00960C5F"/>
    <w:rsid w:val="00961FC9"/>
    <w:rsid w:val="009625B5"/>
    <w:rsid w:val="00963B61"/>
    <w:rsid w:val="00964038"/>
    <w:rsid w:val="009641FA"/>
    <w:rsid w:val="00964389"/>
    <w:rsid w:val="00965237"/>
    <w:rsid w:val="00965A8D"/>
    <w:rsid w:val="00966AAE"/>
    <w:rsid w:val="0097052F"/>
    <w:rsid w:val="009713F2"/>
    <w:rsid w:val="00971DD9"/>
    <w:rsid w:val="009723DF"/>
    <w:rsid w:val="009726F2"/>
    <w:rsid w:val="0097336F"/>
    <w:rsid w:val="009733AB"/>
    <w:rsid w:val="00973FEB"/>
    <w:rsid w:val="00974238"/>
    <w:rsid w:val="00974758"/>
    <w:rsid w:val="0097647B"/>
    <w:rsid w:val="009774F8"/>
    <w:rsid w:val="00977791"/>
    <w:rsid w:val="00980602"/>
    <w:rsid w:val="0098132D"/>
    <w:rsid w:val="00981463"/>
    <w:rsid w:val="00981500"/>
    <w:rsid w:val="009832E1"/>
    <w:rsid w:val="009836C5"/>
    <w:rsid w:val="009850DC"/>
    <w:rsid w:val="009858C1"/>
    <w:rsid w:val="00986138"/>
    <w:rsid w:val="00986722"/>
    <w:rsid w:val="0098719A"/>
    <w:rsid w:val="0098723C"/>
    <w:rsid w:val="009879C6"/>
    <w:rsid w:val="00987B7F"/>
    <w:rsid w:val="00987CB3"/>
    <w:rsid w:val="00990A83"/>
    <w:rsid w:val="0099224F"/>
    <w:rsid w:val="00992322"/>
    <w:rsid w:val="00992F43"/>
    <w:rsid w:val="00993282"/>
    <w:rsid w:val="00994B27"/>
    <w:rsid w:val="00995148"/>
    <w:rsid w:val="009960F4"/>
    <w:rsid w:val="00996C7B"/>
    <w:rsid w:val="009970CA"/>
    <w:rsid w:val="009970F7"/>
    <w:rsid w:val="009976DC"/>
    <w:rsid w:val="009A0308"/>
    <w:rsid w:val="009A0C4F"/>
    <w:rsid w:val="009A0F18"/>
    <w:rsid w:val="009A0F63"/>
    <w:rsid w:val="009A1071"/>
    <w:rsid w:val="009A1356"/>
    <w:rsid w:val="009A18CB"/>
    <w:rsid w:val="009A1F75"/>
    <w:rsid w:val="009A2304"/>
    <w:rsid w:val="009A2FC2"/>
    <w:rsid w:val="009A30BE"/>
    <w:rsid w:val="009A311D"/>
    <w:rsid w:val="009A348F"/>
    <w:rsid w:val="009A34CD"/>
    <w:rsid w:val="009A4508"/>
    <w:rsid w:val="009A4537"/>
    <w:rsid w:val="009A4B45"/>
    <w:rsid w:val="009A6184"/>
    <w:rsid w:val="009A6830"/>
    <w:rsid w:val="009A6C9F"/>
    <w:rsid w:val="009A7A10"/>
    <w:rsid w:val="009B0F2A"/>
    <w:rsid w:val="009B1C6C"/>
    <w:rsid w:val="009B20EE"/>
    <w:rsid w:val="009B4711"/>
    <w:rsid w:val="009B7A51"/>
    <w:rsid w:val="009B7C54"/>
    <w:rsid w:val="009C0394"/>
    <w:rsid w:val="009C0664"/>
    <w:rsid w:val="009C0799"/>
    <w:rsid w:val="009C26E7"/>
    <w:rsid w:val="009C31A7"/>
    <w:rsid w:val="009C3D20"/>
    <w:rsid w:val="009C47ED"/>
    <w:rsid w:val="009C5655"/>
    <w:rsid w:val="009C6491"/>
    <w:rsid w:val="009C6C57"/>
    <w:rsid w:val="009C72DD"/>
    <w:rsid w:val="009D0DCF"/>
    <w:rsid w:val="009D4E3C"/>
    <w:rsid w:val="009D539B"/>
    <w:rsid w:val="009D5638"/>
    <w:rsid w:val="009E017C"/>
    <w:rsid w:val="009E275F"/>
    <w:rsid w:val="009E3DE6"/>
    <w:rsid w:val="009E3E25"/>
    <w:rsid w:val="009E4850"/>
    <w:rsid w:val="009E6C64"/>
    <w:rsid w:val="009E7097"/>
    <w:rsid w:val="009E7B90"/>
    <w:rsid w:val="009F0927"/>
    <w:rsid w:val="009F0DD4"/>
    <w:rsid w:val="009F0EE6"/>
    <w:rsid w:val="009F14E0"/>
    <w:rsid w:val="009F161A"/>
    <w:rsid w:val="009F2084"/>
    <w:rsid w:val="009F23D0"/>
    <w:rsid w:val="009F3378"/>
    <w:rsid w:val="009F34D2"/>
    <w:rsid w:val="009F3B8A"/>
    <w:rsid w:val="009F5E7F"/>
    <w:rsid w:val="009F77B7"/>
    <w:rsid w:val="00A00B5E"/>
    <w:rsid w:val="00A00D9E"/>
    <w:rsid w:val="00A00E42"/>
    <w:rsid w:val="00A01176"/>
    <w:rsid w:val="00A03457"/>
    <w:rsid w:val="00A03A34"/>
    <w:rsid w:val="00A05970"/>
    <w:rsid w:val="00A059F3"/>
    <w:rsid w:val="00A0640B"/>
    <w:rsid w:val="00A0679A"/>
    <w:rsid w:val="00A06A5E"/>
    <w:rsid w:val="00A06BE4"/>
    <w:rsid w:val="00A06C56"/>
    <w:rsid w:val="00A06FF3"/>
    <w:rsid w:val="00A0717C"/>
    <w:rsid w:val="00A075A2"/>
    <w:rsid w:val="00A079D6"/>
    <w:rsid w:val="00A10318"/>
    <w:rsid w:val="00A11951"/>
    <w:rsid w:val="00A122F6"/>
    <w:rsid w:val="00A13819"/>
    <w:rsid w:val="00A14674"/>
    <w:rsid w:val="00A14C3F"/>
    <w:rsid w:val="00A15B73"/>
    <w:rsid w:val="00A16579"/>
    <w:rsid w:val="00A165F0"/>
    <w:rsid w:val="00A16AD1"/>
    <w:rsid w:val="00A204E5"/>
    <w:rsid w:val="00A20DD2"/>
    <w:rsid w:val="00A21523"/>
    <w:rsid w:val="00A21633"/>
    <w:rsid w:val="00A222B5"/>
    <w:rsid w:val="00A22A3A"/>
    <w:rsid w:val="00A235A8"/>
    <w:rsid w:val="00A23793"/>
    <w:rsid w:val="00A24C26"/>
    <w:rsid w:val="00A24D69"/>
    <w:rsid w:val="00A25746"/>
    <w:rsid w:val="00A25F52"/>
    <w:rsid w:val="00A26EB0"/>
    <w:rsid w:val="00A27E36"/>
    <w:rsid w:val="00A31668"/>
    <w:rsid w:val="00A31762"/>
    <w:rsid w:val="00A31ACB"/>
    <w:rsid w:val="00A32A69"/>
    <w:rsid w:val="00A3308C"/>
    <w:rsid w:val="00A34B3B"/>
    <w:rsid w:val="00A3647A"/>
    <w:rsid w:val="00A365ED"/>
    <w:rsid w:val="00A4059A"/>
    <w:rsid w:val="00A40DE1"/>
    <w:rsid w:val="00A417FF"/>
    <w:rsid w:val="00A42249"/>
    <w:rsid w:val="00A44987"/>
    <w:rsid w:val="00A45378"/>
    <w:rsid w:val="00A45E05"/>
    <w:rsid w:val="00A46AD7"/>
    <w:rsid w:val="00A47401"/>
    <w:rsid w:val="00A47E9A"/>
    <w:rsid w:val="00A5013A"/>
    <w:rsid w:val="00A507C7"/>
    <w:rsid w:val="00A509E6"/>
    <w:rsid w:val="00A517FC"/>
    <w:rsid w:val="00A51AF7"/>
    <w:rsid w:val="00A55118"/>
    <w:rsid w:val="00A55346"/>
    <w:rsid w:val="00A55799"/>
    <w:rsid w:val="00A562E8"/>
    <w:rsid w:val="00A5656F"/>
    <w:rsid w:val="00A5722B"/>
    <w:rsid w:val="00A57490"/>
    <w:rsid w:val="00A57919"/>
    <w:rsid w:val="00A57AD9"/>
    <w:rsid w:val="00A60C6F"/>
    <w:rsid w:val="00A6115C"/>
    <w:rsid w:val="00A61638"/>
    <w:rsid w:val="00A61D57"/>
    <w:rsid w:val="00A62920"/>
    <w:rsid w:val="00A62EC4"/>
    <w:rsid w:val="00A630C7"/>
    <w:rsid w:val="00A6310F"/>
    <w:rsid w:val="00A644A9"/>
    <w:rsid w:val="00A65EF4"/>
    <w:rsid w:val="00A66797"/>
    <w:rsid w:val="00A67234"/>
    <w:rsid w:val="00A67807"/>
    <w:rsid w:val="00A70E57"/>
    <w:rsid w:val="00A71398"/>
    <w:rsid w:val="00A7142B"/>
    <w:rsid w:val="00A721F5"/>
    <w:rsid w:val="00A722A1"/>
    <w:rsid w:val="00A72817"/>
    <w:rsid w:val="00A73538"/>
    <w:rsid w:val="00A73952"/>
    <w:rsid w:val="00A73CD0"/>
    <w:rsid w:val="00A75912"/>
    <w:rsid w:val="00A76D29"/>
    <w:rsid w:val="00A80500"/>
    <w:rsid w:val="00A80A30"/>
    <w:rsid w:val="00A81BAD"/>
    <w:rsid w:val="00A81FD8"/>
    <w:rsid w:val="00A82D7C"/>
    <w:rsid w:val="00A8305B"/>
    <w:rsid w:val="00A835F7"/>
    <w:rsid w:val="00A8367C"/>
    <w:rsid w:val="00A83C2E"/>
    <w:rsid w:val="00A83F9B"/>
    <w:rsid w:val="00A855AE"/>
    <w:rsid w:val="00A8587D"/>
    <w:rsid w:val="00A86215"/>
    <w:rsid w:val="00A86668"/>
    <w:rsid w:val="00A87C76"/>
    <w:rsid w:val="00A87F79"/>
    <w:rsid w:val="00A9037E"/>
    <w:rsid w:val="00A90B29"/>
    <w:rsid w:val="00A92028"/>
    <w:rsid w:val="00A921AE"/>
    <w:rsid w:val="00A928C6"/>
    <w:rsid w:val="00A932A3"/>
    <w:rsid w:val="00A933A8"/>
    <w:rsid w:val="00A95621"/>
    <w:rsid w:val="00AA0316"/>
    <w:rsid w:val="00AA09D0"/>
    <w:rsid w:val="00AA12F0"/>
    <w:rsid w:val="00AA22CF"/>
    <w:rsid w:val="00AA2702"/>
    <w:rsid w:val="00AA290E"/>
    <w:rsid w:val="00AA45DC"/>
    <w:rsid w:val="00AA4E23"/>
    <w:rsid w:val="00AA4F7E"/>
    <w:rsid w:val="00AA6084"/>
    <w:rsid w:val="00AA61A7"/>
    <w:rsid w:val="00AB15BE"/>
    <w:rsid w:val="00AB1E2F"/>
    <w:rsid w:val="00AB2D0E"/>
    <w:rsid w:val="00AB45B8"/>
    <w:rsid w:val="00AB45DA"/>
    <w:rsid w:val="00AB4E84"/>
    <w:rsid w:val="00AB7439"/>
    <w:rsid w:val="00AB7552"/>
    <w:rsid w:val="00AC0F13"/>
    <w:rsid w:val="00AC0F17"/>
    <w:rsid w:val="00AC1FF4"/>
    <w:rsid w:val="00AC21BC"/>
    <w:rsid w:val="00AC2A99"/>
    <w:rsid w:val="00AC3842"/>
    <w:rsid w:val="00AC39D7"/>
    <w:rsid w:val="00AC3B10"/>
    <w:rsid w:val="00AC4708"/>
    <w:rsid w:val="00AC4DC4"/>
    <w:rsid w:val="00AC5419"/>
    <w:rsid w:val="00AC66D3"/>
    <w:rsid w:val="00AC6C7F"/>
    <w:rsid w:val="00AC7339"/>
    <w:rsid w:val="00AD15B7"/>
    <w:rsid w:val="00AD1C86"/>
    <w:rsid w:val="00AD2010"/>
    <w:rsid w:val="00AD221A"/>
    <w:rsid w:val="00AD249A"/>
    <w:rsid w:val="00AD311A"/>
    <w:rsid w:val="00AD349C"/>
    <w:rsid w:val="00AD37EF"/>
    <w:rsid w:val="00AD412B"/>
    <w:rsid w:val="00AD5236"/>
    <w:rsid w:val="00AD58F8"/>
    <w:rsid w:val="00AD6B6A"/>
    <w:rsid w:val="00AD7ACE"/>
    <w:rsid w:val="00AD7D36"/>
    <w:rsid w:val="00AE02B1"/>
    <w:rsid w:val="00AE0CB3"/>
    <w:rsid w:val="00AE2C6D"/>
    <w:rsid w:val="00AE2E5E"/>
    <w:rsid w:val="00AE3B3D"/>
    <w:rsid w:val="00AE4605"/>
    <w:rsid w:val="00AE61E5"/>
    <w:rsid w:val="00AE6216"/>
    <w:rsid w:val="00AE6358"/>
    <w:rsid w:val="00AE63D8"/>
    <w:rsid w:val="00AE743E"/>
    <w:rsid w:val="00AE7C80"/>
    <w:rsid w:val="00AF074A"/>
    <w:rsid w:val="00AF07FF"/>
    <w:rsid w:val="00AF1163"/>
    <w:rsid w:val="00AF239E"/>
    <w:rsid w:val="00AF2407"/>
    <w:rsid w:val="00AF28EC"/>
    <w:rsid w:val="00AF2A70"/>
    <w:rsid w:val="00AF31FA"/>
    <w:rsid w:val="00AF373C"/>
    <w:rsid w:val="00AF38B5"/>
    <w:rsid w:val="00AF38C2"/>
    <w:rsid w:val="00AF47B1"/>
    <w:rsid w:val="00AF50E8"/>
    <w:rsid w:val="00AF6529"/>
    <w:rsid w:val="00AF7067"/>
    <w:rsid w:val="00AF7AFA"/>
    <w:rsid w:val="00B003D1"/>
    <w:rsid w:val="00B0047E"/>
    <w:rsid w:val="00B00941"/>
    <w:rsid w:val="00B01B79"/>
    <w:rsid w:val="00B041BA"/>
    <w:rsid w:val="00B04C2A"/>
    <w:rsid w:val="00B04FA0"/>
    <w:rsid w:val="00B05CFF"/>
    <w:rsid w:val="00B07005"/>
    <w:rsid w:val="00B073B8"/>
    <w:rsid w:val="00B0746B"/>
    <w:rsid w:val="00B07635"/>
    <w:rsid w:val="00B076E3"/>
    <w:rsid w:val="00B07F1D"/>
    <w:rsid w:val="00B12140"/>
    <w:rsid w:val="00B124DD"/>
    <w:rsid w:val="00B13D9B"/>
    <w:rsid w:val="00B143FC"/>
    <w:rsid w:val="00B14588"/>
    <w:rsid w:val="00B15367"/>
    <w:rsid w:val="00B1670E"/>
    <w:rsid w:val="00B16749"/>
    <w:rsid w:val="00B176C6"/>
    <w:rsid w:val="00B20397"/>
    <w:rsid w:val="00B21B93"/>
    <w:rsid w:val="00B228E4"/>
    <w:rsid w:val="00B235C6"/>
    <w:rsid w:val="00B241D6"/>
    <w:rsid w:val="00B24221"/>
    <w:rsid w:val="00B24B47"/>
    <w:rsid w:val="00B24F76"/>
    <w:rsid w:val="00B2600D"/>
    <w:rsid w:val="00B30218"/>
    <w:rsid w:val="00B30662"/>
    <w:rsid w:val="00B3349A"/>
    <w:rsid w:val="00B33FE2"/>
    <w:rsid w:val="00B34CC9"/>
    <w:rsid w:val="00B350D5"/>
    <w:rsid w:val="00B35A53"/>
    <w:rsid w:val="00B36F8A"/>
    <w:rsid w:val="00B379CB"/>
    <w:rsid w:val="00B403E0"/>
    <w:rsid w:val="00B42986"/>
    <w:rsid w:val="00B42A08"/>
    <w:rsid w:val="00B42D00"/>
    <w:rsid w:val="00B440F5"/>
    <w:rsid w:val="00B461C8"/>
    <w:rsid w:val="00B501FF"/>
    <w:rsid w:val="00B50E80"/>
    <w:rsid w:val="00B53928"/>
    <w:rsid w:val="00B5409F"/>
    <w:rsid w:val="00B54113"/>
    <w:rsid w:val="00B5418E"/>
    <w:rsid w:val="00B56233"/>
    <w:rsid w:val="00B565EF"/>
    <w:rsid w:val="00B57D34"/>
    <w:rsid w:val="00B60222"/>
    <w:rsid w:val="00B6041A"/>
    <w:rsid w:val="00B606D8"/>
    <w:rsid w:val="00B60C34"/>
    <w:rsid w:val="00B60E1D"/>
    <w:rsid w:val="00B60F4E"/>
    <w:rsid w:val="00B629F5"/>
    <w:rsid w:val="00B62AE6"/>
    <w:rsid w:val="00B6325F"/>
    <w:rsid w:val="00B63650"/>
    <w:rsid w:val="00B639EC"/>
    <w:rsid w:val="00B64166"/>
    <w:rsid w:val="00B6442C"/>
    <w:rsid w:val="00B6569A"/>
    <w:rsid w:val="00B65A2B"/>
    <w:rsid w:val="00B66ACF"/>
    <w:rsid w:val="00B7014D"/>
    <w:rsid w:val="00B71033"/>
    <w:rsid w:val="00B71597"/>
    <w:rsid w:val="00B71A4D"/>
    <w:rsid w:val="00B734D5"/>
    <w:rsid w:val="00B73CD5"/>
    <w:rsid w:val="00B7470B"/>
    <w:rsid w:val="00B7652E"/>
    <w:rsid w:val="00B775E9"/>
    <w:rsid w:val="00B77F30"/>
    <w:rsid w:val="00B80985"/>
    <w:rsid w:val="00B80BE2"/>
    <w:rsid w:val="00B816D8"/>
    <w:rsid w:val="00B82FA8"/>
    <w:rsid w:val="00B8388A"/>
    <w:rsid w:val="00B83CF4"/>
    <w:rsid w:val="00B85705"/>
    <w:rsid w:val="00B858D4"/>
    <w:rsid w:val="00B86A81"/>
    <w:rsid w:val="00B86E84"/>
    <w:rsid w:val="00B86EDE"/>
    <w:rsid w:val="00B877B2"/>
    <w:rsid w:val="00B87B1E"/>
    <w:rsid w:val="00B87B80"/>
    <w:rsid w:val="00B907AE"/>
    <w:rsid w:val="00B90DCD"/>
    <w:rsid w:val="00B91413"/>
    <w:rsid w:val="00B9163E"/>
    <w:rsid w:val="00B91FEE"/>
    <w:rsid w:val="00B93292"/>
    <w:rsid w:val="00B936B5"/>
    <w:rsid w:val="00B93839"/>
    <w:rsid w:val="00B93EF8"/>
    <w:rsid w:val="00B94706"/>
    <w:rsid w:val="00B96F38"/>
    <w:rsid w:val="00B971C4"/>
    <w:rsid w:val="00B97E38"/>
    <w:rsid w:val="00BA0D91"/>
    <w:rsid w:val="00BA1F0E"/>
    <w:rsid w:val="00BA2A77"/>
    <w:rsid w:val="00BA3011"/>
    <w:rsid w:val="00BA3308"/>
    <w:rsid w:val="00BA4BA0"/>
    <w:rsid w:val="00BA5055"/>
    <w:rsid w:val="00BA57F7"/>
    <w:rsid w:val="00BA5D19"/>
    <w:rsid w:val="00BA69F7"/>
    <w:rsid w:val="00BB0679"/>
    <w:rsid w:val="00BB10F2"/>
    <w:rsid w:val="00BB1D8D"/>
    <w:rsid w:val="00BB1DE4"/>
    <w:rsid w:val="00BB384E"/>
    <w:rsid w:val="00BB5FE5"/>
    <w:rsid w:val="00BB6742"/>
    <w:rsid w:val="00BB7544"/>
    <w:rsid w:val="00BB7799"/>
    <w:rsid w:val="00BC15D3"/>
    <w:rsid w:val="00BC184A"/>
    <w:rsid w:val="00BC1E47"/>
    <w:rsid w:val="00BC260B"/>
    <w:rsid w:val="00BC29B0"/>
    <w:rsid w:val="00BC3A3D"/>
    <w:rsid w:val="00BC4CA8"/>
    <w:rsid w:val="00BC520A"/>
    <w:rsid w:val="00BC5473"/>
    <w:rsid w:val="00BC5788"/>
    <w:rsid w:val="00BC6CB5"/>
    <w:rsid w:val="00BD01CB"/>
    <w:rsid w:val="00BD055C"/>
    <w:rsid w:val="00BD1830"/>
    <w:rsid w:val="00BD29B9"/>
    <w:rsid w:val="00BD2C8E"/>
    <w:rsid w:val="00BD569B"/>
    <w:rsid w:val="00BD5B99"/>
    <w:rsid w:val="00BD5E4B"/>
    <w:rsid w:val="00BD6E0C"/>
    <w:rsid w:val="00BD77C5"/>
    <w:rsid w:val="00BE0B69"/>
    <w:rsid w:val="00BE1369"/>
    <w:rsid w:val="00BE1D7F"/>
    <w:rsid w:val="00BE2460"/>
    <w:rsid w:val="00BE34C2"/>
    <w:rsid w:val="00BE34C9"/>
    <w:rsid w:val="00BE3563"/>
    <w:rsid w:val="00BE367D"/>
    <w:rsid w:val="00BE3881"/>
    <w:rsid w:val="00BE3DC3"/>
    <w:rsid w:val="00BE5426"/>
    <w:rsid w:val="00BE575C"/>
    <w:rsid w:val="00BE624A"/>
    <w:rsid w:val="00BE786A"/>
    <w:rsid w:val="00BF0B0A"/>
    <w:rsid w:val="00BF1620"/>
    <w:rsid w:val="00BF1E15"/>
    <w:rsid w:val="00BF1F16"/>
    <w:rsid w:val="00BF3E9E"/>
    <w:rsid w:val="00BF47E3"/>
    <w:rsid w:val="00BF5520"/>
    <w:rsid w:val="00BF609E"/>
    <w:rsid w:val="00BF666A"/>
    <w:rsid w:val="00BF7703"/>
    <w:rsid w:val="00C011D9"/>
    <w:rsid w:val="00C01F1C"/>
    <w:rsid w:val="00C02247"/>
    <w:rsid w:val="00C02D6B"/>
    <w:rsid w:val="00C02D92"/>
    <w:rsid w:val="00C04B66"/>
    <w:rsid w:val="00C05785"/>
    <w:rsid w:val="00C05FB3"/>
    <w:rsid w:val="00C06435"/>
    <w:rsid w:val="00C065D7"/>
    <w:rsid w:val="00C07B9F"/>
    <w:rsid w:val="00C07E8F"/>
    <w:rsid w:val="00C10BCF"/>
    <w:rsid w:val="00C11378"/>
    <w:rsid w:val="00C11915"/>
    <w:rsid w:val="00C12DB0"/>
    <w:rsid w:val="00C13A28"/>
    <w:rsid w:val="00C1545C"/>
    <w:rsid w:val="00C16BE0"/>
    <w:rsid w:val="00C17725"/>
    <w:rsid w:val="00C17D0D"/>
    <w:rsid w:val="00C21611"/>
    <w:rsid w:val="00C22271"/>
    <w:rsid w:val="00C2295F"/>
    <w:rsid w:val="00C23C14"/>
    <w:rsid w:val="00C23FCA"/>
    <w:rsid w:val="00C24F6E"/>
    <w:rsid w:val="00C26996"/>
    <w:rsid w:val="00C26A35"/>
    <w:rsid w:val="00C272D1"/>
    <w:rsid w:val="00C27595"/>
    <w:rsid w:val="00C309CB"/>
    <w:rsid w:val="00C32EF7"/>
    <w:rsid w:val="00C34FF6"/>
    <w:rsid w:val="00C35442"/>
    <w:rsid w:val="00C35479"/>
    <w:rsid w:val="00C35809"/>
    <w:rsid w:val="00C35D94"/>
    <w:rsid w:val="00C36021"/>
    <w:rsid w:val="00C363F8"/>
    <w:rsid w:val="00C367CE"/>
    <w:rsid w:val="00C36C54"/>
    <w:rsid w:val="00C40D7F"/>
    <w:rsid w:val="00C42968"/>
    <w:rsid w:val="00C42CF2"/>
    <w:rsid w:val="00C43314"/>
    <w:rsid w:val="00C4450E"/>
    <w:rsid w:val="00C445E9"/>
    <w:rsid w:val="00C4606C"/>
    <w:rsid w:val="00C46EE1"/>
    <w:rsid w:val="00C50D8B"/>
    <w:rsid w:val="00C50DFB"/>
    <w:rsid w:val="00C512EE"/>
    <w:rsid w:val="00C5156F"/>
    <w:rsid w:val="00C515E6"/>
    <w:rsid w:val="00C51996"/>
    <w:rsid w:val="00C54CA8"/>
    <w:rsid w:val="00C55B4D"/>
    <w:rsid w:val="00C572EF"/>
    <w:rsid w:val="00C578B3"/>
    <w:rsid w:val="00C6094A"/>
    <w:rsid w:val="00C61723"/>
    <w:rsid w:val="00C618B5"/>
    <w:rsid w:val="00C61E5A"/>
    <w:rsid w:val="00C621ED"/>
    <w:rsid w:val="00C62893"/>
    <w:rsid w:val="00C63295"/>
    <w:rsid w:val="00C632C4"/>
    <w:rsid w:val="00C64A47"/>
    <w:rsid w:val="00C64FBF"/>
    <w:rsid w:val="00C65A3E"/>
    <w:rsid w:val="00C6610E"/>
    <w:rsid w:val="00C674D9"/>
    <w:rsid w:val="00C67D2D"/>
    <w:rsid w:val="00C70E1B"/>
    <w:rsid w:val="00C7108C"/>
    <w:rsid w:val="00C711EE"/>
    <w:rsid w:val="00C72214"/>
    <w:rsid w:val="00C72221"/>
    <w:rsid w:val="00C7358D"/>
    <w:rsid w:val="00C73B8D"/>
    <w:rsid w:val="00C74843"/>
    <w:rsid w:val="00C759A7"/>
    <w:rsid w:val="00C77CB7"/>
    <w:rsid w:val="00C81CD3"/>
    <w:rsid w:val="00C82E51"/>
    <w:rsid w:val="00C83AFE"/>
    <w:rsid w:val="00C83FDD"/>
    <w:rsid w:val="00C848E5"/>
    <w:rsid w:val="00C8607B"/>
    <w:rsid w:val="00C860B6"/>
    <w:rsid w:val="00C86DC3"/>
    <w:rsid w:val="00C8782B"/>
    <w:rsid w:val="00C87E64"/>
    <w:rsid w:val="00C902A3"/>
    <w:rsid w:val="00C907EB"/>
    <w:rsid w:val="00C9134D"/>
    <w:rsid w:val="00C916BA"/>
    <w:rsid w:val="00C92BE8"/>
    <w:rsid w:val="00C93261"/>
    <w:rsid w:val="00C93285"/>
    <w:rsid w:val="00C96A6E"/>
    <w:rsid w:val="00C97832"/>
    <w:rsid w:val="00C97F39"/>
    <w:rsid w:val="00C97F75"/>
    <w:rsid w:val="00CA0889"/>
    <w:rsid w:val="00CA17C1"/>
    <w:rsid w:val="00CA2A46"/>
    <w:rsid w:val="00CA32E2"/>
    <w:rsid w:val="00CA39CF"/>
    <w:rsid w:val="00CA3DB5"/>
    <w:rsid w:val="00CA47A2"/>
    <w:rsid w:val="00CA48E2"/>
    <w:rsid w:val="00CA522D"/>
    <w:rsid w:val="00CA5481"/>
    <w:rsid w:val="00CA6062"/>
    <w:rsid w:val="00CA773B"/>
    <w:rsid w:val="00CA7860"/>
    <w:rsid w:val="00CB0518"/>
    <w:rsid w:val="00CB0687"/>
    <w:rsid w:val="00CB15CB"/>
    <w:rsid w:val="00CB1BBC"/>
    <w:rsid w:val="00CB2706"/>
    <w:rsid w:val="00CB3615"/>
    <w:rsid w:val="00CB3EE4"/>
    <w:rsid w:val="00CB3F90"/>
    <w:rsid w:val="00CB6EC2"/>
    <w:rsid w:val="00CC0673"/>
    <w:rsid w:val="00CC209F"/>
    <w:rsid w:val="00CC2C32"/>
    <w:rsid w:val="00CC37D7"/>
    <w:rsid w:val="00CC57A6"/>
    <w:rsid w:val="00CC7584"/>
    <w:rsid w:val="00CD1351"/>
    <w:rsid w:val="00CD19E1"/>
    <w:rsid w:val="00CD19E3"/>
    <w:rsid w:val="00CD209E"/>
    <w:rsid w:val="00CD26E7"/>
    <w:rsid w:val="00CD4703"/>
    <w:rsid w:val="00CD4905"/>
    <w:rsid w:val="00CD5892"/>
    <w:rsid w:val="00CE01E7"/>
    <w:rsid w:val="00CE10F7"/>
    <w:rsid w:val="00CE1831"/>
    <w:rsid w:val="00CE1C2E"/>
    <w:rsid w:val="00CE2636"/>
    <w:rsid w:val="00CE2D54"/>
    <w:rsid w:val="00CE3130"/>
    <w:rsid w:val="00CE35F7"/>
    <w:rsid w:val="00CE3613"/>
    <w:rsid w:val="00CE375F"/>
    <w:rsid w:val="00CE4785"/>
    <w:rsid w:val="00CE4D51"/>
    <w:rsid w:val="00CE5647"/>
    <w:rsid w:val="00CE5A8A"/>
    <w:rsid w:val="00CE6CE9"/>
    <w:rsid w:val="00CE7082"/>
    <w:rsid w:val="00CE7B14"/>
    <w:rsid w:val="00CF08DF"/>
    <w:rsid w:val="00CF1AA1"/>
    <w:rsid w:val="00CF260B"/>
    <w:rsid w:val="00CF28A2"/>
    <w:rsid w:val="00CF2B5B"/>
    <w:rsid w:val="00CF49D4"/>
    <w:rsid w:val="00CF55B7"/>
    <w:rsid w:val="00CF74C2"/>
    <w:rsid w:val="00D00C6D"/>
    <w:rsid w:val="00D01894"/>
    <w:rsid w:val="00D0192A"/>
    <w:rsid w:val="00D023BF"/>
    <w:rsid w:val="00D03654"/>
    <w:rsid w:val="00D0511F"/>
    <w:rsid w:val="00D05B9D"/>
    <w:rsid w:val="00D06231"/>
    <w:rsid w:val="00D0708C"/>
    <w:rsid w:val="00D0739A"/>
    <w:rsid w:val="00D07A16"/>
    <w:rsid w:val="00D1117C"/>
    <w:rsid w:val="00D11B14"/>
    <w:rsid w:val="00D11F9B"/>
    <w:rsid w:val="00D12893"/>
    <w:rsid w:val="00D13C0F"/>
    <w:rsid w:val="00D146CA"/>
    <w:rsid w:val="00D1482C"/>
    <w:rsid w:val="00D157BB"/>
    <w:rsid w:val="00D16221"/>
    <w:rsid w:val="00D16384"/>
    <w:rsid w:val="00D16F49"/>
    <w:rsid w:val="00D170B3"/>
    <w:rsid w:val="00D20AD6"/>
    <w:rsid w:val="00D2175F"/>
    <w:rsid w:val="00D21A3F"/>
    <w:rsid w:val="00D21D3D"/>
    <w:rsid w:val="00D22866"/>
    <w:rsid w:val="00D231D6"/>
    <w:rsid w:val="00D238EE"/>
    <w:rsid w:val="00D23F84"/>
    <w:rsid w:val="00D2411D"/>
    <w:rsid w:val="00D249F9"/>
    <w:rsid w:val="00D25CCF"/>
    <w:rsid w:val="00D26815"/>
    <w:rsid w:val="00D27B32"/>
    <w:rsid w:val="00D30035"/>
    <w:rsid w:val="00D30501"/>
    <w:rsid w:val="00D31F13"/>
    <w:rsid w:val="00D32CEE"/>
    <w:rsid w:val="00D32DC6"/>
    <w:rsid w:val="00D3385B"/>
    <w:rsid w:val="00D338C4"/>
    <w:rsid w:val="00D33F6B"/>
    <w:rsid w:val="00D34221"/>
    <w:rsid w:val="00D34871"/>
    <w:rsid w:val="00D34A46"/>
    <w:rsid w:val="00D35B9A"/>
    <w:rsid w:val="00D367A8"/>
    <w:rsid w:val="00D36C84"/>
    <w:rsid w:val="00D378B7"/>
    <w:rsid w:val="00D37DD0"/>
    <w:rsid w:val="00D37E0E"/>
    <w:rsid w:val="00D40717"/>
    <w:rsid w:val="00D40931"/>
    <w:rsid w:val="00D40956"/>
    <w:rsid w:val="00D40B32"/>
    <w:rsid w:val="00D40CC4"/>
    <w:rsid w:val="00D41452"/>
    <w:rsid w:val="00D42233"/>
    <w:rsid w:val="00D4261D"/>
    <w:rsid w:val="00D433BD"/>
    <w:rsid w:val="00D433DC"/>
    <w:rsid w:val="00D4421D"/>
    <w:rsid w:val="00D451E6"/>
    <w:rsid w:val="00D4566F"/>
    <w:rsid w:val="00D457FA"/>
    <w:rsid w:val="00D46BF8"/>
    <w:rsid w:val="00D4743F"/>
    <w:rsid w:val="00D500A5"/>
    <w:rsid w:val="00D500D2"/>
    <w:rsid w:val="00D50689"/>
    <w:rsid w:val="00D51ED3"/>
    <w:rsid w:val="00D525A3"/>
    <w:rsid w:val="00D5350F"/>
    <w:rsid w:val="00D5376A"/>
    <w:rsid w:val="00D5467D"/>
    <w:rsid w:val="00D55DE1"/>
    <w:rsid w:val="00D5641D"/>
    <w:rsid w:val="00D56AE7"/>
    <w:rsid w:val="00D572D3"/>
    <w:rsid w:val="00D57849"/>
    <w:rsid w:val="00D57D79"/>
    <w:rsid w:val="00D60D3F"/>
    <w:rsid w:val="00D60E43"/>
    <w:rsid w:val="00D60EFE"/>
    <w:rsid w:val="00D61DBC"/>
    <w:rsid w:val="00D62725"/>
    <w:rsid w:val="00D636FC"/>
    <w:rsid w:val="00D651E6"/>
    <w:rsid w:val="00D6586E"/>
    <w:rsid w:val="00D65BE7"/>
    <w:rsid w:val="00D6626D"/>
    <w:rsid w:val="00D66F0E"/>
    <w:rsid w:val="00D67F3B"/>
    <w:rsid w:val="00D704AE"/>
    <w:rsid w:val="00D70F6D"/>
    <w:rsid w:val="00D7264F"/>
    <w:rsid w:val="00D72B3F"/>
    <w:rsid w:val="00D7303B"/>
    <w:rsid w:val="00D73786"/>
    <w:rsid w:val="00D746C8"/>
    <w:rsid w:val="00D747BB"/>
    <w:rsid w:val="00D7497B"/>
    <w:rsid w:val="00D74B1E"/>
    <w:rsid w:val="00D74F42"/>
    <w:rsid w:val="00D75557"/>
    <w:rsid w:val="00D76DCB"/>
    <w:rsid w:val="00D77090"/>
    <w:rsid w:val="00D819B2"/>
    <w:rsid w:val="00D82E90"/>
    <w:rsid w:val="00D82EC8"/>
    <w:rsid w:val="00D83EA9"/>
    <w:rsid w:val="00D83F98"/>
    <w:rsid w:val="00D8438F"/>
    <w:rsid w:val="00D84789"/>
    <w:rsid w:val="00D85C78"/>
    <w:rsid w:val="00D86761"/>
    <w:rsid w:val="00D86C77"/>
    <w:rsid w:val="00D86F3C"/>
    <w:rsid w:val="00D87150"/>
    <w:rsid w:val="00D9075F"/>
    <w:rsid w:val="00D925D7"/>
    <w:rsid w:val="00D92CB3"/>
    <w:rsid w:val="00D94432"/>
    <w:rsid w:val="00D94826"/>
    <w:rsid w:val="00D96C43"/>
    <w:rsid w:val="00D972B6"/>
    <w:rsid w:val="00DA06FE"/>
    <w:rsid w:val="00DA081A"/>
    <w:rsid w:val="00DA11D9"/>
    <w:rsid w:val="00DA18C3"/>
    <w:rsid w:val="00DA2B93"/>
    <w:rsid w:val="00DA3548"/>
    <w:rsid w:val="00DA36D7"/>
    <w:rsid w:val="00DA3BA0"/>
    <w:rsid w:val="00DA3ED6"/>
    <w:rsid w:val="00DA629F"/>
    <w:rsid w:val="00DA6373"/>
    <w:rsid w:val="00DA6B16"/>
    <w:rsid w:val="00DA7DA3"/>
    <w:rsid w:val="00DB0192"/>
    <w:rsid w:val="00DB04F9"/>
    <w:rsid w:val="00DB14DA"/>
    <w:rsid w:val="00DB14F4"/>
    <w:rsid w:val="00DB167F"/>
    <w:rsid w:val="00DB206C"/>
    <w:rsid w:val="00DB286D"/>
    <w:rsid w:val="00DB31B3"/>
    <w:rsid w:val="00DB3428"/>
    <w:rsid w:val="00DB403D"/>
    <w:rsid w:val="00DB5054"/>
    <w:rsid w:val="00DB5F58"/>
    <w:rsid w:val="00DB698F"/>
    <w:rsid w:val="00DB6C8A"/>
    <w:rsid w:val="00DB6FED"/>
    <w:rsid w:val="00DC078C"/>
    <w:rsid w:val="00DC2C75"/>
    <w:rsid w:val="00DC31A7"/>
    <w:rsid w:val="00DC3EAC"/>
    <w:rsid w:val="00DC3EF8"/>
    <w:rsid w:val="00DC60E6"/>
    <w:rsid w:val="00DD285B"/>
    <w:rsid w:val="00DD2898"/>
    <w:rsid w:val="00DD6BAB"/>
    <w:rsid w:val="00DE0757"/>
    <w:rsid w:val="00DE0DE9"/>
    <w:rsid w:val="00DE1DAC"/>
    <w:rsid w:val="00DE21F9"/>
    <w:rsid w:val="00DE225B"/>
    <w:rsid w:val="00DE22A0"/>
    <w:rsid w:val="00DE3DBB"/>
    <w:rsid w:val="00DE4A7D"/>
    <w:rsid w:val="00DE4B6D"/>
    <w:rsid w:val="00DE533A"/>
    <w:rsid w:val="00DE561D"/>
    <w:rsid w:val="00DE57E0"/>
    <w:rsid w:val="00DE5F8B"/>
    <w:rsid w:val="00DE6478"/>
    <w:rsid w:val="00DE7CF0"/>
    <w:rsid w:val="00DF02E2"/>
    <w:rsid w:val="00DF2AB0"/>
    <w:rsid w:val="00DF386F"/>
    <w:rsid w:val="00DF399E"/>
    <w:rsid w:val="00DF4561"/>
    <w:rsid w:val="00DF4B3D"/>
    <w:rsid w:val="00DF4C68"/>
    <w:rsid w:val="00DF50C1"/>
    <w:rsid w:val="00DF5CCC"/>
    <w:rsid w:val="00DF5E08"/>
    <w:rsid w:val="00DF6A40"/>
    <w:rsid w:val="00E00343"/>
    <w:rsid w:val="00E0191D"/>
    <w:rsid w:val="00E01D1B"/>
    <w:rsid w:val="00E02F0C"/>
    <w:rsid w:val="00E0312E"/>
    <w:rsid w:val="00E04581"/>
    <w:rsid w:val="00E04A1D"/>
    <w:rsid w:val="00E05086"/>
    <w:rsid w:val="00E0570F"/>
    <w:rsid w:val="00E05F6D"/>
    <w:rsid w:val="00E06727"/>
    <w:rsid w:val="00E1078E"/>
    <w:rsid w:val="00E107B9"/>
    <w:rsid w:val="00E117D4"/>
    <w:rsid w:val="00E1182A"/>
    <w:rsid w:val="00E1269E"/>
    <w:rsid w:val="00E12ACC"/>
    <w:rsid w:val="00E12CB2"/>
    <w:rsid w:val="00E13222"/>
    <w:rsid w:val="00E14F90"/>
    <w:rsid w:val="00E15464"/>
    <w:rsid w:val="00E16E15"/>
    <w:rsid w:val="00E210C8"/>
    <w:rsid w:val="00E21B42"/>
    <w:rsid w:val="00E22746"/>
    <w:rsid w:val="00E2320D"/>
    <w:rsid w:val="00E23844"/>
    <w:rsid w:val="00E245EC"/>
    <w:rsid w:val="00E25823"/>
    <w:rsid w:val="00E26A39"/>
    <w:rsid w:val="00E30DFE"/>
    <w:rsid w:val="00E31342"/>
    <w:rsid w:val="00E31C80"/>
    <w:rsid w:val="00E321B3"/>
    <w:rsid w:val="00E3350C"/>
    <w:rsid w:val="00E33893"/>
    <w:rsid w:val="00E33B92"/>
    <w:rsid w:val="00E342AE"/>
    <w:rsid w:val="00E35091"/>
    <w:rsid w:val="00E359D7"/>
    <w:rsid w:val="00E35E17"/>
    <w:rsid w:val="00E3625A"/>
    <w:rsid w:val="00E36D66"/>
    <w:rsid w:val="00E36D9A"/>
    <w:rsid w:val="00E36F0F"/>
    <w:rsid w:val="00E36F4A"/>
    <w:rsid w:val="00E37D0F"/>
    <w:rsid w:val="00E4020C"/>
    <w:rsid w:val="00E40F31"/>
    <w:rsid w:val="00E4190F"/>
    <w:rsid w:val="00E41E9C"/>
    <w:rsid w:val="00E41F55"/>
    <w:rsid w:val="00E424E1"/>
    <w:rsid w:val="00E427DB"/>
    <w:rsid w:val="00E43797"/>
    <w:rsid w:val="00E4417C"/>
    <w:rsid w:val="00E44315"/>
    <w:rsid w:val="00E451F0"/>
    <w:rsid w:val="00E45B24"/>
    <w:rsid w:val="00E50562"/>
    <w:rsid w:val="00E50C25"/>
    <w:rsid w:val="00E5352E"/>
    <w:rsid w:val="00E53937"/>
    <w:rsid w:val="00E53FA7"/>
    <w:rsid w:val="00E54D0A"/>
    <w:rsid w:val="00E553C8"/>
    <w:rsid w:val="00E57A2D"/>
    <w:rsid w:val="00E6043D"/>
    <w:rsid w:val="00E635C4"/>
    <w:rsid w:val="00E63710"/>
    <w:rsid w:val="00E650E8"/>
    <w:rsid w:val="00E66916"/>
    <w:rsid w:val="00E672EE"/>
    <w:rsid w:val="00E67566"/>
    <w:rsid w:val="00E6785D"/>
    <w:rsid w:val="00E71CF6"/>
    <w:rsid w:val="00E726EE"/>
    <w:rsid w:val="00E73D5F"/>
    <w:rsid w:val="00E747EE"/>
    <w:rsid w:val="00E74F51"/>
    <w:rsid w:val="00E7536E"/>
    <w:rsid w:val="00E75FBE"/>
    <w:rsid w:val="00E75FCD"/>
    <w:rsid w:val="00E76597"/>
    <w:rsid w:val="00E76939"/>
    <w:rsid w:val="00E77153"/>
    <w:rsid w:val="00E77B8B"/>
    <w:rsid w:val="00E80B1A"/>
    <w:rsid w:val="00E83602"/>
    <w:rsid w:val="00E84931"/>
    <w:rsid w:val="00E85129"/>
    <w:rsid w:val="00E8595F"/>
    <w:rsid w:val="00E866E9"/>
    <w:rsid w:val="00E86E68"/>
    <w:rsid w:val="00E87B49"/>
    <w:rsid w:val="00E87D8E"/>
    <w:rsid w:val="00E90B43"/>
    <w:rsid w:val="00E91DDF"/>
    <w:rsid w:val="00E92A82"/>
    <w:rsid w:val="00E944BC"/>
    <w:rsid w:val="00E94676"/>
    <w:rsid w:val="00EA0047"/>
    <w:rsid w:val="00EA0F11"/>
    <w:rsid w:val="00EA13FC"/>
    <w:rsid w:val="00EA164B"/>
    <w:rsid w:val="00EA2A9F"/>
    <w:rsid w:val="00EA3D39"/>
    <w:rsid w:val="00EA41A6"/>
    <w:rsid w:val="00EA4C48"/>
    <w:rsid w:val="00EA4FD6"/>
    <w:rsid w:val="00EA543D"/>
    <w:rsid w:val="00EA5FE8"/>
    <w:rsid w:val="00EA648F"/>
    <w:rsid w:val="00EA6A14"/>
    <w:rsid w:val="00EA7023"/>
    <w:rsid w:val="00EA741D"/>
    <w:rsid w:val="00EB0554"/>
    <w:rsid w:val="00EB0B1D"/>
    <w:rsid w:val="00EB0B97"/>
    <w:rsid w:val="00EB0DD9"/>
    <w:rsid w:val="00EB1904"/>
    <w:rsid w:val="00EB2ECD"/>
    <w:rsid w:val="00EB3835"/>
    <w:rsid w:val="00EB38ED"/>
    <w:rsid w:val="00EB5035"/>
    <w:rsid w:val="00EB60E3"/>
    <w:rsid w:val="00EB7BF0"/>
    <w:rsid w:val="00EC0C93"/>
    <w:rsid w:val="00EC2867"/>
    <w:rsid w:val="00EC387C"/>
    <w:rsid w:val="00EC43C6"/>
    <w:rsid w:val="00EC522F"/>
    <w:rsid w:val="00EC54FF"/>
    <w:rsid w:val="00EC640F"/>
    <w:rsid w:val="00EC6E58"/>
    <w:rsid w:val="00ED09E3"/>
    <w:rsid w:val="00ED0D90"/>
    <w:rsid w:val="00ED193F"/>
    <w:rsid w:val="00ED1C9A"/>
    <w:rsid w:val="00ED2693"/>
    <w:rsid w:val="00ED2FB6"/>
    <w:rsid w:val="00ED3B18"/>
    <w:rsid w:val="00ED6288"/>
    <w:rsid w:val="00ED684E"/>
    <w:rsid w:val="00ED69FC"/>
    <w:rsid w:val="00EE1256"/>
    <w:rsid w:val="00EE1A2E"/>
    <w:rsid w:val="00EE2162"/>
    <w:rsid w:val="00EE2568"/>
    <w:rsid w:val="00EE329A"/>
    <w:rsid w:val="00EE4792"/>
    <w:rsid w:val="00EE5BCC"/>
    <w:rsid w:val="00EE6471"/>
    <w:rsid w:val="00EE68A8"/>
    <w:rsid w:val="00EE7A9D"/>
    <w:rsid w:val="00EF1E99"/>
    <w:rsid w:val="00EF3365"/>
    <w:rsid w:val="00EF3D88"/>
    <w:rsid w:val="00EF478C"/>
    <w:rsid w:val="00EF5563"/>
    <w:rsid w:val="00EF616A"/>
    <w:rsid w:val="00F0042B"/>
    <w:rsid w:val="00F00A1A"/>
    <w:rsid w:val="00F01B15"/>
    <w:rsid w:val="00F022D3"/>
    <w:rsid w:val="00F03B49"/>
    <w:rsid w:val="00F05B12"/>
    <w:rsid w:val="00F0611B"/>
    <w:rsid w:val="00F06698"/>
    <w:rsid w:val="00F06FE9"/>
    <w:rsid w:val="00F07092"/>
    <w:rsid w:val="00F07920"/>
    <w:rsid w:val="00F07E78"/>
    <w:rsid w:val="00F100A3"/>
    <w:rsid w:val="00F10E38"/>
    <w:rsid w:val="00F11021"/>
    <w:rsid w:val="00F12EA2"/>
    <w:rsid w:val="00F12FE3"/>
    <w:rsid w:val="00F135D7"/>
    <w:rsid w:val="00F14A9F"/>
    <w:rsid w:val="00F1531A"/>
    <w:rsid w:val="00F16AD0"/>
    <w:rsid w:val="00F20281"/>
    <w:rsid w:val="00F208C7"/>
    <w:rsid w:val="00F218E6"/>
    <w:rsid w:val="00F220DF"/>
    <w:rsid w:val="00F23023"/>
    <w:rsid w:val="00F23079"/>
    <w:rsid w:val="00F230FD"/>
    <w:rsid w:val="00F242A8"/>
    <w:rsid w:val="00F24E8F"/>
    <w:rsid w:val="00F24EFE"/>
    <w:rsid w:val="00F25AB4"/>
    <w:rsid w:val="00F2621B"/>
    <w:rsid w:val="00F26426"/>
    <w:rsid w:val="00F266CF"/>
    <w:rsid w:val="00F26C6B"/>
    <w:rsid w:val="00F30720"/>
    <w:rsid w:val="00F30F2A"/>
    <w:rsid w:val="00F31838"/>
    <w:rsid w:val="00F32CE8"/>
    <w:rsid w:val="00F3364C"/>
    <w:rsid w:val="00F33F73"/>
    <w:rsid w:val="00F341C0"/>
    <w:rsid w:val="00F351DB"/>
    <w:rsid w:val="00F36063"/>
    <w:rsid w:val="00F3617E"/>
    <w:rsid w:val="00F361C2"/>
    <w:rsid w:val="00F363AF"/>
    <w:rsid w:val="00F369BA"/>
    <w:rsid w:val="00F37271"/>
    <w:rsid w:val="00F40A67"/>
    <w:rsid w:val="00F40AB1"/>
    <w:rsid w:val="00F4254A"/>
    <w:rsid w:val="00F42F0C"/>
    <w:rsid w:val="00F44489"/>
    <w:rsid w:val="00F44FAB"/>
    <w:rsid w:val="00F454BD"/>
    <w:rsid w:val="00F45FFA"/>
    <w:rsid w:val="00F461CB"/>
    <w:rsid w:val="00F462FA"/>
    <w:rsid w:val="00F46693"/>
    <w:rsid w:val="00F46C33"/>
    <w:rsid w:val="00F47F56"/>
    <w:rsid w:val="00F50CE6"/>
    <w:rsid w:val="00F5113C"/>
    <w:rsid w:val="00F5149F"/>
    <w:rsid w:val="00F52A58"/>
    <w:rsid w:val="00F52CCE"/>
    <w:rsid w:val="00F5335C"/>
    <w:rsid w:val="00F541B7"/>
    <w:rsid w:val="00F57084"/>
    <w:rsid w:val="00F572F6"/>
    <w:rsid w:val="00F60530"/>
    <w:rsid w:val="00F6356D"/>
    <w:rsid w:val="00F6395A"/>
    <w:rsid w:val="00F63AF8"/>
    <w:rsid w:val="00F65FF3"/>
    <w:rsid w:val="00F66BCB"/>
    <w:rsid w:val="00F70B58"/>
    <w:rsid w:val="00F70E24"/>
    <w:rsid w:val="00F72965"/>
    <w:rsid w:val="00F74412"/>
    <w:rsid w:val="00F74F00"/>
    <w:rsid w:val="00F753E9"/>
    <w:rsid w:val="00F75A4D"/>
    <w:rsid w:val="00F760EF"/>
    <w:rsid w:val="00F76694"/>
    <w:rsid w:val="00F770A2"/>
    <w:rsid w:val="00F806BF"/>
    <w:rsid w:val="00F81AE4"/>
    <w:rsid w:val="00F82001"/>
    <w:rsid w:val="00F82AF7"/>
    <w:rsid w:val="00F83391"/>
    <w:rsid w:val="00F83A20"/>
    <w:rsid w:val="00F83E56"/>
    <w:rsid w:val="00F8401C"/>
    <w:rsid w:val="00F8402A"/>
    <w:rsid w:val="00F85146"/>
    <w:rsid w:val="00F8677B"/>
    <w:rsid w:val="00F87346"/>
    <w:rsid w:val="00F874C9"/>
    <w:rsid w:val="00F9072D"/>
    <w:rsid w:val="00F91301"/>
    <w:rsid w:val="00F91419"/>
    <w:rsid w:val="00F91641"/>
    <w:rsid w:val="00F918AB"/>
    <w:rsid w:val="00F9276E"/>
    <w:rsid w:val="00F9282E"/>
    <w:rsid w:val="00F92AF5"/>
    <w:rsid w:val="00F92D73"/>
    <w:rsid w:val="00F92F94"/>
    <w:rsid w:val="00F93522"/>
    <w:rsid w:val="00F94132"/>
    <w:rsid w:val="00F9428F"/>
    <w:rsid w:val="00F94441"/>
    <w:rsid w:val="00F960E3"/>
    <w:rsid w:val="00F9646C"/>
    <w:rsid w:val="00F96B84"/>
    <w:rsid w:val="00FA0252"/>
    <w:rsid w:val="00FA08A0"/>
    <w:rsid w:val="00FA2222"/>
    <w:rsid w:val="00FA2AEA"/>
    <w:rsid w:val="00FA2E94"/>
    <w:rsid w:val="00FA5B40"/>
    <w:rsid w:val="00FA67D7"/>
    <w:rsid w:val="00FA7013"/>
    <w:rsid w:val="00FA7056"/>
    <w:rsid w:val="00FB0568"/>
    <w:rsid w:val="00FB4856"/>
    <w:rsid w:val="00FB69A1"/>
    <w:rsid w:val="00FB6C6B"/>
    <w:rsid w:val="00FB70BE"/>
    <w:rsid w:val="00FB720B"/>
    <w:rsid w:val="00FB749D"/>
    <w:rsid w:val="00FC06E9"/>
    <w:rsid w:val="00FC2221"/>
    <w:rsid w:val="00FC2D0E"/>
    <w:rsid w:val="00FC30FF"/>
    <w:rsid w:val="00FC42F0"/>
    <w:rsid w:val="00FC480C"/>
    <w:rsid w:val="00FC4C0C"/>
    <w:rsid w:val="00FC5CA9"/>
    <w:rsid w:val="00FC740C"/>
    <w:rsid w:val="00FD00AA"/>
    <w:rsid w:val="00FD0397"/>
    <w:rsid w:val="00FD0909"/>
    <w:rsid w:val="00FD1D7F"/>
    <w:rsid w:val="00FD1F21"/>
    <w:rsid w:val="00FD2D1C"/>
    <w:rsid w:val="00FD2D36"/>
    <w:rsid w:val="00FD3553"/>
    <w:rsid w:val="00FD397F"/>
    <w:rsid w:val="00FD4498"/>
    <w:rsid w:val="00FD4689"/>
    <w:rsid w:val="00FD49A7"/>
    <w:rsid w:val="00FD4C86"/>
    <w:rsid w:val="00FD4CE6"/>
    <w:rsid w:val="00FD508D"/>
    <w:rsid w:val="00FD50D9"/>
    <w:rsid w:val="00FD5A26"/>
    <w:rsid w:val="00FD5D29"/>
    <w:rsid w:val="00FE0A89"/>
    <w:rsid w:val="00FE1131"/>
    <w:rsid w:val="00FE123C"/>
    <w:rsid w:val="00FE32B9"/>
    <w:rsid w:val="00FE4347"/>
    <w:rsid w:val="00FE528A"/>
    <w:rsid w:val="00FE726D"/>
    <w:rsid w:val="00FE7392"/>
    <w:rsid w:val="00FF03B2"/>
    <w:rsid w:val="00FF14BC"/>
    <w:rsid w:val="00FF2C15"/>
    <w:rsid w:val="00FF2E9E"/>
    <w:rsid w:val="00FF35E0"/>
    <w:rsid w:val="00FF4ADB"/>
    <w:rsid w:val="00FF4E97"/>
    <w:rsid w:val="00FF6441"/>
    <w:rsid w:val="013F53E1"/>
    <w:rsid w:val="0184B5EA"/>
    <w:rsid w:val="01AC1F9D"/>
    <w:rsid w:val="01EFC2DB"/>
    <w:rsid w:val="0271F2CE"/>
    <w:rsid w:val="0396087C"/>
    <w:rsid w:val="03999F22"/>
    <w:rsid w:val="039E1516"/>
    <w:rsid w:val="043265AB"/>
    <w:rsid w:val="04330982"/>
    <w:rsid w:val="043754D7"/>
    <w:rsid w:val="043DFC3A"/>
    <w:rsid w:val="04821931"/>
    <w:rsid w:val="04944F6C"/>
    <w:rsid w:val="04A39F04"/>
    <w:rsid w:val="04D52AB8"/>
    <w:rsid w:val="050E78A0"/>
    <w:rsid w:val="055B3DCD"/>
    <w:rsid w:val="05A359AB"/>
    <w:rsid w:val="06435AE6"/>
    <w:rsid w:val="065D9FD5"/>
    <w:rsid w:val="06702183"/>
    <w:rsid w:val="06BF157F"/>
    <w:rsid w:val="06FE7EB0"/>
    <w:rsid w:val="07AC355B"/>
    <w:rsid w:val="07F18BE5"/>
    <w:rsid w:val="08927B7F"/>
    <w:rsid w:val="090CE243"/>
    <w:rsid w:val="09205A33"/>
    <w:rsid w:val="0A001C16"/>
    <w:rsid w:val="0A2A88B6"/>
    <w:rsid w:val="0A3C8280"/>
    <w:rsid w:val="0A9D4D07"/>
    <w:rsid w:val="0AA121F9"/>
    <w:rsid w:val="0B4B4678"/>
    <w:rsid w:val="0B633DAF"/>
    <w:rsid w:val="0BD5164F"/>
    <w:rsid w:val="0C16D82A"/>
    <w:rsid w:val="0C2ED366"/>
    <w:rsid w:val="0C30DB03"/>
    <w:rsid w:val="0C9382C8"/>
    <w:rsid w:val="0CF50881"/>
    <w:rsid w:val="0D6F93C3"/>
    <w:rsid w:val="0D88E01D"/>
    <w:rsid w:val="0DC6FF8E"/>
    <w:rsid w:val="0E04E282"/>
    <w:rsid w:val="0E4AB434"/>
    <w:rsid w:val="0E822B72"/>
    <w:rsid w:val="0EDEC4D0"/>
    <w:rsid w:val="0F20A419"/>
    <w:rsid w:val="0F3E7ED8"/>
    <w:rsid w:val="0F5BDBEB"/>
    <w:rsid w:val="0F7BE452"/>
    <w:rsid w:val="0FA9C5ED"/>
    <w:rsid w:val="0FD6C66B"/>
    <w:rsid w:val="0FDCBDFD"/>
    <w:rsid w:val="1033EE73"/>
    <w:rsid w:val="10AE0036"/>
    <w:rsid w:val="10E8AD14"/>
    <w:rsid w:val="110C5949"/>
    <w:rsid w:val="11EC8571"/>
    <w:rsid w:val="11F52B3F"/>
    <w:rsid w:val="12158E7D"/>
    <w:rsid w:val="124C97ED"/>
    <w:rsid w:val="12595EEF"/>
    <w:rsid w:val="12662288"/>
    <w:rsid w:val="12A8FD31"/>
    <w:rsid w:val="12C3C60C"/>
    <w:rsid w:val="1341143A"/>
    <w:rsid w:val="13723EC9"/>
    <w:rsid w:val="13A78230"/>
    <w:rsid w:val="140AE89B"/>
    <w:rsid w:val="142328BB"/>
    <w:rsid w:val="149F7DC6"/>
    <w:rsid w:val="14A45E39"/>
    <w:rsid w:val="15281610"/>
    <w:rsid w:val="153252FC"/>
    <w:rsid w:val="1598F979"/>
    <w:rsid w:val="15A88156"/>
    <w:rsid w:val="175EBB36"/>
    <w:rsid w:val="17ADA8FF"/>
    <w:rsid w:val="18202C8A"/>
    <w:rsid w:val="1856298B"/>
    <w:rsid w:val="185B7678"/>
    <w:rsid w:val="1868F026"/>
    <w:rsid w:val="18991F3B"/>
    <w:rsid w:val="18F42961"/>
    <w:rsid w:val="1967528A"/>
    <w:rsid w:val="19FA8911"/>
    <w:rsid w:val="1A623026"/>
    <w:rsid w:val="1A698F71"/>
    <w:rsid w:val="1AD1EE3E"/>
    <w:rsid w:val="1AF9DBFB"/>
    <w:rsid w:val="1B688F26"/>
    <w:rsid w:val="1BC40A35"/>
    <w:rsid w:val="1BCCE871"/>
    <w:rsid w:val="1BE4C048"/>
    <w:rsid w:val="1C00DB86"/>
    <w:rsid w:val="1C26A8B5"/>
    <w:rsid w:val="1C52905B"/>
    <w:rsid w:val="1C68BDF5"/>
    <w:rsid w:val="1CD80894"/>
    <w:rsid w:val="1CDDAE96"/>
    <w:rsid w:val="1D32582A"/>
    <w:rsid w:val="1D325B57"/>
    <w:rsid w:val="1D38C656"/>
    <w:rsid w:val="1D5BFE11"/>
    <w:rsid w:val="1D71466E"/>
    <w:rsid w:val="1D8CD7F1"/>
    <w:rsid w:val="1D9CB9E3"/>
    <w:rsid w:val="1DD19AD8"/>
    <w:rsid w:val="1E0A49D5"/>
    <w:rsid w:val="1E314FFD"/>
    <w:rsid w:val="1E64C2EE"/>
    <w:rsid w:val="1EE4D56F"/>
    <w:rsid w:val="1F136F2A"/>
    <w:rsid w:val="1F71A823"/>
    <w:rsid w:val="1FAECA1E"/>
    <w:rsid w:val="2044598B"/>
    <w:rsid w:val="204D5ACF"/>
    <w:rsid w:val="20F9722D"/>
    <w:rsid w:val="2106D403"/>
    <w:rsid w:val="212BE352"/>
    <w:rsid w:val="21662EA9"/>
    <w:rsid w:val="219A8DE8"/>
    <w:rsid w:val="21A08A7E"/>
    <w:rsid w:val="21B074C1"/>
    <w:rsid w:val="2285E961"/>
    <w:rsid w:val="22A1B5C8"/>
    <w:rsid w:val="22A4C28E"/>
    <w:rsid w:val="22BB8FE8"/>
    <w:rsid w:val="22BE86EB"/>
    <w:rsid w:val="2302F8E3"/>
    <w:rsid w:val="230E96BB"/>
    <w:rsid w:val="233152DE"/>
    <w:rsid w:val="247CCA10"/>
    <w:rsid w:val="247ED65A"/>
    <w:rsid w:val="249C22F8"/>
    <w:rsid w:val="24A496BE"/>
    <w:rsid w:val="24A55C54"/>
    <w:rsid w:val="24C8FDE4"/>
    <w:rsid w:val="24EDD60F"/>
    <w:rsid w:val="25069E3E"/>
    <w:rsid w:val="251846BB"/>
    <w:rsid w:val="25376FFF"/>
    <w:rsid w:val="255ECCD5"/>
    <w:rsid w:val="2585C560"/>
    <w:rsid w:val="25DEED4E"/>
    <w:rsid w:val="25F67839"/>
    <w:rsid w:val="260BA186"/>
    <w:rsid w:val="26249E34"/>
    <w:rsid w:val="26514CDA"/>
    <w:rsid w:val="265538F3"/>
    <w:rsid w:val="271CB5FE"/>
    <w:rsid w:val="272E7626"/>
    <w:rsid w:val="27357E8E"/>
    <w:rsid w:val="27662662"/>
    <w:rsid w:val="2788BBB9"/>
    <w:rsid w:val="279A8597"/>
    <w:rsid w:val="27AAB768"/>
    <w:rsid w:val="28358E50"/>
    <w:rsid w:val="2885E797"/>
    <w:rsid w:val="28BD2ED1"/>
    <w:rsid w:val="28BFF0F5"/>
    <w:rsid w:val="28F20451"/>
    <w:rsid w:val="29980C36"/>
    <w:rsid w:val="299A7868"/>
    <w:rsid w:val="29EC1F85"/>
    <w:rsid w:val="2A327102"/>
    <w:rsid w:val="2A4EE3CE"/>
    <w:rsid w:val="2AAED99C"/>
    <w:rsid w:val="2B2D61D6"/>
    <w:rsid w:val="2B3D51D4"/>
    <w:rsid w:val="2B5B62EE"/>
    <w:rsid w:val="2B9EF89E"/>
    <w:rsid w:val="2BB05670"/>
    <w:rsid w:val="2C53F95D"/>
    <w:rsid w:val="2C6D00EB"/>
    <w:rsid w:val="2CA40499"/>
    <w:rsid w:val="2CA43D90"/>
    <w:rsid w:val="2CCE2FEE"/>
    <w:rsid w:val="2D1A593E"/>
    <w:rsid w:val="2D2718D4"/>
    <w:rsid w:val="2D46D087"/>
    <w:rsid w:val="2D536381"/>
    <w:rsid w:val="2D870872"/>
    <w:rsid w:val="2D986274"/>
    <w:rsid w:val="2D9E92D4"/>
    <w:rsid w:val="2DB0A791"/>
    <w:rsid w:val="2DC8D020"/>
    <w:rsid w:val="2DD8A204"/>
    <w:rsid w:val="2DFEFA7F"/>
    <w:rsid w:val="2E40A719"/>
    <w:rsid w:val="2E8E2A08"/>
    <w:rsid w:val="2EF6F310"/>
    <w:rsid w:val="2EFBF4AD"/>
    <w:rsid w:val="2F20C0DE"/>
    <w:rsid w:val="2F7ED403"/>
    <w:rsid w:val="309D2D85"/>
    <w:rsid w:val="315DC65B"/>
    <w:rsid w:val="3195E3A1"/>
    <w:rsid w:val="31A5DDF4"/>
    <w:rsid w:val="31EFAAFB"/>
    <w:rsid w:val="323A9125"/>
    <w:rsid w:val="32C6DF2F"/>
    <w:rsid w:val="32CDCD8F"/>
    <w:rsid w:val="33831CC7"/>
    <w:rsid w:val="3396BB81"/>
    <w:rsid w:val="33B445C3"/>
    <w:rsid w:val="33D2D4C7"/>
    <w:rsid w:val="3422A97D"/>
    <w:rsid w:val="34433B9A"/>
    <w:rsid w:val="34669252"/>
    <w:rsid w:val="347BBEE4"/>
    <w:rsid w:val="348C4C37"/>
    <w:rsid w:val="34A136BE"/>
    <w:rsid w:val="34B052FC"/>
    <w:rsid w:val="3534843A"/>
    <w:rsid w:val="3591C516"/>
    <w:rsid w:val="35AD6C1A"/>
    <w:rsid w:val="35EFC996"/>
    <w:rsid w:val="360366CF"/>
    <w:rsid w:val="360F6945"/>
    <w:rsid w:val="362385A0"/>
    <w:rsid w:val="362E2BB6"/>
    <w:rsid w:val="365AB5D0"/>
    <w:rsid w:val="36C3C558"/>
    <w:rsid w:val="36D98974"/>
    <w:rsid w:val="374B5997"/>
    <w:rsid w:val="375996B8"/>
    <w:rsid w:val="37869190"/>
    <w:rsid w:val="37F2D8D3"/>
    <w:rsid w:val="3825A79F"/>
    <w:rsid w:val="38A97B69"/>
    <w:rsid w:val="3915F067"/>
    <w:rsid w:val="39839312"/>
    <w:rsid w:val="398924A9"/>
    <w:rsid w:val="39CBAEFA"/>
    <w:rsid w:val="3A25A447"/>
    <w:rsid w:val="3B0D7051"/>
    <w:rsid w:val="3B80C20C"/>
    <w:rsid w:val="3BC53119"/>
    <w:rsid w:val="3C144FEA"/>
    <w:rsid w:val="3C9C2233"/>
    <w:rsid w:val="3CDE0DBB"/>
    <w:rsid w:val="3CEE8980"/>
    <w:rsid w:val="3D38678E"/>
    <w:rsid w:val="3D5795A4"/>
    <w:rsid w:val="3D65EC83"/>
    <w:rsid w:val="3E16EED5"/>
    <w:rsid w:val="3E6326A8"/>
    <w:rsid w:val="3EE3E26A"/>
    <w:rsid w:val="3F4B4E5D"/>
    <w:rsid w:val="3F594513"/>
    <w:rsid w:val="3FB797E5"/>
    <w:rsid w:val="40178877"/>
    <w:rsid w:val="409AEC0E"/>
    <w:rsid w:val="40A77B12"/>
    <w:rsid w:val="40C8A69B"/>
    <w:rsid w:val="410FD36D"/>
    <w:rsid w:val="41439FDF"/>
    <w:rsid w:val="41DB42FE"/>
    <w:rsid w:val="42155237"/>
    <w:rsid w:val="422AC400"/>
    <w:rsid w:val="4274477E"/>
    <w:rsid w:val="42B92649"/>
    <w:rsid w:val="434255B6"/>
    <w:rsid w:val="4346B0D0"/>
    <w:rsid w:val="4354F73C"/>
    <w:rsid w:val="43B7C469"/>
    <w:rsid w:val="4400BE12"/>
    <w:rsid w:val="440FDC28"/>
    <w:rsid w:val="4410B85B"/>
    <w:rsid w:val="446EC11E"/>
    <w:rsid w:val="447482EB"/>
    <w:rsid w:val="450DA43B"/>
    <w:rsid w:val="451F54AA"/>
    <w:rsid w:val="452BABF6"/>
    <w:rsid w:val="4586C7D9"/>
    <w:rsid w:val="46067B9F"/>
    <w:rsid w:val="46226B03"/>
    <w:rsid w:val="4663EA46"/>
    <w:rsid w:val="4665E222"/>
    <w:rsid w:val="46752DFD"/>
    <w:rsid w:val="4767D4DD"/>
    <w:rsid w:val="47CC9AF2"/>
    <w:rsid w:val="48378879"/>
    <w:rsid w:val="4880A6C0"/>
    <w:rsid w:val="48D313E6"/>
    <w:rsid w:val="48E05387"/>
    <w:rsid w:val="48EB3A82"/>
    <w:rsid w:val="49256C52"/>
    <w:rsid w:val="493B16B8"/>
    <w:rsid w:val="49D2FAF7"/>
    <w:rsid w:val="4A250CB9"/>
    <w:rsid w:val="4B473D63"/>
    <w:rsid w:val="4C336994"/>
    <w:rsid w:val="4C393F89"/>
    <w:rsid w:val="4CCCD8B2"/>
    <w:rsid w:val="4D525DDF"/>
    <w:rsid w:val="4DA616AE"/>
    <w:rsid w:val="4DCE5770"/>
    <w:rsid w:val="4E34EE12"/>
    <w:rsid w:val="4E45363C"/>
    <w:rsid w:val="4E7826BC"/>
    <w:rsid w:val="4EBD6B87"/>
    <w:rsid w:val="4F0CB33C"/>
    <w:rsid w:val="4FF294F5"/>
    <w:rsid w:val="50B0F9A7"/>
    <w:rsid w:val="50B525CD"/>
    <w:rsid w:val="50BA4023"/>
    <w:rsid w:val="50BFBAF5"/>
    <w:rsid w:val="5122149B"/>
    <w:rsid w:val="51339CFF"/>
    <w:rsid w:val="51B54D90"/>
    <w:rsid w:val="523D3AA3"/>
    <w:rsid w:val="524B9344"/>
    <w:rsid w:val="524D047A"/>
    <w:rsid w:val="5289B951"/>
    <w:rsid w:val="52B11902"/>
    <w:rsid w:val="5308E5B9"/>
    <w:rsid w:val="546D7566"/>
    <w:rsid w:val="5511048F"/>
    <w:rsid w:val="55279096"/>
    <w:rsid w:val="5535C248"/>
    <w:rsid w:val="553AEDAF"/>
    <w:rsid w:val="55536330"/>
    <w:rsid w:val="55E12C2D"/>
    <w:rsid w:val="562043A4"/>
    <w:rsid w:val="563562ED"/>
    <w:rsid w:val="567DB591"/>
    <w:rsid w:val="5689E77C"/>
    <w:rsid w:val="56C996CA"/>
    <w:rsid w:val="5763B479"/>
    <w:rsid w:val="5764F028"/>
    <w:rsid w:val="5768CBF8"/>
    <w:rsid w:val="57A5162E"/>
    <w:rsid w:val="58ECC5AF"/>
    <w:rsid w:val="5946F2D0"/>
    <w:rsid w:val="5A1D7AFD"/>
    <w:rsid w:val="5A542C6E"/>
    <w:rsid w:val="5A640436"/>
    <w:rsid w:val="5AADCC45"/>
    <w:rsid w:val="5B40C3C6"/>
    <w:rsid w:val="5B5D9D34"/>
    <w:rsid w:val="5BB80EF9"/>
    <w:rsid w:val="5BE9DB6F"/>
    <w:rsid w:val="5BF53BA8"/>
    <w:rsid w:val="5C0C23D3"/>
    <w:rsid w:val="5CE06890"/>
    <w:rsid w:val="5CE544EB"/>
    <w:rsid w:val="5D47AF0D"/>
    <w:rsid w:val="5D63F4A5"/>
    <w:rsid w:val="5D81CF56"/>
    <w:rsid w:val="5DDA112D"/>
    <w:rsid w:val="5DFFB260"/>
    <w:rsid w:val="5E40CD65"/>
    <w:rsid w:val="5E42AD79"/>
    <w:rsid w:val="5E584D5A"/>
    <w:rsid w:val="5E708D39"/>
    <w:rsid w:val="5ECDA8CD"/>
    <w:rsid w:val="5ECF05AD"/>
    <w:rsid w:val="5F1CD0B0"/>
    <w:rsid w:val="5F30FA93"/>
    <w:rsid w:val="5F33FB59"/>
    <w:rsid w:val="6028E23C"/>
    <w:rsid w:val="60333DBC"/>
    <w:rsid w:val="60689412"/>
    <w:rsid w:val="606FA99A"/>
    <w:rsid w:val="6075D8CC"/>
    <w:rsid w:val="6104A880"/>
    <w:rsid w:val="6281B7FA"/>
    <w:rsid w:val="62962F14"/>
    <w:rsid w:val="62E4D9FE"/>
    <w:rsid w:val="635D6A3A"/>
    <w:rsid w:val="63C62175"/>
    <w:rsid w:val="63E56223"/>
    <w:rsid w:val="645B4870"/>
    <w:rsid w:val="649BA052"/>
    <w:rsid w:val="64B17AF7"/>
    <w:rsid w:val="651349E7"/>
    <w:rsid w:val="65BD0E10"/>
    <w:rsid w:val="65C8ABC6"/>
    <w:rsid w:val="65E3B1C8"/>
    <w:rsid w:val="661B7C03"/>
    <w:rsid w:val="666FDBE2"/>
    <w:rsid w:val="6672811D"/>
    <w:rsid w:val="6684E7AC"/>
    <w:rsid w:val="66A7A918"/>
    <w:rsid w:val="66AC9127"/>
    <w:rsid w:val="66BB3D22"/>
    <w:rsid w:val="66D877CF"/>
    <w:rsid w:val="66E83713"/>
    <w:rsid w:val="67444E78"/>
    <w:rsid w:val="67ACB50D"/>
    <w:rsid w:val="67BA4FB4"/>
    <w:rsid w:val="67C0583D"/>
    <w:rsid w:val="67DABA42"/>
    <w:rsid w:val="67F52D4C"/>
    <w:rsid w:val="68735FDD"/>
    <w:rsid w:val="6876D4EC"/>
    <w:rsid w:val="688936A9"/>
    <w:rsid w:val="694B42D1"/>
    <w:rsid w:val="698F90CD"/>
    <w:rsid w:val="6997A070"/>
    <w:rsid w:val="69B98F92"/>
    <w:rsid w:val="6A6C6174"/>
    <w:rsid w:val="6B196E93"/>
    <w:rsid w:val="6B79F996"/>
    <w:rsid w:val="6BA6B195"/>
    <w:rsid w:val="6BCB8AAD"/>
    <w:rsid w:val="6BDF2631"/>
    <w:rsid w:val="6BE6DDC3"/>
    <w:rsid w:val="6BE78B37"/>
    <w:rsid w:val="6C062139"/>
    <w:rsid w:val="6C9338C4"/>
    <w:rsid w:val="6CA4ECED"/>
    <w:rsid w:val="6D3D91AA"/>
    <w:rsid w:val="6E9A7EFB"/>
    <w:rsid w:val="6F28906A"/>
    <w:rsid w:val="6FE0441E"/>
    <w:rsid w:val="702D62F3"/>
    <w:rsid w:val="70B480EA"/>
    <w:rsid w:val="711C7E1D"/>
    <w:rsid w:val="713FF20E"/>
    <w:rsid w:val="7145F856"/>
    <w:rsid w:val="715E2DC4"/>
    <w:rsid w:val="71C4D7AC"/>
    <w:rsid w:val="71C9CE80"/>
    <w:rsid w:val="71F3D70E"/>
    <w:rsid w:val="721794CC"/>
    <w:rsid w:val="7235AF78"/>
    <w:rsid w:val="72ADC3DE"/>
    <w:rsid w:val="72B34E2D"/>
    <w:rsid w:val="730ECAFE"/>
    <w:rsid w:val="737335E7"/>
    <w:rsid w:val="739F9F32"/>
    <w:rsid w:val="73BFEEBB"/>
    <w:rsid w:val="73E7BF8B"/>
    <w:rsid w:val="73E852B7"/>
    <w:rsid w:val="7430678D"/>
    <w:rsid w:val="74C4E191"/>
    <w:rsid w:val="751036AD"/>
    <w:rsid w:val="751EF487"/>
    <w:rsid w:val="756954DF"/>
    <w:rsid w:val="7573847A"/>
    <w:rsid w:val="75DA1638"/>
    <w:rsid w:val="75F4020D"/>
    <w:rsid w:val="766964BD"/>
    <w:rsid w:val="766B3F9E"/>
    <w:rsid w:val="76BEDE5E"/>
    <w:rsid w:val="770179F2"/>
    <w:rsid w:val="77499614"/>
    <w:rsid w:val="779ECE28"/>
    <w:rsid w:val="779FF4C4"/>
    <w:rsid w:val="77D9B331"/>
    <w:rsid w:val="77FAB536"/>
    <w:rsid w:val="780154A4"/>
    <w:rsid w:val="781CED09"/>
    <w:rsid w:val="78BEEE25"/>
    <w:rsid w:val="78D410D5"/>
    <w:rsid w:val="79084B7A"/>
    <w:rsid w:val="790DE05F"/>
    <w:rsid w:val="7937ED15"/>
    <w:rsid w:val="7943E149"/>
    <w:rsid w:val="795FA91C"/>
    <w:rsid w:val="7A6327AA"/>
    <w:rsid w:val="7ACB2816"/>
    <w:rsid w:val="7B4BC234"/>
    <w:rsid w:val="7B54D549"/>
    <w:rsid w:val="7BB10258"/>
    <w:rsid w:val="7BBBABDD"/>
    <w:rsid w:val="7BDD0AF5"/>
    <w:rsid w:val="7C2B3A6C"/>
    <w:rsid w:val="7C6CA104"/>
    <w:rsid w:val="7CD46156"/>
    <w:rsid w:val="7CF5B1F1"/>
    <w:rsid w:val="7CFC3096"/>
    <w:rsid w:val="7D0CAB5E"/>
    <w:rsid w:val="7D3FA46F"/>
    <w:rsid w:val="7D66CBAC"/>
    <w:rsid w:val="7D6B8BA5"/>
    <w:rsid w:val="7D6E606D"/>
    <w:rsid w:val="7DFB0F37"/>
    <w:rsid w:val="7E46D24E"/>
    <w:rsid w:val="7E62E9AD"/>
    <w:rsid w:val="7E6CCA80"/>
    <w:rsid w:val="7F58CC80"/>
    <w:rsid w:val="7F616614"/>
    <w:rsid w:val="7F8E70A7"/>
    <w:rsid w:val="7F92B54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FC1AE"/>
  <w15:chartTrackingRefBased/>
  <w15:docId w15:val="{AABF6B0E-69B6-40C1-B20F-099324A0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D986274"/>
    <w:pPr>
      <w:spacing w:after="0"/>
      <w:jc w:val="both"/>
    </w:pPr>
    <w:rPr>
      <w:rFonts w:ascii="Times New Roman" w:eastAsia="MS Mincho" w:hAnsi="Times New Roman" w:cs="Times New Roman"/>
    </w:rPr>
  </w:style>
  <w:style w:type="paragraph" w:styleId="Heading1">
    <w:name w:val="heading 1"/>
    <w:basedOn w:val="Normal"/>
    <w:next w:val="Normal"/>
    <w:link w:val="Heading1Char"/>
    <w:uiPriority w:val="1"/>
    <w:qFormat/>
    <w:rsid w:val="2D986274"/>
    <w:pPr>
      <w:keepNext/>
      <w:outlineLvl w:val="0"/>
    </w:pPr>
    <w:rPr>
      <w:b/>
      <w:bCs/>
    </w:rPr>
  </w:style>
  <w:style w:type="paragraph" w:styleId="Heading2">
    <w:name w:val="heading 2"/>
    <w:basedOn w:val="Normal"/>
    <w:next w:val="Normal"/>
    <w:link w:val="Heading2Char"/>
    <w:uiPriority w:val="1"/>
    <w:qFormat/>
    <w:rsid w:val="2D98627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uiPriority w:val="1"/>
    <w:qFormat/>
    <w:rsid w:val="2D98627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A1D44"/>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D66F0E"/>
    <w:rPr>
      <w:sz w:val="16"/>
      <w:szCs w:val="16"/>
    </w:rPr>
  </w:style>
  <w:style w:type="paragraph" w:styleId="CommentText">
    <w:name w:val="annotation text"/>
    <w:basedOn w:val="Normal"/>
    <w:link w:val="CommentTextChar"/>
    <w:uiPriority w:val="99"/>
    <w:unhideWhenUsed/>
    <w:qFormat/>
    <w:rsid w:val="2D986274"/>
    <w:rPr>
      <w:sz w:val="20"/>
      <w:szCs w:val="20"/>
    </w:rPr>
  </w:style>
  <w:style w:type="character" w:customStyle="1" w:styleId="CommentTextChar">
    <w:name w:val="Comment Text Char"/>
    <w:basedOn w:val="DefaultParagraphFont"/>
    <w:link w:val="CommentText"/>
    <w:uiPriority w:val="99"/>
    <w:qFormat/>
    <w:rsid w:val="00D66F0E"/>
    <w:rPr>
      <w:sz w:val="20"/>
      <w:szCs w:val="20"/>
    </w:rPr>
  </w:style>
  <w:style w:type="paragraph" w:styleId="CommentSubject">
    <w:name w:val="annotation subject"/>
    <w:basedOn w:val="CommentText"/>
    <w:next w:val="CommentText"/>
    <w:link w:val="CommentSubjectChar"/>
    <w:uiPriority w:val="99"/>
    <w:semiHidden/>
    <w:unhideWhenUsed/>
    <w:rsid w:val="00D66F0E"/>
    <w:rPr>
      <w:b/>
      <w:bCs/>
    </w:rPr>
  </w:style>
  <w:style w:type="character" w:customStyle="1" w:styleId="CommentSubjectChar">
    <w:name w:val="Comment Subject Char"/>
    <w:basedOn w:val="CommentTextChar"/>
    <w:link w:val="CommentSubject"/>
    <w:uiPriority w:val="99"/>
    <w:semiHidden/>
    <w:rsid w:val="00D66F0E"/>
    <w:rPr>
      <w:b/>
      <w:bCs/>
      <w:sz w:val="20"/>
      <w:szCs w:val="20"/>
    </w:rPr>
  </w:style>
  <w:style w:type="paragraph" w:styleId="BalloonText">
    <w:name w:val="Balloon Text"/>
    <w:basedOn w:val="Normal"/>
    <w:link w:val="BalloonTextChar"/>
    <w:uiPriority w:val="1"/>
    <w:rsid w:val="2D986274"/>
    <w:rPr>
      <w:rFonts w:ascii="Tahoma" w:hAnsi="Tahoma" w:cs="Tahoma"/>
      <w:sz w:val="16"/>
      <w:szCs w:val="16"/>
    </w:rPr>
  </w:style>
  <w:style w:type="character" w:customStyle="1" w:styleId="BalloonTextChar">
    <w:name w:val="Balloon Text Char"/>
    <w:basedOn w:val="DefaultParagraphFont"/>
    <w:link w:val="BalloonText"/>
    <w:rsid w:val="007A1D44"/>
    <w:rPr>
      <w:rFonts w:ascii="Tahoma" w:eastAsia="MS Mincho" w:hAnsi="Tahoma" w:cs="Tahoma"/>
      <w:sz w:val="16"/>
      <w:szCs w:val="16"/>
    </w:rPr>
  </w:style>
  <w:style w:type="character" w:customStyle="1" w:styleId="Heading1Char">
    <w:name w:val="Heading 1 Char"/>
    <w:basedOn w:val="DefaultParagraphFont"/>
    <w:link w:val="Heading1"/>
    <w:rsid w:val="007A1D44"/>
    <w:rPr>
      <w:rFonts w:ascii="Times New Roman" w:eastAsia="MS Mincho" w:hAnsi="Times New Roman" w:cs="Times New Roman"/>
      <w:b/>
      <w:bCs/>
      <w:szCs w:val="24"/>
    </w:rPr>
  </w:style>
  <w:style w:type="character" w:customStyle="1" w:styleId="Heading2Char">
    <w:name w:val="Heading 2 Char"/>
    <w:basedOn w:val="DefaultParagraphFont"/>
    <w:link w:val="Heading2"/>
    <w:rsid w:val="007A1D44"/>
    <w:rPr>
      <w:rFonts w:ascii="Calibri" w:eastAsia="MS Mincho" w:hAnsi="Calibri" w:cs="Times New Roman"/>
      <w:b/>
      <w:bCs/>
      <w:i/>
      <w:iCs/>
      <w:sz w:val="28"/>
      <w:szCs w:val="28"/>
    </w:rPr>
  </w:style>
  <w:style w:type="character" w:customStyle="1" w:styleId="Heading3Char">
    <w:name w:val="Heading 3 Char"/>
    <w:basedOn w:val="DefaultParagraphFont"/>
    <w:link w:val="Heading3"/>
    <w:rsid w:val="007A1D44"/>
    <w:rPr>
      <w:rFonts w:ascii="Calibri" w:eastAsia="MS Mincho" w:hAnsi="Calibri" w:cs="Times New Roman"/>
      <w:b/>
      <w:bCs/>
      <w:sz w:val="26"/>
      <w:szCs w:val="26"/>
    </w:rPr>
  </w:style>
  <w:style w:type="paragraph" w:styleId="FootnoteText">
    <w:name w:val="footnote text"/>
    <w:basedOn w:val="Normal"/>
    <w:link w:val="FootnoteTextChar"/>
    <w:uiPriority w:val="1"/>
    <w:rsid w:val="2D986274"/>
    <w:pPr>
      <w:spacing w:before="60"/>
    </w:pPr>
    <w:rPr>
      <w:sz w:val="20"/>
      <w:szCs w:val="20"/>
    </w:rPr>
  </w:style>
  <w:style w:type="character" w:customStyle="1" w:styleId="FootnoteTextChar">
    <w:name w:val="Footnote Text Char"/>
    <w:basedOn w:val="DefaultParagraphFont"/>
    <w:link w:val="FootnoteText"/>
    <w:rsid w:val="007A1D44"/>
    <w:rPr>
      <w:rFonts w:ascii="Times New Roman" w:eastAsia="MS Mincho" w:hAnsi="Times New Roman" w:cs="Times New Roman"/>
      <w:sz w:val="20"/>
      <w:szCs w:val="24"/>
    </w:rPr>
  </w:style>
  <w:style w:type="character" w:styleId="FootnoteReference">
    <w:name w:val="footnote reference"/>
    <w:aliases w:val="Ref,de nota al pie,Footnote Reference1,Ref1,de nota al pie1,註腳內容,de nota al pie + (Asian) MS Mincho,11 pt,16 Point,Superscript 6 Point"/>
    <w:basedOn w:val="DefaultParagraphFont"/>
    <w:link w:val="BVIfnrCarattereCharCharCharCarattereCharCharCharCharCharChar1CharCharCharCarattereChar"/>
    <w:rsid w:val="007A1D44"/>
    <w:rPr>
      <w:vertAlign w:val="superscript"/>
    </w:rPr>
  </w:style>
  <w:style w:type="paragraph" w:customStyle="1" w:styleId="Style">
    <w:name w:val="Style"/>
    <w:basedOn w:val="Footer"/>
    <w:autoRedefine/>
    <w:qFormat/>
    <w:rsid w:val="007A1D4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uiPriority w:val="1"/>
    <w:rsid w:val="2D986274"/>
    <w:pPr>
      <w:tabs>
        <w:tab w:val="center" w:pos="4680"/>
        <w:tab w:val="right" w:pos="9360"/>
      </w:tabs>
    </w:pPr>
  </w:style>
  <w:style w:type="character" w:customStyle="1" w:styleId="FooterChar">
    <w:name w:val="Footer Char"/>
    <w:basedOn w:val="DefaultParagraphFont"/>
    <w:link w:val="Footer"/>
    <w:rsid w:val="007A1D44"/>
    <w:rPr>
      <w:rFonts w:ascii="Times New Roman" w:eastAsia="MS Mincho" w:hAnsi="Times New Roman" w:cs="Times New Roman"/>
      <w:szCs w:val="24"/>
    </w:rPr>
  </w:style>
  <w:style w:type="character" w:styleId="PageNumber">
    <w:name w:val="page number"/>
    <w:rsid w:val="007A1D44"/>
    <w:rPr>
      <w:rFonts w:ascii="Arial" w:hAnsi="Arial"/>
      <w:b/>
      <w:sz w:val="18"/>
    </w:rPr>
  </w:style>
  <w:style w:type="paragraph" w:customStyle="1" w:styleId="IPPArialFootnote">
    <w:name w:val="IPP Arial Footnote"/>
    <w:basedOn w:val="IPPArialTable"/>
    <w:qFormat/>
    <w:rsid w:val="007A1D44"/>
    <w:pPr>
      <w:tabs>
        <w:tab w:val="left" w:pos="28"/>
      </w:tabs>
      <w:ind w:left="284" w:hanging="284"/>
    </w:pPr>
    <w:rPr>
      <w:sz w:val="16"/>
    </w:rPr>
  </w:style>
  <w:style w:type="paragraph" w:customStyle="1" w:styleId="IPPContentsHead">
    <w:name w:val="IPP ContentsHead"/>
    <w:basedOn w:val="IPPSubhead"/>
    <w:next w:val="IPPNormal"/>
    <w:qFormat/>
    <w:rsid w:val="007A1D44"/>
    <w:pPr>
      <w:spacing w:after="240"/>
    </w:pPr>
    <w:rPr>
      <w:sz w:val="24"/>
    </w:rPr>
  </w:style>
  <w:style w:type="paragraph" w:customStyle="1" w:styleId="IPPBullet2">
    <w:name w:val="IPP Bullet2"/>
    <w:basedOn w:val="IPPNormal"/>
    <w:next w:val="IPPBullet1"/>
    <w:qFormat/>
    <w:rsid w:val="007A1D44"/>
    <w:pPr>
      <w:numPr>
        <w:numId w:val="6"/>
      </w:numPr>
      <w:tabs>
        <w:tab w:val="left" w:pos="1134"/>
      </w:tabs>
      <w:spacing w:after="60"/>
      <w:ind w:left="1134" w:hanging="567"/>
    </w:pPr>
  </w:style>
  <w:style w:type="paragraph" w:customStyle="1" w:styleId="IPPQuote">
    <w:name w:val="IPP Quote"/>
    <w:basedOn w:val="IPPNormal"/>
    <w:qFormat/>
    <w:rsid w:val="007A1D44"/>
    <w:pPr>
      <w:ind w:left="851" w:right="851"/>
    </w:pPr>
    <w:rPr>
      <w:sz w:val="18"/>
    </w:rPr>
  </w:style>
  <w:style w:type="paragraph" w:customStyle="1" w:styleId="IPPNormal">
    <w:name w:val="IPP Normal"/>
    <w:basedOn w:val="Normal"/>
    <w:link w:val="IPPNormalChar"/>
    <w:uiPriority w:val="1"/>
    <w:qFormat/>
    <w:rsid w:val="2D986274"/>
    <w:pPr>
      <w:spacing w:after="180"/>
    </w:pPr>
    <w:rPr>
      <w:rFonts w:eastAsia="Times"/>
    </w:rPr>
  </w:style>
  <w:style w:type="paragraph" w:customStyle="1" w:styleId="IPPIndentClose">
    <w:name w:val="IPP Indent Close"/>
    <w:basedOn w:val="IPPNormal"/>
    <w:qFormat/>
    <w:rsid w:val="007A1D44"/>
    <w:pPr>
      <w:tabs>
        <w:tab w:val="left" w:pos="2835"/>
      </w:tabs>
      <w:spacing w:after="60"/>
      <w:ind w:left="567"/>
    </w:pPr>
  </w:style>
  <w:style w:type="paragraph" w:customStyle="1" w:styleId="IPPIndent">
    <w:name w:val="IPP Indent"/>
    <w:basedOn w:val="IPPIndentClose"/>
    <w:qFormat/>
    <w:rsid w:val="007A1D44"/>
    <w:pPr>
      <w:spacing w:after="180"/>
    </w:pPr>
  </w:style>
  <w:style w:type="paragraph" w:customStyle="1" w:styleId="IPPFootnote">
    <w:name w:val="IPP Footnote"/>
    <w:basedOn w:val="IPPArialFootnote"/>
    <w:qFormat/>
    <w:rsid w:val="007A1D4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A1D44"/>
    <w:pPr>
      <w:keepNext/>
      <w:tabs>
        <w:tab w:val="left" w:pos="567"/>
      </w:tabs>
      <w:spacing w:before="120" w:after="120"/>
      <w:ind w:left="567" w:hanging="567"/>
    </w:pPr>
    <w:rPr>
      <w:b/>
      <w:i/>
    </w:rPr>
  </w:style>
  <w:style w:type="character" w:customStyle="1" w:styleId="IPPnormalitalics">
    <w:name w:val="IPP normal italics"/>
    <w:basedOn w:val="DefaultParagraphFont"/>
    <w:rsid w:val="007A1D44"/>
    <w:rPr>
      <w:rFonts w:ascii="Times New Roman" w:hAnsi="Times New Roman"/>
      <w:i/>
      <w:sz w:val="22"/>
      <w:lang w:val="en-US"/>
    </w:rPr>
  </w:style>
  <w:style w:type="character" w:customStyle="1" w:styleId="IPPNormalbold">
    <w:name w:val="IPP Normal bold"/>
    <w:basedOn w:val="PlainTextChar"/>
    <w:rsid w:val="007A1D44"/>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2D986274"/>
    <w:pPr>
      <w:keepNext/>
      <w:tabs>
        <w:tab w:val="left" w:pos="851"/>
      </w:tabs>
      <w:spacing w:before="360" w:after="120"/>
      <w:ind w:left="851" w:hanging="851"/>
      <w:outlineLvl w:val="0"/>
    </w:pPr>
    <w:rPr>
      <w:rFonts w:eastAsia="Times"/>
      <w:b/>
      <w:bCs/>
      <w:caps/>
      <w:sz w:val="24"/>
      <w:szCs w:val="24"/>
    </w:rPr>
  </w:style>
  <w:style w:type="paragraph" w:customStyle="1" w:styleId="IPPHeading1">
    <w:name w:val="IPP Heading1"/>
    <w:basedOn w:val="IPPNormal"/>
    <w:next w:val="IPPNormal"/>
    <w:qFormat/>
    <w:rsid w:val="007A1D44"/>
    <w:pPr>
      <w:keepNext/>
      <w:tabs>
        <w:tab w:val="left" w:pos="567"/>
      </w:tabs>
      <w:spacing w:before="240" w:after="120"/>
      <w:ind w:left="567" w:hanging="567"/>
      <w:jc w:val="left"/>
      <w:outlineLvl w:val="1"/>
    </w:pPr>
    <w:rPr>
      <w:b/>
      <w:sz w:val="24"/>
    </w:rPr>
  </w:style>
  <w:style w:type="paragraph" w:customStyle="1" w:styleId="IPPSubhead">
    <w:name w:val="IPP Subhead"/>
    <w:basedOn w:val="Normal"/>
    <w:uiPriority w:val="1"/>
    <w:qFormat/>
    <w:rsid w:val="2D986274"/>
    <w:pPr>
      <w:keepNext/>
      <w:ind w:left="567" w:hanging="567"/>
      <w:jc w:val="left"/>
    </w:pPr>
    <w:rPr>
      <w:b/>
      <w:bCs/>
    </w:rPr>
  </w:style>
  <w:style w:type="character" w:customStyle="1" w:styleId="IPPNormalunderlined">
    <w:name w:val="IPP Normal underlined"/>
    <w:basedOn w:val="DefaultParagraphFont"/>
    <w:rsid w:val="007A1D44"/>
    <w:rPr>
      <w:rFonts w:ascii="Times New Roman" w:hAnsi="Times New Roman"/>
      <w:sz w:val="22"/>
      <w:u w:val="single"/>
      <w:lang w:val="en-US"/>
    </w:rPr>
  </w:style>
  <w:style w:type="paragraph" w:customStyle="1" w:styleId="IPPBullet1">
    <w:name w:val="IPP Bullet1"/>
    <w:basedOn w:val="IPPBullet1Last"/>
    <w:link w:val="IPPBullet1Char"/>
    <w:qFormat/>
    <w:rsid w:val="007A1D44"/>
    <w:pPr>
      <w:numPr>
        <w:numId w:val="12"/>
      </w:numPr>
      <w:spacing w:after="60"/>
      <w:ind w:left="567" w:hanging="567"/>
    </w:pPr>
    <w:rPr>
      <w:lang w:val="en-US"/>
    </w:rPr>
  </w:style>
  <w:style w:type="paragraph" w:customStyle="1" w:styleId="IPPBullet1Last">
    <w:name w:val="IPP Bullet1Last"/>
    <w:basedOn w:val="IPPNormal"/>
    <w:next w:val="IPPNormal"/>
    <w:qFormat/>
    <w:rsid w:val="007A1D44"/>
    <w:pPr>
      <w:numPr>
        <w:numId w:val="7"/>
      </w:numPr>
    </w:pPr>
  </w:style>
  <w:style w:type="character" w:customStyle="1" w:styleId="IPPNormalstrikethrough">
    <w:name w:val="IPP Normal strikethrough"/>
    <w:rsid w:val="007A1D44"/>
    <w:rPr>
      <w:rFonts w:ascii="Times New Roman" w:hAnsi="Times New Roman"/>
      <w:strike/>
      <w:dstrike w:val="0"/>
      <w:sz w:val="22"/>
    </w:rPr>
  </w:style>
  <w:style w:type="paragraph" w:customStyle="1" w:styleId="IPPTitle16pt">
    <w:name w:val="IPP Title16pt"/>
    <w:basedOn w:val="Normal"/>
    <w:uiPriority w:val="1"/>
    <w:qFormat/>
    <w:rsid w:val="2D986274"/>
    <w:pPr>
      <w:spacing w:after="720"/>
      <w:ind w:left="1701" w:right="1701"/>
      <w:jc w:val="center"/>
    </w:pPr>
    <w:rPr>
      <w:rFonts w:ascii="Arial" w:hAnsi="Arial" w:cs="Arial"/>
      <w:b/>
      <w:bCs/>
      <w:sz w:val="32"/>
      <w:szCs w:val="32"/>
    </w:rPr>
  </w:style>
  <w:style w:type="paragraph" w:customStyle="1" w:styleId="IPPTitle18pt">
    <w:name w:val="IPP Title18pt"/>
    <w:basedOn w:val="Normal"/>
    <w:uiPriority w:val="1"/>
    <w:qFormat/>
    <w:rsid w:val="2D986274"/>
    <w:pPr>
      <w:spacing w:after="360"/>
      <w:jc w:val="center"/>
    </w:pPr>
    <w:rPr>
      <w:rFonts w:ascii="Arial" w:hAnsi="Arial" w:cs="Arial"/>
      <w:b/>
      <w:bCs/>
      <w:sz w:val="36"/>
      <w:szCs w:val="36"/>
    </w:rPr>
  </w:style>
  <w:style w:type="paragraph" w:customStyle="1" w:styleId="IPPHeader">
    <w:name w:val="IPP Header"/>
    <w:basedOn w:val="Normal"/>
    <w:uiPriority w:val="1"/>
    <w:qFormat/>
    <w:rsid w:val="2D986274"/>
    <w:pPr>
      <w:pBdr>
        <w:bottom w:val="single" w:sz="4" w:space="4" w:color="auto"/>
      </w:pBdr>
      <w:tabs>
        <w:tab w:val="left" w:pos="1134"/>
        <w:tab w:val="right" w:pos="9072"/>
      </w:tabs>
      <w:spacing w:after="120"/>
      <w:jc w:val="left"/>
    </w:pPr>
    <w:rPr>
      <w:rFonts w:ascii="Arial" w:hAnsi="Arial"/>
      <w:sz w:val="18"/>
      <w:szCs w:val="18"/>
      <w:lang w:val="en-US"/>
    </w:rPr>
  </w:style>
  <w:style w:type="paragraph" w:customStyle="1" w:styleId="IPPAnnexHead">
    <w:name w:val="IPP AnnexHead"/>
    <w:basedOn w:val="IPPNormal"/>
    <w:next w:val="IPPNormal"/>
    <w:qFormat/>
    <w:rsid w:val="007A1D44"/>
    <w:pPr>
      <w:keepNext/>
      <w:tabs>
        <w:tab w:val="left" w:pos="567"/>
      </w:tabs>
      <w:spacing w:before="120"/>
      <w:jc w:val="left"/>
      <w:outlineLvl w:val="1"/>
    </w:pPr>
    <w:rPr>
      <w:b/>
      <w:sz w:val="24"/>
    </w:rPr>
  </w:style>
  <w:style w:type="numbering" w:customStyle="1" w:styleId="IPPParagraphnumberedlist">
    <w:name w:val="IPP Paragraph numbered list"/>
    <w:rsid w:val="007A1D44"/>
    <w:pPr>
      <w:numPr>
        <w:numId w:val="5"/>
      </w:numPr>
    </w:pPr>
  </w:style>
  <w:style w:type="paragraph" w:customStyle="1" w:styleId="IPPNormalCloseSpace">
    <w:name w:val="IPP NormalCloseSpace"/>
    <w:basedOn w:val="Normal"/>
    <w:uiPriority w:val="1"/>
    <w:qFormat/>
    <w:rsid w:val="2D986274"/>
    <w:pPr>
      <w:keepNext/>
      <w:spacing w:after="60"/>
    </w:pPr>
  </w:style>
  <w:style w:type="paragraph" w:customStyle="1" w:styleId="IPPHeading2">
    <w:name w:val="IPP Heading2"/>
    <w:basedOn w:val="IPPNormal"/>
    <w:next w:val="IPPNormal"/>
    <w:qFormat/>
    <w:rsid w:val="007A1D4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A1D4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A1D44"/>
    <w:pPr>
      <w:tabs>
        <w:tab w:val="right" w:leader="dot" w:pos="9072"/>
      </w:tabs>
      <w:spacing w:before="240"/>
      <w:ind w:left="567" w:hanging="567"/>
    </w:pPr>
  </w:style>
  <w:style w:type="paragraph" w:styleId="TOC2">
    <w:name w:val="toc 2"/>
    <w:basedOn w:val="TOC1"/>
    <w:next w:val="Normal"/>
    <w:autoRedefine/>
    <w:uiPriority w:val="39"/>
    <w:rsid w:val="007A1D44"/>
    <w:pPr>
      <w:keepNext w:val="0"/>
      <w:tabs>
        <w:tab w:val="left" w:pos="425"/>
      </w:tabs>
      <w:spacing w:before="120" w:after="0"/>
      <w:ind w:left="425" w:right="284" w:hanging="425"/>
    </w:pPr>
  </w:style>
  <w:style w:type="paragraph" w:styleId="TOC3">
    <w:name w:val="toc 3"/>
    <w:basedOn w:val="TOC2"/>
    <w:next w:val="Normal"/>
    <w:autoRedefine/>
    <w:uiPriority w:val="39"/>
    <w:rsid w:val="007A1D44"/>
    <w:pPr>
      <w:tabs>
        <w:tab w:val="left" w:pos="1276"/>
      </w:tabs>
      <w:spacing w:before="60"/>
      <w:ind w:left="1276" w:hanging="851"/>
    </w:pPr>
    <w:rPr>
      <w:rFonts w:eastAsia="Times"/>
    </w:rPr>
  </w:style>
  <w:style w:type="paragraph" w:styleId="TOC4">
    <w:name w:val="toc 4"/>
    <w:basedOn w:val="Normal"/>
    <w:next w:val="Normal"/>
    <w:uiPriority w:val="39"/>
    <w:rsid w:val="2D986274"/>
    <w:pPr>
      <w:spacing w:after="120"/>
      <w:ind w:left="660"/>
    </w:pPr>
    <w:rPr>
      <w:rFonts w:eastAsia="Times"/>
      <w:lang w:val="en-AU"/>
    </w:rPr>
  </w:style>
  <w:style w:type="paragraph" w:styleId="TOC5">
    <w:name w:val="toc 5"/>
    <w:basedOn w:val="Normal"/>
    <w:next w:val="Normal"/>
    <w:uiPriority w:val="39"/>
    <w:rsid w:val="2D986274"/>
    <w:pPr>
      <w:spacing w:after="120"/>
      <w:ind w:left="880"/>
    </w:pPr>
    <w:rPr>
      <w:rFonts w:eastAsia="Times"/>
      <w:lang w:val="en-AU"/>
    </w:rPr>
  </w:style>
  <w:style w:type="paragraph" w:styleId="TOC6">
    <w:name w:val="toc 6"/>
    <w:basedOn w:val="Normal"/>
    <w:next w:val="Normal"/>
    <w:uiPriority w:val="39"/>
    <w:rsid w:val="2D986274"/>
    <w:pPr>
      <w:spacing w:after="120"/>
      <w:ind w:left="1100"/>
    </w:pPr>
    <w:rPr>
      <w:rFonts w:eastAsia="Times"/>
      <w:lang w:val="en-AU"/>
    </w:rPr>
  </w:style>
  <w:style w:type="paragraph" w:styleId="TOC7">
    <w:name w:val="toc 7"/>
    <w:basedOn w:val="Normal"/>
    <w:next w:val="Normal"/>
    <w:uiPriority w:val="39"/>
    <w:rsid w:val="2D986274"/>
    <w:pPr>
      <w:spacing w:after="120"/>
      <w:ind w:left="1320"/>
    </w:pPr>
    <w:rPr>
      <w:rFonts w:eastAsia="Times"/>
      <w:lang w:val="en-AU"/>
    </w:rPr>
  </w:style>
  <w:style w:type="paragraph" w:styleId="TOC8">
    <w:name w:val="toc 8"/>
    <w:basedOn w:val="Normal"/>
    <w:next w:val="Normal"/>
    <w:uiPriority w:val="39"/>
    <w:rsid w:val="2D986274"/>
    <w:pPr>
      <w:spacing w:after="120"/>
      <w:ind w:left="1540"/>
    </w:pPr>
    <w:rPr>
      <w:rFonts w:eastAsia="Times"/>
      <w:lang w:val="en-AU"/>
    </w:rPr>
  </w:style>
  <w:style w:type="paragraph" w:styleId="TOC9">
    <w:name w:val="toc 9"/>
    <w:basedOn w:val="Normal"/>
    <w:next w:val="Normal"/>
    <w:uiPriority w:val="39"/>
    <w:rsid w:val="2D986274"/>
    <w:pPr>
      <w:spacing w:after="120"/>
      <w:ind w:left="1760"/>
    </w:pPr>
    <w:rPr>
      <w:rFonts w:eastAsia="Times"/>
      <w:lang w:val="en-AU"/>
    </w:rPr>
  </w:style>
  <w:style w:type="paragraph" w:customStyle="1" w:styleId="IPPReferences">
    <w:name w:val="IPP References"/>
    <w:basedOn w:val="IPPNormal"/>
    <w:qFormat/>
    <w:rsid w:val="007A1D44"/>
    <w:pPr>
      <w:spacing w:after="60"/>
      <w:ind w:left="567" w:hanging="567"/>
    </w:pPr>
  </w:style>
  <w:style w:type="paragraph" w:customStyle="1" w:styleId="IPPArial">
    <w:name w:val="IPP Arial"/>
    <w:basedOn w:val="IPPNormal"/>
    <w:qFormat/>
    <w:rsid w:val="007A1D44"/>
    <w:pPr>
      <w:spacing w:after="0"/>
    </w:pPr>
    <w:rPr>
      <w:rFonts w:ascii="Arial" w:hAnsi="Arial"/>
      <w:sz w:val="18"/>
    </w:rPr>
  </w:style>
  <w:style w:type="paragraph" w:customStyle="1" w:styleId="IPPArialTable">
    <w:name w:val="IPP Arial Table"/>
    <w:basedOn w:val="IPPArial"/>
    <w:qFormat/>
    <w:rsid w:val="007A1D44"/>
    <w:pPr>
      <w:spacing w:before="60" w:after="60"/>
      <w:jc w:val="left"/>
    </w:pPr>
  </w:style>
  <w:style w:type="paragraph" w:customStyle="1" w:styleId="IPPHeaderlandscape">
    <w:name w:val="IPP Header landscape"/>
    <w:basedOn w:val="IPPHeader"/>
    <w:qFormat/>
    <w:rsid w:val="007A1D4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2D98627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A1D44"/>
    <w:rPr>
      <w:rFonts w:ascii="Courier" w:eastAsia="Times" w:hAnsi="Courier" w:cs="Times New Roman"/>
      <w:sz w:val="21"/>
      <w:szCs w:val="21"/>
      <w:lang w:val="en-AU"/>
    </w:rPr>
  </w:style>
  <w:style w:type="paragraph" w:customStyle="1" w:styleId="IPPLetterList">
    <w:name w:val="IPP LetterList"/>
    <w:basedOn w:val="IPPBullet2"/>
    <w:qFormat/>
    <w:rsid w:val="007A1D44"/>
    <w:pPr>
      <w:numPr>
        <w:numId w:val="3"/>
      </w:numPr>
      <w:jc w:val="left"/>
    </w:pPr>
  </w:style>
  <w:style w:type="paragraph" w:customStyle="1" w:styleId="IPPLetterListIndent">
    <w:name w:val="IPP LetterList Indent"/>
    <w:basedOn w:val="IPPLetterList"/>
    <w:qFormat/>
    <w:rsid w:val="007A1D44"/>
    <w:pPr>
      <w:numPr>
        <w:numId w:val="4"/>
      </w:numPr>
    </w:pPr>
  </w:style>
  <w:style w:type="paragraph" w:customStyle="1" w:styleId="IPPFooterLandscape">
    <w:name w:val="IPP Footer Landscape"/>
    <w:basedOn w:val="IPPHeaderlandscape"/>
    <w:qFormat/>
    <w:rsid w:val="007A1D44"/>
    <w:pPr>
      <w:pBdr>
        <w:top w:val="single" w:sz="4" w:space="1" w:color="auto"/>
        <w:bottom w:val="none" w:sz="0" w:space="0" w:color="auto"/>
      </w:pBdr>
      <w:jc w:val="right"/>
    </w:pPr>
    <w:rPr>
      <w:b/>
    </w:rPr>
  </w:style>
  <w:style w:type="paragraph" w:customStyle="1" w:styleId="IPPSubheadSpace">
    <w:name w:val="IPP Subhead Space"/>
    <w:basedOn w:val="IPPSubhead"/>
    <w:qFormat/>
    <w:rsid w:val="007A1D44"/>
    <w:pPr>
      <w:tabs>
        <w:tab w:val="left" w:pos="567"/>
      </w:tabs>
      <w:spacing w:before="60" w:after="60"/>
    </w:pPr>
  </w:style>
  <w:style w:type="paragraph" w:customStyle="1" w:styleId="IPPSubheadSpaceAfter">
    <w:name w:val="IPP Subhead SpaceAfter"/>
    <w:basedOn w:val="IPPSubhead"/>
    <w:qFormat/>
    <w:rsid w:val="007A1D44"/>
    <w:pPr>
      <w:spacing w:after="60"/>
    </w:pPr>
  </w:style>
  <w:style w:type="paragraph" w:customStyle="1" w:styleId="IPPHdg1Num">
    <w:name w:val="IPP Hdg1Num"/>
    <w:basedOn w:val="IPPHeading1"/>
    <w:next w:val="IPPNormal"/>
    <w:qFormat/>
    <w:rsid w:val="007A1D44"/>
    <w:pPr>
      <w:numPr>
        <w:numId w:val="8"/>
      </w:numPr>
    </w:pPr>
  </w:style>
  <w:style w:type="paragraph" w:customStyle="1" w:styleId="IPPHdg2Num">
    <w:name w:val="IPP Hdg2Num"/>
    <w:basedOn w:val="IPPHeading2"/>
    <w:next w:val="IPPNormal"/>
    <w:qFormat/>
    <w:rsid w:val="007A1D44"/>
    <w:pPr>
      <w:numPr>
        <w:ilvl w:val="1"/>
        <w:numId w:val="9"/>
      </w:numPr>
    </w:pPr>
  </w:style>
  <w:style w:type="paragraph" w:customStyle="1" w:styleId="IPPNumberedList">
    <w:name w:val="IPP NumberedList"/>
    <w:basedOn w:val="IPPBullet1"/>
    <w:qFormat/>
    <w:rsid w:val="007A1D44"/>
    <w:pPr>
      <w:numPr>
        <w:numId w:val="11"/>
      </w:numPr>
    </w:pPr>
  </w:style>
  <w:style w:type="paragraph" w:styleId="Header">
    <w:name w:val="header"/>
    <w:basedOn w:val="Normal"/>
    <w:link w:val="HeaderChar"/>
    <w:uiPriority w:val="1"/>
    <w:rsid w:val="2D986274"/>
    <w:pPr>
      <w:tabs>
        <w:tab w:val="center" w:pos="4680"/>
        <w:tab w:val="right" w:pos="9360"/>
      </w:tabs>
    </w:pPr>
  </w:style>
  <w:style w:type="character" w:customStyle="1" w:styleId="HeaderChar">
    <w:name w:val="Header Char"/>
    <w:basedOn w:val="DefaultParagraphFont"/>
    <w:link w:val="Header"/>
    <w:rsid w:val="007A1D44"/>
    <w:rPr>
      <w:rFonts w:ascii="Times New Roman" w:eastAsia="MS Mincho" w:hAnsi="Times New Roman" w:cs="Times New Roman"/>
      <w:szCs w:val="24"/>
    </w:rPr>
  </w:style>
  <w:style w:type="character" w:styleId="Strong">
    <w:name w:val="Strong"/>
    <w:basedOn w:val="DefaultParagraphFont"/>
    <w:qFormat/>
    <w:rsid w:val="007A1D44"/>
    <w:rPr>
      <w:b/>
      <w:bCs/>
    </w:rPr>
  </w:style>
  <w:style w:type="paragraph" w:styleId="ListParagraph">
    <w:name w:val="List Paragraph"/>
    <w:basedOn w:val="Normal"/>
    <w:uiPriority w:val="34"/>
    <w:qFormat/>
    <w:rsid w:val="2D986274"/>
    <w:pPr>
      <w:ind w:left="800"/>
    </w:pPr>
    <w:rPr>
      <w:rFonts w:ascii="Verdana" w:eastAsia="Times New Roman" w:hAnsi="Verdana"/>
      <w:sz w:val="20"/>
      <w:szCs w:val="20"/>
      <w:lang w:val="nl-NL" w:eastAsia="nl-NL"/>
    </w:rPr>
  </w:style>
  <w:style w:type="paragraph" w:customStyle="1" w:styleId="IPPParagraphnumbering">
    <w:name w:val="IPP Paragraph numbering"/>
    <w:basedOn w:val="IPPNormal"/>
    <w:link w:val="IPPParagraphnumberingChar"/>
    <w:qFormat/>
    <w:rsid w:val="007A1D44"/>
    <w:pPr>
      <w:numPr>
        <w:numId w:val="14"/>
      </w:numPr>
    </w:pPr>
    <w:rPr>
      <w:lang w:val="en-US"/>
    </w:rPr>
  </w:style>
  <w:style w:type="paragraph" w:customStyle="1" w:styleId="IPPParagraphnumberingclose">
    <w:name w:val="IPP Paragraph numbering close"/>
    <w:basedOn w:val="IPPParagraphnumbering"/>
    <w:qFormat/>
    <w:rsid w:val="007A1D44"/>
    <w:pPr>
      <w:keepNext/>
      <w:spacing w:after="60"/>
    </w:pPr>
  </w:style>
  <w:style w:type="paragraph" w:customStyle="1" w:styleId="IPPNumberedListLast">
    <w:name w:val="IPP NumberedListLast"/>
    <w:basedOn w:val="IPPNumberedList"/>
    <w:qFormat/>
    <w:rsid w:val="007A1D44"/>
    <w:pPr>
      <w:spacing w:after="180"/>
    </w:pPr>
  </w:style>
  <w:style w:type="character" w:customStyle="1" w:styleId="IPPNormalChar">
    <w:name w:val="IPP Normal Char"/>
    <w:link w:val="IPPNormal"/>
    <w:rsid w:val="006D0900"/>
    <w:rPr>
      <w:rFonts w:ascii="Times New Roman" w:eastAsia="Times" w:hAnsi="Times New Roman" w:cs="Times New Roman"/>
      <w:szCs w:val="24"/>
    </w:rPr>
  </w:style>
  <w:style w:type="paragraph" w:styleId="NoSpacing">
    <w:name w:val="No Spacing"/>
    <w:uiPriority w:val="1"/>
    <w:qFormat/>
    <w:rsid w:val="006D0900"/>
    <w:pPr>
      <w:spacing w:after="0" w:line="240" w:lineRule="auto"/>
    </w:pPr>
    <w:rPr>
      <w:lang w:val="ru-RU"/>
    </w:rPr>
  </w:style>
  <w:style w:type="paragraph" w:styleId="Revision">
    <w:name w:val="Revision"/>
    <w:hidden/>
    <w:uiPriority w:val="99"/>
    <w:semiHidden/>
    <w:rsid w:val="00751D88"/>
    <w:pPr>
      <w:spacing w:after="0" w:line="240" w:lineRule="auto"/>
    </w:pPr>
    <w:rPr>
      <w:rFonts w:ascii="Times New Roman" w:eastAsia="MS Mincho" w:hAnsi="Times New Roman" w:cs="Times New Roman"/>
      <w:szCs w:val="24"/>
    </w:rPr>
  </w:style>
  <w:style w:type="character" w:styleId="Hyperlink">
    <w:name w:val="Hyperlink"/>
    <w:basedOn w:val="DefaultParagraphFont"/>
    <w:unhideWhenUsed/>
    <w:rsid w:val="007A1D44"/>
    <w:rPr>
      <w:color w:val="0000FF"/>
      <w:u w:val="single"/>
    </w:rPr>
  </w:style>
  <w:style w:type="paragraph" w:customStyle="1" w:styleId="BVIfnrCarattereCharCharCharCarattereCharCharCharCharCharChar1CharCharCharCarattereChar">
    <w:name w:val="BVI fnr Carattere Char Char Char Carattere Char Char Char Char Char Char1 Char Char Char Carattere Char"/>
    <w:basedOn w:val="Normal"/>
    <w:link w:val="FootnoteReference"/>
    <w:uiPriority w:val="1"/>
    <w:rsid w:val="2D986274"/>
    <w:pPr>
      <w:spacing w:after="160"/>
    </w:pPr>
    <w:rPr>
      <w:vertAlign w:val="superscript"/>
    </w:rPr>
  </w:style>
  <w:style w:type="character" w:customStyle="1" w:styleId="IPPParagraphnumberingChar">
    <w:name w:val="IPP Paragraph numbering Char"/>
    <w:basedOn w:val="DefaultParagraphFont"/>
    <w:link w:val="IPPParagraphnumbering"/>
    <w:rsid w:val="00165BFB"/>
    <w:rPr>
      <w:rFonts w:ascii="Times New Roman" w:eastAsia="Times" w:hAnsi="Times New Roman" w:cs="Times New Roman"/>
      <w:szCs w:val="24"/>
      <w:lang w:val="en-US"/>
    </w:rPr>
  </w:style>
  <w:style w:type="character" w:styleId="FollowedHyperlink">
    <w:name w:val="FollowedHyperlink"/>
    <w:basedOn w:val="DefaultParagraphFont"/>
    <w:semiHidden/>
    <w:unhideWhenUsed/>
    <w:rsid w:val="007A1D44"/>
    <w:rPr>
      <w:color w:val="954F72" w:themeColor="followedHyperlink"/>
      <w:u w:val="single"/>
    </w:rPr>
  </w:style>
  <w:style w:type="paragraph" w:customStyle="1" w:styleId="paragraph">
    <w:name w:val="paragraph"/>
    <w:basedOn w:val="Normal"/>
    <w:uiPriority w:val="1"/>
    <w:rsid w:val="2D986274"/>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D61DBC"/>
  </w:style>
  <w:style w:type="character" w:customStyle="1" w:styleId="eop">
    <w:name w:val="eop"/>
    <w:basedOn w:val="DefaultParagraphFont"/>
    <w:rsid w:val="00D61DBC"/>
  </w:style>
  <w:style w:type="paragraph" w:styleId="NormalWeb">
    <w:name w:val="Normal (Web)"/>
    <w:basedOn w:val="Normal"/>
    <w:uiPriority w:val="99"/>
    <w:semiHidden/>
    <w:unhideWhenUsed/>
    <w:rsid w:val="2D986274"/>
    <w:pPr>
      <w:spacing w:beforeAutospacing="1" w:afterAutospacing="1"/>
      <w:jc w:val="left"/>
    </w:pPr>
    <w:rPr>
      <w:rFonts w:eastAsia="Times New Roman"/>
      <w:sz w:val="24"/>
      <w:szCs w:val="24"/>
      <w:lang w:val="en-US"/>
    </w:rPr>
  </w:style>
  <w:style w:type="character" w:styleId="UnresolvedMention">
    <w:name w:val="Unresolved Mention"/>
    <w:basedOn w:val="DefaultParagraphFont"/>
    <w:uiPriority w:val="99"/>
    <w:semiHidden/>
    <w:unhideWhenUsed/>
    <w:rsid w:val="001D42AE"/>
    <w:rPr>
      <w:color w:val="605E5C"/>
      <w:shd w:val="clear" w:color="auto" w:fill="E1DFDD"/>
    </w:rPr>
  </w:style>
  <w:style w:type="character" w:styleId="Mention">
    <w:name w:val="Mention"/>
    <w:basedOn w:val="DefaultParagraphFont"/>
    <w:uiPriority w:val="99"/>
    <w:unhideWhenUsed/>
    <w:rsid w:val="00AD58F8"/>
    <w:rPr>
      <w:color w:val="2B579A"/>
      <w:shd w:val="clear" w:color="auto" w:fill="E1DFDD"/>
    </w:rPr>
  </w:style>
  <w:style w:type="paragraph" w:customStyle="1" w:styleId="xxxxxmsonormal">
    <w:name w:val="x_x_x_x_x_msonormal"/>
    <w:basedOn w:val="Normal"/>
    <w:uiPriority w:val="1"/>
    <w:rsid w:val="2D986274"/>
    <w:pPr>
      <w:spacing w:beforeAutospacing="1" w:afterAutospacing="1"/>
      <w:jc w:val="left"/>
    </w:pPr>
    <w:rPr>
      <w:rFonts w:eastAsia="Times New Roman"/>
      <w:sz w:val="24"/>
      <w:szCs w:val="24"/>
      <w:lang w:val="en-US"/>
    </w:rPr>
  </w:style>
  <w:style w:type="paragraph" w:customStyle="1" w:styleId="IPPPargraphnumbering">
    <w:name w:val="IPP Pargraph numbering"/>
    <w:basedOn w:val="IPPNormal"/>
    <w:qFormat/>
    <w:rsid w:val="006201B1"/>
    <w:pPr>
      <w:tabs>
        <w:tab w:val="num" w:pos="360"/>
      </w:tabs>
    </w:pPr>
    <w:rPr>
      <w:lang w:val="en-US" w:eastAsia="zh-CN"/>
    </w:rPr>
  </w:style>
  <w:style w:type="character" w:customStyle="1" w:styleId="IPPBullet1Char">
    <w:name w:val="IPP Bullet1 Char"/>
    <w:link w:val="IPPBullet1"/>
    <w:rsid w:val="00676262"/>
    <w:rPr>
      <w:rFonts w:ascii="Times New Roman" w:eastAsia="Times" w:hAnsi="Times New Roman" w:cs="Times New Roman"/>
      <w:szCs w:val="24"/>
      <w:lang w:val="en-US"/>
    </w:rPr>
  </w:style>
  <w:style w:type="paragraph" w:customStyle="1" w:styleId="font-claude-response-body">
    <w:name w:val="font-claude-response-body"/>
    <w:basedOn w:val="Normal"/>
    <w:uiPriority w:val="1"/>
    <w:rsid w:val="2D986274"/>
    <w:pPr>
      <w:spacing w:beforeAutospacing="1" w:afterAutospacing="1"/>
      <w:jc w:val="left"/>
    </w:pPr>
    <w:rPr>
      <w:rFonts w:eastAsia="Times New Roman"/>
      <w:sz w:val="24"/>
      <w:szCs w:val="24"/>
      <w:lang w:val="en-US"/>
    </w:rPr>
  </w:style>
  <w:style w:type="paragraph" w:customStyle="1" w:styleId="SequentialList">
    <w:name w:val="Sequential List"/>
    <w:basedOn w:val="ListParagraph"/>
    <w:qFormat/>
    <w:rsid w:val="00EA741D"/>
    <w:pPr>
      <w:numPr>
        <w:numId w:val="15"/>
      </w:numPr>
      <w:spacing w:after="200" w:line="240" w:lineRule="auto"/>
    </w:pPr>
    <w:rPr>
      <w:rFonts w:ascii="Times New Roman" w:hAnsi="Times New Roman" w:cs="Akhbar MT"/>
      <w:szCs w:val="30"/>
    </w:rPr>
  </w:style>
  <w:style w:type="numbering" w:customStyle="1" w:styleId="WesternSequentialList">
    <w:name w:val="Western Sequential List"/>
    <w:uiPriority w:val="99"/>
    <w:rsid w:val="00EA741D"/>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4124">
      <w:bodyDiv w:val="1"/>
      <w:marLeft w:val="0"/>
      <w:marRight w:val="0"/>
      <w:marTop w:val="0"/>
      <w:marBottom w:val="0"/>
      <w:divBdr>
        <w:top w:val="none" w:sz="0" w:space="0" w:color="auto"/>
        <w:left w:val="none" w:sz="0" w:space="0" w:color="auto"/>
        <w:bottom w:val="none" w:sz="0" w:space="0" w:color="auto"/>
        <w:right w:val="none" w:sz="0" w:space="0" w:color="auto"/>
      </w:divBdr>
    </w:div>
    <w:div w:id="40714037">
      <w:bodyDiv w:val="1"/>
      <w:marLeft w:val="0"/>
      <w:marRight w:val="0"/>
      <w:marTop w:val="0"/>
      <w:marBottom w:val="0"/>
      <w:divBdr>
        <w:top w:val="none" w:sz="0" w:space="0" w:color="auto"/>
        <w:left w:val="none" w:sz="0" w:space="0" w:color="auto"/>
        <w:bottom w:val="none" w:sz="0" w:space="0" w:color="auto"/>
        <w:right w:val="none" w:sz="0" w:space="0" w:color="auto"/>
      </w:divBdr>
    </w:div>
    <w:div w:id="126165336">
      <w:bodyDiv w:val="1"/>
      <w:marLeft w:val="0"/>
      <w:marRight w:val="0"/>
      <w:marTop w:val="0"/>
      <w:marBottom w:val="0"/>
      <w:divBdr>
        <w:top w:val="none" w:sz="0" w:space="0" w:color="auto"/>
        <w:left w:val="none" w:sz="0" w:space="0" w:color="auto"/>
        <w:bottom w:val="none" w:sz="0" w:space="0" w:color="auto"/>
        <w:right w:val="none" w:sz="0" w:space="0" w:color="auto"/>
      </w:divBdr>
    </w:div>
    <w:div w:id="202207180">
      <w:bodyDiv w:val="1"/>
      <w:marLeft w:val="0"/>
      <w:marRight w:val="0"/>
      <w:marTop w:val="0"/>
      <w:marBottom w:val="0"/>
      <w:divBdr>
        <w:top w:val="none" w:sz="0" w:space="0" w:color="auto"/>
        <w:left w:val="none" w:sz="0" w:space="0" w:color="auto"/>
        <w:bottom w:val="none" w:sz="0" w:space="0" w:color="auto"/>
        <w:right w:val="none" w:sz="0" w:space="0" w:color="auto"/>
      </w:divBdr>
      <w:divsChild>
        <w:div w:id="198980697">
          <w:marLeft w:val="0"/>
          <w:marRight w:val="0"/>
          <w:marTop w:val="0"/>
          <w:marBottom w:val="0"/>
          <w:divBdr>
            <w:top w:val="none" w:sz="0" w:space="0" w:color="auto"/>
            <w:left w:val="none" w:sz="0" w:space="0" w:color="auto"/>
            <w:bottom w:val="none" w:sz="0" w:space="0" w:color="auto"/>
            <w:right w:val="none" w:sz="0" w:space="0" w:color="auto"/>
          </w:divBdr>
        </w:div>
        <w:div w:id="1023748087">
          <w:marLeft w:val="0"/>
          <w:marRight w:val="0"/>
          <w:marTop w:val="0"/>
          <w:marBottom w:val="0"/>
          <w:divBdr>
            <w:top w:val="none" w:sz="0" w:space="0" w:color="auto"/>
            <w:left w:val="none" w:sz="0" w:space="0" w:color="auto"/>
            <w:bottom w:val="none" w:sz="0" w:space="0" w:color="auto"/>
            <w:right w:val="none" w:sz="0" w:space="0" w:color="auto"/>
          </w:divBdr>
        </w:div>
        <w:div w:id="1995643476">
          <w:marLeft w:val="0"/>
          <w:marRight w:val="0"/>
          <w:marTop w:val="0"/>
          <w:marBottom w:val="0"/>
          <w:divBdr>
            <w:top w:val="none" w:sz="0" w:space="0" w:color="auto"/>
            <w:left w:val="none" w:sz="0" w:space="0" w:color="auto"/>
            <w:bottom w:val="none" w:sz="0" w:space="0" w:color="auto"/>
            <w:right w:val="none" w:sz="0" w:space="0" w:color="auto"/>
          </w:divBdr>
        </w:div>
      </w:divsChild>
    </w:div>
    <w:div w:id="255944077">
      <w:bodyDiv w:val="1"/>
      <w:marLeft w:val="0"/>
      <w:marRight w:val="0"/>
      <w:marTop w:val="0"/>
      <w:marBottom w:val="0"/>
      <w:divBdr>
        <w:top w:val="none" w:sz="0" w:space="0" w:color="auto"/>
        <w:left w:val="none" w:sz="0" w:space="0" w:color="auto"/>
        <w:bottom w:val="none" w:sz="0" w:space="0" w:color="auto"/>
        <w:right w:val="none" w:sz="0" w:space="0" w:color="auto"/>
      </w:divBdr>
    </w:div>
    <w:div w:id="298073191">
      <w:bodyDiv w:val="1"/>
      <w:marLeft w:val="0"/>
      <w:marRight w:val="0"/>
      <w:marTop w:val="0"/>
      <w:marBottom w:val="0"/>
      <w:divBdr>
        <w:top w:val="none" w:sz="0" w:space="0" w:color="auto"/>
        <w:left w:val="none" w:sz="0" w:space="0" w:color="auto"/>
        <w:bottom w:val="none" w:sz="0" w:space="0" w:color="auto"/>
        <w:right w:val="none" w:sz="0" w:space="0" w:color="auto"/>
      </w:divBdr>
    </w:div>
    <w:div w:id="471295605">
      <w:bodyDiv w:val="1"/>
      <w:marLeft w:val="0"/>
      <w:marRight w:val="0"/>
      <w:marTop w:val="0"/>
      <w:marBottom w:val="0"/>
      <w:divBdr>
        <w:top w:val="none" w:sz="0" w:space="0" w:color="auto"/>
        <w:left w:val="none" w:sz="0" w:space="0" w:color="auto"/>
        <w:bottom w:val="none" w:sz="0" w:space="0" w:color="auto"/>
        <w:right w:val="none" w:sz="0" w:space="0" w:color="auto"/>
      </w:divBdr>
      <w:divsChild>
        <w:div w:id="177012776">
          <w:marLeft w:val="0"/>
          <w:marRight w:val="0"/>
          <w:marTop w:val="0"/>
          <w:marBottom w:val="0"/>
          <w:divBdr>
            <w:top w:val="none" w:sz="0" w:space="0" w:color="auto"/>
            <w:left w:val="none" w:sz="0" w:space="0" w:color="auto"/>
            <w:bottom w:val="none" w:sz="0" w:space="0" w:color="auto"/>
            <w:right w:val="none" w:sz="0" w:space="0" w:color="auto"/>
          </w:divBdr>
        </w:div>
        <w:div w:id="301859385">
          <w:marLeft w:val="0"/>
          <w:marRight w:val="0"/>
          <w:marTop w:val="0"/>
          <w:marBottom w:val="0"/>
          <w:divBdr>
            <w:top w:val="none" w:sz="0" w:space="0" w:color="auto"/>
            <w:left w:val="none" w:sz="0" w:space="0" w:color="auto"/>
            <w:bottom w:val="none" w:sz="0" w:space="0" w:color="auto"/>
            <w:right w:val="none" w:sz="0" w:space="0" w:color="auto"/>
          </w:divBdr>
        </w:div>
        <w:div w:id="338849085">
          <w:marLeft w:val="0"/>
          <w:marRight w:val="0"/>
          <w:marTop w:val="0"/>
          <w:marBottom w:val="0"/>
          <w:divBdr>
            <w:top w:val="none" w:sz="0" w:space="0" w:color="auto"/>
            <w:left w:val="none" w:sz="0" w:space="0" w:color="auto"/>
            <w:bottom w:val="none" w:sz="0" w:space="0" w:color="auto"/>
            <w:right w:val="none" w:sz="0" w:space="0" w:color="auto"/>
          </w:divBdr>
        </w:div>
        <w:div w:id="1097679580">
          <w:marLeft w:val="0"/>
          <w:marRight w:val="0"/>
          <w:marTop w:val="0"/>
          <w:marBottom w:val="0"/>
          <w:divBdr>
            <w:top w:val="none" w:sz="0" w:space="0" w:color="auto"/>
            <w:left w:val="none" w:sz="0" w:space="0" w:color="auto"/>
            <w:bottom w:val="none" w:sz="0" w:space="0" w:color="auto"/>
            <w:right w:val="none" w:sz="0" w:space="0" w:color="auto"/>
          </w:divBdr>
        </w:div>
      </w:divsChild>
    </w:div>
    <w:div w:id="512495827">
      <w:bodyDiv w:val="1"/>
      <w:marLeft w:val="0"/>
      <w:marRight w:val="0"/>
      <w:marTop w:val="0"/>
      <w:marBottom w:val="0"/>
      <w:divBdr>
        <w:top w:val="none" w:sz="0" w:space="0" w:color="auto"/>
        <w:left w:val="none" w:sz="0" w:space="0" w:color="auto"/>
        <w:bottom w:val="none" w:sz="0" w:space="0" w:color="auto"/>
        <w:right w:val="none" w:sz="0" w:space="0" w:color="auto"/>
      </w:divBdr>
    </w:div>
    <w:div w:id="848560842">
      <w:bodyDiv w:val="1"/>
      <w:marLeft w:val="0"/>
      <w:marRight w:val="0"/>
      <w:marTop w:val="0"/>
      <w:marBottom w:val="0"/>
      <w:divBdr>
        <w:top w:val="none" w:sz="0" w:space="0" w:color="auto"/>
        <w:left w:val="none" w:sz="0" w:space="0" w:color="auto"/>
        <w:bottom w:val="none" w:sz="0" w:space="0" w:color="auto"/>
        <w:right w:val="none" w:sz="0" w:space="0" w:color="auto"/>
      </w:divBdr>
    </w:div>
    <w:div w:id="864251697">
      <w:bodyDiv w:val="1"/>
      <w:marLeft w:val="0"/>
      <w:marRight w:val="0"/>
      <w:marTop w:val="0"/>
      <w:marBottom w:val="0"/>
      <w:divBdr>
        <w:top w:val="none" w:sz="0" w:space="0" w:color="auto"/>
        <w:left w:val="none" w:sz="0" w:space="0" w:color="auto"/>
        <w:bottom w:val="none" w:sz="0" w:space="0" w:color="auto"/>
        <w:right w:val="none" w:sz="0" w:space="0" w:color="auto"/>
      </w:divBdr>
    </w:div>
    <w:div w:id="1351182274">
      <w:bodyDiv w:val="1"/>
      <w:marLeft w:val="0"/>
      <w:marRight w:val="0"/>
      <w:marTop w:val="0"/>
      <w:marBottom w:val="0"/>
      <w:divBdr>
        <w:top w:val="none" w:sz="0" w:space="0" w:color="auto"/>
        <w:left w:val="none" w:sz="0" w:space="0" w:color="auto"/>
        <w:bottom w:val="none" w:sz="0" w:space="0" w:color="auto"/>
        <w:right w:val="none" w:sz="0" w:space="0" w:color="auto"/>
      </w:divBdr>
    </w:div>
    <w:div w:id="1390227105">
      <w:bodyDiv w:val="1"/>
      <w:marLeft w:val="0"/>
      <w:marRight w:val="0"/>
      <w:marTop w:val="0"/>
      <w:marBottom w:val="0"/>
      <w:divBdr>
        <w:top w:val="none" w:sz="0" w:space="0" w:color="auto"/>
        <w:left w:val="none" w:sz="0" w:space="0" w:color="auto"/>
        <w:bottom w:val="none" w:sz="0" w:space="0" w:color="auto"/>
        <w:right w:val="none" w:sz="0" w:space="0" w:color="auto"/>
      </w:divBdr>
      <w:divsChild>
        <w:div w:id="559679784">
          <w:marLeft w:val="0"/>
          <w:marRight w:val="0"/>
          <w:marTop w:val="0"/>
          <w:marBottom w:val="0"/>
          <w:divBdr>
            <w:top w:val="none" w:sz="0" w:space="0" w:color="auto"/>
            <w:left w:val="none" w:sz="0" w:space="0" w:color="auto"/>
            <w:bottom w:val="none" w:sz="0" w:space="0" w:color="auto"/>
            <w:right w:val="none" w:sz="0" w:space="0" w:color="auto"/>
          </w:divBdr>
        </w:div>
        <w:div w:id="1441102459">
          <w:marLeft w:val="0"/>
          <w:marRight w:val="0"/>
          <w:marTop w:val="0"/>
          <w:marBottom w:val="0"/>
          <w:divBdr>
            <w:top w:val="none" w:sz="0" w:space="0" w:color="auto"/>
            <w:left w:val="none" w:sz="0" w:space="0" w:color="auto"/>
            <w:bottom w:val="none" w:sz="0" w:space="0" w:color="auto"/>
            <w:right w:val="none" w:sz="0" w:space="0" w:color="auto"/>
          </w:divBdr>
        </w:div>
        <w:div w:id="1967926786">
          <w:marLeft w:val="0"/>
          <w:marRight w:val="0"/>
          <w:marTop w:val="0"/>
          <w:marBottom w:val="0"/>
          <w:divBdr>
            <w:top w:val="none" w:sz="0" w:space="0" w:color="auto"/>
            <w:left w:val="none" w:sz="0" w:space="0" w:color="auto"/>
            <w:bottom w:val="none" w:sz="0" w:space="0" w:color="auto"/>
            <w:right w:val="none" w:sz="0" w:space="0" w:color="auto"/>
          </w:divBdr>
        </w:div>
        <w:div w:id="2008634735">
          <w:marLeft w:val="0"/>
          <w:marRight w:val="0"/>
          <w:marTop w:val="0"/>
          <w:marBottom w:val="0"/>
          <w:divBdr>
            <w:top w:val="none" w:sz="0" w:space="0" w:color="auto"/>
            <w:left w:val="none" w:sz="0" w:space="0" w:color="auto"/>
            <w:bottom w:val="none" w:sz="0" w:space="0" w:color="auto"/>
            <w:right w:val="none" w:sz="0" w:space="0" w:color="auto"/>
          </w:divBdr>
        </w:div>
      </w:divsChild>
    </w:div>
    <w:div w:id="1935432769">
      <w:bodyDiv w:val="1"/>
      <w:marLeft w:val="0"/>
      <w:marRight w:val="0"/>
      <w:marTop w:val="0"/>
      <w:marBottom w:val="0"/>
      <w:divBdr>
        <w:top w:val="none" w:sz="0" w:space="0" w:color="auto"/>
        <w:left w:val="none" w:sz="0" w:space="0" w:color="auto"/>
        <w:bottom w:val="none" w:sz="0" w:space="0" w:color="auto"/>
        <w:right w:val="none" w:sz="0" w:space="0" w:color="auto"/>
      </w:divBdr>
      <w:divsChild>
        <w:div w:id="235632197">
          <w:marLeft w:val="0"/>
          <w:marRight w:val="0"/>
          <w:marTop w:val="0"/>
          <w:marBottom w:val="0"/>
          <w:divBdr>
            <w:top w:val="none" w:sz="0" w:space="0" w:color="auto"/>
            <w:left w:val="none" w:sz="0" w:space="0" w:color="auto"/>
            <w:bottom w:val="none" w:sz="0" w:space="0" w:color="auto"/>
            <w:right w:val="none" w:sz="0" w:space="0" w:color="auto"/>
          </w:divBdr>
        </w:div>
        <w:div w:id="565920987">
          <w:marLeft w:val="0"/>
          <w:marRight w:val="0"/>
          <w:marTop w:val="0"/>
          <w:marBottom w:val="0"/>
          <w:divBdr>
            <w:top w:val="none" w:sz="0" w:space="0" w:color="auto"/>
            <w:left w:val="none" w:sz="0" w:space="0" w:color="auto"/>
            <w:bottom w:val="none" w:sz="0" w:space="0" w:color="auto"/>
            <w:right w:val="none" w:sz="0" w:space="0" w:color="auto"/>
          </w:divBdr>
        </w:div>
        <w:div w:id="887424005">
          <w:marLeft w:val="0"/>
          <w:marRight w:val="0"/>
          <w:marTop w:val="0"/>
          <w:marBottom w:val="0"/>
          <w:divBdr>
            <w:top w:val="none" w:sz="0" w:space="0" w:color="auto"/>
            <w:left w:val="none" w:sz="0" w:space="0" w:color="auto"/>
            <w:bottom w:val="none" w:sz="0" w:space="0" w:color="auto"/>
            <w:right w:val="none" w:sz="0" w:space="0" w:color="auto"/>
          </w:divBdr>
        </w:div>
      </w:divsChild>
    </w:div>
    <w:div w:id="209520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publications/1036/" TargetMode="External"/><Relationship Id="rId1" Type="http://schemas.openxmlformats.org/officeDocument/2006/relationships/hyperlink" Target="https://www.ippc.int/en/publications/87113/"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b72606be95184b31bbffc9f10e45c298">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904f0f7eebb84c862977ddae8185dd6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B247EB-A22E-41E2-9717-0F960BF1F61F}">
  <ds:schemaRefs>
    <ds:schemaRef ds:uri="http://schemas.openxmlformats.org/officeDocument/2006/bibliography"/>
  </ds:schemaRefs>
</ds:datastoreItem>
</file>

<file path=customXml/itemProps2.xml><?xml version="1.0" encoding="utf-8"?>
<ds:datastoreItem xmlns:ds="http://schemas.openxmlformats.org/officeDocument/2006/customXml" ds:itemID="{104338CB-7120-4116-B111-55BCBE781594}">
  <ds:schemaRefs>
    <ds:schemaRef ds:uri="ea6feb38-a85a-45e8-92e9-814486bbe375"/>
    <ds:schemaRef ds:uri="http://schemas.microsoft.com/office/2006/metadata/propertie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a05d7f75-f42e-4288-8809-604fd4d9691f"/>
    <ds:schemaRef ds:uri="http://purl.org/dc/terms/"/>
  </ds:schemaRefs>
</ds:datastoreItem>
</file>

<file path=customXml/itemProps3.xml><?xml version="1.0" encoding="utf-8"?>
<ds:datastoreItem xmlns:ds="http://schemas.openxmlformats.org/officeDocument/2006/customXml" ds:itemID="{B96355B6-9B7D-4AE4-A5A5-EF5A7E0FE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E1C735-C946-4D80-8934-35A6866487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IPPC_2024-06-17</Template>
  <TotalTime>1</TotalTime>
  <Pages>4</Pages>
  <Words>1226</Words>
  <Characters>7676</Characters>
  <Application>Microsoft Office Word</Application>
  <DocSecurity>0</DocSecurity>
  <Lines>150</Lines>
  <Paragraphs>101</Paragraphs>
  <ScaleCrop>false</ScaleCrop>
  <Company>FAO of the UN</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Larson, Brent (AGDI)</dc:creator>
  <cp:keywords/>
  <dc:description/>
  <cp:lastModifiedBy>Cassin, Aoife (NSPD)</cp:lastModifiedBy>
  <cp:revision>242</cp:revision>
  <cp:lastPrinted>2026-01-23T15:55:00Z</cp:lastPrinted>
  <dcterms:created xsi:type="dcterms:W3CDTF">2026-02-11T11:46:00Z</dcterms:created>
  <dcterms:modified xsi:type="dcterms:W3CDTF">2026-02-25T19:34:00Z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ClassificationContentMarkingHeaderShapeIds">
    <vt:lpwstr>4e24c07f,1993cd9f,1571a830</vt:lpwstr>
  </property>
  <property fmtid="{D5CDD505-2E9C-101B-9397-08002B2CF9AE}" pid="5" name="ClassificationContentMarkingHeaderFontProps">
    <vt:lpwstr>#ff0000,12,Calibri</vt:lpwstr>
  </property>
  <property fmtid="{D5CDD505-2E9C-101B-9397-08002B2CF9AE}" pid="6" name="ClassificationContentMarkingHeaderText">
    <vt:lpwstr>OFFICIAL</vt:lpwstr>
  </property>
  <property fmtid="{D5CDD505-2E9C-101B-9397-08002B2CF9AE}" pid="7" name="ClassificationContentMarkingFooterShapeIds">
    <vt:lpwstr>400396b8,11dafd55,5584c14d</vt:lpwstr>
  </property>
  <property fmtid="{D5CDD505-2E9C-101B-9397-08002B2CF9AE}" pid="8" name="ClassificationContentMarkingFooterFontProps">
    <vt:lpwstr>#ff0000,12,Calibri</vt:lpwstr>
  </property>
  <property fmtid="{D5CDD505-2E9C-101B-9397-08002B2CF9AE}" pid="9" name="ClassificationContentMarkingFooterText">
    <vt:lpwstr>OFFICIAL</vt:lpwstr>
  </property>
  <property fmtid="{D5CDD505-2E9C-101B-9397-08002B2CF9AE}" pid="10" name="MSIP_Label_933d8be6-3c40-4052-87a2-9c2adcba8759_Enabled">
    <vt:lpwstr>true</vt:lpwstr>
  </property>
  <property fmtid="{D5CDD505-2E9C-101B-9397-08002B2CF9AE}" pid="11" name="MSIP_Label_933d8be6-3c40-4052-87a2-9c2adcba8759_SetDate">
    <vt:lpwstr>2024-12-16T03:39:04Z</vt:lpwstr>
  </property>
  <property fmtid="{D5CDD505-2E9C-101B-9397-08002B2CF9AE}" pid="12" name="MSIP_Label_933d8be6-3c40-4052-87a2-9c2adcba8759_Method">
    <vt:lpwstr>Privileged</vt:lpwstr>
  </property>
  <property fmtid="{D5CDD505-2E9C-101B-9397-08002B2CF9AE}" pid="13" name="MSIP_Label_933d8be6-3c40-4052-87a2-9c2adcba8759_Name">
    <vt:lpwstr>OFFICIAL</vt:lpwstr>
  </property>
  <property fmtid="{D5CDD505-2E9C-101B-9397-08002B2CF9AE}" pid="14" name="MSIP_Label_933d8be6-3c40-4052-87a2-9c2adcba8759_SiteId">
    <vt:lpwstr>2be67eb7-400c-4b3f-a5a1-1258c0da0696</vt:lpwstr>
  </property>
  <property fmtid="{D5CDD505-2E9C-101B-9397-08002B2CF9AE}" pid="15" name="MSIP_Label_933d8be6-3c40-4052-87a2-9c2adcba8759_ActionId">
    <vt:lpwstr>63e2defe-9b94-4b99-a43e-b2e4aa72c1bf</vt:lpwstr>
  </property>
  <property fmtid="{D5CDD505-2E9C-101B-9397-08002B2CF9AE}" pid="16" name="MSIP_Label_933d8be6-3c40-4052-87a2-9c2adcba8759_ContentBits">
    <vt:lpwstr>3</vt:lpwstr>
  </property>
  <property fmtid="{D5CDD505-2E9C-101B-9397-08002B2CF9AE}" pid="17" name="docLang">
    <vt:lpwstr>en</vt:lpwstr>
  </property>
</Properties>
</file>