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Relationships xmlns="http://schemas.openxmlformats.org/package/2006/relationships"><Relationship Type="http://schemas.openxmlformats.org/officeDocument/2006/relationships/extended-properties" Target="docProps/app.xml" Id="rId3" /><Relationship Type="http://schemas.openxmlformats.org/package/2006/relationships/metadata/core-properties" Target="docProps/core.xml" Id="rId2" /><Relationship Type="http://schemas.openxmlformats.org/officeDocument/2006/relationships/officeDocument" Target="word/document.xml" Id="rId1" /><Relationship Type="http://schemas.openxmlformats.org/officeDocument/2006/relationships/custom-properties" Target="docProps/custom.xml" Id="rId4" /></Relationships>
</file>

<file path=word/document.xml><?xml version="1.0" encoding="utf-8"?>
<w:document xmlns:tara="kcentrix:tara" xmlns:w="http://schemas.openxmlformats.org/wordprocessingml/2006/main" xmlns:a="http://schemas.openxmlformats.org/drawingml/2006/main" xmlns:pic="http://schemas.openxmlformats.org/drawingml/2006/picture" xmlns:a14="http://schemas.microsoft.com/office/drawing/2010/main" xmlns:w16du="http://schemas.microsoft.com/office/word/2023/wordml/word16du"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pPr>
        <w:jc w:val="center"/>
      </w:pPr>
      <w:r>
        <w:rPr>
          <w:sz w:val="20"/>
          <w:rStyle w:val="PleaseReviewParagraphId"/>
          <w:noProof/>
        </w:rPr>
        <w:t>[PleaseReview document review. Review title: 2024 consultation: Draft annex to ISPM 27: Meloidogyne mali. (2018-019). Document title: 2018-019_DP_M_mali.docx]</w:t>
      </w:r>
    </w:p>
    <w:p w14:paraId="3BA235BB" w14:textId="48B84413">
      <w:pPr>
        <w:pStyle w:val="Heading2"/>
        <w:rPr>
          <w:rFonts w:ascii="Times New Roman" w:hAnsi="Times New Roman"/>
          <w:color w:val="000000" w:themeColor="text1"/>
        </w:rPr>
      </w:pPr>
      <w:r>
        <w:rPr>
          <w:rStyle w:val="PleaseReviewParagraphId"/>
          <w:b w:val="off"/>
          <w:i w:val="off"/>
        </w:rPr>
        <w:t>[1]</w:t>
      </w:r>
      <w:r>
        <w:rPr>
          <w:rFonts w:ascii="Times New Roman" w:hAnsi="Times New Roman"/>
          <w:i w:val="0"/>
          <w:iCs w:val="0"/>
          <w:color w:val="000000" w:themeColor="text1"/>
        </w:rPr>
        <w:t>DRAFT ANNEX TO ISPM 27</w:t>
      </w:r>
      <w:r>
        <w:rPr>
          <w:rFonts w:ascii="Times New Roman" w:hAnsi="Times New Roman"/>
          <w:color w:val="000000" w:themeColor="text1"/>
        </w:rPr>
        <w:t xml:space="preserve">: Meloidogyne mali </w:t>
      </w:r>
      <w:r>
        <w:rPr>
          <w:rFonts w:ascii="Times New Roman" w:hAnsi="Times New Roman"/>
          <w:i w:val="0"/>
          <w:iCs w:val="0"/>
          <w:color w:val="000000" w:themeColor="text1"/>
        </w:rPr>
        <w:t>(2018-019)</w:t>
      </w:r>
    </w:p>
    <w:tbl>
      <w:tblPr>
        <w:tblStyle w:val="TableNormal1"/>
        <w:tblW w:w="5017" w:type="pct"/>
        <w:tblInd w:w="-5" w:type="dxa"/>
        <w:tblBorders>
          <w:top w:val="single" w:color="000000" w:sz="4" w:space="0"/>
          <w:left w:val="single" w:color="000000" w:sz="4" w:space="0"/>
          <w:bottom w:val="single" w:color="auto" w:sz="4" w:space="0"/>
          <w:right w:val="single" w:color="000000" w:sz="4" w:space="0"/>
          <w:insideH w:val="single" w:color="000000" w:sz="4" w:space="0"/>
          <w:insideV w:val="single" w:color="000000" w:sz="4" w:space="0"/>
        </w:tblBorders>
        <w:tblLook w:val="01E0" w:firstRow="1" w:lastRow="1" w:firstColumn="1" w:lastColumn="1" w:noHBand="0" w:noVBand="0"/>
      </w:tblPr>
      <w:tblGrid>
        <w:gridCol w:w="2667"/>
        <w:gridCol w:w="6418"/>
      </w:tblGrid>
      <w:tr w14:paraId="3EFACAF0" w14:textId="77777777">
        <w:trPr>
          <w:trHeight w:val="261"/>
        </w:trPr>
        <w:tc xmlns:tara="kcentrix:tara" tara:rowspan="1" tara:colspan="2">
          <w:tcPr>
            <w:tcW w:w="5000" w:type="pct"/>
            <w:gridSpan w:val="2"/>
            <w:shd w:val="clear" w:color="auto" w:fill="D9D9D9" w:themeFill="background1" w:themeFillShade="D9"/>
          </w:tcPr>
          <w:p w14:paraId="19C1E855" w14:textId="208B8E8E">
            <w:pPr>
              <w:pStyle w:val="IPPArialTable"/>
              <w:rPr>
                <w:color w:val="000000" w:themeColor="text1"/>
                <w:lang w:val="en-GB"/>
              </w:rPr>
            </w:pPr>
            <w:r>
              <w:rPr>
                <w:rStyle w:val="PleaseReviewParagraphId"/>
                <w:b w:val="off"/>
                <w:i w:val="off"/>
              </w:rPr>
              <w:t>[2]</w:t>
            </w:r>
            <w:r>
              <w:rPr>
                <w:rFonts w:eastAsia="Arial" w:cs="Arial"/>
                <w:b/>
                <w:color w:val="000000" w:themeColor="text1"/>
                <w:szCs w:val="18"/>
                <w:lang w:val="en-GB"/>
              </w:rPr>
              <w:t>Status box</w:t>
            </w:r>
          </w:p>
        </w:tc>
      </w:tr>
      <w:tr w14:paraId="3DC29548" w14:textId="77777777">
        <w:trPr>
          <w:trHeight w:val="261"/>
        </w:trPr>
        <w:tc xmlns:tara="kcentrix:tara" tara:rowspan="1" tara:colspan="2">
          <w:tcPr>
            <w:tcW w:w="5000" w:type="pct"/>
            <w:gridSpan w:val="2"/>
          </w:tcPr>
          <w:p w14:paraId="5E7EB3BF" w14:textId="4DE1A05C">
            <w:pPr>
              <w:pStyle w:val="IPPArialTable"/>
              <w:rPr>
                <w:color w:val="000000" w:themeColor="text1"/>
                <w:lang w:val="en-GB"/>
              </w:rPr>
            </w:pPr>
            <w:r>
              <w:rPr>
                <w:rStyle w:val="PleaseReviewParagraphId"/>
                <w:b w:val="off"/>
                <w:i w:val="off"/>
              </w:rPr>
              <w:t>[3]</w:t>
            </w:r>
            <w:r>
              <w:rPr>
                <w:rFonts w:eastAsia="Arial" w:cs="Arial"/>
                <w:color w:val="000000" w:themeColor="text1"/>
                <w:szCs w:val="18"/>
                <w:lang w:val="en-GB"/>
              </w:rPr>
              <w:t>This is not an official part of the standard and will be modified after adoption.</w:t>
            </w:r>
          </w:p>
        </w:tc>
      </w:tr>
      <w:tr w14:paraId="00A85E0D" w14:textId="77777777">
        <w:trPr>
          <w:trHeight w:val="261"/>
        </w:trPr>
        <w:tc xmlns:tara="kcentrix:tara" tara:rowspan="1" tara:colspan="1">
          <w:tcPr>
            <w:tcW w:w="1468" w:type="pct"/>
          </w:tcPr>
          <w:p w14:paraId="2885FE82" w14:textId="77777777">
            <w:pPr>
              <w:pStyle w:val="IPPArialTable"/>
              <w:rPr>
                <w:color w:val="000000" w:themeColor="text1"/>
                <w:lang w:val="en-GB"/>
              </w:rPr>
            </w:pPr>
            <w:r>
              <w:rPr>
                <w:rStyle w:val="PleaseReviewParagraphId"/>
                <w:b w:val="off"/>
                <w:i w:val="off"/>
              </w:rPr>
              <w:t>[4]</w:t>
            </w:r>
            <w:r>
              <w:rPr>
                <w:color w:val="000000" w:themeColor="text1"/>
                <w:lang w:val="en-GB"/>
              </w:rPr>
              <w:t>Date of this document</w:t>
            </w:r>
          </w:p>
        </w:tc>
        <w:tc xmlns:tara="kcentrix:tara" tara:rowspan="1" tara:colspan="1">
          <w:tcPr>
            <w:tcW w:w="3532" w:type="pct"/>
          </w:tcPr>
          <w:p w14:paraId="3781911A" w14:textId="510322F2">
            <w:pPr>
              <w:pStyle w:val="IPPArialTable"/>
              <w:rPr>
                <w:color w:val="000000" w:themeColor="text1"/>
                <w:lang w:val="en-GB"/>
              </w:rPr>
            </w:pPr>
            <w:r>
              <w:rPr>
                <w:rStyle w:val="PleaseReviewParagraphId"/>
                <w:b w:val="off"/>
                <w:i w:val="off"/>
              </w:rPr>
              <w:t>[5]</w:t>
            </w:r>
            <w:r>
              <w:rPr>
                <w:color w:val="000000" w:themeColor="text1"/>
                <w:lang w:val="en-GB"/>
              </w:rPr>
              <w:t>2024-06-10</w:t>
            </w:r>
          </w:p>
        </w:tc>
      </w:tr>
      <w:tr w14:paraId="2797E5F7" w14:textId="77777777">
        <w:trPr>
          <w:trHeight w:val="263"/>
        </w:trPr>
        <w:tc xmlns:tara="kcentrix:tara" tara:rowspan="1" tara:colspan="1">
          <w:tcPr>
            <w:tcW w:w="1468" w:type="pct"/>
          </w:tcPr>
          <w:p w14:paraId="562CD6C3" w14:textId="77777777">
            <w:pPr>
              <w:pStyle w:val="IPPArialTable"/>
              <w:rPr>
                <w:color w:val="000000" w:themeColor="text1"/>
                <w:lang w:val="en-GB"/>
              </w:rPr>
            </w:pPr>
            <w:r>
              <w:rPr>
                <w:rStyle w:val="PleaseReviewParagraphId"/>
                <w:b w:val="off"/>
                <w:i w:val="off"/>
              </w:rPr>
              <w:t>[6]</w:t>
            </w:r>
            <w:r>
              <w:rPr>
                <w:color w:val="000000" w:themeColor="text1"/>
                <w:lang w:val="en-GB"/>
              </w:rPr>
              <w:t>Document category</w:t>
            </w:r>
          </w:p>
        </w:tc>
        <w:tc xmlns:tara="kcentrix:tara" tara:rowspan="1" tara:colspan="1">
          <w:tcPr>
            <w:tcW w:w="3532" w:type="pct"/>
          </w:tcPr>
          <w:p w14:paraId="1137DFF8" w14:textId="162EDD57">
            <w:pPr>
              <w:pStyle w:val="IPPArialTable"/>
              <w:rPr>
                <w:color w:val="000000" w:themeColor="text1"/>
                <w:lang w:val="en-GB"/>
              </w:rPr>
            </w:pPr>
            <w:r>
              <w:rPr>
                <w:rStyle w:val="PleaseReviewParagraphId"/>
                <w:b w:val="off"/>
                <w:i w:val="off"/>
              </w:rPr>
              <w:t>[7]</w:t>
            </w:r>
            <w:r>
              <w:rPr>
                <w:color w:val="000000" w:themeColor="text1"/>
                <w:lang w:val="en-GB"/>
              </w:rPr>
              <w:t>Draft new annex to ISPM 27 (</w:t>
            </w:r>
            <w:r>
              <w:rPr>
                <w:i/>
                <w:iCs/>
                <w:color w:val="000000" w:themeColor="text1"/>
                <w:lang w:val="en-GB"/>
              </w:rPr>
              <w:t>Diagnostic protocols for regulated pests</w:t>
            </w:r>
            <w:r>
              <w:rPr>
                <w:color w:val="000000" w:themeColor="text1"/>
                <w:lang w:val="en-GB"/>
              </w:rPr>
              <w:t>)</w:t>
            </w:r>
          </w:p>
        </w:tc>
      </w:tr>
      <w:tr w14:paraId="21633D0E" w14:textId="77777777">
        <w:trPr>
          <w:trHeight w:val="263"/>
        </w:trPr>
        <w:tc xmlns:tara="kcentrix:tara" tara:rowspan="1" tara:colspan="1">
          <w:tcPr>
            <w:tcW w:w="1468" w:type="pct"/>
          </w:tcPr>
          <w:p w14:paraId="095E0967" w14:textId="77777777">
            <w:pPr>
              <w:pStyle w:val="IPPArialTable"/>
              <w:rPr>
                <w:color w:val="000000" w:themeColor="text1"/>
                <w:lang w:val="en-GB"/>
              </w:rPr>
            </w:pPr>
            <w:r>
              <w:rPr>
                <w:rStyle w:val="PleaseReviewParagraphId"/>
                <w:b w:val="off"/>
                <w:i w:val="off"/>
              </w:rPr>
              <w:t>[8]</w:t>
            </w:r>
            <w:r>
              <w:rPr>
                <w:color w:val="000000" w:themeColor="text1"/>
                <w:lang w:val="en-GB"/>
              </w:rPr>
              <w:t>Current document stage</w:t>
            </w:r>
          </w:p>
        </w:tc>
        <w:tc xmlns:tara="kcentrix:tara" tara:rowspan="1" tara:colspan="1">
          <w:tcPr>
            <w:tcW w:w="3532" w:type="pct"/>
          </w:tcPr>
          <w:p w14:paraId="779B71A2" w14:textId="3905A1DD">
            <w:pPr>
              <w:pStyle w:val="IPPArialTable"/>
              <w:rPr>
                <w:color w:val="000000" w:themeColor="text1"/>
                <w:lang w:val="en-GB"/>
              </w:rPr>
            </w:pPr>
            <w:r>
              <w:rPr>
                <w:rStyle w:val="PleaseReviewParagraphId"/>
                <w:b w:val="off"/>
                <w:i w:val="off"/>
              </w:rPr>
              <w:t>[9]</w:t>
            </w:r>
            <w:r>
              <w:rPr>
                <w:i/>
                <w:iCs/>
                <w:color w:val="000000" w:themeColor="text1"/>
                <w:lang w:val="en-GB"/>
              </w:rPr>
              <w:t>To</w:t>
            </w:r>
            <w:r>
              <w:rPr>
                <w:color w:val="000000" w:themeColor="text1"/>
                <w:lang w:val="en-GB"/>
              </w:rPr>
              <w:t xml:space="preserve"> consultation</w:t>
            </w:r>
          </w:p>
        </w:tc>
      </w:tr>
      <w:tr w14:paraId="3F210996" w14:textId="77777777">
        <w:trPr>
          <w:trHeight w:val="647"/>
        </w:trPr>
        <w:tc xmlns:tara="kcentrix:tara" tara:rowspan="1" tara:colspan="1">
          <w:tcPr>
            <w:tcW w:w="1468" w:type="pct"/>
          </w:tcPr>
          <w:p w14:paraId="7729F675" w14:textId="77777777">
            <w:pPr>
              <w:pStyle w:val="IPPArialTable"/>
              <w:rPr>
                <w:color w:val="000000" w:themeColor="text1"/>
                <w:lang w:val="en-GB"/>
              </w:rPr>
            </w:pPr>
            <w:r>
              <w:rPr>
                <w:rStyle w:val="PleaseReviewParagraphId"/>
                <w:b w:val="off"/>
                <w:i w:val="off"/>
              </w:rPr>
              <w:t>[10]</w:t>
            </w:r>
            <w:r>
              <w:rPr>
                <w:color w:val="000000" w:themeColor="text1"/>
                <w:lang w:val="en-GB"/>
              </w:rPr>
              <w:t>Origin</w:t>
            </w:r>
          </w:p>
        </w:tc>
        <w:tc xmlns:tara="kcentrix:tara" tara:rowspan="1" tara:colspan="1">
          <w:tcPr>
            <w:tcW w:w="3532" w:type="pct"/>
          </w:tcPr>
          <w:p w14:paraId="1FE0E56F" w14:textId="77B5F9FD">
            <w:pPr>
              <w:pStyle w:val="IPPArialTable"/>
              <w:rPr>
                <w:color w:val="000000" w:themeColor="text1"/>
                <w:lang w:val="en-GB"/>
              </w:rPr>
            </w:pPr>
            <w:r>
              <w:rPr>
                <w:rStyle w:val="PleaseReviewParagraphId"/>
                <w:b w:val="off"/>
                <w:i w:val="off"/>
              </w:rPr>
              <w:t>[11]</w:t>
            </w:r>
            <w:r>
              <w:rPr>
                <w:color w:val="000000" w:themeColor="text1"/>
                <w:lang w:val="en-GB"/>
              </w:rPr>
              <w:t>Work programme topic: Nematodes (2006-008)</w:t>
            </w:r>
          </w:p>
          <w:p w14:paraId="11CEA1C7" w14:textId="2DDD87A7">
            <w:pPr>
              <w:pStyle w:val="IPPArialTable"/>
              <w:rPr>
                <w:iCs/>
                <w:color w:val="000000" w:themeColor="text1"/>
                <w:lang w:val="en-GB"/>
              </w:rPr>
            </w:pPr>
            <w:r>
              <w:rPr>
                <w:rStyle w:val="PleaseReviewParagraphId"/>
                <w:b w:val="off"/>
                <w:i w:val="off"/>
              </w:rPr>
              <w:t>[12]</w:t>
            </w:r>
            <w:r>
              <w:rPr>
                <w:color w:val="000000" w:themeColor="text1"/>
                <w:lang w:val="en-GB"/>
              </w:rPr>
              <w:t xml:space="preserve">Original subject: </w:t>
            </w:r>
            <w:r>
              <w:rPr>
                <w:i/>
                <w:color w:val="000000" w:themeColor="text1"/>
                <w:lang w:val="en-GB"/>
              </w:rPr>
              <w:t xml:space="preserve">Meloidogyne mali </w:t>
            </w:r>
            <w:r>
              <w:rPr>
                <w:iCs/>
                <w:color w:val="000000" w:themeColor="text1"/>
                <w:lang w:val="en-GB"/>
              </w:rPr>
              <w:t>(</w:t>
            </w:r>
            <w:r>
              <w:rPr>
                <w:color w:val="000000" w:themeColor="text1"/>
                <w:lang w:val="en-GB"/>
              </w:rPr>
              <w:t>2018-019)</w:t>
            </w:r>
          </w:p>
        </w:tc>
      </w:tr>
      <w:tr w14:paraId="5505AB8A" w14:textId="77777777">
        <w:trPr>
          <w:trHeight w:val="364"/>
        </w:trPr>
        <w:tc xmlns:tara="kcentrix:tara" tara:rowspan="1" tara:colspan="1">
          <w:tcPr>
            <w:tcW w:w="1468" w:type="pct"/>
          </w:tcPr>
          <w:p w14:paraId="7179A578" w14:textId="77777777">
            <w:pPr>
              <w:pStyle w:val="IPPArialTable"/>
              <w:rPr>
                <w:color w:val="000000" w:themeColor="text1"/>
                <w:lang w:val="en-GB"/>
              </w:rPr>
            </w:pPr>
            <w:r>
              <w:rPr>
                <w:rStyle w:val="PleaseReviewParagraphId"/>
                <w:b w:val="off"/>
                <w:i w:val="off"/>
              </w:rPr>
              <w:t>[13]</w:t>
            </w:r>
            <w:r>
              <w:rPr>
                <w:color w:val="000000" w:themeColor="text1"/>
                <w:lang w:val="en-GB"/>
              </w:rPr>
              <w:t>Major stages</w:t>
            </w:r>
          </w:p>
        </w:tc>
        <w:tc xmlns:tara="kcentrix:tara" tara:rowspan="1" tara:colspan="1">
          <w:tcPr>
            <w:tcW w:w="3532" w:type="pct"/>
          </w:tcPr>
          <w:p w14:paraId="62CDCE99" w14:textId="1B4460D7">
            <w:pPr>
              <w:pStyle w:val="IPPArialTable"/>
              <w:rPr>
                <w:color w:val="000000" w:themeColor="text1"/>
                <w:lang w:val="en-GB"/>
              </w:rPr>
            </w:pPr>
            <w:r>
              <w:rPr>
                <w:rStyle w:val="PleaseReviewParagraphId"/>
                <w:b w:val="off"/>
                <w:i w:val="off"/>
              </w:rPr>
              <w:t>[14]</w:t>
            </w:r>
            <w:r>
              <w:rPr>
                <w:color w:val="000000" w:themeColor="text1"/>
                <w:lang w:val="en-GB"/>
              </w:rPr>
              <w:t>2018-11 Subject proposed during 2018 IPPC call for topics.</w:t>
            </w:r>
          </w:p>
          <w:p w14:paraId="0C7BB3E7" w14:textId="2AF9EB03">
            <w:pPr>
              <w:pStyle w:val="IPPArialTable"/>
              <w:rPr>
                <w:color w:val="000000" w:themeColor="text1"/>
                <w:lang w:val="en-GB"/>
              </w:rPr>
            </w:pPr>
            <w:r>
              <w:rPr>
                <w:rStyle w:val="PleaseReviewParagraphId"/>
                <w:b w:val="off"/>
                <w:i w:val="off"/>
              </w:rPr>
              <w:t>[15]</w:t>
            </w:r>
            <w:r>
              <w:rPr>
                <w:color w:val="000000" w:themeColor="text1"/>
                <w:lang w:val="en-GB"/>
              </w:rPr>
              <w:t xml:space="preserve">2018-11 SC added </w:t>
            </w:r>
            <w:r>
              <w:rPr>
                <w:i/>
                <w:iCs/>
                <w:color w:val="000000" w:themeColor="text1"/>
                <w:lang w:val="en-GB"/>
              </w:rPr>
              <w:t xml:space="preserve">Meloidognye mali </w:t>
            </w:r>
            <w:r>
              <w:rPr>
                <w:color w:val="000000" w:themeColor="text1"/>
                <w:lang w:val="en-GB"/>
              </w:rPr>
              <w:t>(2018-009) to work programme, priority 3.</w:t>
            </w:r>
          </w:p>
          <w:p w14:paraId="2B20E8C4" w14:textId="77777777">
            <w:pPr>
              <w:pStyle w:val="IPPArialTable"/>
              <w:rPr>
                <w:color w:val="000000" w:themeColor="text1"/>
                <w:lang w:val="en-GB"/>
              </w:rPr>
            </w:pPr>
            <w:r>
              <w:rPr>
                <w:rStyle w:val="PleaseReviewParagraphId"/>
                <w:b w:val="off"/>
                <w:i w:val="off"/>
              </w:rPr>
              <w:t>[16]</w:t>
            </w:r>
            <w:r>
              <w:rPr>
                <w:color w:val="000000" w:themeColor="text1"/>
                <w:lang w:val="en-GB"/>
              </w:rPr>
              <w:t>2022-04 Expert consultation.</w:t>
            </w:r>
          </w:p>
          <w:p w14:paraId="053CF26A" w14:textId="1164E63B">
            <w:pPr>
              <w:pStyle w:val="IPPArialTable"/>
              <w:rPr>
                <w:color w:val="000000" w:themeColor="text1"/>
              </w:rPr>
            </w:pPr>
            <w:r>
              <w:rPr>
                <w:rStyle w:val="PleaseReviewParagraphId"/>
                <w:b w:val="off"/>
                <w:i w:val="off"/>
              </w:rPr>
              <w:t>[17]</w:t>
            </w:r>
            <w:r>
              <w:rPr>
                <w:color w:val="000000" w:themeColor="text1"/>
              </w:rPr>
              <w:t xml:space="preserve">2023-11 Technical Panel on Diagnostic Protocols (TPDP) reviewed </w:t>
            </w:r>
          </w:p>
          <w:p w14:paraId="54202E3B" w14:textId="77777777">
            <w:pPr>
              <w:pStyle w:val="IPPArialTable"/>
              <w:rPr>
                <w:color w:val="000000" w:themeColor="text1"/>
              </w:rPr>
            </w:pPr>
            <w:r>
              <w:rPr>
                <w:rStyle w:val="PleaseReviewParagraphId"/>
                <w:b w:val="off"/>
                <w:i w:val="off"/>
              </w:rPr>
              <w:t>[18]</w:t>
            </w:r>
            <w:r>
              <w:rPr>
                <w:color w:val="000000" w:themeColor="text1"/>
              </w:rPr>
              <w:t>2024-06 TPDP recommended the draft DP for approval for consultation</w:t>
            </w:r>
          </w:p>
          <w:p w14:paraId="3033F9DF" w14:textId="6A3B9617">
            <w:pPr>
              <w:pStyle w:val="IPPArialTable"/>
              <w:rPr>
                <w:color w:val="000000" w:themeColor="text1"/>
                <w:lang w:val="en-GB"/>
              </w:rPr>
            </w:pPr>
            <w:r>
              <w:rPr>
                <w:rStyle w:val="PleaseReviewParagraphId"/>
                <w:b w:val="off"/>
                <w:i w:val="off"/>
              </w:rPr>
              <w:t>[19]</w:t>
            </w:r>
            <w:r>
              <w:rPr>
                <w:color w:val="000000" w:themeColor="text1"/>
                <w:lang w:val="en-GB"/>
              </w:rPr>
              <w:t>20204-06 SC approved the draft DP for consultation</w:t>
            </w:r>
          </w:p>
        </w:tc>
      </w:tr>
      <w:tr w14:paraId="6F6C5C57" w14:textId="77777777">
        <w:trPr>
          <w:trHeight w:val="364"/>
        </w:trPr>
        <w:tc xmlns:tara="kcentrix:tara" tara:rowspan="1" tara:colspan="1">
          <w:tcPr>
            <w:tcW w:w="1468" w:type="pct"/>
          </w:tcPr>
          <w:p w14:paraId="5592B612" w14:textId="77777777">
            <w:pPr>
              <w:pStyle w:val="IPPArialTable"/>
              <w:rPr>
                <w:color w:val="000000" w:themeColor="text1"/>
                <w:lang w:val="en-GB"/>
              </w:rPr>
            </w:pPr>
            <w:r>
              <w:rPr>
                <w:rStyle w:val="PleaseReviewParagraphId"/>
                <w:b w:val="off"/>
                <w:i w:val="off"/>
              </w:rPr>
              <w:t>[20]</w:t>
            </w:r>
            <w:r>
              <w:rPr>
                <w:color w:val="000000" w:themeColor="text1"/>
                <w:lang w:val="en-GB"/>
              </w:rPr>
              <w:t>Discipline leads history</w:t>
            </w:r>
          </w:p>
        </w:tc>
        <w:tc xmlns:tara="kcentrix:tara" tara:rowspan="1" tara:colspan="1">
          <w:tcPr>
            <w:tcW w:w="3532" w:type="pct"/>
          </w:tcPr>
          <w:p w14:paraId="785FA61B" w14:textId="7F54D476">
            <w:pPr>
              <w:pStyle w:val="IPPArialTable"/>
              <w:rPr>
                <w:color w:val="000000" w:themeColor="text1"/>
                <w:lang w:val="fr-FR"/>
              </w:rPr>
            </w:pPr>
            <w:r>
              <w:rPr>
                <w:rStyle w:val="PleaseReviewParagraphId"/>
                <w:b w:val="off"/>
                <w:i w:val="off"/>
              </w:rPr>
              <w:t>[21]</w:t>
            </w:r>
            <w:r>
              <w:rPr>
                <w:color w:val="000000" w:themeColor="text1"/>
                <w:lang w:val="fr-FR"/>
              </w:rPr>
              <w:t>2019-08 Géraldine ANTHOINE (FR, Discipline lead)</w:t>
            </w:r>
          </w:p>
          <w:p w14:paraId="08744449" w14:textId="2B807C2E">
            <w:pPr>
              <w:pStyle w:val="IPPArialTable"/>
              <w:rPr>
                <w:color w:val="000000" w:themeColor="text1"/>
                <w:lang w:val="en-GB"/>
              </w:rPr>
            </w:pPr>
            <w:r>
              <w:rPr>
                <w:rStyle w:val="PleaseReviewParagraphId"/>
                <w:b w:val="off"/>
                <w:i w:val="off"/>
              </w:rPr>
              <w:t>[22]</w:t>
            </w:r>
            <w:r>
              <w:rPr>
                <w:color w:val="000000" w:themeColor="text1"/>
                <w:lang w:val="en-GB"/>
              </w:rPr>
              <w:t>2019-08 Norman BARR (US, Referee)</w:t>
            </w:r>
          </w:p>
        </w:tc>
      </w:tr>
      <w:tr w14:paraId="62815757" w14:textId="77777777">
        <w:trPr>
          <w:trHeight w:val="796"/>
        </w:trPr>
        <w:tc xmlns:tara="kcentrix:tara" tara:rowspan="1" tara:colspan="1">
          <w:tcPr>
            <w:tcW w:w="1468" w:type="pct"/>
          </w:tcPr>
          <w:p w14:paraId="2B1F5BCF" w14:textId="77777777">
            <w:pPr>
              <w:pStyle w:val="IPPArialTable"/>
              <w:rPr>
                <w:color w:val="000000" w:themeColor="text1"/>
                <w:lang w:val="en-GB"/>
              </w:rPr>
            </w:pPr>
            <w:r>
              <w:rPr>
                <w:rStyle w:val="PleaseReviewParagraphId"/>
                <w:b w:val="off"/>
                <w:i w:val="off"/>
              </w:rPr>
              <w:t>[23]</w:t>
            </w:r>
            <w:r>
              <w:rPr>
                <w:color w:val="000000" w:themeColor="text1"/>
                <w:lang w:val="en-GB"/>
              </w:rPr>
              <w:t>Consultation on technical level</w:t>
            </w:r>
          </w:p>
        </w:tc>
        <w:tc xmlns:tara="kcentrix:tara" tara:rowspan="1" tara:colspan="1">
          <w:tcPr>
            <w:tcW w:w="3532" w:type="pct"/>
          </w:tcPr>
          <w:p w14:paraId="706C44A6" w14:textId="77777777">
            <w:pPr>
              <w:pStyle w:val="IPPArialTable"/>
              <w:rPr>
                <w:color w:val="000000" w:themeColor="text1"/>
                <w:lang w:val="en-GB"/>
              </w:rPr>
            </w:pPr>
            <w:r>
              <w:rPr>
                <w:rStyle w:val="PleaseReviewParagraphId"/>
                <w:b w:val="off"/>
                <w:i w:val="off"/>
              </w:rPr>
              <w:t>[24]</w:t>
            </w:r>
            <w:r>
              <w:rPr>
                <w:color w:val="000000" w:themeColor="text1"/>
                <w:lang w:val="en-GB"/>
              </w:rPr>
              <w:t xml:space="preserve">The first draft of this diagnostic protocol was prepared by: </w:t>
            </w:r>
          </w:p>
          <w:p w14:paraId="7F7277A9" w14:textId="742FEFBB">
            <w:pPr>
              <w:pStyle w:val="IPPArialTable"/>
              <w:numPr>
                <w:ilvl w:val="0"/>
                <w:numId w:val="20"/>
              </w:numPr>
              <w:rPr>
                <w:rStyle w:val="fontstyle01"/>
                <w:rFonts w:ascii="Arial" w:hAnsi="Arial" w:cstheme="minorBidi"/>
                <w:color w:val="000000" w:themeColor="text1"/>
                <w:sz w:val="18"/>
                <w:szCs w:val="24"/>
                <w:lang w:val="en-GB"/>
              </w:rPr>
            </w:pPr>
            <w:r>
              <w:rPr>
                <w:rStyle w:val="PleaseReviewParagraphId"/>
                <w:b w:val="off"/>
                <w:i w:val="off"/>
              </w:rPr>
              <w:t>[25]</w:t>
            </w:r>
            <w:r>
              <w:rPr>
                <w:rStyle w:val="fontstyle01"/>
                <w:rFonts w:ascii="Arial" w:hAnsi="Arial" w:cstheme="minorBidi"/>
                <w:color w:val="000000" w:themeColor="text1"/>
                <w:sz w:val="18"/>
                <w:szCs w:val="24"/>
                <w:lang w:val="en-GB"/>
              </w:rPr>
              <w:t>Thomas PRIOR (GB) (lead author)</w:t>
            </w:r>
          </w:p>
          <w:p w14:paraId="65D9F1B6" w14:textId="5F6AE9E2">
            <w:pPr>
              <w:pStyle w:val="IPPArialTable"/>
              <w:numPr>
                <w:ilvl w:val="0"/>
                <w:numId w:val="20"/>
              </w:numPr>
              <w:rPr>
                <w:color w:val="000000" w:themeColor="text1"/>
                <w:lang w:val="en-GB"/>
              </w:rPr>
            </w:pPr>
            <w:r>
              <w:rPr>
                <w:rStyle w:val="PleaseReviewParagraphId"/>
                <w:b w:val="off"/>
                <w:i w:val="off"/>
              </w:rPr>
              <w:t>[26]</w:t>
            </w:r>
            <w:r>
              <w:rPr>
                <w:color w:val="000000" w:themeColor="text1"/>
                <w:lang w:val="en-GB"/>
              </w:rPr>
              <w:t>Jianfeng GU (CN)</w:t>
            </w:r>
          </w:p>
          <w:p w14:paraId="054B25AC" w14:textId="239B6D34">
            <w:pPr>
              <w:pStyle w:val="IPPArialTable"/>
              <w:numPr>
                <w:ilvl w:val="0"/>
                <w:numId w:val="20"/>
              </w:numPr>
              <w:rPr>
                <w:color w:val="000000" w:themeColor="text1"/>
                <w:lang w:val="en-GB"/>
              </w:rPr>
            </w:pPr>
            <w:r>
              <w:rPr>
                <w:rStyle w:val="PleaseReviewParagraphId"/>
                <w:b w:val="off"/>
                <w:i w:val="off"/>
              </w:rPr>
              <w:t>[27]</w:t>
            </w:r>
            <w:r>
              <w:rPr>
                <w:rStyle w:val="fontstyle01"/>
                <w:rFonts w:ascii="Arial" w:hAnsi="Arial" w:cstheme="minorBidi"/>
                <w:color w:val="000000" w:themeColor="text1"/>
                <w:sz w:val="18"/>
                <w:szCs w:val="24"/>
                <w:lang w:val="en-GB"/>
              </w:rPr>
              <w:t>Gerrit KARSSEN (NL)</w:t>
            </w:r>
          </w:p>
          <w:p w14:paraId="790F95B8" w14:textId="77777777">
            <w:pPr>
              <w:pStyle w:val="IPPArialTable"/>
              <w:numPr>
                <w:ilvl w:val="0"/>
                <w:numId w:val="20"/>
              </w:numPr>
              <w:rPr>
                <w:rStyle w:val="fontstyle01"/>
                <w:rFonts w:ascii="Arial" w:hAnsi="Arial" w:cstheme="minorBidi"/>
                <w:color w:val="000000" w:themeColor="text1"/>
                <w:sz w:val="18"/>
                <w:szCs w:val="24"/>
                <w:lang w:val="en-GB"/>
              </w:rPr>
            </w:pPr>
            <w:r>
              <w:rPr>
                <w:rStyle w:val="PleaseReviewParagraphId"/>
                <w:b w:val="off"/>
                <w:i w:val="off"/>
              </w:rPr>
              <w:t>[28]</w:t>
            </w:r>
            <w:r>
              <w:rPr>
                <w:color w:val="000000" w:themeColor="text1"/>
                <w:lang w:val="en-GB"/>
              </w:rPr>
              <w:t>Fengcheng SUN</w:t>
            </w:r>
            <w:r>
              <w:rPr>
                <w:rStyle w:val="fontstyle01"/>
                <w:rFonts w:ascii="Arial" w:hAnsi="Arial" w:cstheme="minorBidi"/>
                <w:color w:val="000000" w:themeColor="text1"/>
                <w:sz w:val="18"/>
                <w:szCs w:val="24"/>
                <w:lang w:val="en-GB"/>
              </w:rPr>
              <w:t xml:space="preserve"> (CA)</w:t>
            </w:r>
          </w:p>
          <w:p w14:paraId="4016993F" w14:textId="242A2988">
            <w:pPr>
              <w:pStyle w:val="IPPArialTable"/>
              <w:numPr>
                <w:ilvl w:val="0"/>
                <w:numId w:val="20"/>
              </w:numPr>
              <w:rPr>
                <w:color w:val="000000" w:themeColor="text1"/>
                <w:lang w:val="en-GB"/>
              </w:rPr>
            </w:pPr>
            <w:r>
              <w:rPr>
                <w:rStyle w:val="PleaseReviewParagraphId"/>
                <w:b w:val="off"/>
                <w:i w:val="off"/>
              </w:rPr>
              <w:t>[29]</w:t>
            </w:r>
            <w:r>
              <w:rPr>
                <w:color w:val="000000" w:themeColor="text1"/>
                <w:lang w:val="en-GB"/>
              </w:rPr>
              <w:t>Trinh Thi Thu THUY (VN)</w:t>
            </w:r>
          </w:p>
          <w:p w14:paraId="558B47AC" w14:textId="010CF2CC">
            <w:pPr>
              <w:pStyle w:val="IPPArialTable"/>
              <w:rPr>
                <w:rFonts w:eastAsia="Arial" w:cs="Arial"/>
                <w:color w:val="000000" w:themeColor="text1"/>
                <w:szCs w:val="18"/>
                <w:lang w:val="en-GB"/>
              </w:rPr>
            </w:pPr>
            <w:r>
              <w:rPr>
                <w:rStyle w:val="PleaseReviewParagraphId"/>
                <w:b w:val="off"/>
                <w:i w:val="off"/>
              </w:rPr>
              <w:t>[30]</w:t>
            </w:r>
            <w:r>
              <w:rPr>
                <w:rFonts w:eastAsia="Arial" w:cs="Arial"/>
                <w:color w:val="000000" w:themeColor="text1"/>
                <w:szCs w:val="18"/>
                <w:lang w:val="en-GB"/>
              </w:rPr>
              <w:t>In addition, the draft has also been subject to expert review and the following international experts submitted comments:</w:t>
            </w:r>
          </w:p>
          <w:p w14:paraId="714FE52C" w14:textId="04ED3560">
            <w:pPr>
              <w:pStyle w:val="IPPArialTable"/>
              <w:numPr>
                <w:ilvl w:val="0"/>
                <w:numId w:val="21"/>
              </w:numPr>
              <w:rPr>
                <w:color w:val="000000" w:themeColor="text1"/>
                <w:lang w:val="en-GB"/>
              </w:rPr>
            </w:pPr>
            <w:r>
              <w:rPr>
                <w:rStyle w:val="PleaseReviewParagraphId"/>
                <w:b w:val="off"/>
                <w:i w:val="off"/>
              </w:rPr>
              <w:t>[31]</w:t>
            </w:r>
            <w:r>
              <w:rPr>
                <w:color w:val="000000" w:themeColor="text1"/>
                <w:lang w:val="en-GB"/>
              </w:rPr>
              <w:t>Evelyn van Heese (NIVIP, Kingdom of the Netherlands)</w:t>
            </w:r>
          </w:p>
          <w:p w14:paraId="08C89AAD" w14:textId="67077268">
            <w:pPr>
              <w:pStyle w:val="IPPArialTable"/>
              <w:numPr>
                <w:ilvl w:val="0"/>
                <w:numId w:val="21"/>
              </w:numPr>
              <w:rPr>
                <w:color w:val="000000" w:themeColor="text1"/>
                <w:lang w:val="en-GB"/>
              </w:rPr>
            </w:pPr>
            <w:r>
              <w:rPr>
                <w:rStyle w:val="PleaseReviewParagraphId"/>
                <w:b w:val="off"/>
                <w:i w:val="off"/>
              </w:rPr>
              <w:t>[32]</w:t>
            </w:r>
            <w:r>
              <w:rPr>
                <w:color w:val="000000" w:themeColor="text1"/>
                <w:lang w:val="en-GB"/>
              </w:rPr>
              <w:t>Dr Aphorio Silva de Oliveira (</w:t>
            </w:r>
            <w:r>
              <w:rPr>
                <w:color w:val="000000" w:themeColor="text1"/>
              </w:rPr>
              <w:t>NVWA, Kingdom of the Netherlands</w:t>
            </w:r>
            <w:r>
              <w:rPr>
                <w:color w:val="000000" w:themeColor="text1"/>
                <w:lang w:val="en-GB"/>
              </w:rPr>
              <w:t>)</w:t>
            </w:r>
          </w:p>
          <w:p w14:paraId="6D11E4BF" w14:textId="258C46BC">
            <w:pPr>
              <w:pStyle w:val="IPPArialTable"/>
              <w:numPr>
                <w:ilvl w:val="0"/>
                <w:numId w:val="21"/>
              </w:numPr>
              <w:rPr>
                <w:color w:val="000000" w:themeColor="text1"/>
                <w:lang w:val="en-GB"/>
              </w:rPr>
            </w:pPr>
            <w:r>
              <w:rPr>
                <w:rStyle w:val="PleaseReviewParagraphId"/>
                <w:b w:val="off"/>
                <w:i w:val="off"/>
              </w:rPr>
              <w:t>[33]</w:t>
            </w:r>
            <w:r>
              <w:rPr>
                <w:color w:val="000000" w:themeColor="text1"/>
                <w:lang w:val="en-GB"/>
              </w:rPr>
              <w:t>Yiwu Fang (Technical Center of Ningbo Customs, China)</w:t>
            </w:r>
          </w:p>
        </w:tc>
      </w:tr>
      <w:tr w14:paraId="766202CE" w14:textId="77777777">
        <w:trPr>
          <w:trHeight w:val="1334"/>
        </w:trPr>
        <w:tc xmlns:tara="kcentrix:tara" tara:rowspan="1" tara:colspan="1">
          <w:tcPr>
            <w:tcW w:w="1468" w:type="pct"/>
          </w:tcPr>
          <w:p w14:paraId="17008A70" w14:textId="77777777">
            <w:pPr>
              <w:pStyle w:val="IPPArialTable"/>
              <w:rPr>
                <w:color w:val="000000" w:themeColor="text1"/>
                <w:lang w:val="en-GB"/>
              </w:rPr>
            </w:pPr>
            <w:r>
              <w:rPr>
                <w:rStyle w:val="PleaseReviewParagraphId"/>
                <w:b w:val="off"/>
                <w:i w:val="off"/>
              </w:rPr>
              <w:t>[34]</w:t>
            </w:r>
            <w:r>
              <w:rPr>
                <w:color w:val="000000" w:themeColor="text1"/>
                <w:lang w:val="en-GB"/>
              </w:rPr>
              <w:t>Main discussion points during development of the diagnostic protocol</w:t>
            </w:r>
          </w:p>
          <w:p w14:paraId="0ACB9866" w14:textId="77777777">
            <w:pPr>
              <w:pStyle w:val="IPPArialTable"/>
              <w:rPr>
                <w:color w:val="000000" w:themeColor="text1"/>
                <w:lang w:val="en-GB"/>
              </w:rPr>
            </w:pPr>
            <w:r>
              <w:rPr>
                <w:rStyle w:val="PleaseReviewParagraphId"/>
                <w:b w:val="off"/>
                <w:i w:val="off"/>
              </w:rPr>
              <w:t>[35]</w:t>
            </w:r>
            <w:r>
              <w:rPr>
                <w:color w:val="000000" w:themeColor="text1"/>
                <w:lang w:val="en-GB"/>
              </w:rPr>
              <w:t>[to be updated throughout DP development]</w:t>
            </w:r>
          </w:p>
        </w:tc>
        <w:tc xmlns:tara="kcentrix:tara" tara:rowspan="1" tara:colspan="1">
          <w:tcPr>
            <w:tcW w:w="3532" w:type="pct"/>
          </w:tcPr>
          <w:p w14:paraId="3FA22CE3" w14:textId="77777777">
            <w:pPr>
              <w:pStyle w:val="IPPArialTable"/>
              <w:rPr>
                <w:color w:val="000000" w:themeColor="text1"/>
                <w:lang w:val="en-GB"/>
              </w:rPr>
            </w:pPr>
            <w:r>
              <w:rPr>
                <w:rStyle w:val="PleaseReviewParagraphId"/>
                <w:b w:val="off"/>
                <w:i w:val="off"/>
              </w:rPr>
              <w:t>[36]</w:t>
            </w:r>
            <w:r>
              <w:rPr>
                <w:color w:val="000000" w:themeColor="text1"/>
                <w:lang w:val="en-GB"/>
              </w:rPr>
              <w:t>[to be completed later]</w:t>
            </w:r>
          </w:p>
          <w:p w14:paraId="4BA0E445" w14:textId="77777777">
            <w:pPr>
              <w:pStyle w:val="IPPArialTable"/>
              <w:rPr>
                <w:color w:val="000000" w:themeColor="text1"/>
                <w:lang w:val="en-GB"/>
              </w:rPr>
            </w:pPr>
            <w:r>
              <w:rPr>
                <w:rStyle w:val="PleaseReviewParagraphId"/>
                <w:b w:val="off"/>
                <w:i w:val="off"/>
              </w:rPr>
              <w:t>[37]</w:t>
            </w:r>
            <w:r>
              <w:rPr>
                <w:color w:val="000000" w:themeColor="text1"/>
                <w:lang w:val="en-GB"/>
              </w:rPr>
              <w:t xml:space="preserve"> (Note: Especially after experts have been consulted at early stages of development, the cover note should indicate substantial comments that were not incorporated in the draft. Include as bullet points.)</w:t>
            </w:r>
          </w:p>
        </w:tc>
      </w:tr>
      <w:tr w14:paraId="2A48ED8E" w14:textId="77777777">
        <w:trPr>
          <w:trHeight w:val="263"/>
        </w:trPr>
        <w:tc xmlns:tara="kcentrix:tara" tara:rowspan="1" tara:colspan="1">
          <w:tcPr>
            <w:tcW w:w="1468" w:type="pct"/>
          </w:tcPr>
          <w:p w14:paraId="29128D93" w14:textId="77777777">
            <w:pPr>
              <w:pStyle w:val="IPPArialTable"/>
              <w:rPr>
                <w:color w:val="000000" w:themeColor="text1"/>
                <w:lang w:val="en-GB"/>
              </w:rPr>
            </w:pPr>
            <w:r>
              <w:rPr>
                <w:rStyle w:val="PleaseReviewParagraphId"/>
                <w:b w:val="off"/>
                <w:i w:val="off"/>
              </w:rPr>
              <w:t>[38]</w:t>
            </w:r>
            <w:r>
              <w:rPr>
                <w:color w:val="000000" w:themeColor="text1"/>
                <w:lang w:val="en-GB"/>
              </w:rPr>
              <w:t>Notes</w:t>
            </w:r>
          </w:p>
        </w:tc>
        <w:tc xmlns:tara="kcentrix:tara" tara:rowspan="1" tara:colspan="1">
          <w:tcPr>
            <w:tcW w:w="3532" w:type="pct"/>
          </w:tcPr>
          <w:p w14:paraId="47CE1A3E" w14:textId="77777777">
            <w:pPr>
              <w:pStyle w:val="IPPArialTable"/>
              <w:rPr>
                <w:color w:val="000000" w:themeColor="text1"/>
                <w:lang w:val="en-GB"/>
              </w:rPr>
            </w:pPr>
            <w:r>
              <w:rPr>
                <w:rStyle w:val="PleaseReviewParagraphId"/>
                <w:b w:val="off"/>
                <w:i w:val="off"/>
              </w:rPr>
              <w:t>[39]</w:t>
            </w:r>
            <w:r>
              <w:rPr>
                <w:color w:val="000000" w:themeColor="text1"/>
                <w:lang w:val="en-GB"/>
              </w:rPr>
              <w:t>This is a draft document.</w:t>
            </w:r>
          </w:p>
          <w:p w14:paraId="1846793F" w14:textId="77777777">
            <w:pPr>
              <w:pStyle w:val="IPPArialTable"/>
              <w:rPr>
                <w:color w:val="000000" w:themeColor="text1"/>
                <w:lang w:val="en-GB"/>
              </w:rPr>
            </w:pPr>
            <w:r>
              <w:rPr>
                <w:rStyle w:val="PleaseReviewParagraphId"/>
                <w:b w:val="off"/>
                <w:i w:val="off"/>
              </w:rPr>
              <w:t>[40]</w:t>
            </w:r>
            <w:r>
              <w:rPr>
                <w:color w:val="000000" w:themeColor="text1"/>
                <w:lang w:val="en-GB"/>
              </w:rPr>
              <w:t>2023-06 Edited</w:t>
            </w:r>
          </w:p>
          <w:p w14:paraId="48D18E32" w14:textId="168305AB">
            <w:pPr>
              <w:pStyle w:val="IPPArialTable"/>
              <w:rPr>
                <w:color w:val="000000" w:themeColor="text1"/>
                <w:lang w:val="en-GB"/>
              </w:rPr>
            </w:pPr>
            <w:r>
              <w:rPr>
                <w:rStyle w:val="PleaseReviewParagraphId"/>
                <w:b w:val="off"/>
                <w:i w:val="off"/>
              </w:rPr>
              <w:t>[41]</w:t>
            </w:r>
            <w:r>
              <w:rPr>
                <w:color w:val="000000" w:themeColor="text1"/>
                <w:lang w:val="en-GB"/>
              </w:rPr>
              <w:t>2024-05 Edited</w:t>
            </w:r>
          </w:p>
        </w:tc>
      </w:tr>
    </w:tbl>
    <w:p w14:paraId="62E6AD50" w14:textId="77777777">
      <w:pPr>
        <w:pStyle w:val="IPPContentsHead"/>
        <w:ind w:left="0" w:firstLine="0"/>
        <w:rPr>
          <w:color w:val="000000" w:themeColor="text1"/>
        </w:rPr>
      </w:pPr>
      <w:r>
        <w:rPr>
          <w:rStyle w:val="PleaseReviewParagraphId"/>
          <w:b w:val="off"/>
          <w:i w:val="off"/>
        </w:rPr>
        <w:t>[42]</w:t>
      </w:r>
      <w:r>
        <w:rPr>
          <w:color w:val="000000" w:themeColor="text1"/>
        </w:rPr>
        <w:t>Contents</w:t>
      </w:r>
    </w:p>
    <w:p w14:paraId="2E7BF84D" w14:textId="77777777">
      <w:pPr>
        <w:pStyle w:val="IPPParagraphnumbering"/>
        <w:numPr>
          <w:ilvl w:val="0"/>
          <w:numId w:val="0"/>
        </w:numPr>
        <w:rPr>
          <w:color w:val="000000" w:themeColor="text1"/>
          <w:lang w:val="en-GB"/>
        </w:rPr>
      </w:pPr>
      <w:r>
        <w:rPr>
          <w:rStyle w:val="PleaseReviewParagraphId"/>
          <w:b w:val="off"/>
          <w:i w:val="off"/>
        </w:rPr>
        <w:t>[43]</w:t>
      </w:r>
      <w:r>
        <w:rPr>
          <w:color w:val="000000" w:themeColor="text1"/>
          <w:lang w:val="en-GB"/>
        </w:rPr>
        <w:t>[to be added later]</w:t>
      </w:r>
    </w:p>
    <w:p w14:paraId="64F1767D" w14:textId="77777777">
      <w:pPr>
        <w:pStyle w:val="IPPNormal"/>
        <w:rPr>
          <w:rStyle w:val="IPPNormalbold"/>
          <w:color w:val="000000" w:themeColor="text1"/>
          <w:lang w:val="en-GB"/>
        </w:rPr>
      </w:pPr>
      <w:r>
        <w:rPr>
          <w:rStyle w:val="PleaseReviewParagraphId"/>
          <w:b w:val="off"/>
          <w:i w:val="off"/>
        </w:rPr>
        <w:t>[44]</w:t>
      </w:r>
      <w:r>
        <w:rPr>
          <w:rStyle w:val="IPPNormalbold"/>
          <w:color w:val="000000" w:themeColor="text1"/>
          <w:lang w:val="en-GB"/>
        </w:rPr>
        <w:t>Adoption</w:t>
      </w:r>
    </w:p>
    <w:p w14:paraId="1E5B956B" w14:textId="77777777">
      <w:pPr>
        <w:pStyle w:val="IPPParagraphnumbering"/>
        <w:numPr>
          <w:ilvl w:val="0"/>
          <w:numId w:val="0"/>
        </w:numPr>
        <w:rPr>
          <w:color w:val="000000" w:themeColor="text1"/>
          <w:lang w:val="en-GB"/>
        </w:rPr>
      </w:pPr>
      <w:r>
        <w:rPr>
          <w:rStyle w:val="PleaseReviewParagraphId"/>
          <w:b w:val="off"/>
          <w:i w:val="off"/>
        </w:rPr>
        <w:t>[45]</w:t>
      </w:r>
      <w:r>
        <w:rPr>
          <w:color w:val="000000" w:themeColor="text1"/>
          <w:lang w:val="en-GB"/>
        </w:rPr>
        <w:t xml:space="preserve">This diagnostic protocol was adopted by the Standards Committee on behalf of the Commission on Phytosanitary Measures in ----. [to be completed after adoption]. </w:t>
      </w:r>
    </w:p>
    <w:p w14:paraId="15C86512" w14:textId="0B4ECD4D">
      <w:pPr>
        <w:pStyle w:val="IPPParagraphnumbering"/>
        <w:numPr>
          <w:ilvl w:val="0"/>
          <w:numId w:val="0"/>
        </w:numPr>
        <w:rPr>
          <w:color w:val="000000" w:themeColor="text1"/>
          <w:lang w:val="en-GB"/>
        </w:rPr>
      </w:pPr>
      <w:r>
        <w:rPr>
          <w:rStyle w:val="PleaseReviewParagraphId"/>
          <w:b w:val="off"/>
          <w:i w:val="off"/>
        </w:rPr>
        <w:t>[46]</w:t>
      </w:r>
      <w:r>
        <w:rPr>
          <w:color w:val="000000" w:themeColor="text1"/>
          <w:lang w:val="en-GB"/>
        </w:rPr>
        <w:t>The annex is a prescriptive part of ISPM 27 (</w:t>
      </w:r>
      <w:r>
        <w:rPr>
          <w:i/>
          <w:iCs/>
          <w:color w:val="000000" w:themeColor="text1"/>
          <w:lang w:val="en-GB"/>
        </w:rPr>
        <w:t>Diagnostic protocols for regulated pests</w:t>
      </w:r>
      <w:r>
        <w:rPr>
          <w:color w:val="000000" w:themeColor="text1"/>
          <w:lang w:val="en-GB"/>
        </w:rPr>
        <w:t>).</w:t>
      </w:r>
    </w:p>
    <w:p w14:paraId="148D5D87" w14:textId="6926CBFD">
      <w:pPr>
        <w:pStyle w:val="IPPHeading1"/>
        <w:rPr>
          <w:color w:val="000000" w:themeColor="text1"/>
        </w:rPr>
      </w:pPr>
      <w:r>
        <w:rPr>
          <w:rStyle w:val="PleaseReviewParagraphId"/>
          <w:b w:val="off"/>
          <w:i w:val="off"/>
        </w:rPr>
        <w:t>[47]</w:t>
      </w:r>
      <w:r>
        <w:rPr>
          <w:color w:val="000000" w:themeColor="text1"/>
        </w:rPr>
        <w:lastRenderedPageBreak/>
        <w:t>1.</w:t>
        <w:tab/>
        <w:t>Pest information</w:t>
      </w:r>
    </w:p>
    <w:p w14:paraId="5E352ECB" w14:textId="16B6313A">
      <w:pPr>
        <w:pStyle w:val="IPPParagraphnumbering"/>
        <w:numPr>
          <w:ilvl w:val="0"/>
          <w:numId w:val="0"/>
        </w:numPr>
        <w:rPr>
          <w:color w:val="000000" w:themeColor="text1"/>
          <w:lang w:val="en-GB" w:eastAsia="en-GB"/>
        </w:rPr>
      </w:pPr>
      <w:r>
        <w:rPr>
          <w:rStyle w:val="PleaseReviewParagraphId"/>
          <w:b w:val="off"/>
          <w:i w:val="off"/>
        </w:rPr>
        <w:t>[48]</w:t>
      </w:r>
      <w:r>
        <w:rPr>
          <w:color w:val="000000" w:themeColor="text1"/>
          <w:lang w:val="en-GB" w:eastAsia="en-GB"/>
        </w:rPr>
        <w:t xml:space="preserve">The root-knot nematode genus </w:t>
      </w:r>
      <w:r>
        <w:rPr>
          <w:i/>
          <w:iCs/>
          <w:color w:val="000000" w:themeColor="text1"/>
          <w:lang w:val="en-GB" w:eastAsia="en-GB"/>
        </w:rPr>
        <w:t>Meloidogyne</w:t>
      </w:r>
      <w:r>
        <w:rPr>
          <w:color w:val="000000" w:themeColor="text1"/>
          <w:lang w:val="en-GB" w:eastAsia="en-GB"/>
        </w:rPr>
        <w:t xml:space="preserve"> comprises at present more than 100 formally described species. All species are endoparasitic and some are well known for their negative impact on crops worldwide (Karssen, </w:t>
      </w:r>
      <w:r>
        <w:rPr>
          <w:bCs/>
          <w:color w:val="000000" w:themeColor="text1"/>
          <w:lang w:val="en-GB"/>
        </w:rPr>
        <w:t>Wesemael and Moens</w:t>
      </w:r>
      <w:r>
        <w:rPr>
          <w:color w:val="000000" w:themeColor="text1"/>
          <w:lang w:val="en-GB" w:eastAsia="en-GB"/>
        </w:rPr>
        <w:t>, 2013).</w:t>
      </w:r>
    </w:p>
    <w:p w14:paraId="28DF5850" w14:textId="1F8FC43C">
      <w:pPr>
        <w:pStyle w:val="IPPParagraphnumbering"/>
        <w:numPr>
          <w:ilvl w:val="0"/>
          <w:numId w:val="0"/>
        </w:numPr>
        <w:rPr>
          <w:color w:val="000000" w:themeColor="text1"/>
          <w:lang w:val="en-GB" w:eastAsia="en-GB"/>
        </w:rPr>
      </w:pPr>
      <w:r>
        <w:rPr>
          <w:rStyle w:val="PleaseReviewParagraphId"/>
          <w:b w:val="off"/>
          <w:i w:val="off"/>
        </w:rPr>
        <w:t>[49]</w:t>
      </w:r>
      <w:r>
        <w:rPr>
          <w:color w:val="000000" w:themeColor="text1"/>
          <w:lang w:val="en-GB" w:eastAsia="en-GB"/>
        </w:rPr>
        <w:t>A relatively small number of the described species are known to parasitize trees and shrubs (Jepson,</w:t>
      </w:r>
      <w:r>
        <w:rPr>
          <w:color w:val="000000" w:themeColor="text1"/>
          <w:lang w:val="en-GB"/>
        </w:rPr>
        <w:t xml:space="preserve"> 1987</w:t>
      </w:r>
      <w:r>
        <w:rPr>
          <w:color w:val="000000" w:themeColor="text1"/>
          <w:lang w:val="en-GB" w:eastAsia="en-GB"/>
        </w:rPr>
        <w:t xml:space="preserve">). One such species is </w:t>
      </w:r>
      <w:r>
        <w:rPr>
          <w:i/>
          <w:iCs/>
          <w:color w:val="000000" w:themeColor="text1"/>
          <w:lang w:val="en-GB" w:eastAsia="en-GB"/>
        </w:rPr>
        <w:t>Meloidogyne mali</w:t>
      </w:r>
      <w:r>
        <w:rPr>
          <w:color w:val="000000" w:themeColor="text1"/>
          <w:lang w:val="en-GB" w:eastAsia="en-GB"/>
        </w:rPr>
        <w:t xml:space="preserve"> Itoh, Ohshima and Ichinohe, 1969 – a species described from </w:t>
      </w:r>
      <w:r>
        <w:rPr>
          <w:i/>
          <w:color w:val="000000" w:themeColor="text1"/>
          <w:lang w:val="en-GB" w:eastAsia="en-GB"/>
        </w:rPr>
        <w:t>Malus domestica</w:t>
      </w:r>
      <w:r>
        <w:rPr>
          <w:color w:val="000000" w:themeColor="text1"/>
          <w:lang w:val="en-GB" w:eastAsia="en-GB"/>
        </w:rPr>
        <w:t xml:space="preserve"> (apple) in Japan (Itoh, </w:t>
      </w:r>
      <w:r>
        <w:rPr>
          <w:bCs/>
          <w:color w:val="000000" w:themeColor="text1"/>
          <w:lang w:val="en-GB" w:eastAsia="en-GB"/>
        </w:rPr>
        <w:t>Ohshima and Ichinohe</w:t>
      </w:r>
      <w:r>
        <w:rPr>
          <w:color w:val="000000" w:themeColor="text1"/>
          <w:lang w:val="en-GB" w:eastAsia="en-GB"/>
        </w:rPr>
        <w:t>,</w:t>
      </w:r>
      <w:r>
        <w:rPr>
          <w:color w:val="000000" w:themeColor="text1"/>
          <w:lang w:val="en-GB"/>
        </w:rPr>
        <w:t xml:space="preserve"> 1969</w:t>
      </w:r>
      <w:r>
        <w:rPr>
          <w:color w:val="000000" w:themeColor="text1"/>
          <w:lang w:val="en-GB" w:eastAsia="en-GB"/>
        </w:rPr>
        <w:t xml:space="preserve">). </w:t>
      </w:r>
      <w:r>
        <w:rPr>
          <w:i/>
          <w:iCs/>
          <w:color w:val="000000" w:themeColor="text1"/>
          <w:lang w:val="en-GB"/>
        </w:rPr>
        <w:t xml:space="preserve">M. mali </w:t>
      </w:r>
      <w:r>
        <w:rPr>
          <w:color w:val="000000" w:themeColor="text1"/>
          <w:lang w:val="en-GB"/>
        </w:rPr>
        <w:t xml:space="preserve">is a polyphagous and economically important pest species that induces large root galls on host plants, affecting the ability of the plant to take up water and nutrients from the soil. It was added to the European and Mediterranean Plant Protection Organization’s </w:t>
      </w:r>
      <w:r>
        <w:rPr>
          <w:i/>
          <w:iCs/>
          <w:color w:val="000000" w:themeColor="text1"/>
          <w:lang w:val="en-GB"/>
        </w:rPr>
        <w:t>List of pests recommended for regulation as quarantine pests</w:t>
      </w:r>
      <w:r>
        <w:rPr>
          <w:color w:val="000000" w:themeColor="text1"/>
          <w:lang w:val="en-GB"/>
        </w:rPr>
        <w:t xml:space="preserve"> (EPPO A2 List: EPPO, n.d.(a)) in 2017.</w:t>
      </w:r>
    </w:p>
    <w:p w14:paraId="1939E57D" w14:textId="083DD6CB">
      <w:pPr>
        <w:pStyle w:val="IPPParagraphnumberingclose"/>
        <w:numPr>
          <w:ilvl w:val="0"/>
          <w:numId w:val="0"/>
        </w:numPr>
        <w:rPr>
          <w:color w:val="000000" w:themeColor="text1"/>
          <w:lang w:val="en-GB" w:eastAsia="en-GB"/>
        </w:rPr>
      </w:pPr>
      <w:r>
        <w:rPr>
          <w:rStyle w:val="PleaseReviewParagraphId"/>
          <w:b w:val="off"/>
          <w:i w:val="off"/>
        </w:rPr>
        <w:t>[50]</w:t>
      </w:r>
      <w:r>
        <w:rPr>
          <w:i/>
          <w:iCs/>
          <w:color w:val="000000" w:themeColor="text1"/>
          <w:lang w:val="en-GB" w:eastAsia="en-GB"/>
        </w:rPr>
        <w:t>M. mali</w:t>
      </w:r>
      <w:r>
        <w:rPr>
          <w:color w:val="000000" w:themeColor="text1"/>
          <w:lang w:val="en-GB" w:eastAsia="en-GB"/>
        </w:rPr>
        <w:t xml:space="preserve"> is widely distributed in Japan, where the stunting and severe decline of infected trees in orchards has been reported </w:t>
      </w:r>
      <w:r>
        <w:rPr>
          <w:color w:val="000000" w:themeColor="text1"/>
          <w:lang w:val="en-GB"/>
        </w:rPr>
        <w:t>(Nyczepir and Halbrendt, 1993).</w:t>
      </w:r>
      <w:r>
        <w:rPr>
          <w:color w:val="000000" w:themeColor="text1"/>
          <w:lang w:val="en-GB" w:eastAsia="en-GB"/>
        </w:rPr>
        <w:t xml:space="preserve"> It has been recorded parasitizing a large number of host trees, shrubs and herbaceous plants, as listed in the EPPO (2017) pest risk analysis for </w:t>
      </w:r>
      <w:r>
        <w:rPr>
          <w:i/>
          <w:iCs/>
          <w:color w:val="000000" w:themeColor="text1"/>
          <w:lang w:val="en-GB" w:eastAsia="en-GB"/>
        </w:rPr>
        <w:t>M. mali</w:t>
      </w:r>
      <w:r>
        <w:rPr>
          <w:color w:val="000000" w:themeColor="text1"/>
          <w:lang w:val="en-GB" w:eastAsia="en-GB"/>
        </w:rPr>
        <w:t xml:space="preserve">. </w:t>
      </w:r>
      <w:r>
        <w:rPr>
          <w:color w:val="000000" w:themeColor="text1"/>
        </w:rPr>
        <w:t>To date, very little information is available on yield losses in cultivated plants. As this is an emerging pest on many tree and ornamental plant hosts, the economic impacts of the loss of these hosts in natural environments have also not yet been established.</w:t>
      </w:r>
      <w:r>
        <w:rPr>
          <w:color w:val="000000" w:themeColor="text1"/>
          <w:lang w:val="en-GB" w:eastAsia="en-GB"/>
        </w:rPr>
        <w:t>. The following examples, however, may provide an indication of the impact:</w:t>
      </w:r>
    </w:p>
    <w:p w14:paraId="699B7CEF" w14:textId="2317129E">
      <w:pPr>
        <w:pStyle w:val="IPPBullet1"/>
        <w:rPr>
          <w:color w:val="000000" w:themeColor="text1"/>
          <w:lang w:val="en-GB" w:eastAsia="en-GB"/>
        </w:rPr>
      </w:pPr>
      <w:r>
        <w:rPr>
          <w:rStyle w:val="PleaseReviewParagraphId"/>
          <w:b w:val="off"/>
          <w:i w:val="off"/>
        </w:rPr>
        <w:t>[51]</w:t>
      </w:r>
      <w:r>
        <w:rPr>
          <w:i/>
          <w:color w:val="000000" w:themeColor="text1"/>
          <w:lang w:val="en-GB" w:eastAsia="en-GB"/>
        </w:rPr>
        <w:t xml:space="preserve">Morus </w:t>
      </w:r>
      <w:r>
        <w:rPr>
          <w:iCs/>
          <w:color w:val="000000" w:themeColor="text1"/>
          <w:lang w:val="en-GB" w:eastAsia="en-GB"/>
        </w:rPr>
        <w:t>sp.</w:t>
      </w:r>
      <w:r>
        <w:rPr>
          <w:color w:val="000000" w:themeColor="text1"/>
          <w:lang w:val="en-GB" w:eastAsia="en-GB"/>
        </w:rPr>
        <w:t xml:space="preserve"> (mulberry): In a pot trial, up to 50% crop loss was shown in young trees, depending on the level of infestation (Toida, 1991). </w:t>
      </w:r>
    </w:p>
    <w:p w14:paraId="3950FA89" w14:textId="2F47A9B7">
      <w:pPr>
        <w:pStyle w:val="IPPBullet1Last"/>
        <w:rPr>
          <w:color w:val="000000" w:themeColor="text1"/>
          <w:lang w:eastAsia="en-GB"/>
        </w:rPr>
      </w:pPr>
      <w:r>
        <w:rPr>
          <w:rStyle w:val="PleaseReviewParagraphId"/>
          <w:b w:val="off"/>
          <w:i w:val="off"/>
        </w:rPr>
        <w:t>[52]</w:t>
      </w:r>
      <w:r>
        <w:rPr>
          <w:i/>
          <w:color w:val="000000" w:themeColor="text1"/>
          <w:lang w:eastAsia="en-GB"/>
        </w:rPr>
        <w:t>Malus domestica</w:t>
      </w:r>
      <w:r>
        <w:rPr>
          <w:color w:val="000000" w:themeColor="text1"/>
          <w:lang w:eastAsia="en-GB"/>
        </w:rPr>
        <w:t xml:space="preserve"> (apple): </w:t>
      </w:r>
      <w:r>
        <w:rPr>
          <w:i/>
          <w:color w:val="000000" w:themeColor="text1"/>
          <w:lang w:eastAsia="en-GB"/>
        </w:rPr>
        <w:t>M. mali</w:t>
      </w:r>
      <w:r>
        <w:rPr>
          <w:color w:val="000000" w:themeColor="text1"/>
          <w:lang w:eastAsia="en-GB"/>
        </w:rPr>
        <w:t xml:space="preserve"> is described as one of the most damaging nematodes for apples in northern Japan, causing the stunting and severe decline of trees in orchards (Itoh, </w:t>
      </w:r>
      <w:r>
        <w:rPr>
          <w:bCs/>
          <w:color w:val="000000" w:themeColor="text1"/>
          <w:lang w:eastAsia="en-GB"/>
        </w:rPr>
        <w:t>Ohshima and Ichinohe</w:t>
      </w:r>
      <w:r>
        <w:rPr>
          <w:color w:val="000000" w:themeColor="text1"/>
          <w:lang w:eastAsia="en-GB"/>
        </w:rPr>
        <w:t xml:space="preserve">, 1969; Nyczepir and Halbrendt, 1993). </w:t>
      </w:r>
      <w:r>
        <w:rPr>
          <w:i/>
          <w:color w:val="000000" w:themeColor="text1"/>
          <w:lang w:eastAsia="en-GB"/>
        </w:rPr>
        <w:t>M. mali</w:t>
      </w:r>
      <w:r>
        <w:rPr>
          <w:color w:val="000000" w:themeColor="text1"/>
          <w:lang w:eastAsia="en-GB"/>
        </w:rPr>
        <w:t xml:space="preserve"> reduces apple tree growth by 15–43% and fruit yield is reduced on heavily infested trees (Nyczepir and Halbrendt, 1993).</w:t>
      </w:r>
    </w:p>
    <w:p w14:paraId="60DB4B20" w14:textId="25548C61">
      <w:pPr>
        <w:pStyle w:val="IPPParagraphnumbering"/>
        <w:numPr>
          <w:ilvl w:val="0"/>
          <w:numId w:val="0"/>
        </w:numPr>
        <w:rPr>
          <w:color w:val="000000" w:themeColor="text1"/>
          <w:lang w:val="en-GB"/>
        </w:rPr>
      </w:pPr>
      <w:r>
        <w:rPr>
          <w:rStyle w:val="PleaseReviewParagraphId"/>
          <w:b w:val="off"/>
          <w:i w:val="off"/>
        </w:rPr>
        <w:t>[53]</w:t>
      </w:r>
      <w:r>
        <w:rPr>
          <w:color w:val="000000" w:themeColor="text1"/>
          <w:lang w:val="en-GB" w:eastAsia="en-GB"/>
        </w:rPr>
        <w:t xml:space="preserve">This species is considered to have been introduced into the Kingdom of the Netherlands, during which time a large amount of </w:t>
      </w:r>
      <w:r>
        <w:rPr>
          <w:i/>
          <w:iCs/>
          <w:color w:val="000000" w:themeColor="text1"/>
          <w:lang w:val="en-GB" w:eastAsia="en-GB"/>
        </w:rPr>
        <w:t xml:space="preserve">Ulmus </w:t>
      </w:r>
      <w:r>
        <w:rPr>
          <w:i/>
          <w:color w:val="000000" w:themeColor="text1"/>
          <w:lang w:val="en-GB" w:eastAsia="en-GB"/>
        </w:rPr>
        <w:t>sp.</w:t>
      </w:r>
      <w:r>
        <w:rPr>
          <w:color w:val="000000" w:themeColor="text1"/>
          <w:lang w:val="en-GB" w:eastAsia="en-GB"/>
        </w:rPr>
        <w:t xml:space="preserve"> (elm) material (seeds, cuttings and occasionally rooted material) was imported. In 1992, rooted elm seedlings were sent to several other European countries (Heybroek, 1993). The nematode was reported from elm trees in Italy by Palmisano and Ambrogioni (2000) as a new species </w:t>
      </w:r>
      <w:r>
        <w:rPr>
          <w:i/>
          <w:iCs/>
          <w:color w:val="000000" w:themeColor="text1"/>
          <w:lang w:val="en-GB" w:eastAsia="en-GB"/>
        </w:rPr>
        <w:t>Meloidogyne ulmi</w:t>
      </w:r>
      <w:r>
        <w:rPr>
          <w:color w:val="000000" w:themeColor="text1"/>
          <w:lang w:val="en-GB" w:eastAsia="en-GB"/>
        </w:rPr>
        <w:t xml:space="preserve">, which was later synonymized to </w:t>
      </w:r>
      <w:r>
        <w:rPr>
          <w:i/>
          <w:iCs/>
          <w:color w:val="000000" w:themeColor="text1"/>
          <w:lang w:val="en-GB" w:eastAsia="en-GB"/>
        </w:rPr>
        <w:t>M. mali</w:t>
      </w:r>
      <w:r>
        <w:rPr>
          <w:color w:val="000000" w:themeColor="text1"/>
          <w:lang w:val="en-GB" w:eastAsia="en-GB"/>
        </w:rPr>
        <w:t xml:space="preserve"> (Ahmed </w:t>
      </w:r>
      <w:r>
        <w:rPr>
          <w:i/>
          <w:iCs/>
          <w:color w:val="000000" w:themeColor="text1"/>
          <w:lang w:val="en-GB" w:eastAsia="en-GB"/>
        </w:rPr>
        <w:t>et al</w:t>
      </w:r>
      <w:r>
        <w:rPr>
          <w:color w:val="000000" w:themeColor="text1"/>
          <w:lang w:val="en-GB" w:eastAsia="en-GB"/>
        </w:rPr>
        <w:t xml:space="preserve">., 2013). To date, in addition to Japan, </w:t>
      </w:r>
      <w:r>
        <w:rPr>
          <w:i/>
          <w:iCs/>
          <w:color w:val="000000" w:themeColor="text1"/>
          <w:lang w:val="en-GB" w:eastAsia="en-GB"/>
        </w:rPr>
        <w:t>M. mali</w:t>
      </w:r>
      <w:r>
        <w:rPr>
          <w:color w:val="000000" w:themeColor="text1"/>
          <w:lang w:val="en-GB" w:eastAsia="en-GB"/>
        </w:rPr>
        <w:t xml:space="preserve"> has been reported locally in Europe, the Republic of Korea and the United States of America (EPPO, n.d.(b)). </w:t>
      </w:r>
      <w:r>
        <w:rPr>
          <w:color w:val="000000" w:themeColor="text1"/>
          <w:lang w:val="en-GB" w:eastAsia="zh-CN"/>
        </w:rPr>
        <w:t xml:space="preserve">Based on a pest risk analysis, </w:t>
      </w:r>
      <w:r>
        <w:rPr>
          <w:i/>
          <w:color w:val="000000" w:themeColor="text1"/>
          <w:lang w:val="en-GB" w:eastAsia="zh-CN"/>
        </w:rPr>
        <w:t>M. mali</w:t>
      </w:r>
      <w:r>
        <w:rPr>
          <w:color w:val="000000" w:themeColor="text1"/>
          <w:lang w:val="en-GB" w:eastAsia="zh-CN"/>
        </w:rPr>
        <w:t xml:space="preserve"> is regulated in many countries (EPPO, n.d.(</w:t>
      </w:r>
      <w:r>
        <w:rPr>
          <w:iCs/>
          <w:color w:val="000000" w:themeColor="text1"/>
          <w:lang w:val="en-GB" w:eastAsia="en-GB"/>
        </w:rPr>
        <w:t>b)</w:t>
      </w:r>
      <w:r>
        <w:rPr>
          <w:color w:val="000000" w:themeColor="text1"/>
          <w:lang w:val="en-GB" w:eastAsia="zh-CN"/>
        </w:rPr>
        <w:t>).</w:t>
      </w:r>
      <w:r>
        <w:rPr>
          <w:rFonts w:ascii="Calibri" w:hAnsi="Calibri" w:cs="Calibri"/>
          <w:color w:val="000000" w:themeColor="text1"/>
          <w:lang w:val="en-GB"/>
        </w:rPr>
        <w:t xml:space="preserve"> </w:t>
      </w:r>
    </w:p>
    <w:p w14:paraId="2B06D6E9" w14:textId="1DB6492D">
      <w:pPr>
        <w:pStyle w:val="IPPParagraphnumbering"/>
        <w:numPr>
          <w:ilvl w:val="0"/>
          <w:numId w:val="0"/>
        </w:numPr>
        <w:rPr>
          <w:color w:val="000000" w:themeColor="text1"/>
          <w:lang w:val="en-GB"/>
        </w:rPr>
      </w:pPr>
      <w:r>
        <w:rPr>
          <w:rStyle w:val="PleaseReviewParagraphId"/>
          <w:b w:val="off"/>
          <w:i w:val="off"/>
        </w:rPr>
        <w:t>[54]</w:t>
      </w:r>
      <w:r>
        <w:rPr>
          <w:i/>
          <w:iCs/>
          <w:color w:val="000000" w:themeColor="text1"/>
          <w:szCs w:val="22"/>
          <w:lang w:val="en-GB"/>
        </w:rPr>
        <w:t xml:space="preserve">M. mali </w:t>
      </w:r>
      <w:r>
        <w:rPr>
          <w:color w:val="000000" w:themeColor="text1"/>
          <w:szCs w:val="22"/>
          <w:lang w:val="en-GB"/>
        </w:rPr>
        <w:t xml:space="preserve">has sedentary endoparasitic habits. </w:t>
      </w:r>
      <w:r>
        <w:rPr>
          <w:color w:val="000000" w:themeColor="text1"/>
          <w:lang w:val="en-GB"/>
        </w:rPr>
        <w:t xml:space="preserve">Males are common, as </w:t>
      </w:r>
      <w:r>
        <w:rPr>
          <w:i/>
          <w:iCs/>
          <w:color w:val="000000" w:themeColor="text1"/>
          <w:lang w:val="en-GB"/>
        </w:rPr>
        <w:t>M. mali</w:t>
      </w:r>
      <w:r>
        <w:rPr>
          <w:color w:val="000000" w:themeColor="text1"/>
          <w:lang w:val="en-GB"/>
        </w:rPr>
        <w:t xml:space="preserve"> is a sexually reproducing nematode (Janssen </w:t>
      </w:r>
      <w:r>
        <w:rPr>
          <w:i/>
          <w:iCs/>
          <w:color w:val="000000" w:themeColor="text1"/>
          <w:lang w:val="en-GB"/>
        </w:rPr>
        <w:t>et al</w:t>
      </w:r>
      <w:r>
        <w:rPr>
          <w:color w:val="000000" w:themeColor="text1"/>
          <w:lang w:val="en-GB"/>
        </w:rPr>
        <w:t xml:space="preserve">., 2017). In Japan, the life cycle of </w:t>
      </w:r>
      <w:r>
        <w:rPr>
          <w:i/>
          <w:color w:val="000000" w:themeColor="text1"/>
          <w:lang w:val="en-GB"/>
        </w:rPr>
        <w:t>M. mali</w:t>
      </w:r>
      <w:r>
        <w:rPr>
          <w:color w:val="000000" w:themeColor="text1"/>
          <w:lang w:val="en-GB"/>
        </w:rPr>
        <w:t xml:space="preserve"> on </w:t>
      </w:r>
      <w:r>
        <w:rPr>
          <w:i/>
          <w:color w:val="000000" w:themeColor="text1"/>
          <w:lang w:val="en-GB"/>
        </w:rPr>
        <w:t>Maluspumila</w:t>
      </w:r>
      <w:r>
        <w:rPr>
          <w:color w:val="000000" w:themeColor="text1"/>
          <w:lang w:val="en-GB"/>
        </w:rPr>
        <w:t xml:space="preserve"> has been observed to last 18–22 weeks, with one generation per year (Sakurai </w:t>
      </w:r>
      <w:r>
        <w:rPr>
          <w:i/>
          <w:iCs/>
          <w:color w:val="000000" w:themeColor="text1"/>
          <w:lang w:val="en-GB"/>
        </w:rPr>
        <w:t>et al.</w:t>
      </w:r>
      <w:r>
        <w:rPr>
          <w:color w:val="000000" w:themeColor="text1"/>
          <w:lang w:val="en-GB"/>
        </w:rPr>
        <w:t xml:space="preserve">, 1973; Inagaki, 1978). The development from egg masses to second-stage (J2) juveniles in those egg masses takes approximately two weeks. Further generations in the growing season may develop, depending on the temperature and the presence of perennial host plants; this is also reported for the related species </w:t>
      </w:r>
      <w:r>
        <w:rPr>
          <w:i/>
          <w:color w:val="000000" w:themeColor="text1"/>
          <w:lang w:val="en-GB"/>
        </w:rPr>
        <w:t>M. ardenensis</w:t>
      </w:r>
      <w:r>
        <w:rPr>
          <w:color w:val="000000" w:themeColor="text1"/>
          <w:lang w:val="en-GB"/>
        </w:rPr>
        <w:t xml:space="preserve">. Egg-laying females of </w:t>
      </w:r>
      <w:r>
        <w:rPr>
          <w:i/>
          <w:color w:val="000000" w:themeColor="text1"/>
          <w:lang w:val="en-GB"/>
        </w:rPr>
        <w:t>M. mali</w:t>
      </w:r>
      <w:r>
        <w:rPr>
          <w:color w:val="000000" w:themeColor="text1"/>
          <w:lang w:val="en-GB"/>
        </w:rPr>
        <w:t xml:space="preserve"> (and </w:t>
      </w:r>
      <w:r>
        <w:rPr>
          <w:i/>
          <w:color w:val="000000" w:themeColor="text1"/>
          <w:lang w:val="en-GB"/>
        </w:rPr>
        <w:t>M. ardenensis</w:t>
      </w:r>
      <w:r>
        <w:rPr>
          <w:color w:val="000000" w:themeColor="text1"/>
          <w:lang w:val="en-GB"/>
        </w:rPr>
        <w:t xml:space="preserve">) have been observed in the Kingdom of the Netherlands in early March, which may indicate that overwintering of young females is possible (G. Karssen, personal communication, 2024). It has also been suspected that </w:t>
      </w:r>
      <w:r>
        <w:rPr>
          <w:i/>
          <w:color w:val="000000" w:themeColor="text1"/>
          <w:lang w:val="en-GB"/>
        </w:rPr>
        <w:t>M. mali</w:t>
      </w:r>
      <w:r>
        <w:rPr>
          <w:color w:val="000000" w:themeColor="text1"/>
          <w:lang w:val="en-GB"/>
        </w:rPr>
        <w:t xml:space="preserve"> overwinters within the roots of infested plants, although the developmental stage at which this occurs is not yet known (Ahmed </w:t>
      </w:r>
      <w:r>
        <w:rPr>
          <w:i/>
          <w:iCs/>
          <w:color w:val="000000" w:themeColor="text1"/>
          <w:lang w:val="en-GB"/>
        </w:rPr>
        <w:t>et al.</w:t>
      </w:r>
      <w:r>
        <w:rPr>
          <w:color w:val="000000" w:themeColor="text1"/>
          <w:lang w:val="en-GB"/>
        </w:rPr>
        <w:t xml:space="preserve">, 2013). </w:t>
      </w:r>
    </w:p>
    <w:p w14:paraId="21C9FD1D" w14:textId="7585B9DD">
      <w:pPr>
        <w:pStyle w:val="IPPParagraphnumbering"/>
        <w:numPr>
          <w:ilvl w:val="0"/>
          <w:numId w:val="0"/>
        </w:numPr>
        <w:rPr>
          <w:color w:val="000000" w:themeColor="text1"/>
          <w:lang w:val="en-GB"/>
        </w:rPr>
      </w:pPr>
      <w:r>
        <w:rPr>
          <w:rStyle w:val="PleaseReviewParagraphId"/>
          <w:b w:val="off"/>
          <w:i w:val="off"/>
        </w:rPr>
        <w:t>[55]</w:t>
      </w:r>
      <w:r>
        <w:rPr>
          <w:i/>
          <w:color w:val="000000" w:themeColor="text1"/>
          <w:lang w:val="en-GB"/>
        </w:rPr>
        <w:t>M. mali</w:t>
      </w:r>
      <w:r>
        <w:rPr>
          <w:color w:val="000000" w:themeColor="text1"/>
          <w:lang w:val="en-GB"/>
        </w:rPr>
        <w:t xml:space="preserve"> shares geographical areas and hosts with five species of </w:t>
      </w:r>
      <w:r>
        <w:rPr>
          <w:i/>
          <w:iCs/>
          <w:color w:val="000000" w:themeColor="text1"/>
          <w:lang w:val="en-GB"/>
        </w:rPr>
        <w:t xml:space="preserve">Meloidogyne </w:t>
      </w:r>
      <w:r>
        <w:rPr>
          <w:color w:val="000000" w:themeColor="text1"/>
          <w:lang w:val="en-GB"/>
        </w:rPr>
        <w:t xml:space="preserve">for which it could be confused on the basis of its morphology: </w:t>
      </w:r>
      <w:r>
        <w:rPr>
          <w:i/>
          <w:color w:val="000000" w:themeColor="text1"/>
          <w:lang w:val="en-GB"/>
        </w:rPr>
        <w:t xml:space="preserve">M. ardenensis </w:t>
      </w:r>
      <w:r>
        <w:rPr>
          <w:color w:val="000000" w:themeColor="text1"/>
          <w:lang w:val="en-GB"/>
        </w:rPr>
        <w:t xml:space="preserve">in Europe </w:t>
      </w:r>
      <w:r>
        <w:rPr>
          <w:iCs/>
          <w:color w:val="000000" w:themeColor="text1"/>
          <w:lang w:val="en-GB"/>
        </w:rPr>
        <w:t xml:space="preserve">(on </w:t>
      </w:r>
      <w:r>
        <w:rPr>
          <w:i/>
          <w:color w:val="000000" w:themeColor="text1"/>
          <w:lang w:val="en-GB"/>
        </w:rPr>
        <w:t>Quercus robur</w:t>
      </w:r>
      <w:r>
        <w:rPr>
          <w:color w:val="000000" w:themeColor="text1"/>
          <w:lang w:val="en-GB"/>
        </w:rPr>
        <w:t xml:space="preserve"> (Subbotin, </w:t>
      </w:r>
      <w:r>
        <w:rPr>
          <w:bCs/>
          <w:color w:val="000000" w:themeColor="text1"/>
          <w:lang w:val="en-GB" w:eastAsia="en-GB"/>
        </w:rPr>
        <w:t>Palomares-Rius and Castillo</w:t>
      </w:r>
      <w:r>
        <w:rPr>
          <w:color w:val="000000" w:themeColor="text1"/>
          <w:lang w:val="en-GB"/>
        </w:rPr>
        <w:t>, 2021)</w:t>
      </w:r>
      <w:r>
        <w:rPr>
          <w:iCs/>
          <w:color w:val="000000" w:themeColor="text1"/>
          <w:lang w:val="en-GB"/>
        </w:rPr>
        <w:t>)</w:t>
      </w:r>
      <w:r>
        <w:rPr>
          <w:color w:val="000000" w:themeColor="text1"/>
          <w:lang w:val="en-GB"/>
        </w:rPr>
        <w:t xml:space="preserve">, </w:t>
      </w:r>
      <w:r>
        <w:rPr>
          <w:i/>
          <w:color w:val="000000" w:themeColor="text1"/>
          <w:lang w:val="en-GB"/>
        </w:rPr>
        <w:t xml:space="preserve">M. camelliae </w:t>
      </w:r>
      <w:r>
        <w:rPr>
          <w:color w:val="000000" w:themeColor="text1"/>
          <w:lang w:val="en-GB"/>
        </w:rPr>
        <w:t>in Japan and Thailand</w:t>
      </w:r>
      <w:r>
        <w:rPr>
          <w:i/>
          <w:color w:val="000000" w:themeColor="text1"/>
          <w:lang w:val="en-GB"/>
        </w:rPr>
        <w:t xml:space="preserve"> </w:t>
      </w:r>
      <w:r>
        <w:rPr>
          <w:iCs/>
          <w:color w:val="000000" w:themeColor="text1"/>
          <w:lang w:val="en-GB"/>
        </w:rPr>
        <w:t xml:space="preserve">(on </w:t>
      </w:r>
      <w:r>
        <w:rPr>
          <w:i/>
          <w:color w:val="000000" w:themeColor="text1"/>
          <w:lang w:val="en-GB"/>
        </w:rPr>
        <w:t xml:space="preserve">Solanum lycopersicum </w:t>
      </w:r>
      <w:r>
        <w:rPr>
          <w:color w:val="000000" w:themeColor="text1"/>
          <w:lang w:val="en-GB"/>
        </w:rPr>
        <w:t xml:space="preserve">(Subbotin, </w:t>
      </w:r>
      <w:r>
        <w:rPr>
          <w:bCs/>
          <w:color w:val="000000" w:themeColor="text1"/>
          <w:lang w:val="en-GB" w:eastAsia="en-GB"/>
        </w:rPr>
        <w:t>Palomares-Rius and Castillo</w:t>
      </w:r>
      <w:r>
        <w:rPr>
          <w:color w:val="000000" w:themeColor="text1"/>
          <w:lang w:val="en-GB"/>
        </w:rPr>
        <w:t>, 2021)</w:t>
      </w:r>
      <w:r>
        <w:rPr>
          <w:iCs/>
          <w:color w:val="000000" w:themeColor="text1"/>
          <w:lang w:val="en-GB"/>
        </w:rPr>
        <w:t>)</w:t>
      </w:r>
      <w:r>
        <w:rPr>
          <w:color w:val="000000" w:themeColor="text1"/>
          <w:lang w:val="en-GB"/>
        </w:rPr>
        <w:t xml:space="preserve">, </w:t>
      </w:r>
      <w:r>
        <w:rPr>
          <w:i/>
          <w:color w:val="000000" w:themeColor="text1"/>
          <w:lang w:val="en-GB"/>
        </w:rPr>
        <w:t>M. </w:t>
      </w:r>
      <w:r>
        <w:rPr>
          <w:i/>
          <w:color w:val="000000" w:themeColor="text1"/>
        </w:rPr>
        <w:t xml:space="preserve">paramali </w:t>
      </w:r>
      <w:r>
        <w:rPr>
          <w:color w:val="000000" w:themeColor="text1"/>
        </w:rPr>
        <w:t xml:space="preserve">in Japan </w:t>
      </w:r>
      <w:r>
        <w:rPr>
          <w:iCs/>
          <w:color w:val="000000" w:themeColor="text1"/>
        </w:rPr>
        <w:t xml:space="preserve">(on </w:t>
      </w:r>
      <w:r>
        <w:rPr>
          <w:i/>
          <w:color w:val="000000" w:themeColor="text1"/>
        </w:rPr>
        <w:t xml:space="preserve">Acer palmatum </w:t>
      </w:r>
      <w:r>
        <w:rPr>
          <w:color w:val="000000" w:themeColor="text1"/>
        </w:rPr>
        <w:t xml:space="preserve">(Gu </w:t>
      </w:r>
      <w:r>
        <w:rPr>
          <w:i/>
          <w:iCs/>
          <w:color w:val="000000" w:themeColor="text1"/>
        </w:rPr>
        <w:t>et al.</w:t>
      </w:r>
      <w:r>
        <w:rPr>
          <w:color w:val="000000" w:themeColor="text1"/>
        </w:rPr>
        <w:t>, 2023)</w:t>
      </w:r>
      <w:r>
        <w:rPr>
          <w:iCs/>
          <w:color w:val="000000" w:themeColor="text1"/>
        </w:rPr>
        <w:t>)</w:t>
      </w:r>
      <w:r>
        <w:rPr>
          <w:color w:val="000000" w:themeColor="text1"/>
        </w:rPr>
        <w:t xml:space="preserve">, </w:t>
      </w:r>
      <w:r>
        <w:rPr>
          <w:i/>
          <w:color w:val="000000" w:themeColor="text1"/>
        </w:rPr>
        <w:t xml:space="preserve">M. suginamiensis </w:t>
      </w:r>
      <w:r>
        <w:rPr>
          <w:color w:val="000000" w:themeColor="text1"/>
        </w:rPr>
        <w:t xml:space="preserve">in Japan </w:t>
      </w:r>
      <w:r>
        <w:rPr>
          <w:iCs/>
          <w:color w:val="000000" w:themeColor="text1"/>
        </w:rPr>
        <w:t xml:space="preserve">(on </w:t>
      </w:r>
      <w:r>
        <w:rPr>
          <w:i/>
          <w:color w:val="000000" w:themeColor="text1"/>
        </w:rPr>
        <w:t>Acer</w:t>
      </w:r>
      <w:r>
        <w:rPr>
          <w:iCs/>
          <w:color w:val="000000" w:themeColor="text1"/>
        </w:rPr>
        <w:t xml:space="preserve"> sp.,</w:t>
      </w:r>
      <w:r>
        <w:rPr>
          <w:i/>
          <w:color w:val="000000" w:themeColor="text1"/>
        </w:rPr>
        <w:t xml:space="preserve"> Morus </w:t>
      </w:r>
      <w:r>
        <w:rPr>
          <w:iCs/>
          <w:color w:val="000000" w:themeColor="text1"/>
        </w:rPr>
        <w:t>sp.,</w:t>
      </w:r>
      <w:r>
        <w:rPr>
          <w:i/>
          <w:color w:val="000000" w:themeColor="text1"/>
        </w:rPr>
        <w:t xml:space="preserve"> Prunus </w:t>
      </w:r>
      <w:r>
        <w:rPr>
          <w:iCs/>
          <w:color w:val="000000" w:themeColor="text1"/>
        </w:rPr>
        <w:t>sp.,</w:t>
      </w:r>
      <w:r>
        <w:rPr>
          <w:i/>
          <w:color w:val="000000" w:themeColor="text1"/>
        </w:rPr>
        <w:t xml:space="preserve"> Ulmus </w:t>
      </w:r>
      <w:r>
        <w:rPr>
          <w:iCs/>
          <w:color w:val="000000" w:themeColor="text1"/>
        </w:rPr>
        <w:t>sp.</w:t>
      </w:r>
      <w:r>
        <w:rPr>
          <w:i/>
          <w:color w:val="000000" w:themeColor="text1"/>
        </w:rPr>
        <w:t xml:space="preserve"> </w:t>
      </w:r>
      <w:r>
        <w:rPr>
          <w:color w:val="000000" w:themeColor="text1"/>
          <w:lang w:val="en-GB"/>
        </w:rPr>
        <w:t xml:space="preserve">(Toida and Yaegashi, 1984; Brown, Dalmasso and Trudgill, 1993; Subbotin, </w:t>
      </w:r>
      <w:r>
        <w:rPr>
          <w:bCs/>
          <w:color w:val="000000" w:themeColor="text1"/>
          <w:lang w:val="en-GB" w:eastAsia="en-GB"/>
        </w:rPr>
        <w:t>Palomares-Rius and Castillo</w:t>
      </w:r>
      <w:r>
        <w:rPr>
          <w:color w:val="000000" w:themeColor="text1"/>
          <w:lang w:val="en-GB"/>
        </w:rPr>
        <w:t>, 2021)</w:t>
      </w:r>
      <w:r>
        <w:rPr>
          <w:iCs/>
          <w:color w:val="000000" w:themeColor="text1"/>
          <w:lang w:val="en-GB"/>
        </w:rPr>
        <w:t>)</w:t>
      </w:r>
      <w:r>
        <w:rPr>
          <w:color w:val="000000" w:themeColor="text1"/>
          <w:lang w:val="en-GB"/>
        </w:rPr>
        <w:t xml:space="preserve"> and </w:t>
      </w:r>
      <w:r>
        <w:rPr>
          <w:i/>
          <w:color w:val="000000" w:themeColor="text1"/>
          <w:lang w:val="en-GB"/>
        </w:rPr>
        <w:t xml:space="preserve">M. vitis </w:t>
      </w:r>
      <w:r>
        <w:rPr>
          <w:color w:val="000000" w:themeColor="text1"/>
          <w:lang w:val="en-GB"/>
        </w:rPr>
        <w:t xml:space="preserve">in Japan </w:t>
      </w:r>
      <w:r>
        <w:rPr>
          <w:iCs/>
          <w:color w:val="000000" w:themeColor="text1"/>
          <w:lang w:val="en-GB"/>
        </w:rPr>
        <w:t xml:space="preserve">(on </w:t>
      </w:r>
      <w:r>
        <w:rPr>
          <w:i/>
          <w:color w:val="000000" w:themeColor="text1"/>
          <w:lang w:val="en-GB"/>
        </w:rPr>
        <w:t xml:space="preserve">Vitis vinifera </w:t>
      </w:r>
      <w:r>
        <w:rPr>
          <w:color w:val="000000" w:themeColor="text1"/>
          <w:lang w:val="en-GB"/>
        </w:rPr>
        <w:t xml:space="preserve">(Yang </w:t>
      </w:r>
      <w:r>
        <w:rPr>
          <w:i/>
          <w:iCs/>
          <w:color w:val="000000" w:themeColor="text1"/>
          <w:lang w:val="en-GB"/>
        </w:rPr>
        <w:t>et al.</w:t>
      </w:r>
      <w:r>
        <w:rPr>
          <w:color w:val="000000" w:themeColor="text1"/>
          <w:lang w:val="en-GB"/>
        </w:rPr>
        <w:t>, 2021)</w:t>
      </w:r>
      <w:r>
        <w:rPr>
          <w:iCs/>
          <w:color w:val="000000" w:themeColor="text1"/>
          <w:lang w:val="en-GB"/>
        </w:rPr>
        <w:t>)</w:t>
      </w:r>
      <w:r>
        <w:rPr>
          <w:color w:val="000000" w:themeColor="text1"/>
          <w:lang w:val="en-GB"/>
        </w:rPr>
        <w:t>.</w:t>
      </w:r>
    </w:p>
    <w:p w14:paraId="57DDF9BE" w14:textId="72D007AB">
      <w:pPr>
        <w:pStyle w:val="IPPHeading1"/>
        <w:ind w:left="0" w:firstLine="0"/>
        <w:rPr>
          <w:color w:val="000000" w:themeColor="text1"/>
        </w:rPr>
      </w:pPr>
      <w:r>
        <w:rPr>
          <w:rStyle w:val="PleaseReviewParagraphId"/>
          <w:b w:val="off"/>
          <w:i w:val="off"/>
        </w:rPr>
        <w:t>[56]</w:t>
      </w:r>
      <w:r>
        <w:rPr>
          <w:color w:val="000000" w:themeColor="text1"/>
        </w:rPr>
        <w:lastRenderedPageBreak/>
        <w:t>2.</w:t>
        <w:tab/>
        <w:t>Taxonomic information</w:t>
      </w:r>
    </w:p>
    <w:p w14:paraId="7082DA0C" w14:textId="6CD0A6C2">
      <w:pPr>
        <w:pStyle w:val="IPPParagraphnumbering"/>
        <w:numPr>
          <w:ilvl w:val="0"/>
          <w:numId w:val="0"/>
        </w:numPr>
        <w:rPr>
          <w:color w:val="000000" w:themeColor="text1"/>
          <w:lang w:val="en-GB"/>
        </w:rPr>
      </w:pPr>
      <w:r>
        <w:rPr>
          <w:rStyle w:val="PleaseReviewParagraphId"/>
          <w:b w:val="off"/>
          <w:i w:val="off"/>
        </w:rPr>
        <w:t>[57]</w:t>
      </w:r>
      <w:r>
        <w:rPr>
          <w:b/>
          <w:color w:val="000000" w:themeColor="text1"/>
          <w:lang w:val="en-GB"/>
        </w:rPr>
        <w:t>Name:</w:t>
      </w:r>
      <w:r>
        <w:rPr>
          <w:color w:val="000000" w:themeColor="text1"/>
          <w:lang w:val="en-GB"/>
        </w:rPr>
        <w:t xml:space="preserve"> </w:t>
      </w:r>
      <w:r>
        <w:rPr>
          <w:i/>
          <w:iCs/>
          <w:color w:val="000000" w:themeColor="text1"/>
          <w:lang w:val="en-GB"/>
        </w:rPr>
        <w:t>Meloidogyne mali</w:t>
      </w:r>
      <w:r>
        <w:rPr>
          <w:color w:val="000000" w:themeColor="text1"/>
          <w:lang w:val="en-GB"/>
        </w:rPr>
        <w:t xml:space="preserve"> Itoh, Ohshima &amp; Ichinohe, 1969</w:t>
      </w:r>
    </w:p>
    <w:p w14:paraId="77889C5B" w14:textId="2D491A5C">
      <w:pPr>
        <w:pStyle w:val="IPPParagraphnumbering"/>
        <w:numPr>
          <w:ilvl w:val="0"/>
          <w:numId w:val="0"/>
        </w:numPr>
        <w:rPr>
          <w:color w:val="000000" w:themeColor="text1"/>
          <w:lang w:val="fr-FR"/>
        </w:rPr>
      </w:pPr>
      <w:r>
        <w:rPr>
          <w:rStyle w:val="PleaseReviewParagraphId"/>
          <w:b w:val="off"/>
          <w:i w:val="off"/>
        </w:rPr>
        <w:t>[58]</w:t>
      </w:r>
      <w:r>
        <w:rPr>
          <w:b/>
          <w:color w:val="000000" w:themeColor="text1"/>
          <w:lang w:val="fr-FR"/>
        </w:rPr>
        <w:t>Synonym:</w:t>
      </w:r>
      <w:r>
        <w:rPr>
          <w:color w:val="000000" w:themeColor="text1"/>
          <w:lang w:val="fr-FR"/>
        </w:rPr>
        <w:t xml:space="preserve"> </w:t>
      </w:r>
      <w:r>
        <w:rPr>
          <w:i/>
          <w:color w:val="000000" w:themeColor="text1"/>
          <w:lang w:val="fr-FR"/>
        </w:rPr>
        <w:t>Meloidogyne ulmi</w:t>
      </w:r>
      <w:r>
        <w:rPr>
          <w:color w:val="000000" w:themeColor="text1"/>
          <w:lang w:val="fr-FR"/>
        </w:rPr>
        <w:t xml:space="preserve"> Palmisano &amp; Ambrogioni, 2000</w:t>
      </w:r>
    </w:p>
    <w:p w14:paraId="548C2533" w14:textId="77777777">
      <w:pPr>
        <w:pStyle w:val="IPPParagraphnumbering"/>
        <w:numPr>
          <w:ilvl w:val="0"/>
          <w:numId w:val="0"/>
        </w:numPr>
        <w:rPr>
          <w:color w:val="000000" w:themeColor="text1"/>
          <w:lang w:val="en-GB"/>
        </w:rPr>
      </w:pPr>
      <w:r>
        <w:rPr>
          <w:rStyle w:val="PleaseReviewParagraphId"/>
          <w:b w:val="off"/>
          <w:i w:val="off"/>
        </w:rPr>
        <w:t>[59]</w:t>
      </w:r>
      <w:r>
        <w:rPr>
          <w:b/>
          <w:color w:val="000000" w:themeColor="text1"/>
          <w:lang w:val="en-GB"/>
        </w:rPr>
        <w:t>Taxonomic position:</w:t>
      </w:r>
      <w:r>
        <w:rPr>
          <w:color w:val="000000" w:themeColor="text1"/>
          <w:lang w:val="en-GB"/>
        </w:rPr>
        <w:t xml:space="preserve"> Nematoda, Tylenchida, Meloidogynidae</w:t>
      </w:r>
    </w:p>
    <w:p w14:paraId="744AEBA1" w14:textId="7B852DEC">
      <w:pPr>
        <w:pStyle w:val="IPPParagraphnumbering"/>
        <w:numPr>
          <w:ilvl w:val="0"/>
          <w:numId w:val="0"/>
        </w:numPr>
        <w:rPr>
          <w:color w:val="000000" w:themeColor="text1"/>
          <w:lang w:val="en-GB"/>
        </w:rPr>
      </w:pPr>
      <w:r>
        <w:rPr>
          <w:rStyle w:val="PleaseReviewParagraphId"/>
          <w:b w:val="off"/>
          <w:i w:val="off"/>
        </w:rPr>
        <w:t>[60]</w:t>
      </w:r>
      <w:r>
        <w:rPr>
          <w:b/>
          <w:color w:val="000000" w:themeColor="text1"/>
          <w:lang w:val="en-GB"/>
        </w:rPr>
        <w:t>Common name:</w:t>
      </w:r>
      <w:r>
        <w:rPr>
          <w:color w:val="000000" w:themeColor="text1"/>
          <w:lang w:val="en-GB"/>
        </w:rPr>
        <w:t xml:space="preserve"> apple root-knot nematode (other common names in various languages are listed in CABI (n.d.))</w:t>
      </w:r>
    </w:p>
    <w:p w14:paraId="0FB9E35A" w14:textId="071FDA7B">
      <w:pPr>
        <w:pStyle w:val="IPPHeading1"/>
        <w:rPr>
          <w:color w:val="000000" w:themeColor="text1"/>
        </w:rPr>
      </w:pPr>
      <w:r>
        <w:rPr>
          <w:rStyle w:val="PleaseReviewParagraphId"/>
          <w:b w:val="off"/>
          <w:i w:val="off"/>
        </w:rPr>
        <w:t>[61]</w:t>
      </w:r>
      <w:r>
        <w:rPr>
          <w:color w:val="000000" w:themeColor="text1"/>
        </w:rPr>
        <w:t>3.</w:t>
        <w:tab/>
        <w:t>Detection</w:t>
      </w:r>
    </w:p>
    <w:p w14:paraId="10F2239C" w14:textId="003B6BE4">
      <w:pPr>
        <w:pStyle w:val="IPPHeading2"/>
        <w:rPr>
          <w:color w:val="000000" w:themeColor="text1"/>
        </w:rPr>
      </w:pPr>
      <w:r>
        <w:rPr>
          <w:rStyle w:val="PleaseReviewParagraphId"/>
          <w:b w:val="off"/>
          <w:i w:val="off"/>
        </w:rPr>
        <w:t>[62]</w:t>
      </w:r>
      <w:r>
        <w:rPr>
          <w:color w:val="000000" w:themeColor="text1"/>
        </w:rPr>
        <w:t>3.1</w:t>
        <w:tab/>
        <w:t>Hosts and symptoms</w:t>
      </w:r>
    </w:p>
    <w:p w14:paraId="53B5846E" w14:textId="4A6BF8EA">
      <w:pPr>
        <w:pStyle w:val="IPPParagraphnumbering"/>
        <w:numPr>
          <w:ilvl w:val="0"/>
          <w:numId w:val="0"/>
        </w:numPr>
        <w:rPr>
          <w:color w:val="000000" w:themeColor="text1"/>
          <w:lang w:val="en-GB"/>
        </w:rPr>
      </w:pPr>
      <w:r>
        <w:rPr>
          <w:rStyle w:val="PleaseReviewParagraphId"/>
          <w:b w:val="off"/>
          <w:i w:val="off"/>
        </w:rPr>
        <w:t>[63]</w:t>
      </w:r>
      <w:r>
        <w:rPr>
          <w:i/>
          <w:iCs/>
          <w:color w:val="000000" w:themeColor="text1"/>
          <w:lang w:val="en-GB"/>
        </w:rPr>
        <w:t>M. mali</w:t>
      </w:r>
      <w:r>
        <w:rPr>
          <w:color w:val="000000" w:themeColor="text1"/>
          <w:lang w:val="en-GB"/>
        </w:rPr>
        <w:t xml:space="preserve"> induces galls up to 0.5 cm in diameter on young roots (Figure 1); however, on older roots these galls become larger (1–2 cm in diameter; Figure 2). These large galls are typical for </w:t>
      </w:r>
      <w:r>
        <w:rPr>
          <w:i/>
          <w:iCs/>
          <w:color w:val="000000" w:themeColor="text1"/>
          <w:lang w:val="en-GB"/>
        </w:rPr>
        <w:t>M. mali</w:t>
      </w:r>
      <w:r>
        <w:rPr>
          <w:color w:val="000000" w:themeColor="text1"/>
          <w:lang w:val="en-GB"/>
        </w:rPr>
        <w:t xml:space="preserve"> (see also the original description of </w:t>
      </w:r>
      <w:r>
        <w:rPr>
          <w:i/>
          <w:iCs/>
          <w:color w:val="000000" w:themeColor="text1"/>
          <w:lang w:val="en-GB"/>
        </w:rPr>
        <w:t>M. mali</w:t>
      </w:r>
      <w:r>
        <w:rPr>
          <w:color w:val="000000" w:themeColor="text1"/>
          <w:lang w:val="en-GB"/>
        </w:rPr>
        <w:t xml:space="preserve"> in Itoh, Ohshima and Ichinohe (1969) and Palmisano and Ambrogioni (2000)).</w:t>
      </w:r>
    </w:p>
    <w:p w14:paraId="57497E2C" w14:textId="1D8799B7">
      <w:pPr>
        <w:pStyle w:val="IPPParagraphnumbering"/>
        <w:numPr>
          <w:ilvl w:val="0"/>
          <w:numId w:val="0"/>
        </w:numPr>
        <w:rPr>
          <w:color w:val="000000" w:themeColor="text1"/>
          <w:lang w:val="en-GB"/>
        </w:rPr>
      </w:pPr>
      <w:r>
        <w:rPr>
          <w:rStyle w:val="PleaseReviewParagraphId"/>
          <w:b w:val="off"/>
          <w:i w:val="off"/>
        </w:rPr>
        <w:t>[64]</w:t>
      </w:r>
      <w:bookmarkStart w:name="_Hlk138321929" w:id="1"/>
      <w:r>
        <w:rPr>
          <w:color w:val="000000" w:themeColor="text1"/>
          <w:lang w:val="en-GB"/>
        </w:rPr>
        <w:t xml:space="preserve">Above-ground </w:t>
      </w:r>
      <w:bookmarkEnd w:id="1"/>
      <w:r>
        <w:rPr>
          <w:color w:val="000000" w:themeColor="text1"/>
          <w:lang w:val="en-GB"/>
        </w:rPr>
        <w:t>symptoms in trees are only visible when the trees become heavily infested. Then, they will show early leaf fall and reduced growth. In the Kingdom of the Netherlands, several cases have been reported of heavily infested elms being uprooted during (or following) storms (EPPO, 2017, 2018).</w:t>
      </w:r>
    </w:p>
    <w:p w14:paraId="4ED90AF7" w14:textId="2B390DB7">
      <w:pPr>
        <w:pStyle w:val="IPPParagraphnumbering"/>
        <w:numPr>
          <w:ilvl w:val="0"/>
          <w:numId w:val="0"/>
        </w:numPr>
        <w:rPr>
          <w:color w:val="000000" w:themeColor="text1"/>
          <w:lang w:val="en-GB"/>
        </w:rPr>
      </w:pPr>
      <w:r>
        <w:rPr>
          <w:rStyle w:val="PleaseReviewParagraphId"/>
          <w:b w:val="off"/>
          <w:i w:val="off"/>
        </w:rPr>
        <w:t>[65]</w:t>
      </w:r>
      <w:r>
        <w:rPr>
          <w:color w:val="000000" w:themeColor="text1"/>
          <w:lang w:val="en-GB"/>
        </w:rPr>
        <w:t xml:space="preserve">The principal hosts of </w:t>
      </w:r>
      <w:r>
        <w:rPr>
          <w:i/>
          <w:color w:val="000000" w:themeColor="text1"/>
          <w:lang w:val="en-GB"/>
        </w:rPr>
        <w:t xml:space="preserve">M. mali </w:t>
      </w:r>
      <w:r>
        <w:rPr>
          <w:color w:val="000000" w:themeColor="text1"/>
          <w:lang w:val="en-GB"/>
        </w:rPr>
        <w:t xml:space="preserve">are </w:t>
      </w:r>
      <w:r>
        <w:rPr>
          <w:i/>
          <w:color w:val="000000" w:themeColor="text1"/>
          <w:lang w:val="en-GB"/>
        </w:rPr>
        <w:t>Malus</w:t>
      </w:r>
      <w:r>
        <w:rPr>
          <w:color w:val="000000" w:themeColor="text1"/>
          <w:lang w:val="en-GB"/>
        </w:rPr>
        <w:t xml:space="preserve"> spp. (ornamental apple species), </w:t>
      </w:r>
      <w:r>
        <w:rPr>
          <w:i/>
          <w:color w:val="000000" w:themeColor="text1"/>
          <w:lang w:val="en-GB"/>
        </w:rPr>
        <w:t>Ulmus</w:t>
      </w:r>
      <w:r>
        <w:rPr>
          <w:color w:val="000000" w:themeColor="text1"/>
          <w:lang w:val="en-GB"/>
        </w:rPr>
        <w:t xml:space="preserve"> spp. (elms) and </w:t>
      </w:r>
      <w:r>
        <w:rPr>
          <w:i/>
          <w:color w:val="000000" w:themeColor="text1"/>
          <w:lang w:val="en-GB"/>
        </w:rPr>
        <w:t xml:space="preserve">Morus </w:t>
      </w:r>
      <w:r>
        <w:rPr>
          <w:color w:val="000000" w:themeColor="text1"/>
          <w:lang w:val="en-GB"/>
        </w:rPr>
        <w:t xml:space="preserve">spp. (mulberry). It has also been recorded parasitizing a wide range of other plants, including trees, shrubs and herbaceous plants, such as </w:t>
      </w:r>
      <w:r>
        <w:rPr>
          <w:i/>
          <w:iCs/>
          <w:color w:val="000000" w:themeColor="text1"/>
          <w:lang w:val="en-GB"/>
        </w:rPr>
        <w:t>Acer</w:t>
      </w:r>
      <w:r>
        <w:rPr>
          <w:color w:val="000000" w:themeColor="text1"/>
          <w:lang w:val="en-GB"/>
        </w:rPr>
        <w:t xml:space="preserve"> spp. (Japanese maple), </w:t>
      </w:r>
      <w:r>
        <w:rPr>
          <w:i/>
          <w:color w:val="000000" w:themeColor="text1"/>
          <w:lang w:val="en-GB"/>
        </w:rPr>
        <w:t>Apium graveolens</w:t>
      </w:r>
      <w:r>
        <w:rPr>
          <w:color w:val="000000" w:themeColor="text1"/>
          <w:lang w:val="en-GB"/>
        </w:rPr>
        <w:t xml:space="preserve"> (celery), </w:t>
      </w:r>
      <w:r>
        <w:rPr>
          <w:i/>
          <w:color w:val="000000" w:themeColor="text1"/>
          <w:lang w:val="en-GB"/>
        </w:rPr>
        <w:t>Arctium lappa</w:t>
      </w:r>
      <w:r>
        <w:rPr>
          <w:color w:val="000000" w:themeColor="text1"/>
          <w:lang w:val="en-GB"/>
        </w:rPr>
        <w:t xml:space="preserve"> (greater burdock), </w:t>
      </w:r>
      <w:r>
        <w:rPr>
          <w:i/>
          <w:color w:val="000000" w:themeColor="text1"/>
          <w:lang w:val="en-GB"/>
        </w:rPr>
        <w:t>Castanea crenata</w:t>
      </w:r>
      <w:r>
        <w:rPr>
          <w:color w:val="000000" w:themeColor="text1"/>
          <w:lang w:val="en-GB"/>
        </w:rPr>
        <w:t xml:space="preserve"> (Japanese chestnut), </w:t>
      </w:r>
      <w:r>
        <w:rPr>
          <w:i/>
          <w:color w:val="000000" w:themeColor="text1"/>
          <w:lang w:val="en-GB"/>
        </w:rPr>
        <w:t>Cucumis sativus</w:t>
      </w:r>
      <w:r>
        <w:rPr>
          <w:color w:val="000000" w:themeColor="text1"/>
          <w:lang w:val="en-GB"/>
        </w:rPr>
        <w:t xml:space="preserve"> (cucumber) and </w:t>
      </w:r>
      <w:r>
        <w:rPr>
          <w:i/>
          <w:color w:val="000000" w:themeColor="text1"/>
          <w:lang w:val="en-GB"/>
        </w:rPr>
        <w:t>Euonymus fortunei</w:t>
      </w:r>
      <w:r>
        <w:rPr>
          <w:color w:val="000000" w:themeColor="text1"/>
          <w:lang w:val="en-GB"/>
        </w:rPr>
        <w:t xml:space="preserve"> (wintercreeper) and </w:t>
      </w:r>
      <w:r>
        <w:rPr>
          <w:i/>
          <w:color w:val="000000" w:themeColor="text1"/>
          <w:lang w:val="en-GB"/>
        </w:rPr>
        <w:t>Lagerstroemia indica</w:t>
      </w:r>
      <w:r>
        <w:rPr>
          <w:color w:val="000000" w:themeColor="text1"/>
          <w:lang w:val="en-GB"/>
        </w:rPr>
        <w:t xml:space="preserve"> (Indian crape myrtle) (EPPO, 2017, n.d.(b)).</w:t>
      </w:r>
    </w:p>
    <w:p w14:paraId="20BBC7C0" w14:textId="1A4B2C76">
      <w:pPr>
        <w:pStyle w:val="IPPHeading2"/>
        <w:rPr>
          <w:color w:val="000000" w:themeColor="text1"/>
        </w:rPr>
      </w:pPr>
      <w:r>
        <w:rPr>
          <w:rStyle w:val="PleaseReviewParagraphId"/>
          <w:b w:val="off"/>
          <w:i w:val="off"/>
        </w:rPr>
        <w:t>[66]</w:t>
      </w:r>
      <w:r>
        <w:rPr>
          <w:color w:val="000000" w:themeColor="text1"/>
        </w:rPr>
        <w:t>3.2</w:t>
        <w:tab/>
        <w:t>Extraction</w:t>
      </w:r>
    </w:p>
    <w:p w14:paraId="7200FB48" w14:textId="3E981E1C">
      <w:pPr>
        <w:pStyle w:val="IPPParagraphnumbering"/>
        <w:numPr>
          <w:ilvl w:val="0"/>
          <w:numId w:val="0"/>
        </w:numPr>
        <w:rPr>
          <w:color w:val="000000" w:themeColor="text1"/>
          <w:lang w:val="en-GB"/>
        </w:rPr>
      </w:pPr>
      <w:r>
        <w:rPr>
          <w:rStyle w:val="PleaseReviewParagraphId"/>
          <w:b w:val="off"/>
          <w:i w:val="off"/>
        </w:rPr>
        <w:t>[67]</w:t>
      </w:r>
      <w:r>
        <w:rPr>
          <w:color w:val="000000" w:themeColor="text1"/>
          <w:lang w:val="en-GB"/>
        </w:rPr>
        <w:t>Above-ground symptoms of heavily infested plants include</w:t>
      </w:r>
      <w:r>
        <w:rPr>
          <w:rFonts w:eastAsiaTheme="minorEastAsia"/>
          <w:color w:val="000000" w:themeColor="text1"/>
          <w:lang w:val="en-GB" w:eastAsia="zh-CN"/>
        </w:rPr>
        <w:t xml:space="preserve"> </w:t>
      </w:r>
      <w:r>
        <w:rPr>
          <w:color w:val="000000" w:themeColor="text1"/>
          <w:lang w:val="en-GB"/>
        </w:rPr>
        <w:t>stunting and yellowing, while below ground typical root</w:t>
      </w:r>
      <w:r>
        <w:rPr>
          <w:rFonts w:eastAsiaTheme="minorEastAsia"/>
          <w:color w:val="000000" w:themeColor="text1"/>
          <w:lang w:val="en-GB" w:eastAsia="zh-CN"/>
        </w:rPr>
        <w:t xml:space="preserve"> </w:t>
      </w:r>
      <w:r>
        <w:rPr>
          <w:color w:val="000000" w:themeColor="text1"/>
          <w:lang w:val="en-GB"/>
        </w:rPr>
        <w:t>galls are found (Figure </w:t>
      </w:r>
      <w:r>
        <w:rPr>
          <w:rFonts w:eastAsiaTheme="minorEastAsia"/>
          <w:color w:val="000000" w:themeColor="text1"/>
          <w:lang w:val="en-GB" w:eastAsia="zh-CN"/>
        </w:rPr>
        <w:t>1 and Figure </w:t>
      </w:r>
      <w:r>
        <w:rPr>
          <w:color w:val="000000" w:themeColor="text1"/>
          <w:lang w:val="en-GB"/>
        </w:rPr>
        <w:t xml:space="preserve">2). </w:t>
      </w:r>
      <w:r>
        <w:rPr>
          <w:rFonts w:eastAsiaTheme="minorEastAsia"/>
          <w:color w:val="000000" w:themeColor="text1"/>
          <w:lang w:val="en-GB" w:eastAsia="zh-CN"/>
        </w:rPr>
        <w:t xml:space="preserve">Laboratory analysis is performed from a sample of 0.5–1 kg </w:t>
      </w:r>
      <w:r>
        <w:rPr>
          <w:color w:val="000000" w:themeColor="text1"/>
          <w:lang w:val="en-GB"/>
        </w:rPr>
        <w:t>soil or growing media</w:t>
      </w:r>
      <w:r>
        <w:rPr>
          <w:rFonts w:eastAsiaTheme="minorEastAsia"/>
          <w:color w:val="000000" w:themeColor="text1"/>
          <w:lang w:val="en-GB" w:eastAsia="zh-CN"/>
        </w:rPr>
        <w:t xml:space="preserve"> mixed with the roots from 3–5 host plants. </w:t>
      </w:r>
      <w:r>
        <w:rPr>
          <w:color w:val="000000" w:themeColor="text1"/>
          <w:lang w:val="en-GB"/>
        </w:rPr>
        <w:t xml:space="preserve">To detect the presence of nematodes, it is necessary to extract </w:t>
      </w:r>
      <w:r>
        <w:rPr>
          <w:rFonts w:eastAsiaTheme="minorEastAsia"/>
          <w:color w:val="000000" w:themeColor="text1"/>
          <w:lang w:val="en-GB" w:eastAsia="zh-CN"/>
        </w:rPr>
        <w:t>nematodes</w:t>
      </w:r>
      <w:r>
        <w:rPr>
          <w:color w:val="000000" w:themeColor="text1"/>
          <w:lang w:val="en-GB"/>
        </w:rPr>
        <w:t xml:space="preserve"> from roots (all life stages possibly recovered), soil or growing media (only motile males and J2 juveniles recovered). For all type of samples</w:t>
      </w:r>
      <w:r>
        <w:rPr>
          <w:rFonts w:eastAsiaTheme="minorEastAsia"/>
          <w:color w:val="000000" w:themeColor="text1"/>
          <w:lang w:val="en-GB" w:eastAsia="zh-CN"/>
        </w:rPr>
        <w:t xml:space="preserve"> a modified Baermann funnel method (e.g. a Whitehead tray), can be used for nematode extraction (EPPO, 2013). Root galls, if present, are analysed using a dissecting microscope. </w:t>
      </w:r>
      <w:r>
        <w:rPr>
          <w:color w:val="000000" w:themeColor="text1"/>
          <w:lang w:val="en-GB"/>
        </w:rPr>
        <w:t xml:space="preserve">These galls may have associated egg masses. If galls with egg masses are observed, mature swollen females, males and J2 juveniles can be obtained. Mature females can be isolated from the roots by dissecting the root tissue under a dissecting microscope with transmitted light. They should be transferred </w:t>
      </w:r>
      <w:r>
        <w:rPr>
          <w:rFonts w:eastAsiaTheme="minorEastAsia"/>
          <w:color w:val="000000" w:themeColor="text1"/>
          <w:lang w:val="en-GB" w:eastAsia="zh-CN"/>
        </w:rPr>
        <w:t xml:space="preserve">using a pipette, fine forceps (or tweezers) or a fine paint brush </w:t>
      </w:r>
      <w:r>
        <w:rPr>
          <w:color w:val="000000" w:themeColor="text1"/>
          <w:lang w:val="en-GB"/>
        </w:rPr>
        <w:t>to a 0.9% NaCl solution in order to avoid possible osmotic disruption in tap water. Alternatively, enzymatic digestion of roots with cellulase and pectinase can be used for the recovery of sedentary stages (females and third- (J3) and fourth- (J4) stage juveniles) and eggs (Araya and Caswell-Chen, 1993). Males and J2 juveniles can be obtained from plant tissues or soil by suitable extraction techniques (see, for example, EPPO (2013)).</w:t>
      </w:r>
    </w:p>
    <w:p w14:paraId="28D76E17" w14:textId="46F15A99">
      <w:pPr>
        <w:pStyle w:val="IPPParagraphnumbering"/>
        <w:numPr>
          <w:ilvl w:val="0"/>
          <w:numId w:val="0"/>
        </w:numPr>
        <w:rPr>
          <w:color w:val="000000" w:themeColor="text1"/>
          <w:lang w:val="en-GB" w:eastAsia="zh-CN"/>
        </w:rPr>
      </w:pPr>
      <w:r>
        <w:rPr>
          <w:rStyle w:val="PleaseReviewParagraphId"/>
          <w:b w:val="off"/>
          <w:i w:val="off"/>
        </w:rPr>
        <w:t>[68]</w:t>
      </w:r>
      <w:r>
        <w:rPr>
          <w:color w:val="000000" w:themeColor="text1"/>
        </w:rPr>
        <w:t xml:space="preserve">Specimens suspected of belonging to the genus </w:t>
      </w:r>
      <w:r>
        <w:rPr>
          <w:i/>
          <w:color w:val="000000" w:themeColor="text1"/>
        </w:rPr>
        <w:t>M</w:t>
      </w:r>
      <w:r>
        <w:rPr>
          <w:i/>
          <w:iCs/>
          <w:color w:val="000000" w:themeColor="text1"/>
        </w:rPr>
        <w:t>eloidogyne</w:t>
      </w:r>
      <w:r>
        <w:rPr>
          <w:color w:val="000000" w:themeColor="text1"/>
        </w:rPr>
        <w:t xml:space="preserve"> may be distinguished based on their morphology. </w:t>
      </w:r>
      <w:r>
        <w:rPr>
          <w:color w:val="000000" w:themeColor="text1"/>
          <w:lang w:val="en-GB" w:eastAsia="zh-CN"/>
        </w:rPr>
        <w:t xml:space="preserve">Second-stage juveniles of </w:t>
      </w:r>
      <w:r>
        <w:rPr>
          <w:i/>
          <w:color w:val="000000" w:themeColor="text1"/>
          <w:lang w:val="en-GB" w:eastAsia="zh-CN"/>
        </w:rPr>
        <w:t>M. mali</w:t>
      </w:r>
      <w:r>
        <w:rPr>
          <w:color w:val="000000" w:themeColor="text1"/>
          <w:lang w:val="en-GB" w:eastAsia="zh-CN"/>
        </w:rPr>
        <w:t xml:space="preserve"> (and other </w:t>
      </w:r>
      <w:r>
        <w:rPr>
          <w:i/>
          <w:color w:val="000000" w:themeColor="text1"/>
          <w:lang w:val="en-GB" w:eastAsia="zh-CN"/>
        </w:rPr>
        <w:t>Meloidogyne</w:t>
      </w:r>
      <w:r>
        <w:rPr>
          <w:color w:val="000000" w:themeColor="text1"/>
          <w:lang w:val="en-GB" w:eastAsia="zh-CN"/>
        </w:rPr>
        <w:t xml:space="preserve"> spp.) are relatively small in length and differ from other plant-parasitic nematodes by having a delicate stylet with distinct basal knobs, the lip region being slightly set off from the body, and the metacorpus and plates being relatively large, distinct and oval-shaped. The tail is typically conoid and slim, with a prominent hyaline region. The body of adult males is vermiform and much longer than the J2 juveniles, with a sclerotized cephalic framework set off from the body, a large and distinct stylet and a pair of spicules near to the terminus.</w:t>
      </w:r>
    </w:p>
    <w:p w14:paraId="70C427BD" w14:textId="2C49FDB3">
      <w:pPr>
        <w:pStyle w:val="IPPHeading1"/>
        <w:rPr>
          <w:color w:val="000000" w:themeColor="text1"/>
        </w:rPr>
      </w:pPr>
      <w:r>
        <w:rPr>
          <w:rStyle w:val="PleaseReviewParagraphId"/>
          <w:b w:val="off"/>
          <w:i w:val="off"/>
        </w:rPr>
        <w:t>[69]</w:t>
      </w:r>
      <w:r>
        <w:rPr>
          <w:color w:val="000000" w:themeColor="text1"/>
        </w:rPr>
        <w:lastRenderedPageBreak/>
        <w:t>4.</w:t>
        <w:tab/>
        <w:t>Identification</w:t>
      </w:r>
    </w:p>
    <w:p w14:paraId="759D8CC2" w14:textId="278DE00D">
      <w:pPr>
        <w:pStyle w:val="IPPParagraphnumbering"/>
        <w:numPr>
          <w:ilvl w:val="0"/>
          <w:numId w:val="0"/>
        </w:numPr>
        <w:rPr>
          <w:color w:val="000000" w:themeColor="text1"/>
          <w:lang w:val="en-GB"/>
        </w:rPr>
      </w:pPr>
      <w:r>
        <w:rPr>
          <w:rStyle w:val="PleaseReviewParagraphId"/>
          <w:b w:val="off"/>
          <w:i w:val="off"/>
        </w:rPr>
        <w:t>[70]</w:t>
      </w:r>
      <w:r>
        <w:rPr>
          <w:rFonts w:eastAsiaTheme="minorEastAsia"/>
          <w:i/>
          <w:color w:val="000000" w:themeColor="text1"/>
          <w:lang w:val="en-GB" w:eastAsia="zh-CN"/>
        </w:rPr>
        <w:t>M. mali</w:t>
      </w:r>
      <w:r>
        <w:rPr>
          <w:rFonts w:eastAsiaTheme="minorEastAsia"/>
          <w:color w:val="000000" w:themeColor="text1"/>
          <w:lang w:val="en-GB" w:eastAsia="zh-CN"/>
        </w:rPr>
        <w:t xml:space="preserve"> can be identified solely based on morphology; however, a</w:t>
      </w:r>
      <w:r>
        <w:rPr>
          <w:color w:val="000000" w:themeColor="text1"/>
          <w:lang w:val="en-GB"/>
        </w:rPr>
        <w:t xml:space="preserve"> combination of morphological, biochemical and molecular methods </w:t>
      </w:r>
      <w:r>
        <w:rPr>
          <w:rFonts w:eastAsiaTheme="minorEastAsia"/>
          <w:color w:val="000000" w:themeColor="text1"/>
          <w:lang w:val="en-GB" w:eastAsia="zh-CN"/>
        </w:rPr>
        <w:t xml:space="preserve">would further </w:t>
      </w:r>
      <w:r>
        <w:rPr>
          <w:color w:val="000000" w:themeColor="text1"/>
          <w:lang w:val="en-GB"/>
        </w:rPr>
        <w:t xml:space="preserve">support diagnosis. </w:t>
      </w:r>
    </w:p>
    <w:p w14:paraId="2304B408" w14:textId="406F4E80">
      <w:pPr>
        <w:pStyle w:val="IPPHeading2"/>
        <w:rPr>
          <w:color w:val="000000" w:themeColor="text1"/>
        </w:rPr>
      </w:pPr>
      <w:r>
        <w:rPr>
          <w:rStyle w:val="PleaseReviewParagraphId"/>
          <w:b w:val="off"/>
          <w:i w:val="off"/>
        </w:rPr>
        <w:t>[71]</w:t>
      </w:r>
      <w:r>
        <w:rPr>
          <w:color w:val="000000" w:themeColor="text1"/>
        </w:rPr>
        <w:t>4.1</w:t>
        <w:tab/>
        <w:t>Preparation of material</w:t>
      </w:r>
    </w:p>
    <w:p w14:paraId="27B9BCEE" w14:textId="70C53341">
      <w:pPr>
        <w:pStyle w:val="IPPParagraphnumbering"/>
        <w:numPr>
          <w:ilvl w:val="0"/>
          <w:numId w:val="0"/>
        </w:numPr>
        <w:rPr>
          <w:rStyle w:val="fontstyle01"/>
          <w:color w:val="000000" w:themeColor="text1"/>
          <w:szCs w:val="24"/>
          <w:lang w:val="en-GB"/>
        </w:rPr>
      </w:pPr>
      <w:r>
        <w:rPr>
          <w:rStyle w:val="PleaseReviewParagraphId"/>
          <w:b w:val="off"/>
          <w:i w:val="off"/>
        </w:rPr>
        <w:t>[72]</w:t>
      </w:r>
      <w:r>
        <w:rPr>
          <w:rStyle w:val="fontstyle01"/>
          <w:color w:val="000000" w:themeColor="text1"/>
          <w:szCs w:val="24"/>
          <w:lang w:val="en-GB"/>
        </w:rPr>
        <w:t>As with other species of plant-parasitic nematodes, morphological observation should be carried out on as many adult and juvenile specimens as possible</w:t>
      </w:r>
      <w:r>
        <w:rPr>
          <w:rStyle w:val="fontstyle01"/>
          <w:rFonts w:eastAsiaTheme="minorEastAsia"/>
          <w:color w:val="000000" w:themeColor="text1"/>
          <w:szCs w:val="24"/>
          <w:lang w:val="en-GB" w:eastAsia="zh-CN"/>
        </w:rPr>
        <w:t>, with a recommended minimum of at least one female and ten J2 juveniles to confirm diagnosis</w:t>
      </w:r>
      <w:r>
        <w:rPr>
          <w:rStyle w:val="fontstyle01"/>
          <w:color w:val="000000" w:themeColor="text1"/>
          <w:szCs w:val="24"/>
          <w:lang w:val="en-GB"/>
        </w:rPr>
        <w:t>. There are numerous published methods for fixing and processing nematode specimens for study, summarized in Manzanilla-López and Marbán-Mendoza (2012). Processing of nematodes in anhydrous glycerol is recommended, as important taxonomic features can be obscured if specimens are not cleared sufficiently.</w:t>
      </w:r>
    </w:p>
    <w:p w14:paraId="3B2ECC3E" w14:textId="22F290D4">
      <w:pPr>
        <w:pStyle w:val="IPPParagraphnumbering"/>
        <w:numPr>
          <w:ilvl w:val="0"/>
          <w:numId w:val="0"/>
        </w:numPr>
        <w:rPr>
          <w:color w:val="000000" w:themeColor="text1"/>
          <w:lang w:val="en-GB"/>
        </w:rPr>
      </w:pPr>
      <w:r>
        <w:rPr>
          <w:rStyle w:val="PleaseReviewParagraphId"/>
          <w:b w:val="off"/>
          <w:i w:val="off"/>
        </w:rPr>
        <w:t>[73]</w:t>
      </w:r>
      <w:r>
        <w:rPr>
          <w:rStyle w:val="fontstyle01"/>
          <w:color w:val="000000" w:themeColor="text1"/>
          <w:szCs w:val="24"/>
          <w:lang w:val="en-GB"/>
        </w:rPr>
        <w:t>Temporary microscope slide preparations can be made quickly for instant examination, but such slides may only remain usable for a few weeks. If possible, permanent slides should be prepared for future reference and deposited in nematode reference collections. Methods of preparing permanent slide-mounts of nematodes are described in detail in</w:t>
      </w:r>
      <w:r>
        <w:rPr>
          <w:color w:val="000000" w:themeColor="text1"/>
          <w:lang w:val="en-GB"/>
        </w:rPr>
        <w:t xml:space="preserve"> EPPO (2021).</w:t>
      </w:r>
    </w:p>
    <w:p w14:paraId="41817334" w14:textId="4EAAD0E2">
      <w:pPr>
        <w:pStyle w:val="IPPHeading2"/>
        <w:rPr>
          <w:color w:val="000000" w:themeColor="text1"/>
        </w:rPr>
      </w:pPr>
      <w:r>
        <w:rPr>
          <w:rStyle w:val="PleaseReviewParagraphId"/>
          <w:b w:val="off"/>
          <w:i w:val="off"/>
        </w:rPr>
        <w:t>[74]</w:t>
      </w:r>
      <w:r>
        <w:rPr>
          <w:color w:val="000000" w:themeColor="text1"/>
        </w:rPr>
        <w:t>4.1.1</w:t>
        <w:tab/>
        <w:t>Temporary preparations</w:t>
      </w:r>
    </w:p>
    <w:p w14:paraId="30EDFADD" w14:textId="3D15F19C">
      <w:pPr>
        <w:pStyle w:val="IPPHeading3"/>
        <w:rPr>
          <w:b w:val="0"/>
          <w:i w:val="0"/>
          <w:color w:val="000000" w:themeColor="text1"/>
        </w:rPr>
      </w:pPr>
      <w:r>
        <w:rPr>
          <w:rStyle w:val="PleaseReviewParagraphId"/>
          <w:b w:val="off"/>
          <w:i w:val="off"/>
        </w:rPr>
        <w:t>[75]</w:t>
      </w:r>
      <w:r>
        <w:rPr>
          <w:color w:val="000000" w:themeColor="text1"/>
        </w:rPr>
        <w:t>Vermiform juveniles and males</w:t>
      </w:r>
    </w:p>
    <w:p w14:paraId="0E8990C9" w14:textId="6E7493EF">
      <w:pPr>
        <w:pStyle w:val="IPPParagraphnumbering"/>
        <w:numPr>
          <w:ilvl w:val="0"/>
          <w:numId w:val="0"/>
        </w:numPr>
        <w:rPr>
          <w:rStyle w:val="fontstyle01"/>
          <w:color w:val="000000" w:themeColor="text1"/>
          <w:szCs w:val="24"/>
          <w:lang w:val="en-GB"/>
        </w:rPr>
      </w:pPr>
      <w:r>
        <w:rPr>
          <w:rStyle w:val="PleaseReviewParagraphId"/>
          <w:b w:val="off"/>
          <w:i w:val="off"/>
        </w:rPr>
        <w:t>[76]</w:t>
      </w:r>
      <w:r>
        <w:rPr>
          <w:rStyle w:val="fontstyle01"/>
          <w:color w:val="000000" w:themeColor="text1"/>
          <w:szCs w:val="24"/>
          <w:lang w:val="en-GB"/>
        </w:rPr>
        <w:t xml:space="preserve">A small drop of water is placed on a glass slide or cavity slide (enough to fill the well in the case of the latter). Nematode specimens are transferred to the water and the slide placed on a </w:t>
      </w:r>
      <w:bookmarkStart w:name="_Hlk138335815" w:id="2"/>
      <w:r>
        <w:rPr>
          <w:rStyle w:val="fontstyle01"/>
          <w:color w:val="000000" w:themeColor="text1"/>
          <w:szCs w:val="24"/>
          <w:lang w:val="en-GB"/>
        </w:rPr>
        <w:t>hotplate</w:t>
      </w:r>
      <w:bookmarkEnd w:id="2"/>
      <w:r>
        <w:rPr>
          <w:rStyle w:val="fontstyle01"/>
          <w:color w:val="000000" w:themeColor="text1"/>
          <w:szCs w:val="24"/>
          <w:lang w:val="en-GB"/>
        </w:rPr>
        <w:t xml:space="preserve"> set at 65 </w:t>
      </w:r>
      <w:r>
        <w:rPr>
          <w:color w:val="000000" w:themeColor="text1"/>
          <w:lang w:val="en-GB"/>
        </w:rPr>
        <w:t>°</w:t>
      </w:r>
      <w:r>
        <w:rPr>
          <w:rStyle w:val="fontstyle01"/>
          <w:color w:val="000000" w:themeColor="text1"/>
          <w:szCs w:val="24"/>
          <w:lang w:val="en-GB"/>
        </w:rPr>
        <w:t>C. It is vital that the heating is only just sufficient to kill the nematodes, as prolonged heating will result in distortion and deterioration of the specimens. In practice, 5–10 seconds on a hotplate will be sufficient time for most specimens.</w:t>
      </w:r>
      <w:r>
        <w:rPr>
          <w:color w:val="000000" w:themeColor="text1"/>
          <w:lang w:val="en-GB"/>
        </w:rPr>
        <w:t xml:space="preserve"> </w:t>
      </w:r>
      <w:r>
        <w:rPr>
          <w:rStyle w:val="fontstyle01"/>
          <w:color w:val="000000" w:themeColor="text1"/>
          <w:szCs w:val="24"/>
          <w:lang w:val="en-GB"/>
        </w:rPr>
        <w:t xml:space="preserve">A small drop of </w:t>
      </w:r>
      <w:bookmarkStart w:name="_Hlk138335933" w:id="3"/>
      <w:r>
        <w:rPr>
          <w:rStyle w:val="fontstyle01"/>
          <w:color w:val="000000" w:themeColor="text1"/>
          <w:szCs w:val="24"/>
          <w:lang w:val="en-GB"/>
        </w:rPr>
        <w:t xml:space="preserve">single-strength </w:t>
      </w:r>
      <w:bookmarkEnd w:id="3"/>
      <w:r>
        <w:rPr>
          <w:rStyle w:val="fontstyle01"/>
          <w:color w:val="000000" w:themeColor="text1"/>
          <w:szCs w:val="24"/>
          <w:lang w:val="en-GB"/>
        </w:rPr>
        <w:t>triethanolamine and formalin (TAF) fixative (7 mL formalin (40% formaldehyde), 2 mL triethanolamine, 91 mL distilled water) or another appropriate fixative is placed in the centre of a dust-free glass slide, and an appropriate amount of paraffin wax shavings or a paraffin wax ring (sufficient to help support a coverslip and seal it to the slide) is positioned around the drop.</w:t>
      </w:r>
      <w:r>
        <w:rPr>
          <w:color w:val="000000" w:themeColor="text1"/>
          <w:lang w:val="en-GB"/>
        </w:rPr>
        <w:t xml:space="preserve"> </w:t>
      </w:r>
      <w:r>
        <w:rPr>
          <w:rStyle w:val="fontstyle01"/>
          <w:color w:val="000000" w:themeColor="text1"/>
          <w:szCs w:val="24"/>
          <w:lang w:val="en-GB"/>
        </w:rPr>
        <w:t>The nematode specimens are transferred from the first glass slide or cavity slide to the TAF fixative. A clean coverslip is placed upon the wax and the slide is heated until the wax has just melted; gently tapping the slide may remove air that may be lodged under the coverslip. There should be a clear area of TAF fixative containing the nematodes in the centre and a complete ring of wax to seal the slide. Should the seal be broken, or the nematodes become embedded in the wax, the slide can be reheated, the coverslip removed, and the recovered nematodes remounted on a new slide. The coverslip is sealed with a ring of clear nail varnish or another sealing compound.</w:t>
      </w:r>
    </w:p>
    <w:p w14:paraId="24CF05A5" w14:textId="28C45579">
      <w:pPr>
        <w:pStyle w:val="IPPParagraphnumbering"/>
        <w:numPr>
          <w:ilvl w:val="0"/>
          <w:numId w:val="0"/>
        </w:numPr>
        <w:rPr>
          <w:rStyle w:val="fontstyle01"/>
          <w:color w:val="000000" w:themeColor="text1"/>
          <w:szCs w:val="24"/>
          <w:lang w:val="en-GB"/>
        </w:rPr>
      </w:pPr>
      <w:r>
        <w:rPr>
          <w:rStyle w:val="PleaseReviewParagraphId"/>
          <w:b w:val="off"/>
          <w:i w:val="off"/>
        </w:rPr>
        <w:t>[77]</w:t>
      </w:r>
      <w:r>
        <w:rPr>
          <w:rStyle w:val="fontstyle01"/>
          <w:color w:val="000000" w:themeColor="text1"/>
          <w:szCs w:val="24"/>
          <w:lang w:val="en-GB"/>
        </w:rPr>
        <w:t xml:space="preserve">Alternatively, nematodes may be </w:t>
      </w:r>
      <w:r>
        <w:rPr>
          <w:color w:val="000000" w:themeColor="text1"/>
          <w:lang w:val="en-GB"/>
        </w:rPr>
        <w:t>immobilized by exposing a suspension of specimens to a low temperature (</w:t>
      </w:r>
      <w:r>
        <w:rPr>
          <w:rFonts w:eastAsiaTheme="minorEastAsia"/>
          <w:color w:val="000000" w:themeColor="text1"/>
          <w:lang w:val="en-GB" w:eastAsia="zh-CN"/>
        </w:rPr>
        <w:t>2–8 </w:t>
      </w:r>
      <w:r>
        <w:rPr>
          <w:color w:val="000000" w:themeColor="text1"/>
          <w:lang w:val="en-GB"/>
        </w:rPr>
        <w:t>°</w:t>
      </w:r>
      <w:r>
        <w:rPr>
          <w:rStyle w:val="fontstyle01"/>
          <w:color w:val="000000" w:themeColor="text1"/>
          <w:szCs w:val="24"/>
          <w:lang w:val="en-GB"/>
        </w:rPr>
        <w:t>C)</w:t>
      </w:r>
      <w:r>
        <w:rPr>
          <w:color w:val="000000" w:themeColor="text1"/>
          <w:lang w:val="en-GB"/>
        </w:rPr>
        <w:t xml:space="preserve"> until the suspension has also reached that temperature. A temporary water-mounted slide can then be prepared for identification.</w:t>
      </w:r>
    </w:p>
    <w:p w14:paraId="46DFF8E9" w14:textId="22758F31">
      <w:pPr>
        <w:pStyle w:val="IPPHeading3"/>
        <w:rPr>
          <w:color w:val="000000" w:themeColor="text1"/>
        </w:rPr>
      </w:pPr>
      <w:r>
        <w:rPr>
          <w:rStyle w:val="PleaseReviewParagraphId"/>
          <w:b w:val="off"/>
          <w:i w:val="off"/>
        </w:rPr>
        <w:t>[78]</w:t>
      </w:r>
      <w:r>
        <w:rPr>
          <w:color w:val="000000" w:themeColor="text1"/>
        </w:rPr>
        <w:t>Females</w:t>
      </w:r>
    </w:p>
    <w:p w14:paraId="53950D75" w14:textId="010CA2D6">
      <w:pPr>
        <w:pStyle w:val="IPPParagraphnumbering"/>
        <w:numPr>
          <w:ilvl w:val="0"/>
          <w:numId w:val="0"/>
        </w:numPr>
        <w:rPr>
          <w:color w:val="000000" w:themeColor="text1"/>
          <w:lang w:val="en-GB"/>
        </w:rPr>
      </w:pPr>
      <w:r>
        <w:rPr>
          <w:rStyle w:val="PleaseReviewParagraphId"/>
          <w:b w:val="off"/>
          <w:i w:val="off"/>
        </w:rPr>
        <w:t>[79]</w:t>
      </w:r>
      <w:r>
        <w:rPr>
          <w:color w:val="000000" w:themeColor="text1"/>
          <w:lang w:val="en-GB"/>
        </w:rPr>
        <w:t>The following method is adapted and summarized from Jepson (1987). Dissection is performed using water to allow to use dissected portions for molecular diagnosis, if required (i.e. if only a single female specimen has been recovered). The dissection and mounting of a nematode female’s perineal pattern is easier when specimens have been previously fixed, stained, dissected in a drop of glycerol or transferred to a 0.9% NaCl solution in order to avoid possible osmotic disruption in tap water.</w:t>
      </w:r>
    </w:p>
    <w:p w14:paraId="5C05A023" w14:textId="3C6BAEB2">
      <w:pPr>
        <w:pStyle w:val="IPPParagraphnumbering"/>
        <w:numPr>
          <w:ilvl w:val="0"/>
          <w:numId w:val="0"/>
        </w:numPr>
        <w:rPr>
          <w:rStyle w:val="fontstyle01"/>
          <w:color w:val="000000" w:themeColor="text1"/>
          <w:szCs w:val="24"/>
          <w:lang w:val="en-GB"/>
        </w:rPr>
      </w:pPr>
      <w:r>
        <w:rPr>
          <w:rStyle w:val="PleaseReviewParagraphId"/>
          <w:b w:val="off"/>
          <w:i w:val="off"/>
        </w:rPr>
        <w:t>[80]</w:t>
      </w:r>
      <w:r>
        <w:rPr>
          <w:rStyle w:val="fontstyle01"/>
          <w:color w:val="000000" w:themeColor="text1"/>
          <w:szCs w:val="24"/>
          <w:lang w:val="en-GB"/>
        </w:rPr>
        <w:t xml:space="preserve">A small drop of water is placed on a glass slide or cavity slide, enough to fill the well. A female nematode specimen is transferred to the water. The dorsal perineal pattern is located and the tip of a sterile hypodermic needle is used to puncture the mid-body of the female to release turgor pressure. The nematode female is cut in half transversely at the mid-body, ensuring that the perineal pattern is undamaged (the anterior region can be placed into a suitable microtube for molecular analysis if desired or mounted along with the posterior for morphological assessment). The body contents adhered to the perineal pattern are removed, and the edges of the perineal pattern are trimmed until the tissue lays flat </w:t>
        <w:lastRenderedPageBreak/>
        <w:t xml:space="preserve">on the slide. A small drop of single-strength TAF fixative (composition as above) or another appropriate fixative is placed in the centre of a dust-free glass slide, and an appropriate amount of paraffin wax shavings or a paraffin wax ring (sufficient to help support the coverslip and seal it to the slide) is positioned around the drop. The perineal pattern (and anterior region if desired) is transferred from the glass slide or cavity slide to the TAF fixative and positioned so that it is dorsal side up under the surface of the fixative drop. A clean coverslip is placed upon the wax and the slide is heated until the wax has just melted; gently tapping the slide may remove air that may be lodged under the coverslip. There should be a clear area of TAF fixative containing the nematode tissue in the centre and a complete ring of wax to seal the slide. Should the seal be broken, or the specimens become embedded in the wax, the slide can be reheated, the coverslip removed, and the recovered tissue remounted on a new slide. The coverslip is sealed with a ring of clear nail varnish or another sealing compound. </w:t>
      </w:r>
    </w:p>
    <w:p w14:paraId="515C61A7" w14:textId="5648F862">
      <w:pPr>
        <w:pStyle w:val="IPPHeading2"/>
        <w:rPr>
          <w:color w:val="000000" w:themeColor="text1"/>
        </w:rPr>
      </w:pPr>
      <w:r>
        <w:rPr>
          <w:rStyle w:val="PleaseReviewParagraphId"/>
          <w:b w:val="off"/>
          <w:i w:val="off"/>
        </w:rPr>
        <w:t>[81]</w:t>
      </w:r>
      <w:r>
        <w:rPr>
          <w:color w:val="000000" w:themeColor="text1"/>
        </w:rPr>
        <w:t>4.2</w:t>
        <w:tab/>
        <w:t>Identification using morphological characteristics</w:t>
      </w:r>
    </w:p>
    <w:p w14:paraId="0B3A487A" w14:textId="131463AC">
      <w:pPr>
        <w:pStyle w:val="IPPParagraphnumbering"/>
        <w:numPr>
          <w:ilvl w:val="0"/>
          <w:numId w:val="0"/>
        </w:numPr>
        <w:rPr>
          <w:color w:val="000000" w:themeColor="text1"/>
          <w:lang w:val="en-GB"/>
        </w:rPr>
      </w:pPr>
      <w:r>
        <w:rPr>
          <w:rStyle w:val="PleaseReviewParagraphId"/>
          <w:b w:val="off"/>
          <w:i w:val="off"/>
        </w:rPr>
        <w:t>[82]</w:t>
      </w:r>
      <w:r>
        <w:rPr>
          <w:color w:val="000000" w:themeColor="text1"/>
          <w:lang w:val="en-GB"/>
        </w:rPr>
        <w:t xml:space="preserve">Differential interference contrast is recommended for observing and identifying specimens mounted (in fixative) on microscope slides. A complete key has been published on the genus </w:t>
      </w:r>
      <w:r>
        <w:rPr>
          <w:i/>
          <w:iCs/>
          <w:color w:val="000000" w:themeColor="text1"/>
          <w:lang w:val="en-GB"/>
        </w:rPr>
        <w:t>Meloidogyne</w:t>
      </w:r>
      <w:r>
        <w:rPr>
          <w:color w:val="000000" w:themeColor="text1"/>
          <w:lang w:val="en-GB"/>
        </w:rPr>
        <w:t xml:space="preserve"> by Jepson (1987) and updated by Subbotin, </w:t>
      </w:r>
      <w:r>
        <w:rPr>
          <w:bCs/>
          <w:color w:val="000000" w:themeColor="text1"/>
          <w:lang w:val="en-GB" w:eastAsia="en-GB"/>
        </w:rPr>
        <w:t>Palomares-Rius and Castillo</w:t>
      </w:r>
      <w:r>
        <w:rPr>
          <w:color w:val="000000" w:themeColor="text1"/>
          <w:lang w:val="en-GB"/>
        </w:rPr>
        <w:t xml:space="preserve"> (2021). This protocol presents the main morphological and morphometric characteristics to assist with discrimination between similar species, but, as noted above, identification to species level should be confirmed by molecular or biochemical methods (EPPO, 2018).</w:t>
      </w:r>
    </w:p>
    <w:p w14:paraId="5E7A4BBC" w14:textId="11413E43">
      <w:pPr>
        <w:pStyle w:val="IPPHeading2"/>
        <w:rPr>
          <w:color w:val="000000" w:themeColor="text1"/>
        </w:rPr>
      </w:pPr>
      <w:r>
        <w:rPr>
          <w:rStyle w:val="PleaseReviewParagraphId"/>
          <w:b w:val="off"/>
          <w:i w:val="off"/>
        </w:rPr>
        <w:t>[83]</w:t>
      </w:r>
      <w:r>
        <w:rPr>
          <w:color w:val="000000" w:themeColor="text1"/>
        </w:rPr>
        <w:t>4.2.1</w:t>
        <w:tab/>
        <w:t xml:space="preserve">Morphological characteristics of </w:t>
      </w:r>
      <w:r>
        <w:rPr>
          <w:i/>
          <w:iCs/>
          <w:color w:val="000000" w:themeColor="text1"/>
        </w:rPr>
        <w:t>Meloidogyne</w:t>
      </w:r>
      <w:r>
        <w:rPr>
          <w:color w:val="000000" w:themeColor="text1"/>
        </w:rPr>
        <w:t xml:space="preserve"> spp.</w:t>
      </w:r>
    </w:p>
    <w:p w14:paraId="110991F8" w14:textId="0D8AC225">
      <w:pPr>
        <w:pStyle w:val="IPPParagraphnumbering"/>
        <w:numPr>
          <w:ilvl w:val="0"/>
          <w:numId w:val="0"/>
        </w:numPr>
        <w:rPr>
          <w:color w:val="000000" w:themeColor="text1"/>
          <w:lang w:val="en-GB"/>
        </w:rPr>
      </w:pPr>
      <w:r>
        <w:rPr>
          <w:rStyle w:val="PleaseReviewParagraphId"/>
          <w:b w:val="off"/>
          <w:i w:val="off"/>
        </w:rPr>
        <w:t>[84]</w:t>
      </w:r>
      <w:r>
        <w:rPr>
          <w:rStyle w:val="IPPParagraphnumberingChar"/>
          <w:color w:val="000000" w:themeColor="text1"/>
          <w:lang w:val="en-GB"/>
        </w:rPr>
        <w:t>Sedentary females are annulated, pearly white and globular to pear-shaped, 400–1300 µm long and 300–700 µm wide. The stylet is dorsally curved, 10–25 µm long, with rounded to ovoid stylet knobs set off to sloping posteriorly. The males are vermiform, annulated, slightly tapering anteriorly, bluntly rounded posteriorly, 700–2000 µm long and 25–45 µm wide. The stylet is 13–30 µm long, with stylet knobs that are variable in shape. The J2 juveniles are vermiform, annulated, tapering at both ends, 250–700 µm long and 12–18 µm wide, with the tail length 15–100 µm and the hyaline tail part 5–30 µm in</w:t>
      </w:r>
      <w:r>
        <w:rPr>
          <w:color w:val="000000" w:themeColor="text1"/>
          <w:lang w:val="en-GB"/>
        </w:rPr>
        <w:t xml:space="preserve"> length. Both males and J2 juveniles have lateral fields with four incisures (EPPO, 2018).</w:t>
      </w:r>
    </w:p>
    <w:p w14:paraId="32928B95" w14:textId="145EE968">
      <w:pPr>
        <w:pStyle w:val="IPPHeading2"/>
        <w:rPr>
          <w:color w:val="000000" w:themeColor="text1"/>
        </w:rPr>
      </w:pPr>
      <w:r>
        <w:rPr>
          <w:rStyle w:val="PleaseReviewParagraphId"/>
          <w:b w:val="off"/>
          <w:i w:val="off"/>
        </w:rPr>
        <w:t>[85]</w:t>
      </w:r>
      <w:r>
        <w:rPr>
          <w:color w:val="000000" w:themeColor="text1"/>
        </w:rPr>
        <w:t>4.2.2</w:t>
        <w:tab/>
        <w:t xml:space="preserve">Morphology and morphometrics of </w:t>
      </w:r>
      <w:r>
        <w:rPr>
          <w:i/>
          <w:iCs/>
          <w:color w:val="000000" w:themeColor="text1"/>
        </w:rPr>
        <w:t>Meloidogyne mali</w:t>
      </w:r>
    </w:p>
    <w:p w14:paraId="589242BD" w14:textId="5DD96F8A">
      <w:pPr>
        <w:pStyle w:val="IPPParagraphnumbering"/>
        <w:numPr>
          <w:ilvl w:val="0"/>
          <w:numId w:val="0"/>
        </w:numPr>
        <w:rPr>
          <w:color w:val="000000" w:themeColor="text1"/>
          <w:lang w:val="en-GB"/>
        </w:rPr>
      </w:pPr>
      <w:r>
        <w:rPr>
          <w:rStyle w:val="PleaseReviewParagraphId"/>
          <w:b w:val="off"/>
          <w:i w:val="off"/>
        </w:rPr>
        <w:t>[86]</w:t>
      </w:r>
      <w:r>
        <w:rPr>
          <w:color w:val="000000" w:themeColor="text1"/>
          <w:lang w:val="en-GB"/>
        </w:rPr>
        <w:t xml:space="preserve">The following descriptions have been amended from Itoh, Ohshima and Ichinohe (1969), Palmisano and Ambrogioni (2000), Gu, </w:t>
      </w:r>
      <w:r>
        <w:rPr>
          <w:bCs/>
          <w:color w:val="000000" w:themeColor="text1"/>
          <w:lang w:val="en-GB" w:eastAsia="en-GB"/>
        </w:rPr>
        <w:t>Fang and Liu</w:t>
      </w:r>
      <w:r>
        <w:rPr>
          <w:color w:val="000000" w:themeColor="text1"/>
          <w:lang w:val="en-GB"/>
        </w:rPr>
        <w:t xml:space="preserve"> (2020) and Ahmed </w:t>
      </w:r>
      <w:r>
        <w:rPr>
          <w:i/>
          <w:iCs/>
          <w:color w:val="000000" w:themeColor="text1"/>
          <w:lang w:val="en-GB"/>
        </w:rPr>
        <w:t>et al</w:t>
      </w:r>
      <w:r>
        <w:rPr>
          <w:color w:val="000000" w:themeColor="text1"/>
          <w:lang w:val="en-GB"/>
        </w:rPr>
        <w:t>. (2013) (cited in EPPO, 2018).</w:t>
      </w:r>
    </w:p>
    <w:p w14:paraId="174DD558" w14:textId="7998D7BF">
      <w:pPr>
        <w:pStyle w:val="IPPHeading3"/>
        <w:rPr>
          <w:color w:val="000000" w:themeColor="text1"/>
        </w:rPr>
      </w:pPr>
      <w:r>
        <w:rPr>
          <w:rStyle w:val="PleaseReviewParagraphId"/>
          <w:b w:val="off"/>
          <w:i w:val="off"/>
        </w:rPr>
        <w:t>[87]</w:t>
      </w:r>
      <w:r>
        <w:rPr>
          <w:color w:val="000000" w:themeColor="text1"/>
        </w:rPr>
        <w:t>Females</w:t>
      </w:r>
    </w:p>
    <w:p w14:paraId="08CF9771" w14:textId="4523A0C8">
      <w:pPr>
        <w:pStyle w:val="IPPParagraphnumbering"/>
        <w:numPr>
          <w:ilvl w:val="0"/>
          <w:numId w:val="0"/>
        </w:numPr>
        <w:rPr>
          <w:color w:val="000000" w:themeColor="text1"/>
          <w:lang w:val="en-GB"/>
        </w:rPr>
      </w:pPr>
      <w:r>
        <w:rPr>
          <w:rStyle w:val="PleaseReviewParagraphId"/>
          <w:b w:val="off"/>
          <w:i w:val="off"/>
        </w:rPr>
        <w:t>[88]</w:t>
      </w:r>
      <w:r>
        <w:rPr>
          <w:color w:val="000000" w:themeColor="text1"/>
          <w:lang w:val="en-GB"/>
        </w:rPr>
        <w:t>Characteristics of the stylet and the perineal pattern are particularly useful for identification. The stylet, composed of a dorsally curved cone, straight shaft and stylet knobs, ranges in length between 11 and 17 µm and has rounded to pear-shaped knobs, usually slightly posteriorly sloping. The perineal pattern has an oval shape, with a low, rounded to square-shaped dorsal arch; phasmids are distinct, and the lateral field is indistinct or marked by breaks or folds in the striae (Figure 3, Figure 4 and Figure 5) (EPPO, 2018).</w:t>
      </w:r>
    </w:p>
    <w:p w14:paraId="5F141BC5" w14:textId="27BD7D19">
      <w:pPr>
        <w:pStyle w:val="IPPHeading3"/>
        <w:rPr>
          <w:color w:val="000000" w:themeColor="text1"/>
        </w:rPr>
      </w:pPr>
      <w:r>
        <w:rPr>
          <w:rStyle w:val="PleaseReviewParagraphId"/>
          <w:b w:val="off"/>
          <w:i w:val="off"/>
        </w:rPr>
        <w:t>[89]</w:t>
      </w:r>
      <w:r>
        <w:rPr>
          <w:color w:val="000000" w:themeColor="text1"/>
        </w:rPr>
        <w:t>Males</w:t>
      </w:r>
    </w:p>
    <w:p w14:paraId="4CDE67DC" w14:textId="0BE0CA53">
      <w:pPr>
        <w:pStyle w:val="IPPParagraphnumbering"/>
        <w:numPr>
          <w:ilvl w:val="0"/>
          <w:numId w:val="0"/>
        </w:numPr>
        <w:rPr>
          <w:color w:val="000000" w:themeColor="text1"/>
          <w:lang w:val="en-GB"/>
        </w:rPr>
      </w:pPr>
      <w:r>
        <w:rPr>
          <w:rStyle w:val="PleaseReviewParagraphId"/>
          <w:b w:val="off"/>
          <w:i w:val="off"/>
        </w:rPr>
        <w:t>[90]</w:t>
      </w:r>
      <w:r>
        <w:rPr>
          <w:color w:val="000000" w:themeColor="text1"/>
          <w:lang w:val="en-GB"/>
        </w:rPr>
        <w:t xml:space="preserve">The head shape and the stylet morphology are the most useful characters for identification. The straight stylet has rounded, posteriorly sloping knobs. The head is weakly offset and the head cap is low and slightly narrower than the </w:t>
      </w:r>
      <w:bookmarkStart w:name="_Hlk138354398" w:id="4"/>
      <w:r>
        <w:rPr>
          <w:color w:val="000000" w:themeColor="text1"/>
          <w:lang w:val="en-GB"/>
        </w:rPr>
        <w:t>postlabial</w:t>
      </w:r>
      <w:bookmarkEnd w:id="4"/>
      <w:r>
        <w:rPr>
          <w:color w:val="000000" w:themeColor="text1"/>
          <w:lang w:val="en-GB"/>
        </w:rPr>
        <w:t xml:space="preserve"> region. No postlabial incisures are present. The distance from the stylet knobs to the dorsal gland orifice is relatively long: 6–13 µm (Figure 5 and Figure 6) (EPPO, 2018).</w:t>
      </w:r>
    </w:p>
    <w:p w14:paraId="2E28A0A1" w14:textId="0239EF16">
      <w:pPr>
        <w:pStyle w:val="IPPHeading3"/>
        <w:rPr>
          <w:color w:val="000000" w:themeColor="text1"/>
        </w:rPr>
      </w:pPr>
      <w:r>
        <w:rPr>
          <w:rStyle w:val="PleaseReviewParagraphId"/>
          <w:b w:val="off"/>
          <w:i w:val="off"/>
        </w:rPr>
        <w:t>[91]</w:t>
      </w:r>
      <w:r>
        <w:rPr>
          <w:color w:val="000000" w:themeColor="text1"/>
        </w:rPr>
        <w:t xml:space="preserve">Second-stage juveniles </w:t>
      </w:r>
    </w:p>
    <w:p w14:paraId="0AD6D58F" w14:textId="39D5636E">
      <w:pPr>
        <w:pStyle w:val="IPPParagraphnumbering"/>
        <w:numPr>
          <w:ilvl w:val="0"/>
          <w:numId w:val="0"/>
        </w:numPr>
        <w:rPr>
          <w:color w:val="000000" w:themeColor="text1"/>
          <w:lang w:val="en-GB"/>
        </w:rPr>
      </w:pPr>
      <w:r>
        <w:rPr>
          <w:rStyle w:val="PleaseReviewParagraphId"/>
          <w:b w:val="off"/>
          <w:i w:val="off"/>
        </w:rPr>
        <w:t>[92]</w:t>
      </w:r>
      <w:r>
        <w:rPr>
          <w:color w:val="000000" w:themeColor="text1"/>
          <w:lang w:val="en-GB"/>
        </w:rPr>
        <w:t xml:space="preserve">Body length is reported to typically range from 390 to 450 µm (but with certain populations reported to have a range of 362–507 μm (Gu, </w:t>
      </w:r>
      <w:r>
        <w:rPr>
          <w:bCs/>
          <w:color w:val="000000" w:themeColor="text1"/>
          <w:lang w:val="en-GB" w:eastAsia="en-GB"/>
        </w:rPr>
        <w:t>Fang and Liu</w:t>
      </w:r>
      <w:r>
        <w:rPr>
          <w:color w:val="000000" w:themeColor="text1"/>
          <w:lang w:val="en-GB"/>
        </w:rPr>
        <w:t xml:space="preserve">, 2020)). This species has a short tail (23–39 µm) and short hyaline tail part (4–12 µm). The stylet knobs are small and rounded and slope slightly posteriorly. The hemizonid is positioned posterior to the excretory pore in contrast to the condition in males. The </w:t>
        <w:lastRenderedPageBreak/>
        <w:t>tail is conical and usually ends in a finely pointed tip. The hyaline tail part is clearly delimited anteriorly with a few cuticular constrictions typically present (Figure 3 and Figure 7) (EPPO, 2018).</w:t>
      </w:r>
    </w:p>
    <w:p w14:paraId="0D8E4EDE" w14:textId="62A9AC99">
      <w:pPr>
        <w:pStyle w:val="IPPHeading3"/>
        <w:rPr>
          <w:color w:val="000000" w:themeColor="text1"/>
        </w:rPr>
      </w:pPr>
      <w:r>
        <w:rPr>
          <w:rStyle w:val="PleaseReviewParagraphId"/>
          <w:b w:val="off"/>
          <w:i w:val="off"/>
        </w:rPr>
        <w:t>[93]</w:t>
      </w:r>
      <w:r>
        <w:rPr>
          <w:color w:val="000000" w:themeColor="text1"/>
        </w:rPr>
        <w:t>Differential diagnosis of morphologically similar species</w:t>
      </w:r>
    </w:p>
    <w:p w14:paraId="72C8DD58" w14:textId="680B890E">
      <w:pPr>
        <w:pStyle w:val="IPPParagraphnumbering"/>
        <w:numPr>
          <w:ilvl w:val="0"/>
          <w:numId w:val="0"/>
        </w:numPr>
        <w:rPr>
          <w:color w:val="000000" w:themeColor="text1"/>
          <w:lang w:val="en-GB"/>
        </w:rPr>
      </w:pPr>
      <w:r>
        <w:rPr>
          <w:rStyle w:val="PleaseReviewParagraphId"/>
          <w:b w:val="off"/>
          <w:i w:val="off"/>
        </w:rPr>
        <w:t>[94]</w:t>
      </w:r>
      <w:r>
        <w:rPr>
          <w:i/>
          <w:iCs/>
          <w:color w:val="000000" w:themeColor="text1"/>
          <w:lang w:val="en-GB"/>
        </w:rPr>
        <w:t>M. mali</w:t>
      </w:r>
      <w:r>
        <w:rPr>
          <w:color w:val="000000" w:themeColor="text1"/>
          <w:lang w:val="en-GB"/>
        </w:rPr>
        <w:t xml:space="preserve"> is morphologically close to five other species of </w:t>
      </w:r>
      <w:r>
        <w:rPr>
          <w:i/>
          <w:iCs/>
          <w:color w:val="000000" w:themeColor="text1"/>
          <w:lang w:val="en-GB"/>
        </w:rPr>
        <w:t>M</w:t>
      </w:r>
      <w:r>
        <w:rPr>
          <w:i/>
          <w:iCs/>
          <w:color w:val="000000" w:themeColor="text1"/>
          <w:lang w:val="en-GB" w:eastAsia="en-GB"/>
        </w:rPr>
        <w:t xml:space="preserve">eloidogyne </w:t>
      </w:r>
      <w:r>
        <w:rPr>
          <w:color w:val="000000" w:themeColor="text1"/>
          <w:lang w:val="en-GB" w:eastAsia="en-GB"/>
        </w:rPr>
        <w:t>that</w:t>
      </w:r>
      <w:r>
        <w:rPr>
          <w:iCs/>
          <w:color w:val="000000" w:themeColor="text1"/>
          <w:lang w:val="en-GB" w:eastAsia="en-GB"/>
        </w:rPr>
        <w:t xml:space="preserve"> share some hosts and areas of distribution (section 1):</w:t>
      </w:r>
      <w:r>
        <w:rPr>
          <w:color w:val="000000" w:themeColor="text1"/>
          <w:lang w:val="en-GB" w:eastAsia="en-GB"/>
        </w:rPr>
        <w:t xml:space="preserve"> </w:t>
      </w:r>
      <w:r>
        <w:rPr>
          <w:i/>
          <w:iCs/>
          <w:color w:val="000000" w:themeColor="text1"/>
          <w:lang w:val="en-GB"/>
        </w:rPr>
        <w:t>M. ardenensis</w:t>
      </w:r>
      <w:r>
        <w:rPr>
          <w:color w:val="000000" w:themeColor="text1"/>
          <w:lang w:val="en-GB"/>
        </w:rPr>
        <w:t>,</w:t>
      </w:r>
      <w:r>
        <w:rPr>
          <w:i/>
          <w:iCs/>
          <w:color w:val="000000" w:themeColor="text1"/>
          <w:lang w:val="en-GB"/>
        </w:rPr>
        <w:t xml:space="preserve"> M. camelliae</w:t>
      </w:r>
      <w:r>
        <w:rPr>
          <w:color w:val="000000" w:themeColor="text1"/>
          <w:lang w:val="en-GB"/>
        </w:rPr>
        <w:t xml:space="preserve">, </w:t>
      </w:r>
      <w:r>
        <w:rPr>
          <w:i/>
          <w:color w:val="000000" w:themeColor="text1"/>
          <w:lang w:val="en-GB"/>
        </w:rPr>
        <w:t>M. paramali</w:t>
      </w:r>
      <w:r>
        <w:rPr>
          <w:color w:val="000000" w:themeColor="text1"/>
          <w:lang w:val="en-GB"/>
        </w:rPr>
        <w:t xml:space="preserve">, </w:t>
      </w:r>
      <w:r>
        <w:rPr>
          <w:i/>
          <w:iCs/>
          <w:color w:val="000000" w:themeColor="text1"/>
          <w:lang w:val="en-GB"/>
        </w:rPr>
        <w:t>M</w:t>
      </w:r>
      <w:r>
        <w:rPr>
          <w:color w:val="000000" w:themeColor="text1"/>
          <w:lang w:val="en-GB"/>
        </w:rPr>
        <w:t>. </w:t>
      </w:r>
      <w:r>
        <w:rPr>
          <w:i/>
          <w:iCs/>
          <w:color w:val="000000" w:themeColor="text1"/>
          <w:lang w:val="en-GB"/>
        </w:rPr>
        <w:t xml:space="preserve">suginamiensis </w:t>
      </w:r>
      <w:r>
        <w:rPr>
          <w:color w:val="000000" w:themeColor="text1"/>
          <w:lang w:val="en-GB"/>
        </w:rPr>
        <w:t>and</w:t>
      </w:r>
      <w:r>
        <w:rPr>
          <w:i/>
          <w:iCs/>
          <w:color w:val="000000" w:themeColor="text1"/>
          <w:lang w:val="en-GB"/>
        </w:rPr>
        <w:t xml:space="preserve"> M. vitis</w:t>
      </w:r>
      <w:r>
        <w:rPr>
          <w:color w:val="000000" w:themeColor="text1"/>
          <w:lang w:val="en-GB"/>
        </w:rPr>
        <w:t xml:space="preserve">. It differs from these species by having a finely pointed tail terminus in J2 juveniles, while the tail tips are broadly rounded in </w:t>
      </w:r>
      <w:r>
        <w:rPr>
          <w:i/>
          <w:iCs/>
          <w:color w:val="000000" w:themeColor="text1"/>
          <w:lang w:val="en-GB"/>
        </w:rPr>
        <w:t>M. ardenensis</w:t>
      </w:r>
      <w:r>
        <w:rPr>
          <w:color w:val="000000" w:themeColor="text1"/>
          <w:lang w:val="en-GB"/>
        </w:rPr>
        <w:t>,</w:t>
      </w:r>
      <w:r>
        <w:rPr>
          <w:i/>
          <w:iCs/>
          <w:color w:val="000000" w:themeColor="text1"/>
          <w:lang w:val="en-GB"/>
        </w:rPr>
        <w:t xml:space="preserve"> M. camelliae</w:t>
      </w:r>
      <w:r>
        <w:rPr>
          <w:color w:val="000000" w:themeColor="text1"/>
          <w:lang w:val="en-GB"/>
        </w:rPr>
        <w:t xml:space="preserve"> and </w:t>
      </w:r>
      <w:r>
        <w:rPr>
          <w:i/>
          <w:iCs/>
          <w:color w:val="000000" w:themeColor="text1"/>
          <w:lang w:val="en-GB"/>
        </w:rPr>
        <w:t>M. suginamiensis</w:t>
      </w:r>
      <w:r>
        <w:rPr>
          <w:color w:val="000000" w:themeColor="text1"/>
          <w:lang w:val="en-GB"/>
        </w:rPr>
        <w:t xml:space="preserve"> (Figure 7 )</w:t>
      </w:r>
      <w:r>
        <w:rPr>
          <w:rFonts w:eastAsiaTheme="minorEastAsia"/>
          <w:color w:val="000000" w:themeColor="text1"/>
          <w:lang w:val="en-GB" w:eastAsia="zh-CN"/>
        </w:rPr>
        <w:t>,</w:t>
      </w:r>
      <w:r>
        <w:rPr>
          <w:color w:val="000000" w:themeColor="text1"/>
          <w:lang w:val="en-GB"/>
        </w:rPr>
        <w:t xml:space="preserve"> the tail in </w:t>
      </w:r>
      <w:r>
        <w:rPr>
          <w:i/>
          <w:iCs/>
          <w:color w:val="000000" w:themeColor="text1"/>
          <w:szCs w:val="22"/>
          <w:lang w:val="en-GB"/>
        </w:rPr>
        <w:t>M. paramali</w:t>
      </w:r>
      <w:r>
        <w:rPr>
          <w:color w:val="000000" w:themeColor="text1"/>
          <w:szCs w:val="22"/>
          <w:lang w:val="en-GB"/>
        </w:rPr>
        <w:t xml:space="preserve"> J2 juveniles has </w:t>
      </w:r>
      <w:r>
        <w:rPr>
          <w:rStyle w:val="fontstyle21"/>
          <w:rFonts w:ascii="Times New Roman" w:hAnsi="Times New Roman"/>
          <w:color w:val="000000" w:themeColor="text1"/>
          <w:sz w:val="22"/>
          <w:szCs w:val="22"/>
          <w:lang w:val="en-GB"/>
        </w:rPr>
        <w:t>a finely rounded to broadly pointed (never sharply pointed) terminus and a shorter hyaline region,</w:t>
      </w:r>
      <w:r>
        <w:rPr>
          <w:color w:val="000000" w:themeColor="text1"/>
          <w:lang w:val="en-GB"/>
        </w:rPr>
        <w:t xml:space="preserve"> and the tail in</w:t>
      </w:r>
      <w:r>
        <w:rPr>
          <w:rStyle w:val="fontstyle21"/>
          <w:rFonts w:ascii="Times New Roman" w:hAnsi="Times New Roman"/>
          <w:color w:val="000000" w:themeColor="text1"/>
          <w:sz w:val="22"/>
          <w:lang w:val="en-GB"/>
        </w:rPr>
        <w:t xml:space="preserve"> </w:t>
      </w:r>
      <w:r>
        <w:rPr>
          <w:rStyle w:val="fontstyle21"/>
          <w:rFonts w:ascii="Times New Roman" w:hAnsi="Times New Roman"/>
          <w:i/>
          <w:color w:val="000000" w:themeColor="text1"/>
          <w:sz w:val="22"/>
          <w:lang w:val="en-GB"/>
        </w:rPr>
        <w:t>M. vitis</w:t>
      </w:r>
      <w:r>
        <w:rPr>
          <w:color w:val="000000" w:themeColor="text1"/>
          <w:lang w:val="en-GB"/>
        </w:rPr>
        <w:t xml:space="preserve"> J2 juveniles is longer with a variable terminus (Figure 8) (EPPO, 2018; Yang </w:t>
      </w:r>
      <w:r>
        <w:rPr>
          <w:i/>
          <w:iCs/>
          <w:color w:val="000000" w:themeColor="text1"/>
          <w:lang w:val="en-GB"/>
        </w:rPr>
        <w:t>et al</w:t>
      </w:r>
      <w:r>
        <w:rPr>
          <w:color w:val="000000" w:themeColor="text1"/>
          <w:lang w:val="en-GB"/>
        </w:rPr>
        <w:t xml:space="preserve">., 2021; Gu </w:t>
      </w:r>
      <w:r>
        <w:rPr>
          <w:i/>
          <w:color w:val="000000" w:themeColor="text1"/>
          <w:lang w:val="en-GB"/>
        </w:rPr>
        <w:t>et al</w:t>
      </w:r>
      <w:r>
        <w:rPr>
          <w:color w:val="000000" w:themeColor="text1"/>
          <w:lang w:val="en-GB"/>
        </w:rPr>
        <w:t xml:space="preserve">., 2023). In addition, J2 juveniles of </w:t>
      </w:r>
      <w:r>
        <w:rPr>
          <w:i/>
          <w:color w:val="000000" w:themeColor="text1"/>
          <w:lang w:val="en-GB"/>
        </w:rPr>
        <w:t>M. camelliae</w:t>
      </w:r>
      <w:r>
        <w:rPr>
          <w:color w:val="000000" w:themeColor="text1"/>
          <w:lang w:val="en-GB"/>
        </w:rPr>
        <w:t xml:space="preserve"> have a longer body length and an anterior position of the hemizonid in relation to the excretory pore.</w:t>
      </w:r>
    </w:p>
    <w:p w14:paraId="76333816" w14:textId="4EB98AE0">
      <w:pPr>
        <w:pStyle w:val="IPPParagraphnumbering"/>
        <w:numPr>
          <w:ilvl w:val="0"/>
          <w:numId w:val="0"/>
        </w:numPr>
        <w:rPr>
          <w:rStyle w:val="fontstyle21"/>
          <w:rFonts w:ascii="Times New Roman" w:hAnsi="Times New Roman"/>
          <w:color w:val="000000" w:themeColor="text1"/>
          <w:sz w:val="22"/>
          <w:szCs w:val="24"/>
          <w:lang w:val="en-GB"/>
        </w:rPr>
      </w:pPr>
      <w:r>
        <w:rPr>
          <w:rStyle w:val="PleaseReviewParagraphId"/>
          <w:b w:val="off"/>
          <w:i w:val="off"/>
        </w:rPr>
        <w:t>[95]</w:t>
      </w:r>
      <w:r>
        <w:rPr>
          <w:color w:val="000000" w:themeColor="text1"/>
          <w:lang w:val="en-GB"/>
        </w:rPr>
        <w:t xml:space="preserve">The star-shaped perineal pattern of </w:t>
      </w:r>
      <w:r>
        <w:rPr>
          <w:i/>
          <w:color w:val="000000" w:themeColor="text1"/>
          <w:lang w:val="en-GB"/>
        </w:rPr>
        <w:t>M. camelliae</w:t>
      </w:r>
      <w:r>
        <w:rPr>
          <w:color w:val="000000" w:themeColor="text1"/>
          <w:lang w:val="en-GB"/>
        </w:rPr>
        <w:t xml:space="preserve"> allows an easy separation from </w:t>
      </w:r>
      <w:r>
        <w:rPr>
          <w:i/>
          <w:color w:val="000000" w:themeColor="text1"/>
          <w:lang w:val="en-GB"/>
        </w:rPr>
        <w:t>M. mali</w:t>
      </w:r>
      <w:r>
        <w:rPr>
          <w:color w:val="000000" w:themeColor="text1"/>
          <w:lang w:val="en-GB"/>
        </w:rPr>
        <w:t xml:space="preserve">, </w:t>
      </w:r>
      <w:r>
        <w:rPr>
          <w:i/>
          <w:color w:val="000000" w:themeColor="text1"/>
          <w:lang w:val="en-GB"/>
        </w:rPr>
        <w:t>M. ardenensis</w:t>
      </w:r>
      <w:r>
        <w:rPr>
          <w:color w:val="000000" w:themeColor="text1"/>
          <w:lang w:val="en-GB"/>
        </w:rPr>
        <w:t xml:space="preserve">, </w:t>
      </w:r>
      <w:r>
        <w:rPr>
          <w:i/>
          <w:color w:val="000000" w:themeColor="text1"/>
          <w:lang w:val="en-GB"/>
        </w:rPr>
        <w:t>M. paramali</w:t>
      </w:r>
      <w:r>
        <w:rPr>
          <w:color w:val="000000" w:themeColor="text1"/>
          <w:lang w:val="en-GB"/>
        </w:rPr>
        <w:t xml:space="preserve">, </w:t>
      </w:r>
      <w:r>
        <w:rPr>
          <w:i/>
          <w:color w:val="000000" w:themeColor="text1"/>
          <w:lang w:val="en-GB"/>
        </w:rPr>
        <w:t>M. suginamiensis</w:t>
      </w:r>
      <w:r>
        <w:rPr>
          <w:color w:val="000000" w:themeColor="text1"/>
          <w:lang w:val="en-GB"/>
        </w:rPr>
        <w:t xml:space="preserve"> and </w:t>
      </w:r>
      <w:r>
        <w:rPr>
          <w:i/>
          <w:color w:val="000000" w:themeColor="text1"/>
          <w:lang w:val="en-GB"/>
        </w:rPr>
        <w:t>M. vitis</w:t>
      </w:r>
      <w:r>
        <w:rPr>
          <w:color w:val="000000" w:themeColor="text1"/>
          <w:lang w:val="en-GB"/>
        </w:rPr>
        <w:t xml:space="preserve"> (Figure 9). The female perineal pattern of </w:t>
      </w:r>
      <w:r>
        <w:rPr>
          <w:i/>
          <w:color w:val="000000" w:themeColor="text1"/>
          <w:lang w:val="en-GB"/>
        </w:rPr>
        <w:t>M. vitis</w:t>
      </w:r>
      <w:r>
        <w:rPr>
          <w:color w:val="000000" w:themeColor="text1"/>
          <w:lang w:val="en-GB"/>
        </w:rPr>
        <w:t xml:space="preserve"> </w:t>
      </w:r>
      <w:r>
        <w:rPr>
          <w:rStyle w:val="fontstyle21"/>
          <w:rFonts w:ascii="Times New Roman" w:hAnsi="Times New Roman"/>
          <w:color w:val="000000" w:themeColor="text1"/>
          <w:sz w:val="22"/>
          <w:szCs w:val="24"/>
          <w:lang w:val="en-GB"/>
        </w:rPr>
        <w:t xml:space="preserve">differs from </w:t>
      </w:r>
      <w:r>
        <w:rPr>
          <w:rStyle w:val="fontstyle01"/>
          <w:i/>
          <w:color w:val="000000" w:themeColor="text1"/>
          <w:szCs w:val="24"/>
          <w:lang w:val="en-GB"/>
        </w:rPr>
        <w:t>M. mali</w:t>
      </w:r>
      <w:r>
        <w:rPr>
          <w:rStyle w:val="fontstyle01"/>
          <w:color w:val="000000" w:themeColor="text1"/>
          <w:szCs w:val="24"/>
          <w:lang w:val="en-GB"/>
        </w:rPr>
        <w:t xml:space="preserve"> </w:t>
      </w:r>
      <w:r>
        <w:rPr>
          <w:rStyle w:val="fontstyle21"/>
          <w:rFonts w:ascii="Times New Roman" w:hAnsi="Times New Roman"/>
          <w:color w:val="000000" w:themeColor="text1"/>
          <w:sz w:val="22"/>
          <w:szCs w:val="24"/>
          <w:lang w:val="en-GB"/>
        </w:rPr>
        <w:t xml:space="preserve">in that there is typically a moderately high dorsal arch, and there are no lateral lines in the lateral field (Yang </w:t>
      </w:r>
      <w:r>
        <w:rPr>
          <w:rStyle w:val="fontstyle21"/>
          <w:rFonts w:ascii="Times New Roman" w:hAnsi="Times New Roman"/>
          <w:i/>
          <w:iCs/>
          <w:color w:val="000000" w:themeColor="text1"/>
          <w:sz w:val="22"/>
          <w:szCs w:val="24"/>
          <w:lang w:val="en-GB"/>
        </w:rPr>
        <w:t>et al.</w:t>
      </w:r>
      <w:r>
        <w:rPr>
          <w:rStyle w:val="fontstyle21"/>
          <w:rFonts w:ascii="Times New Roman" w:hAnsi="Times New Roman"/>
          <w:color w:val="000000" w:themeColor="text1"/>
          <w:sz w:val="22"/>
          <w:szCs w:val="24"/>
          <w:lang w:val="en-GB"/>
        </w:rPr>
        <w:t xml:space="preserve">, 2021). </w:t>
      </w:r>
      <w:r>
        <w:rPr>
          <w:rStyle w:val="fontstyle21"/>
          <w:rFonts w:ascii="Times New Roman" w:hAnsi="Times New Roman"/>
          <w:i/>
          <w:iCs/>
          <w:color w:val="000000" w:themeColor="text1"/>
          <w:sz w:val="22"/>
          <w:szCs w:val="22"/>
          <w:lang w:val="en-GB"/>
        </w:rPr>
        <w:t>M. paramali</w:t>
      </w:r>
      <w:r>
        <w:rPr>
          <w:rStyle w:val="fontstyle21"/>
          <w:rFonts w:ascii="Times New Roman" w:hAnsi="Times New Roman"/>
          <w:color w:val="000000" w:themeColor="text1"/>
          <w:sz w:val="22"/>
          <w:szCs w:val="22"/>
          <w:lang w:val="en-GB"/>
        </w:rPr>
        <w:t xml:space="preserve"> has a similar perineal pattern to </w:t>
      </w:r>
      <w:r>
        <w:rPr>
          <w:rStyle w:val="fontstyle21"/>
          <w:rFonts w:ascii="Times New Roman" w:hAnsi="Times New Roman"/>
          <w:i/>
          <w:iCs/>
          <w:color w:val="000000" w:themeColor="text1"/>
          <w:sz w:val="22"/>
          <w:szCs w:val="22"/>
          <w:lang w:val="en-GB"/>
        </w:rPr>
        <w:t>M. mali</w:t>
      </w:r>
      <w:r>
        <w:rPr>
          <w:rStyle w:val="fontstyle21"/>
          <w:rFonts w:ascii="Times New Roman" w:hAnsi="Times New Roman"/>
          <w:color w:val="000000" w:themeColor="text1"/>
          <w:sz w:val="22"/>
          <w:szCs w:val="22"/>
          <w:lang w:val="en-GB"/>
        </w:rPr>
        <w:t xml:space="preserve"> and can be distinguished from the latter by the distinct lateral fields (Figure 9) (</w:t>
      </w:r>
      <w:bookmarkStart w:name="_Hlk147757456" w:id="5"/>
      <w:r>
        <w:rPr>
          <w:rStyle w:val="fontstyle21"/>
          <w:rFonts w:ascii="Times New Roman" w:hAnsi="Times New Roman"/>
          <w:color w:val="000000" w:themeColor="text1"/>
          <w:sz w:val="22"/>
          <w:szCs w:val="22"/>
          <w:lang w:val="en-GB"/>
        </w:rPr>
        <w:t xml:space="preserve">Gu </w:t>
      </w:r>
      <w:r>
        <w:rPr>
          <w:rStyle w:val="fontstyle21"/>
          <w:rFonts w:ascii="Times New Roman" w:hAnsi="Times New Roman"/>
          <w:i/>
          <w:iCs/>
          <w:color w:val="000000" w:themeColor="text1"/>
          <w:sz w:val="22"/>
          <w:szCs w:val="22"/>
          <w:lang w:val="en-GB"/>
        </w:rPr>
        <w:t>et al.</w:t>
      </w:r>
      <w:r>
        <w:rPr>
          <w:rStyle w:val="fontstyle21"/>
          <w:rFonts w:ascii="Times New Roman" w:hAnsi="Times New Roman"/>
          <w:color w:val="000000" w:themeColor="text1"/>
          <w:sz w:val="22"/>
          <w:szCs w:val="22"/>
          <w:lang w:val="en-GB"/>
        </w:rPr>
        <w:t>, 2023</w:t>
      </w:r>
      <w:bookmarkEnd w:id="5"/>
      <w:r>
        <w:rPr>
          <w:rStyle w:val="fontstyle21"/>
          <w:rFonts w:ascii="Times New Roman" w:hAnsi="Times New Roman"/>
          <w:color w:val="000000" w:themeColor="text1"/>
          <w:sz w:val="22"/>
          <w:szCs w:val="22"/>
          <w:lang w:val="en-GB"/>
        </w:rPr>
        <w:t>).</w:t>
      </w:r>
    </w:p>
    <w:p w14:paraId="4BD27CF5" w14:textId="0A9C81DD">
      <w:pPr>
        <w:pStyle w:val="IPPParagraphnumbering"/>
        <w:numPr>
          <w:ilvl w:val="0"/>
          <w:numId w:val="0"/>
        </w:numPr>
        <w:rPr>
          <w:color w:val="000000" w:themeColor="text1"/>
          <w:lang w:val="en-GB"/>
        </w:rPr>
      </w:pPr>
      <w:r>
        <w:rPr>
          <w:rStyle w:val="PleaseReviewParagraphId"/>
          <w:b w:val="off"/>
          <w:i w:val="off"/>
        </w:rPr>
        <w:t>[96]</w:t>
      </w:r>
      <w:r>
        <w:rPr>
          <w:color w:val="000000" w:themeColor="text1"/>
          <w:lang w:val="en-GB"/>
        </w:rPr>
        <w:t xml:space="preserve">Some of the morphological and morphometric characters that can be used to differentiate the females, males (Figure 10) and J2 juveniles of </w:t>
      </w:r>
      <w:r>
        <w:rPr>
          <w:i/>
          <w:color w:val="000000" w:themeColor="text1"/>
          <w:lang w:val="en-GB"/>
        </w:rPr>
        <w:t>M. mali</w:t>
      </w:r>
      <w:r>
        <w:rPr>
          <w:color w:val="000000" w:themeColor="text1"/>
          <w:lang w:val="en-GB"/>
        </w:rPr>
        <w:t xml:space="preserve">, </w:t>
      </w:r>
      <w:r>
        <w:rPr>
          <w:i/>
          <w:color w:val="000000" w:themeColor="text1"/>
          <w:lang w:val="en-GB"/>
        </w:rPr>
        <w:t>M. ardenensis</w:t>
      </w:r>
      <w:r>
        <w:rPr>
          <w:color w:val="000000" w:themeColor="text1"/>
          <w:lang w:val="en-GB"/>
        </w:rPr>
        <w:t xml:space="preserve">, </w:t>
      </w:r>
      <w:r>
        <w:rPr>
          <w:i/>
          <w:color w:val="000000" w:themeColor="text1"/>
          <w:lang w:val="en-GB"/>
        </w:rPr>
        <w:t>M. camelliae</w:t>
      </w:r>
      <w:r>
        <w:rPr>
          <w:color w:val="000000" w:themeColor="text1"/>
          <w:lang w:val="en-GB"/>
        </w:rPr>
        <w:t xml:space="preserve">, </w:t>
      </w:r>
      <w:r>
        <w:rPr>
          <w:i/>
          <w:color w:val="000000" w:themeColor="text1"/>
          <w:lang w:val="en-GB"/>
        </w:rPr>
        <w:t>M. paramali</w:t>
      </w:r>
      <w:r>
        <w:rPr>
          <w:color w:val="000000" w:themeColor="text1"/>
          <w:lang w:val="en-GB"/>
        </w:rPr>
        <w:t xml:space="preserve">, </w:t>
      </w:r>
      <w:r>
        <w:rPr>
          <w:i/>
          <w:color w:val="000000" w:themeColor="text1"/>
          <w:lang w:val="en-GB"/>
        </w:rPr>
        <w:t>M. suginamiensis</w:t>
      </w:r>
      <w:r>
        <w:rPr>
          <w:color w:val="000000" w:themeColor="text1"/>
          <w:lang w:val="en-GB"/>
        </w:rPr>
        <w:t xml:space="preserve"> and </w:t>
      </w:r>
      <w:r>
        <w:rPr>
          <w:i/>
          <w:color w:val="000000" w:themeColor="text1"/>
          <w:lang w:val="en-GB"/>
        </w:rPr>
        <w:t>M. vitis</w:t>
      </w:r>
      <w:r>
        <w:rPr>
          <w:color w:val="000000" w:themeColor="text1"/>
          <w:lang w:val="en-GB"/>
        </w:rPr>
        <w:t xml:space="preserve"> are summarized in Table 1.</w:t>
      </w:r>
    </w:p>
    <w:p w14:paraId="50B238B6" w14:textId="566ABF3F">
      <w:pPr>
        <w:pStyle w:val="IPPArial"/>
        <w:keepNext/>
        <w:spacing w:after="120"/>
        <w:rPr>
          <w:color w:val="000000" w:themeColor="text1"/>
        </w:rPr>
      </w:pPr>
      <w:r>
        <w:rPr>
          <w:rStyle w:val="PleaseReviewParagraphId"/>
          <w:b w:val="off"/>
          <w:i w:val="off"/>
        </w:rPr>
        <w:t>[97]</w:t>
      </w:r>
      <w:r>
        <w:rPr>
          <w:rStyle w:val="table-captionlabel"/>
          <w:b/>
          <w:bCs/>
          <w:color w:val="000000" w:themeColor="text1"/>
        </w:rPr>
        <w:t>Table 1.</w:t>
      </w:r>
      <w:r>
        <w:rPr>
          <w:rStyle w:val="table-captionlabel"/>
          <w:color w:val="000000" w:themeColor="text1"/>
        </w:rPr>
        <w:t xml:space="preserve"> </w:t>
      </w:r>
      <w:r>
        <w:rPr>
          <w:color w:val="000000" w:themeColor="text1"/>
        </w:rPr>
        <w:t xml:space="preserve">Morphological and morphometrical characters of </w:t>
      </w:r>
      <w:r>
        <w:rPr>
          <w:i/>
          <w:color w:val="000000" w:themeColor="text1"/>
        </w:rPr>
        <w:t xml:space="preserve">Meloidogyne mali </w:t>
      </w:r>
      <w:r>
        <w:rPr>
          <w:iCs/>
          <w:color w:val="000000" w:themeColor="text1"/>
        </w:rPr>
        <w:t xml:space="preserve">and five other </w:t>
      </w:r>
      <w:r>
        <w:rPr>
          <w:i/>
          <w:color w:val="000000" w:themeColor="text1"/>
        </w:rPr>
        <w:t xml:space="preserve">Meloidogyne </w:t>
      </w:r>
      <w:r>
        <w:rPr>
          <w:iCs/>
          <w:color w:val="000000" w:themeColor="text1"/>
        </w:rPr>
        <w:t>species with which it may be confused:</w:t>
      </w:r>
      <w:r>
        <w:rPr>
          <w:color w:val="000000" w:themeColor="text1"/>
        </w:rPr>
        <w:t xml:space="preserve"> </w:t>
      </w:r>
      <w:r>
        <w:rPr>
          <w:i/>
          <w:color w:val="000000" w:themeColor="text1"/>
        </w:rPr>
        <w:t>M. ardenensis</w:t>
      </w:r>
      <w:r>
        <w:rPr>
          <w:color w:val="000000" w:themeColor="text1"/>
        </w:rPr>
        <w:t xml:space="preserve">, </w:t>
      </w:r>
      <w:r>
        <w:rPr>
          <w:i/>
          <w:color w:val="000000" w:themeColor="text1"/>
        </w:rPr>
        <w:t>M. camelliae</w:t>
      </w:r>
      <w:r>
        <w:rPr>
          <w:color w:val="000000" w:themeColor="text1"/>
        </w:rPr>
        <w:t xml:space="preserve">, </w:t>
      </w:r>
      <w:r>
        <w:rPr>
          <w:i/>
          <w:color w:val="000000" w:themeColor="text1"/>
        </w:rPr>
        <w:t>M. paramali</w:t>
      </w:r>
      <w:r>
        <w:rPr>
          <w:color w:val="000000" w:themeColor="text1"/>
        </w:rPr>
        <w:t xml:space="preserve">, </w:t>
      </w:r>
      <w:r>
        <w:rPr>
          <w:i/>
          <w:color w:val="000000" w:themeColor="text1"/>
        </w:rPr>
        <w:t>M. suginamiensis</w:t>
      </w:r>
      <w:r>
        <w:rPr>
          <w:color w:val="000000" w:themeColor="text1"/>
        </w:rPr>
        <w:t xml:space="preserve"> and </w:t>
      </w:r>
      <w:r>
        <w:rPr>
          <w:i/>
          <w:color w:val="000000" w:themeColor="text1"/>
        </w:rPr>
        <w:t>M. vitis</w:t>
      </w:r>
      <w:r>
        <w:rPr>
          <w:color w:val="000000" w:themeColor="text1"/>
        </w:rPr>
        <w:t xml:space="preserve"> </w:t>
      </w:r>
    </w:p>
    <w:tbl>
      <w:tblPr>
        <w:tblStyle w:val="TableGrid"/>
        <w:tblW w:w="9747" w:type="dxa"/>
        <w:tblLayout w:type="fixed"/>
        <w:tblLook w:val="04A0" w:firstRow="1" w:lastRow="0" w:firstColumn="1" w:lastColumn="0" w:noHBand="0" w:noVBand="1"/>
      </w:tblPr>
      <w:tblGrid>
        <w:gridCol w:w="1077"/>
        <w:gridCol w:w="1158"/>
        <w:gridCol w:w="1446"/>
        <w:gridCol w:w="1559"/>
        <w:gridCol w:w="1559"/>
        <w:gridCol w:w="1843"/>
        <w:gridCol w:w="1105"/>
      </w:tblGrid>
      <w:tr w14:paraId="13409668" w14:textId="77777777">
        <w:tc xmlns:tara="kcentrix:tara" tara:rowspan="1" tara:colspan="1">
          <w:tcPr>
            <w:tcW w:w="1077" w:type="dxa"/>
            <w:shd w:val="clear" w:color="auto" w:fill="BFBFBF" w:themeFill="background1" w:themeFillShade="BF"/>
            <w:vAlign w:val="center"/>
          </w:tcPr>
          <w:p w14:paraId="2D133B2B" w14:textId="7C79610C">
            <w:pPr>
              <w:pStyle w:val="IPPArialTable"/>
              <w:rPr>
                <w:color w:val="000000" w:themeColor="text1"/>
              </w:rPr>
            </w:pPr>
            <w:r>
              <w:rPr>
                <w:rStyle w:val="PleaseReviewParagraphId"/>
                <w:b w:val="off"/>
                <w:i w:val="off"/>
              </w:rPr>
              <w:t>[98]</w:t>
            </w:r>
            <w:r>
              <w:rPr>
                <w:rFonts w:cs="Arial"/>
                <w:b/>
                <w:bCs/>
                <w:color w:val="000000" w:themeColor="text1"/>
                <w:szCs w:val="18"/>
              </w:rPr>
              <w:t>Character</w:t>
            </w:r>
          </w:p>
        </w:tc>
        <w:tc xmlns:tara="kcentrix:tara" tara:rowspan="1" tara:colspan="1">
          <w:tcPr>
            <w:tcW w:w="1158" w:type="dxa"/>
            <w:shd w:val="clear" w:color="auto" w:fill="BFBFBF" w:themeFill="background1" w:themeFillShade="BF"/>
            <w:vAlign w:val="center"/>
          </w:tcPr>
          <w:p w14:paraId="55D1BB22" w14:textId="7514ECC8">
            <w:pPr>
              <w:pStyle w:val="IPPArialTable"/>
              <w:rPr>
                <w:color w:val="000000" w:themeColor="text1"/>
              </w:rPr>
            </w:pPr>
            <w:r>
              <w:rPr>
                <w:rStyle w:val="PleaseReviewParagraphId"/>
                <w:b w:val="off"/>
                <w:i w:val="off"/>
              </w:rPr>
              <w:t>[99]</w:t>
            </w:r>
            <w:r>
              <w:rPr>
                <w:rFonts w:cs="Arial"/>
                <w:b/>
                <w:bCs/>
                <w:i/>
                <w:iCs/>
                <w:color w:val="000000" w:themeColor="text1"/>
                <w:szCs w:val="18"/>
              </w:rPr>
              <w:t>M. mali</w:t>
            </w:r>
            <w:r>
              <w:rPr>
                <w:rFonts w:cs="Arial"/>
                <w:b/>
                <w:bCs/>
                <w:color w:val="000000" w:themeColor="text1"/>
                <w:szCs w:val="18"/>
              </w:rPr>
              <w:t xml:space="preserve"> </w:t>
            </w:r>
          </w:p>
        </w:tc>
        <w:tc xmlns:tara="kcentrix:tara" tara:rowspan="1" tara:colspan="1">
          <w:tcPr>
            <w:tcW w:w="1446" w:type="dxa"/>
            <w:shd w:val="clear" w:color="auto" w:fill="BFBFBF" w:themeFill="background1" w:themeFillShade="BF"/>
            <w:vAlign w:val="center"/>
          </w:tcPr>
          <w:p w14:paraId="6A04F15F" w14:textId="70F69A34">
            <w:pPr>
              <w:pStyle w:val="IPPArialTable"/>
              <w:rPr>
                <w:color w:val="000000" w:themeColor="text1"/>
              </w:rPr>
            </w:pPr>
            <w:r>
              <w:rPr>
                <w:rStyle w:val="PleaseReviewParagraphId"/>
                <w:b w:val="off"/>
                <w:i w:val="off"/>
              </w:rPr>
              <w:t>[100]</w:t>
            </w:r>
            <w:r>
              <w:rPr>
                <w:rFonts w:cs="Arial"/>
                <w:b/>
                <w:bCs/>
                <w:i/>
                <w:iCs/>
                <w:color w:val="000000" w:themeColor="text1"/>
                <w:szCs w:val="18"/>
              </w:rPr>
              <w:t>M. ardenensis</w:t>
            </w:r>
            <w:r>
              <w:rPr>
                <w:rFonts w:cs="Arial"/>
                <w:b/>
                <w:bCs/>
                <w:color w:val="000000" w:themeColor="text1"/>
                <w:szCs w:val="18"/>
              </w:rPr>
              <w:t xml:space="preserve"> </w:t>
            </w:r>
          </w:p>
        </w:tc>
        <w:tc xmlns:tara="kcentrix:tara" tara:rowspan="1" tara:colspan="1">
          <w:tcPr>
            <w:tcW w:w="1559" w:type="dxa"/>
            <w:shd w:val="clear" w:color="auto" w:fill="BFBFBF" w:themeFill="background1" w:themeFillShade="BF"/>
            <w:vAlign w:val="center"/>
          </w:tcPr>
          <w:p w14:paraId="5AACCA89" w14:textId="3F86AB2F">
            <w:pPr>
              <w:pStyle w:val="IPPArialTable"/>
              <w:rPr>
                <w:color w:val="000000" w:themeColor="text1"/>
              </w:rPr>
            </w:pPr>
            <w:r>
              <w:rPr>
                <w:rStyle w:val="PleaseReviewParagraphId"/>
                <w:b w:val="off"/>
                <w:i w:val="off"/>
              </w:rPr>
              <w:t>[101]</w:t>
            </w:r>
            <w:r>
              <w:rPr>
                <w:rFonts w:cs="Arial"/>
                <w:b/>
                <w:bCs/>
                <w:i/>
                <w:iCs/>
                <w:color w:val="000000" w:themeColor="text1"/>
                <w:szCs w:val="18"/>
              </w:rPr>
              <w:t>M. camelliae</w:t>
            </w:r>
            <w:r>
              <w:rPr>
                <w:rFonts w:cs="Arial"/>
                <w:b/>
                <w:bCs/>
                <w:color w:val="000000" w:themeColor="text1"/>
                <w:szCs w:val="18"/>
              </w:rPr>
              <w:t xml:space="preserve"> </w:t>
            </w:r>
          </w:p>
        </w:tc>
        <w:tc xmlns:tara="kcentrix:tara" tara:rowspan="1" tara:colspan="1">
          <w:tcPr>
            <w:tcW w:w="1559" w:type="dxa"/>
            <w:shd w:val="clear" w:color="auto" w:fill="BFBFBF" w:themeFill="background1" w:themeFillShade="BF"/>
            <w:vAlign w:val="center"/>
          </w:tcPr>
          <w:p w14:paraId="727CB5EE" w14:textId="5837C866">
            <w:pPr>
              <w:pStyle w:val="IPPArialTable"/>
              <w:rPr>
                <w:rFonts w:cs="Arial"/>
                <w:b/>
                <w:bCs/>
                <w:i/>
                <w:iCs/>
                <w:color w:val="000000" w:themeColor="text1"/>
                <w:szCs w:val="18"/>
              </w:rPr>
            </w:pPr>
            <w:r>
              <w:rPr>
                <w:rStyle w:val="PleaseReviewParagraphId"/>
                <w:b w:val="off"/>
                <w:i w:val="off"/>
              </w:rPr>
              <w:t>[102]</w:t>
            </w:r>
            <w:r>
              <w:rPr>
                <w:rFonts w:cs="Arial"/>
                <w:b/>
                <w:bCs/>
                <w:i/>
                <w:iCs/>
                <w:color w:val="000000" w:themeColor="text1"/>
                <w:szCs w:val="18"/>
              </w:rPr>
              <w:t xml:space="preserve">M. paramali </w:t>
            </w:r>
          </w:p>
        </w:tc>
        <w:tc xmlns:tara="kcentrix:tara" tara:rowspan="1" tara:colspan="1">
          <w:tcPr>
            <w:tcW w:w="1843" w:type="dxa"/>
            <w:shd w:val="clear" w:color="auto" w:fill="BFBFBF" w:themeFill="background1" w:themeFillShade="BF"/>
            <w:vAlign w:val="center"/>
          </w:tcPr>
          <w:p w14:paraId="31E2E1BB" w14:textId="2C62124D">
            <w:pPr>
              <w:pStyle w:val="IPPArialTable"/>
              <w:rPr>
                <w:color w:val="000000" w:themeColor="text1"/>
              </w:rPr>
            </w:pPr>
            <w:r>
              <w:rPr>
                <w:rStyle w:val="PleaseReviewParagraphId"/>
                <w:b w:val="off"/>
                <w:i w:val="off"/>
              </w:rPr>
              <w:t>[103]</w:t>
            </w:r>
            <w:r>
              <w:rPr>
                <w:rFonts w:cs="Arial"/>
                <w:b/>
                <w:bCs/>
                <w:i/>
                <w:iCs/>
                <w:color w:val="000000" w:themeColor="text1"/>
                <w:szCs w:val="18"/>
              </w:rPr>
              <w:t>M. suginamiensis</w:t>
            </w:r>
            <w:r>
              <w:rPr>
                <w:rFonts w:cs="Arial"/>
                <w:b/>
                <w:bCs/>
                <w:color w:val="000000" w:themeColor="text1"/>
                <w:szCs w:val="18"/>
              </w:rPr>
              <w:t xml:space="preserve"> </w:t>
            </w:r>
          </w:p>
        </w:tc>
        <w:tc xmlns:tara="kcentrix:tara" tara:rowspan="1" tara:colspan="1">
          <w:tcPr>
            <w:tcW w:w="1105" w:type="dxa"/>
            <w:shd w:val="clear" w:color="auto" w:fill="BFBFBF" w:themeFill="background1" w:themeFillShade="BF"/>
          </w:tcPr>
          <w:p w14:paraId="67FA955A" w14:textId="3E12CC9C">
            <w:pPr>
              <w:pStyle w:val="IPPArialTable"/>
              <w:rPr>
                <w:color w:val="000000" w:themeColor="text1"/>
              </w:rPr>
            </w:pPr>
            <w:r>
              <w:rPr>
                <w:rStyle w:val="PleaseReviewParagraphId"/>
                <w:b w:val="off"/>
                <w:i w:val="off"/>
              </w:rPr>
              <w:t>[104]</w:t>
            </w:r>
            <w:r>
              <w:rPr>
                <w:rFonts w:cs="Arial"/>
                <w:b/>
                <w:bCs/>
                <w:i/>
                <w:iCs/>
                <w:color w:val="000000" w:themeColor="text1"/>
                <w:szCs w:val="18"/>
              </w:rPr>
              <w:t>M. vitis</w:t>
            </w:r>
          </w:p>
        </w:tc>
      </w:tr>
      <w:tr w14:paraId="79875D28" w14:textId="77777777">
        <w:tc xmlns:tara="kcentrix:tara" tara:rowspan="1" tara:colspan="1">
          <w:tcPr>
            <w:tcW w:w="1077" w:type="dxa"/>
            <w:vAlign w:val="center"/>
          </w:tcPr>
          <w:p w14:paraId="017D4C91" w14:textId="2002064F">
            <w:pPr>
              <w:pStyle w:val="IPPArialTable"/>
              <w:rPr>
                <w:color w:val="000000" w:themeColor="text1"/>
              </w:rPr>
            </w:pPr>
            <w:r>
              <w:rPr>
                <w:rStyle w:val="PleaseReviewParagraphId"/>
                <w:b w:val="off"/>
                <w:i w:val="off"/>
              </w:rPr>
              <w:t>[105]</w:t>
            </w:r>
            <w:r>
              <w:rPr>
                <w:rFonts w:cs="Arial"/>
                <w:color w:val="000000" w:themeColor="text1"/>
                <w:szCs w:val="18"/>
              </w:rPr>
              <w:t>♀ Stylet length</w:t>
            </w:r>
          </w:p>
        </w:tc>
        <w:tc xmlns:tara="kcentrix:tara" tara:rowspan="1" tara:colspan="1">
          <w:tcPr>
            <w:tcW w:w="1158" w:type="dxa"/>
            <w:vAlign w:val="center"/>
          </w:tcPr>
          <w:p w14:paraId="3EEEFC84" w14:textId="16520412">
            <w:pPr>
              <w:pStyle w:val="IPPArialTable"/>
              <w:rPr>
                <w:color w:val="000000" w:themeColor="text1"/>
              </w:rPr>
            </w:pPr>
            <w:r>
              <w:rPr>
                <w:rStyle w:val="PleaseReviewParagraphId"/>
                <w:b w:val="off"/>
                <w:i w:val="off"/>
              </w:rPr>
              <w:t>[106]</w:t>
            </w:r>
            <w:r>
              <w:rPr>
                <w:rFonts w:cs="Arial"/>
                <w:color w:val="000000" w:themeColor="text1"/>
                <w:szCs w:val="18"/>
              </w:rPr>
              <w:t>13–17 (15)</w:t>
            </w:r>
          </w:p>
        </w:tc>
        <w:tc xmlns:tara="kcentrix:tara" tara:rowspan="1" tara:colspan="1">
          <w:tcPr>
            <w:tcW w:w="1446" w:type="dxa"/>
            <w:vAlign w:val="center"/>
          </w:tcPr>
          <w:p w14:paraId="715A2360" w14:textId="6372E374">
            <w:pPr>
              <w:pStyle w:val="IPPArialTable"/>
              <w:rPr>
                <w:color w:val="000000" w:themeColor="text1"/>
              </w:rPr>
            </w:pPr>
            <w:r>
              <w:rPr>
                <w:rStyle w:val="PleaseReviewParagraphId"/>
                <w:b w:val="off"/>
                <w:i w:val="off"/>
              </w:rPr>
              <w:t>[107]</w:t>
            </w:r>
            <w:r>
              <w:rPr>
                <w:rFonts w:cs="Arial"/>
                <w:color w:val="000000" w:themeColor="text1"/>
                <w:szCs w:val="18"/>
              </w:rPr>
              <w:t>15–19 (17)</w:t>
            </w:r>
          </w:p>
        </w:tc>
        <w:tc xmlns:tara="kcentrix:tara" tara:rowspan="1" tara:colspan="1">
          <w:tcPr>
            <w:tcW w:w="1559" w:type="dxa"/>
            <w:vAlign w:val="center"/>
          </w:tcPr>
          <w:p w14:paraId="2A0C13DC" w14:textId="498CCCD4">
            <w:pPr>
              <w:pStyle w:val="IPPArialTable"/>
              <w:rPr>
                <w:color w:val="000000" w:themeColor="text1"/>
              </w:rPr>
            </w:pPr>
            <w:r>
              <w:rPr>
                <w:rStyle w:val="PleaseReviewParagraphId"/>
                <w:b w:val="off"/>
                <w:i w:val="off"/>
              </w:rPr>
              <w:t>[108]</w:t>
            </w:r>
            <w:r>
              <w:rPr>
                <w:rFonts w:cs="Arial"/>
                <w:color w:val="000000" w:themeColor="text1"/>
                <w:szCs w:val="18"/>
              </w:rPr>
              <w:t>17–18 (17.5)</w:t>
            </w:r>
          </w:p>
        </w:tc>
        <w:tc xmlns:tara="kcentrix:tara" tara:rowspan="1" tara:colspan="1">
          <w:tcPr>
            <w:tcW w:w="1559" w:type="dxa"/>
            <w:vAlign w:val="center"/>
          </w:tcPr>
          <w:p w14:paraId="31681AE0" w14:textId="52EAAFAF">
            <w:pPr>
              <w:pStyle w:val="IPPArialTable"/>
              <w:keepNext/>
              <w:tabs>
                <w:tab w:val="left" w:pos="851"/>
              </w:tabs>
              <w:ind w:left="851" w:hanging="851"/>
              <w:outlineLvl w:val="0"/>
              <w:rPr>
                <w:rFonts w:cs="Arial"/>
                <w:color w:val="000000" w:themeColor="text1"/>
                <w:szCs w:val="18"/>
              </w:rPr>
            </w:pPr>
            <w:r>
              <w:rPr>
                <w:rStyle w:val="PleaseReviewParagraphId"/>
                <w:b w:val="off"/>
                <w:i w:val="off"/>
              </w:rPr>
              <w:t>[109]</w:t>
            </w:r>
            <w:r>
              <w:rPr>
                <w:rFonts w:cs="Arial"/>
                <w:color w:val="000000" w:themeColor="text1"/>
              </w:rPr>
              <w:t>12.5–16.9 (14.5)</w:t>
            </w:r>
          </w:p>
        </w:tc>
        <w:tc xmlns:tara="kcentrix:tara" tara:rowspan="1" tara:colspan="1">
          <w:tcPr>
            <w:tcW w:w="1843" w:type="dxa"/>
            <w:vAlign w:val="center"/>
          </w:tcPr>
          <w:p w14:paraId="2C62ADAC" w14:textId="7B2D33A8">
            <w:pPr>
              <w:pStyle w:val="IPPArialTable"/>
              <w:rPr>
                <w:color w:val="000000" w:themeColor="text1"/>
              </w:rPr>
            </w:pPr>
            <w:r>
              <w:rPr>
                <w:rStyle w:val="PleaseReviewParagraphId"/>
                <w:b w:val="off"/>
                <w:i w:val="off"/>
              </w:rPr>
              <w:t>[110]</w:t>
            </w:r>
            <w:r>
              <w:rPr>
                <w:rFonts w:cs="Arial"/>
                <w:color w:val="000000" w:themeColor="text1"/>
                <w:szCs w:val="18"/>
              </w:rPr>
              <w:t>12–17 (14)</w:t>
            </w:r>
          </w:p>
        </w:tc>
        <w:tc xmlns:tara="kcentrix:tara" tara:rowspan="1" tara:colspan="1">
          <w:tcPr>
            <w:tcW w:w="1105" w:type="dxa"/>
          </w:tcPr>
          <w:p w14:paraId="60AD75A6" w14:textId="029A173B">
            <w:pPr>
              <w:pStyle w:val="IPPArialTable"/>
              <w:rPr>
                <w:color w:val="000000" w:themeColor="text1"/>
              </w:rPr>
            </w:pPr>
            <w:r>
              <w:rPr>
                <w:rStyle w:val="PleaseReviewParagraphId"/>
                <w:b w:val="off"/>
                <w:i w:val="off"/>
              </w:rPr>
              <w:t>[111]</w:t>
            </w:r>
            <w:r>
              <w:rPr>
                <w:rFonts w:cs="Arial"/>
                <w:color w:val="000000" w:themeColor="text1"/>
                <w:szCs w:val="18"/>
              </w:rPr>
              <w:t>8.1–26.6 (15.7)</w:t>
            </w:r>
          </w:p>
        </w:tc>
      </w:tr>
      <w:tr w14:paraId="66921FCB" w14:textId="77777777">
        <w:tc xmlns:tara="kcentrix:tara" tara:rowspan="1" tara:colspan="1">
          <w:tcPr>
            <w:tcW w:w="1077" w:type="dxa"/>
            <w:vAlign w:val="center"/>
          </w:tcPr>
          <w:p w14:paraId="0B47BF37" w14:textId="2C82E26A">
            <w:pPr>
              <w:pStyle w:val="IPPArialTable"/>
              <w:rPr>
                <w:color w:val="000000" w:themeColor="text1"/>
              </w:rPr>
            </w:pPr>
            <w:r>
              <w:rPr>
                <w:rStyle w:val="PleaseReviewParagraphId"/>
                <w:b w:val="off"/>
                <w:i w:val="off"/>
              </w:rPr>
              <w:t>[112]</w:t>
            </w:r>
            <w:r>
              <w:rPr>
                <w:rFonts w:cs="Arial"/>
                <w:color w:val="000000" w:themeColor="text1"/>
                <w:szCs w:val="18"/>
              </w:rPr>
              <w:t>♂ Stylet length</w:t>
            </w:r>
          </w:p>
        </w:tc>
        <w:tc xmlns:tara="kcentrix:tara" tara:rowspan="1" tara:colspan="1">
          <w:tcPr>
            <w:tcW w:w="1158" w:type="dxa"/>
            <w:vAlign w:val="center"/>
          </w:tcPr>
          <w:p w14:paraId="5A7F567A" w14:textId="1BD7A8ED">
            <w:pPr>
              <w:pStyle w:val="IPPArialTable"/>
              <w:rPr>
                <w:color w:val="000000" w:themeColor="text1"/>
              </w:rPr>
            </w:pPr>
            <w:r>
              <w:rPr>
                <w:rStyle w:val="PleaseReviewParagraphId"/>
                <w:b w:val="off"/>
                <w:i w:val="off"/>
              </w:rPr>
              <w:t>[113]</w:t>
            </w:r>
            <w:r>
              <w:rPr>
                <w:rFonts w:cs="Arial"/>
                <w:color w:val="000000" w:themeColor="text1"/>
                <w:szCs w:val="18"/>
              </w:rPr>
              <w:t>18–22 (20)</w:t>
            </w:r>
          </w:p>
        </w:tc>
        <w:tc xmlns:tara="kcentrix:tara" tara:rowspan="1" tara:colspan="1">
          <w:tcPr>
            <w:tcW w:w="1446" w:type="dxa"/>
            <w:vAlign w:val="center"/>
          </w:tcPr>
          <w:p w14:paraId="62257AAF" w14:textId="3B783D2D">
            <w:pPr>
              <w:pStyle w:val="IPPArialTable"/>
              <w:rPr>
                <w:color w:val="000000" w:themeColor="text1"/>
              </w:rPr>
            </w:pPr>
            <w:r>
              <w:rPr>
                <w:rStyle w:val="PleaseReviewParagraphId"/>
                <w:b w:val="off"/>
                <w:i w:val="off"/>
              </w:rPr>
              <w:t>[114]</w:t>
            </w:r>
            <w:r>
              <w:rPr>
                <w:rFonts w:cs="Arial"/>
                <w:color w:val="000000" w:themeColor="text1"/>
                <w:szCs w:val="18"/>
              </w:rPr>
              <w:t>17–24 (22)</w:t>
            </w:r>
          </w:p>
        </w:tc>
        <w:tc xmlns:tara="kcentrix:tara" tara:rowspan="1" tara:colspan="1">
          <w:tcPr>
            <w:tcW w:w="1559" w:type="dxa"/>
            <w:vAlign w:val="center"/>
          </w:tcPr>
          <w:p w14:paraId="52E068C9" w14:textId="0ECFC037">
            <w:pPr>
              <w:pStyle w:val="IPPArialTable"/>
              <w:rPr>
                <w:color w:val="000000" w:themeColor="text1"/>
              </w:rPr>
            </w:pPr>
            <w:r>
              <w:rPr>
                <w:rStyle w:val="PleaseReviewParagraphId"/>
                <w:b w:val="off"/>
                <w:i w:val="off"/>
              </w:rPr>
              <w:t>[115]</w:t>
            </w:r>
            <w:r>
              <w:rPr>
                <w:rFonts w:cs="Arial"/>
                <w:color w:val="000000" w:themeColor="text1"/>
                <w:szCs w:val="18"/>
              </w:rPr>
              <w:t>21–24 (22)</w:t>
            </w:r>
          </w:p>
        </w:tc>
        <w:tc xmlns:tara="kcentrix:tara" tara:rowspan="1" tara:colspan="1">
          <w:tcPr>
            <w:tcW w:w="1559" w:type="dxa"/>
            <w:vAlign w:val="center"/>
          </w:tcPr>
          <w:p w14:paraId="66FF63F9" w14:textId="1062B2DB">
            <w:pPr>
              <w:pStyle w:val="IPPArialTable"/>
              <w:keepNext/>
              <w:tabs>
                <w:tab w:val="left" w:pos="851"/>
              </w:tabs>
              <w:ind w:left="851" w:hanging="851"/>
              <w:outlineLvl w:val="0"/>
              <w:rPr>
                <w:rFonts w:cs="Arial"/>
                <w:color w:val="000000" w:themeColor="text1"/>
                <w:szCs w:val="18"/>
              </w:rPr>
            </w:pPr>
            <w:r>
              <w:rPr>
                <w:rStyle w:val="PleaseReviewParagraphId"/>
                <w:b w:val="off"/>
                <w:i w:val="off"/>
              </w:rPr>
              <w:t>[116]</w:t>
            </w:r>
            <w:r>
              <w:rPr>
                <w:rFonts w:cs="Arial"/>
                <w:color w:val="000000" w:themeColor="text1"/>
              </w:rPr>
              <w:t>18.9–20.1 (19.5)</w:t>
            </w:r>
          </w:p>
        </w:tc>
        <w:tc xmlns:tara="kcentrix:tara" tara:rowspan="1" tara:colspan="1">
          <w:tcPr>
            <w:tcW w:w="1843" w:type="dxa"/>
            <w:vAlign w:val="center"/>
          </w:tcPr>
          <w:p w14:paraId="0620BF5D" w14:textId="46B1BD81">
            <w:pPr>
              <w:pStyle w:val="IPPArialTable"/>
              <w:rPr>
                <w:color w:val="000000" w:themeColor="text1"/>
              </w:rPr>
            </w:pPr>
            <w:r>
              <w:rPr>
                <w:rStyle w:val="PleaseReviewParagraphId"/>
                <w:b w:val="off"/>
                <w:i w:val="off"/>
              </w:rPr>
              <w:t>[117]</w:t>
            </w:r>
            <w:r>
              <w:rPr>
                <w:rFonts w:cs="Arial"/>
                <w:color w:val="000000" w:themeColor="text1"/>
                <w:szCs w:val="18"/>
              </w:rPr>
              <w:t>17–21 (20)</w:t>
            </w:r>
          </w:p>
        </w:tc>
        <w:tc xmlns:tara="kcentrix:tara" tara:rowspan="1" tara:colspan="1">
          <w:tcPr>
            <w:tcW w:w="1105" w:type="dxa"/>
          </w:tcPr>
          <w:p w14:paraId="315A0C2E" w14:textId="51D04AFB">
            <w:pPr>
              <w:pStyle w:val="IPPArialTable"/>
              <w:rPr>
                <w:color w:val="000000" w:themeColor="text1"/>
              </w:rPr>
            </w:pPr>
            <w:r>
              <w:rPr>
                <w:rStyle w:val="PleaseReviewParagraphId"/>
                <w:b w:val="off"/>
                <w:i w:val="off"/>
              </w:rPr>
              <w:t>[118]</w:t>
            </w:r>
            <w:r>
              <w:rPr>
                <w:rFonts w:cs="Arial"/>
                <w:color w:val="000000" w:themeColor="text1"/>
                <w:szCs w:val="18"/>
              </w:rPr>
              <w:t>17.0–21.4 (19.3)</w:t>
            </w:r>
          </w:p>
        </w:tc>
      </w:tr>
      <w:tr w14:paraId="66F2DFB1" w14:textId="77777777">
        <w:tc xmlns:tara="kcentrix:tara" tara:rowspan="1" tara:colspan="1">
          <w:tcPr>
            <w:tcW w:w="1077" w:type="dxa"/>
            <w:vAlign w:val="center"/>
          </w:tcPr>
          <w:p w14:paraId="1B611480" w14:textId="2BE94188">
            <w:pPr>
              <w:pStyle w:val="IPPArialTable"/>
              <w:rPr>
                <w:color w:val="000000" w:themeColor="text1"/>
              </w:rPr>
            </w:pPr>
            <w:r>
              <w:rPr>
                <w:rStyle w:val="PleaseReviewParagraphId"/>
                <w:b w:val="off"/>
                <w:i w:val="off"/>
              </w:rPr>
              <w:t>[119]</w:t>
            </w:r>
            <w:r>
              <w:rPr>
                <w:rFonts w:cs="Arial"/>
                <w:color w:val="000000" w:themeColor="text1"/>
                <w:szCs w:val="18"/>
              </w:rPr>
              <w:t xml:space="preserve">♂ Dorsal gland orifice* </w:t>
            </w:r>
          </w:p>
        </w:tc>
        <w:tc xmlns:tara="kcentrix:tara" tara:rowspan="1" tara:colspan="1">
          <w:tcPr>
            <w:tcW w:w="1158" w:type="dxa"/>
            <w:vAlign w:val="center"/>
          </w:tcPr>
          <w:p w14:paraId="765C29F2" w14:textId="6787AD61">
            <w:pPr>
              <w:pStyle w:val="IPPArialTable"/>
              <w:rPr>
                <w:color w:val="000000" w:themeColor="text1"/>
              </w:rPr>
            </w:pPr>
            <w:r>
              <w:rPr>
                <w:rStyle w:val="PleaseReviewParagraphId"/>
                <w:b w:val="off"/>
                <w:i w:val="off"/>
              </w:rPr>
              <w:t>[120]</w:t>
            </w:r>
            <w:r>
              <w:rPr>
                <w:rFonts w:cs="Arial"/>
                <w:color w:val="000000" w:themeColor="text1"/>
                <w:szCs w:val="18"/>
              </w:rPr>
              <w:t>6–13 (8)</w:t>
            </w:r>
          </w:p>
        </w:tc>
        <w:tc xmlns:tara="kcentrix:tara" tara:rowspan="1" tara:colspan="1">
          <w:tcPr>
            <w:tcW w:w="1446" w:type="dxa"/>
            <w:vAlign w:val="center"/>
          </w:tcPr>
          <w:p w14:paraId="48C212A3" w14:textId="5B1344EB">
            <w:pPr>
              <w:pStyle w:val="IPPArialTable"/>
              <w:rPr>
                <w:color w:val="000000" w:themeColor="text1"/>
              </w:rPr>
            </w:pPr>
            <w:r>
              <w:rPr>
                <w:rStyle w:val="PleaseReviewParagraphId"/>
                <w:b w:val="off"/>
                <w:i w:val="off"/>
              </w:rPr>
              <w:t>[121]</w:t>
            </w:r>
            <w:r>
              <w:rPr>
                <w:rFonts w:cs="Arial"/>
                <w:color w:val="000000" w:themeColor="text1"/>
                <w:szCs w:val="18"/>
              </w:rPr>
              <w:t>3–4 (4)</w:t>
            </w:r>
          </w:p>
        </w:tc>
        <w:tc xmlns:tara="kcentrix:tara" tara:rowspan="1" tara:colspan="1">
          <w:tcPr>
            <w:tcW w:w="1559" w:type="dxa"/>
            <w:vAlign w:val="center"/>
          </w:tcPr>
          <w:p w14:paraId="5851DC71" w14:textId="0D47CDAE">
            <w:pPr>
              <w:pStyle w:val="IPPArialTable"/>
              <w:rPr>
                <w:color w:val="000000" w:themeColor="text1"/>
              </w:rPr>
            </w:pPr>
            <w:r>
              <w:rPr>
                <w:rStyle w:val="PleaseReviewParagraphId"/>
                <w:b w:val="off"/>
                <w:i w:val="off"/>
              </w:rPr>
              <w:t>[122]</w:t>
            </w:r>
            <w:r>
              <w:rPr>
                <w:rFonts w:cs="Arial"/>
                <w:color w:val="000000" w:themeColor="text1"/>
                <w:szCs w:val="18"/>
              </w:rPr>
              <w:t>4–7 (5.3)</w:t>
            </w:r>
          </w:p>
        </w:tc>
        <w:tc xmlns:tara="kcentrix:tara" tara:rowspan="1" tara:colspan="1">
          <w:tcPr>
            <w:tcW w:w="1559" w:type="dxa"/>
            <w:vAlign w:val="center"/>
          </w:tcPr>
          <w:p w14:paraId="3BC3A8C0" w14:textId="35742CB6">
            <w:pPr>
              <w:pStyle w:val="IPPArialTable"/>
              <w:keepNext/>
              <w:tabs>
                <w:tab w:val="left" w:pos="851"/>
              </w:tabs>
              <w:ind w:left="851" w:hanging="851"/>
              <w:outlineLvl w:val="0"/>
              <w:rPr>
                <w:rFonts w:cs="Arial"/>
                <w:color w:val="000000" w:themeColor="text1"/>
                <w:szCs w:val="18"/>
              </w:rPr>
            </w:pPr>
            <w:r>
              <w:rPr>
                <w:rStyle w:val="PleaseReviewParagraphId"/>
                <w:b w:val="off"/>
                <w:i w:val="off"/>
              </w:rPr>
              <w:t>[123]</w:t>
            </w:r>
            <w:r>
              <w:rPr>
                <w:rFonts w:cs="Arial"/>
                <w:color w:val="000000" w:themeColor="text1"/>
              </w:rPr>
              <w:t>6.5–7.0 (6.75)</w:t>
            </w:r>
          </w:p>
        </w:tc>
        <w:tc xmlns:tara="kcentrix:tara" tara:rowspan="1" tara:colspan="1">
          <w:tcPr>
            <w:tcW w:w="1843" w:type="dxa"/>
            <w:vAlign w:val="center"/>
          </w:tcPr>
          <w:p w14:paraId="5782C419" w14:textId="79A90739">
            <w:pPr>
              <w:pStyle w:val="IPPArialTable"/>
              <w:rPr>
                <w:color w:val="000000" w:themeColor="text1"/>
              </w:rPr>
            </w:pPr>
            <w:r>
              <w:rPr>
                <w:rStyle w:val="PleaseReviewParagraphId"/>
                <w:b w:val="off"/>
                <w:i w:val="off"/>
              </w:rPr>
              <w:t>[124]</w:t>
            </w:r>
            <w:r>
              <w:rPr>
                <w:rFonts w:cs="Arial"/>
                <w:color w:val="000000" w:themeColor="text1"/>
                <w:szCs w:val="18"/>
              </w:rPr>
              <w:t>4–8 (5.4)</w:t>
            </w:r>
          </w:p>
        </w:tc>
        <w:tc xmlns:tara="kcentrix:tara" tara:rowspan="1" tara:colspan="1">
          <w:tcPr>
            <w:tcW w:w="1105" w:type="dxa"/>
            <w:vAlign w:val="center"/>
          </w:tcPr>
          <w:p w14:paraId="4EA9E63F" w14:textId="1E25FFEB">
            <w:pPr>
              <w:pStyle w:val="IPPArialTable"/>
              <w:rPr>
                <w:color w:val="000000" w:themeColor="text1"/>
              </w:rPr>
            </w:pPr>
            <w:r>
              <w:rPr>
                <w:rStyle w:val="PleaseReviewParagraphId"/>
                <w:b w:val="off"/>
                <w:i w:val="off"/>
              </w:rPr>
              <w:t>[125]</w:t>
            </w:r>
            <w:r>
              <w:rPr>
                <w:rFonts w:cs="Arial"/>
                <w:color w:val="000000" w:themeColor="text1"/>
                <w:szCs w:val="18"/>
              </w:rPr>
              <w:t>2.4–3.9 (3.3)</w:t>
            </w:r>
          </w:p>
        </w:tc>
      </w:tr>
      <w:tr w14:paraId="55D79A77" w14:textId="77777777">
        <w:tc xmlns:tara="kcentrix:tara" tara:rowspan="1" tara:colspan="1">
          <w:tcPr>
            <w:tcW w:w="1077" w:type="dxa"/>
            <w:vAlign w:val="center"/>
          </w:tcPr>
          <w:p w14:paraId="2FD6DF29" w14:textId="3FF246FE">
            <w:pPr>
              <w:pStyle w:val="IPPArialTable"/>
              <w:rPr>
                <w:color w:val="000000" w:themeColor="text1"/>
              </w:rPr>
            </w:pPr>
            <w:r>
              <w:rPr>
                <w:rStyle w:val="PleaseReviewParagraphId"/>
                <w:b w:val="off"/>
                <w:i w:val="off"/>
              </w:rPr>
              <w:t>[126]</w:t>
            </w:r>
            <w:r>
              <w:rPr>
                <w:rFonts w:cs="Arial"/>
                <w:color w:val="000000" w:themeColor="text1"/>
                <w:szCs w:val="18"/>
              </w:rPr>
              <w:t>♂ Stylet knob shape</w:t>
            </w:r>
            <w:r>
              <w:rPr>
                <w:rFonts w:cs="Arial"/>
                <w:color w:val="000000" w:themeColor="text1"/>
                <w:szCs w:val="18"/>
                <w:vertAlign w:val="superscript"/>
              </w:rPr>
              <w:t>†</w:t>
            </w:r>
          </w:p>
        </w:tc>
        <w:tc xmlns:tara="kcentrix:tara" tara:rowspan="1" tara:colspan="1">
          <w:tcPr>
            <w:tcW w:w="1158" w:type="dxa"/>
            <w:vAlign w:val="center"/>
          </w:tcPr>
          <w:p w14:paraId="613BF764" w14:textId="4E7F86FD">
            <w:pPr>
              <w:pStyle w:val="IPPArialTable"/>
              <w:rPr>
                <w:color w:val="000000" w:themeColor="text1"/>
              </w:rPr>
            </w:pPr>
            <w:r>
              <w:rPr>
                <w:rStyle w:val="PleaseReviewParagraphId"/>
                <w:b w:val="off"/>
                <w:i w:val="off"/>
              </w:rPr>
              <w:t>[127]</w:t>
            </w:r>
            <w:r>
              <w:rPr>
                <w:rFonts w:cs="Arial"/>
                <w:color w:val="000000" w:themeColor="text1"/>
                <w:szCs w:val="18"/>
              </w:rPr>
              <w:t>Rounded (Figure 5, Figure 6 &amp; Figure 10)</w:t>
            </w:r>
          </w:p>
        </w:tc>
        <w:tc xmlns:tara="kcentrix:tara" tara:rowspan="1" tara:colspan="1">
          <w:tcPr>
            <w:tcW w:w="1446" w:type="dxa"/>
            <w:vAlign w:val="center"/>
          </w:tcPr>
          <w:p w14:paraId="548EACD1" w14:textId="0D6A787F">
            <w:pPr>
              <w:pStyle w:val="IPPArialTable"/>
              <w:rPr>
                <w:color w:val="000000" w:themeColor="text1"/>
              </w:rPr>
            </w:pPr>
            <w:r>
              <w:rPr>
                <w:rStyle w:val="PleaseReviewParagraphId"/>
                <w:b w:val="off"/>
                <w:i w:val="off"/>
              </w:rPr>
              <w:t>[128]</w:t>
            </w:r>
            <w:r>
              <w:rPr>
                <w:rFonts w:cs="Arial"/>
                <w:color w:val="000000" w:themeColor="text1"/>
                <w:szCs w:val="18"/>
              </w:rPr>
              <w:t>Pear-shaped (Figure 10)</w:t>
            </w:r>
          </w:p>
        </w:tc>
        <w:tc xmlns:tara="kcentrix:tara" tara:rowspan="1" tara:colspan="1">
          <w:tcPr>
            <w:tcW w:w="1559" w:type="dxa"/>
            <w:vAlign w:val="center"/>
          </w:tcPr>
          <w:p w14:paraId="0088A093" w14:textId="489D58C8">
            <w:pPr>
              <w:pStyle w:val="IPPArialTable"/>
              <w:rPr>
                <w:color w:val="000000" w:themeColor="text1"/>
              </w:rPr>
            </w:pPr>
            <w:r>
              <w:rPr>
                <w:rStyle w:val="PleaseReviewParagraphId"/>
                <w:b w:val="off"/>
                <w:i w:val="off"/>
              </w:rPr>
              <w:t>[129]</w:t>
            </w:r>
            <w:r>
              <w:rPr>
                <w:rFonts w:cs="Arial"/>
                <w:color w:val="000000" w:themeColor="text1"/>
                <w:szCs w:val="18"/>
              </w:rPr>
              <w:t>Pear-shaped (Figure 10)</w:t>
            </w:r>
          </w:p>
        </w:tc>
        <w:tc xmlns:tara="kcentrix:tara" tara:rowspan="1" tara:colspan="1">
          <w:tcPr>
            <w:tcW w:w="1559" w:type="dxa"/>
            <w:vAlign w:val="center"/>
          </w:tcPr>
          <w:p w14:paraId="5F5D93B2" w14:textId="5763D6C8">
            <w:pPr>
              <w:pStyle w:val="IPPArialTable"/>
              <w:keepNext/>
              <w:outlineLvl w:val="0"/>
              <w:rPr>
                <w:rFonts w:cs="Arial"/>
                <w:color w:val="000000" w:themeColor="text1"/>
                <w:szCs w:val="18"/>
              </w:rPr>
            </w:pPr>
            <w:r>
              <w:rPr>
                <w:rStyle w:val="PleaseReviewParagraphId"/>
                <w:b w:val="off"/>
                <w:i w:val="off"/>
              </w:rPr>
              <w:t>[130]</w:t>
            </w:r>
            <w:r>
              <w:rPr>
                <w:rFonts w:cs="Arial"/>
                <w:color w:val="000000" w:themeColor="text1"/>
              </w:rPr>
              <w:t xml:space="preserve">Rounded </w:t>
            </w:r>
            <w:r>
              <w:rPr>
                <w:rFonts w:cs="Arial"/>
                <w:color w:val="000000" w:themeColor="text1"/>
                <w:szCs w:val="18"/>
              </w:rPr>
              <w:t>(Figure 10)</w:t>
            </w:r>
          </w:p>
        </w:tc>
        <w:tc xmlns:tara="kcentrix:tara" tara:rowspan="1" tara:colspan="1">
          <w:tcPr>
            <w:tcW w:w="1843" w:type="dxa"/>
            <w:vAlign w:val="center"/>
          </w:tcPr>
          <w:p w14:paraId="1484E84B" w14:textId="2C33A69A">
            <w:pPr>
              <w:pStyle w:val="IPPArialTable"/>
              <w:rPr>
                <w:color w:val="000000" w:themeColor="text1"/>
              </w:rPr>
            </w:pPr>
            <w:r>
              <w:rPr>
                <w:rStyle w:val="PleaseReviewParagraphId"/>
                <w:b w:val="off"/>
                <w:i w:val="off"/>
              </w:rPr>
              <w:t>[131]</w:t>
            </w:r>
            <w:r>
              <w:rPr>
                <w:rFonts w:cs="Arial"/>
                <w:color w:val="000000" w:themeColor="text1"/>
                <w:szCs w:val="18"/>
              </w:rPr>
              <w:t>Rounded (Figure 10)</w:t>
            </w:r>
          </w:p>
        </w:tc>
        <w:tc xmlns:tara="kcentrix:tara" tara:rowspan="1" tara:colspan="1">
          <w:tcPr>
            <w:tcW w:w="1105" w:type="dxa"/>
            <w:vAlign w:val="center"/>
          </w:tcPr>
          <w:p w14:paraId="49D04443" w14:textId="548B23A8">
            <w:pPr>
              <w:pStyle w:val="IPPArialTable"/>
              <w:rPr>
                <w:color w:val="000000" w:themeColor="text1"/>
              </w:rPr>
            </w:pPr>
            <w:r>
              <w:rPr>
                <w:rStyle w:val="PleaseReviewParagraphId"/>
                <w:b w:val="off"/>
                <w:i w:val="off"/>
              </w:rPr>
              <w:t>[132]</w:t>
            </w:r>
            <w:r>
              <w:rPr>
                <w:rFonts w:cs="Arial"/>
                <w:color w:val="000000" w:themeColor="text1"/>
                <w:szCs w:val="18"/>
              </w:rPr>
              <w:t>Rounded (Figure 10)</w:t>
            </w:r>
          </w:p>
        </w:tc>
      </w:tr>
      <w:tr w14:paraId="43AFFF26" w14:textId="77777777">
        <w:tc xmlns:tara="kcentrix:tara" tara:rowspan="1" tara:colspan="1">
          <w:tcPr>
            <w:tcW w:w="1077" w:type="dxa"/>
            <w:vAlign w:val="center"/>
          </w:tcPr>
          <w:p w14:paraId="4B4D9A67" w14:textId="670EF127">
            <w:pPr>
              <w:pStyle w:val="IPPArialTable"/>
              <w:rPr>
                <w:color w:val="000000" w:themeColor="text1"/>
              </w:rPr>
            </w:pPr>
            <w:r>
              <w:rPr>
                <w:rStyle w:val="PleaseReviewParagraphId"/>
                <w:b w:val="off"/>
                <w:i w:val="off"/>
              </w:rPr>
              <w:t>[133]</w:t>
            </w:r>
            <w:r>
              <w:rPr>
                <w:rFonts w:cs="Arial"/>
                <w:color w:val="000000" w:themeColor="text1"/>
                <w:szCs w:val="18"/>
              </w:rPr>
              <w:t>♂ Stylet knob position</w:t>
            </w:r>
          </w:p>
        </w:tc>
        <w:tc xmlns:tara="kcentrix:tara" tara:rowspan="1" tara:colspan="1">
          <w:tcPr>
            <w:tcW w:w="1158" w:type="dxa"/>
            <w:vAlign w:val="center"/>
          </w:tcPr>
          <w:p w14:paraId="7B292CB8" w14:textId="55AFB1E5">
            <w:pPr>
              <w:pStyle w:val="IPPArialTable"/>
              <w:rPr>
                <w:color w:val="000000" w:themeColor="text1"/>
              </w:rPr>
            </w:pPr>
            <w:r>
              <w:rPr>
                <w:rStyle w:val="PleaseReviewParagraphId"/>
                <w:b w:val="off"/>
                <w:i w:val="off"/>
              </w:rPr>
              <w:t>[134]</w:t>
            </w:r>
            <w:r>
              <w:rPr>
                <w:rFonts w:cs="Arial"/>
                <w:color w:val="000000" w:themeColor="text1"/>
                <w:szCs w:val="18"/>
              </w:rPr>
              <w:t>Sloping posteriorly (Figure 5, Figure 6 &amp; Figure 10)</w:t>
            </w:r>
          </w:p>
        </w:tc>
        <w:tc xmlns:tara="kcentrix:tara" tara:rowspan="1" tara:colspan="1">
          <w:tcPr>
            <w:tcW w:w="1446" w:type="dxa"/>
            <w:vAlign w:val="center"/>
          </w:tcPr>
          <w:p w14:paraId="75A57DBC" w14:textId="50488D4F">
            <w:pPr>
              <w:pStyle w:val="IPPArialTable"/>
              <w:rPr>
                <w:color w:val="000000" w:themeColor="text1"/>
              </w:rPr>
            </w:pPr>
            <w:r>
              <w:rPr>
                <w:rStyle w:val="PleaseReviewParagraphId"/>
                <w:b w:val="off"/>
                <w:i w:val="off"/>
              </w:rPr>
              <w:t>[135]</w:t>
            </w:r>
            <w:r>
              <w:rPr>
                <w:rFonts w:cs="Arial"/>
                <w:color w:val="000000" w:themeColor="text1"/>
                <w:szCs w:val="18"/>
              </w:rPr>
              <w:t>Sloping posteriorly (Figure 10)</w:t>
            </w:r>
          </w:p>
        </w:tc>
        <w:tc xmlns:tara="kcentrix:tara" tara:rowspan="1" tara:colspan="1">
          <w:tcPr>
            <w:tcW w:w="1559" w:type="dxa"/>
            <w:vAlign w:val="center"/>
          </w:tcPr>
          <w:p w14:paraId="68D58EE7" w14:textId="0A61F7DA">
            <w:pPr>
              <w:pStyle w:val="IPPArialTable"/>
              <w:rPr>
                <w:color w:val="000000" w:themeColor="text1"/>
              </w:rPr>
            </w:pPr>
            <w:r>
              <w:rPr>
                <w:rStyle w:val="PleaseReviewParagraphId"/>
                <w:b w:val="off"/>
                <w:i w:val="off"/>
              </w:rPr>
              <w:t>[136]</w:t>
            </w:r>
            <w:r>
              <w:rPr>
                <w:rFonts w:cs="Arial"/>
                <w:color w:val="000000" w:themeColor="text1"/>
                <w:szCs w:val="18"/>
              </w:rPr>
              <w:t>Sloping posteriorly (Figure 10)</w:t>
            </w:r>
          </w:p>
        </w:tc>
        <w:tc xmlns:tara="kcentrix:tara" tara:rowspan="1" tara:colspan="1">
          <w:tcPr>
            <w:tcW w:w="1559" w:type="dxa"/>
          </w:tcPr>
          <w:p w14:paraId="7E1C48F5" w14:textId="6B6E2C1A">
            <w:pPr>
              <w:pStyle w:val="IPPArialTable"/>
              <w:keepNext/>
              <w:ind w:left="30" w:right="-111"/>
              <w:outlineLvl w:val="0"/>
              <w:rPr>
                <w:rFonts w:cs="Arial"/>
                <w:color w:val="000000" w:themeColor="text1"/>
                <w:szCs w:val="18"/>
              </w:rPr>
            </w:pPr>
            <w:r>
              <w:rPr>
                <w:rStyle w:val="PleaseReviewParagraphId"/>
                <w:b w:val="off"/>
                <w:i w:val="off"/>
              </w:rPr>
              <w:t>[137]</w:t>
            </w:r>
            <w:r>
              <w:rPr>
                <w:rFonts w:cs="Arial"/>
                <w:color w:val="000000" w:themeColor="text1"/>
                <w:szCs w:val="18"/>
              </w:rPr>
              <w:t>Offset to sloping posteriorly (Figure 10)</w:t>
            </w:r>
          </w:p>
        </w:tc>
        <w:tc xmlns:tara="kcentrix:tara" tara:rowspan="1" tara:colspan="1">
          <w:tcPr>
            <w:tcW w:w="1843" w:type="dxa"/>
            <w:vAlign w:val="center"/>
          </w:tcPr>
          <w:p w14:paraId="63D82CA0" w14:textId="7C9ECD57">
            <w:pPr>
              <w:pStyle w:val="IPPArialTable"/>
              <w:rPr>
                <w:color w:val="000000" w:themeColor="text1"/>
              </w:rPr>
            </w:pPr>
            <w:r>
              <w:rPr>
                <w:rStyle w:val="PleaseReviewParagraphId"/>
                <w:b w:val="off"/>
                <w:i w:val="off"/>
              </w:rPr>
              <w:t>[138]</w:t>
            </w:r>
            <w:r>
              <w:rPr>
                <w:rFonts w:cs="Arial"/>
                <w:color w:val="000000" w:themeColor="text1"/>
                <w:szCs w:val="18"/>
              </w:rPr>
              <w:t>Sloping posteriorly (Figure 10)</w:t>
            </w:r>
          </w:p>
        </w:tc>
        <w:tc xmlns:tara="kcentrix:tara" tara:rowspan="1" tara:colspan="1">
          <w:tcPr>
            <w:tcW w:w="1105" w:type="dxa"/>
          </w:tcPr>
          <w:p w14:paraId="7734E7DD" w14:textId="73387205">
            <w:pPr>
              <w:pStyle w:val="IPPArialTable"/>
              <w:rPr>
                <w:color w:val="000000" w:themeColor="text1"/>
              </w:rPr>
            </w:pPr>
            <w:r>
              <w:rPr>
                <w:rStyle w:val="PleaseReviewParagraphId"/>
                <w:b w:val="off"/>
                <w:i w:val="off"/>
              </w:rPr>
              <w:t>[139]</w:t>
            </w:r>
            <w:r>
              <w:rPr>
                <w:rFonts w:cs="Arial"/>
                <w:color w:val="000000" w:themeColor="text1"/>
                <w:szCs w:val="18"/>
              </w:rPr>
              <w:t>Offset to sloping posteriorly (Figure 10)</w:t>
            </w:r>
          </w:p>
        </w:tc>
      </w:tr>
      <w:tr w14:paraId="0270106E" w14:textId="77777777">
        <w:tc xmlns:tara="kcentrix:tara" tara:rowspan="1" tara:colspan="1">
          <w:tcPr>
            <w:tcW w:w="1077" w:type="dxa"/>
            <w:vAlign w:val="center"/>
          </w:tcPr>
          <w:p w14:paraId="51DC2401" w14:textId="0E31B046">
            <w:pPr>
              <w:pStyle w:val="IPPArialTable"/>
              <w:rPr>
                <w:color w:val="000000" w:themeColor="text1"/>
              </w:rPr>
            </w:pPr>
            <w:r>
              <w:rPr>
                <w:rStyle w:val="PleaseReviewParagraphId"/>
                <w:b w:val="off"/>
                <w:i w:val="off"/>
              </w:rPr>
              <w:t>[140]</w:t>
            </w:r>
            <w:r>
              <w:rPr>
                <w:rFonts w:cs="Arial"/>
                <w:color w:val="000000" w:themeColor="text1"/>
                <w:szCs w:val="18"/>
              </w:rPr>
              <w:t>J2 body length</w:t>
            </w:r>
          </w:p>
        </w:tc>
        <w:tc xmlns:tara="kcentrix:tara" tara:rowspan="1" tara:colspan="1">
          <w:tcPr>
            <w:tcW w:w="1158" w:type="dxa"/>
            <w:vAlign w:val="center"/>
          </w:tcPr>
          <w:p w14:paraId="055E13FB" w14:textId="19F29C10">
            <w:pPr>
              <w:pStyle w:val="IPPArialTable"/>
              <w:rPr>
                <w:color w:val="000000" w:themeColor="text1"/>
              </w:rPr>
            </w:pPr>
            <w:r>
              <w:rPr>
                <w:rStyle w:val="PleaseReviewParagraphId"/>
                <w:b w:val="off"/>
                <w:i w:val="off"/>
              </w:rPr>
              <w:t>[141]</w:t>
            </w:r>
            <w:r>
              <w:rPr>
                <w:rFonts w:cs="Arial"/>
                <w:color w:val="000000" w:themeColor="text1"/>
                <w:szCs w:val="18"/>
              </w:rPr>
              <w:t>390–450 (418)</w:t>
            </w:r>
          </w:p>
        </w:tc>
        <w:tc xmlns:tara="kcentrix:tara" tara:rowspan="1" tara:colspan="1">
          <w:tcPr>
            <w:tcW w:w="1446" w:type="dxa"/>
            <w:vAlign w:val="center"/>
          </w:tcPr>
          <w:p w14:paraId="053140F4" w14:textId="0B59E30A">
            <w:pPr>
              <w:pStyle w:val="IPPArialTable"/>
              <w:rPr>
                <w:color w:val="000000" w:themeColor="text1"/>
              </w:rPr>
            </w:pPr>
            <w:r>
              <w:rPr>
                <w:rStyle w:val="PleaseReviewParagraphId"/>
                <w:b w:val="off"/>
                <w:i w:val="off"/>
              </w:rPr>
              <w:t>[142]</w:t>
            </w:r>
            <w:r>
              <w:rPr>
                <w:rFonts w:cs="Arial"/>
                <w:color w:val="000000" w:themeColor="text1"/>
                <w:szCs w:val="18"/>
              </w:rPr>
              <w:t>372–453 (417)</w:t>
            </w:r>
          </w:p>
        </w:tc>
        <w:tc xmlns:tara="kcentrix:tara" tara:rowspan="1" tara:colspan="1">
          <w:tcPr>
            <w:tcW w:w="1559" w:type="dxa"/>
            <w:vAlign w:val="center"/>
          </w:tcPr>
          <w:p w14:paraId="4D959008" w14:textId="1267A637">
            <w:pPr>
              <w:pStyle w:val="IPPArialTable"/>
              <w:rPr>
                <w:color w:val="000000" w:themeColor="text1"/>
              </w:rPr>
            </w:pPr>
            <w:r>
              <w:rPr>
                <w:rStyle w:val="PleaseReviewParagraphId"/>
                <w:b w:val="off"/>
                <w:i w:val="off"/>
              </w:rPr>
              <w:t>[143]</w:t>
            </w:r>
            <w:r>
              <w:rPr>
                <w:rFonts w:cs="Arial"/>
                <w:color w:val="000000" w:themeColor="text1"/>
                <w:szCs w:val="18"/>
              </w:rPr>
              <w:t>443–576 (501)</w:t>
            </w:r>
          </w:p>
        </w:tc>
        <w:tc xmlns:tara="kcentrix:tara" tara:rowspan="1" tara:colspan="1">
          <w:tcPr>
            <w:tcW w:w="1559" w:type="dxa"/>
            <w:vAlign w:val="center"/>
          </w:tcPr>
          <w:p w14:paraId="78B0DCC2" w14:textId="705E787D">
            <w:pPr>
              <w:pStyle w:val="IPPArialTable"/>
              <w:keepNext/>
              <w:tabs>
                <w:tab w:val="left" w:pos="851"/>
              </w:tabs>
              <w:ind w:left="851" w:hanging="851"/>
              <w:outlineLvl w:val="0"/>
              <w:rPr>
                <w:rFonts w:cs="Arial"/>
                <w:color w:val="000000" w:themeColor="text1"/>
                <w:szCs w:val="18"/>
              </w:rPr>
            </w:pPr>
            <w:r>
              <w:rPr>
                <w:rStyle w:val="PleaseReviewParagraphId"/>
                <w:b w:val="off"/>
                <w:i w:val="off"/>
              </w:rPr>
              <w:t>[144]</w:t>
            </w:r>
            <w:r>
              <w:rPr>
                <w:rFonts w:cs="Arial"/>
                <w:color w:val="000000" w:themeColor="text1"/>
              </w:rPr>
              <w:t>402–555 (433)</w:t>
            </w:r>
          </w:p>
        </w:tc>
        <w:tc xmlns:tara="kcentrix:tara" tara:rowspan="1" tara:colspan="1">
          <w:tcPr>
            <w:tcW w:w="1843" w:type="dxa"/>
            <w:vAlign w:val="center"/>
          </w:tcPr>
          <w:p w14:paraId="7DC35001" w14:textId="2EB336BC">
            <w:pPr>
              <w:pStyle w:val="IPPArialTable"/>
              <w:rPr>
                <w:color w:val="000000" w:themeColor="text1"/>
              </w:rPr>
            </w:pPr>
            <w:r>
              <w:rPr>
                <w:rStyle w:val="PleaseReviewParagraphId"/>
                <w:b w:val="off"/>
                <w:i w:val="off"/>
              </w:rPr>
              <w:t>[145]</w:t>
            </w:r>
            <w:r>
              <w:rPr>
                <w:rFonts w:cs="Arial"/>
                <w:color w:val="000000" w:themeColor="text1"/>
                <w:szCs w:val="18"/>
              </w:rPr>
              <w:t>370–490 (420)</w:t>
            </w:r>
          </w:p>
        </w:tc>
        <w:tc xmlns:tara="kcentrix:tara" tara:rowspan="1" tara:colspan="1">
          <w:tcPr>
            <w:tcW w:w="1105" w:type="dxa"/>
          </w:tcPr>
          <w:p w14:paraId="48E1330B" w14:textId="6266468B">
            <w:pPr>
              <w:pStyle w:val="IPPArialTable"/>
              <w:rPr>
                <w:color w:val="000000" w:themeColor="text1"/>
              </w:rPr>
            </w:pPr>
            <w:r>
              <w:rPr>
                <w:rStyle w:val="PleaseReviewParagraphId"/>
                <w:b w:val="off"/>
                <w:i w:val="off"/>
              </w:rPr>
              <w:t>[146]</w:t>
            </w:r>
            <w:r>
              <w:rPr>
                <w:rFonts w:cs="Arial"/>
                <w:color w:val="000000" w:themeColor="text1"/>
                <w:szCs w:val="18"/>
              </w:rPr>
              <w:t>353.4–425.8 (396.9)</w:t>
            </w:r>
          </w:p>
        </w:tc>
      </w:tr>
      <w:tr w14:paraId="4AF58366" w14:textId="77777777">
        <w:tc xmlns:tara="kcentrix:tara" tara:rowspan="1" tara:colspan="1">
          <w:tcPr>
            <w:tcW w:w="1077" w:type="dxa"/>
            <w:vAlign w:val="center"/>
          </w:tcPr>
          <w:p w14:paraId="203300DD" w14:textId="23339D7C">
            <w:pPr>
              <w:pStyle w:val="IPPArialTable"/>
              <w:rPr>
                <w:color w:val="000000" w:themeColor="text1"/>
              </w:rPr>
            </w:pPr>
            <w:r>
              <w:rPr>
                <w:rStyle w:val="PleaseReviewParagraphId"/>
                <w:b w:val="off"/>
                <w:i w:val="off"/>
              </w:rPr>
              <w:t>[147]</w:t>
            </w:r>
            <w:r>
              <w:rPr>
                <w:rFonts w:cs="Arial"/>
                <w:color w:val="000000" w:themeColor="text1"/>
                <w:szCs w:val="18"/>
              </w:rPr>
              <w:t>J2 tail length</w:t>
            </w:r>
          </w:p>
        </w:tc>
        <w:tc xmlns:tara="kcentrix:tara" tara:rowspan="1" tara:colspan="1">
          <w:tcPr>
            <w:tcW w:w="1158" w:type="dxa"/>
            <w:vAlign w:val="center"/>
          </w:tcPr>
          <w:p w14:paraId="5FB4DAE7" w14:textId="753BB45E">
            <w:pPr>
              <w:pStyle w:val="IPPArialTable"/>
              <w:rPr>
                <w:color w:val="000000" w:themeColor="text1"/>
              </w:rPr>
            </w:pPr>
            <w:r>
              <w:rPr>
                <w:rStyle w:val="PleaseReviewParagraphId"/>
                <w:b w:val="off"/>
                <w:i w:val="off"/>
              </w:rPr>
              <w:t>[148]</w:t>
            </w:r>
            <w:r>
              <w:rPr>
                <w:rFonts w:cs="Arial"/>
                <w:color w:val="000000" w:themeColor="text1"/>
                <w:szCs w:val="18"/>
              </w:rPr>
              <w:t>23–39 (31)</w:t>
            </w:r>
          </w:p>
        </w:tc>
        <w:tc xmlns:tara="kcentrix:tara" tara:rowspan="1" tara:colspan="1">
          <w:tcPr>
            <w:tcW w:w="1446" w:type="dxa"/>
            <w:vAlign w:val="center"/>
          </w:tcPr>
          <w:p w14:paraId="383EBEBD" w14:textId="0E8369CC">
            <w:pPr>
              <w:pStyle w:val="IPPArialTable"/>
              <w:rPr>
                <w:color w:val="000000" w:themeColor="text1"/>
              </w:rPr>
            </w:pPr>
            <w:r>
              <w:rPr>
                <w:rStyle w:val="PleaseReviewParagraphId"/>
                <w:b w:val="off"/>
                <w:i w:val="off"/>
              </w:rPr>
              <w:t>[149]</w:t>
            </w:r>
            <w:r>
              <w:rPr>
                <w:rFonts w:cs="Arial"/>
                <w:color w:val="000000" w:themeColor="text1"/>
                <w:szCs w:val="18"/>
              </w:rPr>
              <w:t>32–45 (39)</w:t>
            </w:r>
          </w:p>
        </w:tc>
        <w:tc xmlns:tara="kcentrix:tara" tara:rowspan="1" tara:colspan="1">
          <w:tcPr>
            <w:tcW w:w="1559" w:type="dxa"/>
            <w:vAlign w:val="center"/>
          </w:tcPr>
          <w:p w14:paraId="5A2824F0" w14:textId="627E5D19">
            <w:pPr>
              <w:pStyle w:val="IPPArialTable"/>
              <w:rPr>
                <w:color w:val="000000" w:themeColor="text1"/>
              </w:rPr>
            </w:pPr>
            <w:r>
              <w:rPr>
                <w:rStyle w:val="PleaseReviewParagraphId"/>
                <w:b w:val="off"/>
                <w:i w:val="off"/>
              </w:rPr>
              <w:t>[150]</w:t>
            </w:r>
            <w:r>
              <w:rPr>
                <w:rFonts w:cs="Arial"/>
                <w:color w:val="000000" w:themeColor="text1"/>
                <w:szCs w:val="18"/>
              </w:rPr>
              <w:t>40–56 (47)</w:t>
            </w:r>
          </w:p>
        </w:tc>
        <w:tc xmlns:tara="kcentrix:tara" tara:rowspan="1" tara:colspan="1">
          <w:tcPr>
            <w:tcW w:w="1559" w:type="dxa"/>
            <w:vAlign w:val="center"/>
          </w:tcPr>
          <w:p w14:paraId="31D445FD" w14:textId="73413FAE">
            <w:pPr>
              <w:pStyle w:val="IPPArialTable"/>
              <w:keepNext/>
              <w:tabs>
                <w:tab w:val="left" w:pos="851"/>
              </w:tabs>
              <w:ind w:left="851" w:hanging="851"/>
              <w:outlineLvl w:val="0"/>
              <w:rPr>
                <w:rFonts w:cs="Arial"/>
                <w:color w:val="000000" w:themeColor="text1"/>
                <w:szCs w:val="18"/>
              </w:rPr>
            </w:pPr>
            <w:r>
              <w:rPr>
                <w:rStyle w:val="PleaseReviewParagraphId"/>
                <w:b w:val="off"/>
                <w:i w:val="off"/>
              </w:rPr>
              <w:t>[151]</w:t>
            </w:r>
            <w:r>
              <w:rPr>
                <w:rFonts w:cs="Arial"/>
                <w:color w:val="000000" w:themeColor="text1"/>
              </w:rPr>
              <w:t>24.0–36.8 (32.2)</w:t>
            </w:r>
          </w:p>
        </w:tc>
        <w:tc xmlns:tara="kcentrix:tara" tara:rowspan="1" tara:colspan="1">
          <w:tcPr>
            <w:tcW w:w="1843" w:type="dxa"/>
            <w:vAlign w:val="center"/>
          </w:tcPr>
          <w:p w14:paraId="511DE194" w14:textId="532BA77D">
            <w:pPr>
              <w:pStyle w:val="IPPArialTable"/>
              <w:rPr>
                <w:color w:val="000000" w:themeColor="text1"/>
              </w:rPr>
            </w:pPr>
            <w:r>
              <w:rPr>
                <w:rStyle w:val="PleaseReviewParagraphId"/>
                <w:b w:val="off"/>
                <w:i w:val="off"/>
              </w:rPr>
              <w:t>[152]</w:t>
            </w:r>
            <w:r>
              <w:rPr>
                <w:rFonts w:cs="Arial"/>
                <w:color w:val="000000" w:themeColor="text1"/>
                <w:szCs w:val="18"/>
              </w:rPr>
              <w:t>24–33 (28)</w:t>
            </w:r>
          </w:p>
        </w:tc>
        <w:tc xmlns:tara="kcentrix:tara" tara:rowspan="1" tara:colspan="1">
          <w:tcPr>
            <w:tcW w:w="1105" w:type="dxa"/>
          </w:tcPr>
          <w:p w14:paraId="0263D52B" w14:textId="6A2E8653">
            <w:pPr>
              <w:pStyle w:val="IPPArialTable"/>
              <w:rPr>
                <w:color w:val="000000" w:themeColor="text1"/>
              </w:rPr>
            </w:pPr>
            <w:r>
              <w:rPr>
                <w:rStyle w:val="PleaseReviewParagraphId"/>
                <w:b w:val="off"/>
                <w:i w:val="off"/>
              </w:rPr>
              <w:t>[153]</w:t>
            </w:r>
            <w:r>
              <w:rPr>
                <w:rFonts w:cs="Arial"/>
                <w:color w:val="000000" w:themeColor="text1"/>
                <w:szCs w:val="18"/>
              </w:rPr>
              <w:t>47.0–63.8 (57.4)</w:t>
            </w:r>
          </w:p>
        </w:tc>
      </w:tr>
      <w:tr w14:paraId="19B01FB5" w14:textId="77777777">
        <w:tc xmlns:tara="kcentrix:tara" tara:rowspan="1" tara:colspan="1">
          <w:tcPr>
            <w:tcW w:w="1077" w:type="dxa"/>
            <w:vAlign w:val="center"/>
          </w:tcPr>
          <w:p w14:paraId="47BEC369" w14:textId="15E41C09">
            <w:pPr>
              <w:pStyle w:val="IPPArialTable"/>
              <w:rPr>
                <w:color w:val="000000" w:themeColor="text1"/>
              </w:rPr>
            </w:pPr>
            <w:r>
              <w:rPr>
                <w:rStyle w:val="PleaseReviewParagraphId"/>
                <w:b w:val="off"/>
                <w:i w:val="off"/>
              </w:rPr>
              <w:t>[154]</w:t>
            </w:r>
            <w:r>
              <w:rPr>
                <w:rFonts w:cs="Arial"/>
                <w:color w:val="000000" w:themeColor="text1"/>
                <w:szCs w:val="18"/>
              </w:rPr>
              <w:t>J2 hyaline tail part</w:t>
            </w:r>
          </w:p>
        </w:tc>
        <w:tc xmlns:tara="kcentrix:tara" tara:rowspan="1" tara:colspan="1">
          <w:tcPr>
            <w:tcW w:w="1158" w:type="dxa"/>
            <w:vAlign w:val="center"/>
          </w:tcPr>
          <w:p w14:paraId="7C5B7E70" w14:textId="6B143EBD">
            <w:pPr>
              <w:pStyle w:val="IPPArialTable"/>
              <w:rPr>
                <w:color w:val="000000" w:themeColor="text1"/>
              </w:rPr>
            </w:pPr>
            <w:r>
              <w:rPr>
                <w:rStyle w:val="PleaseReviewParagraphId"/>
                <w:b w:val="off"/>
                <w:i w:val="off"/>
              </w:rPr>
              <w:t>[155]</w:t>
            </w:r>
            <w:r>
              <w:rPr>
                <w:rFonts w:cs="Arial"/>
                <w:color w:val="000000" w:themeColor="text1"/>
                <w:szCs w:val="18"/>
              </w:rPr>
              <w:t>4–12 (8)</w:t>
            </w:r>
          </w:p>
        </w:tc>
        <w:tc xmlns:tara="kcentrix:tara" tara:rowspan="1" tara:colspan="1">
          <w:tcPr>
            <w:tcW w:w="1446" w:type="dxa"/>
            <w:vAlign w:val="center"/>
          </w:tcPr>
          <w:p w14:paraId="5D0E9316" w14:textId="02B7BEB7">
            <w:pPr>
              <w:pStyle w:val="IPPArialTable"/>
              <w:rPr>
                <w:color w:val="000000" w:themeColor="text1"/>
              </w:rPr>
            </w:pPr>
            <w:r>
              <w:rPr>
                <w:rStyle w:val="PleaseReviewParagraphId"/>
                <w:b w:val="off"/>
                <w:i w:val="off"/>
              </w:rPr>
              <w:t>[156]</w:t>
            </w:r>
            <w:r>
              <w:rPr>
                <w:rFonts w:cs="Arial"/>
                <w:color w:val="000000" w:themeColor="text1"/>
                <w:szCs w:val="18"/>
              </w:rPr>
              <w:t>10–13 (12)</w:t>
            </w:r>
          </w:p>
        </w:tc>
        <w:tc xmlns:tara="kcentrix:tara" tara:rowspan="1" tara:colspan="1">
          <w:tcPr>
            <w:tcW w:w="1559" w:type="dxa"/>
            <w:vAlign w:val="center"/>
          </w:tcPr>
          <w:p w14:paraId="132D8B56" w14:textId="5E1C353D">
            <w:pPr>
              <w:pStyle w:val="IPPArialTable"/>
              <w:rPr>
                <w:color w:val="000000" w:themeColor="text1"/>
              </w:rPr>
            </w:pPr>
            <w:r>
              <w:rPr>
                <w:rStyle w:val="PleaseReviewParagraphId"/>
                <w:b w:val="off"/>
                <w:i w:val="off"/>
              </w:rPr>
              <w:t>[157]</w:t>
            </w:r>
            <w:r>
              <w:rPr>
                <w:rFonts w:cs="Arial"/>
                <w:color w:val="000000" w:themeColor="text1"/>
                <w:szCs w:val="18"/>
              </w:rPr>
              <w:t>4–9 (6)</w:t>
            </w:r>
          </w:p>
        </w:tc>
        <w:tc xmlns:tara="kcentrix:tara" tara:rowspan="1" tara:colspan="1">
          <w:tcPr>
            <w:tcW w:w="1559" w:type="dxa"/>
            <w:vAlign w:val="center"/>
          </w:tcPr>
          <w:p w14:paraId="581630B0" w14:textId="2934E22F">
            <w:pPr>
              <w:pStyle w:val="IPPArialTable"/>
              <w:keepNext/>
              <w:tabs>
                <w:tab w:val="left" w:pos="851"/>
              </w:tabs>
              <w:ind w:left="851" w:hanging="851"/>
              <w:outlineLvl w:val="0"/>
              <w:rPr>
                <w:rFonts w:cs="Arial"/>
                <w:color w:val="000000" w:themeColor="text1"/>
                <w:szCs w:val="18"/>
              </w:rPr>
            </w:pPr>
            <w:r>
              <w:rPr>
                <w:rStyle w:val="PleaseReviewParagraphId"/>
                <w:b w:val="off"/>
                <w:i w:val="off"/>
              </w:rPr>
              <w:t>[158]</w:t>
            </w:r>
            <w:r>
              <w:rPr>
                <w:rFonts w:cs="Arial"/>
                <w:color w:val="000000" w:themeColor="text1"/>
              </w:rPr>
              <w:t>3.0–4.9 (4.3)</w:t>
            </w:r>
          </w:p>
        </w:tc>
        <w:tc xmlns:tara="kcentrix:tara" tara:rowspan="1" tara:colspan="1">
          <w:tcPr>
            <w:tcW w:w="1843" w:type="dxa"/>
            <w:vAlign w:val="center"/>
          </w:tcPr>
          <w:p w14:paraId="55471BA3" w14:textId="4980436B">
            <w:pPr>
              <w:pStyle w:val="IPPArialTable"/>
              <w:rPr>
                <w:color w:val="000000" w:themeColor="text1"/>
              </w:rPr>
            </w:pPr>
            <w:r>
              <w:rPr>
                <w:rStyle w:val="PleaseReviewParagraphId"/>
                <w:b w:val="off"/>
                <w:i w:val="off"/>
              </w:rPr>
              <w:t>[159]</w:t>
            </w:r>
            <w:r>
              <w:rPr>
                <w:rFonts w:cs="Arial"/>
                <w:color w:val="000000" w:themeColor="text1"/>
                <w:szCs w:val="18"/>
              </w:rPr>
              <w:t>3–5 (4)</w:t>
            </w:r>
          </w:p>
        </w:tc>
        <w:tc xmlns:tara="kcentrix:tara" tara:rowspan="1" tara:colspan="1">
          <w:tcPr>
            <w:tcW w:w="1105" w:type="dxa"/>
          </w:tcPr>
          <w:p w14:paraId="23FC1B4D" w14:textId="7CDBB3EF">
            <w:pPr>
              <w:pStyle w:val="IPPArialTable"/>
              <w:rPr>
                <w:color w:val="000000" w:themeColor="text1"/>
              </w:rPr>
            </w:pPr>
            <w:r>
              <w:rPr>
                <w:rStyle w:val="PleaseReviewParagraphId"/>
                <w:b w:val="off"/>
                <w:i w:val="off"/>
              </w:rPr>
              <w:t>[160]</w:t>
            </w:r>
            <w:r>
              <w:rPr>
                <w:rFonts w:cs="Arial"/>
                <w:color w:val="000000" w:themeColor="text1"/>
                <w:szCs w:val="18"/>
              </w:rPr>
              <w:t>9.7–15.7 (12.2)</w:t>
            </w:r>
          </w:p>
        </w:tc>
      </w:tr>
      <w:tr w14:paraId="48754914" w14:textId="77777777">
        <w:tc xmlns:tara="kcentrix:tara" tara:rowspan="1" tara:colspan="1">
          <w:tcPr>
            <w:tcW w:w="1077" w:type="dxa"/>
            <w:vAlign w:val="center"/>
          </w:tcPr>
          <w:p w14:paraId="14BD2837" w14:textId="1B648E24">
            <w:pPr>
              <w:pStyle w:val="IPPArialTable"/>
              <w:rPr>
                <w:color w:val="000000" w:themeColor="text1"/>
              </w:rPr>
            </w:pPr>
            <w:r>
              <w:rPr>
                <w:rStyle w:val="PleaseReviewParagraphId"/>
                <w:b w:val="off"/>
                <w:i w:val="off"/>
              </w:rPr>
              <w:t>[161]</w:t>
            </w:r>
            <w:r>
              <w:rPr>
                <w:rFonts w:cs="Arial"/>
                <w:color w:val="000000" w:themeColor="text1"/>
                <w:szCs w:val="18"/>
              </w:rPr>
              <w:t>J2 hemizonid position</w:t>
            </w:r>
            <w:r>
              <w:rPr>
                <w:rFonts w:cs="Arial"/>
                <w:color w:val="000000" w:themeColor="text1"/>
                <w:szCs w:val="18"/>
                <w:vertAlign w:val="superscript"/>
              </w:rPr>
              <w:t>‡</w:t>
            </w:r>
          </w:p>
        </w:tc>
        <w:tc xmlns:tara="kcentrix:tara" tara:rowspan="1" tara:colspan="1">
          <w:tcPr>
            <w:tcW w:w="1158" w:type="dxa"/>
            <w:vAlign w:val="center"/>
          </w:tcPr>
          <w:p w14:paraId="37BC8811" w14:textId="2B9D4CD7">
            <w:pPr>
              <w:pStyle w:val="IPPArialTable"/>
              <w:rPr>
                <w:color w:val="000000" w:themeColor="text1"/>
              </w:rPr>
            </w:pPr>
            <w:r>
              <w:rPr>
                <w:rStyle w:val="PleaseReviewParagraphId"/>
                <w:b w:val="off"/>
                <w:i w:val="off"/>
              </w:rPr>
              <w:t>[162]</w:t>
            </w:r>
            <w:r>
              <w:rPr>
                <w:rFonts w:cs="Arial"/>
                <w:color w:val="000000" w:themeColor="text1"/>
                <w:szCs w:val="18"/>
              </w:rPr>
              <w:t>Posterior (Figure 3 &amp; Figure 7)</w:t>
            </w:r>
          </w:p>
        </w:tc>
        <w:tc xmlns:tara="kcentrix:tara" tara:rowspan="1" tara:colspan="1">
          <w:tcPr>
            <w:tcW w:w="1446" w:type="dxa"/>
            <w:vAlign w:val="center"/>
          </w:tcPr>
          <w:p w14:paraId="56BCD5F5" w14:textId="185FDE27">
            <w:pPr>
              <w:pStyle w:val="IPPArialTable"/>
              <w:rPr>
                <w:color w:val="000000" w:themeColor="text1"/>
              </w:rPr>
            </w:pPr>
            <w:r>
              <w:rPr>
                <w:rStyle w:val="PleaseReviewParagraphId"/>
                <w:b w:val="off"/>
                <w:i w:val="off"/>
              </w:rPr>
              <w:t>[163]</w:t>
            </w:r>
            <w:r>
              <w:rPr>
                <w:rFonts w:cs="Arial"/>
                <w:color w:val="000000" w:themeColor="text1"/>
                <w:szCs w:val="18"/>
              </w:rPr>
              <w:t>Posterior</w:t>
            </w:r>
          </w:p>
        </w:tc>
        <w:tc xmlns:tara="kcentrix:tara" tara:rowspan="1" tara:colspan="1">
          <w:tcPr>
            <w:tcW w:w="1559" w:type="dxa"/>
            <w:vAlign w:val="center"/>
          </w:tcPr>
          <w:p w14:paraId="2568F36B" w14:textId="74D2D7F7">
            <w:pPr>
              <w:pStyle w:val="IPPArialTable"/>
              <w:rPr>
                <w:color w:val="000000" w:themeColor="text1"/>
              </w:rPr>
            </w:pPr>
            <w:r>
              <w:rPr>
                <w:rStyle w:val="PleaseReviewParagraphId"/>
                <w:b w:val="off"/>
                <w:i w:val="off"/>
              </w:rPr>
              <w:t>[164]</w:t>
            </w:r>
            <w:r>
              <w:rPr>
                <w:rFonts w:cs="Arial"/>
                <w:color w:val="000000" w:themeColor="text1"/>
                <w:szCs w:val="18"/>
              </w:rPr>
              <w:t>Anterior</w:t>
            </w:r>
          </w:p>
        </w:tc>
        <w:tc xmlns:tara="kcentrix:tara" tara:rowspan="1" tara:colspan="1">
          <w:tcPr>
            <w:tcW w:w="1559" w:type="dxa"/>
            <w:vAlign w:val="center"/>
          </w:tcPr>
          <w:p w14:paraId="2626642F" w14:textId="785F1E69">
            <w:pPr>
              <w:pStyle w:val="IPPArialTable"/>
              <w:keepNext/>
              <w:tabs>
                <w:tab w:val="left" w:pos="851"/>
              </w:tabs>
              <w:ind w:left="851" w:hanging="851"/>
              <w:outlineLvl w:val="0"/>
              <w:rPr>
                <w:rFonts w:cs="Arial"/>
                <w:color w:val="000000" w:themeColor="text1"/>
                <w:szCs w:val="18"/>
              </w:rPr>
            </w:pPr>
            <w:r>
              <w:rPr>
                <w:rStyle w:val="PleaseReviewParagraphId"/>
                <w:b w:val="off"/>
                <w:i w:val="off"/>
              </w:rPr>
              <w:t>[165]</w:t>
            </w:r>
            <w:r>
              <w:rPr>
                <w:rFonts w:cs="Arial"/>
                <w:color w:val="000000" w:themeColor="text1"/>
              </w:rPr>
              <w:t>Posterior</w:t>
            </w:r>
          </w:p>
        </w:tc>
        <w:tc xmlns:tara="kcentrix:tara" tara:rowspan="1" tara:colspan="1">
          <w:tcPr>
            <w:tcW w:w="1843" w:type="dxa"/>
            <w:vAlign w:val="center"/>
          </w:tcPr>
          <w:p w14:paraId="464F1A6D" w14:textId="5E1AF53F">
            <w:pPr>
              <w:pStyle w:val="IPPArialTable"/>
              <w:rPr>
                <w:color w:val="000000" w:themeColor="text1"/>
              </w:rPr>
            </w:pPr>
            <w:r>
              <w:rPr>
                <w:rStyle w:val="PleaseReviewParagraphId"/>
                <w:b w:val="off"/>
                <w:i w:val="off"/>
              </w:rPr>
              <w:t>[166]</w:t>
            </w:r>
            <w:r>
              <w:rPr>
                <w:rFonts w:cs="Arial"/>
                <w:color w:val="000000" w:themeColor="text1"/>
                <w:szCs w:val="18"/>
              </w:rPr>
              <w:t>Posterior</w:t>
            </w:r>
          </w:p>
        </w:tc>
        <w:tc xmlns:tara="kcentrix:tara" tara:rowspan="1" tara:colspan="1">
          <w:tcPr>
            <w:tcW w:w="1105" w:type="dxa"/>
            <w:vAlign w:val="center"/>
          </w:tcPr>
          <w:p w14:paraId="63B5972B" w14:textId="47A4A838">
            <w:pPr>
              <w:pStyle w:val="IPPArialTable"/>
              <w:rPr>
                <w:color w:val="000000" w:themeColor="text1"/>
              </w:rPr>
            </w:pPr>
            <w:r>
              <w:rPr>
                <w:rStyle w:val="PleaseReviewParagraphId"/>
                <w:b w:val="off"/>
                <w:i w:val="off"/>
              </w:rPr>
              <w:t>[167]</w:t>
            </w:r>
            <w:r>
              <w:rPr>
                <w:rFonts w:cs="Arial"/>
                <w:color w:val="000000" w:themeColor="text1"/>
                <w:szCs w:val="18"/>
              </w:rPr>
              <w:t>Not recorded</w:t>
            </w:r>
          </w:p>
        </w:tc>
      </w:tr>
      <w:tr w14:paraId="77FE1B51" w14:textId="77777777">
        <w:tc xmlns:tara="kcentrix:tara" tara:rowspan="1" tara:colspan="1">
          <w:tcPr>
            <w:tcW w:w="1077" w:type="dxa"/>
            <w:vAlign w:val="center"/>
          </w:tcPr>
          <w:p w14:paraId="568152CA" w14:textId="780AB62C">
            <w:pPr>
              <w:pStyle w:val="IPPArialTable"/>
              <w:rPr>
                <w:color w:val="000000" w:themeColor="text1"/>
              </w:rPr>
            </w:pPr>
            <w:r>
              <w:rPr>
                <w:rStyle w:val="PleaseReviewParagraphId"/>
                <w:b w:val="off"/>
                <w:i w:val="off"/>
              </w:rPr>
              <w:t>[168]</w:t>
            </w:r>
            <w:r>
              <w:rPr>
                <w:rFonts w:cs="Arial"/>
                <w:color w:val="000000" w:themeColor="text1"/>
                <w:szCs w:val="18"/>
              </w:rPr>
              <w:t>J2 tail tip</w:t>
            </w:r>
          </w:p>
        </w:tc>
        <w:tc xmlns:tara="kcentrix:tara" tara:rowspan="1" tara:colspan="1">
          <w:tcPr>
            <w:tcW w:w="1158" w:type="dxa"/>
            <w:vAlign w:val="center"/>
          </w:tcPr>
          <w:p w14:paraId="3A51F702" w14:textId="4C999DFC">
            <w:pPr>
              <w:pStyle w:val="IPPArialTable"/>
              <w:rPr>
                <w:color w:val="000000" w:themeColor="text1"/>
              </w:rPr>
            </w:pPr>
            <w:r>
              <w:rPr>
                <w:rStyle w:val="PleaseReviewParagraphId"/>
                <w:b w:val="off"/>
                <w:i w:val="off"/>
              </w:rPr>
              <w:t>[169]</w:t>
            </w:r>
            <w:r>
              <w:rPr>
                <w:rFonts w:cs="Arial"/>
                <w:color w:val="000000" w:themeColor="text1"/>
                <w:szCs w:val="18"/>
              </w:rPr>
              <w:t xml:space="preserve">Pointed (Figure 3, </w:t>
              <w:lastRenderedPageBreak/>
              <w:t>Figure 7 &amp; Figure 8)</w:t>
            </w:r>
          </w:p>
        </w:tc>
        <w:tc xmlns:tara="kcentrix:tara" tara:rowspan="1" tara:colspan="1">
          <w:tcPr>
            <w:tcW w:w="1446" w:type="dxa"/>
            <w:vAlign w:val="center"/>
          </w:tcPr>
          <w:p w14:paraId="757DE994" w14:textId="3C4EAA22">
            <w:pPr>
              <w:pStyle w:val="IPPArialTable"/>
              <w:rPr>
                <w:color w:val="000000" w:themeColor="text1"/>
              </w:rPr>
            </w:pPr>
            <w:r>
              <w:rPr>
                <w:rStyle w:val="PleaseReviewParagraphId"/>
                <w:b w:val="off"/>
                <w:i w:val="off"/>
              </w:rPr>
              <w:t>[170]</w:t>
            </w:r>
            <w:r>
              <w:rPr>
                <w:rFonts w:cs="Arial"/>
                <w:color w:val="000000" w:themeColor="text1"/>
                <w:szCs w:val="18"/>
              </w:rPr>
              <w:lastRenderedPageBreak/>
              <w:t>Broadly rounded (Figure 8)</w:t>
            </w:r>
          </w:p>
        </w:tc>
        <w:tc xmlns:tara="kcentrix:tara" tara:rowspan="1" tara:colspan="1">
          <w:tcPr>
            <w:tcW w:w="1559" w:type="dxa"/>
            <w:vAlign w:val="center"/>
          </w:tcPr>
          <w:p w14:paraId="7A76DB82" w14:textId="30E1AF2C">
            <w:pPr>
              <w:pStyle w:val="IPPArialTable"/>
              <w:rPr>
                <w:color w:val="000000" w:themeColor="text1"/>
              </w:rPr>
            </w:pPr>
            <w:r>
              <w:rPr>
                <w:rStyle w:val="PleaseReviewParagraphId"/>
                <w:b w:val="off"/>
                <w:i w:val="off"/>
              </w:rPr>
              <w:t>[171]</w:t>
            </w:r>
            <w:r>
              <w:rPr>
                <w:rFonts w:cs="Arial"/>
                <w:color w:val="000000" w:themeColor="text1"/>
                <w:szCs w:val="18"/>
              </w:rPr>
              <w:t>Broadly rounded (Figure 8)</w:t>
            </w:r>
          </w:p>
        </w:tc>
        <w:tc xmlns:tara="kcentrix:tara" tara:rowspan="1" tara:colspan="1">
          <w:tcPr>
            <w:tcW w:w="1559" w:type="dxa"/>
            <w:vAlign w:val="center"/>
          </w:tcPr>
          <w:p w14:paraId="478E9BFD" w14:textId="5D09F623">
            <w:pPr>
              <w:pStyle w:val="IPPArialTable"/>
              <w:keepNext/>
              <w:ind w:left="30"/>
              <w:outlineLvl w:val="0"/>
              <w:rPr>
                <w:rFonts w:cs="Arial"/>
                <w:color w:val="000000" w:themeColor="text1"/>
              </w:rPr>
            </w:pPr>
            <w:r>
              <w:rPr>
                <w:rStyle w:val="PleaseReviewParagraphId"/>
                <w:b w:val="off"/>
                <w:i w:val="off"/>
              </w:rPr>
              <w:t>[172]</w:t>
            </w:r>
            <w:r>
              <w:rPr>
                <w:rFonts w:cs="Arial"/>
                <w:color w:val="000000" w:themeColor="text1"/>
              </w:rPr>
              <w:t xml:space="preserve">Finely rounded to broadly </w:t>
              <w:lastRenderedPageBreak/>
              <w:t xml:space="preserve">pointed </w:t>
            </w:r>
            <w:r>
              <w:rPr>
                <w:rFonts w:cs="Arial"/>
                <w:color w:val="000000" w:themeColor="text1"/>
                <w:szCs w:val="18"/>
              </w:rPr>
              <w:t>(Figure 8)</w:t>
            </w:r>
          </w:p>
        </w:tc>
        <w:tc xmlns:tara="kcentrix:tara" tara:rowspan="1" tara:colspan="1">
          <w:tcPr>
            <w:tcW w:w="1843" w:type="dxa"/>
            <w:vAlign w:val="center"/>
          </w:tcPr>
          <w:p w14:paraId="3CCFF719" w14:textId="62347DAC">
            <w:pPr>
              <w:pStyle w:val="IPPArialTable"/>
              <w:rPr>
                <w:color w:val="000000" w:themeColor="text1"/>
              </w:rPr>
            </w:pPr>
            <w:r>
              <w:rPr>
                <w:rStyle w:val="PleaseReviewParagraphId"/>
                <w:b w:val="off"/>
                <w:i w:val="off"/>
              </w:rPr>
              <w:t>[173]</w:t>
            </w:r>
            <w:r>
              <w:rPr>
                <w:rFonts w:cs="Arial"/>
                <w:color w:val="000000" w:themeColor="text1"/>
                <w:szCs w:val="18"/>
              </w:rPr>
              <w:lastRenderedPageBreak/>
              <w:t>Broadly rounded (Figure 8)</w:t>
            </w:r>
          </w:p>
        </w:tc>
        <w:tc xmlns:tara="kcentrix:tara" tara:rowspan="1" tara:colspan="1">
          <w:tcPr>
            <w:tcW w:w="1105" w:type="dxa"/>
            <w:vAlign w:val="center"/>
          </w:tcPr>
          <w:p w14:paraId="11475114" w14:textId="12C60AFA">
            <w:pPr>
              <w:pStyle w:val="IPPArialTable"/>
              <w:rPr>
                <w:color w:val="000000" w:themeColor="text1"/>
              </w:rPr>
            </w:pPr>
            <w:r>
              <w:rPr>
                <w:rStyle w:val="PleaseReviewParagraphId"/>
                <w:b w:val="off"/>
                <w:i w:val="off"/>
              </w:rPr>
              <w:t>[174]</w:t>
            </w:r>
            <w:r>
              <w:rPr>
                <w:rFonts w:cs="Arial"/>
                <w:color w:val="000000" w:themeColor="text1"/>
                <w:szCs w:val="18"/>
              </w:rPr>
              <w:t>Variable (Figure 8)</w:t>
            </w:r>
          </w:p>
        </w:tc>
      </w:tr>
    </w:tbl>
    <w:p w14:paraId="50564DBF" w14:textId="58D9FAC8">
      <w:pPr>
        <w:pStyle w:val="IPPArialFootnote"/>
        <w:rPr>
          <w:color w:val="000000" w:themeColor="text1"/>
        </w:rPr>
      </w:pPr>
      <w:r>
        <w:rPr>
          <w:rStyle w:val="PleaseReviewParagraphId"/>
          <w:b w:val="off"/>
          <w:i w:val="off"/>
        </w:rPr>
        <w:t>[175]</w:t>
      </w:r>
      <w:r>
        <w:rPr>
          <w:i/>
          <w:iCs/>
          <w:color w:val="000000" w:themeColor="text1"/>
        </w:rPr>
        <w:t xml:space="preserve">Notes: </w:t>
      </w:r>
      <w:r>
        <w:rPr>
          <w:color w:val="000000" w:themeColor="text1"/>
        </w:rPr>
        <w:t>Length in µm; mean length in parentheses.</w:t>
      </w:r>
    </w:p>
    <w:p w14:paraId="63AFBE5A" w14:textId="10A60F9D">
      <w:pPr>
        <w:pStyle w:val="IPPArialFootnote"/>
        <w:rPr>
          <w:color w:val="000000" w:themeColor="text1"/>
        </w:rPr>
      </w:pPr>
      <w:r>
        <w:rPr>
          <w:rStyle w:val="PleaseReviewParagraphId"/>
          <w:b w:val="off"/>
          <w:i w:val="off"/>
        </w:rPr>
        <w:t>[176]</w:t>
      </w:r>
      <w:r>
        <w:rPr>
          <w:color w:val="000000" w:themeColor="text1"/>
        </w:rPr>
        <w:t xml:space="preserve">* Length of dorsal gland orifice to base of stylet. </w:t>
      </w:r>
      <w:r>
        <w:rPr>
          <w:rFonts w:cs="Arial"/>
          <w:color w:val="000000" w:themeColor="text1"/>
          <w:vertAlign w:val="superscript"/>
        </w:rPr>
        <w:t xml:space="preserve">† </w:t>
      </w:r>
      <w:r>
        <w:rPr>
          <w:color w:val="000000" w:themeColor="text1"/>
        </w:rPr>
        <w:t xml:space="preserve">Partly after Jepson (1987). </w:t>
      </w:r>
      <w:r>
        <w:rPr>
          <w:rFonts w:cs="Arial"/>
          <w:color w:val="000000" w:themeColor="text1"/>
          <w:vertAlign w:val="superscript"/>
        </w:rPr>
        <w:t xml:space="preserve">‡ </w:t>
      </w:r>
      <w:r>
        <w:rPr>
          <w:color w:val="000000" w:themeColor="text1"/>
        </w:rPr>
        <w:t>Hemizonid position in relation to the excretory pore.</w:t>
      </w:r>
    </w:p>
    <w:p w14:paraId="79E83E0A" w14:textId="6BFDDA7A">
      <w:pPr>
        <w:pStyle w:val="IPPArialFootnote"/>
        <w:rPr>
          <w:color w:val="000000" w:themeColor="text1"/>
        </w:rPr>
      </w:pPr>
      <w:r>
        <w:rPr>
          <w:rStyle w:val="PleaseReviewParagraphId"/>
          <w:b w:val="off"/>
          <w:i w:val="off"/>
        </w:rPr>
        <w:t>[177]</w:t>
      </w:r>
      <w:r>
        <w:rPr>
          <w:color w:val="000000" w:themeColor="text1"/>
        </w:rPr>
        <w:t>J2, second-stage juvenile.</w:t>
      </w:r>
    </w:p>
    <w:p w14:paraId="36383B20" w14:textId="545C62BD">
      <w:pPr>
        <w:pStyle w:val="IPPArialFootnote"/>
        <w:rPr>
          <w:color w:val="000000" w:themeColor="text1"/>
        </w:rPr>
      </w:pPr>
      <w:r>
        <w:rPr>
          <w:rStyle w:val="PleaseReviewParagraphId"/>
          <w:b w:val="off"/>
          <w:i w:val="off"/>
        </w:rPr>
        <w:t>[178]</w:t>
      </w:r>
      <w:r>
        <w:rPr>
          <w:bCs/>
          <w:color w:val="000000" w:themeColor="text1"/>
          <w:lang w:eastAsia="en-GB"/>
        </w:rPr>
        <w:t>Jepson, S.B. 1987.</w:t>
      </w:r>
      <w:r>
        <w:rPr>
          <w:color w:val="000000" w:themeColor="text1"/>
          <w:lang w:eastAsia="en-GB"/>
        </w:rPr>
        <w:t xml:space="preserve"> </w:t>
      </w:r>
      <w:r>
        <w:rPr>
          <w:i/>
          <w:iCs/>
          <w:color w:val="000000" w:themeColor="text1"/>
          <w:lang w:eastAsia="en-GB"/>
        </w:rPr>
        <w:t>Identification of root-knot nematodes (</w:t>
      </w:r>
      <w:r>
        <w:rPr>
          <w:color w:val="000000" w:themeColor="text1"/>
          <w:lang w:eastAsia="en-GB"/>
        </w:rPr>
        <w:t>Meloidogyne</w:t>
      </w:r>
      <w:r>
        <w:rPr>
          <w:i/>
          <w:iCs/>
          <w:color w:val="000000" w:themeColor="text1"/>
          <w:lang w:eastAsia="en-GB"/>
        </w:rPr>
        <w:t xml:space="preserve"> species)</w:t>
      </w:r>
      <w:r>
        <w:rPr>
          <w:color w:val="000000" w:themeColor="text1"/>
          <w:lang w:eastAsia="en-GB"/>
        </w:rPr>
        <w:t>. Farnham Royal, UK, Commonwealth Agricultural Bureaux. 265 pp.</w:t>
      </w:r>
    </w:p>
    <w:p w14:paraId="0A90F395" w14:textId="77777777">
      <w:pPr>
        <w:pStyle w:val="IPPArialFootnote"/>
        <w:rPr>
          <w:i/>
          <w:iCs/>
          <w:color w:val="000000" w:themeColor="text1"/>
        </w:rPr>
      </w:pPr>
      <w:r>
        <w:rPr>
          <w:rStyle w:val="PleaseReviewParagraphId"/>
          <w:b w:val="off"/>
          <w:i w:val="off"/>
        </w:rPr>
        <w:t>[179]</w:t>
      </w:r>
      <w:r>
        <w:rPr>
          <w:i/>
          <w:iCs/>
          <w:color w:val="000000" w:themeColor="text1"/>
        </w:rPr>
        <w:t xml:space="preserve">Sources: </w:t>
      </w:r>
    </w:p>
    <w:p w14:paraId="1E1CEAFB" w14:textId="27B6054F">
      <w:pPr>
        <w:pStyle w:val="IPPArialFootnote"/>
        <w:rPr>
          <w:color w:val="000000" w:themeColor="text1"/>
          <w:lang w:eastAsia="en-GB"/>
        </w:rPr>
      </w:pPr>
      <w:r>
        <w:rPr>
          <w:rStyle w:val="PleaseReviewParagraphId"/>
          <w:b w:val="off"/>
          <w:i w:val="off"/>
        </w:rPr>
        <w:t>[180]</w:t>
      </w:r>
      <w:r>
        <w:rPr>
          <w:bCs/>
          <w:i/>
          <w:iCs/>
          <w:color w:val="000000" w:themeColor="text1"/>
          <w:lang w:eastAsia="en-GB"/>
        </w:rPr>
        <w:t>M. mali</w:t>
      </w:r>
      <w:r>
        <w:rPr>
          <w:bCs/>
          <w:color w:val="000000" w:themeColor="text1"/>
          <w:lang w:eastAsia="en-GB"/>
        </w:rPr>
        <w:t>: Itoh, Y., Ohshima, Y. &amp; Ichinohe, M. 1969</w:t>
      </w:r>
      <w:r>
        <w:rPr>
          <w:color w:val="000000" w:themeColor="text1"/>
          <w:lang w:eastAsia="en-GB"/>
        </w:rPr>
        <w:t xml:space="preserve">. A root-knot nematode, </w:t>
      </w:r>
      <w:r>
        <w:rPr>
          <w:i/>
          <w:iCs/>
          <w:color w:val="000000" w:themeColor="text1"/>
          <w:lang w:eastAsia="en-GB"/>
        </w:rPr>
        <w:t>Meloidogyne mali</w:t>
      </w:r>
      <w:r>
        <w:rPr>
          <w:color w:val="000000" w:themeColor="text1"/>
          <w:lang w:eastAsia="en-GB"/>
        </w:rPr>
        <w:t xml:space="preserve"> n. sp. on apple-tree from Japan (Tylenchida: Heteroderidae). </w:t>
      </w:r>
      <w:r>
        <w:rPr>
          <w:i/>
          <w:iCs/>
          <w:color w:val="000000" w:themeColor="text1"/>
          <w:lang w:eastAsia="en-GB"/>
        </w:rPr>
        <w:t>Applied Entomology and Zoology</w:t>
      </w:r>
      <w:r>
        <w:rPr>
          <w:color w:val="000000" w:themeColor="text1"/>
          <w:lang w:eastAsia="en-GB"/>
        </w:rPr>
        <w:t xml:space="preserve">, 4: 194–202. </w:t>
      </w:r>
      <w:hyperlink w:history="1" r:id="rId11">
        <w:r>
          <w:rPr>
            <w:rStyle w:val="Hyperlink"/>
            <w:color w:val="000000" w:themeColor="text1"/>
          </w:rPr>
          <w:t>https://doi.org/10.1303/aez.4.194</w:t>
        </w:r>
      </w:hyperlink>
    </w:p>
    <w:p w14:paraId="03F46398" w14:textId="459EC0B4">
      <w:pPr>
        <w:pStyle w:val="IPPArialFootnote"/>
        <w:rPr>
          <w:bCs/>
          <w:color w:val="000000" w:themeColor="text1"/>
          <w:lang w:eastAsia="en-GB"/>
        </w:rPr>
      </w:pPr>
      <w:r>
        <w:rPr>
          <w:rStyle w:val="PleaseReviewParagraphId"/>
          <w:b w:val="off"/>
          <w:i w:val="off"/>
        </w:rPr>
        <w:t>[181]</w:t>
      </w:r>
      <w:r>
        <w:rPr>
          <w:bCs/>
          <w:i/>
          <w:iCs/>
          <w:color w:val="000000" w:themeColor="text1"/>
        </w:rPr>
        <w:t xml:space="preserve">M. ardenensis: </w:t>
      </w:r>
      <w:r>
        <w:rPr>
          <w:bCs/>
          <w:color w:val="000000" w:themeColor="text1"/>
        </w:rPr>
        <w:t>de A. Santos, M.S.N. 1968.</w:t>
      </w:r>
      <w:r>
        <w:rPr>
          <w:color w:val="000000" w:themeColor="text1"/>
        </w:rPr>
        <w:t xml:space="preserve"> </w:t>
      </w:r>
      <w:r>
        <w:rPr>
          <w:i/>
          <w:color w:val="000000" w:themeColor="text1"/>
        </w:rPr>
        <w:t>Meloidogyne ardenensis</w:t>
      </w:r>
      <w:r>
        <w:rPr>
          <w:color w:val="000000" w:themeColor="text1"/>
        </w:rPr>
        <w:t xml:space="preserve"> n. sp. </w:t>
      </w:r>
      <w:r>
        <w:rPr>
          <w:color w:val="000000" w:themeColor="text1"/>
          <w:lang w:eastAsia="en-GB"/>
        </w:rPr>
        <w:t xml:space="preserve">(Nematoda: Heteroderidae), a new British species of root-knot nematode. </w:t>
      </w:r>
      <w:r>
        <w:rPr>
          <w:i/>
          <w:iCs/>
          <w:color w:val="000000" w:themeColor="text1"/>
          <w:lang w:eastAsia="en-GB"/>
        </w:rPr>
        <w:t>Nematologica (1967)</w:t>
      </w:r>
      <w:r>
        <w:rPr>
          <w:color w:val="000000" w:themeColor="text1"/>
          <w:lang w:eastAsia="en-GB"/>
        </w:rPr>
        <w:t xml:space="preserve">, 13: 593–598. </w:t>
      </w:r>
      <w:hyperlink w:tgtFrame="_blank" w:history="1" r:id="rId12">
        <w:r>
          <w:rPr>
            <w:rStyle w:val="Hyperlink"/>
            <w:color w:val="000000" w:themeColor="text1"/>
          </w:rPr>
          <w:t>https://doi.org/10.1163/187529267X00418</w:t>
        </w:r>
      </w:hyperlink>
    </w:p>
    <w:p w14:paraId="0D5C10F8" w14:textId="767CD902">
      <w:pPr>
        <w:pStyle w:val="IPPArialFootnote"/>
        <w:rPr>
          <w:color w:val="000000" w:themeColor="text1"/>
          <w:lang w:eastAsia="en-GB"/>
        </w:rPr>
      </w:pPr>
      <w:r>
        <w:rPr>
          <w:rStyle w:val="PleaseReviewParagraphId"/>
          <w:b w:val="off"/>
          <w:i w:val="off"/>
        </w:rPr>
        <w:t>[182]</w:t>
      </w:r>
      <w:r>
        <w:rPr>
          <w:bCs/>
          <w:i/>
          <w:iCs/>
          <w:color w:val="000000" w:themeColor="text1"/>
          <w:lang w:eastAsia="en-GB"/>
        </w:rPr>
        <w:t>M. camelliae</w:t>
      </w:r>
      <w:r>
        <w:rPr>
          <w:bCs/>
          <w:color w:val="000000" w:themeColor="text1"/>
          <w:lang w:eastAsia="en-GB"/>
        </w:rPr>
        <w:t>: Golden, A.M. 1979</w:t>
      </w:r>
      <w:r>
        <w:rPr>
          <w:color w:val="000000" w:themeColor="text1"/>
          <w:lang w:eastAsia="en-GB"/>
        </w:rPr>
        <w:t xml:space="preserve">. Description of </w:t>
      </w:r>
      <w:r>
        <w:rPr>
          <w:i/>
          <w:iCs/>
          <w:color w:val="000000" w:themeColor="text1"/>
          <w:lang w:eastAsia="en-GB"/>
        </w:rPr>
        <w:t>Meloidogyne camelliae</w:t>
      </w:r>
      <w:r>
        <w:rPr>
          <w:color w:val="000000" w:themeColor="text1"/>
          <w:lang w:eastAsia="en-GB"/>
        </w:rPr>
        <w:t xml:space="preserve"> n. sp. and </w:t>
      </w:r>
      <w:r>
        <w:rPr>
          <w:i/>
          <w:iCs/>
          <w:color w:val="000000" w:themeColor="text1"/>
          <w:lang w:eastAsia="en-GB"/>
        </w:rPr>
        <w:t>M. querciana</w:t>
      </w:r>
      <w:r>
        <w:rPr>
          <w:color w:val="000000" w:themeColor="text1"/>
          <w:lang w:eastAsia="en-GB"/>
        </w:rPr>
        <w:t xml:space="preserve"> n. sp. (Nematoda: Meloidogynidae) with SEM and host-range observations. </w:t>
      </w:r>
      <w:r>
        <w:rPr>
          <w:i/>
          <w:iCs/>
          <w:color w:val="000000" w:themeColor="text1"/>
          <w:lang w:eastAsia="en-GB"/>
        </w:rPr>
        <w:t>Journal of Nematology</w:t>
      </w:r>
      <w:r>
        <w:rPr>
          <w:color w:val="000000" w:themeColor="text1"/>
          <w:lang w:eastAsia="en-GB"/>
        </w:rPr>
        <w:t xml:space="preserve">, 11: 175–189. </w:t>
      </w:r>
      <w:hyperlink w:history="1" r:id="rId13">
        <w:r>
          <w:rPr>
            <w:rStyle w:val="Hyperlink"/>
            <w:color w:val="000000" w:themeColor="text1"/>
            <w:lang w:eastAsia="en-GB"/>
          </w:rPr>
          <w:t>https://journals.flvc.org/jon/article/view/65150</w:t>
        </w:r>
      </w:hyperlink>
    </w:p>
    <w:p w14:paraId="6ACE5F95" w14:textId="78A4E4BF">
      <w:pPr>
        <w:pStyle w:val="IPPArialFootnote"/>
        <w:rPr>
          <w:color w:val="000000" w:themeColor="text1"/>
          <w:lang w:eastAsia="en-GB"/>
        </w:rPr>
      </w:pPr>
      <w:r>
        <w:rPr>
          <w:rStyle w:val="PleaseReviewParagraphId"/>
          <w:b w:val="off"/>
          <w:i w:val="off"/>
        </w:rPr>
        <w:t>[183]</w:t>
      </w:r>
      <w:r>
        <w:rPr>
          <w:bCs/>
          <w:i/>
          <w:iCs/>
          <w:color w:val="000000" w:themeColor="text1"/>
          <w:lang w:eastAsia="en-GB"/>
        </w:rPr>
        <w:t>M</w:t>
      </w:r>
      <w:r>
        <w:rPr>
          <w:bCs/>
          <w:color w:val="000000" w:themeColor="text1"/>
          <w:lang w:eastAsia="en-GB"/>
        </w:rPr>
        <w:t>. </w:t>
      </w:r>
      <w:r>
        <w:rPr>
          <w:bCs/>
          <w:i/>
          <w:iCs/>
          <w:color w:val="000000" w:themeColor="text1"/>
          <w:lang w:eastAsia="en-GB"/>
        </w:rPr>
        <w:t>paramali</w:t>
      </w:r>
      <w:r>
        <w:rPr>
          <w:bCs/>
          <w:color w:val="000000" w:themeColor="text1"/>
          <w:lang w:eastAsia="en-GB"/>
        </w:rPr>
        <w:t xml:space="preserve">: </w:t>
      </w:r>
      <w:r>
        <w:rPr>
          <w:color w:val="000000" w:themeColor="text1"/>
          <w:lang w:eastAsia="en-GB"/>
        </w:rPr>
        <w:t xml:space="preserve">Gu, J., Fang, Y., Ma, X., Shao, B. &amp; Zhuo, K. 2023. </w:t>
      </w:r>
      <w:r>
        <w:rPr>
          <w:i/>
          <w:iCs/>
          <w:color w:val="000000" w:themeColor="text1"/>
          <w:lang w:eastAsia="en-GB"/>
        </w:rPr>
        <w:t>Meloidogyne paramali</w:t>
      </w:r>
      <w:r>
        <w:rPr>
          <w:color w:val="000000" w:themeColor="text1"/>
          <w:lang w:eastAsia="en-GB"/>
        </w:rPr>
        <w:t xml:space="preserve"> n. sp. (Nematoda: Meloidogyninae) and first report of </w:t>
      </w:r>
      <w:r>
        <w:rPr>
          <w:i/>
          <w:iCs/>
          <w:color w:val="000000" w:themeColor="text1"/>
          <w:lang w:eastAsia="en-GB"/>
        </w:rPr>
        <w:t>M. marylandi</w:t>
      </w:r>
      <w:r>
        <w:rPr>
          <w:color w:val="000000" w:themeColor="text1"/>
          <w:lang w:eastAsia="en-GB"/>
        </w:rPr>
        <w:t xml:space="preserve"> in maple and yacca tree from Japan. </w:t>
      </w:r>
      <w:r>
        <w:rPr>
          <w:i/>
          <w:iCs/>
          <w:color w:val="000000" w:themeColor="text1"/>
          <w:lang w:eastAsia="en-GB"/>
        </w:rPr>
        <w:t>Journal of Nematology</w:t>
      </w:r>
      <w:r>
        <w:rPr>
          <w:color w:val="000000" w:themeColor="text1"/>
          <w:lang w:eastAsia="en-GB"/>
        </w:rPr>
        <w:t xml:space="preserve">, 55(1). </w:t>
      </w:r>
      <w:hyperlink w:history="1" r:id="rId14">
        <w:r>
          <w:rPr>
            <w:rStyle w:val="Hyperlink"/>
            <w:rFonts w:eastAsia="Times New Roman" w:cs="Arial"/>
            <w:color w:val="000000" w:themeColor="text1"/>
            <w:szCs w:val="16"/>
            <w:lang w:eastAsia="en-GB"/>
          </w:rPr>
          <w:t>https://doi.org/10.2478/jofnem-2022-0036</w:t>
        </w:r>
      </w:hyperlink>
    </w:p>
    <w:p w14:paraId="02767335" w14:textId="4D04C405">
      <w:pPr>
        <w:pStyle w:val="IPPArialFootnote"/>
        <w:rPr>
          <w:color w:val="000000" w:themeColor="text1"/>
          <w:lang w:eastAsia="en-GB"/>
        </w:rPr>
      </w:pPr>
      <w:r>
        <w:rPr>
          <w:rStyle w:val="PleaseReviewParagraphId"/>
          <w:b w:val="off"/>
          <w:i w:val="off"/>
        </w:rPr>
        <w:t>[184]</w:t>
      </w:r>
      <w:r>
        <w:rPr>
          <w:bCs/>
          <w:i/>
          <w:iCs/>
          <w:color w:val="000000" w:themeColor="text1"/>
          <w:lang w:eastAsia="en-GB"/>
        </w:rPr>
        <w:t>M. </w:t>
      </w:r>
      <w:r>
        <w:rPr>
          <w:i/>
          <w:color w:val="000000" w:themeColor="text1"/>
        </w:rPr>
        <w:t>suginamiensis</w:t>
      </w:r>
      <w:r>
        <w:rPr>
          <w:bCs/>
          <w:color w:val="000000" w:themeColor="text1"/>
          <w:lang w:eastAsia="en-GB"/>
        </w:rPr>
        <w:t>: Toida, Y. &amp; Yaegashi, T. 1984.</w:t>
      </w:r>
      <w:r>
        <w:rPr>
          <w:color w:val="000000" w:themeColor="text1"/>
          <w:lang w:eastAsia="en-GB"/>
        </w:rPr>
        <w:t xml:space="preserve"> Description of </w:t>
      </w:r>
      <w:r>
        <w:rPr>
          <w:i/>
          <w:iCs/>
          <w:color w:val="000000" w:themeColor="text1"/>
          <w:lang w:eastAsia="en-GB"/>
        </w:rPr>
        <w:t>Meloidogyne suginamiensis</w:t>
      </w:r>
      <w:r>
        <w:rPr>
          <w:color w:val="000000" w:themeColor="text1"/>
          <w:lang w:eastAsia="en-GB"/>
        </w:rPr>
        <w:t xml:space="preserve"> n. sp. (Nematoda: Meloidogynidae) from mulberry in Japan. </w:t>
      </w:r>
      <w:r>
        <w:rPr>
          <w:i/>
          <w:iCs/>
          <w:color w:val="000000" w:themeColor="text1"/>
          <w:lang w:eastAsia="en-GB"/>
        </w:rPr>
        <w:t>Japanese Journal of Nematology</w:t>
      </w:r>
      <w:r>
        <w:rPr>
          <w:color w:val="000000" w:themeColor="text1"/>
          <w:lang w:eastAsia="en-GB"/>
        </w:rPr>
        <w:t>, 12: 49–57.</w:t>
      </w:r>
    </w:p>
    <w:p w14:paraId="3E0C54E7" w14:textId="0798F25D">
      <w:pPr>
        <w:pStyle w:val="IPPArialFootnote"/>
        <w:spacing w:after="180"/>
        <w:rPr>
          <w:i/>
          <w:iCs/>
          <w:color w:val="000000" w:themeColor="text1"/>
        </w:rPr>
      </w:pPr>
      <w:r>
        <w:rPr>
          <w:rStyle w:val="PleaseReviewParagraphId"/>
          <w:b w:val="off"/>
          <w:i w:val="off"/>
        </w:rPr>
        <w:t>[185]</w:t>
      </w:r>
      <w:r>
        <w:rPr>
          <w:bCs/>
          <w:i/>
          <w:iCs/>
          <w:color w:val="000000" w:themeColor="text1"/>
        </w:rPr>
        <w:t>M. vitis</w:t>
      </w:r>
      <w:r>
        <w:rPr>
          <w:bCs/>
          <w:color w:val="000000" w:themeColor="text1"/>
        </w:rPr>
        <w:t>: Yang, Y., Hu, X., Liu, P., Chen, L., Peng, H., Wang, Q. &amp; Zhang, Q. 2021</w:t>
      </w:r>
      <w:r>
        <w:rPr>
          <w:color w:val="000000" w:themeColor="text1"/>
        </w:rPr>
        <w:t xml:space="preserve">. A new root-knot nematode, </w:t>
      </w:r>
      <w:r>
        <w:rPr>
          <w:i/>
          <w:iCs/>
          <w:color w:val="000000" w:themeColor="text1"/>
        </w:rPr>
        <w:t>Meloidogyne vitis</w:t>
      </w:r>
      <w:r>
        <w:rPr>
          <w:color w:val="000000" w:themeColor="text1"/>
        </w:rPr>
        <w:t xml:space="preserve"> sp. nov. (Nematoda: Meloidogynidae), parasitizing grape in Yunnan. </w:t>
      </w:r>
      <w:r>
        <w:rPr>
          <w:i/>
          <w:iCs/>
          <w:color w:val="000000" w:themeColor="text1"/>
        </w:rPr>
        <w:t>PLoS ONE</w:t>
      </w:r>
      <w:r>
        <w:rPr>
          <w:color w:val="000000" w:themeColor="text1"/>
        </w:rPr>
        <w:t xml:space="preserve">, 16(2): e0245201. </w:t>
      </w:r>
      <w:hyperlink w:history="1" r:id="rId15">
        <w:r>
          <w:rPr>
            <w:rStyle w:val="Hyperlink"/>
            <w:color w:val="000000" w:themeColor="text1"/>
          </w:rPr>
          <w:t>https://doi.org/10.1371/journal.pone.0245201</w:t>
        </w:r>
      </w:hyperlink>
      <w:r>
        <w:rPr>
          <w:i/>
          <w:iCs/>
          <w:color w:val="000000" w:themeColor="text1"/>
        </w:rPr>
        <w:t xml:space="preserve"> </w:t>
      </w:r>
    </w:p>
    <w:p w14:paraId="2854264A" w14:textId="051D64AA">
      <w:pPr>
        <w:pStyle w:val="IPPHeading2"/>
        <w:rPr>
          <w:color w:val="000000" w:themeColor="text1"/>
        </w:rPr>
      </w:pPr>
      <w:r>
        <w:rPr>
          <w:rStyle w:val="PleaseReviewParagraphId"/>
          <w:b w:val="off"/>
          <w:i w:val="off"/>
        </w:rPr>
        <w:t>[186]</w:t>
      </w:r>
      <w:r>
        <w:rPr>
          <w:color w:val="000000" w:themeColor="text1"/>
        </w:rPr>
        <w:t>4.3</w:t>
        <w:tab/>
        <w:t>Identification using molecular methods</w:t>
      </w:r>
    </w:p>
    <w:p w14:paraId="377804AC" w14:textId="31D43258">
      <w:pPr>
        <w:pStyle w:val="IPPParagraphnumbering"/>
        <w:numPr>
          <w:ilvl w:val="0"/>
          <w:numId w:val="0"/>
        </w:numPr>
        <w:rPr>
          <w:color w:val="000000" w:themeColor="text1"/>
          <w:lang w:val="en-GB"/>
        </w:rPr>
      </w:pPr>
      <w:r>
        <w:rPr>
          <w:rStyle w:val="PleaseReviewParagraphId"/>
          <w:b w:val="off"/>
          <w:i w:val="off"/>
        </w:rPr>
        <w:t>[187]</w:t>
      </w:r>
      <w:r>
        <w:rPr>
          <w:color w:val="000000" w:themeColor="text1"/>
          <w:lang w:val="en-GB"/>
        </w:rPr>
        <w:t xml:space="preserve">This section provides information regarding molecular methods that enable the identification of </w:t>
      </w:r>
      <w:r>
        <w:rPr>
          <w:i/>
          <w:iCs/>
          <w:color w:val="000000" w:themeColor="text1"/>
          <w:lang w:val="en-GB"/>
        </w:rPr>
        <w:t>M. mali</w:t>
      </w:r>
      <w:r>
        <w:rPr>
          <w:color w:val="000000" w:themeColor="text1"/>
          <w:lang w:val="en-GB"/>
        </w:rPr>
        <w:t xml:space="preserve"> from isolated nematodes at any</w:t>
      </w:r>
      <w:r>
        <w:rPr>
          <w:color w:val="000000" w:themeColor="text1"/>
          <w:lang w:val="en-GB" w:eastAsia="zh-CN"/>
        </w:rPr>
        <w:t xml:space="preserve"> life stage</w:t>
      </w:r>
      <w:r>
        <w:rPr>
          <w:color w:val="000000" w:themeColor="text1"/>
          <w:lang w:val="en-GB"/>
        </w:rPr>
        <w:t xml:space="preserve">. </w:t>
      </w:r>
      <w:r>
        <w:rPr>
          <w:i/>
          <w:color w:val="000000" w:themeColor="text1"/>
          <w:lang w:val="en-GB"/>
        </w:rPr>
        <w:t>M. mali</w:t>
      </w:r>
      <w:r>
        <w:rPr>
          <w:color w:val="000000" w:themeColor="text1"/>
          <w:lang w:val="en-GB"/>
        </w:rPr>
        <w:t xml:space="preserve"> cannot be identified solely on the basis of molecular or biochemical methods.</w:t>
      </w:r>
    </w:p>
    <w:p w14:paraId="12580005" w14:textId="47183553">
      <w:pPr>
        <w:pStyle w:val="IPPParagraphnumbering"/>
        <w:numPr>
          <w:ilvl w:val="0"/>
          <w:numId w:val="0"/>
        </w:numPr>
        <w:rPr>
          <w:color w:val="000000" w:themeColor="text1"/>
          <w:lang w:val="en-GB" w:eastAsia="zh-CN"/>
        </w:rPr>
      </w:pPr>
      <w:r>
        <w:rPr>
          <w:rStyle w:val="PleaseReviewParagraphId"/>
          <w:b w:val="off"/>
          <w:i w:val="off"/>
        </w:rPr>
        <w:t>[188]</w:t>
      </w:r>
      <w:r>
        <w:rPr>
          <w:color w:val="000000" w:themeColor="text1"/>
          <w:lang w:val="en-GB"/>
        </w:rPr>
        <w:t xml:space="preserve">Several methods are available for the identification of </w:t>
      </w:r>
      <w:r>
        <w:rPr>
          <w:i/>
          <w:iCs/>
          <w:color w:val="000000" w:themeColor="text1"/>
          <w:lang w:val="en-GB"/>
        </w:rPr>
        <w:t>M. mali</w:t>
      </w:r>
      <w:r>
        <w:rPr>
          <w:color w:val="000000" w:themeColor="text1"/>
          <w:lang w:val="en-GB"/>
        </w:rPr>
        <w:t>. The molecular methods described hereafter are those recommended at the time of drafting of this protocol. Other methods may be available. Extraction of DNA is the first step for any molecular method (section 4.3.1)</w:t>
      </w:r>
      <w:r>
        <w:rPr>
          <w:color w:val="000000" w:themeColor="text1"/>
          <w:lang w:val="en-GB" w:eastAsia="zh-CN"/>
        </w:rPr>
        <w:t>.</w:t>
      </w:r>
      <w:r>
        <w:rPr>
          <w:color w:val="000000" w:themeColor="text1"/>
          <w:lang w:val="en-GB"/>
        </w:rPr>
        <w:t xml:space="preserve"> DNA barcoding (section 4.3.2) is recommended to identify </w:t>
      </w:r>
      <w:r>
        <w:rPr>
          <w:i/>
          <w:color w:val="000000" w:themeColor="text1"/>
          <w:lang w:val="en-GB"/>
        </w:rPr>
        <w:t>M. mali</w:t>
      </w:r>
      <w:r>
        <w:rPr>
          <w:color w:val="000000" w:themeColor="text1"/>
          <w:lang w:val="en-GB"/>
        </w:rPr>
        <w:t xml:space="preserve"> from other species with which it may be confused, including </w:t>
      </w:r>
      <w:r>
        <w:rPr>
          <w:i/>
          <w:color w:val="000000" w:themeColor="text1"/>
          <w:lang w:val="en-GB"/>
        </w:rPr>
        <w:t>M. paramali</w:t>
      </w:r>
      <w:r>
        <w:rPr>
          <w:color w:val="000000" w:themeColor="text1"/>
          <w:lang w:val="en-GB"/>
        </w:rPr>
        <w:t xml:space="preserve">. </w:t>
      </w:r>
    </w:p>
    <w:p w14:paraId="28FD3643" w14:textId="020BE319">
      <w:pPr>
        <w:pStyle w:val="IPPParagraphnumbering"/>
        <w:numPr>
          <w:ilvl w:val="0"/>
          <w:numId w:val="0"/>
        </w:numPr>
        <w:rPr>
          <w:color w:val="000000" w:themeColor="text1"/>
          <w:lang w:val="en-GB"/>
        </w:rPr>
      </w:pPr>
      <w:r>
        <w:rPr>
          <w:rStyle w:val="PleaseReviewParagraphId"/>
          <w:b w:val="off"/>
          <w:i w:val="off"/>
        </w:rPr>
        <w:t>[189]</w:t>
      </w:r>
      <w:r>
        <w:rPr>
          <w:color w:val="000000" w:themeColor="text1"/>
          <w:lang w:val="en-GB"/>
        </w:rPr>
        <w:t>In this diagnostic protocol, methods (including reference to brand names) are described as published, as these define the original level of sensitivity, specificity and reproducibility achieved. Laboratory procedures presented in the protocols may be adjusted to the standards of individual laboratories, provided that they are adequately validated.</w:t>
      </w:r>
    </w:p>
    <w:p w14:paraId="28669246" w14:textId="5E62023E">
      <w:pPr>
        <w:pStyle w:val="IPPHeading2"/>
        <w:rPr>
          <w:color w:val="000000" w:themeColor="text1"/>
        </w:rPr>
      </w:pPr>
      <w:r>
        <w:rPr>
          <w:rStyle w:val="PleaseReviewParagraphId"/>
          <w:b w:val="off"/>
          <w:i w:val="off"/>
        </w:rPr>
        <w:t>[190]</w:t>
      </w:r>
      <w:bookmarkStart w:name="_Toc443482682" w:id="6"/>
      <w:r>
        <w:rPr>
          <w:color w:val="000000" w:themeColor="text1"/>
        </w:rPr>
        <w:t>4.3.1</w:t>
        <w:tab/>
      </w:r>
      <w:bookmarkEnd w:id="6"/>
      <w:r>
        <w:rPr>
          <w:color w:val="000000" w:themeColor="text1"/>
        </w:rPr>
        <w:t>DNA extraction</w:t>
      </w:r>
    </w:p>
    <w:p w14:paraId="02064E77" w14:textId="3315885C">
      <w:pPr>
        <w:pStyle w:val="IPPParagraphnumbering"/>
        <w:numPr>
          <w:ilvl w:val="0"/>
          <w:numId w:val="0"/>
        </w:numPr>
        <w:rPr>
          <w:color w:val="000000" w:themeColor="text1"/>
          <w:lang w:val="en-GB"/>
        </w:rPr>
      </w:pPr>
      <w:r>
        <w:rPr>
          <w:rStyle w:val="PleaseReviewParagraphId"/>
          <w:b w:val="off"/>
          <w:i w:val="off"/>
        </w:rPr>
        <w:t>[191]</w:t>
      </w:r>
      <w:r>
        <w:rPr>
          <w:b/>
          <w:bCs/>
          <w:color w:val="000000" w:themeColor="text1"/>
          <w:lang w:val="en-GB"/>
        </w:rPr>
        <w:t xml:space="preserve">Method 1 </w:t>
      </w:r>
      <w:r>
        <w:rPr>
          <w:rFonts w:eastAsiaTheme="minorEastAsia"/>
          <w:b/>
          <w:bCs/>
          <w:color w:val="000000" w:themeColor="text1"/>
          <w:lang w:val="en-GB" w:eastAsia="zh-CN"/>
        </w:rPr>
        <w:t>(</w:t>
      </w:r>
      <w:r>
        <w:rPr>
          <w:rFonts w:eastAsiaTheme="minorEastAsia"/>
          <w:bCs/>
          <w:color w:val="000000" w:themeColor="text1"/>
          <w:lang w:val="en-GB" w:eastAsia="zh-CN"/>
        </w:rPr>
        <w:t xml:space="preserve">Gu </w:t>
      </w:r>
      <w:r>
        <w:rPr>
          <w:rFonts w:eastAsiaTheme="minorEastAsia"/>
          <w:bCs/>
          <w:i/>
          <w:iCs/>
          <w:color w:val="000000" w:themeColor="text1"/>
          <w:lang w:val="en-GB" w:eastAsia="zh-CN"/>
        </w:rPr>
        <w:t>et al.</w:t>
      </w:r>
      <w:r>
        <w:rPr>
          <w:rFonts w:eastAsiaTheme="minorEastAsia"/>
          <w:bCs/>
          <w:color w:val="000000" w:themeColor="text1"/>
          <w:lang w:val="en-GB" w:eastAsia="zh-CN"/>
        </w:rPr>
        <w:t>, 2021</w:t>
      </w:r>
      <w:r>
        <w:rPr>
          <w:rFonts w:eastAsiaTheme="minorEastAsia"/>
          <w:color w:val="000000" w:themeColor="text1"/>
          <w:lang w:val="en-GB" w:eastAsia="zh-CN"/>
        </w:rPr>
        <w:t>)</w:t>
      </w:r>
      <w:r>
        <w:rPr>
          <w:color w:val="000000" w:themeColor="text1"/>
          <w:lang w:val="en-GB"/>
        </w:rPr>
        <w:t xml:space="preserve">. Extraction should be performed on 3–5 individual nematodes. A single nematode is placed </w:t>
      </w:r>
      <w:bookmarkStart w:name="_Hlk128495963" w:id="7"/>
      <w:r>
        <w:rPr>
          <w:color w:val="000000" w:themeColor="text1"/>
          <w:lang w:val="en-GB"/>
        </w:rPr>
        <w:t>into a 200 µL polymerase chain reaction (PCR) microtube</w:t>
      </w:r>
      <w:bookmarkEnd w:id="7"/>
      <w:r>
        <w:rPr>
          <w:color w:val="000000" w:themeColor="text1"/>
          <w:lang w:val="en-GB"/>
        </w:rPr>
        <w:t xml:space="preserve"> that has been preprepared to contain 8 µL ddH</w:t>
      </w:r>
      <w:r>
        <w:rPr>
          <w:color w:val="000000" w:themeColor="text1"/>
          <w:vertAlign w:val="subscript"/>
          <w:lang w:val="en-GB"/>
        </w:rPr>
        <w:t>2</w:t>
      </w:r>
      <w:r>
        <w:rPr>
          <w:color w:val="000000" w:themeColor="text1"/>
          <w:lang w:val="en-GB"/>
        </w:rPr>
        <w:t>O and 1 µL 10× PCR buffer (Mg</w:t>
      </w:r>
      <w:r>
        <w:rPr>
          <w:color w:val="000000" w:themeColor="text1"/>
          <w:vertAlign w:val="superscript"/>
          <w:lang w:val="en-GB"/>
        </w:rPr>
        <w:t>2+</w:t>
      </w:r>
      <w:r>
        <w:rPr>
          <w:color w:val="000000" w:themeColor="text1"/>
          <w:lang w:val="en-GB"/>
        </w:rPr>
        <w:t>free). The PCR microtube containing the nematode specimen is placed in an ultra-low-temperature refrigerator (−70 °C) for a minimum of 20 min. After this, the PCR microtube is heated at 85 °C for 2 min, then 1 </w:t>
      </w:r>
      <w:r>
        <w:rPr>
          <w:color w:val="000000" w:themeColor="text1"/>
          <w:lang w:val="en-GB" w:eastAsia="zh-CN"/>
        </w:rPr>
        <w:t>µ</w:t>
      </w:r>
      <w:r>
        <w:rPr>
          <w:color w:val="000000" w:themeColor="text1"/>
          <w:lang w:val="en-GB"/>
        </w:rPr>
        <w:t xml:space="preserve">L proteinase K (1 mg/mL) is added and the tube is heated at 56 °C for 15 min, followed by heating at 95 °C for 10 min. The DNA obtained is ready for direct PCR amplification or can be stored at −20 °C until required. </w:t>
      </w:r>
    </w:p>
    <w:p w14:paraId="46FCE633" w14:textId="5121CAAF">
      <w:pPr>
        <w:pStyle w:val="IPPParagraphnumbering"/>
        <w:numPr>
          <w:ilvl w:val="0"/>
          <w:numId w:val="0"/>
        </w:numPr>
        <w:rPr>
          <w:color w:val="000000" w:themeColor="text1"/>
          <w:lang w:val="en-GB"/>
        </w:rPr>
      </w:pPr>
      <w:r>
        <w:rPr>
          <w:rStyle w:val="PleaseReviewParagraphId"/>
          <w:b w:val="off"/>
          <w:i w:val="off"/>
        </w:rPr>
        <w:t>[192]</w:t>
      </w:r>
      <w:r>
        <w:rPr>
          <w:b/>
          <w:bCs/>
          <w:color w:val="000000" w:themeColor="text1"/>
          <w:lang w:val="en-GB"/>
        </w:rPr>
        <w:t>Method 2</w:t>
      </w:r>
      <w:r>
        <w:rPr>
          <w:rFonts w:eastAsiaTheme="minorEastAsia"/>
          <w:b/>
          <w:bCs/>
          <w:color w:val="000000" w:themeColor="text1"/>
          <w:lang w:val="en-GB" w:eastAsia="zh-CN"/>
        </w:rPr>
        <w:t xml:space="preserve"> </w:t>
      </w:r>
      <w:r>
        <w:rPr>
          <w:rFonts w:eastAsiaTheme="minorEastAsia"/>
          <w:color w:val="000000" w:themeColor="text1"/>
          <w:lang w:val="en-GB" w:eastAsia="zh-CN"/>
        </w:rPr>
        <w:t>(</w:t>
      </w:r>
      <w:r>
        <w:rPr>
          <w:color w:val="000000" w:themeColor="text1"/>
          <w:lang w:val="en-GB"/>
        </w:rPr>
        <w:t>Heydari</w:t>
      </w:r>
      <w:r>
        <w:rPr>
          <w:rFonts w:eastAsiaTheme="minorEastAsia"/>
          <w:color w:val="000000" w:themeColor="text1"/>
          <w:lang w:val="en-GB" w:eastAsia="zh-CN"/>
        </w:rPr>
        <w:t xml:space="preserve"> </w:t>
      </w:r>
      <w:r>
        <w:rPr>
          <w:color w:val="000000" w:themeColor="text1"/>
          <w:lang w:val="en-GB"/>
        </w:rPr>
        <w:t>&amp; Pedram</w:t>
      </w:r>
      <w:r>
        <w:rPr>
          <w:rFonts w:eastAsiaTheme="minorEastAsia"/>
          <w:color w:val="000000" w:themeColor="text1"/>
          <w:lang w:val="en-GB" w:eastAsia="zh-CN"/>
        </w:rPr>
        <w:t xml:space="preserve">, </w:t>
      </w:r>
      <w:r>
        <w:rPr>
          <w:color w:val="000000" w:themeColor="text1"/>
          <w:lang w:val="en-GB"/>
        </w:rPr>
        <w:t>2020). Extraction should be performed on 3–5 individual nematodes. A 15 μL drop of TE buffer (10 mM Tris-Cl; 0.5 mM ethylenediaminetetraacetic</w:t>
      </w:r>
      <w:r>
        <w:rPr>
          <w:rFonts w:eastAsia="MS Mincho"/>
          <w:color w:val="000000" w:themeColor="text1"/>
          <w:lang w:val="en-GB"/>
        </w:rPr>
        <w:t xml:space="preserve"> acid (</w:t>
      </w:r>
      <w:r>
        <w:rPr>
          <w:color w:val="000000" w:themeColor="text1"/>
          <w:lang w:val="en-GB"/>
        </w:rPr>
        <w:t>EDTA); pH 9.0) is placed on a clean slide. A single nematode is placed in the drop of buffer and either directly squashed with the tip of a suction pipette or cut into pieces with a sterile hypodermic needle. This solution is then pipetted into a 200 µL PCR tube. The DNA obtained is ready for direct PCR amplification or can be stored at −20 °C until required.</w:t>
      </w:r>
    </w:p>
    <w:p w14:paraId="075277CE" w14:textId="436C4F1B">
      <w:pPr>
        <w:pStyle w:val="IPPParagraphnumbering"/>
        <w:numPr>
          <w:ilvl w:val="0"/>
          <w:numId w:val="0"/>
        </w:numPr>
        <w:rPr>
          <w:color w:val="000000" w:themeColor="text1"/>
          <w:lang w:val="en-GB"/>
        </w:rPr>
      </w:pPr>
      <w:r>
        <w:rPr>
          <w:rStyle w:val="PleaseReviewParagraphId"/>
          <w:b w:val="off"/>
          <w:i w:val="off"/>
        </w:rPr>
        <w:t>[193]</w:t>
      </w:r>
      <w:r>
        <w:rPr>
          <w:b/>
          <w:bCs/>
          <w:color w:val="000000" w:themeColor="text1"/>
          <w:lang w:val="en-GB"/>
        </w:rPr>
        <w:lastRenderedPageBreak/>
        <w:t>Other methods.</w:t>
      </w:r>
      <w:r>
        <w:rPr>
          <w:color w:val="000000" w:themeColor="text1"/>
          <w:lang w:val="en-GB"/>
        </w:rPr>
        <w:t xml:space="preserve"> Methods 1 and 2 may be adjusted to the standards of individual laboratories, provided that they are adequately validated. Commercial kits, such as the DNeasy Blood and Tissue Kit (QIAGEN), </w:t>
      </w:r>
      <w:bookmarkStart w:name="_Hlk138404420" w:id="8"/>
      <w:r>
        <w:rPr>
          <w:color w:val="000000" w:themeColor="text1"/>
          <w:lang w:val="en-GB"/>
        </w:rPr>
        <w:t xml:space="preserve">the QIAamp DNA Micro </w:t>
      </w:r>
      <w:bookmarkEnd w:id="8"/>
      <w:r>
        <w:rPr>
          <w:color w:val="000000" w:themeColor="text1"/>
          <w:lang w:val="en-GB"/>
        </w:rPr>
        <w:t xml:space="preserve">Kit (QIAGEN) or the </w:t>
      </w:r>
      <w:bookmarkStart w:name="_Hlk138404596" w:id="9"/>
      <w:r>
        <w:rPr>
          <w:color w:val="000000" w:themeColor="text1"/>
          <w:lang w:val="en-GB"/>
        </w:rPr>
        <w:t xml:space="preserve">Nematode DNA extraction kit </w:t>
      </w:r>
      <w:bookmarkEnd w:id="9"/>
      <w:r>
        <w:rPr>
          <w:color w:val="000000" w:themeColor="text1"/>
          <w:lang w:val="en-GB"/>
        </w:rPr>
        <w:t>(ClearDetections), may also be used: such kits should be used according to the manufacturer’s instructions or may be adapted following in-house validation.</w:t>
      </w:r>
      <w:bookmarkStart w:name="_Ref137480001" w:id="10"/>
      <w:r>
        <w:rPr>
          <w:rStyle w:val="FootnoteReference"/>
          <w:rFonts w:ascii="Calibri" w:hAnsi="Calibri" w:cs="Calibri"/>
          <w:color w:val="000000" w:themeColor="text1"/>
          <w:lang w:val="en-GB"/>
        </w:rPr>
        <w:footnoteReference w:id="2"/>
      </w:r>
      <w:bookmarkEnd w:id="10"/>
      <w:r>
        <w:rPr>
          <w:color w:val="000000" w:themeColor="text1"/>
          <w:lang w:val="en-GB"/>
        </w:rPr>
        <w:t xml:space="preserve"> </w:t>
      </w:r>
    </w:p>
    <w:p w14:paraId="5E84D6D8" w14:textId="078C4410">
      <w:pPr>
        <w:pStyle w:val="IPPHeading2"/>
        <w:rPr>
          <w:color w:val="000000" w:themeColor="text1"/>
        </w:rPr>
      </w:pPr>
      <w:r>
        <w:rPr>
          <w:rStyle w:val="PleaseReviewParagraphId"/>
          <w:b w:val="off"/>
          <w:i w:val="off"/>
        </w:rPr>
        <w:t>[195]</w:t>
      </w:r>
      <w:r>
        <w:rPr>
          <w:color w:val="000000" w:themeColor="text1"/>
        </w:rPr>
        <w:t>4.3.2</w:t>
        <w:tab/>
        <w:t>DNA barcoding</w:t>
      </w:r>
    </w:p>
    <w:p w14:paraId="51F06EBC" w14:textId="7AFB0978">
      <w:pPr>
        <w:pStyle w:val="IPPParagraphnumbering"/>
        <w:numPr>
          <w:ilvl w:val="0"/>
          <w:numId w:val="0"/>
        </w:numPr>
        <w:rPr>
          <w:color w:val="000000" w:themeColor="text1"/>
          <w:lang w:val="en-GB"/>
        </w:rPr>
      </w:pPr>
      <w:r>
        <w:rPr>
          <w:rStyle w:val="PleaseReviewParagraphId"/>
          <w:b w:val="off"/>
          <w:i w:val="off"/>
        </w:rPr>
        <w:t>[196]</w:t>
      </w:r>
      <w:r>
        <w:rPr>
          <w:color w:val="000000" w:themeColor="text1"/>
          <w:lang w:val="en-GB"/>
        </w:rPr>
        <w:t xml:space="preserve">Ribosomal (r)RNA-based molecular barcoding remains a powerful tool for </w:t>
      </w:r>
      <w:r>
        <w:rPr>
          <w:i/>
          <w:iCs/>
          <w:color w:val="000000" w:themeColor="text1"/>
          <w:lang w:val="en-GB"/>
        </w:rPr>
        <w:t>M. mali</w:t>
      </w:r>
      <w:r>
        <w:rPr>
          <w:color w:val="000000" w:themeColor="text1"/>
          <w:lang w:val="en-GB"/>
        </w:rPr>
        <w:t xml:space="preserve"> delimitation (Gu, </w:t>
      </w:r>
      <w:r>
        <w:rPr>
          <w:bCs/>
          <w:color w:val="000000" w:themeColor="text1"/>
          <w:lang w:val="en-GB" w:eastAsia="en-GB"/>
        </w:rPr>
        <w:t>Fang and Liu</w:t>
      </w:r>
      <w:r>
        <w:rPr>
          <w:color w:val="000000" w:themeColor="text1"/>
          <w:lang w:val="en-GB"/>
        </w:rPr>
        <w:t xml:space="preserve">, 2020). Several genomic regions have been directly sequenced from isolated nematodes for the purpose of species identification of </w:t>
      </w:r>
      <w:r>
        <w:rPr>
          <w:i/>
          <w:iCs/>
          <w:color w:val="000000" w:themeColor="text1"/>
          <w:lang w:val="en-GB"/>
        </w:rPr>
        <w:t>M. mali</w:t>
      </w:r>
      <w:r>
        <w:rPr>
          <w:color w:val="000000" w:themeColor="text1"/>
          <w:lang w:val="en-GB"/>
        </w:rPr>
        <w:t xml:space="preserve"> and differentiation of different </w:t>
      </w:r>
      <w:r>
        <w:rPr>
          <w:i/>
          <w:iCs/>
          <w:color w:val="000000" w:themeColor="text1"/>
          <w:lang w:val="en-GB"/>
        </w:rPr>
        <w:t xml:space="preserve">Meloidogyne </w:t>
      </w:r>
      <w:r>
        <w:rPr>
          <w:color w:val="000000" w:themeColor="text1"/>
          <w:lang w:val="en-GB"/>
        </w:rPr>
        <w:t xml:space="preserve">species (EPPO, 2016). These regions include the 18S small subunit (SSU), internal transcribed spacers (ITS), the 28S large subunit (LSU) of ribosomal DNA, and the cytochrome c oxidase I (COI) mitochondrial DNA region (Holterman </w:t>
      </w:r>
      <w:r>
        <w:rPr>
          <w:i/>
          <w:iCs/>
          <w:color w:val="000000" w:themeColor="text1"/>
          <w:lang w:val="en-GB"/>
        </w:rPr>
        <w:t>et al</w:t>
      </w:r>
      <w:r>
        <w:rPr>
          <w:color w:val="000000" w:themeColor="text1"/>
          <w:lang w:val="en-GB"/>
        </w:rPr>
        <w:t xml:space="preserve">., 2009; Ahmed </w:t>
      </w:r>
      <w:r>
        <w:rPr>
          <w:i/>
          <w:iCs/>
          <w:color w:val="000000" w:themeColor="text1"/>
          <w:lang w:val="en-GB"/>
        </w:rPr>
        <w:t>et al</w:t>
      </w:r>
      <w:r>
        <w:rPr>
          <w:color w:val="000000" w:themeColor="text1"/>
          <w:lang w:val="en-GB"/>
        </w:rPr>
        <w:t xml:space="preserve">., 2013). In </w:t>
      </w:r>
      <w:r>
        <w:rPr>
          <w:i/>
          <w:iCs/>
          <w:color w:val="000000" w:themeColor="text1"/>
          <w:lang w:val="en-GB"/>
        </w:rPr>
        <w:t>M. mali</w:t>
      </w:r>
      <w:r>
        <w:rPr>
          <w:color w:val="000000" w:themeColor="text1"/>
          <w:lang w:val="en-GB"/>
        </w:rPr>
        <w:t>, COI sequences are more homogeneous than rRNA sequences; COI gene sequencing is also the most efficient method for DNA barcoding.</w:t>
      </w:r>
      <w:r>
        <w:rPr>
          <w:rFonts w:eastAsiaTheme="minorEastAsia"/>
          <w:color w:val="000000" w:themeColor="text1"/>
          <w:lang w:val="en-GB" w:eastAsia="zh-CN"/>
        </w:rPr>
        <w:t xml:space="preserve"> A single gene can be used for DNA barcoding, but several genes used together give a more reliable identification. </w:t>
      </w:r>
      <w:r>
        <w:rPr>
          <w:color w:val="000000" w:themeColor="text1"/>
          <w:lang w:val="en-GB"/>
        </w:rPr>
        <w:t xml:space="preserve">The targeted region is amplified by PCR and the amplicons are sequenced either directly or after they are cloned. A protocol for DNA barcoding based on COI, SSU and LSU is described in Appendix 5 of EPPO (2016) and can be used to support the identification of </w:t>
      </w:r>
      <w:r>
        <w:rPr>
          <w:i/>
          <w:color w:val="000000" w:themeColor="text1"/>
          <w:lang w:val="en-GB"/>
        </w:rPr>
        <w:t>M. mali</w:t>
      </w:r>
      <w:r>
        <w:rPr>
          <w:color w:val="000000" w:themeColor="text1"/>
          <w:lang w:val="en-GB"/>
        </w:rPr>
        <w:t xml:space="preserve">. </w:t>
      </w:r>
    </w:p>
    <w:p w14:paraId="4AD1F55E" w14:textId="66343AAA">
      <w:pPr>
        <w:pStyle w:val="IPPParagraphnumbering"/>
        <w:numPr>
          <w:ilvl w:val="0"/>
          <w:numId w:val="0"/>
        </w:numPr>
        <w:rPr>
          <w:rStyle w:val="CommentReference"/>
          <w:color w:val="000000" w:themeColor="text1"/>
          <w:sz w:val="22"/>
          <w:szCs w:val="24"/>
          <w:lang w:val="en-GB"/>
        </w:rPr>
      </w:pPr>
      <w:r>
        <w:rPr>
          <w:rStyle w:val="PleaseReviewParagraphId"/>
          <w:b w:val="off"/>
          <w:i w:val="off"/>
        </w:rPr>
        <w:t>[197]</w:t>
      </w:r>
      <w:r>
        <w:rPr>
          <w:color w:val="000000" w:themeColor="text1"/>
          <w:lang w:val="en-GB"/>
        </w:rPr>
        <w:t>Reference to reliable, curated databases for DNA sequencing, such as EPPO-Q-bank (</w:t>
      </w:r>
      <w:hyperlink w:history="1" r:id="rId16">
        <w:r>
          <w:rPr>
            <w:rStyle w:val="Hyperlink"/>
            <w:color w:val="000000" w:themeColor="text1"/>
            <w:lang w:val="en-GB"/>
          </w:rPr>
          <w:t>https://qbank.eppo.int/nematodes</w:t>
        </w:r>
      </w:hyperlink>
      <w:r>
        <w:rPr>
          <w:color w:val="000000" w:themeColor="text1"/>
          <w:lang w:val="en-GB"/>
        </w:rPr>
        <w:t xml:space="preserve">), should be made (Bonants, </w:t>
      </w:r>
      <w:r>
        <w:rPr>
          <w:bCs/>
          <w:color w:val="000000" w:themeColor="text1"/>
          <w:lang w:val="en-GB"/>
        </w:rPr>
        <w:t>Edema and Robert</w:t>
      </w:r>
      <w:r>
        <w:rPr>
          <w:color w:val="000000" w:themeColor="text1"/>
          <w:lang w:val="en-GB"/>
        </w:rPr>
        <w:t>, 2013; EPPO, 2018). Other sources of reference sequences may be used, such as GenBank (</w:t>
      </w:r>
      <w:hyperlink w:history="1" r:id="rId17">
        <w:r>
          <w:rPr>
            <w:rStyle w:val="Hyperlink"/>
            <w:color w:val="000000" w:themeColor="text1"/>
            <w:lang w:val="en-GB"/>
          </w:rPr>
          <w:t>https://www.ncbi.nlm.nih.gov/genbank/</w:t>
        </w:r>
      </w:hyperlink>
      <w:r>
        <w:rPr>
          <w:color w:val="000000" w:themeColor="text1"/>
          <w:lang w:val="en-GB"/>
        </w:rPr>
        <w:t xml:space="preserve">: sequence MT406757 for the LSU barcode of </w:t>
      </w:r>
      <w:r>
        <w:rPr>
          <w:i/>
          <w:iCs/>
          <w:color w:val="000000" w:themeColor="text1"/>
          <w:lang w:val="en-GB"/>
        </w:rPr>
        <w:t>M. mali</w:t>
      </w:r>
      <w:r>
        <w:rPr>
          <w:color w:val="000000" w:themeColor="text1"/>
          <w:lang w:val="en-GB"/>
        </w:rPr>
        <w:t>).</w:t>
      </w:r>
    </w:p>
    <w:p w14:paraId="2932F303" w14:textId="240D31E5">
      <w:pPr>
        <w:pStyle w:val="IPPParagraphnumbering"/>
        <w:numPr>
          <w:ilvl w:val="0"/>
          <w:numId w:val="0"/>
        </w:numPr>
        <w:rPr>
          <w:color w:val="000000" w:themeColor="text1"/>
          <w:lang w:val="en-GB"/>
        </w:rPr>
      </w:pPr>
      <w:r>
        <w:rPr>
          <w:rStyle w:val="PleaseReviewParagraphId"/>
          <w:b w:val="off"/>
          <w:i w:val="off"/>
        </w:rPr>
        <w:t>[198]</w:t>
      </w:r>
      <w:r>
        <w:rPr>
          <w:color w:val="000000" w:themeColor="text1"/>
          <w:lang w:val="en-GB"/>
        </w:rPr>
        <w:t>Sequence data can then be analysed using the Basic Local Alignment Search Tool (BLAST) available at the National Center for Biotechnology Information (NCBI) (</w:t>
      </w:r>
      <w:hyperlink w:history="1" r:id="rId18">
        <w:r>
          <w:rPr>
            <w:rStyle w:val="Hyperlink"/>
            <w:color w:val="000000" w:themeColor="text1"/>
            <w:lang w:val="en-GB"/>
          </w:rPr>
          <w:t>www.ncbi.nlm.nih.gov</w:t>
        </w:r>
      </w:hyperlink>
      <w:r>
        <w:rPr>
          <w:color w:val="000000" w:themeColor="text1"/>
          <w:lang w:val="en-GB"/>
        </w:rPr>
        <w:t xml:space="preserve">) and compared with </w:t>
      </w:r>
      <w:r>
        <w:rPr>
          <w:i/>
          <w:color w:val="000000" w:themeColor="text1"/>
          <w:lang w:val="en-GB"/>
        </w:rPr>
        <w:t>Meloidogyne</w:t>
      </w:r>
      <w:r>
        <w:rPr>
          <w:color w:val="000000" w:themeColor="text1"/>
          <w:lang w:val="en-GB"/>
        </w:rPr>
        <w:t xml:space="preserve"> sequences available in the NCBI database. </w:t>
      </w:r>
    </w:p>
    <w:p w14:paraId="59ACE0FB" w14:textId="6CAC9970">
      <w:pPr>
        <w:pStyle w:val="IPPParagraphnumberingclose"/>
        <w:numPr>
          <w:ilvl w:val="0"/>
          <w:numId w:val="0"/>
        </w:numPr>
        <w:rPr>
          <w:color w:val="000000" w:themeColor="text1"/>
          <w:lang w:val="en-GB"/>
        </w:rPr>
      </w:pPr>
      <w:r>
        <w:rPr>
          <w:rStyle w:val="PleaseReviewParagraphId"/>
          <w:b w:val="off"/>
          <w:i w:val="off"/>
        </w:rPr>
        <w:t>[199]</w:t>
      </w:r>
      <w:r>
        <w:rPr>
          <w:color w:val="000000" w:themeColor="text1"/>
          <w:lang w:val="en-GB"/>
        </w:rPr>
        <w:t>For the SSU, ITS or LSU, the following criteria apply:</w:t>
      </w:r>
    </w:p>
    <w:p w14:paraId="296DFA79" w14:textId="4F892C8A">
      <w:pPr>
        <w:pStyle w:val="IPPBullet1"/>
        <w:rPr>
          <w:color w:val="000000" w:themeColor="text1"/>
          <w:lang w:val="en-GB"/>
        </w:rPr>
      </w:pPr>
      <w:r>
        <w:rPr>
          <w:rStyle w:val="PleaseReviewParagraphId"/>
          <w:b w:val="off"/>
          <w:i w:val="off"/>
        </w:rPr>
        <w:t>[200]</w:t>
      </w:r>
      <w:r>
        <w:rPr>
          <w:b/>
          <w:bCs/>
          <w:color w:val="000000" w:themeColor="text1"/>
          <w:lang w:val="en-GB"/>
        </w:rPr>
        <w:t>18S SSU gene.</w:t>
      </w:r>
      <w:r>
        <w:rPr>
          <w:color w:val="000000" w:themeColor="text1"/>
          <w:lang w:val="en-GB"/>
        </w:rPr>
        <w:t xml:space="preserve"> If the sample’s pairwise sequence divergence compared with known </w:t>
      </w:r>
      <w:r>
        <w:rPr>
          <w:i/>
          <w:iCs/>
          <w:color w:val="000000" w:themeColor="text1"/>
          <w:lang w:val="en-GB"/>
        </w:rPr>
        <w:t>M. mali</w:t>
      </w:r>
      <w:r>
        <w:rPr>
          <w:color w:val="000000" w:themeColor="text1"/>
          <w:lang w:val="en-GB"/>
        </w:rPr>
        <w:t xml:space="preserve"> sequences is less than 2% but more than 2% compared with all other species, it is identified as </w:t>
      </w:r>
      <w:r>
        <w:rPr>
          <w:i/>
          <w:iCs/>
          <w:color w:val="000000" w:themeColor="text1"/>
          <w:lang w:val="en-GB"/>
        </w:rPr>
        <w:t>M. mali</w:t>
      </w:r>
      <w:r>
        <w:rPr>
          <w:color w:val="000000" w:themeColor="text1"/>
          <w:lang w:val="en-GB"/>
        </w:rPr>
        <w:t xml:space="preserve">. </w:t>
      </w:r>
    </w:p>
    <w:p w14:paraId="053F8599" w14:textId="0913DD9A">
      <w:pPr>
        <w:pStyle w:val="IPPBullet1"/>
        <w:rPr>
          <w:color w:val="000000" w:themeColor="text1"/>
          <w:lang w:val="en-GB"/>
        </w:rPr>
      </w:pPr>
      <w:r>
        <w:rPr>
          <w:rStyle w:val="PleaseReviewParagraphId"/>
          <w:b w:val="off"/>
          <w:i w:val="off"/>
        </w:rPr>
        <w:t>[201]</w:t>
      </w:r>
      <w:r>
        <w:rPr>
          <w:b/>
          <w:bCs/>
          <w:color w:val="000000" w:themeColor="text1"/>
          <w:lang w:val="en-GB"/>
        </w:rPr>
        <w:t>Internal transcribed spacer gene.</w:t>
      </w:r>
      <w:r>
        <w:rPr>
          <w:color w:val="000000" w:themeColor="text1"/>
          <w:lang w:val="en-GB"/>
        </w:rPr>
        <w:t xml:space="preserve"> If the sample’s pairwise sequence divergence compared with known </w:t>
      </w:r>
      <w:r>
        <w:rPr>
          <w:i/>
          <w:iCs/>
          <w:color w:val="000000" w:themeColor="text1"/>
          <w:lang w:val="en-GB"/>
        </w:rPr>
        <w:t>M. mali</w:t>
      </w:r>
      <w:r>
        <w:rPr>
          <w:color w:val="000000" w:themeColor="text1"/>
          <w:lang w:val="en-GB"/>
        </w:rPr>
        <w:t xml:space="preserve"> sequences is less than 5% but more than 5% compared with all other species, it is identified as </w:t>
      </w:r>
      <w:r>
        <w:rPr>
          <w:i/>
          <w:iCs/>
          <w:color w:val="000000" w:themeColor="text1"/>
          <w:lang w:val="en-GB"/>
        </w:rPr>
        <w:t>M. mali</w:t>
      </w:r>
      <w:r>
        <w:rPr>
          <w:color w:val="000000" w:themeColor="text1"/>
          <w:lang w:val="en-GB"/>
        </w:rPr>
        <w:t xml:space="preserve">. </w:t>
      </w:r>
    </w:p>
    <w:p w14:paraId="54E6C2BE" w14:textId="7F9E03AF">
      <w:pPr>
        <w:pStyle w:val="IPPBullet1"/>
        <w:rPr>
          <w:color w:val="000000" w:themeColor="text1"/>
          <w:lang w:val="en-GB"/>
        </w:rPr>
      </w:pPr>
      <w:r>
        <w:rPr>
          <w:rStyle w:val="PleaseReviewParagraphId"/>
          <w:b w:val="off"/>
          <w:i w:val="off"/>
        </w:rPr>
        <w:t>[202]</w:t>
      </w:r>
      <w:r>
        <w:rPr>
          <w:b/>
          <w:bCs/>
          <w:color w:val="000000" w:themeColor="text1"/>
          <w:lang w:val="en-GB"/>
        </w:rPr>
        <w:t>28S LSU gene.</w:t>
      </w:r>
      <w:r>
        <w:rPr>
          <w:color w:val="000000" w:themeColor="text1"/>
          <w:lang w:val="en-GB"/>
        </w:rPr>
        <w:t xml:space="preserve"> If the sample’s pairwise sequence divergence compared with known </w:t>
      </w:r>
      <w:r>
        <w:rPr>
          <w:i/>
          <w:iCs/>
          <w:color w:val="000000" w:themeColor="text1"/>
          <w:lang w:val="en-GB"/>
        </w:rPr>
        <w:t>M. mali</w:t>
      </w:r>
      <w:r>
        <w:rPr>
          <w:color w:val="000000" w:themeColor="text1"/>
          <w:lang w:val="en-GB"/>
        </w:rPr>
        <w:t xml:space="preserve"> sequences is less than 5% but more than 5% compared with all other species, it is identified as </w:t>
      </w:r>
      <w:r>
        <w:rPr>
          <w:i/>
          <w:iCs/>
          <w:color w:val="000000" w:themeColor="text1"/>
          <w:lang w:val="en-GB"/>
        </w:rPr>
        <w:t>M. mali</w:t>
      </w:r>
      <w:r>
        <w:rPr>
          <w:color w:val="000000" w:themeColor="text1"/>
          <w:lang w:val="en-GB"/>
        </w:rPr>
        <w:t xml:space="preserve">. </w:t>
      </w:r>
    </w:p>
    <w:p w14:paraId="2016BF19" w14:textId="6EEEA96E">
      <w:pPr>
        <w:pStyle w:val="IPPBullet1Last"/>
        <w:rPr>
          <w:color w:val="000000" w:themeColor="text1"/>
        </w:rPr>
      </w:pPr>
      <w:r>
        <w:rPr>
          <w:rStyle w:val="PleaseReviewParagraphId"/>
          <w:b w:val="off"/>
          <w:i w:val="off"/>
        </w:rPr>
        <w:t>[203]</w:t>
      </w:r>
      <w:r>
        <w:rPr>
          <w:color w:val="000000" w:themeColor="text1"/>
        </w:rPr>
        <w:t xml:space="preserve">Any other results should be further investigated. </w:t>
      </w:r>
    </w:p>
    <w:p w14:paraId="22A18C10" w14:textId="17586984">
      <w:pPr>
        <w:pStyle w:val="IPPParagraphnumbering"/>
        <w:numPr>
          <w:ilvl w:val="0"/>
          <w:numId w:val="0"/>
        </w:numPr>
        <w:rPr>
          <w:color w:val="000000" w:themeColor="text1"/>
          <w:lang w:val="en-GB"/>
        </w:rPr>
      </w:pPr>
      <w:r>
        <w:rPr>
          <w:rStyle w:val="PleaseReviewParagraphId"/>
          <w:b w:val="off"/>
          <w:i w:val="off"/>
        </w:rPr>
        <w:t>[204]</w:t>
      </w:r>
      <w:r>
        <w:rPr>
          <w:color w:val="000000" w:themeColor="text1"/>
          <w:lang w:val="en-GB"/>
        </w:rPr>
        <w:t xml:space="preserve">Compared with rRNA, COI sequences in </w:t>
      </w:r>
      <w:r>
        <w:rPr>
          <w:i/>
          <w:iCs/>
          <w:color w:val="000000" w:themeColor="text1"/>
          <w:lang w:val="en-GB"/>
        </w:rPr>
        <w:t>M. mali</w:t>
      </w:r>
      <w:r>
        <w:rPr>
          <w:color w:val="000000" w:themeColor="text1"/>
          <w:lang w:val="en-GB"/>
        </w:rPr>
        <w:t xml:space="preserve"> are more homogeneous. If the sample’s COI pairwise sequence divergence compared with known </w:t>
      </w:r>
      <w:r>
        <w:rPr>
          <w:i/>
          <w:iCs/>
          <w:color w:val="000000" w:themeColor="text1"/>
          <w:lang w:val="en-GB"/>
        </w:rPr>
        <w:t>M. mali</w:t>
      </w:r>
      <w:r>
        <w:rPr>
          <w:color w:val="000000" w:themeColor="text1"/>
          <w:lang w:val="en-GB"/>
        </w:rPr>
        <w:t xml:space="preserve"> sequences is less than 1% but more than 1% compared with all other species, it is identified as </w:t>
      </w:r>
      <w:r>
        <w:rPr>
          <w:i/>
          <w:iCs/>
          <w:color w:val="000000" w:themeColor="text1"/>
          <w:lang w:val="en-GB"/>
        </w:rPr>
        <w:t>M. mali</w:t>
      </w:r>
      <w:r>
        <w:rPr>
          <w:color w:val="000000" w:themeColor="text1"/>
          <w:lang w:val="en-GB"/>
        </w:rPr>
        <w:t>.</w:t>
      </w:r>
    </w:p>
    <w:p w14:paraId="18F87310" w14:textId="7CBB73AE">
      <w:pPr>
        <w:pStyle w:val="IPPSubheadSpace"/>
        <w:rPr>
          <w:color w:val="000000" w:themeColor="text1"/>
        </w:rPr>
      </w:pPr>
      <w:r>
        <w:rPr>
          <w:rStyle w:val="PleaseReviewParagraphId"/>
          <w:b w:val="off"/>
          <w:i w:val="off"/>
        </w:rPr>
        <w:t>[205]</w:t>
      </w:r>
      <w:r>
        <w:rPr>
          <w:color w:val="000000" w:themeColor="text1"/>
        </w:rPr>
        <w:t>Controls for barcoding</w:t>
      </w:r>
    </w:p>
    <w:p w14:paraId="0E62FCEA" w14:textId="3E51D7F1">
      <w:pPr>
        <w:pStyle w:val="IPPParagraphnumbering"/>
        <w:numPr>
          <w:ilvl w:val="0"/>
          <w:numId w:val="0"/>
        </w:numPr>
        <w:rPr>
          <w:color w:val="000000" w:themeColor="text1"/>
          <w:lang w:val="en-GB"/>
        </w:rPr>
      </w:pPr>
      <w:r>
        <w:rPr>
          <w:rStyle w:val="PleaseReviewParagraphId"/>
          <w:b w:val="off"/>
          <w:i w:val="off"/>
        </w:rPr>
        <w:t>[206]</w:t>
      </w:r>
      <w:r>
        <w:rPr>
          <w:color w:val="000000" w:themeColor="text1"/>
          <w:lang w:val="en-GB"/>
        </w:rPr>
        <w:t xml:space="preserve">For the test result to be considered reliable, appropriate controls – which will depend on the type of method used for the test and the level of certainty required – should be considered for each series of nucleic acid isolations and amplifications of the target pest or target nucleic acid. </w:t>
      </w:r>
    </w:p>
    <w:p w14:paraId="068D5728" w14:textId="02616574">
      <w:pPr>
        <w:pStyle w:val="IPPParagraphnumbering"/>
        <w:numPr>
          <w:ilvl w:val="0"/>
          <w:numId w:val="0"/>
        </w:numPr>
        <w:rPr>
          <w:color w:val="000000" w:themeColor="text1"/>
          <w:lang w:val="en-GB"/>
        </w:rPr>
      </w:pPr>
      <w:r>
        <w:rPr>
          <w:rStyle w:val="PleaseReviewParagraphId"/>
          <w:b w:val="off"/>
          <w:i w:val="off"/>
        </w:rPr>
        <w:t>[207]</w:t>
      </w:r>
      <w:r>
        <w:rPr>
          <w:color w:val="000000" w:themeColor="text1"/>
          <w:lang w:val="en-GB"/>
        </w:rPr>
        <w:t xml:space="preserve">The minimum controls are described below, as well as additional controls that may be used for barcoding. </w:t>
      </w:r>
    </w:p>
    <w:p w14:paraId="77554B35" w14:textId="6D7DCCC2">
      <w:pPr>
        <w:pStyle w:val="IPPParagraphnumbering"/>
        <w:numPr>
          <w:ilvl w:val="0"/>
          <w:numId w:val="0"/>
        </w:numPr>
        <w:rPr>
          <w:color w:val="000000" w:themeColor="text1"/>
          <w:lang w:val="en-GB"/>
        </w:rPr>
      </w:pPr>
      <w:r>
        <w:rPr>
          <w:rStyle w:val="PleaseReviewParagraphId"/>
          <w:b w:val="off"/>
          <w:i w:val="off"/>
        </w:rPr>
        <w:t>[208]</w:t>
      </w:r>
      <w:r>
        <w:rPr>
          <w:rStyle w:val="IPPNormalbold"/>
          <w:color w:val="000000" w:themeColor="text1"/>
          <w:lang w:val="en-GB"/>
        </w:rPr>
        <w:lastRenderedPageBreak/>
        <w:t>Positive nucleic acid control.</w:t>
      </w:r>
      <w:r>
        <w:rPr>
          <w:color w:val="000000" w:themeColor="text1"/>
          <w:lang w:val="en-GB"/>
        </w:rPr>
        <w:t xml:space="preserve"> This control is used to monitor the efficiency of PCR amplification. Preprepared (stored) nucleic acid, whole genomic DNA or a synthetic control (e.g. cloned PCR product) may be used.</w:t>
      </w:r>
    </w:p>
    <w:p w14:paraId="1E331A81" w14:textId="77777777">
      <w:pPr>
        <w:pStyle w:val="IPPParagraphnumbering"/>
        <w:numPr>
          <w:ilvl w:val="0"/>
          <w:numId w:val="0"/>
        </w:numPr>
        <w:rPr>
          <w:color w:val="000000" w:themeColor="text1"/>
          <w:lang w:val="en-GB"/>
        </w:rPr>
      </w:pPr>
      <w:r>
        <w:rPr>
          <w:rStyle w:val="PleaseReviewParagraphId"/>
          <w:b w:val="off"/>
          <w:i w:val="off"/>
        </w:rPr>
        <w:t>[209]</w:t>
      </w:r>
      <w:r>
        <w:rPr>
          <w:rStyle w:val="IPPNormalbold"/>
          <w:color w:val="000000" w:themeColor="text1"/>
          <w:lang w:val="en-GB"/>
        </w:rPr>
        <w:t>Negative amplification control (no template control).</w:t>
      </w:r>
      <w:r>
        <w:rPr>
          <w:color w:val="000000" w:themeColor="text1"/>
          <w:lang w:val="en-GB"/>
        </w:rPr>
        <w:t xml:space="preserve"> This control is necessary for conventional and real-time PCR to rule out false positives resulting from contamination during preparation of the reaction mixture. PCR-grade water that was used to prepare the reaction mixture is added at the amplification stage.</w:t>
      </w:r>
    </w:p>
    <w:p w14:paraId="298C9038" w14:textId="1910CAA6">
      <w:pPr>
        <w:pStyle w:val="IPPParagraphnumbering"/>
        <w:numPr>
          <w:ilvl w:val="0"/>
          <w:numId w:val="0"/>
        </w:numPr>
        <w:rPr>
          <w:color w:val="000000" w:themeColor="text1"/>
          <w:lang w:val="en-GB"/>
        </w:rPr>
      </w:pPr>
      <w:r>
        <w:rPr>
          <w:rStyle w:val="PleaseReviewParagraphId"/>
          <w:b w:val="off"/>
          <w:i w:val="off"/>
        </w:rPr>
        <w:t>[210]</w:t>
      </w:r>
      <w:r>
        <w:rPr>
          <w:rStyle w:val="IPPNormalbold"/>
          <w:color w:val="000000" w:themeColor="text1"/>
          <w:lang w:val="en-GB"/>
        </w:rPr>
        <w:t>Negative extraction control.</w:t>
      </w:r>
      <w:r>
        <w:rPr>
          <w:color w:val="000000" w:themeColor="text1"/>
          <w:lang w:val="en-GB"/>
        </w:rPr>
        <w:t xml:space="preserve"> This control is used to monitor contamination during nucleic acid extraction. Extraction buffer can be used as a negative extraction control. It is recommended that multiple controls be included when large numbers of positive samples are processed.</w:t>
      </w:r>
    </w:p>
    <w:p w14:paraId="10858784" w14:textId="44537F7A">
      <w:pPr>
        <w:pStyle w:val="IPPSubheadSpace"/>
        <w:rPr>
          <w:color w:val="000000" w:themeColor="text1"/>
        </w:rPr>
      </w:pPr>
      <w:r>
        <w:rPr>
          <w:rStyle w:val="PleaseReviewParagraphId"/>
          <w:b w:val="off"/>
          <w:i w:val="off"/>
        </w:rPr>
        <w:t>[211]</w:t>
      </w:r>
      <w:r>
        <w:rPr>
          <w:color w:val="000000" w:themeColor="text1"/>
        </w:rPr>
        <w:t xml:space="preserve">Interpretation of results from PCR </w:t>
      </w:r>
    </w:p>
    <w:p w14:paraId="18E86380" w14:textId="7B7DF145">
      <w:pPr>
        <w:pStyle w:val="IPPParagraphnumberingclose"/>
        <w:numPr>
          <w:ilvl w:val="0"/>
          <w:numId w:val="0"/>
        </w:numPr>
        <w:rPr>
          <w:color w:val="000000" w:themeColor="text1"/>
          <w:lang w:val="en-GB"/>
        </w:rPr>
      </w:pPr>
      <w:r>
        <w:rPr>
          <w:rStyle w:val="PleaseReviewParagraphId"/>
          <w:b w:val="off"/>
          <w:i w:val="off"/>
        </w:rPr>
        <w:t>[212]</w:t>
      </w:r>
      <w:r>
        <w:rPr>
          <w:color w:val="000000" w:themeColor="text1"/>
          <w:lang w:val="en-GB"/>
        </w:rPr>
        <w:t xml:space="preserve">The PCR will be considered valid only if these criteria are met: </w:t>
      </w:r>
    </w:p>
    <w:p w14:paraId="263DE5B7" w14:textId="41A8270B">
      <w:pPr>
        <w:pStyle w:val="IPPBullet1"/>
        <w:rPr>
          <w:color w:val="000000" w:themeColor="text1"/>
          <w:lang w:val="en-GB"/>
        </w:rPr>
      </w:pPr>
      <w:r>
        <w:rPr>
          <w:rStyle w:val="PleaseReviewParagraphId"/>
          <w:b w:val="off"/>
          <w:i w:val="off"/>
        </w:rPr>
        <w:t>[213]</w:t>
      </w:r>
      <w:r>
        <w:rPr>
          <w:color w:val="000000" w:themeColor="text1"/>
          <w:lang w:val="en-GB"/>
        </w:rPr>
        <w:t>the positive control produces amplicons of the expected size for the target nematode;</w:t>
      </w:r>
    </w:p>
    <w:p w14:paraId="6FE5A1F8" w14:textId="5DE96A45">
      <w:pPr>
        <w:pStyle w:val="IPPBullet1Last"/>
        <w:rPr>
          <w:color w:val="000000" w:themeColor="text1"/>
        </w:rPr>
      </w:pPr>
      <w:r>
        <w:rPr>
          <w:rStyle w:val="PleaseReviewParagraphId"/>
          <w:b w:val="off"/>
          <w:i w:val="off"/>
        </w:rPr>
        <w:t>[214]</w:t>
      </w:r>
      <w:r>
        <w:rPr>
          <w:color w:val="000000" w:themeColor="text1"/>
        </w:rPr>
        <w:t>the negative controls produce no amplicons of the expected size for the target nematode.</w:t>
      </w:r>
    </w:p>
    <w:p w14:paraId="48FBC074" w14:textId="5D3911CD">
      <w:pPr>
        <w:pStyle w:val="IPPHeading2"/>
        <w:rPr>
          <w:color w:val="000000" w:themeColor="text1"/>
        </w:rPr>
      </w:pPr>
      <w:r>
        <w:rPr>
          <w:rStyle w:val="PleaseReviewParagraphId"/>
          <w:b w:val="off"/>
          <w:i w:val="off"/>
        </w:rPr>
        <w:t>[215]</w:t>
      </w:r>
      <w:r>
        <w:rPr>
          <w:color w:val="000000" w:themeColor="text1"/>
        </w:rPr>
        <w:t>4.4</w:t>
        <w:tab/>
        <w:t>Identification using a biochemical method: isozyme electrophoresis</w:t>
      </w:r>
    </w:p>
    <w:p w14:paraId="42FA310D" w14:textId="124C65AA">
      <w:pPr>
        <w:pStyle w:val="IPPParagraphnumbering"/>
        <w:numPr>
          <w:ilvl w:val="0"/>
          <w:numId w:val="0"/>
        </w:numPr>
        <w:rPr>
          <w:color w:val="000000" w:themeColor="text1"/>
          <w:szCs w:val="22"/>
          <w:lang w:val="en-GB"/>
        </w:rPr>
      </w:pPr>
      <w:r>
        <w:rPr>
          <w:rStyle w:val="PleaseReviewParagraphId"/>
          <w:b w:val="off"/>
          <w:i w:val="off"/>
        </w:rPr>
        <w:t>[216]</w:t>
      </w:r>
      <w:r>
        <w:rPr>
          <w:bCs/>
          <w:color w:val="000000" w:themeColor="text1"/>
          <w:szCs w:val="22"/>
          <w:lang w:val="en-GB"/>
        </w:rPr>
        <w:t xml:space="preserve">Isozymes are very useful for the identification of root-knot nematodes and are therefore usually included in the descriptions of new </w:t>
      </w:r>
      <w:r>
        <w:rPr>
          <w:bCs/>
          <w:i/>
          <w:iCs/>
          <w:color w:val="000000" w:themeColor="text1"/>
          <w:szCs w:val="22"/>
          <w:lang w:val="en-GB"/>
        </w:rPr>
        <w:t xml:space="preserve">Meloidogyne </w:t>
      </w:r>
      <w:r>
        <w:rPr>
          <w:bCs/>
          <w:color w:val="000000" w:themeColor="text1"/>
          <w:szCs w:val="22"/>
          <w:lang w:val="en-GB"/>
        </w:rPr>
        <w:t xml:space="preserve">species. In particular, the isozymes esterase (EST; EC 3.1.1.1) and malate dehydrogenase (MDH; EC 1.1.1.37) are commonly used for the identification of young egg-laying </w:t>
      </w:r>
      <w:r>
        <w:rPr>
          <w:bCs/>
          <w:i/>
          <w:iCs/>
          <w:color w:val="000000" w:themeColor="text1"/>
          <w:szCs w:val="22"/>
          <w:lang w:val="en-GB"/>
        </w:rPr>
        <w:t>Meloidogyne</w:t>
      </w:r>
      <w:r>
        <w:rPr>
          <w:bCs/>
          <w:color w:val="000000" w:themeColor="text1"/>
          <w:szCs w:val="22"/>
          <w:lang w:val="en-GB"/>
        </w:rPr>
        <w:t xml:space="preserve"> females. This life stage is used because it has the highest protein content. The advantages of the isozyme electrophoresis method are that it is relatively simple, cheap and fast (within four hours, a complete run can be performed, including preparation and staining). It can also detect species mixtures easily when individual females are used. For most described </w:t>
      </w:r>
      <w:r>
        <w:rPr>
          <w:bCs/>
          <w:i/>
          <w:iCs/>
          <w:color w:val="000000" w:themeColor="text1"/>
          <w:szCs w:val="22"/>
          <w:lang w:val="en-GB"/>
        </w:rPr>
        <w:t xml:space="preserve">Meloidogyne </w:t>
      </w:r>
      <w:r>
        <w:rPr>
          <w:bCs/>
          <w:color w:val="000000" w:themeColor="text1"/>
          <w:szCs w:val="22"/>
          <w:lang w:val="en-GB"/>
        </w:rPr>
        <w:t xml:space="preserve">species, the isozymes patterns are available (see Subbotin, </w:t>
      </w:r>
      <w:r>
        <w:rPr>
          <w:bCs/>
          <w:color w:val="000000" w:themeColor="text1"/>
          <w:lang w:val="en-GB" w:eastAsia="en-GB"/>
        </w:rPr>
        <w:t>Palomares-Rius and Castillo</w:t>
      </w:r>
      <w:r>
        <w:rPr>
          <w:bCs/>
          <w:color w:val="000000" w:themeColor="text1"/>
          <w:szCs w:val="22"/>
          <w:lang w:val="en-GB"/>
        </w:rPr>
        <w:t xml:space="preserve">, 2021). The disadvantage of this method is the need for young egg-laying females; this stage is not always available. It can be overcome by first culturing a particular </w:t>
      </w:r>
      <w:r>
        <w:rPr>
          <w:bCs/>
          <w:i/>
          <w:iCs/>
          <w:color w:val="000000" w:themeColor="text1"/>
          <w:szCs w:val="22"/>
          <w:lang w:val="en-GB"/>
        </w:rPr>
        <w:t>Meloidogyne</w:t>
      </w:r>
      <w:r>
        <w:rPr>
          <w:bCs/>
          <w:color w:val="000000" w:themeColor="text1"/>
          <w:szCs w:val="22"/>
          <w:lang w:val="en-GB"/>
        </w:rPr>
        <w:t xml:space="preserve"> species, but this is time-consuming (taking 6 to 12 weeks).</w:t>
      </w:r>
    </w:p>
    <w:p w14:paraId="7D709A98" w14:textId="779DF877">
      <w:pPr>
        <w:pStyle w:val="IPPParagraphnumbering"/>
        <w:numPr>
          <w:ilvl w:val="0"/>
          <w:numId w:val="0"/>
        </w:numPr>
        <w:rPr>
          <w:color w:val="000000" w:themeColor="text1"/>
          <w:szCs w:val="22"/>
          <w:lang w:val="en-GB"/>
        </w:rPr>
      </w:pPr>
      <w:r>
        <w:rPr>
          <w:rStyle w:val="PleaseReviewParagraphId"/>
          <w:b w:val="off"/>
          <w:i w:val="off"/>
        </w:rPr>
        <w:t>[217]</w:t>
      </w:r>
      <w:r>
        <w:rPr>
          <w:bCs/>
          <w:color w:val="000000" w:themeColor="text1"/>
          <w:szCs w:val="22"/>
          <w:lang w:val="en-GB"/>
        </w:rPr>
        <w:t xml:space="preserve">The recommended method is from Esbenshade and Triantaphyllou (1985). This is a native polyacrylamide thin-slab gel electrophoresis method in a discontinuous buffer system. Several useful polyacrylamide electrophoresis systems are available, including systems with prefabricated gels and mini gel tanks. Note that the PhastSystem, a partly automated micro gel electrophoresis apparatus, is no longer available (Karssen </w:t>
      </w:r>
      <w:r>
        <w:rPr>
          <w:bCs/>
          <w:i/>
          <w:iCs/>
          <w:color w:val="000000" w:themeColor="text1"/>
          <w:szCs w:val="22"/>
          <w:lang w:val="en-GB"/>
        </w:rPr>
        <w:t>et al.</w:t>
      </w:r>
      <w:r>
        <w:rPr>
          <w:bCs/>
          <w:color w:val="000000" w:themeColor="text1"/>
          <w:szCs w:val="22"/>
          <w:lang w:val="en-GB"/>
        </w:rPr>
        <w:t xml:space="preserve">, 1995). </w:t>
      </w:r>
    </w:p>
    <w:p w14:paraId="63E7AC9B" w14:textId="2C9B8C61">
      <w:pPr>
        <w:pStyle w:val="IPPParagraphnumbering"/>
        <w:numPr>
          <w:ilvl w:val="0"/>
          <w:numId w:val="0"/>
        </w:numPr>
        <w:rPr>
          <w:color w:val="000000" w:themeColor="text1"/>
          <w:lang w:val="en-GB"/>
        </w:rPr>
      </w:pPr>
      <w:r>
        <w:rPr>
          <w:rStyle w:val="PleaseReviewParagraphId"/>
          <w:b w:val="off"/>
          <w:i w:val="off"/>
        </w:rPr>
        <w:t>[218]</w:t>
      </w:r>
      <w:r>
        <w:rPr>
          <w:color w:val="000000" w:themeColor="text1"/>
          <w:szCs w:val="22"/>
          <w:lang w:val="en-GB"/>
        </w:rPr>
        <w:t xml:space="preserve">For staining gels, it is recommended that one gel be stained for </w:t>
      </w:r>
      <w:r>
        <w:rPr>
          <w:color w:val="000000" w:themeColor="text1"/>
          <w:lang w:val="en-GB"/>
        </w:rPr>
        <w:t xml:space="preserve">EST </w:t>
      </w:r>
      <w:r>
        <w:rPr>
          <w:color w:val="000000" w:themeColor="text1"/>
          <w:szCs w:val="22"/>
          <w:lang w:val="en-GB"/>
        </w:rPr>
        <w:t>activity and another for MDH</w:t>
      </w:r>
      <w:r>
        <w:rPr>
          <w:color w:val="000000" w:themeColor="text1"/>
          <w:lang w:val="en-GB"/>
        </w:rPr>
        <w:t xml:space="preserve">, with </w:t>
      </w:r>
      <w:r>
        <w:rPr>
          <w:color w:val="000000" w:themeColor="text1"/>
          <w:szCs w:val="22"/>
          <w:lang w:val="en-GB"/>
        </w:rPr>
        <w:t xml:space="preserve">staining solutions </w:t>
      </w:r>
      <w:r>
        <w:rPr>
          <w:color w:val="000000" w:themeColor="text1"/>
          <w:lang w:val="en-GB"/>
        </w:rPr>
        <w:t xml:space="preserve">prepared </w:t>
      </w:r>
      <w:r>
        <w:rPr>
          <w:color w:val="000000" w:themeColor="text1"/>
          <w:szCs w:val="22"/>
          <w:lang w:val="en-GB"/>
        </w:rPr>
        <w:t>according to Table 2.</w:t>
      </w:r>
      <w:r>
        <w:rPr>
          <w:color w:val="000000" w:themeColor="text1"/>
          <w:lang w:val="en-GB"/>
        </w:rPr>
        <w:t xml:space="preserve"> S</w:t>
      </w:r>
      <w:r>
        <w:rPr>
          <w:color w:val="000000" w:themeColor="text1"/>
          <w:szCs w:val="22"/>
          <w:lang w:val="en-GB"/>
        </w:rPr>
        <w:t>taining solution</w:t>
      </w:r>
      <w:r>
        <w:rPr>
          <w:color w:val="000000" w:themeColor="text1"/>
          <w:lang w:val="en-GB"/>
        </w:rPr>
        <w:t>s are added</w:t>
      </w:r>
      <w:r>
        <w:rPr>
          <w:color w:val="000000" w:themeColor="text1"/>
          <w:szCs w:val="22"/>
          <w:lang w:val="en-GB"/>
        </w:rPr>
        <w:t xml:space="preserve"> to each gel and the gel then incubate</w:t>
      </w:r>
      <w:r>
        <w:rPr>
          <w:color w:val="000000" w:themeColor="text1"/>
          <w:lang w:val="en-GB"/>
        </w:rPr>
        <w:t>d</w:t>
      </w:r>
      <w:r>
        <w:rPr>
          <w:color w:val="000000" w:themeColor="text1"/>
          <w:szCs w:val="22"/>
          <w:lang w:val="en-GB"/>
        </w:rPr>
        <w:t xml:space="preserve"> at</w:t>
      </w:r>
      <w:r>
        <w:rPr>
          <w:color w:val="000000" w:themeColor="text1"/>
          <w:lang w:val="en-GB"/>
        </w:rPr>
        <w:t xml:space="preserve"> </w:t>
      </w:r>
      <w:r>
        <w:rPr>
          <w:color w:val="000000" w:themeColor="text1"/>
          <w:szCs w:val="22"/>
          <w:lang w:val="en-GB"/>
        </w:rPr>
        <w:t>37 °C in the dark.</w:t>
      </w:r>
      <w:r>
        <w:rPr>
          <w:color w:val="000000" w:themeColor="text1"/>
          <w:lang w:val="en-GB"/>
        </w:rPr>
        <w:t xml:space="preserve"> </w:t>
      </w:r>
      <w:r>
        <w:rPr>
          <w:color w:val="000000" w:themeColor="text1"/>
          <w:szCs w:val="22"/>
          <w:lang w:val="en-GB"/>
        </w:rPr>
        <w:t>The total staining times for EST and MDH are 60 min and</w:t>
      </w:r>
      <w:r>
        <w:rPr>
          <w:color w:val="000000" w:themeColor="text1"/>
          <w:lang w:val="en-GB"/>
        </w:rPr>
        <w:t xml:space="preserve"> </w:t>
      </w:r>
      <w:r>
        <w:rPr>
          <w:color w:val="000000" w:themeColor="text1"/>
          <w:szCs w:val="22"/>
          <w:lang w:val="en-GB"/>
        </w:rPr>
        <w:t>5 min, respectively.</w:t>
      </w:r>
    </w:p>
    <w:p w14:paraId="49D5AC05" w14:textId="1AF79A04">
      <w:pPr>
        <w:pStyle w:val="IPPParagraphnumbering"/>
        <w:numPr>
          <w:ilvl w:val="0"/>
          <w:numId w:val="0"/>
        </w:numPr>
        <w:rPr>
          <w:color w:val="000000" w:themeColor="text1"/>
          <w:lang w:val="en-GB"/>
        </w:rPr>
      </w:pPr>
      <w:r>
        <w:rPr>
          <w:rStyle w:val="PleaseReviewParagraphId"/>
          <w:b w:val="off"/>
          <w:i w:val="off"/>
        </w:rPr>
        <w:t>[219]</w:t>
      </w:r>
      <w:r>
        <w:rPr>
          <w:color w:val="000000" w:themeColor="text1"/>
          <w:szCs w:val="22"/>
          <w:lang w:val="en-GB"/>
        </w:rPr>
        <w:t xml:space="preserve">The species-specific phenotype of </w:t>
      </w:r>
      <w:r>
        <w:rPr>
          <w:i/>
          <w:iCs/>
          <w:color w:val="000000" w:themeColor="text1"/>
          <w:szCs w:val="22"/>
          <w:lang w:val="en-GB"/>
        </w:rPr>
        <w:t>Meloidogyne javanica</w:t>
      </w:r>
      <w:r>
        <w:rPr>
          <w:color w:val="000000" w:themeColor="text1"/>
          <w:szCs w:val="22"/>
          <w:lang w:val="en-GB"/>
        </w:rPr>
        <w:t>, with relative mobility (Rm) values of 1.0, 1.25 and 1.4 (Figure 1</w:t>
      </w:r>
      <w:r>
        <w:rPr>
          <w:color w:val="000000" w:themeColor="text1"/>
          <w:lang w:val="en-GB"/>
        </w:rPr>
        <w:t>1</w:t>
      </w:r>
      <w:r>
        <w:rPr>
          <w:color w:val="000000" w:themeColor="text1"/>
          <w:szCs w:val="22"/>
          <w:lang w:val="en-GB"/>
        </w:rPr>
        <w:t>),</w:t>
      </w:r>
      <w:r>
        <w:rPr>
          <w:color w:val="000000" w:themeColor="text1"/>
          <w:lang w:val="en-GB"/>
        </w:rPr>
        <w:t xml:space="preserve"> </w:t>
      </w:r>
      <w:r>
        <w:rPr>
          <w:color w:val="000000" w:themeColor="text1"/>
          <w:szCs w:val="22"/>
          <w:lang w:val="en-GB"/>
        </w:rPr>
        <w:t>should be used as a standard control in each gel.</w:t>
      </w:r>
      <w:r>
        <w:rPr>
          <w:color w:val="000000" w:themeColor="text1"/>
          <w:lang w:val="en-GB"/>
        </w:rPr>
        <w:t xml:space="preserve"> </w:t>
      </w:r>
      <w:r>
        <w:rPr>
          <w:color w:val="000000" w:themeColor="text1"/>
          <w:szCs w:val="22"/>
          <w:lang w:val="en-GB"/>
        </w:rPr>
        <w:t xml:space="preserve">The EST and MDH isozyme pattern for </w:t>
      </w:r>
      <w:r>
        <w:rPr>
          <w:i/>
          <w:iCs/>
          <w:color w:val="000000" w:themeColor="text1"/>
          <w:szCs w:val="22"/>
          <w:lang w:val="en-GB"/>
        </w:rPr>
        <w:t xml:space="preserve">M. mali </w:t>
      </w:r>
      <w:r>
        <w:rPr>
          <w:color w:val="000000" w:themeColor="text1"/>
          <w:szCs w:val="22"/>
          <w:lang w:val="en-GB"/>
        </w:rPr>
        <w:t>can</w:t>
      </w:r>
      <w:r>
        <w:rPr>
          <w:color w:val="000000" w:themeColor="text1"/>
          <w:lang w:val="en-GB"/>
        </w:rPr>
        <w:t xml:space="preserve"> </w:t>
      </w:r>
      <w:r>
        <w:rPr>
          <w:color w:val="000000" w:themeColor="text1"/>
          <w:szCs w:val="22"/>
          <w:lang w:val="en-GB"/>
        </w:rPr>
        <w:t>be compared with the isozyme data of Carneiro</w:t>
      </w:r>
      <w:r>
        <w:rPr>
          <w:color w:val="000000" w:themeColor="text1"/>
          <w:lang w:val="en-GB"/>
        </w:rPr>
        <w:t xml:space="preserve"> </w:t>
      </w:r>
      <w:r>
        <w:rPr>
          <w:i/>
          <w:iCs/>
          <w:color w:val="000000" w:themeColor="text1"/>
          <w:szCs w:val="22"/>
          <w:lang w:val="en-GB"/>
        </w:rPr>
        <w:t>et al</w:t>
      </w:r>
      <w:r>
        <w:rPr>
          <w:color w:val="000000" w:themeColor="text1"/>
          <w:szCs w:val="22"/>
          <w:lang w:val="en-GB"/>
        </w:rPr>
        <w:t>. (2000), Esbenshade and Triantaphyllou</w:t>
      </w:r>
      <w:r>
        <w:rPr>
          <w:color w:val="000000" w:themeColor="text1"/>
          <w:lang w:val="en-GB"/>
        </w:rPr>
        <w:t xml:space="preserve"> </w:t>
      </w:r>
      <w:r>
        <w:rPr>
          <w:color w:val="000000" w:themeColor="text1"/>
          <w:szCs w:val="22"/>
          <w:lang w:val="en-GB"/>
        </w:rPr>
        <w:t>(1985) and Subbotin</w:t>
      </w:r>
      <w:r>
        <w:rPr>
          <w:color w:val="000000" w:themeColor="text1"/>
          <w:lang w:val="en-GB"/>
        </w:rPr>
        <w:t xml:space="preserve">, </w:t>
      </w:r>
      <w:r>
        <w:rPr>
          <w:bCs/>
          <w:color w:val="000000" w:themeColor="text1"/>
          <w:lang w:val="en-GB" w:eastAsia="en-GB"/>
        </w:rPr>
        <w:t>Palomares-Rius and Castillo</w:t>
      </w:r>
      <w:r>
        <w:rPr>
          <w:color w:val="000000" w:themeColor="text1"/>
          <w:szCs w:val="22"/>
          <w:lang w:val="en-GB"/>
        </w:rPr>
        <w:t xml:space="preserve"> (2021). </w:t>
      </w:r>
      <w:r>
        <w:rPr>
          <w:i/>
          <w:iCs/>
          <w:color w:val="000000" w:themeColor="text1"/>
          <w:szCs w:val="22"/>
          <w:lang w:val="en-GB"/>
        </w:rPr>
        <w:t>M. mali</w:t>
      </w:r>
      <w:r>
        <w:rPr>
          <w:color w:val="000000" w:themeColor="text1"/>
          <w:szCs w:val="22"/>
          <w:lang w:val="en-GB"/>
        </w:rPr>
        <w:t xml:space="preserve"> has a weak single EST band,</w:t>
      </w:r>
      <w:r>
        <w:rPr>
          <w:color w:val="000000" w:themeColor="text1"/>
          <w:lang w:val="en-GB"/>
        </w:rPr>
        <w:t xml:space="preserve"> </w:t>
      </w:r>
      <w:r>
        <w:rPr>
          <w:color w:val="000000" w:themeColor="text1"/>
          <w:szCs w:val="22"/>
          <w:lang w:val="en-GB"/>
        </w:rPr>
        <w:t>the VS1 type, as in Figure 1</w:t>
      </w:r>
      <w:r>
        <w:rPr>
          <w:color w:val="000000" w:themeColor="text1"/>
          <w:lang w:val="en-GB"/>
        </w:rPr>
        <w:t>1</w:t>
      </w:r>
      <w:r>
        <w:rPr>
          <w:color w:val="000000" w:themeColor="text1"/>
          <w:szCs w:val="22"/>
          <w:lang w:val="en-GB"/>
        </w:rPr>
        <w:t>A (see Esbenshade and Triantaphyllou (1985) for the isozyme notations or types)), while the MDH</w:t>
      </w:r>
      <w:r>
        <w:rPr>
          <w:color w:val="000000" w:themeColor="text1"/>
          <w:lang w:val="en-GB"/>
        </w:rPr>
        <w:t xml:space="preserve"> </w:t>
      </w:r>
      <w:r>
        <w:rPr>
          <w:color w:val="000000" w:themeColor="text1"/>
          <w:szCs w:val="22"/>
          <w:lang w:val="en-GB"/>
        </w:rPr>
        <w:t>N1 type (Figure 1</w:t>
      </w:r>
      <w:r>
        <w:rPr>
          <w:color w:val="000000" w:themeColor="text1"/>
          <w:lang w:val="en-GB"/>
        </w:rPr>
        <w:t>1</w:t>
      </w:r>
      <w:r>
        <w:rPr>
          <w:color w:val="000000" w:themeColor="text1"/>
          <w:szCs w:val="22"/>
          <w:lang w:val="en-GB"/>
        </w:rPr>
        <w:t>B) is most common. N1a and N3</w:t>
      </w:r>
      <w:r>
        <w:rPr>
          <w:color w:val="000000" w:themeColor="text1"/>
          <w:lang w:val="en-GB"/>
        </w:rPr>
        <w:t xml:space="preserve"> </w:t>
      </w:r>
      <w:r>
        <w:rPr>
          <w:color w:val="000000" w:themeColor="text1"/>
          <w:szCs w:val="22"/>
          <w:lang w:val="en-GB"/>
        </w:rPr>
        <w:t xml:space="preserve">types have also been observed within </w:t>
      </w:r>
      <w:r>
        <w:rPr>
          <w:i/>
          <w:iCs/>
          <w:color w:val="000000" w:themeColor="text1"/>
          <w:szCs w:val="22"/>
          <w:lang w:val="en-GB"/>
        </w:rPr>
        <w:t>M. mali</w:t>
      </w:r>
      <w:r>
        <w:rPr>
          <w:color w:val="000000" w:themeColor="text1"/>
          <w:lang w:val="en-GB"/>
        </w:rPr>
        <w:t xml:space="preserve"> </w:t>
      </w:r>
      <w:r>
        <w:rPr>
          <w:color w:val="000000" w:themeColor="text1"/>
          <w:szCs w:val="22"/>
          <w:lang w:val="en-GB"/>
        </w:rPr>
        <w:t xml:space="preserve">(Ahmed </w:t>
      </w:r>
      <w:r>
        <w:rPr>
          <w:i/>
          <w:iCs/>
          <w:color w:val="000000" w:themeColor="text1"/>
          <w:szCs w:val="22"/>
          <w:lang w:val="en-GB"/>
        </w:rPr>
        <w:t>et al</w:t>
      </w:r>
      <w:r>
        <w:rPr>
          <w:color w:val="000000" w:themeColor="text1"/>
          <w:szCs w:val="22"/>
          <w:lang w:val="en-GB"/>
        </w:rPr>
        <w:t>., 2013; Figure 1</w:t>
      </w:r>
      <w:r>
        <w:rPr>
          <w:color w:val="000000" w:themeColor="text1"/>
          <w:lang w:val="en-GB"/>
        </w:rPr>
        <w:t>1</w:t>
      </w:r>
      <w:r>
        <w:rPr>
          <w:color w:val="000000" w:themeColor="text1"/>
          <w:szCs w:val="22"/>
          <w:lang w:val="en-GB"/>
        </w:rPr>
        <w:t>B, lanes 10 and 11,</w:t>
      </w:r>
      <w:r>
        <w:rPr>
          <w:color w:val="000000" w:themeColor="text1"/>
          <w:lang w:val="en-GB"/>
        </w:rPr>
        <w:t xml:space="preserve"> </w:t>
      </w:r>
      <w:r>
        <w:rPr>
          <w:color w:val="000000" w:themeColor="text1"/>
          <w:szCs w:val="22"/>
          <w:lang w:val="en-GB"/>
        </w:rPr>
        <w:t>respectively). Some variation in isozyme types is</w:t>
      </w:r>
      <w:r>
        <w:rPr>
          <w:color w:val="000000" w:themeColor="text1"/>
          <w:lang w:val="en-GB"/>
        </w:rPr>
        <w:t xml:space="preserve"> </w:t>
      </w:r>
      <w:r>
        <w:rPr>
          <w:color w:val="000000" w:themeColor="text1"/>
          <w:szCs w:val="22"/>
          <w:lang w:val="en-GB"/>
        </w:rPr>
        <w:t>common in sexually</w:t>
      </w:r>
      <w:r>
        <w:rPr>
          <w:color w:val="000000" w:themeColor="text1"/>
          <w:lang w:val="en-GB"/>
        </w:rPr>
        <w:t xml:space="preserve"> </w:t>
      </w:r>
      <w:r>
        <w:rPr>
          <w:color w:val="000000" w:themeColor="text1"/>
          <w:szCs w:val="22"/>
          <w:lang w:val="en-GB"/>
        </w:rPr>
        <w:t>reproducing organisms.</w:t>
      </w:r>
    </w:p>
    <w:p w14:paraId="6F4CAC50" w14:textId="27DC4D2B">
      <w:pPr>
        <w:pStyle w:val="IPPArial"/>
        <w:keepNext/>
        <w:spacing w:after="120"/>
        <w:rPr>
          <w:color w:val="000000" w:themeColor="text1"/>
        </w:rPr>
      </w:pPr>
      <w:r>
        <w:rPr>
          <w:rStyle w:val="PleaseReviewParagraphId"/>
          <w:b w:val="off"/>
          <w:i w:val="off"/>
        </w:rPr>
        <w:t>[220]</w:t>
      </w:r>
      <w:r>
        <w:rPr>
          <w:b/>
          <w:bCs/>
          <w:color w:val="000000" w:themeColor="text1"/>
        </w:rPr>
        <w:t>Table 2.</w:t>
      </w:r>
      <w:r>
        <w:rPr>
          <w:color w:val="000000" w:themeColor="text1"/>
        </w:rPr>
        <w:t xml:space="preserve"> Esterase and malate dehydrogenase staining solutions</w:t>
      </w:r>
    </w:p>
    <w:tbl>
      <w:tblPr>
        <w:tblStyle w:val="TableGrid"/>
        <w:tblW w:w="0" w:type="auto"/>
        <w:tblBorders>
          <w:left w:val="none" w:color="auto" w:sz="0" w:space="0"/>
          <w:right w:val="none" w:color="auto" w:sz="0" w:space="0"/>
          <w:insideH w:val="none" w:color="auto" w:sz="0" w:space="0"/>
        </w:tblBorders>
        <w:tblLook w:val="04A0" w:firstRow="1" w:lastRow="0" w:firstColumn="1" w:lastColumn="0" w:noHBand="0" w:noVBand="1"/>
      </w:tblPr>
      <w:tblGrid>
        <w:gridCol w:w="5240"/>
        <w:gridCol w:w="1134"/>
      </w:tblGrid>
      <w:tr w14:paraId="7B60C8F1" w14:textId="77777777">
        <w:trPr>
          <w:trHeight w:val="259"/>
        </w:trPr>
        <w:tc xmlns:tara="kcentrix:tara" tara:rowspan="1" tara:colspan="2">
          <w:tcPr>
            <w:tcW w:w="6374" w:type="dxa"/>
            <w:gridSpan w:val="2"/>
            <w:tcBorders>
              <w:top w:val="single" w:color="auto" w:sz="4" w:space="0"/>
              <w:bottom w:val="single" w:color="auto" w:sz="4" w:space="0"/>
            </w:tcBorders>
            <w:shd w:val="clear" w:color="auto" w:fill="BFBFBF" w:themeFill="background1" w:themeFillShade="BF"/>
          </w:tcPr>
          <w:p w14:paraId="6B7B7C69" w14:textId="77777777">
            <w:pPr>
              <w:pStyle w:val="IPPArialTable"/>
              <w:rPr>
                <w:b/>
                <w:bCs/>
                <w:color w:val="000000" w:themeColor="text1"/>
              </w:rPr>
            </w:pPr>
            <w:r>
              <w:rPr>
                <w:rStyle w:val="PleaseReviewParagraphId"/>
                <w:b w:val="off"/>
                <w:i w:val="off"/>
              </w:rPr>
              <w:t>[221]</w:t>
            </w:r>
            <w:r>
              <w:rPr>
                <w:b/>
                <w:bCs/>
                <w:color w:val="000000" w:themeColor="text1"/>
              </w:rPr>
              <w:t>Esterase</w:t>
            </w:r>
          </w:p>
        </w:tc>
      </w:tr>
      <w:tr w14:paraId="319D78B9" w14:textId="77777777">
        <w:trPr>
          <w:trHeight w:val="278"/>
        </w:trPr>
        <w:tc xmlns:tara="kcentrix:tara" tara:rowspan="1" tara:colspan="1">
          <w:tcPr>
            <w:tcW w:w="5240" w:type="dxa"/>
            <w:tcBorders>
              <w:top w:val="single" w:color="auto" w:sz="4" w:space="0"/>
              <w:right w:val="nil"/>
            </w:tcBorders>
          </w:tcPr>
          <w:p w14:paraId="4B09CF0B" w14:textId="435DA602">
            <w:pPr>
              <w:pStyle w:val="IPPArialTable"/>
              <w:rPr>
                <w:color w:val="000000" w:themeColor="text1"/>
              </w:rPr>
            </w:pPr>
            <w:r>
              <w:rPr>
                <w:rStyle w:val="PleaseReviewParagraphId"/>
                <w:b w:val="off"/>
                <w:i w:val="off"/>
              </w:rPr>
              <w:t>[222]</w:t>
            </w:r>
            <w:r>
              <w:rPr>
                <w:color w:val="000000" w:themeColor="text1"/>
              </w:rPr>
              <w:t>0.1 M phosphate buffer, pH 7.3</w:t>
            </w:r>
          </w:p>
        </w:tc>
        <w:tc xmlns:tara="kcentrix:tara" tara:rowspan="1" tara:colspan="1">
          <w:tcPr>
            <w:tcW w:w="1134" w:type="dxa"/>
            <w:tcBorders>
              <w:top w:val="single" w:color="auto" w:sz="4" w:space="0"/>
              <w:left w:val="nil"/>
              <w:bottom w:val="nil"/>
            </w:tcBorders>
          </w:tcPr>
          <w:p w14:paraId="5258BED3" w14:textId="7AB671F1">
            <w:pPr>
              <w:pStyle w:val="IPPArialTable"/>
              <w:rPr>
                <w:color w:val="000000" w:themeColor="text1"/>
              </w:rPr>
            </w:pPr>
            <w:r>
              <w:rPr>
                <w:rStyle w:val="PleaseReviewParagraphId"/>
                <w:b w:val="off"/>
                <w:i w:val="off"/>
              </w:rPr>
              <w:t>[223]</w:t>
            </w:r>
            <w:r>
              <w:rPr>
                <w:color w:val="000000" w:themeColor="text1"/>
              </w:rPr>
              <w:t>100 mL</w:t>
            </w:r>
          </w:p>
        </w:tc>
      </w:tr>
      <w:tr w14:paraId="04F90474" w14:textId="77777777">
        <w:trPr>
          <w:trHeight w:val="267"/>
        </w:trPr>
        <w:tc xmlns:tara="kcentrix:tara" tara:rowspan="1" tara:colspan="1">
          <w:tcPr>
            <w:tcW w:w="5240" w:type="dxa"/>
            <w:tcBorders>
              <w:right w:val="nil"/>
            </w:tcBorders>
          </w:tcPr>
          <w:p w14:paraId="012D2368" w14:textId="443E14E0">
            <w:pPr>
              <w:pStyle w:val="IPPArialTable"/>
              <w:rPr>
                <w:color w:val="000000" w:themeColor="text1"/>
              </w:rPr>
            </w:pPr>
            <w:r>
              <w:rPr>
                <w:rStyle w:val="PleaseReviewParagraphId"/>
                <w:b w:val="off"/>
                <w:i w:val="off"/>
              </w:rPr>
              <w:t>[224]</w:t>
            </w:r>
            <w:r>
              <w:rPr>
                <w:color w:val="000000" w:themeColor="text1"/>
              </w:rPr>
              <w:lastRenderedPageBreak/>
              <w:t>Fast blue RR salt</w:t>
            </w:r>
          </w:p>
        </w:tc>
        <w:tc xmlns:tara="kcentrix:tara" tara:rowspan="1" tara:colspan="1">
          <w:tcPr>
            <w:tcW w:w="1134" w:type="dxa"/>
            <w:tcBorders>
              <w:top w:val="nil"/>
              <w:left w:val="nil"/>
              <w:bottom w:val="nil"/>
            </w:tcBorders>
          </w:tcPr>
          <w:p w14:paraId="3BB40A39" w14:textId="1CB3A5A0">
            <w:pPr>
              <w:pStyle w:val="IPPArialTable"/>
              <w:rPr>
                <w:color w:val="000000" w:themeColor="text1"/>
              </w:rPr>
            </w:pPr>
            <w:r>
              <w:rPr>
                <w:rStyle w:val="PleaseReviewParagraphId"/>
                <w:b w:val="off"/>
                <w:i w:val="off"/>
              </w:rPr>
              <w:t>[225]</w:t>
            </w:r>
            <w:r>
              <w:rPr>
                <w:color w:val="000000" w:themeColor="text1"/>
              </w:rPr>
              <w:t>0.06 g</w:t>
            </w:r>
          </w:p>
        </w:tc>
      </w:tr>
      <w:tr w14:paraId="7D483FED" w14:textId="77777777">
        <w:trPr>
          <w:trHeight w:val="286"/>
        </w:trPr>
        <w:tc xmlns:tara="kcentrix:tara" tara:rowspan="1" tara:colspan="1">
          <w:tcPr>
            <w:tcW w:w="5240" w:type="dxa"/>
            <w:tcBorders>
              <w:right w:val="nil"/>
            </w:tcBorders>
          </w:tcPr>
          <w:p w14:paraId="602C899D" w14:textId="77777777">
            <w:pPr>
              <w:pStyle w:val="IPPArialTable"/>
              <w:rPr>
                <w:color w:val="000000" w:themeColor="text1"/>
              </w:rPr>
            </w:pPr>
            <w:r>
              <w:rPr>
                <w:rStyle w:val="PleaseReviewParagraphId"/>
                <w:b w:val="off"/>
                <w:i w:val="off"/>
              </w:rPr>
              <w:t>[226]</w:t>
            </w:r>
            <w:r>
              <w:rPr>
                <w:color w:val="000000" w:themeColor="text1"/>
              </w:rPr>
              <w:t>EDTA</w:t>
            </w:r>
          </w:p>
        </w:tc>
        <w:tc xmlns:tara="kcentrix:tara" tara:rowspan="1" tara:colspan="1">
          <w:tcPr>
            <w:tcW w:w="1134" w:type="dxa"/>
            <w:tcBorders>
              <w:top w:val="nil"/>
              <w:left w:val="nil"/>
              <w:bottom w:val="nil"/>
            </w:tcBorders>
          </w:tcPr>
          <w:p w14:paraId="27A84412" w14:textId="32E5B335">
            <w:pPr>
              <w:pStyle w:val="IPPArialTable"/>
              <w:rPr>
                <w:color w:val="000000" w:themeColor="text1"/>
              </w:rPr>
            </w:pPr>
            <w:r>
              <w:rPr>
                <w:rStyle w:val="PleaseReviewParagraphId"/>
                <w:b w:val="off"/>
                <w:i w:val="off"/>
              </w:rPr>
              <w:t>[227]</w:t>
            </w:r>
            <w:r>
              <w:rPr>
                <w:color w:val="000000" w:themeColor="text1"/>
              </w:rPr>
              <w:t>0.03 g</w:t>
            </w:r>
          </w:p>
        </w:tc>
      </w:tr>
      <w:tr w14:paraId="430B6447" w14:textId="77777777">
        <w:trPr>
          <w:trHeight w:val="261"/>
        </w:trPr>
        <w:tc xmlns:tara="kcentrix:tara" tara:rowspan="1" tara:colspan="1">
          <w:tcPr>
            <w:tcW w:w="5240" w:type="dxa"/>
            <w:tcBorders>
              <w:bottom w:val="single" w:color="auto" w:sz="4" w:space="0"/>
              <w:right w:val="nil"/>
            </w:tcBorders>
          </w:tcPr>
          <w:p w14:paraId="57C95BAF" w14:textId="1EBF85B9">
            <w:pPr>
              <w:pStyle w:val="IPPArialTable"/>
              <w:rPr>
                <w:color w:val="000000" w:themeColor="text1"/>
              </w:rPr>
            </w:pPr>
            <w:r>
              <w:rPr>
                <w:rStyle w:val="PleaseReviewParagraphId"/>
                <w:b w:val="off"/>
                <w:i w:val="off"/>
              </w:rPr>
              <w:t>[228]</w:t>
            </w:r>
            <w:r>
              <w:rPr>
                <w:color w:val="000000" w:themeColor="text1"/>
              </w:rPr>
              <w:t>Alpha-naphthyl acetate (dissolved in 2 mL acetone)</w:t>
            </w:r>
          </w:p>
        </w:tc>
        <w:tc xmlns:tara="kcentrix:tara" tara:rowspan="1" tara:colspan="1">
          <w:tcPr>
            <w:tcW w:w="1134" w:type="dxa"/>
            <w:tcBorders>
              <w:top w:val="nil"/>
              <w:left w:val="nil"/>
              <w:bottom w:val="single" w:color="auto" w:sz="4" w:space="0"/>
            </w:tcBorders>
          </w:tcPr>
          <w:p w14:paraId="62CF3AB0" w14:textId="3479CC5F">
            <w:pPr>
              <w:pStyle w:val="IPPArialTable"/>
              <w:rPr>
                <w:color w:val="000000" w:themeColor="text1"/>
              </w:rPr>
            </w:pPr>
            <w:r>
              <w:rPr>
                <w:rStyle w:val="PleaseReviewParagraphId"/>
                <w:b w:val="off"/>
                <w:i w:val="off"/>
              </w:rPr>
              <w:t>[229]</w:t>
            </w:r>
            <w:r>
              <w:rPr>
                <w:color w:val="000000" w:themeColor="text1"/>
              </w:rPr>
              <w:t>0.04 g</w:t>
            </w:r>
          </w:p>
        </w:tc>
      </w:tr>
      <w:tr w14:paraId="190F395F" w14:textId="77777777">
        <w:trPr>
          <w:trHeight w:val="280"/>
        </w:trPr>
        <w:tc xmlns:tara="kcentrix:tara" tara:rowspan="1" tara:colspan="2">
          <w:tcPr>
            <w:tcW w:w="6374" w:type="dxa"/>
            <w:gridSpan w:val="2"/>
            <w:tcBorders>
              <w:top w:val="single" w:color="auto" w:sz="4" w:space="0"/>
              <w:bottom w:val="single" w:color="auto" w:sz="4" w:space="0"/>
            </w:tcBorders>
            <w:shd w:val="clear" w:color="auto" w:fill="BFBFBF" w:themeFill="background1" w:themeFillShade="BF"/>
          </w:tcPr>
          <w:p w14:paraId="2712D8AD" w14:textId="77777777">
            <w:pPr>
              <w:pStyle w:val="IPPArialTable"/>
              <w:rPr>
                <w:b/>
                <w:bCs/>
                <w:color w:val="000000" w:themeColor="text1"/>
              </w:rPr>
            </w:pPr>
            <w:r>
              <w:rPr>
                <w:rStyle w:val="PleaseReviewParagraphId"/>
                <w:b w:val="off"/>
                <w:i w:val="off"/>
              </w:rPr>
              <w:t>[230]</w:t>
            </w:r>
            <w:r>
              <w:rPr>
                <w:b/>
                <w:bCs/>
                <w:color w:val="000000" w:themeColor="text1"/>
              </w:rPr>
              <w:t>Malate dehydrogenase</w:t>
            </w:r>
          </w:p>
        </w:tc>
      </w:tr>
      <w:tr w14:paraId="3D58B6CB" w14:textId="77777777">
        <w:trPr>
          <w:trHeight w:val="269"/>
        </w:trPr>
        <w:tc xmlns:tara="kcentrix:tara" tara:rowspan="1" tara:colspan="1">
          <w:tcPr>
            <w:tcW w:w="5240" w:type="dxa"/>
            <w:tcBorders>
              <w:top w:val="single" w:color="auto" w:sz="4" w:space="0"/>
              <w:right w:val="nil"/>
            </w:tcBorders>
          </w:tcPr>
          <w:p w14:paraId="7818A0CA" w14:textId="77777777">
            <w:pPr>
              <w:pStyle w:val="IPPArialTable"/>
              <w:rPr>
                <w:color w:val="000000" w:themeColor="text1"/>
              </w:rPr>
            </w:pPr>
            <w:r>
              <w:rPr>
                <w:rStyle w:val="PleaseReviewParagraphId"/>
                <w:b w:val="off"/>
                <w:i w:val="off"/>
              </w:rPr>
              <w:t>[231]</w:t>
            </w:r>
            <w:r>
              <w:rPr>
                <w:color w:val="000000" w:themeColor="text1"/>
              </w:rPr>
              <w:t>Beta-NAD</w:t>
            </w:r>
          </w:p>
        </w:tc>
        <w:tc xmlns:tara="kcentrix:tara" tara:rowspan="1" tara:colspan="1">
          <w:tcPr>
            <w:tcW w:w="1134" w:type="dxa"/>
            <w:tcBorders>
              <w:top w:val="single" w:color="auto" w:sz="4" w:space="0"/>
              <w:left w:val="nil"/>
              <w:bottom w:val="nil"/>
            </w:tcBorders>
          </w:tcPr>
          <w:p w14:paraId="63DD56D3" w14:textId="3FA21AE6">
            <w:pPr>
              <w:pStyle w:val="IPPArialTable"/>
              <w:rPr>
                <w:color w:val="000000" w:themeColor="text1"/>
              </w:rPr>
            </w:pPr>
            <w:r>
              <w:rPr>
                <w:rStyle w:val="PleaseReviewParagraphId"/>
                <w:b w:val="off"/>
                <w:i w:val="off"/>
              </w:rPr>
              <w:t>[232]</w:t>
            </w:r>
            <w:r>
              <w:rPr>
                <w:color w:val="000000" w:themeColor="text1"/>
              </w:rPr>
              <w:t>0.05 g</w:t>
            </w:r>
          </w:p>
        </w:tc>
      </w:tr>
      <w:tr w14:paraId="36867CDF" w14:textId="77777777">
        <w:trPr>
          <w:trHeight w:val="274"/>
        </w:trPr>
        <w:tc xmlns:tara="kcentrix:tara" tara:rowspan="1" tara:colspan="1">
          <w:tcPr>
            <w:tcW w:w="5240" w:type="dxa"/>
            <w:tcBorders>
              <w:right w:val="nil"/>
            </w:tcBorders>
          </w:tcPr>
          <w:p w14:paraId="0F6950EE" w14:textId="77777777">
            <w:pPr>
              <w:pStyle w:val="IPPArialTable"/>
              <w:rPr>
                <w:color w:val="000000" w:themeColor="text1"/>
              </w:rPr>
            </w:pPr>
            <w:r>
              <w:rPr>
                <w:rStyle w:val="PleaseReviewParagraphId"/>
                <w:b w:val="off"/>
                <w:i w:val="off"/>
              </w:rPr>
              <w:t>[233]</w:t>
            </w:r>
            <w:r>
              <w:rPr>
                <w:color w:val="000000" w:themeColor="text1"/>
              </w:rPr>
              <w:t>Nitro blue tetrazolium</w:t>
            </w:r>
          </w:p>
        </w:tc>
        <w:tc xmlns:tara="kcentrix:tara" tara:rowspan="1" tara:colspan="1">
          <w:tcPr>
            <w:tcW w:w="1134" w:type="dxa"/>
            <w:tcBorders>
              <w:top w:val="nil"/>
              <w:left w:val="nil"/>
              <w:bottom w:val="nil"/>
            </w:tcBorders>
          </w:tcPr>
          <w:p w14:paraId="5652835D" w14:textId="48EEC0D9">
            <w:pPr>
              <w:pStyle w:val="IPPArialTable"/>
              <w:rPr>
                <w:color w:val="000000" w:themeColor="text1"/>
              </w:rPr>
            </w:pPr>
            <w:r>
              <w:rPr>
                <w:rStyle w:val="PleaseReviewParagraphId"/>
                <w:b w:val="off"/>
                <w:i w:val="off"/>
              </w:rPr>
              <w:t>[234]</w:t>
            </w:r>
            <w:r>
              <w:rPr>
                <w:color w:val="000000" w:themeColor="text1"/>
              </w:rPr>
              <w:t>0.03 g</w:t>
            </w:r>
          </w:p>
        </w:tc>
      </w:tr>
      <w:tr w14:paraId="618C3B2B" w14:textId="77777777">
        <w:trPr>
          <w:trHeight w:val="277"/>
        </w:trPr>
        <w:tc xmlns:tara="kcentrix:tara" tara:rowspan="1" tara:colspan="1">
          <w:tcPr>
            <w:tcW w:w="5240" w:type="dxa"/>
            <w:tcBorders>
              <w:right w:val="nil"/>
            </w:tcBorders>
          </w:tcPr>
          <w:p w14:paraId="60715B0A" w14:textId="77777777">
            <w:pPr>
              <w:pStyle w:val="IPPArialTable"/>
              <w:rPr>
                <w:color w:val="000000" w:themeColor="text1"/>
              </w:rPr>
            </w:pPr>
            <w:r>
              <w:rPr>
                <w:rStyle w:val="PleaseReviewParagraphId"/>
                <w:b w:val="off"/>
                <w:i w:val="off"/>
              </w:rPr>
              <w:t>[235]</w:t>
            </w:r>
            <w:r>
              <w:rPr>
                <w:color w:val="000000" w:themeColor="text1"/>
              </w:rPr>
              <w:t>Phenazine methosulphate</w:t>
            </w:r>
          </w:p>
        </w:tc>
        <w:tc xmlns:tara="kcentrix:tara" tara:rowspan="1" tara:colspan="1">
          <w:tcPr>
            <w:tcW w:w="1134" w:type="dxa"/>
            <w:tcBorders>
              <w:top w:val="nil"/>
              <w:left w:val="nil"/>
              <w:bottom w:val="nil"/>
            </w:tcBorders>
          </w:tcPr>
          <w:p w14:paraId="77BE7B47" w14:textId="0A690FC4">
            <w:pPr>
              <w:pStyle w:val="IPPArialTable"/>
              <w:rPr>
                <w:color w:val="000000" w:themeColor="text1"/>
              </w:rPr>
            </w:pPr>
            <w:r>
              <w:rPr>
                <w:rStyle w:val="PleaseReviewParagraphId"/>
                <w:b w:val="off"/>
                <w:i w:val="off"/>
              </w:rPr>
              <w:t>[236]</w:t>
            </w:r>
            <w:r>
              <w:rPr>
                <w:color w:val="000000" w:themeColor="text1"/>
              </w:rPr>
              <w:t>0.002 g</w:t>
            </w:r>
          </w:p>
        </w:tc>
      </w:tr>
      <w:tr w14:paraId="1069DBFF" w14:textId="77777777">
        <w:trPr>
          <w:trHeight w:val="268"/>
        </w:trPr>
        <w:tc xmlns:tara="kcentrix:tara" tara:rowspan="1" tara:colspan="1">
          <w:tcPr>
            <w:tcW w:w="5240" w:type="dxa"/>
            <w:tcBorders>
              <w:right w:val="nil"/>
            </w:tcBorders>
          </w:tcPr>
          <w:p w14:paraId="5BC6BB82" w14:textId="239A4DAE">
            <w:pPr>
              <w:pStyle w:val="IPPArialTable"/>
              <w:rPr>
                <w:color w:val="000000" w:themeColor="text1"/>
              </w:rPr>
            </w:pPr>
            <w:r>
              <w:rPr>
                <w:rStyle w:val="PleaseReviewParagraphId"/>
                <w:b w:val="off"/>
                <w:i w:val="off"/>
              </w:rPr>
              <w:t>[237]</w:t>
            </w:r>
            <w:r>
              <w:rPr>
                <w:color w:val="000000" w:themeColor="text1"/>
              </w:rPr>
              <w:t>0.5 M Tris buffer, pH 7.1</w:t>
            </w:r>
          </w:p>
        </w:tc>
        <w:tc xmlns:tara="kcentrix:tara" tara:rowspan="1" tara:colspan="1">
          <w:tcPr>
            <w:tcW w:w="1134" w:type="dxa"/>
            <w:tcBorders>
              <w:top w:val="nil"/>
              <w:left w:val="nil"/>
              <w:bottom w:val="nil"/>
            </w:tcBorders>
          </w:tcPr>
          <w:p w14:paraId="721450BA" w14:textId="71A2DCC2">
            <w:pPr>
              <w:pStyle w:val="IPPArialTable"/>
              <w:rPr>
                <w:color w:val="000000" w:themeColor="text1"/>
              </w:rPr>
            </w:pPr>
            <w:r>
              <w:rPr>
                <w:rStyle w:val="PleaseReviewParagraphId"/>
                <w:b w:val="off"/>
                <w:i w:val="off"/>
              </w:rPr>
              <w:t>[238]</w:t>
            </w:r>
            <w:r>
              <w:rPr>
                <w:color w:val="000000" w:themeColor="text1"/>
              </w:rPr>
              <w:t>5 mL</w:t>
            </w:r>
          </w:p>
        </w:tc>
      </w:tr>
      <w:tr w14:paraId="5B574ED4" w14:textId="77777777">
        <w:trPr>
          <w:trHeight w:val="271"/>
        </w:trPr>
        <w:tc xmlns:tara="kcentrix:tara" tara:rowspan="1" tara:colspan="1">
          <w:tcPr>
            <w:tcW w:w="5240" w:type="dxa"/>
            <w:tcBorders>
              <w:right w:val="nil"/>
            </w:tcBorders>
          </w:tcPr>
          <w:p w14:paraId="482972D1" w14:textId="0FFBE26F">
            <w:pPr>
              <w:pStyle w:val="IPPArialTable"/>
              <w:rPr>
                <w:color w:val="000000" w:themeColor="text1"/>
              </w:rPr>
            </w:pPr>
            <w:r>
              <w:rPr>
                <w:rStyle w:val="PleaseReviewParagraphId"/>
                <w:b w:val="off"/>
                <w:i w:val="off"/>
              </w:rPr>
              <w:t>[239]</w:t>
            </w:r>
            <w:r>
              <w:rPr>
                <w:color w:val="000000" w:themeColor="text1"/>
              </w:rPr>
              <w:t>Stock</w:t>
            </w:r>
            <w:r>
              <w:rPr>
                <w:rFonts w:cs="Arial"/>
                <w:color w:val="000000" w:themeColor="text1"/>
                <w:vertAlign w:val="superscript"/>
              </w:rPr>
              <w:t>†</w:t>
            </w:r>
          </w:p>
        </w:tc>
        <w:tc xmlns:tara="kcentrix:tara" tara:rowspan="1" tara:colspan="1">
          <w:tcPr>
            <w:tcW w:w="1134" w:type="dxa"/>
            <w:tcBorders>
              <w:top w:val="nil"/>
              <w:left w:val="nil"/>
              <w:bottom w:val="nil"/>
            </w:tcBorders>
          </w:tcPr>
          <w:p w14:paraId="7926AA11" w14:textId="4D2A7BCA">
            <w:pPr>
              <w:pStyle w:val="IPPArialTable"/>
              <w:rPr>
                <w:color w:val="000000" w:themeColor="text1"/>
              </w:rPr>
            </w:pPr>
            <w:r>
              <w:rPr>
                <w:rStyle w:val="PleaseReviewParagraphId"/>
                <w:b w:val="off"/>
                <w:i w:val="off"/>
              </w:rPr>
              <w:t>[240]</w:t>
            </w:r>
            <w:r>
              <w:rPr>
                <w:color w:val="000000" w:themeColor="text1"/>
              </w:rPr>
              <w:t>7.5 mL</w:t>
            </w:r>
          </w:p>
        </w:tc>
      </w:tr>
      <w:tr w14:paraId="7C20D699" w14:textId="77777777">
        <w:trPr>
          <w:trHeight w:val="276"/>
        </w:trPr>
        <w:tc xmlns:tara="kcentrix:tara" tara:rowspan="1" tara:colspan="1">
          <w:tcPr>
            <w:tcW w:w="5240" w:type="dxa"/>
            <w:tcBorders>
              <w:right w:val="nil"/>
            </w:tcBorders>
          </w:tcPr>
          <w:p w14:paraId="3F77F036" w14:textId="77777777">
            <w:pPr>
              <w:pStyle w:val="IPPArialTable"/>
              <w:rPr>
                <w:color w:val="000000" w:themeColor="text1"/>
              </w:rPr>
            </w:pPr>
            <w:r>
              <w:rPr>
                <w:rStyle w:val="PleaseReviewParagraphId"/>
                <w:b w:val="off"/>
                <w:i w:val="off"/>
              </w:rPr>
              <w:t>[241]</w:t>
            </w:r>
            <w:r>
              <w:rPr>
                <w:color w:val="000000" w:themeColor="text1"/>
              </w:rPr>
              <w:t>Reagent-grade water</w:t>
            </w:r>
          </w:p>
        </w:tc>
        <w:tc xmlns:tara="kcentrix:tara" tara:rowspan="1" tara:colspan="1">
          <w:tcPr>
            <w:tcW w:w="1134" w:type="dxa"/>
            <w:tcBorders>
              <w:top w:val="nil"/>
              <w:left w:val="nil"/>
              <w:bottom w:val="single" w:color="auto" w:sz="4" w:space="0"/>
            </w:tcBorders>
          </w:tcPr>
          <w:p w14:paraId="77470F3F" w14:textId="71DBC873">
            <w:pPr>
              <w:pStyle w:val="IPPArialTable"/>
              <w:rPr>
                <w:color w:val="000000" w:themeColor="text1"/>
              </w:rPr>
            </w:pPr>
            <w:r>
              <w:rPr>
                <w:rStyle w:val="PleaseReviewParagraphId"/>
                <w:b w:val="off"/>
                <w:i w:val="off"/>
              </w:rPr>
              <w:t>[242]</w:t>
            </w:r>
            <w:r>
              <w:rPr>
                <w:color w:val="000000" w:themeColor="text1"/>
              </w:rPr>
              <w:t>70 mL</w:t>
            </w:r>
          </w:p>
        </w:tc>
      </w:tr>
    </w:tbl>
    <w:p w14:paraId="12D5AF62" w14:textId="72DB6728">
      <w:pPr>
        <w:pStyle w:val="IPPArialFootnote"/>
        <w:rPr>
          <w:color w:val="000000" w:themeColor="text1"/>
        </w:rPr>
      </w:pPr>
      <w:r>
        <w:rPr>
          <w:rStyle w:val="PleaseReviewParagraphId"/>
          <w:b w:val="off"/>
          <w:i w:val="off"/>
        </w:rPr>
        <w:t>[243]</w:t>
      </w:r>
      <w:r>
        <w:rPr>
          <w:i/>
          <w:iCs/>
          <w:color w:val="000000" w:themeColor="text1"/>
        </w:rPr>
        <w:t xml:space="preserve">Notes: </w:t>
      </w:r>
      <w:r>
        <w:rPr>
          <w:rFonts w:cs="Arial"/>
          <w:color w:val="000000" w:themeColor="text1"/>
          <w:vertAlign w:val="superscript"/>
        </w:rPr>
        <w:t>†</w:t>
      </w:r>
      <w:r>
        <w:rPr>
          <w:color w:val="000000" w:themeColor="text1"/>
        </w:rPr>
        <w:t>10.6 g Na</w:t>
      </w:r>
      <w:r>
        <w:rPr>
          <w:color w:val="000000" w:themeColor="text1"/>
          <w:vertAlign w:val="subscript"/>
        </w:rPr>
        <w:t>2</w:t>
      </w:r>
      <w:r>
        <w:rPr>
          <w:color w:val="000000" w:themeColor="text1"/>
        </w:rPr>
        <w:t>CO</w:t>
      </w:r>
      <w:r>
        <w:rPr>
          <w:color w:val="000000" w:themeColor="text1"/>
          <w:vertAlign w:val="subscript"/>
        </w:rPr>
        <w:t>3</w:t>
      </w:r>
      <w:r>
        <w:rPr>
          <w:color w:val="000000" w:themeColor="text1"/>
        </w:rPr>
        <w:t xml:space="preserve"> + 1.34 g L-malic acid in 100 mL water.</w:t>
      </w:r>
    </w:p>
    <w:p w14:paraId="3D8FE70D" w14:textId="4259AB49">
      <w:pPr>
        <w:pStyle w:val="IPPArialFootnote"/>
        <w:rPr>
          <w:rFonts w:eastAsia="MS Mincho"/>
          <w:color w:val="000000" w:themeColor="text1"/>
        </w:rPr>
      </w:pPr>
      <w:r>
        <w:rPr>
          <w:rStyle w:val="PleaseReviewParagraphId"/>
          <w:b w:val="off"/>
          <w:i w:val="off"/>
        </w:rPr>
        <w:t>[244]</w:t>
      </w:r>
      <w:r>
        <w:rPr>
          <w:color w:val="000000" w:themeColor="text1"/>
        </w:rPr>
        <w:t>EDTA, ethylenediaminetetraacetic</w:t>
      </w:r>
      <w:r>
        <w:rPr>
          <w:rFonts w:eastAsia="MS Mincho"/>
          <w:color w:val="000000" w:themeColor="text1"/>
        </w:rPr>
        <w:t xml:space="preserve"> acid.</w:t>
      </w:r>
    </w:p>
    <w:p w14:paraId="55A2FED0" w14:textId="606D63D2">
      <w:pPr>
        <w:pStyle w:val="IPPArialFootnote"/>
        <w:spacing w:after="180"/>
        <w:rPr>
          <w:color w:val="000000" w:themeColor="text1"/>
        </w:rPr>
      </w:pPr>
      <w:r>
        <w:rPr>
          <w:rStyle w:val="PleaseReviewParagraphId"/>
          <w:b w:val="off"/>
          <w:i w:val="off"/>
        </w:rPr>
        <w:t>[245]</w:t>
      </w:r>
      <w:r>
        <w:rPr>
          <w:i/>
          <w:iCs/>
          <w:color w:val="000000" w:themeColor="text1"/>
        </w:rPr>
        <w:t xml:space="preserve">Source: </w:t>
      </w:r>
      <w:r>
        <w:rPr>
          <w:color w:val="000000" w:themeColor="text1"/>
        </w:rPr>
        <w:t xml:space="preserve">European and Mediterranean Plant Protection Organization. 2018. </w:t>
      </w:r>
      <w:r>
        <w:rPr>
          <w:i/>
          <w:color w:val="000000" w:themeColor="text1"/>
        </w:rPr>
        <w:t>Meloidogyne mali</w:t>
      </w:r>
      <w:r>
        <w:rPr>
          <w:color w:val="000000" w:themeColor="text1"/>
        </w:rPr>
        <w:t xml:space="preserve">. PM 7/136(1). </w:t>
      </w:r>
      <w:r>
        <w:rPr>
          <w:i/>
          <w:color w:val="000000" w:themeColor="text1"/>
        </w:rPr>
        <w:t>EPPO Bulletin</w:t>
      </w:r>
      <w:r>
        <w:rPr>
          <w:color w:val="000000" w:themeColor="text1"/>
        </w:rPr>
        <w:t xml:space="preserve">, 48(3): 438–445. </w:t>
      </w:r>
      <w:hyperlink w:history="1" r:id="rId19">
        <w:r>
          <w:rPr>
            <w:rStyle w:val="Hyperlink"/>
            <w:color w:val="000000" w:themeColor="text1"/>
          </w:rPr>
          <w:t>https://doi.org/10.1111/epp.12544</w:t>
        </w:r>
      </w:hyperlink>
    </w:p>
    <w:p w14:paraId="4D0D4E88" w14:textId="17971711">
      <w:pPr>
        <w:pStyle w:val="IPPHeading1"/>
        <w:rPr>
          <w:color w:val="000000" w:themeColor="text1"/>
        </w:rPr>
      </w:pPr>
      <w:r>
        <w:rPr>
          <w:rStyle w:val="PleaseReviewParagraphId"/>
          <w:b w:val="off"/>
          <w:i w:val="off"/>
        </w:rPr>
        <w:t>[246]</w:t>
      </w:r>
      <w:r>
        <w:rPr>
          <w:color w:val="000000" w:themeColor="text1"/>
        </w:rPr>
        <w:t>5.</w:t>
        <w:tab/>
        <w:t>Records</w:t>
      </w:r>
    </w:p>
    <w:p w14:paraId="682118FF" w14:textId="041ADBCE">
      <w:pPr>
        <w:pStyle w:val="IPPParagraphnumbering"/>
        <w:numPr>
          <w:ilvl w:val="0"/>
          <w:numId w:val="0"/>
        </w:numPr>
        <w:rPr>
          <w:rFonts w:ascii="Helvetica" w:hAnsi="Helvetica"/>
          <w:color w:val="000000" w:themeColor="text1"/>
          <w:lang w:val="en-GB"/>
        </w:rPr>
      </w:pPr>
      <w:r>
        <w:rPr>
          <w:rStyle w:val="PleaseReviewParagraphId"/>
          <w:b w:val="off"/>
          <w:i w:val="off"/>
        </w:rPr>
        <w:t>[247]</w:t>
      </w:r>
      <w:r>
        <w:rPr>
          <w:color w:val="000000" w:themeColor="text1"/>
          <w:lang w:val="en-GB"/>
        </w:rPr>
        <w:t>Records and evidence should be retained as described in section 2.5 of ISPM 27 (</w:t>
      </w:r>
      <w:r>
        <w:rPr>
          <w:i/>
          <w:iCs/>
          <w:color w:val="000000" w:themeColor="text1"/>
          <w:lang w:val="en-GB"/>
        </w:rPr>
        <w:t>Diagnostic protocols for regulated pests</w:t>
      </w:r>
      <w:r>
        <w:rPr>
          <w:color w:val="000000" w:themeColor="text1"/>
          <w:lang w:val="en-GB"/>
        </w:rPr>
        <w:t xml:space="preserve">). </w:t>
      </w:r>
      <w:bookmarkStart w:name="_Hlk138583723" w:id="11"/>
      <w:r>
        <w:rPr>
          <w:color w:val="000000" w:themeColor="text1"/>
          <w:lang w:val="en-GB"/>
        </w:rPr>
        <w:t>In cases where other contracting parties may be affected by the results of the diagnosis, in particular in cases of non-compliance (ISPM 13 (</w:t>
      </w:r>
      <w:r>
        <w:rPr>
          <w:i/>
          <w:iCs/>
          <w:color w:val="000000" w:themeColor="text1"/>
          <w:lang w:val="en-GB"/>
        </w:rPr>
        <w:t>Guidelines for the notification of non-compliance and emergency action</w:t>
      </w:r>
      <w:r>
        <w:rPr>
          <w:color w:val="000000" w:themeColor="text1"/>
          <w:lang w:val="en-GB"/>
        </w:rPr>
        <w:t xml:space="preserve">)) and where </w:t>
      </w:r>
      <w:r>
        <w:rPr>
          <w:i/>
          <w:iCs/>
          <w:color w:val="000000" w:themeColor="text1"/>
          <w:lang w:val="en-GB"/>
        </w:rPr>
        <w:t>M. mali</w:t>
      </w:r>
      <w:r>
        <w:rPr>
          <w:color w:val="000000" w:themeColor="text1"/>
          <w:lang w:val="en-GB"/>
        </w:rPr>
        <w:t xml:space="preserve"> is found in an area for the first time, records and evidence (including preserved biological material or permanent slides) should be kept for at least one year in a manner that ensures traceability. As isolated nematodes will deteriorate in water, as many specimens as possible should be preserved in an appropriate medium for future examination. For morphological evidence, critical features as outlined in the diagnostic keys should be drawn, photographed or filmed on video while fresh material is available, and relevant measurements should be included. For molecular analysis, DNA should also be preserved. DNA extracts and PCR amplification products should be kept at −20 °C.</w:t>
      </w:r>
      <w:bookmarkEnd w:id="11"/>
      <w:r>
        <w:rPr>
          <w:color w:val="000000" w:themeColor="text1"/>
          <w:lang w:val="en-GB"/>
        </w:rPr>
        <w:t xml:space="preserve"> For biochemical analysis, pictures of gels should be kept.</w:t>
      </w:r>
    </w:p>
    <w:p w14:paraId="4F67D232" w14:textId="434262CA">
      <w:pPr>
        <w:pStyle w:val="IPPHeading1"/>
        <w:rPr>
          <w:color w:val="000000" w:themeColor="text1"/>
        </w:rPr>
      </w:pPr>
      <w:r>
        <w:rPr>
          <w:rStyle w:val="PleaseReviewParagraphId"/>
          <w:b w:val="off"/>
          <w:i w:val="off"/>
        </w:rPr>
        <w:t>[248]</w:t>
      </w:r>
      <w:r>
        <w:rPr>
          <w:color w:val="000000" w:themeColor="text1"/>
        </w:rPr>
        <w:t>6.</w:t>
        <w:tab/>
        <w:t>Contact points for further information</w:t>
      </w:r>
    </w:p>
    <w:p w14:paraId="254CFBBA" w14:textId="77777777">
      <w:pPr>
        <w:pStyle w:val="IPPParagraphnumbering"/>
        <w:numPr>
          <w:ilvl w:val="0"/>
          <w:numId w:val="0"/>
        </w:numPr>
        <w:rPr>
          <w:rStyle w:val="fontstyle01"/>
          <w:color w:val="000000" w:themeColor="text1"/>
          <w:lang w:val="en-GB"/>
        </w:rPr>
      </w:pPr>
      <w:r>
        <w:rPr>
          <w:rStyle w:val="PleaseReviewParagraphId"/>
          <w:b w:val="off"/>
          <w:i w:val="off"/>
        </w:rPr>
        <w:t>[249]</w:t>
      </w:r>
      <w:r>
        <w:rPr>
          <w:rStyle w:val="fontstyle01"/>
          <w:color w:val="000000" w:themeColor="text1"/>
          <w:lang w:val="en-GB"/>
        </w:rPr>
        <w:t>Further information on this protocol can be obtained from:</w:t>
      </w:r>
    </w:p>
    <w:p w14:paraId="33D7DADE" w14:textId="51360688">
      <w:pPr>
        <w:pStyle w:val="IPPParagraphnumbering"/>
        <w:numPr>
          <w:ilvl w:val="0"/>
          <w:numId w:val="0"/>
        </w:numPr>
        <w:rPr>
          <w:color w:val="000000" w:themeColor="text1"/>
          <w:lang w:val="en-GB"/>
        </w:rPr>
      </w:pPr>
      <w:r>
        <w:rPr>
          <w:rStyle w:val="PleaseReviewParagraphId"/>
          <w:b w:val="off"/>
          <w:i w:val="off"/>
        </w:rPr>
        <w:t>[250]</w:t>
      </w:r>
      <w:r>
        <w:rPr>
          <w:color w:val="000000" w:themeColor="text1"/>
          <w:szCs w:val="22"/>
          <w:lang w:val="en-GB"/>
        </w:rPr>
        <w:t xml:space="preserve">Ningbo Inspection and Quarantine Science Technology Academy/Ningbo Customs Technology Center, No. 8, Huikang Road, Yinzhou District, Ningbo, Zhejiang, China </w:t>
      </w:r>
      <w:r>
        <w:rPr>
          <w:color w:val="000000" w:themeColor="text1"/>
          <w:lang w:val="en-GB"/>
        </w:rPr>
        <w:t>(</w:t>
      </w:r>
      <w:r>
        <w:rPr>
          <w:color w:val="000000" w:themeColor="text1"/>
          <w:szCs w:val="22"/>
          <w:lang w:val="en-GB"/>
        </w:rPr>
        <w:t>Jianfeng Gu</w:t>
      </w:r>
      <w:r>
        <w:rPr>
          <w:rStyle w:val="fontstyle01"/>
          <w:color w:val="000000" w:themeColor="text1"/>
          <w:lang w:val="en-GB"/>
        </w:rPr>
        <w:t>; email:</w:t>
      </w:r>
      <w:r>
        <w:rPr>
          <w:color w:val="000000" w:themeColor="text1"/>
          <w:szCs w:val="22"/>
          <w:lang w:val="en-GB"/>
        </w:rPr>
        <w:t xml:space="preserve"> </w:t>
      </w:r>
      <w:hyperlink w:history="1" r:id="rId20">
        <w:r>
          <w:rPr>
            <w:rStyle w:val="Hyperlink"/>
            <w:color w:val="000000" w:themeColor="text1"/>
            <w:szCs w:val="22"/>
            <w:lang w:val="en-GB"/>
          </w:rPr>
          <w:t>jeffgu00@qq.com</w:t>
        </w:r>
      </w:hyperlink>
      <w:r>
        <w:rPr>
          <w:color w:val="000000" w:themeColor="text1"/>
          <w:szCs w:val="22"/>
          <w:lang w:val="en-GB"/>
        </w:rPr>
        <w:t>; tel.: (+86) 0574 89095059</w:t>
      </w:r>
      <w:r>
        <w:rPr>
          <w:color w:val="000000" w:themeColor="text1"/>
          <w:lang w:val="en-GB"/>
        </w:rPr>
        <w:t xml:space="preserve">). </w:t>
      </w:r>
    </w:p>
    <w:p w14:paraId="2EC4C309" w14:textId="42AC13F0">
      <w:pPr>
        <w:pStyle w:val="IPPParagraphnumbering"/>
        <w:numPr>
          <w:ilvl w:val="0"/>
          <w:numId w:val="0"/>
        </w:numPr>
        <w:rPr>
          <w:color w:val="000000" w:themeColor="text1"/>
          <w:lang w:val="en-GB"/>
        </w:rPr>
      </w:pPr>
      <w:r>
        <w:rPr>
          <w:rStyle w:val="PleaseReviewParagraphId"/>
          <w:b w:val="off"/>
          <w:i w:val="off"/>
        </w:rPr>
        <w:t>[251]</w:t>
      </w:r>
      <w:r>
        <w:rPr>
          <w:color w:val="000000" w:themeColor="text1"/>
          <w:szCs w:val="22"/>
          <w:lang w:val="en-GB"/>
        </w:rPr>
        <w:t>National Plant Protection Organization (NPPO)</w:t>
      </w:r>
      <w:r>
        <w:rPr>
          <w:color w:val="000000" w:themeColor="text1"/>
          <w:lang w:val="en-GB"/>
        </w:rPr>
        <w:t>, Geertjesweg 15, 6706 EA Wageningen, Kingdom of the Netherlands (Gerrit Karssen</w:t>
      </w:r>
      <w:r>
        <w:rPr>
          <w:rStyle w:val="fontstyle01"/>
          <w:color w:val="000000" w:themeColor="text1"/>
          <w:lang w:val="en-GB"/>
        </w:rPr>
        <w:t xml:space="preserve">; email: </w:t>
      </w:r>
      <w:hyperlink w:history="1" r:id="rId21">
        <w:r>
          <w:rPr>
            <w:rStyle w:val="Hyperlink"/>
            <w:color w:val="000000" w:themeColor="text1"/>
            <w:szCs w:val="22"/>
            <w:lang w:val="en-GB"/>
          </w:rPr>
          <w:t>g.karssen@nvwa.nl</w:t>
        </w:r>
      </w:hyperlink>
      <w:r>
        <w:rPr>
          <w:color w:val="000000" w:themeColor="text1"/>
          <w:lang w:val="en-GB"/>
        </w:rPr>
        <w:t xml:space="preserve">). </w:t>
      </w:r>
    </w:p>
    <w:p w14:paraId="4A9471AD" w14:textId="71FC42F7">
      <w:pPr>
        <w:pStyle w:val="IPPParagraphnumbering"/>
        <w:numPr>
          <w:ilvl w:val="0"/>
          <w:numId w:val="0"/>
        </w:numPr>
        <w:rPr>
          <w:rStyle w:val="fontstyle01"/>
          <w:color w:val="000000" w:themeColor="text1"/>
          <w:lang w:val="en-GB"/>
        </w:rPr>
      </w:pPr>
      <w:r>
        <w:rPr>
          <w:rStyle w:val="PleaseReviewParagraphId"/>
          <w:b w:val="off"/>
          <w:i w:val="off"/>
        </w:rPr>
        <w:t>[252]</w:t>
      </w:r>
      <w:r>
        <w:rPr>
          <w:rStyle w:val="fontstyle01"/>
          <w:color w:val="000000" w:themeColor="text1"/>
          <w:lang w:val="en-GB"/>
        </w:rPr>
        <w:t xml:space="preserve">Fera Science Ltd., Sand Hutton, York, YO1 1LZ, United Kingdom (Thomas Prior; email: </w:t>
      </w:r>
      <w:hyperlink w:history="1" r:id="rId22">
        <w:r>
          <w:rPr>
            <w:rStyle w:val="Hyperlink"/>
            <w:color w:val="000000" w:themeColor="text1"/>
            <w:szCs w:val="22"/>
            <w:lang w:val="en-GB"/>
          </w:rPr>
          <w:t>thomas.prior@fera.co.uk</w:t>
        </w:r>
      </w:hyperlink>
      <w:r>
        <w:rPr>
          <w:rStyle w:val="fontstyle01"/>
          <w:color w:val="000000" w:themeColor="text1"/>
          <w:lang w:val="en-GB"/>
        </w:rPr>
        <w:t>; tel.: (+44) 1904 462206).</w:t>
      </w:r>
    </w:p>
    <w:p w14:paraId="0D53F178" w14:textId="77777777">
      <w:pPr>
        <w:pStyle w:val="IPPParagraphnumbering"/>
        <w:numPr>
          <w:ilvl w:val="0"/>
          <w:numId w:val="0"/>
        </w:numPr>
        <w:rPr>
          <w:color w:val="000000" w:themeColor="text1"/>
          <w:szCs w:val="22"/>
          <w:lang w:val="en-GB"/>
        </w:rPr>
      </w:pPr>
      <w:r>
        <w:rPr>
          <w:rStyle w:val="PleaseReviewParagraphId"/>
          <w:b w:val="off"/>
          <w:i w:val="off"/>
        </w:rPr>
        <w:t>[253]</w:t>
      </w:r>
      <w:r>
        <w:rPr>
          <w:color w:val="000000" w:themeColor="text1"/>
          <w:szCs w:val="22"/>
          <w:lang w:val="en-GB"/>
        </w:rPr>
        <w:t xml:space="preserve">Nematology Dept., Canadian Food Inspection Agency, 3851 Fallowfield Road, Ottawa, ON K2H 8P9, Canada (Fengcheng Sun; email: </w:t>
      </w:r>
      <w:hyperlink w:history="1" r:id="rId23">
        <w:r>
          <w:rPr>
            <w:rStyle w:val="Hyperlink"/>
            <w:color w:val="000000" w:themeColor="text1"/>
            <w:szCs w:val="22"/>
            <w:lang w:val="en-GB"/>
          </w:rPr>
          <w:t>fengcheng.sun@inspection.gc.ca</w:t>
        </w:r>
      </w:hyperlink>
      <w:r>
        <w:rPr>
          <w:color w:val="000000" w:themeColor="text1"/>
          <w:szCs w:val="22"/>
          <w:lang w:val="en-GB"/>
        </w:rPr>
        <w:t>; tel.: (+1) 613 8683438).</w:t>
      </w:r>
    </w:p>
    <w:p w14:paraId="169F9606" w14:textId="170838F6">
      <w:pPr>
        <w:pStyle w:val="IPPParagraphnumbering"/>
        <w:numPr>
          <w:ilvl w:val="0"/>
          <w:numId w:val="0"/>
        </w:numPr>
        <w:rPr>
          <w:color w:val="000000" w:themeColor="text1"/>
          <w:szCs w:val="22"/>
          <w:lang w:val="en-GB"/>
        </w:rPr>
      </w:pPr>
      <w:r>
        <w:rPr>
          <w:rStyle w:val="PleaseReviewParagraphId"/>
          <w:b w:val="off"/>
          <w:i w:val="off"/>
        </w:rPr>
        <w:t>[254]</w:t>
      </w:r>
      <w:r>
        <w:rPr>
          <w:color w:val="000000" w:themeColor="text1"/>
          <w:szCs w:val="22"/>
          <w:lang w:val="en-GB"/>
        </w:rPr>
        <w:t xml:space="preserve">Plant Quarantine Diagnosis Center Plant Protection Department, Ministry of Agriculture and Rural Development (MARD), 149 Ho Dac Di, Dong Da, Hanoi, Viet Nam (Trinh Thi Thu Thuy; email: </w:t>
      </w:r>
      <w:hyperlink w:history="1" r:id="rId24">
        <w:r>
          <w:rPr>
            <w:rStyle w:val="Hyperlink"/>
            <w:color w:val="000000" w:themeColor="text1"/>
            <w:szCs w:val="22"/>
            <w:lang w:val="en-GB"/>
          </w:rPr>
          <w:t>thuytt74@gmail.com</w:t>
        </w:r>
      </w:hyperlink>
      <w:r>
        <w:rPr>
          <w:color w:val="000000" w:themeColor="text1"/>
          <w:szCs w:val="22"/>
          <w:lang w:val="en-GB"/>
        </w:rPr>
        <w:t xml:space="preserve">; tel.: (+84) 43 8571064). </w:t>
      </w:r>
    </w:p>
    <w:p w14:paraId="1BF69495" w14:textId="014BAB1E">
      <w:pPr>
        <w:pStyle w:val="IPPParagraphnumbering"/>
        <w:numPr>
          <w:ilvl w:val="0"/>
          <w:numId w:val="0"/>
        </w:numPr>
        <w:rPr>
          <w:color w:val="000000" w:themeColor="text1"/>
          <w:lang w:val="en-GB"/>
        </w:rPr>
      </w:pPr>
      <w:r>
        <w:rPr>
          <w:rStyle w:val="PleaseReviewParagraphId"/>
          <w:b w:val="off"/>
          <w:i w:val="off"/>
        </w:rPr>
        <w:t>[255]</w:t>
      </w:r>
      <w:r>
        <w:rPr>
          <w:rStyle w:val="fontstyle01"/>
          <w:color w:val="000000" w:themeColor="text1"/>
          <w:szCs w:val="24"/>
          <w:lang w:val="en-GB"/>
        </w:rPr>
        <w:t xml:space="preserve">A request for a revision to a diagnostic protocol may be submitted by national plant protection organizations (NPPOs), regional plant protection organizations (RPPOs) or Commission on </w:t>
        <w:lastRenderedPageBreak/>
        <w:t>Phytosanitary Measures (CPM) subsidiary bodies through the IPPC Secretariat (</w:t>
      </w:r>
      <w:hyperlink w:history="1" r:id="rId25">
        <w:r>
          <w:rPr>
            <w:rStyle w:val="Hyperlink"/>
            <w:color w:val="000000" w:themeColor="text1"/>
            <w:lang w:val="en-GB"/>
          </w:rPr>
          <w:t>ippc@fao.org</w:t>
        </w:r>
      </w:hyperlink>
      <w:r>
        <w:rPr>
          <w:rStyle w:val="fontstyle01"/>
          <w:color w:val="000000" w:themeColor="text1"/>
          <w:szCs w:val="24"/>
          <w:lang w:val="en-GB"/>
        </w:rPr>
        <w:t>), who will forward it to the Technical Panel on Diagnostic Protocols (TPDP).</w:t>
      </w:r>
    </w:p>
    <w:p w14:paraId="4551FD58" w14:textId="0D48B0D2">
      <w:pPr>
        <w:pStyle w:val="IPPHeading1"/>
        <w:rPr>
          <w:color w:val="000000" w:themeColor="text1"/>
        </w:rPr>
      </w:pPr>
      <w:r>
        <w:rPr>
          <w:rStyle w:val="PleaseReviewParagraphId"/>
          <w:b w:val="off"/>
          <w:i w:val="off"/>
        </w:rPr>
        <w:t>[256]</w:t>
      </w:r>
      <w:r>
        <w:rPr>
          <w:color w:val="000000" w:themeColor="text1"/>
        </w:rPr>
        <w:t>7.</w:t>
        <w:tab/>
        <w:t>Acknowledgements</w:t>
      </w:r>
    </w:p>
    <w:p w14:paraId="15ADC380" w14:textId="14892612">
      <w:pPr>
        <w:pStyle w:val="IPPParagraphnumbering"/>
        <w:numPr>
          <w:ilvl w:val="0"/>
          <w:numId w:val="0"/>
        </w:numPr>
        <w:rPr>
          <w:color w:val="000000" w:themeColor="text1"/>
          <w:lang w:val="en-GB"/>
        </w:rPr>
      </w:pPr>
      <w:r>
        <w:rPr>
          <w:rStyle w:val="PleaseReviewParagraphId"/>
          <w:b w:val="off"/>
          <w:i w:val="off"/>
        </w:rPr>
        <w:t>[257]</w:t>
      </w:r>
      <w:r>
        <w:rPr>
          <w:color w:val="000000" w:themeColor="text1"/>
          <w:lang w:val="en-GB"/>
        </w:rPr>
        <w:t xml:space="preserve">This diagnostic protocol is adapted with permission from the peer-reviewed diagnostic protocol for </w:t>
      </w:r>
      <w:r>
        <w:rPr>
          <w:i/>
          <w:iCs/>
          <w:color w:val="000000" w:themeColor="text1"/>
          <w:lang w:val="en-GB"/>
        </w:rPr>
        <w:t>M. mali</w:t>
      </w:r>
      <w:r>
        <w:rPr>
          <w:color w:val="000000" w:themeColor="text1"/>
          <w:lang w:val="en-GB"/>
        </w:rPr>
        <w:t xml:space="preserve"> developed by EPPO (EPPO, 2018). </w:t>
      </w:r>
    </w:p>
    <w:p w14:paraId="7570E04C" w14:textId="534CA55A">
      <w:pPr>
        <w:pStyle w:val="IPPParagraphnumbering"/>
        <w:numPr>
          <w:ilvl w:val="0"/>
          <w:numId w:val="0"/>
        </w:numPr>
        <w:rPr>
          <w:color w:val="000000" w:themeColor="text1"/>
          <w:lang w:val="en-GB"/>
        </w:rPr>
      </w:pPr>
      <w:r>
        <w:rPr>
          <w:rStyle w:val="PleaseReviewParagraphId"/>
          <w:b w:val="off"/>
          <w:i w:val="off"/>
        </w:rPr>
        <w:t>[258]</w:t>
      </w:r>
      <w:r>
        <w:rPr>
          <w:rStyle w:val="fontstyle01"/>
          <w:color w:val="000000" w:themeColor="text1"/>
          <w:szCs w:val="24"/>
          <w:lang w:val="en-GB"/>
        </w:rPr>
        <w:t xml:space="preserve">The first draft of this protocol was written by </w:t>
      </w:r>
      <w:r>
        <w:rPr>
          <w:color w:val="000000" w:themeColor="text1"/>
          <w:lang w:val="en-GB"/>
        </w:rPr>
        <w:t>Jianfeng Gu (</w:t>
      </w:r>
      <w:r>
        <w:rPr>
          <w:color w:val="000000" w:themeColor="text1"/>
          <w:szCs w:val="22"/>
          <w:lang w:val="en-GB"/>
        </w:rPr>
        <w:t>Ningbo Inspection and Quarantine Science Technology Academy/Ningbo Customs Technology Center, China</w:t>
      </w:r>
      <w:r>
        <w:rPr>
          <w:color w:val="000000" w:themeColor="text1"/>
          <w:lang w:val="en-GB"/>
        </w:rPr>
        <w:t xml:space="preserve"> </w:t>
      </w:r>
      <w:r>
        <w:rPr>
          <w:rStyle w:val="fontstyle01"/>
          <w:color w:val="000000" w:themeColor="text1"/>
          <w:szCs w:val="24"/>
          <w:lang w:val="en-GB"/>
        </w:rPr>
        <w:t xml:space="preserve">(see preceding section)), Gerrit Karssen (NPPO, Kingdom of the Netherlands (see preceding section)), Thomas Prior (Fera Science Ltd., United Kingdom of Great Britain and Northern Ireland (see preceding section)), </w:t>
      </w:r>
      <w:r>
        <w:rPr>
          <w:color w:val="000000" w:themeColor="text1"/>
          <w:lang w:val="en-GB"/>
        </w:rPr>
        <w:t>Fengcheng Sun</w:t>
      </w:r>
      <w:r>
        <w:rPr>
          <w:rStyle w:val="fontstyle01"/>
          <w:color w:val="000000" w:themeColor="text1"/>
          <w:szCs w:val="24"/>
          <w:lang w:val="en-GB"/>
        </w:rPr>
        <w:t xml:space="preserve"> (</w:t>
      </w:r>
      <w:r>
        <w:rPr>
          <w:color w:val="000000" w:themeColor="text1"/>
          <w:lang w:val="en-GB"/>
        </w:rPr>
        <w:t xml:space="preserve">Canadian Food Inspection Agency, Canada </w:t>
      </w:r>
      <w:r>
        <w:rPr>
          <w:rStyle w:val="fontstyle01"/>
          <w:color w:val="000000" w:themeColor="text1"/>
          <w:szCs w:val="24"/>
          <w:lang w:val="en-GB"/>
        </w:rPr>
        <w:t>(see preceding section))</w:t>
      </w:r>
      <w:r>
        <w:rPr>
          <w:color w:val="000000" w:themeColor="text1"/>
          <w:lang w:val="en-GB"/>
        </w:rPr>
        <w:t xml:space="preserve"> and Trinh Thi Thu Thuy (MARD, Viet Nam </w:t>
      </w:r>
      <w:r>
        <w:rPr>
          <w:rStyle w:val="fontstyle01"/>
          <w:color w:val="000000" w:themeColor="text1"/>
          <w:szCs w:val="24"/>
          <w:lang w:val="en-GB"/>
        </w:rPr>
        <w:t>(see preceding section)</w:t>
      </w:r>
      <w:r>
        <w:rPr>
          <w:color w:val="000000" w:themeColor="text1"/>
          <w:lang w:val="en-GB"/>
        </w:rPr>
        <w:t xml:space="preserve">). The following experts provided comments that improved the quality of the protocol: Evelyn van Heese (Netherlands Institute for Vectors, Invasive plants and Plant health (NIVIP), Kingdom of the Netherlands), </w:t>
      </w:r>
      <w:bookmarkStart w:name="_Hlk166696641" w:id="12"/>
      <w:r>
        <w:rPr>
          <w:color w:val="000000" w:themeColor="text1"/>
          <w:lang w:val="en-GB"/>
        </w:rPr>
        <w:t xml:space="preserve">Aphorio Silva de Oliveira </w:t>
      </w:r>
      <w:bookmarkEnd w:id="12"/>
      <w:r>
        <w:rPr>
          <w:color w:val="000000" w:themeColor="text1"/>
          <w:lang w:val="en-GB"/>
        </w:rPr>
        <w:t>(Netherlands Food and Consumer Product Safety Authority (</w:t>
      </w:r>
      <w:r>
        <w:rPr>
          <w:color w:val="000000" w:themeColor="text1"/>
        </w:rPr>
        <w:t>NVWA), Kingdom of the Netherlands</w:t>
      </w:r>
      <w:r>
        <w:rPr>
          <w:color w:val="000000" w:themeColor="text1"/>
          <w:lang w:val="en-GB"/>
        </w:rPr>
        <w:t>) and Yiwu Fang (Technical Center of Ningbo Customs, China).</w:t>
      </w:r>
    </w:p>
    <w:p w14:paraId="3C46D97C" w14:textId="2DCE415D">
      <w:pPr>
        <w:pStyle w:val="IPPHeading1"/>
        <w:rPr>
          <w:color w:val="000000" w:themeColor="text1"/>
        </w:rPr>
      </w:pPr>
      <w:r>
        <w:rPr>
          <w:rStyle w:val="PleaseReviewParagraphId"/>
          <w:b w:val="off"/>
          <w:i w:val="off"/>
        </w:rPr>
        <w:t>[259]</w:t>
      </w:r>
      <w:r>
        <w:rPr>
          <w:color w:val="000000" w:themeColor="text1"/>
        </w:rPr>
        <w:t>8.</w:t>
        <w:tab/>
        <w:t>References</w:t>
      </w:r>
    </w:p>
    <w:p w14:paraId="1C572BA0" w14:textId="157A2C6E">
      <w:pPr>
        <w:pStyle w:val="IPPParagraphnumbering"/>
        <w:numPr>
          <w:ilvl w:val="0"/>
          <w:numId w:val="0"/>
        </w:numPr>
        <w:rPr>
          <w:color w:val="000000" w:themeColor="text1"/>
          <w:lang w:val="en-GB"/>
        </w:rPr>
      </w:pPr>
      <w:r>
        <w:rPr>
          <w:rStyle w:val="PleaseReviewParagraphId"/>
          <w:b w:val="off"/>
          <w:i w:val="off"/>
        </w:rPr>
        <w:t>[260]</w:t>
      </w:r>
      <w:r>
        <w:rPr>
          <w:color w:val="000000" w:themeColor="text1"/>
          <w:lang w:val="en-GB"/>
        </w:rPr>
        <w:t>The present annex refers to ISPMs. ISPMs are available on the International Phytosanitary Portal (IPP) at </w:t>
      </w:r>
      <w:hyperlink w:history="1" r:id="rId26">
        <w:r>
          <w:rPr>
            <w:rStyle w:val="Hyperlink"/>
            <w:color w:val="000000" w:themeColor="text1"/>
            <w:lang w:val="en-GB"/>
          </w:rPr>
          <w:t>www.ippc.int/en/core-activities/standards-setting/ispms</w:t>
        </w:r>
      </w:hyperlink>
      <w:r>
        <w:rPr>
          <w:color w:val="000000" w:themeColor="text1"/>
          <w:lang w:val="en-GB" w:eastAsia="en-GB"/>
        </w:rPr>
        <w:t>.</w:t>
      </w:r>
    </w:p>
    <w:p w14:paraId="35E62D56" w14:textId="1B128342">
      <w:pPr>
        <w:pStyle w:val="IPPParagraphnumbering"/>
        <w:numPr>
          <w:ilvl w:val="0"/>
          <w:numId w:val="0"/>
        </w:numPr>
        <w:rPr>
          <w:color w:val="000000" w:themeColor="text1"/>
          <w:lang w:val="en-GB" w:eastAsia="en-GB"/>
        </w:rPr>
      </w:pPr>
      <w:r>
        <w:rPr>
          <w:rStyle w:val="PleaseReviewParagraphId"/>
          <w:b w:val="off"/>
          <w:i w:val="off"/>
        </w:rPr>
        <w:t>[261]</w:t>
      </w:r>
      <w:r>
        <w:rPr>
          <w:b/>
          <w:color w:val="000000" w:themeColor="text1"/>
          <w:lang w:val="en-GB" w:eastAsia="en-GB"/>
        </w:rPr>
        <w:t>Ahmed, M., van de Vossenberg, B.T.L.H., Cornelisse, C. &amp; Karssen, G.</w:t>
      </w:r>
      <w:r>
        <w:rPr>
          <w:color w:val="000000" w:themeColor="text1"/>
          <w:lang w:val="en-GB" w:eastAsia="en-GB"/>
        </w:rPr>
        <w:t xml:space="preserve"> 2013. On the species status of the root-knot nematode </w:t>
      </w:r>
      <w:r>
        <w:rPr>
          <w:i/>
          <w:iCs/>
          <w:color w:val="000000" w:themeColor="text1"/>
          <w:lang w:val="en-GB" w:eastAsia="en-GB"/>
        </w:rPr>
        <w:t>Meloidogyne ulmi</w:t>
      </w:r>
      <w:r>
        <w:rPr>
          <w:color w:val="000000" w:themeColor="text1"/>
          <w:lang w:val="en-GB" w:eastAsia="en-GB"/>
        </w:rPr>
        <w:t xml:space="preserve"> Palmisano &amp; Ambrogioni, 2000 (Nematoda, Meloidogynidae). </w:t>
      </w:r>
      <w:r>
        <w:rPr>
          <w:i/>
          <w:iCs/>
          <w:color w:val="000000" w:themeColor="text1"/>
          <w:lang w:val="en-GB" w:eastAsia="en-GB"/>
        </w:rPr>
        <w:t>ZooKeys</w:t>
      </w:r>
      <w:r>
        <w:rPr>
          <w:color w:val="000000" w:themeColor="text1"/>
          <w:lang w:val="en-GB" w:eastAsia="en-GB"/>
        </w:rPr>
        <w:t xml:space="preserve">, 362: 1–27. </w:t>
      </w:r>
      <w:hyperlink w:tgtFrame="_blank" w:history="1" r:id="rId27">
        <w:r>
          <w:rPr>
            <w:rStyle w:val="Hyperlink"/>
            <w:color w:val="000000" w:themeColor="text1"/>
            <w:lang w:val="en-GB"/>
          </w:rPr>
          <w:t>https://doi.org/10.3897/zookeys.362.6352</w:t>
        </w:r>
      </w:hyperlink>
    </w:p>
    <w:p w14:paraId="5A65FAB2" w14:textId="3ABA98C2">
      <w:pPr>
        <w:pStyle w:val="IPPParagraphnumbering"/>
        <w:numPr>
          <w:ilvl w:val="0"/>
          <w:numId w:val="0"/>
        </w:numPr>
        <w:rPr>
          <w:color w:val="000000" w:themeColor="text1"/>
          <w:lang w:val="en-GB" w:eastAsia="en-GB"/>
        </w:rPr>
      </w:pPr>
      <w:r>
        <w:rPr>
          <w:rStyle w:val="PleaseReviewParagraphId"/>
          <w:b w:val="off"/>
          <w:i w:val="off"/>
        </w:rPr>
        <w:t>[262]</w:t>
      </w:r>
      <w:r>
        <w:rPr>
          <w:b/>
          <w:color w:val="000000" w:themeColor="text1"/>
          <w:lang w:val="en-GB" w:eastAsia="en-GB"/>
        </w:rPr>
        <w:t>Araya, M. &amp; Caswell-Chen, E.P.</w:t>
      </w:r>
      <w:r>
        <w:rPr>
          <w:bCs/>
          <w:color w:val="000000" w:themeColor="text1"/>
          <w:lang w:val="en-GB" w:eastAsia="en-GB"/>
        </w:rPr>
        <w:t xml:space="preserve"> 1993.</w:t>
      </w:r>
      <w:r>
        <w:rPr>
          <w:color w:val="000000" w:themeColor="text1"/>
          <w:lang w:val="en-GB" w:eastAsia="en-GB"/>
        </w:rPr>
        <w:t xml:space="preserve"> Enzymatic digestion of roots for the recovery of root-knot nematode developmental stages. </w:t>
      </w:r>
      <w:r>
        <w:rPr>
          <w:i/>
          <w:iCs/>
          <w:color w:val="000000" w:themeColor="text1"/>
          <w:lang w:val="en-GB" w:eastAsia="en-GB"/>
        </w:rPr>
        <w:t>Journal of Nematology</w:t>
      </w:r>
      <w:r>
        <w:rPr>
          <w:color w:val="000000" w:themeColor="text1"/>
          <w:lang w:val="en-GB" w:eastAsia="en-GB"/>
        </w:rPr>
        <w:t xml:space="preserve">, 25: 590–595. </w:t>
      </w:r>
      <w:hyperlink w:history="1" r:id="rId28">
        <w:r>
          <w:rPr>
            <w:rStyle w:val="Hyperlink"/>
            <w:color w:val="000000" w:themeColor="text1"/>
            <w:lang w:val="en-GB" w:eastAsia="en-GB"/>
          </w:rPr>
          <w:t>https://journals.flvc.org/jon/article/view/66547</w:t>
        </w:r>
      </w:hyperlink>
    </w:p>
    <w:p w14:paraId="62AABDA0" w14:textId="2CE3FA6C">
      <w:pPr>
        <w:pStyle w:val="IPPParagraphnumbering"/>
        <w:numPr>
          <w:ilvl w:val="0"/>
          <w:numId w:val="0"/>
        </w:numPr>
        <w:rPr>
          <w:rStyle w:val="Hyperlink"/>
          <w:color w:val="000000" w:themeColor="text1"/>
          <w:lang w:val="en-GB"/>
        </w:rPr>
      </w:pPr>
      <w:r>
        <w:rPr>
          <w:rStyle w:val="PleaseReviewParagraphId"/>
          <w:b w:val="off"/>
          <w:i w:val="off"/>
        </w:rPr>
        <w:t>[263]</w:t>
      </w:r>
      <w:r>
        <w:rPr>
          <w:b/>
          <w:color w:val="000000" w:themeColor="text1"/>
          <w:lang w:val="en-GB"/>
        </w:rPr>
        <w:t>Bonants, P., Edema, M. &amp; Robert, V.</w:t>
      </w:r>
      <w:r>
        <w:rPr>
          <w:bCs/>
          <w:color w:val="000000" w:themeColor="text1"/>
          <w:lang w:val="en-GB"/>
        </w:rPr>
        <w:t xml:space="preserve"> 2013.</w:t>
      </w:r>
      <w:r>
        <w:rPr>
          <w:color w:val="000000" w:themeColor="text1"/>
          <w:lang w:val="en-GB"/>
        </w:rPr>
        <w:t xml:space="preserve"> Q-bank, a database with information for identification of plant quarantine plant pest and diseases. </w:t>
      </w:r>
      <w:r>
        <w:rPr>
          <w:i/>
          <w:color w:val="000000" w:themeColor="text1"/>
          <w:lang w:val="en-GB"/>
        </w:rPr>
        <w:t>EPPO Bulletin</w:t>
      </w:r>
      <w:r>
        <w:rPr>
          <w:iCs/>
          <w:color w:val="000000" w:themeColor="text1"/>
          <w:lang w:val="en-GB"/>
        </w:rPr>
        <w:t>,</w:t>
      </w:r>
      <w:r>
        <w:rPr>
          <w:i/>
          <w:color w:val="000000" w:themeColor="text1"/>
          <w:lang w:val="en-GB"/>
        </w:rPr>
        <w:t xml:space="preserve"> </w:t>
      </w:r>
      <w:r>
        <w:rPr>
          <w:color w:val="000000" w:themeColor="text1"/>
          <w:lang w:val="en-GB"/>
        </w:rPr>
        <w:t xml:space="preserve">43: 211–215. </w:t>
      </w:r>
      <w:hyperlink w:history="1" r:id="rId29">
        <w:r>
          <w:rPr>
            <w:rStyle w:val="Hyperlink"/>
            <w:color w:val="000000" w:themeColor="text1"/>
            <w:lang w:val="en-GB"/>
          </w:rPr>
          <w:t>https://doi.org/10.1111/epp.12030</w:t>
        </w:r>
      </w:hyperlink>
    </w:p>
    <w:p w14:paraId="410AB9CE" w14:textId="7BE4CA1E">
      <w:pPr>
        <w:pStyle w:val="IPPParagraphnumbering"/>
        <w:numPr>
          <w:ilvl w:val="0"/>
          <w:numId w:val="0"/>
        </w:numPr>
        <w:rPr>
          <w:color w:val="000000" w:themeColor="text1"/>
          <w:lang w:val="en-GB"/>
        </w:rPr>
      </w:pPr>
      <w:r>
        <w:rPr>
          <w:rStyle w:val="PleaseReviewParagraphId"/>
          <w:b w:val="off"/>
          <w:i w:val="off"/>
        </w:rPr>
        <w:t>[264]</w:t>
      </w:r>
      <w:r>
        <w:rPr>
          <w:b/>
          <w:color w:val="000000" w:themeColor="text1"/>
          <w:lang w:val="en-GB"/>
        </w:rPr>
        <w:t>Brown, D.J.F., Dalmasso, A. &amp; Trudgill, D.L.</w:t>
      </w:r>
      <w:r>
        <w:rPr>
          <w:color w:val="000000" w:themeColor="text1"/>
          <w:lang w:val="en-GB"/>
        </w:rPr>
        <w:t xml:space="preserve"> 1993. Nematode pests of deciduous soft fruits and vines. In: K. Evans, D.L. Trudgill, J.M. Webster, eds. </w:t>
      </w:r>
      <w:r>
        <w:rPr>
          <w:i/>
          <w:iCs/>
          <w:color w:val="000000" w:themeColor="text1"/>
          <w:lang w:val="en-GB"/>
        </w:rPr>
        <w:t>Plant parasitic nematodes in temperate agriculture</w:t>
      </w:r>
      <w:r>
        <w:rPr>
          <w:color w:val="000000" w:themeColor="text1"/>
          <w:lang w:val="en-GB"/>
        </w:rPr>
        <w:t>, pp. 427–462. Wallingford, UK, CABI.</w:t>
      </w:r>
    </w:p>
    <w:p w14:paraId="201CFD04" w14:textId="132AE0A7">
      <w:pPr>
        <w:pStyle w:val="IPPParagraphnumbering"/>
        <w:numPr>
          <w:ilvl w:val="0"/>
          <w:numId w:val="0"/>
        </w:numPr>
        <w:rPr>
          <w:color w:val="000000" w:themeColor="text1"/>
          <w:lang w:val="en-GB" w:eastAsia="en-GB"/>
        </w:rPr>
      </w:pPr>
      <w:r>
        <w:rPr>
          <w:rStyle w:val="PleaseReviewParagraphId"/>
          <w:b w:val="off"/>
          <w:i w:val="off"/>
        </w:rPr>
        <w:t>[265]</w:t>
      </w:r>
      <w:r>
        <w:rPr>
          <w:b/>
          <w:color w:val="000000" w:themeColor="text1"/>
          <w:lang w:val="en-GB" w:eastAsia="en-GB"/>
        </w:rPr>
        <w:t>CABI</w:t>
      </w:r>
      <w:r>
        <w:rPr>
          <w:bCs/>
          <w:color w:val="000000" w:themeColor="text1"/>
          <w:lang w:val="en-GB" w:eastAsia="en-GB"/>
        </w:rPr>
        <w:t xml:space="preserve">. n.d. </w:t>
      </w:r>
      <w:r>
        <w:rPr>
          <w:i/>
          <w:iCs/>
          <w:color w:val="000000" w:themeColor="text1"/>
          <w:lang w:val="en-GB"/>
        </w:rPr>
        <w:t>Meloidogyne mali.</w:t>
      </w:r>
      <w:r>
        <w:rPr>
          <w:color w:val="000000" w:themeColor="text1"/>
          <w:lang w:val="en-GB" w:eastAsia="en-GB"/>
        </w:rPr>
        <w:t xml:space="preserve"> In: </w:t>
      </w:r>
      <w:r>
        <w:rPr>
          <w:i/>
          <w:iCs/>
          <w:color w:val="000000" w:themeColor="text1"/>
          <w:lang w:val="en-GB" w:eastAsia="en-GB"/>
        </w:rPr>
        <w:t>CABI compendium</w:t>
      </w:r>
      <w:r>
        <w:rPr>
          <w:color w:val="000000" w:themeColor="text1"/>
          <w:lang w:val="en-GB" w:eastAsia="en-GB"/>
        </w:rPr>
        <w:t xml:space="preserve">. Wallingford, UK. [Cited February 2023.] </w:t>
      </w:r>
      <w:hyperlink w:history="1" r:id="rId30">
        <w:r>
          <w:rPr>
            <w:rStyle w:val="Hyperlink"/>
            <w:color w:val="000000" w:themeColor="text1"/>
            <w:lang w:val="en-GB" w:eastAsia="en-GB"/>
          </w:rPr>
          <w:t>https://doi.org/10.1079/cabicompendium.33247</w:t>
        </w:r>
      </w:hyperlink>
      <w:r>
        <w:rPr>
          <w:color w:val="000000" w:themeColor="text1"/>
          <w:lang w:val="en-GB" w:eastAsia="en-GB"/>
        </w:rPr>
        <w:t xml:space="preserve"> </w:t>
      </w:r>
    </w:p>
    <w:p w14:paraId="647ECEE8" w14:textId="6071ABBA">
      <w:pPr>
        <w:pStyle w:val="IPPParagraphnumbering"/>
        <w:numPr>
          <w:ilvl w:val="0"/>
          <w:numId w:val="0"/>
        </w:numPr>
        <w:rPr>
          <w:color w:val="000000" w:themeColor="text1"/>
          <w:szCs w:val="22"/>
          <w:lang w:val="en-GB"/>
        </w:rPr>
      </w:pPr>
      <w:r>
        <w:rPr>
          <w:rStyle w:val="PleaseReviewParagraphId"/>
          <w:b w:val="off"/>
          <w:i w:val="off"/>
        </w:rPr>
        <w:t>[266]</w:t>
      </w:r>
      <w:r>
        <w:rPr>
          <w:b/>
          <w:bCs/>
          <w:color w:val="000000" w:themeColor="text1"/>
          <w:szCs w:val="22"/>
          <w:lang w:val="en-GB"/>
        </w:rPr>
        <w:t>Carneiro, R.M.D.G., Almeida, M.R.A. &amp; Qu</w:t>
      </w:r>
      <w:r>
        <w:rPr>
          <w:b/>
          <w:bCs/>
          <w:color w:val="000000" w:themeColor="text1"/>
          <w:lang w:val="en-GB"/>
        </w:rPr>
        <w:t>é</w:t>
      </w:r>
      <w:r>
        <w:rPr>
          <w:b/>
          <w:bCs/>
          <w:color w:val="000000" w:themeColor="text1"/>
          <w:szCs w:val="22"/>
          <w:lang w:val="en-GB"/>
        </w:rPr>
        <w:t>n</w:t>
      </w:r>
      <w:r>
        <w:rPr>
          <w:b/>
          <w:bCs/>
          <w:color w:val="000000" w:themeColor="text1"/>
          <w:lang w:val="en-GB"/>
        </w:rPr>
        <w:t>é</w:t>
      </w:r>
      <w:r>
        <w:rPr>
          <w:b/>
          <w:bCs/>
          <w:color w:val="000000" w:themeColor="text1"/>
          <w:szCs w:val="22"/>
          <w:lang w:val="en-GB"/>
        </w:rPr>
        <w:t>herv</w:t>
      </w:r>
      <w:r>
        <w:rPr>
          <w:b/>
          <w:bCs/>
          <w:color w:val="000000" w:themeColor="text1"/>
          <w:lang w:val="en-GB"/>
        </w:rPr>
        <w:t>é,</w:t>
      </w:r>
      <w:r>
        <w:rPr>
          <w:b/>
          <w:bCs/>
          <w:color w:val="000000" w:themeColor="text1"/>
          <w:szCs w:val="22"/>
          <w:lang w:val="en-GB"/>
        </w:rPr>
        <w:t xml:space="preserve"> P.</w:t>
      </w:r>
      <w:r>
        <w:rPr>
          <w:color w:val="000000" w:themeColor="text1"/>
          <w:szCs w:val="22"/>
          <w:lang w:val="en-GB"/>
        </w:rPr>
        <w:t xml:space="preserve"> 2000</w:t>
      </w:r>
      <w:r>
        <w:rPr>
          <w:color w:val="000000" w:themeColor="text1"/>
          <w:lang w:val="en-GB"/>
        </w:rPr>
        <w:t>.</w:t>
      </w:r>
      <w:r>
        <w:rPr>
          <w:color w:val="000000" w:themeColor="text1"/>
          <w:szCs w:val="22"/>
          <w:lang w:val="en-GB"/>
        </w:rPr>
        <w:t xml:space="preserve"> Enzyme phenotypes of </w:t>
      </w:r>
      <w:r>
        <w:rPr>
          <w:i/>
          <w:iCs/>
          <w:color w:val="000000" w:themeColor="text1"/>
          <w:szCs w:val="22"/>
          <w:lang w:val="en-GB"/>
        </w:rPr>
        <w:t>Meloidogyne</w:t>
      </w:r>
      <w:r>
        <w:rPr>
          <w:color w:val="000000" w:themeColor="text1"/>
          <w:szCs w:val="22"/>
          <w:lang w:val="en-GB"/>
        </w:rPr>
        <w:t xml:space="preserve"> spp. populations. </w:t>
      </w:r>
      <w:r>
        <w:rPr>
          <w:i/>
          <w:iCs/>
          <w:color w:val="000000" w:themeColor="text1"/>
          <w:szCs w:val="22"/>
          <w:lang w:val="en-GB"/>
        </w:rPr>
        <w:t>Nematology</w:t>
      </w:r>
      <w:r>
        <w:rPr>
          <w:color w:val="000000" w:themeColor="text1"/>
          <w:szCs w:val="22"/>
          <w:lang w:val="en-GB"/>
        </w:rPr>
        <w:t xml:space="preserve">, 2: 645–654. </w:t>
      </w:r>
      <w:hyperlink w:tgtFrame="_blank" w:history="1" r:id="rId31">
        <w:r>
          <w:rPr>
            <w:rStyle w:val="Hyperlink"/>
            <w:color w:val="000000" w:themeColor="text1"/>
            <w:lang w:val="en-GB"/>
          </w:rPr>
          <w:t>https://doi.org/10.1163/156854100509510</w:t>
        </w:r>
      </w:hyperlink>
    </w:p>
    <w:p w14:paraId="7C0AE074" w14:textId="78E72B0E">
      <w:pPr>
        <w:pStyle w:val="IPPParagraphnumbering"/>
        <w:numPr>
          <w:ilvl w:val="0"/>
          <w:numId w:val="0"/>
        </w:numPr>
        <w:rPr>
          <w:color w:val="000000" w:themeColor="text1"/>
          <w:lang w:val="en-GB" w:eastAsia="en-GB"/>
        </w:rPr>
      </w:pPr>
      <w:r>
        <w:rPr>
          <w:rStyle w:val="PleaseReviewParagraphId"/>
          <w:b w:val="off"/>
          <w:i w:val="off"/>
        </w:rPr>
        <w:t>[267]</w:t>
      </w:r>
      <w:r>
        <w:rPr>
          <w:b/>
          <w:color w:val="000000" w:themeColor="text1"/>
          <w:lang w:val="en-GB" w:eastAsia="en-GB"/>
        </w:rPr>
        <w:t>EPPO (European and Mediterranean Plant Protection Organization)</w:t>
      </w:r>
      <w:r>
        <w:rPr>
          <w:bCs/>
          <w:color w:val="000000" w:themeColor="text1"/>
          <w:lang w:val="en-GB" w:eastAsia="en-GB"/>
        </w:rPr>
        <w:t>. 2013.</w:t>
      </w:r>
      <w:r>
        <w:rPr>
          <w:color w:val="000000" w:themeColor="text1"/>
          <w:lang w:val="en-GB" w:eastAsia="en-GB"/>
        </w:rPr>
        <w:t xml:space="preserve"> </w:t>
      </w:r>
      <w:r>
        <w:rPr>
          <w:i/>
          <w:iCs/>
          <w:color w:val="000000" w:themeColor="text1"/>
          <w:lang w:val="en-GB" w:eastAsia="en-GB"/>
        </w:rPr>
        <w:t>Nematode extraction</w:t>
      </w:r>
      <w:r>
        <w:rPr>
          <w:color w:val="000000" w:themeColor="text1"/>
          <w:lang w:val="en-GB" w:eastAsia="en-GB"/>
        </w:rPr>
        <w:t xml:space="preserve">. PM 7/119(1). </w:t>
      </w:r>
      <w:r>
        <w:rPr>
          <w:i/>
          <w:iCs/>
          <w:color w:val="000000" w:themeColor="text1"/>
          <w:lang w:val="en-GB" w:eastAsia="en-GB"/>
        </w:rPr>
        <w:t>EPPO Bulletin</w:t>
      </w:r>
      <w:r>
        <w:rPr>
          <w:color w:val="000000" w:themeColor="text1"/>
          <w:lang w:val="en-GB" w:eastAsia="en-GB"/>
        </w:rPr>
        <w:t xml:space="preserve">, 43: 471–495. </w:t>
      </w:r>
      <w:hyperlink w:history="1" r:id="rId32">
        <w:r>
          <w:rPr>
            <w:rStyle w:val="Hyperlink"/>
            <w:color w:val="000000" w:themeColor="text1"/>
            <w:lang w:val="en-GB"/>
          </w:rPr>
          <w:t>https://doi.org/10.1111/epp.12077</w:t>
        </w:r>
      </w:hyperlink>
    </w:p>
    <w:p w14:paraId="750651EE" w14:textId="5D50560F">
      <w:pPr>
        <w:pStyle w:val="IPPParagraphnumbering"/>
        <w:numPr>
          <w:ilvl w:val="0"/>
          <w:numId w:val="0"/>
        </w:numPr>
        <w:rPr>
          <w:color w:val="000000" w:themeColor="text1"/>
          <w:lang w:val="en-GB" w:eastAsia="en-GB"/>
        </w:rPr>
      </w:pPr>
      <w:r>
        <w:rPr>
          <w:rStyle w:val="PleaseReviewParagraphId"/>
          <w:b w:val="off"/>
          <w:i w:val="off"/>
        </w:rPr>
        <w:t>[268]</w:t>
      </w:r>
      <w:r>
        <w:rPr>
          <w:b/>
          <w:color w:val="000000" w:themeColor="text1"/>
          <w:lang w:val="en-GB" w:eastAsia="en-GB"/>
        </w:rPr>
        <w:t>EPPO</w:t>
      </w:r>
      <w:r>
        <w:rPr>
          <w:bCs/>
          <w:color w:val="000000" w:themeColor="text1"/>
          <w:lang w:val="en-GB" w:eastAsia="en-GB"/>
        </w:rPr>
        <w:t>. 2016.</w:t>
      </w:r>
      <w:r>
        <w:rPr>
          <w:color w:val="000000" w:themeColor="text1"/>
          <w:lang w:val="en-GB" w:eastAsia="en-GB"/>
        </w:rPr>
        <w:t xml:space="preserve"> DNA barcoding as an identification tool for a number of regulated pests. PM 7/129(1). </w:t>
      </w:r>
      <w:r>
        <w:rPr>
          <w:i/>
          <w:iCs/>
          <w:color w:val="000000" w:themeColor="text1"/>
          <w:lang w:val="en-GB" w:eastAsia="en-GB"/>
        </w:rPr>
        <w:t>EPPO Bulletin</w:t>
      </w:r>
      <w:r>
        <w:rPr>
          <w:color w:val="000000" w:themeColor="text1"/>
          <w:lang w:val="en-GB" w:eastAsia="en-GB"/>
        </w:rPr>
        <w:t xml:space="preserve">, 46: 501–537. </w:t>
      </w:r>
      <w:hyperlink w:history="1" r:id="rId33">
        <w:r>
          <w:rPr>
            <w:rStyle w:val="Hyperlink"/>
            <w:color w:val="000000" w:themeColor="text1"/>
            <w:lang w:val="en-GB"/>
          </w:rPr>
          <w:t>https://doi.org/10.1111/epp.12344</w:t>
        </w:r>
      </w:hyperlink>
    </w:p>
    <w:p w14:paraId="0E821C2A" w14:textId="0D1EA036">
      <w:pPr>
        <w:pStyle w:val="IPPParagraphnumbering"/>
        <w:numPr>
          <w:ilvl w:val="0"/>
          <w:numId w:val="0"/>
        </w:numPr>
        <w:rPr>
          <w:color w:val="000000" w:themeColor="text1"/>
          <w:lang w:val="en-GB" w:eastAsia="en-GB"/>
        </w:rPr>
      </w:pPr>
      <w:r>
        <w:rPr>
          <w:rStyle w:val="PleaseReviewParagraphId"/>
          <w:b w:val="off"/>
          <w:i w:val="off"/>
        </w:rPr>
        <w:t>[269]</w:t>
      </w:r>
      <w:r>
        <w:rPr>
          <w:b/>
          <w:color w:val="000000" w:themeColor="text1"/>
          <w:lang w:val="en-GB" w:eastAsia="en-GB"/>
        </w:rPr>
        <w:t>EPPO</w:t>
      </w:r>
      <w:r>
        <w:rPr>
          <w:bCs/>
          <w:color w:val="000000" w:themeColor="text1"/>
          <w:lang w:val="en-GB" w:eastAsia="en-GB"/>
        </w:rPr>
        <w:t>. 2017.</w:t>
      </w:r>
      <w:r>
        <w:rPr>
          <w:color w:val="000000" w:themeColor="text1"/>
          <w:lang w:val="en-GB" w:eastAsia="en-GB"/>
        </w:rPr>
        <w:t xml:space="preserve"> Pest risk analysis for </w:t>
      </w:r>
      <w:r>
        <w:rPr>
          <w:i/>
          <w:iCs/>
          <w:color w:val="000000" w:themeColor="text1"/>
          <w:lang w:val="en-GB" w:eastAsia="en-GB"/>
        </w:rPr>
        <w:t>Meloidogyne mali</w:t>
      </w:r>
      <w:r>
        <w:rPr>
          <w:color w:val="000000" w:themeColor="text1"/>
          <w:lang w:val="en-GB" w:eastAsia="en-GB"/>
        </w:rPr>
        <w:t xml:space="preserve"> (Tylenchida: Meloidogynidae), apple root-knot nematode. In: </w:t>
      </w:r>
      <w:r>
        <w:rPr>
          <w:i/>
          <w:iCs/>
          <w:color w:val="000000" w:themeColor="text1"/>
          <w:lang w:val="en-GB" w:eastAsia="en-GB"/>
        </w:rPr>
        <w:t>EPPO global database</w:t>
      </w:r>
      <w:r>
        <w:rPr>
          <w:color w:val="000000" w:themeColor="text1"/>
          <w:lang w:val="en-GB" w:eastAsia="en-GB"/>
        </w:rPr>
        <w:t xml:space="preserve">. Paris. </w:t>
      </w:r>
      <w:hyperlink w:history="1" r:id="rId34">
        <w:r>
          <w:rPr>
            <w:rStyle w:val="Hyperlink"/>
            <w:color w:val="000000" w:themeColor="text1"/>
            <w:lang w:val="en-GB"/>
          </w:rPr>
          <w:t>https://gd.eppo.int/taxon/MELGMA/documents</w:t>
        </w:r>
      </w:hyperlink>
      <w:r>
        <w:rPr>
          <w:color w:val="000000" w:themeColor="text1"/>
          <w:lang w:val="en-GB" w:eastAsia="en-GB"/>
        </w:rPr>
        <w:t xml:space="preserve"> (Express PRA for </w:t>
      </w:r>
      <w:r>
        <w:rPr>
          <w:i/>
          <w:iCs/>
          <w:color w:val="000000" w:themeColor="text1"/>
          <w:lang w:val="en-GB" w:eastAsia="en-GB"/>
        </w:rPr>
        <w:t>Meloidogyne mali</w:t>
      </w:r>
      <w:r>
        <w:rPr>
          <w:color w:val="000000" w:themeColor="text1"/>
          <w:lang w:val="en-GB" w:eastAsia="en-GB"/>
        </w:rPr>
        <w:t xml:space="preserve">.) </w:t>
      </w:r>
    </w:p>
    <w:p w14:paraId="64956CAA" w14:textId="6CBE754C">
      <w:pPr>
        <w:pStyle w:val="IPPParagraphnumbering"/>
        <w:numPr>
          <w:ilvl w:val="0"/>
          <w:numId w:val="0"/>
        </w:numPr>
        <w:rPr>
          <w:color w:val="000000" w:themeColor="text1"/>
          <w:lang w:val="en-GB" w:eastAsia="en-GB"/>
        </w:rPr>
      </w:pPr>
      <w:r>
        <w:rPr>
          <w:rStyle w:val="PleaseReviewParagraphId"/>
          <w:b w:val="off"/>
          <w:i w:val="off"/>
        </w:rPr>
        <w:t>[270]</w:t>
      </w:r>
      <w:r>
        <w:rPr>
          <w:b/>
          <w:color w:val="000000" w:themeColor="text1"/>
          <w:lang w:val="en-GB"/>
        </w:rPr>
        <w:t>EPPO</w:t>
      </w:r>
      <w:r>
        <w:rPr>
          <w:bCs/>
          <w:color w:val="000000" w:themeColor="text1"/>
          <w:lang w:val="en-GB"/>
        </w:rPr>
        <w:t>. 2018.</w:t>
      </w:r>
      <w:r>
        <w:rPr>
          <w:color w:val="000000" w:themeColor="text1"/>
          <w:lang w:val="en-GB"/>
        </w:rPr>
        <w:t xml:space="preserve"> </w:t>
      </w:r>
      <w:r>
        <w:rPr>
          <w:i/>
          <w:color w:val="000000" w:themeColor="text1"/>
          <w:lang w:val="en-GB"/>
        </w:rPr>
        <w:t>Meloidogyne mali</w:t>
      </w:r>
      <w:r>
        <w:rPr>
          <w:color w:val="000000" w:themeColor="text1"/>
          <w:lang w:val="en-GB"/>
        </w:rPr>
        <w:t xml:space="preserve">. PM 7/136(1). </w:t>
      </w:r>
      <w:r>
        <w:rPr>
          <w:i/>
          <w:iCs/>
          <w:color w:val="000000" w:themeColor="text1"/>
          <w:lang w:val="en-GB" w:eastAsia="en-GB"/>
        </w:rPr>
        <w:t>EPPO Bulletin</w:t>
      </w:r>
      <w:r>
        <w:rPr>
          <w:color w:val="000000" w:themeColor="text1"/>
          <w:lang w:val="en-GB" w:eastAsia="en-GB"/>
        </w:rPr>
        <w:t xml:space="preserve">, 48(3): 438–445. </w:t>
      </w:r>
      <w:hyperlink w:history="1" r:id="rId35">
        <w:r>
          <w:rPr>
            <w:rStyle w:val="Hyperlink"/>
            <w:color w:val="000000" w:themeColor="text1"/>
            <w:lang w:val="en-GB"/>
          </w:rPr>
          <w:t>https://doi.org/10.1111/epp.12544</w:t>
        </w:r>
      </w:hyperlink>
    </w:p>
    <w:p w14:paraId="567FDFEE" w14:textId="0C69E46E">
      <w:pPr>
        <w:pStyle w:val="IPPParagraphnumbering"/>
        <w:numPr>
          <w:ilvl w:val="0"/>
          <w:numId w:val="0"/>
        </w:numPr>
        <w:rPr>
          <w:color w:val="000000" w:themeColor="text1"/>
          <w:lang w:val="en-GB" w:eastAsia="en-GB"/>
        </w:rPr>
      </w:pPr>
      <w:r>
        <w:rPr>
          <w:rStyle w:val="PleaseReviewParagraphId"/>
          <w:b w:val="off"/>
          <w:i w:val="off"/>
        </w:rPr>
        <w:t>[271]</w:t>
      </w:r>
      <w:r>
        <w:rPr>
          <w:b/>
          <w:color w:val="000000" w:themeColor="text1"/>
          <w:lang w:val="en-GB" w:eastAsia="en-GB"/>
        </w:rPr>
        <w:lastRenderedPageBreak/>
        <w:t>EPPO</w:t>
      </w:r>
      <w:r>
        <w:rPr>
          <w:bCs/>
          <w:color w:val="000000" w:themeColor="text1"/>
          <w:lang w:val="en-GB" w:eastAsia="en-GB"/>
        </w:rPr>
        <w:t>. 2021.</w:t>
      </w:r>
      <w:r>
        <w:rPr>
          <w:color w:val="000000" w:themeColor="text1"/>
          <w:lang w:val="en-GB" w:eastAsia="en-GB"/>
        </w:rPr>
        <w:t xml:space="preserve"> </w:t>
      </w:r>
      <w:r>
        <w:rPr>
          <w:color w:val="000000" w:themeColor="text1"/>
          <w:lang w:val="en-GB"/>
        </w:rPr>
        <w:t xml:space="preserve">Guidelines for the management of nematode collections used for the production and maintenance of reference material. </w:t>
      </w:r>
      <w:r>
        <w:rPr>
          <w:color w:val="000000" w:themeColor="text1"/>
          <w:lang w:val="en-GB" w:eastAsia="en-GB"/>
        </w:rPr>
        <w:t xml:space="preserve">PM 7/148(1). </w:t>
      </w:r>
      <w:r>
        <w:rPr>
          <w:i/>
          <w:iCs/>
          <w:color w:val="000000" w:themeColor="text1"/>
          <w:lang w:val="en-GB" w:eastAsia="en-GB"/>
        </w:rPr>
        <w:t>EPPO Bulletin</w:t>
      </w:r>
      <w:r>
        <w:rPr>
          <w:color w:val="000000" w:themeColor="text1"/>
          <w:lang w:val="en-GB" w:eastAsia="en-GB"/>
        </w:rPr>
        <w:t xml:space="preserve">, 51(3): </w:t>
      </w:r>
      <w:r>
        <w:rPr>
          <w:color w:val="000000" w:themeColor="text1"/>
          <w:lang w:val="en-GB"/>
        </w:rPr>
        <w:t>507–548</w:t>
      </w:r>
      <w:r>
        <w:rPr>
          <w:color w:val="000000" w:themeColor="text1"/>
          <w:lang w:val="en-GB" w:eastAsia="en-GB"/>
        </w:rPr>
        <w:t xml:space="preserve">. </w:t>
      </w:r>
      <w:hyperlink w:history="1" r:id="rId36">
        <w:r>
          <w:rPr>
            <w:rStyle w:val="Hyperlink"/>
            <w:color w:val="000000" w:themeColor="text1"/>
            <w:lang w:val="en-GB"/>
          </w:rPr>
          <w:t>https://doi.org/10.1111/epp.12798</w:t>
        </w:r>
      </w:hyperlink>
    </w:p>
    <w:p w14:paraId="485376F0" w14:textId="77777777">
      <w:pPr>
        <w:pStyle w:val="IPPParagraphnumbering"/>
        <w:numPr>
          <w:ilvl w:val="0"/>
          <w:numId w:val="0"/>
        </w:numPr>
        <w:rPr>
          <w:color w:val="000000" w:themeColor="text1"/>
          <w:szCs w:val="22"/>
          <w:lang w:val="en-GB"/>
        </w:rPr>
      </w:pPr>
      <w:r>
        <w:rPr>
          <w:rStyle w:val="PleaseReviewParagraphId"/>
          <w:b w:val="off"/>
          <w:i w:val="off"/>
        </w:rPr>
        <w:t>[272]</w:t>
      </w:r>
      <w:r>
        <w:rPr>
          <w:b/>
          <w:bCs/>
          <w:color w:val="000000" w:themeColor="text1"/>
          <w:szCs w:val="22"/>
          <w:lang w:val="en-GB"/>
        </w:rPr>
        <w:t>EPPO</w:t>
      </w:r>
      <w:r>
        <w:rPr>
          <w:color w:val="000000" w:themeColor="text1"/>
          <w:szCs w:val="22"/>
          <w:lang w:val="en-GB"/>
        </w:rPr>
        <w:t xml:space="preserve">. n.d.(a). </w:t>
      </w:r>
      <w:r>
        <w:rPr>
          <w:i/>
          <w:iCs/>
          <w:color w:val="000000" w:themeColor="text1"/>
          <w:szCs w:val="22"/>
          <w:lang w:val="en-GB"/>
        </w:rPr>
        <w:t>EPPO A2</w:t>
      </w:r>
      <w:r>
        <w:rPr>
          <w:color w:val="000000" w:themeColor="text1"/>
          <w:szCs w:val="22"/>
          <w:lang w:val="en-GB"/>
        </w:rPr>
        <w:t xml:space="preserve"> </w:t>
      </w:r>
      <w:r>
        <w:rPr>
          <w:i/>
          <w:iCs/>
          <w:color w:val="000000" w:themeColor="text1"/>
          <w:lang w:val="en-GB"/>
        </w:rPr>
        <w:t>list of pests recommended for regulation as quarantine pests</w:t>
      </w:r>
      <w:r>
        <w:rPr>
          <w:color w:val="000000" w:themeColor="text1"/>
          <w:lang w:val="en-GB"/>
        </w:rPr>
        <w:t xml:space="preserve">. In: </w:t>
      </w:r>
      <w:r>
        <w:rPr>
          <w:i/>
          <w:iCs/>
          <w:color w:val="000000" w:themeColor="text1"/>
          <w:lang w:val="en-GB"/>
        </w:rPr>
        <w:t>EPPO</w:t>
      </w:r>
      <w:r>
        <w:rPr>
          <w:color w:val="000000" w:themeColor="text1"/>
          <w:lang w:val="en-GB"/>
        </w:rPr>
        <w:t xml:space="preserve">. Paris. [Cited 2 May 2024]. </w:t>
      </w:r>
      <w:hyperlink w:history="1" r:id="rId37">
        <w:r>
          <w:rPr>
            <w:rStyle w:val="Hyperlink"/>
            <w:color w:val="000000" w:themeColor="text1"/>
            <w:lang w:val="en-GB"/>
          </w:rPr>
          <w:t>https://www.eppo.int/ACTIVITIES/plant_quarantine/A2_list</w:t>
        </w:r>
      </w:hyperlink>
    </w:p>
    <w:p w14:paraId="564AB9B9" w14:textId="6EF934F7">
      <w:pPr>
        <w:pStyle w:val="IPPParagraphnumbering"/>
        <w:numPr>
          <w:ilvl w:val="0"/>
          <w:numId w:val="0"/>
        </w:numPr>
        <w:rPr>
          <w:color w:val="000000" w:themeColor="text1"/>
          <w:lang w:val="en-GB" w:eastAsia="en-GB"/>
        </w:rPr>
      </w:pPr>
      <w:r>
        <w:rPr>
          <w:rStyle w:val="PleaseReviewParagraphId"/>
          <w:b w:val="off"/>
          <w:i w:val="off"/>
        </w:rPr>
        <w:t>[273]</w:t>
      </w:r>
      <w:r>
        <w:rPr>
          <w:b/>
          <w:color w:val="000000" w:themeColor="text1"/>
          <w:lang w:val="en-GB" w:eastAsia="en-GB"/>
        </w:rPr>
        <w:t>EPPO</w:t>
      </w:r>
      <w:r>
        <w:rPr>
          <w:bCs/>
          <w:color w:val="000000" w:themeColor="text1"/>
          <w:lang w:val="en-GB" w:eastAsia="en-GB"/>
        </w:rPr>
        <w:t>. n.d.(b).</w:t>
      </w:r>
      <w:r>
        <w:rPr>
          <w:color w:val="000000" w:themeColor="text1"/>
          <w:lang w:val="en-GB" w:eastAsia="en-GB"/>
        </w:rPr>
        <w:t xml:space="preserve"> </w:t>
      </w:r>
      <w:r>
        <w:rPr>
          <w:i/>
          <w:iCs/>
          <w:color w:val="000000" w:themeColor="text1"/>
          <w:lang w:val="en-GB" w:eastAsia="en-GB"/>
        </w:rPr>
        <w:t>Meloidogyne mali</w:t>
      </w:r>
      <w:r>
        <w:rPr>
          <w:color w:val="000000" w:themeColor="text1"/>
          <w:lang w:val="en-GB" w:eastAsia="en-GB"/>
        </w:rPr>
        <w:t xml:space="preserve">. In: </w:t>
      </w:r>
      <w:r>
        <w:rPr>
          <w:i/>
          <w:iCs/>
          <w:color w:val="000000" w:themeColor="text1"/>
          <w:lang w:val="en-GB" w:eastAsia="en-GB"/>
        </w:rPr>
        <w:t>EPPO global database</w:t>
      </w:r>
      <w:r>
        <w:rPr>
          <w:color w:val="000000" w:themeColor="text1"/>
          <w:lang w:val="en-GB" w:eastAsia="en-GB"/>
        </w:rPr>
        <w:t xml:space="preserve">. Paris. [Cited 28 February 2023]. </w:t>
      </w:r>
      <w:hyperlink w:history="1" r:id="rId38">
        <w:r>
          <w:rPr>
            <w:rStyle w:val="Hyperlink"/>
            <w:color w:val="000000" w:themeColor="text1"/>
            <w:lang w:val="en-GB"/>
          </w:rPr>
          <w:t>https://gd.eppo.int/taxon/MELGMA</w:t>
        </w:r>
      </w:hyperlink>
      <w:r>
        <w:rPr>
          <w:color w:val="000000" w:themeColor="text1"/>
          <w:lang w:val="en-GB" w:eastAsia="en-GB"/>
        </w:rPr>
        <w:t xml:space="preserve"> </w:t>
      </w:r>
    </w:p>
    <w:p w14:paraId="2A8A1C26" w14:textId="4D9AEA24">
      <w:pPr>
        <w:pStyle w:val="IPPParagraphnumbering"/>
        <w:numPr>
          <w:ilvl w:val="0"/>
          <w:numId w:val="0"/>
        </w:numPr>
        <w:rPr>
          <w:color w:val="000000" w:themeColor="text1"/>
          <w:szCs w:val="22"/>
          <w:lang w:val="en-GB"/>
        </w:rPr>
      </w:pPr>
      <w:r>
        <w:rPr>
          <w:rStyle w:val="PleaseReviewParagraphId"/>
          <w:b w:val="off"/>
          <w:i w:val="off"/>
        </w:rPr>
        <w:t>[274]</w:t>
      </w:r>
      <w:r>
        <w:rPr>
          <w:b/>
          <w:bCs/>
          <w:color w:val="000000" w:themeColor="text1"/>
          <w:szCs w:val="22"/>
          <w:lang w:val="en-GB"/>
        </w:rPr>
        <w:t>Esbenshade, P. &amp; Triantaphyllou, A.</w:t>
      </w:r>
      <w:r>
        <w:rPr>
          <w:color w:val="000000" w:themeColor="text1"/>
          <w:szCs w:val="22"/>
          <w:lang w:val="en-GB"/>
        </w:rPr>
        <w:t xml:space="preserve"> 1985. Use of enzyme phenotypes for identification of </w:t>
      </w:r>
      <w:r>
        <w:rPr>
          <w:i/>
          <w:iCs/>
          <w:color w:val="000000" w:themeColor="text1"/>
          <w:szCs w:val="22"/>
          <w:lang w:val="en-GB"/>
        </w:rPr>
        <w:t>Meloidogyne</w:t>
      </w:r>
      <w:r>
        <w:rPr>
          <w:color w:val="000000" w:themeColor="text1"/>
          <w:szCs w:val="22"/>
          <w:lang w:val="en-GB"/>
        </w:rPr>
        <w:t xml:space="preserve"> species. </w:t>
      </w:r>
      <w:r>
        <w:rPr>
          <w:i/>
          <w:iCs/>
          <w:color w:val="000000" w:themeColor="text1"/>
          <w:szCs w:val="22"/>
          <w:lang w:val="en-GB"/>
        </w:rPr>
        <w:t>Journal of Nematology</w:t>
      </w:r>
      <w:r>
        <w:rPr>
          <w:color w:val="000000" w:themeColor="text1"/>
          <w:szCs w:val="22"/>
          <w:lang w:val="en-GB"/>
        </w:rPr>
        <w:t xml:space="preserve">, 17: 6–20. </w:t>
      </w:r>
      <w:hyperlink w:history="1" r:id="rId39">
        <w:r>
          <w:rPr>
            <w:rStyle w:val="Hyperlink"/>
            <w:color w:val="000000" w:themeColor="text1"/>
            <w:szCs w:val="22"/>
            <w:lang w:val="en-GB"/>
          </w:rPr>
          <w:t>https://journals.flvc.org/jon/article/view/65610</w:t>
        </w:r>
      </w:hyperlink>
    </w:p>
    <w:p w14:paraId="7DE2BFE6" w14:textId="40A8EDA0">
      <w:pPr>
        <w:pStyle w:val="IPPParagraphnumbering"/>
        <w:numPr>
          <w:ilvl w:val="0"/>
          <w:numId w:val="0"/>
        </w:numPr>
        <w:rPr>
          <w:rStyle w:val="Hyperlink"/>
          <w:color w:val="000000" w:themeColor="text1"/>
          <w:lang w:val="en-GB" w:eastAsia="zh-CN"/>
        </w:rPr>
      </w:pPr>
      <w:r>
        <w:rPr>
          <w:rStyle w:val="PleaseReviewParagraphId"/>
          <w:b w:val="off"/>
          <w:i w:val="off"/>
        </w:rPr>
        <w:t>[275]</w:t>
      </w:r>
      <w:r>
        <w:rPr>
          <w:b/>
          <w:color w:val="000000" w:themeColor="text1"/>
          <w:lang w:val="en-GB" w:eastAsia="en-GB"/>
        </w:rPr>
        <w:t>Gu, J.F., Fang, Y. &amp; Liu, L.</w:t>
      </w:r>
      <w:r>
        <w:rPr>
          <w:bCs/>
          <w:color w:val="000000" w:themeColor="text1"/>
          <w:lang w:val="en-GB" w:eastAsia="en-GB"/>
        </w:rPr>
        <w:t xml:space="preserve"> 2020.</w:t>
      </w:r>
      <w:r>
        <w:rPr>
          <w:color w:val="000000" w:themeColor="text1"/>
          <w:lang w:val="en-GB" w:eastAsia="en-GB"/>
        </w:rPr>
        <w:t xml:space="preserve"> Morphological and molecular analysis of a </w:t>
      </w:r>
      <w:r>
        <w:rPr>
          <w:i/>
          <w:iCs/>
          <w:color w:val="000000" w:themeColor="text1"/>
          <w:lang w:val="en-GB" w:eastAsia="en-GB"/>
        </w:rPr>
        <w:t>Meloidogyne mali</w:t>
      </w:r>
      <w:r>
        <w:rPr>
          <w:color w:val="000000" w:themeColor="text1"/>
          <w:lang w:val="en-GB" w:eastAsia="en-GB"/>
        </w:rPr>
        <w:t xml:space="preserve"> population with high intragenomic rRNA polymorphism. </w:t>
      </w:r>
      <w:r>
        <w:rPr>
          <w:i/>
          <w:iCs/>
          <w:color w:val="000000" w:themeColor="text1"/>
          <w:lang w:val="en-GB" w:eastAsia="en-GB"/>
        </w:rPr>
        <w:t>Journal of Nematology</w:t>
      </w:r>
      <w:r>
        <w:rPr>
          <w:color w:val="000000" w:themeColor="text1"/>
          <w:lang w:val="en-GB" w:eastAsia="en-GB"/>
        </w:rPr>
        <w:t>,</w:t>
      </w:r>
      <w:r>
        <w:rPr>
          <w:i/>
          <w:iCs/>
          <w:color w:val="000000" w:themeColor="text1"/>
          <w:lang w:val="en-GB" w:eastAsia="en-GB"/>
        </w:rPr>
        <w:t xml:space="preserve"> </w:t>
      </w:r>
      <w:r>
        <w:rPr>
          <w:color w:val="000000" w:themeColor="text1"/>
          <w:lang w:val="en-GB" w:eastAsia="en-GB"/>
        </w:rPr>
        <w:t xml:space="preserve">52: e2020-105. </w:t>
      </w:r>
      <w:hyperlink w:history="1" r:id="rId40">
        <w:r>
          <w:rPr>
            <w:rStyle w:val="Hyperlink"/>
            <w:color w:val="000000" w:themeColor="text1"/>
            <w:lang w:val="en-GB"/>
          </w:rPr>
          <w:t>https://doi.org/10.21307/jofnem-2020-105</w:t>
        </w:r>
      </w:hyperlink>
    </w:p>
    <w:p w14:paraId="374E5280" w14:textId="7253E5C4">
      <w:pPr>
        <w:pStyle w:val="IPPParagraphnumbering"/>
        <w:numPr>
          <w:ilvl w:val="0"/>
          <w:numId w:val="0"/>
        </w:numPr>
        <w:jc w:val="left"/>
        <w:rPr>
          <w:color w:val="000000" w:themeColor="text1"/>
          <w:lang w:val="en-GB" w:eastAsia="zh-CN"/>
        </w:rPr>
      </w:pPr>
      <w:r>
        <w:rPr>
          <w:rStyle w:val="PleaseReviewParagraphId"/>
          <w:b w:val="off"/>
          <w:i w:val="off"/>
        </w:rPr>
        <w:t>[276]</w:t>
      </w:r>
      <w:r>
        <w:rPr>
          <w:rFonts w:eastAsia="Times New Roman"/>
          <w:b/>
          <w:bCs/>
          <w:color w:val="000000" w:themeColor="text1"/>
          <w:szCs w:val="22"/>
          <w:lang w:val="en-GB" w:eastAsia="en-GB"/>
        </w:rPr>
        <w:t>Gu, J., Fang, Y., Ma, X., Shao, B. &amp; Zhuo, K.</w:t>
      </w:r>
      <w:r>
        <w:rPr>
          <w:rFonts w:eastAsia="Times New Roman"/>
          <w:color w:val="000000" w:themeColor="text1"/>
          <w:szCs w:val="22"/>
          <w:lang w:val="en-GB" w:eastAsia="en-GB"/>
        </w:rPr>
        <w:t xml:space="preserve"> 2023. </w:t>
      </w:r>
      <w:r>
        <w:rPr>
          <w:rFonts w:eastAsia="Times New Roman"/>
          <w:i/>
          <w:iCs/>
          <w:color w:val="000000" w:themeColor="text1"/>
          <w:szCs w:val="22"/>
          <w:lang w:val="en-GB" w:eastAsia="en-GB"/>
        </w:rPr>
        <w:t>Meloidogyne paramali</w:t>
      </w:r>
      <w:r>
        <w:rPr>
          <w:rFonts w:eastAsia="Times New Roman"/>
          <w:color w:val="000000" w:themeColor="text1"/>
          <w:szCs w:val="22"/>
          <w:lang w:val="en-GB" w:eastAsia="en-GB"/>
        </w:rPr>
        <w:t xml:space="preserve"> n. sp. (Nematoda: Meloidogyninae) and first report of </w:t>
      </w:r>
      <w:r>
        <w:rPr>
          <w:rFonts w:eastAsia="Times New Roman"/>
          <w:i/>
          <w:iCs/>
          <w:color w:val="000000" w:themeColor="text1"/>
          <w:szCs w:val="22"/>
          <w:lang w:val="en-GB" w:eastAsia="en-GB"/>
        </w:rPr>
        <w:t>M. marylandi</w:t>
      </w:r>
      <w:r>
        <w:rPr>
          <w:rFonts w:eastAsia="Times New Roman"/>
          <w:color w:val="000000" w:themeColor="text1"/>
          <w:szCs w:val="22"/>
          <w:lang w:val="en-GB" w:eastAsia="en-GB"/>
        </w:rPr>
        <w:t xml:space="preserve"> in maple and yacca tree from Japan. </w:t>
      </w:r>
      <w:r>
        <w:rPr>
          <w:rFonts w:eastAsia="Times New Roman"/>
          <w:i/>
          <w:iCs/>
          <w:color w:val="000000" w:themeColor="text1"/>
          <w:szCs w:val="22"/>
          <w:lang w:val="en-GB" w:eastAsia="en-GB"/>
        </w:rPr>
        <w:t>Journal of Nematology</w:t>
      </w:r>
      <w:r>
        <w:rPr>
          <w:rFonts w:eastAsia="Times New Roman"/>
          <w:color w:val="000000" w:themeColor="text1"/>
          <w:szCs w:val="22"/>
          <w:lang w:val="en-GB" w:eastAsia="en-GB"/>
        </w:rPr>
        <w:t xml:space="preserve">, 55(1). </w:t>
      </w:r>
      <w:hyperlink w:history="1" r:id="rId41">
        <w:r>
          <w:rPr>
            <w:rStyle w:val="Hyperlink"/>
            <w:rFonts w:eastAsia="Times New Roman"/>
            <w:color w:val="000000" w:themeColor="text1"/>
            <w:szCs w:val="22"/>
            <w:lang w:val="en-GB" w:eastAsia="en-GB"/>
          </w:rPr>
          <w:t>https://doi.org/10.2478/jofnem-2022-0036</w:t>
        </w:r>
      </w:hyperlink>
    </w:p>
    <w:p w14:paraId="7A1DF422" w14:textId="55603890">
      <w:pPr>
        <w:pStyle w:val="IPPParagraphnumbering"/>
        <w:numPr>
          <w:ilvl w:val="0"/>
          <w:numId w:val="0"/>
        </w:numPr>
        <w:rPr>
          <w:color w:val="000000" w:themeColor="text1"/>
          <w:lang w:val="en-GB" w:eastAsia="zh-CN"/>
        </w:rPr>
      </w:pPr>
      <w:r>
        <w:rPr>
          <w:rStyle w:val="PleaseReviewParagraphId"/>
          <w:b w:val="off"/>
          <w:i w:val="off"/>
        </w:rPr>
        <w:t>[277]</w:t>
      </w:r>
      <w:r>
        <w:rPr>
          <w:b/>
          <w:bCs/>
          <w:color w:val="000000" w:themeColor="text1"/>
          <w:lang w:eastAsia="zh-CN"/>
        </w:rPr>
        <w:t>Gu, J., Fang, Y., Schönfeld, U., Ma, X.</w:t>
      </w:r>
      <w:r>
        <w:rPr>
          <w:rFonts w:eastAsiaTheme="minorEastAsia"/>
          <w:b/>
          <w:bCs/>
          <w:color w:val="000000" w:themeColor="text1"/>
          <w:lang w:eastAsia="zh-CN"/>
        </w:rPr>
        <w:t>X.</w:t>
      </w:r>
      <w:r>
        <w:rPr>
          <w:b/>
          <w:bCs/>
          <w:color w:val="000000" w:themeColor="text1"/>
          <w:lang w:eastAsia="zh-CN"/>
        </w:rPr>
        <w:t xml:space="preserve"> </w:t>
      </w:r>
      <w:r>
        <w:rPr>
          <w:b/>
          <w:bCs/>
          <w:color w:val="000000" w:themeColor="text1"/>
          <w:lang w:val="en-GB" w:eastAsia="zh-CN"/>
        </w:rPr>
        <w:t>&amp; Xiaoling, Lü.</w:t>
      </w:r>
      <w:r>
        <w:rPr>
          <w:color w:val="000000" w:themeColor="text1"/>
          <w:lang w:val="en-GB" w:eastAsia="zh-CN"/>
        </w:rPr>
        <w:t xml:space="preserve"> 2021. </w:t>
      </w:r>
      <w:r>
        <w:rPr>
          <w:i/>
          <w:color w:val="000000" w:themeColor="text1"/>
          <w:lang w:val="en-GB" w:eastAsia="zh-CN"/>
        </w:rPr>
        <w:t>Bursaphelenchus parayongensis</w:t>
      </w:r>
      <w:r>
        <w:rPr>
          <w:color w:val="000000" w:themeColor="text1"/>
          <w:lang w:val="en-GB" w:eastAsia="zh-CN"/>
        </w:rPr>
        <w:t xml:space="preserve"> n. sp. (Tylenchina: Aphelenchoididae) found in packaging wood from </w:t>
      </w:r>
      <w:r>
        <w:rPr>
          <w:rFonts w:eastAsiaTheme="minorEastAsia"/>
          <w:color w:val="000000" w:themeColor="text1"/>
          <w:lang w:val="en-GB" w:eastAsia="zh-CN"/>
        </w:rPr>
        <w:t>C</w:t>
      </w:r>
      <w:r>
        <w:rPr>
          <w:color w:val="000000" w:themeColor="text1"/>
          <w:lang w:val="en-GB" w:eastAsia="zh-CN"/>
        </w:rPr>
        <w:t xml:space="preserve">hina. </w:t>
      </w:r>
      <w:r>
        <w:rPr>
          <w:i/>
          <w:iCs/>
          <w:color w:val="000000" w:themeColor="text1"/>
          <w:lang w:val="en-GB" w:eastAsia="zh-CN"/>
        </w:rPr>
        <w:t>Nematology</w:t>
      </w:r>
      <w:r>
        <w:rPr>
          <w:color w:val="000000" w:themeColor="text1"/>
          <w:lang w:val="en-GB" w:eastAsia="zh-CN"/>
        </w:rPr>
        <w:t xml:space="preserve">, 23(9): 1039–1051. </w:t>
      </w:r>
      <w:hyperlink w:history="1" r:id="rId42">
        <w:r>
          <w:rPr>
            <w:rStyle w:val="Hyperlink"/>
            <w:color w:val="000000" w:themeColor="text1"/>
            <w:lang w:val="en-GB" w:eastAsia="zh-CN"/>
          </w:rPr>
          <w:t>https://doi.org/10.1163/15685411-bja10093</w:t>
        </w:r>
      </w:hyperlink>
    </w:p>
    <w:p w14:paraId="069DA43A" w14:textId="3D20A6E2">
      <w:pPr>
        <w:pStyle w:val="IPPParagraphnumbering"/>
        <w:numPr>
          <w:ilvl w:val="0"/>
          <w:numId w:val="0"/>
        </w:numPr>
        <w:rPr>
          <w:rStyle w:val="Hyperlink"/>
          <w:color w:val="000000" w:themeColor="text1"/>
          <w:lang w:val="en-GB"/>
        </w:rPr>
      </w:pPr>
      <w:r>
        <w:rPr>
          <w:rStyle w:val="PleaseReviewParagraphId"/>
          <w:b w:val="off"/>
          <w:i w:val="off"/>
        </w:rPr>
        <w:t>[278]</w:t>
      </w:r>
      <w:r>
        <w:rPr>
          <w:b/>
          <w:bCs/>
          <w:color w:val="000000" w:themeColor="text1"/>
          <w:lang w:val="en-GB" w:eastAsia="en-GB"/>
        </w:rPr>
        <w:t>Heybroek, H.M.</w:t>
      </w:r>
      <w:r>
        <w:rPr>
          <w:color w:val="000000" w:themeColor="text1"/>
          <w:lang w:val="en-GB" w:eastAsia="en-GB"/>
        </w:rPr>
        <w:t xml:space="preserve"> 1993. The Dutch </w:t>
      </w:r>
      <w:r>
        <w:rPr>
          <w:color w:val="000000" w:themeColor="text1"/>
          <w:lang w:val="en-GB"/>
        </w:rPr>
        <w:t>elm</w:t>
      </w:r>
      <w:r>
        <w:rPr>
          <w:color w:val="000000" w:themeColor="text1"/>
          <w:lang w:val="en-GB" w:eastAsia="en-GB"/>
        </w:rPr>
        <w:t xml:space="preserve"> breeding program. In: M.B. Sticklen &amp; J.L. Sherald, eds. </w:t>
      </w:r>
      <w:r>
        <w:rPr>
          <w:i/>
          <w:iCs/>
          <w:color w:val="000000" w:themeColor="text1"/>
          <w:lang w:val="en-GB" w:eastAsia="en-GB"/>
        </w:rPr>
        <w:t>Dutch elm disease research – Cellular and molecular approaches</w:t>
      </w:r>
      <w:r>
        <w:rPr>
          <w:color w:val="000000" w:themeColor="text1"/>
          <w:lang w:val="en-GB" w:eastAsia="en-GB"/>
        </w:rPr>
        <w:t xml:space="preserve">, pp. 16–25. New York, USA, Springer–Verlag. xii + 344 pp. </w:t>
      </w:r>
      <w:hyperlink w:history="1" r:id="rId43">
        <w:r>
          <w:rPr>
            <w:rStyle w:val="Hyperlink"/>
            <w:color w:val="000000" w:themeColor="text1"/>
            <w:lang w:val="en-GB"/>
          </w:rPr>
          <w:t>https://doi.org/10.1007/978-1-4615-6872-8_3</w:t>
        </w:r>
      </w:hyperlink>
    </w:p>
    <w:p w14:paraId="0276E93B" w14:textId="0696916A">
      <w:pPr>
        <w:pStyle w:val="IPPParagraphnumbering"/>
        <w:numPr>
          <w:ilvl w:val="0"/>
          <w:numId w:val="0"/>
        </w:numPr>
        <w:rPr>
          <w:color w:val="000000" w:themeColor="text1"/>
          <w:lang w:val="en-GB"/>
        </w:rPr>
      </w:pPr>
      <w:r>
        <w:rPr>
          <w:rStyle w:val="PleaseReviewParagraphId"/>
          <w:b w:val="off"/>
          <w:i w:val="off"/>
        </w:rPr>
        <w:t>[279]</w:t>
      </w:r>
      <w:r>
        <w:rPr>
          <w:b/>
          <w:bCs/>
          <w:color w:val="000000" w:themeColor="text1"/>
          <w:lang w:val="en-GB"/>
        </w:rPr>
        <w:t>Heydari, F. &amp; Pedram, M.</w:t>
      </w:r>
      <w:r>
        <w:rPr>
          <w:color w:val="000000" w:themeColor="text1"/>
          <w:lang w:val="en-GB"/>
        </w:rPr>
        <w:t xml:space="preserve"> 2020. Morphological and molecular characterization of </w:t>
      </w:r>
      <w:r>
        <w:rPr>
          <w:rFonts w:eastAsiaTheme="minorEastAsia"/>
          <w:i/>
          <w:color w:val="000000" w:themeColor="text1"/>
          <w:lang w:val="en-GB" w:eastAsia="zh-CN"/>
        </w:rPr>
        <w:t>E</w:t>
      </w:r>
      <w:r>
        <w:rPr>
          <w:i/>
          <w:color w:val="000000" w:themeColor="text1"/>
          <w:lang w:val="en-GB"/>
        </w:rPr>
        <w:t xml:space="preserve">ktaphelenchoides pini </w:t>
      </w:r>
      <w:r>
        <w:rPr>
          <w:color w:val="000000" w:themeColor="text1"/>
          <w:lang w:val="en-GB"/>
        </w:rPr>
        <w:t xml:space="preserve">(Massey, 1966) Baujard, 1984 (Aphelenchoididae; Ektaphelenchinae) from </w:t>
      </w:r>
      <w:r>
        <w:rPr>
          <w:rFonts w:eastAsiaTheme="minorEastAsia"/>
          <w:color w:val="000000" w:themeColor="text1"/>
          <w:lang w:val="en-GB" w:eastAsia="zh-CN"/>
        </w:rPr>
        <w:t>I</w:t>
      </w:r>
      <w:r>
        <w:rPr>
          <w:color w:val="000000" w:themeColor="text1"/>
          <w:lang w:val="en-GB"/>
        </w:rPr>
        <w:t xml:space="preserve">ran, with morphological and taxonomic observations on some species. </w:t>
      </w:r>
      <w:r>
        <w:rPr>
          <w:i/>
          <w:iCs/>
          <w:color w:val="000000" w:themeColor="text1"/>
          <w:lang w:val="en-GB"/>
        </w:rPr>
        <w:t>Journal of Nematology</w:t>
      </w:r>
      <w:r>
        <w:rPr>
          <w:color w:val="000000" w:themeColor="text1"/>
          <w:lang w:val="en-GB"/>
        </w:rPr>
        <w:t xml:space="preserve">, 52: 1–12 pp. </w:t>
      </w:r>
      <w:hyperlink w:history="1" r:id="rId44">
        <w:r>
          <w:rPr>
            <w:rStyle w:val="Hyperlink"/>
            <w:color w:val="000000" w:themeColor="text1"/>
            <w:lang w:val="en-GB"/>
          </w:rPr>
          <w:t>https://doi.org/10.21307/jofnem-2020-052</w:t>
        </w:r>
      </w:hyperlink>
    </w:p>
    <w:p w14:paraId="48D1C6BF" w14:textId="0AED626A">
      <w:pPr>
        <w:pStyle w:val="IPPParagraphnumbering"/>
        <w:numPr>
          <w:ilvl w:val="0"/>
          <w:numId w:val="0"/>
        </w:numPr>
        <w:rPr>
          <w:color w:val="000000" w:themeColor="text1"/>
          <w:lang w:val="en-GB" w:eastAsia="en-GB"/>
        </w:rPr>
      </w:pPr>
      <w:r>
        <w:rPr>
          <w:rStyle w:val="PleaseReviewParagraphId"/>
          <w:b w:val="off"/>
          <w:i w:val="off"/>
        </w:rPr>
        <w:t>[280]</w:t>
      </w:r>
      <w:r>
        <w:rPr>
          <w:b/>
          <w:color w:val="000000" w:themeColor="text1"/>
          <w:lang w:val="en-GB"/>
        </w:rPr>
        <w:t>Holterman, M., Karssen, G., van den Elsen, S., van Megen, H., Bakker, J. &amp; Helder, J.</w:t>
      </w:r>
      <w:r>
        <w:rPr>
          <w:bCs/>
          <w:color w:val="000000" w:themeColor="text1"/>
          <w:lang w:val="en-GB"/>
        </w:rPr>
        <w:t xml:space="preserve"> 2009</w:t>
      </w:r>
      <w:r>
        <w:rPr>
          <w:color w:val="000000" w:themeColor="text1"/>
          <w:lang w:val="en-GB"/>
        </w:rPr>
        <w:t xml:space="preserve">. </w:t>
      </w:r>
      <w:r>
        <w:rPr>
          <w:color w:val="000000" w:themeColor="text1"/>
          <w:lang w:val="en-GB" w:eastAsia="en-GB"/>
        </w:rPr>
        <w:t xml:space="preserve">Small subunit rDNA-based phylogeny of the Tylenchida sheds light on relationships among some high-impact plant-parasitic nematodes and the evolution of plant feeding. </w:t>
      </w:r>
      <w:r>
        <w:rPr>
          <w:i/>
          <w:iCs/>
          <w:color w:val="000000" w:themeColor="text1"/>
          <w:lang w:val="en-GB" w:eastAsia="en-GB"/>
        </w:rPr>
        <w:t>Phytopathology</w:t>
      </w:r>
      <w:r>
        <w:rPr>
          <w:color w:val="000000" w:themeColor="text1"/>
          <w:lang w:val="en-GB" w:eastAsia="en-GB"/>
        </w:rPr>
        <w:t xml:space="preserve">, 99: 227–235. </w:t>
      </w:r>
      <w:hyperlink w:history="1" r:id="rId45">
        <w:r>
          <w:rPr>
            <w:rStyle w:val="Hyperlink"/>
            <w:color w:val="000000" w:themeColor="text1"/>
            <w:lang w:val="en-GB"/>
          </w:rPr>
          <w:t>https://doi.org/10.1094/PHYTO-99-3-0227</w:t>
        </w:r>
      </w:hyperlink>
    </w:p>
    <w:p w14:paraId="4FB5618B" w14:textId="77777777">
      <w:pPr>
        <w:pStyle w:val="IPPParagraphnumbering"/>
        <w:numPr>
          <w:ilvl w:val="0"/>
          <w:numId w:val="0"/>
        </w:numPr>
        <w:rPr>
          <w:color w:val="000000" w:themeColor="text1"/>
          <w:lang w:val="en-GB" w:eastAsia="en-GB"/>
        </w:rPr>
      </w:pPr>
      <w:r>
        <w:rPr>
          <w:rStyle w:val="PleaseReviewParagraphId"/>
          <w:b w:val="off"/>
          <w:i w:val="off"/>
        </w:rPr>
        <w:t>[281]</w:t>
      </w:r>
      <w:r>
        <w:rPr>
          <w:b/>
          <w:color w:val="000000" w:themeColor="text1"/>
          <w:lang w:val="en-GB"/>
        </w:rPr>
        <w:t>Inagaki, H.</w:t>
      </w:r>
      <w:r>
        <w:rPr>
          <w:color w:val="000000" w:themeColor="text1"/>
          <w:lang w:val="en-GB" w:eastAsia="en-GB"/>
        </w:rPr>
        <w:t xml:space="preserve"> 1978. Apple root–knot nematode </w:t>
      </w:r>
      <w:r>
        <w:rPr>
          <w:i/>
          <w:color w:val="000000" w:themeColor="text1"/>
          <w:lang w:val="en-GB" w:eastAsia="en-GB"/>
        </w:rPr>
        <w:t>Meloidogyne mali</w:t>
      </w:r>
      <w:r>
        <w:rPr>
          <w:color w:val="000000" w:themeColor="text1"/>
          <w:lang w:val="en-GB" w:eastAsia="en-GB"/>
        </w:rPr>
        <w:t xml:space="preserve">, its taxonomy, ecology, damage and control. </w:t>
      </w:r>
      <w:r>
        <w:rPr>
          <w:i/>
          <w:color w:val="000000" w:themeColor="text1"/>
          <w:lang w:val="en-GB" w:eastAsia="en-GB"/>
        </w:rPr>
        <w:t>Second Asian Regional Conference on root–knot nematodes</w:t>
      </w:r>
      <w:r>
        <w:rPr>
          <w:color w:val="000000" w:themeColor="text1"/>
          <w:lang w:val="en-GB" w:eastAsia="en-GB"/>
        </w:rPr>
        <w:t xml:space="preserve">, </w:t>
      </w:r>
      <w:r>
        <w:rPr>
          <w:i/>
          <w:color w:val="000000" w:themeColor="text1"/>
          <w:lang w:val="en-GB" w:eastAsia="en-GB"/>
        </w:rPr>
        <w:t>Thailand Kasetsart Journal</w:t>
      </w:r>
      <w:r>
        <w:rPr>
          <w:color w:val="000000" w:themeColor="text1"/>
          <w:lang w:val="en-GB" w:eastAsia="en-GB"/>
        </w:rPr>
        <w:t>, 12, 25–30.</w:t>
      </w:r>
    </w:p>
    <w:p w14:paraId="23A1EFC8" w14:textId="36362289">
      <w:pPr>
        <w:pStyle w:val="IPPParagraphnumbering"/>
        <w:numPr>
          <w:ilvl w:val="0"/>
          <w:numId w:val="0"/>
        </w:numPr>
        <w:rPr>
          <w:color w:val="000000" w:themeColor="text1"/>
          <w:lang w:val="en-GB" w:eastAsia="en-GB"/>
        </w:rPr>
      </w:pPr>
      <w:r>
        <w:rPr>
          <w:rStyle w:val="PleaseReviewParagraphId"/>
          <w:b w:val="off"/>
          <w:i w:val="off"/>
        </w:rPr>
        <w:t>[282]</w:t>
      </w:r>
      <w:r>
        <w:rPr>
          <w:b/>
          <w:color w:val="000000" w:themeColor="text1"/>
          <w:lang w:val="en-GB" w:eastAsia="en-GB"/>
        </w:rPr>
        <w:t>Itoh, Y., Ohshima, Y. &amp; Ichinohe, M.</w:t>
      </w:r>
      <w:r>
        <w:rPr>
          <w:bCs/>
          <w:color w:val="000000" w:themeColor="text1"/>
          <w:lang w:val="en-GB" w:eastAsia="en-GB"/>
        </w:rPr>
        <w:t xml:space="preserve"> 1969</w:t>
      </w:r>
      <w:r>
        <w:rPr>
          <w:color w:val="000000" w:themeColor="text1"/>
          <w:lang w:val="en-GB" w:eastAsia="en-GB"/>
        </w:rPr>
        <w:t xml:space="preserve">. A root-knot nematode, </w:t>
      </w:r>
      <w:r>
        <w:rPr>
          <w:i/>
          <w:iCs/>
          <w:color w:val="000000" w:themeColor="text1"/>
          <w:lang w:val="en-GB" w:eastAsia="en-GB"/>
        </w:rPr>
        <w:t>Meloidogyne mali</w:t>
      </w:r>
      <w:r>
        <w:rPr>
          <w:color w:val="000000" w:themeColor="text1"/>
          <w:lang w:val="en-GB" w:eastAsia="en-GB"/>
        </w:rPr>
        <w:t xml:space="preserve"> n. sp. on apple-tree from Japan (Tylenchida: Heteroderidae). </w:t>
      </w:r>
      <w:r>
        <w:rPr>
          <w:i/>
          <w:iCs/>
          <w:color w:val="000000" w:themeColor="text1"/>
          <w:lang w:val="en-GB" w:eastAsia="en-GB"/>
        </w:rPr>
        <w:t>Applied Entomology and Zoology</w:t>
      </w:r>
      <w:r>
        <w:rPr>
          <w:color w:val="000000" w:themeColor="text1"/>
          <w:lang w:val="en-GB" w:eastAsia="en-GB"/>
        </w:rPr>
        <w:t xml:space="preserve">, 4: 194–202. </w:t>
      </w:r>
      <w:hyperlink w:history="1" r:id="rId46">
        <w:r>
          <w:rPr>
            <w:rStyle w:val="Hyperlink"/>
            <w:color w:val="000000" w:themeColor="text1"/>
            <w:lang w:val="en-GB"/>
          </w:rPr>
          <w:t>https://doi.org/10.1303/aez.4.194</w:t>
        </w:r>
      </w:hyperlink>
    </w:p>
    <w:p w14:paraId="7948F4D0" w14:textId="057608B6">
      <w:pPr>
        <w:pStyle w:val="IPPParagraphnumbering"/>
        <w:numPr>
          <w:ilvl w:val="0"/>
          <w:numId w:val="0"/>
        </w:numPr>
        <w:rPr>
          <w:color w:val="000000" w:themeColor="text1"/>
          <w:lang w:val="en-GB" w:eastAsia="en-GB"/>
        </w:rPr>
      </w:pPr>
      <w:r>
        <w:rPr>
          <w:rStyle w:val="PleaseReviewParagraphId"/>
          <w:b w:val="off"/>
          <w:i w:val="off"/>
        </w:rPr>
        <w:t>[283]</w:t>
      </w:r>
      <w:r>
        <w:rPr>
          <w:b/>
          <w:color w:val="000000" w:themeColor="text1"/>
          <w:lang w:val="en-GB" w:eastAsia="en-GB"/>
        </w:rPr>
        <w:t>Janssen, T., Karssen, G., Topalović, O., Coyne, D. &amp; Bert, W.</w:t>
      </w:r>
      <w:r>
        <w:rPr>
          <w:bCs/>
          <w:color w:val="000000" w:themeColor="text1"/>
          <w:lang w:val="en-GB" w:eastAsia="en-GB"/>
        </w:rPr>
        <w:t xml:space="preserve"> 2017.</w:t>
      </w:r>
      <w:r>
        <w:rPr>
          <w:color w:val="000000" w:themeColor="text1"/>
          <w:lang w:val="en-GB" w:eastAsia="en-GB"/>
        </w:rPr>
        <w:t xml:space="preserve"> Integrative taxonomy of root-knot nematodes reveals multiple independent origins of mitotic parthenogenesis. </w:t>
      </w:r>
      <w:r>
        <w:rPr>
          <w:i/>
          <w:iCs/>
          <w:color w:val="000000" w:themeColor="text1"/>
          <w:lang w:val="en-GB" w:eastAsia="en-GB"/>
        </w:rPr>
        <w:t>PLoS ONE</w:t>
      </w:r>
      <w:r>
        <w:rPr>
          <w:color w:val="000000" w:themeColor="text1"/>
          <w:lang w:val="en-GB" w:eastAsia="en-GB"/>
        </w:rPr>
        <w:t xml:space="preserve">, 12: e0172190. </w:t>
      </w:r>
      <w:hyperlink w:history="1" r:id="rId47">
        <w:r>
          <w:rPr>
            <w:rStyle w:val="Hyperlink"/>
            <w:color w:val="000000" w:themeColor="text1"/>
            <w:lang w:val="en-GB"/>
          </w:rPr>
          <w:t>https://doi.org/10.1371/journal.pone.0172190</w:t>
        </w:r>
      </w:hyperlink>
    </w:p>
    <w:p w14:paraId="32134EDE" w14:textId="0CF43842">
      <w:pPr>
        <w:pStyle w:val="IPPParagraphnumbering"/>
        <w:numPr>
          <w:ilvl w:val="0"/>
          <w:numId w:val="0"/>
        </w:numPr>
        <w:rPr>
          <w:color w:val="000000" w:themeColor="text1"/>
          <w:lang w:val="en-GB" w:eastAsia="en-GB"/>
        </w:rPr>
      </w:pPr>
      <w:r>
        <w:rPr>
          <w:rStyle w:val="PleaseReviewParagraphId"/>
          <w:b w:val="off"/>
          <w:i w:val="off"/>
        </w:rPr>
        <w:t>[284]</w:t>
      </w:r>
      <w:r>
        <w:rPr>
          <w:b/>
          <w:color w:val="000000" w:themeColor="text1"/>
          <w:lang w:val="en-GB" w:eastAsia="en-GB"/>
        </w:rPr>
        <w:t>Jepson, S.B.</w:t>
      </w:r>
      <w:r>
        <w:rPr>
          <w:bCs/>
          <w:color w:val="000000" w:themeColor="text1"/>
          <w:lang w:val="en-GB" w:eastAsia="en-GB"/>
        </w:rPr>
        <w:t xml:space="preserve"> 1987.</w:t>
      </w:r>
      <w:r>
        <w:rPr>
          <w:color w:val="000000" w:themeColor="text1"/>
          <w:lang w:val="en-GB" w:eastAsia="en-GB"/>
        </w:rPr>
        <w:t xml:space="preserve"> </w:t>
      </w:r>
      <w:r>
        <w:rPr>
          <w:i/>
          <w:iCs/>
          <w:color w:val="000000" w:themeColor="text1"/>
          <w:lang w:val="en-GB" w:eastAsia="en-GB"/>
        </w:rPr>
        <w:t>Identification of root-knot nematodes (</w:t>
      </w:r>
      <w:r>
        <w:rPr>
          <w:color w:val="000000" w:themeColor="text1"/>
          <w:lang w:val="en-GB" w:eastAsia="en-GB"/>
        </w:rPr>
        <w:t>Meloidogyne</w:t>
      </w:r>
      <w:r>
        <w:rPr>
          <w:i/>
          <w:iCs/>
          <w:color w:val="000000" w:themeColor="text1"/>
          <w:lang w:val="en-GB" w:eastAsia="en-GB"/>
        </w:rPr>
        <w:t xml:space="preserve"> species)</w:t>
      </w:r>
      <w:r>
        <w:rPr>
          <w:color w:val="000000" w:themeColor="text1"/>
          <w:lang w:val="en-GB" w:eastAsia="en-GB"/>
        </w:rPr>
        <w:t>. Farnham Royal, UK, Commonwealth Agricultural Bureaux. 265 pp.</w:t>
      </w:r>
    </w:p>
    <w:p w14:paraId="7CA71CDB" w14:textId="0F1438C1">
      <w:pPr>
        <w:pStyle w:val="IPPParagraphnumbering"/>
        <w:numPr>
          <w:ilvl w:val="0"/>
          <w:numId w:val="0"/>
        </w:numPr>
        <w:rPr>
          <w:color w:val="000000" w:themeColor="text1"/>
          <w:szCs w:val="22"/>
          <w:lang w:val="en-GB"/>
        </w:rPr>
      </w:pPr>
      <w:r>
        <w:rPr>
          <w:rStyle w:val="PleaseReviewParagraphId"/>
          <w:b w:val="off"/>
          <w:i w:val="off"/>
        </w:rPr>
        <w:t>[285]</w:t>
      </w:r>
      <w:r>
        <w:rPr>
          <w:b/>
          <w:bCs/>
          <w:color w:val="000000" w:themeColor="text1"/>
          <w:szCs w:val="22"/>
          <w:lang w:val="en-GB"/>
        </w:rPr>
        <w:t>Karssen, G., van Hoenselaar, T., Verkerk-Bakker, B. &amp; Janssen, R.</w:t>
      </w:r>
      <w:r>
        <w:rPr>
          <w:color w:val="000000" w:themeColor="text1"/>
          <w:szCs w:val="22"/>
          <w:lang w:val="en-GB"/>
        </w:rPr>
        <w:t xml:space="preserve"> 1995</w:t>
      </w:r>
      <w:r>
        <w:rPr>
          <w:color w:val="000000" w:themeColor="text1"/>
          <w:lang w:val="en-GB"/>
        </w:rPr>
        <w:t>.</w:t>
      </w:r>
      <w:r>
        <w:rPr>
          <w:color w:val="000000" w:themeColor="text1"/>
          <w:szCs w:val="22"/>
          <w:lang w:val="en-GB"/>
        </w:rPr>
        <w:t xml:space="preserve"> Species identification of cyst and root-knot nematodes from potato by electrophoresis of individual females. </w:t>
      </w:r>
      <w:r>
        <w:rPr>
          <w:i/>
          <w:iCs/>
          <w:color w:val="000000" w:themeColor="text1"/>
          <w:szCs w:val="22"/>
          <w:lang w:val="en-GB"/>
        </w:rPr>
        <w:t>Electrophoresis</w:t>
      </w:r>
      <w:r>
        <w:rPr>
          <w:color w:val="000000" w:themeColor="text1"/>
          <w:szCs w:val="22"/>
          <w:lang w:val="en-GB"/>
        </w:rPr>
        <w:t xml:space="preserve">, 16: 105–109. </w:t>
      </w:r>
      <w:hyperlink w:history="1" r:id="rId48">
        <w:r>
          <w:rPr>
            <w:rStyle w:val="Hyperlink"/>
            <w:color w:val="000000" w:themeColor="text1"/>
            <w:lang w:val="en-GB"/>
          </w:rPr>
          <w:t>https://doi.org/10.1002/elps.1150160119</w:t>
        </w:r>
      </w:hyperlink>
    </w:p>
    <w:p w14:paraId="572C8206" w14:textId="78E80AEC">
      <w:pPr>
        <w:pStyle w:val="IPPParagraphnumbering"/>
        <w:numPr>
          <w:ilvl w:val="0"/>
          <w:numId w:val="0"/>
        </w:numPr>
        <w:rPr>
          <w:color w:val="000000" w:themeColor="text1"/>
          <w:lang w:val="en-GB" w:eastAsia="en-GB"/>
        </w:rPr>
      </w:pPr>
      <w:r>
        <w:rPr>
          <w:rStyle w:val="PleaseReviewParagraphId"/>
          <w:b w:val="off"/>
          <w:i w:val="off"/>
        </w:rPr>
        <w:t>[286]</w:t>
      </w:r>
      <w:r>
        <w:rPr>
          <w:b/>
          <w:color w:val="000000" w:themeColor="text1"/>
          <w:lang w:val="en-GB"/>
        </w:rPr>
        <w:lastRenderedPageBreak/>
        <w:t>Karssen, G., Wesemael, W. &amp; Moens, M.</w:t>
      </w:r>
      <w:r>
        <w:rPr>
          <w:bCs/>
          <w:color w:val="000000" w:themeColor="text1"/>
          <w:lang w:val="en-GB"/>
        </w:rPr>
        <w:t xml:space="preserve"> 2013.</w:t>
      </w:r>
      <w:r>
        <w:rPr>
          <w:color w:val="000000" w:themeColor="text1"/>
          <w:lang w:val="en-GB"/>
        </w:rPr>
        <w:t xml:space="preserve"> </w:t>
      </w:r>
      <w:r>
        <w:rPr>
          <w:color w:val="000000" w:themeColor="text1"/>
          <w:lang w:val="en-GB" w:eastAsia="en-GB"/>
        </w:rPr>
        <w:t xml:space="preserve">Root-knot nematodes. In: R.N. Perry &amp; M. Moens, eds. </w:t>
      </w:r>
      <w:r>
        <w:rPr>
          <w:i/>
          <w:iCs/>
          <w:color w:val="000000" w:themeColor="text1"/>
          <w:lang w:val="en-GB" w:eastAsia="en-GB"/>
        </w:rPr>
        <w:t>Plant nematology</w:t>
      </w:r>
      <w:r>
        <w:rPr>
          <w:color w:val="000000" w:themeColor="text1"/>
          <w:lang w:val="en-GB" w:eastAsia="en-GB"/>
        </w:rPr>
        <w:t xml:space="preserve">, 2nd edn, pp. 73–108. Wallingford, UK, CABI. </w:t>
      </w:r>
      <w:hyperlink w:history="1" r:id="rId49">
        <w:r>
          <w:rPr>
            <w:rStyle w:val="Hyperlink"/>
            <w:color w:val="000000" w:themeColor="text1"/>
            <w:lang w:val="en-GB"/>
          </w:rPr>
          <w:t>https://doi.org/10.1079/9781780641515.0073</w:t>
        </w:r>
      </w:hyperlink>
    </w:p>
    <w:p w14:paraId="7D46E5E5" w14:textId="543C4C36">
      <w:pPr>
        <w:pStyle w:val="IPPParagraphnumbering"/>
        <w:numPr>
          <w:ilvl w:val="0"/>
          <w:numId w:val="0"/>
        </w:numPr>
        <w:rPr>
          <w:rStyle w:val="st"/>
          <w:color w:val="000000" w:themeColor="text1"/>
          <w:lang w:val="en-GB"/>
        </w:rPr>
      </w:pPr>
      <w:r>
        <w:rPr>
          <w:rStyle w:val="PleaseReviewParagraphId"/>
          <w:b w:val="off"/>
          <w:i w:val="off"/>
        </w:rPr>
        <w:t>[287]</w:t>
      </w:r>
      <w:r>
        <w:rPr>
          <w:b/>
          <w:color w:val="000000" w:themeColor="text1"/>
          <w:lang w:val="en-GB"/>
        </w:rPr>
        <w:t>Manzanilla-López, R.H. &amp; Marbán-Mendoza, N.</w:t>
      </w:r>
      <w:r>
        <w:rPr>
          <w:bCs/>
          <w:color w:val="000000" w:themeColor="text1"/>
          <w:lang w:val="en-GB"/>
        </w:rPr>
        <w:t>, eds. 2012.</w:t>
      </w:r>
      <w:r>
        <w:rPr>
          <w:color w:val="000000" w:themeColor="text1"/>
          <w:lang w:val="en-GB"/>
        </w:rPr>
        <w:t xml:space="preserve"> </w:t>
      </w:r>
      <w:r>
        <w:rPr>
          <w:i/>
          <w:color w:val="000000" w:themeColor="text1"/>
          <w:lang w:val="en-GB"/>
        </w:rPr>
        <w:t>Practical plant nematology</w:t>
      </w:r>
      <w:r>
        <w:rPr>
          <w:color w:val="000000" w:themeColor="text1"/>
          <w:lang w:val="en-GB"/>
        </w:rPr>
        <w:t xml:space="preserve">. Mexico, </w:t>
      </w:r>
      <w:r>
        <w:rPr>
          <w:rStyle w:val="st"/>
          <w:color w:val="000000" w:themeColor="text1"/>
          <w:lang w:val="en-GB"/>
        </w:rPr>
        <w:t>Biblioteca Básica de Agricultura, Grupo Mundi-Prensa, pp. 121–123. 883 pp.</w:t>
      </w:r>
    </w:p>
    <w:p w14:paraId="284491BB" w14:textId="74E1D9FB">
      <w:pPr>
        <w:pStyle w:val="IPPParagraphnumbering"/>
        <w:numPr>
          <w:ilvl w:val="0"/>
          <w:numId w:val="0"/>
        </w:numPr>
        <w:rPr>
          <w:color w:val="000000" w:themeColor="text1"/>
          <w:lang w:val="en-GB"/>
        </w:rPr>
      </w:pPr>
      <w:r>
        <w:rPr>
          <w:rStyle w:val="PleaseReviewParagraphId"/>
          <w:b w:val="off"/>
          <w:i w:val="off"/>
        </w:rPr>
        <w:t>[288]</w:t>
      </w:r>
      <w:r>
        <w:rPr>
          <w:b/>
          <w:bCs/>
          <w:color w:val="000000" w:themeColor="text1"/>
          <w:lang w:val="en-GB"/>
        </w:rPr>
        <w:t>Nyczepir, A.P. &amp; Halbrendt, J.M.</w:t>
      </w:r>
      <w:r>
        <w:rPr>
          <w:color w:val="000000" w:themeColor="text1"/>
          <w:lang w:val="en-GB"/>
        </w:rPr>
        <w:t xml:space="preserve"> 1993. Nematode pests of deciduous fruit and nut trees. In:</w:t>
      </w:r>
      <w:r>
        <w:rPr>
          <w:i/>
          <w:iCs/>
          <w:color w:val="000000" w:themeColor="text1"/>
          <w:lang w:val="en-GB"/>
        </w:rPr>
        <w:t xml:space="preserve"> </w:t>
      </w:r>
      <w:r>
        <w:rPr>
          <w:color w:val="000000" w:themeColor="text1"/>
          <w:lang w:val="en-GB"/>
        </w:rPr>
        <w:t xml:space="preserve">K. Evans, D.L. Trudgill &amp; J.M. Webster, eds. </w:t>
      </w:r>
      <w:r>
        <w:rPr>
          <w:i/>
          <w:iCs/>
          <w:color w:val="000000" w:themeColor="text1"/>
          <w:lang w:val="en-GB"/>
        </w:rPr>
        <w:t>Plant parasitic nematodes in temperate agriculture</w:t>
      </w:r>
      <w:r>
        <w:rPr>
          <w:color w:val="000000" w:themeColor="text1"/>
          <w:lang w:val="en-GB"/>
        </w:rPr>
        <w:t>, pp. 381–425. Wallingford, UK, CABI.</w:t>
      </w:r>
    </w:p>
    <w:p w14:paraId="6BEB6964" w14:textId="152FF922">
      <w:pPr>
        <w:pStyle w:val="IPPParagraphnumbering"/>
        <w:numPr>
          <w:ilvl w:val="0"/>
          <w:numId w:val="0"/>
        </w:numPr>
        <w:rPr>
          <w:rStyle w:val="Hyperlink"/>
          <w:color w:val="000000" w:themeColor="text1"/>
          <w:lang w:val="en-GB" w:eastAsia="en-GB"/>
        </w:rPr>
      </w:pPr>
      <w:r>
        <w:rPr>
          <w:rStyle w:val="PleaseReviewParagraphId"/>
          <w:b w:val="off"/>
          <w:i w:val="off"/>
        </w:rPr>
        <w:t>[289]</w:t>
      </w:r>
      <w:r>
        <w:rPr>
          <w:b/>
          <w:color w:val="000000" w:themeColor="text1"/>
          <w:lang w:val="en-GB"/>
        </w:rPr>
        <w:t>Palmisano, A. &amp; Ambrogioni, L.</w:t>
      </w:r>
      <w:r>
        <w:rPr>
          <w:bCs/>
          <w:color w:val="000000" w:themeColor="text1"/>
          <w:lang w:val="en-GB"/>
        </w:rPr>
        <w:t xml:space="preserve"> 2000.</w:t>
      </w:r>
      <w:r>
        <w:rPr>
          <w:color w:val="000000" w:themeColor="text1"/>
          <w:lang w:val="en-GB"/>
        </w:rPr>
        <w:t xml:space="preserve"> </w:t>
      </w:r>
      <w:r>
        <w:rPr>
          <w:i/>
          <w:color w:val="000000" w:themeColor="text1"/>
          <w:lang w:val="en-GB"/>
        </w:rPr>
        <w:t>Meloidogyne ulmi</w:t>
      </w:r>
      <w:r>
        <w:rPr>
          <w:color w:val="000000" w:themeColor="text1"/>
          <w:lang w:val="en-GB"/>
        </w:rPr>
        <w:t xml:space="preserve"> sp. n., a root-knot nematode from elm. </w:t>
      </w:r>
      <w:r>
        <w:rPr>
          <w:i/>
          <w:iCs/>
          <w:color w:val="000000" w:themeColor="text1"/>
          <w:lang w:val="en-GB" w:eastAsia="en-GB"/>
        </w:rPr>
        <w:t>Nematologia Mediterranea</w:t>
      </w:r>
      <w:r>
        <w:rPr>
          <w:color w:val="000000" w:themeColor="text1"/>
          <w:lang w:val="en-GB" w:eastAsia="en-GB"/>
        </w:rPr>
        <w:t xml:space="preserve">, 28: 279–293. </w:t>
      </w:r>
      <w:hyperlink w:history="1" r:id="rId50">
        <w:r>
          <w:rPr>
            <w:rStyle w:val="Hyperlink"/>
            <w:color w:val="000000" w:themeColor="text1"/>
            <w:lang w:val="en-GB" w:eastAsia="en-GB"/>
          </w:rPr>
          <w:t>https://journals.flvc.org/nemamedi/article/view/63531</w:t>
        </w:r>
      </w:hyperlink>
    </w:p>
    <w:p w14:paraId="7A4919DC" w14:textId="77777777">
      <w:pPr>
        <w:pStyle w:val="IPPParagraphnumbering"/>
        <w:numPr>
          <w:ilvl w:val="0"/>
          <w:numId w:val="0"/>
        </w:numPr>
        <w:rPr>
          <w:color w:val="000000" w:themeColor="text1"/>
          <w:lang w:val="en-GB" w:eastAsia="en-GB"/>
        </w:rPr>
      </w:pPr>
      <w:r>
        <w:rPr>
          <w:rStyle w:val="PleaseReviewParagraphId"/>
          <w:b w:val="off"/>
          <w:i w:val="off"/>
        </w:rPr>
        <w:t>[290]</w:t>
      </w:r>
      <w:r>
        <w:rPr>
          <w:b/>
          <w:color w:val="000000" w:themeColor="text1"/>
          <w:lang w:val="en-GB"/>
        </w:rPr>
        <w:t>Sakurai K, Inagaki H, Yuhara I, Tsutsumi M</w:t>
      </w:r>
      <w:r>
        <w:rPr>
          <w:color w:val="000000" w:themeColor="text1"/>
          <w:lang w:val="en-GB" w:eastAsia="en-GB"/>
        </w:rPr>
        <w:t xml:space="preserve">. 1973. Damage and control of the apple root-knot nematode </w:t>
      </w:r>
      <w:r>
        <w:rPr>
          <w:i/>
          <w:color w:val="000000" w:themeColor="text1"/>
          <w:lang w:val="en-GB" w:eastAsia="en-GB"/>
        </w:rPr>
        <w:t>Meloidogyne mali</w:t>
      </w:r>
      <w:r>
        <w:rPr>
          <w:color w:val="000000" w:themeColor="text1"/>
          <w:lang w:val="en-GB" w:eastAsia="en-GB"/>
        </w:rPr>
        <w:t xml:space="preserve"> Itoh, Ohshima and Ichinoe, 1969 on apple trees. </w:t>
      </w:r>
      <w:r>
        <w:rPr>
          <w:i/>
          <w:color w:val="000000" w:themeColor="text1"/>
          <w:lang w:val="en-GB" w:eastAsia="en-GB"/>
        </w:rPr>
        <w:t>Res. Bull. Hokkaido Natl. Agric. Exp. Stn</w:t>
      </w:r>
      <w:r>
        <w:rPr>
          <w:color w:val="000000" w:themeColor="text1"/>
          <w:lang w:val="en-GB" w:eastAsia="en-GB"/>
        </w:rPr>
        <w:t>., no. 105.</w:t>
      </w:r>
    </w:p>
    <w:p w14:paraId="7084A978" w14:textId="2CB4B2B9">
      <w:pPr>
        <w:pStyle w:val="IPPParagraphnumbering"/>
        <w:numPr>
          <w:ilvl w:val="0"/>
          <w:numId w:val="0"/>
        </w:numPr>
        <w:rPr>
          <w:color w:val="000000" w:themeColor="text1"/>
          <w:lang w:val="en-GB" w:eastAsia="zh-CN"/>
        </w:rPr>
      </w:pPr>
      <w:r>
        <w:rPr>
          <w:rStyle w:val="PleaseReviewParagraphId"/>
          <w:b w:val="off"/>
          <w:i w:val="off"/>
        </w:rPr>
        <w:t>[291]</w:t>
      </w:r>
      <w:r>
        <w:rPr>
          <w:b/>
          <w:color w:val="000000" w:themeColor="text1"/>
          <w:lang w:val="en-GB" w:eastAsia="en-GB"/>
        </w:rPr>
        <w:t>Subbotin, S.A., Palomares-Rius, J.A. &amp; Castillo, P.</w:t>
      </w:r>
      <w:r>
        <w:rPr>
          <w:bCs/>
          <w:color w:val="000000" w:themeColor="text1"/>
          <w:lang w:val="en-GB" w:eastAsia="en-GB"/>
        </w:rPr>
        <w:t xml:space="preserve"> 2021.</w:t>
      </w:r>
      <w:r>
        <w:rPr>
          <w:color w:val="000000" w:themeColor="text1"/>
          <w:lang w:val="en-GB" w:eastAsia="en-GB"/>
        </w:rPr>
        <w:t xml:space="preserve"> </w:t>
      </w:r>
      <w:r>
        <w:rPr>
          <w:i/>
          <w:iCs/>
          <w:color w:val="000000" w:themeColor="text1"/>
          <w:lang w:val="en-GB" w:eastAsia="en-GB"/>
        </w:rPr>
        <w:t>Systematics of root-knot nematodes (Nematoda: Meloidogynidae)</w:t>
      </w:r>
      <w:r>
        <w:rPr>
          <w:color w:val="000000" w:themeColor="text1"/>
          <w:lang w:val="en-GB" w:eastAsia="en-GB"/>
        </w:rPr>
        <w:t>. Leiden, Kingdom of the Netherlands, Brill. 857 pp.</w:t>
      </w:r>
    </w:p>
    <w:p w14:paraId="61E14AA1" w14:textId="7DD1A01C">
      <w:pPr>
        <w:pStyle w:val="IPPParagraphnumbering"/>
        <w:numPr>
          <w:ilvl w:val="0"/>
          <w:numId w:val="0"/>
        </w:numPr>
        <w:rPr>
          <w:color w:val="000000" w:themeColor="text1"/>
          <w:lang w:val="en-GB" w:eastAsia="zh-CN"/>
        </w:rPr>
      </w:pPr>
      <w:r>
        <w:rPr>
          <w:rStyle w:val="PleaseReviewParagraphId"/>
          <w:b w:val="off"/>
          <w:i w:val="off"/>
        </w:rPr>
        <w:t>[292]</w:t>
      </w:r>
      <w:r>
        <w:rPr>
          <w:b/>
          <w:color w:val="000000" w:themeColor="text1"/>
          <w:lang w:val="en-GB" w:eastAsia="zh-CN"/>
        </w:rPr>
        <w:t>Toida, Y</w:t>
      </w:r>
      <w:r>
        <w:rPr>
          <w:b/>
          <w:bCs/>
          <w:color w:val="000000" w:themeColor="text1"/>
          <w:lang w:val="en-GB" w:eastAsia="zh-CN"/>
        </w:rPr>
        <w:t>.</w:t>
      </w:r>
      <w:r>
        <w:rPr>
          <w:color w:val="000000" w:themeColor="text1"/>
          <w:lang w:val="en-GB" w:eastAsia="zh-CN"/>
        </w:rPr>
        <w:t xml:space="preserve"> 1991. Mulberry damages caused by a root-knot nematode, </w:t>
      </w:r>
      <w:r>
        <w:rPr>
          <w:i/>
          <w:color w:val="000000" w:themeColor="text1"/>
          <w:lang w:val="en-GB" w:eastAsia="zh-CN"/>
        </w:rPr>
        <w:t>Meloidogyne mali</w:t>
      </w:r>
      <w:r>
        <w:rPr>
          <w:color w:val="000000" w:themeColor="text1"/>
          <w:lang w:val="en-GB" w:eastAsia="zh-CN"/>
        </w:rPr>
        <w:t xml:space="preserve"> indigenous to Japan. </w:t>
      </w:r>
      <w:r>
        <w:rPr>
          <w:i/>
          <w:iCs/>
          <w:color w:val="000000" w:themeColor="text1"/>
          <w:lang w:val="en-GB" w:eastAsia="zh-CN"/>
        </w:rPr>
        <w:t>Japan Agricultural Research Quarterly</w:t>
      </w:r>
      <w:r>
        <w:rPr>
          <w:color w:val="000000" w:themeColor="text1"/>
          <w:lang w:val="en-GB" w:eastAsia="zh-CN"/>
        </w:rPr>
        <w:t>, 24: 300–305.</w:t>
      </w:r>
      <w:r>
        <w:rPr>
          <w:b/>
          <w:color w:val="000000" w:themeColor="text1"/>
          <w:lang w:val="en-GB" w:eastAsia="zh-CN"/>
        </w:rPr>
        <w:t xml:space="preserve"> </w:t>
      </w:r>
      <w:hyperlink w:history="1" r:id="rId51">
        <w:r>
          <w:rPr>
            <w:rStyle w:val="Hyperlink"/>
            <w:bCs/>
            <w:color w:val="000000" w:themeColor="text1"/>
            <w:lang w:val="en-GB"/>
          </w:rPr>
          <w:t>https://www.jircas.go.jp/en/publication/jarq/24/4/300</w:t>
        </w:r>
      </w:hyperlink>
    </w:p>
    <w:p w14:paraId="62F86524" w14:textId="61E50C02">
      <w:pPr>
        <w:pStyle w:val="IPPParagraphnumbering"/>
        <w:numPr>
          <w:ilvl w:val="0"/>
          <w:numId w:val="0"/>
        </w:numPr>
        <w:rPr>
          <w:color w:val="000000" w:themeColor="text1"/>
          <w:lang w:val="en-GB" w:eastAsia="zh-CN"/>
        </w:rPr>
      </w:pPr>
      <w:r>
        <w:rPr>
          <w:rStyle w:val="PleaseReviewParagraphId"/>
          <w:b w:val="off"/>
          <w:i w:val="off"/>
        </w:rPr>
        <w:t>[293]</w:t>
      </w:r>
      <w:r>
        <w:rPr>
          <w:b/>
          <w:color w:val="000000" w:themeColor="text1"/>
          <w:lang w:val="en-GB" w:eastAsia="zh-CN"/>
        </w:rPr>
        <w:t>Toida, Y. &amp; Yaegashi</w:t>
      </w:r>
      <w:r>
        <w:rPr>
          <w:b/>
          <w:bCs/>
          <w:color w:val="000000" w:themeColor="text1"/>
          <w:lang w:val="en-GB" w:eastAsia="zh-CN"/>
        </w:rPr>
        <w:t>, T.</w:t>
      </w:r>
      <w:r>
        <w:rPr>
          <w:color w:val="000000" w:themeColor="text1"/>
          <w:lang w:val="en-GB" w:eastAsia="zh-CN"/>
        </w:rPr>
        <w:t xml:space="preserve"> 1984. Description of </w:t>
      </w:r>
      <w:r>
        <w:rPr>
          <w:i/>
          <w:color w:val="000000" w:themeColor="text1"/>
          <w:lang w:val="en-GB" w:eastAsia="zh-CN"/>
        </w:rPr>
        <w:t>Meloidogyne suginamiensis</w:t>
      </w:r>
      <w:r>
        <w:rPr>
          <w:color w:val="000000" w:themeColor="text1"/>
          <w:lang w:val="en-GB" w:eastAsia="zh-CN"/>
        </w:rPr>
        <w:t xml:space="preserve"> n. sp. (Nematoda: Meloidogynidae) from mulberry in Japan. </w:t>
      </w:r>
      <w:r>
        <w:rPr>
          <w:i/>
          <w:color w:val="000000" w:themeColor="text1"/>
          <w:lang w:val="en-GB" w:eastAsia="zh-CN"/>
        </w:rPr>
        <w:t>Japanese Journal of Nematology</w:t>
      </w:r>
      <w:r>
        <w:rPr>
          <w:color w:val="000000" w:themeColor="text1"/>
          <w:lang w:val="en-GB" w:eastAsia="zh-CN"/>
        </w:rPr>
        <w:t xml:space="preserve">, 14: 49–57. </w:t>
      </w:r>
      <w:hyperlink w:history="1" r:id="rId52">
        <w:r>
          <w:rPr>
            <w:rStyle w:val="Hyperlink"/>
            <w:color w:val="000000" w:themeColor="text1"/>
            <w:lang w:val="en-GB" w:eastAsia="zh-CN"/>
          </w:rPr>
          <w:t>https://doi.org/10.14855/jjn1972.14.49</w:t>
        </w:r>
      </w:hyperlink>
    </w:p>
    <w:p w14:paraId="73234E21" w14:textId="00394802">
      <w:pPr>
        <w:pStyle w:val="IPPParagraphnumbering"/>
        <w:numPr>
          <w:ilvl w:val="0"/>
          <w:numId w:val="0"/>
        </w:numPr>
        <w:rPr>
          <w:color w:val="000000" w:themeColor="text1"/>
          <w:lang w:val="en-GB" w:eastAsia="en-GB"/>
        </w:rPr>
      </w:pPr>
      <w:r>
        <w:rPr>
          <w:rStyle w:val="PleaseReviewParagraphId"/>
          <w:b w:val="off"/>
          <w:i w:val="off"/>
        </w:rPr>
        <w:t>[294]</w:t>
      </w:r>
      <w:r>
        <w:rPr>
          <w:b/>
          <w:color w:val="000000" w:themeColor="text1"/>
          <w:lang w:val="en-GB"/>
        </w:rPr>
        <w:t>Yang, Y., Hu, X., Liu, P., Chen, L., Peng, H., Wang, Q. &amp; Zhang, Q.</w:t>
      </w:r>
      <w:r>
        <w:rPr>
          <w:bCs/>
          <w:color w:val="000000" w:themeColor="text1"/>
          <w:lang w:val="en-GB"/>
        </w:rPr>
        <w:t xml:space="preserve"> 2021</w:t>
      </w:r>
      <w:r>
        <w:rPr>
          <w:color w:val="000000" w:themeColor="text1"/>
          <w:lang w:val="en-GB"/>
        </w:rPr>
        <w:t xml:space="preserve">. A new root-knot nematode, </w:t>
      </w:r>
      <w:r>
        <w:rPr>
          <w:i/>
          <w:iCs/>
          <w:color w:val="000000" w:themeColor="text1"/>
          <w:lang w:val="en-GB"/>
        </w:rPr>
        <w:t>Meloidogyne vitis</w:t>
      </w:r>
      <w:r>
        <w:rPr>
          <w:color w:val="000000" w:themeColor="text1"/>
          <w:lang w:val="en-GB"/>
        </w:rPr>
        <w:t xml:space="preserve"> sp. nov. (Nematoda: Meloidogynidae), parasitizing grape in Yunnan. </w:t>
      </w:r>
      <w:r>
        <w:rPr>
          <w:i/>
          <w:iCs/>
          <w:color w:val="000000" w:themeColor="text1"/>
          <w:lang w:val="en-GB"/>
        </w:rPr>
        <w:t>PLoS ONE</w:t>
      </w:r>
      <w:r>
        <w:rPr>
          <w:color w:val="000000" w:themeColor="text1"/>
          <w:lang w:val="en-GB"/>
        </w:rPr>
        <w:t xml:space="preserve">, 16(2): e0245201. </w:t>
      </w:r>
      <w:hyperlink w:history="1" r:id="rId53">
        <w:r>
          <w:rPr>
            <w:rStyle w:val="Hyperlink"/>
            <w:color w:val="000000" w:themeColor="text1"/>
            <w:lang w:val="en-GB"/>
          </w:rPr>
          <w:t>https://doi.org/10.1371/journal.pone.0245201</w:t>
        </w:r>
      </w:hyperlink>
    </w:p>
    <w:p w14:paraId="25CE9176" w14:textId="0742FECB">
      <w:pPr>
        <w:pStyle w:val="IPPHeading1"/>
        <w:pageBreakBefore/>
        <w:rPr>
          <w:color w:val="000000" w:themeColor="text1"/>
        </w:rPr>
      </w:pPr>
      <w:r>
        <w:rPr>
          <w:rStyle w:val="PleaseReviewParagraphId"/>
          <w:b w:val="off"/>
          <w:i w:val="off"/>
        </w:rPr>
        <w:t>[295]</w:t>
      </w:r>
      <w:r>
        <w:rPr>
          <w:color w:val="000000" w:themeColor="text1"/>
        </w:rPr>
        <w:lastRenderedPageBreak/>
        <w:t>9.</w:t>
        <w:tab/>
        <w:t>Figures</w:t>
      </w:r>
    </w:p>
    <w:tbl>
      <w:tblPr>
        <w:tblW w:w="0" w:type="auto"/>
        <w:tblLook w:val="04A0" w:firstRow="1" w:lastRow="0" w:firstColumn="1" w:lastColumn="0" w:noHBand="0" w:noVBand="1"/>
      </w:tblPr>
      <w:tblGrid>
        <w:gridCol w:w="9064"/>
      </w:tblGrid>
      <w:tr w14:paraId="607530D7" w14:textId="77777777">
        <w:tc xmlns:tara="kcentrix:tara" tara:rowspan="1" tara:colspan="1">
          <w:tcPr>
            <w:tcW w:w="9622" w:type="dxa"/>
            <w:shd w:val="clear" w:color="auto" w:fill="auto"/>
          </w:tcPr>
          <w:p w14:paraId="170CC884" w14:textId="15197D6F">
            <w:pPr>
              <w:rPr>
                <w:color w:val="000000" w:themeColor="text1"/>
                <w:lang w:eastAsia="nl-NL"/>
              </w:rPr>
            </w:pPr>
            <w:r>
              <w:rPr>
                <w:rStyle w:val="PleaseReviewParagraphId"/>
                <w:b w:val="off"/>
                <w:i w:val="off"/>
              </w:rPr>
              <w:t>[296]</w:t>
            </w:r>
            <w:r>
              <w:rPr>
                <w:color w:val="000000" w:themeColor="text1"/>
                <w:lang w:val="en-US"/>
              </w:rPr>
              <w:drawing>
                <wp:inline distT="0" distB="0" distL="0" distR="0" wp14:anchorId="76F12339" wp14:editId="4B32875B">
                  <wp:extent cx="4762500" cy="2959100"/>
                  <wp:effectExtent l="0" t="0" r="0" b="0"/>
                  <wp:docPr id="2" name="Picture 2" descr="Details are in the caption following the image">
                    <a:hlinkClick r:id="rId54" tgtFrame="&quot;_blank&quot;"/>
                  </wp:docPr>
                  <wp:cNvGraphicFramePr>
                    <a:graphicFrameLocks noChangeAspect="1"/>
                  </wp:cNvGraphicFramePr>
                  <a:graphic>
                    <a:graphicData uri="http://schemas.openxmlformats.org/drawingml/2006/picture">
                      <pic:pic>
                        <pic:nvPicPr>
                          <pic:cNvPr id="0" name="Picture 2" descr="Details are in the caption following the image">
                            <a:hlinkClick r:id="rId54" tgtFrame="&quot;_blank&quot;"/>
                          </pic:cNvPr>
                          <pic:cNvPicPr>
                            <a:picLocks noChangeAspect="1" noChangeArrowheads="1"/>
                          </pic:cNvPicPr>
                        </pic:nvPicPr>
                        <pic:blipFill>
                          <a:blip r:embed="rId55">
                            <a:extLst>
                              <a:ext uri="{28A0092B-C50C-407E-A947-70E740481C1C}">
                                <a14:useLocalDpi val="0"/>
                              </a:ext>
                            </a:extLst>
                          </a:blip>
                          <a:srcRect/>
                          <a:stretch>
                            <a:fillRect/>
                          </a:stretch>
                        </pic:blipFill>
                        <pic:spPr bwMode="auto">
                          <a:xfrm>
                            <a:off x="0" y="0"/>
                            <a:ext cx="4762500" cy="2959100"/>
                          </a:xfrm>
                          <a:prstGeom prst="rect">
                            <a:avLst/>
                          </a:prstGeom>
                          <a:noFill/>
                          <a:ln>
                            <a:noFill/>
                          </a:ln>
                        </pic:spPr>
                      </pic:pic>
                    </a:graphicData>
                  </a:graphic>
                </wp:inline>
              </w:drawing>
            </w:r>
          </w:p>
        </w:tc>
      </w:tr>
      <w:tr w14:paraId="3D439EAC" w14:textId="77777777">
        <w:tc xmlns:tara="kcentrix:tara" tara:rowspan="1" tara:colspan="1">
          <w:tcPr>
            <w:tcW w:w="9622" w:type="dxa"/>
            <w:shd w:val="clear" w:color="auto" w:fill="auto"/>
          </w:tcPr>
          <w:p w14:paraId="322A7FB0" w14:textId="77777777">
            <w:pPr>
              <w:pStyle w:val="IPPArial"/>
              <w:rPr>
                <w:color w:val="000000" w:themeColor="text1"/>
              </w:rPr>
            </w:pPr>
            <w:r>
              <w:rPr>
                <w:rStyle w:val="PleaseReviewParagraphId"/>
                <w:b w:val="off"/>
                <w:i w:val="off"/>
              </w:rPr>
              <w:t>[297]</w:t>
            </w:r>
            <w:r>
              <w:rPr>
                <w:rStyle w:val="Strong"/>
                <w:color w:val="000000" w:themeColor="text1"/>
              </w:rPr>
              <w:t xml:space="preserve">Figure 1. </w:t>
            </w:r>
            <w:r>
              <w:rPr>
                <w:color w:val="000000" w:themeColor="text1"/>
              </w:rPr>
              <w:t xml:space="preserve">Young elm root infested with </w:t>
            </w:r>
            <w:r>
              <w:rPr>
                <w:i/>
                <w:iCs/>
                <w:color w:val="000000" w:themeColor="text1"/>
              </w:rPr>
              <w:t>Meloidogyne mali</w:t>
            </w:r>
            <w:r>
              <w:rPr>
                <w:color w:val="000000" w:themeColor="text1"/>
              </w:rPr>
              <w:t>.</w:t>
            </w:r>
          </w:p>
          <w:p w14:paraId="0ADF8D7D" w14:textId="47669515">
            <w:pPr>
              <w:pStyle w:val="IPPArialFootnote"/>
              <w:rPr>
                <w:b/>
                <w:bCs/>
                <w:color w:val="000000" w:themeColor="text1"/>
                <w:lang w:eastAsia="en-GB"/>
              </w:rPr>
            </w:pPr>
            <w:r>
              <w:rPr>
                <w:rStyle w:val="PleaseReviewParagraphId"/>
                <w:b w:val="off"/>
                <w:i w:val="off"/>
              </w:rPr>
              <w:t>[298]</w:t>
            </w:r>
            <w:r>
              <w:rPr>
                <w:i/>
                <w:iCs/>
                <w:color w:val="000000" w:themeColor="text1"/>
              </w:rPr>
              <w:t>Source:</w:t>
            </w:r>
            <w:r>
              <w:rPr>
                <w:color w:val="000000" w:themeColor="text1"/>
              </w:rPr>
              <w:t xml:space="preserve"> National Plant Protection Organization, Kingdom of the Netherlands.</w:t>
            </w:r>
          </w:p>
        </w:tc>
      </w:tr>
      <w:tr w14:paraId="7DDB9AEB" w14:textId="77777777">
        <w:tc xmlns:tara="kcentrix:tara" tara:rowspan="1" tara:colspan="1">
          <w:tcPr>
            <w:tcW w:w="9622" w:type="dxa"/>
            <w:shd w:val="clear" w:color="auto" w:fill="auto"/>
          </w:tcPr>
          <w:p w14:paraId="6B92E803" w14:textId="3C98D8DB">
            <w:pPr>
              <w:rPr>
                <w:rStyle w:val="Strong"/>
                <w:b w:val="0"/>
                <w:bCs w:val="0"/>
                <w:color w:val="000000" w:themeColor="text1"/>
                <w:lang w:eastAsia="nl-NL"/>
              </w:rPr>
            </w:pPr>
            <w:r>
              <w:rPr>
                <w:rStyle w:val="PleaseReviewParagraphId"/>
                <w:b w:val="off"/>
                <w:i w:val="off"/>
              </w:rPr>
              <w:t>[299]</w:t>
            </w:r>
            <w:r>
              <w:rPr>
                <w:color w:val="000000" w:themeColor="text1"/>
                <w:lang w:val="en-US"/>
              </w:rPr>
              <w:drawing>
                <wp:inline distT="0" distB="0" distL="0" distR="0" wp14:anchorId="582B4568" wp14:editId="7538CD5C">
                  <wp:extent cx="4762500" cy="3467100"/>
                  <wp:effectExtent l="0" t="0" r="0" b="0"/>
                  <wp:docPr id="3" name="Picture 3" descr="Details are in the caption following the image">
                    <a:hlinkClick r:id="rId56" tgtFrame="&quot;_blank&quot;"/>
                  </wp:docPr>
                  <wp:cNvGraphicFramePr>
                    <a:graphicFrameLocks noChangeAspect="1"/>
                  </wp:cNvGraphicFramePr>
                  <a:graphic>
                    <a:graphicData uri="http://schemas.openxmlformats.org/drawingml/2006/picture">
                      <pic:pic>
                        <pic:nvPicPr>
                          <pic:cNvPr id="0" name="Picture 3" descr="Details are in the caption following the image">
                            <a:hlinkClick r:id="rId56" tgtFrame="&quot;_blank&quot;"/>
                          </pic:cNvPr>
                          <pic:cNvPicPr>
                            <a:picLocks noChangeAspect="1" noChangeArrowheads="1"/>
                          </pic:cNvPicPr>
                        </pic:nvPicPr>
                        <pic:blipFill>
                          <a:blip r:embed="rId57">
                            <a:extLst>
                              <a:ext uri="{28A0092B-C50C-407E-A947-70E740481C1C}">
                                <a14:useLocalDpi val="0"/>
                              </a:ext>
                            </a:extLst>
                          </a:blip>
                          <a:srcRect/>
                          <a:stretch>
                            <a:fillRect/>
                          </a:stretch>
                        </pic:blipFill>
                        <pic:spPr bwMode="auto">
                          <a:xfrm>
                            <a:off x="0" y="0"/>
                            <a:ext cx="4762500" cy="3467100"/>
                          </a:xfrm>
                          <a:prstGeom prst="rect">
                            <a:avLst/>
                          </a:prstGeom>
                          <a:noFill/>
                          <a:ln>
                            <a:noFill/>
                          </a:ln>
                        </pic:spPr>
                      </pic:pic>
                    </a:graphicData>
                  </a:graphic>
                </wp:inline>
              </w:drawing>
            </w:r>
          </w:p>
        </w:tc>
      </w:tr>
      <w:tr w14:paraId="7DC628F0" w14:textId="77777777">
        <w:tc xmlns:tara="kcentrix:tara" tara:rowspan="1" tara:colspan="1">
          <w:tcPr>
            <w:tcW w:w="9622" w:type="dxa"/>
            <w:shd w:val="clear" w:color="auto" w:fill="auto"/>
          </w:tcPr>
          <w:p w14:paraId="1796335A" w14:textId="77777777">
            <w:pPr>
              <w:pStyle w:val="IPPArial"/>
              <w:rPr>
                <w:color w:val="000000" w:themeColor="text1"/>
              </w:rPr>
            </w:pPr>
            <w:r>
              <w:rPr>
                <w:rStyle w:val="PleaseReviewParagraphId"/>
                <w:b w:val="off"/>
                <w:i w:val="off"/>
              </w:rPr>
              <w:t>[300]</w:t>
            </w:r>
            <w:r>
              <w:rPr>
                <w:b/>
                <w:bCs/>
                <w:color w:val="000000" w:themeColor="text1"/>
                <w:lang w:eastAsia="en-GB"/>
              </w:rPr>
              <w:t xml:space="preserve">Figure 2. </w:t>
            </w:r>
            <w:r>
              <w:rPr>
                <w:color w:val="000000" w:themeColor="text1"/>
              </w:rPr>
              <w:t xml:space="preserve">Older elm roots heavily infested with </w:t>
            </w:r>
            <w:r>
              <w:rPr>
                <w:i/>
                <w:iCs/>
                <w:color w:val="000000" w:themeColor="text1"/>
              </w:rPr>
              <w:t>Meloidogyne mali</w:t>
            </w:r>
            <w:r>
              <w:rPr>
                <w:color w:val="000000" w:themeColor="text1"/>
              </w:rPr>
              <w:t>.</w:t>
            </w:r>
          </w:p>
          <w:p w14:paraId="6CD335DC" w14:textId="5FD604F7">
            <w:pPr>
              <w:pStyle w:val="IPPArialFootnote"/>
              <w:rPr>
                <w:rStyle w:val="Strong"/>
                <w:color w:val="000000" w:themeColor="text1"/>
              </w:rPr>
            </w:pPr>
            <w:r>
              <w:rPr>
                <w:rStyle w:val="PleaseReviewParagraphId"/>
                <w:b w:val="off"/>
                <w:i w:val="off"/>
              </w:rPr>
              <w:t>[301]</w:t>
            </w:r>
            <w:r>
              <w:rPr>
                <w:i/>
                <w:iCs/>
                <w:color w:val="000000" w:themeColor="text1"/>
              </w:rPr>
              <w:t>Source:</w:t>
            </w:r>
            <w:r>
              <w:rPr>
                <w:color w:val="000000" w:themeColor="text1"/>
              </w:rPr>
              <w:t xml:space="preserve"> Bas Steenks, Kingdom of the Netherlands.</w:t>
            </w:r>
          </w:p>
        </w:tc>
      </w:tr>
      <w:tr w14:paraId="624E8EC1" w14:textId="77777777">
        <w:tc xmlns:tara="kcentrix:tara" tara:rowspan="1" tara:colspan="1">
          <w:tcPr>
            <w:tcW w:w="9622" w:type="dxa"/>
            <w:shd w:val="clear" w:color="auto" w:fill="auto"/>
          </w:tcPr>
          <w:p w14:paraId="58298604" w14:textId="4855C509">
            <w:pPr>
              <w:rPr>
                <w:color w:val="000000" w:themeColor="text1"/>
                <w:szCs w:val="22"/>
                <w:lang w:eastAsia="nl-NL"/>
              </w:rPr>
            </w:pPr>
            <w:r>
              <w:rPr>
                <w:rStyle w:val="PleaseReviewParagraphId"/>
                <w:b w:val="off"/>
                <w:i w:val="off"/>
              </w:rPr>
              <w:t>[302]</w:t>
            </w:r>
            <w:r>
              <w:rPr>
                <w:color w:val="000000" w:themeColor="text1"/>
                <w:szCs w:val="22"/>
                <w:lang w:val="en-US"/>
              </w:rPr>
              <w:lastRenderedPageBreak/>
              <w:drawing>
                <wp:inline distT="0" distB="0" distL="0" distR="0" wp14:anchorId="469C081F" wp14:editId="0D638E72">
                  <wp:extent cx="4480831" cy="6775450"/>
                  <wp:effectExtent l="0" t="0" r="0" b="6350"/>
                  <wp:docPr id="4" name="Picture 4" descr="Details are in the caption following the image">
                    <a:hlinkClick r:id="rId58" tgtFrame="&quot;_blank&quot;"/>
                  </wp:docPr>
                  <wp:cNvGraphicFramePr>
                    <a:graphicFrameLocks noChangeAspect="1"/>
                  </wp:cNvGraphicFramePr>
                  <a:graphic>
                    <a:graphicData uri="http://schemas.openxmlformats.org/drawingml/2006/picture">
                      <pic:pic>
                        <pic:nvPicPr>
                          <pic:cNvPr id="0" name="Picture 4" descr="Details are in the caption following the image">
                            <a:hlinkClick r:id="rId58" tgtFrame="&quot;_blank&quot;"/>
                          </pic:cNvPr>
                          <pic:cNvPicPr>
                            <a:picLocks noChangeAspect="1" noChangeArrowheads="1"/>
                          </pic:cNvPicPr>
                        </pic:nvPicPr>
                        <pic:blipFill>
                          <a:blip r:embed="rId59">
                            <a:extLst>
                              <a:ext uri="{28A0092B-C50C-407E-A947-70E740481C1C}">
                                <a14:useLocalDpi val="0"/>
                              </a:ext>
                            </a:extLst>
                          </a:blip>
                          <a:srcRect/>
                          <a:stretch>
                            <a:fillRect/>
                          </a:stretch>
                        </pic:blipFill>
                        <pic:spPr bwMode="auto">
                          <a:xfrm>
                            <a:off x="0" y="0"/>
                            <a:ext cx="4498279" cy="6801833"/>
                          </a:xfrm>
                          <a:prstGeom prst="rect">
                            <a:avLst/>
                          </a:prstGeom>
                          <a:noFill/>
                          <a:ln>
                            <a:noFill/>
                          </a:ln>
                        </pic:spPr>
                      </pic:pic>
                    </a:graphicData>
                  </a:graphic>
                </wp:inline>
              </w:drawing>
            </w:r>
          </w:p>
          <w:p w14:paraId="3D9D9AF5" w14:textId="262E4569">
            <w:pPr>
              <w:rPr>
                <w:b/>
                <w:bCs/>
                <w:color w:val="000000" w:themeColor="text1"/>
                <w:szCs w:val="22"/>
                <w:lang w:eastAsia="en-GB"/>
              </w:rPr>
            </w:pPr>
            <w:r>
              <w:rPr>
                <w:rStyle w:val="PleaseReviewParagraphId"/>
                <w:b w:val="off"/>
                <w:i w:val="off"/>
              </w:rPr>
              <w:t>[303]</w:t>
            </w:r>
          </w:p>
        </w:tc>
      </w:tr>
      <w:tr w14:paraId="50F68515" w14:textId="77777777">
        <w:tc xmlns:tara="kcentrix:tara" tara:rowspan="1" tara:colspan="1">
          <w:tcPr>
            <w:tcW w:w="9622" w:type="dxa"/>
            <w:shd w:val="clear" w:color="auto" w:fill="auto"/>
          </w:tcPr>
          <w:p w14:paraId="19F7840E" w14:textId="138A01F9">
            <w:pPr>
              <w:pStyle w:val="IPPArial"/>
              <w:rPr>
                <w:color w:val="000000" w:themeColor="text1"/>
              </w:rPr>
            </w:pPr>
            <w:r>
              <w:rPr>
                <w:rStyle w:val="PleaseReviewParagraphId"/>
                <w:b w:val="off"/>
                <w:i w:val="off"/>
              </w:rPr>
              <w:t>[304]</w:t>
            </w:r>
            <w:r>
              <w:rPr>
                <w:rStyle w:val="Strong"/>
                <w:color w:val="000000" w:themeColor="text1"/>
                <w:szCs w:val="22"/>
              </w:rPr>
              <w:t xml:space="preserve">Figure 3. </w:t>
            </w:r>
            <w:r>
              <w:rPr>
                <w:i/>
                <w:iCs/>
                <w:color w:val="000000" w:themeColor="text1"/>
              </w:rPr>
              <w:t>Meloidogyne mali</w:t>
            </w:r>
            <w:r>
              <w:rPr>
                <w:color w:val="000000" w:themeColor="text1"/>
              </w:rPr>
              <w:t>. (A)–(H) Second-stage (J2) juveniles: (A) body; (B) and (C) anterior region (lateral and dorsal, respectively); (D) metacorpus region; (E) lateral field; and (F–H) tails (lateral). (I–M) Females: (I), (J) and (L) anterior region; (K) stylet; and (M) body shape.</w:t>
            </w:r>
          </w:p>
          <w:p w14:paraId="7AC77593" w14:textId="4BC180C4">
            <w:pPr>
              <w:pStyle w:val="IPPArialFootnote"/>
              <w:rPr>
                <w:color w:val="000000" w:themeColor="text1"/>
              </w:rPr>
            </w:pPr>
            <w:r>
              <w:rPr>
                <w:rStyle w:val="PleaseReviewParagraphId"/>
                <w:b w:val="off"/>
                <w:i w:val="off"/>
              </w:rPr>
              <w:t>[305]</w:t>
            </w:r>
            <w:r>
              <w:rPr>
                <w:i/>
                <w:iCs/>
                <w:color w:val="000000" w:themeColor="text1"/>
              </w:rPr>
              <w:t>Source:</w:t>
            </w:r>
            <w:r>
              <w:rPr>
                <w:color w:val="000000" w:themeColor="text1"/>
              </w:rPr>
              <w:t xml:space="preserve"> Itoh, Y., Ohshima, Y. &amp; Ichinohe, M. 1969.</w:t>
            </w:r>
            <w:r>
              <w:rPr>
                <w:color w:val="000000" w:themeColor="text1"/>
                <w:lang w:eastAsia="en-GB"/>
              </w:rPr>
              <w:t xml:space="preserve"> A root-knot nematode, </w:t>
            </w:r>
            <w:r>
              <w:rPr>
                <w:i/>
                <w:iCs/>
                <w:color w:val="000000" w:themeColor="text1"/>
                <w:lang w:eastAsia="en-GB"/>
              </w:rPr>
              <w:t>Meloidogyne mali</w:t>
            </w:r>
            <w:r>
              <w:rPr>
                <w:color w:val="000000" w:themeColor="text1"/>
                <w:lang w:eastAsia="en-GB"/>
              </w:rPr>
              <w:t xml:space="preserve"> n. sp. on apple-tree from Japan (Tylenchida: Heteroderidae). </w:t>
            </w:r>
            <w:r>
              <w:rPr>
                <w:i/>
                <w:iCs/>
                <w:color w:val="000000" w:themeColor="text1"/>
                <w:lang w:eastAsia="en-GB"/>
              </w:rPr>
              <w:t>Applied Entomology and Zoology</w:t>
            </w:r>
            <w:r>
              <w:rPr>
                <w:color w:val="000000" w:themeColor="text1"/>
                <w:lang w:eastAsia="en-GB"/>
              </w:rPr>
              <w:t xml:space="preserve">, 4: 194–202. </w:t>
            </w:r>
            <w:hyperlink w:history="1" r:id="rId60">
              <w:r>
                <w:rPr>
                  <w:rStyle w:val="Hyperlink"/>
                  <w:color w:val="000000" w:themeColor="text1"/>
                </w:rPr>
                <w:t>https://doi.org/10.1303/aez.4.194</w:t>
              </w:r>
            </w:hyperlink>
          </w:p>
        </w:tc>
      </w:tr>
      <w:tr w14:paraId="087DD99D" w14:textId="77777777">
        <w:tc xmlns:tara="kcentrix:tara" tara:rowspan="1" tara:colspan="1">
          <w:tcPr>
            <w:tcW w:w="9622" w:type="dxa"/>
            <w:shd w:val="clear" w:color="auto" w:fill="auto"/>
          </w:tcPr>
          <w:p w14:paraId="21DBF88B" w14:textId="41BE81E2">
            <w:pPr>
              <w:rPr>
                <w:color w:val="000000" w:themeColor="text1"/>
                <w:lang w:eastAsia="nl-NL"/>
              </w:rPr>
            </w:pPr>
            <w:r>
              <w:rPr>
                <w:rStyle w:val="PleaseReviewParagraphId"/>
                <w:b w:val="off"/>
                <w:i w:val="off"/>
              </w:rPr>
              <w:t>[306]</w:t>
            </w:r>
            <w:r>
              <w:rPr>
                <w:color w:val="000000" w:themeColor="text1"/>
                <w:lang w:val="en-US"/>
              </w:rPr>
              <w:lastRenderedPageBreak/>
              <w:drawing>
                <wp:inline distT="0" distB="0" distL="0" distR="0" wp14:anchorId="7502DBFC" wp14:editId="5E5D70D5">
                  <wp:extent cx="4279900" cy="4762500"/>
                  <wp:effectExtent l="0" t="0" r="0" b="0"/>
                  <wp:docPr id="5" name="Picture 5" descr="Details are in the caption following the image">
                    <a:hlinkClick r:id="rId61" tgtFrame="&quot;_blank&quot;"/>
                  </wp:docPr>
                  <wp:cNvGraphicFramePr>
                    <a:graphicFrameLocks noChangeAspect="1"/>
                  </wp:cNvGraphicFramePr>
                  <a:graphic>
                    <a:graphicData uri="http://schemas.openxmlformats.org/drawingml/2006/picture">
                      <pic:pic>
                        <pic:nvPicPr>
                          <pic:cNvPr id="0" name="Picture 5" descr="Details are in the caption following the image">
                            <a:hlinkClick r:id="rId61" tgtFrame="&quot;_blank&quot;"/>
                          </pic:cNvPr>
                          <pic:cNvPicPr>
                            <a:picLocks noChangeAspect="1" noChangeArrowheads="1"/>
                          </pic:cNvPicPr>
                        </pic:nvPicPr>
                        <pic:blipFill>
                          <a:blip r:embed="rId62">
                            <a:extLst>
                              <a:ext uri="{28A0092B-C50C-407E-A947-70E740481C1C}">
                                <a14:useLocalDpi val="0"/>
                              </a:ext>
                            </a:extLst>
                          </a:blip>
                          <a:srcRect/>
                          <a:stretch>
                            <a:fillRect/>
                          </a:stretch>
                        </pic:blipFill>
                        <pic:spPr bwMode="auto">
                          <a:xfrm>
                            <a:off x="0" y="0"/>
                            <a:ext cx="4279900" cy="4762500"/>
                          </a:xfrm>
                          <a:prstGeom prst="rect">
                            <a:avLst/>
                          </a:prstGeom>
                          <a:noFill/>
                          <a:ln>
                            <a:noFill/>
                          </a:ln>
                        </pic:spPr>
                      </pic:pic>
                    </a:graphicData>
                  </a:graphic>
                </wp:inline>
              </w:drawing>
            </w:r>
          </w:p>
          <w:p w14:paraId="31A7ABFD" w14:textId="76CD0762">
            <w:pPr>
              <w:rPr>
                <w:rStyle w:val="Strong"/>
                <w:color w:val="000000" w:themeColor="text1"/>
              </w:rPr>
            </w:pPr>
            <w:r>
              <w:rPr>
                <w:rStyle w:val="PleaseReviewParagraphId"/>
                <w:b w:val="off"/>
                <w:i w:val="off"/>
              </w:rPr>
              <w:t>[307]</w:t>
            </w:r>
          </w:p>
        </w:tc>
      </w:tr>
      <w:tr w14:paraId="50C4DEF6" w14:textId="77777777">
        <w:tc xmlns:tara="kcentrix:tara" tara:rowspan="1" tara:colspan="1">
          <w:tcPr>
            <w:tcW w:w="9622" w:type="dxa"/>
            <w:shd w:val="clear" w:color="auto" w:fill="auto"/>
          </w:tcPr>
          <w:p w14:paraId="5A38E8B2" w14:textId="77777777">
            <w:pPr>
              <w:pStyle w:val="IPPArial"/>
              <w:rPr>
                <w:color w:val="000000" w:themeColor="text1"/>
              </w:rPr>
            </w:pPr>
            <w:r>
              <w:rPr>
                <w:rStyle w:val="PleaseReviewParagraphId"/>
                <w:b w:val="off"/>
                <w:i w:val="off"/>
              </w:rPr>
              <w:t>[308]</w:t>
            </w:r>
            <w:r>
              <w:rPr>
                <w:rStyle w:val="Strong"/>
                <w:color w:val="000000" w:themeColor="text1"/>
              </w:rPr>
              <w:t xml:space="preserve">Figure 4. </w:t>
            </w:r>
            <w:r>
              <w:rPr>
                <w:i/>
                <w:iCs/>
                <w:color w:val="000000" w:themeColor="text1"/>
              </w:rPr>
              <w:t>Meloidogyne mali</w:t>
            </w:r>
            <w:r>
              <w:rPr>
                <w:color w:val="000000" w:themeColor="text1"/>
              </w:rPr>
              <w:t xml:space="preserve"> perineal patterns.</w:t>
            </w:r>
          </w:p>
          <w:p w14:paraId="5F120133" w14:textId="238EAE87">
            <w:pPr>
              <w:pStyle w:val="IPPArialFootnote"/>
              <w:rPr>
                <w:rStyle w:val="Strong"/>
                <w:b w:val="0"/>
                <w:bCs w:val="0"/>
                <w:color w:val="000000" w:themeColor="text1"/>
              </w:rPr>
            </w:pPr>
            <w:r>
              <w:rPr>
                <w:rStyle w:val="PleaseReviewParagraphId"/>
                <w:b w:val="off"/>
                <w:i w:val="off"/>
              </w:rPr>
              <w:t>[309]</w:t>
            </w:r>
            <w:r>
              <w:rPr>
                <w:i/>
                <w:iCs/>
                <w:color w:val="000000" w:themeColor="text1"/>
              </w:rPr>
              <w:t>Source:</w:t>
            </w:r>
            <w:r>
              <w:rPr>
                <w:color w:val="000000" w:themeColor="text1"/>
              </w:rPr>
              <w:t xml:space="preserve"> Palmisano, A. &amp; Ambrogioni, L. 2000. </w:t>
            </w:r>
            <w:r>
              <w:rPr>
                <w:i/>
                <w:color w:val="000000" w:themeColor="text1"/>
              </w:rPr>
              <w:t>Meloidogyne ulmi</w:t>
            </w:r>
            <w:r>
              <w:rPr>
                <w:color w:val="000000" w:themeColor="text1"/>
              </w:rPr>
              <w:t xml:space="preserve"> sp. n., a root-knot nematode from elm. </w:t>
            </w:r>
            <w:r>
              <w:rPr>
                <w:i/>
                <w:iCs/>
                <w:color w:val="000000" w:themeColor="text1"/>
                <w:lang w:eastAsia="en-GB"/>
              </w:rPr>
              <w:t>Nematologia Mediterranea</w:t>
            </w:r>
            <w:r>
              <w:rPr>
                <w:color w:val="000000" w:themeColor="text1"/>
                <w:lang w:eastAsia="en-GB"/>
              </w:rPr>
              <w:t xml:space="preserve">, 28: 279–293. </w:t>
            </w:r>
            <w:hyperlink w:history="1" r:id="rId63">
              <w:r>
                <w:rPr>
                  <w:rStyle w:val="Hyperlink"/>
                  <w:color w:val="000000" w:themeColor="text1"/>
                  <w:lang w:eastAsia="en-GB"/>
                </w:rPr>
                <w:t>https://journals.flvc.org/nemamedi/article/view/63531</w:t>
              </w:r>
            </w:hyperlink>
          </w:p>
        </w:tc>
      </w:tr>
      <w:tr w14:paraId="3B28EEAC" w14:textId="77777777">
        <w:tc xmlns:tara="kcentrix:tara" tara:rowspan="1" tara:colspan="1">
          <w:tcPr>
            <w:tcW w:w="9622" w:type="dxa"/>
            <w:shd w:val="clear" w:color="auto" w:fill="auto"/>
          </w:tcPr>
          <w:p w14:paraId="4ED77824" w14:textId="40B87CAB">
            <w:pPr>
              <w:rPr>
                <w:rStyle w:val="Strong"/>
                <w:color w:val="000000" w:themeColor="text1"/>
              </w:rPr>
            </w:pPr>
            <w:r>
              <w:rPr>
                <w:rStyle w:val="PleaseReviewParagraphId"/>
                <w:b w:val="off"/>
                <w:i w:val="off"/>
              </w:rPr>
              <w:t>[310]</w:t>
            </w:r>
            <w:r>
              <w:rPr>
                <w:color w:val="000000" w:themeColor="text1"/>
                <w:lang w:val="en-US"/>
              </w:rPr>
              <w:lastRenderedPageBreak/>
              <w:drawing>
                <wp:inline distT="0" distB="0" distL="0" distR="0" wp14:anchorId="00937268" wp14:editId="3398C1CB">
                  <wp:extent cx="5900450" cy="7289800"/>
                  <wp:effectExtent l="0" t="0" r="5080" b="6350"/>
                  <wp:docPr id="9" name="Picture 9"/>
                  <wp:cNvGraphicFramePr>
                    <a:graphicFrameLocks noChangeAspect="1"/>
                  </wp:cNvGraphicFramePr>
                  <a:graphic>
                    <a:graphicData uri="http://schemas.openxmlformats.org/drawingml/2006/picture">
                      <pic:pic>
                        <pic:nvPicPr>
                          <pic:cNvPr id="0" name="Picture 1"/>
                          <pic:cNvPicPr>
                            <a:picLocks noChangeAspect="1" noChangeArrowheads="1"/>
                          </pic:cNvPicPr>
                        </pic:nvPicPr>
                        <pic:blipFill>
                          <a:blip r:embed="rId64" cstate="print">
                            <a:extLst>
                              <a:ext uri="{28A0092B-C50C-407E-A947-70E740481C1C}">
                                <a14:useLocalDpi val="0"/>
                              </a:ext>
                            </a:extLst>
                          </a:blip>
                          <a:srcRect/>
                          <a:stretch>
                            <a:fillRect/>
                          </a:stretch>
                        </pic:blipFill>
                        <pic:spPr bwMode="auto">
                          <a:xfrm>
                            <a:off x="0" y="0"/>
                            <a:ext cx="5903339" cy="7293369"/>
                          </a:xfrm>
                          <a:prstGeom prst="rect">
                            <a:avLst/>
                          </a:prstGeom>
                          <a:noFill/>
                          <a:ln>
                            <a:noFill/>
                          </a:ln>
                        </pic:spPr>
                      </pic:pic>
                    </a:graphicData>
                  </a:graphic>
                </wp:inline>
              </w:drawing>
            </w:r>
          </w:p>
        </w:tc>
      </w:tr>
      <w:tr w14:paraId="6D16E9B9" w14:textId="77777777">
        <w:tc xmlns:tara="kcentrix:tara" tara:rowspan="1" tara:colspan="1">
          <w:tcPr>
            <w:tcW w:w="9622" w:type="dxa"/>
            <w:shd w:val="clear" w:color="auto" w:fill="auto"/>
          </w:tcPr>
          <w:p w14:paraId="05E08128" w14:textId="33CA42A4">
            <w:pPr>
              <w:pStyle w:val="IPPArial"/>
              <w:spacing w:before="180"/>
              <w:rPr>
                <w:color w:val="000000" w:themeColor="text1"/>
              </w:rPr>
            </w:pPr>
            <w:r>
              <w:rPr>
                <w:rStyle w:val="PleaseReviewParagraphId"/>
                <w:b w:val="off"/>
                <w:i w:val="off"/>
              </w:rPr>
              <w:t>[311]</w:t>
            </w:r>
            <w:r>
              <w:rPr>
                <w:b/>
                <w:bCs/>
                <w:color w:val="000000" w:themeColor="text1"/>
              </w:rPr>
              <w:t>Figure 5.</w:t>
            </w:r>
            <w:r>
              <w:rPr>
                <w:color w:val="000000" w:themeColor="text1"/>
              </w:rPr>
              <w:t xml:space="preserve"> Light photomicrographs of </w:t>
            </w:r>
            <w:r>
              <w:rPr>
                <w:i/>
                <w:iCs/>
                <w:color w:val="000000" w:themeColor="text1"/>
              </w:rPr>
              <w:t>Meloidogyne mali</w:t>
            </w:r>
            <w:r>
              <w:rPr>
                <w:color w:val="000000" w:themeColor="text1"/>
              </w:rPr>
              <w:t xml:space="preserve"> male and female perineal patterns: (A) and (B) male anterior; (C) posterior region of male; (D) lateral field of male; and (E–H) perineal patterns of females.</w:t>
            </w:r>
          </w:p>
          <w:p w14:paraId="2A5517A8" w14:textId="471325BC">
            <w:pPr>
              <w:pStyle w:val="IPPArialFootnote"/>
              <w:rPr>
                <w:i/>
                <w:iCs/>
                <w:color w:val="000000" w:themeColor="text1"/>
              </w:rPr>
            </w:pPr>
            <w:r>
              <w:rPr>
                <w:rStyle w:val="PleaseReviewParagraphId"/>
                <w:b w:val="off"/>
                <w:i w:val="off"/>
              </w:rPr>
              <w:t>[312]</w:t>
            </w:r>
            <w:r>
              <w:rPr>
                <w:i/>
                <w:iCs/>
                <w:color w:val="000000" w:themeColor="text1"/>
              </w:rPr>
              <w:t xml:space="preserve">Note: </w:t>
            </w:r>
            <w:r>
              <w:rPr>
                <w:color w:val="000000" w:themeColor="text1"/>
              </w:rPr>
              <w:t>Scale bars = 10 µm.</w:t>
            </w:r>
          </w:p>
          <w:p w14:paraId="2C58FE0C" w14:textId="0E8D0F82">
            <w:pPr>
              <w:pStyle w:val="IPPArialFootnote"/>
              <w:rPr>
                <w:rStyle w:val="Strong"/>
                <w:color w:val="000000" w:themeColor="text1"/>
              </w:rPr>
            </w:pPr>
            <w:r>
              <w:rPr>
                <w:rStyle w:val="PleaseReviewParagraphId"/>
                <w:b w:val="off"/>
                <w:i w:val="off"/>
              </w:rPr>
              <w:t>[313]</w:t>
            </w:r>
            <w:r>
              <w:rPr>
                <w:i/>
                <w:iCs/>
                <w:color w:val="000000" w:themeColor="text1"/>
              </w:rPr>
              <w:t>Source:</w:t>
            </w:r>
            <w:r>
              <w:rPr>
                <w:color w:val="000000" w:themeColor="text1"/>
              </w:rPr>
              <w:t xml:space="preserve"> Jiangfeng Gu, China.</w:t>
            </w:r>
          </w:p>
        </w:tc>
      </w:tr>
      <w:tr w14:paraId="5CFCA2F1" w14:textId="77777777">
        <w:tc xmlns:tara="kcentrix:tara" tara:rowspan="1" tara:colspan="1">
          <w:tcPr>
            <w:tcW w:w="9622" w:type="dxa"/>
            <w:shd w:val="clear" w:color="auto" w:fill="auto"/>
          </w:tcPr>
          <w:p w14:paraId="39D86FE3" w14:textId="77777777">
            <w:pPr>
              <w:rPr>
                <w:rStyle w:val="Strong"/>
                <w:color w:val="000000" w:themeColor="text1"/>
              </w:rPr>
            </w:pPr>
            <w:r>
              <w:rPr>
                <w:rStyle w:val="PleaseReviewParagraphId"/>
                <w:b w:val="off"/>
                <w:i w:val="off"/>
              </w:rPr>
              <w:t>[314]</w:t>
            </w:r>
            <w:r>
              <w:rPr>
                <w:color w:val="000000" w:themeColor="text1"/>
                <w:lang w:val="en-US"/>
              </w:rPr>
              <w:lastRenderedPageBreak/>
              <w:drawing>
                <wp:inline distT="0" distB="0" distL="0" distR="0" wp14:anchorId="3F491CA0" wp14:editId="72DBF2B3">
                  <wp:extent cx="4273550" cy="6140158"/>
                  <wp:effectExtent l="0" t="0" r="0" b="0"/>
                  <wp:docPr id="6" name="Picture 6" descr="Details are in the caption following the image">
                    <a:hlinkClick r:id="rId65" tgtFrame="&quot;_blank&quot;"/>
                  </wp:docPr>
                  <wp:cNvGraphicFramePr>
                    <a:graphicFrameLocks noChangeAspect="1"/>
                  </wp:cNvGraphicFramePr>
                  <a:graphic>
                    <a:graphicData uri="http://schemas.openxmlformats.org/drawingml/2006/picture">
                      <pic:pic>
                        <pic:nvPicPr>
                          <pic:cNvPr id="0" name="Picture 6" descr="Details are in the caption following the image">
                            <a:hlinkClick r:id="rId65" tgtFrame="&quot;_blank&quot;"/>
                          </pic:cNvPr>
                          <pic:cNvPicPr>
                            <a:picLocks noChangeAspect="1" noChangeArrowheads="1"/>
                          </pic:cNvPicPr>
                        </pic:nvPicPr>
                        <pic:blipFill>
                          <a:blip r:embed="rId66">
                            <a:extLst>
                              <a:ext uri="{28A0092B-C50C-407E-A947-70E740481C1C}">
                                <a14:useLocalDpi val="0"/>
                              </a:ext>
                            </a:extLst>
                          </a:blip>
                          <a:srcRect/>
                          <a:stretch>
                            <a:fillRect/>
                          </a:stretch>
                        </pic:blipFill>
                        <pic:spPr bwMode="auto">
                          <a:xfrm>
                            <a:off x="0" y="0"/>
                            <a:ext cx="4283512" cy="6154472"/>
                          </a:xfrm>
                          <a:prstGeom prst="rect">
                            <a:avLst/>
                          </a:prstGeom>
                          <a:noFill/>
                          <a:ln>
                            <a:noFill/>
                          </a:ln>
                        </pic:spPr>
                      </pic:pic>
                    </a:graphicData>
                  </a:graphic>
                </wp:inline>
              </w:drawing>
            </w:r>
          </w:p>
          <w:p w14:paraId="5F5BBA08" w14:textId="77777777">
            <w:pPr>
              <w:rPr>
                <w:rStyle w:val="Strong"/>
                <w:color w:val="000000" w:themeColor="text1"/>
              </w:rPr>
            </w:pPr>
            <w:r>
              <w:rPr>
                <w:rStyle w:val="PleaseReviewParagraphId"/>
                <w:b w:val="off"/>
                <w:i w:val="off"/>
              </w:rPr>
              <w:t>[315]</w:t>
            </w:r>
          </w:p>
        </w:tc>
      </w:tr>
      <w:tr w14:paraId="24485DB8" w14:textId="77777777">
        <w:tc xmlns:tara="kcentrix:tara" tara:rowspan="1" tara:colspan="1">
          <w:tcPr>
            <w:tcW w:w="9622" w:type="dxa"/>
            <w:shd w:val="clear" w:color="auto" w:fill="auto"/>
          </w:tcPr>
          <w:p w14:paraId="01939D2B" w14:textId="1B13E32A">
            <w:pPr>
              <w:pStyle w:val="IPPArial"/>
              <w:rPr>
                <w:color w:val="000000" w:themeColor="text1"/>
              </w:rPr>
            </w:pPr>
            <w:r>
              <w:rPr>
                <w:rStyle w:val="PleaseReviewParagraphId"/>
                <w:b w:val="off"/>
                <w:i w:val="off"/>
              </w:rPr>
              <w:t>[316]</w:t>
            </w:r>
            <w:r>
              <w:rPr>
                <w:rStyle w:val="Strong"/>
                <w:color w:val="000000" w:themeColor="text1"/>
              </w:rPr>
              <w:t xml:space="preserve">Figure 6. </w:t>
            </w:r>
            <w:r>
              <w:rPr>
                <w:i/>
                <w:iCs/>
                <w:color w:val="000000" w:themeColor="text1"/>
              </w:rPr>
              <w:t>Meloidogyne mali</w:t>
            </w:r>
            <w:r>
              <w:rPr>
                <w:color w:val="000000" w:themeColor="text1"/>
              </w:rPr>
              <w:t xml:space="preserve"> males: (A) and (B) anterior region (lateral and dorsoventral, respectively); (C) region of metacorpus; (D) lateral field; (E–G) tail regions (lateral, ventral, lateral, respectively); and (H) body.</w:t>
            </w:r>
          </w:p>
          <w:p w14:paraId="6303CFD1" w14:textId="491CCBC9">
            <w:pPr>
              <w:pStyle w:val="IPPArialFootnote"/>
              <w:rPr>
                <w:rStyle w:val="Strong"/>
                <w:b w:val="0"/>
                <w:bCs w:val="0"/>
                <w:color w:val="000000" w:themeColor="text1"/>
              </w:rPr>
            </w:pPr>
            <w:r>
              <w:rPr>
                <w:rStyle w:val="PleaseReviewParagraphId"/>
                <w:b w:val="off"/>
                <w:i w:val="off"/>
              </w:rPr>
              <w:t>[317]</w:t>
            </w:r>
            <w:r>
              <w:rPr>
                <w:i/>
                <w:iCs/>
                <w:color w:val="000000" w:themeColor="text1"/>
              </w:rPr>
              <w:t>Source:</w:t>
            </w:r>
            <w:r>
              <w:rPr>
                <w:color w:val="000000" w:themeColor="text1"/>
              </w:rPr>
              <w:t xml:space="preserve"> Itoh, Y., Ohshima, Y. &amp; Ichinohe, M. 1969. </w:t>
            </w:r>
            <w:r>
              <w:rPr>
                <w:color w:val="000000" w:themeColor="text1"/>
                <w:lang w:eastAsia="en-GB"/>
              </w:rPr>
              <w:t xml:space="preserve">A root-knot nematode, </w:t>
            </w:r>
            <w:r>
              <w:rPr>
                <w:i/>
                <w:iCs/>
                <w:color w:val="000000" w:themeColor="text1"/>
                <w:lang w:eastAsia="en-GB"/>
              </w:rPr>
              <w:t>Meloidogyne mali</w:t>
            </w:r>
            <w:r>
              <w:rPr>
                <w:color w:val="000000" w:themeColor="text1"/>
                <w:lang w:eastAsia="en-GB"/>
              </w:rPr>
              <w:t xml:space="preserve"> n. sp. on apple-tree from Japan (Tylenchida: Heteroderidae). </w:t>
            </w:r>
            <w:r>
              <w:rPr>
                <w:i/>
                <w:iCs/>
                <w:color w:val="000000" w:themeColor="text1"/>
                <w:lang w:eastAsia="en-GB"/>
              </w:rPr>
              <w:t>Applied Entomology and Zoology</w:t>
            </w:r>
            <w:r>
              <w:rPr>
                <w:color w:val="000000" w:themeColor="text1"/>
                <w:lang w:eastAsia="en-GB"/>
              </w:rPr>
              <w:t xml:space="preserve">, 4: 194–202. </w:t>
            </w:r>
            <w:hyperlink w:history="1" r:id="rId67">
              <w:r>
                <w:rPr>
                  <w:rStyle w:val="Hyperlink"/>
                  <w:color w:val="000000" w:themeColor="text1"/>
                </w:rPr>
                <w:t>https://doi.org/10.1303/aez.4.194</w:t>
              </w:r>
            </w:hyperlink>
          </w:p>
        </w:tc>
      </w:tr>
      <w:tr w14:paraId="55D3DF6B" w14:textId="77777777">
        <w:tc xmlns:tara="kcentrix:tara" tara:rowspan="1" tara:colspan="1">
          <w:tcPr>
            <w:tcW w:w="9622" w:type="dxa"/>
            <w:shd w:val="clear" w:color="auto" w:fill="auto"/>
          </w:tcPr>
          <w:p w14:paraId="60EBEC44" w14:textId="7C6742CA">
            <w:pPr>
              <w:rPr>
                <w:rStyle w:val="Strong"/>
                <w:color w:val="000000" w:themeColor="text1"/>
              </w:rPr>
            </w:pPr>
            <w:r>
              <w:rPr>
                <w:rStyle w:val="PleaseReviewParagraphId"/>
                <w:b w:val="off"/>
                <w:i w:val="off"/>
              </w:rPr>
              <w:t>[318]</w:t>
            </w:r>
            <w:r>
              <w:rPr>
                <w:color w:val="000000" w:themeColor="text1"/>
                <w:lang w:val="en-US"/>
              </w:rPr>
              <w:lastRenderedPageBreak/>
              <w:drawing>
                <wp:inline distT="0" distB="0" distL="0" distR="0" wp14:anchorId="655DD361" wp14:editId="5EB3DDB1">
                  <wp:extent cx="5810188" cy="7178284"/>
                  <wp:effectExtent l="0" t="0" r="635" b="3810"/>
                  <wp:docPr id="14" name="Picture 14"/>
                  <wp:cNvGraphicFramePr>
                    <a:graphicFrameLocks noChangeAspect="1"/>
                  </wp:cNvGraphicFramePr>
                  <a:graphic>
                    <a:graphicData uri="http://schemas.openxmlformats.org/drawingml/2006/picture">
                      <pic:pic>
                        <pic:nvPicPr>
                          <pic:cNvPr id="0" name="Picture 3"/>
                          <pic:cNvPicPr>
                            <a:picLocks noChangeAspect="1" noChangeArrowheads="1"/>
                          </pic:cNvPicPr>
                        </pic:nvPicPr>
                        <pic:blipFill>
                          <a:blip r:embed="rId68" cstate="print">
                            <a:extLst>
                              <a:ext uri="{28A0092B-C50C-407E-A947-70E740481C1C}">
                                <a14:useLocalDpi val="0"/>
                              </a:ext>
                            </a:extLst>
                          </a:blip>
                          <a:srcRect/>
                          <a:stretch>
                            <a:fillRect/>
                          </a:stretch>
                        </pic:blipFill>
                        <pic:spPr bwMode="auto">
                          <a:xfrm>
                            <a:off x="0" y="0"/>
                            <a:ext cx="5821261" cy="7191964"/>
                          </a:xfrm>
                          <a:prstGeom prst="rect">
                            <a:avLst/>
                          </a:prstGeom>
                          <a:noFill/>
                          <a:ln>
                            <a:noFill/>
                          </a:ln>
                        </pic:spPr>
                      </pic:pic>
                    </a:graphicData>
                  </a:graphic>
                </wp:inline>
              </w:drawing>
            </w:r>
          </w:p>
        </w:tc>
      </w:tr>
      <w:tr w14:paraId="6EB662B5" w14:textId="77777777">
        <w:tc xmlns:tara="kcentrix:tara" tara:rowspan="1" tara:colspan="1">
          <w:tcPr>
            <w:tcW w:w="9622" w:type="dxa"/>
            <w:shd w:val="clear" w:color="auto" w:fill="auto"/>
          </w:tcPr>
          <w:p w14:paraId="11F78039" w14:textId="7F86E131">
            <w:pPr>
              <w:pStyle w:val="IPPArial"/>
              <w:spacing w:before="180"/>
              <w:rPr>
                <w:color w:val="000000" w:themeColor="text1"/>
              </w:rPr>
            </w:pPr>
            <w:r>
              <w:rPr>
                <w:rStyle w:val="PleaseReviewParagraphId"/>
                <w:b w:val="off"/>
                <w:i w:val="off"/>
              </w:rPr>
              <w:t>[319]</w:t>
            </w:r>
            <w:r>
              <w:rPr>
                <w:b/>
                <w:bCs/>
                <w:color w:val="000000" w:themeColor="text1"/>
              </w:rPr>
              <w:t>Figure 7.</w:t>
            </w:r>
            <w:r>
              <w:rPr>
                <w:color w:val="000000" w:themeColor="text1"/>
              </w:rPr>
              <w:t xml:space="preserve"> Light photomicrographs of </w:t>
            </w:r>
            <w:r>
              <w:rPr>
                <w:i/>
                <w:iCs/>
                <w:color w:val="000000" w:themeColor="text1"/>
              </w:rPr>
              <w:t>Meloidogyne mali</w:t>
            </w:r>
            <w:r>
              <w:rPr>
                <w:color w:val="000000" w:themeColor="text1"/>
              </w:rPr>
              <w:t xml:space="preserve"> second-stage juveniles: (A) habitus following heat relaxation; (B–D) anterior region; (E) metacorpus region; and (F–M) tail region.</w:t>
            </w:r>
          </w:p>
          <w:p w14:paraId="14CF7480" w14:textId="337128CA">
            <w:pPr>
              <w:pStyle w:val="IPPArialFootnote"/>
              <w:rPr>
                <w:color w:val="000000" w:themeColor="text1"/>
              </w:rPr>
            </w:pPr>
            <w:r>
              <w:rPr>
                <w:rStyle w:val="PleaseReviewParagraphId"/>
                <w:b w:val="off"/>
                <w:i w:val="off"/>
              </w:rPr>
              <w:t>[320]</w:t>
            </w:r>
            <w:r>
              <w:rPr>
                <w:i/>
                <w:iCs/>
                <w:color w:val="000000" w:themeColor="text1"/>
              </w:rPr>
              <w:t xml:space="preserve">Note: </w:t>
            </w:r>
            <w:r>
              <w:rPr>
                <w:color w:val="000000" w:themeColor="text1"/>
              </w:rPr>
              <w:t>Scale bars = 10 µm.</w:t>
            </w:r>
          </w:p>
          <w:p w14:paraId="3C2EE93B" w14:textId="31D1B09D">
            <w:pPr>
              <w:pStyle w:val="IPPArialFootnote"/>
              <w:rPr>
                <w:rStyle w:val="Strong"/>
                <w:color w:val="000000" w:themeColor="text1"/>
                <w:szCs w:val="22"/>
              </w:rPr>
            </w:pPr>
            <w:r>
              <w:rPr>
                <w:rStyle w:val="PleaseReviewParagraphId"/>
                <w:b w:val="off"/>
                <w:i w:val="off"/>
              </w:rPr>
              <w:t>[321]</w:t>
            </w:r>
            <w:r>
              <w:rPr>
                <w:i/>
                <w:iCs/>
                <w:color w:val="000000" w:themeColor="text1"/>
              </w:rPr>
              <w:t>Source:</w:t>
            </w:r>
            <w:r>
              <w:rPr>
                <w:color w:val="000000" w:themeColor="text1"/>
              </w:rPr>
              <w:t xml:space="preserve"> Jianfeng Gu, China.</w:t>
            </w:r>
          </w:p>
        </w:tc>
      </w:tr>
      <w:tr w14:paraId="413D24C8" w14:textId="77777777">
        <w:tc xmlns:tara="kcentrix:tara" tara:rowspan="1" tara:colspan="1">
          <w:tcPr>
            <w:tcW w:w="9622" w:type="dxa"/>
            <w:shd w:val="clear" w:color="auto" w:fill="auto"/>
          </w:tcPr>
          <w:p w14:paraId="397B10B8" w14:textId="3737B79B">
            <w:pPr>
              <w:rPr>
                <w:rStyle w:val="Strong"/>
                <w:b w:val="0"/>
                <w:bCs w:val="0"/>
                <w:color w:val="000000" w:themeColor="text1"/>
              </w:rPr>
            </w:pPr>
            <w:r>
              <w:rPr>
                <w:rStyle w:val="PleaseReviewParagraphId"/>
                <w:b w:val="off"/>
                <w:i w:val="off"/>
              </w:rPr>
              <w:t>[322]</w:t>
            </w:r>
            <w:r>
              <w:rPr>
                <w:color w:val="000000" w:themeColor="text1"/>
                <w:lang w:val="en-US"/>
              </w:rPr>
              <mc:AlternateContent>
                <mc:Choice Requires="wps">
                  <w:drawing>
                    <wp:anchor distT="0" distB="0" distL="114300" distR="114300" simplePos="0" relativeHeight="251658241" behindDoc="0" locked="0" layoutInCell="1" allowOverlap="1" wp14:editId="7EB1C2B5" wp14:anchorId="5305F34D">
                      <wp:simplePos x="0" y="0"/>
                      <wp:positionH relativeFrom="column">
                        <wp:posOffset>5655310</wp:posOffset>
                      </wp:positionH>
                      <wp:positionV relativeFrom="paragraph">
                        <wp:posOffset>1724025</wp:posOffset>
                      </wp:positionV>
                      <wp:extent cx="368300" cy="241300"/>
                      <wp:effectExtent l="3175" t="0" r="0" b="0"/>
                      <wp:wrapNone/>
                      <wp:docPr id="32" name="Rectangle 32"/>
                      <wp:cNvGraphicFramePr>
                        <a:graphicFrameLocks/>
                      </wp:cNvGraphicFramePr>
                      <a:graphic>
                        <a:graphicData uri="http://schemas.microsoft.com/office/word/2010/wordprocessingShape">
                          <wps:wsp>
                            <wps:cNvSpPr>
                              <a:spLocks noChangeArrowheads="1"/>
                            </wps:cNvSpPr>
                            <wps:spPr bwMode="auto">
                              <a:xfrm>
                                <a:off x="0" y="0"/>
                                <a:ext cx="368300" cy="241300"/>
                              </a:xfrm>
                              <a:prstGeom prst="rect">
                                <a:avLst/>
                              </a:prstGeom>
                              <a:solidFill>
                                <a:srgbClr val="FFFFFF"/>
                              </a:solidFill>
                              <a:ln>
                                <a:noFill/>
                              </a:ln>
                              <a:extLst>
                                <a:ext uri="{91240B29-F687-4F45-9708-019B960494DF}">
                                  <a14:hiddenLine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2" style="position:absolute;margin-left:445.3pt;margin-top:135.75pt;width:29pt;height:19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stroked="f" w14:anchorId="45D26BC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"/>
                  </w:pict>
                </mc:Fallback>
              </mc:AlternateContent>
              <mc:AlternateContent>
                <mc:Choice Requires="wps">
                  <w:drawing>
                    <wp:anchor distT="0" distB="0" distL="114300" distR="114300" simplePos="0" relativeHeight="251658240" behindDoc="0" locked="0" layoutInCell="1" allowOverlap="1" wp14:editId="728B252C" wp14:anchorId="5305F34D">
                      <wp:simplePos x="0" y="0"/>
                      <wp:positionH relativeFrom="column">
                        <wp:posOffset>5693410</wp:posOffset>
                      </wp:positionH>
                      <wp:positionV relativeFrom="paragraph">
                        <wp:posOffset>1266825</wp:posOffset>
                      </wp:positionV>
                      <wp:extent cx="177800" cy="831850"/>
                      <wp:effectExtent l="3175" t="0" r="0" b="0"/>
                      <wp:wrapNone/>
                      <wp:docPr id="31" name="Rectangle 31"/>
                      <wp:cNvGraphicFramePr>
                        <a:graphicFrameLocks/>
                      </wp:cNvGraphicFramePr>
                      <a:graphic>
                        <a:graphicData uri="http://schemas.microsoft.com/office/word/2010/wordprocessingShape">
                          <wps:wsp>
                            <wps:cNvSpPr>
                              <a:spLocks noChangeArrowheads="1"/>
                            </wps:cNvSpPr>
                            <wps:spPr bwMode="auto">
                              <a:xfrm>
                                <a:off x="0" y="0"/>
                                <a:ext cx="177800" cy="831850"/>
                              </a:xfrm>
                              <a:prstGeom prst="rect">
                                <a:avLst/>
                              </a:prstGeom>
                              <a:solidFill>
                                <a:srgbClr val="FFFFFF"/>
                              </a:solidFill>
                              <a:ln>
                                <a:noFill/>
                              </a:ln>
                              <a:extLst>
                                <a:ext uri="{91240B29-F687-4F45-9708-019B960494DF}">
                                  <a14:hiddenLine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1" style="position:absolute;margin-left:448.3pt;margin-top:99.75pt;width:14pt;height:65.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stroked="f" w14:anchorId="6A603EC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"/>
                  </w:pict>
                </mc:Fallback>
              </mc:AlternateContent>
            </w:r>
          </w:p>
        </w:tc>
      </w:tr>
      <w:tr w14:paraId="0DEB23F1" w14:textId="77777777">
        <w:tc xmlns:tara="kcentrix:tara" tara:rowspan="1" tara:colspan="1">
          <w:tcPr>
            <w:tcW w:w="9622" w:type="dxa"/>
            <w:shd w:val="clear" w:color="auto" w:fill="auto"/>
          </w:tcPr>
          <w:p w14:paraId="7A6EF648" w14:textId="2416449D">
            <w:pPr>
              <w:rPr>
                <w:color w:val="000000" w:themeColor="text1"/>
                <w:lang w:eastAsia="fr-FR"/>
              </w:rPr>
            </w:pPr>
            <w:r>
              <w:rPr>
                <w:rStyle w:val="PleaseReviewParagraphId"/>
                <w:b w:val="off"/>
                <w:i w:val="off"/>
              </w:rPr>
              <w:t>[323]</w:t>
            </w:r>
            <w:r>
              <w:rPr>
                <w:color w:val="000000" w:themeColor="text1"/>
                <w:lang w:val="en-US"/>
              </w:rPr>
              <w:lastRenderedPageBreak/>
              <w:drawing>
                <wp:inline distT="0" distB="0" distL="0" distR="0" wp14:anchorId="05530C7C" wp14:editId="5E12B588">
                  <wp:extent cx="5533949" cy="1949450"/>
                  <wp:effectExtent l="0" t="0" r="0" b="0"/>
                  <wp:docPr id="7" name="Picture 7"/>
                  <wp:cNvGraphicFramePr>
                    <a:graphicFrameLocks noChangeAspect="1"/>
                  </wp:cNvGraphicFramePr>
                  <a:graphic>
                    <a:graphicData uri="http://schemas.openxmlformats.org/drawingml/2006/picture">
                      <pic:pic>
                        <pic:nvPicPr>
                          <pic:cNvPr id="0" name="Picture 2"/>
                          <pic:cNvPicPr>
                            <a:picLocks noChangeAspect="1" noChangeArrowheads="1"/>
                          </pic:cNvPicPr>
                        </pic:nvPicPr>
                        <pic:blipFill>
                          <a:blip r:embed="rId69">
                            <a:extLst>
                              <a:ext uri="{28A0092B-C50C-407E-A947-70E740481C1C}">
                                <a14:useLocalDpi val="0"/>
                              </a:ext>
                            </a:extLst>
                          </a:blip>
                          <a:srcRect/>
                          <a:stretch>
                            <a:fillRect/>
                          </a:stretch>
                        </pic:blipFill>
                        <pic:spPr bwMode="auto">
                          <a:xfrm>
                            <a:off x="0" y="0"/>
                            <a:ext cx="5541902" cy="1952252"/>
                          </a:xfrm>
                          <a:prstGeom prst="rect">
                            <a:avLst/>
                          </a:prstGeom>
                          <a:noFill/>
                        </pic:spPr>
                      </pic:pic>
                    </a:graphicData>
                  </a:graphic>
                </wp:inline>
              </w:drawing>
            </w:r>
          </w:p>
        </w:tc>
      </w:tr>
      <w:tr w14:paraId="0C897228" w14:textId="77777777">
        <w:tc xmlns:tara="kcentrix:tara" tara:rowspan="1" tara:colspan="1">
          <w:tcPr>
            <w:tcW w:w="9622" w:type="dxa"/>
            <w:shd w:val="clear" w:color="auto" w:fill="auto"/>
          </w:tcPr>
          <w:p w14:paraId="768D9D8C" w14:textId="4A426705">
            <w:pPr>
              <w:pStyle w:val="IPPArial"/>
              <w:spacing w:before="180"/>
              <w:rPr>
                <w:color w:val="000000" w:themeColor="text1"/>
              </w:rPr>
            </w:pPr>
            <w:r>
              <w:rPr>
                <w:rStyle w:val="PleaseReviewParagraphId"/>
                <w:b w:val="off"/>
                <w:i w:val="off"/>
              </w:rPr>
              <w:t>[324]</w:t>
            </w:r>
            <w:r>
              <w:rPr>
                <w:rStyle w:val="Strong"/>
                <w:color w:val="000000" w:themeColor="text1"/>
              </w:rPr>
              <w:t xml:space="preserve">Figure 8. </w:t>
            </w:r>
            <w:r>
              <w:rPr>
                <w:color w:val="000000" w:themeColor="text1"/>
              </w:rPr>
              <w:t xml:space="preserve">Second-stage juvenile tails of </w:t>
            </w:r>
            <w:r>
              <w:rPr>
                <w:i/>
                <w:iCs/>
                <w:color w:val="000000" w:themeColor="text1"/>
              </w:rPr>
              <w:t>Meloidogyne mali</w:t>
            </w:r>
            <w:r>
              <w:rPr>
                <w:color w:val="000000" w:themeColor="text1"/>
              </w:rPr>
              <w:t>,</w:t>
            </w:r>
            <w:r>
              <w:rPr>
                <w:i/>
                <w:iCs/>
                <w:color w:val="000000" w:themeColor="text1"/>
              </w:rPr>
              <w:t xml:space="preserve"> Meloidogyne ardenensis</w:t>
            </w:r>
            <w:r>
              <w:rPr>
                <w:color w:val="000000" w:themeColor="text1"/>
              </w:rPr>
              <w:t>,</w:t>
            </w:r>
            <w:r>
              <w:rPr>
                <w:i/>
                <w:iCs/>
                <w:color w:val="000000" w:themeColor="text1"/>
              </w:rPr>
              <w:t xml:space="preserve"> Meloidogyne camelliae,</w:t>
            </w:r>
            <w:r>
              <w:rPr>
                <w:color w:val="000000" w:themeColor="text1"/>
              </w:rPr>
              <w:t xml:space="preserve"> </w:t>
            </w:r>
            <w:r>
              <w:rPr>
                <w:i/>
                <w:color w:val="000000" w:themeColor="text1"/>
              </w:rPr>
              <w:t>Meloidogyne paramali</w:t>
            </w:r>
            <w:r>
              <w:rPr>
                <w:color w:val="000000" w:themeColor="text1"/>
              </w:rPr>
              <w:t xml:space="preserve">, </w:t>
            </w:r>
            <w:r>
              <w:rPr>
                <w:i/>
                <w:iCs/>
                <w:color w:val="000000" w:themeColor="text1"/>
              </w:rPr>
              <w:t xml:space="preserve">Meloidogyne suginamiensis </w:t>
            </w:r>
            <w:r>
              <w:rPr>
                <w:color w:val="000000" w:themeColor="text1"/>
              </w:rPr>
              <w:t>and</w:t>
            </w:r>
            <w:r>
              <w:rPr>
                <w:i/>
                <w:iCs/>
                <w:color w:val="000000" w:themeColor="text1"/>
              </w:rPr>
              <w:t xml:space="preserve"> Meloidogyne vitis</w:t>
            </w:r>
            <w:r>
              <w:rPr>
                <w:color w:val="000000" w:themeColor="text1"/>
              </w:rPr>
              <w:t>.</w:t>
            </w:r>
          </w:p>
          <w:p w14:paraId="51309161" w14:textId="707705A0">
            <w:pPr>
              <w:pStyle w:val="IPPArialFootnote"/>
              <w:rPr>
                <w:color w:val="000000" w:themeColor="text1"/>
              </w:rPr>
            </w:pPr>
            <w:r>
              <w:rPr>
                <w:rStyle w:val="PleaseReviewParagraphId"/>
                <w:b w:val="off"/>
                <w:i w:val="off"/>
              </w:rPr>
              <w:t>[325]</w:t>
            </w:r>
            <w:r>
              <w:rPr>
                <w:i/>
                <w:iCs/>
                <w:color w:val="000000" w:themeColor="text1"/>
              </w:rPr>
              <w:t xml:space="preserve">Note: </w:t>
            </w:r>
            <w:r>
              <w:rPr>
                <w:color w:val="000000" w:themeColor="text1"/>
              </w:rPr>
              <w:t>Drawings in lateral view, not to scale.</w:t>
            </w:r>
          </w:p>
          <w:p w14:paraId="52770BE1" w14:textId="77777777">
            <w:pPr>
              <w:pStyle w:val="IPPArialFootnote"/>
              <w:rPr>
                <w:i/>
                <w:iCs/>
                <w:color w:val="000000" w:themeColor="text1"/>
              </w:rPr>
            </w:pPr>
            <w:r>
              <w:rPr>
                <w:rStyle w:val="PleaseReviewParagraphId"/>
                <w:b w:val="off"/>
                <w:i w:val="off"/>
              </w:rPr>
              <w:t>[326]</w:t>
            </w:r>
            <w:r>
              <w:rPr>
                <w:i/>
                <w:iCs/>
                <w:color w:val="000000" w:themeColor="text1"/>
              </w:rPr>
              <w:t>Sources:</w:t>
            </w:r>
          </w:p>
          <w:p w14:paraId="3100772F" w14:textId="307A6C8C">
            <w:pPr>
              <w:pStyle w:val="IPPArialFootnote"/>
              <w:rPr>
                <w:bCs/>
                <w:color w:val="000000" w:themeColor="text1"/>
                <w:lang w:eastAsia="en-GB"/>
              </w:rPr>
            </w:pPr>
            <w:r>
              <w:rPr>
                <w:rStyle w:val="PleaseReviewParagraphId"/>
                <w:b w:val="off"/>
                <w:i w:val="off"/>
              </w:rPr>
              <w:t>[327]</w:t>
            </w:r>
            <w:r>
              <w:rPr>
                <w:bCs/>
                <w:color w:val="000000" w:themeColor="text1"/>
                <w:lang w:eastAsia="en-GB"/>
              </w:rPr>
              <w:t>(1) Itoh, Y., Ohshima, Y. &amp; Ichinohe, M. 1969</w:t>
            </w:r>
            <w:r>
              <w:rPr>
                <w:color w:val="000000" w:themeColor="text1"/>
                <w:lang w:eastAsia="en-GB"/>
              </w:rPr>
              <w:t xml:space="preserve">. A root-knot nematode, </w:t>
            </w:r>
            <w:r>
              <w:rPr>
                <w:i/>
                <w:iCs/>
                <w:color w:val="000000" w:themeColor="text1"/>
                <w:lang w:eastAsia="en-GB"/>
              </w:rPr>
              <w:t>Meloidogyne mali</w:t>
            </w:r>
            <w:r>
              <w:rPr>
                <w:color w:val="000000" w:themeColor="text1"/>
                <w:lang w:eastAsia="en-GB"/>
              </w:rPr>
              <w:t xml:space="preserve"> n. sp. on apple-tree from Japan (Tylenchida: Heteroderidae). </w:t>
            </w:r>
            <w:r>
              <w:rPr>
                <w:i/>
                <w:iCs/>
                <w:color w:val="000000" w:themeColor="text1"/>
                <w:lang w:eastAsia="en-GB"/>
              </w:rPr>
              <w:t>Applied Entomology and Zoology</w:t>
            </w:r>
            <w:r>
              <w:rPr>
                <w:color w:val="000000" w:themeColor="text1"/>
                <w:lang w:eastAsia="en-GB"/>
              </w:rPr>
              <w:t xml:space="preserve">, 4: 194–202. </w:t>
            </w:r>
            <w:hyperlink w:history="1" r:id="rId70">
              <w:r>
                <w:rPr>
                  <w:rStyle w:val="Hyperlink"/>
                  <w:color w:val="000000" w:themeColor="text1"/>
                </w:rPr>
                <w:t>https://doi.org/10.1303/aez.4.194</w:t>
              </w:r>
            </w:hyperlink>
          </w:p>
          <w:p w14:paraId="2B5EFEEE" w14:textId="09532BFB">
            <w:pPr>
              <w:pStyle w:val="IPPArialFootnote"/>
              <w:rPr>
                <w:bCs/>
                <w:color w:val="000000" w:themeColor="text1"/>
                <w:lang w:eastAsia="en-GB"/>
              </w:rPr>
            </w:pPr>
            <w:r>
              <w:rPr>
                <w:rStyle w:val="PleaseReviewParagraphId"/>
                <w:b w:val="off"/>
                <w:i w:val="off"/>
              </w:rPr>
              <w:t>[328]</w:t>
            </w:r>
            <w:r>
              <w:rPr>
                <w:bCs/>
                <w:color w:val="000000" w:themeColor="text1"/>
              </w:rPr>
              <w:t>(2) de A. Santos, M.S.N. 1968.</w:t>
            </w:r>
            <w:r>
              <w:rPr>
                <w:color w:val="000000" w:themeColor="text1"/>
              </w:rPr>
              <w:t xml:space="preserve"> </w:t>
            </w:r>
            <w:r>
              <w:rPr>
                <w:i/>
                <w:color w:val="000000" w:themeColor="text1"/>
              </w:rPr>
              <w:t>Meloidogyne ardenensis</w:t>
            </w:r>
            <w:r>
              <w:rPr>
                <w:color w:val="000000" w:themeColor="text1"/>
              </w:rPr>
              <w:t xml:space="preserve"> n. sp. </w:t>
            </w:r>
            <w:r>
              <w:rPr>
                <w:color w:val="000000" w:themeColor="text1"/>
                <w:lang w:eastAsia="en-GB"/>
              </w:rPr>
              <w:t xml:space="preserve">(Nematoda: Heteroderidae), a new British species of root-knot nematode. </w:t>
            </w:r>
            <w:r>
              <w:rPr>
                <w:i/>
                <w:iCs/>
                <w:color w:val="000000" w:themeColor="text1"/>
                <w:lang w:eastAsia="en-GB"/>
              </w:rPr>
              <w:t>Nematologica (1967)</w:t>
            </w:r>
            <w:r>
              <w:rPr>
                <w:color w:val="000000" w:themeColor="text1"/>
                <w:lang w:eastAsia="en-GB"/>
              </w:rPr>
              <w:t xml:space="preserve"> 13: 593–598. </w:t>
            </w:r>
            <w:hyperlink w:tgtFrame="_blank" w:history="1" r:id="rId71">
              <w:r>
                <w:rPr>
                  <w:rStyle w:val="Hyperlink"/>
                  <w:color w:val="000000" w:themeColor="text1"/>
                </w:rPr>
                <w:t>https://doi.org/10.1163/187529267X00418</w:t>
              </w:r>
            </w:hyperlink>
          </w:p>
          <w:p w14:paraId="35A9E709" w14:textId="5E3A7EE5">
            <w:pPr>
              <w:pStyle w:val="IPPArialFootnote"/>
              <w:rPr>
                <w:bCs/>
                <w:color w:val="000000" w:themeColor="text1"/>
                <w:lang w:val="fr-FR" w:eastAsia="en-GB"/>
              </w:rPr>
            </w:pPr>
            <w:r>
              <w:rPr>
                <w:rStyle w:val="PleaseReviewParagraphId"/>
                <w:b w:val="off"/>
                <w:i w:val="off"/>
              </w:rPr>
              <w:t>[329]</w:t>
            </w:r>
            <w:r>
              <w:rPr>
                <w:bCs/>
                <w:color w:val="000000" w:themeColor="text1"/>
                <w:lang w:eastAsia="en-GB"/>
              </w:rPr>
              <w:t>(3) Golden, A.M. 1979</w:t>
            </w:r>
            <w:r>
              <w:rPr>
                <w:color w:val="000000" w:themeColor="text1"/>
                <w:lang w:eastAsia="en-GB"/>
              </w:rPr>
              <w:t xml:space="preserve">. Description of </w:t>
            </w:r>
            <w:r>
              <w:rPr>
                <w:i/>
                <w:iCs/>
                <w:color w:val="000000" w:themeColor="text1"/>
                <w:lang w:eastAsia="en-GB"/>
              </w:rPr>
              <w:t>Meloidogyne camelliae</w:t>
            </w:r>
            <w:r>
              <w:rPr>
                <w:color w:val="000000" w:themeColor="text1"/>
                <w:lang w:eastAsia="en-GB"/>
              </w:rPr>
              <w:t xml:space="preserve"> n. sp. and </w:t>
            </w:r>
            <w:r>
              <w:rPr>
                <w:i/>
                <w:iCs/>
                <w:color w:val="000000" w:themeColor="text1"/>
                <w:lang w:eastAsia="en-GB"/>
              </w:rPr>
              <w:t>M. querciana</w:t>
            </w:r>
            <w:r>
              <w:rPr>
                <w:color w:val="000000" w:themeColor="text1"/>
                <w:lang w:eastAsia="en-GB"/>
              </w:rPr>
              <w:t xml:space="preserve"> n. sp. (Nematoda: Meloidogynidae) with SEM and host-range observations. </w:t>
            </w:r>
            <w:r>
              <w:rPr>
                <w:i/>
                <w:iCs/>
                <w:color w:val="000000" w:themeColor="text1"/>
                <w:lang w:eastAsia="en-GB"/>
              </w:rPr>
              <w:t>Journal of Nematology</w:t>
            </w:r>
            <w:r>
              <w:rPr>
                <w:color w:val="000000" w:themeColor="text1"/>
                <w:lang w:eastAsia="en-GB"/>
              </w:rPr>
              <w:t xml:space="preserve">, 11: 175–189. </w:t>
            </w:r>
            <w:hyperlink w:history="1" r:id="rId72">
              <w:r>
                <w:rPr>
                  <w:rStyle w:val="Hyperlink"/>
                  <w:color w:val="000000" w:themeColor="text1"/>
                  <w:lang w:val="fr-FR" w:eastAsia="en-GB"/>
                </w:rPr>
                <w:t>https://journals.flvc.org/jon/article/view/65150</w:t>
              </w:r>
            </w:hyperlink>
          </w:p>
          <w:p w14:paraId="228DF964" w14:textId="274A2084">
            <w:pPr>
              <w:pStyle w:val="IPPArialFootnote"/>
              <w:rPr>
                <w:color w:val="000000" w:themeColor="text1"/>
                <w:lang w:eastAsia="en-GB"/>
              </w:rPr>
            </w:pPr>
            <w:r>
              <w:rPr>
                <w:rStyle w:val="PleaseReviewParagraphId"/>
                <w:b w:val="off"/>
                <w:i w:val="off"/>
              </w:rPr>
              <w:t>[330]</w:t>
            </w:r>
            <w:r>
              <w:rPr>
                <w:bCs/>
                <w:color w:val="000000" w:themeColor="text1"/>
                <w:lang w:val="fr-FR" w:eastAsia="en-GB"/>
              </w:rPr>
              <w:t>(4) Toida, Y. &amp; Yaegashi, T</w:t>
            </w:r>
            <w:r>
              <w:rPr>
                <w:b/>
                <w:color w:val="000000" w:themeColor="text1"/>
                <w:lang w:val="fr-FR" w:eastAsia="en-GB"/>
              </w:rPr>
              <w:t>.</w:t>
            </w:r>
            <w:r>
              <w:rPr>
                <w:bCs/>
                <w:color w:val="000000" w:themeColor="text1"/>
                <w:lang w:val="fr-FR" w:eastAsia="en-GB"/>
              </w:rPr>
              <w:t xml:space="preserve"> 1984.</w:t>
            </w:r>
            <w:r>
              <w:rPr>
                <w:color w:val="000000" w:themeColor="text1"/>
                <w:lang w:val="fr-FR" w:eastAsia="en-GB"/>
              </w:rPr>
              <w:t xml:space="preserve"> </w:t>
            </w:r>
            <w:r>
              <w:rPr>
                <w:color w:val="000000" w:themeColor="text1"/>
                <w:lang w:eastAsia="en-GB"/>
              </w:rPr>
              <w:t xml:space="preserve">Description of </w:t>
            </w:r>
            <w:r>
              <w:rPr>
                <w:i/>
                <w:iCs/>
                <w:color w:val="000000" w:themeColor="text1"/>
                <w:lang w:eastAsia="en-GB"/>
              </w:rPr>
              <w:t>Meloidogyne suginamiensis</w:t>
            </w:r>
            <w:r>
              <w:rPr>
                <w:color w:val="000000" w:themeColor="text1"/>
                <w:lang w:eastAsia="en-GB"/>
              </w:rPr>
              <w:t xml:space="preserve"> n. sp. (Nematoda: Meloidogynidae) from mulberry in Japan. </w:t>
            </w:r>
            <w:r>
              <w:rPr>
                <w:i/>
                <w:iCs/>
                <w:color w:val="000000" w:themeColor="text1"/>
                <w:lang w:eastAsia="en-GB"/>
              </w:rPr>
              <w:t>Japanese Journal of Nematology</w:t>
            </w:r>
            <w:r>
              <w:rPr>
                <w:color w:val="000000" w:themeColor="text1"/>
                <w:lang w:eastAsia="en-GB"/>
              </w:rPr>
              <w:t>, 12: 49–57.</w:t>
            </w:r>
          </w:p>
          <w:p w14:paraId="32C58561" w14:textId="1FFBE4C7">
            <w:pPr>
              <w:pStyle w:val="IPPArialFootnote"/>
              <w:rPr>
                <w:color w:val="000000" w:themeColor="text1"/>
                <w:lang w:eastAsia="en-GB"/>
              </w:rPr>
            </w:pPr>
            <w:r>
              <w:rPr>
                <w:rStyle w:val="PleaseReviewParagraphId"/>
                <w:b w:val="off"/>
                <w:i w:val="off"/>
              </w:rPr>
              <w:t>[331]</w:t>
            </w:r>
            <w:r>
              <w:rPr>
                <w:bCs/>
                <w:color w:val="000000" w:themeColor="text1"/>
                <w:sz w:val="18"/>
                <w:szCs w:val="18"/>
              </w:rPr>
              <w:t>(5)</w:t>
            </w:r>
            <w:r>
              <w:rPr>
                <w:bCs/>
                <w:color w:val="000000" w:themeColor="text1"/>
              </w:rPr>
              <w:t xml:space="preserve"> </w:t>
            </w:r>
            <w:r>
              <w:rPr>
                <w:color w:val="000000" w:themeColor="text1"/>
                <w:lang w:eastAsia="en-GB"/>
              </w:rPr>
              <w:t xml:space="preserve">Gu, J., Fang, Y., Ma, X., Shao, B. &amp; Zhuo, K. 2023. </w:t>
            </w:r>
            <w:r>
              <w:rPr>
                <w:i/>
                <w:iCs/>
                <w:color w:val="000000" w:themeColor="text1"/>
                <w:lang w:eastAsia="en-GB"/>
              </w:rPr>
              <w:t>Meloidogyne paramali</w:t>
            </w:r>
            <w:r>
              <w:rPr>
                <w:color w:val="000000" w:themeColor="text1"/>
                <w:lang w:eastAsia="en-GB"/>
              </w:rPr>
              <w:t xml:space="preserve"> n. sp.</w:t>
            </w:r>
            <w:r>
              <w:rPr>
                <w:rFonts w:eastAsiaTheme="minorEastAsia"/>
                <w:color w:val="000000" w:themeColor="text1"/>
                <w:lang w:eastAsia="zh-CN"/>
              </w:rPr>
              <w:t xml:space="preserve"> </w:t>
            </w:r>
            <w:r>
              <w:rPr>
                <w:color w:val="000000" w:themeColor="text1"/>
                <w:lang w:eastAsia="en-GB"/>
              </w:rPr>
              <w:t xml:space="preserve">(Nematoda: Meloidogyninae) and first report of </w:t>
            </w:r>
            <w:r>
              <w:rPr>
                <w:i/>
                <w:iCs/>
                <w:color w:val="000000" w:themeColor="text1"/>
                <w:lang w:eastAsia="en-GB"/>
              </w:rPr>
              <w:t>M. marylandi</w:t>
            </w:r>
            <w:r>
              <w:rPr>
                <w:color w:val="000000" w:themeColor="text1"/>
                <w:lang w:eastAsia="en-GB"/>
              </w:rPr>
              <w:t xml:space="preserve"> in maple and yacca tree from Japan. </w:t>
            </w:r>
            <w:r>
              <w:rPr>
                <w:i/>
                <w:iCs/>
                <w:color w:val="000000" w:themeColor="text1"/>
                <w:lang w:eastAsia="en-GB"/>
              </w:rPr>
              <w:t>Journal of Nematology</w:t>
            </w:r>
            <w:r>
              <w:rPr>
                <w:color w:val="000000" w:themeColor="text1"/>
                <w:lang w:eastAsia="en-GB"/>
              </w:rPr>
              <w:t xml:space="preserve">, 55(1). </w:t>
            </w:r>
            <w:hyperlink w:history="1" r:id="rId73">
              <w:r>
                <w:rPr>
                  <w:rStyle w:val="Hyperlink"/>
                  <w:rFonts w:eastAsia="Times New Roman" w:cs="Arial"/>
                  <w:color w:val="000000" w:themeColor="text1"/>
                  <w:szCs w:val="16"/>
                  <w:lang w:eastAsia="en-GB"/>
                </w:rPr>
                <w:t>https://doi.org/10.2478/jofnem-2022-0036</w:t>
              </w:r>
            </w:hyperlink>
          </w:p>
          <w:p w14:paraId="61B8E080" w14:textId="1A5236C9">
            <w:pPr>
              <w:pStyle w:val="IPPArialFootnote"/>
              <w:rPr>
                <w:rStyle w:val="Strong"/>
                <w:b w:val="0"/>
                <w:bCs w:val="0"/>
                <w:color w:val="000000" w:themeColor="text1"/>
              </w:rPr>
            </w:pPr>
            <w:r>
              <w:rPr>
                <w:rStyle w:val="PleaseReviewParagraphId"/>
                <w:b w:val="off"/>
                <w:i w:val="off"/>
              </w:rPr>
              <w:t>[332]</w:t>
            </w:r>
            <w:r>
              <w:rPr>
                <w:bCs/>
                <w:color w:val="000000" w:themeColor="text1"/>
              </w:rPr>
              <w:t>(6) Yang, Y., Hu, X., Liu, P., Chen, L., Peng, H., Wang, Q. &amp; Zhang, Q. 2021</w:t>
            </w:r>
            <w:r>
              <w:rPr>
                <w:color w:val="000000" w:themeColor="text1"/>
              </w:rPr>
              <w:t xml:space="preserve">. A new root-knot nematode, </w:t>
            </w:r>
            <w:r>
              <w:rPr>
                <w:i/>
                <w:iCs/>
                <w:color w:val="000000" w:themeColor="text1"/>
              </w:rPr>
              <w:t>Meloidogyne vitis</w:t>
            </w:r>
            <w:r>
              <w:rPr>
                <w:color w:val="000000" w:themeColor="text1"/>
              </w:rPr>
              <w:t xml:space="preserve"> sp. nov. (Nematoda: Meloidogynidae), parasitizing grape in Yunnan. </w:t>
            </w:r>
            <w:r>
              <w:rPr>
                <w:i/>
                <w:iCs/>
                <w:color w:val="000000" w:themeColor="text1"/>
              </w:rPr>
              <w:t>PLoS ONE</w:t>
            </w:r>
            <w:r>
              <w:rPr>
                <w:color w:val="000000" w:themeColor="text1"/>
              </w:rPr>
              <w:t xml:space="preserve">, 16(2): e0245201. </w:t>
            </w:r>
            <w:hyperlink w:history="1" r:id="rId74">
              <w:r>
                <w:rPr>
                  <w:rStyle w:val="Hyperlink"/>
                  <w:color w:val="000000" w:themeColor="text1"/>
                </w:rPr>
                <w:t>https://doi.org/10.1371/journal.pone.0245201</w:t>
              </w:r>
            </w:hyperlink>
          </w:p>
        </w:tc>
      </w:tr>
      <w:tr w14:paraId="4204FDD6" w14:textId="77777777">
        <w:tc xmlns:tara="kcentrix:tara" tara:rowspan="1" tara:colspan="1">
          <w:tcPr>
            <w:tcW w:w="9622" w:type="dxa"/>
            <w:shd w:val="clear" w:color="auto" w:fill="auto"/>
          </w:tcPr>
          <w:p w14:paraId="1A72D292" w14:textId="344145B7">
            <w:pPr>
              <w:rPr>
                <w:rStyle w:val="Strong"/>
                <w:color w:val="000000" w:themeColor="text1"/>
              </w:rPr>
            </w:pPr>
            <w:r>
              <w:rPr>
                <w:rStyle w:val="PleaseReviewParagraphId"/>
                <w:b w:val="off"/>
                <w:i w:val="off"/>
              </w:rPr>
              <w:t>[333]</w:t>
            </w:r>
          </w:p>
        </w:tc>
      </w:tr>
      <w:tr w14:paraId="3BF3A632" w14:textId="77777777">
        <w:tc xmlns:tara="kcentrix:tara" tara:rowspan="1" tara:colspan="1">
          <w:tcPr>
            <w:tcW w:w="9622" w:type="dxa"/>
            <w:shd w:val="clear" w:color="auto" w:fill="auto"/>
          </w:tcPr>
          <w:p w14:paraId="513A12E4" w14:textId="043B2837">
            <w:pPr>
              <w:rPr>
                <w:color w:val="000000" w:themeColor="text1"/>
                <w:lang w:eastAsia="fr-FR"/>
              </w:rPr>
            </w:pPr>
            <w:r>
              <w:rPr>
                <w:rStyle w:val="PleaseReviewParagraphId"/>
                <w:b w:val="off"/>
                <w:i w:val="off"/>
              </w:rPr>
              <w:t>[334]</w:t>
            </w:r>
            <w:r>
              <w:rPr>
                <w:color w:val="000000" w:themeColor="text1"/>
                <w:lang w:val="en-US"/>
              </w:rPr>
              <w:lastRenderedPageBreak/>
              <w:drawing>
                <wp:inline distT="0" distB="0" distL="0" distR="0" wp14:anchorId="6C828A3D" wp14:editId="66FE3234">
                  <wp:extent cx="5667010" cy="4216400"/>
                  <wp:effectExtent l="0" t="0" r="0" b="0"/>
                  <wp:docPr id="53" name="Picture 53"/>
                  <wp:cNvGraphicFramePr>
                    <a:graphicFrameLocks noChangeAspect="1"/>
                  </wp:cNvGraphicFramePr>
                  <a:graphic>
                    <a:graphicData uri="http://schemas.openxmlformats.org/drawingml/2006/picture">
                      <pic:pic>
                        <pic:nvPicPr>
                          <pic:cNvPr id="0" name="Picture 4"/>
                          <pic:cNvPicPr>
                            <a:picLocks noChangeAspect="1" noChangeArrowheads="1"/>
                          </pic:cNvPicPr>
                        </pic:nvPicPr>
                        <pic:blipFill>
                          <a:blip r:embed="rId75">
                            <a:extLst>
                              <a:ext uri="{28A0092B-C50C-407E-A947-70E740481C1C}">
                                <a14:useLocalDpi val="0"/>
                              </a:ext>
                            </a:extLst>
                          </a:blip>
                          <a:srcRect/>
                          <a:stretch>
                            <a:fillRect/>
                          </a:stretch>
                        </pic:blipFill>
                        <pic:spPr bwMode="auto">
                          <a:xfrm>
                            <a:off x="0" y="0"/>
                            <a:ext cx="5676001" cy="4223090"/>
                          </a:xfrm>
                          <a:prstGeom prst="rect">
                            <a:avLst/>
                          </a:prstGeom>
                          <a:noFill/>
                        </pic:spPr>
                      </pic:pic>
                    </a:graphicData>
                  </a:graphic>
                </wp:inline>
              </w:drawing>
            </w:r>
          </w:p>
        </w:tc>
      </w:tr>
      <w:tr w14:paraId="6B639CCF" w14:textId="77777777">
        <w:tc xmlns:tara="kcentrix:tara" tara:rowspan="1" tara:colspan="1">
          <w:tcPr>
            <w:tcW w:w="9622" w:type="dxa"/>
            <w:shd w:val="clear" w:color="auto" w:fill="auto"/>
          </w:tcPr>
          <w:p w14:paraId="3A0CC1B8" w14:textId="26BBA709">
            <w:pPr>
              <w:pStyle w:val="IPPArial"/>
              <w:spacing w:before="180"/>
              <w:rPr>
                <w:color w:val="000000" w:themeColor="text1"/>
              </w:rPr>
            </w:pPr>
            <w:r>
              <w:rPr>
                <w:rStyle w:val="PleaseReviewParagraphId"/>
                <w:b w:val="off"/>
                <w:i w:val="off"/>
              </w:rPr>
              <w:t>[335]</w:t>
            </w:r>
            <w:r>
              <w:rPr>
                <w:rStyle w:val="Strong"/>
                <w:color w:val="000000" w:themeColor="text1"/>
              </w:rPr>
              <w:t xml:space="preserve">Figure 9. </w:t>
            </w:r>
            <w:r>
              <w:rPr>
                <w:color w:val="000000" w:themeColor="text1"/>
              </w:rPr>
              <w:t xml:space="preserve">Perineal patterns of </w:t>
            </w:r>
            <w:r>
              <w:rPr>
                <w:i/>
                <w:iCs/>
                <w:color w:val="000000" w:themeColor="text1"/>
              </w:rPr>
              <w:t>Meloidogyne mali, Meloidogyne ardensis, Meloidogyne camelliae,</w:t>
            </w:r>
            <w:r>
              <w:rPr>
                <w:color w:val="000000" w:themeColor="text1"/>
              </w:rPr>
              <w:t xml:space="preserve"> </w:t>
            </w:r>
            <w:r>
              <w:rPr>
                <w:i/>
                <w:color w:val="000000" w:themeColor="text1"/>
              </w:rPr>
              <w:t>Meloidogyne paramali</w:t>
            </w:r>
            <w:r>
              <w:rPr>
                <w:color w:val="000000" w:themeColor="text1"/>
              </w:rPr>
              <w:t xml:space="preserve">, </w:t>
            </w:r>
            <w:r>
              <w:rPr>
                <w:i/>
                <w:iCs/>
                <w:color w:val="000000" w:themeColor="text1"/>
              </w:rPr>
              <w:t xml:space="preserve">Meloidogyne suginamiensis </w:t>
            </w:r>
            <w:r>
              <w:rPr>
                <w:color w:val="000000" w:themeColor="text1"/>
              </w:rPr>
              <w:t>and</w:t>
            </w:r>
            <w:r>
              <w:rPr>
                <w:i/>
                <w:iCs/>
                <w:color w:val="000000" w:themeColor="text1"/>
              </w:rPr>
              <w:t xml:space="preserve"> Meloidogyne vitis</w:t>
            </w:r>
            <w:r>
              <w:rPr>
                <w:color w:val="000000" w:themeColor="text1"/>
              </w:rPr>
              <w:t>.</w:t>
            </w:r>
          </w:p>
          <w:p w14:paraId="1C50D916" w14:textId="1D8479C4">
            <w:pPr>
              <w:pStyle w:val="IPPArialFootnote"/>
              <w:rPr>
                <w:color w:val="000000" w:themeColor="text1"/>
              </w:rPr>
            </w:pPr>
            <w:r>
              <w:rPr>
                <w:rStyle w:val="PleaseReviewParagraphId"/>
                <w:b w:val="off"/>
                <w:i w:val="off"/>
              </w:rPr>
              <w:t>[336]</w:t>
            </w:r>
            <w:r>
              <w:rPr>
                <w:i/>
                <w:iCs/>
                <w:color w:val="000000" w:themeColor="text1"/>
              </w:rPr>
              <w:t>Note:</w:t>
            </w:r>
            <w:r>
              <w:rPr>
                <w:color w:val="000000" w:themeColor="text1"/>
              </w:rPr>
              <w:t xml:space="preserve"> Drawings 1, 2, 4 and 5 are not to the same scale as photo 3.</w:t>
            </w:r>
          </w:p>
          <w:p w14:paraId="19FC6C13" w14:textId="77777777">
            <w:pPr>
              <w:pStyle w:val="IPPArialFootnote"/>
              <w:rPr>
                <w:i/>
                <w:iCs/>
                <w:color w:val="000000" w:themeColor="text1"/>
              </w:rPr>
            </w:pPr>
            <w:r>
              <w:rPr>
                <w:rStyle w:val="PleaseReviewParagraphId"/>
                <w:b w:val="off"/>
                <w:i w:val="off"/>
              </w:rPr>
              <w:t>[337]</w:t>
            </w:r>
            <w:r>
              <w:rPr>
                <w:i/>
                <w:iCs/>
                <w:color w:val="000000" w:themeColor="text1"/>
              </w:rPr>
              <w:t>Sources:</w:t>
            </w:r>
          </w:p>
          <w:p w14:paraId="14A720F0" w14:textId="7E401503">
            <w:pPr>
              <w:pStyle w:val="IPPArialFootnote"/>
              <w:rPr>
                <w:bCs/>
                <w:color w:val="000000" w:themeColor="text1"/>
                <w:lang w:eastAsia="en-GB"/>
              </w:rPr>
            </w:pPr>
            <w:r>
              <w:rPr>
                <w:rStyle w:val="PleaseReviewParagraphId"/>
                <w:b w:val="off"/>
                <w:i w:val="off"/>
              </w:rPr>
              <w:t>[338]</w:t>
            </w:r>
            <w:r>
              <w:rPr>
                <w:bCs/>
                <w:color w:val="000000" w:themeColor="text1"/>
                <w:lang w:eastAsia="en-GB"/>
              </w:rPr>
              <w:t>(1) Itoh, Y., Ohshima, Y. &amp; Ichinohe, M. 1969</w:t>
            </w:r>
            <w:r>
              <w:rPr>
                <w:color w:val="000000" w:themeColor="text1"/>
                <w:lang w:eastAsia="en-GB"/>
              </w:rPr>
              <w:t xml:space="preserve">. A root-knot nematode, </w:t>
            </w:r>
            <w:r>
              <w:rPr>
                <w:i/>
                <w:iCs/>
                <w:color w:val="000000" w:themeColor="text1"/>
                <w:lang w:eastAsia="en-GB"/>
              </w:rPr>
              <w:t>Meloidogyne mali</w:t>
            </w:r>
            <w:r>
              <w:rPr>
                <w:color w:val="000000" w:themeColor="text1"/>
                <w:lang w:eastAsia="en-GB"/>
              </w:rPr>
              <w:t xml:space="preserve"> n. sp. on apple-tree from Japan (Tylenchida: Heteroderidae). </w:t>
            </w:r>
            <w:r>
              <w:rPr>
                <w:i/>
                <w:iCs/>
                <w:color w:val="000000" w:themeColor="text1"/>
                <w:lang w:eastAsia="en-GB"/>
              </w:rPr>
              <w:t>Applied Entomology and Zoology</w:t>
            </w:r>
            <w:r>
              <w:rPr>
                <w:color w:val="000000" w:themeColor="text1"/>
                <w:lang w:eastAsia="en-GB"/>
              </w:rPr>
              <w:t xml:space="preserve">, 4: 194–202. </w:t>
            </w:r>
            <w:hyperlink w:history="1" r:id="rId76">
              <w:r>
                <w:rPr>
                  <w:rStyle w:val="Hyperlink"/>
                  <w:color w:val="000000" w:themeColor="text1"/>
                </w:rPr>
                <w:t>https://doi.org/10.1303/aez.4.194</w:t>
              </w:r>
            </w:hyperlink>
          </w:p>
          <w:p w14:paraId="388958CD" w14:textId="5B8FB01C">
            <w:pPr>
              <w:pStyle w:val="IPPArialFootnote"/>
              <w:rPr>
                <w:bCs/>
                <w:color w:val="000000" w:themeColor="text1"/>
                <w:lang w:eastAsia="en-GB"/>
              </w:rPr>
            </w:pPr>
            <w:r>
              <w:rPr>
                <w:rStyle w:val="PleaseReviewParagraphId"/>
                <w:b w:val="off"/>
                <w:i w:val="off"/>
              </w:rPr>
              <w:t>[339]</w:t>
            </w:r>
            <w:r>
              <w:rPr>
                <w:bCs/>
                <w:color w:val="000000" w:themeColor="text1"/>
              </w:rPr>
              <w:t>(2) de A. Santos, M.S.N. 1968.</w:t>
            </w:r>
            <w:r>
              <w:rPr>
                <w:color w:val="000000" w:themeColor="text1"/>
              </w:rPr>
              <w:t xml:space="preserve"> </w:t>
            </w:r>
            <w:r>
              <w:rPr>
                <w:i/>
                <w:color w:val="000000" w:themeColor="text1"/>
              </w:rPr>
              <w:t>Meloidogyne ardenensis</w:t>
            </w:r>
            <w:r>
              <w:rPr>
                <w:color w:val="000000" w:themeColor="text1"/>
              </w:rPr>
              <w:t xml:space="preserve"> n. sp. </w:t>
            </w:r>
            <w:r>
              <w:rPr>
                <w:color w:val="000000" w:themeColor="text1"/>
                <w:lang w:eastAsia="en-GB"/>
              </w:rPr>
              <w:t xml:space="preserve">(Nematoda: Heteroderidae), a new British species of root-knot nematode. </w:t>
            </w:r>
            <w:r>
              <w:rPr>
                <w:i/>
                <w:iCs/>
                <w:color w:val="000000" w:themeColor="text1"/>
                <w:lang w:eastAsia="en-GB"/>
              </w:rPr>
              <w:t>Nematologica (1967)</w:t>
            </w:r>
            <w:r>
              <w:rPr>
                <w:color w:val="000000" w:themeColor="text1"/>
                <w:lang w:eastAsia="en-GB"/>
              </w:rPr>
              <w:t xml:space="preserve"> 13: 593–598. </w:t>
            </w:r>
            <w:hyperlink w:tgtFrame="_blank" w:history="1" r:id="rId77">
              <w:r>
                <w:rPr>
                  <w:rStyle w:val="Hyperlink"/>
                  <w:color w:val="000000" w:themeColor="text1"/>
                </w:rPr>
                <w:t>https://doi.org/10.1163/187529267X00418</w:t>
              </w:r>
            </w:hyperlink>
          </w:p>
          <w:p w14:paraId="43AF3C92" w14:textId="2384C095">
            <w:pPr>
              <w:pStyle w:val="IPPArialFootnote"/>
              <w:rPr>
                <w:bCs/>
                <w:color w:val="000000" w:themeColor="text1"/>
                <w:lang w:val="fr-FR" w:eastAsia="en-GB"/>
              </w:rPr>
            </w:pPr>
            <w:r>
              <w:rPr>
                <w:rStyle w:val="PleaseReviewParagraphId"/>
                <w:b w:val="off"/>
                <w:i w:val="off"/>
              </w:rPr>
              <w:t>[340]</w:t>
            </w:r>
            <w:r>
              <w:rPr>
                <w:bCs/>
                <w:color w:val="000000" w:themeColor="text1"/>
                <w:lang w:eastAsia="en-GB"/>
              </w:rPr>
              <w:t>(3) Golden, A.M. 1979</w:t>
            </w:r>
            <w:r>
              <w:rPr>
                <w:color w:val="000000" w:themeColor="text1"/>
                <w:lang w:eastAsia="en-GB"/>
              </w:rPr>
              <w:t xml:space="preserve">. Description of </w:t>
            </w:r>
            <w:r>
              <w:rPr>
                <w:i/>
                <w:iCs/>
                <w:color w:val="000000" w:themeColor="text1"/>
                <w:lang w:eastAsia="en-GB"/>
              </w:rPr>
              <w:t>Meloidogyne camelliae</w:t>
            </w:r>
            <w:r>
              <w:rPr>
                <w:color w:val="000000" w:themeColor="text1"/>
                <w:lang w:eastAsia="en-GB"/>
              </w:rPr>
              <w:t xml:space="preserve"> n. sp. and </w:t>
            </w:r>
            <w:r>
              <w:rPr>
                <w:i/>
                <w:iCs/>
                <w:color w:val="000000" w:themeColor="text1"/>
                <w:lang w:eastAsia="en-GB"/>
              </w:rPr>
              <w:t>M. querciana</w:t>
            </w:r>
            <w:r>
              <w:rPr>
                <w:color w:val="000000" w:themeColor="text1"/>
                <w:lang w:eastAsia="en-GB"/>
              </w:rPr>
              <w:t xml:space="preserve"> n. sp. (Nematoda: Meloidogynidae) with SEM and host-range observations. </w:t>
            </w:r>
            <w:r>
              <w:rPr>
                <w:i/>
                <w:iCs/>
                <w:color w:val="000000" w:themeColor="text1"/>
                <w:lang w:eastAsia="en-GB"/>
              </w:rPr>
              <w:t>Journal of Nematology</w:t>
            </w:r>
            <w:r>
              <w:rPr>
                <w:color w:val="000000" w:themeColor="text1"/>
                <w:lang w:eastAsia="en-GB"/>
              </w:rPr>
              <w:t xml:space="preserve">, 11: 175–189. </w:t>
            </w:r>
            <w:hyperlink w:history="1" r:id="rId78">
              <w:r>
                <w:rPr>
                  <w:rStyle w:val="Hyperlink"/>
                  <w:color w:val="000000" w:themeColor="text1"/>
                  <w:lang w:val="fr-FR" w:eastAsia="en-GB"/>
                </w:rPr>
                <w:t>https://journals.flvc.org/jon/article/view/65150</w:t>
              </w:r>
            </w:hyperlink>
          </w:p>
          <w:p w14:paraId="62D66EA7" w14:textId="7A6A972B">
            <w:pPr>
              <w:pStyle w:val="IPPArialFootnote"/>
              <w:rPr>
                <w:color w:val="000000" w:themeColor="text1"/>
                <w:lang w:eastAsia="en-GB"/>
              </w:rPr>
            </w:pPr>
            <w:r>
              <w:rPr>
                <w:rStyle w:val="PleaseReviewParagraphId"/>
                <w:b w:val="off"/>
                <w:i w:val="off"/>
              </w:rPr>
              <w:t>[341]</w:t>
            </w:r>
            <w:r>
              <w:rPr>
                <w:bCs/>
                <w:color w:val="000000" w:themeColor="text1"/>
                <w:lang w:val="fr-FR" w:eastAsia="en-GB"/>
              </w:rPr>
              <w:t>(4) Toida, Y. &amp; Yaegashi, T. 1984.</w:t>
            </w:r>
            <w:r>
              <w:rPr>
                <w:color w:val="000000" w:themeColor="text1"/>
                <w:lang w:val="fr-FR" w:eastAsia="en-GB"/>
              </w:rPr>
              <w:t xml:space="preserve"> </w:t>
            </w:r>
            <w:r>
              <w:rPr>
                <w:color w:val="000000" w:themeColor="text1"/>
                <w:lang w:eastAsia="en-GB"/>
              </w:rPr>
              <w:t xml:space="preserve">Description of </w:t>
            </w:r>
            <w:r>
              <w:rPr>
                <w:i/>
                <w:iCs/>
                <w:color w:val="000000" w:themeColor="text1"/>
                <w:lang w:eastAsia="en-GB"/>
              </w:rPr>
              <w:t>Meloidogyne suginamiensis</w:t>
            </w:r>
            <w:r>
              <w:rPr>
                <w:color w:val="000000" w:themeColor="text1"/>
                <w:lang w:eastAsia="en-GB"/>
              </w:rPr>
              <w:t xml:space="preserve"> n. sp. (Nematoda: Meloidogynidae) from mulberry in Japan. </w:t>
            </w:r>
            <w:r>
              <w:rPr>
                <w:i/>
                <w:iCs/>
                <w:color w:val="000000" w:themeColor="text1"/>
                <w:lang w:eastAsia="en-GB"/>
              </w:rPr>
              <w:t>Japanese Journal of Nematology</w:t>
            </w:r>
            <w:r>
              <w:rPr>
                <w:color w:val="000000" w:themeColor="text1"/>
                <w:lang w:eastAsia="en-GB"/>
              </w:rPr>
              <w:t>, 12: 49–57.</w:t>
            </w:r>
          </w:p>
          <w:p w14:paraId="66364062" w14:textId="16D4516B">
            <w:pPr>
              <w:pStyle w:val="IPPArialFootnote"/>
              <w:ind w:left="0" w:firstLine="0"/>
              <w:rPr>
                <w:bCs/>
                <w:color w:val="000000" w:themeColor="text1"/>
              </w:rPr>
            </w:pPr>
            <w:r>
              <w:rPr>
                <w:rStyle w:val="PleaseReviewParagraphId"/>
                <w:b w:val="off"/>
                <w:i w:val="off"/>
              </w:rPr>
              <w:t>[342]</w:t>
            </w:r>
            <w:r>
              <w:rPr>
                <w:bCs/>
                <w:color w:val="000000" w:themeColor="text1"/>
              </w:rPr>
              <w:t>(5)</w:t>
            </w:r>
            <w:r>
              <w:rPr>
                <w:rFonts w:cs="Arial"/>
                <w:bCs/>
                <w:i/>
                <w:iCs/>
                <w:color w:val="000000" w:themeColor="text1"/>
                <w:szCs w:val="16"/>
                <w:lang w:eastAsia="en-GB"/>
              </w:rPr>
              <w:t xml:space="preserve"> </w:t>
            </w:r>
            <w:r>
              <w:rPr>
                <w:rFonts w:eastAsia="Times New Roman" w:cs="Arial"/>
                <w:color w:val="000000" w:themeColor="text1"/>
                <w:szCs w:val="16"/>
                <w:lang w:eastAsia="en-GB"/>
              </w:rPr>
              <w:t xml:space="preserve">Gu, J., Fang, Y., Ma, X., Shao, B. &amp; Zhuo, K. 2023. </w:t>
            </w:r>
            <w:r>
              <w:rPr>
                <w:rFonts w:eastAsia="Times New Roman" w:cs="Arial"/>
                <w:i/>
                <w:iCs/>
                <w:color w:val="000000" w:themeColor="text1"/>
                <w:szCs w:val="16"/>
                <w:lang w:eastAsia="en-GB"/>
              </w:rPr>
              <w:t>Meloidogyne paramali</w:t>
            </w:r>
            <w:r>
              <w:rPr>
                <w:rFonts w:eastAsia="Times New Roman" w:cs="Arial"/>
                <w:color w:val="000000" w:themeColor="text1"/>
                <w:szCs w:val="16"/>
                <w:lang w:eastAsia="en-GB"/>
              </w:rPr>
              <w:t xml:space="preserve"> n. sp.</w:t>
            </w:r>
            <w:r>
              <w:rPr>
                <w:rFonts w:cs="Arial" w:eastAsiaTheme="minorEastAsia"/>
                <w:color w:val="000000" w:themeColor="text1"/>
                <w:szCs w:val="16"/>
                <w:lang w:eastAsia="zh-CN"/>
              </w:rPr>
              <w:t xml:space="preserve"> </w:t>
            </w:r>
            <w:r>
              <w:rPr>
                <w:rFonts w:eastAsia="Times New Roman" w:cs="Arial"/>
                <w:color w:val="000000" w:themeColor="text1"/>
                <w:szCs w:val="16"/>
                <w:lang w:eastAsia="en-GB"/>
              </w:rPr>
              <w:t xml:space="preserve">(Nematoda: Meloidogyninae) and first report of </w:t>
            </w:r>
            <w:r>
              <w:rPr>
                <w:rFonts w:eastAsia="Times New Roman" w:cs="Arial"/>
                <w:i/>
                <w:iCs/>
                <w:color w:val="000000" w:themeColor="text1"/>
                <w:szCs w:val="16"/>
                <w:lang w:eastAsia="en-GB"/>
              </w:rPr>
              <w:t>M. marylandi</w:t>
            </w:r>
            <w:r>
              <w:rPr>
                <w:rFonts w:eastAsia="Times New Roman" w:cs="Arial"/>
                <w:color w:val="000000" w:themeColor="text1"/>
                <w:szCs w:val="16"/>
                <w:lang w:eastAsia="en-GB"/>
              </w:rPr>
              <w:t xml:space="preserve"> in maple and yacca tree from Japan. </w:t>
            </w:r>
            <w:r>
              <w:rPr>
                <w:rFonts w:eastAsia="Times New Roman" w:cs="Arial"/>
                <w:i/>
                <w:iCs/>
                <w:color w:val="000000" w:themeColor="text1"/>
                <w:szCs w:val="16"/>
                <w:lang w:eastAsia="en-GB"/>
              </w:rPr>
              <w:t>Journal of Nematology</w:t>
            </w:r>
            <w:r>
              <w:rPr>
                <w:rFonts w:eastAsia="Times New Roman" w:cs="Arial"/>
                <w:color w:val="000000" w:themeColor="text1"/>
                <w:szCs w:val="16"/>
                <w:lang w:eastAsia="en-GB"/>
              </w:rPr>
              <w:t xml:space="preserve">, 55(1). </w:t>
            </w:r>
            <w:hyperlink w:history="1" r:id="rId79">
              <w:r>
                <w:rPr>
                  <w:rStyle w:val="Hyperlink"/>
                  <w:rFonts w:eastAsia="Times New Roman" w:cs="Arial"/>
                  <w:color w:val="000000" w:themeColor="text1"/>
                  <w:szCs w:val="16"/>
                  <w:lang w:eastAsia="en-GB"/>
                </w:rPr>
                <w:t>https://doi.org/10.2478/jofnem-2022-0036</w:t>
              </w:r>
            </w:hyperlink>
          </w:p>
          <w:p w14:paraId="548AC991" w14:textId="6BD55A43">
            <w:pPr>
              <w:pStyle w:val="IPPArialFootnote"/>
              <w:rPr>
                <w:rStyle w:val="Strong"/>
                <w:b w:val="0"/>
                <w:bCs w:val="0"/>
                <w:color w:val="000000" w:themeColor="text1"/>
              </w:rPr>
            </w:pPr>
            <w:r>
              <w:rPr>
                <w:rStyle w:val="PleaseReviewParagraphId"/>
                <w:b w:val="off"/>
                <w:i w:val="off"/>
              </w:rPr>
              <w:t>[343]</w:t>
            </w:r>
            <w:r>
              <w:rPr>
                <w:bCs/>
                <w:color w:val="000000" w:themeColor="text1"/>
              </w:rPr>
              <w:t>(6) Yang, Y., Hu, X., Liu, P., Chen, L., Peng, H., Wang, Q. &amp; Zhang, Q. 2021</w:t>
            </w:r>
            <w:r>
              <w:rPr>
                <w:color w:val="000000" w:themeColor="text1"/>
              </w:rPr>
              <w:t xml:space="preserve">. A new root-knot nematode, </w:t>
            </w:r>
            <w:r>
              <w:rPr>
                <w:i/>
                <w:iCs/>
                <w:color w:val="000000" w:themeColor="text1"/>
              </w:rPr>
              <w:t>Meloidogyne vitis</w:t>
            </w:r>
            <w:r>
              <w:rPr>
                <w:color w:val="000000" w:themeColor="text1"/>
              </w:rPr>
              <w:t xml:space="preserve"> sp. nov. (Nematoda: Meloidogynidae), parasitizing grape in Yunnan. </w:t>
            </w:r>
            <w:r>
              <w:rPr>
                <w:i/>
                <w:iCs/>
                <w:color w:val="000000" w:themeColor="text1"/>
              </w:rPr>
              <w:t>PLoS ONE</w:t>
            </w:r>
            <w:r>
              <w:rPr>
                <w:color w:val="000000" w:themeColor="text1"/>
              </w:rPr>
              <w:t xml:space="preserve">, 16(2): e0245201. </w:t>
            </w:r>
            <w:hyperlink w:history="1" r:id="rId80">
              <w:r>
                <w:rPr>
                  <w:rStyle w:val="Hyperlink"/>
                  <w:color w:val="000000" w:themeColor="text1"/>
                </w:rPr>
                <w:t>https://doi.org/10.1371/journal.pone.0245201</w:t>
              </w:r>
            </w:hyperlink>
          </w:p>
        </w:tc>
      </w:tr>
      <w:tr w14:paraId="283E69FC" w14:textId="77777777">
        <w:trPr>
          <w:trHeight w:val="1606"/>
        </w:trPr>
        <w:tc xmlns:tara="kcentrix:tara" tara:rowspan="1" tara:colspan="1">
          <w:tcPr>
            <w:tcW w:w="9622" w:type="dxa"/>
            <w:shd w:val="clear" w:color="auto" w:fill="auto"/>
          </w:tcPr>
          <w:p w14:paraId="236D03FB" w14:textId="77777777">
            <w:pPr>
              <w:rPr>
                <w:color w:val="000000" w:themeColor="text1"/>
                <w:lang w:eastAsia="fr-FR"/>
              </w:rPr>
            </w:pPr>
            <w:r>
              <w:rPr>
                <w:rStyle w:val="PleaseReviewParagraphId"/>
                <w:b w:val="off"/>
                <w:i w:val="off"/>
              </w:rPr>
              <w:t>[344]</w:t>
            </w:r>
          </w:p>
        </w:tc>
      </w:tr>
      <w:tr w14:paraId="50B5E4EB" w14:textId="77777777">
        <w:tc xmlns:tara="kcentrix:tara" tara:rowspan="1" tara:colspan="1">
          <w:tcPr>
            <w:tcW w:w="9622" w:type="dxa"/>
            <w:shd w:val="clear" w:color="auto" w:fill="auto"/>
          </w:tcPr>
          <w:p w14:paraId="5E3E756B" w14:textId="204C0128">
            <w:pPr>
              <w:rPr>
                <w:color w:val="000000" w:themeColor="text1"/>
                <w:lang w:eastAsia="fr-FR"/>
              </w:rPr>
            </w:pPr>
            <w:r>
              <w:rPr>
                <w:rStyle w:val="PleaseReviewParagraphId"/>
                <w:b w:val="off"/>
                <w:i w:val="off"/>
              </w:rPr>
              <w:t>[345]</w:t>
            </w:r>
            <w:r>
              <w:rPr>
                <w:color w:val="000000" w:themeColor="text1"/>
                <w:lang w:val="en-US"/>
              </w:rPr>
              <w:lastRenderedPageBreak/>
              <w:drawing>
                <wp:inline distT="0" distB="0" distL="0" distR="0" wp14:anchorId="44378FBA" wp14:editId="2291B208">
                  <wp:extent cx="5365584" cy="1365250"/>
                  <wp:effectExtent l="0" t="0" r="6985" b="6350"/>
                  <wp:docPr id="59" name="Picture 59"/>
                  <wp:cNvGraphicFramePr>
                    <a:graphicFrameLocks noChangeAspect="1"/>
                  </wp:cNvGraphicFramePr>
                  <a:graphic>
                    <a:graphicData uri="http://schemas.openxmlformats.org/drawingml/2006/picture">
                      <pic:pic>
                        <pic:nvPicPr>
                          <pic:cNvPr id="0" name="Picture 5"/>
                          <pic:cNvPicPr>
                            <a:picLocks noChangeAspect="1" noChangeArrowheads="1"/>
                          </pic:cNvPicPr>
                        </pic:nvPicPr>
                        <pic:blipFill rotWithShape="1">
                          <a:blip r:embed="rId81">
                            <a:extLst>
                              <a:ext uri="{28A0092B-C50C-407E-A947-70E740481C1C}">
                                <a14:useLocalDpi val="0"/>
                              </a:ext>
                            </a:extLst>
                          </a:blip>
                          <a:srcRect b="21275"/>
                          <a:stretch/>
                        </pic:blipFill>
                        <pic:spPr bwMode="auto">
                          <a:xfrm>
                            <a:off x="0" y="0"/>
                            <a:ext cx="5392997" cy="1372225"/>
                          </a:xfrm>
                          <a:prstGeom prst="rect">
                            <a:avLst/>
                          </a:prstGeom>
                          <a:noFill/>
                          <a:ln>
                            <a:noFill/>
                          </a:ln>
                          <a:extLst>
                            <a:ext uri="{53640926-AAD7-44D8-BBD7-CCE9431645EC}">
                              <a14:shadowObscured/>
                            </a:ext>
                          </a:extLst>
                        </pic:spPr>
                      </pic:pic>
                    </a:graphicData>
                  </a:graphic>
                </wp:inline>
              </w:drawing>
            </w:r>
          </w:p>
          <w:p w14:paraId="28F817CD" w14:textId="4A80585E">
            <w:pPr>
              <w:rPr>
                <w:rStyle w:val="Strong"/>
                <w:color w:val="000000" w:themeColor="text1"/>
              </w:rPr>
            </w:pPr>
            <w:r>
              <w:rPr>
                <w:rStyle w:val="PleaseReviewParagraphId"/>
                <w:b w:val="off"/>
                <w:i w:val="off"/>
              </w:rPr>
              <w:t>[346]</w:t>
            </w:r>
          </w:p>
        </w:tc>
      </w:tr>
      <w:tr w14:paraId="64C19CEE" w14:textId="77777777">
        <w:tc xmlns:tara="kcentrix:tara" tara:rowspan="1" tara:colspan="1">
          <w:tcPr>
            <w:tcW w:w="9622" w:type="dxa"/>
            <w:shd w:val="clear" w:color="auto" w:fill="auto"/>
          </w:tcPr>
          <w:p w14:paraId="6A9B2E5E" w14:textId="221A6334">
            <w:pPr>
              <w:pStyle w:val="IPPArial"/>
              <w:rPr>
                <w:color w:val="000000" w:themeColor="text1"/>
              </w:rPr>
            </w:pPr>
            <w:r>
              <w:rPr>
                <w:rStyle w:val="PleaseReviewParagraphId"/>
                <w:b w:val="off"/>
                <w:i w:val="off"/>
              </w:rPr>
              <w:t>[347]</w:t>
            </w:r>
            <w:r>
              <w:rPr>
                <w:rStyle w:val="Strong"/>
                <w:color w:val="000000" w:themeColor="text1"/>
              </w:rPr>
              <w:t xml:space="preserve">Figure 10. </w:t>
            </w:r>
            <w:r>
              <w:rPr>
                <w:color w:val="000000" w:themeColor="text1"/>
              </w:rPr>
              <w:t xml:space="preserve">Male head regions of </w:t>
            </w:r>
            <w:r>
              <w:rPr>
                <w:i/>
                <w:iCs/>
                <w:color w:val="000000" w:themeColor="text1"/>
              </w:rPr>
              <w:t>Meloidogyne mali</w:t>
            </w:r>
            <w:r>
              <w:rPr>
                <w:color w:val="000000" w:themeColor="text1"/>
              </w:rPr>
              <w:t>,</w:t>
            </w:r>
            <w:r>
              <w:rPr>
                <w:i/>
                <w:iCs/>
                <w:color w:val="000000" w:themeColor="text1"/>
              </w:rPr>
              <w:t xml:space="preserve"> Meloidogyne ardenensis</w:t>
            </w:r>
            <w:r>
              <w:rPr>
                <w:color w:val="000000" w:themeColor="text1"/>
              </w:rPr>
              <w:t>,</w:t>
            </w:r>
            <w:r>
              <w:rPr>
                <w:i/>
                <w:iCs/>
                <w:color w:val="000000" w:themeColor="text1"/>
              </w:rPr>
              <w:t xml:space="preserve"> Meloidogyne camelliae,</w:t>
            </w:r>
            <w:r>
              <w:rPr>
                <w:color w:val="000000" w:themeColor="text1"/>
              </w:rPr>
              <w:t xml:space="preserve"> </w:t>
            </w:r>
            <w:r>
              <w:rPr>
                <w:i/>
                <w:color w:val="000000" w:themeColor="text1"/>
              </w:rPr>
              <w:t>Meloidogyne paramali</w:t>
            </w:r>
            <w:r>
              <w:rPr>
                <w:color w:val="000000" w:themeColor="text1"/>
              </w:rPr>
              <w:t xml:space="preserve">, </w:t>
            </w:r>
            <w:r>
              <w:rPr>
                <w:i/>
                <w:iCs/>
                <w:color w:val="000000" w:themeColor="text1"/>
              </w:rPr>
              <w:t>Meloidogyne suginamiensis and Meloidogyne vitis</w:t>
            </w:r>
            <w:r>
              <w:rPr>
                <w:color w:val="000000" w:themeColor="text1"/>
              </w:rPr>
              <w:t>.</w:t>
            </w:r>
          </w:p>
          <w:p w14:paraId="444775BA" w14:textId="6A442B38">
            <w:pPr>
              <w:pStyle w:val="IPPArialFootnote"/>
              <w:rPr>
                <w:color w:val="000000" w:themeColor="text1"/>
              </w:rPr>
            </w:pPr>
            <w:r>
              <w:rPr>
                <w:rStyle w:val="PleaseReviewParagraphId"/>
                <w:b w:val="off"/>
                <w:i w:val="off"/>
              </w:rPr>
              <w:t>[348]</w:t>
            </w:r>
            <w:r>
              <w:rPr>
                <w:i/>
                <w:iCs/>
                <w:color w:val="000000" w:themeColor="text1"/>
              </w:rPr>
              <w:t>Notes:</w:t>
            </w:r>
            <w:r>
              <w:rPr>
                <w:color w:val="000000" w:themeColor="text1"/>
              </w:rPr>
              <w:t xml:space="preserve"> Drawings in dorsoventral view (1), lateral view (2, 3, 5, 6) and dorsal (4) view; not to scale.</w:t>
            </w:r>
          </w:p>
          <w:p w14:paraId="3209BD22" w14:textId="77777777">
            <w:pPr>
              <w:pStyle w:val="IPPArialFootnote"/>
              <w:rPr>
                <w:i/>
                <w:iCs/>
                <w:color w:val="000000" w:themeColor="text1"/>
              </w:rPr>
            </w:pPr>
            <w:r>
              <w:rPr>
                <w:rStyle w:val="PleaseReviewParagraphId"/>
                <w:b w:val="off"/>
                <w:i w:val="off"/>
              </w:rPr>
              <w:t>[349]</w:t>
            </w:r>
            <w:r>
              <w:rPr>
                <w:i/>
                <w:iCs/>
                <w:color w:val="000000" w:themeColor="text1"/>
              </w:rPr>
              <w:t>Sources:</w:t>
            </w:r>
          </w:p>
          <w:p w14:paraId="34C24AFD" w14:textId="543AE9C5">
            <w:pPr>
              <w:pStyle w:val="IPPArialFootnote"/>
              <w:rPr>
                <w:bCs/>
                <w:color w:val="000000" w:themeColor="text1"/>
                <w:lang w:eastAsia="en-GB"/>
              </w:rPr>
            </w:pPr>
            <w:r>
              <w:rPr>
                <w:rStyle w:val="PleaseReviewParagraphId"/>
                <w:b w:val="off"/>
                <w:i w:val="off"/>
              </w:rPr>
              <w:t>[350]</w:t>
            </w:r>
            <w:r>
              <w:rPr>
                <w:bCs/>
                <w:color w:val="000000" w:themeColor="text1"/>
                <w:lang w:eastAsia="en-GB"/>
              </w:rPr>
              <w:t>(1) Itoh, Y., Ohshima, Y. &amp; Ichinohe, M. 1969</w:t>
            </w:r>
            <w:r>
              <w:rPr>
                <w:color w:val="000000" w:themeColor="text1"/>
                <w:lang w:eastAsia="en-GB"/>
              </w:rPr>
              <w:t xml:space="preserve">. A root-knot nematode, </w:t>
            </w:r>
            <w:r>
              <w:rPr>
                <w:i/>
                <w:iCs/>
                <w:color w:val="000000" w:themeColor="text1"/>
                <w:lang w:eastAsia="en-GB"/>
              </w:rPr>
              <w:t>Meloidogyne mali</w:t>
            </w:r>
            <w:r>
              <w:rPr>
                <w:color w:val="000000" w:themeColor="text1"/>
                <w:lang w:eastAsia="en-GB"/>
              </w:rPr>
              <w:t xml:space="preserve"> n. sp. on apple-tree from Japan (Tylenchida: Heteroderidae). </w:t>
            </w:r>
            <w:r>
              <w:rPr>
                <w:i/>
                <w:iCs/>
                <w:color w:val="000000" w:themeColor="text1"/>
                <w:lang w:eastAsia="en-GB"/>
              </w:rPr>
              <w:t>Applied Entomology and Zoology</w:t>
            </w:r>
            <w:r>
              <w:rPr>
                <w:color w:val="000000" w:themeColor="text1"/>
                <w:lang w:eastAsia="en-GB"/>
              </w:rPr>
              <w:t xml:space="preserve">, 4: 194–202. </w:t>
            </w:r>
            <w:hyperlink w:history="1" r:id="rId82">
              <w:r>
                <w:rPr>
                  <w:rStyle w:val="Hyperlink"/>
                  <w:color w:val="000000" w:themeColor="text1"/>
                </w:rPr>
                <w:t>https://doi.org/10.1303/aez.4.194</w:t>
              </w:r>
            </w:hyperlink>
          </w:p>
          <w:p w14:paraId="73BA8F5C" w14:textId="5636920B">
            <w:pPr>
              <w:pStyle w:val="IPPArialFootnote"/>
              <w:rPr>
                <w:bCs/>
                <w:color w:val="000000" w:themeColor="text1"/>
                <w:lang w:eastAsia="en-GB"/>
              </w:rPr>
            </w:pPr>
            <w:r>
              <w:rPr>
                <w:rStyle w:val="PleaseReviewParagraphId"/>
                <w:b w:val="off"/>
                <w:i w:val="off"/>
              </w:rPr>
              <w:t>[351]</w:t>
            </w:r>
            <w:r>
              <w:rPr>
                <w:bCs/>
                <w:color w:val="000000" w:themeColor="text1"/>
              </w:rPr>
              <w:t>(2) de A. Santos, M.S.N. 1968.</w:t>
            </w:r>
            <w:r>
              <w:rPr>
                <w:color w:val="000000" w:themeColor="text1"/>
              </w:rPr>
              <w:t xml:space="preserve"> </w:t>
            </w:r>
            <w:r>
              <w:rPr>
                <w:i/>
                <w:color w:val="000000" w:themeColor="text1"/>
              </w:rPr>
              <w:t>Meloidogyne ardenensis</w:t>
            </w:r>
            <w:r>
              <w:rPr>
                <w:color w:val="000000" w:themeColor="text1"/>
              </w:rPr>
              <w:t xml:space="preserve"> n. sp. </w:t>
            </w:r>
            <w:r>
              <w:rPr>
                <w:color w:val="000000" w:themeColor="text1"/>
                <w:lang w:eastAsia="en-GB"/>
              </w:rPr>
              <w:t xml:space="preserve">(Nematoda: Heteroderidae), a new British species of root-knot nematode. </w:t>
            </w:r>
            <w:r>
              <w:rPr>
                <w:i/>
                <w:iCs/>
                <w:color w:val="000000" w:themeColor="text1"/>
                <w:lang w:eastAsia="en-GB"/>
              </w:rPr>
              <w:t>Nematologica (1967)</w:t>
            </w:r>
            <w:r>
              <w:rPr>
                <w:color w:val="000000" w:themeColor="text1"/>
                <w:lang w:eastAsia="en-GB"/>
              </w:rPr>
              <w:t xml:space="preserve"> 13: 593–598. </w:t>
            </w:r>
            <w:hyperlink w:tgtFrame="_blank" w:history="1" r:id="rId83">
              <w:r>
                <w:rPr>
                  <w:rStyle w:val="Hyperlink"/>
                  <w:color w:val="000000" w:themeColor="text1"/>
                </w:rPr>
                <w:t>https://doi.org/10.1163/187529267X00418</w:t>
              </w:r>
            </w:hyperlink>
          </w:p>
          <w:p w14:paraId="69B40196" w14:textId="6FC1BDDE">
            <w:pPr>
              <w:pStyle w:val="IPPArialFootnote"/>
              <w:rPr>
                <w:bCs/>
                <w:color w:val="000000" w:themeColor="text1"/>
                <w:lang w:val="fr-FR" w:eastAsia="en-GB"/>
              </w:rPr>
            </w:pPr>
            <w:r>
              <w:rPr>
                <w:rStyle w:val="PleaseReviewParagraphId"/>
                <w:b w:val="off"/>
                <w:i w:val="off"/>
              </w:rPr>
              <w:t>[352]</w:t>
            </w:r>
            <w:r>
              <w:rPr>
                <w:bCs/>
                <w:color w:val="000000" w:themeColor="text1"/>
                <w:lang w:eastAsia="en-GB"/>
              </w:rPr>
              <w:t>(3) Golden, A.M. 1979</w:t>
            </w:r>
            <w:r>
              <w:rPr>
                <w:color w:val="000000" w:themeColor="text1"/>
                <w:lang w:eastAsia="en-GB"/>
              </w:rPr>
              <w:t xml:space="preserve">. Description of </w:t>
            </w:r>
            <w:r>
              <w:rPr>
                <w:i/>
                <w:iCs/>
                <w:color w:val="000000" w:themeColor="text1"/>
                <w:lang w:eastAsia="en-GB"/>
              </w:rPr>
              <w:t>Meloidogyne camelliae</w:t>
            </w:r>
            <w:r>
              <w:rPr>
                <w:color w:val="000000" w:themeColor="text1"/>
                <w:lang w:eastAsia="en-GB"/>
              </w:rPr>
              <w:t xml:space="preserve"> n. sp. and </w:t>
            </w:r>
            <w:r>
              <w:rPr>
                <w:i/>
                <w:iCs/>
                <w:color w:val="000000" w:themeColor="text1"/>
                <w:lang w:eastAsia="en-GB"/>
              </w:rPr>
              <w:t>M. querciana</w:t>
            </w:r>
            <w:r>
              <w:rPr>
                <w:color w:val="000000" w:themeColor="text1"/>
                <w:lang w:eastAsia="en-GB"/>
              </w:rPr>
              <w:t xml:space="preserve"> n. sp. (Nematoda: Meloidogynidae) with SEM and host-range observations. </w:t>
            </w:r>
            <w:r>
              <w:rPr>
                <w:i/>
                <w:iCs/>
                <w:color w:val="000000" w:themeColor="text1"/>
                <w:lang w:eastAsia="en-GB"/>
              </w:rPr>
              <w:t>Journal of Nematology</w:t>
            </w:r>
            <w:r>
              <w:rPr>
                <w:color w:val="000000" w:themeColor="text1"/>
                <w:lang w:eastAsia="en-GB"/>
              </w:rPr>
              <w:t xml:space="preserve">, 11: 175–189. </w:t>
            </w:r>
            <w:hyperlink w:history="1" r:id="rId84">
              <w:r>
                <w:rPr>
                  <w:rStyle w:val="Hyperlink"/>
                  <w:color w:val="000000" w:themeColor="text1"/>
                  <w:lang w:val="fr-FR" w:eastAsia="en-GB"/>
                </w:rPr>
                <w:t>https://journals.flvc.org/jon/article/view/65150</w:t>
              </w:r>
            </w:hyperlink>
          </w:p>
          <w:p w14:paraId="63EA0F1F" w14:textId="5A803C82">
            <w:pPr>
              <w:pStyle w:val="IPPArialFootnote"/>
              <w:rPr>
                <w:color w:val="000000" w:themeColor="text1"/>
                <w:lang w:eastAsia="en-GB"/>
              </w:rPr>
            </w:pPr>
            <w:r>
              <w:rPr>
                <w:rStyle w:val="PleaseReviewParagraphId"/>
                <w:b w:val="off"/>
                <w:i w:val="off"/>
              </w:rPr>
              <w:t>[353]</w:t>
            </w:r>
            <w:r>
              <w:rPr>
                <w:bCs/>
                <w:color w:val="000000" w:themeColor="text1"/>
                <w:lang w:val="fr-FR" w:eastAsia="en-GB"/>
              </w:rPr>
              <w:t>(4) Toida, Y. &amp; Yaegashi, T. 1984.</w:t>
            </w:r>
            <w:r>
              <w:rPr>
                <w:color w:val="000000" w:themeColor="text1"/>
                <w:lang w:val="fr-FR" w:eastAsia="en-GB"/>
              </w:rPr>
              <w:t xml:space="preserve"> </w:t>
            </w:r>
            <w:r>
              <w:rPr>
                <w:color w:val="000000" w:themeColor="text1"/>
                <w:lang w:eastAsia="en-GB"/>
              </w:rPr>
              <w:t xml:space="preserve">Description of </w:t>
            </w:r>
            <w:r>
              <w:rPr>
                <w:i/>
                <w:iCs/>
                <w:color w:val="000000" w:themeColor="text1"/>
                <w:lang w:eastAsia="en-GB"/>
              </w:rPr>
              <w:t>Meloidogyne suginamiensis</w:t>
            </w:r>
            <w:r>
              <w:rPr>
                <w:color w:val="000000" w:themeColor="text1"/>
                <w:lang w:eastAsia="en-GB"/>
              </w:rPr>
              <w:t xml:space="preserve"> n. sp. (Nematoda: Meloidogynidae) from mulberry in Japan. </w:t>
            </w:r>
            <w:r>
              <w:rPr>
                <w:i/>
                <w:iCs/>
                <w:color w:val="000000" w:themeColor="text1"/>
                <w:lang w:eastAsia="en-GB"/>
              </w:rPr>
              <w:t>Japanese Journal of Nematology</w:t>
            </w:r>
            <w:r>
              <w:rPr>
                <w:color w:val="000000" w:themeColor="text1"/>
                <w:lang w:eastAsia="en-GB"/>
              </w:rPr>
              <w:t>, 12: 49–57.</w:t>
            </w:r>
          </w:p>
          <w:p w14:paraId="049E1D06" w14:textId="20C82CA7">
            <w:pPr>
              <w:pStyle w:val="IPPArialFootnote"/>
              <w:rPr>
                <w:bCs/>
                <w:color w:val="000000" w:themeColor="text1"/>
              </w:rPr>
            </w:pPr>
            <w:r>
              <w:rPr>
                <w:rStyle w:val="PleaseReviewParagraphId"/>
                <w:b w:val="off"/>
                <w:i w:val="off"/>
              </w:rPr>
              <w:t>[354]</w:t>
            </w:r>
            <w:r>
              <w:rPr>
                <w:bCs/>
                <w:color w:val="000000" w:themeColor="text1"/>
              </w:rPr>
              <w:t>(5)</w:t>
            </w:r>
            <w:r>
              <w:rPr>
                <w:bCs/>
                <w:i/>
                <w:iCs/>
                <w:color w:val="000000" w:themeColor="text1"/>
                <w:lang w:eastAsia="en-GB"/>
              </w:rPr>
              <w:t xml:space="preserve"> </w:t>
            </w:r>
            <w:r>
              <w:rPr>
                <w:color w:val="000000" w:themeColor="text1"/>
                <w:lang w:eastAsia="en-GB"/>
              </w:rPr>
              <w:t xml:space="preserve">Gu, J., Fang, Y., Ma, X., Shao, B. &amp; Zhuo, K. 2023. </w:t>
            </w:r>
            <w:r>
              <w:rPr>
                <w:i/>
                <w:iCs/>
                <w:color w:val="000000" w:themeColor="text1"/>
                <w:lang w:eastAsia="en-GB"/>
              </w:rPr>
              <w:t>Meloidogyne paramali</w:t>
            </w:r>
            <w:r>
              <w:rPr>
                <w:color w:val="000000" w:themeColor="text1"/>
                <w:lang w:eastAsia="en-GB"/>
              </w:rPr>
              <w:t xml:space="preserve"> n. sp.</w:t>
            </w:r>
            <w:r>
              <w:rPr>
                <w:rFonts w:eastAsiaTheme="minorEastAsia"/>
                <w:color w:val="000000" w:themeColor="text1"/>
                <w:lang w:eastAsia="zh-CN"/>
              </w:rPr>
              <w:t xml:space="preserve"> </w:t>
            </w:r>
            <w:r>
              <w:rPr>
                <w:color w:val="000000" w:themeColor="text1"/>
                <w:lang w:eastAsia="en-GB"/>
              </w:rPr>
              <w:t xml:space="preserve">(Nematoda: Meloidogyninae) and first report of </w:t>
            </w:r>
            <w:r>
              <w:rPr>
                <w:i/>
                <w:iCs/>
                <w:color w:val="000000" w:themeColor="text1"/>
                <w:lang w:eastAsia="en-GB"/>
              </w:rPr>
              <w:t>M. marylandi</w:t>
            </w:r>
            <w:r>
              <w:rPr>
                <w:color w:val="000000" w:themeColor="text1"/>
                <w:lang w:eastAsia="en-GB"/>
              </w:rPr>
              <w:t xml:space="preserve"> in maple and yacca tree from Japan. </w:t>
            </w:r>
            <w:r>
              <w:rPr>
                <w:i/>
                <w:iCs/>
                <w:color w:val="000000" w:themeColor="text1"/>
                <w:lang w:eastAsia="en-GB"/>
              </w:rPr>
              <w:t>Journal of Nematology</w:t>
            </w:r>
            <w:r>
              <w:rPr>
                <w:color w:val="000000" w:themeColor="text1"/>
                <w:lang w:eastAsia="en-GB"/>
              </w:rPr>
              <w:t xml:space="preserve">, 55(1). </w:t>
            </w:r>
            <w:hyperlink w:history="1" r:id="rId85">
              <w:r>
                <w:rPr>
                  <w:rStyle w:val="Hyperlink"/>
                  <w:rFonts w:eastAsia="Times New Roman" w:cs="Arial"/>
                  <w:color w:val="000000" w:themeColor="text1"/>
                  <w:szCs w:val="16"/>
                  <w:lang w:eastAsia="en-GB"/>
                </w:rPr>
                <w:t>https://doi.org/10.2478/jofnem-2022-0036</w:t>
              </w:r>
            </w:hyperlink>
          </w:p>
          <w:p w14:paraId="6D1BF637" w14:textId="7729516E">
            <w:pPr>
              <w:pStyle w:val="IPPArialFootnote"/>
              <w:rPr>
                <w:rStyle w:val="Strong"/>
                <w:b w:val="0"/>
                <w:bCs w:val="0"/>
                <w:color w:val="000000" w:themeColor="text1"/>
              </w:rPr>
            </w:pPr>
            <w:r>
              <w:rPr>
                <w:rStyle w:val="PleaseReviewParagraphId"/>
                <w:b w:val="off"/>
                <w:i w:val="off"/>
              </w:rPr>
              <w:t>[355]</w:t>
            </w:r>
            <w:r>
              <w:rPr>
                <w:bCs/>
                <w:color w:val="000000" w:themeColor="text1"/>
              </w:rPr>
              <w:t>(6) Yang, Y., Hu, X., Liu, P., Chen, L., Peng, H., Wang, Q. &amp; Zhang, Q. 2021</w:t>
            </w:r>
            <w:r>
              <w:rPr>
                <w:color w:val="000000" w:themeColor="text1"/>
              </w:rPr>
              <w:t xml:space="preserve">. A new root-knot nematode, </w:t>
            </w:r>
            <w:r>
              <w:rPr>
                <w:i/>
                <w:iCs/>
                <w:color w:val="000000" w:themeColor="text1"/>
              </w:rPr>
              <w:t>Meloidogyne vitis</w:t>
            </w:r>
            <w:r>
              <w:rPr>
                <w:color w:val="000000" w:themeColor="text1"/>
              </w:rPr>
              <w:t xml:space="preserve"> sp. nov. (Nematoda: Meloidogynidae), parasitizing grape in Yunnan. </w:t>
            </w:r>
            <w:r>
              <w:rPr>
                <w:i/>
                <w:iCs/>
                <w:color w:val="000000" w:themeColor="text1"/>
              </w:rPr>
              <w:t>PLoS ONE</w:t>
            </w:r>
            <w:r>
              <w:rPr>
                <w:color w:val="000000" w:themeColor="text1"/>
              </w:rPr>
              <w:t xml:space="preserve">, 16(2): e0245201. </w:t>
            </w:r>
            <w:hyperlink w:history="1" r:id="rId86">
              <w:r>
                <w:rPr>
                  <w:rStyle w:val="Hyperlink"/>
                  <w:color w:val="000000" w:themeColor="text1"/>
                </w:rPr>
                <w:t>https://doi.org/10.1371/journal.pone.0245201</w:t>
              </w:r>
            </w:hyperlink>
          </w:p>
        </w:tc>
      </w:tr>
      <w:tr w14:paraId="04AE28E3" w14:textId="77777777">
        <w:trPr>
          <w:trHeight w:val="1006"/>
        </w:trPr>
        <w:tc xmlns:tara="kcentrix:tara" tara:rowspan="1" tara:colspan="1">
          <w:tcPr>
            <w:tcW w:w="9622" w:type="dxa"/>
            <w:shd w:val="clear" w:color="auto" w:fill="auto"/>
          </w:tcPr>
          <w:p w14:paraId="230151DC" w14:textId="77777777">
            <w:pPr>
              <w:rPr>
                <w:color w:val="000000" w:themeColor="text1"/>
                <w:lang w:eastAsia="fr-FR"/>
              </w:rPr>
            </w:pPr>
            <w:r>
              <w:rPr>
                <w:rStyle w:val="PleaseReviewParagraphId"/>
                <w:b w:val="off"/>
                <w:i w:val="off"/>
              </w:rPr>
              <w:t>[356]</w:t>
            </w:r>
          </w:p>
        </w:tc>
      </w:tr>
      <w:tr w14:paraId="0027CD57" w14:textId="77777777">
        <w:trPr>
          <w:trHeight w:val="6670"/>
        </w:trPr>
        <w:tc xmlns:tara="kcentrix:tara" tara:rowspan="1" tara:colspan="1">
          <w:tcPr>
            <w:tcW w:w="9622" w:type="dxa"/>
            <w:shd w:val="clear" w:color="auto" w:fill="auto"/>
          </w:tcPr>
          <w:p w14:paraId="5DF0F65A" w14:textId="465EA606">
            <w:pPr>
              <w:rPr>
                <w:rStyle w:val="Strong"/>
                <w:b w:val="0"/>
                <w:bCs w:val="0"/>
                <w:color w:val="000000" w:themeColor="text1"/>
              </w:rPr>
            </w:pPr>
            <w:r>
              <w:rPr>
                <w:rStyle w:val="PleaseReviewParagraphId"/>
                <w:b w:val="off"/>
                <w:i w:val="off"/>
              </w:rPr>
              <w:t>[357]</w:t>
            </w:r>
            <w:r>
              <w:rPr>
                <w:color w:val="000000" w:themeColor="text1"/>
                <w:lang w:val="en-US"/>
              </w:rPr>
              <w:lastRenderedPageBreak/>
              <w:drawing>
                <wp:inline distT="0" distB="0" distL="0" distR="0" wp14:anchorId="5DE7BF50" wp14:editId="6F3A1D64">
                  <wp:extent cx="2920167" cy="2112645"/>
                  <wp:effectExtent l="0" t="0" r="0" b="1905"/>
                  <wp:docPr id="15" name="Picture 15" descr="Graphical user interface, application&#10;&#10;Description automatically generated"/>
                  <wp:cNvGraphicFramePr>
                    <a:graphicFrameLocks noChangeAspect="1"/>
                  </wp:cNvGraphicFramePr>
                  <a:graphic>
                    <a:graphicData uri="http://schemas.openxmlformats.org/drawingml/2006/picture">
                      <pic:pic>
                        <pic:nvPicPr>
                          <pic:cNvPr id="1" name=""/>
                          <pic:cNvPicPr/>
                        </pic:nvPicPr>
                        <pic:blipFill rotWithShape="1">
                          <a:blip r:embed="rId87" cstate="print">
                            <a:extLst>
                              <a:ext uri="{28A0092B-C50C-407E-A947-70E740481C1C}">
                                <a14:useLocalDpi val="0"/>
                              </a:ext>
                            </a:extLst>
                          </a:blip>
                          <a:srcRect/>
                          <a:stretch/>
                        </pic:blipFill>
                        <pic:spPr bwMode="auto">
                          <a:xfrm>
                            <a:off x="0" y="0"/>
                            <a:ext cx="2948970" cy="2133483"/>
                          </a:xfrm>
                          <a:prstGeom prst="rect">
                            <a:avLst/>
                          </a:prstGeom>
                          <a:ln>
                            <a:noFill/>
                          </a:ln>
                          <a:extLst>
                            <a:ext uri="{53640926-AAD7-44D8-BBD7-CCE9431645EC}">
                              <a14:shadowObscured/>
                            </a:ext>
                          </a:extLst>
                        </pic:spPr>
                      </pic:pic>
                    </a:graphicData>
                  </a:graphic>
                </wp:inline>
              </w:drawing>
            </w:r>
            <w:r>
              <w:rPr>
                <w:color w:val="000000" w:themeColor="text1"/>
              </w:rPr>
              <w:t xml:space="preserve"> </w:t>
            </w:r>
            <w:r>
              <w:rPr>
                <w:color w:val="000000" w:themeColor="text1"/>
                <w:lang w:val="en-US"/>
              </w:rPr>
              <w:drawing>
                <wp:inline distT="0" distB="0" distL="0" distR="0" wp14:anchorId="586B967A" wp14:editId="238681B6">
                  <wp:extent cx="2921000" cy="2172801"/>
                  <wp:effectExtent l="0" t="0" r="0" b="0"/>
                  <wp:docPr id="16" name="Picture 16" descr="Graphical user interface, application&#10;&#10;Description automatically generated"/>
                  <wp:cNvGraphicFramePr>
                    <a:graphicFrameLocks noChangeAspect="1"/>
                  </wp:cNvGraphicFramePr>
                  <a:graphic>
                    <a:graphicData uri="http://schemas.openxmlformats.org/drawingml/2006/picture">
                      <pic:pic>
                        <pic:nvPicPr>
                          <pic:cNvPr id="1" name=""/>
                          <pic:cNvPicPr/>
                        </pic:nvPicPr>
                        <pic:blipFill rotWithShape="1">
                          <a:blip r:embed="rId88" cstate="print">
                            <a:extLst>
                              <a:ext uri="{28A0092B-C50C-407E-A947-70E740481C1C}">
                                <a14:useLocalDpi val="0"/>
                              </a:ext>
                            </a:extLst>
                          </a:blip>
                          <a:srcRect/>
                          <a:stretch/>
                        </pic:blipFill>
                        <pic:spPr bwMode="auto">
                          <a:xfrm>
                            <a:off x="0" y="0"/>
                            <a:ext cx="2953583" cy="2197038"/>
                          </a:xfrm>
                          <a:prstGeom prst="rect">
                            <a:avLst/>
                          </a:prstGeom>
                          <a:ln>
                            <a:noFill/>
                          </a:ln>
                          <a:extLst>
                            <a:ext uri="{53640926-AAD7-44D8-BBD7-CCE9431645EC}">
                              <a14:shadowObscured/>
                            </a:ext>
                          </a:extLst>
                        </pic:spPr>
                      </pic:pic>
                    </a:graphicData>
                  </a:graphic>
                </wp:inline>
              </w:drawing>
            </w:r>
          </w:p>
        </w:tc>
      </w:tr>
      <w:tr w14:paraId="398C5B40" w14:textId="77777777">
        <w:tc xmlns:tara="kcentrix:tara" tara:rowspan="1" tara:colspan="1">
          <w:tcPr>
            <w:tcW w:w="9622" w:type="dxa"/>
            <w:shd w:val="clear" w:color="auto" w:fill="auto"/>
          </w:tcPr>
          <w:p w14:paraId="52F1B79A" w14:textId="059AA26A">
            <w:pPr>
              <w:pStyle w:val="IPPArial"/>
              <w:rPr>
                <w:color w:val="000000" w:themeColor="text1"/>
              </w:rPr>
            </w:pPr>
            <w:r>
              <w:rPr>
                <w:rStyle w:val="PleaseReviewParagraphId"/>
                <w:b w:val="off"/>
                <w:i w:val="off"/>
              </w:rPr>
              <w:t>[358]</w:t>
            </w:r>
            <w:r>
              <w:rPr>
                <w:b/>
                <w:bCs/>
                <w:color w:val="000000" w:themeColor="text1"/>
              </w:rPr>
              <w:t>Figure 11.</w:t>
            </w:r>
            <w:r>
              <w:rPr>
                <w:color w:val="000000" w:themeColor="text1"/>
              </w:rPr>
              <w:t xml:space="preserve"> Esterase (A) and malate dehydrogenase (B) isozyme profiles of </w:t>
            </w:r>
            <w:r>
              <w:rPr>
                <w:i/>
                <w:iCs/>
                <w:color w:val="000000" w:themeColor="text1"/>
              </w:rPr>
              <w:t>Meloidogyne mali</w:t>
            </w:r>
            <w:r>
              <w:rPr>
                <w:color w:val="000000" w:themeColor="text1"/>
              </w:rPr>
              <w:t xml:space="preserve"> (1–5 and 8–12) and the reference </w:t>
            </w:r>
            <w:r>
              <w:rPr>
                <w:i/>
                <w:iCs/>
                <w:color w:val="000000" w:themeColor="text1"/>
              </w:rPr>
              <w:t>Meloidogyne javanica</w:t>
            </w:r>
            <w:r>
              <w:rPr>
                <w:color w:val="000000" w:themeColor="text1"/>
              </w:rPr>
              <w:t xml:space="preserve"> (6 and 7).</w:t>
            </w:r>
          </w:p>
          <w:p w14:paraId="11FD32A3" w14:textId="3A65B625">
            <w:pPr>
              <w:pStyle w:val="IPPArialFootnote"/>
              <w:rPr>
                <w:rStyle w:val="Strong"/>
                <w:color w:val="000000" w:themeColor="text1"/>
              </w:rPr>
            </w:pPr>
            <w:r>
              <w:rPr>
                <w:rStyle w:val="PleaseReviewParagraphId"/>
                <w:b w:val="off"/>
                <w:i w:val="off"/>
              </w:rPr>
              <w:t>[359]</w:t>
            </w:r>
            <w:r>
              <w:rPr>
                <w:i/>
                <w:iCs/>
                <w:color w:val="000000" w:themeColor="text1"/>
              </w:rPr>
              <w:t>Source:</w:t>
            </w:r>
            <w:r>
              <w:rPr>
                <w:color w:val="000000" w:themeColor="text1"/>
              </w:rPr>
              <w:t xml:space="preserve"> </w:t>
            </w:r>
            <w:r>
              <w:rPr>
                <w:bCs/>
                <w:color w:val="000000" w:themeColor="text1"/>
                <w:lang w:eastAsia="en-GB"/>
              </w:rPr>
              <w:t>Ahmed, M., van de Vossenberg, B.T.L.H., Cornelisse, C. &amp; Karssen, G.</w:t>
            </w:r>
            <w:r>
              <w:rPr>
                <w:color w:val="000000" w:themeColor="text1"/>
                <w:lang w:eastAsia="en-GB"/>
              </w:rPr>
              <w:t xml:space="preserve"> 2013. On the species status of the root-knot nematode </w:t>
            </w:r>
            <w:r>
              <w:rPr>
                <w:i/>
                <w:iCs/>
                <w:color w:val="000000" w:themeColor="text1"/>
                <w:lang w:eastAsia="en-GB"/>
              </w:rPr>
              <w:t>Meloidogyne ulmi</w:t>
            </w:r>
            <w:r>
              <w:rPr>
                <w:color w:val="000000" w:themeColor="text1"/>
                <w:lang w:eastAsia="en-GB"/>
              </w:rPr>
              <w:t xml:space="preserve"> Palmisano &amp; Ambrogioni, 2000 (Nematoda, Meloidogynidae). </w:t>
            </w:r>
            <w:r>
              <w:rPr>
                <w:i/>
                <w:iCs/>
                <w:color w:val="000000" w:themeColor="text1"/>
                <w:lang w:eastAsia="en-GB"/>
              </w:rPr>
              <w:t>ZooKeys</w:t>
            </w:r>
            <w:r>
              <w:rPr>
                <w:color w:val="000000" w:themeColor="text1"/>
                <w:lang w:eastAsia="en-GB"/>
              </w:rPr>
              <w:t xml:space="preserve">, 362: 1–27. </w:t>
            </w:r>
            <w:hyperlink w:tgtFrame="_blank" w:history="1" r:id="rId89">
              <w:r>
                <w:rPr>
                  <w:rStyle w:val="Hyperlink"/>
                  <w:color w:val="000000" w:themeColor="text1"/>
                </w:rPr>
                <w:t>https://doi.org/10.3897/zookeys.362.6352</w:t>
              </w:r>
            </w:hyperlink>
          </w:p>
        </w:tc>
      </w:tr>
    </w:tbl>
    <w:p w14:paraId="0D087429" w14:textId="36C34AF3">
      <w:pPr>
        <w:pStyle w:val="Body"/>
        <w:rPr>
          <w:color w:val="000000" w:themeColor="text1"/>
          <w:lang w:val="en-GB"/>
        </w:rPr>
      </w:pPr>
      <w:r>
        <w:rPr>
          <w:rStyle w:val="PleaseReviewParagraphId"/>
          <w:b w:val="off"/>
          <w:i w:val="off"/>
        </w:rPr>
        <w:t>[360]</w:t>
      </w:r>
    </w:p>
    <w:sectPr>
      <w:pgSz w:w="11900" w:h="16840" w:code="9"/>
      <w:pgMar w:top="1559" w:right="1418" w:bottom="1418" w:left="1418" w:header="851" w:footer="851" w:gutter="0"/>
      <w:cols w:space="720"/>
      <w:titlePg/>
      <w:docGrid w:linePitch="326"/>
    </w:sectPr>
  </w:body>
</w:document>
</file>

<file path=word/endnotes.xml><?xml version="1.0" encoding="utf-8"?>
<w:endnotes xmlns:w="http://schemas.openxmlformats.org/wordprocessingml/2006/main"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24D6962" w14:textId="77777777">
      <w:r>
        <w:rPr>
          <w:rStyle w:val="PleaseReviewParagraphId"/>
          <w:b w:val="off"/>
          <w:i w:val="off"/>
        </w:rPr>
        <w:t>[]</w:t>
      </w:r>
      <w:r>
        <w:separator/>
      </w:r>
    </w:p>
  </w:endnote>
  <w:endnote w:type="continuationSeparator" w:id="0">
    <w:p w14:paraId="2881628D" w14:textId="77777777">
      <w:r>
        <w:rPr>
          <w:rStyle w:val="PleaseReviewParagraphId"/>
          <w:b w:val="off"/>
          <w:i w:val="off"/>
        </w:rPr>
        <w:t>[]</w:t>
      </w:r>
      <w:r>
        <w:continuationSeparator/>
      </w:r>
    </w:p>
  </w:endnote>
  <w:endnote w:type="continuationNotice" w:id="1">
    <w:p w14:paraId="6E328B2D" w14:textId="77777777">
      <w:r>
        <w:rPr>
          <w:rStyle w:val="PleaseReviewParagraphId"/>
          <w:b w:val="off"/>
          <w:i w:val="off"/>
        </w:rPr>
        <w:t>[]</w:t>
      </w:r>
    </w:p>
  </w:endnote>
</w:endnotes>
</file>

<file path=word/fontTable.xml><?xml version="1.0" encoding="utf-8"?>
<w:fonts xmlns:w="http://schemas.openxmlformats.org/wordprocessingml/2006/main" xmlns:mc="http://schemas.openxmlformats.org/markup-compatibility/2006" xmlns:r="http://schemas.openxmlformats.org/officeDocument/2006/relationships"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ヒラギノ角ゴ Pro W3">
    <w:altName w:val="Yu Gothic"/>
    <w:charset w:val="80"/>
    <w:family w:val="swiss"/>
    <w:pitch w:val="variable"/>
    <w:sig w:usb0="E00002FF" w:usb1="7AC7FFFF" w:usb2="00000012" w:usb3="00000000" w:csb0="0002000D" w:csb1="00000000"/>
  </w:font>
  <w:font w:name="Wingdings">
    <w:panose1 w:val="05000000000000000000"/>
    <w:charset w:val="02"/>
    <w:family w:val="auto"/>
    <w:pitch w:val="variable"/>
    <w:sig w:usb0="00000000" w:usb1="10000000" w:usb2="00000000" w:usb3="00000000" w:csb0="80000000" w:csb1="00000000"/>
  </w:font>
  <w:font w:name="Lucida Grande">
    <w:altName w:val="Times New Roman"/>
    <w:charset w:val="00"/>
    <w:family w:val="roman"/>
    <w:pitch w:val="default"/>
  </w:font>
  <w:font w:name="Arial Italic">
    <w:panose1 w:val="020B0604020202090204"/>
    <w:charset w:val="00"/>
    <w:family w:val="auto"/>
    <w:pitch w:val="variable"/>
    <w:sig w:usb0="E0000AFF" w:usb1="00007843" w:usb2="00000001" w:usb3="00000000" w:csb0="000001B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altName w:val="Cambria"/>
    <w:charset w:val="00"/>
    <w:family w:val="roman"/>
    <w:pitch w:val="variable"/>
    <w:sig w:usb0="60000287" w:usb1="00000001" w:usb2="00000000" w:usb3="00000000" w:csb0="0000019F" w:csb1="00000000"/>
  </w:font>
  <w:font w:name="AdvPSHEL-B">
    <w:altName w:val="Cambria"/>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AFF" w:usb1="C0007841" w:usb2="00000009" w:usb3="00000000" w:csb0="000001FF" w:csb1="00000000"/>
  </w:font>
  <w:font w:name="Courier">
    <w:panose1 w:val="02070409020205020404"/>
    <w:charset w:val="00"/>
    <w:family w:val="modern"/>
    <w:pitch w:val="fixed"/>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s>
</file>

<file path=word/footnotes.xml><?xml version="1.0" encoding="utf-8"?>
<w:footnotes xmlns:w="http://schemas.openxmlformats.org/wordprocessingml/2006/main"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C28ABD3" w14:textId="77777777">
      <w:r>
        <w:rPr>
          <w:rStyle w:val="PleaseReviewParagraphId"/>
          <w:b w:val="off"/>
          <w:i w:val="off"/>
        </w:rPr>
        <w:t>[]</w:t>
      </w:r>
      <w:r>
        <w:separator/>
      </w:r>
    </w:p>
  </w:footnote>
  <w:footnote w:type="continuationSeparator" w:id="0">
    <w:p w14:paraId="68593011" w14:textId="77777777">
      <w:r>
        <w:rPr>
          <w:rStyle w:val="PleaseReviewParagraphId"/>
          <w:b w:val="off"/>
          <w:i w:val="off"/>
        </w:rPr>
        <w:t>[]</w:t>
      </w:r>
      <w:r>
        <w:continuationSeparator/>
      </w:r>
    </w:p>
  </w:footnote>
  <w:footnote w:type="continuationNotice" w:id="1">
    <w:p w14:paraId="548CEC15" w14:textId="77777777">
      <w:r>
        <w:rPr>
          <w:rStyle w:val="FootnoteReference"/>
        </w:rPr>
        <w:footnoteRef/>
      </w:r>
      <w:r>
        <w:rPr>
          <w:rStyle w:val="PleaseReviewParagraphId"/>
          <w:b w:val="off"/>
          <w:i w:val="off"/>
        </w:rPr>
        <w:t>[]</w:t>
      </w:r>
    </w:p>
  </w:footnote>
  <w:footnote w:id="2">
    <w:p w14:paraId="094CCEF6" w14:textId="77777777">
      <w:pPr>
        <w:pStyle w:val="IPPFootnote"/>
      </w:pPr>
      <w:r>
        <w:rPr>
          <w:rStyle w:val="PleaseReviewParagraphId"/>
          <w:b w:val="off"/>
          <w:i w:val="off"/>
        </w:rPr>
        <w:t>[194]</w:t>
      </w:r>
      <w:r>
        <w:rPr>
          <w:rStyle w:val="FootnoteReference"/>
        </w:rPr>
        <w:footnoteRef/>
      </w:r>
      <w:r>
        <w:t xml:space="preserve"> </w:t>
      </w:r>
      <w:r>
        <w:rPr>
          <w:rFonts w:eastAsia="Times"/>
        </w:rPr>
        <w:t>The use of names of reagents, chemicals or equipment in these diagnostic protocols implies no approval of them to the exclusion of others that may also be suitable.</w:t>
      </w:r>
    </w:p>
  </w:footnote>
</w:footnotes>
</file>

<file path=word/numbering.xml><?xml version="1.0" encoding="utf-8"?>
<w:numbering xmlns:w="http://schemas.openxmlformats.org/wordprocessingml/2006/main"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09E055D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5BA039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AFCE76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40D8047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926004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EF0A17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13CC30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3BE47A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9A641E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A10C02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001"/>
    <w:multiLevelType w:val="multilevel"/>
    <w:tmpl w:val="894EE873"/>
    <w:lvl w:ilvl="0">
      <w:start w:val="1"/>
      <w:numFmt w:val="decimal"/>
      <w:isLgl/>
      <w:lvlText w:val="%1."/>
      <w:lvlJc w:val="left"/>
      <w:pPr>
        <w:tabs>
          <w:tab w:val="num" w:pos="260"/>
        </w:tabs>
        <w:ind w:left="260" w:firstLine="0"/>
      </w:pPr>
      <w:rPr>
        <w:rFonts w:hint="default"/>
        <w:position w:val="0"/>
      </w:rPr>
    </w:lvl>
    <w:lvl w:ilvl="1">
      <w:start w:val="1"/>
      <w:numFmt w:val="lowerLetter"/>
      <w:lvlText w:val="%2."/>
      <w:lvlJc w:val="left"/>
      <w:pPr>
        <w:tabs>
          <w:tab w:val="num" w:pos="260"/>
        </w:tabs>
        <w:ind w:left="260" w:firstLine="360"/>
      </w:pPr>
      <w:rPr>
        <w:rFonts w:hint="default"/>
        <w:position w:val="0"/>
      </w:rPr>
    </w:lvl>
    <w:lvl w:ilvl="2">
      <w:start w:val="1"/>
      <w:numFmt w:val="lowerRoman"/>
      <w:lvlText w:val="%3."/>
      <w:lvlJc w:val="left"/>
      <w:pPr>
        <w:tabs>
          <w:tab w:val="num" w:pos="260"/>
        </w:tabs>
        <w:ind w:left="260" w:firstLine="720"/>
      </w:pPr>
      <w:rPr>
        <w:rFonts w:hint="default"/>
        <w:position w:val="0"/>
      </w:rPr>
    </w:lvl>
    <w:lvl w:ilvl="3">
      <w:start w:val="1"/>
      <w:numFmt w:val="decimal"/>
      <w:isLgl/>
      <w:lvlText w:val="%4."/>
      <w:lvlJc w:val="left"/>
      <w:pPr>
        <w:tabs>
          <w:tab w:val="num" w:pos="260"/>
        </w:tabs>
        <w:ind w:left="260" w:firstLine="1080"/>
      </w:pPr>
      <w:rPr>
        <w:rFonts w:hint="default"/>
        <w:position w:val="0"/>
      </w:rPr>
    </w:lvl>
    <w:lvl w:ilvl="4">
      <w:start w:val="1"/>
      <w:numFmt w:val="lowerLetter"/>
      <w:lvlText w:val="%5."/>
      <w:lvlJc w:val="left"/>
      <w:pPr>
        <w:tabs>
          <w:tab w:val="num" w:pos="260"/>
        </w:tabs>
        <w:ind w:left="260" w:firstLine="1440"/>
      </w:pPr>
      <w:rPr>
        <w:rFonts w:hint="default"/>
        <w:position w:val="0"/>
      </w:rPr>
    </w:lvl>
    <w:lvl w:ilvl="5">
      <w:start w:val="1"/>
      <w:numFmt w:val="lowerRoman"/>
      <w:lvlText w:val="%6."/>
      <w:lvlJc w:val="left"/>
      <w:pPr>
        <w:tabs>
          <w:tab w:val="num" w:pos="260"/>
        </w:tabs>
        <w:ind w:left="260" w:firstLine="1800"/>
      </w:pPr>
      <w:rPr>
        <w:rFonts w:hint="default"/>
        <w:position w:val="0"/>
      </w:rPr>
    </w:lvl>
    <w:lvl w:ilvl="6">
      <w:start w:val="1"/>
      <w:numFmt w:val="decimal"/>
      <w:isLgl/>
      <w:lvlText w:val="%7."/>
      <w:lvlJc w:val="left"/>
      <w:pPr>
        <w:tabs>
          <w:tab w:val="num" w:pos="260"/>
        </w:tabs>
        <w:ind w:left="260" w:firstLine="2160"/>
      </w:pPr>
      <w:rPr>
        <w:rFonts w:hint="default"/>
        <w:position w:val="0"/>
      </w:rPr>
    </w:lvl>
    <w:lvl w:ilvl="7">
      <w:start w:val="1"/>
      <w:numFmt w:val="lowerLetter"/>
      <w:lvlText w:val="%8."/>
      <w:lvlJc w:val="left"/>
      <w:pPr>
        <w:tabs>
          <w:tab w:val="num" w:pos="260"/>
        </w:tabs>
        <w:ind w:left="260" w:firstLine="2520"/>
      </w:pPr>
      <w:rPr>
        <w:rFonts w:hint="default"/>
        <w:position w:val="0"/>
      </w:rPr>
    </w:lvl>
    <w:lvl w:ilvl="8">
      <w:start w:val="1"/>
      <w:numFmt w:val="lowerRoman"/>
      <w:lvlText w:val="%9."/>
      <w:lvlJc w:val="left"/>
      <w:pPr>
        <w:tabs>
          <w:tab w:val="num" w:pos="260"/>
        </w:tabs>
        <w:ind w:left="260" w:firstLine="2880"/>
      </w:pPr>
      <w:rPr>
        <w:rFonts w:hint="default"/>
        <w:position w:val="0"/>
      </w:rPr>
    </w:lvl>
  </w:abstractNum>
  <w:abstractNum w:abstractNumId="11" w15:restartNumberingAfterBreak="0">
    <w:nsid w:val="00000002"/>
    <w:multiLevelType w:val="multilevel"/>
    <w:tmpl w:val="894EE874"/>
    <w:lvl w:ilvl="0">
      <w:start w:val="1"/>
      <w:numFmt w:val="lowerLetter"/>
      <w:lvlText w:val="%1)"/>
      <w:lvlJc w:val="left"/>
      <w:pPr>
        <w:tabs>
          <w:tab w:val="num" w:pos="360"/>
        </w:tabs>
        <w:ind w:left="360" w:firstLine="360"/>
      </w:pPr>
      <w:rPr>
        <w:rFonts w:hint="default"/>
        <w:color w:val="000000"/>
        <w:position w:val="0"/>
        <w:sz w:val="22"/>
      </w:rPr>
    </w:lvl>
    <w:lvl w:ilvl="1">
      <w:start w:val="1"/>
      <w:numFmt w:val="bullet"/>
      <w:lvlText w:val="o"/>
      <w:lvlJc w:val="left"/>
      <w:pPr>
        <w:tabs>
          <w:tab w:val="num" w:pos="360"/>
        </w:tabs>
        <w:ind w:left="360" w:firstLine="1080"/>
      </w:pPr>
      <w:rPr>
        <w:rFonts w:ascii="Courier New" w:eastAsia="ヒラギノ角ゴ Pro W3" w:hAnsi="Courier New" w:hint="default"/>
        <w:color w:val="000000"/>
        <w:position w:val="0"/>
        <w:sz w:val="22"/>
      </w:rPr>
    </w:lvl>
    <w:lvl w:ilvl="2">
      <w:start w:val="1"/>
      <w:numFmt w:val="bullet"/>
      <w:lvlText w:val=""/>
      <w:lvlJc w:val="left"/>
      <w:pPr>
        <w:tabs>
          <w:tab w:val="num" w:pos="360"/>
        </w:tabs>
        <w:ind w:left="360" w:firstLine="1800"/>
      </w:pPr>
      <w:rPr>
        <w:rFonts w:ascii="Wingdings" w:eastAsia="ヒラギノ角ゴ Pro W3" w:hAnsi="Wingdings" w:hint="default"/>
        <w:color w:val="000000"/>
        <w:position w:val="0"/>
        <w:sz w:val="22"/>
      </w:rPr>
    </w:lvl>
    <w:lvl w:ilvl="3">
      <w:start w:val="1"/>
      <w:numFmt w:val="bullet"/>
      <w:lvlText w:val="•"/>
      <w:lvlJc w:val="left"/>
      <w:pPr>
        <w:tabs>
          <w:tab w:val="num" w:pos="360"/>
        </w:tabs>
        <w:ind w:left="360" w:firstLine="2520"/>
      </w:pPr>
      <w:rPr>
        <w:rFonts w:ascii="Lucida Grande" w:eastAsia="ヒラギノ角ゴ Pro W3" w:hAnsi="Symbol" w:hint="default"/>
        <w:color w:val="000000"/>
        <w:position w:val="0"/>
        <w:sz w:val="22"/>
      </w:rPr>
    </w:lvl>
    <w:lvl w:ilvl="4">
      <w:start w:val="1"/>
      <w:numFmt w:val="bullet"/>
      <w:lvlText w:val="o"/>
      <w:lvlJc w:val="left"/>
      <w:pPr>
        <w:tabs>
          <w:tab w:val="num" w:pos="360"/>
        </w:tabs>
        <w:ind w:left="360" w:firstLine="3240"/>
      </w:pPr>
      <w:rPr>
        <w:rFonts w:ascii="Courier New" w:eastAsia="ヒラギノ角ゴ Pro W3" w:hAnsi="Courier New" w:hint="default"/>
        <w:color w:val="000000"/>
        <w:position w:val="0"/>
        <w:sz w:val="22"/>
      </w:rPr>
    </w:lvl>
    <w:lvl w:ilvl="5">
      <w:start w:val="1"/>
      <w:numFmt w:val="bullet"/>
      <w:lvlText w:val=""/>
      <w:lvlJc w:val="left"/>
      <w:pPr>
        <w:tabs>
          <w:tab w:val="num" w:pos="360"/>
        </w:tabs>
        <w:ind w:left="360" w:firstLine="3960"/>
      </w:pPr>
      <w:rPr>
        <w:rFonts w:ascii="Wingdings" w:eastAsia="ヒラギノ角ゴ Pro W3" w:hAnsi="Wingdings" w:hint="default"/>
        <w:color w:val="000000"/>
        <w:position w:val="0"/>
        <w:sz w:val="22"/>
      </w:rPr>
    </w:lvl>
    <w:lvl w:ilvl="6">
      <w:start w:val="1"/>
      <w:numFmt w:val="bullet"/>
      <w:lvlText w:val="•"/>
      <w:lvlJc w:val="left"/>
      <w:pPr>
        <w:tabs>
          <w:tab w:val="num" w:pos="360"/>
        </w:tabs>
        <w:ind w:left="360" w:firstLine="4680"/>
      </w:pPr>
      <w:rPr>
        <w:rFonts w:ascii="Lucida Grande" w:eastAsia="ヒラギノ角ゴ Pro W3" w:hAnsi="Symbol" w:hint="default"/>
        <w:color w:val="000000"/>
        <w:position w:val="0"/>
        <w:sz w:val="22"/>
      </w:rPr>
    </w:lvl>
    <w:lvl w:ilvl="7">
      <w:start w:val="1"/>
      <w:numFmt w:val="bullet"/>
      <w:lvlText w:val="o"/>
      <w:lvlJc w:val="left"/>
      <w:pPr>
        <w:tabs>
          <w:tab w:val="num" w:pos="360"/>
        </w:tabs>
        <w:ind w:left="360" w:firstLine="5400"/>
      </w:pPr>
      <w:rPr>
        <w:rFonts w:ascii="Courier New" w:eastAsia="ヒラギノ角ゴ Pro W3" w:hAnsi="Courier New" w:hint="default"/>
        <w:color w:val="000000"/>
        <w:position w:val="0"/>
        <w:sz w:val="22"/>
      </w:rPr>
    </w:lvl>
    <w:lvl w:ilvl="8">
      <w:start w:val="1"/>
      <w:numFmt w:val="bullet"/>
      <w:lvlText w:val=""/>
      <w:lvlJc w:val="left"/>
      <w:pPr>
        <w:tabs>
          <w:tab w:val="num" w:pos="360"/>
        </w:tabs>
        <w:ind w:left="360" w:firstLine="6120"/>
      </w:pPr>
      <w:rPr>
        <w:rFonts w:ascii="Wingdings" w:eastAsia="ヒラギノ角ゴ Pro W3" w:hAnsi="Wingdings" w:hint="default"/>
        <w:color w:val="000000"/>
        <w:position w:val="0"/>
        <w:sz w:val="22"/>
      </w:rPr>
    </w:lvl>
  </w:abstractNum>
  <w:abstractNum w:abstractNumId="12" w15:restartNumberingAfterBreak="0">
    <w:nsid w:val="00000003"/>
    <w:multiLevelType w:val="multilevel"/>
    <w:tmpl w:val="894EE875"/>
    <w:lvl w:ilvl="0">
      <w:start w:val="2"/>
      <w:numFmt w:val="decimal"/>
      <w:isLgl/>
      <w:lvlText w:val="%1."/>
      <w:lvlJc w:val="left"/>
      <w:pPr>
        <w:tabs>
          <w:tab w:val="num" w:pos="260"/>
        </w:tabs>
        <w:ind w:left="260" w:firstLine="0"/>
      </w:pPr>
      <w:rPr>
        <w:rFonts w:hint="default"/>
        <w:position w:val="0"/>
      </w:rPr>
    </w:lvl>
    <w:lvl w:ilvl="1">
      <w:start w:val="1"/>
      <w:numFmt w:val="lowerLetter"/>
      <w:lvlText w:val="%2."/>
      <w:lvlJc w:val="left"/>
      <w:pPr>
        <w:tabs>
          <w:tab w:val="num" w:pos="260"/>
        </w:tabs>
        <w:ind w:left="260" w:firstLine="360"/>
      </w:pPr>
      <w:rPr>
        <w:rFonts w:hint="default"/>
        <w:position w:val="0"/>
      </w:rPr>
    </w:lvl>
    <w:lvl w:ilvl="2">
      <w:start w:val="1"/>
      <w:numFmt w:val="lowerRoman"/>
      <w:lvlText w:val="%3."/>
      <w:lvlJc w:val="left"/>
      <w:pPr>
        <w:tabs>
          <w:tab w:val="num" w:pos="260"/>
        </w:tabs>
        <w:ind w:left="260" w:firstLine="720"/>
      </w:pPr>
      <w:rPr>
        <w:rFonts w:hint="default"/>
        <w:position w:val="0"/>
      </w:rPr>
    </w:lvl>
    <w:lvl w:ilvl="3">
      <w:start w:val="1"/>
      <w:numFmt w:val="decimal"/>
      <w:isLgl/>
      <w:lvlText w:val="%4."/>
      <w:lvlJc w:val="left"/>
      <w:pPr>
        <w:tabs>
          <w:tab w:val="num" w:pos="260"/>
        </w:tabs>
        <w:ind w:left="260" w:firstLine="1080"/>
      </w:pPr>
      <w:rPr>
        <w:rFonts w:hint="default"/>
        <w:position w:val="0"/>
      </w:rPr>
    </w:lvl>
    <w:lvl w:ilvl="4">
      <w:start w:val="1"/>
      <w:numFmt w:val="lowerLetter"/>
      <w:lvlText w:val="%5."/>
      <w:lvlJc w:val="left"/>
      <w:pPr>
        <w:tabs>
          <w:tab w:val="num" w:pos="260"/>
        </w:tabs>
        <w:ind w:left="260" w:firstLine="1440"/>
      </w:pPr>
      <w:rPr>
        <w:rFonts w:hint="default"/>
        <w:position w:val="0"/>
      </w:rPr>
    </w:lvl>
    <w:lvl w:ilvl="5">
      <w:start w:val="1"/>
      <w:numFmt w:val="lowerRoman"/>
      <w:lvlText w:val="%6."/>
      <w:lvlJc w:val="left"/>
      <w:pPr>
        <w:tabs>
          <w:tab w:val="num" w:pos="260"/>
        </w:tabs>
        <w:ind w:left="260" w:firstLine="1800"/>
      </w:pPr>
      <w:rPr>
        <w:rFonts w:hint="default"/>
        <w:position w:val="0"/>
      </w:rPr>
    </w:lvl>
    <w:lvl w:ilvl="6">
      <w:start w:val="1"/>
      <w:numFmt w:val="decimal"/>
      <w:isLgl/>
      <w:lvlText w:val="%7."/>
      <w:lvlJc w:val="left"/>
      <w:pPr>
        <w:tabs>
          <w:tab w:val="num" w:pos="260"/>
        </w:tabs>
        <w:ind w:left="260" w:firstLine="2160"/>
      </w:pPr>
      <w:rPr>
        <w:rFonts w:hint="default"/>
        <w:position w:val="0"/>
      </w:rPr>
    </w:lvl>
    <w:lvl w:ilvl="7">
      <w:start w:val="1"/>
      <w:numFmt w:val="lowerLetter"/>
      <w:lvlText w:val="%8."/>
      <w:lvlJc w:val="left"/>
      <w:pPr>
        <w:tabs>
          <w:tab w:val="num" w:pos="260"/>
        </w:tabs>
        <w:ind w:left="260" w:firstLine="2520"/>
      </w:pPr>
      <w:rPr>
        <w:rFonts w:hint="default"/>
        <w:position w:val="0"/>
      </w:rPr>
    </w:lvl>
    <w:lvl w:ilvl="8">
      <w:start w:val="1"/>
      <w:numFmt w:val="lowerRoman"/>
      <w:lvlText w:val="%9."/>
      <w:lvlJc w:val="left"/>
      <w:pPr>
        <w:tabs>
          <w:tab w:val="num" w:pos="260"/>
        </w:tabs>
        <w:ind w:left="260" w:firstLine="2880"/>
      </w:pPr>
      <w:rPr>
        <w:rFonts w:hint="default"/>
        <w:position w:val="0"/>
      </w:rPr>
    </w:lvl>
  </w:abstractNum>
  <w:abstractNum w:abstractNumId="13" w15:restartNumberingAfterBreak="0">
    <w:nsid w:val="00000004"/>
    <w:multiLevelType w:val="multilevel"/>
    <w:tmpl w:val="894EE876"/>
    <w:lvl w:ilvl="0">
      <w:start w:val="4"/>
      <w:numFmt w:val="decimal"/>
      <w:isLgl/>
      <w:lvlText w:val="%1."/>
      <w:lvlJc w:val="left"/>
      <w:pPr>
        <w:tabs>
          <w:tab w:val="num" w:pos="260"/>
        </w:tabs>
        <w:ind w:left="260" w:firstLine="0"/>
      </w:pPr>
      <w:rPr>
        <w:rFonts w:hint="default"/>
        <w:position w:val="0"/>
      </w:rPr>
    </w:lvl>
    <w:lvl w:ilvl="1">
      <w:start w:val="1"/>
      <w:numFmt w:val="lowerLetter"/>
      <w:lvlText w:val="%2."/>
      <w:lvlJc w:val="left"/>
      <w:pPr>
        <w:tabs>
          <w:tab w:val="num" w:pos="260"/>
        </w:tabs>
        <w:ind w:left="260" w:firstLine="360"/>
      </w:pPr>
      <w:rPr>
        <w:rFonts w:hint="default"/>
        <w:position w:val="0"/>
      </w:rPr>
    </w:lvl>
    <w:lvl w:ilvl="2">
      <w:start w:val="1"/>
      <w:numFmt w:val="lowerRoman"/>
      <w:lvlText w:val="%3."/>
      <w:lvlJc w:val="left"/>
      <w:pPr>
        <w:tabs>
          <w:tab w:val="num" w:pos="260"/>
        </w:tabs>
        <w:ind w:left="260" w:firstLine="720"/>
      </w:pPr>
      <w:rPr>
        <w:rFonts w:hint="default"/>
        <w:position w:val="0"/>
      </w:rPr>
    </w:lvl>
    <w:lvl w:ilvl="3">
      <w:start w:val="1"/>
      <w:numFmt w:val="decimal"/>
      <w:isLgl/>
      <w:lvlText w:val="%4."/>
      <w:lvlJc w:val="left"/>
      <w:pPr>
        <w:tabs>
          <w:tab w:val="num" w:pos="260"/>
        </w:tabs>
        <w:ind w:left="260" w:firstLine="1080"/>
      </w:pPr>
      <w:rPr>
        <w:rFonts w:hint="default"/>
        <w:position w:val="0"/>
      </w:rPr>
    </w:lvl>
    <w:lvl w:ilvl="4">
      <w:start w:val="1"/>
      <w:numFmt w:val="lowerLetter"/>
      <w:lvlText w:val="%5."/>
      <w:lvlJc w:val="left"/>
      <w:pPr>
        <w:tabs>
          <w:tab w:val="num" w:pos="260"/>
        </w:tabs>
        <w:ind w:left="260" w:firstLine="1440"/>
      </w:pPr>
      <w:rPr>
        <w:rFonts w:hint="default"/>
        <w:position w:val="0"/>
      </w:rPr>
    </w:lvl>
    <w:lvl w:ilvl="5">
      <w:start w:val="1"/>
      <w:numFmt w:val="lowerRoman"/>
      <w:lvlText w:val="%6."/>
      <w:lvlJc w:val="left"/>
      <w:pPr>
        <w:tabs>
          <w:tab w:val="num" w:pos="260"/>
        </w:tabs>
        <w:ind w:left="260" w:firstLine="1800"/>
      </w:pPr>
      <w:rPr>
        <w:rFonts w:hint="default"/>
        <w:position w:val="0"/>
      </w:rPr>
    </w:lvl>
    <w:lvl w:ilvl="6">
      <w:start w:val="1"/>
      <w:numFmt w:val="decimal"/>
      <w:isLgl/>
      <w:lvlText w:val="%7."/>
      <w:lvlJc w:val="left"/>
      <w:pPr>
        <w:tabs>
          <w:tab w:val="num" w:pos="260"/>
        </w:tabs>
        <w:ind w:left="260" w:firstLine="2160"/>
      </w:pPr>
      <w:rPr>
        <w:rFonts w:hint="default"/>
        <w:position w:val="0"/>
      </w:rPr>
    </w:lvl>
    <w:lvl w:ilvl="7">
      <w:start w:val="1"/>
      <w:numFmt w:val="lowerLetter"/>
      <w:lvlText w:val="%8."/>
      <w:lvlJc w:val="left"/>
      <w:pPr>
        <w:tabs>
          <w:tab w:val="num" w:pos="260"/>
        </w:tabs>
        <w:ind w:left="260" w:firstLine="2520"/>
      </w:pPr>
      <w:rPr>
        <w:rFonts w:hint="default"/>
        <w:position w:val="0"/>
      </w:rPr>
    </w:lvl>
    <w:lvl w:ilvl="8">
      <w:start w:val="1"/>
      <w:numFmt w:val="lowerRoman"/>
      <w:lvlText w:val="%9."/>
      <w:lvlJc w:val="left"/>
      <w:pPr>
        <w:tabs>
          <w:tab w:val="num" w:pos="260"/>
        </w:tabs>
        <w:ind w:left="260" w:firstLine="2880"/>
      </w:pPr>
      <w:rPr>
        <w:rFonts w:hint="default"/>
        <w:position w:val="0"/>
      </w:rPr>
    </w:lvl>
  </w:abstractNum>
  <w:abstractNum w:abstractNumId="14" w15:restartNumberingAfterBreak="0">
    <w:nsid w:val="00000005"/>
    <w:multiLevelType w:val="multilevel"/>
    <w:tmpl w:val="894EE877"/>
    <w:lvl w:ilvl="0">
      <w:start w:val="5"/>
      <w:numFmt w:val="decimal"/>
      <w:isLgl/>
      <w:lvlText w:val="%1."/>
      <w:lvlJc w:val="left"/>
      <w:pPr>
        <w:tabs>
          <w:tab w:val="num" w:pos="260"/>
        </w:tabs>
        <w:ind w:left="260" w:firstLine="0"/>
      </w:pPr>
      <w:rPr>
        <w:rFonts w:hint="default"/>
        <w:position w:val="0"/>
      </w:rPr>
    </w:lvl>
    <w:lvl w:ilvl="1">
      <w:start w:val="1"/>
      <w:numFmt w:val="lowerLetter"/>
      <w:lvlText w:val="%2."/>
      <w:lvlJc w:val="left"/>
      <w:pPr>
        <w:tabs>
          <w:tab w:val="num" w:pos="260"/>
        </w:tabs>
        <w:ind w:left="260" w:firstLine="360"/>
      </w:pPr>
      <w:rPr>
        <w:rFonts w:hint="default"/>
        <w:position w:val="0"/>
      </w:rPr>
    </w:lvl>
    <w:lvl w:ilvl="2">
      <w:start w:val="1"/>
      <w:numFmt w:val="lowerRoman"/>
      <w:lvlText w:val="%3."/>
      <w:lvlJc w:val="left"/>
      <w:pPr>
        <w:tabs>
          <w:tab w:val="num" w:pos="260"/>
        </w:tabs>
        <w:ind w:left="260" w:firstLine="720"/>
      </w:pPr>
      <w:rPr>
        <w:rFonts w:hint="default"/>
        <w:position w:val="0"/>
      </w:rPr>
    </w:lvl>
    <w:lvl w:ilvl="3">
      <w:start w:val="1"/>
      <w:numFmt w:val="decimal"/>
      <w:isLgl/>
      <w:lvlText w:val="%4."/>
      <w:lvlJc w:val="left"/>
      <w:pPr>
        <w:tabs>
          <w:tab w:val="num" w:pos="260"/>
        </w:tabs>
        <w:ind w:left="260" w:firstLine="1080"/>
      </w:pPr>
      <w:rPr>
        <w:rFonts w:hint="default"/>
        <w:position w:val="0"/>
      </w:rPr>
    </w:lvl>
    <w:lvl w:ilvl="4">
      <w:start w:val="1"/>
      <w:numFmt w:val="lowerLetter"/>
      <w:lvlText w:val="%5."/>
      <w:lvlJc w:val="left"/>
      <w:pPr>
        <w:tabs>
          <w:tab w:val="num" w:pos="260"/>
        </w:tabs>
        <w:ind w:left="260" w:firstLine="1440"/>
      </w:pPr>
      <w:rPr>
        <w:rFonts w:hint="default"/>
        <w:position w:val="0"/>
      </w:rPr>
    </w:lvl>
    <w:lvl w:ilvl="5">
      <w:start w:val="1"/>
      <w:numFmt w:val="lowerRoman"/>
      <w:lvlText w:val="%6."/>
      <w:lvlJc w:val="left"/>
      <w:pPr>
        <w:tabs>
          <w:tab w:val="num" w:pos="260"/>
        </w:tabs>
        <w:ind w:left="260" w:firstLine="1800"/>
      </w:pPr>
      <w:rPr>
        <w:rFonts w:hint="default"/>
        <w:position w:val="0"/>
      </w:rPr>
    </w:lvl>
    <w:lvl w:ilvl="6">
      <w:start w:val="1"/>
      <w:numFmt w:val="decimal"/>
      <w:isLgl/>
      <w:lvlText w:val="%7."/>
      <w:lvlJc w:val="left"/>
      <w:pPr>
        <w:tabs>
          <w:tab w:val="num" w:pos="260"/>
        </w:tabs>
        <w:ind w:left="260" w:firstLine="2160"/>
      </w:pPr>
      <w:rPr>
        <w:rFonts w:hint="default"/>
        <w:position w:val="0"/>
      </w:rPr>
    </w:lvl>
    <w:lvl w:ilvl="7">
      <w:start w:val="1"/>
      <w:numFmt w:val="lowerLetter"/>
      <w:lvlText w:val="%8."/>
      <w:lvlJc w:val="left"/>
      <w:pPr>
        <w:tabs>
          <w:tab w:val="num" w:pos="260"/>
        </w:tabs>
        <w:ind w:left="260" w:firstLine="2520"/>
      </w:pPr>
      <w:rPr>
        <w:rFonts w:hint="default"/>
        <w:position w:val="0"/>
      </w:rPr>
    </w:lvl>
    <w:lvl w:ilvl="8">
      <w:start w:val="1"/>
      <w:numFmt w:val="lowerRoman"/>
      <w:lvlText w:val="%9."/>
      <w:lvlJc w:val="left"/>
      <w:pPr>
        <w:tabs>
          <w:tab w:val="num" w:pos="260"/>
        </w:tabs>
        <w:ind w:left="260" w:firstLine="2880"/>
      </w:pPr>
      <w:rPr>
        <w:rFonts w:hint="default"/>
        <w:position w:val="0"/>
      </w:rPr>
    </w:lvl>
  </w:abstractNum>
  <w:abstractNum w:abstractNumId="15" w15:restartNumberingAfterBreak="0">
    <w:nsid w:val="00000006"/>
    <w:multiLevelType w:val="multilevel"/>
    <w:tmpl w:val="894EE878"/>
    <w:lvl w:ilvl="0">
      <w:start w:val="6"/>
      <w:numFmt w:val="decimal"/>
      <w:isLgl/>
      <w:lvlText w:val="%1."/>
      <w:lvlJc w:val="left"/>
      <w:pPr>
        <w:tabs>
          <w:tab w:val="num" w:pos="260"/>
        </w:tabs>
        <w:ind w:left="260" w:firstLine="0"/>
      </w:pPr>
      <w:rPr>
        <w:rFonts w:hint="default"/>
        <w:position w:val="0"/>
      </w:rPr>
    </w:lvl>
    <w:lvl w:ilvl="1">
      <w:start w:val="1"/>
      <w:numFmt w:val="lowerLetter"/>
      <w:lvlText w:val="%2."/>
      <w:lvlJc w:val="left"/>
      <w:pPr>
        <w:tabs>
          <w:tab w:val="num" w:pos="260"/>
        </w:tabs>
        <w:ind w:left="260" w:firstLine="360"/>
      </w:pPr>
      <w:rPr>
        <w:rFonts w:hint="default"/>
        <w:position w:val="0"/>
      </w:rPr>
    </w:lvl>
    <w:lvl w:ilvl="2">
      <w:start w:val="1"/>
      <w:numFmt w:val="lowerRoman"/>
      <w:lvlText w:val="%3."/>
      <w:lvlJc w:val="left"/>
      <w:pPr>
        <w:tabs>
          <w:tab w:val="num" w:pos="260"/>
        </w:tabs>
        <w:ind w:left="260" w:firstLine="720"/>
      </w:pPr>
      <w:rPr>
        <w:rFonts w:hint="default"/>
        <w:position w:val="0"/>
      </w:rPr>
    </w:lvl>
    <w:lvl w:ilvl="3">
      <w:start w:val="1"/>
      <w:numFmt w:val="decimal"/>
      <w:isLgl/>
      <w:lvlText w:val="%4."/>
      <w:lvlJc w:val="left"/>
      <w:pPr>
        <w:tabs>
          <w:tab w:val="num" w:pos="260"/>
        </w:tabs>
        <w:ind w:left="260" w:firstLine="1080"/>
      </w:pPr>
      <w:rPr>
        <w:rFonts w:hint="default"/>
        <w:position w:val="0"/>
      </w:rPr>
    </w:lvl>
    <w:lvl w:ilvl="4">
      <w:start w:val="1"/>
      <w:numFmt w:val="lowerLetter"/>
      <w:lvlText w:val="%5."/>
      <w:lvlJc w:val="left"/>
      <w:pPr>
        <w:tabs>
          <w:tab w:val="num" w:pos="260"/>
        </w:tabs>
        <w:ind w:left="260" w:firstLine="1440"/>
      </w:pPr>
      <w:rPr>
        <w:rFonts w:hint="default"/>
        <w:position w:val="0"/>
      </w:rPr>
    </w:lvl>
    <w:lvl w:ilvl="5">
      <w:start w:val="1"/>
      <w:numFmt w:val="lowerRoman"/>
      <w:lvlText w:val="%6."/>
      <w:lvlJc w:val="left"/>
      <w:pPr>
        <w:tabs>
          <w:tab w:val="num" w:pos="260"/>
        </w:tabs>
        <w:ind w:left="260" w:firstLine="1800"/>
      </w:pPr>
      <w:rPr>
        <w:rFonts w:hint="default"/>
        <w:position w:val="0"/>
      </w:rPr>
    </w:lvl>
    <w:lvl w:ilvl="6">
      <w:start w:val="1"/>
      <w:numFmt w:val="decimal"/>
      <w:isLgl/>
      <w:lvlText w:val="%7."/>
      <w:lvlJc w:val="left"/>
      <w:pPr>
        <w:tabs>
          <w:tab w:val="num" w:pos="260"/>
        </w:tabs>
        <w:ind w:left="260" w:firstLine="2160"/>
      </w:pPr>
      <w:rPr>
        <w:rFonts w:hint="default"/>
        <w:position w:val="0"/>
      </w:rPr>
    </w:lvl>
    <w:lvl w:ilvl="7">
      <w:start w:val="1"/>
      <w:numFmt w:val="lowerLetter"/>
      <w:lvlText w:val="%8."/>
      <w:lvlJc w:val="left"/>
      <w:pPr>
        <w:tabs>
          <w:tab w:val="num" w:pos="260"/>
        </w:tabs>
        <w:ind w:left="260" w:firstLine="2520"/>
      </w:pPr>
      <w:rPr>
        <w:rFonts w:hint="default"/>
        <w:position w:val="0"/>
      </w:rPr>
    </w:lvl>
    <w:lvl w:ilvl="8">
      <w:start w:val="1"/>
      <w:numFmt w:val="lowerRoman"/>
      <w:lvlText w:val="%9."/>
      <w:lvlJc w:val="left"/>
      <w:pPr>
        <w:tabs>
          <w:tab w:val="num" w:pos="260"/>
        </w:tabs>
        <w:ind w:left="260" w:firstLine="2880"/>
      </w:pPr>
      <w:rPr>
        <w:rFonts w:hint="default"/>
        <w:position w:val="0"/>
      </w:rPr>
    </w:lvl>
  </w:abstractNum>
  <w:abstractNum w:abstractNumId="16" w15:restartNumberingAfterBreak="0">
    <w:nsid w:val="00000007"/>
    <w:multiLevelType w:val="multilevel"/>
    <w:tmpl w:val="894EE879"/>
    <w:lvl w:ilvl="0">
      <w:start w:val="7"/>
      <w:numFmt w:val="decimal"/>
      <w:isLgl/>
      <w:lvlText w:val="%1."/>
      <w:lvlJc w:val="left"/>
      <w:pPr>
        <w:tabs>
          <w:tab w:val="num" w:pos="260"/>
        </w:tabs>
        <w:ind w:left="260" w:firstLine="0"/>
      </w:pPr>
      <w:rPr>
        <w:rFonts w:hint="default"/>
        <w:position w:val="0"/>
      </w:rPr>
    </w:lvl>
    <w:lvl w:ilvl="1">
      <w:start w:val="1"/>
      <w:numFmt w:val="lowerLetter"/>
      <w:lvlText w:val="%2."/>
      <w:lvlJc w:val="left"/>
      <w:pPr>
        <w:tabs>
          <w:tab w:val="num" w:pos="260"/>
        </w:tabs>
        <w:ind w:left="260" w:firstLine="360"/>
      </w:pPr>
      <w:rPr>
        <w:rFonts w:hint="default"/>
        <w:position w:val="0"/>
      </w:rPr>
    </w:lvl>
    <w:lvl w:ilvl="2">
      <w:start w:val="1"/>
      <w:numFmt w:val="lowerRoman"/>
      <w:lvlText w:val="%3."/>
      <w:lvlJc w:val="left"/>
      <w:pPr>
        <w:tabs>
          <w:tab w:val="num" w:pos="260"/>
        </w:tabs>
        <w:ind w:left="260" w:firstLine="720"/>
      </w:pPr>
      <w:rPr>
        <w:rFonts w:hint="default"/>
        <w:position w:val="0"/>
      </w:rPr>
    </w:lvl>
    <w:lvl w:ilvl="3">
      <w:start w:val="1"/>
      <w:numFmt w:val="decimal"/>
      <w:isLgl/>
      <w:lvlText w:val="%4."/>
      <w:lvlJc w:val="left"/>
      <w:pPr>
        <w:tabs>
          <w:tab w:val="num" w:pos="260"/>
        </w:tabs>
        <w:ind w:left="260" w:firstLine="1080"/>
      </w:pPr>
      <w:rPr>
        <w:rFonts w:hint="default"/>
        <w:position w:val="0"/>
      </w:rPr>
    </w:lvl>
    <w:lvl w:ilvl="4">
      <w:start w:val="1"/>
      <w:numFmt w:val="lowerLetter"/>
      <w:lvlText w:val="%5."/>
      <w:lvlJc w:val="left"/>
      <w:pPr>
        <w:tabs>
          <w:tab w:val="num" w:pos="260"/>
        </w:tabs>
        <w:ind w:left="260" w:firstLine="1440"/>
      </w:pPr>
      <w:rPr>
        <w:rFonts w:hint="default"/>
        <w:position w:val="0"/>
      </w:rPr>
    </w:lvl>
    <w:lvl w:ilvl="5">
      <w:start w:val="1"/>
      <w:numFmt w:val="lowerRoman"/>
      <w:lvlText w:val="%6."/>
      <w:lvlJc w:val="left"/>
      <w:pPr>
        <w:tabs>
          <w:tab w:val="num" w:pos="260"/>
        </w:tabs>
        <w:ind w:left="260" w:firstLine="1800"/>
      </w:pPr>
      <w:rPr>
        <w:rFonts w:hint="default"/>
        <w:position w:val="0"/>
      </w:rPr>
    </w:lvl>
    <w:lvl w:ilvl="6">
      <w:start w:val="1"/>
      <w:numFmt w:val="decimal"/>
      <w:isLgl/>
      <w:lvlText w:val="%7."/>
      <w:lvlJc w:val="left"/>
      <w:pPr>
        <w:tabs>
          <w:tab w:val="num" w:pos="260"/>
        </w:tabs>
        <w:ind w:left="260" w:firstLine="2160"/>
      </w:pPr>
      <w:rPr>
        <w:rFonts w:hint="default"/>
        <w:position w:val="0"/>
      </w:rPr>
    </w:lvl>
    <w:lvl w:ilvl="7">
      <w:start w:val="1"/>
      <w:numFmt w:val="lowerLetter"/>
      <w:lvlText w:val="%8."/>
      <w:lvlJc w:val="left"/>
      <w:pPr>
        <w:tabs>
          <w:tab w:val="num" w:pos="260"/>
        </w:tabs>
        <w:ind w:left="260" w:firstLine="2520"/>
      </w:pPr>
      <w:rPr>
        <w:rFonts w:hint="default"/>
        <w:position w:val="0"/>
      </w:rPr>
    </w:lvl>
    <w:lvl w:ilvl="8">
      <w:start w:val="1"/>
      <w:numFmt w:val="lowerRoman"/>
      <w:lvlText w:val="%9."/>
      <w:lvlJc w:val="left"/>
      <w:pPr>
        <w:tabs>
          <w:tab w:val="num" w:pos="260"/>
        </w:tabs>
        <w:ind w:left="260" w:firstLine="2880"/>
      </w:pPr>
      <w:rPr>
        <w:rFonts w:hint="default"/>
        <w:position w:val="0"/>
      </w:rPr>
    </w:lvl>
  </w:abstractNum>
  <w:abstractNum w:abstractNumId="17" w15:restartNumberingAfterBreak="0">
    <w:nsid w:val="00000008"/>
    <w:multiLevelType w:val="multilevel"/>
    <w:tmpl w:val="7B42FF68"/>
    <w:lvl w:ilvl="0">
      <w:start w:val="8"/>
      <w:numFmt w:val="decimal"/>
      <w:isLgl/>
      <w:lvlText w:val="%1."/>
      <w:lvlJc w:val="left"/>
      <w:pPr>
        <w:tabs>
          <w:tab w:val="num" w:pos="0"/>
        </w:tabs>
        <w:ind w:left="0" w:firstLine="0"/>
      </w:pPr>
      <w:rPr>
        <w:rFonts w:hint="default"/>
        <w:position w:val="0"/>
      </w:rPr>
    </w:lvl>
    <w:lvl w:ilvl="1">
      <w:start w:val="1"/>
      <w:numFmt w:val="lowerLetter"/>
      <w:lvlText w:val="%2."/>
      <w:lvlJc w:val="left"/>
      <w:pPr>
        <w:tabs>
          <w:tab w:val="num" w:pos="0"/>
        </w:tabs>
        <w:ind w:left="0" w:firstLine="360"/>
      </w:pPr>
      <w:rPr>
        <w:rFonts w:hint="default"/>
        <w:position w:val="0"/>
      </w:rPr>
    </w:lvl>
    <w:lvl w:ilvl="2">
      <w:start w:val="1"/>
      <w:numFmt w:val="lowerRoman"/>
      <w:lvlText w:val="%3."/>
      <w:lvlJc w:val="left"/>
      <w:pPr>
        <w:tabs>
          <w:tab w:val="num" w:pos="0"/>
        </w:tabs>
        <w:ind w:left="0" w:firstLine="720"/>
      </w:pPr>
      <w:rPr>
        <w:rFonts w:hint="default"/>
        <w:position w:val="0"/>
      </w:rPr>
    </w:lvl>
    <w:lvl w:ilvl="3">
      <w:start w:val="1"/>
      <w:numFmt w:val="decimal"/>
      <w:isLgl/>
      <w:lvlText w:val="%4."/>
      <w:lvlJc w:val="left"/>
      <w:pPr>
        <w:tabs>
          <w:tab w:val="num" w:pos="0"/>
        </w:tabs>
        <w:ind w:left="0" w:firstLine="1080"/>
      </w:pPr>
      <w:rPr>
        <w:rFonts w:hint="default"/>
        <w:position w:val="0"/>
      </w:rPr>
    </w:lvl>
    <w:lvl w:ilvl="4">
      <w:start w:val="1"/>
      <w:numFmt w:val="lowerLetter"/>
      <w:lvlText w:val="%5."/>
      <w:lvlJc w:val="left"/>
      <w:pPr>
        <w:tabs>
          <w:tab w:val="num" w:pos="0"/>
        </w:tabs>
        <w:ind w:left="0" w:firstLine="1440"/>
      </w:pPr>
      <w:rPr>
        <w:rFonts w:hint="default"/>
        <w:position w:val="0"/>
      </w:rPr>
    </w:lvl>
    <w:lvl w:ilvl="5">
      <w:start w:val="1"/>
      <w:numFmt w:val="lowerRoman"/>
      <w:lvlText w:val="%6."/>
      <w:lvlJc w:val="left"/>
      <w:pPr>
        <w:tabs>
          <w:tab w:val="num" w:pos="0"/>
        </w:tabs>
        <w:ind w:left="0" w:firstLine="1800"/>
      </w:pPr>
      <w:rPr>
        <w:rFonts w:hint="default"/>
        <w:position w:val="0"/>
      </w:rPr>
    </w:lvl>
    <w:lvl w:ilvl="6">
      <w:start w:val="1"/>
      <w:numFmt w:val="decimal"/>
      <w:isLgl/>
      <w:lvlText w:val="%7."/>
      <w:lvlJc w:val="left"/>
      <w:pPr>
        <w:tabs>
          <w:tab w:val="num" w:pos="0"/>
        </w:tabs>
        <w:ind w:left="0" w:firstLine="2160"/>
      </w:pPr>
      <w:rPr>
        <w:rFonts w:hint="default"/>
        <w:position w:val="0"/>
      </w:rPr>
    </w:lvl>
    <w:lvl w:ilvl="7">
      <w:start w:val="1"/>
      <w:numFmt w:val="lowerLetter"/>
      <w:lvlText w:val="%8."/>
      <w:lvlJc w:val="left"/>
      <w:pPr>
        <w:tabs>
          <w:tab w:val="num" w:pos="0"/>
        </w:tabs>
        <w:ind w:left="0" w:firstLine="2520"/>
      </w:pPr>
      <w:rPr>
        <w:rFonts w:hint="default"/>
        <w:position w:val="0"/>
      </w:rPr>
    </w:lvl>
    <w:lvl w:ilvl="8">
      <w:start w:val="1"/>
      <w:numFmt w:val="lowerRoman"/>
      <w:lvlText w:val="%9."/>
      <w:lvlJc w:val="left"/>
      <w:pPr>
        <w:tabs>
          <w:tab w:val="num" w:pos="0"/>
        </w:tabs>
        <w:ind w:left="0" w:firstLine="2880"/>
      </w:pPr>
      <w:rPr>
        <w:rFonts w:hint="default"/>
        <w:position w:val="0"/>
      </w:rPr>
    </w:lvl>
  </w:abstractNum>
  <w:abstractNum w:abstractNumId="18" w15:restartNumberingAfterBreak="0">
    <w:nsid w:val="00DB0338"/>
    <w:multiLevelType w:val="multilevel"/>
    <w:tmpl w:val="670243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03592949"/>
    <w:multiLevelType w:val="hybridMultilevel"/>
    <w:tmpl w:val="F2C0325A"/>
    <w:lvl w:ilvl="0" w:tplc="29423E1C">
      <w:start w:val="1"/>
      <w:numFmt w:val="decimal"/>
      <w:pStyle w:val="IPPNumberedList"/>
      <w:lvlText w:val="(%1)"/>
      <w:lvlJc w:val="left"/>
      <w:pPr>
        <w:tabs>
          <w:tab w:val="num" w:pos="567"/>
        </w:tabs>
        <w:ind w:left="567" w:hanging="567"/>
      </w:pPr>
      <w:rPr>
        <w:rFonts w:ascii="Times New Roman" w:hAnsi="Times New Roman" w:hint="default"/>
        <w:b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084C0A6C"/>
    <w:multiLevelType w:val="multilevel"/>
    <w:tmpl w:val="06E871E4"/>
    <w:numStyleLink w:val="IPPParagraphnumberedlist"/>
  </w:abstractNum>
  <w:abstractNum w:abstractNumId="21" w15:restartNumberingAfterBreak="0">
    <w:nsid w:val="0A187465"/>
    <w:multiLevelType w:val="multilevel"/>
    <w:tmpl w:val="65FC1486"/>
    <w:lvl w:ilvl="0">
      <w:start w:val="2"/>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0AAA575C"/>
    <w:multiLevelType w:val="hybridMultilevel"/>
    <w:tmpl w:val="61F0C2C0"/>
    <w:lvl w:ilvl="0" w:tplc="FFFFFFFF">
      <w:start w:val="1"/>
      <w:numFmt w:val="bullet"/>
      <w:pStyle w:val="IPPLetterListIndent"/>
      <w:lvlText w:val=""/>
      <w:lvlJc w:val="left"/>
      <w:pPr>
        <w:tabs>
          <w:tab w:val="num" w:pos="1701"/>
        </w:tabs>
        <w:ind w:left="1701" w:hanging="567"/>
      </w:pPr>
      <w:rPr>
        <w:rFonts w:ascii="Times New Roman" w:hAnsi="Times New Roman" w:hint="default"/>
        <w:color w:val="auto"/>
        <w:sz w:val="22"/>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0B5C03F2"/>
    <w:multiLevelType w:val="hybridMultilevel"/>
    <w:tmpl w:val="F68CFAE4"/>
    <w:lvl w:ilvl="0" w:tplc="1B340652">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0CAB3B10"/>
    <w:multiLevelType w:val="multilevel"/>
    <w:tmpl w:val="0F9894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1B1B05B8"/>
    <w:multiLevelType w:val="multilevel"/>
    <w:tmpl w:val="0A70A4AC"/>
    <w:lvl w:ilvl="0">
      <w:start w:val="2"/>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1BB651B3"/>
    <w:multiLevelType w:val="hybridMultilevel"/>
    <w:tmpl w:val="6130C5F8"/>
    <w:lvl w:ilvl="0" w:tplc="4A507126">
      <w:start w:val="1"/>
      <w:numFmt w:val="decimal"/>
      <w:lvlText w:val="[%1]"/>
      <w:lvlJc w:val="left"/>
      <w:pPr>
        <w:ind w:left="720" w:hanging="360"/>
      </w:pPr>
      <w:rPr>
        <w:rFonts w:ascii="Arial Italic" w:hAnsi="Arial Italic" w:hint="default"/>
        <w:b w:val="0"/>
        <w:i/>
        <w:color w:val="0000FF"/>
        <w:sz w:val="16"/>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7" w15:restartNumberingAfterBreak="0">
    <w:nsid w:val="1EF85655"/>
    <w:multiLevelType w:val="hybridMultilevel"/>
    <w:tmpl w:val="CAB8A5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462766B"/>
    <w:multiLevelType w:val="hybridMultilevel"/>
    <w:tmpl w:val="746A9C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287132DE"/>
    <w:multiLevelType w:val="hybridMultilevel"/>
    <w:tmpl w:val="4AE22D20"/>
    <w:lvl w:ilvl="0" w:tplc="03AE9B9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0F14701"/>
    <w:multiLevelType w:val="hybridMultilevel"/>
    <w:tmpl w:val="FF0ACDE4"/>
    <w:lvl w:ilvl="0" w:tplc="D1321110">
      <w:start w:val="9"/>
      <w:numFmt w:val="bullet"/>
      <w:lvlText w:val="-"/>
      <w:lvlJc w:val="left"/>
      <w:pPr>
        <w:ind w:left="720" w:hanging="360"/>
      </w:pPr>
      <w:rPr>
        <w:rFonts w:ascii="Calibri" w:eastAsia="Times New Roman"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313E5BC5"/>
    <w:multiLevelType w:val="hybridMultilevel"/>
    <w:tmpl w:val="C52A83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1FE0F8F"/>
    <w:multiLevelType w:val="multilevel"/>
    <w:tmpl w:val="06E871E4"/>
    <w:styleLink w:val="IPPParagraphnumberedlist"/>
    <w:lvl w:ilvl="0">
      <w:start w:val="1"/>
      <w:numFmt w:val="decimal"/>
      <w:lvlText w:val="[%1]"/>
      <w:lvlJc w:val="left"/>
      <w:pPr>
        <w:tabs>
          <w:tab w:val="num" w:pos="0"/>
        </w:tabs>
        <w:ind w:left="0" w:hanging="482"/>
      </w:pPr>
      <w:rPr>
        <w:rFonts w:ascii="Arial" w:hAnsi="Arial" w:hint="default"/>
        <w:b w:val="0"/>
        <w:i/>
        <w:color w:val="0000FF"/>
        <w:sz w:val="16"/>
      </w:rPr>
    </w:lvl>
    <w:lvl w:ilvl="1">
      <w:start w:val="1"/>
      <w:numFmt w:val="none"/>
      <w:lvlRestart w:val="0"/>
      <w:lvlText w:val=""/>
      <w:lvlJc w:val="left"/>
      <w:pPr>
        <w:tabs>
          <w:tab w:val="num" w:pos="0"/>
        </w:tabs>
        <w:ind w:left="0" w:hanging="482"/>
      </w:pPr>
      <w:rPr>
        <w:rFonts w:hint="default"/>
      </w:rPr>
    </w:lvl>
    <w:lvl w:ilvl="2">
      <w:start w:val="1"/>
      <w:numFmt w:val="none"/>
      <w:lvlRestart w:val="0"/>
      <w:lvlText w:val=""/>
      <w:lvlJc w:val="left"/>
      <w:pPr>
        <w:tabs>
          <w:tab w:val="num" w:pos="0"/>
        </w:tabs>
        <w:ind w:left="0" w:hanging="482"/>
      </w:pPr>
      <w:rPr>
        <w:rFonts w:hint="default"/>
      </w:rPr>
    </w:lvl>
    <w:lvl w:ilvl="3">
      <w:start w:val="1"/>
      <w:numFmt w:val="none"/>
      <w:lvlRestart w:val="0"/>
      <w:lvlText w:val=""/>
      <w:lvlJc w:val="left"/>
      <w:pPr>
        <w:tabs>
          <w:tab w:val="num" w:pos="0"/>
        </w:tabs>
        <w:ind w:left="0" w:hanging="482"/>
      </w:pPr>
      <w:rPr>
        <w:rFonts w:hint="default"/>
      </w:rPr>
    </w:lvl>
    <w:lvl w:ilvl="4">
      <w:start w:val="1"/>
      <w:numFmt w:val="none"/>
      <w:lvlRestart w:val="0"/>
      <w:lvlText w:val=""/>
      <w:lvlJc w:val="left"/>
      <w:pPr>
        <w:tabs>
          <w:tab w:val="num" w:pos="0"/>
        </w:tabs>
        <w:ind w:left="0" w:hanging="482"/>
      </w:pPr>
      <w:rPr>
        <w:rFonts w:hint="default"/>
      </w:rPr>
    </w:lvl>
    <w:lvl w:ilvl="5">
      <w:start w:val="1"/>
      <w:numFmt w:val="none"/>
      <w:lvlRestart w:val="0"/>
      <w:lvlText w:val=""/>
      <w:lvlJc w:val="left"/>
      <w:pPr>
        <w:tabs>
          <w:tab w:val="num" w:pos="0"/>
        </w:tabs>
        <w:ind w:left="0" w:hanging="482"/>
      </w:pPr>
      <w:rPr>
        <w:rFonts w:hint="default"/>
      </w:rPr>
    </w:lvl>
    <w:lvl w:ilvl="6">
      <w:start w:val="1"/>
      <w:numFmt w:val="none"/>
      <w:lvlRestart w:val="0"/>
      <w:lvlText w:val=""/>
      <w:lvlJc w:val="left"/>
      <w:pPr>
        <w:tabs>
          <w:tab w:val="num" w:pos="0"/>
        </w:tabs>
        <w:ind w:left="0" w:hanging="482"/>
      </w:pPr>
      <w:rPr>
        <w:rFonts w:hint="default"/>
      </w:rPr>
    </w:lvl>
    <w:lvl w:ilvl="7">
      <w:start w:val="1"/>
      <w:numFmt w:val="none"/>
      <w:lvlRestart w:val="0"/>
      <w:lvlText w:val=""/>
      <w:lvlJc w:val="left"/>
      <w:pPr>
        <w:tabs>
          <w:tab w:val="num" w:pos="0"/>
        </w:tabs>
        <w:ind w:left="0" w:hanging="482"/>
      </w:pPr>
      <w:rPr>
        <w:rFonts w:hint="default"/>
      </w:rPr>
    </w:lvl>
    <w:lvl w:ilvl="8">
      <w:start w:val="1"/>
      <w:numFmt w:val="none"/>
      <w:lvlRestart w:val="0"/>
      <w:lvlText w:val=""/>
      <w:lvlJc w:val="left"/>
      <w:pPr>
        <w:tabs>
          <w:tab w:val="num" w:pos="0"/>
        </w:tabs>
        <w:ind w:left="0" w:hanging="482"/>
      </w:pPr>
      <w:rPr>
        <w:rFonts w:hint="default"/>
      </w:rPr>
    </w:lvl>
  </w:abstractNum>
  <w:abstractNum w:abstractNumId="33" w15:restartNumberingAfterBreak="0">
    <w:nsid w:val="34FD7C24"/>
    <w:multiLevelType w:val="hybridMultilevel"/>
    <w:tmpl w:val="0144C66E"/>
    <w:lvl w:ilvl="0" w:tplc="A0C09732">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350C47BF"/>
    <w:multiLevelType w:val="hybridMultilevel"/>
    <w:tmpl w:val="48E4A840"/>
    <w:lvl w:ilvl="0" w:tplc="03AE9B9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7422FF4"/>
    <w:multiLevelType w:val="hybridMultilevel"/>
    <w:tmpl w:val="9D5A01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B0874F3"/>
    <w:multiLevelType w:val="hybridMultilevel"/>
    <w:tmpl w:val="3860451C"/>
    <w:lvl w:ilvl="0" w:tplc="FFFFFFFF">
      <w:start w:val="1"/>
      <w:numFmt w:val="decimal"/>
      <w:pStyle w:val="IPPHdg1Num"/>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467071CE"/>
    <w:multiLevelType w:val="multilevel"/>
    <w:tmpl w:val="D56E9BA2"/>
    <w:lvl w:ilvl="0">
      <w:start w:val="1"/>
      <w:numFmt w:val="decimal"/>
      <w:lvlText w:val="(%1)"/>
      <w:lvlJc w:val="left"/>
      <w:pPr>
        <w:tabs>
          <w:tab w:val="num" w:pos="567"/>
        </w:tabs>
        <w:ind w:left="567" w:hanging="567"/>
      </w:pPr>
      <w:rPr>
        <w:rFonts w:ascii="Times New Roman" w:hAnsi="Times New Roman" w:hint="default"/>
        <w:b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4832739C"/>
    <w:multiLevelType w:val="hybridMultilevel"/>
    <w:tmpl w:val="1E96D1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4F48430C"/>
    <w:multiLevelType w:val="hybridMultilevel"/>
    <w:tmpl w:val="D74881D6"/>
    <w:lvl w:ilvl="0" w:tplc="C1C2A830">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53A776E5"/>
    <w:multiLevelType w:val="hybridMultilevel"/>
    <w:tmpl w:val="E73EF442"/>
    <w:lvl w:ilvl="0" w:tplc="9B64C2C4">
      <w:start w:val="1"/>
      <w:numFmt w:val="bullet"/>
      <w:pStyle w:val="IPPBullet1Last"/>
      <w:lvlText w:val="-"/>
      <w:lvlJc w:val="left"/>
      <w:pPr>
        <w:tabs>
          <w:tab w:val="num" w:pos="567"/>
        </w:tabs>
        <w:ind w:left="567" w:hanging="567"/>
      </w:pPr>
      <w:rPr>
        <w:rFonts w:ascii="Times New Roman" w:hAnsi="Times New Roman" w:hint="default"/>
        <w:b w:val="0"/>
        <w:i w:val="0"/>
        <w:color w:val="auto"/>
        <w:sz w:val="22"/>
      </w:rPr>
    </w:lvl>
    <w:lvl w:ilvl="1" w:tplc="04090019" w:tentative="1">
      <w:start w:val="1"/>
      <w:numFmt w:val="bullet"/>
      <w:lvlText w:val="o"/>
      <w:lvlJc w:val="left"/>
      <w:pPr>
        <w:ind w:left="1440" w:hanging="360"/>
      </w:pPr>
      <w:rPr>
        <w:rFonts w:ascii="Courier New" w:hAnsi="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41" w15:restartNumberingAfterBreak="0">
    <w:nsid w:val="56291F0F"/>
    <w:multiLevelType w:val="hybridMultilevel"/>
    <w:tmpl w:val="1F486FE0"/>
    <w:lvl w:ilvl="0" w:tplc="04090001">
      <w:start w:val="1"/>
      <w:numFmt w:val="bullet"/>
      <w:lvlText w:val=""/>
      <w:lvlJc w:val="left"/>
      <w:pPr>
        <w:ind w:left="720" w:hanging="360"/>
      </w:pPr>
      <w:rPr>
        <w:rFonts w:ascii="Symbol" w:hAnsi="Symbol" w:hint="default"/>
      </w:rPr>
    </w:lvl>
    <w:lvl w:ilvl="1" w:tplc="7D825202">
      <w:numFmt w:val="bullet"/>
      <w:lvlText w:val="-"/>
      <w:lvlJc w:val="left"/>
      <w:pPr>
        <w:ind w:left="1440" w:hanging="360"/>
      </w:pPr>
      <w:rPr>
        <w:rFonts w:ascii="Times New Roman" w:eastAsia="MS Mincho"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DC80689"/>
    <w:multiLevelType w:val="hybridMultilevel"/>
    <w:tmpl w:val="C23877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2B05737"/>
    <w:multiLevelType w:val="hybridMultilevel"/>
    <w:tmpl w:val="5136DEFE"/>
    <w:lvl w:ilvl="0" w:tplc="03AE9B9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2F477F8"/>
    <w:multiLevelType w:val="hybridMultilevel"/>
    <w:tmpl w:val="5E36B41A"/>
    <w:lvl w:ilvl="0" w:tplc="CC30E076">
      <w:start w:val="1"/>
      <w:numFmt w:val="lowerLetter"/>
      <w:lvlText w:val="%1)"/>
      <w:lvlJc w:val="left"/>
      <w:pPr>
        <w:ind w:left="1020" w:hanging="360"/>
      </w:pPr>
    </w:lvl>
    <w:lvl w:ilvl="1" w:tplc="AF18C0BA">
      <w:start w:val="1"/>
      <w:numFmt w:val="lowerLetter"/>
      <w:lvlText w:val="%2)"/>
      <w:lvlJc w:val="left"/>
      <w:pPr>
        <w:ind w:left="1020" w:hanging="360"/>
      </w:pPr>
    </w:lvl>
    <w:lvl w:ilvl="2" w:tplc="306E563C">
      <w:start w:val="1"/>
      <w:numFmt w:val="lowerLetter"/>
      <w:lvlText w:val="%3)"/>
      <w:lvlJc w:val="left"/>
      <w:pPr>
        <w:ind w:left="1020" w:hanging="360"/>
      </w:pPr>
    </w:lvl>
    <w:lvl w:ilvl="3" w:tplc="A5CC2C2C">
      <w:start w:val="1"/>
      <w:numFmt w:val="lowerLetter"/>
      <w:lvlText w:val="%4)"/>
      <w:lvlJc w:val="left"/>
      <w:pPr>
        <w:ind w:left="1020" w:hanging="360"/>
      </w:pPr>
    </w:lvl>
    <w:lvl w:ilvl="4" w:tplc="1F9C0D02">
      <w:start w:val="1"/>
      <w:numFmt w:val="lowerLetter"/>
      <w:lvlText w:val="%5)"/>
      <w:lvlJc w:val="left"/>
      <w:pPr>
        <w:ind w:left="1020" w:hanging="360"/>
      </w:pPr>
    </w:lvl>
    <w:lvl w:ilvl="5" w:tplc="6AF8402C">
      <w:start w:val="1"/>
      <w:numFmt w:val="lowerLetter"/>
      <w:lvlText w:val="%6)"/>
      <w:lvlJc w:val="left"/>
      <w:pPr>
        <w:ind w:left="1020" w:hanging="360"/>
      </w:pPr>
    </w:lvl>
    <w:lvl w:ilvl="6" w:tplc="6B867782">
      <w:start w:val="1"/>
      <w:numFmt w:val="lowerLetter"/>
      <w:lvlText w:val="%7)"/>
      <w:lvlJc w:val="left"/>
      <w:pPr>
        <w:ind w:left="1020" w:hanging="360"/>
      </w:pPr>
    </w:lvl>
    <w:lvl w:ilvl="7" w:tplc="3F96E518">
      <w:start w:val="1"/>
      <w:numFmt w:val="lowerLetter"/>
      <w:lvlText w:val="%8)"/>
      <w:lvlJc w:val="left"/>
      <w:pPr>
        <w:ind w:left="1020" w:hanging="360"/>
      </w:pPr>
    </w:lvl>
    <w:lvl w:ilvl="8" w:tplc="83F26222">
      <w:start w:val="1"/>
      <w:numFmt w:val="lowerLetter"/>
      <w:lvlText w:val="%9)"/>
      <w:lvlJc w:val="left"/>
      <w:pPr>
        <w:ind w:left="1020" w:hanging="360"/>
      </w:pPr>
    </w:lvl>
  </w:abstractNum>
  <w:abstractNum w:abstractNumId="45" w15:restartNumberingAfterBreak="0">
    <w:nsid w:val="64CC2082"/>
    <w:multiLevelType w:val="hybridMultilevel"/>
    <w:tmpl w:val="A6AA3CA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65AE0D6D"/>
    <w:multiLevelType w:val="hybridMultilevel"/>
    <w:tmpl w:val="4FE224AA"/>
    <w:lvl w:ilvl="0" w:tplc="462A3BA6">
      <w:start w:val="1"/>
      <w:numFmt w:val="lowerLetter"/>
      <w:pStyle w:val="IPPLetterList"/>
      <w:lvlText w:val="(%1)"/>
      <w:lvlJc w:val="left"/>
      <w:pPr>
        <w:tabs>
          <w:tab w:val="num" w:pos="1134"/>
        </w:tabs>
        <w:ind w:left="1134" w:hanging="567"/>
      </w:pPr>
      <w:rPr>
        <w:rFonts w:ascii="Times New Roman" w:hAnsi="Times New Roman" w:hint="default"/>
        <w:b w:val="0"/>
        <w:i w:val="0"/>
        <w:color w:val="auto"/>
        <w:sz w:val="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A354E39"/>
    <w:multiLevelType w:val="hybridMultilevel"/>
    <w:tmpl w:val="52EA3E24"/>
    <w:lvl w:ilvl="0" w:tplc="34EC9708">
      <w:numFmt w:val="bullet"/>
      <w:pStyle w:val="IPPBullet1"/>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51D2757"/>
    <w:multiLevelType w:val="hybridMultilevel"/>
    <w:tmpl w:val="8E445FD4"/>
    <w:lvl w:ilvl="0" w:tplc="C4348534">
      <w:start w:val="1"/>
      <w:numFmt w:val="bullet"/>
      <w:pStyle w:val="IPPBullet2"/>
      <w:lvlText w:val=""/>
      <w:lvlJc w:val="left"/>
      <w:pPr>
        <w:ind w:left="927" w:hanging="360"/>
      </w:pPr>
      <w:rPr>
        <w:rFonts w:ascii="Symbol" w:hAnsi="Symbol" w:hint="default"/>
        <w:b w:val="0"/>
        <w:i w:val="0"/>
        <w:color w:val="auto"/>
        <w:sz w:val="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8150677"/>
    <w:multiLevelType w:val="hybridMultilevel"/>
    <w:tmpl w:val="86887050"/>
    <w:lvl w:ilvl="0" w:tplc="C1C2A830">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DA756B8"/>
    <w:multiLevelType w:val="hybridMultilevel"/>
    <w:tmpl w:val="1ACEA4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7E943ECD"/>
    <w:multiLevelType w:val="multilevel"/>
    <w:tmpl w:val="B55AE162"/>
    <w:lvl w:ilvl="0">
      <w:start w:val="1"/>
      <w:numFmt w:val="decimal"/>
      <w:lvlText w:val="%1."/>
      <w:lvlJc w:val="left"/>
      <w:pPr>
        <w:ind w:left="360" w:hanging="360"/>
      </w:pPr>
      <w:rPr>
        <w:rFonts w:hint="default"/>
      </w:rPr>
    </w:lvl>
    <w:lvl w:ilvl="1">
      <w:start w:val="1"/>
      <w:numFmt w:val="decimal"/>
      <w:pStyle w:val="IPPHdg2Num"/>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10"/>
  </w:num>
  <w:num w:numId="2">
    <w:abstractNumId w:val="11"/>
  </w:num>
  <w:num w:numId="3">
    <w:abstractNumId w:val="12"/>
  </w:num>
  <w:num w:numId="4">
    <w:abstractNumId w:val="13"/>
  </w:num>
  <w:num w:numId="5">
    <w:abstractNumId w:val="14"/>
  </w:num>
  <w:num w:numId="6">
    <w:abstractNumId w:val="15"/>
  </w:num>
  <w:num w:numId="7">
    <w:abstractNumId w:val="16"/>
  </w:num>
  <w:num w:numId="8">
    <w:abstractNumId w:val="17"/>
  </w:num>
  <w:num w:numId="9">
    <w:abstractNumId w:val="45"/>
  </w:num>
  <w:num w:numId="10">
    <w:abstractNumId w:val="28"/>
  </w:num>
  <w:num w:numId="11">
    <w:abstractNumId w:val="25"/>
  </w:num>
  <w:num w:numId="12">
    <w:abstractNumId w:val="9"/>
  </w:num>
  <w:num w:numId="13">
    <w:abstractNumId w:val="21"/>
  </w:num>
  <w:num w:numId="14">
    <w:abstractNumId w:val="38"/>
  </w:num>
  <w:num w:numId="15">
    <w:abstractNumId w:val="18"/>
  </w:num>
  <w:num w:numId="16">
    <w:abstractNumId w:val="30"/>
  </w:num>
  <w:num w:numId="17">
    <w:abstractNumId w:val="27"/>
  </w:num>
  <w:num w:numId="18">
    <w:abstractNumId w:val="32"/>
  </w:num>
  <w:num w:numId="19">
    <w:abstractNumId w:val="20"/>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20">
    <w:abstractNumId w:val="41"/>
  </w:num>
  <w:num w:numId="21">
    <w:abstractNumId w:val="35"/>
  </w:num>
  <w:num w:numId="22">
    <w:abstractNumId w:val="42"/>
  </w:num>
  <w:num w:numId="23">
    <w:abstractNumId w:val="31"/>
  </w:num>
  <w:num w:numId="24">
    <w:abstractNumId w:val="34"/>
  </w:num>
  <w:num w:numId="25">
    <w:abstractNumId w:val="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43"/>
  </w:num>
  <w:num w:numId="27">
    <w:abstractNumId w:val="29"/>
  </w:num>
  <w:num w:numId="28">
    <w:abstractNumId w:val="46"/>
  </w:num>
  <w:num w:numId="29">
    <w:abstractNumId w:val="22"/>
  </w:num>
  <w:num w:numId="30">
    <w:abstractNumId w:val="20"/>
  </w:num>
  <w:num w:numId="31">
    <w:abstractNumId w:val="48"/>
  </w:num>
  <w:num w:numId="32">
    <w:abstractNumId w:val="40"/>
  </w:num>
  <w:num w:numId="33">
    <w:abstractNumId w:val="36"/>
  </w:num>
  <w:num w:numId="34">
    <w:abstractNumId w:val="51"/>
  </w:num>
  <w:num w:numId="35">
    <w:abstractNumId w:val="26"/>
  </w:num>
  <w:num w:numId="36">
    <w:abstractNumId w:val="20"/>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37">
    <w:abstractNumId w:val="20"/>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38">
    <w:abstractNumId w:val="20"/>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39">
    <w:abstractNumId w:val="20"/>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40">
    <w:abstractNumId w:val="20"/>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41">
    <w:abstractNumId w:val="20"/>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42">
    <w:abstractNumId w:val="19"/>
  </w:num>
  <w:num w:numId="43">
    <w:abstractNumId w:val="37"/>
  </w:num>
  <w:num w:numId="44">
    <w:abstractNumId w:val="47"/>
  </w:num>
  <w:num w:numId="45">
    <w:abstractNumId w:val="7"/>
  </w:num>
  <w:num w:numId="46">
    <w:abstractNumId w:val="6"/>
  </w:num>
  <w:num w:numId="47">
    <w:abstractNumId w:val="5"/>
  </w:num>
  <w:num w:numId="48">
    <w:abstractNumId w:val="4"/>
  </w:num>
  <w:num w:numId="49">
    <w:abstractNumId w:val="8"/>
  </w:num>
  <w:num w:numId="50">
    <w:abstractNumId w:val="3"/>
  </w:num>
  <w:num w:numId="51">
    <w:abstractNumId w:val="2"/>
  </w:num>
  <w:num w:numId="52">
    <w:abstractNumId w:val="1"/>
  </w:num>
  <w:num w:numId="53">
    <w:abstractNumId w:val="0"/>
  </w:num>
  <w:num w:numId="54">
    <w:abstractNumId w:val="24"/>
  </w:num>
  <w:num w:numId="55">
    <w:abstractNumId w:val="49"/>
  </w:num>
  <w:num w:numId="56">
    <w:abstractNumId w:val="39"/>
  </w:num>
  <w:num w:numId="57">
    <w:abstractNumId w:val="33"/>
  </w:num>
  <w:num w:numId="58">
    <w:abstractNumId w:val="23"/>
  </w:num>
  <w:num w:numId="59">
    <w:abstractNumId w:val="50"/>
  </w:num>
  <w:num w:numId="60">
    <w:abstractNumId w:val="47"/>
  </w:num>
  <w:num w:numId="61">
    <w:abstractNumId w:val="20"/>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62">
    <w:abstractNumId w:val="44"/>
  </w:num>
  <w:numIdMacAtCleanup w:val="58"/>
</w:numbering>
</file>

<file path=word/settings.xml><?xml version="1.0" encoding="utf-8"?>
<w:settings xmlns:w="http://schemas.openxmlformats.org/wordprocessingml/2006/main"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14="http://schemas.microsoft.com/office/word/2010/wordml" xmlns:w15="http://schemas.microsoft.com/office/word/2012/wordml" xmlns:w16se="http://schemas.microsoft.com/office/word/2015/wordml/symex" xmlns:sl="http://schemas.openxmlformats.org/schemaLibrary/2006/main" mc:Ignorable="w14 w15 w16se">
  <w:view w:val="normal"/>
  <w:zoom w:percent="100"/>
  <w:embedSystemFonts/>
  <w:bordersDoNotSurroundHeader/>
  <w:bordersDoNotSurroundFooter/>
  <w:activeWritingStyle w:lang="en-NZ" w:vendorID="64" w:dllVersion="6" w:nlCheck="1" w:checkStyle="1" w:appName="MSWord"/>
  <w:attachedTemplate r:id="rId1"/>
  <w:linkStyles/>
  <w:stylePaneFormatFilter w:val="2801" w:allStyles="1" w:customStyles="0" w:latentStyles="0" w:stylesInUse="0" w:headingStyles="0" w:numberingStyles="0" w:tableStyles="0" w:directFormattingOnRuns="0" w:directFormattingOnParagraphs="0" w:directFormattingOnNumbering="0" w:directFormattingOnTables="1" w:clearFormatting="0" w:top3HeadingStyles="1" w:visibleStyles="0" w:alternateStyleNames="0"/>
  <w:defaultTabStop w:val="720"/>
  <w:hyphenationZone w:val="425"/>
  <w:defaultTableStyle w:val="Normal"/>
  <w:evenAndOddHeader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676D0"/>
    <w:rsid w:val="00001C2A"/>
    <w:rsid w:val="00004543"/>
    <w:rsid w:val="00005068"/>
    <w:rsid w:val="00011300"/>
    <w:rsid w:val="00011378"/>
    <w:rsid w:val="0001387C"/>
    <w:rsid w:val="00013AF0"/>
    <w:rsid w:val="000146FF"/>
    <w:rsid w:val="0001793B"/>
    <w:rsid w:val="00020AD6"/>
    <w:rsid w:val="0002244A"/>
    <w:rsid w:val="00023E32"/>
    <w:rsid w:val="000259C0"/>
    <w:rsid w:val="0003027D"/>
    <w:rsid w:val="00030771"/>
    <w:rsid w:val="00033825"/>
    <w:rsid w:val="000339B7"/>
    <w:rsid w:val="00035710"/>
    <w:rsid w:val="000375F1"/>
    <w:rsid w:val="00040106"/>
    <w:rsid w:val="000408A3"/>
    <w:rsid w:val="00040A03"/>
    <w:rsid w:val="0004175A"/>
    <w:rsid w:val="0004222F"/>
    <w:rsid w:val="00043EC7"/>
    <w:rsid w:val="00051B0C"/>
    <w:rsid w:val="00053485"/>
    <w:rsid w:val="00053A30"/>
    <w:rsid w:val="00055F9B"/>
    <w:rsid w:val="000603DC"/>
    <w:rsid w:val="0006279C"/>
    <w:rsid w:val="00063167"/>
    <w:rsid w:val="000636C2"/>
    <w:rsid w:val="000658FE"/>
    <w:rsid w:val="00065E56"/>
    <w:rsid w:val="0006631C"/>
    <w:rsid w:val="00067478"/>
    <w:rsid w:val="000677D6"/>
    <w:rsid w:val="00067927"/>
    <w:rsid w:val="00067A98"/>
    <w:rsid w:val="00071956"/>
    <w:rsid w:val="00072026"/>
    <w:rsid w:val="00072E87"/>
    <w:rsid w:val="00073C65"/>
    <w:rsid w:val="000743CD"/>
    <w:rsid w:val="00074C8D"/>
    <w:rsid w:val="00075064"/>
    <w:rsid w:val="00076567"/>
    <w:rsid w:val="00076D03"/>
    <w:rsid w:val="00076E6F"/>
    <w:rsid w:val="00077AA6"/>
    <w:rsid w:val="00084835"/>
    <w:rsid w:val="00084AF9"/>
    <w:rsid w:val="0008730E"/>
    <w:rsid w:val="000911BF"/>
    <w:rsid w:val="00094FB7"/>
    <w:rsid w:val="00096B8E"/>
    <w:rsid w:val="00097886"/>
    <w:rsid w:val="000A0808"/>
    <w:rsid w:val="000A1742"/>
    <w:rsid w:val="000A1DBF"/>
    <w:rsid w:val="000A1F53"/>
    <w:rsid w:val="000A49D0"/>
    <w:rsid w:val="000A5BD4"/>
    <w:rsid w:val="000A738D"/>
    <w:rsid w:val="000B1E15"/>
    <w:rsid w:val="000B4290"/>
    <w:rsid w:val="000B5BB6"/>
    <w:rsid w:val="000B6B45"/>
    <w:rsid w:val="000B6BD8"/>
    <w:rsid w:val="000C08A2"/>
    <w:rsid w:val="000C2651"/>
    <w:rsid w:val="000C2C08"/>
    <w:rsid w:val="000C4D55"/>
    <w:rsid w:val="000C5D7B"/>
    <w:rsid w:val="000C75C6"/>
    <w:rsid w:val="000D20D8"/>
    <w:rsid w:val="000D67B7"/>
    <w:rsid w:val="000D6EAD"/>
    <w:rsid w:val="000D7D5F"/>
    <w:rsid w:val="000E1E9D"/>
    <w:rsid w:val="000E24FF"/>
    <w:rsid w:val="000E2879"/>
    <w:rsid w:val="000E2BA1"/>
    <w:rsid w:val="000E699A"/>
    <w:rsid w:val="000F002B"/>
    <w:rsid w:val="000F0033"/>
    <w:rsid w:val="000F29EE"/>
    <w:rsid w:val="000F5706"/>
    <w:rsid w:val="000F6210"/>
    <w:rsid w:val="000F6C79"/>
    <w:rsid w:val="00100367"/>
    <w:rsid w:val="00100904"/>
    <w:rsid w:val="001015B6"/>
    <w:rsid w:val="00102302"/>
    <w:rsid w:val="00104407"/>
    <w:rsid w:val="0011087E"/>
    <w:rsid w:val="00110C3F"/>
    <w:rsid w:val="00117285"/>
    <w:rsid w:val="001213A8"/>
    <w:rsid w:val="001215E9"/>
    <w:rsid w:val="0012230C"/>
    <w:rsid w:val="00123CC5"/>
    <w:rsid w:val="00124F2D"/>
    <w:rsid w:val="00125613"/>
    <w:rsid w:val="00125A3D"/>
    <w:rsid w:val="00127660"/>
    <w:rsid w:val="00130287"/>
    <w:rsid w:val="001314F2"/>
    <w:rsid w:val="0013167A"/>
    <w:rsid w:val="00134E40"/>
    <w:rsid w:val="00135F2D"/>
    <w:rsid w:val="001360AE"/>
    <w:rsid w:val="001365BE"/>
    <w:rsid w:val="00136911"/>
    <w:rsid w:val="00137FDA"/>
    <w:rsid w:val="00142D8D"/>
    <w:rsid w:val="0014324D"/>
    <w:rsid w:val="001450B5"/>
    <w:rsid w:val="001455E9"/>
    <w:rsid w:val="001465F0"/>
    <w:rsid w:val="00150F13"/>
    <w:rsid w:val="001511C8"/>
    <w:rsid w:val="00152F0B"/>
    <w:rsid w:val="001532D5"/>
    <w:rsid w:val="00155606"/>
    <w:rsid w:val="001574B3"/>
    <w:rsid w:val="00157D6A"/>
    <w:rsid w:val="001608EC"/>
    <w:rsid w:val="00160AC0"/>
    <w:rsid w:val="001614B8"/>
    <w:rsid w:val="00161F60"/>
    <w:rsid w:val="00163C01"/>
    <w:rsid w:val="00164E19"/>
    <w:rsid w:val="001654EF"/>
    <w:rsid w:val="00165B19"/>
    <w:rsid w:val="00166471"/>
    <w:rsid w:val="00166B5A"/>
    <w:rsid w:val="001670ED"/>
    <w:rsid w:val="0016737A"/>
    <w:rsid w:val="00167395"/>
    <w:rsid w:val="00167403"/>
    <w:rsid w:val="00167D22"/>
    <w:rsid w:val="00167D54"/>
    <w:rsid w:val="001702AE"/>
    <w:rsid w:val="00172EEE"/>
    <w:rsid w:val="001754B6"/>
    <w:rsid w:val="00177223"/>
    <w:rsid w:val="0017792D"/>
    <w:rsid w:val="001816A1"/>
    <w:rsid w:val="00181F4B"/>
    <w:rsid w:val="001827EE"/>
    <w:rsid w:val="0018361F"/>
    <w:rsid w:val="00183E92"/>
    <w:rsid w:val="00184265"/>
    <w:rsid w:val="001848B4"/>
    <w:rsid w:val="00184B69"/>
    <w:rsid w:val="00186C2A"/>
    <w:rsid w:val="00190439"/>
    <w:rsid w:val="00192D58"/>
    <w:rsid w:val="00196E71"/>
    <w:rsid w:val="00197CF5"/>
    <w:rsid w:val="001A2FDF"/>
    <w:rsid w:val="001A435F"/>
    <w:rsid w:val="001A6366"/>
    <w:rsid w:val="001B1429"/>
    <w:rsid w:val="001B1A5D"/>
    <w:rsid w:val="001B56ED"/>
    <w:rsid w:val="001B5C89"/>
    <w:rsid w:val="001B6E5D"/>
    <w:rsid w:val="001B722E"/>
    <w:rsid w:val="001C37C9"/>
    <w:rsid w:val="001C66F1"/>
    <w:rsid w:val="001C6F2D"/>
    <w:rsid w:val="001D0F3F"/>
    <w:rsid w:val="001D23CC"/>
    <w:rsid w:val="001D31A6"/>
    <w:rsid w:val="001D54D2"/>
    <w:rsid w:val="001D644E"/>
    <w:rsid w:val="001D648B"/>
    <w:rsid w:val="001D758F"/>
    <w:rsid w:val="001E01BF"/>
    <w:rsid w:val="001E09F2"/>
    <w:rsid w:val="001E688F"/>
    <w:rsid w:val="001E6C8E"/>
    <w:rsid w:val="001F277A"/>
    <w:rsid w:val="001F2991"/>
    <w:rsid w:val="001F2A42"/>
    <w:rsid w:val="001F3F75"/>
    <w:rsid w:val="001F4586"/>
    <w:rsid w:val="001F5E17"/>
    <w:rsid w:val="001F706F"/>
    <w:rsid w:val="001F7A94"/>
    <w:rsid w:val="00200827"/>
    <w:rsid w:val="0020158B"/>
    <w:rsid w:val="00202274"/>
    <w:rsid w:val="00203104"/>
    <w:rsid w:val="0020400A"/>
    <w:rsid w:val="00204F3F"/>
    <w:rsid w:val="00205F22"/>
    <w:rsid w:val="00207175"/>
    <w:rsid w:val="00212093"/>
    <w:rsid w:val="00212955"/>
    <w:rsid w:val="00212B30"/>
    <w:rsid w:val="0021380A"/>
    <w:rsid w:val="0021589C"/>
    <w:rsid w:val="0021776A"/>
    <w:rsid w:val="002205F0"/>
    <w:rsid w:val="00220C72"/>
    <w:rsid w:val="00220DAC"/>
    <w:rsid w:val="0022238D"/>
    <w:rsid w:val="0022249B"/>
    <w:rsid w:val="00223853"/>
    <w:rsid w:val="002244CC"/>
    <w:rsid w:val="00230DDD"/>
    <w:rsid w:val="00233C93"/>
    <w:rsid w:val="00235864"/>
    <w:rsid w:val="00236641"/>
    <w:rsid w:val="00236728"/>
    <w:rsid w:val="00240C0A"/>
    <w:rsid w:val="0024363C"/>
    <w:rsid w:val="00243745"/>
    <w:rsid w:val="00244DC3"/>
    <w:rsid w:val="0024553F"/>
    <w:rsid w:val="00246DC8"/>
    <w:rsid w:val="00247A09"/>
    <w:rsid w:val="002501FA"/>
    <w:rsid w:val="002518CA"/>
    <w:rsid w:val="002531B8"/>
    <w:rsid w:val="00253DF9"/>
    <w:rsid w:val="00254A8B"/>
    <w:rsid w:val="0025635A"/>
    <w:rsid w:val="002568BD"/>
    <w:rsid w:val="00256A85"/>
    <w:rsid w:val="00256F25"/>
    <w:rsid w:val="00257240"/>
    <w:rsid w:val="00257A64"/>
    <w:rsid w:val="00257B63"/>
    <w:rsid w:val="002607D3"/>
    <w:rsid w:val="00260A07"/>
    <w:rsid w:val="00260FC4"/>
    <w:rsid w:val="002617CE"/>
    <w:rsid w:val="00261E81"/>
    <w:rsid w:val="00262B44"/>
    <w:rsid w:val="00264915"/>
    <w:rsid w:val="00265870"/>
    <w:rsid w:val="002658E6"/>
    <w:rsid w:val="00265A82"/>
    <w:rsid w:val="00265B32"/>
    <w:rsid w:val="00265E6C"/>
    <w:rsid w:val="00266188"/>
    <w:rsid w:val="00270AA3"/>
    <w:rsid w:val="00275730"/>
    <w:rsid w:val="002810B1"/>
    <w:rsid w:val="00281155"/>
    <w:rsid w:val="00281C13"/>
    <w:rsid w:val="00282194"/>
    <w:rsid w:val="002823B5"/>
    <w:rsid w:val="00282525"/>
    <w:rsid w:val="00283229"/>
    <w:rsid w:val="00284495"/>
    <w:rsid w:val="0028771A"/>
    <w:rsid w:val="002877D7"/>
    <w:rsid w:val="0029022B"/>
    <w:rsid w:val="00290316"/>
    <w:rsid w:val="00290783"/>
    <w:rsid w:val="00291546"/>
    <w:rsid w:val="00291E67"/>
    <w:rsid w:val="00293E21"/>
    <w:rsid w:val="00294CF3"/>
    <w:rsid w:val="00296BF0"/>
    <w:rsid w:val="00296BF8"/>
    <w:rsid w:val="00296E51"/>
    <w:rsid w:val="00297D8F"/>
    <w:rsid w:val="002A05D5"/>
    <w:rsid w:val="002A08A9"/>
    <w:rsid w:val="002A1077"/>
    <w:rsid w:val="002A1ED2"/>
    <w:rsid w:val="002A21B4"/>
    <w:rsid w:val="002A304E"/>
    <w:rsid w:val="002A3EA9"/>
    <w:rsid w:val="002A44CC"/>
    <w:rsid w:val="002A47BE"/>
    <w:rsid w:val="002A53EC"/>
    <w:rsid w:val="002A65D0"/>
    <w:rsid w:val="002A6BD2"/>
    <w:rsid w:val="002A77A1"/>
    <w:rsid w:val="002B1946"/>
    <w:rsid w:val="002B21DD"/>
    <w:rsid w:val="002B2862"/>
    <w:rsid w:val="002B3663"/>
    <w:rsid w:val="002B5EB2"/>
    <w:rsid w:val="002B5EB3"/>
    <w:rsid w:val="002C0247"/>
    <w:rsid w:val="002C0553"/>
    <w:rsid w:val="002C1183"/>
    <w:rsid w:val="002C150D"/>
    <w:rsid w:val="002C2DCA"/>
    <w:rsid w:val="002C3230"/>
    <w:rsid w:val="002C39FA"/>
    <w:rsid w:val="002C7E54"/>
    <w:rsid w:val="002D0C8A"/>
    <w:rsid w:val="002D3D99"/>
    <w:rsid w:val="002E0FB5"/>
    <w:rsid w:val="002E393D"/>
    <w:rsid w:val="002E3F3C"/>
    <w:rsid w:val="002E54AE"/>
    <w:rsid w:val="002E5589"/>
    <w:rsid w:val="002E5D60"/>
    <w:rsid w:val="002E62A0"/>
    <w:rsid w:val="002F0EA6"/>
    <w:rsid w:val="002F185B"/>
    <w:rsid w:val="002F2474"/>
    <w:rsid w:val="002F3D4B"/>
    <w:rsid w:val="002F5262"/>
    <w:rsid w:val="002F5433"/>
    <w:rsid w:val="002F59B5"/>
    <w:rsid w:val="0030136B"/>
    <w:rsid w:val="00302EC8"/>
    <w:rsid w:val="0031041F"/>
    <w:rsid w:val="00310D11"/>
    <w:rsid w:val="0031115E"/>
    <w:rsid w:val="0031231C"/>
    <w:rsid w:val="00314029"/>
    <w:rsid w:val="0031535B"/>
    <w:rsid w:val="0031608F"/>
    <w:rsid w:val="00321F1C"/>
    <w:rsid w:val="00322C9F"/>
    <w:rsid w:val="00323BD4"/>
    <w:rsid w:val="00330FB4"/>
    <w:rsid w:val="003327B2"/>
    <w:rsid w:val="00333410"/>
    <w:rsid w:val="0033453A"/>
    <w:rsid w:val="00334D45"/>
    <w:rsid w:val="0033548D"/>
    <w:rsid w:val="00336505"/>
    <w:rsid w:val="00340A23"/>
    <w:rsid w:val="00341153"/>
    <w:rsid w:val="00341AB2"/>
    <w:rsid w:val="00342AE4"/>
    <w:rsid w:val="00342D7C"/>
    <w:rsid w:val="00343B74"/>
    <w:rsid w:val="0034441B"/>
    <w:rsid w:val="00347003"/>
    <w:rsid w:val="00350146"/>
    <w:rsid w:val="0035025F"/>
    <w:rsid w:val="00350379"/>
    <w:rsid w:val="00351CCF"/>
    <w:rsid w:val="003524B8"/>
    <w:rsid w:val="0035338D"/>
    <w:rsid w:val="0035433F"/>
    <w:rsid w:val="003547C9"/>
    <w:rsid w:val="00357012"/>
    <w:rsid w:val="00357579"/>
    <w:rsid w:val="003607F7"/>
    <w:rsid w:val="00360F1F"/>
    <w:rsid w:val="00361078"/>
    <w:rsid w:val="003637E7"/>
    <w:rsid w:val="0036395D"/>
    <w:rsid w:val="003653CE"/>
    <w:rsid w:val="00365B92"/>
    <w:rsid w:val="00365EAD"/>
    <w:rsid w:val="00366F05"/>
    <w:rsid w:val="003670D6"/>
    <w:rsid w:val="00371053"/>
    <w:rsid w:val="00371817"/>
    <w:rsid w:val="003723A8"/>
    <w:rsid w:val="00372D22"/>
    <w:rsid w:val="00373BF4"/>
    <w:rsid w:val="003753BE"/>
    <w:rsid w:val="00387F3D"/>
    <w:rsid w:val="00391D51"/>
    <w:rsid w:val="00392898"/>
    <w:rsid w:val="00393E0F"/>
    <w:rsid w:val="0039413C"/>
    <w:rsid w:val="003A226A"/>
    <w:rsid w:val="003A3558"/>
    <w:rsid w:val="003A6041"/>
    <w:rsid w:val="003A72CA"/>
    <w:rsid w:val="003B101A"/>
    <w:rsid w:val="003B24A7"/>
    <w:rsid w:val="003B29E0"/>
    <w:rsid w:val="003B2F61"/>
    <w:rsid w:val="003B3EBA"/>
    <w:rsid w:val="003B568D"/>
    <w:rsid w:val="003B600C"/>
    <w:rsid w:val="003B633E"/>
    <w:rsid w:val="003B7648"/>
    <w:rsid w:val="003C17EB"/>
    <w:rsid w:val="003C1927"/>
    <w:rsid w:val="003C4E1E"/>
    <w:rsid w:val="003C529D"/>
    <w:rsid w:val="003C6B09"/>
    <w:rsid w:val="003C7A84"/>
    <w:rsid w:val="003D054B"/>
    <w:rsid w:val="003D1206"/>
    <w:rsid w:val="003D12BF"/>
    <w:rsid w:val="003D1504"/>
    <w:rsid w:val="003D2D85"/>
    <w:rsid w:val="003D7D0A"/>
    <w:rsid w:val="003E19F5"/>
    <w:rsid w:val="003E1C8A"/>
    <w:rsid w:val="003E3A0F"/>
    <w:rsid w:val="003E5355"/>
    <w:rsid w:val="003E686A"/>
    <w:rsid w:val="003F1D75"/>
    <w:rsid w:val="003F2C56"/>
    <w:rsid w:val="003F2E00"/>
    <w:rsid w:val="003F2F31"/>
    <w:rsid w:val="003F648D"/>
    <w:rsid w:val="003F7318"/>
    <w:rsid w:val="00401314"/>
    <w:rsid w:val="00401FFC"/>
    <w:rsid w:val="0040538E"/>
    <w:rsid w:val="004069E1"/>
    <w:rsid w:val="00407F3F"/>
    <w:rsid w:val="0041086F"/>
    <w:rsid w:val="00410C49"/>
    <w:rsid w:val="00411209"/>
    <w:rsid w:val="00413882"/>
    <w:rsid w:val="00413DBD"/>
    <w:rsid w:val="00414374"/>
    <w:rsid w:val="004148C0"/>
    <w:rsid w:val="00415314"/>
    <w:rsid w:val="00416650"/>
    <w:rsid w:val="00417CA4"/>
    <w:rsid w:val="00420058"/>
    <w:rsid w:val="004207E4"/>
    <w:rsid w:val="0042119F"/>
    <w:rsid w:val="00421FC4"/>
    <w:rsid w:val="004225F1"/>
    <w:rsid w:val="004254F2"/>
    <w:rsid w:val="004255DA"/>
    <w:rsid w:val="0042576C"/>
    <w:rsid w:val="00426113"/>
    <w:rsid w:val="00426933"/>
    <w:rsid w:val="00430DE2"/>
    <w:rsid w:val="00431415"/>
    <w:rsid w:val="00432FAD"/>
    <w:rsid w:val="00433513"/>
    <w:rsid w:val="00433B9B"/>
    <w:rsid w:val="00433FD2"/>
    <w:rsid w:val="00436AEB"/>
    <w:rsid w:val="0043743E"/>
    <w:rsid w:val="004379DF"/>
    <w:rsid w:val="00440FBF"/>
    <w:rsid w:val="00441D87"/>
    <w:rsid w:val="00445843"/>
    <w:rsid w:val="00450371"/>
    <w:rsid w:val="004508E5"/>
    <w:rsid w:val="00450F3D"/>
    <w:rsid w:val="00451C07"/>
    <w:rsid w:val="004536A8"/>
    <w:rsid w:val="00454C55"/>
    <w:rsid w:val="00455B96"/>
    <w:rsid w:val="00456E23"/>
    <w:rsid w:val="0046088C"/>
    <w:rsid w:val="00462765"/>
    <w:rsid w:val="0046642C"/>
    <w:rsid w:val="00467085"/>
    <w:rsid w:val="004677FB"/>
    <w:rsid w:val="00472EE6"/>
    <w:rsid w:val="0047416B"/>
    <w:rsid w:val="0047472D"/>
    <w:rsid w:val="0047643D"/>
    <w:rsid w:val="00476E56"/>
    <w:rsid w:val="004770F6"/>
    <w:rsid w:val="004772CB"/>
    <w:rsid w:val="004779AF"/>
    <w:rsid w:val="00480236"/>
    <w:rsid w:val="0048213B"/>
    <w:rsid w:val="0048448E"/>
    <w:rsid w:val="00484C80"/>
    <w:rsid w:val="00485C9E"/>
    <w:rsid w:val="00485E4A"/>
    <w:rsid w:val="0049030F"/>
    <w:rsid w:val="004916B5"/>
    <w:rsid w:val="0049292D"/>
    <w:rsid w:val="0049583E"/>
    <w:rsid w:val="004971AA"/>
    <w:rsid w:val="00497982"/>
    <w:rsid w:val="004A199E"/>
    <w:rsid w:val="004A3001"/>
    <w:rsid w:val="004A4690"/>
    <w:rsid w:val="004A470C"/>
    <w:rsid w:val="004A7F8B"/>
    <w:rsid w:val="004B1CBA"/>
    <w:rsid w:val="004B1D5D"/>
    <w:rsid w:val="004B3993"/>
    <w:rsid w:val="004B4A56"/>
    <w:rsid w:val="004B5E6D"/>
    <w:rsid w:val="004B6FA6"/>
    <w:rsid w:val="004C0FA4"/>
    <w:rsid w:val="004C2DFA"/>
    <w:rsid w:val="004C4B46"/>
    <w:rsid w:val="004C7032"/>
    <w:rsid w:val="004C7E74"/>
    <w:rsid w:val="004D1DBB"/>
    <w:rsid w:val="004D2C7B"/>
    <w:rsid w:val="004D31B5"/>
    <w:rsid w:val="004D31FF"/>
    <w:rsid w:val="004D3BC6"/>
    <w:rsid w:val="004D524D"/>
    <w:rsid w:val="004D7551"/>
    <w:rsid w:val="004E3E71"/>
    <w:rsid w:val="004E56CE"/>
    <w:rsid w:val="004E58CA"/>
    <w:rsid w:val="004E5BF9"/>
    <w:rsid w:val="004E6D6F"/>
    <w:rsid w:val="004E7560"/>
    <w:rsid w:val="004F0A43"/>
    <w:rsid w:val="004F136D"/>
    <w:rsid w:val="004F2027"/>
    <w:rsid w:val="004F3A8F"/>
    <w:rsid w:val="00501FA5"/>
    <w:rsid w:val="005021D0"/>
    <w:rsid w:val="005048F4"/>
    <w:rsid w:val="0050584E"/>
    <w:rsid w:val="005059B8"/>
    <w:rsid w:val="00505AD3"/>
    <w:rsid w:val="00507110"/>
    <w:rsid w:val="005112E8"/>
    <w:rsid w:val="005128CE"/>
    <w:rsid w:val="0051316F"/>
    <w:rsid w:val="00514B3F"/>
    <w:rsid w:val="00515920"/>
    <w:rsid w:val="0051696B"/>
    <w:rsid w:val="0051734F"/>
    <w:rsid w:val="00521E0E"/>
    <w:rsid w:val="00521F3C"/>
    <w:rsid w:val="00525312"/>
    <w:rsid w:val="005253DF"/>
    <w:rsid w:val="0052583D"/>
    <w:rsid w:val="0052651C"/>
    <w:rsid w:val="00526701"/>
    <w:rsid w:val="00527724"/>
    <w:rsid w:val="00527D10"/>
    <w:rsid w:val="005305E8"/>
    <w:rsid w:val="00530E9C"/>
    <w:rsid w:val="00531517"/>
    <w:rsid w:val="00531B13"/>
    <w:rsid w:val="00531D31"/>
    <w:rsid w:val="00533897"/>
    <w:rsid w:val="00535F05"/>
    <w:rsid w:val="00536068"/>
    <w:rsid w:val="005370C6"/>
    <w:rsid w:val="00540638"/>
    <w:rsid w:val="005415BD"/>
    <w:rsid w:val="00541CC0"/>
    <w:rsid w:val="00541EF7"/>
    <w:rsid w:val="005426EA"/>
    <w:rsid w:val="00547179"/>
    <w:rsid w:val="005473A9"/>
    <w:rsid w:val="00552063"/>
    <w:rsid w:val="00552AD1"/>
    <w:rsid w:val="005531EB"/>
    <w:rsid w:val="00555651"/>
    <w:rsid w:val="00557A0A"/>
    <w:rsid w:val="00561A23"/>
    <w:rsid w:val="00562BE4"/>
    <w:rsid w:val="00564A6F"/>
    <w:rsid w:val="00564DFA"/>
    <w:rsid w:val="00565192"/>
    <w:rsid w:val="0056751C"/>
    <w:rsid w:val="00567770"/>
    <w:rsid w:val="00567982"/>
    <w:rsid w:val="00571089"/>
    <w:rsid w:val="00571818"/>
    <w:rsid w:val="005719F4"/>
    <w:rsid w:val="005734B9"/>
    <w:rsid w:val="00573F5D"/>
    <w:rsid w:val="00574162"/>
    <w:rsid w:val="00574415"/>
    <w:rsid w:val="005764B6"/>
    <w:rsid w:val="005774DE"/>
    <w:rsid w:val="005813D1"/>
    <w:rsid w:val="005837A6"/>
    <w:rsid w:val="005849FD"/>
    <w:rsid w:val="00587212"/>
    <w:rsid w:val="0059015F"/>
    <w:rsid w:val="00593606"/>
    <w:rsid w:val="00594F8B"/>
    <w:rsid w:val="005A08AC"/>
    <w:rsid w:val="005A21A1"/>
    <w:rsid w:val="005A31FD"/>
    <w:rsid w:val="005A3BF9"/>
    <w:rsid w:val="005A64AA"/>
    <w:rsid w:val="005A6D80"/>
    <w:rsid w:val="005B0DBE"/>
    <w:rsid w:val="005B119E"/>
    <w:rsid w:val="005B2586"/>
    <w:rsid w:val="005B25A8"/>
    <w:rsid w:val="005B4176"/>
    <w:rsid w:val="005B48BB"/>
    <w:rsid w:val="005B7250"/>
    <w:rsid w:val="005C060B"/>
    <w:rsid w:val="005C22D6"/>
    <w:rsid w:val="005C406B"/>
    <w:rsid w:val="005D1BE4"/>
    <w:rsid w:val="005D2B23"/>
    <w:rsid w:val="005D3FA6"/>
    <w:rsid w:val="005E2FCE"/>
    <w:rsid w:val="005E3789"/>
    <w:rsid w:val="005E4260"/>
    <w:rsid w:val="005E56F6"/>
    <w:rsid w:val="005E5C6C"/>
    <w:rsid w:val="005E725F"/>
    <w:rsid w:val="005F0F52"/>
    <w:rsid w:val="005F1BE9"/>
    <w:rsid w:val="005F22CC"/>
    <w:rsid w:val="005F2519"/>
    <w:rsid w:val="005F32CE"/>
    <w:rsid w:val="005F5571"/>
    <w:rsid w:val="005F589C"/>
    <w:rsid w:val="005F6D58"/>
    <w:rsid w:val="005F70F3"/>
    <w:rsid w:val="0060059E"/>
    <w:rsid w:val="006019AA"/>
    <w:rsid w:val="006030B7"/>
    <w:rsid w:val="006033A0"/>
    <w:rsid w:val="006036F0"/>
    <w:rsid w:val="006053CC"/>
    <w:rsid w:val="00611F98"/>
    <w:rsid w:val="006121AB"/>
    <w:rsid w:val="00614B64"/>
    <w:rsid w:val="00616104"/>
    <w:rsid w:val="00620F32"/>
    <w:rsid w:val="006213E6"/>
    <w:rsid w:val="00622170"/>
    <w:rsid w:val="006225C4"/>
    <w:rsid w:val="0062280A"/>
    <w:rsid w:val="00625217"/>
    <w:rsid w:val="00625648"/>
    <w:rsid w:val="00625B6C"/>
    <w:rsid w:val="00626E5C"/>
    <w:rsid w:val="006270E6"/>
    <w:rsid w:val="00630705"/>
    <w:rsid w:val="006333C7"/>
    <w:rsid w:val="006338A8"/>
    <w:rsid w:val="00633E7B"/>
    <w:rsid w:val="00635E94"/>
    <w:rsid w:val="006408C9"/>
    <w:rsid w:val="00642BDF"/>
    <w:rsid w:val="006430AC"/>
    <w:rsid w:val="006433A8"/>
    <w:rsid w:val="00643AEC"/>
    <w:rsid w:val="00645947"/>
    <w:rsid w:val="00646DEB"/>
    <w:rsid w:val="00651662"/>
    <w:rsid w:val="006527D9"/>
    <w:rsid w:val="00653113"/>
    <w:rsid w:val="00653E70"/>
    <w:rsid w:val="00654F2F"/>
    <w:rsid w:val="00656DAC"/>
    <w:rsid w:val="00661697"/>
    <w:rsid w:val="00662EAA"/>
    <w:rsid w:val="006631AF"/>
    <w:rsid w:val="00663F4D"/>
    <w:rsid w:val="00664703"/>
    <w:rsid w:val="00670907"/>
    <w:rsid w:val="00670C34"/>
    <w:rsid w:val="006724C4"/>
    <w:rsid w:val="0067259D"/>
    <w:rsid w:val="00673019"/>
    <w:rsid w:val="00674DA1"/>
    <w:rsid w:val="006757A1"/>
    <w:rsid w:val="00675F19"/>
    <w:rsid w:val="00676664"/>
    <w:rsid w:val="00676F92"/>
    <w:rsid w:val="006805FD"/>
    <w:rsid w:val="006807E5"/>
    <w:rsid w:val="00681102"/>
    <w:rsid w:val="00682A48"/>
    <w:rsid w:val="00683C0E"/>
    <w:rsid w:val="00683DBB"/>
    <w:rsid w:val="00683DE9"/>
    <w:rsid w:val="006849DA"/>
    <w:rsid w:val="006850CE"/>
    <w:rsid w:val="00685290"/>
    <w:rsid w:val="00685AFE"/>
    <w:rsid w:val="0068602C"/>
    <w:rsid w:val="006866DC"/>
    <w:rsid w:val="00690AA1"/>
    <w:rsid w:val="00692BDA"/>
    <w:rsid w:val="0069347F"/>
    <w:rsid w:val="006940B3"/>
    <w:rsid w:val="006959EA"/>
    <w:rsid w:val="0069622B"/>
    <w:rsid w:val="006979D9"/>
    <w:rsid w:val="006A0684"/>
    <w:rsid w:val="006A22F6"/>
    <w:rsid w:val="006A4C35"/>
    <w:rsid w:val="006A72C0"/>
    <w:rsid w:val="006A754C"/>
    <w:rsid w:val="006A761D"/>
    <w:rsid w:val="006A7924"/>
    <w:rsid w:val="006A7E9D"/>
    <w:rsid w:val="006B0FF3"/>
    <w:rsid w:val="006B1F40"/>
    <w:rsid w:val="006B1FF2"/>
    <w:rsid w:val="006B6B4B"/>
    <w:rsid w:val="006C0573"/>
    <w:rsid w:val="006C0588"/>
    <w:rsid w:val="006C2B5E"/>
    <w:rsid w:val="006C3157"/>
    <w:rsid w:val="006C3BDE"/>
    <w:rsid w:val="006C5781"/>
    <w:rsid w:val="006C59F4"/>
    <w:rsid w:val="006D0068"/>
    <w:rsid w:val="006D1DAD"/>
    <w:rsid w:val="006D3B3B"/>
    <w:rsid w:val="006D657B"/>
    <w:rsid w:val="006D70C9"/>
    <w:rsid w:val="006E0244"/>
    <w:rsid w:val="006E0E73"/>
    <w:rsid w:val="006E1252"/>
    <w:rsid w:val="006E490E"/>
    <w:rsid w:val="006E538C"/>
    <w:rsid w:val="006E5669"/>
    <w:rsid w:val="006F20B4"/>
    <w:rsid w:val="006F3CF4"/>
    <w:rsid w:val="006F5ABE"/>
    <w:rsid w:val="006F708A"/>
    <w:rsid w:val="006F7278"/>
    <w:rsid w:val="006F79FC"/>
    <w:rsid w:val="007068B6"/>
    <w:rsid w:val="00706DB9"/>
    <w:rsid w:val="00706E92"/>
    <w:rsid w:val="007120D5"/>
    <w:rsid w:val="00712AF4"/>
    <w:rsid w:val="00713732"/>
    <w:rsid w:val="0071397F"/>
    <w:rsid w:val="00716666"/>
    <w:rsid w:val="0071732A"/>
    <w:rsid w:val="00720F8D"/>
    <w:rsid w:val="00722E47"/>
    <w:rsid w:val="00724CF0"/>
    <w:rsid w:val="00730362"/>
    <w:rsid w:val="00730824"/>
    <w:rsid w:val="00731235"/>
    <w:rsid w:val="00731E26"/>
    <w:rsid w:val="0073640F"/>
    <w:rsid w:val="0073653D"/>
    <w:rsid w:val="00737266"/>
    <w:rsid w:val="007372BB"/>
    <w:rsid w:val="00742893"/>
    <w:rsid w:val="00743377"/>
    <w:rsid w:val="00751710"/>
    <w:rsid w:val="00753C75"/>
    <w:rsid w:val="007544C9"/>
    <w:rsid w:val="00754CFE"/>
    <w:rsid w:val="00754F56"/>
    <w:rsid w:val="0075574D"/>
    <w:rsid w:val="00756014"/>
    <w:rsid w:val="0075760C"/>
    <w:rsid w:val="00761498"/>
    <w:rsid w:val="00762B2F"/>
    <w:rsid w:val="007651DA"/>
    <w:rsid w:val="00765F35"/>
    <w:rsid w:val="00766EF2"/>
    <w:rsid w:val="00767F4C"/>
    <w:rsid w:val="00770684"/>
    <w:rsid w:val="0077134B"/>
    <w:rsid w:val="00772368"/>
    <w:rsid w:val="0077325F"/>
    <w:rsid w:val="0077329C"/>
    <w:rsid w:val="007764A7"/>
    <w:rsid w:val="00776DFA"/>
    <w:rsid w:val="00777653"/>
    <w:rsid w:val="007843E5"/>
    <w:rsid w:val="00785936"/>
    <w:rsid w:val="00785B06"/>
    <w:rsid w:val="00786F88"/>
    <w:rsid w:val="0078709B"/>
    <w:rsid w:val="0078750B"/>
    <w:rsid w:val="00791C00"/>
    <w:rsid w:val="007929D8"/>
    <w:rsid w:val="007974D0"/>
    <w:rsid w:val="007A13F9"/>
    <w:rsid w:val="007A1520"/>
    <w:rsid w:val="007A32EB"/>
    <w:rsid w:val="007A3E1A"/>
    <w:rsid w:val="007A4950"/>
    <w:rsid w:val="007A5C6F"/>
    <w:rsid w:val="007A622E"/>
    <w:rsid w:val="007A70D3"/>
    <w:rsid w:val="007A73CB"/>
    <w:rsid w:val="007A7952"/>
    <w:rsid w:val="007B0626"/>
    <w:rsid w:val="007B451A"/>
    <w:rsid w:val="007B4F0E"/>
    <w:rsid w:val="007C3C23"/>
    <w:rsid w:val="007C6909"/>
    <w:rsid w:val="007C6CAE"/>
    <w:rsid w:val="007D1F79"/>
    <w:rsid w:val="007D2B56"/>
    <w:rsid w:val="007D3E28"/>
    <w:rsid w:val="007D5140"/>
    <w:rsid w:val="007E12F6"/>
    <w:rsid w:val="007E1376"/>
    <w:rsid w:val="007E1CB7"/>
    <w:rsid w:val="007E1FA2"/>
    <w:rsid w:val="007E2AA2"/>
    <w:rsid w:val="007E57DB"/>
    <w:rsid w:val="007E7069"/>
    <w:rsid w:val="007F0938"/>
    <w:rsid w:val="007F0F8D"/>
    <w:rsid w:val="007F1026"/>
    <w:rsid w:val="007F300E"/>
    <w:rsid w:val="007F370B"/>
    <w:rsid w:val="007F37A9"/>
    <w:rsid w:val="007F37DD"/>
    <w:rsid w:val="007F5C76"/>
    <w:rsid w:val="007F5D31"/>
    <w:rsid w:val="007F61EF"/>
    <w:rsid w:val="00800A18"/>
    <w:rsid w:val="00800F12"/>
    <w:rsid w:val="0080158F"/>
    <w:rsid w:val="00802BCF"/>
    <w:rsid w:val="00803A39"/>
    <w:rsid w:val="008045B5"/>
    <w:rsid w:val="008061BA"/>
    <w:rsid w:val="008061EC"/>
    <w:rsid w:val="00810598"/>
    <w:rsid w:val="0081062A"/>
    <w:rsid w:val="00810849"/>
    <w:rsid w:val="008129D6"/>
    <w:rsid w:val="00813818"/>
    <w:rsid w:val="00813B3B"/>
    <w:rsid w:val="0081421B"/>
    <w:rsid w:val="00814C8D"/>
    <w:rsid w:val="00815067"/>
    <w:rsid w:val="008163AF"/>
    <w:rsid w:val="008163C2"/>
    <w:rsid w:val="008204FB"/>
    <w:rsid w:val="00822764"/>
    <w:rsid w:val="00822D11"/>
    <w:rsid w:val="00825D60"/>
    <w:rsid w:val="00826FB6"/>
    <w:rsid w:val="00827534"/>
    <w:rsid w:val="00827F73"/>
    <w:rsid w:val="0083213D"/>
    <w:rsid w:val="00832888"/>
    <w:rsid w:val="00832D93"/>
    <w:rsid w:val="00834636"/>
    <w:rsid w:val="00836D88"/>
    <w:rsid w:val="00837229"/>
    <w:rsid w:val="00837439"/>
    <w:rsid w:val="008400BE"/>
    <w:rsid w:val="00840C40"/>
    <w:rsid w:val="00841FB5"/>
    <w:rsid w:val="00842329"/>
    <w:rsid w:val="0084362E"/>
    <w:rsid w:val="00843F1B"/>
    <w:rsid w:val="008447F3"/>
    <w:rsid w:val="00846598"/>
    <w:rsid w:val="00851106"/>
    <w:rsid w:val="00852E00"/>
    <w:rsid w:val="00853CC0"/>
    <w:rsid w:val="00853CDF"/>
    <w:rsid w:val="00854BC0"/>
    <w:rsid w:val="00856B9C"/>
    <w:rsid w:val="00857941"/>
    <w:rsid w:val="00865713"/>
    <w:rsid w:val="00866FFE"/>
    <w:rsid w:val="00870473"/>
    <w:rsid w:val="00870506"/>
    <w:rsid w:val="0087130C"/>
    <w:rsid w:val="008716B4"/>
    <w:rsid w:val="00871806"/>
    <w:rsid w:val="00871DD8"/>
    <w:rsid w:val="00872C5D"/>
    <w:rsid w:val="00874B44"/>
    <w:rsid w:val="00874FDA"/>
    <w:rsid w:val="0087557F"/>
    <w:rsid w:val="00880F11"/>
    <w:rsid w:val="00880F4F"/>
    <w:rsid w:val="008813E0"/>
    <w:rsid w:val="0088620C"/>
    <w:rsid w:val="00886974"/>
    <w:rsid w:val="0088712D"/>
    <w:rsid w:val="00891587"/>
    <w:rsid w:val="0089160E"/>
    <w:rsid w:val="00894AA3"/>
    <w:rsid w:val="00897C3E"/>
    <w:rsid w:val="008A154C"/>
    <w:rsid w:val="008A3575"/>
    <w:rsid w:val="008A50F3"/>
    <w:rsid w:val="008A566B"/>
    <w:rsid w:val="008A6E51"/>
    <w:rsid w:val="008B06E7"/>
    <w:rsid w:val="008B0CFF"/>
    <w:rsid w:val="008B2D10"/>
    <w:rsid w:val="008B3DD0"/>
    <w:rsid w:val="008B433C"/>
    <w:rsid w:val="008B686C"/>
    <w:rsid w:val="008B7DF6"/>
    <w:rsid w:val="008C0B89"/>
    <w:rsid w:val="008C1A2F"/>
    <w:rsid w:val="008C32BB"/>
    <w:rsid w:val="008C4413"/>
    <w:rsid w:val="008C57E6"/>
    <w:rsid w:val="008D1E08"/>
    <w:rsid w:val="008D30EF"/>
    <w:rsid w:val="008D60FB"/>
    <w:rsid w:val="008D734C"/>
    <w:rsid w:val="008E02AB"/>
    <w:rsid w:val="008E15A3"/>
    <w:rsid w:val="008E48BB"/>
    <w:rsid w:val="008E5297"/>
    <w:rsid w:val="008F00A6"/>
    <w:rsid w:val="008F1765"/>
    <w:rsid w:val="008F1B23"/>
    <w:rsid w:val="008F3B88"/>
    <w:rsid w:val="008F4FE4"/>
    <w:rsid w:val="008F70BE"/>
    <w:rsid w:val="008F7BE9"/>
    <w:rsid w:val="0090219F"/>
    <w:rsid w:val="009041D1"/>
    <w:rsid w:val="00905EBF"/>
    <w:rsid w:val="009118A5"/>
    <w:rsid w:val="0091263B"/>
    <w:rsid w:val="0091310C"/>
    <w:rsid w:val="0091571A"/>
    <w:rsid w:val="009159F0"/>
    <w:rsid w:val="00920684"/>
    <w:rsid w:val="00921CE1"/>
    <w:rsid w:val="0092268B"/>
    <w:rsid w:val="009248C5"/>
    <w:rsid w:val="00926B61"/>
    <w:rsid w:val="00932488"/>
    <w:rsid w:val="00932910"/>
    <w:rsid w:val="009336FF"/>
    <w:rsid w:val="009339BD"/>
    <w:rsid w:val="00935A78"/>
    <w:rsid w:val="00936E27"/>
    <w:rsid w:val="00937341"/>
    <w:rsid w:val="009376F8"/>
    <w:rsid w:val="009418B0"/>
    <w:rsid w:val="0094376E"/>
    <w:rsid w:val="0094404F"/>
    <w:rsid w:val="00945240"/>
    <w:rsid w:val="009460A6"/>
    <w:rsid w:val="00946F86"/>
    <w:rsid w:val="00951E99"/>
    <w:rsid w:val="00952275"/>
    <w:rsid w:val="00952F8E"/>
    <w:rsid w:val="00954E43"/>
    <w:rsid w:val="00955E7C"/>
    <w:rsid w:val="00956EB2"/>
    <w:rsid w:val="00957DC8"/>
    <w:rsid w:val="00961848"/>
    <w:rsid w:val="00961B94"/>
    <w:rsid w:val="0096226A"/>
    <w:rsid w:val="00963B1D"/>
    <w:rsid w:val="009662E1"/>
    <w:rsid w:val="00966AC4"/>
    <w:rsid w:val="00967A4D"/>
    <w:rsid w:val="009715D5"/>
    <w:rsid w:val="00972508"/>
    <w:rsid w:val="00973705"/>
    <w:rsid w:val="0097524B"/>
    <w:rsid w:val="00975E6B"/>
    <w:rsid w:val="009767AF"/>
    <w:rsid w:val="0097766E"/>
    <w:rsid w:val="00981616"/>
    <w:rsid w:val="0098250A"/>
    <w:rsid w:val="00984095"/>
    <w:rsid w:val="00984AFB"/>
    <w:rsid w:val="00985D5F"/>
    <w:rsid w:val="009865BE"/>
    <w:rsid w:val="0099104D"/>
    <w:rsid w:val="009A0327"/>
    <w:rsid w:val="009A274A"/>
    <w:rsid w:val="009A2E56"/>
    <w:rsid w:val="009A6DF5"/>
    <w:rsid w:val="009A7E20"/>
    <w:rsid w:val="009B0D66"/>
    <w:rsid w:val="009B16D7"/>
    <w:rsid w:val="009B1A1F"/>
    <w:rsid w:val="009B30AC"/>
    <w:rsid w:val="009B472F"/>
    <w:rsid w:val="009B4DEA"/>
    <w:rsid w:val="009B5C9B"/>
    <w:rsid w:val="009B6CDF"/>
    <w:rsid w:val="009C1658"/>
    <w:rsid w:val="009C3487"/>
    <w:rsid w:val="009C7231"/>
    <w:rsid w:val="009D087C"/>
    <w:rsid w:val="009D0B42"/>
    <w:rsid w:val="009D0DEB"/>
    <w:rsid w:val="009D2A75"/>
    <w:rsid w:val="009D631F"/>
    <w:rsid w:val="009D6FEC"/>
    <w:rsid w:val="009E4369"/>
    <w:rsid w:val="009E5A76"/>
    <w:rsid w:val="009E73D9"/>
    <w:rsid w:val="009E7C96"/>
    <w:rsid w:val="009E7DEC"/>
    <w:rsid w:val="009F31D0"/>
    <w:rsid w:val="009F3610"/>
    <w:rsid w:val="009F63FE"/>
    <w:rsid w:val="009F6E66"/>
    <w:rsid w:val="009F6EF0"/>
    <w:rsid w:val="009F6FEF"/>
    <w:rsid w:val="00A02B7D"/>
    <w:rsid w:val="00A052BB"/>
    <w:rsid w:val="00A0547D"/>
    <w:rsid w:val="00A07C77"/>
    <w:rsid w:val="00A110FA"/>
    <w:rsid w:val="00A1140A"/>
    <w:rsid w:val="00A1479A"/>
    <w:rsid w:val="00A1636C"/>
    <w:rsid w:val="00A16B47"/>
    <w:rsid w:val="00A16EAB"/>
    <w:rsid w:val="00A16FE4"/>
    <w:rsid w:val="00A17573"/>
    <w:rsid w:val="00A17A08"/>
    <w:rsid w:val="00A20409"/>
    <w:rsid w:val="00A20EEE"/>
    <w:rsid w:val="00A218CF"/>
    <w:rsid w:val="00A253B4"/>
    <w:rsid w:val="00A262F8"/>
    <w:rsid w:val="00A26B04"/>
    <w:rsid w:val="00A33A36"/>
    <w:rsid w:val="00A34A00"/>
    <w:rsid w:val="00A35CEC"/>
    <w:rsid w:val="00A36091"/>
    <w:rsid w:val="00A369F3"/>
    <w:rsid w:val="00A36AEF"/>
    <w:rsid w:val="00A40CE6"/>
    <w:rsid w:val="00A45DC8"/>
    <w:rsid w:val="00A468B1"/>
    <w:rsid w:val="00A53453"/>
    <w:rsid w:val="00A54188"/>
    <w:rsid w:val="00A5453B"/>
    <w:rsid w:val="00A5670D"/>
    <w:rsid w:val="00A56A37"/>
    <w:rsid w:val="00A57587"/>
    <w:rsid w:val="00A6083A"/>
    <w:rsid w:val="00A619CE"/>
    <w:rsid w:val="00A64DA9"/>
    <w:rsid w:val="00A65559"/>
    <w:rsid w:val="00A673A5"/>
    <w:rsid w:val="00A678EB"/>
    <w:rsid w:val="00A70C3E"/>
    <w:rsid w:val="00A72113"/>
    <w:rsid w:val="00A72A7B"/>
    <w:rsid w:val="00A735F8"/>
    <w:rsid w:val="00A73A71"/>
    <w:rsid w:val="00A744A5"/>
    <w:rsid w:val="00A748D3"/>
    <w:rsid w:val="00A752A1"/>
    <w:rsid w:val="00A75AF8"/>
    <w:rsid w:val="00A76A1E"/>
    <w:rsid w:val="00A77044"/>
    <w:rsid w:val="00A77155"/>
    <w:rsid w:val="00A777C3"/>
    <w:rsid w:val="00A77B4B"/>
    <w:rsid w:val="00A812CE"/>
    <w:rsid w:val="00A81E7F"/>
    <w:rsid w:val="00A83538"/>
    <w:rsid w:val="00A83D86"/>
    <w:rsid w:val="00A84E22"/>
    <w:rsid w:val="00A866C0"/>
    <w:rsid w:val="00A90013"/>
    <w:rsid w:val="00A907F6"/>
    <w:rsid w:val="00A90830"/>
    <w:rsid w:val="00A92ED0"/>
    <w:rsid w:val="00A93656"/>
    <w:rsid w:val="00A941EA"/>
    <w:rsid w:val="00A95668"/>
    <w:rsid w:val="00A9672D"/>
    <w:rsid w:val="00AA0D0E"/>
    <w:rsid w:val="00AA36F4"/>
    <w:rsid w:val="00AA3C9E"/>
    <w:rsid w:val="00AA728E"/>
    <w:rsid w:val="00AB2894"/>
    <w:rsid w:val="00AB36F8"/>
    <w:rsid w:val="00AB613F"/>
    <w:rsid w:val="00AC02E5"/>
    <w:rsid w:val="00AC2D98"/>
    <w:rsid w:val="00AC417A"/>
    <w:rsid w:val="00AC4D99"/>
    <w:rsid w:val="00AC6C2C"/>
    <w:rsid w:val="00AC700E"/>
    <w:rsid w:val="00AC7A37"/>
    <w:rsid w:val="00AD0C69"/>
    <w:rsid w:val="00AD1659"/>
    <w:rsid w:val="00AD4ED0"/>
    <w:rsid w:val="00AD531C"/>
    <w:rsid w:val="00AD68D3"/>
    <w:rsid w:val="00AD73F8"/>
    <w:rsid w:val="00AE081F"/>
    <w:rsid w:val="00AE098E"/>
    <w:rsid w:val="00AE0C20"/>
    <w:rsid w:val="00AE1A69"/>
    <w:rsid w:val="00AE3254"/>
    <w:rsid w:val="00AE384D"/>
    <w:rsid w:val="00AE48C9"/>
    <w:rsid w:val="00AE4AC4"/>
    <w:rsid w:val="00AE5119"/>
    <w:rsid w:val="00AE706A"/>
    <w:rsid w:val="00AF147B"/>
    <w:rsid w:val="00AF31FF"/>
    <w:rsid w:val="00AF4408"/>
    <w:rsid w:val="00AF45C9"/>
    <w:rsid w:val="00AF7B21"/>
    <w:rsid w:val="00AF7DAC"/>
    <w:rsid w:val="00AF7EEE"/>
    <w:rsid w:val="00AF7F11"/>
    <w:rsid w:val="00B03B5A"/>
    <w:rsid w:val="00B0475B"/>
    <w:rsid w:val="00B05AD8"/>
    <w:rsid w:val="00B06B79"/>
    <w:rsid w:val="00B10A62"/>
    <w:rsid w:val="00B11932"/>
    <w:rsid w:val="00B11D5C"/>
    <w:rsid w:val="00B12D6F"/>
    <w:rsid w:val="00B1366D"/>
    <w:rsid w:val="00B20DB3"/>
    <w:rsid w:val="00B21771"/>
    <w:rsid w:val="00B2293A"/>
    <w:rsid w:val="00B22DBD"/>
    <w:rsid w:val="00B23D46"/>
    <w:rsid w:val="00B24B0E"/>
    <w:rsid w:val="00B24CBA"/>
    <w:rsid w:val="00B24F59"/>
    <w:rsid w:val="00B262E9"/>
    <w:rsid w:val="00B272DE"/>
    <w:rsid w:val="00B3037E"/>
    <w:rsid w:val="00B309FD"/>
    <w:rsid w:val="00B32817"/>
    <w:rsid w:val="00B346C6"/>
    <w:rsid w:val="00B360B5"/>
    <w:rsid w:val="00B40B88"/>
    <w:rsid w:val="00B4171D"/>
    <w:rsid w:val="00B41AF6"/>
    <w:rsid w:val="00B42976"/>
    <w:rsid w:val="00B43681"/>
    <w:rsid w:val="00B44C36"/>
    <w:rsid w:val="00B45D24"/>
    <w:rsid w:val="00B45D41"/>
    <w:rsid w:val="00B5058E"/>
    <w:rsid w:val="00B5166F"/>
    <w:rsid w:val="00B54837"/>
    <w:rsid w:val="00B549E1"/>
    <w:rsid w:val="00B559A7"/>
    <w:rsid w:val="00B55DDF"/>
    <w:rsid w:val="00B56216"/>
    <w:rsid w:val="00B56581"/>
    <w:rsid w:val="00B61000"/>
    <w:rsid w:val="00B6178C"/>
    <w:rsid w:val="00B6282A"/>
    <w:rsid w:val="00B65C06"/>
    <w:rsid w:val="00B676D0"/>
    <w:rsid w:val="00B71BA1"/>
    <w:rsid w:val="00B720B9"/>
    <w:rsid w:val="00B7370D"/>
    <w:rsid w:val="00B74A7B"/>
    <w:rsid w:val="00B75328"/>
    <w:rsid w:val="00B753C6"/>
    <w:rsid w:val="00B75FF7"/>
    <w:rsid w:val="00B772E5"/>
    <w:rsid w:val="00B80199"/>
    <w:rsid w:val="00B805F5"/>
    <w:rsid w:val="00B81BAD"/>
    <w:rsid w:val="00B82A1E"/>
    <w:rsid w:val="00B83246"/>
    <w:rsid w:val="00B840A0"/>
    <w:rsid w:val="00B8461D"/>
    <w:rsid w:val="00B8653E"/>
    <w:rsid w:val="00B865EB"/>
    <w:rsid w:val="00B8667F"/>
    <w:rsid w:val="00B90732"/>
    <w:rsid w:val="00B90815"/>
    <w:rsid w:val="00B90A91"/>
    <w:rsid w:val="00B92631"/>
    <w:rsid w:val="00B93938"/>
    <w:rsid w:val="00B93DE7"/>
    <w:rsid w:val="00B97440"/>
    <w:rsid w:val="00B97EBE"/>
    <w:rsid w:val="00BA0E14"/>
    <w:rsid w:val="00BA0F8E"/>
    <w:rsid w:val="00BA360B"/>
    <w:rsid w:val="00BA3EFE"/>
    <w:rsid w:val="00BA3F2B"/>
    <w:rsid w:val="00BA5ABF"/>
    <w:rsid w:val="00BA6C6D"/>
    <w:rsid w:val="00BA6EBA"/>
    <w:rsid w:val="00BA79C6"/>
    <w:rsid w:val="00BA7F06"/>
    <w:rsid w:val="00BB0F7D"/>
    <w:rsid w:val="00BB0FF2"/>
    <w:rsid w:val="00BB25DF"/>
    <w:rsid w:val="00BB4575"/>
    <w:rsid w:val="00BB47CB"/>
    <w:rsid w:val="00BB51B8"/>
    <w:rsid w:val="00BB64C9"/>
    <w:rsid w:val="00BB6E83"/>
    <w:rsid w:val="00BB7943"/>
    <w:rsid w:val="00BC0557"/>
    <w:rsid w:val="00BC552E"/>
    <w:rsid w:val="00BC554C"/>
    <w:rsid w:val="00BC6097"/>
    <w:rsid w:val="00BC639D"/>
    <w:rsid w:val="00BD0A00"/>
    <w:rsid w:val="00BD29C9"/>
    <w:rsid w:val="00BD395F"/>
    <w:rsid w:val="00BD4F13"/>
    <w:rsid w:val="00BD7495"/>
    <w:rsid w:val="00BD787C"/>
    <w:rsid w:val="00BE113A"/>
    <w:rsid w:val="00BE17AA"/>
    <w:rsid w:val="00BE21D4"/>
    <w:rsid w:val="00BE2BB1"/>
    <w:rsid w:val="00BE31E7"/>
    <w:rsid w:val="00BE4FC5"/>
    <w:rsid w:val="00BE50BF"/>
    <w:rsid w:val="00BE595D"/>
    <w:rsid w:val="00BE7266"/>
    <w:rsid w:val="00BE7583"/>
    <w:rsid w:val="00BE7C8E"/>
    <w:rsid w:val="00BF0520"/>
    <w:rsid w:val="00BF0A7A"/>
    <w:rsid w:val="00BF0E5A"/>
    <w:rsid w:val="00BF19C9"/>
    <w:rsid w:val="00BF2FF2"/>
    <w:rsid w:val="00BF6D62"/>
    <w:rsid w:val="00BF7365"/>
    <w:rsid w:val="00C00A9C"/>
    <w:rsid w:val="00C0223F"/>
    <w:rsid w:val="00C02BFB"/>
    <w:rsid w:val="00C03A7C"/>
    <w:rsid w:val="00C03E71"/>
    <w:rsid w:val="00C0502B"/>
    <w:rsid w:val="00C059F0"/>
    <w:rsid w:val="00C05B92"/>
    <w:rsid w:val="00C067B6"/>
    <w:rsid w:val="00C06E1A"/>
    <w:rsid w:val="00C07969"/>
    <w:rsid w:val="00C10686"/>
    <w:rsid w:val="00C10B97"/>
    <w:rsid w:val="00C12D83"/>
    <w:rsid w:val="00C13088"/>
    <w:rsid w:val="00C13AD2"/>
    <w:rsid w:val="00C14054"/>
    <w:rsid w:val="00C156C7"/>
    <w:rsid w:val="00C15B8B"/>
    <w:rsid w:val="00C16156"/>
    <w:rsid w:val="00C17AA0"/>
    <w:rsid w:val="00C17B90"/>
    <w:rsid w:val="00C2370D"/>
    <w:rsid w:val="00C23A52"/>
    <w:rsid w:val="00C241F7"/>
    <w:rsid w:val="00C24901"/>
    <w:rsid w:val="00C24AA2"/>
    <w:rsid w:val="00C2536C"/>
    <w:rsid w:val="00C253FF"/>
    <w:rsid w:val="00C26381"/>
    <w:rsid w:val="00C26488"/>
    <w:rsid w:val="00C26FB8"/>
    <w:rsid w:val="00C27235"/>
    <w:rsid w:val="00C30300"/>
    <w:rsid w:val="00C307FE"/>
    <w:rsid w:val="00C320C7"/>
    <w:rsid w:val="00C335AE"/>
    <w:rsid w:val="00C34BB4"/>
    <w:rsid w:val="00C34C31"/>
    <w:rsid w:val="00C3604A"/>
    <w:rsid w:val="00C37539"/>
    <w:rsid w:val="00C415ED"/>
    <w:rsid w:val="00C41C76"/>
    <w:rsid w:val="00C42736"/>
    <w:rsid w:val="00C42FEB"/>
    <w:rsid w:val="00C44862"/>
    <w:rsid w:val="00C44EF2"/>
    <w:rsid w:val="00C45548"/>
    <w:rsid w:val="00C45B70"/>
    <w:rsid w:val="00C47224"/>
    <w:rsid w:val="00C5290F"/>
    <w:rsid w:val="00C52EB5"/>
    <w:rsid w:val="00C53B08"/>
    <w:rsid w:val="00C53DCF"/>
    <w:rsid w:val="00C55F19"/>
    <w:rsid w:val="00C57288"/>
    <w:rsid w:val="00C622B5"/>
    <w:rsid w:val="00C623AA"/>
    <w:rsid w:val="00C636A9"/>
    <w:rsid w:val="00C65A1D"/>
    <w:rsid w:val="00C7121C"/>
    <w:rsid w:val="00C71E5B"/>
    <w:rsid w:val="00C72CFF"/>
    <w:rsid w:val="00C75033"/>
    <w:rsid w:val="00C755CB"/>
    <w:rsid w:val="00C768D0"/>
    <w:rsid w:val="00C76C44"/>
    <w:rsid w:val="00C80C21"/>
    <w:rsid w:val="00C830D5"/>
    <w:rsid w:val="00C85C35"/>
    <w:rsid w:val="00C90961"/>
    <w:rsid w:val="00C93ADB"/>
    <w:rsid w:val="00C93B3C"/>
    <w:rsid w:val="00C93CA3"/>
    <w:rsid w:val="00C93FDF"/>
    <w:rsid w:val="00C95061"/>
    <w:rsid w:val="00C95ADF"/>
    <w:rsid w:val="00C963CF"/>
    <w:rsid w:val="00C972DF"/>
    <w:rsid w:val="00C97DE6"/>
    <w:rsid w:val="00CA0FF8"/>
    <w:rsid w:val="00CA3E11"/>
    <w:rsid w:val="00CA3E40"/>
    <w:rsid w:val="00CA74D0"/>
    <w:rsid w:val="00CA7E33"/>
    <w:rsid w:val="00CB0343"/>
    <w:rsid w:val="00CB0CAF"/>
    <w:rsid w:val="00CB1D2E"/>
    <w:rsid w:val="00CB20A1"/>
    <w:rsid w:val="00CB2102"/>
    <w:rsid w:val="00CB5455"/>
    <w:rsid w:val="00CB5CAD"/>
    <w:rsid w:val="00CB683C"/>
    <w:rsid w:val="00CB73F6"/>
    <w:rsid w:val="00CB73FF"/>
    <w:rsid w:val="00CB789C"/>
    <w:rsid w:val="00CD0927"/>
    <w:rsid w:val="00CD0A9A"/>
    <w:rsid w:val="00CD4162"/>
    <w:rsid w:val="00CE1764"/>
    <w:rsid w:val="00CE1AE2"/>
    <w:rsid w:val="00CE489C"/>
    <w:rsid w:val="00CE585B"/>
    <w:rsid w:val="00CE62E7"/>
    <w:rsid w:val="00CE7046"/>
    <w:rsid w:val="00CF2902"/>
    <w:rsid w:val="00CF57A2"/>
    <w:rsid w:val="00CF6341"/>
    <w:rsid w:val="00D002A6"/>
    <w:rsid w:val="00D00315"/>
    <w:rsid w:val="00D038DA"/>
    <w:rsid w:val="00D053BA"/>
    <w:rsid w:val="00D06DE5"/>
    <w:rsid w:val="00D10283"/>
    <w:rsid w:val="00D13FEB"/>
    <w:rsid w:val="00D14578"/>
    <w:rsid w:val="00D1504F"/>
    <w:rsid w:val="00D16FFA"/>
    <w:rsid w:val="00D1758D"/>
    <w:rsid w:val="00D20A5D"/>
    <w:rsid w:val="00D22302"/>
    <w:rsid w:val="00D2330D"/>
    <w:rsid w:val="00D25EE4"/>
    <w:rsid w:val="00D27670"/>
    <w:rsid w:val="00D27A9C"/>
    <w:rsid w:val="00D30E58"/>
    <w:rsid w:val="00D31CFF"/>
    <w:rsid w:val="00D32616"/>
    <w:rsid w:val="00D32AAC"/>
    <w:rsid w:val="00D33FE5"/>
    <w:rsid w:val="00D355A1"/>
    <w:rsid w:val="00D37BF6"/>
    <w:rsid w:val="00D41168"/>
    <w:rsid w:val="00D43690"/>
    <w:rsid w:val="00D46E52"/>
    <w:rsid w:val="00D47291"/>
    <w:rsid w:val="00D47737"/>
    <w:rsid w:val="00D551BE"/>
    <w:rsid w:val="00D55970"/>
    <w:rsid w:val="00D55B8E"/>
    <w:rsid w:val="00D565EB"/>
    <w:rsid w:val="00D56842"/>
    <w:rsid w:val="00D63C2D"/>
    <w:rsid w:val="00D64190"/>
    <w:rsid w:val="00D656BB"/>
    <w:rsid w:val="00D65F5D"/>
    <w:rsid w:val="00D66BCA"/>
    <w:rsid w:val="00D70F94"/>
    <w:rsid w:val="00D73362"/>
    <w:rsid w:val="00D74A1D"/>
    <w:rsid w:val="00D80C49"/>
    <w:rsid w:val="00D8193B"/>
    <w:rsid w:val="00D82A1D"/>
    <w:rsid w:val="00D82C5F"/>
    <w:rsid w:val="00D84B43"/>
    <w:rsid w:val="00D86D73"/>
    <w:rsid w:val="00D87C54"/>
    <w:rsid w:val="00D92826"/>
    <w:rsid w:val="00D94758"/>
    <w:rsid w:val="00D94A00"/>
    <w:rsid w:val="00D95196"/>
    <w:rsid w:val="00D9739F"/>
    <w:rsid w:val="00D97AFC"/>
    <w:rsid w:val="00DA0E5E"/>
    <w:rsid w:val="00DA1175"/>
    <w:rsid w:val="00DA1B51"/>
    <w:rsid w:val="00DA3FE0"/>
    <w:rsid w:val="00DA53DB"/>
    <w:rsid w:val="00DA68DA"/>
    <w:rsid w:val="00DA7355"/>
    <w:rsid w:val="00DA73D3"/>
    <w:rsid w:val="00DB5698"/>
    <w:rsid w:val="00DC0045"/>
    <w:rsid w:val="00DC05BD"/>
    <w:rsid w:val="00DC23C0"/>
    <w:rsid w:val="00DC27ED"/>
    <w:rsid w:val="00DC28A2"/>
    <w:rsid w:val="00DC3A6D"/>
    <w:rsid w:val="00DC3AE7"/>
    <w:rsid w:val="00DC5649"/>
    <w:rsid w:val="00DC6722"/>
    <w:rsid w:val="00DD19AB"/>
    <w:rsid w:val="00DD1C64"/>
    <w:rsid w:val="00DD3346"/>
    <w:rsid w:val="00DD36D3"/>
    <w:rsid w:val="00DD3839"/>
    <w:rsid w:val="00DD47FE"/>
    <w:rsid w:val="00DD6570"/>
    <w:rsid w:val="00DD6B63"/>
    <w:rsid w:val="00DE0AD1"/>
    <w:rsid w:val="00DE1E64"/>
    <w:rsid w:val="00DE2665"/>
    <w:rsid w:val="00DE4734"/>
    <w:rsid w:val="00DE564A"/>
    <w:rsid w:val="00DE5E67"/>
    <w:rsid w:val="00DE7859"/>
    <w:rsid w:val="00DE78E3"/>
    <w:rsid w:val="00DE7B90"/>
    <w:rsid w:val="00DF13A1"/>
    <w:rsid w:val="00DF2683"/>
    <w:rsid w:val="00DF74C4"/>
    <w:rsid w:val="00DF780E"/>
    <w:rsid w:val="00E00D4C"/>
    <w:rsid w:val="00E01504"/>
    <w:rsid w:val="00E01BF1"/>
    <w:rsid w:val="00E0593D"/>
    <w:rsid w:val="00E11BBF"/>
    <w:rsid w:val="00E122FD"/>
    <w:rsid w:val="00E13C9A"/>
    <w:rsid w:val="00E1409D"/>
    <w:rsid w:val="00E1426B"/>
    <w:rsid w:val="00E14E4C"/>
    <w:rsid w:val="00E153DC"/>
    <w:rsid w:val="00E15E51"/>
    <w:rsid w:val="00E166E6"/>
    <w:rsid w:val="00E1737B"/>
    <w:rsid w:val="00E17C69"/>
    <w:rsid w:val="00E21743"/>
    <w:rsid w:val="00E33B7E"/>
    <w:rsid w:val="00E34A17"/>
    <w:rsid w:val="00E374D9"/>
    <w:rsid w:val="00E40403"/>
    <w:rsid w:val="00E40447"/>
    <w:rsid w:val="00E40458"/>
    <w:rsid w:val="00E42053"/>
    <w:rsid w:val="00E42134"/>
    <w:rsid w:val="00E42969"/>
    <w:rsid w:val="00E44A14"/>
    <w:rsid w:val="00E44E44"/>
    <w:rsid w:val="00E4560D"/>
    <w:rsid w:val="00E46370"/>
    <w:rsid w:val="00E47731"/>
    <w:rsid w:val="00E51D31"/>
    <w:rsid w:val="00E53E35"/>
    <w:rsid w:val="00E54F66"/>
    <w:rsid w:val="00E557DF"/>
    <w:rsid w:val="00E572B6"/>
    <w:rsid w:val="00E578D0"/>
    <w:rsid w:val="00E57C5F"/>
    <w:rsid w:val="00E57C7F"/>
    <w:rsid w:val="00E628F0"/>
    <w:rsid w:val="00E62BA8"/>
    <w:rsid w:val="00E6358A"/>
    <w:rsid w:val="00E6366A"/>
    <w:rsid w:val="00E63B76"/>
    <w:rsid w:val="00E65E9B"/>
    <w:rsid w:val="00E66294"/>
    <w:rsid w:val="00E664E9"/>
    <w:rsid w:val="00E6787B"/>
    <w:rsid w:val="00E711C2"/>
    <w:rsid w:val="00E727E6"/>
    <w:rsid w:val="00E73E72"/>
    <w:rsid w:val="00E7460C"/>
    <w:rsid w:val="00E75C2F"/>
    <w:rsid w:val="00E778D6"/>
    <w:rsid w:val="00E801FC"/>
    <w:rsid w:val="00E8093D"/>
    <w:rsid w:val="00E81134"/>
    <w:rsid w:val="00E816C6"/>
    <w:rsid w:val="00E82C53"/>
    <w:rsid w:val="00E83263"/>
    <w:rsid w:val="00E8349F"/>
    <w:rsid w:val="00E83A38"/>
    <w:rsid w:val="00E844F1"/>
    <w:rsid w:val="00E853DE"/>
    <w:rsid w:val="00E8690F"/>
    <w:rsid w:val="00E87D06"/>
    <w:rsid w:val="00E94926"/>
    <w:rsid w:val="00E97621"/>
    <w:rsid w:val="00E9778F"/>
    <w:rsid w:val="00E97FD2"/>
    <w:rsid w:val="00EA01B0"/>
    <w:rsid w:val="00EA0801"/>
    <w:rsid w:val="00EA1661"/>
    <w:rsid w:val="00EA37E4"/>
    <w:rsid w:val="00EA395F"/>
    <w:rsid w:val="00EA3DE3"/>
    <w:rsid w:val="00EA447F"/>
    <w:rsid w:val="00EA4C10"/>
    <w:rsid w:val="00EA6CD6"/>
    <w:rsid w:val="00EB02C2"/>
    <w:rsid w:val="00EB256E"/>
    <w:rsid w:val="00EB2D10"/>
    <w:rsid w:val="00EB3A9F"/>
    <w:rsid w:val="00EB58AF"/>
    <w:rsid w:val="00EB598E"/>
    <w:rsid w:val="00EB6625"/>
    <w:rsid w:val="00EB792C"/>
    <w:rsid w:val="00EC1A92"/>
    <w:rsid w:val="00EC29E6"/>
    <w:rsid w:val="00EC559A"/>
    <w:rsid w:val="00EC5A88"/>
    <w:rsid w:val="00EC7FCA"/>
    <w:rsid w:val="00ED16E9"/>
    <w:rsid w:val="00ED1C32"/>
    <w:rsid w:val="00ED3068"/>
    <w:rsid w:val="00ED319D"/>
    <w:rsid w:val="00ED3B17"/>
    <w:rsid w:val="00ED47F4"/>
    <w:rsid w:val="00ED5A4B"/>
    <w:rsid w:val="00ED68BA"/>
    <w:rsid w:val="00ED7B59"/>
    <w:rsid w:val="00EE0A5E"/>
    <w:rsid w:val="00EE0CBA"/>
    <w:rsid w:val="00EE11D0"/>
    <w:rsid w:val="00EE486B"/>
    <w:rsid w:val="00EF2E82"/>
    <w:rsid w:val="00EF39C7"/>
    <w:rsid w:val="00EF3EA5"/>
    <w:rsid w:val="00EF56D1"/>
    <w:rsid w:val="00EF592A"/>
    <w:rsid w:val="00EF6CFC"/>
    <w:rsid w:val="00EF73F0"/>
    <w:rsid w:val="00F0080E"/>
    <w:rsid w:val="00F00C86"/>
    <w:rsid w:val="00F00D43"/>
    <w:rsid w:val="00F00EBF"/>
    <w:rsid w:val="00F01DCE"/>
    <w:rsid w:val="00F04B77"/>
    <w:rsid w:val="00F069F1"/>
    <w:rsid w:val="00F071B5"/>
    <w:rsid w:val="00F11450"/>
    <w:rsid w:val="00F126AB"/>
    <w:rsid w:val="00F13C24"/>
    <w:rsid w:val="00F13EAC"/>
    <w:rsid w:val="00F14181"/>
    <w:rsid w:val="00F15079"/>
    <w:rsid w:val="00F168D6"/>
    <w:rsid w:val="00F20CE3"/>
    <w:rsid w:val="00F2114C"/>
    <w:rsid w:val="00F2182E"/>
    <w:rsid w:val="00F21E15"/>
    <w:rsid w:val="00F222CC"/>
    <w:rsid w:val="00F24CDB"/>
    <w:rsid w:val="00F254A4"/>
    <w:rsid w:val="00F25AD8"/>
    <w:rsid w:val="00F2695B"/>
    <w:rsid w:val="00F278EB"/>
    <w:rsid w:val="00F27FD1"/>
    <w:rsid w:val="00F3008F"/>
    <w:rsid w:val="00F30195"/>
    <w:rsid w:val="00F311BD"/>
    <w:rsid w:val="00F3169C"/>
    <w:rsid w:val="00F32A37"/>
    <w:rsid w:val="00F33BEB"/>
    <w:rsid w:val="00F34091"/>
    <w:rsid w:val="00F343ED"/>
    <w:rsid w:val="00F35C4C"/>
    <w:rsid w:val="00F368C5"/>
    <w:rsid w:val="00F36B56"/>
    <w:rsid w:val="00F36ECB"/>
    <w:rsid w:val="00F37CC6"/>
    <w:rsid w:val="00F403FD"/>
    <w:rsid w:val="00F4187F"/>
    <w:rsid w:val="00F41E81"/>
    <w:rsid w:val="00F42285"/>
    <w:rsid w:val="00F422A4"/>
    <w:rsid w:val="00F4291C"/>
    <w:rsid w:val="00F43D20"/>
    <w:rsid w:val="00F4441A"/>
    <w:rsid w:val="00F44858"/>
    <w:rsid w:val="00F44AE3"/>
    <w:rsid w:val="00F50A1B"/>
    <w:rsid w:val="00F55B70"/>
    <w:rsid w:val="00F6123F"/>
    <w:rsid w:val="00F61876"/>
    <w:rsid w:val="00F61F0E"/>
    <w:rsid w:val="00F64C30"/>
    <w:rsid w:val="00F664E7"/>
    <w:rsid w:val="00F66863"/>
    <w:rsid w:val="00F70181"/>
    <w:rsid w:val="00F70DB3"/>
    <w:rsid w:val="00F73380"/>
    <w:rsid w:val="00F73A17"/>
    <w:rsid w:val="00F73B34"/>
    <w:rsid w:val="00F75A1A"/>
    <w:rsid w:val="00F75C58"/>
    <w:rsid w:val="00F77083"/>
    <w:rsid w:val="00F77EFA"/>
    <w:rsid w:val="00F80EB5"/>
    <w:rsid w:val="00F8128E"/>
    <w:rsid w:val="00F81441"/>
    <w:rsid w:val="00F81D90"/>
    <w:rsid w:val="00F821AF"/>
    <w:rsid w:val="00F82C7E"/>
    <w:rsid w:val="00F83120"/>
    <w:rsid w:val="00F83ADF"/>
    <w:rsid w:val="00F83F75"/>
    <w:rsid w:val="00F83FD3"/>
    <w:rsid w:val="00F86203"/>
    <w:rsid w:val="00F86F95"/>
    <w:rsid w:val="00F93143"/>
    <w:rsid w:val="00F9378F"/>
    <w:rsid w:val="00F93F71"/>
    <w:rsid w:val="00F958B5"/>
    <w:rsid w:val="00F96CC8"/>
    <w:rsid w:val="00F96E26"/>
    <w:rsid w:val="00FA147A"/>
    <w:rsid w:val="00FA3CAC"/>
    <w:rsid w:val="00FA3ED1"/>
    <w:rsid w:val="00FA4B94"/>
    <w:rsid w:val="00FA6F02"/>
    <w:rsid w:val="00FA732F"/>
    <w:rsid w:val="00FA750A"/>
    <w:rsid w:val="00FA7DFD"/>
    <w:rsid w:val="00FB12F5"/>
    <w:rsid w:val="00FB2EBB"/>
    <w:rsid w:val="00FB3856"/>
    <w:rsid w:val="00FC0BA6"/>
    <w:rsid w:val="00FC12EE"/>
    <w:rsid w:val="00FC25EF"/>
    <w:rsid w:val="00FC3C60"/>
    <w:rsid w:val="00FC433F"/>
    <w:rsid w:val="00FC5D08"/>
    <w:rsid w:val="00FC7802"/>
    <w:rsid w:val="00FD1F5B"/>
    <w:rsid w:val="00FD26C7"/>
    <w:rsid w:val="00FD452E"/>
    <w:rsid w:val="00FE4E84"/>
    <w:rsid w:val="00FE61C0"/>
    <w:rsid w:val="00FF38A5"/>
    <w:rsid w:val="00FF61CE"/>
    <w:rsid w:val="00FF7D19"/>
    <w:rsid w:val="2C15BE27"/>
    <w:rsid w:val="2D129B5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oNotEmbedSmartTags/>
  <w:decimalSymbol w:val="."/>
  <w:listSeparator w:val=","/>
  <w14:docId w14:val="17E8EB70"/>
  <w15:docId w15:val="{BB60CCEE-BF55-4048-A9D6-FBFF408FF188}"/>
</w:settings>
</file>

<file path=word/styles.xml><?xml version="1.0" encoding="utf-8"?>
<w:styles xmlns:w="http://schemas.openxmlformats.org/wordprocessingml/2006/main" xmlns:mc="http://schemas.openxmlformats.org/markup-compatibility/2006" xmlns:r="http://schemas.openxmlformats.org/officeDocument/2006/relationships"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locked="1" w:qFormat="1"/>
    <w:lsdException w:name="heading 1" w:locked="1" w:qFormat="1"/>
    <w:lsdException w:name="heading 2" w:locked="1" w:semiHidden="1" w:unhideWhenUsed="1" w:qFormat="1"/>
    <w:lsdException w:name="heading 3" w:locked="1" w:semiHidden="1" w:unhideWhenUs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iPriority="99" w:unhideWhenUsed="1" w:qFormat="1"/>
    <w:lsdException w:name="header" w:locked="1" w:semiHidden="1" w:unhideWhenUsed="1"/>
    <w:lsdException w:name="footer" w:locked="1" w:semiHidden="1" w:unhideWhenUsed="1"/>
    <w:lsdException w:name="index heading" w:locked="1" w:semiHidden="1" w:unhideWhenUsed="1"/>
    <w:lsdException w:name="caption" w:locked="1" w:semiHidden="1"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iPriority="99" w:unhideWhenUsed="1" w:qFormat="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lsdException w:name="macro" w:locked="1" w:semiHidden="1" w:unhideWhenUsed="1"/>
    <w:lsdException w:name="toa heading" w:locked="1" w:semiHidden="1" w:unhideWhenUsed="1"/>
    <w:lsdException w:name="List" w:locked="1"/>
    <w:lsdException w:name="List Bullet" w:locked="1" w:uiPriority="99"/>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qFormat="1"/>
    <w:lsdException w:name="Closing" w:locked="1" w:semiHidden="1" w:unhideWhenUsed="1"/>
    <w:lsdException w:name="Signature" w:locked="1" w:semiHidden="1" w:unhideWhenUsed="1"/>
    <w:lsdException w:name="Default Paragraph Font" w:locked="1" w:semiHidden="1" w:unhideWhenUsed="1"/>
    <w:lsdException w:name="Body Text" w:locked="1" w:semiHidden="1" w:unhideWhenUsed="1"/>
    <w:lsdException w:name="Body Text Indent" w:locked="1" w:semiHidden="1" w:unhideWhenUsed="1"/>
    <w:lsdException w:name="List Continue" w:locked="1" w:semiHidden="1" w:unhideWhenUsed="1"/>
    <w:lsdException w:name="List Continue 2" w:locked="1"/>
    <w:lsdException w:name="List Continue 3" w:locked="1"/>
    <w:lsdException w:name="List Continue 4" w:locked="1"/>
    <w:lsdException w:name="List Continue 5" w:locked="1"/>
    <w:lsdException w:name="Message Header" w:locked="1" w:semiHidden="1" w:unhideWhenUsed="1"/>
    <w:lsdException w:name="Subtitle" w:locked="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qFormat="1"/>
    <w:lsdException w:name="Emphasis" w:locked="1" w:uiPriority="20" w:qFormat="1"/>
    <w:lsdException w:name="Document Map" w:locked="1" w:semiHidden="1" w:unhideWhenUsed="1"/>
    <w:lsdException w:name="Plain Text" w:locked="1" w:semiHidden="1" w:uiPriority="99"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iPriority="99"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lsdException w:name="Table Theme" w:locked="1"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jc w:val="both"/>
    </w:pPr>
    <w:rPr>
      <w:rFonts w:eastAsia="MS Mincho"/>
      <w:sz w:val="22"/>
      <w:szCs w:val="24"/>
      <w:lang w:eastAsia="en-US"/>
    </w:rPr>
  </w:style>
  <w:style w:type="paragraph" w:styleId="Heading1">
    <w:name w:val="heading 1"/>
    <w:basedOn w:val="Normal"/>
    <w:next w:val="Normal"/>
    <w:link w:val="Heading1Char"/>
    <w:qFormat/>
    <w:locked/>
    <w:pPr>
      <w:keepNext/>
      <w:overflowPunct w:val="0"/>
      <w:autoSpaceDE w:val="0"/>
      <w:autoSpaceDN w:val="0"/>
      <w:adjustRightInd w:val="0"/>
      <w:textAlignment w:val="baseline"/>
      <w:outlineLvl w:val="0"/>
    </w:pPr>
    <w:rPr>
      <w:b/>
      <w:bCs/>
    </w:rPr>
  </w:style>
  <w:style w:type="paragraph" w:styleId="Heading2">
    <w:name w:val="heading 2"/>
    <w:basedOn w:val="Normal"/>
    <w:next w:val="Normal"/>
    <w:link w:val="Heading2Char"/>
    <w:qFormat/>
    <w:locked/>
    <w:pPr>
      <w:keepNext/>
      <w:spacing w:before="240" w:after="60"/>
      <w:outlineLvl w:val="1"/>
    </w:pPr>
    <w:rPr>
      <w:rFonts w:ascii="Calibri" w:hAnsi="Calibri"/>
      <w:b/>
      <w:bCs/>
      <w:i/>
      <w:iCs/>
      <w:sz w:val="28"/>
      <w:szCs w:val="28"/>
    </w:rPr>
  </w:style>
  <w:style w:type="paragraph" w:styleId="Heading3">
    <w:name w:val="heading 3"/>
    <w:basedOn w:val="Normal"/>
    <w:next w:val="Normal"/>
    <w:link w:val="Heading3Char"/>
    <w:qFormat/>
    <w:locked/>
    <w:pPr>
      <w:keepNext/>
      <w:spacing w:before="240" w:after="60"/>
      <w:outlineLvl w:val="2"/>
    </w:pPr>
    <w:rPr>
      <w:rFonts w:ascii="Calibri" w:hAnsi="Calibri"/>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21">
    <w:name w:val="Heading 21"/>
    <w:next w:val="Body"/>
    <w:qFormat/>
    <w:pPr>
      <w:keepNext/>
      <w:outlineLvl w:val="1"/>
    </w:pPr>
    <w:rPr>
      <w:rFonts w:ascii="Helvetica" w:eastAsia="ヒラギノ角ゴ Pro W3" w:hAnsi="Helvetica"/>
      <w:b/>
      <w:color w:val="000000"/>
      <w:sz w:val="24"/>
      <w:lang w:val="en-US"/>
    </w:rPr>
  </w:style>
  <w:style w:type="paragraph" w:customStyle="1" w:styleId="HeaderFooter">
    <w:name w:val="Header &amp; Footer"/>
    <w:pPr>
      <w:tabs>
        <w:tab w:val="right" w:pos="9632"/>
      </w:tabs>
    </w:pPr>
    <w:rPr>
      <w:rFonts w:ascii="Helvetica" w:eastAsia="ヒラギノ角ゴ Pro W3" w:hAnsi="Helvetica"/>
      <w:color w:val="000000"/>
      <w:lang w:val="en-US"/>
    </w:rPr>
  </w:style>
  <w:style w:type="paragraph" w:customStyle="1" w:styleId="Body">
    <w:name w:val="Body"/>
    <w:autoRedefine/>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spacing w:before="160" w:after="120"/>
      <w:jc w:val="both"/>
    </w:pPr>
    <w:rPr>
      <w:rFonts w:eastAsia="ヒラギノ角ゴ Pro W3"/>
      <w:b/>
      <w:color w:val="000000"/>
      <w:sz w:val="24"/>
      <w:szCs w:val="22"/>
      <w:lang w:val="en-US"/>
    </w:rPr>
  </w:style>
  <w:style w:type="paragraph" w:customStyle="1" w:styleId="Listeafsnit1">
    <w:name w:val="Listeafsnit1"/>
    <w:pPr>
      <w:spacing w:after="200" w:line="276" w:lineRule="auto"/>
      <w:ind w:left="720"/>
    </w:pPr>
    <w:rPr>
      <w:rFonts w:ascii="Lucida Grande" w:eastAsia="ヒラギノ角ゴ Pro W3" w:hAnsi="Lucida Grande"/>
      <w:color w:val="000000"/>
      <w:sz w:val="22"/>
      <w:lang w:val="da-DK"/>
    </w:rPr>
  </w:style>
  <w:style w:type="paragraph" w:styleId="BodyText2">
    <w:name w:val="Body Text 2"/>
    <w:basedOn w:val="Normal"/>
    <w:link w:val="BodyText2Char"/>
    <w:locked/>
    <w:rPr>
      <w:color w:val="000000"/>
      <w:lang w:eastAsia="fr-FR"/>
    </w:rPr>
  </w:style>
  <w:style w:type="character" w:customStyle="1" w:styleId="BodyText2Char">
    <w:name w:val="Body Text 2 Char"/>
    <w:link w:val="BodyText2"/>
    <w:rPr>
      <w:color w:val="000000"/>
      <w:sz w:val="24"/>
      <w:szCs w:val="24"/>
      <w:lang w:eastAsia="fr-FR"/>
    </w:rPr>
  </w:style>
  <w:style w:type="paragraph" w:styleId="Footer">
    <w:name w:val="footer"/>
    <w:basedOn w:val="Normal"/>
    <w:link w:val="FooterChar"/>
    <w:locked/>
    <w:pPr>
      <w:tabs>
        <w:tab w:val="center" w:pos="4680"/>
        <w:tab w:val="right" w:pos="9360"/>
      </w:tabs>
    </w:pPr>
  </w:style>
  <w:style w:type="character" w:customStyle="1" w:styleId="FooterChar">
    <w:name w:val="Footer Char"/>
    <w:basedOn w:val="DefaultParagraphFont"/>
    <w:link w:val="Footer"/>
    <w:rPr>
      <w:rFonts w:eastAsia="MS Mincho"/>
      <w:sz w:val="22"/>
      <w:szCs w:val="24"/>
      <w:lang w:eastAsia="en-US"/>
    </w:rPr>
  </w:style>
  <w:style w:type="character" w:customStyle="1" w:styleId="titles-title">
    <w:name w:val="titles-title"/>
    <w:basedOn w:val="DefaultParagraphFont"/>
  </w:style>
  <w:style w:type="character" w:customStyle="1" w:styleId="bibrecord-highlight-user">
    <w:name w:val="bibrecord-highlight-user"/>
    <w:basedOn w:val="DefaultParagraphFont"/>
  </w:style>
  <w:style w:type="character" w:customStyle="1" w:styleId="titles-source">
    <w:name w:val="titles-source"/>
    <w:basedOn w:val="DefaultParagraphFont"/>
  </w:style>
  <w:style w:type="character" w:styleId="Emphasis">
    <w:name w:val="Emphasis"/>
    <w:uiPriority w:val="20"/>
    <w:qFormat/>
    <w:locked/>
    <w:rPr>
      <w:i/>
      <w:iCs/>
    </w:rPr>
  </w:style>
  <w:style w:type="paragraph" w:styleId="NormalWeb">
    <w:name w:val="Normal (Web)"/>
    <w:basedOn w:val="Normal"/>
    <w:uiPriority w:val="99"/>
    <w:unhideWhenUsed/>
    <w:locked/>
    <w:pPr>
      <w:spacing w:before="100" w:beforeAutospacing="1" w:after="100" w:afterAutospacing="1"/>
    </w:pPr>
    <w:rPr>
      <w:lang w:eastAsia="en-GB"/>
    </w:rPr>
  </w:style>
  <w:style w:type="character" w:customStyle="1" w:styleId="hps">
    <w:name w:val="hps"/>
    <w:rPr>
      <w:rFonts w:cs="Times New Roman"/>
    </w:rPr>
  </w:style>
  <w:style w:type="character" w:customStyle="1" w:styleId="st">
    <w:name w:val="st"/>
    <w:basedOn w:val="DefaultParagraphFont"/>
  </w:style>
  <w:style w:type="paragraph" w:styleId="Header">
    <w:name w:val="header"/>
    <w:basedOn w:val="Normal"/>
    <w:link w:val="HeaderChar"/>
    <w:locked/>
    <w:pPr>
      <w:tabs>
        <w:tab w:val="center" w:pos="4680"/>
        <w:tab w:val="right" w:pos="9360"/>
      </w:tabs>
    </w:pPr>
  </w:style>
  <w:style w:type="character" w:customStyle="1" w:styleId="HeaderChar">
    <w:name w:val="Header Char"/>
    <w:basedOn w:val="DefaultParagraphFont"/>
    <w:link w:val="Header"/>
    <w:rPr>
      <w:rFonts w:eastAsia="MS Mincho"/>
      <w:sz w:val="22"/>
      <w:szCs w:val="24"/>
      <w:lang w:eastAsia="en-US"/>
    </w:rPr>
  </w:style>
  <w:style w:type="character" w:styleId="Hyperlink">
    <w:name w:val="Hyperlink"/>
    <w:basedOn w:val="DefaultParagraphFont"/>
    <w:unhideWhenUsed/>
    <w:locked/>
    <w:rPr>
      <w:color w:val="0000FF"/>
      <w:u w:val="none"/>
    </w:rPr>
  </w:style>
  <w:style w:type="character" w:customStyle="1" w:styleId="UnresolvedMention1">
    <w:name w:val="Unresolved Mention1"/>
    <w:uiPriority w:val="99"/>
    <w:semiHidden/>
    <w:unhideWhenUsed/>
    <w:rPr>
      <w:color w:val="605E5C"/>
      <w:shd w:val="clear" w:color="auto" w:fill="E1DFDD"/>
    </w:rPr>
  </w:style>
  <w:style w:type="character" w:customStyle="1" w:styleId="fontstyle01">
    <w:name w:val="fontstyle01"/>
    <w:rPr>
      <w:rFonts w:ascii="Times New Roman" w:hAnsi="Times New Roman" w:cs="Times New Roman" w:hint="default"/>
      <w:b w:val="0"/>
      <w:bCs w:val="0"/>
      <w:i w:val="0"/>
      <w:iCs w:val="0"/>
      <w:color w:val="000000"/>
      <w:sz w:val="22"/>
      <w:szCs w:val="22"/>
    </w:rPr>
  </w:style>
  <w:style w:type="paragraph" w:styleId="BalloonText">
    <w:name w:val="Balloon Text"/>
    <w:basedOn w:val="Normal"/>
    <w:link w:val="BalloonTextChar"/>
    <w:locked/>
    <w:rPr>
      <w:rFonts w:ascii="Tahoma" w:hAnsi="Tahoma" w:cs="Tahoma"/>
      <w:sz w:val="16"/>
      <w:szCs w:val="16"/>
    </w:rPr>
  </w:style>
  <w:style w:type="character" w:customStyle="1" w:styleId="BalloonTextChar">
    <w:name w:val="Balloon Text Char"/>
    <w:basedOn w:val="DefaultParagraphFont"/>
    <w:link w:val="BalloonText"/>
    <w:rPr>
      <w:rFonts w:ascii="Tahoma" w:eastAsia="MS Mincho" w:hAnsi="Tahoma" w:cs="Tahoma"/>
      <w:sz w:val="16"/>
      <w:szCs w:val="16"/>
      <w:lang w:eastAsia="en-US"/>
    </w:rPr>
  </w:style>
  <w:style w:type="paragraph" w:styleId="ListBullet">
    <w:name w:val="List Bullet"/>
    <w:basedOn w:val="Normal"/>
    <w:uiPriority w:val="99"/>
    <w:unhideWhenUsed/>
    <w:locked/>
    <w:pPr>
      <w:tabs>
        <w:tab w:val="num" w:pos="720"/>
      </w:tabs>
      <w:spacing w:after="160" w:line="259" w:lineRule="auto"/>
      <w:ind w:left="720" w:hanging="360"/>
      <w:contextualSpacing/>
    </w:pPr>
    <w:rPr>
      <w:rFonts w:ascii="Calibri" w:eastAsia="Calibri" w:hAnsi="Calibri"/>
      <w:szCs w:val="22"/>
    </w:rPr>
  </w:style>
  <w:style w:type="character" w:styleId="Strong">
    <w:name w:val="Strong"/>
    <w:basedOn w:val="DefaultParagraphFont"/>
    <w:qFormat/>
    <w:locked/>
    <w:rPr>
      <w:b/>
      <w:bCs/>
    </w:rPr>
  </w:style>
  <w:style w:type="character" w:styleId="CommentReference">
    <w:name w:val="annotation reference"/>
    <w:uiPriority w:val="99"/>
    <w:unhideWhenUsed/>
    <w:qFormat/>
    <w:locked/>
    <w:rPr>
      <w:sz w:val="16"/>
      <w:szCs w:val="16"/>
    </w:rPr>
  </w:style>
  <w:style w:type="paragraph" w:styleId="CommentText">
    <w:name w:val="annotation text"/>
    <w:basedOn w:val="Normal"/>
    <w:link w:val="CommentTextChar"/>
    <w:uiPriority w:val="99"/>
    <w:unhideWhenUsed/>
    <w:qFormat/>
    <w:locked/>
    <w:rPr>
      <w:sz w:val="20"/>
      <w:szCs w:val="20"/>
    </w:rPr>
  </w:style>
  <w:style w:type="character" w:customStyle="1" w:styleId="CommentTextChar">
    <w:name w:val="Comment Text Char"/>
    <w:link w:val="CommentText"/>
    <w:uiPriority w:val="99"/>
    <w:qFormat/>
    <w:rPr>
      <w:lang w:val="en-US" w:eastAsia="en-US"/>
    </w:rPr>
  </w:style>
  <w:style w:type="paragraph" w:styleId="CommentSubject">
    <w:name w:val="annotation subject"/>
    <w:basedOn w:val="CommentText"/>
    <w:next w:val="CommentText"/>
    <w:link w:val="CommentSubjectChar"/>
    <w:semiHidden/>
    <w:unhideWhenUsed/>
    <w:locked/>
    <w:rPr>
      <w:b/>
      <w:bCs/>
    </w:rPr>
  </w:style>
  <w:style w:type="character" w:customStyle="1" w:styleId="CommentSubjectChar">
    <w:name w:val="Comment Subject Char"/>
    <w:link w:val="CommentSubject"/>
    <w:semiHidden/>
    <w:rPr>
      <w:b/>
      <w:bCs/>
      <w:lang w:val="en-US" w:eastAsia="en-US"/>
    </w:rPr>
  </w:style>
  <w:style w:type="character" w:customStyle="1" w:styleId="table-captionlabel">
    <w:name w:val="table-caption__label"/>
  </w:style>
  <w:style w:type="character" w:customStyle="1" w:styleId="fontstyle21">
    <w:name w:val="fontstyle21"/>
    <w:rPr>
      <w:rFonts w:ascii="MinionPro-Regular" w:hAnsi="MinionPro-Regular" w:hint="default"/>
      <w:b w:val="0"/>
      <w:bCs w:val="0"/>
      <w:i w:val="0"/>
      <w:iCs w:val="0"/>
      <w:color w:val="000000"/>
      <w:sz w:val="20"/>
      <w:szCs w:val="20"/>
    </w:rPr>
  </w:style>
  <w:style w:type="paragraph" w:styleId="Revision">
    <w:name w:val="Revision"/>
    <w:hidden/>
    <w:uiPriority w:val="99"/>
    <w:semiHidden/>
    <w:rPr>
      <w:sz w:val="24"/>
      <w:szCs w:val="24"/>
      <w:lang w:val="en-US" w:eastAsia="en-US"/>
    </w:rPr>
  </w:style>
  <w:style w:type="character" w:customStyle="1" w:styleId="fontstyle31">
    <w:name w:val="fontstyle31"/>
    <w:rPr>
      <w:rFonts w:ascii="AdvPSHEL-B" w:hAnsi="AdvPSHEL-B" w:hint="default"/>
      <w:b w:val="0"/>
      <w:bCs w:val="0"/>
      <w:i w:val="0"/>
      <w:iCs w:val="0"/>
      <w:color w:val="242021"/>
      <w:sz w:val="14"/>
      <w:szCs w:val="14"/>
    </w:rPr>
  </w:style>
  <w:style w:type="table" w:styleId="TableGrid">
    <w:name w:val="Table Grid"/>
    <w:basedOn w:val="TableNormal"/>
    <w:locked/>
    <w:rPr>
      <w:rFonts w:ascii="Cambria" w:eastAsia="MS Mincho" w:hAnsi="Cambr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Pr>
      <w:color w:val="605E5C"/>
      <w:shd w:val="clear" w:color="auto" w:fill="E1DFDD"/>
    </w:rPr>
  </w:style>
  <w:style w:type="paragraph" w:styleId="FootnoteText">
    <w:name w:val="footnote text"/>
    <w:basedOn w:val="Normal"/>
    <w:link w:val="FootnoteTextChar"/>
    <w:semiHidden/>
    <w:locked/>
    <w:pPr>
      <w:spacing w:before="60"/>
    </w:pPr>
    <w:rPr>
      <w:sz w:val="20"/>
    </w:rPr>
  </w:style>
  <w:style w:type="character" w:customStyle="1" w:styleId="FootnoteTextChar">
    <w:name w:val="Footnote Text Char"/>
    <w:basedOn w:val="DefaultParagraphFont"/>
    <w:link w:val="FootnoteText"/>
    <w:semiHidden/>
    <w:rPr>
      <w:rFonts w:eastAsia="MS Mincho"/>
      <w:szCs w:val="24"/>
      <w:lang w:eastAsia="en-US"/>
    </w:rPr>
  </w:style>
  <w:style w:type="character" w:styleId="FootnoteReference">
    <w:name w:val="footnote reference"/>
    <w:basedOn w:val="DefaultParagraphFont"/>
    <w:semiHidden/>
    <w:locked/>
    <w:rPr>
      <w:vertAlign w:val="superscript"/>
    </w:rPr>
  </w:style>
  <w:style w:type="paragraph" w:customStyle="1" w:styleId="IPPHeader">
    <w:name w:val="IPP Header"/>
    <w:basedOn w:val="Normal"/>
    <w:qFormat/>
    <w:pPr>
      <w:pBdr>
        <w:bottom w:val="single" w:sz="4" w:space="4" w:color="auto"/>
      </w:pBdr>
      <w:tabs>
        <w:tab w:val="left" w:pos="1134"/>
        <w:tab w:val="right" w:pos="9072"/>
      </w:tabs>
      <w:spacing w:after="120"/>
      <w:jc w:val="left"/>
    </w:pPr>
    <w:rPr>
      <w:rFonts w:ascii="Arial" w:hAnsi="Arial"/>
      <w:sz w:val="18"/>
      <w:lang w:val="en-US"/>
    </w:rPr>
  </w:style>
  <w:style w:type="character" w:customStyle="1" w:styleId="Heading2Char">
    <w:name w:val="Heading 2 Char"/>
    <w:basedOn w:val="DefaultParagraphFont"/>
    <w:link w:val="Heading2"/>
    <w:rPr>
      <w:rFonts w:ascii="Calibri" w:eastAsia="MS Mincho" w:hAnsi="Calibri"/>
      <w:b/>
      <w:bCs/>
      <w:i/>
      <w:iCs/>
      <w:sz w:val="28"/>
      <w:szCs w:val="28"/>
      <w:lang w:eastAsia="en-US"/>
    </w:rPr>
  </w:style>
  <w:style w:type="table" w:customStyle="1" w:styleId="TableNormal1">
    <w:name w:val="Table Normal1"/>
    <w:uiPriority w:val="2"/>
    <w:semiHidden/>
    <w:unhideWhenUsed/>
    <w:qFormat/>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IPPArialTable">
    <w:name w:val="IPP Arial Table"/>
    <w:basedOn w:val="IPPArial"/>
    <w:qFormat/>
    <w:pPr>
      <w:spacing w:before="60" w:after="60"/>
      <w:jc w:val="left"/>
    </w:pPr>
  </w:style>
  <w:style w:type="numbering" w:customStyle="1" w:styleId="IPPParagraphnumberedlist">
    <w:name w:val="IPP Paragraph numbered list"/>
    <w:pPr>
      <w:numPr>
        <w:numId w:val="18"/>
      </w:numPr>
    </w:pPr>
  </w:style>
  <w:style w:type="paragraph" w:customStyle="1" w:styleId="IPPParagraphnumbering">
    <w:name w:val="IPP Paragraph numbering"/>
    <w:basedOn w:val="IPPNormal"/>
    <w:link w:val="IPPParagraphnumberingChar"/>
    <w:qFormat/>
    <w:pPr>
      <w:numPr>
        <w:numId w:val="19"/>
      </w:numPr>
    </w:pPr>
    <w:rPr>
      <w:lang w:val="en-US"/>
    </w:rPr>
  </w:style>
  <w:style w:type="character" w:customStyle="1" w:styleId="IPPParagraphnumberingChar">
    <w:name w:val="IPP Paragraph numbering Char"/>
    <w:link w:val="IPPParagraphnumbering"/>
    <w:rPr>
      <w:rFonts w:eastAsia="Times"/>
      <w:sz w:val="22"/>
      <w:szCs w:val="24"/>
      <w:lang w:val="en-US" w:eastAsia="en-US"/>
    </w:rPr>
  </w:style>
  <w:style w:type="paragraph" w:customStyle="1" w:styleId="IPPFooter">
    <w:name w:val="IPP Footer"/>
    <w:basedOn w:val="IPPHeader"/>
    <w:next w:val="PlainText"/>
    <w:qFormat/>
    <w:pPr>
      <w:pBdr>
        <w:top w:val="single" w:sz="4" w:space="4" w:color="auto"/>
        <w:bottom w:val="none" w:sz="0" w:space="0" w:color="auto"/>
      </w:pBdr>
      <w:tabs>
        <w:tab w:val="clear" w:pos="1134"/>
      </w:tabs>
      <w:jc w:val="right"/>
    </w:pPr>
    <w:rPr>
      <w:b/>
    </w:rPr>
  </w:style>
  <w:style w:type="paragraph" w:styleId="PlainText">
    <w:name w:val="Plain Text"/>
    <w:basedOn w:val="Normal"/>
    <w:link w:val="PlainTextChar"/>
    <w:uiPriority w:val="99"/>
    <w:unhideWhenUsed/>
    <w:locked/>
    <w:pPr>
      <w:jc w:val="left"/>
    </w:pPr>
    <w:rPr>
      <w:rFonts w:ascii="Courier" w:eastAsia="Times" w:hAnsi="Courier"/>
      <w:sz w:val="21"/>
      <w:szCs w:val="21"/>
      <w:lang w:val="en-AU"/>
    </w:rPr>
  </w:style>
  <w:style w:type="character" w:customStyle="1" w:styleId="PlainTextChar">
    <w:name w:val="Plain Text Char"/>
    <w:basedOn w:val="DefaultParagraphFont"/>
    <w:link w:val="PlainText"/>
    <w:uiPriority w:val="99"/>
    <w:rPr>
      <w:rFonts w:ascii="Courier" w:eastAsia="Times" w:hAnsi="Courier"/>
      <w:sz w:val="21"/>
      <w:szCs w:val="21"/>
      <w:lang w:val="en-AU" w:eastAsia="en-US"/>
    </w:rPr>
  </w:style>
  <w:style w:type="character" w:customStyle="1" w:styleId="Onopgelostemelding1">
    <w:name w:val="Onopgeloste melding1"/>
    <w:basedOn w:val="DefaultParagraphFont"/>
    <w:uiPriority w:val="99"/>
    <w:semiHidden/>
    <w:unhideWhenUsed/>
    <w:rPr>
      <w:color w:val="605E5C"/>
      <w:shd w:val="clear" w:color="auto" w:fill="E1DFDD"/>
    </w:rPr>
  </w:style>
  <w:style w:type="character" w:customStyle="1" w:styleId="fldtext1">
    <w:name w:val="fldtext1"/>
    <w:basedOn w:val="DefaultParagraphFont"/>
    <w:rPr>
      <w:sz w:val="20"/>
      <w:szCs w:val="20"/>
    </w:rPr>
  </w:style>
  <w:style w:type="character" w:customStyle="1" w:styleId="Heading1Char">
    <w:name w:val="Heading 1 Char"/>
    <w:basedOn w:val="DefaultParagraphFont"/>
    <w:link w:val="Heading1"/>
    <w:rPr>
      <w:rFonts w:eastAsia="MS Mincho"/>
      <w:b/>
      <w:bCs/>
      <w:sz w:val="22"/>
      <w:szCs w:val="24"/>
      <w:lang w:eastAsia="en-US"/>
    </w:rPr>
  </w:style>
  <w:style w:type="character" w:customStyle="1" w:styleId="Heading3Char">
    <w:name w:val="Heading 3 Char"/>
    <w:basedOn w:val="DefaultParagraphFont"/>
    <w:link w:val="Heading3"/>
    <w:rPr>
      <w:rFonts w:ascii="Calibri" w:eastAsia="MS Mincho" w:hAnsi="Calibri"/>
      <w:b/>
      <w:bCs/>
      <w:sz w:val="26"/>
      <w:szCs w:val="26"/>
      <w:lang w:eastAsia="en-US"/>
    </w:rPr>
  </w:style>
  <w:style w:type="paragraph" w:customStyle="1" w:styleId="Style">
    <w:name w:val="Style"/>
    <w:basedOn w:val="Footer"/>
    <w:autoRedefine/>
    <w:qFormat/>
    <w:pPr>
      <w:pBdr>
        <w:top w:val="single" w:sz="4" w:space="1" w:color="auto"/>
      </w:pBdr>
      <w:tabs>
        <w:tab w:val="clear" w:pos="4680"/>
        <w:tab w:val="clear" w:pos="9360"/>
        <w:tab w:val="right" w:pos="9072"/>
      </w:tabs>
      <w:spacing w:after="120"/>
      <w:jc w:val="left"/>
    </w:pPr>
    <w:rPr>
      <w:rFonts w:ascii="Arial" w:eastAsia="Times" w:hAnsi="Arial"/>
      <w:sz w:val="18"/>
      <w:lang w:val="es-ES_tradnl" w:eastAsia="en-GB"/>
    </w:rPr>
  </w:style>
  <w:style w:type="character" w:styleId="PageNumber">
    <w:name w:val="page number"/>
    <w:locked/>
    <w:rPr>
      <w:rFonts w:ascii="Arial" w:hAnsi="Arial"/>
      <w:b/>
      <w:sz w:val="18"/>
    </w:rPr>
  </w:style>
  <w:style w:type="paragraph" w:customStyle="1" w:styleId="IPPArialFootnote">
    <w:name w:val="IPP Arial Footnote"/>
    <w:basedOn w:val="IPPArialTable"/>
    <w:qFormat/>
    <w:pPr>
      <w:tabs>
        <w:tab w:val="left" w:pos="28"/>
      </w:tabs>
      <w:ind w:left="284" w:hanging="284"/>
    </w:pPr>
    <w:rPr>
      <w:sz w:val="16"/>
    </w:rPr>
  </w:style>
  <w:style w:type="paragraph" w:customStyle="1" w:styleId="IPPContentsHead">
    <w:name w:val="IPP ContentsHead"/>
    <w:basedOn w:val="IPPSubhead"/>
    <w:next w:val="IPPNormal"/>
    <w:qFormat/>
    <w:pPr>
      <w:spacing w:after="240"/>
    </w:pPr>
    <w:rPr>
      <w:sz w:val="24"/>
    </w:rPr>
  </w:style>
  <w:style w:type="paragraph" w:customStyle="1" w:styleId="IPPBullet2">
    <w:name w:val="IPP Bullet2"/>
    <w:basedOn w:val="IPPNormal"/>
    <w:next w:val="IPPBullet1"/>
    <w:qFormat/>
    <w:pPr>
      <w:numPr>
        <w:numId w:val="31"/>
      </w:numPr>
      <w:tabs>
        <w:tab w:val="left" w:pos="1134"/>
      </w:tabs>
      <w:spacing w:after="60"/>
      <w:ind w:left="1134" w:hanging="567"/>
    </w:pPr>
  </w:style>
  <w:style w:type="paragraph" w:customStyle="1" w:styleId="IPPQuote">
    <w:name w:val="IPP Quote"/>
    <w:basedOn w:val="IPPNormal"/>
    <w:qFormat/>
    <w:pPr>
      <w:ind w:left="851" w:right="851"/>
    </w:pPr>
    <w:rPr>
      <w:sz w:val="18"/>
    </w:rPr>
  </w:style>
  <w:style w:type="paragraph" w:customStyle="1" w:styleId="IPPNormal">
    <w:name w:val="IPP Normal"/>
    <w:basedOn w:val="Normal"/>
    <w:qFormat/>
    <w:pPr>
      <w:spacing w:after="180"/>
    </w:pPr>
    <w:rPr>
      <w:rFonts w:eastAsia="Times"/>
    </w:rPr>
  </w:style>
  <w:style w:type="paragraph" w:customStyle="1" w:styleId="IPPIndentClose">
    <w:name w:val="IPP Indent Close"/>
    <w:basedOn w:val="IPPNormal"/>
    <w:qFormat/>
    <w:pPr>
      <w:tabs>
        <w:tab w:val="left" w:pos="2835"/>
      </w:tabs>
      <w:spacing w:after="60"/>
      <w:ind w:left="567"/>
    </w:pPr>
  </w:style>
  <w:style w:type="paragraph" w:customStyle="1" w:styleId="IPPIndent">
    <w:name w:val="IPP Indent"/>
    <w:basedOn w:val="IPPIndentClose"/>
    <w:qFormat/>
    <w:pPr>
      <w:spacing w:after="180"/>
    </w:pPr>
  </w:style>
  <w:style w:type="paragraph" w:customStyle="1" w:styleId="IPPFootnote">
    <w:name w:val="IPP Footnote"/>
    <w:basedOn w:val="IPPArialFootnote"/>
    <w:qFormat/>
    <w:pPr>
      <w:tabs>
        <w:tab w:val="left" w:pos="0"/>
      </w:tabs>
      <w:spacing w:before="0"/>
      <w:ind w:left="0" w:firstLine="0"/>
      <w:jc w:val="both"/>
    </w:pPr>
    <w:rPr>
      <w:rFonts w:ascii="Times New Roman" w:eastAsia="Times New Roman" w:hAnsi="Times New Roman"/>
      <w:sz w:val="20"/>
    </w:rPr>
  </w:style>
  <w:style w:type="paragraph" w:customStyle="1" w:styleId="IPPHeading3">
    <w:name w:val="IPP Heading3"/>
    <w:basedOn w:val="IPPNormal"/>
    <w:qFormat/>
    <w:pPr>
      <w:keepNext/>
      <w:tabs>
        <w:tab w:val="left" w:pos="567"/>
      </w:tabs>
      <w:spacing w:before="120" w:after="120"/>
      <w:ind w:left="567" w:hanging="567"/>
    </w:pPr>
    <w:rPr>
      <w:b/>
      <w:i/>
    </w:rPr>
  </w:style>
  <w:style w:type="character" w:customStyle="1" w:styleId="IPPnormalitalics">
    <w:name w:val="IPP normal italics"/>
    <w:basedOn w:val="DefaultParagraphFont"/>
    <w:rPr>
      <w:rFonts w:ascii="Times New Roman" w:hAnsi="Times New Roman"/>
      <w:i/>
      <w:sz w:val="22"/>
      <w:lang w:val="en-US"/>
    </w:rPr>
  </w:style>
  <w:style w:type="character" w:customStyle="1" w:styleId="IPPNormalbold">
    <w:name w:val="IPP Normal bold"/>
    <w:basedOn w:val="PlainTextChar"/>
    <w:rPr>
      <w:rFonts w:ascii="Times New Roman" w:eastAsia="Times" w:hAnsi="Times New Roman"/>
      <w:b/>
      <w:sz w:val="22"/>
      <w:szCs w:val="21"/>
      <w:lang w:val="en-AU" w:eastAsia="en-US"/>
    </w:rPr>
  </w:style>
  <w:style w:type="paragraph" w:customStyle="1" w:styleId="IPPHeadSection">
    <w:name w:val="IPP HeadSection"/>
    <w:basedOn w:val="Normal"/>
    <w:next w:val="Normal"/>
    <w:qFormat/>
    <w:pPr>
      <w:keepNext/>
      <w:tabs>
        <w:tab w:val="left" w:pos="851"/>
      </w:tabs>
      <w:spacing w:before="360" w:after="120"/>
      <w:ind w:left="851" w:hanging="851"/>
      <w:outlineLvl w:val="0"/>
    </w:pPr>
    <w:rPr>
      <w:rFonts w:eastAsia="Times"/>
      <w:b/>
      <w:bCs/>
      <w:caps/>
      <w:sz w:val="24"/>
      <w:szCs w:val="22"/>
    </w:rPr>
  </w:style>
  <w:style w:type="paragraph" w:customStyle="1" w:styleId="IPPHeading1">
    <w:name w:val="IPP Heading1"/>
    <w:basedOn w:val="IPPNormal"/>
    <w:next w:val="IPPNormal"/>
    <w:qFormat/>
    <w:pPr>
      <w:keepNext/>
      <w:tabs>
        <w:tab w:val="left" w:pos="567"/>
      </w:tabs>
      <w:spacing w:before="240" w:after="120"/>
      <w:ind w:left="567" w:hanging="567"/>
      <w:jc w:val="left"/>
      <w:outlineLvl w:val="1"/>
    </w:pPr>
    <w:rPr>
      <w:b/>
      <w:sz w:val="24"/>
      <w:szCs w:val="22"/>
    </w:rPr>
  </w:style>
  <w:style w:type="paragraph" w:customStyle="1" w:styleId="IPPSubhead">
    <w:name w:val="IPP Subhead"/>
    <w:basedOn w:val="Normal"/>
    <w:qFormat/>
    <w:pPr>
      <w:keepNext/>
      <w:ind w:left="567" w:hanging="567"/>
      <w:jc w:val="left"/>
    </w:pPr>
    <w:rPr>
      <w:b/>
      <w:bCs/>
      <w:iCs/>
      <w:szCs w:val="22"/>
    </w:rPr>
  </w:style>
  <w:style w:type="character" w:customStyle="1" w:styleId="IPPNormalunderlined">
    <w:name w:val="IPP Normal underlined"/>
    <w:basedOn w:val="DefaultParagraphFont"/>
    <w:rPr>
      <w:rFonts w:ascii="Times New Roman" w:hAnsi="Times New Roman"/>
      <w:sz w:val="22"/>
      <w:u w:val="single"/>
      <w:lang w:val="en-US"/>
    </w:rPr>
  </w:style>
  <w:style w:type="paragraph" w:customStyle="1" w:styleId="IPPBullet1">
    <w:name w:val="IPP Bullet1"/>
    <w:basedOn w:val="IPPBullet1Last"/>
    <w:qFormat/>
    <w:pPr>
      <w:numPr>
        <w:numId w:val="44"/>
      </w:numPr>
      <w:spacing w:after="60"/>
      <w:ind w:left="567" w:hanging="567"/>
    </w:pPr>
    <w:rPr>
      <w:lang w:val="en-US"/>
    </w:rPr>
  </w:style>
  <w:style w:type="paragraph" w:customStyle="1" w:styleId="IPPBullet1Last">
    <w:name w:val="IPP Bullet1Last"/>
    <w:basedOn w:val="IPPNormal"/>
    <w:next w:val="IPPNormal"/>
    <w:qFormat/>
    <w:pPr>
      <w:numPr>
        <w:numId w:val="32"/>
      </w:numPr>
    </w:pPr>
  </w:style>
  <w:style w:type="character" w:customStyle="1" w:styleId="IPPNormalstrikethrough">
    <w:name w:val="IPP Normal strikethrough"/>
    <w:rPr>
      <w:rFonts w:ascii="Times New Roman" w:hAnsi="Times New Roman"/>
      <w:strike/>
      <w:dstrike w:val="0"/>
      <w:sz w:val="22"/>
    </w:rPr>
  </w:style>
  <w:style w:type="paragraph" w:customStyle="1" w:styleId="IPPTitle16pt">
    <w:name w:val="IPP Title16pt"/>
    <w:basedOn w:val="Normal"/>
    <w:qFormat/>
    <w:pPr>
      <w:spacing w:after="720"/>
      <w:ind w:left="1701" w:right="1701"/>
      <w:jc w:val="center"/>
    </w:pPr>
    <w:rPr>
      <w:rFonts w:ascii="Arial" w:hAnsi="Arial" w:cs="Arial"/>
      <w:b/>
      <w:bCs/>
      <w:sz w:val="32"/>
      <w:szCs w:val="32"/>
    </w:rPr>
  </w:style>
  <w:style w:type="paragraph" w:customStyle="1" w:styleId="IPPTitle18pt">
    <w:name w:val="IPP Title18pt"/>
    <w:basedOn w:val="Normal"/>
    <w:qFormat/>
    <w:pPr>
      <w:spacing w:after="360"/>
      <w:jc w:val="center"/>
    </w:pPr>
    <w:rPr>
      <w:rFonts w:ascii="Arial" w:hAnsi="Arial" w:cs="Arial"/>
      <w:b/>
      <w:bCs/>
      <w:sz w:val="36"/>
      <w:szCs w:val="36"/>
    </w:rPr>
  </w:style>
  <w:style w:type="paragraph" w:customStyle="1" w:styleId="IPPAnnexHead">
    <w:name w:val="IPP AnnexHead"/>
    <w:basedOn w:val="IPPNormal"/>
    <w:next w:val="IPPNormal"/>
    <w:qFormat/>
    <w:pPr>
      <w:keepNext/>
      <w:tabs>
        <w:tab w:val="left" w:pos="567"/>
      </w:tabs>
      <w:spacing w:before="120"/>
      <w:jc w:val="left"/>
      <w:outlineLvl w:val="1"/>
    </w:pPr>
    <w:rPr>
      <w:b/>
      <w:sz w:val="24"/>
    </w:rPr>
  </w:style>
  <w:style w:type="paragraph" w:customStyle="1" w:styleId="IPPNormalCloseSpace">
    <w:name w:val="IPP NormalCloseSpace"/>
    <w:basedOn w:val="Normal"/>
    <w:qFormat/>
    <w:pPr>
      <w:keepNext/>
      <w:spacing w:after="60"/>
    </w:pPr>
  </w:style>
  <w:style w:type="paragraph" w:customStyle="1" w:styleId="IPPHeading2">
    <w:name w:val="IPP Heading2"/>
    <w:basedOn w:val="IPPNormal"/>
    <w:next w:val="IPPNormal"/>
    <w:link w:val="IPPHeading2Char"/>
    <w:qFormat/>
    <w:pPr>
      <w:keepNext/>
      <w:tabs>
        <w:tab w:val="left" w:pos="567"/>
      </w:tabs>
      <w:spacing w:before="120" w:after="120"/>
      <w:ind w:left="567" w:hanging="567"/>
      <w:jc w:val="left"/>
      <w:outlineLvl w:val="2"/>
    </w:pPr>
    <w:rPr>
      <w:b/>
      <w:sz w:val="24"/>
    </w:rPr>
  </w:style>
  <w:style w:type="paragraph" w:styleId="TOC1">
    <w:name w:val="toc 1"/>
    <w:basedOn w:val="IPPNormalCloseSpace"/>
    <w:next w:val="Normal"/>
    <w:autoRedefine/>
    <w:uiPriority w:val="39"/>
    <w:locked/>
    <w:pPr>
      <w:tabs>
        <w:tab w:val="right" w:leader="dot" w:pos="9072"/>
      </w:tabs>
      <w:spacing w:before="240"/>
      <w:ind w:left="567" w:hanging="567"/>
    </w:pPr>
  </w:style>
  <w:style w:type="paragraph" w:styleId="TOC2">
    <w:name w:val="toc 2"/>
    <w:basedOn w:val="TOC1"/>
    <w:next w:val="Normal"/>
    <w:autoRedefine/>
    <w:uiPriority w:val="39"/>
    <w:locked/>
    <w:pPr>
      <w:keepNext w:val="0"/>
      <w:tabs>
        <w:tab w:val="left" w:pos="425"/>
      </w:tabs>
      <w:spacing w:before="120" w:after="0"/>
      <w:ind w:left="425" w:right="284" w:hanging="425"/>
    </w:pPr>
  </w:style>
  <w:style w:type="paragraph" w:styleId="TOC3">
    <w:name w:val="toc 3"/>
    <w:basedOn w:val="TOC2"/>
    <w:next w:val="Normal"/>
    <w:autoRedefine/>
    <w:uiPriority w:val="39"/>
    <w:locked/>
    <w:pPr>
      <w:tabs>
        <w:tab w:val="left" w:pos="1276"/>
      </w:tabs>
      <w:spacing w:before="60"/>
      <w:ind w:left="1276" w:hanging="851"/>
    </w:pPr>
    <w:rPr>
      <w:rFonts w:eastAsia="Times"/>
    </w:rPr>
  </w:style>
  <w:style w:type="paragraph" w:styleId="TOC4">
    <w:name w:val="toc 4"/>
    <w:basedOn w:val="Normal"/>
    <w:next w:val="Normal"/>
    <w:autoRedefine/>
    <w:uiPriority w:val="39"/>
    <w:locked/>
    <w:pPr>
      <w:spacing w:after="120"/>
      <w:ind w:left="660"/>
    </w:pPr>
    <w:rPr>
      <w:rFonts w:eastAsia="Times"/>
      <w:lang w:val="en-AU"/>
    </w:rPr>
  </w:style>
  <w:style w:type="paragraph" w:styleId="TOC5">
    <w:name w:val="toc 5"/>
    <w:basedOn w:val="Normal"/>
    <w:next w:val="Normal"/>
    <w:autoRedefine/>
    <w:uiPriority w:val="39"/>
    <w:locked/>
    <w:pPr>
      <w:spacing w:after="120"/>
      <w:ind w:left="880"/>
    </w:pPr>
    <w:rPr>
      <w:rFonts w:eastAsia="Times"/>
      <w:lang w:val="en-AU"/>
    </w:rPr>
  </w:style>
  <w:style w:type="paragraph" w:styleId="TOC6">
    <w:name w:val="toc 6"/>
    <w:basedOn w:val="Normal"/>
    <w:next w:val="Normal"/>
    <w:autoRedefine/>
    <w:uiPriority w:val="39"/>
    <w:locked/>
    <w:pPr>
      <w:spacing w:after="120"/>
      <w:ind w:left="1100"/>
    </w:pPr>
    <w:rPr>
      <w:rFonts w:eastAsia="Times"/>
      <w:lang w:val="en-AU"/>
    </w:rPr>
  </w:style>
  <w:style w:type="paragraph" w:styleId="TOC7">
    <w:name w:val="toc 7"/>
    <w:basedOn w:val="Normal"/>
    <w:next w:val="Normal"/>
    <w:autoRedefine/>
    <w:uiPriority w:val="39"/>
    <w:locked/>
    <w:pPr>
      <w:spacing w:after="120"/>
      <w:ind w:left="1320"/>
    </w:pPr>
    <w:rPr>
      <w:rFonts w:eastAsia="Times"/>
      <w:lang w:val="en-AU"/>
    </w:rPr>
  </w:style>
  <w:style w:type="paragraph" w:styleId="TOC8">
    <w:name w:val="toc 8"/>
    <w:basedOn w:val="Normal"/>
    <w:next w:val="Normal"/>
    <w:autoRedefine/>
    <w:uiPriority w:val="39"/>
    <w:locked/>
    <w:pPr>
      <w:spacing w:after="120"/>
      <w:ind w:left="1540"/>
    </w:pPr>
    <w:rPr>
      <w:rFonts w:eastAsia="Times"/>
      <w:lang w:val="en-AU"/>
    </w:rPr>
  </w:style>
  <w:style w:type="paragraph" w:styleId="TOC9">
    <w:name w:val="toc 9"/>
    <w:basedOn w:val="Normal"/>
    <w:next w:val="Normal"/>
    <w:autoRedefine/>
    <w:uiPriority w:val="39"/>
    <w:locked/>
    <w:pPr>
      <w:spacing w:after="120"/>
      <w:ind w:left="1760"/>
    </w:pPr>
    <w:rPr>
      <w:rFonts w:eastAsia="Times"/>
      <w:lang w:val="en-AU"/>
    </w:rPr>
  </w:style>
  <w:style w:type="paragraph" w:customStyle="1" w:styleId="IPPReferences">
    <w:name w:val="IPP References"/>
    <w:basedOn w:val="IPPNormal"/>
    <w:qFormat/>
    <w:pPr>
      <w:spacing w:after="60"/>
      <w:ind w:left="567" w:hanging="567"/>
    </w:pPr>
  </w:style>
  <w:style w:type="paragraph" w:customStyle="1" w:styleId="IPPArial">
    <w:name w:val="IPP Arial"/>
    <w:basedOn w:val="IPPNormal"/>
    <w:qFormat/>
    <w:pPr>
      <w:spacing w:after="0"/>
    </w:pPr>
    <w:rPr>
      <w:rFonts w:ascii="Arial" w:hAnsi="Arial"/>
      <w:sz w:val="18"/>
    </w:rPr>
  </w:style>
  <w:style w:type="paragraph" w:customStyle="1" w:styleId="IPPHeaderlandscape">
    <w:name w:val="IPP Header landscape"/>
    <w:basedOn w:val="IPPHeader"/>
    <w:qFormat/>
    <w:pPr>
      <w:pBdr>
        <w:bottom w:val="single" w:sz="4" w:space="1" w:color="auto"/>
      </w:pBdr>
      <w:tabs>
        <w:tab w:val="clear" w:pos="9072"/>
        <w:tab w:val="right" w:pos="14034"/>
      </w:tabs>
      <w:spacing w:after="0"/>
      <w:ind w:right="-32"/>
    </w:pPr>
  </w:style>
  <w:style w:type="paragraph" w:customStyle="1" w:styleId="IPPLetterList">
    <w:name w:val="IPP LetterList"/>
    <w:basedOn w:val="IPPBullet2"/>
    <w:qFormat/>
    <w:pPr>
      <w:numPr>
        <w:numId w:val="28"/>
      </w:numPr>
      <w:jc w:val="left"/>
    </w:pPr>
  </w:style>
  <w:style w:type="paragraph" w:customStyle="1" w:styleId="IPPLetterListIndent">
    <w:name w:val="IPP LetterList Indent"/>
    <w:basedOn w:val="IPPLetterList"/>
    <w:qFormat/>
    <w:pPr>
      <w:numPr>
        <w:numId w:val="29"/>
      </w:numPr>
    </w:pPr>
  </w:style>
  <w:style w:type="paragraph" w:customStyle="1" w:styleId="IPPFooterLandscape">
    <w:name w:val="IPP Footer Landscape"/>
    <w:basedOn w:val="IPPHeaderlandscape"/>
    <w:qFormat/>
    <w:pPr>
      <w:pBdr>
        <w:top w:val="single" w:sz="4" w:space="1" w:color="auto"/>
        <w:bottom w:val="none" w:sz="0" w:space="0" w:color="auto"/>
      </w:pBdr>
      <w:jc w:val="right"/>
    </w:pPr>
    <w:rPr>
      <w:b/>
    </w:rPr>
  </w:style>
  <w:style w:type="paragraph" w:customStyle="1" w:styleId="IPPSubheadSpace">
    <w:name w:val="IPP Subhead Space"/>
    <w:basedOn w:val="IPPSubhead"/>
    <w:qFormat/>
    <w:pPr>
      <w:tabs>
        <w:tab w:val="left" w:pos="567"/>
      </w:tabs>
      <w:spacing w:before="60" w:after="60"/>
    </w:pPr>
  </w:style>
  <w:style w:type="paragraph" w:customStyle="1" w:styleId="IPPSubheadSpaceAfter">
    <w:name w:val="IPP Subhead SpaceAfter"/>
    <w:basedOn w:val="IPPSubhead"/>
    <w:qFormat/>
    <w:pPr>
      <w:spacing w:after="60"/>
    </w:pPr>
  </w:style>
  <w:style w:type="paragraph" w:customStyle="1" w:styleId="IPPHdg1Num">
    <w:name w:val="IPP Hdg1Num"/>
    <w:basedOn w:val="IPPHeading1"/>
    <w:next w:val="IPPNormal"/>
    <w:qFormat/>
    <w:pPr>
      <w:numPr>
        <w:numId w:val="33"/>
      </w:numPr>
    </w:pPr>
  </w:style>
  <w:style w:type="paragraph" w:customStyle="1" w:styleId="IPPHdg2Num">
    <w:name w:val="IPP Hdg2Num"/>
    <w:basedOn w:val="IPPHeading2"/>
    <w:next w:val="IPPNormal"/>
    <w:qFormat/>
    <w:pPr>
      <w:numPr>
        <w:ilvl w:val="1" numString="1.1. "/>
        <w:numId w:val="34"/>
      </w:numPr>
    </w:pPr>
  </w:style>
  <w:style w:type="paragraph" w:customStyle="1" w:styleId="IPPNumberedList">
    <w:name w:val="IPP NumberedList"/>
    <w:basedOn w:val="IPPBullet1"/>
    <w:qFormat/>
    <w:pPr>
      <w:numPr>
        <w:numId w:val="42"/>
      </w:numPr>
    </w:pPr>
  </w:style>
  <w:style w:type="paragraph" w:styleId="ListParagraph">
    <w:name w:val="List Paragraph"/>
    <w:basedOn w:val="Normal"/>
    <w:uiPriority w:val="34"/>
    <w:qFormat/>
    <w:pPr>
      <w:spacing w:line="240" w:lineRule="atLeast"/>
      <w:ind w:leftChars="400" w:left="800"/>
    </w:pPr>
    <w:rPr>
      <w:rFonts w:ascii="Verdana" w:eastAsia="Times New Roman" w:hAnsi="Verdana"/>
      <w:sz w:val="20"/>
      <w:lang w:val="nl-NL" w:eastAsia="nl-NL"/>
    </w:rPr>
  </w:style>
  <w:style w:type="paragraph" w:customStyle="1" w:styleId="IPPParagraphnumberingclose">
    <w:name w:val="IPP Paragraph numbering close"/>
    <w:basedOn w:val="IPPParagraphnumbering"/>
    <w:qFormat/>
    <w:pPr>
      <w:keepNext/>
      <w:spacing w:after="60"/>
    </w:pPr>
  </w:style>
  <w:style w:type="paragraph" w:customStyle="1" w:styleId="IPPNumberedListLast">
    <w:name w:val="IPP NumberedListLast"/>
    <w:basedOn w:val="IPPNumberedList"/>
    <w:qFormat/>
    <w:pPr>
      <w:spacing w:after="180"/>
    </w:pPr>
  </w:style>
  <w:style w:type="character" w:styleId="FollowedHyperlink">
    <w:name w:val="FollowedHyperlink"/>
    <w:basedOn w:val="DefaultParagraphFont"/>
    <w:semiHidden/>
    <w:unhideWhenUsed/>
    <w:locked/>
    <w:rPr>
      <w:color w:val="800080" w:themeColor="followedHyperlink"/>
      <w:u w:val="none"/>
    </w:rPr>
  </w:style>
  <w:style w:type="character" w:customStyle="1" w:styleId="UnresolvedMention3">
    <w:name w:val="Unresolved Mention3"/>
    <w:basedOn w:val="DefaultParagraphFont"/>
    <w:uiPriority w:val="99"/>
    <w:semiHidden/>
    <w:unhideWhenUsed/>
    <w:rPr>
      <w:color w:val="605E5C"/>
      <w:shd w:val="clear" w:color="auto" w:fill="E1DFDD"/>
    </w:rPr>
  </w:style>
  <w:style w:type="paragraph" w:customStyle="1" w:styleId="Textcomment">
    <w:name w:val="Text comment"/>
    <w:basedOn w:val="Normal"/>
    <w:pPr>
      <w:spacing w:after="160" w:line="259" w:lineRule="auto"/>
      <w:jc w:val="left"/>
    </w:pPr>
    <w:rPr>
      <w:rFonts w:eastAsia="Times" w:cstheme="minorBidi"/>
      <w:kern w:val="2"/>
      <w:lang w:val="en-US"/>
      <w14:ligatures w14:val="standardContextual"/>
    </w:rPr>
  </w:style>
  <w:style w:type="character" w:customStyle="1" w:styleId="IPPHeading2Char">
    <w:name w:val="IPP Heading2 Char"/>
    <w:link w:val="IPPHeading2"/>
    <w:locked/>
    <w:rPr>
      <w:rFonts w:eastAsia="Times"/>
      <w:b/>
      <w:sz w:val="24"/>
      <w:szCs w:val="24"/>
      <w:lang w:eastAsia="en-US"/>
    </w:rPr>
  </w:style>
  <w:style w:type="character" w:customStyle="1" w:styleId="UnresolvedMention4">
    <w:name w:val="Unresolved Mention4"/>
    <w:basedOn w:val="DefaultParagraphFont"/>
    <w:uiPriority w:val="99"/>
    <w:semiHidden/>
    <w:unhideWhenUsed/>
    <w:rPr>
      <w:color w:val="605E5C"/>
      <w:shd w:val="clear" w:color="auto" w:fill="E1DFDD"/>
    </w:rPr>
  </w:style>
  <w:style w:type="character" w:customStyle="1" w:styleId="UnresolvedMention5">
    <w:name w:val="Unresolved Mention5"/>
    <w:basedOn w:val="DefaultParagraphFont"/>
    <w:uiPriority w:val="99"/>
    <w:semiHidden/>
    <w:unhideWhenUsed/>
    <w:rPr>
      <w:color w:val="605E5C"/>
      <w:shd w:val="clear" w:color="auto" w:fill="E1DFDD"/>
    </w:rPr>
  </w:style>
  <w:style w:type="character" w:styleId="PleaseReviewParagraphId">
    <w:name w:val="PleaseReviewParagraphId"/>
    <w:basedOn w:val="DefaultParagraphFont"/>
    <w:rPr>
      <w:rFonts w:ascii="Arial" w:hAnsi="Arial"/>
      <w:b w:val="off"/>
      <w:i w:val="off"/>
      <w:u w:val="off"/>
      <w:color w:val="000080"/>
      <w:sz w:val="16"/>
    </w:rPr>
  </w:style>
</w:styles>
</file>

<file path=word/webSettings.xml><?xml version="1.0" encoding="utf-8"?>
<w:webSettings xmlns:w="http://schemas.openxmlformats.org/wordprocessingml/2006/main" xmlns:mc="http://schemas.openxmlformats.org/markup-compatibility/2006" xmlns:r="http://schemas.openxmlformats.org/officeDocument/2006/relationships" xmlns:w14="http://schemas.microsoft.com/office/word/2010/wordml" xmlns:w15="http://schemas.microsoft.com/office/word/2012/wordml" xmlns:w16se="http://schemas.microsoft.com/office/word/2015/wordml/symex" mc:Ignorable="w14 w15 w16se">
  <w:divs>
    <w:div w:id="48234975">
      <w:bodyDiv w:val="1"/>
      <w:marLeft w:val="0"/>
      <w:marRight w:val="0"/>
      <w:marTop w:val="0"/>
      <w:marBottom w:val="0"/>
      <w:divBdr>
        <w:top w:val="none" w:sz="0" w:space="0" w:color="auto"/>
        <w:left w:val="none" w:sz="0" w:space="0" w:color="auto"/>
        <w:bottom w:val="none" w:sz="0" w:space="0" w:color="auto"/>
        <w:right w:val="none" w:sz="0" w:space="0" w:color="auto"/>
      </w:divBdr>
    </w:div>
    <w:div w:id="61755493">
      <w:bodyDiv w:val="1"/>
      <w:marLeft w:val="0"/>
      <w:marRight w:val="0"/>
      <w:marTop w:val="0"/>
      <w:marBottom w:val="0"/>
      <w:divBdr>
        <w:top w:val="none" w:sz="0" w:space="0" w:color="auto"/>
        <w:left w:val="none" w:sz="0" w:space="0" w:color="auto"/>
        <w:bottom w:val="none" w:sz="0" w:space="0" w:color="auto"/>
        <w:right w:val="none" w:sz="0" w:space="0" w:color="auto"/>
      </w:divBdr>
      <w:divsChild>
        <w:div w:id="1951888609">
          <w:marLeft w:val="0"/>
          <w:marRight w:val="0"/>
          <w:marTop w:val="0"/>
          <w:marBottom w:val="0"/>
          <w:divBdr>
            <w:top w:val="none" w:sz="0" w:space="0" w:color="auto"/>
            <w:left w:val="none" w:sz="0" w:space="0" w:color="auto"/>
            <w:bottom w:val="none" w:sz="0" w:space="0" w:color="auto"/>
            <w:right w:val="none" w:sz="0" w:space="0" w:color="auto"/>
          </w:divBdr>
        </w:div>
      </w:divsChild>
    </w:div>
    <w:div w:id="456801853">
      <w:bodyDiv w:val="1"/>
      <w:marLeft w:val="0"/>
      <w:marRight w:val="0"/>
      <w:marTop w:val="0"/>
      <w:marBottom w:val="0"/>
      <w:divBdr>
        <w:top w:val="none" w:sz="0" w:space="0" w:color="auto"/>
        <w:left w:val="none" w:sz="0" w:space="0" w:color="auto"/>
        <w:bottom w:val="none" w:sz="0" w:space="0" w:color="auto"/>
        <w:right w:val="none" w:sz="0" w:space="0" w:color="auto"/>
      </w:divBdr>
    </w:div>
    <w:div w:id="622537804">
      <w:bodyDiv w:val="1"/>
      <w:marLeft w:val="0"/>
      <w:marRight w:val="0"/>
      <w:marTop w:val="0"/>
      <w:marBottom w:val="0"/>
      <w:divBdr>
        <w:top w:val="none" w:sz="0" w:space="0" w:color="auto"/>
        <w:left w:val="none" w:sz="0" w:space="0" w:color="auto"/>
        <w:bottom w:val="none" w:sz="0" w:space="0" w:color="auto"/>
        <w:right w:val="none" w:sz="0" w:space="0" w:color="auto"/>
      </w:divBdr>
    </w:div>
    <w:div w:id="709644361">
      <w:bodyDiv w:val="1"/>
      <w:marLeft w:val="0"/>
      <w:marRight w:val="0"/>
      <w:marTop w:val="0"/>
      <w:marBottom w:val="0"/>
      <w:divBdr>
        <w:top w:val="none" w:sz="0" w:space="0" w:color="auto"/>
        <w:left w:val="none" w:sz="0" w:space="0" w:color="auto"/>
        <w:bottom w:val="none" w:sz="0" w:space="0" w:color="auto"/>
        <w:right w:val="none" w:sz="0" w:space="0" w:color="auto"/>
      </w:divBdr>
      <w:divsChild>
        <w:div w:id="448816973">
          <w:marLeft w:val="0"/>
          <w:marRight w:val="0"/>
          <w:marTop w:val="0"/>
          <w:marBottom w:val="0"/>
          <w:divBdr>
            <w:top w:val="none" w:sz="0" w:space="0" w:color="auto"/>
            <w:left w:val="none" w:sz="0" w:space="0" w:color="auto"/>
            <w:bottom w:val="none" w:sz="0" w:space="0" w:color="auto"/>
            <w:right w:val="none" w:sz="0" w:space="0" w:color="auto"/>
          </w:divBdr>
        </w:div>
      </w:divsChild>
    </w:div>
    <w:div w:id="797797237">
      <w:bodyDiv w:val="1"/>
      <w:marLeft w:val="0"/>
      <w:marRight w:val="0"/>
      <w:marTop w:val="0"/>
      <w:marBottom w:val="0"/>
      <w:divBdr>
        <w:top w:val="none" w:sz="0" w:space="0" w:color="auto"/>
        <w:left w:val="none" w:sz="0" w:space="0" w:color="auto"/>
        <w:bottom w:val="none" w:sz="0" w:space="0" w:color="auto"/>
        <w:right w:val="none" w:sz="0" w:space="0" w:color="auto"/>
      </w:divBdr>
    </w:div>
    <w:div w:id="844366659">
      <w:bodyDiv w:val="1"/>
      <w:marLeft w:val="0"/>
      <w:marRight w:val="0"/>
      <w:marTop w:val="0"/>
      <w:marBottom w:val="0"/>
      <w:divBdr>
        <w:top w:val="none" w:sz="0" w:space="0" w:color="auto"/>
        <w:left w:val="none" w:sz="0" w:space="0" w:color="auto"/>
        <w:bottom w:val="none" w:sz="0" w:space="0" w:color="auto"/>
        <w:right w:val="none" w:sz="0" w:space="0" w:color="auto"/>
      </w:divBdr>
    </w:div>
    <w:div w:id="1018655318">
      <w:bodyDiv w:val="1"/>
      <w:marLeft w:val="0"/>
      <w:marRight w:val="0"/>
      <w:marTop w:val="0"/>
      <w:marBottom w:val="0"/>
      <w:divBdr>
        <w:top w:val="none" w:sz="0" w:space="0" w:color="auto"/>
        <w:left w:val="none" w:sz="0" w:space="0" w:color="auto"/>
        <w:bottom w:val="none" w:sz="0" w:space="0" w:color="auto"/>
        <w:right w:val="none" w:sz="0" w:space="0" w:color="auto"/>
      </w:divBdr>
    </w:div>
    <w:div w:id="1225020689">
      <w:bodyDiv w:val="1"/>
      <w:marLeft w:val="0"/>
      <w:marRight w:val="0"/>
      <w:marTop w:val="0"/>
      <w:marBottom w:val="0"/>
      <w:divBdr>
        <w:top w:val="none" w:sz="0" w:space="0" w:color="auto"/>
        <w:left w:val="none" w:sz="0" w:space="0" w:color="auto"/>
        <w:bottom w:val="none" w:sz="0" w:space="0" w:color="auto"/>
        <w:right w:val="none" w:sz="0" w:space="0" w:color="auto"/>
      </w:divBdr>
    </w:div>
    <w:div w:id="1244754673">
      <w:bodyDiv w:val="1"/>
      <w:marLeft w:val="0"/>
      <w:marRight w:val="0"/>
      <w:marTop w:val="0"/>
      <w:marBottom w:val="0"/>
      <w:divBdr>
        <w:top w:val="none" w:sz="0" w:space="0" w:color="auto"/>
        <w:left w:val="none" w:sz="0" w:space="0" w:color="auto"/>
        <w:bottom w:val="none" w:sz="0" w:space="0" w:color="auto"/>
        <w:right w:val="none" w:sz="0" w:space="0" w:color="auto"/>
      </w:divBdr>
    </w:div>
    <w:div w:id="1348017327">
      <w:bodyDiv w:val="1"/>
      <w:marLeft w:val="0"/>
      <w:marRight w:val="0"/>
      <w:marTop w:val="0"/>
      <w:marBottom w:val="0"/>
      <w:divBdr>
        <w:top w:val="none" w:sz="0" w:space="0" w:color="auto"/>
        <w:left w:val="none" w:sz="0" w:space="0" w:color="auto"/>
        <w:bottom w:val="none" w:sz="0" w:space="0" w:color="auto"/>
        <w:right w:val="none" w:sz="0" w:space="0" w:color="auto"/>
      </w:divBdr>
    </w:div>
    <w:div w:id="1376613447">
      <w:bodyDiv w:val="1"/>
      <w:marLeft w:val="0"/>
      <w:marRight w:val="0"/>
      <w:marTop w:val="0"/>
      <w:marBottom w:val="0"/>
      <w:divBdr>
        <w:top w:val="none" w:sz="0" w:space="0" w:color="auto"/>
        <w:left w:val="none" w:sz="0" w:space="0" w:color="auto"/>
        <w:bottom w:val="none" w:sz="0" w:space="0" w:color="auto"/>
        <w:right w:val="none" w:sz="0" w:space="0" w:color="auto"/>
      </w:divBdr>
    </w:div>
    <w:div w:id="1585261220">
      <w:bodyDiv w:val="1"/>
      <w:marLeft w:val="0"/>
      <w:marRight w:val="0"/>
      <w:marTop w:val="0"/>
      <w:marBottom w:val="0"/>
      <w:divBdr>
        <w:top w:val="none" w:sz="0" w:space="0" w:color="auto"/>
        <w:left w:val="none" w:sz="0" w:space="0" w:color="auto"/>
        <w:bottom w:val="none" w:sz="0" w:space="0" w:color="auto"/>
        <w:right w:val="none" w:sz="0" w:space="0" w:color="auto"/>
      </w:divBdr>
    </w:div>
    <w:div w:id="1637832950">
      <w:bodyDiv w:val="1"/>
      <w:marLeft w:val="0"/>
      <w:marRight w:val="0"/>
      <w:marTop w:val="0"/>
      <w:marBottom w:val="0"/>
      <w:divBdr>
        <w:top w:val="none" w:sz="0" w:space="0" w:color="auto"/>
        <w:left w:val="none" w:sz="0" w:space="0" w:color="auto"/>
        <w:bottom w:val="none" w:sz="0" w:space="0" w:color="auto"/>
        <w:right w:val="none" w:sz="0" w:space="0" w:color="auto"/>
      </w:divBdr>
    </w:div>
    <w:div w:id="1745447958">
      <w:bodyDiv w:val="1"/>
      <w:marLeft w:val="0"/>
      <w:marRight w:val="0"/>
      <w:marTop w:val="0"/>
      <w:marBottom w:val="0"/>
      <w:divBdr>
        <w:top w:val="none" w:sz="0" w:space="0" w:color="auto"/>
        <w:left w:val="none" w:sz="0" w:space="0" w:color="auto"/>
        <w:bottom w:val="none" w:sz="0" w:space="0" w:color="auto"/>
        <w:right w:val="none" w:sz="0" w:space="0" w:color="auto"/>
      </w:divBdr>
    </w:div>
    <w:div w:id="2009013113">
      <w:bodyDiv w:val="1"/>
      <w:marLeft w:val="0"/>
      <w:marRight w:val="0"/>
      <w:marTop w:val="0"/>
      <w:marBottom w:val="0"/>
      <w:divBdr>
        <w:top w:val="none" w:sz="0" w:space="0" w:color="auto"/>
        <w:left w:val="none" w:sz="0" w:space="0" w:color="auto"/>
        <w:bottom w:val="none" w:sz="0" w:space="0" w:color="auto"/>
        <w:right w:val="none" w:sz="0" w:space="0" w:color="auto"/>
      </w:divBdr>
    </w:div>
  </w:divs>
  <w:allowPNG/>
  <w:pixelsPerInch w:val="72"/>
</w:webSettings>
</file>

<file path=word/_rels/document.xml.rels><?xml version="1.0" encoding="utf-8"?>
<Relationships xmlns="http://schemas.openxmlformats.org/package/2006/relationships">
  <Relationship Type="http://schemas.openxmlformats.org/officeDocument/2006/relationships/hyperlink" Target="http://www.ippc.int/en/core-activities/standards-setting/ispms" TargetMode="External" Id="rId26" />
  <Relationship Type="http://schemas.openxmlformats.org/officeDocument/2006/relationships/hyperlink" Target="mailto:g.karssen@nvwa.nl" TargetMode="External" Id="rId21" />
  <Relationship Type="http://schemas.openxmlformats.org/officeDocument/2006/relationships/hyperlink" Target="https://doi.org/10.1163/15685411-bja10093" TargetMode="External" Id="rId42" />
  <Relationship Type="http://schemas.openxmlformats.org/officeDocument/2006/relationships/hyperlink" Target="https://doi.org/10.1371/journal.pone.0172190" TargetMode="External" Id="rId47" />
  <Relationship Type="http://schemas.openxmlformats.org/officeDocument/2006/relationships/hyperlink" Target="https://journals.flvc.org/nemamedi/article/view/63531" TargetMode="External" Id="rId63" />
  <Relationship Type="http://schemas.openxmlformats.org/officeDocument/2006/relationships/image" Target="media/image7.jpeg" Id="rId68" />
  <Relationship Type="http://schemas.openxmlformats.org/officeDocument/2006/relationships/hyperlink" Target="https://journals.flvc.org/jon/article/view/65150" TargetMode="External" Id="rId84" />
  <Relationship Type="http://schemas.openxmlformats.org/officeDocument/2006/relationships/hyperlink" Target="https://doi.org/10.3897/zookeys.362.6352" TargetMode="External" Id="rId89" />
  <Relationship Type="http://schemas.openxmlformats.org/officeDocument/2006/relationships/hyperlink" Target="https://qbank.eppo.int/nematodes" TargetMode="External" Id="rId16" />
  <Relationship Type="http://schemas.openxmlformats.org/officeDocument/2006/relationships/hyperlink" Target="https://doi.org/10.1303/aez.4.194" TargetMode="External" Id="rId11" />
  <Relationship Type="http://schemas.openxmlformats.org/officeDocument/2006/relationships/hyperlink" Target="https://doi.org/10.1111/epp.12077" TargetMode="External" Id="rId32" />
  <Relationship Type="http://schemas.openxmlformats.org/officeDocument/2006/relationships/hyperlink" Target="https://www.eppo.int/ACTIVITIES/plant_quarantine/A2_list" TargetMode="External" Id="rId37" />
  <Relationship Type="http://schemas.openxmlformats.org/officeDocument/2006/relationships/hyperlink" Target="https://doi.org/10.1371/journal.pone.0245201" TargetMode="External" Id="rId53" />
  <Relationship Type="http://schemas.openxmlformats.org/officeDocument/2006/relationships/hyperlink" Target="https://onlinelibrary.wiley.com/cms/asset/30fae9a3-5922-4241-b41d-c33a8dd0fac5/epp12544-fig-0004-m.jpg" TargetMode="External" Id="rId58" />
  <Relationship Type="http://schemas.openxmlformats.org/officeDocument/2006/relationships/hyperlink" Target="https://doi.org/10.1371/journal.pone.0245201" TargetMode="External" Id="rId74" />
  <Relationship Type="http://schemas.openxmlformats.org/officeDocument/2006/relationships/hyperlink" Target="https://doi.org/10.2478/jofnem-2022-0036" TargetMode="External" Id="rId79" />
  <Relationship Type="http://schemas.openxmlformats.org/officeDocument/2006/relationships/numbering" Target="numbering.xml" Id="rId5" />
  <Relationship Type="http://schemas.openxmlformats.org/officeDocument/2006/relationships/fontTable" Target="fontTable.xml" Id="rId90" />
  <Relationship Type="http://schemas.openxmlformats.org/officeDocument/2006/relationships/hyperlink" Target="https://doi.org/10.2478/jofnem-2022-0036" TargetMode="External" Id="rId14" />
  <Relationship Type="http://schemas.openxmlformats.org/officeDocument/2006/relationships/hyperlink" Target="mailto:thomas.prior@fera.co.uk" TargetMode="External" Id="rId22" />
  <Relationship Type="http://schemas.openxmlformats.org/officeDocument/2006/relationships/hyperlink" Target="https://doi.org/10.3897/zookeys.362.6352" TargetMode="External" Id="rId27" />
  <Relationship Type="http://schemas.openxmlformats.org/officeDocument/2006/relationships/hyperlink" Target="https://doi.org/10.1079/cabicompendium.33247" TargetMode="External" Id="rId30" />
  <Relationship Type="http://schemas.openxmlformats.org/officeDocument/2006/relationships/hyperlink" Target="https://doi.org/10.1111/epp.12544" TargetMode="External" Id="rId35" />
  <Relationship Type="http://schemas.openxmlformats.org/officeDocument/2006/relationships/hyperlink" Target="https://doi.org/10.1007/978-1-4615-6872-8_3" TargetMode="External" Id="rId43" />
  <Relationship Type="http://schemas.openxmlformats.org/officeDocument/2006/relationships/hyperlink" Target="https://doi.org/10.1002/elps.1150160119" TargetMode="External" Id="rId48" />
  <Relationship Type="http://schemas.openxmlformats.org/officeDocument/2006/relationships/hyperlink" Target="https://onlinelibrary.wiley.com/cms/asset/2e7ebbae-fbb8-4fa9-ae71-3cfc89edfaa9/epp12544-fig-0003-m.jpg" TargetMode="External" Id="rId56" />
  <Relationship Type="http://schemas.openxmlformats.org/officeDocument/2006/relationships/image" Target="media/image5.jpeg" Id="rId64" />
  <Relationship Type="http://schemas.openxmlformats.org/officeDocument/2006/relationships/image" Target="media/image8.png" Id="rId69" />
  <Relationship Type="http://schemas.openxmlformats.org/officeDocument/2006/relationships/hyperlink" Target="https://doi.org/10.1163/187529267X00418" TargetMode="External" Id="rId77" />
  <Relationship Type="http://schemas.openxmlformats.org/officeDocument/2006/relationships/webSettings" Target="webSettings.xml" Id="rId8" />
  <Relationship Type="http://schemas.openxmlformats.org/officeDocument/2006/relationships/hyperlink" Target="https://www.jircas.go.jp/en/publication/jarq/24/4/300" TargetMode="External" Id="rId51" />
  <Relationship Type="http://schemas.openxmlformats.org/officeDocument/2006/relationships/hyperlink" Target="https://journals.flvc.org/jon/article/view/65150" TargetMode="External" Id="rId72" />
  <Relationship Type="http://schemas.openxmlformats.org/officeDocument/2006/relationships/hyperlink" Target="https://doi.org/10.1371/journal.pone.0245201" TargetMode="External" Id="rId80" />
  <Relationship Type="http://schemas.openxmlformats.org/officeDocument/2006/relationships/hyperlink" Target="https://doi.org/10.2478/jofnem-2022-0036" TargetMode="External" Id="rId85" />
  <Relationship Type="http://schemas.openxmlformats.org/officeDocument/2006/relationships/customXml" Target="../customXml/item3.xml" Id="rId3" />
  <Relationship Type="http://schemas.openxmlformats.org/officeDocument/2006/relationships/hyperlink" Target="https://doi.org/10.1163/187529267X00418" TargetMode="External" Id="rId12" />
  <Relationship Type="http://schemas.openxmlformats.org/officeDocument/2006/relationships/hyperlink" Target="https://www.ncbi.nlm.nih.gov/genbank/" TargetMode="External" Id="rId17" />
  <Relationship Type="http://schemas.openxmlformats.org/officeDocument/2006/relationships/hyperlink" Target="mailto:ippc@fao.org" TargetMode="External" Id="rId25" />
  <Relationship Type="http://schemas.openxmlformats.org/officeDocument/2006/relationships/hyperlink" Target="https://doi.org/10.1111/epp.12344" TargetMode="External" Id="rId33" />
  <Relationship Type="http://schemas.openxmlformats.org/officeDocument/2006/relationships/hyperlink" Target="https://gd.eppo.int/taxon/MELGMA" TargetMode="External" Id="rId38" />
  <Relationship Type="http://schemas.openxmlformats.org/officeDocument/2006/relationships/hyperlink" Target="https://doi.org/10.1303/aez.4.194" TargetMode="External" Id="rId46" />
  <Relationship Type="http://schemas.openxmlformats.org/officeDocument/2006/relationships/image" Target="media/image3.png" Id="rId59" />
  <Relationship Type="http://schemas.openxmlformats.org/officeDocument/2006/relationships/hyperlink" Target="https://doi.org/10.1303/aez.4.194" TargetMode="External" Id="rId67" />
  <Relationship Type="http://schemas.openxmlformats.org/officeDocument/2006/relationships/hyperlink" Target="mailto:jeffgu00@qq.com" TargetMode="External" Id="rId20" />
  <Relationship Type="http://schemas.openxmlformats.org/officeDocument/2006/relationships/hyperlink" Target="https://doi.org/10.2478/jofnem-2022-0036" TargetMode="External" Id="rId41" />
  <Relationship Type="http://schemas.openxmlformats.org/officeDocument/2006/relationships/hyperlink" Target="https://onlinelibrary.wiley.com/cms/asset/8758e08b-56b9-41ed-8109-90e23783cd67/epp12544-fig-0002-m.jpg" TargetMode="External" Id="rId54" />
  <Relationship Type="http://schemas.openxmlformats.org/officeDocument/2006/relationships/image" Target="media/image4.png" Id="rId62" />
  <Relationship Type="http://schemas.openxmlformats.org/officeDocument/2006/relationships/hyperlink" Target="https://doi.org/10.1303/aez.4.194" TargetMode="External" Id="rId70" />
  <Relationship Type="http://schemas.openxmlformats.org/officeDocument/2006/relationships/image" Target="media/image9.png" Id="rId75" />
  <Relationship Type="http://schemas.openxmlformats.org/officeDocument/2006/relationships/hyperlink" Target="https://doi.org/10.1163/187529267X00418" TargetMode="External" Id="rId83" />
  <Relationship Type="http://schemas.openxmlformats.org/officeDocument/2006/relationships/image" Target="media/image12.jpeg" Id="rId88" />
  <Relationship Type="http://schemas.openxmlformats.org/officeDocument/2006/relationships/theme" Target="theme/theme1.xml" Id="rId91" />
  <Relationship Type="http://schemas.openxmlformats.org/officeDocument/2006/relationships/customXml" Target="../customXml/item1.xml" Id="rId1" />
  <Relationship Type="http://schemas.openxmlformats.org/officeDocument/2006/relationships/styles" Target="styles.xml" Id="rId6" />
  <Relationship Type="http://schemas.openxmlformats.org/officeDocument/2006/relationships/hyperlink" Target="https://doi.org/10.1371/journal.pone.0245201" TargetMode="External" Id="rId15" />
  <Relationship Type="http://schemas.openxmlformats.org/officeDocument/2006/relationships/hyperlink" Target="mailto:fengcheng.sun@inspection.gc.ca" TargetMode="External" Id="rId23" />
  <Relationship Type="http://schemas.openxmlformats.org/officeDocument/2006/relationships/hyperlink" Target="https://journals.flvc.org/jon/article/view/66547" TargetMode="External" Id="rId28" />
  <Relationship Type="http://schemas.openxmlformats.org/officeDocument/2006/relationships/hyperlink" Target="https://doi.org/10.1111/epp.12798" TargetMode="External" Id="rId36" />
  <Relationship Type="http://schemas.openxmlformats.org/officeDocument/2006/relationships/hyperlink" Target="https://doi.org/10.1079/9781780641515.0073" TargetMode="External" Id="rId49" />
  <Relationship Type="http://schemas.openxmlformats.org/officeDocument/2006/relationships/image" Target="media/image2.png" Id="rId57" />
  <Relationship Type="http://schemas.openxmlformats.org/officeDocument/2006/relationships/endnotes" Target="endnotes.xml" Id="rId10" />
  <Relationship Type="http://schemas.openxmlformats.org/officeDocument/2006/relationships/hyperlink" Target="https://doi.org/10.1163/156854100509510" TargetMode="External" Id="rId31" />
  <Relationship Type="http://schemas.openxmlformats.org/officeDocument/2006/relationships/hyperlink" Target="https://doi.org/10.21307/jofnem-2020-052" TargetMode="External" Id="rId44" />
  <Relationship Type="http://schemas.openxmlformats.org/officeDocument/2006/relationships/hyperlink" Target="https://doi.org/10.14855/jjn1972.14.49" TargetMode="External" Id="rId52" />
  <Relationship Type="http://schemas.openxmlformats.org/officeDocument/2006/relationships/hyperlink" Target="https://doi.org/10.1303/aez.4.194" TargetMode="External" Id="rId60" />
  <Relationship Type="http://schemas.openxmlformats.org/officeDocument/2006/relationships/hyperlink" Target="https://onlinelibrary.wiley.com/cms/asset/857c4e10-cff7-48b0-9606-8961b1b2041d/epp12544-fig-0006-m.jpg" TargetMode="External" Id="rId65" />
  <Relationship Type="http://schemas.openxmlformats.org/officeDocument/2006/relationships/hyperlink" Target="https://doi.org/10.2478/jofnem-2022-0036" TargetMode="External" Id="rId73" />
  <Relationship Type="http://schemas.openxmlformats.org/officeDocument/2006/relationships/hyperlink" Target="https://journals.flvc.org/jon/article/view/65150" TargetMode="External" Id="rId78" />
  <Relationship Type="http://schemas.openxmlformats.org/officeDocument/2006/relationships/image" Target="media/image10.png" Id="rId81" />
  <Relationship Type="http://schemas.openxmlformats.org/officeDocument/2006/relationships/hyperlink" Target="https://doi.org/10.1371/journal.pone.0245201" TargetMode="External" Id="rId86" />
  <Relationship Type="http://schemas.openxmlformats.org/officeDocument/2006/relationships/customXml" Target="../customXml/item4.xml" Id="rId4" />
  <Relationship Type="http://schemas.openxmlformats.org/officeDocument/2006/relationships/footnotes" Target="footnotes.xml" Id="rId9" />
  <Relationship Type="http://schemas.openxmlformats.org/officeDocument/2006/relationships/hyperlink" Target="https://journals.flvc.org/jon/article/view/65150" TargetMode="External" Id="rId13" />
  <Relationship Type="http://schemas.openxmlformats.org/officeDocument/2006/relationships/hyperlink" Target="http://www.ncbi.nlm.nih.gov" TargetMode="External" Id="rId18" />
  <Relationship Type="http://schemas.openxmlformats.org/officeDocument/2006/relationships/hyperlink" Target="https://journals.flvc.org/jon/article/view/65610" TargetMode="External" Id="rId39" />
  <Relationship Type="http://schemas.openxmlformats.org/officeDocument/2006/relationships/hyperlink" Target="https://gd.eppo.int/taxon/MELGMA/documents" TargetMode="External" Id="rId34" />
  <Relationship Type="http://schemas.openxmlformats.org/officeDocument/2006/relationships/hyperlink" Target="https://journals.flvc.org/nemamedi/article/view/63531" TargetMode="External" Id="rId50" />
  <Relationship Type="http://schemas.openxmlformats.org/officeDocument/2006/relationships/image" Target="media/image1.png" Id="rId55" />
  <Relationship Type="http://schemas.openxmlformats.org/officeDocument/2006/relationships/hyperlink" Target="https://doi.org/10.1303/aez.4.194" TargetMode="External" Id="rId76" />
  <Relationship Type="http://schemas.openxmlformats.org/officeDocument/2006/relationships/settings" Target="settings.xml" Id="rId7" />
  <Relationship Type="http://schemas.openxmlformats.org/officeDocument/2006/relationships/hyperlink" Target="https://doi.org/10.1163/187529267X00418" TargetMode="External" Id="rId71" />
  <Relationship Type="http://schemas.openxmlformats.org/officeDocument/2006/relationships/customXml" Target="../customXml/item2.xml" Id="rId2" />
  <Relationship Type="http://schemas.openxmlformats.org/officeDocument/2006/relationships/hyperlink" Target="https://doi.org/10.1111/epp.12030" TargetMode="External" Id="rId29" />
  <Relationship Type="http://schemas.openxmlformats.org/officeDocument/2006/relationships/hyperlink" Target="mailto:thuytt74@gmail.com" TargetMode="External" Id="rId24" />
  <Relationship Type="http://schemas.openxmlformats.org/officeDocument/2006/relationships/hyperlink" Target="https://doi.org/10.21307/jofnem-2020-105" TargetMode="External" Id="rId40" />
  <Relationship Type="http://schemas.openxmlformats.org/officeDocument/2006/relationships/hyperlink" Target="https://doi.org/10.1094/PHYTO-99-3-0227" TargetMode="External" Id="rId45" />
  <Relationship Type="http://schemas.openxmlformats.org/officeDocument/2006/relationships/image" Target="media/image6.png" Id="rId66" />
  <Relationship Type="http://schemas.openxmlformats.org/officeDocument/2006/relationships/image" Target="media/image11.jpeg" Id="rId87" />
  <Relationship Type="http://schemas.openxmlformats.org/officeDocument/2006/relationships/hyperlink" Target="https://onlinelibrary.wiley.com/cms/asset/f49dc7c0-6fcc-4127-9866-520bbd407ae9/epp12544-fig-0005-m.jpg" TargetMode="External" Id="rId61" />
  <Relationship Type="http://schemas.openxmlformats.org/officeDocument/2006/relationships/hyperlink" Target="https://doi.org/10.1303/aez.4.194" TargetMode="External" Id="rId82" />
  <Relationship Type="http://schemas.openxmlformats.org/officeDocument/2006/relationships/hyperlink" Target="https://doi.org/10.1111/epp.12544" TargetMode="External" Id="rId19" />
</Relationships>
</file>

<file path=word/_rels/settings.xml.rels>&#65279;<?xml version="1.0" encoding="utf-8"?><Relationships xmlns="http://schemas.openxmlformats.org/package/2006/relationships"><Relationship Type="http://schemas.openxmlformats.org/officeDocument/2006/relationships/attachedTemplate" Target="file:///C:\Users\karen\Desktop\IPPC_2023-01-28.dotx" TargetMode="External" Id="rId1"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&#65279;<?xml version="1.0" encoding="utf-8"?><Relationships xmlns="http://schemas.openxmlformats.org/package/2006/relationships"><Relationship Type="http://schemas.openxmlformats.org/officeDocument/2006/relationships/customXmlProps" Target="itemProps1.xml" Id="rId1" /></Relationships>
</file>

<file path=customXml/_rels/item2.xml.rels>&#65279;<?xml version="1.0" encoding="utf-8"?><Relationships xmlns="http://schemas.openxmlformats.org/package/2006/relationships"><Relationship Type="http://schemas.openxmlformats.org/officeDocument/2006/relationships/customXmlProps" Target="itemProps2.xml" Id="rId1" /></Relationships>
</file>

<file path=customXml/_rels/item3.xml.rels>&#65279;<?xml version="1.0" encoding="utf-8"?><Relationships xmlns="http://schemas.openxmlformats.org/package/2006/relationships"><Relationship Type="http://schemas.openxmlformats.org/officeDocument/2006/relationships/customXmlProps" Target="itemProps3.xml" Id="rId1" /></Relationships>
</file>

<file path=customXml/_rels/item4.xml.rels>&#65279;<?xml version="1.0" encoding="utf-8"?><Relationships xmlns="http://schemas.openxmlformats.org/package/2006/relationships"><Relationship Type="http://schemas.openxmlformats.org/officeDocument/2006/relationships/customXmlProps" Target="itemProps4.xml" Id="rId1" /></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99519679B1A8B4091DBA33CE26F55F5" ma:contentTypeVersion="19" ma:contentTypeDescription="Create a new document." ma:contentTypeScope="" ma:versionID="193fb0684585975d5a97d1e3ba4a17be">
  <xsd:schema xmlns:xs="http://www.w3.org/2001/XMLSchema" xmlns:xsd="http://www.w3.org/2001/XMLSchema" xmlns:p="http://schemas.microsoft.com/office/2006/metadata/properties" xmlns:ns2="a05d7f75-f42e-4288-8809-604fd4d9691f" xmlns:ns3="ea6feb38-a85a-45e8-92e9-814486bbe375" targetNamespace="http://schemas.microsoft.com/office/2006/metadata/properties" ma:root="true" ma:fieldsID="6beeb644fe3ff6487991f9ee02bfa634" ns2:_="" ns3:_="">
    <xsd:import namespace="a05d7f75-f42e-4288-8809-604fd4d9691f"/>
    <xsd:import namespace="ea6feb38-a85a-45e8-92e9-814486bbe375"/>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element ref="ns3:MediaLengthInSeconds" minOccurs="0"/>
                <xsd:element ref="ns3:_Flow_SignoffStatus"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http://www.w3.org/2001/XMLSchema" xmlns:xsd="http://www.w3.org/2001/XMLSchema" xmlns:dms="http://schemas.microsoft.com/office/2006/documentManagement/types" xmlns:pc="http://schemas.microsoft.com/office/infopath/2007/PartnerControls" targetNamespace="a05d7f75-f42e-4288-8809-604fd4d9691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540dbf57-1e7b-4a73-94c8-cbcaaea3fe5a}" ma:internalName="TaxCatchAll" ma:showField="CatchAllData" ma:web="a05d7f75-f42e-4288-8809-604fd4d9691f">
      <xsd:complexType>
        <xsd:complexContent>
          <xsd:extension base="dms:MultiChoiceLookup">
            <xsd:sequence>
              <xsd:element name="Value" type="dms:Lookup" maxOccurs="unbounded" minOccurs="0" nillable="true"/>
            </xsd:sequence>
          </xsd:extension>
        </xsd:complexContent>
      </xsd:complexType>
    </xsd:element>
  </xsd:schema>
  <xsd:schema xmlns:xs="http://www.w3.org/2001/XMLSchema" xmlns:xsd="http://www.w3.org/2001/XMLSchema" xmlns:dms="http://schemas.microsoft.com/office/2006/documentManagement/types" xmlns:pc="http://schemas.microsoft.com/office/infopath/2007/PartnerControls" targetNamespace="ea6feb38-a85a-45e8-92e9-814486bbe375"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40eee1e-ad38-437e-be40-fc9f033adc9a"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http://schemas.openxmlformats.org/package/2006/metadata/core-properties"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xs="http://www.w3.org/2001/XMLSchema" xmlns:pc="http://schemas.microsoft.com/office/infopath/2007/PartnerControls"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a05d7f75-f42e-4288-8809-604fd4d9691f" xsi:nil="true"/>
    <lcf76f155ced4ddcb4097134ff3c332f xmlns="ea6feb38-a85a-45e8-92e9-814486bbe375">
      <Terms xmlns="http://schemas.microsoft.com/office/infopath/2007/PartnerControls"/>
    </lcf76f155ced4ddcb4097134ff3c332f>
    <_Flow_SignoffStatus xmlns="ea6feb38-a85a-45e8-92e9-814486bbe375" xsi:nil="true"/>
  </documentManagement>
</p:properties>
</file>

<file path=customXml/item3.xml><?xml version="1.0" encoding="utf-8"?>
<FormTemplates xmlns="http://schemas.microsoft.com/sharepoint/v3/contenttype/forms">
  <Display>DocumentLibraryForm</Display>
  <Edit>DocumentLibraryForm</Edit>
  <New>DocumentLibraryForm</New>
</FormTemplates>
</file>

<file path=customXml/item4.xml><?xml version="1.0" encoding="utf-8"?>
<b:Sources xmlns="http://schemas.openxmlformats.org/officeDocument/2006/bibliography" xmlns:b="http://schemas.openxmlformats.org/officeDocument/2006/bibliography" SelectedStyle="\APA.XSL" StyleName="APA"/>
</file>

<file path=customXml/itemProps1.xml><?xml version="1.0" encoding="utf-8"?>
<ds:datastoreItem xmlns:ds="http://schemas.openxmlformats.org/officeDocument/2006/customXml" ds:itemID="{67A77BFC-A88A-4D6A-BBAB-A058FF8C8F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5d7f75-f42e-4288-8809-604fd4d9691f"/>
    <ds:schemaRef ds:uri="ea6feb38-a85a-45e8-92e9-814486bbe37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720B4AA-AD6E-49F5-93D0-878255DB5ABD}">
  <ds:schemaRefs>
    <ds:schemaRef ds:uri="a05d7f75-f42e-4288-8809-604fd4d9691f"/>
    <ds:schemaRef ds:uri="http://schemas.openxmlformats.org/package/2006/metadata/core-properties"/>
    <ds:schemaRef ds:uri="http://schemas.microsoft.com/office/infopath/2007/PartnerControls"/>
    <ds:schemaRef ds:uri="http://purl.org/dc/dcmitype/"/>
    <ds:schemaRef ds:uri="http://www.w3.org/XML/1998/namespace"/>
    <ds:schemaRef ds:uri="http://schemas.microsoft.com/office/2006/documentManagement/types"/>
    <ds:schemaRef ds:uri="http://purl.org/dc/terms/"/>
    <ds:schemaRef ds:uri="ea6feb38-a85a-45e8-92e9-814486bbe375"/>
    <ds:schemaRef ds:uri="http://schemas.microsoft.com/office/2006/metadata/properties"/>
    <ds:schemaRef ds:uri="http://purl.org/dc/elements/1.1/"/>
  </ds:schemaRefs>
</ds:datastoreItem>
</file>

<file path=customXml/itemProps3.xml><?xml version="1.0" encoding="utf-8"?>
<ds:datastoreItem xmlns:ds="http://schemas.openxmlformats.org/officeDocument/2006/customXml" ds:itemID="{142F05D5-C4F8-4D80-BADB-B4FE19E207A8}">
  <ds:schemaRefs>
    <ds:schemaRef ds:uri="http://schemas.microsoft.com/sharepoint/v3/contenttype/forms"/>
  </ds:schemaRefs>
</ds:datastoreItem>
</file>

<file path=customXml/itemProps4.xml><?xml version="1.0" encoding="utf-8"?>
<ds:datastoreItem xmlns:ds="http://schemas.openxmlformats.org/officeDocument/2006/customXml" ds:itemID="{52CD1B8D-D8DF-43A1-97B8-1669D42CFF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IPPC_2023-01-28</Template>
  <TotalTime>0</TotalTime>
  <Pages>1</Pages>
  <Words>8286</Words>
  <Characters>47231</Characters>
  <Application>Microsoft Office Word</Application>
  <DocSecurity>0</DocSecurity>
  <Lines>393</Lines>
  <Paragraphs>110</Paragraphs>
  <ScaleCrop>false</ScaleCrop>
  <Company>The Food and Environment Research Agency</Company>
  <LinksUpToDate>false</LinksUpToDate>
  <CharactersWithSpaces>55407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Lenovo User</dc:creator>
  <cp:keywords/>
  <cp:lastModifiedBy>Prizm</cp:lastModifiedBy>
  <cp:revision>2</cp:revision>
  <dcterms:created xsi:type="dcterms:W3CDTF">2024-07-01T12:36:00Z</dcterms:created>
  <dcterms:modified xsi:type="dcterms:W3CDTF">2024-07-01T12:36:00Z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9,a,b</vt:lpwstr>
  </property>
  <property fmtid="{D5CDD505-2E9C-101B-9397-08002B2CF9AE}" pid="3" name="ClassificationContentMarkingFooterFontProps">
    <vt:lpwstr>#000000,10,Calibri</vt:lpwstr>
  </property>
  <property fmtid="{D5CDD505-2E9C-101B-9397-08002B2CF9AE}" pid="4" name="ClassificationContentMarkingFooterText">
    <vt:lpwstr>Intern gebruik</vt:lpwstr>
  </property>
  <property fmtid="{D5CDD505-2E9C-101B-9397-08002B2CF9AE}" pid="5" name="ContentTypeId">
    <vt:lpwstr>0x010100299519679B1A8B4091DBA33CE26F55F5</vt:lpwstr>
  </property>
  <property fmtid="{D5CDD505-2E9C-101B-9397-08002B2CF9AE}" pid="6" name="MediaServiceImageTags">
    <vt:lpwstr/>
  </property>
</Properties>
</file>