
<file path=[Content_Types].xml><?xml version="1.0" encoding="utf-8"?>
<Types xmlns="http://schemas.openxmlformats.org/package/2006/content-types">
  <Default Extension="xml" ContentType="application/xml"/>
  <Default Extension="jpeg" ContentType="image/jpeg"/>
  <Default Extension="png" ContentType="image/pn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notes.xml" ContentType="application/vnd.openxmlformats-officedocument.wordprocessingml.footnotes+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webSettings.xml" ContentType="application/vnd.openxmlformats-officedocument.wordprocessingml.webSettings+xml"/>
</Types>
</file>

<file path=_rels/.rels>&#65279;<?xml version="1.0" encoding="utf-8"?><Relationships xmlns="http://schemas.openxmlformats.org/package/2006/relationships"><Relationship Type="http://schemas.openxmlformats.org/officeDocument/2006/relationships/extended-properties" Target="docProps/app.xml" Id="rId3" /><Relationship Type="http://schemas.openxmlformats.org/package/2006/relationships/metadata/core-properties" Target="docProps/core.xml" Id="rId2" /><Relationship Type="http://schemas.openxmlformats.org/officeDocument/2006/relationships/officeDocument" Target="word/document.xml" Id="rId1" /><Relationship Type="http://schemas.openxmlformats.org/officeDocument/2006/relationships/custom-properties" Target="docProps/custom.xml" Id="rId4" /></Relationships>
</file>

<file path=word/document.xml><?xml version="1.0" encoding="utf-8"?>
<w:document xmlns:w="http://schemas.openxmlformats.org/wordprocessingml/2006/main" xmlns:a="http://schemas.openxmlformats.org/drawingml/2006/main" xmlns:a16="http://schemas.microsoft.com/office/drawing/2014/main" xmlns:pic="http://schemas.openxmlformats.org/drawingml/2006/picture" xmlns:a14="http://schemas.microsoft.com/office/drawing/2010/main" xmlns:ask="http://schemas.microsoft.com/office/drawing/2018/sketchyshap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pPr>
        <w:jc w:val="center"/>
      </w:pPr>
      <w:r>
        <w:rPr>
          <w:sz w:val="20"/>
          <w:rStyle w:val="PleaseReviewParagraphId"/>
          <w:noProof/>
        </w:rPr>
        <w:t>[PleaseReview document review. Review title: DRAFT ANNEX TO ISPM 27: Heterobasidion annosum sensu lato (2021-015). Document title: 2021-015_DP_Heterobasidion.docx]</w:t>
      </w:r>
    </w:p>
    <w:p w14:paraId="1F703B5F" w14:textId="4553C0AA">
      <w:pPr>
        <w:rPr>
          <w:b/>
        </w:rPr>
      </w:pPr>
      <w:r>
        <w:rPr>
          <w:rStyle w:val="PleaseReviewParagraphId"/>
          <w:b w:val="off"/>
          <w:i w:val="off"/>
        </w:rPr>
        <w:t>[1]</w:t>
      </w:r>
      <w:bookmarkStart w:name="_Hlk116507811" w:id="0"/>
      <w:bookmarkEnd w:id="0"/>
      <w:r>
        <w:rPr>
          <w:b/>
        </w:rPr>
        <w:t xml:space="preserve">DRAFT ANNEX TO ISPM 27: </w:t>
      </w:r>
      <w:r>
        <w:rPr>
          <w:b/>
          <w:i/>
          <w:iCs/>
        </w:rPr>
        <w:t>Heterobasidion annosum sensu lato</w:t>
      </w:r>
      <w:r>
        <w:rPr>
          <w:b/>
        </w:rPr>
        <w:t xml:space="preserve"> (2021-015)</w:t>
      </w:r>
    </w:p>
    <w:p w14:paraId="41E18465" w14:textId="03A0E2BF">
      <w:pPr>
        <w:rPr>
          <w:i/>
          <w:shd w:val="clear" w:color="auto" w:fill="E6E6E6"/>
        </w:rPr>
      </w:pPr>
      <w:r>
        <w:rPr>
          <w:rStyle w:val="PleaseReviewParagraphId"/>
          <w:b w:val="off"/>
          <w:i w:val="off"/>
        </w:rPr>
        <w:t>[2]</w:t>
      </w:r>
    </w:p>
    <w:tbl>
      <w:tblPr>
        <w:tblStyle w:val="TableNormal1"/>
        <w:tblW w:w="5017" w:type="pct"/>
        <w:tblInd w:w="-5" w:type="dxa"/>
        <w:tblBorders>
          <w:top w:val="single" w:color="000000" w:sz="4" w:space="0"/>
          <w:left w:val="single" w:color="000000" w:sz="4" w:space="0"/>
          <w:bottom w:val="single" w:color="auto" w:sz="4" w:space="0"/>
          <w:right w:val="single" w:color="000000" w:sz="4" w:space="0"/>
          <w:insideH w:val="single" w:color="000000" w:sz="4" w:space="0"/>
          <w:insideV w:val="single" w:color="000000" w:sz="4" w:space="0"/>
        </w:tblBorders>
        <w:tblLook w:val="01E0" w:firstRow="1" w:lastRow="1" w:firstColumn="1" w:lastColumn="1" w:noHBand="0" w:noVBand="0"/>
      </w:tblPr>
      <w:tblGrid>
        <w:gridCol w:w="2669"/>
        <w:gridCol w:w="6422"/>
      </w:tblGrid>
      <w:tr w14:paraId="6D80AE36" w14:textId="77777777">
        <w:trPr>
          <w:trHeight w:val="261"/>
        </w:trPr>
        <w:tc>
          <w:tcPr>
            <w:tcW w:w="5000" w:type="pct"/>
            <w:gridSpan w:val="2"/>
            <w:shd w:val="clear" w:color="auto" w:fill="D9D9D9" w:themeFill="background1" w:themeFillShade="D9"/>
          </w:tcPr>
          <w:p w14:paraId="1D1FF181" w14:textId="02DE49FA">
            <w:pPr>
              <w:pStyle w:val="IPPArialTable"/>
            </w:pPr>
            <w:r>
              <w:rPr>
                <w:rStyle w:val="PleaseReviewParagraphId"/>
                <w:b w:val="off"/>
                <w:i w:val="off"/>
              </w:rPr>
              <w:t>[3]</w:t>
            </w:r>
            <w:r>
              <w:rPr>
                <w:rFonts w:eastAsia="Arial" w:cs="Arial"/>
                <w:b/>
                <w:color w:val="000000"/>
                <w:szCs w:val="18"/>
              </w:rPr>
              <w:t>Status box</w:t>
            </w:r>
          </w:p>
        </w:tc>
      </w:tr>
      <w:tr w14:paraId="600EE16F" w14:textId="77777777">
        <w:trPr>
          <w:trHeight w:val="261"/>
        </w:trPr>
        <w:tc>
          <w:tcPr>
            <w:tcW w:w="5000" w:type="pct"/>
            <w:gridSpan w:val="2"/>
          </w:tcPr>
          <w:p w14:paraId="60455D08" w14:textId="24C8B78A">
            <w:pPr>
              <w:pStyle w:val="IPPArialTable"/>
            </w:pPr>
            <w:r>
              <w:rPr>
                <w:rStyle w:val="PleaseReviewParagraphId"/>
                <w:b w:val="off"/>
                <w:i w:val="off"/>
              </w:rPr>
              <w:t>[4]</w:t>
            </w:r>
            <w:r>
              <w:rPr>
                <w:rFonts w:eastAsia="Arial" w:cs="Arial"/>
                <w:color w:val="000000"/>
                <w:szCs w:val="18"/>
              </w:rPr>
              <w:t>This is not an official part of the standard and will be modified after adoption.</w:t>
            </w:r>
          </w:p>
        </w:tc>
      </w:tr>
      <w:tr w14:paraId="3E47C1F2" w14:textId="77777777">
        <w:trPr>
          <w:trHeight w:val="261"/>
        </w:trPr>
        <w:tc>
          <w:tcPr>
            <w:tcW w:w="1468" w:type="pct"/>
          </w:tcPr>
          <w:p w14:paraId="198A19A7" w14:textId="77777777">
            <w:pPr>
              <w:pStyle w:val="IPPArialTable"/>
            </w:pPr>
            <w:r>
              <w:rPr>
                <w:rStyle w:val="PleaseReviewParagraphId"/>
                <w:b w:val="off"/>
                <w:i w:val="off"/>
              </w:rPr>
              <w:t>[5]</w:t>
            </w:r>
            <w:r>
              <w:t>Date of this document</w:t>
            </w:r>
          </w:p>
        </w:tc>
        <w:tc>
          <w:tcPr>
            <w:tcW w:w="3532" w:type="pct"/>
          </w:tcPr>
          <w:p w14:paraId="6206E9E4" w14:textId="2BC729BD">
            <w:pPr>
              <w:pStyle w:val="IPPArialTable"/>
            </w:pPr>
            <w:r>
              <w:rPr>
                <w:rStyle w:val="PleaseReviewParagraphId"/>
                <w:b w:val="off"/>
                <w:i w:val="off"/>
              </w:rPr>
              <w:t>[6]</w:t>
            </w:r>
            <w:r>
              <w:t>2024-01-26</w:t>
            </w:r>
          </w:p>
        </w:tc>
      </w:tr>
      <w:tr w14:paraId="12A7A5A4" w14:textId="77777777">
        <w:trPr>
          <w:trHeight w:val="263"/>
        </w:trPr>
        <w:tc>
          <w:tcPr>
            <w:tcW w:w="1468" w:type="pct"/>
          </w:tcPr>
          <w:p w14:paraId="61E82CE4" w14:textId="77777777">
            <w:pPr>
              <w:pStyle w:val="IPPArialTable"/>
            </w:pPr>
            <w:r>
              <w:rPr>
                <w:rStyle w:val="PleaseReviewParagraphId"/>
                <w:b w:val="off"/>
                <w:i w:val="off"/>
              </w:rPr>
              <w:t>[7]</w:t>
            </w:r>
            <w:r>
              <w:t>Document category</w:t>
            </w:r>
          </w:p>
        </w:tc>
        <w:tc>
          <w:tcPr>
            <w:tcW w:w="3532" w:type="pct"/>
          </w:tcPr>
          <w:p w14:paraId="230F07B6" w14:textId="205A3E9D">
            <w:pPr>
              <w:pStyle w:val="IPPArialTable"/>
            </w:pPr>
            <w:r>
              <w:rPr>
                <w:rStyle w:val="PleaseReviewParagraphId"/>
                <w:b w:val="off"/>
                <w:i w:val="off"/>
              </w:rPr>
              <w:t>[8]</w:t>
            </w:r>
            <w:r>
              <w:t>Draft new annex to ISPM 27 (</w:t>
            </w:r>
            <w:r>
              <w:rPr>
                <w:i/>
                <w:iCs/>
              </w:rPr>
              <w:t>Diagnostic protocols for regulated pests</w:t>
            </w:r>
            <w:r>
              <w:t>)</w:t>
            </w:r>
          </w:p>
        </w:tc>
      </w:tr>
      <w:tr w14:paraId="2AC7BBFE" w14:textId="77777777">
        <w:trPr>
          <w:trHeight w:val="263"/>
        </w:trPr>
        <w:tc>
          <w:tcPr>
            <w:tcW w:w="1468" w:type="pct"/>
          </w:tcPr>
          <w:p w14:paraId="448A33DC" w14:textId="77777777">
            <w:pPr>
              <w:pStyle w:val="IPPArialTable"/>
            </w:pPr>
            <w:r>
              <w:rPr>
                <w:rStyle w:val="PleaseReviewParagraphId"/>
                <w:b w:val="off"/>
                <w:i w:val="off"/>
              </w:rPr>
              <w:t>[9]</w:t>
            </w:r>
            <w:r>
              <w:t>Current document stage</w:t>
            </w:r>
          </w:p>
        </w:tc>
        <w:tc>
          <w:tcPr>
            <w:tcW w:w="3532" w:type="pct"/>
          </w:tcPr>
          <w:p w14:paraId="04F44A01" w14:textId="1501F005">
            <w:pPr>
              <w:pStyle w:val="IPPArialTable"/>
            </w:pPr>
            <w:r>
              <w:rPr>
                <w:rStyle w:val="PleaseReviewParagraphId"/>
                <w:b w:val="off"/>
                <w:i w:val="off"/>
              </w:rPr>
              <w:t>[10]</w:t>
            </w:r>
            <w:r>
              <w:rPr>
                <w:i/>
                <w:iCs/>
              </w:rPr>
              <w:t>To</w:t>
            </w:r>
            <w:r>
              <w:t xml:space="preserve"> consultation</w:t>
            </w:r>
          </w:p>
        </w:tc>
      </w:tr>
      <w:tr w14:paraId="23A17F35" w14:textId="77777777">
        <w:trPr>
          <w:trHeight w:val="647"/>
        </w:trPr>
        <w:tc>
          <w:tcPr>
            <w:tcW w:w="1468" w:type="pct"/>
          </w:tcPr>
          <w:p w14:paraId="4B83B885" w14:textId="77777777">
            <w:pPr>
              <w:pStyle w:val="IPPArialTable"/>
            </w:pPr>
            <w:r>
              <w:rPr>
                <w:rStyle w:val="PleaseReviewParagraphId"/>
                <w:b w:val="off"/>
                <w:i w:val="off"/>
              </w:rPr>
              <w:t>[11]</w:t>
            </w:r>
            <w:r>
              <w:t>Origin</w:t>
            </w:r>
          </w:p>
        </w:tc>
        <w:tc>
          <w:tcPr>
            <w:tcW w:w="3532" w:type="pct"/>
          </w:tcPr>
          <w:p w14:paraId="26ACC3C2" w14:textId="7B6C7D16">
            <w:pPr>
              <w:pStyle w:val="IPPArialTable"/>
            </w:pPr>
            <w:r>
              <w:rPr>
                <w:rStyle w:val="PleaseReviewParagraphId"/>
                <w:b w:val="off"/>
                <w:i w:val="off"/>
              </w:rPr>
              <w:t>[12]</w:t>
            </w:r>
            <w:r>
              <w:t>Work programme topic: Fungi and fungus-like organisms (2006-006)</w:t>
            </w:r>
          </w:p>
          <w:p w14:paraId="174A9777" w14:textId="0F66349E">
            <w:pPr>
              <w:pStyle w:val="IPPArialTable"/>
            </w:pPr>
            <w:r>
              <w:rPr>
                <w:rStyle w:val="PleaseReviewParagraphId"/>
                <w:b w:val="off"/>
                <w:i w:val="off"/>
              </w:rPr>
              <w:t>[13]</w:t>
            </w:r>
            <w:r>
              <w:t xml:space="preserve">Original subject: </w:t>
            </w:r>
            <w:r>
              <w:rPr>
                <w:i/>
              </w:rPr>
              <w:t>Heterobasidion annosum</w:t>
            </w:r>
            <w:r>
              <w:t xml:space="preserve"> </w:t>
            </w:r>
            <w:r>
              <w:rPr>
                <w:i/>
                <w:iCs/>
              </w:rPr>
              <w:t>sensu lato</w:t>
            </w:r>
            <w:r>
              <w:t xml:space="preserve"> (2021-015)</w:t>
            </w:r>
          </w:p>
        </w:tc>
      </w:tr>
      <w:tr w14:paraId="3418EB8C" w14:textId="77777777">
        <w:trPr>
          <w:trHeight w:val="364"/>
        </w:trPr>
        <w:tc>
          <w:tcPr>
            <w:tcW w:w="1468" w:type="pct"/>
          </w:tcPr>
          <w:p w14:paraId="4DAC21A4" w14:textId="3B111E92">
            <w:pPr>
              <w:pStyle w:val="IPPArialTable"/>
            </w:pPr>
            <w:r>
              <w:rPr>
                <w:rStyle w:val="PleaseReviewParagraphId"/>
                <w:b w:val="off"/>
                <w:i w:val="off"/>
              </w:rPr>
              <w:t>[14]</w:t>
            </w:r>
            <w:r>
              <w:t>Major stages</w:t>
            </w:r>
          </w:p>
        </w:tc>
        <w:tc>
          <w:tcPr>
            <w:tcW w:w="3532" w:type="pct"/>
          </w:tcPr>
          <w:p w14:paraId="12F4D700" w14:textId="0C07B57F">
            <w:pPr>
              <w:pStyle w:val="IPPArialTable"/>
            </w:pPr>
            <w:r>
              <w:rPr>
                <w:rStyle w:val="PleaseReviewParagraphId"/>
                <w:b w:val="off"/>
                <w:i w:val="off"/>
              </w:rPr>
              <w:t>[15]</w:t>
            </w:r>
            <w:r>
              <w:t>2021-08 Subject proposed during 2021 IPPC call for topics.</w:t>
            </w:r>
          </w:p>
          <w:p w14:paraId="436E9902" w14:textId="0661B0C8">
            <w:pPr>
              <w:pStyle w:val="IPPArialTable"/>
            </w:pPr>
            <w:r>
              <w:rPr>
                <w:rStyle w:val="PleaseReviewParagraphId"/>
                <w:b w:val="off"/>
                <w:i w:val="off"/>
              </w:rPr>
              <w:t>[16]</w:t>
            </w:r>
            <w:r>
              <w:t xml:space="preserve">2021-11 Standards Committee (SC) added subject </w:t>
            </w:r>
            <w:r>
              <w:rPr>
                <w:i/>
              </w:rPr>
              <w:t>Heterobasidion annosum</w:t>
            </w:r>
            <w:r>
              <w:t xml:space="preserve"> (2021-015) to work programme, priority 3.</w:t>
            </w:r>
          </w:p>
          <w:p w14:paraId="1FAC6396" w14:textId="43100938">
            <w:pPr>
              <w:pStyle w:val="IPPArialTable"/>
            </w:pPr>
            <w:r>
              <w:rPr>
                <w:rStyle w:val="PleaseReviewParagraphId"/>
                <w:b w:val="off"/>
                <w:i w:val="off"/>
              </w:rPr>
              <w:t>[17]</w:t>
            </w:r>
            <w:r>
              <w:t>2023-04 Expert consultation.</w:t>
            </w:r>
          </w:p>
          <w:p w14:paraId="0B15FA88" w14:textId="77777777">
            <w:pPr>
              <w:pStyle w:val="IPPArialTable"/>
            </w:pPr>
            <w:r>
              <w:rPr>
                <w:rStyle w:val="PleaseReviewParagraphId"/>
                <w:b w:val="off"/>
                <w:i w:val="off"/>
              </w:rPr>
              <w:t>[18]</w:t>
            </w:r>
            <w:r>
              <w:t>2023-11 Technical Panel on Diagnostic Protocols revised and approved for consultation.</w:t>
            </w:r>
          </w:p>
          <w:p w14:paraId="5F9361B9" w14:textId="60D5726E">
            <w:pPr>
              <w:pStyle w:val="IPPArialTable"/>
            </w:pPr>
            <w:r>
              <w:rPr>
                <w:rStyle w:val="PleaseReviewParagraphId"/>
                <w:b w:val="off"/>
                <w:i w:val="off"/>
              </w:rPr>
              <w:t>[19]</w:t>
            </w:r>
            <w:r>
              <w:t>2024-01 SC approved for consultation via e-decision (2024_eSC_May_02)</w:t>
            </w:r>
          </w:p>
        </w:tc>
      </w:tr>
      <w:tr w14:paraId="6A6EA606" w14:textId="77777777">
        <w:trPr>
          <w:trHeight w:val="364"/>
        </w:trPr>
        <w:tc>
          <w:tcPr>
            <w:tcW w:w="1468" w:type="pct"/>
          </w:tcPr>
          <w:p w14:paraId="7B36DD56" w14:textId="478B6CC1">
            <w:pPr>
              <w:pStyle w:val="IPPArialTable"/>
            </w:pPr>
            <w:r>
              <w:rPr>
                <w:rStyle w:val="PleaseReviewParagraphId"/>
                <w:b w:val="off"/>
                <w:i w:val="off"/>
              </w:rPr>
              <w:t>[20]</w:t>
            </w:r>
            <w:r>
              <w:t>Discipline leads history</w:t>
            </w:r>
          </w:p>
        </w:tc>
        <w:tc>
          <w:tcPr>
            <w:tcW w:w="3532" w:type="pct"/>
          </w:tcPr>
          <w:p w14:paraId="55664C8D" w14:textId="312442D8">
            <w:pPr>
              <w:pStyle w:val="IPPArialTable"/>
            </w:pPr>
            <w:r>
              <w:rPr>
                <w:rStyle w:val="PleaseReviewParagraphId"/>
                <w:b w:val="off"/>
                <w:i w:val="off"/>
              </w:rPr>
              <w:t>[21]</w:t>
            </w:r>
            <w:r>
              <w:t>2022-04 Yazmin RIVERA (US, Discipline Lead)</w:t>
            </w:r>
          </w:p>
          <w:p w14:paraId="02D6184B" w14:textId="4D898350">
            <w:pPr>
              <w:pStyle w:val="IPPArialTable"/>
            </w:pPr>
            <w:r>
              <w:rPr>
                <w:rStyle w:val="PleaseReviewParagraphId"/>
                <w:b w:val="off"/>
                <w:i w:val="off"/>
              </w:rPr>
              <w:t>[22]</w:t>
            </w:r>
            <w:r>
              <w:t>2022-04 Robert TAYLOR (NZ, Referee)</w:t>
            </w:r>
          </w:p>
        </w:tc>
      </w:tr>
      <w:tr w14:paraId="1A796698" w14:textId="77777777">
        <w:trPr>
          <w:trHeight w:val="796"/>
        </w:trPr>
        <w:tc>
          <w:tcPr>
            <w:tcW w:w="1468" w:type="pct"/>
          </w:tcPr>
          <w:p w14:paraId="69267622" w14:textId="445D2962">
            <w:pPr>
              <w:pStyle w:val="IPPArialTable"/>
            </w:pPr>
            <w:r>
              <w:rPr>
                <w:rStyle w:val="PleaseReviewParagraphId"/>
                <w:b w:val="off"/>
                <w:i w:val="off"/>
              </w:rPr>
              <w:t>[23]</w:t>
            </w:r>
            <w:r>
              <w:t>Consultation on technical level</w:t>
            </w:r>
          </w:p>
        </w:tc>
        <w:tc>
          <w:tcPr>
            <w:tcW w:w="3532" w:type="pct"/>
          </w:tcPr>
          <w:p w14:paraId="2256E527" w14:textId="77777777">
            <w:pPr>
              <w:pStyle w:val="IPPArialTable"/>
            </w:pPr>
            <w:r>
              <w:rPr>
                <w:rStyle w:val="PleaseReviewParagraphId"/>
                <w:b w:val="off"/>
                <w:i w:val="off"/>
              </w:rPr>
              <w:t>[24]</w:t>
            </w:r>
            <w:r>
              <w:t xml:space="preserve">The first draft of this diagnostic protocol was prepared by: </w:t>
            </w:r>
          </w:p>
          <w:p w14:paraId="48867F32" w14:textId="177FEB4E">
            <w:pPr>
              <w:pStyle w:val="IPPArialTable"/>
              <w:numPr>
                <w:ilvl w:val="0"/>
                <w:numId w:val="23"/>
              </w:numPr>
            </w:pPr>
            <w:r>
              <w:rPr>
                <w:rStyle w:val="PleaseReviewParagraphId"/>
                <w:b w:val="off"/>
                <w:i w:val="off"/>
              </w:rPr>
              <w:t>[25]</w:t>
            </w:r>
            <w:r>
              <w:t>Luana GIORDANO (IT, lead author)</w:t>
            </w:r>
          </w:p>
          <w:p w14:paraId="038EDB22" w14:textId="14749D9B">
            <w:pPr>
              <w:pStyle w:val="IPPArialTable"/>
              <w:numPr>
                <w:ilvl w:val="0"/>
                <w:numId w:val="23"/>
              </w:numPr>
            </w:pPr>
            <w:r>
              <w:rPr>
                <w:rStyle w:val="PleaseReviewParagraphId"/>
                <w:b w:val="off"/>
                <w:i w:val="off"/>
              </w:rPr>
              <w:t>[26]</w:t>
            </w:r>
            <w:r>
              <w:t>Eeva J. VAINIO (FI)</w:t>
            </w:r>
          </w:p>
        </w:tc>
      </w:tr>
      <w:tr w14:paraId="770A0994" w14:textId="77777777">
        <w:trPr>
          <w:trHeight w:val="1334"/>
        </w:trPr>
        <w:tc>
          <w:tcPr>
            <w:tcW w:w="1468" w:type="pct"/>
          </w:tcPr>
          <w:p w14:paraId="1353AE38" w14:textId="77777777">
            <w:pPr>
              <w:pStyle w:val="IPPArialTable"/>
            </w:pPr>
            <w:r>
              <w:rPr>
                <w:rStyle w:val="PleaseReviewParagraphId"/>
                <w:b w:val="off"/>
                <w:i w:val="off"/>
              </w:rPr>
              <w:t>[27]</w:t>
            </w:r>
            <w:r>
              <w:t>Main discussion points during development of the diagnostic protocol</w:t>
            </w:r>
          </w:p>
          <w:p w14:paraId="0C4F5265" w14:textId="77777777">
            <w:pPr>
              <w:pStyle w:val="IPPArialTable"/>
            </w:pPr>
            <w:r>
              <w:rPr>
                <w:rStyle w:val="PleaseReviewParagraphId"/>
                <w:b w:val="off"/>
                <w:i w:val="off"/>
              </w:rPr>
              <w:t>[28]</w:t>
            </w:r>
            <w:r>
              <w:t>[to be updated throughout DP development]</w:t>
            </w:r>
          </w:p>
        </w:tc>
        <w:tc>
          <w:tcPr>
            <w:tcW w:w="3532" w:type="pct"/>
          </w:tcPr>
          <w:p w14:paraId="5FA05F24" w14:textId="40A429E4">
            <w:pPr>
              <w:pStyle w:val="IPPArialTable"/>
              <w:rPr>
                <w:iCs/>
              </w:rPr>
            </w:pPr>
            <w:r>
              <w:rPr>
                <w:rStyle w:val="PleaseReviewParagraphId"/>
                <w:b w:val="off"/>
                <w:i w:val="off"/>
              </w:rPr>
              <w:t>[29]</w:t>
            </w:r>
            <w:r>
              <w:t xml:space="preserve">2023-04 Title amended </w:t>
            </w:r>
            <w:r>
              <w:rPr>
                <w:iCs/>
              </w:rPr>
              <w:t xml:space="preserve">by drafting group </w:t>
            </w:r>
            <w:r>
              <w:t>to add “</w:t>
            </w:r>
            <w:r>
              <w:rPr>
                <w:i/>
                <w:iCs/>
              </w:rPr>
              <w:t>sensu lato</w:t>
            </w:r>
            <w:r>
              <w:t>”</w:t>
            </w:r>
            <w:r>
              <w:rPr>
                <w:iCs/>
              </w:rPr>
              <w:t>.</w:t>
            </w:r>
          </w:p>
          <w:p w14:paraId="7CF5A6B9" w14:textId="3AF787C2">
            <w:pPr>
              <w:pStyle w:val="IPPArialTable"/>
            </w:pPr>
            <w:r>
              <w:rPr>
                <w:rStyle w:val="PleaseReviewParagraphId"/>
                <w:b w:val="off"/>
                <w:i w:val="off"/>
              </w:rPr>
              <w:t>[30]</w:t>
            </w:r>
          </w:p>
        </w:tc>
      </w:tr>
      <w:tr w14:paraId="665C5E66" w14:textId="77777777">
        <w:trPr>
          <w:trHeight w:val="263"/>
        </w:trPr>
        <w:tc>
          <w:tcPr>
            <w:tcW w:w="1468" w:type="pct"/>
          </w:tcPr>
          <w:p w14:paraId="571E7511" w14:textId="77777777">
            <w:pPr>
              <w:pStyle w:val="IPPArialTable"/>
            </w:pPr>
            <w:r>
              <w:rPr>
                <w:rStyle w:val="PleaseReviewParagraphId"/>
                <w:b w:val="off"/>
                <w:i w:val="off"/>
              </w:rPr>
              <w:t>[31]</w:t>
            </w:r>
            <w:r>
              <w:t>Notes</w:t>
            </w:r>
          </w:p>
        </w:tc>
        <w:tc>
          <w:tcPr>
            <w:tcW w:w="3532" w:type="pct"/>
          </w:tcPr>
          <w:p w14:paraId="4BB9677B" w14:textId="77777777">
            <w:pPr>
              <w:pStyle w:val="IPPArialTable"/>
            </w:pPr>
            <w:r>
              <w:rPr>
                <w:rStyle w:val="PleaseReviewParagraphId"/>
                <w:b w:val="off"/>
                <w:i w:val="off"/>
              </w:rPr>
              <w:t>[32]</w:t>
            </w:r>
            <w:r>
              <w:t>This is a draft document.</w:t>
            </w:r>
          </w:p>
          <w:p w14:paraId="23788032" w14:textId="77777777">
            <w:pPr>
              <w:pStyle w:val="IPPArialTable"/>
            </w:pPr>
            <w:r>
              <w:rPr>
                <w:rStyle w:val="PleaseReviewParagraphId"/>
                <w:b w:val="off"/>
                <w:i w:val="off"/>
              </w:rPr>
              <w:t>[33]</w:t>
            </w:r>
            <w:r>
              <w:t>Edited 2023-06</w:t>
            </w:r>
          </w:p>
          <w:p w14:paraId="467DE238" w14:textId="200BF61D">
            <w:pPr>
              <w:pStyle w:val="IPPArialTable"/>
            </w:pPr>
            <w:r>
              <w:rPr>
                <w:rStyle w:val="PleaseReviewParagraphId"/>
                <w:b w:val="off"/>
                <w:i w:val="off"/>
              </w:rPr>
              <w:t>[34]</w:t>
            </w:r>
            <w:r>
              <w:t>Edited 2023-12</w:t>
            </w:r>
          </w:p>
        </w:tc>
      </w:tr>
    </w:tbl>
    <w:p w14:paraId="4E277AE0" w14:textId="5BA1B3C6">
      <w:pPr>
        <w:rPr>
          <w:i/>
          <w:shd w:val="clear" w:color="auto" w:fill="E6E6E6"/>
        </w:rPr>
      </w:pPr>
      <w:r>
        <w:rPr>
          <w:rStyle w:val="PleaseReviewParagraphId"/>
          <w:b w:val="off"/>
          <w:i w:val="off"/>
        </w:rPr>
        <w:t>[35]</w:t>
      </w:r>
    </w:p>
    <w:p w14:paraId="4CA5ACDF" w14:textId="77777777">
      <w:pPr>
        <w:pStyle w:val="IPPContentsHead"/>
      </w:pPr>
      <w:r>
        <w:rPr>
          <w:rStyle w:val="PleaseReviewParagraphId"/>
          <w:b w:val="off"/>
          <w:i w:val="off"/>
        </w:rPr>
        <w:t>[36]</w:t>
      </w:r>
      <w:r>
        <w:t>Contents</w:t>
      </w:r>
    </w:p>
    <w:p w14:paraId="2A46E6D4" w14:textId="3E8E9701">
      <w:pPr>
        <w:pStyle w:val="IPPParagraphnumbering"/>
        <w:numPr>
          <w:ilvl w:val="0"/>
          <w:numId w:val="0"/>
        </w:numPr>
        <w:rPr>
          <w:lang w:val="en-GB"/>
        </w:rPr>
      </w:pPr>
      <w:r>
        <w:rPr>
          <w:rStyle w:val="PleaseReviewParagraphId"/>
          <w:b w:val="off"/>
          <w:i w:val="off"/>
        </w:rPr>
        <w:t>[37]</w:t>
      </w:r>
      <w:r>
        <w:rPr>
          <w:lang w:val="en-GB"/>
        </w:rPr>
        <w:t>[to be added later]</w:t>
      </w:r>
    </w:p>
    <w:p w14:paraId="390E303F" w14:textId="1A55309D">
      <w:pPr>
        <w:pStyle w:val="IPPNormal"/>
      </w:pPr>
      <w:r>
        <w:rPr>
          <w:rStyle w:val="PleaseReviewParagraphId"/>
          <w:b w:val="off"/>
          <w:i w:val="off"/>
        </w:rPr>
        <w:t>[38]</w:t>
      </w:r>
      <w:r>
        <w:rPr>
          <w:b/>
          <w:bCs/>
        </w:rPr>
        <w:t>Adoption</w:t>
      </w:r>
    </w:p>
    <w:p w14:paraId="463A6BFB" w14:textId="77777777">
      <w:pPr>
        <w:pStyle w:val="IPPParagraphnumbering"/>
        <w:numPr>
          <w:ilvl w:val="0"/>
          <w:numId w:val="0"/>
        </w:numPr>
        <w:rPr>
          <w:lang w:val="en-GB"/>
        </w:rPr>
      </w:pPr>
      <w:r>
        <w:rPr>
          <w:rStyle w:val="PleaseReviewParagraphId"/>
          <w:b w:val="off"/>
          <w:i w:val="off"/>
        </w:rPr>
        <w:t>[39]</w:t>
      </w:r>
      <w:r>
        <w:rPr>
          <w:lang w:val="en-GB"/>
        </w:rPr>
        <w:t xml:space="preserve">This diagnostic protocol was adopted by the Standards Committee on behalf of the Commission on Phytosanitary Measures in ----. [to be completed after adoption]. </w:t>
      </w:r>
    </w:p>
    <w:p w14:paraId="657A88F2" w14:textId="60BD6D40">
      <w:pPr>
        <w:pStyle w:val="IPPParagraphnumbering"/>
        <w:numPr>
          <w:ilvl w:val="0"/>
          <w:numId w:val="0"/>
        </w:numPr>
        <w:rPr>
          <w:lang w:val="en-GB"/>
        </w:rPr>
      </w:pPr>
      <w:r>
        <w:rPr>
          <w:rStyle w:val="PleaseReviewParagraphId"/>
          <w:b w:val="off"/>
          <w:i w:val="off"/>
        </w:rPr>
        <w:t>[40]</w:t>
      </w:r>
      <w:r>
        <w:rPr>
          <w:lang w:val="en-GB"/>
        </w:rPr>
        <w:t>The annex is a prescriptive part of ISPM 27 (</w:t>
      </w:r>
      <w:r>
        <w:rPr>
          <w:i/>
          <w:iCs/>
          <w:lang w:val="en-GB"/>
        </w:rPr>
        <w:t>Diagnostic protocols for regulated pests</w:t>
      </w:r>
      <w:r>
        <w:rPr>
          <w:lang w:val="en-GB"/>
        </w:rPr>
        <w:t>).</w:t>
      </w:r>
    </w:p>
    <w:p w14:paraId="54C2E0EE" w14:textId="533BF8C1">
      <w:pPr>
        <w:rPr>
          <w:i/>
          <w:shd w:val="clear" w:color="auto" w:fill="E6E6E6"/>
        </w:rPr>
      </w:pPr>
      <w:r>
        <w:rPr>
          <w:rStyle w:val="PleaseReviewParagraphId"/>
          <w:b w:val="off"/>
          <w:i w:val="off"/>
        </w:rPr>
        <w:t>[41]</w:t>
      </w:r>
    </w:p>
    <w:p w14:paraId="21C5B91E" w14:textId="13179939">
      <w:pPr>
        <w:pStyle w:val="IPPHeading1"/>
      </w:pPr>
      <w:r>
        <w:rPr>
          <w:rStyle w:val="PleaseReviewParagraphId"/>
          <w:b w:val="off"/>
          <w:i w:val="off"/>
        </w:rPr>
        <w:t>[42]</w:t>
      </w:r>
      <w:r>
        <w:rPr>
          <w:sz w:val="21"/>
        </w:rPr>
        <w:br w:type="page"/>
      </w:r>
      <w:bookmarkStart w:name="_TOC_250014" w:id="1"/>
      <w:r>
        <w:lastRenderedPageBreak/>
        <w:t>1.</w:t>
        <w:tab/>
        <w:t>Pest information</w:t>
      </w:r>
      <w:bookmarkEnd w:id="1"/>
    </w:p>
    <w:p w14:paraId="395B686D" w14:textId="1D7A34F8">
      <w:pPr>
        <w:pStyle w:val="IPPParagraphnumbering"/>
        <w:numPr>
          <w:ilvl w:val="0"/>
          <w:numId w:val="0"/>
        </w:numPr>
        <w:rPr>
          <w:lang w:val="en-GB"/>
        </w:rPr>
      </w:pPr>
      <w:r>
        <w:rPr>
          <w:rStyle w:val="PleaseReviewParagraphId"/>
          <w:b w:val="off"/>
          <w:i w:val="off"/>
        </w:rPr>
        <w:t>[43]</w:t>
      </w:r>
      <w:r>
        <w:rPr>
          <w:i/>
          <w:iCs/>
          <w:lang w:val="en-GB"/>
        </w:rPr>
        <w:t>Heterobasidion annosum</w:t>
      </w:r>
      <w:r>
        <w:rPr>
          <w:lang w:val="en-GB"/>
        </w:rPr>
        <w:t xml:space="preserve"> </w:t>
      </w:r>
      <w:r>
        <w:rPr>
          <w:i/>
          <w:iCs/>
          <w:lang w:val="en-GB"/>
        </w:rPr>
        <w:t xml:space="preserve">sensu lato </w:t>
      </w:r>
      <w:r>
        <w:rPr>
          <w:lang w:val="en-GB"/>
        </w:rPr>
        <w:t>(</w:t>
      </w:r>
      <w:r>
        <w:rPr>
          <w:i/>
          <w:iCs/>
          <w:lang w:val="en-GB"/>
        </w:rPr>
        <w:t>s.l.</w:t>
      </w:r>
      <w:r>
        <w:rPr>
          <w:lang w:val="en-GB"/>
        </w:rPr>
        <w:t xml:space="preserve">) (Fr.) Bref., 1888 is a complex of species (also referred to as the </w:t>
      </w:r>
      <w:r>
        <w:rPr>
          <w:i/>
          <w:iCs/>
          <w:lang w:val="en-GB"/>
        </w:rPr>
        <w:t>H. annosum</w:t>
      </w:r>
      <w:r>
        <w:rPr>
          <w:lang w:val="en-GB"/>
        </w:rPr>
        <w:t xml:space="preserve"> complex) that includes the most common and destructive fungal pathogens of conifers causing root and butt rots. They are widely distributed in the coniferous forests of the northern hemisphere (Korhonen </w:t>
      </w:r>
      <w:r>
        <w:rPr>
          <w:i/>
          <w:iCs/>
          <w:lang w:val="en-GB"/>
        </w:rPr>
        <w:t>et al</w:t>
      </w:r>
      <w:r>
        <w:rPr>
          <w:lang w:val="en-GB"/>
        </w:rPr>
        <w:t xml:space="preserve">., 1998; Dai </w:t>
      </w:r>
      <w:r>
        <w:rPr>
          <w:i/>
          <w:iCs/>
          <w:lang w:val="en-GB"/>
        </w:rPr>
        <w:t>et al</w:t>
      </w:r>
      <w:r>
        <w:rPr>
          <w:lang w:val="en-GB"/>
        </w:rPr>
        <w:t xml:space="preserve">., 2003; Worrall </w:t>
      </w:r>
      <w:r>
        <w:rPr>
          <w:i/>
          <w:iCs/>
          <w:lang w:val="en-GB"/>
        </w:rPr>
        <w:t>et al</w:t>
      </w:r>
      <w:r>
        <w:rPr>
          <w:lang w:val="en-GB"/>
        </w:rPr>
        <w:t xml:space="preserve">., 2010). </w:t>
      </w:r>
      <w:r>
        <w:rPr>
          <w:i/>
          <w:iCs/>
          <w:lang w:val="en-GB"/>
        </w:rPr>
        <w:t>H. annosum s.l.</w:t>
      </w:r>
      <w:r>
        <w:rPr>
          <w:lang w:val="en-GB"/>
        </w:rPr>
        <w:t xml:space="preserve"> is a major concern especially in intensively managed forests, where the decrease in wood production and the reduction in wood quality caused by the pathogens can result in high economic losses. </w:t>
      </w:r>
    </w:p>
    <w:p w14:paraId="497E20E2" w14:textId="0973601E">
      <w:pPr>
        <w:pStyle w:val="IPPParagraphnumbering"/>
        <w:numPr>
          <w:ilvl w:val="0"/>
          <w:numId w:val="0"/>
        </w:numPr>
        <w:rPr>
          <w:lang w:val="en-GB"/>
        </w:rPr>
      </w:pPr>
      <w:r>
        <w:rPr>
          <w:rStyle w:val="PleaseReviewParagraphId"/>
          <w:b w:val="off"/>
          <w:i w:val="off"/>
        </w:rPr>
        <w:t>[44]</w:t>
      </w:r>
      <w:r>
        <w:rPr>
          <w:lang w:val="en-GB"/>
        </w:rPr>
        <w:t xml:space="preserve">The fungus had long been regarded as a single species until mating experiments revealed the occurrence of </w:t>
      </w:r>
      <w:bookmarkStart w:name="_Hlk136708594" w:id="2"/>
      <w:r>
        <w:rPr>
          <w:lang w:val="en-GB"/>
        </w:rPr>
        <w:t xml:space="preserve">intersterile </w:t>
      </w:r>
      <w:bookmarkEnd w:id="2"/>
      <w:r>
        <w:rPr>
          <w:lang w:val="en-GB"/>
        </w:rPr>
        <w:t xml:space="preserve">groups within </w:t>
      </w:r>
      <w:r>
        <w:rPr>
          <w:i/>
          <w:iCs/>
          <w:lang w:val="en-GB"/>
        </w:rPr>
        <w:t xml:space="preserve">H. annosum s.l. </w:t>
      </w:r>
      <w:r>
        <w:rPr>
          <w:lang w:val="en-GB"/>
        </w:rPr>
        <w:t xml:space="preserve">(Korhonen, 1978; Chase and Ullrich, 1988; Capretti </w:t>
      </w:r>
      <w:r>
        <w:rPr>
          <w:i/>
          <w:iCs/>
          <w:lang w:val="en-GB"/>
        </w:rPr>
        <w:t>et al.</w:t>
      </w:r>
      <w:r>
        <w:rPr>
          <w:lang w:val="en-GB"/>
        </w:rPr>
        <w:t xml:space="preserve">, 1990). A formal description was published for each intersterile group, with the species being named according to their host preferences. Five phytopathogenic species are therefore currently included within </w:t>
      </w:r>
      <w:r>
        <w:rPr>
          <w:i/>
          <w:iCs/>
          <w:lang w:val="en-GB"/>
        </w:rPr>
        <w:t>H. annosum s.l.</w:t>
      </w:r>
      <w:r>
        <w:rPr>
          <w:lang w:val="en-GB"/>
        </w:rPr>
        <w:t xml:space="preserve">: </w:t>
      </w:r>
      <w:bookmarkStart w:name="_Hlk129078225" w:id="3"/>
      <w:r>
        <w:rPr>
          <w:i/>
          <w:iCs/>
          <w:lang w:val="en-GB"/>
        </w:rPr>
        <w:t>H. abietinum</w:t>
      </w:r>
      <w:r>
        <w:rPr>
          <w:lang w:val="en-GB"/>
        </w:rPr>
        <w:t xml:space="preserve"> Niemelä &amp; Korhonen, 1998, </w:t>
      </w:r>
      <w:r>
        <w:rPr>
          <w:i/>
          <w:iCs/>
          <w:lang w:val="en-GB"/>
        </w:rPr>
        <w:t>H. annosum</w:t>
      </w:r>
      <w:r>
        <w:rPr>
          <w:lang w:val="en-GB"/>
        </w:rPr>
        <w:t xml:space="preserve"> (Fr.) Bref., 1888 </w:t>
      </w:r>
      <w:r>
        <w:rPr>
          <w:i/>
          <w:iCs/>
          <w:lang w:val="en-GB"/>
        </w:rPr>
        <w:t>sensu stricto</w:t>
      </w:r>
      <w:r>
        <w:rPr>
          <w:lang w:val="en-GB"/>
        </w:rPr>
        <w:t xml:space="preserve"> (</w:t>
      </w:r>
      <w:r>
        <w:rPr>
          <w:i/>
          <w:iCs/>
          <w:lang w:val="en-GB"/>
        </w:rPr>
        <w:t>s.s.</w:t>
      </w:r>
      <w:r>
        <w:rPr>
          <w:lang w:val="en-GB"/>
        </w:rPr>
        <w:t xml:space="preserve">), </w:t>
      </w:r>
      <w:r>
        <w:rPr>
          <w:i/>
          <w:iCs/>
          <w:lang w:val="en-GB"/>
        </w:rPr>
        <w:t>H. irregulare</w:t>
      </w:r>
      <w:r>
        <w:rPr>
          <w:lang w:val="en-GB"/>
        </w:rPr>
        <w:t xml:space="preserve"> Garbel. &amp; Otrosina, 2010, </w:t>
      </w:r>
      <w:r>
        <w:rPr>
          <w:i/>
          <w:iCs/>
          <w:lang w:val="en-GB"/>
        </w:rPr>
        <w:t>H. occidentale</w:t>
      </w:r>
      <w:r>
        <w:rPr>
          <w:lang w:val="en-GB"/>
        </w:rPr>
        <w:t xml:space="preserve"> Otrosina &amp; Garbel., 2010 and </w:t>
      </w:r>
      <w:r>
        <w:rPr>
          <w:i/>
          <w:iCs/>
          <w:lang w:val="en-GB"/>
        </w:rPr>
        <w:t>H. parviporum</w:t>
      </w:r>
      <w:r>
        <w:rPr>
          <w:lang w:val="en-GB"/>
        </w:rPr>
        <w:t xml:space="preserve"> Niemelä &amp; Korhonen, 1998</w:t>
      </w:r>
      <w:r>
        <w:rPr>
          <w:iCs/>
          <w:lang w:val="en-GB"/>
        </w:rPr>
        <w:t xml:space="preserve">. </w:t>
      </w:r>
      <w:r>
        <w:rPr>
          <w:lang w:val="en-GB"/>
        </w:rPr>
        <w:t xml:space="preserve">They are characterized based on their geographical origin, host preference, morphology, and biochemical, phylogenetic and genomic traits (Otrosina </w:t>
      </w:r>
      <w:r>
        <w:rPr>
          <w:i/>
          <w:iCs/>
          <w:lang w:val="en-GB"/>
        </w:rPr>
        <w:t>et al</w:t>
      </w:r>
      <w:r>
        <w:rPr>
          <w:lang w:val="en-GB"/>
        </w:rPr>
        <w:t xml:space="preserve">., 1993; Linzer </w:t>
      </w:r>
      <w:r>
        <w:rPr>
          <w:i/>
          <w:iCs/>
          <w:lang w:val="en-GB"/>
        </w:rPr>
        <w:t>et al</w:t>
      </w:r>
      <w:r>
        <w:rPr>
          <w:lang w:val="en-GB"/>
        </w:rPr>
        <w:t xml:space="preserve">., 2008; Dalman, </w:t>
      </w:r>
      <w:r>
        <w:rPr>
          <w:iCs/>
          <w:lang w:val="en-GB"/>
        </w:rPr>
        <w:t>Olson and Stenlid</w:t>
      </w:r>
      <w:r>
        <w:rPr>
          <w:lang w:val="en-GB"/>
        </w:rPr>
        <w:t xml:space="preserve">, 2010; Garbelotto and Gonthier, 2013; Chen </w:t>
      </w:r>
      <w:r>
        <w:rPr>
          <w:i/>
          <w:iCs/>
          <w:lang w:val="en-GB"/>
        </w:rPr>
        <w:t>et al</w:t>
      </w:r>
      <w:r>
        <w:rPr>
          <w:lang w:val="en-GB"/>
        </w:rPr>
        <w:t xml:space="preserve">., 2015; Sillo </w:t>
      </w:r>
      <w:r>
        <w:rPr>
          <w:i/>
          <w:iCs/>
          <w:lang w:val="en-GB"/>
        </w:rPr>
        <w:t>et al</w:t>
      </w:r>
      <w:r>
        <w:rPr>
          <w:lang w:val="en-GB"/>
        </w:rPr>
        <w:t xml:space="preserve">., 2015; Yuan </w:t>
      </w:r>
      <w:r>
        <w:rPr>
          <w:i/>
          <w:iCs/>
          <w:lang w:val="en-GB"/>
        </w:rPr>
        <w:t>et al</w:t>
      </w:r>
      <w:r>
        <w:rPr>
          <w:lang w:val="en-GB"/>
        </w:rPr>
        <w:t xml:space="preserve">., 2021). </w:t>
      </w:r>
      <w:r>
        <w:rPr>
          <w:iCs/>
          <w:lang w:val="en-GB"/>
        </w:rPr>
        <w:t xml:space="preserve">An additional species, </w:t>
      </w:r>
      <w:r>
        <w:rPr>
          <w:i/>
          <w:iCs/>
          <w:lang w:val="en-GB"/>
        </w:rPr>
        <w:t>H. </w:t>
      </w:r>
      <w:r>
        <w:rPr>
          <w:i/>
          <w:lang w:val="en-GB"/>
        </w:rPr>
        <w:t xml:space="preserve">subparviporum </w:t>
      </w:r>
      <w:r>
        <w:rPr>
          <w:iCs/>
          <w:lang w:val="en-GB"/>
        </w:rPr>
        <w:t xml:space="preserve">Y.C. Dai, Jia J. Chen &amp; Yuan Yuan, 2021, seems to be a saprotroph (Yuan </w:t>
      </w:r>
      <w:r>
        <w:rPr>
          <w:i/>
          <w:iCs/>
          <w:lang w:val="en-GB"/>
        </w:rPr>
        <w:t>et al</w:t>
      </w:r>
      <w:r>
        <w:rPr>
          <w:iCs/>
          <w:lang w:val="en-GB"/>
        </w:rPr>
        <w:t>., 2021)</w:t>
      </w:r>
      <w:r>
        <w:rPr>
          <w:lang w:val="en-GB"/>
        </w:rPr>
        <w:t>.</w:t>
      </w:r>
    </w:p>
    <w:bookmarkEnd w:id="3"/>
    <w:p w14:paraId="01BAD50B" w14:textId="3FE9439E">
      <w:pPr>
        <w:pStyle w:val="IPPParagraphnumbering"/>
        <w:numPr>
          <w:ilvl w:val="0"/>
          <w:numId w:val="0"/>
        </w:numPr>
        <w:rPr>
          <w:lang w:val="en-GB"/>
        </w:rPr>
      </w:pPr>
      <w:r>
        <w:rPr>
          <w:rStyle w:val="PleaseReviewParagraphId"/>
          <w:b w:val="off"/>
          <w:i w:val="off"/>
        </w:rPr>
        <w:t>[45]</w:t>
      </w:r>
      <w:r>
        <w:rPr>
          <w:lang w:val="en-GB"/>
        </w:rPr>
        <w:t xml:space="preserve">Three of the phytopathogenic species </w:t>
      </w:r>
      <w:bookmarkStart w:name="_Hlk129077899" w:id="4"/>
      <w:r>
        <w:rPr>
          <w:lang w:val="en-GB"/>
        </w:rPr>
        <w:t xml:space="preserve">– </w:t>
      </w:r>
      <w:r>
        <w:rPr>
          <w:i/>
          <w:iCs/>
          <w:lang w:val="en-GB"/>
        </w:rPr>
        <w:t>H. abietinum</w:t>
      </w:r>
      <w:r>
        <w:rPr>
          <w:lang w:val="en-GB"/>
        </w:rPr>
        <w:t xml:space="preserve">, </w:t>
      </w:r>
      <w:r>
        <w:rPr>
          <w:i/>
          <w:iCs/>
          <w:lang w:val="en-GB"/>
        </w:rPr>
        <w:t>H. annosum s.s.</w:t>
      </w:r>
      <w:r>
        <w:rPr>
          <w:lang w:val="en-GB"/>
        </w:rPr>
        <w:t xml:space="preserve"> and </w:t>
      </w:r>
      <w:r>
        <w:rPr>
          <w:i/>
          <w:iCs/>
          <w:lang w:val="en-GB"/>
        </w:rPr>
        <w:t>H. parviporum</w:t>
      </w:r>
      <w:r>
        <w:rPr>
          <w:lang w:val="en-GB"/>
        </w:rPr>
        <w:t xml:space="preserve"> </w:t>
      </w:r>
      <w:bookmarkEnd w:id="4"/>
      <w:r>
        <w:rPr>
          <w:lang w:val="en-GB"/>
        </w:rPr>
        <w:t xml:space="preserve">(Niemelä and Korhonen, 1998) – occur in some countries in Europe and Asia, mainly associated with </w:t>
      </w:r>
      <w:r>
        <w:rPr>
          <w:i/>
          <w:iCs/>
          <w:lang w:val="en-GB"/>
        </w:rPr>
        <w:t>Abies alba</w:t>
      </w:r>
      <w:r>
        <w:rPr>
          <w:lang w:val="en-GB"/>
        </w:rPr>
        <w:t xml:space="preserve">, </w:t>
      </w:r>
      <w:r>
        <w:rPr>
          <w:i/>
          <w:iCs/>
          <w:lang w:val="en-GB"/>
        </w:rPr>
        <w:t>Pinus</w:t>
      </w:r>
      <w:r>
        <w:rPr>
          <w:lang w:val="en-GB"/>
        </w:rPr>
        <w:t xml:space="preserve"> spp., and </w:t>
      </w:r>
      <w:r>
        <w:rPr>
          <w:i/>
          <w:iCs/>
          <w:lang w:val="en-GB"/>
        </w:rPr>
        <w:t>Picea abies</w:t>
      </w:r>
      <w:r>
        <w:rPr>
          <w:lang w:val="en-GB"/>
        </w:rPr>
        <w:t xml:space="preserve">, respectively (Garbelotto and Gonthier, 2013). Depending on tree species composition and structure, these three species of </w:t>
      </w:r>
      <w:r>
        <w:rPr>
          <w:i/>
          <w:iCs/>
          <w:lang w:val="en-GB"/>
        </w:rPr>
        <w:t>Heterobasidion</w:t>
      </w:r>
      <w:r>
        <w:rPr>
          <w:lang w:val="en-GB"/>
        </w:rPr>
        <w:t xml:space="preserve"> can coexist in the same conifer stand (e.g. Gonthier, </w:t>
      </w:r>
      <w:r>
        <w:rPr>
          <w:iCs/>
          <w:lang w:val="en-GB"/>
        </w:rPr>
        <w:t>Garbelotto and Nicolotti</w:t>
      </w:r>
      <w:r>
        <w:rPr>
          <w:lang w:val="en-GB"/>
        </w:rPr>
        <w:t xml:space="preserve">, 2003). The remaining two species occur in North America: </w:t>
      </w:r>
      <w:r>
        <w:rPr>
          <w:i/>
          <w:iCs/>
          <w:lang w:val="en-GB"/>
        </w:rPr>
        <w:t>H. occidentale</w:t>
      </w:r>
      <w:r>
        <w:rPr>
          <w:lang w:val="en-GB"/>
        </w:rPr>
        <w:t xml:space="preserve"> (Otrosina and Garbelotto, 2010), associated with </w:t>
      </w:r>
      <w:r>
        <w:rPr>
          <w:i/>
          <w:iCs/>
          <w:lang w:val="en-GB"/>
        </w:rPr>
        <w:t>Picea</w:t>
      </w:r>
      <w:r>
        <w:rPr>
          <w:lang w:val="en-GB"/>
        </w:rPr>
        <w:t xml:space="preserve"> spp., </w:t>
      </w:r>
      <w:r>
        <w:rPr>
          <w:i/>
          <w:iCs/>
          <w:lang w:val="en-GB"/>
        </w:rPr>
        <w:t>Tsuga</w:t>
      </w:r>
      <w:r>
        <w:rPr>
          <w:lang w:val="en-GB"/>
        </w:rPr>
        <w:t xml:space="preserve"> spp., </w:t>
      </w:r>
      <w:r>
        <w:rPr>
          <w:i/>
          <w:iCs/>
          <w:lang w:val="en-GB"/>
        </w:rPr>
        <w:t>Pseudotsuga</w:t>
      </w:r>
      <w:r>
        <w:rPr>
          <w:lang w:val="en-GB"/>
        </w:rPr>
        <w:t xml:space="preserve"> spp. and </w:t>
      </w:r>
      <w:r>
        <w:rPr>
          <w:i/>
          <w:iCs/>
          <w:lang w:val="en-GB"/>
        </w:rPr>
        <w:t>Sequoiadendron</w:t>
      </w:r>
      <w:r>
        <w:rPr>
          <w:lang w:val="en-GB"/>
        </w:rPr>
        <w:t xml:space="preserve"> spp., and </w:t>
      </w:r>
      <w:r>
        <w:rPr>
          <w:i/>
          <w:iCs/>
          <w:lang w:val="en-GB"/>
        </w:rPr>
        <w:t>H. irregulare</w:t>
      </w:r>
      <w:r>
        <w:rPr>
          <w:lang w:val="en-GB"/>
        </w:rPr>
        <w:t xml:space="preserve">, mainly associated with </w:t>
      </w:r>
      <w:r>
        <w:rPr>
          <w:i/>
          <w:iCs/>
          <w:lang w:val="en-GB"/>
        </w:rPr>
        <w:t>Pinus</w:t>
      </w:r>
      <w:r>
        <w:rPr>
          <w:lang w:val="en-GB"/>
        </w:rPr>
        <w:t xml:space="preserve"> spp., </w:t>
      </w:r>
      <w:r>
        <w:rPr>
          <w:i/>
          <w:iCs/>
          <w:lang w:val="en-GB"/>
        </w:rPr>
        <w:t>Juniperus</w:t>
      </w:r>
      <w:r>
        <w:rPr>
          <w:lang w:val="en-GB"/>
        </w:rPr>
        <w:t xml:space="preserve"> spp., </w:t>
      </w:r>
      <w:r>
        <w:rPr>
          <w:i/>
          <w:iCs/>
          <w:lang w:val="en-GB"/>
        </w:rPr>
        <w:t>Calocedrus decurrens</w:t>
      </w:r>
      <w:r>
        <w:rPr>
          <w:lang w:val="en-GB"/>
        </w:rPr>
        <w:t xml:space="preserve"> and </w:t>
      </w:r>
      <w:r>
        <w:rPr>
          <w:i/>
          <w:iCs/>
          <w:lang w:val="en-GB"/>
        </w:rPr>
        <w:t>Abies</w:t>
      </w:r>
      <w:r>
        <w:rPr>
          <w:lang w:val="en-GB"/>
        </w:rPr>
        <w:t xml:space="preserve"> spp. </w:t>
      </w:r>
      <w:bookmarkStart w:name="_Hlk136710036" w:id="5"/>
      <w:r>
        <w:rPr>
          <w:lang w:val="en-GB"/>
        </w:rPr>
        <w:t xml:space="preserve">A table describing the susceptibility of some tree species to </w:t>
      </w:r>
      <w:r>
        <w:rPr>
          <w:i/>
          <w:iCs/>
          <w:lang w:val="en-GB"/>
        </w:rPr>
        <w:t xml:space="preserve">H. annosum s.l. </w:t>
      </w:r>
      <w:r>
        <w:rPr>
          <w:lang w:val="en-GB"/>
        </w:rPr>
        <w:t>species and the main host tissue colonized is available in Garbelotto and Gonthier (2013)</w:t>
      </w:r>
      <w:bookmarkEnd w:id="5"/>
      <w:r>
        <w:rPr>
          <w:lang w:val="en-GB"/>
        </w:rPr>
        <w:t>.</w:t>
      </w:r>
    </w:p>
    <w:p w14:paraId="14F1BE4F" w14:textId="348305FE">
      <w:pPr>
        <w:pStyle w:val="IPPParagraphnumbering"/>
        <w:numPr>
          <w:ilvl w:val="0"/>
          <w:numId w:val="0"/>
        </w:numPr>
        <w:rPr>
          <w:lang w:val="en-GB"/>
        </w:rPr>
      </w:pPr>
      <w:r>
        <w:rPr>
          <w:rStyle w:val="PleaseReviewParagraphId"/>
          <w:b w:val="off"/>
          <w:i w:val="off"/>
        </w:rPr>
        <w:t>[46]</w:t>
      </w:r>
      <w:r>
        <w:rPr>
          <w:lang w:val="en-GB"/>
        </w:rPr>
        <w:t xml:space="preserve">One exception to the geographical distribution described above is that the current distribution of </w:t>
      </w:r>
      <w:r>
        <w:rPr>
          <w:i/>
          <w:iCs/>
          <w:lang w:val="en-GB"/>
        </w:rPr>
        <w:t>H. irregulare</w:t>
      </w:r>
      <w:r>
        <w:rPr>
          <w:lang w:val="en-GB"/>
        </w:rPr>
        <w:t xml:space="preserve"> also includes approximately 100 km of land along the Tyrrhenian coast around Rome (Italy). This is a relatively recently discovered example of a biological invasion that occurred after the accidental introduction of this North American species into central Italy during the Second World War (Gonthier </w:t>
      </w:r>
      <w:r>
        <w:rPr>
          <w:i/>
          <w:iCs/>
          <w:lang w:val="en-GB"/>
        </w:rPr>
        <w:t>et al</w:t>
      </w:r>
      <w:r>
        <w:rPr>
          <w:lang w:val="en-GB"/>
        </w:rPr>
        <w:t xml:space="preserve">., 2004). </w:t>
      </w:r>
      <w:r>
        <w:rPr>
          <w:i/>
          <w:iCs/>
          <w:lang w:val="en-GB"/>
        </w:rPr>
        <w:t>H. irregulare</w:t>
      </w:r>
      <w:r>
        <w:rPr>
          <w:lang w:val="en-GB"/>
        </w:rPr>
        <w:t xml:space="preserve"> is now associated with significant mortality of </w:t>
      </w:r>
      <w:r>
        <w:rPr>
          <w:i/>
          <w:iCs/>
          <w:lang w:val="en-GB"/>
        </w:rPr>
        <w:t>Pinus pinea</w:t>
      </w:r>
      <w:r>
        <w:rPr>
          <w:lang w:val="en-GB"/>
        </w:rPr>
        <w:t xml:space="preserve">, in </w:t>
      </w:r>
      <w:bookmarkStart w:name="_Hlk136710458" w:id="6"/>
      <w:r>
        <w:rPr>
          <w:lang w:val="en-GB"/>
        </w:rPr>
        <w:t xml:space="preserve">monocultural </w:t>
      </w:r>
      <w:bookmarkEnd w:id="6"/>
      <w:r>
        <w:rPr>
          <w:lang w:val="en-GB"/>
        </w:rPr>
        <w:t xml:space="preserve">pine stands, in mixed oak–pine natural forests and in urban parks (Gonthier </w:t>
      </w:r>
      <w:r>
        <w:rPr>
          <w:i/>
          <w:iCs/>
          <w:lang w:val="en-GB"/>
        </w:rPr>
        <w:t>et al</w:t>
      </w:r>
      <w:r>
        <w:rPr>
          <w:lang w:val="en-GB"/>
        </w:rPr>
        <w:t xml:space="preserve">., 2007, 2014). In September 2015, </w:t>
      </w:r>
      <w:r>
        <w:rPr>
          <w:i/>
          <w:iCs/>
          <w:lang w:val="en-GB"/>
        </w:rPr>
        <w:t>H. irregulare</w:t>
      </w:r>
      <w:r>
        <w:rPr>
          <w:lang w:val="en-GB"/>
        </w:rPr>
        <w:t xml:space="preserve"> was included in the A2 list of pests recommended for regulation by the European and Mediterranean Plant Protection Organization (EPPO). More information about </w:t>
      </w:r>
      <w:r>
        <w:rPr>
          <w:i/>
          <w:iCs/>
          <w:lang w:val="en-GB"/>
        </w:rPr>
        <w:t>H. irregulare</w:t>
      </w:r>
      <w:r>
        <w:rPr>
          <w:lang w:val="en-GB"/>
        </w:rPr>
        <w:t xml:space="preserve"> is available in the EPPO Global Database (EPPO, n.d.(a)).</w:t>
      </w:r>
    </w:p>
    <w:p w14:paraId="7F208730" w14:textId="02284140">
      <w:pPr>
        <w:pStyle w:val="IPPParagraphnumbering"/>
        <w:numPr>
          <w:ilvl w:val="0"/>
          <w:numId w:val="0"/>
        </w:numPr>
        <w:rPr>
          <w:lang w:val="en-GB"/>
        </w:rPr>
      </w:pPr>
      <w:r>
        <w:rPr>
          <w:rStyle w:val="PleaseReviewParagraphId"/>
          <w:b w:val="off"/>
          <w:i w:val="off"/>
        </w:rPr>
        <w:t>[47]</w:t>
      </w:r>
      <w:r>
        <w:rPr>
          <w:lang w:val="en-GB"/>
        </w:rPr>
        <w:t xml:space="preserve">Although </w:t>
      </w:r>
      <w:r>
        <w:rPr>
          <w:i/>
          <w:iCs/>
          <w:lang w:val="en-GB"/>
        </w:rPr>
        <w:t xml:space="preserve">Heterobasidion </w:t>
      </w:r>
      <w:r>
        <w:rPr>
          <w:lang w:val="en-GB"/>
        </w:rPr>
        <w:t xml:space="preserve">species are characterized by partial </w:t>
      </w:r>
      <w:bookmarkStart w:name="_Hlk136711005" w:id="7"/>
      <w:r>
        <w:rPr>
          <w:lang w:val="en-GB"/>
        </w:rPr>
        <w:t>interfertility</w:t>
      </w:r>
      <w:bookmarkEnd w:id="7"/>
      <w:r>
        <w:rPr>
          <w:lang w:val="en-GB"/>
        </w:rPr>
        <w:t xml:space="preserve"> in laboratory experiments, hybrids between the two sympatric North American species, </w:t>
      </w:r>
      <w:r>
        <w:rPr>
          <w:i/>
          <w:iCs/>
          <w:lang w:val="en-GB"/>
        </w:rPr>
        <w:t>H. irregulare</w:t>
      </w:r>
      <w:r>
        <w:rPr>
          <w:lang w:val="en-GB"/>
        </w:rPr>
        <w:t xml:space="preserve"> and </w:t>
      </w:r>
      <w:r>
        <w:rPr>
          <w:i/>
          <w:iCs/>
          <w:lang w:val="en-GB"/>
        </w:rPr>
        <w:t>H. occidentale</w:t>
      </w:r>
      <w:r>
        <w:rPr>
          <w:lang w:val="en-GB"/>
        </w:rPr>
        <w:t xml:space="preserve">, have rarely been found in North America (Garbelotto </w:t>
      </w:r>
      <w:r>
        <w:rPr>
          <w:i/>
          <w:iCs/>
          <w:lang w:val="en-GB"/>
        </w:rPr>
        <w:t>et al</w:t>
      </w:r>
      <w:r>
        <w:rPr>
          <w:lang w:val="en-GB"/>
        </w:rPr>
        <w:t xml:space="preserve">., 1996; Lockman </w:t>
      </w:r>
      <w:r>
        <w:rPr>
          <w:i/>
          <w:iCs/>
          <w:lang w:val="en-GB"/>
        </w:rPr>
        <w:t>et al</w:t>
      </w:r>
      <w:r>
        <w:rPr>
          <w:lang w:val="en-GB"/>
        </w:rPr>
        <w:t xml:space="preserve">., 2014). Nevertheless, high hybridization rates have been observed between the two naturally allopatric species, </w:t>
      </w:r>
      <w:r>
        <w:rPr>
          <w:i/>
          <w:iCs/>
          <w:lang w:val="en-GB"/>
        </w:rPr>
        <w:t>H. annosum s.s.</w:t>
      </w:r>
      <w:r>
        <w:rPr>
          <w:lang w:val="en-GB"/>
        </w:rPr>
        <w:t xml:space="preserve"> and </w:t>
      </w:r>
      <w:r>
        <w:rPr>
          <w:i/>
          <w:iCs/>
          <w:lang w:val="en-GB"/>
        </w:rPr>
        <w:t>H. irregulare</w:t>
      </w:r>
      <w:r>
        <w:rPr>
          <w:lang w:val="en-GB"/>
        </w:rPr>
        <w:t xml:space="preserve">, in Italian coastal pine woodlands (Gonthier </w:t>
      </w:r>
      <w:r>
        <w:rPr>
          <w:i/>
          <w:iCs/>
          <w:lang w:val="en-GB"/>
        </w:rPr>
        <w:t>et al</w:t>
      </w:r>
      <w:r>
        <w:rPr>
          <w:lang w:val="en-GB"/>
        </w:rPr>
        <w:t>., 2007).</w:t>
      </w:r>
    </w:p>
    <w:p w14:paraId="449A19F2" w14:textId="16405088">
      <w:pPr>
        <w:pStyle w:val="IPPParagraphnumbering"/>
        <w:numPr>
          <w:ilvl w:val="0"/>
          <w:numId w:val="0"/>
        </w:numPr>
        <w:rPr>
          <w:lang w:val="en-GB"/>
        </w:rPr>
      </w:pPr>
      <w:r>
        <w:rPr>
          <w:rStyle w:val="PleaseReviewParagraphId"/>
          <w:b w:val="off"/>
          <w:i w:val="off"/>
        </w:rPr>
        <w:t>[48]</w:t>
      </w:r>
      <w:r>
        <w:rPr>
          <w:lang w:val="en-GB"/>
        </w:rPr>
        <w:t xml:space="preserve">Species of </w:t>
      </w:r>
      <w:r>
        <w:rPr>
          <w:i/>
          <w:iCs/>
          <w:lang w:val="en-GB"/>
        </w:rPr>
        <w:t xml:space="preserve">H. annosum s.l. </w:t>
      </w:r>
      <w:r>
        <w:rPr>
          <w:lang w:val="en-GB"/>
        </w:rPr>
        <w:t>have a varied infection biology (Rishbeth, 1950, 1951a, 1951b). Airborne propagules (mostly basidiospores) infect freshly exposed wood surfaces, such as stump tops or stem and root wounds (primary infection). Once established, the fungus may spread vegetatively via root contacts and grafts (secondary infection) (Stenlid and Redfern, 1998).</w:t>
      </w:r>
    </w:p>
    <w:p w14:paraId="47F00BED" w14:textId="1DD9510A">
      <w:pPr>
        <w:pStyle w:val="IPPParagraphnumbering"/>
        <w:numPr>
          <w:ilvl w:val="0"/>
          <w:numId w:val="0"/>
        </w:numPr>
        <w:rPr>
          <w:lang w:val="en-GB"/>
        </w:rPr>
      </w:pPr>
      <w:r>
        <w:rPr>
          <w:rStyle w:val="PleaseReviewParagraphId"/>
          <w:b w:val="off"/>
          <w:i w:val="off"/>
        </w:rPr>
        <w:t>[49]</w:t>
      </w:r>
      <w:r>
        <w:rPr>
          <w:i/>
          <w:iCs/>
          <w:lang w:val="en-GB"/>
        </w:rPr>
        <w:t>H. annosum s.l.</w:t>
      </w:r>
      <w:r>
        <w:rPr>
          <w:lang w:val="en-GB"/>
        </w:rPr>
        <w:t xml:space="preserve"> commonly develops fruiting bodies producing basidiospores at ground level, at the base of stumps or dead trees, or inside the internal cavities of old decayed stumps. </w:t>
      </w:r>
      <w:r>
        <w:rPr>
          <w:i/>
          <w:iCs/>
          <w:lang w:val="en-GB"/>
        </w:rPr>
        <w:t>H. annosum s.l.</w:t>
      </w:r>
      <w:r>
        <w:rPr>
          <w:lang w:val="en-GB"/>
        </w:rPr>
        <w:t xml:space="preserve"> also produces conidia developing from conidiophores; however, they play an active role only in </w:t>
      </w:r>
      <w:bookmarkStart w:name="_Hlk136711886" w:id="8"/>
      <w:r>
        <w:rPr>
          <w:lang w:val="en-GB"/>
        </w:rPr>
        <w:t>short-</w:t>
        <w:lastRenderedPageBreak/>
        <w:t>distance</w:t>
      </w:r>
      <w:bookmarkEnd w:id="8"/>
      <w:r>
        <w:rPr>
          <w:lang w:val="en-GB"/>
        </w:rPr>
        <w:t xml:space="preserve"> dispersal of the fungus (Redfern and Stenlid, 1998) or when accidentally carried by root-feeding insects (Kadlec, </w:t>
      </w:r>
      <w:r>
        <w:rPr>
          <w:iCs/>
          <w:lang w:val="en-GB"/>
        </w:rPr>
        <w:t>Starý and Zumr</w:t>
      </w:r>
      <w:r>
        <w:rPr>
          <w:lang w:val="en-GB"/>
        </w:rPr>
        <w:t xml:space="preserve">, 1992). The asexual stage (also referred to as the anamorph) of </w:t>
      </w:r>
      <w:r>
        <w:rPr>
          <w:i/>
          <w:iCs/>
          <w:lang w:val="en-GB"/>
        </w:rPr>
        <w:t>H. annosum s.l.</w:t>
      </w:r>
      <w:r>
        <w:rPr>
          <w:lang w:val="en-GB"/>
        </w:rPr>
        <w:t xml:space="preserve"> was formerly referred to as </w:t>
      </w:r>
      <w:r>
        <w:rPr>
          <w:i/>
          <w:iCs/>
          <w:lang w:val="en-GB"/>
        </w:rPr>
        <w:t>Spiniger meineckellus</w:t>
      </w:r>
      <w:r>
        <w:rPr>
          <w:lang w:val="en-GB"/>
        </w:rPr>
        <w:t>.</w:t>
      </w:r>
    </w:p>
    <w:p w14:paraId="42CD4BF2" w14:textId="3506B1F1">
      <w:pPr>
        <w:pStyle w:val="IPPParagraphnumbering"/>
        <w:numPr>
          <w:ilvl w:val="0"/>
          <w:numId w:val="0"/>
        </w:numPr>
        <w:rPr>
          <w:lang w:val="en-GB"/>
        </w:rPr>
      </w:pPr>
      <w:r>
        <w:rPr>
          <w:rStyle w:val="PleaseReviewParagraphId"/>
          <w:b w:val="off"/>
          <w:i w:val="off"/>
        </w:rPr>
        <w:t>[50]</w:t>
      </w:r>
      <w:r>
        <w:rPr>
          <w:lang w:val="en-GB"/>
        </w:rPr>
        <w:t xml:space="preserve">For more general information about </w:t>
      </w:r>
      <w:r>
        <w:rPr>
          <w:i/>
          <w:iCs/>
          <w:lang w:val="en-GB"/>
        </w:rPr>
        <w:t>H. annosum s.l.</w:t>
      </w:r>
      <w:r>
        <w:rPr>
          <w:lang w:val="en-GB"/>
        </w:rPr>
        <w:t xml:space="preserve"> (Heterobasidion root rot), see the CABI Compendium (CABI, n.d.)</w:t>
      </w:r>
      <w:r>
        <w:rPr>
          <w:rStyle w:val="Hyperlink"/>
          <w:color w:val="auto"/>
          <w:lang w:val="en-GB"/>
        </w:rPr>
        <w:t xml:space="preserve">. </w:t>
      </w:r>
      <w:r>
        <w:rPr>
          <w:lang w:val="en-GB"/>
        </w:rPr>
        <w:t>Information on its distribution, updated regularly, is available in the EPPO Global Database (EPPO, n.d.(b)).</w:t>
      </w:r>
    </w:p>
    <w:p w14:paraId="2BD3687F" w14:textId="50DD0377">
      <w:pPr>
        <w:pStyle w:val="IPPHeading1"/>
      </w:pPr>
      <w:r>
        <w:rPr>
          <w:rStyle w:val="PleaseReviewParagraphId"/>
          <w:b w:val="off"/>
          <w:i w:val="off"/>
        </w:rPr>
        <w:t>[51]</w:t>
      </w:r>
      <w:r>
        <w:t>2.</w:t>
        <w:tab/>
      </w:r>
      <w:bookmarkStart w:name="_TOC_250013" w:id="9"/>
      <w:r>
        <w:t>Taxonomic information</w:t>
      </w:r>
      <w:bookmarkEnd w:id="9"/>
    </w:p>
    <w:p w14:paraId="478211C1" w14:textId="6A7D003B">
      <w:pPr>
        <w:pStyle w:val="IPPParagraphnumbering"/>
        <w:numPr>
          <w:ilvl w:val="0"/>
          <w:numId w:val="0"/>
        </w:numPr>
        <w:rPr>
          <w:lang w:val="en-GB"/>
        </w:rPr>
      </w:pPr>
      <w:r>
        <w:rPr>
          <w:rStyle w:val="PleaseReviewParagraphId"/>
          <w:b w:val="off"/>
          <w:i w:val="off"/>
        </w:rPr>
        <w:t>[52]</w:t>
      </w:r>
      <w:r>
        <w:rPr>
          <w:lang w:val="en-GB"/>
        </w:rPr>
        <w:t xml:space="preserve">The species complex </w:t>
      </w:r>
      <w:r>
        <w:rPr>
          <w:i/>
          <w:iCs/>
          <w:lang w:val="en-GB"/>
        </w:rPr>
        <w:t>H. </w:t>
      </w:r>
      <w:r>
        <w:rPr>
          <w:i/>
          <w:lang w:val="en-GB"/>
        </w:rPr>
        <w:t>annosum</w:t>
      </w:r>
      <w:r>
        <w:rPr>
          <w:i/>
          <w:iCs/>
          <w:lang w:val="en-GB"/>
        </w:rPr>
        <w:t> s.l.</w:t>
      </w:r>
      <w:r>
        <w:rPr>
          <w:lang w:val="en-GB"/>
        </w:rPr>
        <w:t xml:space="preserve"> comprises five phytopathogenic species (Chen </w:t>
      </w:r>
      <w:r>
        <w:rPr>
          <w:i/>
          <w:iCs/>
          <w:lang w:val="en-GB"/>
        </w:rPr>
        <w:t>et al</w:t>
      </w:r>
      <w:r>
        <w:rPr>
          <w:lang w:val="en-GB"/>
        </w:rPr>
        <w:t xml:space="preserve">., 2015; Yuan </w:t>
      </w:r>
      <w:r>
        <w:rPr>
          <w:i/>
          <w:iCs/>
          <w:lang w:val="en-GB"/>
        </w:rPr>
        <w:t>et al</w:t>
      </w:r>
      <w:r>
        <w:rPr>
          <w:lang w:val="en-GB"/>
        </w:rPr>
        <w:t xml:space="preserve">., 2021) responsible for severe economic and environmental losses (Garbelotto and Gonthier, 2013): </w:t>
      </w:r>
      <w:r>
        <w:rPr>
          <w:i/>
          <w:iCs/>
          <w:lang w:val="en-GB"/>
        </w:rPr>
        <w:t>H. </w:t>
      </w:r>
      <w:r>
        <w:rPr>
          <w:i/>
          <w:lang w:val="en-GB"/>
        </w:rPr>
        <w:t>abietinum</w:t>
      </w:r>
      <w:r>
        <w:rPr>
          <w:lang w:val="en-GB"/>
        </w:rPr>
        <w:t xml:space="preserve">, </w:t>
      </w:r>
      <w:r>
        <w:rPr>
          <w:i/>
          <w:iCs/>
          <w:lang w:val="en-GB"/>
        </w:rPr>
        <w:t>H. </w:t>
      </w:r>
      <w:r>
        <w:rPr>
          <w:i/>
          <w:lang w:val="en-GB"/>
        </w:rPr>
        <w:t>annosum</w:t>
      </w:r>
      <w:r>
        <w:rPr>
          <w:i/>
          <w:iCs/>
          <w:lang w:val="en-GB"/>
        </w:rPr>
        <w:t> s.s.</w:t>
      </w:r>
      <w:r>
        <w:rPr>
          <w:lang w:val="en-GB"/>
        </w:rPr>
        <w:t xml:space="preserve">, </w:t>
      </w:r>
      <w:r>
        <w:rPr>
          <w:i/>
          <w:iCs/>
          <w:lang w:val="en-GB"/>
        </w:rPr>
        <w:t>H. </w:t>
      </w:r>
      <w:r>
        <w:rPr>
          <w:i/>
          <w:lang w:val="en-GB"/>
        </w:rPr>
        <w:t>irregulare</w:t>
      </w:r>
      <w:r>
        <w:rPr>
          <w:lang w:val="en-GB"/>
        </w:rPr>
        <w:t xml:space="preserve">, </w:t>
      </w:r>
      <w:r>
        <w:rPr>
          <w:i/>
          <w:iCs/>
          <w:lang w:val="en-GB"/>
        </w:rPr>
        <w:t>H. </w:t>
      </w:r>
      <w:r>
        <w:rPr>
          <w:i/>
          <w:lang w:val="en-GB"/>
        </w:rPr>
        <w:t>occidentale</w:t>
      </w:r>
      <w:r>
        <w:rPr>
          <w:lang w:val="en-GB"/>
        </w:rPr>
        <w:t xml:space="preserve"> and </w:t>
      </w:r>
      <w:r>
        <w:rPr>
          <w:i/>
          <w:iCs/>
          <w:lang w:val="en-GB"/>
        </w:rPr>
        <w:t>H. </w:t>
      </w:r>
      <w:r>
        <w:rPr>
          <w:i/>
          <w:lang w:val="en-GB"/>
        </w:rPr>
        <w:t>parviporum</w:t>
      </w:r>
      <w:r>
        <w:rPr>
          <w:lang w:val="en-GB"/>
        </w:rPr>
        <w:t xml:space="preserve">. </w:t>
      </w:r>
      <w:r>
        <w:rPr>
          <w:i/>
          <w:iCs/>
          <w:lang w:val="en-GB"/>
        </w:rPr>
        <w:t>H. </w:t>
      </w:r>
      <w:r>
        <w:rPr>
          <w:i/>
          <w:lang w:val="en-GB"/>
        </w:rPr>
        <w:t>subparviporum</w:t>
      </w:r>
      <w:r>
        <w:rPr>
          <w:lang w:val="en-GB"/>
        </w:rPr>
        <w:t xml:space="preserve"> seems to be a saprotroph (Yuan </w:t>
      </w:r>
      <w:r>
        <w:rPr>
          <w:i/>
          <w:iCs/>
          <w:lang w:val="en-GB"/>
        </w:rPr>
        <w:t>et al</w:t>
      </w:r>
      <w:r>
        <w:rPr>
          <w:lang w:val="en-GB"/>
        </w:rPr>
        <w:t>., 2021).</w:t>
      </w:r>
    </w:p>
    <w:p w14:paraId="13AE464A" w14:textId="40962BC4">
      <w:pPr>
        <w:pStyle w:val="IPPParagraphnumbering"/>
        <w:numPr>
          <w:ilvl w:val="0"/>
          <w:numId w:val="0"/>
        </w:numPr>
        <w:rPr>
          <w:lang w:val="en-GB"/>
        </w:rPr>
      </w:pPr>
      <w:r>
        <w:rPr>
          <w:rStyle w:val="PleaseReviewParagraphId"/>
          <w:b w:val="off"/>
          <w:i w:val="off"/>
        </w:rPr>
        <w:t>[53]</w:t>
      </w:r>
      <w:r>
        <w:rPr>
          <w:lang w:val="en-GB"/>
        </w:rPr>
        <w:t>From a phytosanitary point of view, diagnostic protocols are available only for the five phytopathogenic species. Therefore, the following taxonomic information, and the whole of this diagnostic protocol, refers exclusively to the phytopathogenic members of the</w:t>
      </w:r>
      <w:r>
        <w:rPr>
          <w:i/>
          <w:iCs/>
          <w:lang w:val="en-GB"/>
        </w:rPr>
        <w:t xml:space="preserve"> H. </w:t>
      </w:r>
      <w:r>
        <w:rPr>
          <w:i/>
          <w:lang w:val="en-GB"/>
        </w:rPr>
        <w:t>annosum</w:t>
      </w:r>
      <w:r>
        <w:rPr>
          <w:i/>
          <w:iCs/>
          <w:lang w:val="en-GB"/>
        </w:rPr>
        <w:t> s.l.</w:t>
      </w:r>
      <w:r>
        <w:rPr>
          <w:lang w:val="en-GB"/>
        </w:rPr>
        <w:t xml:space="preserve"> species complex.</w:t>
      </w:r>
    </w:p>
    <w:p w14:paraId="229866A0" w14:textId="1576B624">
      <w:pPr>
        <w:pStyle w:val="IPPParagraphnumbering"/>
        <w:numPr>
          <w:ilvl w:val="0"/>
          <w:numId w:val="0"/>
        </w:numPr>
        <w:tabs>
          <w:tab w:val="left" w:pos="2268"/>
        </w:tabs>
        <w:ind w:left="2268"/>
        <w:rPr>
          <w:lang w:val="en-GB"/>
        </w:rPr>
      </w:pPr>
      <w:r>
        <w:rPr>
          <w:rStyle w:val="PleaseReviewParagraphId"/>
          <w:b w:val="off"/>
          <w:i w:val="off"/>
        </w:rPr>
        <w:t>[54]</w:t>
      </w:r>
      <w:r>
        <w:rPr>
          <w:b/>
          <w:lang w:val="en-GB"/>
        </w:rPr>
        <w:t>Name:</w:t>
      </w:r>
      <w:r>
        <w:rPr>
          <w:lang w:val="en-GB"/>
        </w:rPr>
        <w:tab/>
      </w:r>
      <w:r>
        <w:rPr>
          <w:i/>
          <w:iCs/>
          <w:lang w:val="en-GB"/>
        </w:rPr>
        <w:t>Heterobasidion annosum sensu lato</w:t>
      </w:r>
      <w:r>
        <w:rPr>
          <w:lang w:val="en-GB"/>
        </w:rPr>
        <w:t xml:space="preserve"> (Fr.) Bref., 1888</w:t>
      </w:r>
    </w:p>
    <w:p w14:paraId="32179DBA" w14:textId="36BD5579">
      <w:pPr>
        <w:pStyle w:val="IPPParagraphnumbering"/>
        <w:numPr>
          <w:ilvl w:val="0"/>
          <w:numId w:val="0"/>
        </w:numPr>
        <w:tabs>
          <w:tab w:val="left" w:pos="2268"/>
        </w:tabs>
        <w:ind w:left="2268"/>
        <w:rPr>
          <w:lang w:val="en-GB"/>
        </w:rPr>
      </w:pPr>
      <w:r>
        <w:rPr>
          <w:rStyle w:val="PleaseReviewParagraphId"/>
          <w:b w:val="off"/>
          <w:i w:val="off"/>
        </w:rPr>
        <w:t>[55]</w:t>
      </w:r>
      <w:r>
        <w:rPr>
          <w:b/>
          <w:lang w:val="en-GB"/>
        </w:rPr>
        <w:t>Synonyms:</w:t>
        <w:tab/>
      </w:r>
      <w:r>
        <w:rPr>
          <w:i/>
          <w:iCs/>
          <w:lang w:val="en-GB"/>
        </w:rPr>
        <w:t xml:space="preserve">Polyporus annosus </w:t>
      </w:r>
      <w:r>
        <w:rPr>
          <w:lang w:val="en-GB"/>
        </w:rPr>
        <w:t>Fr., 1821</w:t>
      </w:r>
    </w:p>
    <w:p w14:paraId="4F0AC16F" w14:textId="03607C47">
      <w:pPr>
        <w:pStyle w:val="IPPNormal"/>
        <w:tabs>
          <w:tab w:val="left" w:pos="2268"/>
        </w:tabs>
        <w:ind w:left="2268" w:hanging="2268"/>
      </w:pPr>
      <w:r>
        <w:rPr>
          <w:rStyle w:val="PleaseReviewParagraphId"/>
          <w:b w:val="off"/>
          <w:i w:val="off"/>
        </w:rPr>
        <w:t>[56]</w:t>
      </w:r>
      <w:r>
        <w:rPr>
          <w:i/>
          <w:iCs/>
        </w:rPr>
        <w:tab/>
        <w:t>Fomes annosus</w:t>
      </w:r>
      <w:r>
        <w:t xml:space="preserve"> (Fr.) Cooke, 1885</w:t>
      </w:r>
    </w:p>
    <w:p w14:paraId="6AABA97F" w14:textId="516508D1">
      <w:pPr>
        <w:pStyle w:val="IPPNormal"/>
        <w:tabs>
          <w:tab w:val="left" w:pos="2268"/>
        </w:tabs>
        <w:ind w:left="2268" w:hanging="2268"/>
      </w:pPr>
      <w:r>
        <w:rPr>
          <w:rStyle w:val="PleaseReviewParagraphId"/>
          <w:b w:val="off"/>
          <w:i w:val="off"/>
        </w:rPr>
        <w:t>[57]</w:t>
      </w:r>
      <w:r>
        <w:rPr>
          <w:i/>
          <w:iCs/>
        </w:rPr>
        <w:tab/>
        <w:t>Spiniger meineckellus</w:t>
      </w:r>
      <w:r>
        <w:t xml:space="preserve"> (A.J. Olson) Stalpers, 1974 (anamorph or asexual stage)</w:t>
      </w:r>
    </w:p>
    <w:p w14:paraId="46EFFD04" w14:textId="3C734BA5">
      <w:pPr>
        <w:pStyle w:val="IPPParagraphnumbering"/>
        <w:numPr>
          <w:ilvl w:val="0"/>
          <w:numId w:val="0"/>
        </w:numPr>
        <w:tabs>
          <w:tab w:val="left" w:pos="2268"/>
        </w:tabs>
        <w:ind w:left="2268"/>
        <w:rPr>
          <w:i/>
          <w:iCs/>
          <w:lang w:val="en-GB"/>
        </w:rPr>
      </w:pPr>
      <w:r>
        <w:rPr>
          <w:rStyle w:val="PleaseReviewParagraphId"/>
          <w:b w:val="off"/>
          <w:i w:val="off"/>
        </w:rPr>
        <w:t>[58]</w:t>
      </w:r>
      <w:r>
        <w:rPr>
          <w:b/>
          <w:lang w:val="en-GB"/>
        </w:rPr>
        <w:t>Taxonomic position:</w:t>
        <w:tab/>
      </w:r>
      <w:r>
        <w:rPr>
          <w:lang w:val="en-GB"/>
        </w:rPr>
        <w:t xml:space="preserve">Fungi, Basidiomycota, Russulales, Bondarzewiaceae, </w:t>
      </w:r>
      <w:r>
        <w:rPr>
          <w:i/>
          <w:iCs/>
          <w:lang w:val="en-GB"/>
        </w:rPr>
        <w:t>Heterobasidion</w:t>
      </w:r>
    </w:p>
    <w:p w14:paraId="1043A66E" w14:textId="12F2F213">
      <w:pPr>
        <w:pStyle w:val="IPPParagraphnumbering"/>
        <w:numPr>
          <w:ilvl w:val="0"/>
          <w:numId w:val="0"/>
        </w:numPr>
        <w:tabs>
          <w:tab w:val="left" w:pos="2268"/>
        </w:tabs>
        <w:ind w:left="2268"/>
        <w:rPr>
          <w:lang w:val="en-GB"/>
        </w:rPr>
      </w:pPr>
      <w:r>
        <w:rPr>
          <w:rStyle w:val="PleaseReviewParagraphId"/>
          <w:b w:val="off"/>
          <w:i w:val="off"/>
        </w:rPr>
        <w:t>[59]</w:t>
      </w:r>
      <w:r>
        <w:rPr>
          <w:b/>
          <w:lang w:val="en-GB"/>
        </w:rPr>
        <w:t>Common names:</w:t>
        <w:tab/>
      </w:r>
      <w:r>
        <w:rPr>
          <w:lang w:val="en-GB"/>
        </w:rPr>
        <w:t>annosum root rot, annosus root rot, butt rot of conifers, heart rot of conifers, Heterobasidion root rot, root rot of conifers</w:t>
      </w:r>
    </w:p>
    <w:p w14:paraId="5D879EE3" w14:textId="77777777">
      <w:pPr>
        <w:pStyle w:val="IPPParagraphnumbering"/>
        <w:numPr>
          <w:ilvl w:val="0"/>
          <w:numId w:val="0"/>
        </w:numPr>
        <w:tabs>
          <w:tab w:val="left" w:pos="2268"/>
        </w:tabs>
        <w:ind w:left="2268"/>
        <w:rPr>
          <w:bCs/>
          <w:lang w:val="en-GB"/>
        </w:rPr>
      </w:pPr>
      <w:r>
        <w:rPr>
          <w:rStyle w:val="PleaseReviewParagraphId"/>
          <w:b w:val="off"/>
          <w:i w:val="off"/>
        </w:rPr>
        <w:t>[60]</w:t>
      </w:r>
      <w:r>
        <w:rPr>
          <w:b/>
          <w:bCs/>
          <w:lang w:val="en-GB"/>
        </w:rPr>
        <w:t>MycoBank:</w:t>
      </w:r>
      <w:r>
        <w:rPr>
          <w:lang w:val="en-GB"/>
        </w:rPr>
        <w:tab/>
      </w:r>
      <w:r>
        <w:rPr>
          <w:bCs/>
          <w:lang w:val="en-GB"/>
        </w:rPr>
        <w:t>MB#17745</w:t>
      </w:r>
    </w:p>
    <w:p w14:paraId="76DBFD85" w14:textId="0D3D910E">
      <w:pPr>
        <w:pStyle w:val="IPPHeading1"/>
      </w:pPr>
      <w:r>
        <w:rPr>
          <w:rStyle w:val="PleaseReviewParagraphId"/>
          <w:b w:val="off"/>
          <w:i w:val="off"/>
        </w:rPr>
        <w:t>[61]</w:t>
      </w:r>
      <w:r>
        <w:t>3.</w:t>
        <w:tab/>
        <w:t>Detection</w:t>
      </w:r>
    </w:p>
    <w:p w14:paraId="23B73900" w14:textId="3319CB47">
      <w:pPr>
        <w:pStyle w:val="IPPParagraphnumbering"/>
        <w:numPr>
          <w:ilvl w:val="0"/>
          <w:numId w:val="0"/>
        </w:numPr>
        <w:rPr>
          <w:lang w:val="en-GB"/>
        </w:rPr>
      </w:pPr>
      <w:r>
        <w:rPr>
          <w:rStyle w:val="PleaseReviewParagraphId"/>
          <w:b w:val="off"/>
          <w:i w:val="off"/>
        </w:rPr>
        <w:t>[62]</w:t>
      </w:r>
      <w:r>
        <w:rPr>
          <w:lang w:val="en-GB"/>
        </w:rPr>
        <w:t xml:space="preserve">The detection of </w:t>
      </w:r>
      <w:r>
        <w:rPr>
          <w:i/>
          <w:iCs/>
          <w:lang w:val="en-GB"/>
        </w:rPr>
        <w:t>H. annosum s.l.</w:t>
      </w:r>
      <w:r>
        <w:rPr>
          <w:lang w:val="en-GB"/>
        </w:rPr>
        <w:t xml:space="preserve"> species in the field is based on the examination of symptoms and the finding of fruiting bodies (Greig, 1998; Gonthier and Thor, 2013). </w:t>
      </w:r>
      <w:bookmarkStart w:name="_Hlk136715830" w:id="10"/>
      <w:r>
        <w:rPr>
          <w:lang w:val="en-GB"/>
        </w:rPr>
        <w:t>Detection should be complemented by the collection of samples in the field and their subsequent analysis with molecular methods</w:t>
      </w:r>
      <w:bookmarkEnd w:id="10"/>
      <w:r>
        <w:rPr>
          <w:lang w:val="en-GB"/>
        </w:rPr>
        <w:t>. Molecular methods provide the most reliable way to accurately identify different species, and the only way of distinguishing closely related species of the pathogen. Detection of these pathogens can be achieved by biological (isolation and culture) and molecular methods.</w:t>
      </w:r>
    </w:p>
    <w:p w14:paraId="545C6D8F" w14:textId="629760D6">
      <w:pPr>
        <w:pStyle w:val="IPPParagraphnumbering"/>
        <w:numPr>
          <w:ilvl w:val="0"/>
          <w:numId w:val="0"/>
        </w:numPr>
        <w:rPr>
          <w:lang w:val="en-GB"/>
        </w:rPr>
      </w:pPr>
      <w:r>
        <w:rPr>
          <w:rStyle w:val="PleaseReviewParagraphId"/>
          <w:b w:val="off"/>
          <w:i w:val="off"/>
        </w:rPr>
        <w:t>[63]</w:t>
      </w:r>
      <w:r>
        <w:rPr>
          <w:lang w:val="en-GB"/>
        </w:rPr>
        <w:t xml:space="preserve">This diagnostic protocol describes well-established methods for the detection and identification of different species within the complex </w:t>
      </w:r>
      <w:r>
        <w:rPr>
          <w:i/>
          <w:iCs/>
          <w:lang w:val="en-GB"/>
        </w:rPr>
        <w:t>H. annosum s.l</w:t>
      </w:r>
      <w:r>
        <w:rPr>
          <w:lang w:val="en-GB"/>
        </w:rPr>
        <w:t xml:space="preserve">. It is not a comprehensive review of all methods available for the diagnosis of </w:t>
      </w:r>
      <w:r>
        <w:rPr>
          <w:i/>
          <w:iCs/>
          <w:lang w:val="en-GB"/>
        </w:rPr>
        <w:t>H. annosum s.l</w:t>
      </w:r>
      <w:r>
        <w:rPr>
          <w:lang w:val="en-GB"/>
        </w:rPr>
        <w:t xml:space="preserve">. </w:t>
      </w:r>
    </w:p>
    <w:p w14:paraId="104E4B2F" w14:textId="77777777">
      <w:pPr>
        <w:pStyle w:val="IPPParagraphnumbering"/>
        <w:numPr>
          <w:ilvl w:val="0"/>
          <w:numId w:val="0"/>
        </w:numPr>
        <w:rPr>
          <w:lang w:val="en-GB"/>
        </w:rPr>
      </w:pPr>
      <w:r>
        <w:rPr>
          <w:rStyle w:val="PleaseReviewParagraphId"/>
          <w:b w:val="off"/>
          <w:i w:val="off"/>
        </w:rPr>
        <w:t>[64]</w:t>
      </w:r>
      <w:r>
        <w:rPr>
          <w:lang w:val="en-GB"/>
        </w:rPr>
        <w:t>In this diagnostic protocol, methods (including reference to brand names) are described as published, as these define the original level of sensitivity, specificity and reproducibility achieved. Laboratory procedures presented in the protocols may be adjusted to the standards of individual laboratories, provided that they are adequately validated.</w:t>
      </w:r>
    </w:p>
    <w:p w14:paraId="5CB18459" w14:textId="3B83DB80">
      <w:pPr>
        <w:pStyle w:val="IPPHeading2"/>
      </w:pPr>
      <w:r>
        <w:rPr>
          <w:rStyle w:val="PleaseReviewParagraphId"/>
          <w:b w:val="off"/>
          <w:i w:val="off"/>
        </w:rPr>
        <w:t>[65]</w:t>
      </w:r>
      <w:bookmarkStart w:name="_Hlk117201633" w:id="11"/>
      <w:r>
        <w:t>3.1</w:t>
        <w:tab/>
        <w:t>Symptoms</w:t>
      </w:r>
    </w:p>
    <w:bookmarkEnd w:id="11"/>
    <w:p w14:paraId="62045627" w14:textId="09FCB6D6">
      <w:pPr>
        <w:pStyle w:val="IPPParagraphnumbering"/>
        <w:numPr>
          <w:ilvl w:val="0"/>
          <w:numId w:val="0"/>
        </w:numPr>
        <w:rPr>
          <w:lang w:val="en-GB"/>
        </w:rPr>
      </w:pPr>
      <w:r>
        <w:rPr>
          <w:rStyle w:val="PleaseReviewParagraphId"/>
          <w:b w:val="off"/>
          <w:i w:val="off"/>
        </w:rPr>
        <w:t>[66]</w:t>
      </w:r>
      <w:r>
        <w:rPr>
          <w:lang w:val="en-GB"/>
        </w:rPr>
        <w:t xml:space="preserve">Two different kinds of symptoms may be observed, depending on tree species and age: root rot and heart rot. Stumps and dead trees should also be examined for the presence of fruiting bodies. Symptoms and fruiting bodies are described below and are illustrated in Figure 1 to Figure 6. </w:t>
      </w:r>
    </w:p>
    <w:p w14:paraId="6B6A289D" w14:textId="7935CED8">
      <w:pPr>
        <w:pStyle w:val="IPPHeading2"/>
      </w:pPr>
      <w:r>
        <w:rPr>
          <w:rStyle w:val="PleaseReviewParagraphId"/>
          <w:b w:val="off"/>
          <w:i w:val="off"/>
        </w:rPr>
        <w:t>[67]</w:t>
      </w:r>
      <w:r>
        <w:lastRenderedPageBreak/>
        <w:t>3.1.1</w:t>
        <w:tab/>
        <w:t>Root rot</w:t>
      </w:r>
    </w:p>
    <w:p w14:paraId="73A0274B" w14:textId="47434A58">
      <w:pPr>
        <w:pStyle w:val="IPPParagraphnumbering"/>
        <w:numPr>
          <w:ilvl w:val="0"/>
          <w:numId w:val="0"/>
        </w:numPr>
        <w:rPr>
          <w:lang w:val="en-GB"/>
        </w:rPr>
      </w:pPr>
      <w:r>
        <w:rPr>
          <w:rStyle w:val="PleaseReviewParagraphId"/>
          <w:b w:val="off"/>
          <w:i w:val="off"/>
        </w:rPr>
        <w:t>[68]</w:t>
      </w:r>
      <w:r>
        <w:rPr>
          <w:lang w:val="en-GB"/>
        </w:rPr>
        <w:t>Tree species characterized by a resinous heartwood (e.g. </w:t>
      </w:r>
      <w:r>
        <w:rPr>
          <w:i/>
          <w:iCs/>
          <w:lang w:val="en-GB"/>
        </w:rPr>
        <w:t>Pinus</w:t>
      </w:r>
      <w:r>
        <w:rPr>
          <w:lang w:val="en-GB"/>
        </w:rPr>
        <w:t xml:space="preserve"> spp., </w:t>
      </w:r>
      <w:r>
        <w:rPr>
          <w:i/>
          <w:iCs/>
          <w:lang w:val="en-GB"/>
        </w:rPr>
        <w:t>Juniperus</w:t>
      </w:r>
      <w:r>
        <w:rPr>
          <w:lang w:val="en-GB"/>
        </w:rPr>
        <w:t xml:space="preserve"> spp.) are susceptible to a white root rot and may be killed (Figure 1). In young trees, mortality occurs within a short period of time (i.e. one season); in older trees, mortality proceeds more slowly. Disease symptoms may include the yellowing or browning of foliage, the decline of annual shoot growth, the shedding of old needles (also called the </w:t>
      </w:r>
      <w:bookmarkStart w:name="_Hlk136725373" w:id="12"/>
      <w:r>
        <w:rPr>
          <w:lang w:val="en-GB"/>
        </w:rPr>
        <w:t xml:space="preserve">“lion-tailing </w:t>
      </w:r>
      <w:bookmarkEnd w:id="12"/>
      <w:r>
        <w:rPr>
          <w:lang w:val="en-GB"/>
        </w:rPr>
        <w:t>phenomenon”; Figure 2) and crown transparency. Up to two-thirds of a root system may be killed by the pathogen before symptoms appear in the crown (Greig, 1998).</w:t>
      </w:r>
    </w:p>
    <w:p w14:paraId="17EDD22D" w14:textId="646ACC67">
      <w:pPr>
        <w:pStyle w:val="IPPParagraphnumbering"/>
        <w:numPr>
          <w:ilvl w:val="0"/>
          <w:numId w:val="0"/>
        </w:numPr>
        <w:rPr>
          <w:lang w:val="en-GB"/>
        </w:rPr>
      </w:pPr>
      <w:r>
        <w:rPr>
          <w:rStyle w:val="PleaseReviewParagraphId"/>
          <w:b w:val="off"/>
          <w:i w:val="off"/>
        </w:rPr>
        <w:t>[69]</w:t>
      </w:r>
      <w:r>
        <w:rPr>
          <w:lang w:val="en-GB"/>
        </w:rPr>
        <w:t xml:space="preserve">Heterobasidion symptoms may not be easily distinguished from those of other root-rot agents such as </w:t>
      </w:r>
      <w:r>
        <w:rPr>
          <w:i/>
          <w:iCs/>
          <w:lang w:val="en-GB"/>
        </w:rPr>
        <w:t>Armillaria</w:t>
      </w:r>
      <w:r>
        <w:rPr>
          <w:lang w:val="en-GB"/>
        </w:rPr>
        <w:t xml:space="preserve"> spp. Pine-infecting </w:t>
      </w:r>
      <w:r>
        <w:rPr>
          <w:i/>
          <w:iCs/>
          <w:lang w:val="en-GB"/>
        </w:rPr>
        <w:t>H. annosum s.l</w:t>
      </w:r>
      <w:r>
        <w:rPr>
          <w:lang w:val="en-GB"/>
        </w:rPr>
        <w:t>. produces sheets of a white, paper-thin mycelium beneath the bark of infected roots or at the tree collar (Greig, 1998). Although this cannot be regarded as a reliable diagnostic feature of the disease, it is generally sufficient to discriminate between Heterobasidion root rots and Armillaria root rots, whose signs consist of a thicker mycelium or the presence of rhizomorphs (Figure 3; Guillaumin and Legrand, 2013).</w:t>
      </w:r>
    </w:p>
    <w:p w14:paraId="385E647B" w14:textId="2A5CD99A">
      <w:pPr>
        <w:pStyle w:val="IPPHeading2"/>
      </w:pPr>
      <w:r>
        <w:rPr>
          <w:rStyle w:val="PleaseReviewParagraphId"/>
          <w:b w:val="off"/>
          <w:i w:val="off"/>
        </w:rPr>
        <w:t>[70]</w:t>
      </w:r>
      <w:r>
        <w:t>3.1.2</w:t>
        <w:tab/>
        <w:t>Heart rot</w:t>
      </w:r>
    </w:p>
    <w:p w14:paraId="15BA5FB8" w14:textId="70308360">
      <w:pPr>
        <w:pStyle w:val="IPPParagraphnumbering"/>
        <w:numPr>
          <w:ilvl w:val="0"/>
          <w:numId w:val="0"/>
        </w:numPr>
        <w:rPr>
          <w:lang w:val="en-GB"/>
        </w:rPr>
      </w:pPr>
      <w:r>
        <w:rPr>
          <w:rStyle w:val="PleaseReviewParagraphId"/>
          <w:b w:val="off"/>
          <w:i w:val="off"/>
        </w:rPr>
        <w:t>[71]</w:t>
      </w:r>
      <w:r>
        <w:rPr>
          <w:lang w:val="en-GB"/>
        </w:rPr>
        <w:t xml:space="preserve">Species characterized by a </w:t>
      </w:r>
      <w:bookmarkStart w:name="_Hlk136725797" w:id="13"/>
      <w:r>
        <w:rPr>
          <w:lang w:val="en-GB"/>
        </w:rPr>
        <w:t xml:space="preserve">non-resinous </w:t>
      </w:r>
      <w:bookmarkEnd w:id="13"/>
      <w:r>
        <w:rPr>
          <w:lang w:val="en-GB"/>
        </w:rPr>
        <w:t>heartwood (e.g. </w:t>
      </w:r>
      <w:r>
        <w:rPr>
          <w:i/>
          <w:iCs/>
          <w:lang w:val="en-GB"/>
        </w:rPr>
        <w:t>Picea</w:t>
      </w:r>
      <w:r>
        <w:rPr>
          <w:lang w:val="en-GB"/>
        </w:rPr>
        <w:t xml:space="preserve"> spp., </w:t>
      </w:r>
      <w:r>
        <w:rPr>
          <w:i/>
          <w:iCs/>
          <w:lang w:val="en-GB"/>
        </w:rPr>
        <w:t>Abies</w:t>
      </w:r>
      <w:r>
        <w:rPr>
          <w:lang w:val="en-GB"/>
        </w:rPr>
        <w:t xml:space="preserve"> spp.) are susceptible to an extensive heart rot in the roots, the butt (bole) and the stem (Figure 4). Often the decay is confined to the butt. However, in </w:t>
      </w:r>
      <w:r>
        <w:rPr>
          <w:i/>
          <w:iCs/>
          <w:lang w:val="en-GB"/>
        </w:rPr>
        <w:t>Picea abies</w:t>
      </w:r>
      <w:r>
        <w:rPr>
          <w:lang w:val="en-GB"/>
        </w:rPr>
        <w:t>, decay columns may extend several metres into the stem. When heart rot develops, in some cases resulting in cavities (Figure 4), external symptoms are rarely visible and mortality does not occur. However, symptoms may include resin flow, bulging of the lower stem and crown deterioration. Mortality has been observed in saplings and in very young trees. Foliage yellowing can be observed in cases of advanced decay (Greig, 1998).</w:t>
      </w:r>
    </w:p>
    <w:p w14:paraId="20BFDF09" w14:textId="102CF2AA">
      <w:pPr>
        <w:pStyle w:val="IPPParagraphnumbering"/>
        <w:numPr>
          <w:ilvl w:val="0"/>
          <w:numId w:val="0"/>
        </w:numPr>
        <w:rPr>
          <w:lang w:val="en-GB"/>
        </w:rPr>
      </w:pPr>
      <w:r>
        <w:rPr>
          <w:rStyle w:val="PleaseReviewParagraphId"/>
          <w:b w:val="off"/>
          <w:i w:val="off"/>
        </w:rPr>
        <w:t>[72]</w:t>
      </w:r>
      <w:r>
        <w:rPr>
          <w:lang w:val="en-GB"/>
        </w:rPr>
        <w:t xml:space="preserve">In </w:t>
      </w:r>
      <w:r>
        <w:rPr>
          <w:i/>
          <w:iCs/>
          <w:lang w:val="en-GB"/>
        </w:rPr>
        <w:t>Picea abies</w:t>
      </w:r>
      <w:r>
        <w:rPr>
          <w:lang w:val="en-GB"/>
        </w:rPr>
        <w:t xml:space="preserve">, </w:t>
      </w:r>
      <w:r>
        <w:rPr>
          <w:i/>
          <w:iCs/>
          <w:lang w:val="en-GB"/>
        </w:rPr>
        <w:t>Armillaria borealis</w:t>
      </w:r>
      <w:r>
        <w:rPr>
          <w:lang w:val="en-GB"/>
        </w:rPr>
        <w:t xml:space="preserve"> Marxm. &amp; Korhonen, 1982 causes a dark brown rot leading to hollowing of the tree earlier than if infected by </w:t>
      </w:r>
      <w:r>
        <w:rPr>
          <w:i/>
          <w:iCs/>
          <w:lang w:val="en-GB"/>
        </w:rPr>
        <w:t>H. parviporum</w:t>
      </w:r>
      <w:r>
        <w:rPr>
          <w:lang w:val="en-GB"/>
        </w:rPr>
        <w:t xml:space="preserve">. However, in contrast to </w:t>
      </w:r>
      <w:r>
        <w:rPr>
          <w:i/>
          <w:iCs/>
          <w:lang w:val="en-GB"/>
        </w:rPr>
        <w:t>Armillaria</w:t>
      </w:r>
      <w:r>
        <w:rPr>
          <w:lang w:val="en-GB"/>
        </w:rPr>
        <w:t xml:space="preserve"> spp., the Heterobasidion decayed wood has a characteristic appearance of “pocket rot” and stays rather light in colour for a long time, and fresh heart rot is often surrounded by a violet-coloured ring.</w:t>
      </w:r>
    </w:p>
    <w:p w14:paraId="2287D067" w14:textId="5B9BF35A">
      <w:pPr>
        <w:pStyle w:val="IPPHeading2"/>
      </w:pPr>
      <w:r>
        <w:rPr>
          <w:rStyle w:val="PleaseReviewParagraphId"/>
          <w:b w:val="off"/>
          <w:i w:val="off"/>
        </w:rPr>
        <w:t>[73]</w:t>
      </w:r>
      <w:r>
        <w:t>3.1.3</w:t>
        <w:tab/>
        <w:t>Fruiting bodies</w:t>
      </w:r>
    </w:p>
    <w:p w14:paraId="4D57790D" w14:textId="24AA3127">
      <w:pPr>
        <w:pStyle w:val="IPPParagraphnumbering"/>
        <w:numPr>
          <w:ilvl w:val="0"/>
          <w:numId w:val="0"/>
        </w:numPr>
        <w:rPr>
          <w:lang w:val="en-GB"/>
        </w:rPr>
      </w:pPr>
      <w:r>
        <w:rPr>
          <w:rStyle w:val="PleaseReviewParagraphId"/>
          <w:b w:val="off"/>
          <w:i w:val="off"/>
        </w:rPr>
        <w:t>[74]</w:t>
      </w:r>
      <w:r>
        <w:rPr>
          <w:lang w:val="en-GB"/>
        </w:rPr>
        <w:t xml:space="preserve">Fruiting bodies of </w:t>
      </w:r>
      <w:r>
        <w:rPr>
          <w:i/>
          <w:iCs/>
          <w:lang w:val="en-GB"/>
        </w:rPr>
        <w:t>H. annosum s.l.</w:t>
      </w:r>
      <w:r>
        <w:rPr>
          <w:lang w:val="en-GB"/>
        </w:rPr>
        <w:t xml:space="preserve"> most commonly develop at ground level, at the base of stumps or dead trees, or inside the internal cavities of old decayed stumps; they may envelop litter debris (Figure 5). Fruiting bodies may be produced more intensively in the rainy and humid periods of the year. Unfortunately, identifications in the field may be erroneous because morphological traits partially overlap between species and small differences occur. In general, fruiting bodies are perennial, pileate, resupinate or effused-reflexed (partly pileate, partly resupinate), rubbery in texture, and 1–40 cm across. The top surface is reddish or dark brown in colour (Figure 6) and becomes darker with age. The margin is distinct and white. The lower surface is white or cream coloured and is characterized by numerous small pores. Incipient fruiting bodies may form under the bark. These are smaller in size (0.5–1 cm in diameter) and are referred to as “popcorn” because of their appearance (Otrosina and Garbelotto, 2010; Figure 6).</w:t>
      </w:r>
    </w:p>
    <w:p w14:paraId="3BA2C601" w14:textId="56E91846">
      <w:pPr>
        <w:pStyle w:val="IPPHeading2"/>
      </w:pPr>
      <w:r>
        <w:rPr>
          <w:rStyle w:val="PleaseReviewParagraphId"/>
          <w:b w:val="off"/>
          <w:i w:val="off"/>
        </w:rPr>
        <w:t>[75]</w:t>
      </w:r>
      <w:r>
        <w:t>3.2</w:t>
        <w:tab/>
        <w:t>Sampling and sample preparation</w:t>
      </w:r>
    </w:p>
    <w:p w14:paraId="0454ECBD" w14:textId="241F6516">
      <w:pPr>
        <w:pStyle w:val="IPPParagraphnumbering"/>
        <w:numPr>
          <w:ilvl w:val="0"/>
          <w:numId w:val="0"/>
        </w:numPr>
        <w:rPr>
          <w:lang w:val="en-GB"/>
        </w:rPr>
      </w:pPr>
      <w:r>
        <w:rPr>
          <w:rStyle w:val="PleaseReviewParagraphId"/>
          <w:b w:val="off"/>
          <w:i w:val="off"/>
        </w:rPr>
        <w:t>[76]</w:t>
      </w:r>
      <w:r>
        <w:rPr>
          <w:rStyle w:val="IPPParagraphnumberingChar"/>
          <w:lang w:val="en-GB"/>
        </w:rPr>
        <w:t>Different techniques for sampling and sample preparation as described below are recommended depending on the material being tested. With the exception of passive spore traps, samples should be kept cool and sent</w:t>
      </w:r>
      <w:r>
        <w:rPr>
          <w:lang w:val="en-GB"/>
        </w:rPr>
        <w:t xml:space="preserve"> to the laboratory in closed plastic or paper bags or containers for isolation the following day. However, in sealed </w:t>
      </w:r>
      <w:bookmarkStart w:name="_Hlk136726564" w:id="14"/>
      <w:r>
        <w:rPr>
          <w:lang w:val="en-GB"/>
        </w:rPr>
        <w:t>self-closing</w:t>
      </w:r>
      <w:bookmarkEnd w:id="14"/>
      <w:r>
        <w:rPr>
          <w:lang w:val="en-GB"/>
        </w:rPr>
        <w:t xml:space="preserve"> plastic bags, excessive moisture can hasten tissue degradation and saprophytic activity. Storage at low temperatures (2–8 °C) is highly recommended to prolong sample life.</w:t>
      </w:r>
    </w:p>
    <w:p w14:paraId="61E1A690" w14:textId="6375C9DE">
      <w:pPr>
        <w:pStyle w:val="IPPHeading2"/>
      </w:pPr>
      <w:r>
        <w:rPr>
          <w:rStyle w:val="PleaseReviewParagraphId"/>
          <w:b w:val="off"/>
          <w:i w:val="off"/>
        </w:rPr>
        <w:t>[77]</w:t>
      </w:r>
      <w:r>
        <w:t>3.2.1</w:t>
        <w:tab/>
        <w:t>Fruiting bodies</w:t>
      </w:r>
    </w:p>
    <w:p w14:paraId="7ED1219D" w14:textId="77777777">
      <w:pPr>
        <w:pStyle w:val="IPPParagraphnumbering"/>
        <w:numPr>
          <w:ilvl w:val="0"/>
          <w:numId w:val="0"/>
        </w:numPr>
        <w:rPr>
          <w:lang w:val="en-GB"/>
        </w:rPr>
      </w:pPr>
      <w:r>
        <w:rPr>
          <w:rStyle w:val="PleaseReviewParagraphId"/>
          <w:b w:val="off"/>
          <w:i w:val="off"/>
        </w:rPr>
        <w:t>[78]</w:t>
      </w:r>
      <w:r>
        <w:rPr>
          <w:lang w:val="en-GB"/>
        </w:rPr>
        <w:t xml:space="preserve">Fruiting bodies and incipient fruiting bodies (“popcorn”) of </w:t>
      </w:r>
      <w:r>
        <w:rPr>
          <w:i/>
          <w:iCs/>
          <w:lang w:val="en-GB"/>
        </w:rPr>
        <w:t>H. annosum s.l.</w:t>
      </w:r>
      <w:r>
        <w:rPr>
          <w:lang w:val="en-GB"/>
        </w:rPr>
        <w:t xml:space="preserve"> should be placed in a sealed container or in closed plastic or paper bags and stored at 2–8 °C until laboratory analyses.</w:t>
      </w:r>
    </w:p>
    <w:p w14:paraId="15983641" w14:textId="272AFE69">
      <w:pPr>
        <w:pStyle w:val="IPPParagraphnumbering"/>
        <w:numPr>
          <w:ilvl w:val="0"/>
          <w:numId w:val="0"/>
        </w:numPr>
        <w:rPr>
          <w:lang w:val="en-GB"/>
        </w:rPr>
      </w:pPr>
      <w:r>
        <w:rPr>
          <w:rStyle w:val="PleaseReviewParagraphId"/>
          <w:b w:val="off"/>
          <w:i w:val="off"/>
        </w:rPr>
        <w:t>[79]</w:t>
      </w:r>
      <w:r>
        <w:rPr>
          <w:lang w:val="en-GB"/>
        </w:rPr>
        <w:lastRenderedPageBreak/>
        <w:t xml:space="preserve">For the subsequent isolation of </w:t>
      </w:r>
      <w:r>
        <w:rPr>
          <w:i/>
          <w:iCs/>
          <w:lang w:val="en-GB"/>
        </w:rPr>
        <w:t xml:space="preserve">H. annosum s.l. </w:t>
      </w:r>
      <w:r>
        <w:rPr>
          <w:lang w:val="en-GB"/>
        </w:rPr>
        <w:t xml:space="preserve">from fruiting bodies, see section 3.3.1. </w:t>
      </w:r>
    </w:p>
    <w:p w14:paraId="2C20B011" w14:textId="45E0D4A3">
      <w:pPr>
        <w:pStyle w:val="IPPHeading2"/>
      </w:pPr>
      <w:r>
        <w:rPr>
          <w:rStyle w:val="PleaseReviewParagraphId"/>
          <w:b w:val="off"/>
          <w:i w:val="off"/>
        </w:rPr>
        <w:t>[80]</w:t>
      </w:r>
      <w:r>
        <w:t>3.2.2</w:t>
        <w:tab/>
        <w:t>Wood samples from symptomatic or suspected trees</w:t>
      </w:r>
    </w:p>
    <w:p w14:paraId="09D93976" w14:textId="1BD795C3">
      <w:pPr>
        <w:pStyle w:val="IPPParagraphnumbering"/>
        <w:numPr>
          <w:ilvl w:val="0"/>
          <w:numId w:val="0"/>
        </w:numPr>
        <w:rPr>
          <w:lang w:val="en-GB"/>
        </w:rPr>
      </w:pPr>
      <w:r>
        <w:rPr>
          <w:rStyle w:val="PleaseReviewParagraphId"/>
          <w:b w:val="off"/>
          <w:i w:val="off"/>
        </w:rPr>
        <w:t>[81]</w:t>
      </w:r>
      <w:r>
        <w:rPr>
          <w:lang w:val="en-GB"/>
        </w:rPr>
        <w:t xml:space="preserve">Wood samples (at least 10 × 10 × 5 mm) from living trees that are symptomatic or suspected of being infected should be collected with a hammer and a chisel from the outer sapwood of roots or the tree collar or from stumps or logs. The chisel must be disinfected with 95% ethanol (v⁄v) after every sampling. Wood samples should be placed in a sealed container or in closed plastic or paper bags and stored at 2–8 °C until laboratory analyses. Subsequently, they should be incubated at room temperature (18–24 °C) under moist conditions for 7–15 days. </w:t>
      </w:r>
    </w:p>
    <w:p w14:paraId="32334271" w14:textId="4F0029FE">
      <w:pPr>
        <w:pStyle w:val="IPPParagraphnumbering"/>
        <w:numPr>
          <w:ilvl w:val="0"/>
          <w:numId w:val="0"/>
        </w:numPr>
        <w:rPr>
          <w:lang w:val="en-GB"/>
        </w:rPr>
      </w:pPr>
      <w:r>
        <w:rPr>
          <w:rStyle w:val="PleaseReviewParagraphId"/>
          <w:b w:val="off"/>
          <w:i w:val="off"/>
        </w:rPr>
        <w:t>[82]</w:t>
      </w:r>
      <w:r>
        <w:rPr>
          <w:lang w:val="en-GB"/>
        </w:rPr>
        <w:t xml:space="preserve">Wood samples can be also collected from living trees by extracting wood cores by means of an increment borer. The increment borer must be disinfected with 95% ethanol (v⁄v) after every drilling. Wood cores may be incubated in sterile plastic bottles in the dark at room temperature (18–24 °C) for up to one month. </w:t>
      </w:r>
    </w:p>
    <w:p w14:paraId="54EA6BA9" w14:textId="1DB38754">
      <w:pPr>
        <w:pStyle w:val="IPPParagraphnumbering"/>
        <w:numPr>
          <w:ilvl w:val="0"/>
          <w:numId w:val="0"/>
        </w:numPr>
        <w:rPr>
          <w:lang w:val="en-GB"/>
        </w:rPr>
      </w:pPr>
      <w:r>
        <w:rPr>
          <w:rStyle w:val="PleaseReviewParagraphId"/>
          <w:b w:val="off"/>
          <w:i w:val="off"/>
        </w:rPr>
        <w:t>[83]</w:t>
      </w:r>
      <w:r>
        <w:rPr>
          <w:lang w:val="en-GB"/>
        </w:rPr>
        <w:t>Sampling of symptomatic or suspected trees may be performed at any time of the year.</w:t>
      </w:r>
    </w:p>
    <w:p w14:paraId="69FC03F2" w14:textId="4C5744EE">
      <w:pPr>
        <w:pStyle w:val="IPPParagraphnumbering"/>
        <w:numPr>
          <w:ilvl w:val="0"/>
          <w:numId w:val="0"/>
        </w:numPr>
        <w:rPr>
          <w:lang w:val="en-GB"/>
        </w:rPr>
      </w:pPr>
      <w:r>
        <w:rPr>
          <w:rStyle w:val="PleaseReviewParagraphId"/>
          <w:b w:val="off"/>
          <w:i w:val="off"/>
        </w:rPr>
        <w:t>[84]</w:t>
      </w:r>
      <w:r>
        <w:rPr>
          <w:lang w:val="en-GB"/>
        </w:rPr>
        <w:t xml:space="preserve">For the subsequent isolation of </w:t>
      </w:r>
      <w:r>
        <w:rPr>
          <w:i/>
          <w:iCs/>
          <w:lang w:val="en-GB"/>
        </w:rPr>
        <w:t xml:space="preserve">H. annosum s.l. </w:t>
      </w:r>
      <w:r>
        <w:rPr>
          <w:lang w:val="en-GB"/>
        </w:rPr>
        <w:t>from wood samples, see section 3.3.2.</w:t>
      </w:r>
    </w:p>
    <w:p w14:paraId="7D0F569C" w14:textId="4E25546A">
      <w:pPr>
        <w:pStyle w:val="IPPHeading2"/>
      </w:pPr>
      <w:r>
        <w:rPr>
          <w:rStyle w:val="PleaseReviewParagraphId"/>
          <w:b w:val="off"/>
          <w:i w:val="off"/>
        </w:rPr>
        <w:t>[85]</w:t>
      </w:r>
      <w:r>
        <w:t>3.2.3</w:t>
        <w:tab/>
        <w:t>Wood sawdust from drillings of symptomatic (or suspected) and asymptomatic trees</w:t>
      </w:r>
    </w:p>
    <w:p w14:paraId="5C2480FA" w14:textId="6CB249C8">
      <w:pPr>
        <w:pStyle w:val="IPPParagraphnumbering"/>
        <w:numPr>
          <w:ilvl w:val="0"/>
          <w:numId w:val="0"/>
        </w:numPr>
        <w:rPr>
          <w:lang w:val="en-GB"/>
        </w:rPr>
      </w:pPr>
      <w:r>
        <w:rPr>
          <w:rStyle w:val="PleaseReviewParagraphId"/>
          <w:b w:val="off"/>
          <w:i w:val="off"/>
        </w:rPr>
        <w:t>[86]</w:t>
      </w:r>
      <w:r>
        <w:rPr>
          <w:lang w:val="en-GB"/>
        </w:rPr>
        <w:t xml:space="preserve">Wood sawdust should be taken from drillings conducted at the base of symptomatic, suspected and asymptomatic trees, with </w:t>
      </w:r>
      <w:r>
        <w:rPr>
          <w:szCs w:val="22"/>
          <w:lang w:val="en-GB"/>
        </w:rPr>
        <w:t xml:space="preserve">a </w:t>
      </w:r>
      <w:r>
        <w:rPr>
          <w:rFonts w:eastAsia="MS Mincho"/>
          <w:szCs w:val="22"/>
          <w:lang w:val="en-GB"/>
        </w:rPr>
        <w:t xml:space="preserve">drill long enough to reach the heartwood in order to obtain wood decayed by </w:t>
      </w:r>
      <w:r>
        <w:rPr>
          <w:rFonts w:eastAsia="MS Mincho"/>
          <w:i/>
          <w:iCs/>
          <w:szCs w:val="22"/>
          <w:lang w:val="en-GB"/>
        </w:rPr>
        <w:t xml:space="preserve">Heterobasidion </w:t>
      </w:r>
      <w:r>
        <w:rPr>
          <w:rFonts w:eastAsia="MS Mincho"/>
          <w:szCs w:val="22"/>
          <w:lang w:val="en-GB"/>
        </w:rPr>
        <w:t>sp.</w:t>
      </w:r>
      <w:r>
        <w:rPr>
          <w:lang w:val="en-GB"/>
        </w:rPr>
        <w:t xml:space="preserve"> (e.g. with a 4-mm-diameter, 43-cm-long drill bit). Four holes at 90° from one another should be drilled at the base of the trunk (approximately 5 cm above ground) (Guglielmo </w:t>
      </w:r>
      <w:r>
        <w:rPr>
          <w:i/>
          <w:iCs/>
          <w:lang w:val="en-GB"/>
        </w:rPr>
        <w:t>et al</w:t>
      </w:r>
      <w:r>
        <w:rPr>
          <w:lang w:val="en-GB"/>
        </w:rPr>
        <w:t xml:space="preserve">., 2010). Two samples should be obtained by combining opposite drillings in 9-cm-diameter plastic Petri dishes (Figure 7) or in tubes and used for the molecular detection of the pathogen; alternatively, all the wood sawdust generated (from the four drillings) can be pooled together in one sample (Guglielmo </w:t>
      </w:r>
      <w:r>
        <w:rPr>
          <w:i/>
          <w:iCs/>
          <w:lang w:val="en-GB"/>
        </w:rPr>
        <w:t>et al</w:t>
      </w:r>
      <w:r>
        <w:rPr>
          <w:lang w:val="en-GB"/>
        </w:rPr>
        <w:t xml:space="preserve">., 2010). After each sampling, the drill bit must be disinfected with 0.5% </w:t>
      </w:r>
      <w:bookmarkStart w:name="_Hlk129637461" w:id="15"/>
      <w:r>
        <w:rPr>
          <w:lang w:val="en-GB"/>
        </w:rPr>
        <w:t>(w⁄v)</w:t>
      </w:r>
      <w:bookmarkEnd w:id="15"/>
      <w:r>
        <w:rPr>
          <w:lang w:val="en-GB"/>
        </w:rPr>
        <w:t xml:space="preserve"> sodium hypochlorite (NaClO) solution, rinsed with sterile distilled water, and wiped with 70% or 95% ethanol (v⁄v). </w:t>
      </w:r>
    </w:p>
    <w:p w14:paraId="5631A609" w14:textId="4687777C">
      <w:pPr>
        <w:pStyle w:val="IPPParagraphnumbering"/>
        <w:numPr>
          <w:ilvl w:val="0"/>
          <w:numId w:val="0"/>
        </w:numPr>
        <w:rPr>
          <w:lang w:val="en-GB"/>
        </w:rPr>
      </w:pPr>
      <w:r>
        <w:rPr>
          <w:rStyle w:val="PleaseReviewParagraphId"/>
          <w:b w:val="off"/>
          <w:i w:val="off"/>
        </w:rPr>
        <w:t>[87]</w:t>
      </w:r>
      <w:r>
        <w:rPr>
          <w:lang w:val="en-GB"/>
        </w:rPr>
        <w:t xml:space="preserve">The diagnostic efficiency is higher in smaller trees (diameter at breast height 1.30 m above ground (DBH) &lt;80 cm) than in larger ones (DBH &gt;80 cm) (Guglielmo </w:t>
      </w:r>
      <w:r>
        <w:rPr>
          <w:i/>
          <w:iCs/>
          <w:lang w:val="en-GB"/>
        </w:rPr>
        <w:t>et al</w:t>
      </w:r>
      <w:r>
        <w:rPr>
          <w:lang w:val="en-GB"/>
        </w:rPr>
        <w:t xml:space="preserve">., 2010). In the latter case, or in the presence of monumental specimens, it may be useful to increase the number of drillings and to analyse the sawdust from each drilling separately to maximize the diagnostic efficiency. However, the choice of the most appropriate sampling method may vary depending on considerations such as tree diameter, acceptable injury levels, cost and the diagnostic sensitivity that is needed (Guglielmo </w:t>
      </w:r>
      <w:r>
        <w:rPr>
          <w:i/>
          <w:iCs/>
          <w:lang w:val="en-GB"/>
        </w:rPr>
        <w:t>et al</w:t>
      </w:r>
      <w:r>
        <w:rPr>
          <w:lang w:val="en-GB"/>
        </w:rPr>
        <w:t>., 2010).</w:t>
      </w:r>
    </w:p>
    <w:p w14:paraId="14EBA324" w14:textId="4D9E8AF2">
      <w:pPr>
        <w:pStyle w:val="IPPParagraphnumbering"/>
        <w:numPr>
          <w:ilvl w:val="0"/>
          <w:numId w:val="0"/>
        </w:numPr>
        <w:rPr>
          <w:lang w:val="en-GB"/>
        </w:rPr>
      </w:pPr>
      <w:r>
        <w:rPr>
          <w:rStyle w:val="PleaseReviewParagraphId"/>
          <w:b w:val="off"/>
          <w:i w:val="off"/>
        </w:rPr>
        <w:t>[88]</w:t>
      </w:r>
      <w:r>
        <w:rPr>
          <w:lang w:val="en-GB"/>
        </w:rPr>
        <w:t>Samples should be stored at –20 °C until laboratory analyses.</w:t>
      </w:r>
    </w:p>
    <w:p w14:paraId="37EA0612" w14:textId="4E52E20C">
      <w:pPr>
        <w:pStyle w:val="IPPParagraphnumbering"/>
        <w:numPr>
          <w:ilvl w:val="0"/>
          <w:numId w:val="0"/>
        </w:numPr>
        <w:rPr>
          <w:lang w:val="en-GB"/>
        </w:rPr>
      </w:pPr>
      <w:r>
        <w:rPr>
          <w:rStyle w:val="PleaseReviewParagraphId"/>
          <w:b w:val="off"/>
          <w:i w:val="off"/>
        </w:rPr>
        <w:t>[89]</w:t>
      </w:r>
      <w:r>
        <w:rPr>
          <w:lang w:val="en-GB"/>
        </w:rPr>
        <w:t>Sampling of symptomatic, suspected and asymptomatic trees may be performed at any time of the year. Drilling may also be used to sample timber or wood in service.</w:t>
      </w:r>
    </w:p>
    <w:p w14:paraId="507AA817" w14:textId="5CB6C5E4">
      <w:pPr>
        <w:pStyle w:val="IPPHeading2"/>
      </w:pPr>
      <w:r>
        <w:rPr>
          <w:rStyle w:val="PleaseReviewParagraphId"/>
          <w:b w:val="off"/>
          <w:i w:val="off"/>
        </w:rPr>
        <w:t>[90]</w:t>
      </w:r>
      <w:r>
        <w:t>3.2.4</w:t>
        <w:tab/>
        <w:t>Passive spore traps</w:t>
      </w:r>
    </w:p>
    <w:p w14:paraId="00FA193D" w14:textId="359B66B4">
      <w:pPr>
        <w:pStyle w:val="IPPParagraphnumbering"/>
        <w:numPr>
          <w:ilvl w:val="0"/>
          <w:numId w:val="0"/>
        </w:numPr>
        <w:rPr>
          <w:lang w:val="en-GB"/>
        </w:rPr>
      </w:pPr>
      <w:r>
        <w:rPr>
          <w:rStyle w:val="PleaseReviewParagraphId"/>
          <w:b w:val="off"/>
          <w:i w:val="off"/>
        </w:rPr>
        <w:t>[91]</w:t>
      </w:r>
      <w:r>
        <w:rPr>
          <w:lang w:val="en-GB"/>
        </w:rPr>
        <w:t xml:space="preserve">Spores of </w:t>
      </w:r>
      <w:r>
        <w:rPr>
          <w:i/>
          <w:iCs/>
          <w:lang w:val="en-GB"/>
        </w:rPr>
        <w:t>H. </w:t>
      </w:r>
      <w:r>
        <w:rPr>
          <w:i/>
          <w:lang w:val="en-GB"/>
        </w:rPr>
        <w:t>annosum</w:t>
      </w:r>
      <w:r>
        <w:rPr>
          <w:i/>
          <w:iCs/>
          <w:lang w:val="en-GB"/>
        </w:rPr>
        <w:t> s.l.</w:t>
      </w:r>
      <w:r>
        <w:rPr>
          <w:lang w:val="en-GB"/>
        </w:rPr>
        <w:t xml:space="preserve"> can be trapped using the modified version of the wood-disc exposure method (Rishbeth, 1959; James and Cobb, 1984; Gonthier </w:t>
      </w:r>
      <w:r>
        <w:rPr>
          <w:i/>
          <w:iCs/>
          <w:lang w:val="en-GB"/>
        </w:rPr>
        <w:t>et al</w:t>
      </w:r>
      <w:r>
        <w:rPr>
          <w:lang w:val="en-GB"/>
        </w:rPr>
        <w:t xml:space="preserve">., 2007). Freshly cut wood discs, approximately 11–13 cm in diameter, 0.5–1.5 cm in thickness and without bark, cut the day before their exposure in the forest from living and healthy </w:t>
      </w:r>
      <w:r>
        <w:rPr>
          <w:i/>
          <w:lang w:val="en-GB"/>
        </w:rPr>
        <w:t>Picea abies</w:t>
      </w:r>
      <w:r>
        <w:rPr>
          <w:lang w:val="en-GB"/>
        </w:rPr>
        <w:t xml:space="preserve"> or </w:t>
      </w:r>
      <w:r>
        <w:rPr>
          <w:i/>
          <w:lang w:val="en-GB"/>
        </w:rPr>
        <w:t>Pinus</w:t>
      </w:r>
      <w:r>
        <w:rPr>
          <w:lang w:val="en-GB"/>
        </w:rPr>
        <w:t xml:space="preserve"> spp., should be sprayed with 65% ethanol (v/v) and exposed for 24 hours in the field. Discs should be placed singly in open, 15-cm diameter, plastic Petri dishes containing sterile pieces of filter paper dampened with 3.5 mL of sterile distilled water (Figure 7) to prevent drying during exposure. </w:t>
      </w:r>
      <w:bookmarkStart w:name="_Hlk136759606" w:id="16"/>
      <w:r>
        <w:rPr>
          <w:lang w:val="en-GB"/>
        </w:rPr>
        <w:t xml:space="preserve">Discs in closed Petri dishes should also be included as controls to check for possible contamination with either </w:t>
      </w:r>
      <w:r>
        <w:rPr>
          <w:i/>
          <w:iCs/>
          <w:lang w:val="en-GB"/>
        </w:rPr>
        <w:t>H. </w:t>
      </w:r>
      <w:r>
        <w:rPr>
          <w:i/>
          <w:lang w:val="en-GB"/>
        </w:rPr>
        <w:t>annosum</w:t>
      </w:r>
      <w:r>
        <w:rPr>
          <w:i/>
          <w:iCs/>
          <w:lang w:val="en-GB"/>
        </w:rPr>
        <w:t> s.l.</w:t>
      </w:r>
      <w:r>
        <w:rPr>
          <w:lang w:val="en-GB"/>
        </w:rPr>
        <w:t xml:space="preserve"> already present in the wood discs used as traps or airborne spores that landed on the wood during trap preparation</w:t>
      </w:r>
      <w:bookmarkEnd w:id="16"/>
      <w:r>
        <w:rPr>
          <w:lang w:val="en-GB"/>
        </w:rPr>
        <w:t xml:space="preserve">. After field exposure, the filter papers on which the wood discs are placed should be replaced by new filter papers dampened with sterile distilled water in the laboratory. The wood discs are then incubated at room </w:t>
        <w:lastRenderedPageBreak/>
        <w:t xml:space="preserve">temperature (18–24 °C) for 7–15 days. The discs should be regularly checked for possible </w:t>
      </w:r>
      <w:r>
        <w:rPr>
          <w:i/>
          <w:iCs/>
          <w:lang w:val="en-GB"/>
        </w:rPr>
        <w:t>H. </w:t>
      </w:r>
      <w:r>
        <w:rPr>
          <w:i/>
          <w:lang w:val="en-GB"/>
        </w:rPr>
        <w:t>annosum</w:t>
      </w:r>
      <w:r>
        <w:rPr>
          <w:i/>
          <w:iCs/>
          <w:lang w:val="en-GB"/>
        </w:rPr>
        <w:t xml:space="preserve"> s.l. </w:t>
      </w:r>
      <w:r>
        <w:rPr>
          <w:lang w:val="en-GB"/>
        </w:rPr>
        <w:t>colonies after a week in case such colonies subsequently become overgrown by other fungi (e.g. </w:t>
      </w:r>
      <w:r>
        <w:rPr>
          <w:i/>
          <w:lang w:val="en-GB"/>
        </w:rPr>
        <w:t>Ophiostoma</w:t>
      </w:r>
      <w:r>
        <w:rPr>
          <w:lang w:val="en-GB"/>
        </w:rPr>
        <w:t xml:space="preserve"> spp., </w:t>
      </w:r>
      <w:r>
        <w:rPr>
          <w:i/>
          <w:lang w:val="en-GB"/>
        </w:rPr>
        <w:t>Penicillium</w:t>
      </w:r>
      <w:r>
        <w:rPr>
          <w:lang w:val="en-GB"/>
        </w:rPr>
        <w:t xml:space="preserve"> spp.,</w:t>
      </w:r>
      <w:r>
        <w:rPr>
          <w:i/>
          <w:lang w:val="en-GB"/>
        </w:rPr>
        <w:t xml:space="preserve"> Trichoderma</w:t>
      </w:r>
      <w:r>
        <w:rPr>
          <w:lang w:val="en-GB"/>
        </w:rPr>
        <w:t xml:space="preserve"> spp.).</w:t>
      </w:r>
    </w:p>
    <w:p w14:paraId="178F12D6" w14:textId="02633660">
      <w:pPr>
        <w:pStyle w:val="IPPParagraphnumbering"/>
        <w:numPr>
          <w:ilvl w:val="0"/>
          <w:numId w:val="0"/>
        </w:numPr>
        <w:rPr>
          <w:lang w:val="en-GB"/>
        </w:rPr>
      </w:pPr>
      <w:r>
        <w:rPr>
          <w:rStyle w:val="PleaseReviewParagraphId"/>
          <w:b w:val="off"/>
          <w:i w:val="off"/>
        </w:rPr>
        <w:t>[92]</w:t>
      </w:r>
      <w:r>
        <w:rPr>
          <w:lang w:val="en-GB"/>
        </w:rPr>
        <w:t xml:space="preserve">For the subsequent isolation of </w:t>
      </w:r>
      <w:r>
        <w:rPr>
          <w:i/>
          <w:iCs/>
          <w:lang w:val="en-GB"/>
        </w:rPr>
        <w:t xml:space="preserve">H. annosum s.l. </w:t>
      </w:r>
      <w:r>
        <w:rPr>
          <w:lang w:val="en-GB"/>
        </w:rPr>
        <w:t xml:space="preserve">from passive spore traps, see section 3.3.2. </w:t>
      </w:r>
    </w:p>
    <w:p w14:paraId="3A72A7D6" w14:textId="64BA59C9">
      <w:pPr>
        <w:pStyle w:val="IPPHeading2"/>
      </w:pPr>
      <w:r>
        <w:rPr>
          <w:rStyle w:val="PleaseReviewParagraphId"/>
          <w:b w:val="off"/>
          <w:i w:val="off"/>
        </w:rPr>
        <w:t>[93]</w:t>
      </w:r>
      <w:r>
        <w:t>3.3</w:t>
        <w:tab/>
        <w:t>Isolation and culture</w:t>
      </w:r>
    </w:p>
    <w:p w14:paraId="13465770" w14:textId="45BCFDCF">
      <w:pPr>
        <w:pStyle w:val="IPPParagraphnumbering"/>
        <w:numPr>
          <w:ilvl w:val="0"/>
          <w:numId w:val="0"/>
        </w:numPr>
        <w:rPr>
          <w:lang w:val="en-GB"/>
        </w:rPr>
      </w:pPr>
      <w:r>
        <w:rPr>
          <w:rStyle w:val="PleaseReviewParagraphId"/>
          <w:b w:val="off"/>
          <w:i w:val="off"/>
        </w:rPr>
        <w:t>[94]</w:t>
      </w:r>
      <w:r>
        <w:rPr>
          <w:lang w:val="en-GB"/>
        </w:rPr>
        <w:t xml:space="preserve">Isolation of </w:t>
      </w:r>
      <w:r>
        <w:rPr>
          <w:i/>
          <w:iCs/>
          <w:lang w:val="en-GB"/>
        </w:rPr>
        <w:t>H. </w:t>
      </w:r>
      <w:r>
        <w:rPr>
          <w:i/>
          <w:lang w:val="en-GB"/>
        </w:rPr>
        <w:t>annosum</w:t>
      </w:r>
      <w:r>
        <w:rPr>
          <w:i/>
          <w:iCs/>
          <w:lang w:val="en-GB"/>
        </w:rPr>
        <w:t> s.l.</w:t>
      </w:r>
      <w:r>
        <w:rPr>
          <w:lang w:val="en-GB"/>
        </w:rPr>
        <w:t xml:space="preserve"> may be performed directly from fresh fruiting bodies or from infected wood samples or passive spore traps incubated in moist conditions as described above (see sections 3.2.2 and 3.2.4, respectively). Isolation of </w:t>
      </w:r>
      <w:r>
        <w:rPr>
          <w:i/>
          <w:iCs/>
          <w:lang w:val="en-GB"/>
        </w:rPr>
        <w:t>H. annosum s.l.</w:t>
      </w:r>
      <w:r>
        <w:rPr>
          <w:lang w:val="en-GB"/>
        </w:rPr>
        <w:t xml:space="preserve"> is not feasible from wood sawdust.</w:t>
      </w:r>
    </w:p>
    <w:p w14:paraId="1F96FB03" w14:textId="02EEF8A5">
      <w:pPr>
        <w:pStyle w:val="IPPHeading2"/>
      </w:pPr>
      <w:r>
        <w:rPr>
          <w:rStyle w:val="PleaseReviewParagraphId"/>
          <w:b w:val="off"/>
          <w:i w:val="off"/>
        </w:rPr>
        <w:t>[95]</w:t>
      </w:r>
      <w:r>
        <w:t>3.3.1</w:t>
        <w:tab/>
        <w:t>Isolation from fruiting bodies</w:t>
      </w:r>
    </w:p>
    <w:p w14:paraId="4875F7EF" w14:textId="68DA460A">
      <w:pPr>
        <w:pStyle w:val="IPPParagraphnumbering"/>
        <w:numPr>
          <w:ilvl w:val="0"/>
          <w:numId w:val="0"/>
        </w:numPr>
        <w:rPr>
          <w:lang w:val="en-GB"/>
        </w:rPr>
      </w:pPr>
      <w:r>
        <w:rPr>
          <w:rStyle w:val="PleaseReviewParagraphId"/>
          <w:b w:val="off"/>
          <w:i w:val="off"/>
        </w:rPr>
        <w:t>[96]</w:t>
      </w:r>
      <w:r>
        <w:rPr>
          <w:lang w:val="en-GB"/>
        </w:rPr>
        <w:t>Pieces of tissue approximately 2 × 2 × 5 mm in size should be excised using a sterile scalpel from the context of fruiting bodies, surface-disinfected in a 30% (w⁄v) hydrogen peroxide (H</w:t>
      </w:r>
      <w:r>
        <w:rPr>
          <w:vertAlign w:val="subscript"/>
          <w:lang w:val="en-GB"/>
        </w:rPr>
        <w:t>2</w:t>
      </w:r>
      <w:r>
        <w:rPr>
          <w:lang w:val="en-GB"/>
        </w:rPr>
        <w:t>O</w:t>
      </w:r>
      <w:r>
        <w:rPr>
          <w:vertAlign w:val="subscript"/>
          <w:lang w:val="en-GB"/>
        </w:rPr>
        <w:t>2</w:t>
      </w:r>
      <w:r>
        <w:rPr>
          <w:lang w:val="en-GB"/>
        </w:rPr>
        <w:t xml:space="preserve">) solution or in a 5% (w⁄v) sodium hypochlorite (NaOCl) solution for eight seconds and rinsed three times in sterile distilled water for approximately ten seconds (Giordano </w:t>
      </w:r>
      <w:r>
        <w:rPr>
          <w:i/>
          <w:iCs/>
          <w:lang w:val="en-GB"/>
        </w:rPr>
        <w:t>et al</w:t>
      </w:r>
      <w:r>
        <w:rPr>
          <w:lang w:val="en-GB"/>
        </w:rPr>
        <w:t xml:space="preserve">., 2009). Then, they are transferred </w:t>
      </w:r>
      <w:bookmarkStart w:name="_Hlk117027454" w:id="17"/>
      <w:r>
        <w:rPr>
          <w:lang w:val="en-GB"/>
        </w:rPr>
        <w:t>onto plastic Petri dishes filled with p</w:t>
      </w:r>
      <w:bookmarkEnd w:id="17"/>
      <w:r>
        <w:rPr>
          <w:lang w:val="en-GB"/>
        </w:rPr>
        <w:t>entachloronitrobenzene (</w:t>
      </w:r>
      <w:bookmarkStart w:name="_Hlk136762649" w:id="18"/>
      <w:r>
        <w:rPr>
          <w:lang w:val="en-GB"/>
        </w:rPr>
        <w:t xml:space="preserve">PCNB)-based </w:t>
      </w:r>
      <w:bookmarkEnd w:id="18"/>
      <w:r>
        <w:rPr>
          <w:lang w:val="en-GB"/>
        </w:rPr>
        <w:t xml:space="preserve">selective culture medium for </w:t>
      </w:r>
      <w:r>
        <w:rPr>
          <w:i/>
          <w:lang w:val="en-GB"/>
        </w:rPr>
        <w:t>H</w:t>
      </w:r>
      <w:r>
        <w:rPr>
          <w:lang w:val="en-GB"/>
        </w:rPr>
        <w:t>. </w:t>
      </w:r>
      <w:r>
        <w:rPr>
          <w:i/>
          <w:lang w:val="en-GB"/>
        </w:rPr>
        <w:t>annosum s.l.</w:t>
      </w:r>
      <w:r>
        <w:rPr>
          <w:lang w:val="en-GB"/>
        </w:rPr>
        <w:t xml:space="preserve"> (Table 1; Kuhlman and Hendrix, 1962) or with the </w:t>
      </w:r>
      <w:bookmarkStart w:name="_Hlk136762630" w:id="19"/>
      <w:r>
        <w:rPr>
          <w:lang w:val="en-GB"/>
        </w:rPr>
        <w:t>semi-selective</w:t>
      </w:r>
      <w:bookmarkEnd w:id="19"/>
      <w:r>
        <w:rPr>
          <w:lang w:val="en-GB"/>
        </w:rPr>
        <w:t xml:space="preserve"> culture medium modified from Legrand and Guillaumin (1993) by Bendel </w:t>
      </w:r>
      <w:r>
        <w:rPr>
          <w:i/>
          <w:iCs/>
          <w:lang w:val="en-GB"/>
        </w:rPr>
        <w:t>et al</w:t>
      </w:r>
      <w:r>
        <w:rPr>
          <w:lang w:val="en-GB"/>
        </w:rPr>
        <w:t>. (2006) (Table 2). Petri dishes are incubated at room temperature (18–24 °C) for at least 4–5 days in the light.</w:t>
      </w:r>
    </w:p>
    <w:p w14:paraId="73AA4441" w14:textId="0682ADE0">
      <w:pPr>
        <w:pStyle w:val="IPPParagraphnumbering"/>
        <w:numPr>
          <w:ilvl w:val="0"/>
          <w:numId w:val="0"/>
        </w:numPr>
        <w:rPr>
          <w:lang w:val="en-GB"/>
        </w:rPr>
      </w:pPr>
      <w:r>
        <w:rPr>
          <w:rStyle w:val="PleaseReviewParagraphId"/>
          <w:b w:val="off"/>
          <w:i w:val="off"/>
        </w:rPr>
        <w:t>[97]</w:t>
      </w:r>
      <w:r>
        <w:rPr>
          <w:lang w:val="en-GB"/>
        </w:rPr>
        <w:t xml:space="preserve">Cultures can also be obtained from spore prints. </w:t>
      </w:r>
      <w:r>
        <w:rPr>
          <w:szCs w:val="22"/>
          <w:lang w:val="en-GB"/>
        </w:rPr>
        <w:t xml:space="preserve">To accomplish this, </w:t>
      </w:r>
      <w:r>
        <w:rPr>
          <w:rStyle w:val="cf01"/>
          <w:rFonts w:ascii="Times New Roman" w:hAnsi="Times New Roman" w:cs="Times New Roman"/>
          <w:color w:val="auto"/>
          <w:sz w:val="22"/>
          <w:szCs w:val="22"/>
          <w:lang w:val="en-GB"/>
        </w:rPr>
        <w:t>the lid of a Petri dish is propped at an angle over the Petri dish, with the fruiting body wedged between the lid and the edge of the Petri dish (but without touching the agar medium). This assembly is then incubated</w:t>
      </w:r>
      <w:r>
        <w:rPr>
          <w:lang w:val="en-GB"/>
        </w:rPr>
        <w:t xml:space="preserve"> until spores are released on the agar surface. </w:t>
      </w:r>
    </w:p>
    <w:p w14:paraId="6BE3FCE9" w14:textId="25BFC9EE">
      <w:pPr>
        <w:pStyle w:val="IPPParagraphnumbering"/>
        <w:numPr>
          <w:ilvl w:val="0"/>
          <w:numId w:val="0"/>
        </w:numPr>
        <w:rPr>
          <w:lang w:val="en-GB"/>
        </w:rPr>
      </w:pPr>
      <w:r>
        <w:rPr>
          <w:rStyle w:val="PleaseReviewParagraphId"/>
          <w:b w:val="off"/>
          <w:i w:val="off"/>
        </w:rPr>
        <w:t>[98]</w:t>
      </w:r>
      <w:r>
        <w:rPr>
          <w:lang w:val="en-GB"/>
        </w:rPr>
        <w:t>Subcultures can be maintained on generic agar-based media (e.g. malt extract agar, potato dextrose agar). Despite a lower success rate because of the more abundant presence of contaminant colonies (e.g. </w:t>
      </w:r>
      <w:r>
        <w:rPr>
          <w:i/>
          <w:lang w:val="en-GB"/>
        </w:rPr>
        <w:t>Penicillium</w:t>
      </w:r>
      <w:r>
        <w:rPr>
          <w:lang w:val="en-GB"/>
        </w:rPr>
        <w:t xml:space="preserve"> spp., </w:t>
      </w:r>
      <w:r>
        <w:rPr>
          <w:i/>
          <w:lang w:val="en-GB"/>
        </w:rPr>
        <w:t>Trichoderma</w:t>
      </w:r>
      <w:r>
        <w:rPr>
          <w:lang w:val="en-GB"/>
        </w:rPr>
        <w:t xml:space="preserve"> spp.), isolation of </w:t>
      </w:r>
      <w:r>
        <w:rPr>
          <w:i/>
          <w:lang w:val="en-GB"/>
        </w:rPr>
        <w:t>H. annosum s.l.</w:t>
      </w:r>
      <w:r>
        <w:rPr>
          <w:lang w:val="en-GB"/>
        </w:rPr>
        <w:t xml:space="preserve"> can also be performed on these generic agar-based media.</w:t>
      </w:r>
    </w:p>
    <w:p w14:paraId="38815228" w14:textId="6461C9D9">
      <w:pPr>
        <w:pStyle w:val="IPPArial"/>
        <w:keepNext/>
        <w:spacing w:after="120"/>
      </w:pPr>
      <w:r>
        <w:rPr>
          <w:rStyle w:val="PleaseReviewParagraphId"/>
          <w:b w:val="off"/>
          <w:i w:val="off"/>
        </w:rPr>
        <w:t>[99]</w:t>
      </w:r>
      <w:r>
        <w:rPr>
          <w:b/>
          <w:bCs/>
        </w:rPr>
        <w:t>Table 1.</w:t>
      </w:r>
      <w:r>
        <w:t xml:space="preserve"> PCNB-based selective culture medium</w:t>
      </w:r>
    </w:p>
    <w:tbl>
      <w:tblPr>
        <w:tblStyle w:val="TableGrid"/>
        <w:tblW w:w="0" w:type="auto"/>
        <w:tblLook w:val="04A0" w:firstRow="1" w:lastRow="0" w:firstColumn="1" w:lastColumn="0" w:noHBand="0" w:noVBand="1"/>
      </w:tblPr>
      <w:tblGrid>
        <w:gridCol w:w="6130"/>
        <w:gridCol w:w="2268"/>
      </w:tblGrid>
      <w:tr w14:paraId="571EC623" w14:textId="77777777">
        <w:tc>
          <w:tcPr>
            <w:tcW w:w="6130" w:type="dxa"/>
            <w:tcBorders>
              <w:left w:val="nil"/>
              <w:bottom w:val="single" w:color="auto" w:sz="4" w:space="0"/>
              <w:right w:val="nil"/>
            </w:tcBorders>
            <w:shd w:val="clear" w:color="auto" w:fill="BFBFBF" w:themeFill="background1" w:themeFillShade="BF"/>
          </w:tcPr>
          <w:p w14:paraId="54398B4B" w14:textId="61698114">
            <w:pPr>
              <w:pStyle w:val="IPPArialTable"/>
              <w:rPr>
                <w:b/>
                <w:bCs/>
              </w:rPr>
            </w:pPr>
            <w:r>
              <w:rPr>
                <w:rStyle w:val="PleaseReviewParagraphId"/>
                <w:b w:val="off"/>
                <w:i w:val="off"/>
              </w:rPr>
              <w:t>[100]</w:t>
            </w:r>
            <w:r>
              <w:rPr>
                <w:b/>
                <w:bCs/>
              </w:rPr>
              <w:t>Reagents and autoclaving parameters</w:t>
            </w:r>
          </w:p>
        </w:tc>
        <w:tc>
          <w:tcPr>
            <w:tcW w:w="2268" w:type="dxa"/>
            <w:tcBorders>
              <w:left w:val="nil"/>
              <w:bottom w:val="single" w:color="auto" w:sz="4" w:space="0"/>
              <w:right w:val="nil"/>
            </w:tcBorders>
            <w:shd w:val="clear" w:color="auto" w:fill="BFBFBF" w:themeFill="background1" w:themeFillShade="BF"/>
          </w:tcPr>
          <w:p w14:paraId="3EA19004" w14:textId="77777777">
            <w:pPr>
              <w:pStyle w:val="IPPArialTable"/>
              <w:rPr>
                <w:b/>
                <w:bCs/>
              </w:rPr>
            </w:pPr>
            <w:r>
              <w:rPr>
                <w:rStyle w:val="PleaseReviewParagraphId"/>
                <w:b w:val="off"/>
                <w:i w:val="off"/>
              </w:rPr>
              <w:t>[101]</w:t>
            </w:r>
            <w:r>
              <w:rPr>
                <w:b/>
                <w:bCs/>
              </w:rPr>
              <w:t>Quantity</w:t>
            </w:r>
          </w:p>
        </w:tc>
      </w:tr>
      <w:tr w14:paraId="70D29A53" w14:textId="77777777">
        <w:tc>
          <w:tcPr>
            <w:tcW w:w="6130" w:type="dxa"/>
            <w:tcBorders>
              <w:left w:val="nil"/>
              <w:bottom w:val="nil"/>
              <w:right w:val="nil"/>
            </w:tcBorders>
            <w:shd w:val="clear" w:color="auto" w:fill="auto"/>
          </w:tcPr>
          <w:p w14:paraId="25C2F2DE" w14:textId="0E983636">
            <w:pPr>
              <w:pStyle w:val="IPPArialTable"/>
            </w:pPr>
            <w:r>
              <w:rPr>
                <w:rStyle w:val="PleaseReviewParagraphId"/>
                <w:b w:val="off"/>
                <w:i w:val="off"/>
              </w:rPr>
              <w:t>[102]</w:t>
            </w:r>
            <w:r>
              <w:t>Initial mixture:</w:t>
            </w:r>
          </w:p>
        </w:tc>
        <w:tc>
          <w:tcPr>
            <w:tcW w:w="2268" w:type="dxa"/>
            <w:tcBorders>
              <w:left w:val="nil"/>
              <w:bottom w:val="nil"/>
              <w:right w:val="nil"/>
            </w:tcBorders>
            <w:shd w:val="clear" w:color="auto" w:fill="auto"/>
          </w:tcPr>
          <w:p w14:paraId="42EBF2E9" w14:textId="77777777">
            <w:pPr>
              <w:pStyle w:val="IPPArialTable"/>
            </w:pPr>
            <w:r>
              <w:rPr>
                <w:rStyle w:val="PleaseReviewParagraphId"/>
                <w:b w:val="off"/>
                <w:i w:val="off"/>
              </w:rPr>
              <w:t>[103]</w:t>
            </w:r>
          </w:p>
        </w:tc>
      </w:tr>
      <w:tr w14:paraId="0A7E8BC6" w14:textId="77777777">
        <w:tc>
          <w:tcPr>
            <w:tcW w:w="6130" w:type="dxa"/>
            <w:tcBorders>
              <w:top w:val="nil"/>
              <w:left w:val="nil"/>
              <w:bottom w:val="nil"/>
              <w:right w:val="nil"/>
            </w:tcBorders>
          </w:tcPr>
          <w:p w14:paraId="52A42101" w14:textId="16897C7A">
            <w:pPr>
              <w:pStyle w:val="IPPArialTable"/>
              <w:numPr>
                <w:ilvl w:val="0"/>
                <w:numId w:val="48"/>
              </w:numPr>
              <w:ind w:left="284" w:hanging="142"/>
            </w:pPr>
            <w:r>
              <w:rPr>
                <w:rStyle w:val="PleaseReviewParagraphId"/>
                <w:b w:val="off"/>
                <w:i w:val="off"/>
              </w:rPr>
              <w:t>[104]</w:t>
            </w:r>
            <w:r>
              <w:t>Bacto peptone</w:t>
            </w:r>
          </w:p>
        </w:tc>
        <w:tc>
          <w:tcPr>
            <w:tcW w:w="2268" w:type="dxa"/>
            <w:tcBorders>
              <w:top w:val="nil"/>
              <w:left w:val="nil"/>
              <w:bottom w:val="nil"/>
              <w:right w:val="nil"/>
            </w:tcBorders>
          </w:tcPr>
          <w:p w14:paraId="7D92F99A" w14:textId="3379045A">
            <w:pPr>
              <w:pStyle w:val="IPPArialTable"/>
            </w:pPr>
            <w:r>
              <w:rPr>
                <w:rStyle w:val="PleaseReviewParagraphId"/>
                <w:b w:val="off"/>
                <w:i w:val="off"/>
              </w:rPr>
              <w:t>[105]</w:t>
            </w:r>
            <w:r>
              <w:t>5 g</w:t>
            </w:r>
          </w:p>
        </w:tc>
      </w:tr>
      <w:tr w14:paraId="08196439" w14:textId="77777777">
        <w:tc>
          <w:tcPr>
            <w:tcW w:w="6130" w:type="dxa"/>
            <w:tcBorders>
              <w:top w:val="nil"/>
              <w:left w:val="nil"/>
              <w:bottom w:val="nil"/>
              <w:right w:val="nil"/>
            </w:tcBorders>
          </w:tcPr>
          <w:p w14:paraId="33C4E41A" w14:textId="77777777">
            <w:pPr>
              <w:pStyle w:val="IPPArialTable"/>
              <w:numPr>
                <w:ilvl w:val="0"/>
                <w:numId w:val="48"/>
              </w:numPr>
              <w:ind w:left="284" w:hanging="142"/>
            </w:pPr>
            <w:r>
              <w:rPr>
                <w:rStyle w:val="PleaseReviewParagraphId"/>
                <w:b w:val="off"/>
                <w:i w:val="off"/>
              </w:rPr>
              <w:t>[106]</w:t>
            </w:r>
            <w:r>
              <w:t>Agar</w:t>
            </w:r>
          </w:p>
        </w:tc>
        <w:tc>
          <w:tcPr>
            <w:tcW w:w="2268" w:type="dxa"/>
            <w:tcBorders>
              <w:top w:val="nil"/>
              <w:left w:val="nil"/>
              <w:bottom w:val="nil"/>
              <w:right w:val="nil"/>
            </w:tcBorders>
          </w:tcPr>
          <w:p w14:paraId="236F83A0" w14:textId="44A8B4BB">
            <w:pPr>
              <w:pStyle w:val="IPPArialTable"/>
            </w:pPr>
            <w:r>
              <w:rPr>
                <w:rStyle w:val="PleaseReviewParagraphId"/>
                <w:b w:val="off"/>
                <w:i w:val="off"/>
              </w:rPr>
              <w:t>[107]</w:t>
            </w:r>
            <w:r>
              <w:t>20 g</w:t>
            </w:r>
          </w:p>
        </w:tc>
      </w:tr>
      <w:tr w14:paraId="6EFE182C" w14:textId="77777777">
        <w:tc>
          <w:tcPr>
            <w:tcW w:w="6130" w:type="dxa"/>
            <w:tcBorders>
              <w:top w:val="nil"/>
              <w:left w:val="nil"/>
              <w:bottom w:val="nil"/>
              <w:right w:val="nil"/>
            </w:tcBorders>
          </w:tcPr>
          <w:p w14:paraId="5126A30A" w14:textId="77777777">
            <w:pPr>
              <w:pStyle w:val="IPPArialTable"/>
              <w:numPr>
                <w:ilvl w:val="0"/>
                <w:numId w:val="48"/>
              </w:numPr>
              <w:ind w:left="284" w:hanging="142"/>
            </w:pPr>
            <w:r>
              <w:rPr>
                <w:rStyle w:val="PleaseReviewParagraphId"/>
                <w:b w:val="off"/>
                <w:i w:val="off"/>
              </w:rPr>
              <w:t>[108]</w:t>
            </w:r>
            <w:r>
              <w:t>MgSO</w:t>
            </w:r>
            <w:r>
              <w:rPr>
                <w:vertAlign w:val="subscript"/>
              </w:rPr>
              <w:t>4</w:t>
            </w:r>
          </w:p>
        </w:tc>
        <w:tc>
          <w:tcPr>
            <w:tcW w:w="2268" w:type="dxa"/>
            <w:tcBorders>
              <w:top w:val="nil"/>
              <w:left w:val="nil"/>
              <w:bottom w:val="nil"/>
              <w:right w:val="nil"/>
            </w:tcBorders>
          </w:tcPr>
          <w:p w14:paraId="5249A9A6" w14:textId="172A4114">
            <w:pPr>
              <w:pStyle w:val="IPPArialTable"/>
            </w:pPr>
            <w:r>
              <w:rPr>
                <w:rStyle w:val="PleaseReviewParagraphId"/>
                <w:b w:val="off"/>
                <w:i w:val="off"/>
              </w:rPr>
              <w:t>[109]</w:t>
            </w:r>
            <w:r>
              <w:t>250 mg</w:t>
            </w:r>
          </w:p>
        </w:tc>
      </w:tr>
      <w:tr w14:paraId="3E417C56" w14:textId="77777777">
        <w:tc>
          <w:tcPr>
            <w:tcW w:w="6130" w:type="dxa"/>
            <w:tcBorders>
              <w:top w:val="nil"/>
              <w:left w:val="nil"/>
              <w:bottom w:val="nil"/>
              <w:right w:val="nil"/>
            </w:tcBorders>
          </w:tcPr>
          <w:p w14:paraId="24F24C24" w14:textId="77777777">
            <w:pPr>
              <w:pStyle w:val="IPPArialTable"/>
              <w:numPr>
                <w:ilvl w:val="0"/>
                <w:numId w:val="48"/>
              </w:numPr>
              <w:ind w:left="284" w:hanging="142"/>
            </w:pPr>
            <w:r>
              <w:rPr>
                <w:rStyle w:val="PleaseReviewParagraphId"/>
                <w:b w:val="off"/>
                <w:i w:val="off"/>
              </w:rPr>
              <w:t>[110]</w:t>
            </w:r>
            <w:r>
              <w:t>KH</w:t>
            </w:r>
            <w:r>
              <w:rPr>
                <w:vertAlign w:val="subscript"/>
              </w:rPr>
              <w:t>2</w:t>
            </w:r>
            <w:r>
              <w:t>PO</w:t>
            </w:r>
            <w:r>
              <w:rPr>
                <w:vertAlign w:val="subscript"/>
              </w:rPr>
              <w:t>4</w:t>
            </w:r>
          </w:p>
        </w:tc>
        <w:tc>
          <w:tcPr>
            <w:tcW w:w="2268" w:type="dxa"/>
            <w:tcBorders>
              <w:top w:val="nil"/>
              <w:left w:val="nil"/>
              <w:bottom w:val="nil"/>
              <w:right w:val="nil"/>
            </w:tcBorders>
          </w:tcPr>
          <w:p w14:paraId="7E5FDA2A" w14:textId="4B0F5942">
            <w:pPr>
              <w:pStyle w:val="IPPArialTable"/>
            </w:pPr>
            <w:r>
              <w:rPr>
                <w:rStyle w:val="PleaseReviewParagraphId"/>
                <w:b w:val="off"/>
                <w:i w:val="off"/>
              </w:rPr>
              <w:t>[111]</w:t>
            </w:r>
            <w:r>
              <w:t>500 mg</w:t>
            </w:r>
          </w:p>
        </w:tc>
      </w:tr>
      <w:tr w14:paraId="76422C03" w14:textId="77777777">
        <w:tc>
          <w:tcPr>
            <w:tcW w:w="6130" w:type="dxa"/>
            <w:tcBorders>
              <w:top w:val="nil"/>
              <w:left w:val="nil"/>
              <w:bottom w:val="nil"/>
              <w:right w:val="nil"/>
            </w:tcBorders>
          </w:tcPr>
          <w:p w14:paraId="714BCB7A" w14:textId="77777777">
            <w:pPr>
              <w:pStyle w:val="IPPArialTable"/>
              <w:numPr>
                <w:ilvl w:val="0"/>
                <w:numId w:val="48"/>
              </w:numPr>
              <w:ind w:left="284" w:hanging="142"/>
            </w:pPr>
            <w:r>
              <w:rPr>
                <w:rStyle w:val="PleaseReviewParagraphId"/>
                <w:b w:val="off"/>
                <w:i w:val="off"/>
              </w:rPr>
              <w:t>[112]</w:t>
            </w:r>
            <w:r>
              <w:t>Streptomycin</w:t>
            </w:r>
          </w:p>
        </w:tc>
        <w:tc>
          <w:tcPr>
            <w:tcW w:w="2268" w:type="dxa"/>
            <w:tcBorders>
              <w:top w:val="nil"/>
              <w:left w:val="nil"/>
              <w:bottom w:val="nil"/>
              <w:right w:val="nil"/>
            </w:tcBorders>
          </w:tcPr>
          <w:p w14:paraId="03C9F82B" w14:textId="26E00D46">
            <w:pPr>
              <w:pStyle w:val="IPPArialTable"/>
            </w:pPr>
            <w:r>
              <w:rPr>
                <w:rStyle w:val="PleaseReviewParagraphId"/>
                <w:b w:val="off"/>
                <w:i w:val="off"/>
              </w:rPr>
              <w:t>[113]</w:t>
            </w:r>
            <w:r>
              <w:t>100 mg</w:t>
            </w:r>
          </w:p>
        </w:tc>
      </w:tr>
      <w:tr w14:paraId="7CDD4698" w14:textId="77777777">
        <w:tc>
          <w:tcPr>
            <w:tcW w:w="6130" w:type="dxa"/>
            <w:tcBorders>
              <w:top w:val="nil"/>
              <w:left w:val="nil"/>
              <w:bottom w:val="nil"/>
              <w:right w:val="nil"/>
            </w:tcBorders>
          </w:tcPr>
          <w:p w14:paraId="639F573D" w14:textId="5A669070">
            <w:pPr>
              <w:pStyle w:val="IPPArialTable"/>
              <w:numPr>
                <w:ilvl w:val="0"/>
                <w:numId w:val="48"/>
              </w:numPr>
              <w:ind w:left="284" w:hanging="142"/>
            </w:pPr>
            <w:r>
              <w:rPr>
                <w:rStyle w:val="PleaseReviewParagraphId"/>
                <w:b w:val="off"/>
                <w:i w:val="off"/>
              </w:rPr>
              <w:t>[114]</w:t>
            </w:r>
            <w:r>
              <w:t>Pentachloronitrobenzene (PCNB)</w:t>
            </w:r>
          </w:p>
        </w:tc>
        <w:tc>
          <w:tcPr>
            <w:tcW w:w="2268" w:type="dxa"/>
            <w:tcBorders>
              <w:top w:val="nil"/>
              <w:left w:val="nil"/>
              <w:bottom w:val="nil"/>
              <w:right w:val="nil"/>
            </w:tcBorders>
          </w:tcPr>
          <w:p w14:paraId="72E2AB94" w14:textId="7C69F72A">
            <w:pPr>
              <w:pStyle w:val="IPPArialTable"/>
            </w:pPr>
            <w:r>
              <w:rPr>
                <w:rStyle w:val="PleaseReviewParagraphId"/>
                <w:b w:val="off"/>
                <w:i w:val="off"/>
              </w:rPr>
              <w:t>[115]</w:t>
            </w:r>
            <w:r>
              <w:t>190 ppm</w:t>
            </w:r>
          </w:p>
        </w:tc>
      </w:tr>
      <w:tr w14:paraId="209C30D1" w14:textId="77777777">
        <w:tc>
          <w:tcPr>
            <w:tcW w:w="6130" w:type="dxa"/>
            <w:tcBorders>
              <w:top w:val="nil"/>
              <w:left w:val="nil"/>
              <w:bottom w:val="nil"/>
              <w:right w:val="nil"/>
            </w:tcBorders>
          </w:tcPr>
          <w:p w14:paraId="7E41787B" w14:textId="3BFEF0A5">
            <w:pPr>
              <w:pStyle w:val="IPPArialTable"/>
              <w:numPr>
                <w:ilvl w:val="0"/>
                <w:numId w:val="48"/>
              </w:numPr>
              <w:ind w:left="284" w:hanging="142"/>
            </w:pPr>
            <w:r>
              <w:rPr>
                <w:rStyle w:val="PleaseReviewParagraphId"/>
                <w:b w:val="off"/>
                <w:i w:val="off"/>
              </w:rPr>
              <w:t>[116]</w:t>
            </w:r>
            <w:r>
              <w:t>Distilled water to a final volume of 978 mL</w:t>
            </w:r>
          </w:p>
        </w:tc>
        <w:tc>
          <w:tcPr>
            <w:tcW w:w="2268" w:type="dxa"/>
            <w:tcBorders>
              <w:top w:val="nil"/>
              <w:left w:val="nil"/>
              <w:bottom w:val="nil"/>
              <w:right w:val="nil"/>
            </w:tcBorders>
          </w:tcPr>
          <w:p w14:paraId="30B81220" w14:textId="77777777">
            <w:pPr>
              <w:pStyle w:val="IPPArialTable"/>
            </w:pPr>
            <w:r>
              <w:rPr>
                <w:rStyle w:val="PleaseReviewParagraphId"/>
                <w:b w:val="off"/>
                <w:i w:val="off"/>
              </w:rPr>
              <w:t>[117]</w:t>
            </w:r>
          </w:p>
        </w:tc>
      </w:tr>
      <w:tr w14:paraId="025D7C64" w14:textId="77777777">
        <w:tc>
          <w:tcPr>
            <w:tcW w:w="6130" w:type="dxa"/>
            <w:tcBorders>
              <w:top w:val="single" w:color="auto" w:sz="4" w:space="0"/>
              <w:left w:val="nil"/>
              <w:bottom w:val="single" w:color="auto" w:sz="4" w:space="0"/>
              <w:right w:val="nil"/>
            </w:tcBorders>
          </w:tcPr>
          <w:p w14:paraId="376F7519" w14:textId="4463EF4F">
            <w:pPr>
              <w:pStyle w:val="IPPArialTable"/>
            </w:pPr>
            <w:r>
              <w:rPr>
                <w:rStyle w:val="PleaseReviewParagraphId"/>
                <w:b w:val="off"/>
                <w:i w:val="off"/>
              </w:rPr>
              <w:t>[118]</w:t>
            </w:r>
            <w:bookmarkStart w:name="_Hlk117113023" w:id="20"/>
            <w:r>
              <w:t>Autoclave for 20 min at 121°C</w:t>
            </w:r>
          </w:p>
        </w:tc>
        <w:tc>
          <w:tcPr>
            <w:tcW w:w="2268" w:type="dxa"/>
            <w:tcBorders>
              <w:top w:val="single" w:color="auto" w:sz="4" w:space="0"/>
              <w:left w:val="nil"/>
              <w:bottom w:val="single" w:color="auto" w:sz="4" w:space="0"/>
              <w:right w:val="nil"/>
            </w:tcBorders>
          </w:tcPr>
          <w:p w14:paraId="49EC1E91" w14:textId="77777777">
            <w:pPr>
              <w:pStyle w:val="IPPArialTable"/>
            </w:pPr>
            <w:r>
              <w:rPr>
                <w:rStyle w:val="PleaseReviewParagraphId"/>
                <w:b w:val="off"/>
                <w:i w:val="off"/>
              </w:rPr>
              <w:t>[119]</w:t>
            </w:r>
          </w:p>
        </w:tc>
      </w:tr>
      <w:bookmarkEnd w:id="20"/>
      <w:tr w14:paraId="66F7AC40" w14:textId="77777777">
        <w:tc>
          <w:tcPr>
            <w:tcW w:w="6130" w:type="dxa"/>
            <w:tcBorders>
              <w:top w:val="single" w:color="auto" w:sz="4" w:space="0"/>
              <w:left w:val="nil"/>
              <w:bottom w:val="nil"/>
              <w:right w:val="nil"/>
            </w:tcBorders>
          </w:tcPr>
          <w:p w14:paraId="5779C864" w14:textId="0A5DF395">
            <w:pPr>
              <w:pStyle w:val="IPPArialTable"/>
            </w:pPr>
            <w:r>
              <w:rPr>
                <w:rStyle w:val="PleaseReviewParagraphId"/>
                <w:b w:val="off"/>
                <w:i w:val="off"/>
              </w:rPr>
              <w:t>[120]</w:t>
            </w:r>
            <w:r>
              <w:t>After sterilization, add:</w:t>
            </w:r>
          </w:p>
        </w:tc>
        <w:tc>
          <w:tcPr>
            <w:tcW w:w="2268" w:type="dxa"/>
            <w:tcBorders>
              <w:top w:val="single" w:color="auto" w:sz="4" w:space="0"/>
              <w:left w:val="nil"/>
              <w:bottom w:val="nil"/>
              <w:right w:val="nil"/>
            </w:tcBorders>
          </w:tcPr>
          <w:p w14:paraId="760989C8" w14:textId="77777777">
            <w:pPr>
              <w:pStyle w:val="IPPArialTable"/>
            </w:pPr>
            <w:r>
              <w:rPr>
                <w:rStyle w:val="PleaseReviewParagraphId"/>
                <w:b w:val="off"/>
                <w:i w:val="off"/>
              </w:rPr>
              <w:t>[121]</w:t>
            </w:r>
          </w:p>
        </w:tc>
      </w:tr>
      <w:tr w14:paraId="2A9E3140" w14:textId="77777777">
        <w:tc>
          <w:tcPr>
            <w:tcW w:w="6130" w:type="dxa"/>
            <w:tcBorders>
              <w:top w:val="nil"/>
              <w:left w:val="nil"/>
              <w:bottom w:val="nil"/>
              <w:right w:val="nil"/>
            </w:tcBorders>
          </w:tcPr>
          <w:p w14:paraId="4697F0FC" w14:textId="20DCA26E">
            <w:pPr>
              <w:pStyle w:val="IPPArialTable"/>
              <w:numPr>
                <w:ilvl w:val="0"/>
                <w:numId w:val="47"/>
              </w:numPr>
              <w:ind w:left="284" w:hanging="142"/>
            </w:pPr>
            <w:r>
              <w:rPr>
                <w:rStyle w:val="PleaseReviewParagraphId"/>
                <w:b w:val="off"/>
                <w:i w:val="off"/>
              </w:rPr>
              <w:t>[122]</w:t>
            </w:r>
            <w:r>
              <w:t>Ethanol (95%)</w:t>
            </w:r>
          </w:p>
        </w:tc>
        <w:tc>
          <w:tcPr>
            <w:tcW w:w="2268" w:type="dxa"/>
            <w:tcBorders>
              <w:top w:val="nil"/>
              <w:left w:val="nil"/>
              <w:bottom w:val="nil"/>
              <w:right w:val="nil"/>
            </w:tcBorders>
          </w:tcPr>
          <w:p w14:paraId="4E04D64D" w14:textId="48E07F0B">
            <w:pPr>
              <w:pStyle w:val="IPPArialTable"/>
            </w:pPr>
            <w:r>
              <w:rPr>
                <w:rStyle w:val="PleaseReviewParagraphId"/>
                <w:b w:val="off"/>
                <w:i w:val="off"/>
              </w:rPr>
              <w:t>[123]</w:t>
            </w:r>
            <w:r>
              <w:t>20 mL</w:t>
            </w:r>
          </w:p>
        </w:tc>
      </w:tr>
      <w:tr w14:paraId="7B86EE6E" w14:textId="77777777">
        <w:tc>
          <w:tcPr>
            <w:tcW w:w="6130" w:type="dxa"/>
            <w:tcBorders>
              <w:top w:val="nil"/>
              <w:left w:val="nil"/>
              <w:bottom w:val="single" w:color="auto" w:sz="4" w:space="0"/>
              <w:right w:val="nil"/>
            </w:tcBorders>
          </w:tcPr>
          <w:p w14:paraId="11D41F99" w14:textId="3DB8F03D">
            <w:pPr>
              <w:pStyle w:val="IPPArialTable"/>
              <w:numPr>
                <w:ilvl w:val="0"/>
                <w:numId w:val="47"/>
              </w:numPr>
              <w:ind w:left="284" w:hanging="142"/>
            </w:pPr>
            <w:r>
              <w:rPr>
                <w:rStyle w:val="PleaseReviewParagraphId"/>
                <w:b w:val="off"/>
                <w:i w:val="off"/>
              </w:rPr>
              <w:t>[124]</w:t>
            </w:r>
            <w:r>
              <w:t>Lactic acid (50%)</w:t>
            </w:r>
          </w:p>
        </w:tc>
        <w:tc>
          <w:tcPr>
            <w:tcW w:w="2268" w:type="dxa"/>
            <w:tcBorders>
              <w:top w:val="nil"/>
              <w:left w:val="nil"/>
              <w:bottom w:val="single" w:color="auto" w:sz="4" w:space="0"/>
              <w:right w:val="nil"/>
            </w:tcBorders>
          </w:tcPr>
          <w:p w14:paraId="11CCDEAB" w14:textId="67769E90">
            <w:pPr>
              <w:pStyle w:val="IPPArialTable"/>
            </w:pPr>
            <w:r>
              <w:rPr>
                <w:rStyle w:val="PleaseReviewParagraphId"/>
                <w:b w:val="off"/>
                <w:i w:val="off"/>
              </w:rPr>
              <w:t>[125]</w:t>
            </w:r>
            <w:r>
              <w:t>2 mL</w:t>
            </w:r>
          </w:p>
        </w:tc>
      </w:tr>
    </w:tbl>
    <w:p w14:paraId="0275E787" w14:textId="6FCD8978">
      <w:pPr>
        <w:pStyle w:val="IPPArialFootnote"/>
      </w:pPr>
      <w:r>
        <w:rPr>
          <w:rStyle w:val="PleaseReviewParagraphId"/>
          <w:b w:val="off"/>
          <w:i w:val="off"/>
        </w:rPr>
        <w:t>[126]</w:t>
      </w:r>
      <w:r>
        <w:rPr>
          <w:i/>
          <w:iCs/>
        </w:rPr>
        <w:t xml:space="preserve">Note: </w:t>
      </w:r>
      <w:r>
        <w:t>Store at approximately 4 °C in the dark for not more than 15 days.</w:t>
      </w:r>
    </w:p>
    <w:p w14:paraId="422B252B" w14:textId="6D6E1257">
      <w:pPr>
        <w:pStyle w:val="IPPArialFootnote"/>
        <w:spacing w:after="180"/>
      </w:pPr>
      <w:r>
        <w:rPr>
          <w:rStyle w:val="PleaseReviewParagraphId"/>
          <w:b w:val="off"/>
          <w:i w:val="off"/>
        </w:rPr>
        <w:t>[127]</w:t>
      </w:r>
      <w:r>
        <w:rPr>
          <w:i/>
          <w:iCs/>
        </w:rPr>
        <w:t xml:space="preserve">Source: </w:t>
      </w:r>
      <w:r>
        <w:t xml:space="preserve">Kuhlman, E.G. &amp; Hendrix Jr, F.F. 1962. A selective medium for the isolation of </w:t>
      </w:r>
      <w:r>
        <w:rPr>
          <w:i/>
        </w:rPr>
        <w:t>Fomes annosus</w:t>
      </w:r>
      <w:r>
        <w:t xml:space="preserve">. </w:t>
      </w:r>
      <w:r>
        <w:rPr>
          <w:i/>
        </w:rPr>
        <w:t>Phytopathology</w:t>
      </w:r>
      <w:r>
        <w:t>, 52: 1310–1312.</w:t>
      </w:r>
    </w:p>
    <w:p w14:paraId="4CBAE0B9" w14:textId="32C29289">
      <w:pPr>
        <w:pStyle w:val="IPPArial"/>
        <w:keepNext/>
        <w:spacing w:after="120"/>
      </w:pPr>
      <w:r>
        <w:rPr>
          <w:rStyle w:val="PleaseReviewParagraphId"/>
          <w:b w:val="off"/>
          <w:i w:val="off"/>
        </w:rPr>
        <w:t>[128]</w:t>
      </w:r>
      <w:r>
        <w:rPr>
          <w:b/>
          <w:bCs/>
        </w:rPr>
        <w:lastRenderedPageBreak/>
        <w:t>Table 2.</w:t>
      </w:r>
      <w:r>
        <w:t xml:space="preserve"> Semi-selective culture medium </w:t>
      </w:r>
    </w:p>
    <w:tbl>
      <w:tblPr>
        <w:tblStyle w:val="TableGrid"/>
        <w:tblW w:w="0" w:type="auto"/>
        <w:tblLook w:val="04A0" w:firstRow="1" w:lastRow="0" w:firstColumn="1" w:lastColumn="0" w:noHBand="0" w:noVBand="1"/>
      </w:tblPr>
      <w:tblGrid>
        <w:gridCol w:w="3823"/>
        <w:gridCol w:w="2268"/>
      </w:tblGrid>
      <w:tr w14:paraId="0DD781E3" w14:textId="77777777">
        <w:tc>
          <w:tcPr>
            <w:tcW w:w="3823" w:type="dxa"/>
            <w:tcBorders>
              <w:left w:val="nil"/>
              <w:bottom w:val="single" w:color="auto" w:sz="4" w:space="0"/>
              <w:right w:val="nil"/>
            </w:tcBorders>
            <w:shd w:val="clear" w:color="auto" w:fill="BFBFBF" w:themeFill="background1" w:themeFillShade="BF"/>
          </w:tcPr>
          <w:p w14:paraId="384C0734" w14:textId="6A773693">
            <w:pPr>
              <w:pStyle w:val="IPPArialTable"/>
              <w:rPr>
                <w:b/>
                <w:bCs/>
              </w:rPr>
            </w:pPr>
            <w:r>
              <w:rPr>
                <w:rStyle w:val="PleaseReviewParagraphId"/>
                <w:b w:val="off"/>
                <w:i w:val="off"/>
              </w:rPr>
              <w:t>[129]</w:t>
            </w:r>
            <w:r>
              <w:rPr>
                <w:b/>
                <w:bCs/>
              </w:rPr>
              <w:t>Reagents and autoclaving parameters</w:t>
            </w:r>
          </w:p>
        </w:tc>
        <w:tc>
          <w:tcPr>
            <w:tcW w:w="2268" w:type="dxa"/>
            <w:tcBorders>
              <w:left w:val="nil"/>
              <w:bottom w:val="single" w:color="auto" w:sz="4" w:space="0"/>
              <w:right w:val="nil"/>
            </w:tcBorders>
            <w:shd w:val="clear" w:color="auto" w:fill="BFBFBF" w:themeFill="background1" w:themeFillShade="BF"/>
          </w:tcPr>
          <w:p w14:paraId="57BD223E" w14:textId="77777777">
            <w:pPr>
              <w:pStyle w:val="IPPArialTable"/>
              <w:rPr>
                <w:b/>
                <w:bCs/>
              </w:rPr>
            </w:pPr>
            <w:r>
              <w:rPr>
                <w:rStyle w:val="PleaseReviewParagraphId"/>
                <w:b w:val="off"/>
                <w:i w:val="off"/>
              </w:rPr>
              <w:t>[130]</w:t>
            </w:r>
            <w:r>
              <w:rPr>
                <w:b/>
                <w:bCs/>
              </w:rPr>
              <w:t>Quantity</w:t>
            </w:r>
          </w:p>
        </w:tc>
      </w:tr>
      <w:tr w14:paraId="0E5410FE" w14:textId="77777777">
        <w:tc>
          <w:tcPr>
            <w:tcW w:w="3823" w:type="dxa"/>
            <w:tcBorders>
              <w:left w:val="nil"/>
              <w:bottom w:val="nil"/>
              <w:right w:val="nil"/>
            </w:tcBorders>
            <w:shd w:val="clear" w:color="auto" w:fill="auto"/>
          </w:tcPr>
          <w:p w14:paraId="59C80DD7" w14:textId="61F50CF3">
            <w:pPr>
              <w:pStyle w:val="IPPArialTable"/>
            </w:pPr>
            <w:r>
              <w:rPr>
                <w:rStyle w:val="PleaseReviewParagraphId"/>
                <w:b w:val="off"/>
                <w:i w:val="off"/>
              </w:rPr>
              <w:t>[131]</w:t>
            </w:r>
            <w:r>
              <w:t>Initial mixture:</w:t>
            </w:r>
          </w:p>
        </w:tc>
        <w:tc>
          <w:tcPr>
            <w:tcW w:w="2268" w:type="dxa"/>
            <w:tcBorders>
              <w:left w:val="nil"/>
              <w:bottom w:val="nil"/>
              <w:right w:val="nil"/>
            </w:tcBorders>
            <w:shd w:val="clear" w:color="auto" w:fill="auto"/>
          </w:tcPr>
          <w:p w14:paraId="6AC7CEC3" w14:textId="77777777">
            <w:pPr>
              <w:pStyle w:val="IPPArialTable"/>
              <w:rPr>
                <w:b/>
                <w:bCs/>
              </w:rPr>
            </w:pPr>
            <w:r>
              <w:rPr>
                <w:rStyle w:val="PleaseReviewParagraphId"/>
                <w:b w:val="off"/>
                <w:i w:val="off"/>
              </w:rPr>
              <w:t>[132]</w:t>
            </w:r>
          </w:p>
        </w:tc>
      </w:tr>
      <w:tr w14:paraId="13C514F3" w14:textId="77777777">
        <w:tc>
          <w:tcPr>
            <w:tcW w:w="3823" w:type="dxa"/>
            <w:tcBorders>
              <w:top w:val="nil"/>
              <w:left w:val="nil"/>
              <w:bottom w:val="nil"/>
              <w:right w:val="nil"/>
            </w:tcBorders>
          </w:tcPr>
          <w:p w14:paraId="1F9EA162" w14:textId="799877FA">
            <w:pPr>
              <w:pStyle w:val="IPPArialTable"/>
              <w:numPr>
                <w:ilvl w:val="0"/>
                <w:numId w:val="49"/>
              </w:numPr>
              <w:ind w:left="284" w:hanging="142"/>
            </w:pPr>
            <w:r>
              <w:rPr>
                <w:rStyle w:val="PleaseReviewParagraphId"/>
                <w:b w:val="off"/>
                <w:i w:val="off"/>
              </w:rPr>
              <w:t>[133]</w:t>
            </w:r>
            <w:r>
              <w:t>Malt extract</w:t>
            </w:r>
          </w:p>
        </w:tc>
        <w:tc>
          <w:tcPr>
            <w:tcW w:w="2268" w:type="dxa"/>
            <w:tcBorders>
              <w:top w:val="nil"/>
              <w:left w:val="nil"/>
              <w:bottom w:val="nil"/>
              <w:right w:val="nil"/>
            </w:tcBorders>
          </w:tcPr>
          <w:p w14:paraId="23A1DDC2" w14:textId="6D7C6038">
            <w:pPr>
              <w:pStyle w:val="IPPArialTable"/>
            </w:pPr>
            <w:r>
              <w:rPr>
                <w:rStyle w:val="PleaseReviewParagraphId"/>
                <w:b w:val="off"/>
                <w:i w:val="off"/>
              </w:rPr>
              <w:t>[134]</w:t>
            </w:r>
            <w:r>
              <w:t>20 g</w:t>
            </w:r>
          </w:p>
        </w:tc>
      </w:tr>
      <w:tr w14:paraId="77AA3696" w14:textId="77777777">
        <w:tc>
          <w:tcPr>
            <w:tcW w:w="3823" w:type="dxa"/>
            <w:tcBorders>
              <w:top w:val="nil"/>
              <w:left w:val="nil"/>
              <w:bottom w:val="nil"/>
              <w:right w:val="nil"/>
            </w:tcBorders>
          </w:tcPr>
          <w:p w14:paraId="0AC16DF8" w14:textId="77777777">
            <w:pPr>
              <w:pStyle w:val="IPPArialTable"/>
              <w:numPr>
                <w:ilvl w:val="0"/>
                <w:numId w:val="49"/>
              </w:numPr>
              <w:ind w:left="284" w:hanging="142"/>
            </w:pPr>
            <w:r>
              <w:rPr>
                <w:rStyle w:val="PleaseReviewParagraphId"/>
                <w:b w:val="off"/>
                <w:i w:val="off"/>
              </w:rPr>
              <w:t>[135]</w:t>
            </w:r>
            <w:r>
              <w:t>Agar</w:t>
            </w:r>
          </w:p>
        </w:tc>
        <w:tc>
          <w:tcPr>
            <w:tcW w:w="2268" w:type="dxa"/>
            <w:tcBorders>
              <w:top w:val="nil"/>
              <w:left w:val="nil"/>
              <w:bottom w:val="nil"/>
              <w:right w:val="nil"/>
            </w:tcBorders>
          </w:tcPr>
          <w:p w14:paraId="39A485B5" w14:textId="57842500">
            <w:pPr>
              <w:pStyle w:val="IPPArialTable"/>
            </w:pPr>
            <w:r>
              <w:rPr>
                <w:rStyle w:val="PleaseReviewParagraphId"/>
                <w:b w:val="off"/>
                <w:i w:val="off"/>
              </w:rPr>
              <w:t>[136]</w:t>
            </w:r>
            <w:r>
              <w:t>15 g</w:t>
            </w:r>
          </w:p>
        </w:tc>
      </w:tr>
      <w:tr w14:paraId="75051F49" w14:textId="77777777">
        <w:tc>
          <w:tcPr>
            <w:tcW w:w="3823" w:type="dxa"/>
            <w:tcBorders>
              <w:top w:val="nil"/>
              <w:left w:val="nil"/>
              <w:bottom w:val="single" w:color="auto" w:sz="4" w:space="0"/>
              <w:right w:val="nil"/>
            </w:tcBorders>
          </w:tcPr>
          <w:p w14:paraId="7F7AA8A1" w14:textId="6DEC5077">
            <w:pPr>
              <w:pStyle w:val="IPPArialTable"/>
              <w:numPr>
                <w:ilvl w:val="0"/>
                <w:numId w:val="49"/>
              </w:numPr>
              <w:ind w:left="284" w:hanging="142"/>
            </w:pPr>
            <w:r>
              <w:rPr>
                <w:rStyle w:val="PleaseReviewParagraphId"/>
                <w:b w:val="off"/>
                <w:i w:val="off"/>
              </w:rPr>
              <w:t>[137]</w:t>
            </w:r>
            <w:r>
              <w:t>Distilled water to a final volume of 1 L</w:t>
            </w:r>
          </w:p>
        </w:tc>
        <w:tc>
          <w:tcPr>
            <w:tcW w:w="2268" w:type="dxa"/>
            <w:tcBorders>
              <w:top w:val="nil"/>
              <w:left w:val="nil"/>
              <w:bottom w:val="single" w:color="auto" w:sz="4" w:space="0"/>
              <w:right w:val="nil"/>
            </w:tcBorders>
          </w:tcPr>
          <w:p w14:paraId="1FA416A3" w14:textId="60C0E0C0">
            <w:pPr>
              <w:pStyle w:val="IPPArialTable"/>
            </w:pPr>
            <w:r>
              <w:rPr>
                <w:rStyle w:val="PleaseReviewParagraphId"/>
                <w:b w:val="off"/>
                <w:i w:val="off"/>
              </w:rPr>
              <w:t>[138]</w:t>
            </w:r>
          </w:p>
        </w:tc>
      </w:tr>
      <w:tr w14:paraId="518C5E6B" w14:textId="77777777">
        <w:tc>
          <w:tcPr>
            <w:tcW w:w="3823" w:type="dxa"/>
            <w:tcBorders>
              <w:top w:val="single" w:color="auto" w:sz="4" w:space="0"/>
              <w:left w:val="nil"/>
              <w:bottom w:val="single" w:color="auto" w:sz="4" w:space="0"/>
              <w:right w:val="nil"/>
            </w:tcBorders>
          </w:tcPr>
          <w:p w14:paraId="608E3CF0" w14:textId="627B0B0D">
            <w:pPr>
              <w:pStyle w:val="IPPArialTable"/>
            </w:pPr>
            <w:r>
              <w:rPr>
                <w:rStyle w:val="PleaseReviewParagraphId"/>
                <w:b w:val="off"/>
                <w:i w:val="off"/>
              </w:rPr>
              <w:t>[139]</w:t>
            </w:r>
            <w:r>
              <w:t>Autoclave for 20 min at 121°C</w:t>
            </w:r>
          </w:p>
        </w:tc>
        <w:tc>
          <w:tcPr>
            <w:tcW w:w="2268" w:type="dxa"/>
            <w:tcBorders>
              <w:top w:val="single" w:color="auto" w:sz="4" w:space="0"/>
              <w:left w:val="nil"/>
              <w:bottom w:val="single" w:color="auto" w:sz="4" w:space="0"/>
              <w:right w:val="nil"/>
            </w:tcBorders>
          </w:tcPr>
          <w:p w14:paraId="4BC4A21F" w14:textId="77777777">
            <w:pPr>
              <w:pStyle w:val="IPPArialTable"/>
            </w:pPr>
            <w:r>
              <w:rPr>
                <w:rStyle w:val="PleaseReviewParagraphId"/>
                <w:b w:val="off"/>
                <w:i w:val="off"/>
              </w:rPr>
              <w:t>[140]</w:t>
            </w:r>
          </w:p>
        </w:tc>
      </w:tr>
      <w:tr w14:paraId="261F8782" w14:textId="77777777">
        <w:tc>
          <w:tcPr>
            <w:tcW w:w="3823" w:type="dxa"/>
            <w:tcBorders>
              <w:top w:val="single" w:color="auto" w:sz="4" w:space="0"/>
              <w:left w:val="nil"/>
              <w:bottom w:val="nil"/>
              <w:right w:val="nil"/>
            </w:tcBorders>
          </w:tcPr>
          <w:p w14:paraId="110F22F0" w14:textId="3B46C9D4">
            <w:pPr>
              <w:pStyle w:val="IPPArialTable"/>
            </w:pPr>
            <w:r>
              <w:rPr>
                <w:rStyle w:val="PleaseReviewParagraphId"/>
                <w:b w:val="off"/>
                <w:i w:val="off"/>
              </w:rPr>
              <w:t>[141]</w:t>
            </w:r>
            <w:r>
              <w:t>After sterilization, add:</w:t>
            </w:r>
          </w:p>
        </w:tc>
        <w:tc>
          <w:tcPr>
            <w:tcW w:w="2268" w:type="dxa"/>
            <w:tcBorders>
              <w:top w:val="single" w:color="auto" w:sz="4" w:space="0"/>
              <w:left w:val="nil"/>
              <w:bottom w:val="nil"/>
              <w:right w:val="nil"/>
            </w:tcBorders>
          </w:tcPr>
          <w:p w14:paraId="0CBC1287" w14:textId="77777777">
            <w:pPr>
              <w:pStyle w:val="IPPArialTable"/>
            </w:pPr>
            <w:r>
              <w:rPr>
                <w:rStyle w:val="PleaseReviewParagraphId"/>
                <w:b w:val="off"/>
                <w:i w:val="off"/>
              </w:rPr>
              <w:t>[142]</w:t>
            </w:r>
          </w:p>
        </w:tc>
      </w:tr>
      <w:tr w14:paraId="503026C0" w14:textId="77777777">
        <w:tc>
          <w:tcPr>
            <w:tcW w:w="3823" w:type="dxa"/>
            <w:tcBorders>
              <w:top w:val="nil"/>
              <w:left w:val="nil"/>
              <w:bottom w:val="nil"/>
              <w:right w:val="nil"/>
            </w:tcBorders>
          </w:tcPr>
          <w:p w14:paraId="229E3E20" w14:textId="3BE9DB0A">
            <w:pPr>
              <w:pStyle w:val="IPPArialTable"/>
              <w:numPr>
                <w:ilvl w:val="0"/>
                <w:numId w:val="50"/>
              </w:numPr>
              <w:ind w:left="284" w:hanging="142"/>
            </w:pPr>
            <w:r>
              <w:rPr>
                <w:rStyle w:val="PleaseReviewParagraphId"/>
                <w:b w:val="off"/>
                <w:i w:val="off"/>
              </w:rPr>
              <w:t>[143]</w:t>
            </w:r>
            <w:r>
              <w:t>Thiabendazole</w:t>
            </w:r>
            <w:r>
              <w:rPr>
                <w:rFonts w:ascii="ArialMT" w:hAnsi="ArialMT" w:cs="ArialMT" w:eastAsiaTheme="minorHAnsi"/>
                <w:szCs w:val="20"/>
                <w:vertAlign w:val="superscript"/>
              </w:rPr>
              <w:t>†</w:t>
            </w:r>
          </w:p>
        </w:tc>
        <w:tc>
          <w:tcPr>
            <w:tcW w:w="2268" w:type="dxa"/>
            <w:tcBorders>
              <w:top w:val="nil"/>
              <w:left w:val="nil"/>
              <w:bottom w:val="nil"/>
              <w:right w:val="nil"/>
            </w:tcBorders>
          </w:tcPr>
          <w:p w14:paraId="2BC2186F" w14:textId="2563E1BE">
            <w:pPr>
              <w:pStyle w:val="IPPArialTable"/>
            </w:pPr>
            <w:r>
              <w:rPr>
                <w:rStyle w:val="PleaseReviewParagraphId"/>
                <w:b w:val="off"/>
                <w:i w:val="off"/>
              </w:rPr>
              <w:t>[144]</w:t>
            </w:r>
            <w:r>
              <w:t>230 mg</w:t>
            </w:r>
          </w:p>
        </w:tc>
      </w:tr>
      <w:tr w14:paraId="3820FC20" w14:textId="77777777">
        <w:tc>
          <w:tcPr>
            <w:tcW w:w="3823" w:type="dxa"/>
            <w:tcBorders>
              <w:top w:val="nil"/>
              <w:left w:val="nil"/>
              <w:bottom w:val="nil"/>
              <w:right w:val="nil"/>
            </w:tcBorders>
          </w:tcPr>
          <w:p w14:paraId="624B7814" w14:textId="2FBA10E8">
            <w:pPr>
              <w:pStyle w:val="IPPArialTable"/>
              <w:numPr>
                <w:ilvl w:val="0"/>
                <w:numId w:val="50"/>
              </w:numPr>
              <w:ind w:left="284" w:hanging="142"/>
            </w:pPr>
            <w:r>
              <w:rPr>
                <w:rStyle w:val="PleaseReviewParagraphId"/>
                <w:b w:val="off"/>
                <w:i w:val="off"/>
              </w:rPr>
              <w:t>[145]</w:t>
            </w:r>
            <w:r>
              <w:t>Streptomycin</w:t>
            </w:r>
          </w:p>
        </w:tc>
        <w:tc>
          <w:tcPr>
            <w:tcW w:w="2268" w:type="dxa"/>
            <w:tcBorders>
              <w:top w:val="nil"/>
              <w:left w:val="nil"/>
              <w:bottom w:val="nil"/>
              <w:right w:val="nil"/>
            </w:tcBorders>
          </w:tcPr>
          <w:p w14:paraId="044A796D" w14:textId="03D7FEB5">
            <w:pPr>
              <w:pStyle w:val="IPPArialTable"/>
            </w:pPr>
            <w:r>
              <w:rPr>
                <w:rStyle w:val="PleaseReviewParagraphId"/>
                <w:b w:val="off"/>
                <w:i w:val="off"/>
              </w:rPr>
              <w:t>[146]</w:t>
            </w:r>
            <w:r>
              <w:t>100 mg</w:t>
            </w:r>
          </w:p>
        </w:tc>
      </w:tr>
      <w:tr w14:paraId="40ED1058" w14:textId="77777777">
        <w:tc>
          <w:tcPr>
            <w:tcW w:w="3823" w:type="dxa"/>
            <w:tcBorders>
              <w:top w:val="nil"/>
              <w:left w:val="nil"/>
              <w:bottom w:val="nil"/>
              <w:right w:val="nil"/>
            </w:tcBorders>
          </w:tcPr>
          <w:p w14:paraId="2931A8CC" w14:textId="798E71F0">
            <w:pPr>
              <w:pStyle w:val="IPPArialTable"/>
              <w:numPr>
                <w:ilvl w:val="0"/>
                <w:numId w:val="50"/>
              </w:numPr>
              <w:ind w:left="284" w:hanging="142"/>
            </w:pPr>
            <w:r>
              <w:rPr>
                <w:rStyle w:val="PleaseReviewParagraphId"/>
                <w:b w:val="off"/>
                <w:i w:val="off"/>
              </w:rPr>
              <w:t>[147]</w:t>
            </w:r>
            <w:r>
              <w:t>Polymyxin sulphate</w:t>
            </w:r>
          </w:p>
        </w:tc>
        <w:tc>
          <w:tcPr>
            <w:tcW w:w="2268" w:type="dxa"/>
            <w:tcBorders>
              <w:top w:val="nil"/>
              <w:left w:val="nil"/>
              <w:bottom w:val="nil"/>
              <w:right w:val="nil"/>
            </w:tcBorders>
          </w:tcPr>
          <w:p w14:paraId="712559A5" w14:textId="10532093">
            <w:pPr>
              <w:pStyle w:val="IPPArialTable"/>
            </w:pPr>
            <w:r>
              <w:rPr>
                <w:rStyle w:val="PleaseReviewParagraphId"/>
                <w:b w:val="off"/>
                <w:i w:val="off"/>
              </w:rPr>
              <w:t>[148]</w:t>
            </w:r>
            <w:r>
              <w:t>50 mg</w:t>
            </w:r>
          </w:p>
        </w:tc>
      </w:tr>
      <w:tr w14:paraId="4A2261DD" w14:textId="77777777">
        <w:tc>
          <w:tcPr>
            <w:tcW w:w="3823" w:type="dxa"/>
            <w:tcBorders>
              <w:top w:val="nil"/>
              <w:left w:val="nil"/>
              <w:bottom w:val="single" w:color="auto" w:sz="4" w:space="0"/>
              <w:right w:val="nil"/>
            </w:tcBorders>
          </w:tcPr>
          <w:p w14:paraId="27702D05" w14:textId="29E597BD">
            <w:pPr>
              <w:pStyle w:val="IPPArialTable"/>
              <w:numPr>
                <w:ilvl w:val="0"/>
                <w:numId w:val="50"/>
              </w:numPr>
              <w:ind w:left="284" w:hanging="142"/>
            </w:pPr>
            <w:r>
              <w:rPr>
                <w:rStyle w:val="PleaseReviewParagraphId"/>
                <w:b w:val="off"/>
                <w:i w:val="off"/>
              </w:rPr>
              <w:t>[149]</w:t>
            </w:r>
            <w:r>
              <w:t>Sodic benzylpenicillin</w:t>
            </w:r>
          </w:p>
        </w:tc>
        <w:tc>
          <w:tcPr>
            <w:tcW w:w="2268" w:type="dxa"/>
            <w:tcBorders>
              <w:top w:val="nil"/>
              <w:left w:val="nil"/>
              <w:bottom w:val="single" w:color="auto" w:sz="4" w:space="0"/>
              <w:right w:val="nil"/>
            </w:tcBorders>
          </w:tcPr>
          <w:p w14:paraId="157BD18A" w14:textId="27D162E7">
            <w:pPr>
              <w:pStyle w:val="IPPArialTable"/>
            </w:pPr>
            <w:r>
              <w:rPr>
                <w:rStyle w:val="PleaseReviewParagraphId"/>
                <w:b w:val="off"/>
                <w:i w:val="off"/>
              </w:rPr>
              <w:t>[150]</w:t>
            </w:r>
            <w:r>
              <w:t>100 mg</w:t>
            </w:r>
          </w:p>
        </w:tc>
      </w:tr>
    </w:tbl>
    <w:p w14:paraId="32EA5B6C" w14:textId="31AD747C">
      <w:pPr>
        <w:pStyle w:val="IPPArialFootnote"/>
      </w:pPr>
      <w:r>
        <w:rPr>
          <w:rStyle w:val="PleaseReviewParagraphId"/>
          <w:b w:val="off"/>
          <w:i w:val="off"/>
        </w:rPr>
        <w:t>[151]</w:t>
      </w:r>
      <w:r>
        <w:rPr>
          <w:rFonts w:ascii="ArialMT" w:hAnsi="ArialMT" w:cs="ArialMT" w:eastAsiaTheme="minorHAnsi"/>
          <w:i/>
          <w:iCs/>
        </w:rPr>
        <w:t xml:space="preserve">Notes: </w:t>
      </w:r>
      <w:r>
        <w:rPr>
          <w:rFonts w:ascii="ArialMT" w:hAnsi="ArialMT" w:cs="ArialMT" w:eastAsiaTheme="minorHAnsi"/>
          <w:vertAlign w:val="superscript"/>
        </w:rPr>
        <w:t>†</w:t>
      </w:r>
      <w:r>
        <w:t>Added in 1 mL concentrated lactic acid, 85–90%.</w:t>
      </w:r>
    </w:p>
    <w:p w14:paraId="647533EF" w14:textId="6D5322C8">
      <w:pPr>
        <w:pStyle w:val="IPPArialFootnote"/>
      </w:pPr>
      <w:r>
        <w:rPr>
          <w:rStyle w:val="PleaseReviewParagraphId"/>
          <w:b w:val="off"/>
          <w:i w:val="off"/>
        </w:rPr>
        <w:t>[152]</w:t>
      </w:r>
      <w:r>
        <w:t>Store at approximately 4 °C in the dark for not more than 15 days.</w:t>
      </w:r>
    </w:p>
    <w:p w14:paraId="72288FA7" w14:textId="3B1FC0B9">
      <w:pPr>
        <w:pStyle w:val="IPPArialFootnote"/>
      </w:pPr>
      <w:r>
        <w:rPr>
          <w:rStyle w:val="PleaseReviewParagraphId"/>
          <w:b w:val="off"/>
          <w:i w:val="off"/>
        </w:rPr>
        <w:t>[153]</w:t>
      </w:r>
      <w:r>
        <w:rPr>
          <w:i/>
          <w:iCs/>
        </w:rPr>
        <w:t xml:space="preserve">Source: </w:t>
      </w:r>
      <w:r>
        <w:t xml:space="preserve">Adapted from Legrand and Guillaumin (1993) by Bendel </w:t>
      </w:r>
      <w:r>
        <w:rPr>
          <w:i/>
        </w:rPr>
        <w:t>et al</w:t>
      </w:r>
      <w:r>
        <w:t>. (2006):</w:t>
      </w:r>
    </w:p>
    <w:p w14:paraId="4D5FCAEC" w14:textId="47319555">
      <w:pPr>
        <w:pStyle w:val="IPPArialFootnote"/>
      </w:pPr>
      <w:r>
        <w:rPr>
          <w:rStyle w:val="PleaseReviewParagraphId"/>
          <w:b w:val="off"/>
          <w:i w:val="off"/>
        </w:rPr>
        <w:t>[154]</w:t>
      </w:r>
      <w:r>
        <w:t xml:space="preserve">Bendel, M., Kienast, F., Bugmann, H. &amp; Rigling, D. 2006. Incidence and distribution of </w:t>
      </w:r>
      <w:r>
        <w:rPr>
          <w:i/>
        </w:rPr>
        <w:t>Heterobasidion</w:t>
      </w:r>
      <w:r>
        <w:t xml:space="preserve"> and </w:t>
      </w:r>
      <w:r>
        <w:rPr>
          <w:i/>
        </w:rPr>
        <w:t>Armillaria</w:t>
      </w:r>
      <w:r>
        <w:t xml:space="preserve"> and their influence on canopy gap formation in unmanaged mountain pine forests in the Swiss Alps. </w:t>
      </w:r>
      <w:r>
        <w:rPr>
          <w:i/>
        </w:rPr>
        <w:t>European Journal of Plant Pathology</w:t>
      </w:r>
      <w:r>
        <w:t xml:space="preserve">, 116: 85–93. </w:t>
      </w:r>
      <w:hyperlink w:history="1" r:id="rId11">
        <w:r>
          <w:rPr>
            <w:rStyle w:val="Hyperlink"/>
          </w:rPr>
          <w:t>https://doi.org/10.1007/s10658-006-9028-1</w:t>
        </w:r>
      </w:hyperlink>
      <w:r>
        <w:rPr>
          <w:rStyle w:val="Hyperlink"/>
        </w:rPr>
        <w:t>.</w:t>
      </w:r>
    </w:p>
    <w:p w14:paraId="060D7129" w14:textId="0608FE26">
      <w:pPr>
        <w:pStyle w:val="IPPArialFootnote"/>
        <w:spacing w:after="180"/>
        <w:rPr>
          <w:iCs/>
        </w:rPr>
      </w:pPr>
      <w:r>
        <w:rPr>
          <w:rStyle w:val="PleaseReviewParagraphId"/>
          <w:b w:val="off"/>
          <w:i w:val="off"/>
        </w:rPr>
        <w:t>[155]</w:t>
      </w:r>
      <w:r>
        <w:t xml:space="preserve">Legrand, P. &amp; Guillaumin, J.J. 1993. </w:t>
      </w:r>
      <w:r>
        <w:rPr>
          <w:i/>
        </w:rPr>
        <w:t>Armillaria</w:t>
      </w:r>
      <w:r>
        <w:t xml:space="preserve"> species in the forest ecosystems of the Auvergne (Central France). </w:t>
      </w:r>
      <w:r>
        <w:rPr>
          <w:i/>
        </w:rPr>
        <w:t>Acta Oecologica</w:t>
      </w:r>
      <w:r>
        <w:t>, 14: 389–403.</w:t>
      </w:r>
    </w:p>
    <w:p w14:paraId="2A42F0F4" w14:textId="220AA6B6">
      <w:pPr>
        <w:pStyle w:val="IPPHeading2"/>
      </w:pPr>
      <w:r>
        <w:rPr>
          <w:rStyle w:val="PleaseReviewParagraphId"/>
          <w:b w:val="off"/>
          <w:i w:val="off"/>
        </w:rPr>
        <w:t>[156]</w:t>
      </w:r>
      <w:r>
        <w:t>3.3.2</w:t>
        <w:tab/>
        <w:t>Isolation from wood samples and passive spore traps</w:t>
      </w:r>
    </w:p>
    <w:p w14:paraId="3C04E193" w14:textId="4C31440F">
      <w:pPr>
        <w:pStyle w:val="IPPParagraphnumbering"/>
        <w:numPr>
          <w:ilvl w:val="0"/>
          <w:numId w:val="0"/>
        </w:numPr>
        <w:rPr>
          <w:lang w:val="en-GB"/>
        </w:rPr>
      </w:pPr>
      <w:r>
        <w:rPr>
          <w:rStyle w:val="PleaseReviewParagraphId"/>
          <w:b w:val="off"/>
          <w:i w:val="off"/>
        </w:rPr>
        <w:t>[157]</w:t>
      </w:r>
      <w:r>
        <w:rPr>
          <w:lang w:val="en-GB"/>
        </w:rPr>
        <w:t xml:space="preserve">For isolation from wood samples and passive spore traps, individual colonies can be identified under a dissecting microscope (65–160× magnification) based on the presence of conidiophores of the anamorphic stage of the fungus. The conidiophores appear as a mass of whitish “pinheads” on stalks (Figure 7). Hyphae and conidiophores should be directly transferred onto plastic Petri dishes filled with either the selective or semi-selective culture medium described above (see section 3.3.1). In the case of passive spore traps, when </w:t>
      </w:r>
      <w:r>
        <w:rPr>
          <w:i/>
          <w:lang w:val="en-GB"/>
        </w:rPr>
        <w:t>Heterobasidion</w:t>
      </w:r>
      <w:r>
        <w:rPr>
          <w:lang w:val="en-GB"/>
        </w:rPr>
        <w:t xml:space="preserve"> spp. colonies are present, 3–5 colonies per disc should be isolated. Petri dishes are incubated at room temperature (18–24 °C) for at least 4–5 days in the light. Subcultures can be maintained on generic agar-based media as described above (see section 3.3.1).</w:t>
      </w:r>
    </w:p>
    <w:p w14:paraId="71CCC48B" w14:textId="10FA857E">
      <w:pPr>
        <w:pStyle w:val="IPPParagraphnumbering"/>
        <w:numPr>
          <w:ilvl w:val="0"/>
          <w:numId w:val="0"/>
        </w:numPr>
        <w:rPr>
          <w:lang w:val="en-GB"/>
        </w:rPr>
      </w:pPr>
      <w:r>
        <w:rPr>
          <w:rStyle w:val="PleaseReviewParagraphId"/>
          <w:b w:val="off"/>
          <w:i w:val="off"/>
        </w:rPr>
        <w:t>[158]</w:t>
      </w:r>
      <w:r>
        <w:rPr>
          <w:lang w:val="en-GB"/>
        </w:rPr>
        <w:t>In the case of wood samples, isolation without the prior incubation described in section 3.2.2 may be attempted, but experience shows that this is less successful. The procedure for such isolation is the same as described for fruiting bodies (see section 3.3.1).</w:t>
      </w:r>
    </w:p>
    <w:p w14:paraId="585F71B4" w14:textId="42E97E95">
      <w:pPr>
        <w:pStyle w:val="IPPHeading2"/>
      </w:pPr>
      <w:r>
        <w:rPr>
          <w:rStyle w:val="PleaseReviewParagraphId"/>
          <w:b w:val="off"/>
          <w:i w:val="off"/>
        </w:rPr>
        <w:t>[159]</w:t>
      </w:r>
      <w:r>
        <w:t>3.4</w:t>
        <w:tab/>
        <w:t>Detection by molecular methods</w:t>
      </w:r>
    </w:p>
    <w:p w14:paraId="6178AC3F" w14:textId="190CDEE6">
      <w:pPr>
        <w:pStyle w:val="IPPParagraphnumbering"/>
        <w:numPr>
          <w:ilvl w:val="0"/>
          <w:numId w:val="0"/>
        </w:numPr>
        <w:rPr>
          <w:lang w:val="en-GB"/>
        </w:rPr>
      </w:pPr>
      <w:r>
        <w:rPr>
          <w:rStyle w:val="PleaseReviewParagraphId"/>
          <w:b w:val="off"/>
          <w:i w:val="off"/>
        </w:rPr>
        <w:t>[160]</w:t>
      </w:r>
      <w:r>
        <w:rPr>
          <w:lang w:val="en-GB"/>
        </w:rPr>
        <w:t xml:space="preserve">Molecular methods have been developed to detect pathogenic species or groups of species in </w:t>
      </w:r>
      <w:r>
        <w:rPr>
          <w:i/>
          <w:lang w:val="en-GB"/>
        </w:rPr>
        <w:t>H. annosum s.l.</w:t>
      </w:r>
      <w:r>
        <w:rPr>
          <w:lang w:val="en-GB"/>
        </w:rPr>
        <w:t xml:space="preserve"> using conventional polymerase chain reaction (PCR), real-time PCR, multiplex real-time PCR or loop-mediated isothermal amplification (LAMP) (Table 3).</w:t>
      </w:r>
      <w:bookmarkStart w:name="_Ref136780335" w:id="21"/>
      <w:r>
        <w:rPr>
          <w:rStyle w:val="FootnoteReference"/>
          <w:iCs/>
          <w:lang w:val="en-GB"/>
        </w:rPr>
        <w:footnoteReference w:id="2"/>
      </w:r>
      <w:bookmarkEnd w:id="21"/>
    </w:p>
    <w:p w14:paraId="2E0F8280" w14:textId="06CB38A7">
      <w:pPr>
        <w:pStyle w:val="IPPParagraphnumbering"/>
        <w:numPr>
          <w:ilvl w:val="0"/>
          <w:numId w:val="0"/>
        </w:numPr>
        <w:rPr>
          <w:lang w:val="en-GB"/>
        </w:rPr>
      </w:pPr>
      <w:r>
        <w:rPr>
          <w:rStyle w:val="PleaseReviewParagraphId"/>
          <w:b w:val="off"/>
          <w:i w:val="off"/>
        </w:rPr>
        <w:t>[162]</w:t>
      </w:r>
      <w:r>
        <w:rPr>
          <w:lang w:val="en-GB"/>
        </w:rPr>
        <w:t xml:space="preserve">For this diagnostic protocol, six methods (or sets of methods) have been selected </w:t>
      </w:r>
      <w:bookmarkStart w:name="_Hlk136778664" w:id="22"/>
      <w:r>
        <w:rPr>
          <w:lang w:val="en-GB"/>
        </w:rPr>
        <w:t xml:space="preserve">based on laboratories’ experience of using them </w:t>
      </w:r>
      <w:bookmarkEnd w:id="22"/>
      <w:r>
        <w:rPr>
          <w:lang w:val="en-GB"/>
        </w:rPr>
        <w:t xml:space="preserve">and the availability of validation data: one method for the detection of </w:t>
      </w:r>
      <w:r>
        <w:rPr>
          <w:i/>
          <w:iCs/>
          <w:lang w:val="en-GB"/>
        </w:rPr>
        <w:t>H. </w:t>
      </w:r>
      <w:r>
        <w:rPr>
          <w:i/>
          <w:lang w:val="en-GB"/>
        </w:rPr>
        <w:t>annosum</w:t>
      </w:r>
      <w:r>
        <w:rPr>
          <w:i/>
          <w:iCs/>
          <w:lang w:val="en-GB"/>
        </w:rPr>
        <w:t> s.l.</w:t>
      </w:r>
      <w:r>
        <w:rPr>
          <w:lang w:val="en-GB"/>
        </w:rPr>
        <w:t xml:space="preserve"> (species complex) and five species-specific methods (or sets of methods) to detect different </w:t>
      </w:r>
      <w:r>
        <w:rPr>
          <w:i/>
          <w:lang w:val="en-GB"/>
        </w:rPr>
        <w:t>Heterobasidion</w:t>
      </w:r>
      <w:r>
        <w:rPr>
          <w:lang w:val="en-GB"/>
        </w:rPr>
        <w:t xml:space="preserve"> species. These methods are described below.</w:t>
      </w:r>
    </w:p>
    <w:p w14:paraId="250B762F" w14:textId="2F061FBD">
      <w:pPr>
        <w:pStyle w:val="IPPParagraphnumbering"/>
        <w:numPr>
          <w:ilvl w:val="0"/>
          <w:numId w:val="0"/>
        </w:numPr>
        <w:rPr>
          <w:lang w:val="en-GB"/>
        </w:rPr>
      </w:pPr>
      <w:r>
        <w:rPr>
          <w:rStyle w:val="PleaseReviewParagraphId"/>
          <w:b w:val="off"/>
          <w:i w:val="off"/>
        </w:rPr>
        <w:t>[163]</w:t>
      </w:r>
      <w:r>
        <w:rPr>
          <w:lang w:val="en-GB"/>
        </w:rPr>
        <w:lastRenderedPageBreak/>
        <w:t xml:space="preserve">For practical purposes, Bahnweg </w:t>
      </w:r>
      <w:r>
        <w:rPr>
          <w:i/>
          <w:iCs/>
          <w:lang w:val="en-GB"/>
        </w:rPr>
        <w:t>et al</w:t>
      </w:r>
      <w:r>
        <w:rPr>
          <w:lang w:val="en-GB"/>
        </w:rPr>
        <w:t xml:space="preserve">. (2002) developed specific PCR primers for </w:t>
      </w:r>
      <w:r>
        <w:rPr>
          <w:i/>
          <w:iCs/>
          <w:lang w:val="en-GB"/>
        </w:rPr>
        <w:t>H. </w:t>
      </w:r>
      <w:r>
        <w:rPr>
          <w:i/>
          <w:lang w:val="en-GB"/>
        </w:rPr>
        <w:t>annosum</w:t>
      </w:r>
      <w:r>
        <w:rPr>
          <w:i/>
          <w:iCs/>
          <w:lang w:val="en-GB"/>
        </w:rPr>
        <w:t> s.l.</w:t>
      </w:r>
      <w:r>
        <w:rPr>
          <w:lang w:val="en-GB"/>
        </w:rPr>
        <w:t xml:space="preserve"> allowing simultaneous detection of </w:t>
      </w:r>
      <w:r>
        <w:rPr>
          <w:i/>
          <w:lang w:val="en-GB"/>
        </w:rPr>
        <w:t>Armillaria</w:t>
      </w:r>
      <w:r>
        <w:rPr>
          <w:lang w:val="en-GB"/>
        </w:rPr>
        <w:t xml:space="preserve"> spp. in multiplex PCR. This method can be applied to detect these two pathogens causing tree root rot, particularly in the early stages of infection in which symptoms are not yet clearly expressed (see sections 3.1.1 and 3.1.2). Both </w:t>
      </w:r>
      <w:r>
        <w:rPr>
          <w:i/>
          <w:iCs/>
          <w:lang w:val="en-GB"/>
        </w:rPr>
        <w:t>H. </w:t>
      </w:r>
      <w:r>
        <w:rPr>
          <w:i/>
          <w:lang w:val="en-GB"/>
        </w:rPr>
        <w:t>annosum</w:t>
      </w:r>
      <w:r>
        <w:rPr>
          <w:i/>
          <w:iCs/>
          <w:lang w:val="en-GB"/>
        </w:rPr>
        <w:t> s.l.</w:t>
      </w:r>
      <w:r>
        <w:rPr>
          <w:lang w:val="en-GB"/>
        </w:rPr>
        <w:t xml:space="preserve"> and </w:t>
      </w:r>
      <w:r>
        <w:rPr>
          <w:i/>
          <w:lang w:val="en-GB"/>
        </w:rPr>
        <w:t>Armillaria</w:t>
      </w:r>
      <w:r>
        <w:rPr>
          <w:lang w:val="en-GB"/>
        </w:rPr>
        <w:t xml:space="preserve"> spp. are economically-important pathogens of conifers that can coexist in the same stand and sometimes double infection is possible. In the absence of signs of these two pathogens (e.g. fruiting bodies, rhizomorphs for </w:t>
      </w:r>
      <w:r>
        <w:rPr>
          <w:i/>
          <w:lang w:val="en-GB"/>
        </w:rPr>
        <w:t>Armillaria</w:t>
      </w:r>
      <w:r>
        <w:rPr>
          <w:lang w:val="en-GB"/>
        </w:rPr>
        <w:t xml:space="preserve"> spp.), </w:t>
      </w:r>
      <w:r>
        <w:rPr>
          <w:i/>
          <w:iCs/>
          <w:lang w:val="en-GB"/>
        </w:rPr>
        <w:t>Heterobasidion</w:t>
      </w:r>
      <w:r>
        <w:rPr>
          <w:lang w:val="en-GB"/>
        </w:rPr>
        <w:t xml:space="preserve"> symptoms may not be easily distinguished from those of </w:t>
      </w:r>
      <w:r>
        <w:rPr>
          <w:i/>
          <w:lang w:val="en-GB"/>
        </w:rPr>
        <w:t>Armillaria</w:t>
      </w:r>
      <w:r>
        <w:rPr>
          <w:lang w:val="en-GB"/>
        </w:rPr>
        <w:t xml:space="preserve"> spp. or of other root-rot agents.</w:t>
      </w:r>
    </w:p>
    <w:p w14:paraId="0C079A3E" w14:textId="5FB5CA2F">
      <w:pPr>
        <w:pStyle w:val="IPPParagraphnumbering"/>
        <w:numPr>
          <w:ilvl w:val="0"/>
          <w:numId w:val="0"/>
        </w:numPr>
        <w:rPr>
          <w:lang w:val="en-GB"/>
        </w:rPr>
      </w:pPr>
      <w:r>
        <w:rPr>
          <w:rStyle w:val="PleaseReviewParagraphId"/>
          <w:b w:val="off"/>
          <w:i w:val="off"/>
        </w:rPr>
        <w:t>[164]</w:t>
      </w:r>
      <w:r>
        <w:rPr>
          <w:lang w:val="en-GB"/>
        </w:rPr>
        <w:t xml:space="preserve">Methods based on PCR targeting mitochondrial DNA have been developed to discriminate the species </w:t>
      </w:r>
      <w:r>
        <w:rPr>
          <w:i/>
          <w:iCs/>
          <w:lang w:val="en-GB"/>
        </w:rPr>
        <w:t>H. </w:t>
      </w:r>
      <w:r>
        <w:rPr>
          <w:i/>
          <w:lang w:val="en-GB"/>
        </w:rPr>
        <w:t>abietinum</w:t>
      </w:r>
      <w:r>
        <w:rPr>
          <w:lang w:val="en-GB"/>
        </w:rPr>
        <w:t xml:space="preserve">, </w:t>
      </w:r>
      <w:r>
        <w:rPr>
          <w:i/>
          <w:iCs/>
          <w:lang w:val="en-GB"/>
        </w:rPr>
        <w:t>H. </w:t>
      </w:r>
      <w:r>
        <w:rPr>
          <w:i/>
          <w:lang w:val="en-GB"/>
        </w:rPr>
        <w:t>annosum</w:t>
      </w:r>
      <w:r>
        <w:rPr>
          <w:i/>
          <w:iCs/>
          <w:lang w:val="en-GB"/>
        </w:rPr>
        <w:t> s.s.</w:t>
      </w:r>
      <w:r>
        <w:rPr>
          <w:lang w:val="en-GB"/>
        </w:rPr>
        <w:t xml:space="preserve"> and </w:t>
      </w:r>
      <w:r>
        <w:rPr>
          <w:i/>
          <w:iCs/>
          <w:lang w:val="en-GB"/>
        </w:rPr>
        <w:t>H. </w:t>
      </w:r>
      <w:r>
        <w:rPr>
          <w:i/>
          <w:lang w:val="en-GB"/>
        </w:rPr>
        <w:t>parviporum</w:t>
      </w:r>
      <w:r>
        <w:rPr>
          <w:lang w:val="en-GB"/>
        </w:rPr>
        <w:t xml:space="preserve"> (Gonthier </w:t>
      </w:r>
      <w:r>
        <w:rPr>
          <w:i/>
          <w:iCs/>
          <w:lang w:val="en-GB"/>
        </w:rPr>
        <w:t>et al</w:t>
      </w:r>
      <w:r>
        <w:rPr>
          <w:lang w:val="en-GB"/>
        </w:rPr>
        <w:t>., 2001; Gonthier</w:t>
      </w:r>
      <w:r>
        <w:rPr>
          <w:iCs/>
          <w:lang w:val="en-GB"/>
        </w:rPr>
        <w:t>, Garbelotto and Nicolotti,</w:t>
      </w:r>
      <w:r>
        <w:rPr>
          <w:lang w:val="en-GB"/>
        </w:rPr>
        <w:t xml:space="preserve"> 2003). A duplex PCR-based method targeting nuclear and mitochondrial DNA has also been developed to distinguish between </w:t>
      </w:r>
      <w:r>
        <w:rPr>
          <w:i/>
          <w:iCs/>
          <w:lang w:val="en-GB"/>
        </w:rPr>
        <w:t>H. </w:t>
      </w:r>
      <w:r>
        <w:rPr>
          <w:i/>
          <w:lang w:val="en-GB"/>
        </w:rPr>
        <w:t>annosum</w:t>
      </w:r>
      <w:r>
        <w:rPr>
          <w:i/>
          <w:iCs/>
          <w:lang w:val="en-GB"/>
        </w:rPr>
        <w:t> s.s.</w:t>
      </w:r>
      <w:r>
        <w:rPr>
          <w:lang w:val="en-GB"/>
        </w:rPr>
        <w:t xml:space="preserve"> and </w:t>
      </w:r>
      <w:r>
        <w:rPr>
          <w:i/>
          <w:iCs/>
          <w:lang w:val="en-GB"/>
        </w:rPr>
        <w:t>H. </w:t>
      </w:r>
      <w:r>
        <w:rPr>
          <w:i/>
          <w:lang w:val="en-GB"/>
        </w:rPr>
        <w:t>irregulare</w:t>
      </w:r>
      <w:r>
        <w:rPr>
          <w:lang w:val="en-GB"/>
        </w:rPr>
        <w:t xml:space="preserve"> (Gonthier </w:t>
      </w:r>
      <w:r>
        <w:rPr>
          <w:i/>
          <w:iCs/>
          <w:lang w:val="en-GB"/>
        </w:rPr>
        <w:t>et al</w:t>
      </w:r>
      <w:r>
        <w:rPr>
          <w:lang w:val="en-GB"/>
        </w:rPr>
        <w:t xml:space="preserve">., 2007) and to detect hybrids between these two species. In addition, real-time PCR methods have been developed. The internal transcribed spacer (ITS) region was selected by Lamarche </w:t>
      </w:r>
      <w:r>
        <w:rPr>
          <w:i/>
          <w:iCs/>
          <w:lang w:val="en-GB"/>
        </w:rPr>
        <w:t>et al</w:t>
      </w:r>
      <w:r>
        <w:rPr>
          <w:lang w:val="en-GB"/>
        </w:rPr>
        <w:t xml:space="preserve">. (2017) to design a set of real-time PCR methods using hydrolysis probes with different levels of specificity to detect the species of </w:t>
      </w:r>
      <w:r>
        <w:rPr>
          <w:i/>
          <w:iCs/>
          <w:lang w:val="en-GB"/>
        </w:rPr>
        <w:t>H. </w:t>
      </w:r>
      <w:r>
        <w:rPr>
          <w:i/>
          <w:lang w:val="en-GB"/>
        </w:rPr>
        <w:t>annosum</w:t>
      </w:r>
      <w:r>
        <w:rPr>
          <w:i/>
          <w:iCs/>
          <w:lang w:val="en-GB"/>
        </w:rPr>
        <w:t> s.l.</w:t>
      </w:r>
      <w:r>
        <w:rPr>
          <w:lang w:val="en-GB"/>
        </w:rPr>
        <w:t xml:space="preserve"> occurring in North America, </w:t>
      </w:r>
      <w:r>
        <w:rPr>
          <w:i/>
          <w:iCs/>
          <w:lang w:val="en-GB"/>
        </w:rPr>
        <w:t>H. </w:t>
      </w:r>
      <w:r>
        <w:rPr>
          <w:i/>
          <w:lang w:val="en-GB"/>
        </w:rPr>
        <w:t>irregulare</w:t>
      </w:r>
      <w:r>
        <w:rPr>
          <w:lang w:val="en-GB"/>
        </w:rPr>
        <w:t xml:space="preserve"> and </w:t>
      </w:r>
      <w:r>
        <w:rPr>
          <w:i/>
          <w:iCs/>
          <w:lang w:val="en-GB"/>
        </w:rPr>
        <w:t>H. </w:t>
      </w:r>
      <w:r>
        <w:rPr>
          <w:i/>
          <w:lang w:val="en-GB"/>
        </w:rPr>
        <w:t>occidentale</w:t>
      </w:r>
      <w:r>
        <w:rPr>
          <w:lang w:val="en-GB"/>
        </w:rPr>
        <w:t xml:space="preserve">, and </w:t>
      </w:r>
      <w:r>
        <w:rPr>
          <w:i/>
          <w:iCs/>
          <w:lang w:val="en-GB"/>
        </w:rPr>
        <w:t>H. </w:t>
      </w:r>
      <w:r>
        <w:rPr>
          <w:i/>
          <w:lang w:val="en-GB"/>
        </w:rPr>
        <w:t>annosum</w:t>
      </w:r>
      <w:r>
        <w:rPr>
          <w:i/>
          <w:iCs/>
          <w:lang w:val="en-GB"/>
        </w:rPr>
        <w:t> s.s.</w:t>
      </w:r>
      <w:r>
        <w:rPr>
          <w:lang w:val="en-GB"/>
        </w:rPr>
        <w:t xml:space="preserve"> Ioos </w:t>
      </w:r>
      <w:r>
        <w:rPr>
          <w:i/>
          <w:iCs/>
          <w:lang w:val="en-GB"/>
        </w:rPr>
        <w:t>et al</w:t>
      </w:r>
      <w:r>
        <w:rPr>
          <w:lang w:val="en-GB"/>
        </w:rPr>
        <w:t xml:space="preserve">. (2019) developed multiplex real-time PCR methods for the detection and identification of </w:t>
      </w:r>
      <w:r>
        <w:rPr>
          <w:i/>
          <w:lang w:val="en-GB"/>
        </w:rPr>
        <w:t>Heterobasidion</w:t>
      </w:r>
      <w:r>
        <w:rPr>
          <w:lang w:val="en-GB"/>
        </w:rPr>
        <w:t xml:space="preserve"> species infecting conifers in Europe </w:t>
      </w:r>
      <w:bookmarkStart w:name="_Hlk115992474" w:id="23"/>
      <w:r>
        <w:rPr>
          <w:lang w:val="en-GB"/>
        </w:rPr>
        <w:t>(</w:t>
      </w:r>
      <w:r>
        <w:rPr>
          <w:i/>
          <w:iCs/>
          <w:lang w:val="en-GB"/>
        </w:rPr>
        <w:t>H. </w:t>
      </w:r>
      <w:r>
        <w:rPr>
          <w:i/>
          <w:lang w:val="en-GB"/>
        </w:rPr>
        <w:t>abietinum</w:t>
      </w:r>
      <w:r>
        <w:rPr>
          <w:lang w:val="en-GB"/>
        </w:rPr>
        <w:t xml:space="preserve">, </w:t>
      </w:r>
      <w:r>
        <w:rPr>
          <w:i/>
          <w:iCs/>
          <w:lang w:val="en-GB"/>
        </w:rPr>
        <w:t>H. </w:t>
      </w:r>
      <w:r>
        <w:rPr>
          <w:i/>
          <w:lang w:val="en-GB"/>
        </w:rPr>
        <w:t>annosum</w:t>
      </w:r>
      <w:r>
        <w:rPr>
          <w:i/>
          <w:iCs/>
          <w:lang w:val="en-GB"/>
        </w:rPr>
        <w:t> s.s.</w:t>
      </w:r>
      <w:r>
        <w:rPr>
          <w:lang w:val="en-GB"/>
        </w:rPr>
        <w:t xml:space="preserve">, </w:t>
      </w:r>
      <w:r>
        <w:rPr>
          <w:i/>
          <w:iCs/>
          <w:lang w:val="en-GB"/>
        </w:rPr>
        <w:t>H. </w:t>
      </w:r>
      <w:r>
        <w:rPr>
          <w:i/>
          <w:lang w:val="en-GB"/>
        </w:rPr>
        <w:t xml:space="preserve">irregulare </w:t>
      </w:r>
      <w:r>
        <w:rPr>
          <w:lang w:val="en-GB"/>
        </w:rPr>
        <w:t xml:space="preserve">and </w:t>
      </w:r>
      <w:r>
        <w:rPr>
          <w:i/>
          <w:iCs/>
          <w:lang w:val="en-GB"/>
        </w:rPr>
        <w:t>H. </w:t>
      </w:r>
      <w:r>
        <w:rPr>
          <w:i/>
          <w:lang w:val="en-GB"/>
        </w:rPr>
        <w:t>parviporum</w:t>
      </w:r>
      <w:r>
        <w:rPr>
          <w:lang w:val="en-GB"/>
        </w:rPr>
        <w:t>)</w:t>
      </w:r>
      <w:bookmarkEnd w:id="23"/>
      <w:r>
        <w:rPr>
          <w:lang w:val="en-GB"/>
        </w:rPr>
        <w:t xml:space="preserve">, which can be used simultaneously or individually thanks to probes labelled with species-specific fluorescent dyes. Sillo, </w:t>
      </w:r>
      <w:r>
        <w:rPr>
          <w:iCs/>
          <w:lang w:val="en-GB"/>
        </w:rPr>
        <w:t>Giordano and Gonthier</w:t>
      </w:r>
      <w:r>
        <w:rPr>
          <w:lang w:val="en-GB"/>
        </w:rPr>
        <w:t xml:space="preserve"> (2018) focused on </w:t>
      </w:r>
      <w:r>
        <w:rPr>
          <w:i/>
          <w:iCs/>
          <w:lang w:val="en-GB"/>
        </w:rPr>
        <w:t>H. </w:t>
      </w:r>
      <w:r>
        <w:rPr>
          <w:i/>
          <w:lang w:val="en-GB"/>
        </w:rPr>
        <w:t>irregulare</w:t>
      </w:r>
      <w:r>
        <w:rPr>
          <w:lang w:val="en-GB"/>
        </w:rPr>
        <w:t xml:space="preserve"> and developed a LAMP method that targets a specific region (cytochrome P450 monooxygenase with haem-binding activity) identified through comparative genomics.</w:t>
      </w:r>
      <w:r>
        <w:rPr>
          <w:lang w:val="en-GB"/>
        </w:rPr>
        <w:fldChar w:fldCharType="begin"/>
      </w:r>
      <w:r>
        <w:rPr>
          <w:lang w:val="en-GB"/>
        </w:rPr>
        <w:instrText xml:space="preserve"> NOTEREF _Ref136780335 \f </w:instrText>
      </w:r>
      <w:r>
        <w:rPr>
          <w:lang w:val="en-GB"/>
        </w:rPr>
        <w:fldChar w:fldCharType="separate"/>
      </w:r>
      <w:r>
        <w:rPr>
          <w:rStyle w:val="FootnoteReference"/>
          <w:lang w:val="en-GB"/>
        </w:rPr>
        <w:t>1</w:t>
      </w:r>
      <w:r>
        <w:rPr>
          <w:lang w:val="en-GB"/>
        </w:rPr>
        <w:fldChar w:fldCharType="end"/>
      </w:r>
    </w:p>
    <w:p w14:paraId="70DE109F" w14:textId="5D1DB29A">
      <w:pPr>
        <w:pStyle w:val="IPPParagraphnumbering"/>
        <w:numPr>
          <w:ilvl w:val="0"/>
          <w:numId w:val="0"/>
        </w:numPr>
        <w:rPr>
          <w:lang w:val="en-GB"/>
        </w:rPr>
      </w:pPr>
      <w:r>
        <w:rPr>
          <w:rStyle w:val="PleaseReviewParagraphId"/>
          <w:b w:val="off"/>
          <w:i w:val="off"/>
        </w:rPr>
        <w:t>[165]</w:t>
      </w:r>
      <w:r>
        <w:rPr>
          <w:lang w:val="en-GB"/>
        </w:rPr>
        <w:t>The above methods can be used for typing isolates and fruiting bodies, as well as environmental (wood) samples. The molecular detection directly from environmental materials represents a powerful tool for a rapid and reliable monitoring of these pathogenic species.</w:t>
      </w:r>
    </w:p>
    <w:p w14:paraId="6CCA93DC" w14:textId="5C1A4770">
      <w:pPr>
        <w:pStyle w:val="IPPParagraphnumbering"/>
        <w:numPr>
          <w:ilvl w:val="0"/>
          <w:numId w:val="0"/>
        </w:numPr>
        <w:rPr>
          <w:lang w:val="en-GB"/>
        </w:rPr>
      </w:pPr>
      <w:r>
        <w:rPr>
          <w:rStyle w:val="PleaseReviewParagraphId"/>
          <w:b w:val="off"/>
          <w:i w:val="off"/>
        </w:rPr>
        <w:t>[166]</w:t>
      </w:r>
      <w:r>
        <w:rPr>
          <w:lang w:val="en-GB"/>
        </w:rPr>
        <w:t xml:space="preserve">As previously indicated, this diagnostic protocol does not provide a comprehensive review of all molecular methods available for the diagnosis of </w:t>
      </w:r>
      <w:r>
        <w:rPr>
          <w:i/>
          <w:iCs/>
          <w:lang w:val="en-GB"/>
        </w:rPr>
        <w:t>H. </w:t>
      </w:r>
      <w:r>
        <w:rPr>
          <w:i/>
          <w:lang w:val="en-GB"/>
        </w:rPr>
        <w:t>annosum</w:t>
      </w:r>
      <w:r>
        <w:rPr>
          <w:i/>
          <w:iCs/>
          <w:lang w:val="en-GB"/>
        </w:rPr>
        <w:t> s.l.</w:t>
      </w:r>
      <w:r>
        <w:rPr>
          <w:lang w:val="en-GB"/>
        </w:rPr>
        <w:t xml:space="preserve"> Other molecular tests are available in the literature and other equipment, kits or reagents may be used provided that a verification is carried out.</w:t>
      </w:r>
    </w:p>
    <w:p w14:paraId="2D0A139A" w14:textId="70CE9D8B">
      <w:pPr>
        <w:pStyle w:val="IPPArial"/>
        <w:spacing w:after="120"/>
      </w:pPr>
      <w:r>
        <w:rPr>
          <w:rStyle w:val="PleaseReviewParagraphId"/>
          <w:b w:val="off"/>
          <w:i w:val="off"/>
        </w:rPr>
        <w:t>[167]</w:t>
      </w:r>
      <w:r>
        <w:rPr>
          <w:b/>
          <w:bCs/>
        </w:rPr>
        <w:t>Table 3.</w:t>
      </w:r>
      <w:r>
        <w:t xml:space="preserve"> Molecular methods for detection of pathogenic species or groups of species in </w:t>
      </w:r>
      <w:r>
        <w:rPr>
          <w:i/>
          <w:iCs/>
        </w:rPr>
        <w:t>Heterobasidion annosum sensu lato</w:t>
      </w:r>
      <w:r>
        <w:t xml:space="preserve"> </w:t>
      </w:r>
    </w:p>
    <w:tbl>
      <w:tblPr>
        <w:tblStyle w:val="TableGrid"/>
        <w:tblW w:w="5004" w:type="pct"/>
        <w:tblLayout w:type="fixed"/>
        <w:tblLook w:val="04A0" w:firstRow="1" w:lastRow="0" w:firstColumn="1" w:lastColumn="0" w:noHBand="0" w:noVBand="1"/>
      </w:tblPr>
      <w:tblGrid>
        <w:gridCol w:w="960"/>
        <w:gridCol w:w="1016"/>
        <w:gridCol w:w="1074"/>
        <w:gridCol w:w="1052"/>
        <w:gridCol w:w="994"/>
        <w:gridCol w:w="994"/>
        <w:gridCol w:w="1135"/>
        <w:gridCol w:w="1135"/>
        <w:gridCol w:w="707"/>
      </w:tblGrid>
      <w:tr w14:paraId="36152863" w14:textId="77777777">
        <w:tc>
          <w:tcPr>
            <w:tcW w:w="530" w:type="pct"/>
            <w:vMerge w:val="restart"/>
            <w:shd w:val="clear" w:color="auto" w:fill="BFBFBF" w:themeFill="background1" w:themeFillShade="BF"/>
          </w:tcPr>
          <w:p w14:paraId="236B350B" w14:textId="77777777">
            <w:pPr>
              <w:pStyle w:val="IPPArialTable"/>
              <w:rPr>
                <w:b/>
                <w:bCs/>
              </w:rPr>
            </w:pPr>
            <w:r>
              <w:rPr>
                <w:rStyle w:val="PleaseReviewParagraphId"/>
                <w:b w:val="off"/>
                <w:i w:val="off"/>
              </w:rPr>
              <w:t>[168]</w:t>
            </w:r>
            <w:r>
              <w:rPr>
                <w:b/>
                <w:bCs/>
              </w:rPr>
              <w:t>Section</w:t>
            </w:r>
          </w:p>
        </w:tc>
        <w:tc>
          <w:tcPr>
            <w:tcW w:w="560" w:type="pct"/>
            <w:vMerge w:val="restart"/>
            <w:shd w:val="clear" w:color="auto" w:fill="BFBFBF" w:themeFill="background1" w:themeFillShade="BF"/>
          </w:tcPr>
          <w:p w14:paraId="62DEA08A" w14:textId="449E16A0">
            <w:pPr>
              <w:pStyle w:val="IPPArialTable"/>
              <w:rPr>
                <w:b/>
                <w:bCs/>
              </w:rPr>
            </w:pPr>
            <w:r>
              <w:rPr>
                <w:rStyle w:val="PleaseReviewParagraphId"/>
                <w:b w:val="off"/>
                <w:i w:val="off"/>
              </w:rPr>
              <w:t>[169]</w:t>
            </w:r>
            <w:r>
              <w:rPr>
                <w:b/>
                <w:bCs/>
              </w:rPr>
              <w:t xml:space="preserve">Method </w:t>
            </w:r>
            <w:r>
              <w:rPr>
                <w:b/>
                <w:bCs/>
                <w:vertAlign w:val="superscript"/>
              </w:rPr>
              <w:t>(source)</w:t>
            </w:r>
          </w:p>
        </w:tc>
        <w:tc>
          <w:tcPr>
            <w:tcW w:w="3520" w:type="pct"/>
            <w:gridSpan w:val="6"/>
            <w:shd w:val="clear" w:color="auto" w:fill="BFBFBF" w:themeFill="background1" w:themeFillShade="BF"/>
          </w:tcPr>
          <w:p w14:paraId="11C1BB28" w14:textId="77777777">
            <w:pPr>
              <w:pStyle w:val="IPPArialTable"/>
              <w:jc w:val="center"/>
              <w:rPr>
                <w:b/>
                <w:bCs/>
              </w:rPr>
            </w:pPr>
            <w:r>
              <w:rPr>
                <w:rStyle w:val="PleaseReviewParagraphId"/>
                <w:b w:val="off"/>
                <w:i w:val="off"/>
              </w:rPr>
              <w:t>[170]</w:t>
            </w:r>
            <w:r>
              <w:rPr>
                <w:b/>
                <w:bCs/>
              </w:rPr>
              <w:t>Species targeted</w:t>
            </w:r>
          </w:p>
        </w:tc>
        <w:tc>
          <w:tcPr>
            <w:tcW w:w="390" w:type="pct"/>
            <w:vMerge w:val="restart"/>
            <w:shd w:val="clear" w:color="auto" w:fill="BFBFBF" w:themeFill="background1" w:themeFillShade="BF"/>
          </w:tcPr>
          <w:p w14:paraId="5035AC05" w14:textId="54D20197">
            <w:pPr>
              <w:pStyle w:val="IPPArialTable"/>
              <w:rPr>
                <w:b/>
                <w:bCs/>
              </w:rPr>
            </w:pPr>
            <w:r>
              <w:rPr>
                <w:rStyle w:val="PleaseReviewParagraphId"/>
                <w:b w:val="off"/>
                <w:i w:val="off"/>
              </w:rPr>
              <w:t>[171]</w:t>
            </w:r>
            <w:r>
              <w:rPr>
                <w:b/>
                <w:bCs/>
              </w:rPr>
              <w:t>Other</w:t>
            </w:r>
          </w:p>
        </w:tc>
      </w:tr>
      <w:tr w14:paraId="443260DD" w14:textId="77777777">
        <w:tc>
          <w:tcPr>
            <w:tcW w:w="530" w:type="pct"/>
            <w:vMerge/>
            <w:shd w:val="clear" w:color="auto" w:fill="BFBFBF" w:themeFill="background1" w:themeFillShade="BF"/>
          </w:tcPr>
          <w:p w14:paraId="64BB3F5F" w14:textId="77777777">
            <w:pPr>
              <w:pStyle w:val="IPPArialTable"/>
            </w:pPr>
            <w:r>
              <w:rPr>
                <w:rStyle w:val="PleaseReviewParagraphId"/>
                <w:b w:val="off"/>
                <w:i w:val="off"/>
              </w:rPr>
              <w:t>[172]</w:t>
            </w:r>
          </w:p>
        </w:tc>
        <w:tc>
          <w:tcPr>
            <w:tcW w:w="560" w:type="pct"/>
            <w:vMerge/>
            <w:shd w:val="clear" w:color="auto" w:fill="BFBFBF" w:themeFill="background1" w:themeFillShade="BF"/>
          </w:tcPr>
          <w:p w14:paraId="7E7AFE71" w14:textId="77777777">
            <w:pPr>
              <w:pStyle w:val="IPPArialTable"/>
            </w:pPr>
            <w:r>
              <w:rPr>
                <w:rStyle w:val="PleaseReviewParagraphId"/>
                <w:b w:val="off"/>
                <w:i w:val="off"/>
              </w:rPr>
              <w:t>[173]</w:t>
            </w:r>
          </w:p>
        </w:tc>
        <w:tc>
          <w:tcPr>
            <w:tcW w:w="592" w:type="pct"/>
            <w:shd w:val="clear" w:color="auto" w:fill="BFBFBF" w:themeFill="background1" w:themeFillShade="BF"/>
          </w:tcPr>
          <w:p w14:paraId="4F803A93" w14:textId="4E49C324">
            <w:pPr>
              <w:pStyle w:val="IPPArialTable"/>
              <w:jc w:val="center"/>
              <w:rPr>
                <w:i/>
                <w:iCs/>
              </w:rPr>
            </w:pPr>
            <w:r>
              <w:rPr>
                <w:rStyle w:val="PleaseReviewParagraphId"/>
                <w:b w:val="off"/>
                <w:i w:val="off"/>
              </w:rPr>
              <w:t>[174]</w:t>
            </w:r>
            <w:r>
              <w:rPr>
                <w:i/>
                <w:iCs/>
              </w:rPr>
              <w:t>H. annosum s.l.</w:t>
            </w:r>
          </w:p>
        </w:tc>
        <w:tc>
          <w:tcPr>
            <w:tcW w:w="580" w:type="pct"/>
            <w:shd w:val="clear" w:color="auto" w:fill="BFBFBF" w:themeFill="background1" w:themeFillShade="BF"/>
          </w:tcPr>
          <w:p w14:paraId="0553E742" w14:textId="10F3DDE4">
            <w:pPr>
              <w:pStyle w:val="IPPArialTable"/>
              <w:jc w:val="center"/>
              <w:rPr>
                <w:i/>
                <w:iCs/>
              </w:rPr>
            </w:pPr>
            <w:r>
              <w:rPr>
                <w:rStyle w:val="PleaseReviewParagraphId"/>
                <w:b w:val="off"/>
                <w:i w:val="off"/>
              </w:rPr>
              <w:t>[175]</w:t>
            </w:r>
            <w:r>
              <w:rPr>
                <w:i/>
                <w:iCs/>
              </w:rPr>
              <w:t>H. abietinum</w:t>
            </w:r>
          </w:p>
        </w:tc>
        <w:tc>
          <w:tcPr>
            <w:tcW w:w="548" w:type="pct"/>
            <w:shd w:val="clear" w:color="auto" w:fill="BFBFBF" w:themeFill="background1" w:themeFillShade="BF"/>
          </w:tcPr>
          <w:p w14:paraId="7EDB77E2" w14:textId="7694231B">
            <w:pPr>
              <w:pStyle w:val="IPPArialTable"/>
              <w:jc w:val="center"/>
              <w:rPr>
                <w:i/>
                <w:iCs/>
              </w:rPr>
            </w:pPr>
            <w:r>
              <w:rPr>
                <w:rStyle w:val="PleaseReviewParagraphId"/>
                <w:b w:val="off"/>
                <w:i w:val="off"/>
              </w:rPr>
              <w:t>[176]</w:t>
            </w:r>
            <w:r>
              <w:rPr>
                <w:i/>
                <w:iCs/>
              </w:rPr>
              <w:t>H. annosum s.s.</w:t>
            </w:r>
          </w:p>
        </w:tc>
        <w:tc>
          <w:tcPr>
            <w:tcW w:w="548" w:type="pct"/>
            <w:shd w:val="clear" w:color="auto" w:fill="BFBFBF" w:themeFill="background1" w:themeFillShade="BF"/>
          </w:tcPr>
          <w:p w14:paraId="4493200C" w14:textId="77777777">
            <w:pPr>
              <w:pStyle w:val="IPPArialTable"/>
              <w:jc w:val="center"/>
              <w:rPr>
                <w:i/>
                <w:iCs/>
              </w:rPr>
            </w:pPr>
            <w:r>
              <w:rPr>
                <w:rStyle w:val="PleaseReviewParagraphId"/>
                <w:b w:val="off"/>
                <w:i w:val="off"/>
              </w:rPr>
              <w:t>[177]</w:t>
            </w:r>
            <w:r>
              <w:rPr>
                <w:i/>
                <w:iCs/>
              </w:rPr>
              <w:t>H. irregulare</w:t>
            </w:r>
          </w:p>
        </w:tc>
        <w:tc>
          <w:tcPr>
            <w:tcW w:w="626" w:type="pct"/>
            <w:shd w:val="clear" w:color="auto" w:fill="BFBFBF" w:themeFill="background1" w:themeFillShade="BF"/>
          </w:tcPr>
          <w:p w14:paraId="5B414B71" w14:textId="2C13B440">
            <w:pPr>
              <w:pStyle w:val="IPPArialTable"/>
              <w:jc w:val="center"/>
              <w:rPr>
                <w:i/>
                <w:iCs/>
              </w:rPr>
            </w:pPr>
            <w:r>
              <w:rPr>
                <w:rStyle w:val="PleaseReviewParagraphId"/>
                <w:b w:val="off"/>
                <w:i w:val="off"/>
              </w:rPr>
              <w:t>[178]</w:t>
            </w:r>
            <w:r>
              <w:rPr>
                <w:i/>
                <w:iCs/>
              </w:rPr>
              <w:t>H. occidentale</w:t>
            </w:r>
          </w:p>
        </w:tc>
        <w:tc>
          <w:tcPr>
            <w:tcW w:w="626" w:type="pct"/>
            <w:shd w:val="clear" w:color="auto" w:fill="BFBFBF" w:themeFill="background1" w:themeFillShade="BF"/>
          </w:tcPr>
          <w:p w14:paraId="72F81B25" w14:textId="0AF6D564">
            <w:pPr>
              <w:pStyle w:val="IPPArialTable"/>
              <w:jc w:val="center"/>
              <w:rPr>
                <w:i/>
                <w:iCs/>
              </w:rPr>
            </w:pPr>
            <w:r>
              <w:rPr>
                <w:rStyle w:val="PleaseReviewParagraphId"/>
                <w:b w:val="off"/>
                <w:i w:val="off"/>
              </w:rPr>
              <w:t>[179]</w:t>
            </w:r>
            <w:r>
              <w:rPr>
                <w:i/>
                <w:iCs/>
              </w:rPr>
              <w:t>H. parviporum</w:t>
            </w:r>
          </w:p>
        </w:tc>
        <w:tc>
          <w:tcPr>
            <w:tcW w:w="390" w:type="pct"/>
            <w:vMerge/>
            <w:shd w:val="clear" w:color="auto" w:fill="BFBFBF" w:themeFill="background1" w:themeFillShade="BF"/>
          </w:tcPr>
          <w:p w14:paraId="33364644" w14:textId="77777777">
            <w:pPr>
              <w:pStyle w:val="IPPArialTable"/>
            </w:pPr>
            <w:r>
              <w:rPr>
                <w:rStyle w:val="PleaseReviewParagraphId"/>
                <w:b w:val="off"/>
                <w:i w:val="off"/>
              </w:rPr>
              <w:t>[180]</w:t>
            </w:r>
          </w:p>
        </w:tc>
      </w:tr>
      <w:tr w14:paraId="4D351F1C" w14:textId="77777777">
        <w:tc>
          <w:tcPr>
            <w:tcW w:w="530" w:type="pct"/>
          </w:tcPr>
          <w:p w14:paraId="5BBAE709" w14:textId="77777777">
            <w:pPr>
              <w:pStyle w:val="IPPArialTable"/>
            </w:pPr>
            <w:r>
              <w:rPr>
                <w:rStyle w:val="PleaseReviewParagraphId"/>
                <w:b w:val="off"/>
                <w:i w:val="off"/>
              </w:rPr>
              <w:t>[181]</w:t>
            </w:r>
            <w:r>
              <w:t>3.4.3.1</w:t>
            </w:r>
          </w:p>
        </w:tc>
        <w:tc>
          <w:tcPr>
            <w:tcW w:w="560" w:type="pct"/>
          </w:tcPr>
          <w:p w14:paraId="2C3E1B90" w14:textId="1B686BFD">
            <w:pPr>
              <w:pStyle w:val="IPPArialTable"/>
            </w:pPr>
            <w:r>
              <w:rPr>
                <w:rStyle w:val="PleaseReviewParagraphId"/>
                <w:b w:val="off"/>
                <w:i w:val="off"/>
              </w:rPr>
              <w:t>[182]</w:t>
            </w:r>
            <w:r>
              <w:t>cPCR</w:t>
            </w:r>
            <w:r>
              <w:rPr>
                <w:vertAlign w:val="superscript"/>
              </w:rPr>
              <w:t>1</w:t>
            </w:r>
          </w:p>
        </w:tc>
        <w:tc>
          <w:tcPr>
            <w:tcW w:w="592" w:type="pct"/>
          </w:tcPr>
          <w:p w14:paraId="65B42E3D" w14:textId="05C97734">
            <w:pPr>
              <w:pStyle w:val="IPPArialTable"/>
              <w:jc w:val="center"/>
            </w:pPr>
            <w:r>
              <w:rPr>
                <w:rStyle w:val="PleaseReviewParagraphId"/>
                <w:b w:val="off"/>
                <w:i w:val="off"/>
              </w:rPr>
              <w:t>[183]</w:t>
            </w:r>
            <w:r>
              <w:t>+</w:t>
            </w:r>
          </w:p>
        </w:tc>
        <w:tc>
          <w:tcPr>
            <w:tcW w:w="580" w:type="pct"/>
          </w:tcPr>
          <w:p w14:paraId="4C5ECC93" w14:textId="0B4B9F75">
            <w:pPr>
              <w:pStyle w:val="IPPArialTable"/>
              <w:jc w:val="center"/>
            </w:pPr>
            <w:r>
              <w:rPr>
                <w:rStyle w:val="PleaseReviewParagraphId"/>
                <w:b w:val="off"/>
                <w:i w:val="off"/>
              </w:rPr>
              <w:t>[184]</w:t>
            </w:r>
            <w:r>
              <w:t>-</w:t>
            </w:r>
          </w:p>
        </w:tc>
        <w:tc>
          <w:tcPr>
            <w:tcW w:w="548" w:type="pct"/>
          </w:tcPr>
          <w:p w14:paraId="6BDB0B40" w14:textId="77777777">
            <w:pPr>
              <w:pStyle w:val="IPPArialTable"/>
              <w:jc w:val="center"/>
            </w:pPr>
            <w:r>
              <w:rPr>
                <w:rStyle w:val="PleaseReviewParagraphId"/>
                <w:b w:val="off"/>
                <w:i w:val="off"/>
              </w:rPr>
              <w:t>[185]</w:t>
            </w:r>
            <w:r>
              <w:t>-</w:t>
            </w:r>
          </w:p>
        </w:tc>
        <w:tc>
          <w:tcPr>
            <w:tcW w:w="548" w:type="pct"/>
          </w:tcPr>
          <w:p w14:paraId="4D4B8D03" w14:textId="77777777">
            <w:pPr>
              <w:pStyle w:val="IPPArialTable"/>
              <w:jc w:val="center"/>
            </w:pPr>
            <w:r>
              <w:rPr>
                <w:rStyle w:val="PleaseReviewParagraphId"/>
                <w:b w:val="off"/>
                <w:i w:val="off"/>
              </w:rPr>
              <w:t>[186]</w:t>
            </w:r>
            <w:r>
              <w:t>-</w:t>
            </w:r>
          </w:p>
        </w:tc>
        <w:tc>
          <w:tcPr>
            <w:tcW w:w="626" w:type="pct"/>
          </w:tcPr>
          <w:p w14:paraId="666D822E" w14:textId="77777777">
            <w:pPr>
              <w:pStyle w:val="IPPArialTable"/>
              <w:jc w:val="center"/>
            </w:pPr>
            <w:r>
              <w:rPr>
                <w:rStyle w:val="PleaseReviewParagraphId"/>
                <w:b w:val="off"/>
                <w:i w:val="off"/>
              </w:rPr>
              <w:t>[187]</w:t>
            </w:r>
            <w:r>
              <w:t>-</w:t>
            </w:r>
          </w:p>
        </w:tc>
        <w:tc>
          <w:tcPr>
            <w:tcW w:w="626" w:type="pct"/>
          </w:tcPr>
          <w:p w14:paraId="1228139A" w14:textId="3A652483">
            <w:pPr>
              <w:pStyle w:val="IPPArialTable"/>
              <w:jc w:val="center"/>
              <w:rPr>
                <w:i/>
                <w:iCs/>
              </w:rPr>
            </w:pPr>
            <w:r>
              <w:rPr>
                <w:rStyle w:val="PleaseReviewParagraphId"/>
                <w:b w:val="off"/>
                <w:i w:val="off"/>
              </w:rPr>
              <w:t>[188]</w:t>
            </w:r>
            <w:r>
              <w:rPr>
                <w:i/>
                <w:iCs/>
              </w:rPr>
              <w:t>-</w:t>
            </w:r>
          </w:p>
        </w:tc>
        <w:tc>
          <w:tcPr>
            <w:tcW w:w="390" w:type="pct"/>
          </w:tcPr>
          <w:p w14:paraId="2684BC36" w14:textId="5AB9D6EC">
            <w:pPr>
              <w:pStyle w:val="IPPArialTable"/>
            </w:pPr>
            <w:r>
              <w:rPr>
                <w:rStyle w:val="PleaseReviewParagraphId"/>
                <w:b w:val="off"/>
                <w:i w:val="off"/>
              </w:rPr>
              <w:t>[189]</w:t>
            </w:r>
            <w:r>
              <w:t>+</w:t>
            </w:r>
          </w:p>
        </w:tc>
      </w:tr>
      <w:tr w14:paraId="35622E3B" w14:textId="77777777">
        <w:tc>
          <w:tcPr>
            <w:tcW w:w="530" w:type="pct"/>
          </w:tcPr>
          <w:p w14:paraId="09F7578E" w14:textId="77777777">
            <w:pPr>
              <w:pStyle w:val="IPPArialTable"/>
            </w:pPr>
            <w:r>
              <w:rPr>
                <w:rStyle w:val="PleaseReviewParagraphId"/>
                <w:b w:val="off"/>
                <w:i w:val="off"/>
              </w:rPr>
              <w:t>[190]</w:t>
            </w:r>
            <w:r>
              <w:t>3.4.3.2</w:t>
            </w:r>
          </w:p>
        </w:tc>
        <w:tc>
          <w:tcPr>
            <w:tcW w:w="560" w:type="pct"/>
          </w:tcPr>
          <w:p w14:paraId="70E6A904" w14:textId="232152F8">
            <w:pPr>
              <w:pStyle w:val="IPPArialTable"/>
            </w:pPr>
            <w:r>
              <w:rPr>
                <w:rStyle w:val="PleaseReviewParagraphId"/>
                <w:b w:val="off"/>
                <w:i w:val="off"/>
              </w:rPr>
              <w:t>[191]</w:t>
            </w:r>
            <w:r>
              <w:t>cPCR</w:t>
            </w:r>
            <w:r>
              <w:rPr>
                <w:vertAlign w:val="superscript"/>
              </w:rPr>
              <w:t>2, 3</w:t>
            </w:r>
          </w:p>
        </w:tc>
        <w:tc>
          <w:tcPr>
            <w:tcW w:w="592" w:type="pct"/>
          </w:tcPr>
          <w:p w14:paraId="5BEEF4C3" w14:textId="455C091E">
            <w:pPr>
              <w:pStyle w:val="IPPArialTable"/>
              <w:jc w:val="center"/>
            </w:pPr>
            <w:r>
              <w:rPr>
                <w:rStyle w:val="PleaseReviewParagraphId"/>
                <w:b w:val="off"/>
                <w:i w:val="off"/>
              </w:rPr>
              <w:t>[192]</w:t>
            </w:r>
            <w:r>
              <w:t>-</w:t>
            </w:r>
          </w:p>
        </w:tc>
        <w:tc>
          <w:tcPr>
            <w:tcW w:w="580" w:type="pct"/>
          </w:tcPr>
          <w:p w14:paraId="7930D5D9" w14:textId="63235318">
            <w:pPr>
              <w:pStyle w:val="IPPArialTable"/>
              <w:jc w:val="center"/>
            </w:pPr>
            <w:r>
              <w:rPr>
                <w:rStyle w:val="PleaseReviewParagraphId"/>
                <w:b w:val="off"/>
                <w:i w:val="off"/>
              </w:rPr>
              <w:t>[193]</w:t>
            </w:r>
            <w:r>
              <w:t>+</w:t>
            </w:r>
          </w:p>
        </w:tc>
        <w:tc>
          <w:tcPr>
            <w:tcW w:w="548" w:type="pct"/>
          </w:tcPr>
          <w:p w14:paraId="6188CD15" w14:textId="77777777">
            <w:pPr>
              <w:pStyle w:val="IPPArialTable"/>
              <w:jc w:val="center"/>
            </w:pPr>
            <w:r>
              <w:rPr>
                <w:rStyle w:val="PleaseReviewParagraphId"/>
                <w:b w:val="off"/>
                <w:i w:val="off"/>
              </w:rPr>
              <w:t>[194]</w:t>
            </w:r>
            <w:r>
              <w:t>+</w:t>
            </w:r>
          </w:p>
        </w:tc>
        <w:tc>
          <w:tcPr>
            <w:tcW w:w="548" w:type="pct"/>
          </w:tcPr>
          <w:p w14:paraId="58308428" w14:textId="77777777">
            <w:pPr>
              <w:pStyle w:val="IPPArialTable"/>
              <w:jc w:val="center"/>
            </w:pPr>
            <w:r>
              <w:rPr>
                <w:rStyle w:val="PleaseReviewParagraphId"/>
                <w:b w:val="off"/>
                <w:i w:val="off"/>
              </w:rPr>
              <w:t>[195]</w:t>
            </w:r>
            <w:r>
              <w:t>-</w:t>
            </w:r>
          </w:p>
        </w:tc>
        <w:tc>
          <w:tcPr>
            <w:tcW w:w="626" w:type="pct"/>
          </w:tcPr>
          <w:p w14:paraId="584AD117" w14:textId="1CBA7341">
            <w:pPr>
              <w:pStyle w:val="IPPArialTable"/>
              <w:jc w:val="center"/>
            </w:pPr>
            <w:r>
              <w:rPr>
                <w:rStyle w:val="PleaseReviewParagraphId"/>
                <w:b w:val="off"/>
                <w:i w:val="off"/>
              </w:rPr>
              <w:t>[196]</w:t>
            </w:r>
            <w:r>
              <w:t>-</w:t>
            </w:r>
          </w:p>
        </w:tc>
        <w:tc>
          <w:tcPr>
            <w:tcW w:w="626" w:type="pct"/>
          </w:tcPr>
          <w:p w14:paraId="49444209" w14:textId="6546D0AE">
            <w:pPr>
              <w:pStyle w:val="IPPArialTable"/>
              <w:jc w:val="center"/>
            </w:pPr>
            <w:r>
              <w:rPr>
                <w:rStyle w:val="PleaseReviewParagraphId"/>
                <w:b w:val="off"/>
                <w:i w:val="off"/>
              </w:rPr>
              <w:t>[197]</w:t>
            </w:r>
            <w:r>
              <w:t>+</w:t>
            </w:r>
          </w:p>
        </w:tc>
        <w:tc>
          <w:tcPr>
            <w:tcW w:w="390" w:type="pct"/>
          </w:tcPr>
          <w:p w14:paraId="5AA63593" w14:textId="60F1002F">
            <w:pPr>
              <w:pStyle w:val="IPPArialTable"/>
            </w:pPr>
            <w:r>
              <w:rPr>
                <w:rStyle w:val="PleaseReviewParagraphId"/>
                <w:b w:val="off"/>
                <w:i w:val="off"/>
              </w:rPr>
              <w:t>[198]</w:t>
            </w:r>
            <w:r>
              <w:t>-</w:t>
            </w:r>
          </w:p>
        </w:tc>
      </w:tr>
      <w:tr w14:paraId="0F4EB133" w14:textId="77777777">
        <w:tc>
          <w:tcPr>
            <w:tcW w:w="530" w:type="pct"/>
          </w:tcPr>
          <w:p w14:paraId="12946182" w14:textId="77777777">
            <w:pPr>
              <w:pStyle w:val="IPPArialTable"/>
            </w:pPr>
            <w:r>
              <w:rPr>
                <w:rStyle w:val="PleaseReviewParagraphId"/>
                <w:b w:val="off"/>
                <w:i w:val="off"/>
              </w:rPr>
              <w:t>[199]</w:t>
            </w:r>
            <w:r>
              <w:t>3.4.3.3</w:t>
            </w:r>
          </w:p>
        </w:tc>
        <w:tc>
          <w:tcPr>
            <w:tcW w:w="560" w:type="pct"/>
          </w:tcPr>
          <w:p w14:paraId="616D640F" w14:textId="05C9D61D">
            <w:pPr>
              <w:pStyle w:val="IPPArialTable"/>
            </w:pPr>
            <w:r>
              <w:rPr>
                <w:rStyle w:val="PleaseReviewParagraphId"/>
                <w:b w:val="off"/>
                <w:i w:val="off"/>
              </w:rPr>
              <w:t>[200]</w:t>
            </w:r>
            <w:r>
              <w:t>cPCR</w:t>
            </w:r>
            <w:r>
              <w:rPr>
                <w:vertAlign w:val="superscript"/>
              </w:rPr>
              <w:t>4</w:t>
            </w:r>
          </w:p>
        </w:tc>
        <w:tc>
          <w:tcPr>
            <w:tcW w:w="592" w:type="pct"/>
          </w:tcPr>
          <w:p w14:paraId="3CA47741" w14:textId="390BCD8D">
            <w:pPr>
              <w:pStyle w:val="IPPArialTable"/>
              <w:jc w:val="center"/>
            </w:pPr>
            <w:r>
              <w:rPr>
                <w:rStyle w:val="PleaseReviewParagraphId"/>
                <w:b w:val="off"/>
                <w:i w:val="off"/>
              </w:rPr>
              <w:t>[201]</w:t>
            </w:r>
            <w:r>
              <w:t>+</w:t>
            </w:r>
          </w:p>
        </w:tc>
        <w:tc>
          <w:tcPr>
            <w:tcW w:w="580" w:type="pct"/>
          </w:tcPr>
          <w:p w14:paraId="0C7FD05C" w14:textId="542C31FB">
            <w:pPr>
              <w:pStyle w:val="IPPArialTable"/>
              <w:jc w:val="center"/>
            </w:pPr>
            <w:r>
              <w:rPr>
                <w:rStyle w:val="PleaseReviewParagraphId"/>
                <w:b w:val="off"/>
                <w:i w:val="off"/>
              </w:rPr>
              <w:t>[202]</w:t>
            </w:r>
            <w:r>
              <w:t>-</w:t>
            </w:r>
          </w:p>
        </w:tc>
        <w:tc>
          <w:tcPr>
            <w:tcW w:w="548" w:type="pct"/>
          </w:tcPr>
          <w:p w14:paraId="1E690170" w14:textId="77777777">
            <w:pPr>
              <w:pStyle w:val="IPPArialTable"/>
              <w:jc w:val="center"/>
            </w:pPr>
            <w:r>
              <w:rPr>
                <w:rStyle w:val="PleaseReviewParagraphId"/>
                <w:b w:val="off"/>
                <w:i w:val="off"/>
              </w:rPr>
              <w:t>[203]</w:t>
            </w:r>
            <w:r>
              <w:t>+</w:t>
            </w:r>
          </w:p>
        </w:tc>
        <w:tc>
          <w:tcPr>
            <w:tcW w:w="548" w:type="pct"/>
          </w:tcPr>
          <w:p w14:paraId="3D68D904" w14:textId="77777777">
            <w:pPr>
              <w:pStyle w:val="IPPArialTable"/>
              <w:jc w:val="center"/>
            </w:pPr>
            <w:r>
              <w:rPr>
                <w:rStyle w:val="PleaseReviewParagraphId"/>
                <w:b w:val="off"/>
                <w:i w:val="off"/>
              </w:rPr>
              <w:t>[204]</w:t>
            </w:r>
            <w:r>
              <w:t>+</w:t>
            </w:r>
          </w:p>
        </w:tc>
        <w:tc>
          <w:tcPr>
            <w:tcW w:w="626" w:type="pct"/>
          </w:tcPr>
          <w:p w14:paraId="7A5A322F" w14:textId="77777777">
            <w:pPr>
              <w:pStyle w:val="IPPArialTable"/>
              <w:jc w:val="center"/>
            </w:pPr>
            <w:r>
              <w:rPr>
                <w:rStyle w:val="PleaseReviewParagraphId"/>
                <w:b w:val="off"/>
                <w:i w:val="off"/>
              </w:rPr>
              <w:t>[205]</w:t>
            </w:r>
            <w:r>
              <w:t>-</w:t>
            </w:r>
          </w:p>
        </w:tc>
        <w:tc>
          <w:tcPr>
            <w:tcW w:w="626" w:type="pct"/>
          </w:tcPr>
          <w:p w14:paraId="71443D11" w14:textId="77777777">
            <w:pPr>
              <w:pStyle w:val="IPPArialTable"/>
              <w:jc w:val="center"/>
            </w:pPr>
            <w:r>
              <w:rPr>
                <w:rStyle w:val="PleaseReviewParagraphId"/>
                <w:b w:val="off"/>
                <w:i w:val="off"/>
              </w:rPr>
              <w:t>[206]</w:t>
            </w:r>
            <w:r>
              <w:t>-</w:t>
            </w:r>
          </w:p>
        </w:tc>
        <w:tc>
          <w:tcPr>
            <w:tcW w:w="390" w:type="pct"/>
          </w:tcPr>
          <w:p w14:paraId="61E7A917" w14:textId="7B8591BE">
            <w:pPr>
              <w:pStyle w:val="IPPArialTable"/>
            </w:pPr>
            <w:r>
              <w:rPr>
                <w:rStyle w:val="PleaseReviewParagraphId"/>
                <w:b w:val="off"/>
                <w:i w:val="off"/>
              </w:rPr>
              <w:t>[207]</w:t>
            </w:r>
            <w:r>
              <w:t>-</w:t>
            </w:r>
          </w:p>
        </w:tc>
      </w:tr>
      <w:tr w14:paraId="483EEB5C" w14:textId="77777777">
        <w:tc>
          <w:tcPr>
            <w:tcW w:w="530" w:type="pct"/>
          </w:tcPr>
          <w:p w14:paraId="58F09CD6" w14:textId="77777777">
            <w:pPr>
              <w:pStyle w:val="IPPArialTable"/>
            </w:pPr>
            <w:r>
              <w:rPr>
                <w:rStyle w:val="PleaseReviewParagraphId"/>
                <w:b w:val="off"/>
                <w:i w:val="off"/>
              </w:rPr>
              <w:t>[208]</w:t>
            </w:r>
            <w:r>
              <w:t>3.4.4.1</w:t>
            </w:r>
          </w:p>
        </w:tc>
        <w:tc>
          <w:tcPr>
            <w:tcW w:w="560" w:type="pct"/>
          </w:tcPr>
          <w:p w14:paraId="21BD9722" w14:textId="490CD6CF">
            <w:pPr>
              <w:pStyle w:val="IPPArialTable"/>
            </w:pPr>
            <w:r>
              <w:rPr>
                <w:rStyle w:val="PleaseReviewParagraphId"/>
                <w:b w:val="off"/>
                <w:i w:val="off"/>
              </w:rPr>
              <w:t>[209]</w:t>
            </w:r>
            <w:r>
              <w:t>real-time PCR</w:t>
            </w:r>
            <w:r>
              <w:rPr>
                <w:vertAlign w:val="superscript"/>
              </w:rPr>
              <w:t>5</w:t>
            </w:r>
          </w:p>
        </w:tc>
        <w:tc>
          <w:tcPr>
            <w:tcW w:w="592" w:type="pct"/>
          </w:tcPr>
          <w:p w14:paraId="015BC195" w14:textId="132257C0">
            <w:pPr>
              <w:pStyle w:val="IPPArialTable"/>
              <w:jc w:val="center"/>
            </w:pPr>
            <w:r>
              <w:rPr>
                <w:rStyle w:val="PleaseReviewParagraphId"/>
                <w:b w:val="off"/>
                <w:i w:val="off"/>
              </w:rPr>
              <w:t>[210]</w:t>
            </w:r>
            <w:r>
              <w:t>+</w:t>
            </w:r>
          </w:p>
        </w:tc>
        <w:tc>
          <w:tcPr>
            <w:tcW w:w="580" w:type="pct"/>
          </w:tcPr>
          <w:p w14:paraId="381E1685" w14:textId="4C7E091B">
            <w:pPr>
              <w:pStyle w:val="IPPArialTable"/>
              <w:jc w:val="center"/>
            </w:pPr>
            <w:r>
              <w:rPr>
                <w:rStyle w:val="PleaseReviewParagraphId"/>
                <w:b w:val="off"/>
                <w:i w:val="off"/>
              </w:rPr>
              <w:t>[211]</w:t>
            </w:r>
            <w:r>
              <w:t>-</w:t>
            </w:r>
          </w:p>
        </w:tc>
        <w:tc>
          <w:tcPr>
            <w:tcW w:w="548" w:type="pct"/>
          </w:tcPr>
          <w:p w14:paraId="7552B84B" w14:textId="77777777">
            <w:pPr>
              <w:pStyle w:val="IPPArialTable"/>
              <w:jc w:val="center"/>
            </w:pPr>
            <w:r>
              <w:rPr>
                <w:rStyle w:val="PleaseReviewParagraphId"/>
                <w:b w:val="off"/>
                <w:i w:val="off"/>
              </w:rPr>
              <w:t>[212]</w:t>
            </w:r>
            <w:r>
              <w:t>+</w:t>
            </w:r>
          </w:p>
        </w:tc>
        <w:tc>
          <w:tcPr>
            <w:tcW w:w="548" w:type="pct"/>
          </w:tcPr>
          <w:p w14:paraId="01750199" w14:textId="77777777">
            <w:pPr>
              <w:pStyle w:val="IPPArialTable"/>
              <w:jc w:val="center"/>
            </w:pPr>
            <w:r>
              <w:rPr>
                <w:rStyle w:val="PleaseReviewParagraphId"/>
                <w:b w:val="off"/>
                <w:i w:val="off"/>
              </w:rPr>
              <w:t>[213]</w:t>
            </w:r>
            <w:r>
              <w:t>+</w:t>
            </w:r>
          </w:p>
        </w:tc>
        <w:tc>
          <w:tcPr>
            <w:tcW w:w="626" w:type="pct"/>
          </w:tcPr>
          <w:p w14:paraId="00CAF0E0" w14:textId="5AB789BC">
            <w:pPr>
              <w:pStyle w:val="IPPArialTable"/>
              <w:jc w:val="center"/>
            </w:pPr>
            <w:r>
              <w:rPr>
                <w:rStyle w:val="PleaseReviewParagraphId"/>
                <w:b w:val="off"/>
                <w:i w:val="off"/>
              </w:rPr>
              <w:t>[214]</w:t>
            </w:r>
            <w:r>
              <w:t>+</w:t>
            </w:r>
          </w:p>
        </w:tc>
        <w:tc>
          <w:tcPr>
            <w:tcW w:w="626" w:type="pct"/>
          </w:tcPr>
          <w:p w14:paraId="04876DE3" w14:textId="55367E7E">
            <w:pPr>
              <w:pStyle w:val="IPPArialTable"/>
              <w:jc w:val="center"/>
              <w:rPr>
                <w:i/>
                <w:iCs/>
              </w:rPr>
            </w:pPr>
            <w:r>
              <w:rPr>
                <w:rStyle w:val="PleaseReviewParagraphId"/>
                <w:b w:val="off"/>
                <w:i w:val="off"/>
              </w:rPr>
              <w:t>[215]</w:t>
            </w:r>
            <w:r>
              <w:rPr>
                <w:i/>
                <w:iCs/>
              </w:rPr>
              <w:t>-</w:t>
            </w:r>
          </w:p>
        </w:tc>
        <w:tc>
          <w:tcPr>
            <w:tcW w:w="390" w:type="pct"/>
          </w:tcPr>
          <w:p w14:paraId="5A8F5864" w14:textId="01322669">
            <w:pPr>
              <w:pStyle w:val="IPPArialTable"/>
            </w:pPr>
            <w:r>
              <w:rPr>
                <w:rStyle w:val="PleaseReviewParagraphId"/>
                <w:b w:val="off"/>
                <w:i w:val="off"/>
              </w:rPr>
              <w:t>[216]</w:t>
            </w:r>
            <w:r>
              <w:t>-</w:t>
            </w:r>
          </w:p>
        </w:tc>
      </w:tr>
      <w:tr w14:paraId="12C0493D" w14:textId="77777777">
        <w:tc>
          <w:tcPr>
            <w:tcW w:w="530" w:type="pct"/>
          </w:tcPr>
          <w:p w14:paraId="30D812E5" w14:textId="77777777">
            <w:pPr>
              <w:pStyle w:val="IPPArialTable"/>
            </w:pPr>
            <w:r>
              <w:rPr>
                <w:rStyle w:val="PleaseReviewParagraphId"/>
                <w:b w:val="off"/>
                <w:i w:val="off"/>
              </w:rPr>
              <w:t>[217]</w:t>
            </w:r>
            <w:r>
              <w:t>3.4.4.2</w:t>
            </w:r>
          </w:p>
        </w:tc>
        <w:tc>
          <w:tcPr>
            <w:tcW w:w="560" w:type="pct"/>
          </w:tcPr>
          <w:p w14:paraId="6C59B94D" w14:textId="37E107F2">
            <w:pPr>
              <w:pStyle w:val="IPPArialTable"/>
            </w:pPr>
            <w:r>
              <w:rPr>
                <w:rStyle w:val="PleaseReviewParagraphId"/>
                <w:b w:val="off"/>
                <w:i w:val="off"/>
              </w:rPr>
              <w:t>[218]</w:t>
            </w:r>
            <w:r>
              <w:t>real-time PCR</w:t>
            </w:r>
            <w:r>
              <w:rPr>
                <w:vertAlign w:val="superscript"/>
              </w:rPr>
              <w:t>6</w:t>
            </w:r>
          </w:p>
        </w:tc>
        <w:tc>
          <w:tcPr>
            <w:tcW w:w="592" w:type="pct"/>
          </w:tcPr>
          <w:p w14:paraId="49269E35" w14:textId="664010B1">
            <w:pPr>
              <w:pStyle w:val="IPPArialTable"/>
              <w:jc w:val="center"/>
            </w:pPr>
            <w:r>
              <w:rPr>
                <w:rStyle w:val="PleaseReviewParagraphId"/>
                <w:b w:val="off"/>
                <w:i w:val="off"/>
              </w:rPr>
              <w:t>[219]</w:t>
            </w:r>
            <w:r>
              <w:t>-</w:t>
            </w:r>
          </w:p>
        </w:tc>
        <w:tc>
          <w:tcPr>
            <w:tcW w:w="580" w:type="pct"/>
          </w:tcPr>
          <w:p w14:paraId="69902BFF" w14:textId="0BBA4C7C">
            <w:pPr>
              <w:pStyle w:val="IPPArialTable"/>
              <w:jc w:val="center"/>
            </w:pPr>
            <w:r>
              <w:rPr>
                <w:rStyle w:val="PleaseReviewParagraphId"/>
                <w:b w:val="off"/>
                <w:i w:val="off"/>
              </w:rPr>
              <w:t>[220]</w:t>
            </w:r>
            <w:r>
              <w:t>+</w:t>
            </w:r>
          </w:p>
        </w:tc>
        <w:tc>
          <w:tcPr>
            <w:tcW w:w="548" w:type="pct"/>
          </w:tcPr>
          <w:p w14:paraId="5AF4C02F" w14:textId="77777777">
            <w:pPr>
              <w:pStyle w:val="IPPArialTable"/>
              <w:jc w:val="center"/>
            </w:pPr>
            <w:r>
              <w:rPr>
                <w:rStyle w:val="PleaseReviewParagraphId"/>
                <w:b w:val="off"/>
                <w:i w:val="off"/>
              </w:rPr>
              <w:t>[221]</w:t>
            </w:r>
            <w:r>
              <w:t>+</w:t>
            </w:r>
          </w:p>
        </w:tc>
        <w:tc>
          <w:tcPr>
            <w:tcW w:w="548" w:type="pct"/>
          </w:tcPr>
          <w:p w14:paraId="7A7DB026" w14:textId="77777777">
            <w:pPr>
              <w:pStyle w:val="IPPArialTable"/>
              <w:jc w:val="center"/>
            </w:pPr>
            <w:r>
              <w:rPr>
                <w:rStyle w:val="PleaseReviewParagraphId"/>
                <w:b w:val="off"/>
                <w:i w:val="off"/>
              </w:rPr>
              <w:t>[222]</w:t>
            </w:r>
            <w:r>
              <w:t>+</w:t>
            </w:r>
          </w:p>
        </w:tc>
        <w:tc>
          <w:tcPr>
            <w:tcW w:w="626" w:type="pct"/>
          </w:tcPr>
          <w:p w14:paraId="42DBA348" w14:textId="58BC55EB">
            <w:pPr>
              <w:pStyle w:val="IPPArialTable"/>
              <w:jc w:val="center"/>
            </w:pPr>
            <w:r>
              <w:rPr>
                <w:rStyle w:val="PleaseReviewParagraphId"/>
                <w:b w:val="off"/>
                <w:i w:val="off"/>
              </w:rPr>
              <w:t>[223]</w:t>
            </w:r>
            <w:r>
              <w:t>-</w:t>
            </w:r>
          </w:p>
        </w:tc>
        <w:tc>
          <w:tcPr>
            <w:tcW w:w="626" w:type="pct"/>
          </w:tcPr>
          <w:p w14:paraId="7F13D632" w14:textId="64A40AF0">
            <w:pPr>
              <w:pStyle w:val="IPPArialTable"/>
              <w:jc w:val="center"/>
            </w:pPr>
            <w:r>
              <w:rPr>
                <w:rStyle w:val="PleaseReviewParagraphId"/>
                <w:b w:val="off"/>
                <w:i w:val="off"/>
              </w:rPr>
              <w:t>[224]</w:t>
            </w:r>
            <w:r>
              <w:t>+</w:t>
            </w:r>
          </w:p>
        </w:tc>
        <w:tc>
          <w:tcPr>
            <w:tcW w:w="390" w:type="pct"/>
          </w:tcPr>
          <w:p w14:paraId="370D4296" w14:textId="307FFB33">
            <w:pPr>
              <w:pStyle w:val="IPPArialTable"/>
            </w:pPr>
            <w:r>
              <w:rPr>
                <w:rStyle w:val="PleaseReviewParagraphId"/>
                <w:b w:val="off"/>
                <w:i w:val="off"/>
              </w:rPr>
              <w:t>[225]</w:t>
            </w:r>
            <w:r>
              <w:t>-</w:t>
            </w:r>
          </w:p>
        </w:tc>
      </w:tr>
      <w:tr w14:paraId="4AD679FF" w14:textId="77777777">
        <w:tc>
          <w:tcPr>
            <w:tcW w:w="530" w:type="pct"/>
          </w:tcPr>
          <w:p w14:paraId="75C66D58" w14:textId="77777777">
            <w:pPr>
              <w:pStyle w:val="IPPArialTable"/>
            </w:pPr>
            <w:r>
              <w:rPr>
                <w:rStyle w:val="PleaseReviewParagraphId"/>
                <w:b w:val="off"/>
                <w:i w:val="off"/>
              </w:rPr>
              <w:t>[226]</w:t>
            </w:r>
            <w:r>
              <w:t>3.4.4.3</w:t>
            </w:r>
          </w:p>
        </w:tc>
        <w:tc>
          <w:tcPr>
            <w:tcW w:w="560" w:type="pct"/>
          </w:tcPr>
          <w:p w14:paraId="585DAE0C" w14:textId="312CB04F">
            <w:pPr>
              <w:pStyle w:val="IPPArialTable"/>
            </w:pPr>
            <w:r>
              <w:rPr>
                <w:rStyle w:val="PleaseReviewParagraphId"/>
                <w:b w:val="off"/>
                <w:i w:val="off"/>
              </w:rPr>
              <w:t>[227]</w:t>
            </w:r>
            <w:r>
              <w:t>LAMP*</w:t>
            </w:r>
            <w:r>
              <w:rPr>
                <w:vertAlign w:val="superscript"/>
              </w:rPr>
              <w:t>, 7</w:t>
            </w:r>
          </w:p>
        </w:tc>
        <w:tc>
          <w:tcPr>
            <w:tcW w:w="592" w:type="pct"/>
          </w:tcPr>
          <w:p w14:paraId="1CEADD8D" w14:textId="77777777">
            <w:pPr>
              <w:pStyle w:val="IPPArialTable"/>
              <w:jc w:val="center"/>
            </w:pPr>
            <w:r>
              <w:rPr>
                <w:rStyle w:val="PleaseReviewParagraphId"/>
                <w:b w:val="off"/>
                <w:i w:val="off"/>
              </w:rPr>
              <w:t>[228]</w:t>
            </w:r>
            <w:r>
              <w:t>-</w:t>
            </w:r>
          </w:p>
        </w:tc>
        <w:tc>
          <w:tcPr>
            <w:tcW w:w="580" w:type="pct"/>
          </w:tcPr>
          <w:p w14:paraId="79421FDE" w14:textId="77777777">
            <w:pPr>
              <w:pStyle w:val="IPPArialTable"/>
              <w:jc w:val="center"/>
            </w:pPr>
            <w:r>
              <w:rPr>
                <w:rStyle w:val="PleaseReviewParagraphId"/>
                <w:b w:val="off"/>
                <w:i w:val="off"/>
              </w:rPr>
              <w:t>[229]</w:t>
            </w:r>
            <w:r>
              <w:t>-</w:t>
            </w:r>
          </w:p>
        </w:tc>
        <w:tc>
          <w:tcPr>
            <w:tcW w:w="548" w:type="pct"/>
          </w:tcPr>
          <w:p w14:paraId="78CD89F2" w14:textId="77777777">
            <w:pPr>
              <w:pStyle w:val="IPPArialTable"/>
              <w:jc w:val="center"/>
            </w:pPr>
            <w:r>
              <w:rPr>
                <w:rStyle w:val="PleaseReviewParagraphId"/>
                <w:b w:val="off"/>
                <w:i w:val="off"/>
              </w:rPr>
              <w:t>[230]</w:t>
            </w:r>
            <w:r>
              <w:t>-</w:t>
            </w:r>
          </w:p>
        </w:tc>
        <w:tc>
          <w:tcPr>
            <w:tcW w:w="548" w:type="pct"/>
          </w:tcPr>
          <w:p w14:paraId="00320453" w14:textId="77777777">
            <w:pPr>
              <w:pStyle w:val="IPPArialTable"/>
              <w:jc w:val="center"/>
            </w:pPr>
            <w:r>
              <w:rPr>
                <w:rStyle w:val="PleaseReviewParagraphId"/>
                <w:b w:val="off"/>
                <w:i w:val="off"/>
              </w:rPr>
              <w:t>[231]</w:t>
            </w:r>
            <w:r>
              <w:t>+</w:t>
            </w:r>
          </w:p>
        </w:tc>
        <w:tc>
          <w:tcPr>
            <w:tcW w:w="626" w:type="pct"/>
          </w:tcPr>
          <w:p w14:paraId="19DC9DED" w14:textId="77777777">
            <w:pPr>
              <w:pStyle w:val="IPPArialTable"/>
              <w:jc w:val="center"/>
            </w:pPr>
            <w:r>
              <w:rPr>
                <w:rStyle w:val="PleaseReviewParagraphId"/>
                <w:b w:val="off"/>
                <w:i w:val="off"/>
              </w:rPr>
              <w:t>[232]</w:t>
            </w:r>
            <w:r>
              <w:t>-</w:t>
            </w:r>
          </w:p>
        </w:tc>
        <w:tc>
          <w:tcPr>
            <w:tcW w:w="626" w:type="pct"/>
          </w:tcPr>
          <w:p w14:paraId="3FA3424C" w14:textId="77777777">
            <w:pPr>
              <w:pStyle w:val="IPPArialTable"/>
              <w:jc w:val="center"/>
            </w:pPr>
            <w:r>
              <w:rPr>
                <w:rStyle w:val="PleaseReviewParagraphId"/>
                <w:b w:val="off"/>
                <w:i w:val="off"/>
              </w:rPr>
              <w:t>[233]</w:t>
            </w:r>
            <w:r>
              <w:t>-</w:t>
            </w:r>
          </w:p>
        </w:tc>
        <w:tc>
          <w:tcPr>
            <w:tcW w:w="390" w:type="pct"/>
          </w:tcPr>
          <w:p w14:paraId="75334477" w14:textId="0339A1BE">
            <w:pPr>
              <w:pStyle w:val="IPPArialTable"/>
            </w:pPr>
            <w:r>
              <w:rPr>
                <w:rStyle w:val="PleaseReviewParagraphId"/>
                <w:b w:val="off"/>
                <w:i w:val="off"/>
              </w:rPr>
              <w:t>[234]</w:t>
            </w:r>
            <w:r>
              <w:t>-</w:t>
            </w:r>
          </w:p>
        </w:tc>
      </w:tr>
    </w:tbl>
    <w:p w14:paraId="26EF15EB" w14:textId="5214CDC2">
      <w:pPr>
        <w:pStyle w:val="IPPArialFootnote"/>
        <w:rPr>
          <w:rFonts w:ascii="ArialMT" w:hAnsi="ArialMT" w:cs="ArialMT" w:eastAsiaTheme="minorHAnsi"/>
        </w:rPr>
      </w:pPr>
      <w:r>
        <w:rPr>
          <w:rStyle w:val="PleaseReviewParagraphId"/>
          <w:b w:val="off"/>
          <w:i w:val="off"/>
        </w:rPr>
        <w:t>[235]</w:t>
      </w:r>
      <w:r>
        <w:rPr>
          <w:rFonts w:ascii="ArialMT" w:hAnsi="ArialMT" w:cs="ArialMT" w:eastAsiaTheme="minorHAnsi"/>
          <w:i/>
          <w:iCs/>
        </w:rPr>
        <w:t xml:space="preserve">Notes: </w:t>
      </w:r>
      <w:r>
        <w:rPr>
          <w:rFonts w:ascii="ArialMT" w:hAnsi="ArialMT" w:cs="ArialMT" w:eastAsiaTheme="minorHAnsi"/>
        </w:rPr>
        <w:t>* See page footnote 1.</w:t>
      </w:r>
    </w:p>
    <w:p w14:paraId="09AD5AD4" w14:textId="3F0CD0B8">
      <w:pPr>
        <w:pStyle w:val="IPPArialFootnote"/>
        <w:rPr>
          <w:rFonts w:ascii="ArialMT" w:hAnsi="ArialMT" w:cs="ArialMT" w:eastAsiaTheme="minorHAnsi"/>
        </w:rPr>
      </w:pPr>
      <w:r>
        <w:rPr>
          <w:rStyle w:val="PleaseReviewParagraphId"/>
          <w:b w:val="off"/>
          <w:i w:val="off"/>
        </w:rPr>
        <w:t>[236]</w:t>
      </w:r>
      <w:r>
        <w:t>cPCR, conventional PCR; LAMP, loop-mediated isothermal amplification; PCR, polymerase chain reaction.</w:t>
      </w:r>
    </w:p>
    <w:p w14:paraId="53BB3F49" w14:textId="417ED6F5">
      <w:pPr>
        <w:pStyle w:val="IPPArialFootnote"/>
        <w:rPr>
          <w:rFonts w:cs="Arial"/>
          <w:szCs w:val="16"/>
        </w:rPr>
      </w:pPr>
      <w:r>
        <w:rPr>
          <w:rStyle w:val="PleaseReviewParagraphId"/>
          <w:b w:val="off"/>
          <w:i w:val="off"/>
        </w:rPr>
        <w:t>[237]</w:t>
      </w:r>
      <w:r>
        <w:rPr>
          <w:rFonts w:ascii="ArialMT" w:hAnsi="ArialMT" w:cs="ArialMT" w:eastAsiaTheme="minorHAnsi"/>
          <w:i/>
          <w:iCs/>
        </w:rPr>
        <w:t>Sources</w:t>
      </w:r>
      <w:r>
        <w:rPr>
          <w:rFonts w:cs="Arial"/>
          <w:sz w:val="18"/>
          <w:szCs w:val="18"/>
        </w:rPr>
        <w:t xml:space="preserve">: </w:t>
      </w:r>
      <w:r>
        <w:rPr>
          <w:rFonts w:cs="Arial"/>
          <w:szCs w:val="16"/>
          <w:vertAlign w:val="superscript"/>
        </w:rPr>
        <w:t>1</w:t>
      </w:r>
      <w:r>
        <w:rPr>
          <w:rFonts w:cs="Arial"/>
          <w:szCs w:val="16"/>
        </w:rPr>
        <w:t xml:space="preserve">Bahnweg, G., Möller, E.M., Anegg, S., Langebartels, C., Wienhaus, O. &amp; Sandermann Jr, H. 2002. Detection of </w:t>
      </w:r>
      <w:r>
        <w:rPr>
          <w:rFonts w:cs="Arial"/>
          <w:i/>
          <w:iCs/>
          <w:szCs w:val="16"/>
        </w:rPr>
        <w:t xml:space="preserve">Heterobasidion annosum s.l. </w:t>
      </w:r>
      <w:r>
        <w:rPr>
          <w:rFonts w:cs="Arial"/>
          <w:szCs w:val="16"/>
        </w:rPr>
        <w:t xml:space="preserve">[(Fr.) Bref.] in Norway spruce by polymerase chain reaction. </w:t>
      </w:r>
      <w:r>
        <w:rPr>
          <w:rFonts w:cs="Arial"/>
          <w:i/>
          <w:iCs/>
          <w:szCs w:val="16"/>
        </w:rPr>
        <w:t>Journal of Phytopathology</w:t>
      </w:r>
      <w:r>
        <w:rPr>
          <w:rFonts w:cs="Arial"/>
          <w:szCs w:val="16"/>
        </w:rPr>
        <w:t xml:space="preserve">, 150: 382–389. </w:t>
      </w:r>
      <w:hyperlink w:history="1" r:id="rId12">
        <w:r>
          <w:rPr>
            <w:rStyle w:val="Hyperlink"/>
            <w:rFonts w:cs="Arial"/>
            <w:szCs w:val="16"/>
          </w:rPr>
          <w:t>https://doi.org/10.1046/j.1439-0434.2002.00772.x</w:t>
        </w:r>
      </w:hyperlink>
    </w:p>
    <w:p w14:paraId="56440D5B" w14:textId="0C9F82E7">
      <w:pPr>
        <w:pStyle w:val="IPPArialFootnote"/>
        <w:rPr>
          <w:rFonts w:cs="Arial"/>
          <w:szCs w:val="16"/>
        </w:rPr>
      </w:pPr>
      <w:r>
        <w:rPr>
          <w:rStyle w:val="PleaseReviewParagraphId"/>
          <w:b w:val="off"/>
          <w:i w:val="off"/>
        </w:rPr>
        <w:t>[238]</w:t>
      </w:r>
      <w:r>
        <w:rPr>
          <w:rFonts w:cs="Arial"/>
          <w:szCs w:val="16"/>
          <w:vertAlign w:val="superscript"/>
        </w:rPr>
        <w:t>2</w:t>
      </w:r>
      <w:r>
        <w:rPr>
          <w:rFonts w:cs="Arial"/>
          <w:szCs w:val="16"/>
        </w:rPr>
        <w:t xml:space="preserve">Gonthier, P., Garbelotto, M., Varese, G.C. &amp; Nicolotti, G. 2001. Relative abundance and potential dispersal range of intersterility groups of </w:t>
      </w:r>
      <w:r>
        <w:rPr>
          <w:rFonts w:cs="Arial"/>
          <w:i/>
          <w:iCs/>
          <w:szCs w:val="16"/>
        </w:rPr>
        <w:t>Heterobasidion annosum</w:t>
      </w:r>
      <w:r>
        <w:rPr>
          <w:rFonts w:cs="Arial"/>
          <w:szCs w:val="16"/>
        </w:rPr>
        <w:t xml:space="preserve"> in pure and mixed forests. </w:t>
      </w:r>
      <w:r>
        <w:rPr>
          <w:rFonts w:cs="Arial"/>
          <w:i/>
          <w:iCs/>
          <w:szCs w:val="16"/>
        </w:rPr>
        <w:t>Canadian Journal of Botany</w:t>
      </w:r>
      <w:r>
        <w:rPr>
          <w:rFonts w:cs="Arial"/>
          <w:szCs w:val="16"/>
        </w:rPr>
        <w:t xml:space="preserve">, 79: 1057–1065. </w:t>
      </w:r>
      <w:hyperlink w:history="1" r:id="rId13">
        <w:r>
          <w:rPr>
            <w:rStyle w:val="Hyperlink"/>
            <w:rFonts w:cs="Arial"/>
            <w:szCs w:val="16"/>
          </w:rPr>
          <w:t>https://doi.org/10.1139/b01-090</w:t>
        </w:r>
      </w:hyperlink>
    </w:p>
    <w:p w14:paraId="54457F05" w14:textId="1F3C4F34">
      <w:pPr>
        <w:pStyle w:val="IPPArialFootnote"/>
        <w:rPr>
          <w:rFonts w:cs="Arial"/>
          <w:szCs w:val="16"/>
        </w:rPr>
      </w:pPr>
      <w:r>
        <w:rPr>
          <w:rStyle w:val="PleaseReviewParagraphId"/>
          <w:b w:val="off"/>
          <w:i w:val="off"/>
        </w:rPr>
        <w:t>[239]</w:t>
      </w:r>
      <w:r>
        <w:rPr>
          <w:rFonts w:cs="Arial"/>
          <w:szCs w:val="16"/>
          <w:vertAlign w:val="superscript"/>
        </w:rPr>
        <w:lastRenderedPageBreak/>
        <w:t>3</w:t>
      </w:r>
      <w:r>
        <w:rPr>
          <w:rFonts w:cs="Arial"/>
          <w:szCs w:val="16"/>
        </w:rPr>
        <w:t xml:space="preserve">Gonthier, P., Garbelotto, M. &amp; Nicolotti, G. 2003. Swiss stone pine trees and spruce stumps represent an important habitat for </w:t>
      </w:r>
      <w:r>
        <w:rPr>
          <w:rFonts w:cs="Arial"/>
          <w:i/>
          <w:iCs/>
          <w:szCs w:val="16"/>
        </w:rPr>
        <w:t>Heterobasidion</w:t>
      </w:r>
      <w:r>
        <w:rPr>
          <w:rFonts w:cs="Arial"/>
          <w:szCs w:val="16"/>
        </w:rPr>
        <w:t xml:space="preserve"> spp. in subalpine forests. </w:t>
      </w:r>
      <w:r>
        <w:rPr>
          <w:rFonts w:cs="Arial"/>
          <w:i/>
          <w:iCs/>
          <w:szCs w:val="16"/>
        </w:rPr>
        <w:t>Forest Pathology</w:t>
      </w:r>
      <w:r>
        <w:rPr>
          <w:rFonts w:cs="Arial"/>
          <w:szCs w:val="16"/>
        </w:rPr>
        <w:t xml:space="preserve">, 33: 191–203. </w:t>
      </w:r>
      <w:hyperlink w:history="1" r:id="rId14">
        <w:r>
          <w:rPr>
            <w:rStyle w:val="Hyperlink"/>
            <w:rFonts w:cs="Arial"/>
            <w:szCs w:val="16"/>
          </w:rPr>
          <w:t>https://doi.org/10.1046/j.1439-0329.2003.00323.x</w:t>
        </w:r>
      </w:hyperlink>
    </w:p>
    <w:p w14:paraId="77E91233" w14:textId="3ED63ACF">
      <w:pPr>
        <w:pStyle w:val="IPPArialFootnote"/>
        <w:rPr>
          <w:rFonts w:cs="Arial"/>
          <w:szCs w:val="16"/>
        </w:rPr>
      </w:pPr>
      <w:r>
        <w:rPr>
          <w:rStyle w:val="PleaseReviewParagraphId"/>
          <w:b w:val="off"/>
          <w:i w:val="off"/>
        </w:rPr>
        <w:t>[240]</w:t>
      </w:r>
      <w:r>
        <w:rPr>
          <w:rFonts w:cs="Arial"/>
          <w:szCs w:val="16"/>
          <w:vertAlign w:val="superscript"/>
        </w:rPr>
        <w:t>4</w:t>
      </w:r>
      <w:r>
        <w:rPr>
          <w:rFonts w:cs="Arial"/>
          <w:szCs w:val="16"/>
        </w:rPr>
        <w:t xml:space="preserve">Gonthier, P., Nicolotti, G., Linzer, R., Guglielmo, F. &amp; Garbelotto, M. 2007. Invasion of European pine stands by a North American forest pathogen and its hybridization with a native interfertile taxon. </w:t>
      </w:r>
      <w:r>
        <w:rPr>
          <w:rFonts w:cs="Arial"/>
          <w:i/>
          <w:iCs/>
          <w:szCs w:val="16"/>
        </w:rPr>
        <w:t>Molecular Ecology</w:t>
      </w:r>
      <w:r>
        <w:rPr>
          <w:rFonts w:cs="Arial"/>
          <w:szCs w:val="16"/>
        </w:rPr>
        <w:t xml:space="preserve">, 16: 1389–1400. </w:t>
      </w:r>
      <w:hyperlink w:history="1" r:id="rId15">
        <w:r>
          <w:rPr>
            <w:rStyle w:val="Hyperlink"/>
            <w:rFonts w:cs="Arial"/>
            <w:szCs w:val="16"/>
          </w:rPr>
          <w:t>https://doi.org/10.1111/j.1365-294X.2007.03250.x</w:t>
        </w:r>
      </w:hyperlink>
    </w:p>
    <w:p w14:paraId="69948D2A" w14:textId="0EEC6B22">
      <w:pPr>
        <w:pStyle w:val="IPPArialFootnote"/>
        <w:rPr>
          <w:rFonts w:cs="Arial"/>
          <w:szCs w:val="16"/>
        </w:rPr>
      </w:pPr>
      <w:r>
        <w:rPr>
          <w:rStyle w:val="PleaseReviewParagraphId"/>
          <w:b w:val="off"/>
          <w:i w:val="off"/>
        </w:rPr>
        <w:t>[241]</w:t>
      </w:r>
      <w:r>
        <w:rPr>
          <w:rFonts w:cs="Arial"/>
          <w:szCs w:val="16"/>
          <w:vertAlign w:val="superscript"/>
        </w:rPr>
        <w:t>5</w:t>
      </w:r>
      <w:r>
        <w:rPr>
          <w:rFonts w:cs="Arial"/>
          <w:szCs w:val="16"/>
        </w:rPr>
        <w:t xml:space="preserve">Lamarche J., Potvin, A., Stewart, D., Blais, M., Pelletier, G., Shamoun, S.F., Hamelin, R.C. &amp; Tanguay, P. 2017. Real-time PCR assays for the detection of </w:t>
      </w:r>
      <w:r>
        <w:rPr>
          <w:rFonts w:cs="Arial"/>
          <w:i/>
          <w:iCs/>
          <w:szCs w:val="16"/>
        </w:rPr>
        <w:t>Heterobasidion irregulare</w:t>
      </w:r>
      <w:r>
        <w:rPr>
          <w:rFonts w:cs="Arial"/>
          <w:szCs w:val="16"/>
        </w:rPr>
        <w:t xml:space="preserve">, </w:t>
      </w:r>
      <w:r>
        <w:rPr>
          <w:rFonts w:cs="Arial"/>
          <w:i/>
          <w:iCs/>
          <w:szCs w:val="16"/>
        </w:rPr>
        <w:t>H. occidentale</w:t>
      </w:r>
      <w:r>
        <w:rPr>
          <w:rFonts w:cs="Arial"/>
          <w:szCs w:val="16"/>
        </w:rPr>
        <w:t xml:space="preserve">, </w:t>
      </w:r>
      <w:r>
        <w:rPr>
          <w:rFonts w:cs="Arial"/>
          <w:i/>
          <w:iCs/>
          <w:szCs w:val="16"/>
        </w:rPr>
        <w:t>H. annosum sensu stricto</w:t>
      </w:r>
      <w:r>
        <w:rPr>
          <w:rFonts w:cs="Arial"/>
          <w:szCs w:val="16"/>
        </w:rPr>
        <w:t xml:space="preserve"> and the </w:t>
      </w:r>
      <w:r>
        <w:rPr>
          <w:rFonts w:cs="Arial"/>
          <w:i/>
          <w:iCs/>
          <w:szCs w:val="16"/>
        </w:rPr>
        <w:t>Heterobasidion annosum</w:t>
      </w:r>
      <w:r>
        <w:rPr>
          <w:rFonts w:cs="Arial"/>
          <w:szCs w:val="16"/>
        </w:rPr>
        <w:t xml:space="preserve"> complex. </w:t>
      </w:r>
      <w:r>
        <w:rPr>
          <w:rFonts w:cs="Arial"/>
          <w:i/>
          <w:iCs/>
          <w:szCs w:val="16"/>
        </w:rPr>
        <w:t>Forest Pathology</w:t>
      </w:r>
      <w:r>
        <w:rPr>
          <w:rFonts w:cs="Arial"/>
          <w:szCs w:val="16"/>
        </w:rPr>
        <w:t xml:space="preserve">, 47: e12321. </w:t>
      </w:r>
      <w:hyperlink w:history="1" r:id="rId16">
        <w:r>
          <w:rPr>
            <w:rStyle w:val="Hyperlink"/>
            <w:rFonts w:cs="Arial"/>
            <w:szCs w:val="16"/>
          </w:rPr>
          <w:t>https://doi.org/10.1111/efp.12321</w:t>
        </w:r>
      </w:hyperlink>
    </w:p>
    <w:p w14:paraId="07A51487" w14:textId="411B29F2">
      <w:pPr>
        <w:pStyle w:val="IPPArialFootnote"/>
        <w:rPr>
          <w:rFonts w:cs="Arial"/>
          <w:szCs w:val="16"/>
        </w:rPr>
      </w:pPr>
      <w:r>
        <w:rPr>
          <w:rStyle w:val="PleaseReviewParagraphId"/>
          <w:b w:val="off"/>
          <w:i w:val="off"/>
        </w:rPr>
        <w:t>[242]</w:t>
      </w:r>
      <w:r>
        <w:rPr>
          <w:rFonts w:cs="Arial"/>
          <w:szCs w:val="16"/>
          <w:vertAlign w:val="superscript"/>
        </w:rPr>
        <w:t>6</w:t>
      </w:r>
      <w:r>
        <w:rPr>
          <w:rFonts w:cs="Arial"/>
          <w:szCs w:val="16"/>
        </w:rPr>
        <w:t xml:space="preserve">Ioos, R., Chrétien, P., Perrault, J., Jeandel, C., Dutech, C., Gonthier, P., Sillo, F., Hietala, A.M., Solheim, H. &amp; Hubert, J. 2019. Multiplex real-time PCR assays for the detection and identification of </w:t>
      </w:r>
      <w:r>
        <w:rPr>
          <w:rFonts w:cs="Arial"/>
          <w:i/>
          <w:iCs/>
          <w:szCs w:val="16"/>
        </w:rPr>
        <w:t>Heterobasidion</w:t>
      </w:r>
      <w:r>
        <w:rPr>
          <w:rFonts w:cs="Arial"/>
          <w:szCs w:val="16"/>
        </w:rPr>
        <w:t xml:space="preserve"> species attacking conifers in Europe. </w:t>
      </w:r>
      <w:r>
        <w:rPr>
          <w:rFonts w:cs="Arial"/>
          <w:i/>
          <w:iCs/>
          <w:szCs w:val="16"/>
        </w:rPr>
        <w:t>Plant Pathology</w:t>
      </w:r>
      <w:r>
        <w:rPr>
          <w:rFonts w:cs="Arial"/>
          <w:szCs w:val="16"/>
        </w:rPr>
        <w:t xml:space="preserve">, 68: 1493–1507. </w:t>
      </w:r>
      <w:hyperlink w:history="1" r:id="rId17">
        <w:r>
          <w:rPr>
            <w:rStyle w:val="Hyperlink"/>
            <w:rFonts w:cs="Arial"/>
            <w:szCs w:val="16"/>
          </w:rPr>
          <w:t>https://doi.org/10.1111/ppa.13071</w:t>
        </w:r>
      </w:hyperlink>
    </w:p>
    <w:p w14:paraId="66D956D8" w14:textId="76BFEDBE">
      <w:pPr>
        <w:pStyle w:val="IPPArialFootnote"/>
        <w:spacing w:after="180"/>
        <w:rPr>
          <w:rFonts w:cs="Arial"/>
          <w:szCs w:val="16"/>
        </w:rPr>
      </w:pPr>
      <w:r>
        <w:rPr>
          <w:rStyle w:val="PleaseReviewParagraphId"/>
          <w:b w:val="off"/>
          <w:i w:val="off"/>
        </w:rPr>
        <w:t>[243]</w:t>
      </w:r>
      <w:r>
        <w:rPr>
          <w:rFonts w:cs="Arial"/>
          <w:szCs w:val="16"/>
          <w:vertAlign w:val="superscript"/>
        </w:rPr>
        <w:t>7</w:t>
      </w:r>
      <w:r>
        <w:rPr>
          <w:rFonts w:cs="Arial"/>
          <w:szCs w:val="16"/>
        </w:rPr>
        <w:t xml:space="preserve">Sillo, F., Giordano, L. &amp; Gonthier, P. 2018. Fast and specific detection of the invasive forest pathogen </w:t>
      </w:r>
      <w:r>
        <w:rPr>
          <w:rFonts w:cs="Arial"/>
          <w:i/>
          <w:iCs/>
          <w:szCs w:val="16"/>
        </w:rPr>
        <w:t>Heterobasidion irregulare</w:t>
      </w:r>
      <w:r>
        <w:rPr>
          <w:rFonts w:cs="Arial"/>
          <w:szCs w:val="16"/>
        </w:rPr>
        <w:t xml:space="preserve"> through a loop-mediated isothermal amplification (LAMP) assay. </w:t>
      </w:r>
      <w:r>
        <w:rPr>
          <w:rFonts w:cs="Arial"/>
          <w:i/>
          <w:iCs/>
          <w:szCs w:val="16"/>
        </w:rPr>
        <w:t>Forest Pathology</w:t>
      </w:r>
      <w:r>
        <w:rPr>
          <w:rFonts w:cs="Arial"/>
          <w:szCs w:val="16"/>
        </w:rPr>
        <w:t xml:space="preserve">, 48(2): e12396. </w:t>
      </w:r>
      <w:hyperlink w:history="1" r:id="rId18">
        <w:r>
          <w:rPr>
            <w:rStyle w:val="Hyperlink"/>
            <w:rFonts w:cs="Arial"/>
            <w:szCs w:val="16"/>
          </w:rPr>
          <w:t>https://doi.org/10.1111/efp.12396</w:t>
        </w:r>
      </w:hyperlink>
    </w:p>
    <w:p w14:paraId="73460A83" w14:textId="73CA6433">
      <w:pPr>
        <w:pStyle w:val="IPPHeading2"/>
      </w:pPr>
      <w:r>
        <w:rPr>
          <w:rStyle w:val="PleaseReviewParagraphId"/>
          <w:b w:val="off"/>
          <w:i w:val="off"/>
        </w:rPr>
        <w:t>[244]</w:t>
      </w:r>
      <w:r>
        <w:t>3.4.1</w:t>
        <w:tab/>
        <w:t>Preparation of material</w:t>
      </w:r>
    </w:p>
    <w:p w14:paraId="6BEDBCE2" w14:textId="580BD680">
      <w:pPr>
        <w:pStyle w:val="IPPParagraphnumbering"/>
        <w:numPr>
          <w:ilvl w:val="0"/>
          <w:numId w:val="0"/>
        </w:numPr>
        <w:rPr>
          <w:lang w:val="en-GB"/>
        </w:rPr>
      </w:pPr>
      <w:r>
        <w:rPr>
          <w:rStyle w:val="PleaseReviewParagraphId"/>
          <w:b w:val="off"/>
          <w:i w:val="off"/>
        </w:rPr>
        <w:t>[245]</w:t>
      </w:r>
      <w:r>
        <w:rPr>
          <w:lang w:val="en-GB"/>
        </w:rPr>
        <w:t>Depending on the tissue source (wood samples, wood sawdust from drillings, fruiting bodies, mycelium from cultures), different methods may be used for homogenization or disruption of the tissue.</w:t>
      </w:r>
    </w:p>
    <w:p w14:paraId="14AB49C0" w14:textId="17BC746D">
      <w:pPr>
        <w:pStyle w:val="IPPParagraphnumbering"/>
        <w:numPr>
          <w:ilvl w:val="0"/>
          <w:numId w:val="0"/>
        </w:numPr>
        <w:rPr>
          <w:lang w:val="en-GB"/>
        </w:rPr>
      </w:pPr>
      <w:r>
        <w:rPr>
          <w:rStyle w:val="PleaseReviewParagraphId"/>
          <w:b w:val="off"/>
          <w:i w:val="off"/>
        </w:rPr>
        <w:t>[246]</w:t>
      </w:r>
      <w:r>
        <w:rPr>
          <w:lang w:val="en-GB"/>
        </w:rPr>
        <w:t>About 100 mg of wood tissue (including sawdust) or fruiting bodies may be disrupted by a tissue pulverizer; various grinding methods can be used, providing they produce a homogenously ground sample (e.g. FastPrep FP120 Cell Disrupter (Qbiogene), TissueLyser (QIAGEN)).</w:t>
      </w:r>
      <w:bookmarkStart w:name="_Ref136785247" w:id="24"/>
      <w:r>
        <w:rPr>
          <w:rStyle w:val="FootnoteReference"/>
          <w:iCs/>
          <w:lang w:val="en-GB"/>
        </w:rPr>
        <w:footnoteReference w:id="3"/>
      </w:r>
      <w:bookmarkEnd w:id="24"/>
      <w:r>
        <w:rPr>
          <w:lang w:val="en-GB"/>
        </w:rPr>
        <w:t xml:space="preserve"> Freeze-drying overnight (lyophilization), or pre-freezing in liquid nitrogen or at −80 °C (overnight), can be beneficial for disruption.</w:t>
      </w:r>
    </w:p>
    <w:p w14:paraId="5FB08BEB" w14:textId="5EC0F3C4">
      <w:pPr>
        <w:pStyle w:val="IPPParagraphnumbering"/>
        <w:numPr>
          <w:ilvl w:val="0"/>
          <w:numId w:val="0"/>
        </w:numPr>
        <w:rPr>
          <w:lang w:val="en-GB"/>
        </w:rPr>
      </w:pPr>
      <w:r>
        <w:rPr>
          <w:rStyle w:val="PleaseReviewParagraphId"/>
          <w:b w:val="off"/>
          <w:i w:val="off"/>
        </w:rPr>
        <w:t>[248]</w:t>
      </w:r>
      <w:r>
        <w:rPr>
          <w:lang w:val="en-GB"/>
        </w:rPr>
        <w:t xml:space="preserve">Extraction of DNA from fungal cultures (obtained by isolation from wood samples, fruiting bodies or passive spore traps: see section 3.3), can be optimized by culturing isolates in flasks containing a </w:t>
      </w:r>
      <w:bookmarkStart w:name="_Hlk117715860" w:id="25"/>
      <w:r>
        <w:rPr>
          <w:lang w:val="en-GB"/>
        </w:rPr>
        <w:t>liquid medium</w:t>
      </w:r>
      <w:bookmarkEnd w:id="25"/>
      <w:r>
        <w:rPr>
          <w:lang w:val="en-GB"/>
        </w:rPr>
        <w:t xml:space="preserve"> (e.g. 2% malt extract (w/v)) at room temperature (18–24 °C) for at least one week. The fungal mycelium is separated from the culture medium (supernatant) by vacuum filtration to dryness on a filter paper, freeze-dried overnight, and subsequently ground in a FastPrep FP120 Cell Disrupter (Qbiogene) or TissueLyser (QIAGEN).</w:t>
      </w:r>
      <w:r>
        <w:rPr>
          <w:vertAlign w:val="superscript"/>
          <w:lang w:val="en-GB"/>
        </w:rPr>
        <w:t>2</w:t>
      </w:r>
      <w:r>
        <w:rPr>
          <w:lang w:val="en-GB"/>
        </w:rPr>
        <w:t xml:space="preserve"> DNA can also be extracted from fungal cultures grown on agar Petri dishes. The agar plates can be supplemented with cellophane membranes to facilitate the collection of mycelia.</w:t>
      </w:r>
    </w:p>
    <w:p w14:paraId="538169EE" w14:textId="5D20E0AB">
      <w:pPr>
        <w:pStyle w:val="IPPHeading2"/>
      </w:pPr>
      <w:r>
        <w:rPr>
          <w:rStyle w:val="PleaseReviewParagraphId"/>
          <w:b w:val="off"/>
          <w:i w:val="off"/>
        </w:rPr>
        <w:t>[249]</w:t>
      </w:r>
      <w:bookmarkStart w:name="_Hlk117715934" w:id="26"/>
      <w:r>
        <w:t>3.4.2</w:t>
        <w:tab/>
        <w:t>DNA extraction</w:t>
      </w:r>
    </w:p>
    <w:bookmarkEnd w:id="26"/>
    <w:p w14:paraId="49753057" w14:textId="2B548F67">
      <w:pPr>
        <w:pStyle w:val="IPPParagraphnumbering"/>
        <w:numPr>
          <w:ilvl w:val="0"/>
          <w:numId w:val="0"/>
        </w:numPr>
        <w:rPr>
          <w:lang w:val="en-GB"/>
        </w:rPr>
      </w:pPr>
      <w:r>
        <w:rPr>
          <w:rStyle w:val="PleaseReviewParagraphId"/>
          <w:b w:val="off"/>
          <w:i w:val="off"/>
        </w:rPr>
        <w:t>[250]</w:t>
      </w:r>
      <w:r>
        <w:rPr>
          <w:lang w:val="en-GB"/>
        </w:rPr>
        <w:t>Extraction of DNA from wood tissue (including sawdust), fruiting bodies or fungal cultures grown in a liquid medium or on agar plates (see section 3.4.1) can be performed using different commercial kits (e.g. DNeasy Plant Mini Kit (QIAGEN), EZNA Stool DNA Kit (Omega Bio-Tek)), following the manufacturers’ instructions.</w:t>
      </w:r>
      <w:r>
        <w:rPr>
          <w:vertAlign w:val="superscript"/>
          <w:lang w:val="en-GB"/>
        </w:rPr>
        <w:t xml:space="preserve">2 </w:t>
      </w:r>
    </w:p>
    <w:p w14:paraId="7B16348A" w14:textId="287926D2">
      <w:pPr>
        <w:pStyle w:val="IPPParagraphnumbering"/>
        <w:numPr>
          <w:ilvl w:val="0"/>
          <w:numId w:val="0"/>
        </w:numPr>
        <w:rPr>
          <w:lang w:val="en-GB"/>
        </w:rPr>
      </w:pPr>
      <w:r>
        <w:rPr>
          <w:rStyle w:val="PleaseReviewParagraphId"/>
          <w:b w:val="off"/>
          <w:i w:val="off"/>
        </w:rPr>
        <w:t>[251]</w:t>
      </w:r>
      <w:r>
        <w:rPr>
          <w:lang w:val="en-GB"/>
        </w:rPr>
        <w:t>The DNA from fungal cultures grown on agar Petri dishes can be directly extracted by the “hyphal tip isolation” method (Schweigkofler, O’Donnell and Garbelotto, 2004), modified as described here. Briefly, the fungal mycelium is collected with the tip of a micropipette and suspended in 100 µL of sterile distilled water, frozen in liquid nitrogen for three minutes, thawed at 75 °C, vortexed for one minute, and finally centrifuged for five minutes at 19 000 </w:t>
      </w:r>
      <w:r>
        <w:rPr>
          <w:i/>
          <w:iCs/>
          <w:lang w:val="en-GB"/>
        </w:rPr>
        <w:t>g</w:t>
      </w:r>
      <w:r>
        <w:rPr>
          <w:lang w:val="en-GB"/>
        </w:rPr>
        <w:t>. The freezing and thawing are repeated three times, with the last thaw extended to 15 minutes. Samples are then centrifuged for five minutes at 19 000 </w:t>
      </w:r>
      <w:r>
        <w:rPr>
          <w:i/>
          <w:iCs/>
          <w:lang w:val="en-GB"/>
        </w:rPr>
        <w:t>g</w:t>
      </w:r>
      <w:r>
        <w:rPr>
          <w:lang w:val="en-GB"/>
        </w:rPr>
        <w:t xml:space="preserve"> and the supernatant is used as template DNA for PCR. </w:t>
      </w:r>
    </w:p>
    <w:p w14:paraId="495F74FC" w14:textId="660E3D27">
      <w:pPr>
        <w:pStyle w:val="IPPParagraphnumbering"/>
        <w:numPr>
          <w:ilvl w:val="0"/>
          <w:numId w:val="0"/>
        </w:numPr>
        <w:rPr>
          <w:lang w:val="en-GB"/>
        </w:rPr>
      </w:pPr>
      <w:r>
        <w:rPr>
          <w:rStyle w:val="PleaseReviewParagraphId"/>
          <w:b w:val="off"/>
          <w:i w:val="off"/>
        </w:rPr>
        <w:t>[252]</w:t>
      </w:r>
      <w:r>
        <w:rPr>
          <w:lang w:val="en-GB"/>
        </w:rPr>
        <w:t xml:space="preserve">The LAMP method of Sillo, </w:t>
      </w:r>
      <w:r>
        <w:rPr>
          <w:iCs/>
          <w:lang w:val="en-GB"/>
        </w:rPr>
        <w:t>Giordano and Gonthier</w:t>
      </w:r>
      <w:r>
        <w:rPr>
          <w:lang w:val="en-GB"/>
        </w:rPr>
        <w:t xml:space="preserve"> (2018) targeting </w:t>
      </w:r>
      <w:r>
        <w:rPr>
          <w:i/>
          <w:iCs/>
          <w:lang w:val="en-GB"/>
        </w:rPr>
        <w:t>H. </w:t>
      </w:r>
      <w:r>
        <w:rPr>
          <w:i/>
          <w:lang w:val="en-GB"/>
        </w:rPr>
        <w:t>irregulare</w:t>
      </w:r>
      <w:r>
        <w:rPr>
          <w:lang w:val="en-GB"/>
        </w:rPr>
        <w:t xml:space="preserve"> can be coupled with a rapid DNA extraction method for mycelia collected from woody spore traps, based on the use of alkaline polyethylene glycol (PEG) (Chomczynski and Rymaszewski, 2006).</w:t>
      </w:r>
      <w:r>
        <w:rPr>
          <w:lang w:val="en-GB"/>
        </w:rPr>
        <w:fldChar w:fldCharType="begin"/>
      </w:r>
      <w:r>
        <w:rPr>
          <w:lang w:val="en-GB"/>
        </w:rPr>
        <w:instrText xml:space="preserve"> NOTEREF _Ref136780335 \f </w:instrText>
      </w:r>
      <w:r>
        <w:rPr>
          <w:lang w:val="en-GB"/>
        </w:rPr>
        <w:fldChar w:fldCharType="separate"/>
      </w:r>
      <w:r>
        <w:rPr>
          <w:rStyle w:val="FootnoteReference"/>
          <w:lang w:val="en-GB"/>
        </w:rPr>
        <w:t>1</w:t>
      </w:r>
      <w:r>
        <w:rPr>
          <w:lang w:val="en-GB"/>
        </w:rPr>
        <w:fldChar w:fldCharType="end"/>
      </w:r>
      <w:r>
        <w:rPr>
          <w:lang w:val="en-GB"/>
        </w:rPr>
        <w:t xml:space="preserve"> Briefly, the samples (adhesive tape pieces) are homogenized into a crude macerate using a 10-mm </w:t>
      </w:r>
      <w:bookmarkStart w:name="_Hlk136787234" w:id="27"/>
      <w:r>
        <w:rPr>
          <w:lang w:val="en-GB"/>
        </w:rPr>
        <w:t xml:space="preserve">stainless-steel </w:t>
      </w:r>
      <w:bookmarkEnd w:id="27"/>
      <w:r>
        <w:rPr>
          <w:lang w:val="en-GB"/>
        </w:rPr>
        <w:t xml:space="preserve">bead in 5 mL plastic tubes containing 2 mL alkaline PEG lysis buffer (Table 4). Tubes are shaken by hand for two minutes, and 1 µL of the ten-fold dilution of the crude macerate is used in the LAMP method (Sillo, </w:t>
      </w:r>
      <w:r>
        <w:rPr>
          <w:iCs/>
          <w:lang w:val="en-GB"/>
        </w:rPr>
        <w:t>Giordano and Gonthier</w:t>
      </w:r>
      <w:r>
        <w:rPr>
          <w:lang w:val="en-GB"/>
        </w:rPr>
        <w:t>, 2018; EPPO, 2020a).</w:t>
      </w:r>
    </w:p>
    <w:p w14:paraId="2161AEA0" w14:textId="52F53D36">
      <w:pPr>
        <w:pStyle w:val="IPPArial"/>
        <w:keepNext/>
        <w:spacing w:after="120"/>
      </w:pPr>
      <w:r>
        <w:rPr>
          <w:rStyle w:val="PleaseReviewParagraphId"/>
          <w:b w:val="off"/>
          <w:i w:val="off"/>
        </w:rPr>
        <w:t>[253]</w:t>
      </w:r>
      <w:r>
        <w:rPr>
          <w:b/>
          <w:bCs/>
        </w:rPr>
        <w:lastRenderedPageBreak/>
        <w:t>Table 4.</w:t>
      </w:r>
      <w:r>
        <w:t xml:space="preserve"> Alkaline polyethylene glycol (PEG) buffer</w:t>
      </w:r>
    </w:p>
    <w:tbl>
      <w:tblPr>
        <w:tblStyle w:val="TableGrid"/>
        <w:tblW w:w="0" w:type="auto"/>
        <w:tblLook w:val="04A0" w:firstRow="1" w:lastRow="0" w:firstColumn="1" w:lastColumn="0" w:noHBand="0" w:noVBand="1"/>
      </w:tblPr>
      <w:tblGrid>
        <w:gridCol w:w="3823"/>
        <w:gridCol w:w="430"/>
        <w:gridCol w:w="1701"/>
      </w:tblGrid>
      <w:tr w14:paraId="7B8C37ED" w14:textId="77777777">
        <w:tc>
          <w:tcPr>
            <w:tcW w:w="4253" w:type="dxa"/>
            <w:gridSpan w:val="2"/>
            <w:tcBorders>
              <w:left w:val="nil"/>
              <w:bottom w:val="single" w:color="auto" w:sz="4" w:space="0"/>
              <w:right w:val="nil"/>
            </w:tcBorders>
            <w:shd w:val="clear" w:color="auto" w:fill="BFBFBF" w:themeFill="background1" w:themeFillShade="BF"/>
          </w:tcPr>
          <w:p w14:paraId="73DF80CF" w14:textId="16AC850B">
            <w:pPr>
              <w:pStyle w:val="IPPArialTable"/>
              <w:rPr>
                <w:b/>
                <w:bCs/>
              </w:rPr>
            </w:pPr>
            <w:r>
              <w:rPr>
                <w:rStyle w:val="PleaseReviewParagraphId"/>
                <w:b w:val="off"/>
                <w:i w:val="off"/>
              </w:rPr>
              <w:t>[254]</w:t>
            </w:r>
            <w:r>
              <w:rPr>
                <w:b/>
                <w:bCs/>
              </w:rPr>
              <w:t>Reagents</w:t>
            </w:r>
          </w:p>
        </w:tc>
        <w:tc>
          <w:tcPr>
            <w:tcW w:w="1701" w:type="dxa"/>
            <w:tcBorders>
              <w:left w:val="nil"/>
              <w:bottom w:val="single" w:color="auto" w:sz="4" w:space="0"/>
              <w:right w:val="nil"/>
            </w:tcBorders>
            <w:shd w:val="clear" w:color="auto" w:fill="BFBFBF" w:themeFill="background1" w:themeFillShade="BF"/>
          </w:tcPr>
          <w:p w14:paraId="605D6F85" w14:textId="77777777">
            <w:pPr>
              <w:pStyle w:val="IPPArialTable"/>
              <w:rPr>
                <w:b/>
                <w:bCs/>
              </w:rPr>
            </w:pPr>
            <w:r>
              <w:rPr>
                <w:rStyle w:val="PleaseReviewParagraphId"/>
                <w:b w:val="off"/>
                <w:i w:val="off"/>
              </w:rPr>
              <w:t>[255]</w:t>
            </w:r>
            <w:r>
              <w:rPr>
                <w:b/>
                <w:bCs/>
              </w:rPr>
              <w:t>Quantity</w:t>
            </w:r>
          </w:p>
        </w:tc>
      </w:tr>
      <w:tr w14:paraId="699710FC" w14:textId="77777777">
        <w:tc>
          <w:tcPr>
            <w:tcW w:w="4253" w:type="dxa"/>
            <w:gridSpan w:val="2"/>
            <w:tcBorders>
              <w:left w:val="nil"/>
              <w:bottom w:val="nil"/>
              <w:right w:val="nil"/>
            </w:tcBorders>
          </w:tcPr>
          <w:p w14:paraId="4D4A6D8B" w14:textId="472E1A11">
            <w:pPr>
              <w:pStyle w:val="IPPArialTable"/>
            </w:pPr>
            <w:r>
              <w:rPr>
                <w:rStyle w:val="PleaseReviewParagraphId"/>
                <w:b w:val="off"/>
                <w:i w:val="off"/>
              </w:rPr>
              <w:t>[256]</w:t>
            </w:r>
            <w:r>
              <w:t>Polyethylene glycol average Mn 4 600</w:t>
            </w:r>
          </w:p>
        </w:tc>
        <w:tc>
          <w:tcPr>
            <w:tcW w:w="1701" w:type="dxa"/>
            <w:tcBorders>
              <w:left w:val="nil"/>
              <w:bottom w:val="nil"/>
              <w:right w:val="nil"/>
            </w:tcBorders>
          </w:tcPr>
          <w:p w14:paraId="3B593D72" w14:textId="4EAAE0DB">
            <w:pPr>
              <w:pStyle w:val="IPPArialTable"/>
            </w:pPr>
            <w:r>
              <w:rPr>
                <w:rStyle w:val="PleaseReviewParagraphId"/>
                <w:b w:val="off"/>
                <w:i w:val="off"/>
              </w:rPr>
              <w:t>[257]</w:t>
            </w:r>
            <w:r>
              <w:t>2.5 g</w:t>
            </w:r>
          </w:p>
        </w:tc>
      </w:tr>
      <w:tr w14:paraId="3ABC1934" w14:textId="77777777">
        <w:tc>
          <w:tcPr>
            <w:tcW w:w="4253" w:type="dxa"/>
            <w:gridSpan w:val="2"/>
            <w:tcBorders>
              <w:top w:val="nil"/>
              <w:left w:val="nil"/>
              <w:bottom w:val="nil"/>
              <w:right w:val="nil"/>
            </w:tcBorders>
          </w:tcPr>
          <w:p w14:paraId="637373D4" w14:textId="0C8113DE">
            <w:pPr>
              <w:pStyle w:val="IPPArialTable"/>
            </w:pPr>
            <w:r>
              <w:rPr>
                <w:rStyle w:val="PleaseReviewParagraphId"/>
                <w:b w:val="off"/>
                <w:i w:val="off"/>
              </w:rPr>
              <w:t>[258]</w:t>
            </w:r>
            <w:r>
              <w:t>KOH 2 M</w:t>
            </w:r>
          </w:p>
        </w:tc>
        <w:tc>
          <w:tcPr>
            <w:tcW w:w="1701" w:type="dxa"/>
            <w:tcBorders>
              <w:top w:val="nil"/>
              <w:left w:val="nil"/>
              <w:bottom w:val="nil"/>
              <w:right w:val="nil"/>
            </w:tcBorders>
          </w:tcPr>
          <w:p w14:paraId="5F2F7583" w14:textId="4EE3EB1D">
            <w:pPr>
              <w:pStyle w:val="IPPArialTable"/>
            </w:pPr>
            <w:r>
              <w:rPr>
                <w:rStyle w:val="PleaseReviewParagraphId"/>
                <w:b w:val="off"/>
                <w:i w:val="off"/>
              </w:rPr>
              <w:t>[259]</w:t>
            </w:r>
            <w:r>
              <w:t>0.93 mL</w:t>
            </w:r>
          </w:p>
        </w:tc>
      </w:tr>
      <w:tr w14:paraId="3CB2C06C" w14:textId="77777777">
        <w:tc>
          <w:tcPr>
            <w:tcW w:w="4253" w:type="dxa"/>
            <w:gridSpan w:val="2"/>
            <w:tcBorders>
              <w:top w:val="nil"/>
              <w:left w:val="nil"/>
              <w:bottom w:val="single" w:color="auto" w:sz="4" w:space="0"/>
              <w:right w:val="nil"/>
            </w:tcBorders>
          </w:tcPr>
          <w:p w14:paraId="6D8ADA36" w14:textId="1FACD578">
            <w:pPr>
              <w:pStyle w:val="IPPArialTable"/>
            </w:pPr>
            <w:r>
              <w:rPr>
                <w:rStyle w:val="PleaseReviewParagraphId"/>
                <w:b w:val="off"/>
                <w:i w:val="off"/>
              </w:rPr>
              <w:t>[260]</w:t>
            </w:r>
            <w:r>
              <w:t>Distilled water</w:t>
            </w:r>
          </w:p>
        </w:tc>
        <w:tc>
          <w:tcPr>
            <w:tcW w:w="1701" w:type="dxa"/>
            <w:tcBorders>
              <w:top w:val="nil"/>
              <w:left w:val="nil"/>
              <w:bottom w:val="single" w:color="auto" w:sz="4" w:space="0"/>
              <w:right w:val="nil"/>
            </w:tcBorders>
          </w:tcPr>
          <w:p w14:paraId="02E23FB5" w14:textId="18BF8B9C">
            <w:pPr>
              <w:pStyle w:val="IPPArialTable"/>
            </w:pPr>
            <w:r>
              <w:rPr>
                <w:rStyle w:val="PleaseReviewParagraphId"/>
                <w:b w:val="off"/>
                <w:i w:val="off"/>
              </w:rPr>
              <w:t>[261]</w:t>
            </w:r>
            <w:r>
              <w:t>39 mL</w:t>
            </w:r>
          </w:p>
        </w:tc>
      </w:tr>
      <w:tr w14:paraId="6659985F" w14:textId="77777777">
        <w:tc>
          <w:tcPr>
            <w:tcW w:w="3823" w:type="dxa"/>
            <w:tcBorders>
              <w:top w:val="single" w:color="auto" w:sz="4" w:space="0"/>
              <w:left w:val="nil"/>
              <w:bottom w:val="single" w:color="auto" w:sz="4" w:space="0"/>
              <w:right w:val="nil"/>
            </w:tcBorders>
          </w:tcPr>
          <w:p w14:paraId="00B5CFC2" w14:textId="075B8B82">
            <w:pPr>
              <w:pStyle w:val="IPPArialTable"/>
            </w:pPr>
            <w:r>
              <w:rPr>
                <w:rStyle w:val="PleaseReviewParagraphId"/>
                <w:b w:val="off"/>
                <w:i w:val="off"/>
              </w:rPr>
              <w:t>[262]</w:t>
            </w:r>
            <w:r>
              <w:t>Adjust pH to 13.0−13.5 with KOH 0.5 M</w:t>
            </w:r>
          </w:p>
        </w:tc>
        <w:tc>
          <w:tcPr>
            <w:tcW w:w="2131" w:type="dxa"/>
            <w:gridSpan w:val="2"/>
            <w:tcBorders>
              <w:top w:val="single" w:color="auto" w:sz="4" w:space="0"/>
              <w:left w:val="nil"/>
              <w:bottom w:val="single" w:color="auto" w:sz="4" w:space="0"/>
              <w:right w:val="nil"/>
            </w:tcBorders>
          </w:tcPr>
          <w:p w14:paraId="59EFFA13" w14:textId="77777777">
            <w:pPr>
              <w:pStyle w:val="IPPArialTable"/>
            </w:pPr>
            <w:r>
              <w:rPr>
                <w:rStyle w:val="PleaseReviewParagraphId"/>
                <w:b w:val="off"/>
                <w:i w:val="off"/>
              </w:rPr>
              <w:t>[263]</w:t>
            </w:r>
          </w:p>
        </w:tc>
      </w:tr>
    </w:tbl>
    <w:p w14:paraId="6550EDC1" w14:textId="71E0C2B7">
      <w:pPr>
        <w:pStyle w:val="IPPArialFootnote"/>
      </w:pPr>
      <w:r>
        <w:rPr>
          <w:rStyle w:val="PleaseReviewParagraphId"/>
          <w:b w:val="off"/>
          <w:i w:val="off"/>
        </w:rPr>
        <w:t>[264]</w:t>
      </w:r>
      <w:r>
        <w:rPr>
          <w:i/>
          <w:iCs/>
        </w:rPr>
        <w:t xml:space="preserve">Note: </w:t>
      </w:r>
      <w:r>
        <w:t>Store at room temperature.</w:t>
      </w:r>
    </w:p>
    <w:p w14:paraId="08A138E6" w14:textId="5E03B7AB">
      <w:pPr>
        <w:pStyle w:val="IPPArialFootnote"/>
        <w:spacing w:after="180"/>
      </w:pPr>
      <w:r>
        <w:rPr>
          <w:rStyle w:val="PleaseReviewParagraphId"/>
          <w:b w:val="off"/>
          <w:i w:val="off"/>
        </w:rPr>
        <w:t>[265]</w:t>
      </w:r>
      <w:r>
        <w:rPr>
          <w:i/>
          <w:iCs/>
        </w:rPr>
        <w:t xml:space="preserve">Source: </w:t>
      </w:r>
      <w:r>
        <w:t xml:space="preserve">Chomczynski, P. &amp; Rymaszewski, M. 2006. Alkaline polyethylene glycol-based method for direct PCR from bacteria, eukaryotic tissue samples, and whole blood. </w:t>
      </w:r>
      <w:r>
        <w:rPr>
          <w:i/>
        </w:rPr>
        <w:t>BioTechniques</w:t>
      </w:r>
      <w:r>
        <w:t xml:space="preserve">, 40: 454–458. </w:t>
      </w:r>
      <w:hyperlink w:history="1" r:id="rId19">
        <w:r>
          <w:rPr>
            <w:rStyle w:val="Hyperlink"/>
          </w:rPr>
          <w:t>https://doi.org/10.2144/000112149</w:t>
        </w:r>
      </w:hyperlink>
    </w:p>
    <w:p w14:paraId="3C5EEDAE" w14:textId="5D81BB52">
      <w:pPr>
        <w:pStyle w:val="IPPParagraphnumbering"/>
        <w:numPr>
          <w:ilvl w:val="0"/>
          <w:numId w:val="0"/>
        </w:numPr>
        <w:rPr>
          <w:lang w:val="en-GB"/>
        </w:rPr>
      </w:pPr>
      <w:r>
        <w:rPr>
          <w:rStyle w:val="PleaseReviewParagraphId"/>
          <w:b w:val="off"/>
          <w:i w:val="off"/>
        </w:rPr>
        <w:t>[266]</w:t>
      </w:r>
      <w:r>
        <w:rPr>
          <w:lang w:val="en-GB"/>
        </w:rPr>
        <w:t xml:space="preserve">For all extraction methods, DNA should be stored at </w:t>
      </w:r>
      <w:bookmarkStart w:name="_Hlk117112447" w:id="28"/>
      <w:r>
        <w:rPr>
          <w:lang w:val="en-GB"/>
        </w:rPr>
        <w:t>−</w:t>
      </w:r>
      <w:bookmarkEnd w:id="28"/>
      <w:r>
        <w:rPr>
          <w:lang w:val="en-GB"/>
        </w:rPr>
        <w:t>20 °C until use; subsequently, any remaining DNA (i.e. DNA not used for PCR) can be stored at −80 °C or −20 °C.</w:t>
      </w:r>
    </w:p>
    <w:p w14:paraId="2C4E3DAA" w14:textId="4FA9F2DD">
      <w:pPr>
        <w:pStyle w:val="IPPHeading2"/>
      </w:pPr>
      <w:r>
        <w:rPr>
          <w:rStyle w:val="PleaseReviewParagraphId"/>
          <w:b w:val="off"/>
          <w:i w:val="off"/>
        </w:rPr>
        <w:t>[267]</w:t>
      </w:r>
      <w:r>
        <w:t>3.4.3</w:t>
        <w:tab/>
        <w:t>Detection by conventional PCR</w:t>
      </w:r>
    </w:p>
    <w:p w14:paraId="2048ADF8" w14:textId="3BE159F2">
      <w:pPr>
        <w:pStyle w:val="IPPParagraphnumbering"/>
        <w:numPr>
          <w:ilvl w:val="0"/>
          <w:numId w:val="0"/>
        </w:numPr>
        <w:rPr>
          <w:lang w:val="en-GB"/>
        </w:rPr>
      </w:pPr>
      <w:r>
        <w:rPr>
          <w:rStyle w:val="PleaseReviewParagraphId"/>
          <w:b w:val="off"/>
          <w:i w:val="off"/>
        </w:rPr>
        <w:t>[268]</w:t>
      </w:r>
      <w:r>
        <w:rPr>
          <w:lang w:val="en-GB"/>
        </w:rPr>
        <w:t xml:space="preserve">There are several conventional taxon-specific PCR methods for the detection of </w:t>
      </w:r>
      <w:r>
        <w:rPr>
          <w:i/>
          <w:lang w:val="en-GB"/>
        </w:rPr>
        <w:t>Heterobasidion</w:t>
      </w:r>
      <w:r>
        <w:rPr>
          <w:lang w:val="en-GB"/>
        </w:rPr>
        <w:t xml:space="preserve"> species. Two of these methods (or sets of methods) are described below. For practical purposes, an additional multiplex PCR method targeting </w:t>
      </w:r>
      <w:r>
        <w:rPr>
          <w:i/>
          <w:iCs/>
          <w:lang w:val="en-GB"/>
        </w:rPr>
        <w:t>H. </w:t>
      </w:r>
      <w:r>
        <w:rPr>
          <w:i/>
          <w:lang w:val="en-GB"/>
        </w:rPr>
        <w:t>annosum</w:t>
      </w:r>
      <w:r>
        <w:rPr>
          <w:i/>
          <w:iCs/>
          <w:lang w:val="en-GB"/>
        </w:rPr>
        <w:t> s.l.</w:t>
      </w:r>
      <w:r>
        <w:rPr>
          <w:lang w:val="en-GB"/>
        </w:rPr>
        <w:t xml:space="preserve"> and </w:t>
      </w:r>
      <w:r>
        <w:rPr>
          <w:i/>
          <w:lang w:val="en-GB"/>
        </w:rPr>
        <w:t>Armillaria</w:t>
      </w:r>
      <w:r>
        <w:rPr>
          <w:lang w:val="en-GB"/>
        </w:rPr>
        <w:t xml:space="preserve"> spp. (Bahnweg </w:t>
      </w:r>
      <w:r>
        <w:rPr>
          <w:i/>
          <w:iCs/>
          <w:lang w:val="en-GB"/>
        </w:rPr>
        <w:t>et al</w:t>
      </w:r>
      <w:r>
        <w:rPr>
          <w:lang w:val="en-GB"/>
        </w:rPr>
        <w:t>., 2002) is also described.</w:t>
      </w:r>
    </w:p>
    <w:p w14:paraId="3445CC67" w14:textId="687158FB">
      <w:pPr>
        <w:pStyle w:val="IPPHeading3"/>
      </w:pPr>
      <w:r>
        <w:rPr>
          <w:rStyle w:val="PleaseReviewParagraphId"/>
          <w:b w:val="off"/>
          <w:i w:val="off"/>
        </w:rPr>
        <w:t>[269]</w:t>
      </w:r>
      <w:r>
        <w:t>3.4.3.1</w:t>
        <w:tab/>
        <w:t xml:space="preserve">Multiplex PCR of Bahnweg </w:t>
      </w:r>
      <w:r>
        <w:rPr>
          <w:i w:val="0"/>
        </w:rPr>
        <w:t>et al.</w:t>
      </w:r>
      <w:r>
        <w:t xml:space="preserve"> (2002) targeting </w:t>
      </w:r>
      <w:r>
        <w:rPr>
          <w:i w:val="0"/>
        </w:rPr>
        <w:t>Heterobasidion annosum s.l.</w:t>
      </w:r>
      <w:r>
        <w:rPr>
          <w:iCs/>
        </w:rPr>
        <w:t xml:space="preserve"> </w:t>
      </w:r>
      <w:r>
        <w:t>and</w:t>
      </w:r>
      <w:r>
        <w:rPr>
          <w:iCs/>
        </w:rPr>
        <w:t xml:space="preserve"> </w:t>
      </w:r>
      <w:r>
        <w:rPr>
          <w:i w:val="0"/>
        </w:rPr>
        <w:t>Armillaria</w:t>
      </w:r>
      <w:r>
        <w:rPr>
          <w:iCs/>
        </w:rPr>
        <w:t xml:space="preserve"> </w:t>
      </w:r>
      <w:r>
        <w:t>spp.</w:t>
      </w:r>
    </w:p>
    <w:p w14:paraId="4D913624" w14:textId="5F6F8C8B">
      <w:pPr>
        <w:pStyle w:val="IPPParagraphnumbering"/>
        <w:numPr>
          <w:ilvl w:val="0"/>
          <w:numId w:val="0"/>
        </w:numPr>
        <w:rPr>
          <w:lang w:val="en-GB"/>
        </w:rPr>
      </w:pPr>
      <w:r>
        <w:rPr>
          <w:rStyle w:val="PleaseReviewParagraphId"/>
          <w:b w:val="off"/>
          <w:i w:val="off"/>
        </w:rPr>
        <w:t>[270]</w:t>
      </w:r>
      <w:bookmarkStart w:name="_Hlk136798581" w:id="29"/>
      <w:r>
        <w:rPr>
          <w:iCs/>
          <w:lang w:val="en-GB"/>
        </w:rPr>
        <w:t xml:space="preserve">The </w:t>
      </w:r>
      <w:r>
        <w:rPr>
          <w:i/>
          <w:lang w:val="en-GB"/>
        </w:rPr>
        <w:t>Heterobasidion</w:t>
      </w:r>
      <w:r>
        <w:rPr>
          <w:lang w:val="en-GB"/>
        </w:rPr>
        <w:t xml:space="preserve">-specific </w:t>
      </w:r>
      <w:bookmarkEnd w:id="29"/>
      <w:r>
        <w:rPr>
          <w:lang w:val="en-GB"/>
        </w:rPr>
        <w:t xml:space="preserve">primers HET-7a and HET-8a were developed by Bahnweg </w:t>
      </w:r>
      <w:r>
        <w:rPr>
          <w:i/>
          <w:iCs/>
          <w:lang w:val="en-GB"/>
        </w:rPr>
        <w:t>et al</w:t>
      </w:r>
      <w:r>
        <w:rPr>
          <w:lang w:val="en-GB"/>
        </w:rPr>
        <w:t xml:space="preserve">. (2002) and combined in a multiplex PCR with the </w:t>
      </w:r>
      <w:bookmarkStart w:name="_Hlk136798626" w:id="30"/>
      <w:r>
        <w:rPr>
          <w:i/>
          <w:lang w:val="en-GB"/>
        </w:rPr>
        <w:t>Armillaria</w:t>
      </w:r>
      <w:r>
        <w:rPr>
          <w:lang w:val="en-GB"/>
        </w:rPr>
        <w:t xml:space="preserve">-specific </w:t>
      </w:r>
      <w:bookmarkEnd w:id="30"/>
      <w:r>
        <w:rPr>
          <w:lang w:val="en-GB"/>
        </w:rPr>
        <w:t xml:space="preserve">primers ARM-1 and ARM-2 (Schulze </w:t>
      </w:r>
      <w:r>
        <w:rPr>
          <w:i/>
          <w:iCs/>
          <w:lang w:val="en-GB"/>
        </w:rPr>
        <w:t>et al</w:t>
      </w:r>
      <w:r>
        <w:rPr>
          <w:lang w:val="en-GB"/>
        </w:rPr>
        <w:t xml:space="preserve">., 1997) for the simultaneous detection of these two economically-important pathogens of conifers. Both HET-7a and HET-8a were derived from ITS sequences. The primers are considered genus-specific because differences in ITS sequences between species within </w:t>
      </w:r>
      <w:r>
        <w:rPr>
          <w:i/>
          <w:iCs/>
          <w:lang w:val="en-GB"/>
        </w:rPr>
        <w:t>H. </w:t>
      </w:r>
      <w:r>
        <w:rPr>
          <w:i/>
          <w:lang w:val="en-GB"/>
        </w:rPr>
        <w:t>annosum</w:t>
      </w:r>
      <w:r>
        <w:rPr>
          <w:i/>
          <w:iCs/>
          <w:lang w:val="en-GB"/>
        </w:rPr>
        <w:t> s.l.</w:t>
      </w:r>
      <w:r>
        <w:rPr>
          <w:lang w:val="en-GB"/>
        </w:rPr>
        <w:t xml:space="preserve"> are very small (Kasuga </w:t>
      </w:r>
      <w:r>
        <w:rPr>
          <w:i/>
          <w:iCs/>
          <w:lang w:val="en-GB"/>
        </w:rPr>
        <w:t>et al</w:t>
      </w:r>
      <w:r>
        <w:rPr>
          <w:lang w:val="en-GB"/>
        </w:rPr>
        <w:t>., 1993). The specificity of the method was cross-checked against a wide panel of pure cultures from target (</w:t>
      </w:r>
      <w:r>
        <w:rPr>
          <w:i/>
          <w:lang w:val="en-GB"/>
        </w:rPr>
        <w:t>Armillaria</w:t>
      </w:r>
      <w:r>
        <w:rPr>
          <w:lang w:val="en-GB"/>
        </w:rPr>
        <w:t xml:space="preserve"> spp. and </w:t>
      </w:r>
      <w:r>
        <w:rPr>
          <w:i/>
          <w:lang w:val="en-GB"/>
        </w:rPr>
        <w:t>Heterobasidion</w:t>
      </w:r>
      <w:r>
        <w:rPr>
          <w:lang w:val="en-GB"/>
        </w:rPr>
        <w:t xml:space="preserve"> spp.) and non-target species, including other root- and butt-rot fungi (e.g. </w:t>
      </w:r>
      <w:r>
        <w:rPr>
          <w:i/>
          <w:lang w:val="en-GB"/>
        </w:rPr>
        <w:t>Ilyonectria destructans</w:t>
      </w:r>
      <w:r>
        <w:rPr>
          <w:lang w:val="en-GB"/>
        </w:rPr>
        <w:t xml:space="preserve"> (Zinssm.) Rossman, L. Lombard &amp; Crous, 2015), wood decomposers (e.g. </w:t>
      </w:r>
      <w:r>
        <w:rPr>
          <w:i/>
          <w:lang w:val="en-GB"/>
        </w:rPr>
        <w:t>Pholiota squarrosa</w:t>
      </w:r>
      <w:r>
        <w:rPr>
          <w:lang w:val="en-GB"/>
        </w:rPr>
        <w:t xml:space="preserve"> (Vahl) P. Kumm., 1871, </w:t>
      </w:r>
      <w:r>
        <w:rPr>
          <w:i/>
          <w:lang w:val="en-GB"/>
        </w:rPr>
        <w:t>Stereum sanguinolentum</w:t>
      </w:r>
      <w:r>
        <w:rPr>
          <w:lang w:val="en-GB"/>
        </w:rPr>
        <w:t xml:space="preserve"> (Alb. &amp; Schwein.) Fr., 1838, </w:t>
      </w:r>
      <w:r>
        <w:rPr>
          <w:i/>
          <w:lang w:val="en-GB"/>
        </w:rPr>
        <w:t>Trichaptum abietinum</w:t>
      </w:r>
      <w:r>
        <w:rPr>
          <w:lang w:val="en-GB"/>
        </w:rPr>
        <w:t xml:space="preserve"> (Pers. ex J.F. Gmel.) Ryvarden, 1972, </w:t>
      </w:r>
      <w:r>
        <w:rPr>
          <w:i/>
          <w:lang w:val="en-GB"/>
        </w:rPr>
        <w:t>Tyromyces</w:t>
      </w:r>
      <w:r>
        <w:rPr>
          <w:lang w:val="en-GB"/>
        </w:rPr>
        <w:t xml:space="preserve"> spp.), ectomycorrhizal fungi (e.g. </w:t>
      </w:r>
      <w:r>
        <w:rPr>
          <w:i/>
          <w:lang w:val="en-GB"/>
        </w:rPr>
        <w:t>Hebeloma mesophaeum</w:t>
      </w:r>
      <w:r>
        <w:rPr>
          <w:lang w:val="en-GB"/>
        </w:rPr>
        <w:t xml:space="preserve"> (Pers.) Quél., 1872, </w:t>
      </w:r>
      <w:r>
        <w:rPr>
          <w:i/>
          <w:lang w:val="en-GB"/>
        </w:rPr>
        <w:t>Russula ochroleuca</w:t>
      </w:r>
      <w:r>
        <w:rPr>
          <w:lang w:val="en-GB"/>
        </w:rPr>
        <w:t xml:space="preserve"> Fr., 1838) and parasitic Peronosporales (e.g. </w:t>
      </w:r>
      <w:r>
        <w:rPr>
          <w:i/>
          <w:lang w:val="en-GB"/>
        </w:rPr>
        <w:t>Phytophthora</w:t>
      </w:r>
      <w:r>
        <w:rPr>
          <w:lang w:val="en-GB"/>
        </w:rPr>
        <w:t xml:space="preserve"> spp., </w:t>
      </w:r>
      <w:r>
        <w:rPr>
          <w:i/>
          <w:lang w:val="en-GB"/>
        </w:rPr>
        <w:t>Pythium</w:t>
      </w:r>
      <w:r>
        <w:rPr>
          <w:lang w:val="en-GB"/>
        </w:rPr>
        <w:t xml:space="preserve"> spp.) that may occur in the same environment. The PCR method was verified on environmental wood samples. As little as 1 pg of </w:t>
      </w:r>
      <w:r>
        <w:rPr>
          <w:i/>
          <w:lang w:val="en-GB"/>
        </w:rPr>
        <w:t>Armillaria</w:t>
      </w:r>
      <w:r>
        <w:rPr>
          <w:lang w:val="en-GB"/>
        </w:rPr>
        <w:t xml:space="preserve"> DNA in a mixture with 100 ng of </w:t>
      </w:r>
      <w:r>
        <w:rPr>
          <w:i/>
          <w:lang w:val="en-GB"/>
        </w:rPr>
        <w:t>Heterobasidion</w:t>
      </w:r>
      <w:r>
        <w:rPr>
          <w:lang w:val="en-GB"/>
        </w:rPr>
        <w:t xml:space="preserve"> DNA still yielded a visible amplicon (Bahnweg </w:t>
      </w:r>
      <w:r>
        <w:rPr>
          <w:i/>
          <w:iCs/>
          <w:lang w:val="en-GB"/>
        </w:rPr>
        <w:t>et al</w:t>
      </w:r>
      <w:r>
        <w:rPr>
          <w:lang w:val="en-GB"/>
        </w:rPr>
        <w:t xml:space="preserve">., 2002). </w:t>
      </w:r>
    </w:p>
    <w:p w14:paraId="1A6044F2" w14:textId="004EB6EA">
      <w:pPr>
        <w:pStyle w:val="IPPParagraphnumberingclose"/>
        <w:numPr>
          <w:ilvl w:val="0"/>
          <w:numId w:val="0"/>
        </w:numPr>
        <w:rPr>
          <w:lang w:val="en-GB"/>
        </w:rPr>
      </w:pPr>
      <w:r>
        <w:rPr>
          <w:rStyle w:val="PleaseReviewParagraphId"/>
          <w:b w:val="off"/>
          <w:i w:val="off"/>
        </w:rPr>
        <w:t>[271]</w:t>
      </w:r>
      <w:r>
        <w:rPr>
          <w:lang w:val="en-GB"/>
        </w:rPr>
        <w:t>The master mix and cycling parameters for the PCR are described in Table 5 and the primers are as follows:</w:t>
      </w:r>
    </w:p>
    <w:p w14:paraId="2F73679A" w14:textId="6EB38F11">
      <w:pPr>
        <w:pStyle w:val="IPPIndentClose"/>
      </w:pPr>
      <w:r>
        <w:rPr>
          <w:rStyle w:val="PleaseReviewParagraphId"/>
          <w:b w:val="off"/>
          <w:i w:val="off"/>
        </w:rPr>
        <w:t>[272]</w:t>
      </w:r>
      <w:r>
        <w:t xml:space="preserve">HET-7a (forward): 5′-GCT GCT TCT CAC AAA CTC TTC G-3′ (Bahnweg </w:t>
      </w:r>
      <w:r>
        <w:rPr>
          <w:i/>
        </w:rPr>
        <w:t>et al</w:t>
      </w:r>
      <w:r>
        <w:t>., 2002)</w:t>
      </w:r>
    </w:p>
    <w:p w14:paraId="4F2EDCC9" w14:textId="6637F61C">
      <w:pPr>
        <w:pStyle w:val="IPPIndentClose"/>
      </w:pPr>
      <w:r>
        <w:rPr>
          <w:rStyle w:val="PleaseReviewParagraphId"/>
          <w:b w:val="off"/>
          <w:i w:val="off"/>
        </w:rPr>
        <w:t>[273]</w:t>
      </w:r>
      <w:r>
        <w:t xml:space="preserve">HET-8a (reverse): 5′-AAG CAG GTC CCC CAC AAT CG-3′ (Bahnweg </w:t>
      </w:r>
      <w:r>
        <w:rPr>
          <w:i/>
        </w:rPr>
        <w:t>et al</w:t>
      </w:r>
      <w:r>
        <w:t>., 2002)</w:t>
      </w:r>
    </w:p>
    <w:p w14:paraId="4E70DACD" w14:textId="1923D242">
      <w:pPr>
        <w:pStyle w:val="IPPIndentClose"/>
      </w:pPr>
      <w:r>
        <w:rPr>
          <w:rStyle w:val="PleaseReviewParagraphId"/>
          <w:b w:val="off"/>
          <w:i w:val="off"/>
        </w:rPr>
        <w:t>[274]</w:t>
      </w:r>
      <w:r>
        <w:t xml:space="preserve">ARM-1 (forward): 5′-AGG GTA TGT GCA CGT TCG AC-3′ (Schulze </w:t>
      </w:r>
      <w:r>
        <w:rPr>
          <w:i/>
        </w:rPr>
        <w:t>et al</w:t>
      </w:r>
      <w:r>
        <w:t>., 1997)</w:t>
      </w:r>
    </w:p>
    <w:p w14:paraId="42488138" w14:textId="2C0ED7FC">
      <w:pPr>
        <w:pStyle w:val="IPPIndent"/>
      </w:pPr>
      <w:r>
        <w:rPr>
          <w:rStyle w:val="PleaseReviewParagraphId"/>
          <w:b w:val="off"/>
          <w:i w:val="off"/>
        </w:rPr>
        <w:t>[275]</w:t>
      </w:r>
      <w:r>
        <w:t xml:space="preserve">ARM-2 (reverse): 5′-GGA AAG CTA AGC TCG CGC TA-3′ (Schulze </w:t>
      </w:r>
      <w:r>
        <w:rPr>
          <w:i/>
        </w:rPr>
        <w:t>et al</w:t>
      </w:r>
      <w:r>
        <w:t>., 1997)</w:t>
      </w:r>
    </w:p>
    <w:p w14:paraId="34C7C046" w14:textId="757B7896">
      <w:pPr>
        <w:pStyle w:val="IPPArial"/>
        <w:keepNext/>
        <w:spacing w:after="120"/>
      </w:pPr>
      <w:r>
        <w:rPr>
          <w:rStyle w:val="PleaseReviewParagraphId"/>
          <w:b w:val="off"/>
          <w:i w:val="off"/>
        </w:rPr>
        <w:t>[276]</w:t>
      </w:r>
      <w:r>
        <w:rPr>
          <w:b/>
          <w:bCs/>
        </w:rPr>
        <w:t>Table 5.</w:t>
      </w:r>
      <w:r>
        <w:t xml:space="preserve"> Master mix composition, cycling parameters and amplicons for multiplex PCR targeting </w:t>
      </w:r>
      <w:r>
        <w:rPr>
          <w:i/>
          <w:iCs/>
        </w:rPr>
        <w:t>Heterobasidion annosum s.l.</w:t>
      </w:r>
      <w:r>
        <w:rPr>
          <w:iCs/>
        </w:rPr>
        <w:t xml:space="preserve"> </w:t>
      </w:r>
      <w:r>
        <w:t>and</w:t>
      </w:r>
      <w:r>
        <w:rPr>
          <w:iCs/>
        </w:rPr>
        <w:t xml:space="preserve"> </w:t>
      </w:r>
      <w:r>
        <w:rPr>
          <w:i/>
          <w:iCs/>
        </w:rPr>
        <w:t>Armillaria</w:t>
      </w:r>
      <w:r>
        <w:rPr>
          <w:iCs/>
        </w:rPr>
        <w:t xml:space="preserve"> </w:t>
      </w:r>
      <w:r>
        <w:t xml:space="preserve">spp. </w:t>
      </w:r>
    </w:p>
    <w:tbl>
      <w:tblPr>
        <w:tblStyle w:val="TableGrid"/>
        <w:tblW w:w="0" w:type="auto"/>
        <w:tblLook w:val="04A0" w:firstRow="1" w:lastRow="0" w:firstColumn="1" w:lastColumn="0" w:noHBand="0" w:noVBand="1"/>
      </w:tblPr>
      <w:tblGrid>
        <w:gridCol w:w="3823"/>
        <w:gridCol w:w="2268"/>
      </w:tblGrid>
      <w:tr w14:paraId="1FD2A4C6" w14:textId="77777777">
        <w:tc>
          <w:tcPr>
            <w:tcW w:w="3823" w:type="dxa"/>
            <w:tcBorders>
              <w:left w:val="nil"/>
              <w:bottom w:val="single" w:color="auto" w:sz="4" w:space="0"/>
              <w:right w:val="nil"/>
            </w:tcBorders>
            <w:shd w:val="clear" w:color="auto" w:fill="BFBFBF" w:themeFill="background1" w:themeFillShade="BF"/>
          </w:tcPr>
          <w:p w14:paraId="6E281E4F" w14:textId="03F1279C">
            <w:pPr>
              <w:pStyle w:val="IPPArialTable"/>
              <w:rPr>
                <w:b/>
                <w:bCs/>
              </w:rPr>
            </w:pPr>
            <w:r>
              <w:rPr>
                <w:rStyle w:val="PleaseReviewParagraphId"/>
                <w:b w:val="off"/>
                <w:i w:val="off"/>
              </w:rPr>
              <w:t>[277]</w:t>
            </w:r>
            <w:r>
              <w:rPr>
                <w:b/>
                <w:bCs/>
              </w:rPr>
              <w:t>Reagents</w:t>
            </w:r>
          </w:p>
        </w:tc>
        <w:tc>
          <w:tcPr>
            <w:tcW w:w="2268" w:type="dxa"/>
            <w:tcBorders>
              <w:left w:val="nil"/>
              <w:bottom w:val="single" w:color="auto" w:sz="4" w:space="0"/>
              <w:right w:val="nil"/>
            </w:tcBorders>
            <w:shd w:val="clear" w:color="auto" w:fill="BFBFBF" w:themeFill="background1" w:themeFillShade="BF"/>
          </w:tcPr>
          <w:p w14:paraId="141FB796" w14:textId="77777777">
            <w:pPr>
              <w:pStyle w:val="IPPArialTable"/>
              <w:rPr>
                <w:b/>
                <w:bCs/>
              </w:rPr>
            </w:pPr>
            <w:r>
              <w:rPr>
                <w:rStyle w:val="PleaseReviewParagraphId"/>
                <w:b w:val="off"/>
                <w:i w:val="off"/>
              </w:rPr>
              <w:t>[278]</w:t>
            </w:r>
            <w:r>
              <w:rPr>
                <w:b/>
                <w:bCs/>
              </w:rPr>
              <w:t>Final concentration</w:t>
            </w:r>
          </w:p>
        </w:tc>
      </w:tr>
      <w:tr w14:paraId="3502BD2A" w14:textId="77777777">
        <w:tc>
          <w:tcPr>
            <w:tcW w:w="3823" w:type="dxa"/>
            <w:tcBorders>
              <w:left w:val="nil"/>
              <w:bottom w:val="nil"/>
              <w:right w:val="nil"/>
            </w:tcBorders>
          </w:tcPr>
          <w:p w14:paraId="6F080B01" w14:textId="77777777">
            <w:pPr>
              <w:pStyle w:val="IPPArialTable"/>
            </w:pPr>
            <w:r>
              <w:rPr>
                <w:rStyle w:val="PleaseReviewParagraphId"/>
                <w:b w:val="off"/>
                <w:i w:val="off"/>
              </w:rPr>
              <w:t>[279]</w:t>
            </w:r>
            <w:r>
              <w:t>PCR-grade water</w:t>
            </w:r>
          </w:p>
        </w:tc>
        <w:tc>
          <w:tcPr>
            <w:tcW w:w="2268" w:type="dxa"/>
            <w:tcBorders>
              <w:left w:val="nil"/>
              <w:bottom w:val="nil"/>
              <w:right w:val="nil"/>
            </w:tcBorders>
          </w:tcPr>
          <w:p w14:paraId="229B25B8" w14:textId="77777777">
            <w:pPr>
              <w:pStyle w:val="IPPArialTable"/>
            </w:pPr>
            <w:r>
              <w:rPr>
                <w:rStyle w:val="PleaseReviewParagraphId"/>
                <w:b w:val="off"/>
                <w:i w:val="off"/>
              </w:rPr>
              <w:t>[280]</w:t>
            </w:r>
            <w:r>
              <w:rPr>
                <w:rFonts w:ascii="ArialMT" w:hAnsi="ArialMT" w:cs="ArialMT" w:eastAsiaTheme="minorHAnsi"/>
                <w:szCs w:val="20"/>
                <w:vertAlign w:val="superscript"/>
              </w:rPr>
              <w:t>†</w:t>
            </w:r>
          </w:p>
        </w:tc>
      </w:tr>
      <w:tr w14:paraId="70495004" w14:textId="77777777">
        <w:tc>
          <w:tcPr>
            <w:tcW w:w="3823" w:type="dxa"/>
            <w:tcBorders>
              <w:top w:val="nil"/>
              <w:left w:val="nil"/>
              <w:bottom w:val="nil"/>
              <w:right w:val="nil"/>
            </w:tcBorders>
          </w:tcPr>
          <w:p w14:paraId="451FCC60" w14:textId="4A89C6D7">
            <w:pPr>
              <w:pStyle w:val="IPPArialTable"/>
            </w:pPr>
            <w:r>
              <w:rPr>
                <w:rStyle w:val="PleaseReviewParagraphId"/>
                <w:b w:val="off"/>
                <w:i w:val="off"/>
              </w:rPr>
              <w:t>[281]</w:t>
            </w:r>
            <w:r>
              <w:t>PCR buffer</w:t>
            </w:r>
          </w:p>
        </w:tc>
        <w:tc>
          <w:tcPr>
            <w:tcW w:w="2268" w:type="dxa"/>
            <w:tcBorders>
              <w:top w:val="nil"/>
              <w:left w:val="nil"/>
              <w:bottom w:val="nil"/>
              <w:right w:val="nil"/>
            </w:tcBorders>
          </w:tcPr>
          <w:p w14:paraId="6FF049BA" w14:textId="77777777">
            <w:pPr>
              <w:pStyle w:val="IPPArialTable"/>
            </w:pPr>
            <w:r>
              <w:rPr>
                <w:rStyle w:val="PleaseReviewParagraphId"/>
                <w:b w:val="off"/>
                <w:i w:val="off"/>
              </w:rPr>
              <w:t>[282]</w:t>
            </w:r>
            <w:r>
              <w:t>1×</w:t>
            </w:r>
          </w:p>
        </w:tc>
      </w:tr>
      <w:tr w14:paraId="0085CEF5" w14:textId="77777777">
        <w:tc>
          <w:tcPr>
            <w:tcW w:w="3823" w:type="dxa"/>
            <w:tcBorders>
              <w:top w:val="nil"/>
              <w:left w:val="nil"/>
              <w:bottom w:val="nil"/>
              <w:right w:val="nil"/>
            </w:tcBorders>
          </w:tcPr>
          <w:p w14:paraId="478F9593" w14:textId="77777777">
            <w:pPr>
              <w:pStyle w:val="IPPArialTable"/>
            </w:pPr>
            <w:r>
              <w:rPr>
                <w:rStyle w:val="PleaseReviewParagraphId"/>
                <w:b w:val="off"/>
                <w:i w:val="off"/>
              </w:rPr>
              <w:t>[283]</w:t>
            </w:r>
            <w:r>
              <w:t>MgCl</w:t>
            </w:r>
            <w:r>
              <w:rPr>
                <w:vertAlign w:val="subscript"/>
              </w:rPr>
              <w:t>2</w:t>
            </w:r>
          </w:p>
        </w:tc>
        <w:tc>
          <w:tcPr>
            <w:tcW w:w="2268" w:type="dxa"/>
            <w:tcBorders>
              <w:top w:val="nil"/>
              <w:left w:val="nil"/>
              <w:bottom w:val="nil"/>
              <w:right w:val="nil"/>
            </w:tcBorders>
          </w:tcPr>
          <w:p w14:paraId="6A6A066F" w14:textId="2FE9395D">
            <w:pPr>
              <w:pStyle w:val="IPPArialTable"/>
            </w:pPr>
            <w:r>
              <w:rPr>
                <w:rStyle w:val="PleaseReviewParagraphId"/>
                <w:b w:val="off"/>
                <w:i w:val="off"/>
              </w:rPr>
              <w:t>[284]</w:t>
            </w:r>
            <w:r>
              <w:t>2.0 mM</w:t>
            </w:r>
          </w:p>
        </w:tc>
      </w:tr>
      <w:tr w14:paraId="51B63D7B" w14:textId="77777777">
        <w:tc>
          <w:tcPr>
            <w:tcW w:w="3823" w:type="dxa"/>
            <w:tcBorders>
              <w:top w:val="nil"/>
              <w:left w:val="nil"/>
              <w:bottom w:val="nil"/>
              <w:right w:val="nil"/>
            </w:tcBorders>
          </w:tcPr>
          <w:p w14:paraId="28613F6F" w14:textId="77777777">
            <w:pPr>
              <w:pStyle w:val="IPPArialTable"/>
            </w:pPr>
            <w:r>
              <w:rPr>
                <w:rStyle w:val="PleaseReviewParagraphId"/>
                <w:b w:val="off"/>
                <w:i w:val="off"/>
              </w:rPr>
              <w:t>[285]</w:t>
            </w:r>
            <w:r>
              <w:t>dNTPs</w:t>
            </w:r>
          </w:p>
        </w:tc>
        <w:tc>
          <w:tcPr>
            <w:tcW w:w="2268" w:type="dxa"/>
            <w:tcBorders>
              <w:top w:val="nil"/>
              <w:left w:val="nil"/>
              <w:bottom w:val="nil"/>
              <w:right w:val="nil"/>
            </w:tcBorders>
          </w:tcPr>
          <w:p w14:paraId="35CB422B" w14:textId="214A7B08">
            <w:pPr>
              <w:pStyle w:val="IPPArialTable"/>
            </w:pPr>
            <w:r>
              <w:rPr>
                <w:rStyle w:val="PleaseReviewParagraphId"/>
                <w:b w:val="off"/>
                <w:i w:val="off"/>
              </w:rPr>
              <w:t>[286]</w:t>
            </w:r>
            <w:r>
              <w:t>0.1 mM</w:t>
            </w:r>
          </w:p>
        </w:tc>
      </w:tr>
      <w:tr w14:paraId="35269E42" w14:textId="77777777">
        <w:tc>
          <w:tcPr>
            <w:tcW w:w="3823" w:type="dxa"/>
            <w:tcBorders>
              <w:top w:val="nil"/>
              <w:left w:val="nil"/>
              <w:bottom w:val="nil"/>
              <w:right w:val="nil"/>
            </w:tcBorders>
          </w:tcPr>
          <w:p w14:paraId="57616F59" w14:textId="44B6DBF5">
            <w:pPr>
              <w:pStyle w:val="IPPArialTable"/>
            </w:pPr>
            <w:r>
              <w:rPr>
                <w:rStyle w:val="PleaseReviewParagraphId"/>
                <w:b w:val="off"/>
                <w:i w:val="off"/>
              </w:rPr>
              <w:t>[287]</w:t>
            </w:r>
            <w:r>
              <w:lastRenderedPageBreak/>
              <w:t>Primer HET-7a (forward)</w:t>
            </w:r>
          </w:p>
        </w:tc>
        <w:tc>
          <w:tcPr>
            <w:tcW w:w="2268" w:type="dxa"/>
            <w:tcBorders>
              <w:top w:val="nil"/>
              <w:left w:val="nil"/>
              <w:bottom w:val="nil"/>
              <w:right w:val="nil"/>
            </w:tcBorders>
          </w:tcPr>
          <w:p w14:paraId="4FF9971A" w14:textId="64FA3DBF">
            <w:pPr>
              <w:pStyle w:val="IPPArialTable"/>
            </w:pPr>
            <w:r>
              <w:rPr>
                <w:rStyle w:val="PleaseReviewParagraphId"/>
                <w:b w:val="off"/>
                <w:i w:val="off"/>
              </w:rPr>
              <w:t>[288]</w:t>
            </w:r>
            <w:r>
              <w:t>0.2 µM</w:t>
            </w:r>
          </w:p>
        </w:tc>
      </w:tr>
      <w:tr w14:paraId="4D6EE1C6" w14:textId="77777777">
        <w:tc>
          <w:tcPr>
            <w:tcW w:w="3823" w:type="dxa"/>
            <w:tcBorders>
              <w:top w:val="nil"/>
              <w:left w:val="nil"/>
              <w:bottom w:val="nil"/>
              <w:right w:val="nil"/>
            </w:tcBorders>
          </w:tcPr>
          <w:p w14:paraId="25920D57" w14:textId="5E1C2A8D">
            <w:pPr>
              <w:pStyle w:val="IPPArialTable"/>
            </w:pPr>
            <w:r>
              <w:rPr>
                <w:rStyle w:val="PleaseReviewParagraphId"/>
                <w:b w:val="off"/>
                <w:i w:val="off"/>
              </w:rPr>
              <w:t>[289]</w:t>
            </w:r>
            <w:r>
              <w:t>Primer HET-8a (reverse)</w:t>
            </w:r>
          </w:p>
        </w:tc>
        <w:tc>
          <w:tcPr>
            <w:tcW w:w="2268" w:type="dxa"/>
            <w:tcBorders>
              <w:top w:val="nil"/>
              <w:left w:val="nil"/>
              <w:bottom w:val="nil"/>
              <w:right w:val="nil"/>
            </w:tcBorders>
          </w:tcPr>
          <w:p w14:paraId="6F168165" w14:textId="2CEFAD9D">
            <w:pPr>
              <w:pStyle w:val="IPPArialTable"/>
            </w:pPr>
            <w:r>
              <w:rPr>
                <w:rStyle w:val="PleaseReviewParagraphId"/>
                <w:b w:val="off"/>
                <w:i w:val="off"/>
              </w:rPr>
              <w:t>[290]</w:t>
            </w:r>
            <w:r>
              <w:t>0.2 µM</w:t>
            </w:r>
          </w:p>
        </w:tc>
      </w:tr>
      <w:tr w14:paraId="77729B73" w14:textId="77777777">
        <w:tc>
          <w:tcPr>
            <w:tcW w:w="3823" w:type="dxa"/>
            <w:tcBorders>
              <w:top w:val="nil"/>
              <w:left w:val="nil"/>
              <w:bottom w:val="nil"/>
              <w:right w:val="nil"/>
            </w:tcBorders>
          </w:tcPr>
          <w:p w14:paraId="31D839EE" w14:textId="36EABB25">
            <w:pPr>
              <w:pStyle w:val="IPPArialTable"/>
            </w:pPr>
            <w:r>
              <w:rPr>
                <w:rStyle w:val="PleaseReviewParagraphId"/>
                <w:b w:val="off"/>
                <w:i w:val="off"/>
              </w:rPr>
              <w:t>[291]</w:t>
            </w:r>
            <w:r>
              <w:t>Primer ARM-1 (forward)</w:t>
            </w:r>
          </w:p>
        </w:tc>
        <w:tc>
          <w:tcPr>
            <w:tcW w:w="2268" w:type="dxa"/>
            <w:tcBorders>
              <w:top w:val="nil"/>
              <w:left w:val="nil"/>
              <w:bottom w:val="nil"/>
              <w:right w:val="nil"/>
            </w:tcBorders>
          </w:tcPr>
          <w:p w14:paraId="4F332080" w14:textId="283A3E54">
            <w:pPr>
              <w:pStyle w:val="IPPArialTable"/>
            </w:pPr>
            <w:r>
              <w:rPr>
                <w:rStyle w:val="PleaseReviewParagraphId"/>
                <w:b w:val="off"/>
                <w:i w:val="off"/>
              </w:rPr>
              <w:t>[292]</w:t>
            </w:r>
            <w:r>
              <w:t>0.2 µM</w:t>
            </w:r>
          </w:p>
        </w:tc>
      </w:tr>
      <w:tr w14:paraId="5B635A2A" w14:textId="77777777">
        <w:tc>
          <w:tcPr>
            <w:tcW w:w="3823" w:type="dxa"/>
            <w:tcBorders>
              <w:top w:val="nil"/>
              <w:left w:val="nil"/>
              <w:bottom w:val="nil"/>
              <w:right w:val="nil"/>
            </w:tcBorders>
          </w:tcPr>
          <w:p w14:paraId="02C27987" w14:textId="5A33A201">
            <w:pPr>
              <w:pStyle w:val="IPPArialTable"/>
            </w:pPr>
            <w:r>
              <w:rPr>
                <w:rStyle w:val="PleaseReviewParagraphId"/>
                <w:b w:val="off"/>
                <w:i w:val="off"/>
              </w:rPr>
              <w:t>[293]</w:t>
            </w:r>
            <w:r>
              <w:t>Primer ARM-2 (reverse)</w:t>
            </w:r>
          </w:p>
        </w:tc>
        <w:tc>
          <w:tcPr>
            <w:tcW w:w="2268" w:type="dxa"/>
            <w:tcBorders>
              <w:top w:val="nil"/>
              <w:left w:val="nil"/>
              <w:bottom w:val="nil"/>
              <w:right w:val="nil"/>
            </w:tcBorders>
          </w:tcPr>
          <w:p w14:paraId="79BCCF23" w14:textId="103CB7F6">
            <w:pPr>
              <w:pStyle w:val="IPPArialTable"/>
            </w:pPr>
            <w:r>
              <w:rPr>
                <w:rStyle w:val="PleaseReviewParagraphId"/>
                <w:b w:val="off"/>
                <w:i w:val="off"/>
              </w:rPr>
              <w:t>[294]</w:t>
            </w:r>
            <w:r>
              <w:t>0.2 µM</w:t>
            </w:r>
          </w:p>
        </w:tc>
      </w:tr>
      <w:tr w14:paraId="33AADED7" w14:textId="77777777">
        <w:tc>
          <w:tcPr>
            <w:tcW w:w="3823" w:type="dxa"/>
            <w:tcBorders>
              <w:top w:val="nil"/>
              <w:left w:val="nil"/>
              <w:bottom w:val="nil"/>
              <w:right w:val="nil"/>
            </w:tcBorders>
          </w:tcPr>
          <w:p w14:paraId="03E4A28D" w14:textId="7699A981">
            <w:pPr>
              <w:pStyle w:val="IPPArialTable"/>
            </w:pPr>
            <w:r>
              <w:rPr>
                <w:rStyle w:val="PleaseReviewParagraphId"/>
                <w:b w:val="off"/>
                <w:i w:val="off"/>
              </w:rPr>
              <w:t>[295]</w:t>
            </w:r>
            <w:r>
              <w:t>Bovine serum albumin</w:t>
            </w:r>
          </w:p>
        </w:tc>
        <w:tc>
          <w:tcPr>
            <w:tcW w:w="2268" w:type="dxa"/>
            <w:tcBorders>
              <w:top w:val="nil"/>
              <w:left w:val="nil"/>
              <w:bottom w:val="nil"/>
              <w:right w:val="nil"/>
            </w:tcBorders>
          </w:tcPr>
          <w:p w14:paraId="753CAC4C" w14:textId="0008AFA8">
            <w:pPr>
              <w:pStyle w:val="IPPArialTable"/>
            </w:pPr>
            <w:r>
              <w:rPr>
                <w:rStyle w:val="PleaseReviewParagraphId"/>
                <w:b w:val="off"/>
                <w:i w:val="off"/>
              </w:rPr>
              <w:t>[296]</w:t>
            </w:r>
            <w:r>
              <w:t>0.4 mg</w:t>
            </w:r>
          </w:p>
        </w:tc>
      </w:tr>
      <w:tr w14:paraId="5007233D" w14:textId="77777777">
        <w:tc>
          <w:tcPr>
            <w:tcW w:w="3823" w:type="dxa"/>
            <w:tcBorders>
              <w:top w:val="nil"/>
              <w:left w:val="nil"/>
              <w:bottom w:val="single" w:color="auto" w:sz="4" w:space="0"/>
              <w:right w:val="nil"/>
            </w:tcBorders>
          </w:tcPr>
          <w:p w14:paraId="0D86F61F" w14:textId="3B5BEF38">
            <w:pPr>
              <w:pStyle w:val="IPPArialTable"/>
            </w:pPr>
            <w:r>
              <w:rPr>
                <w:rStyle w:val="PleaseReviewParagraphId"/>
                <w:b w:val="off"/>
                <w:i w:val="off"/>
              </w:rPr>
              <w:t>[297]</w:t>
            </w:r>
            <w:r>
              <w:t>DNA polymerase</w:t>
            </w:r>
          </w:p>
        </w:tc>
        <w:tc>
          <w:tcPr>
            <w:tcW w:w="2268" w:type="dxa"/>
            <w:tcBorders>
              <w:top w:val="nil"/>
              <w:left w:val="nil"/>
              <w:bottom w:val="single" w:color="auto" w:sz="4" w:space="0"/>
              <w:right w:val="nil"/>
            </w:tcBorders>
          </w:tcPr>
          <w:p w14:paraId="0D9CB637" w14:textId="684761D2">
            <w:pPr>
              <w:pStyle w:val="IPPArialTable"/>
            </w:pPr>
            <w:r>
              <w:rPr>
                <w:rStyle w:val="PleaseReviewParagraphId"/>
                <w:b w:val="off"/>
                <w:i w:val="off"/>
              </w:rPr>
              <w:t>[298]</w:t>
            </w:r>
            <w:r>
              <w:t>1 U</w:t>
            </w:r>
          </w:p>
        </w:tc>
      </w:tr>
      <w:tr w14:paraId="0A85A66B" w14:textId="77777777">
        <w:tc>
          <w:tcPr>
            <w:tcW w:w="3823" w:type="dxa"/>
            <w:tcBorders>
              <w:top w:val="single" w:color="auto" w:sz="4" w:space="0"/>
              <w:left w:val="nil"/>
              <w:bottom w:val="single" w:color="auto" w:sz="4" w:space="0"/>
              <w:right w:val="nil"/>
            </w:tcBorders>
          </w:tcPr>
          <w:p w14:paraId="3CDFAB09" w14:textId="5F742BA5">
            <w:pPr>
              <w:pStyle w:val="IPPArialTable"/>
            </w:pPr>
            <w:r>
              <w:rPr>
                <w:rStyle w:val="PleaseReviewParagraphId"/>
                <w:b w:val="off"/>
                <w:i w:val="off"/>
              </w:rPr>
              <w:t>[299]</w:t>
            </w:r>
            <w:r>
              <w:t>DNA (volume)</w:t>
            </w:r>
          </w:p>
        </w:tc>
        <w:tc>
          <w:tcPr>
            <w:tcW w:w="2268" w:type="dxa"/>
            <w:tcBorders>
              <w:top w:val="single" w:color="auto" w:sz="4" w:space="0"/>
              <w:left w:val="nil"/>
              <w:bottom w:val="single" w:color="auto" w:sz="4" w:space="0"/>
              <w:right w:val="nil"/>
            </w:tcBorders>
          </w:tcPr>
          <w:p w14:paraId="6BB143DF" w14:textId="0549A763">
            <w:pPr>
              <w:pStyle w:val="IPPArialTable"/>
            </w:pPr>
            <w:r>
              <w:rPr>
                <w:rStyle w:val="PleaseReviewParagraphId"/>
                <w:b w:val="off"/>
                <w:i w:val="off"/>
              </w:rPr>
              <w:t>[300]</w:t>
            </w:r>
            <w:r>
              <w:t>1 µL</w:t>
            </w:r>
          </w:p>
        </w:tc>
      </w:tr>
      <w:tr w14:paraId="033A2FA0" w14:textId="77777777">
        <w:tc>
          <w:tcPr>
            <w:tcW w:w="6091" w:type="dxa"/>
            <w:gridSpan w:val="2"/>
            <w:tcBorders>
              <w:left w:val="nil"/>
              <w:bottom w:val="single" w:color="auto" w:sz="4" w:space="0"/>
              <w:right w:val="nil"/>
            </w:tcBorders>
            <w:shd w:val="clear" w:color="auto" w:fill="BFBFBF" w:themeFill="background1" w:themeFillShade="BF"/>
          </w:tcPr>
          <w:p w14:paraId="444E19A2" w14:textId="77777777">
            <w:pPr>
              <w:pStyle w:val="IPPArialTable"/>
              <w:rPr>
                <w:b/>
                <w:bCs/>
              </w:rPr>
            </w:pPr>
            <w:r>
              <w:rPr>
                <w:rStyle w:val="PleaseReviewParagraphId"/>
                <w:b w:val="off"/>
                <w:i w:val="off"/>
              </w:rPr>
              <w:t>[301]</w:t>
            </w:r>
            <w:r>
              <w:rPr>
                <w:b/>
                <w:bCs/>
              </w:rPr>
              <w:t>Cycling parameters</w:t>
            </w:r>
          </w:p>
        </w:tc>
      </w:tr>
      <w:tr w14:paraId="620046A2" w14:textId="77777777">
        <w:tc>
          <w:tcPr>
            <w:tcW w:w="3823" w:type="dxa"/>
            <w:tcBorders>
              <w:top w:val="single" w:color="auto" w:sz="4" w:space="0"/>
              <w:left w:val="nil"/>
              <w:bottom w:val="nil"/>
              <w:right w:val="nil"/>
            </w:tcBorders>
          </w:tcPr>
          <w:p w14:paraId="6A41C372" w14:textId="77777777">
            <w:pPr>
              <w:pStyle w:val="IPPArialTable"/>
            </w:pPr>
            <w:r>
              <w:rPr>
                <w:rStyle w:val="PleaseReviewParagraphId"/>
                <w:b w:val="off"/>
                <w:i w:val="off"/>
              </w:rPr>
              <w:t>[302]</w:t>
            </w:r>
            <w:r>
              <w:t>Initial denaturation</w:t>
            </w:r>
          </w:p>
        </w:tc>
        <w:tc>
          <w:tcPr>
            <w:tcW w:w="2268" w:type="dxa"/>
            <w:tcBorders>
              <w:top w:val="single" w:color="auto" w:sz="4" w:space="0"/>
              <w:left w:val="nil"/>
              <w:bottom w:val="nil"/>
              <w:right w:val="nil"/>
            </w:tcBorders>
          </w:tcPr>
          <w:p w14:paraId="77F3E0B4" w14:textId="75A745BF">
            <w:pPr>
              <w:pStyle w:val="IPPArialTable"/>
            </w:pPr>
            <w:r>
              <w:rPr>
                <w:rStyle w:val="PleaseReviewParagraphId"/>
                <w:b w:val="off"/>
                <w:i w:val="off"/>
              </w:rPr>
              <w:t>[303]</w:t>
            </w:r>
            <w:r>
              <w:t>94 °C for 3 min</w:t>
            </w:r>
          </w:p>
        </w:tc>
      </w:tr>
      <w:tr w14:paraId="4CE06419" w14:textId="77777777">
        <w:tc>
          <w:tcPr>
            <w:tcW w:w="3823" w:type="dxa"/>
            <w:tcBorders>
              <w:top w:val="nil"/>
              <w:left w:val="nil"/>
              <w:bottom w:val="nil"/>
              <w:right w:val="nil"/>
            </w:tcBorders>
          </w:tcPr>
          <w:p w14:paraId="0B3CCBAA" w14:textId="7F8E15E6">
            <w:pPr>
              <w:pStyle w:val="IPPArialTable"/>
            </w:pPr>
            <w:r>
              <w:rPr>
                <w:rStyle w:val="PleaseReviewParagraphId"/>
                <w:b w:val="off"/>
                <w:i w:val="off"/>
              </w:rPr>
              <w:t>[304]</w:t>
            </w:r>
            <w:r>
              <w:t>Annealing</w:t>
            </w:r>
          </w:p>
        </w:tc>
        <w:tc>
          <w:tcPr>
            <w:tcW w:w="2268" w:type="dxa"/>
            <w:tcBorders>
              <w:top w:val="nil"/>
              <w:left w:val="nil"/>
              <w:bottom w:val="nil"/>
              <w:right w:val="nil"/>
            </w:tcBorders>
          </w:tcPr>
          <w:p w14:paraId="365DF081" w14:textId="2D2BA6DA">
            <w:pPr>
              <w:pStyle w:val="IPPArialTable"/>
            </w:pPr>
            <w:r>
              <w:rPr>
                <w:rStyle w:val="PleaseReviewParagraphId"/>
                <w:b w:val="off"/>
                <w:i w:val="off"/>
              </w:rPr>
              <w:t>[305]</w:t>
            </w:r>
            <w:r>
              <w:t>68 °C for 1 min</w:t>
            </w:r>
          </w:p>
        </w:tc>
      </w:tr>
      <w:tr w14:paraId="2682B072" w14:textId="77777777">
        <w:tc>
          <w:tcPr>
            <w:tcW w:w="3823" w:type="dxa"/>
            <w:tcBorders>
              <w:top w:val="nil"/>
              <w:left w:val="nil"/>
              <w:bottom w:val="nil"/>
              <w:right w:val="nil"/>
            </w:tcBorders>
          </w:tcPr>
          <w:p w14:paraId="2BDFCF8E" w14:textId="5BC86750">
            <w:pPr>
              <w:pStyle w:val="IPPArialTable"/>
            </w:pPr>
            <w:r>
              <w:rPr>
                <w:rStyle w:val="PleaseReviewParagraphId"/>
                <w:b w:val="off"/>
                <w:i w:val="off"/>
              </w:rPr>
              <w:t>[306]</w:t>
            </w:r>
            <w:r>
              <w:t>Elongation</w:t>
            </w:r>
          </w:p>
        </w:tc>
        <w:tc>
          <w:tcPr>
            <w:tcW w:w="2268" w:type="dxa"/>
            <w:tcBorders>
              <w:top w:val="nil"/>
              <w:left w:val="nil"/>
              <w:bottom w:val="nil"/>
              <w:right w:val="nil"/>
            </w:tcBorders>
          </w:tcPr>
          <w:p w14:paraId="442A516E" w14:textId="7EACB369">
            <w:pPr>
              <w:pStyle w:val="IPPArialTable"/>
            </w:pPr>
            <w:r>
              <w:rPr>
                <w:rStyle w:val="PleaseReviewParagraphId"/>
                <w:b w:val="off"/>
                <w:i w:val="off"/>
              </w:rPr>
              <w:t>[307]</w:t>
            </w:r>
            <w:r>
              <w:t>72 °C for 2 min</w:t>
            </w:r>
          </w:p>
        </w:tc>
      </w:tr>
      <w:tr w14:paraId="18974C0E" w14:textId="77777777">
        <w:tc>
          <w:tcPr>
            <w:tcW w:w="3823" w:type="dxa"/>
            <w:tcBorders>
              <w:top w:val="nil"/>
              <w:left w:val="nil"/>
              <w:bottom w:val="nil"/>
              <w:right w:val="nil"/>
            </w:tcBorders>
          </w:tcPr>
          <w:p w14:paraId="3FA2AEC3" w14:textId="5BD63F54">
            <w:pPr>
              <w:pStyle w:val="IPPArialTable"/>
            </w:pPr>
            <w:r>
              <w:rPr>
                <w:rStyle w:val="PleaseReviewParagraphId"/>
                <w:b w:val="off"/>
                <w:i w:val="off"/>
              </w:rPr>
              <w:t>[308]</w:t>
            </w:r>
            <w:r>
              <w:t>Number of cycles</w:t>
            </w:r>
          </w:p>
        </w:tc>
        <w:tc>
          <w:tcPr>
            <w:tcW w:w="2268" w:type="dxa"/>
            <w:tcBorders>
              <w:top w:val="nil"/>
              <w:left w:val="nil"/>
              <w:bottom w:val="nil"/>
              <w:right w:val="nil"/>
            </w:tcBorders>
          </w:tcPr>
          <w:p w14:paraId="5F17369F" w14:textId="5B1AFEE8">
            <w:pPr>
              <w:pStyle w:val="IPPArialTable"/>
            </w:pPr>
            <w:r>
              <w:rPr>
                <w:rStyle w:val="PleaseReviewParagraphId"/>
                <w:b w:val="off"/>
                <w:i w:val="off"/>
              </w:rPr>
              <w:t>[309]</w:t>
            </w:r>
            <w:r>
              <w:t>30</w:t>
            </w:r>
          </w:p>
        </w:tc>
      </w:tr>
      <w:tr w14:paraId="1FE9E6E7" w14:textId="77777777">
        <w:tc>
          <w:tcPr>
            <w:tcW w:w="3823" w:type="dxa"/>
            <w:tcBorders>
              <w:top w:val="nil"/>
              <w:left w:val="nil"/>
              <w:bottom w:val="nil"/>
              <w:right w:val="nil"/>
            </w:tcBorders>
          </w:tcPr>
          <w:p w14:paraId="7F4D63D6" w14:textId="77777777">
            <w:pPr>
              <w:pStyle w:val="IPPArialTable"/>
              <w:numPr>
                <w:ilvl w:val="0"/>
                <w:numId w:val="51"/>
              </w:numPr>
              <w:ind w:left="284" w:hanging="142"/>
            </w:pPr>
            <w:r>
              <w:rPr>
                <w:rStyle w:val="PleaseReviewParagraphId"/>
                <w:b w:val="off"/>
                <w:i w:val="off"/>
              </w:rPr>
              <w:t>[310]</w:t>
            </w:r>
            <w:r>
              <w:t>Denaturation</w:t>
            </w:r>
          </w:p>
        </w:tc>
        <w:tc>
          <w:tcPr>
            <w:tcW w:w="2268" w:type="dxa"/>
            <w:tcBorders>
              <w:top w:val="nil"/>
              <w:left w:val="nil"/>
              <w:bottom w:val="nil"/>
              <w:right w:val="nil"/>
            </w:tcBorders>
          </w:tcPr>
          <w:p w14:paraId="56FC1621" w14:textId="426BC884">
            <w:pPr>
              <w:pStyle w:val="IPPArialTable"/>
            </w:pPr>
            <w:r>
              <w:rPr>
                <w:rStyle w:val="PleaseReviewParagraphId"/>
                <w:b w:val="off"/>
                <w:i w:val="off"/>
              </w:rPr>
              <w:t>[311]</w:t>
            </w:r>
            <w:r>
              <w:t>94 °C for 30 s</w:t>
            </w:r>
          </w:p>
        </w:tc>
      </w:tr>
      <w:tr w14:paraId="64D15B7D" w14:textId="77777777">
        <w:tc>
          <w:tcPr>
            <w:tcW w:w="3823" w:type="dxa"/>
            <w:tcBorders>
              <w:top w:val="nil"/>
              <w:left w:val="nil"/>
              <w:bottom w:val="nil"/>
              <w:right w:val="nil"/>
            </w:tcBorders>
          </w:tcPr>
          <w:p w14:paraId="6B4BE982" w14:textId="77777777">
            <w:pPr>
              <w:pStyle w:val="IPPArialTable"/>
              <w:numPr>
                <w:ilvl w:val="0"/>
                <w:numId w:val="51"/>
              </w:numPr>
              <w:ind w:left="284" w:hanging="142"/>
            </w:pPr>
            <w:r>
              <w:rPr>
                <w:rStyle w:val="PleaseReviewParagraphId"/>
                <w:b w:val="off"/>
                <w:i w:val="off"/>
              </w:rPr>
              <w:t>[312]</w:t>
            </w:r>
            <w:r>
              <w:t>Annealing</w:t>
            </w:r>
          </w:p>
        </w:tc>
        <w:tc>
          <w:tcPr>
            <w:tcW w:w="2268" w:type="dxa"/>
            <w:tcBorders>
              <w:top w:val="nil"/>
              <w:left w:val="nil"/>
              <w:bottom w:val="nil"/>
              <w:right w:val="nil"/>
            </w:tcBorders>
          </w:tcPr>
          <w:p w14:paraId="5A4A05E7" w14:textId="3BF85615">
            <w:pPr>
              <w:pStyle w:val="IPPArialTable"/>
            </w:pPr>
            <w:r>
              <w:rPr>
                <w:rStyle w:val="PleaseReviewParagraphId"/>
                <w:b w:val="off"/>
                <w:i w:val="off"/>
              </w:rPr>
              <w:t>[313]</w:t>
            </w:r>
            <w:r>
              <w:t>68 °C for 1 min</w:t>
            </w:r>
          </w:p>
        </w:tc>
      </w:tr>
      <w:tr w14:paraId="17878A15" w14:textId="77777777">
        <w:tc>
          <w:tcPr>
            <w:tcW w:w="3823" w:type="dxa"/>
            <w:tcBorders>
              <w:top w:val="nil"/>
              <w:left w:val="nil"/>
              <w:bottom w:val="nil"/>
              <w:right w:val="nil"/>
            </w:tcBorders>
          </w:tcPr>
          <w:p w14:paraId="4EAFABD1" w14:textId="77777777">
            <w:pPr>
              <w:pStyle w:val="IPPArialTable"/>
              <w:numPr>
                <w:ilvl w:val="0"/>
                <w:numId w:val="51"/>
              </w:numPr>
              <w:ind w:left="284" w:hanging="142"/>
            </w:pPr>
            <w:r>
              <w:rPr>
                <w:rStyle w:val="PleaseReviewParagraphId"/>
                <w:b w:val="off"/>
                <w:i w:val="off"/>
              </w:rPr>
              <w:t>[314]</w:t>
            </w:r>
            <w:r>
              <w:t>Elongation</w:t>
            </w:r>
          </w:p>
        </w:tc>
        <w:tc>
          <w:tcPr>
            <w:tcW w:w="2268" w:type="dxa"/>
            <w:tcBorders>
              <w:top w:val="nil"/>
              <w:left w:val="nil"/>
              <w:bottom w:val="nil"/>
              <w:right w:val="nil"/>
            </w:tcBorders>
          </w:tcPr>
          <w:p w14:paraId="445F4FDC" w14:textId="410B2D35">
            <w:pPr>
              <w:pStyle w:val="IPPArialTable"/>
            </w:pPr>
            <w:r>
              <w:rPr>
                <w:rStyle w:val="PleaseReviewParagraphId"/>
                <w:b w:val="off"/>
                <w:i w:val="off"/>
              </w:rPr>
              <w:t>[315]</w:t>
            </w:r>
            <w:r>
              <w:t>72 °C for 2 min</w:t>
            </w:r>
          </w:p>
        </w:tc>
      </w:tr>
      <w:tr w14:paraId="266E69CF" w14:textId="77777777">
        <w:tc>
          <w:tcPr>
            <w:tcW w:w="3823" w:type="dxa"/>
            <w:tcBorders>
              <w:top w:val="nil"/>
              <w:left w:val="nil"/>
              <w:bottom w:val="single" w:color="auto" w:sz="4" w:space="0"/>
              <w:right w:val="nil"/>
            </w:tcBorders>
          </w:tcPr>
          <w:p w14:paraId="45C91554" w14:textId="77777777">
            <w:pPr>
              <w:pStyle w:val="IPPArialTable"/>
            </w:pPr>
            <w:r>
              <w:rPr>
                <w:rStyle w:val="PleaseReviewParagraphId"/>
                <w:b w:val="off"/>
                <w:i w:val="off"/>
              </w:rPr>
              <w:t>[316]</w:t>
            </w:r>
            <w:r>
              <w:t>Final elongation</w:t>
            </w:r>
          </w:p>
        </w:tc>
        <w:tc>
          <w:tcPr>
            <w:tcW w:w="2268" w:type="dxa"/>
            <w:tcBorders>
              <w:top w:val="nil"/>
              <w:left w:val="nil"/>
              <w:bottom w:val="single" w:color="auto" w:sz="4" w:space="0"/>
              <w:right w:val="nil"/>
            </w:tcBorders>
          </w:tcPr>
          <w:p w14:paraId="4E441F37" w14:textId="64D23254">
            <w:pPr>
              <w:pStyle w:val="IPPArialTable"/>
            </w:pPr>
            <w:r>
              <w:rPr>
                <w:rStyle w:val="PleaseReviewParagraphId"/>
                <w:b w:val="off"/>
                <w:i w:val="off"/>
              </w:rPr>
              <w:t>[317]</w:t>
            </w:r>
            <w:r>
              <w:t>72 °C for 5 min</w:t>
            </w:r>
          </w:p>
        </w:tc>
      </w:tr>
      <w:tr w14:paraId="7F379FE3" w14:textId="77777777">
        <w:tc>
          <w:tcPr>
            <w:tcW w:w="6091" w:type="dxa"/>
            <w:gridSpan w:val="2"/>
            <w:tcBorders>
              <w:left w:val="nil"/>
              <w:bottom w:val="single" w:color="auto" w:sz="4" w:space="0"/>
              <w:right w:val="nil"/>
            </w:tcBorders>
            <w:shd w:val="clear" w:color="auto" w:fill="BFBFBF" w:themeFill="background1" w:themeFillShade="BF"/>
          </w:tcPr>
          <w:p w14:paraId="74DDE218" w14:textId="77777777">
            <w:pPr>
              <w:pStyle w:val="IPPArialTable"/>
              <w:rPr>
                <w:b/>
                <w:bCs/>
              </w:rPr>
            </w:pPr>
            <w:r>
              <w:rPr>
                <w:rStyle w:val="PleaseReviewParagraphId"/>
                <w:b w:val="off"/>
                <w:i w:val="off"/>
              </w:rPr>
              <w:t>[318]</w:t>
            </w:r>
            <w:r>
              <w:rPr>
                <w:b/>
                <w:bCs/>
              </w:rPr>
              <w:t>Expected amplicons</w:t>
            </w:r>
          </w:p>
        </w:tc>
      </w:tr>
      <w:tr w14:paraId="0721D079" w14:textId="77777777">
        <w:tc>
          <w:tcPr>
            <w:tcW w:w="3823" w:type="dxa"/>
            <w:tcBorders>
              <w:top w:val="nil"/>
              <w:left w:val="nil"/>
              <w:bottom w:val="nil"/>
              <w:right w:val="nil"/>
            </w:tcBorders>
          </w:tcPr>
          <w:p w14:paraId="13FDBA55" w14:textId="6EE1A5D1">
            <w:pPr>
              <w:pStyle w:val="IPPArialTable"/>
              <w:rPr>
                <w:i/>
              </w:rPr>
            </w:pPr>
            <w:r>
              <w:rPr>
                <w:rStyle w:val="PleaseReviewParagraphId"/>
                <w:b w:val="off"/>
                <w:i w:val="off"/>
              </w:rPr>
              <w:t>[319]</w:t>
            </w:r>
            <w:r>
              <w:rPr>
                <w:i/>
              </w:rPr>
              <w:t>Heterobasidion annosum sensu lato</w:t>
            </w:r>
          </w:p>
        </w:tc>
        <w:tc>
          <w:tcPr>
            <w:tcW w:w="2268" w:type="dxa"/>
            <w:tcBorders>
              <w:top w:val="nil"/>
              <w:left w:val="nil"/>
              <w:bottom w:val="nil"/>
              <w:right w:val="nil"/>
            </w:tcBorders>
          </w:tcPr>
          <w:p w14:paraId="07E213E4" w14:textId="61A332F1">
            <w:pPr>
              <w:pStyle w:val="IPPArialTable"/>
            </w:pPr>
            <w:r>
              <w:rPr>
                <w:rStyle w:val="PleaseReviewParagraphId"/>
                <w:b w:val="off"/>
                <w:i w:val="off"/>
              </w:rPr>
              <w:t>[320]</w:t>
            </w:r>
            <w:r>
              <w:t>400 bp</w:t>
            </w:r>
          </w:p>
        </w:tc>
      </w:tr>
      <w:tr w14:paraId="0EAFB457" w14:textId="77777777">
        <w:tc>
          <w:tcPr>
            <w:tcW w:w="3823" w:type="dxa"/>
            <w:tcBorders>
              <w:top w:val="nil"/>
              <w:left w:val="nil"/>
              <w:bottom w:val="single" w:color="auto" w:sz="4" w:space="0"/>
              <w:right w:val="nil"/>
            </w:tcBorders>
          </w:tcPr>
          <w:p w14:paraId="37475FBD" w14:textId="49DDAD8A">
            <w:pPr>
              <w:pStyle w:val="IPPArialTable"/>
              <w:rPr>
                <w:i/>
              </w:rPr>
            </w:pPr>
            <w:r>
              <w:rPr>
                <w:rStyle w:val="PleaseReviewParagraphId"/>
                <w:b w:val="off"/>
                <w:i w:val="off"/>
              </w:rPr>
              <w:t>[321]</w:t>
            </w:r>
            <w:r>
              <w:rPr>
                <w:i/>
              </w:rPr>
              <w:t xml:space="preserve">Armillaria </w:t>
            </w:r>
            <w:r>
              <w:t>spp.</w:t>
            </w:r>
          </w:p>
        </w:tc>
        <w:tc>
          <w:tcPr>
            <w:tcW w:w="2268" w:type="dxa"/>
            <w:tcBorders>
              <w:top w:val="nil"/>
              <w:left w:val="nil"/>
              <w:bottom w:val="single" w:color="auto" w:sz="4" w:space="0"/>
              <w:right w:val="nil"/>
            </w:tcBorders>
          </w:tcPr>
          <w:p w14:paraId="4830AED3" w14:textId="4CE636AB">
            <w:pPr>
              <w:pStyle w:val="IPPArialTable"/>
            </w:pPr>
            <w:r>
              <w:rPr>
                <w:rStyle w:val="PleaseReviewParagraphId"/>
                <w:b w:val="off"/>
                <w:i w:val="off"/>
              </w:rPr>
              <w:t>[322]</w:t>
            </w:r>
            <w:r>
              <w:t>660 bp</w:t>
            </w:r>
          </w:p>
        </w:tc>
      </w:tr>
    </w:tbl>
    <w:p w14:paraId="30B81459" w14:textId="50E51156">
      <w:pPr>
        <w:pStyle w:val="IPPArialFootnote"/>
      </w:pPr>
      <w:r>
        <w:rPr>
          <w:rStyle w:val="PleaseReviewParagraphId"/>
          <w:b w:val="off"/>
          <w:i w:val="off"/>
        </w:rPr>
        <w:t>[323]</w:t>
      </w:r>
      <w:r>
        <w:rPr>
          <w:rFonts w:ascii="ArialMT" w:hAnsi="ArialMT" w:cs="ArialMT" w:eastAsiaTheme="minorHAnsi"/>
          <w:i/>
          <w:iCs/>
        </w:rPr>
        <w:t xml:space="preserve">Notes: </w:t>
      </w:r>
      <w:r>
        <w:rPr>
          <w:rFonts w:ascii="ArialMT" w:hAnsi="ArialMT" w:cs="ArialMT" w:eastAsiaTheme="minorHAnsi"/>
          <w:vertAlign w:val="superscript"/>
        </w:rPr>
        <w:t xml:space="preserve">† </w:t>
      </w:r>
      <w:r>
        <w:t>For a final reaction volume of 25 µL.</w:t>
      </w:r>
    </w:p>
    <w:p w14:paraId="45F0CB74" w14:textId="16C906D0">
      <w:pPr>
        <w:pStyle w:val="IPPArialFootnote"/>
      </w:pPr>
      <w:r>
        <w:rPr>
          <w:rStyle w:val="PleaseReviewParagraphId"/>
          <w:b w:val="off"/>
          <w:i w:val="off"/>
        </w:rPr>
        <w:t>[324]</w:t>
      </w:r>
      <w:bookmarkStart w:name="_Hlk118411908" w:id="31"/>
      <w:r>
        <w:t>bp, base pairs; PCR, polymerase chain reaction.</w:t>
      </w:r>
      <w:bookmarkEnd w:id="31"/>
    </w:p>
    <w:p w14:paraId="41BAFB49" w14:textId="16A241AF">
      <w:pPr>
        <w:pStyle w:val="IPPArialFootnote"/>
      </w:pPr>
      <w:r>
        <w:rPr>
          <w:rStyle w:val="PleaseReviewParagraphId"/>
          <w:b w:val="off"/>
          <w:i w:val="off"/>
        </w:rPr>
        <w:t>[325]</w:t>
      </w:r>
      <w:r>
        <w:rPr>
          <w:i/>
          <w:iCs/>
        </w:rPr>
        <w:t xml:space="preserve">Sources: </w:t>
      </w:r>
      <w:r>
        <w:t xml:space="preserve">Bahnweg, G., Möller, E.M., Anegg, S., Langebartels, C., Wienhaus, O. &amp; Sandermann Jr, H. 2002. Detection of </w:t>
      </w:r>
      <w:r>
        <w:rPr>
          <w:i/>
        </w:rPr>
        <w:t>Heterobasidion annosum s.l.</w:t>
      </w:r>
      <w:r>
        <w:t xml:space="preserve"> [(Fr.) Bref.] in Norway spruce by polymerase chain reaction. </w:t>
      </w:r>
      <w:r>
        <w:rPr>
          <w:i/>
        </w:rPr>
        <w:t>Journal of Phytopathology</w:t>
      </w:r>
      <w:r>
        <w:t xml:space="preserve">, 150: 382–389. </w:t>
      </w:r>
      <w:hyperlink w:history="1" r:id="rId20">
        <w:r>
          <w:rPr>
            <w:rStyle w:val="Hyperlink"/>
          </w:rPr>
          <w:t>https://doi.org/10.1046/j.1439-0434.2002.00772.x</w:t>
        </w:r>
      </w:hyperlink>
    </w:p>
    <w:p w14:paraId="34FC9378" w14:textId="36DE4BA8">
      <w:pPr>
        <w:pStyle w:val="IPPArialFootnote"/>
        <w:spacing w:after="180"/>
      </w:pPr>
      <w:r>
        <w:rPr>
          <w:rStyle w:val="PleaseReviewParagraphId"/>
          <w:b w:val="off"/>
          <w:i w:val="off"/>
        </w:rPr>
        <w:t>[326]</w:t>
      </w:r>
      <w:r>
        <w:t xml:space="preserve">Schulze, S., Bahnweg, G., Möller, E.M. &amp; Sandermann Jr, H. 1997. Identification of the genus </w:t>
      </w:r>
      <w:r>
        <w:rPr>
          <w:i/>
        </w:rPr>
        <w:t>Armillaria</w:t>
      </w:r>
      <w:r>
        <w:t xml:space="preserve"> by specific amplification of an rDNA-ITS fragment and evaluation of genetic variation within </w:t>
      </w:r>
      <w:r>
        <w:rPr>
          <w:i/>
        </w:rPr>
        <w:t>A. ostoyae</w:t>
      </w:r>
      <w:r>
        <w:t xml:space="preserve"> by rDNA-RFLP and RAPD analysis. </w:t>
      </w:r>
      <w:r>
        <w:rPr>
          <w:i/>
        </w:rPr>
        <w:t>European Journal of Forest Pathology</w:t>
      </w:r>
      <w:r>
        <w:t xml:space="preserve">, 27: 225–239. </w:t>
      </w:r>
      <w:hyperlink w:history="1" r:id="rId21">
        <w:r>
          <w:rPr>
            <w:rStyle w:val="Hyperlink"/>
          </w:rPr>
          <w:t>https://doi.org/10.1111/j.1439-0329.1997.tb00865.x</w:t>
        </w:r>
      </w:hyperlink>
    </w:p>
    <w:p w14:paraId="0B1ABA48" w14:textId="5FADB1BF">
      <w:pPr>
        <w:pStyle w:val="IPPParagraphnumbering"/>
        <w:numPr>
          <w:ilvl w:val="0"/>
          <w:numId w:val="0"/>
        </w:numPr>
        <w:rPr>
          <w:lang w:val="en-GB"/>
        </w:rPr>
      </w:pPr>
      <w:r>
        <w:rPr>
          <w:rStyle w:val="PleaseReviewParagraphId"/>
          <w:b w:val="off"/>
          <w:i w:val="off"/>
        </w:rPr>
        <w:t>[327]</w:t>
      </w:r>
      <w:r>
        <w:rPr>
          <w:lang w:val="en-GB"/>
        </w:rPr>
        <w:t>The PCR products can be visualized by standard agarose gel electrophoresis.</w:t>
      </w:r>
    </w:p>
    <w:p w14:paraId="0B092EF7" w14:textId="29FA999D">
      <w:pPr>
        <w:pStyle w:val="IPPHeading3"/>
      </w:pPr>
      <w:r>
        <w:rPr>
          <w:rStyle w:val="PleaseReviewParagraphId"/>
          <w:b w:val="off"/>
          <w:i w:val="off"/>
        </w:rPr>
        <w:t>[328]</w:t>
      </w:r>
      <w:r>
        <w:t>3.4.3.2</w:t>
        <w:tab/>
        <w:t xml:space="preserve">Conventional PCR of Gonthier </w:t>
      </w:r>
      <w:r>
        <w:rPr>
          <w:i w:val="0"/>
        </w:rPr>
        <w:t>et al.</w:t>
      </w:r>
      <w:r>
        <w:t xml:space="preserve"> (2001) and Gonthier, </w:t>
      </w:r>
      <w:r>
        <w:rPr>
          <w:iCs/>
        </w:rPr>
        <w:t>Garbelotto and Nicolotti</w:t>
      </w:r>
      <w:r>
        <w:t xml:space="preserve"> (2003) targeting </w:t>
      </w:r>
      <w:r>
        <w:rPr>
          <w:i w:val="0"/>
        </w:rPr>
        <w:t>Heterobasidion abietinum</w:t>
      </w:r>
      <w:r>
        <w:rPr>
          <w:iCs/>
        </w:rPr>
        <w:t>,</w:t>
      </w:r>
      <w:r>
        <w:t xml:space="preserve"> </w:t>
      </w:r>
      <w:r>
        <w:rPr>
          <w:i w:val="0"/>
        </w:rPr>
        <w:t>H. annosum s.s.</w:t>
      </w:r>
      <w:r>
        <w:rPr>
          <w:iCs/>
        </w:rPr>
        <w:t xml:space="preserve"> and </w:t>
      </w:r>
      <w:r>
        <w:rPr>
          <w:i w:val="0"/>
        </w:rPr>
        <w:t>H. parviporum</w:t>
      </w:r>
    </w:p>
    <w:p w14:paraId="6B72C5CE" w14:textId="6E308FDB">
      <w:pPr>
        <w:pStyle w:val="IPPParagraphnumbering"/>
        <w:numPr>
          <w:ilvl w:val="0"/>
          <w:numId w:val="0"/>
        </w:numPr>
        <w:rPr>
          <w:iCs/>
          <w:sz w:val="20"/>
          <w:szCs w:val="20"/>
          <w:lang w:val="en-GB"/>
        </w:rPr>
      </w:pPr>
      <w:r>
        <w:rPr>
          <w:rStyle w:val="PleaseReviewParagraphId"/>
          <w:b w:val="off"/>
          <w:i w:val="off"/>
        </w:rPr>
        <w:t>[329]</w:t>
      </w:r>
      <w:r>
        <w:rPr>
          <w:rStyle w:val="IPPParagraphnumberingChar"/>
          <w:lang w:val="en-GB"/>
        </w:rPr>
        <w:t xml:space="preserve">A taxon-specific, </w:t>
      </w:r>
      <w:bookmarkStart w:name="_Hlk136807793" w:id="32"/>
      <w:r>
        <w:rPr>
          <w:rStyle w:val="IPPParagraphnumberingChar"/>
          <w:lang w:val="en-GB"/>
        </w:rPr>
        <w:t>competitive-priming</w:t>
      </w:r>
      <w:bookmarkEnd w:id="32"/>
      <w:r>
        <w:rPr>
          <w:rStyle w:val="IPPParagraphnumberingChar"/>
          <w:lang w:val="en-GB"/>
        </w:rPr>
        <w:t xml:space="preserve"> PCR (Garbelotto </w:t>
      </w:r>
      <w:r>
        <w:rPr>
          <w:rStyle w:val="IPPParagraphnumberingChar"/>
          <w:i/>
          <w:iCs/>
          <w:lang w:val="en-GB"/>
        </w:rPr>
        <w:t>et al.</w:t>
      </w:r>
      <w:r>
        <w:rPr>
          <w:rStyle w:val="IPPParagraphnumberingChar"/>
          <w:lang w:val="en-GB"/>
        </w:rPr>
        <w:t xml:space="preserve">, 1996, 1998), combined with a </w:t>
      </w:r>
      <w:bookmarkStart w:name="_Hlk136807885" w:id="33"/>
      <w:r>
        <w:rPr>
          <w:rStyle w:val="IPPParagraphnumberingChar"/>
          <w:lang w:val="en-GB"/>
        </w:rPr>
        <w:t xml:space="preserve">PCR-mediated </w:t>
      </w:r>
      <w:bookmarkEnd w:id="33"/>
      <w:r>
        <w:rPr>
          <w:rStyle w:val="IPPParagraphnumberingChar"/>
          <w:lang w:val="en-GB"/>
        </w:rPr>
        <w:t xml:space="preserve">detection of species-specific DNA insertions in the ML5–ML6 DNA region of the mitochondrial large ribosomal RNA gene (Gonthier </w:t>
      </w:r>
      <w:r>
        <w:rPr>
          <w:rStyle w:val="IPPParagraphnumberingChar"/>
          <w:i/>
          <w:iCs/>
          <w:lang w:val="en-GB"/>
        </w:rPr>
        <w:t>et al.</w:t>
      </w:r>
      <w:r>
        <w:rPr>
          <w:rStyle w:val="IPPParagraphnumberingChar"/>
          <w:lang w:val="en-GB"/>
        </w:rPr>
        <w:t xml:space="preserve">, 2001), was modified by Gonthier, </w:t>
      </w:r>
      <w:r>
        <w:rPr>
          <w:iCs/>
          <w:lang w:val="en-GB"/>
        </w:rPr>
        <w:t>Garbelotto and Nicolotti</w:t>
      </w:r>
      <w:r>
        <w:rPr>
          <w:rStyle w:val="IPPParagraphnumberingChar"/>
          <w:lang w:val="en-GB"/>
        </w:rPr>
        <w:t xml:space="preserve"> (2003) to target three</w:t>
      </w:r>
      <w:r>
        <w:rPr>
          <w:iCs/>
          <w:lang w:val="en-GB"/>
        </w:rPr>
        <w:t xml:space="preserve"> species, </w:t>
      </w:r>
      <w:r>
        <w:rPr>
          <w:i/>
          <w:iCs/>
          <w:lang w:val="en-GB"/>
        </w:rPr>
        <w:t>H. </w:t>
      </w:r>
      <w:r>
        <w:rPr>
          <w:i/>
          <w:lang w:val="en-GB"/>
        </w:rPr>
        <w:t>abietinum</w:t>
      </w:r>
      <w:r>
        <w:rPr>
          <w:iCs/>
          <w:lang w:val="en-GB"/>
        </w:rPr>
        <w:t>,</w:t>
      </w:r>
      <w:r>
        <w:rPr>
          <w:i/>
          <w:lang w:val="en-GB"/>
        </w:rPr>
        <w:t xml:space="preserve"> </w:t>
      </w:r>
      <w:r>
        <w:rPr>
          <w:i/>
          <w:iCs/>
          <w:lang w:val="en-GB"/>
        </w:rPr>
        <w:t>H. </w:t>
      </w:r>
      <w:r>
        <w:rPr>
          <w:i/>
          <w:lang w:val="en-GB"/>
        </w:rPr>
        <w:t>annosum s.s</w:t>
      </w:r>
      <w:r>
        <w:rPr>
          <w:iCs/>
          <w:lang w:val="en-GB"/>
        </w:rPr>
        <w:t xml:space="preserve">. and </w:t>
      </w:r>
      <w:r>
        <w:rPr>
          <w:i/>
          <w:iCs/>
          <w:lang w:val="en-GB"/>
        </w:rPr>
        <w:t>H. </w:t>
      </w:r>
      <w:r>
        <w:rPr>
          <w:i/>
          <w:lang w:val="en-GB"/>
        </w:rPr>
        <w:t>parviporum</w:t>
      </w:r>
      <w:r>
        <w:rPr>
          <w:iCs/>
          <w:lang w:val="en-GB"/>
        </w:rPr>
        <w:t>, by a single PCR amplification and gel</w:t>
      </w:r>
      <w:r>
        <w:rPr>
          <w:lang w:val="en-GB"/>
        </w:rPr>
        <w:t xml:space="preserve"> </w:t>
      </w:r>
      <w:r>
        <w:rPr>
          <w:iCs/>
          <w:lang w:val="en-GB"/>
        </w:rPr>
        <w:t xml:space="preserve">electrophoresis. </w:t>
      </w:r>
      <w:bookmarkStart w:name="_Hlk117714768" w:id="34"/>
      <w:r>
        <w:rPr>
          <w:iCs/>
          <w:lang w:val="en-GB"/>
        </w:rPr>
        <w:t>The specificity of the method was verified with a wide panel of pure fungal cultures from all three target species and was also verified on environmental samples including both fruiting bodies and naturally infected wood samples. Samples were collected in two subalpine stands of natural mixed spruce (</w:t>
      </w:r>
      <w:r>
        <w:rPr>
          <w:i/>
          <w:lang w:val="en-GB"/>
        </w:rPr>
        <w:t>Picea abies</w:t>
      </w:r>
      <w:r>
        <w:rPr>
          <w:iCs/>
          <w:lang w:val="en-GB"/>
        </w:rPr>
        <w:t>), larch (</w:t>
      </w:r>
      <w:r>
        <w:rPr>
          <w:i/>
          <w:lang w:val="en-GB"/>
        </w:rPr>
        <w:t>Larix</w:t>
      </w:r>
      <w:r>
        <w:rPr>
          <w:iCs/>
          <w:lang w:val="en-GB"/>
        </w:rPr>
        <w:t xml:space="preserve"> spp.) and Swiss stone pine (</w:t>
      </w:r>
      <w:r>
        <w:rPr>
          <w:i/>
          <w:lang w:val="en-GB"/>
        </w:rPr>
        <w:t>Pinus cembra</w:t>
      </w:r>
      <w:r>
        <w:rPr>
          <w:lang w:val="en-GB"/>
        </w:rPr>
        <w:t xml:space="preserve"> </w:t>
      </w:r>
      <w:r>
        <w:rPr>
          <w:iCs/>
          <w:lang w:val="en-GB"/>
        </w:rPr>
        <w:t>L., 1753) in the western Italian Alps where all three target species can coexist.</w:t>
      </w:r>
    </w:p>
    <w:p w14:paraId="451A9F7C" w14:textId="2CF3E613">
      <w:pPr>
        <w:pStyle w:val="IPPParagraphnumberingclose"/>
        <w:numPr>
          <w:ilvl w:val="0"/>
          <w:numId w:val="0"/>
        </w:numPr>
        <w:rPr>
          <w:sz w:val="20"/>
          <w:szCs w:val="20"/>
          <w:lang w:val="en-GB"/>
        </w:rPr>
      </w:pPr>
      <w:r>
        <w:rPr>
          <w:rStyle w:val="PleaseReviewParagraphId"/>
          <w:b w:val="off"/>
          <w:i w:val="off"/>
        </w:rPr>
        <w:t>[330]</w:t>
      </w:r>
      <w:r>
        <w:rPr>
          <w:lang w:val="en-GB"/>
        </w:rPr>
        <w:t>The master mix and cycling parameters for the PCR are described in Table 6 and the primers are as follows:</w:t>
      </w:r>
      <w:bookmarkEnd w:id="34"/>
    </w:p>
    <w:p w14:paraId="54C87F2A" w14:textId="6D270FB2">
      <w:pPr>
        <w:pStyle w:val="IPPIndentClose"/>
        <w:rPr>
          <w:lang w:val="fi-FI"/>
        </w:rPr>
      </w:pPr>
      <w:r>
        <w:rPr>
          <w:rStyle w:val="PleaseReviewParagraphId"/>
          <w:b w:val="off"/>
          <w:i w:val="off"/>
        </w:rPr>
        <w:t>[331]</w:t>
      </w:r>
      <w:r>
        <w:rPr>
          <w:lang w:val="fi-FI"/>
        </w:rPr>
        <w:t xml:space="preserve">MLS (forward): 5′-AAA TTA GCC ATA TTT TAA AAG-3′ (Garbelotto </w:t>
      </w:r>
      <w:r>
        <w:rPr>
          <w:i/>
          <w:lang w:val="fi-FI"/>
        </w:rPr>
        <w:t>et al</w:t>
      </w:r>
      <w:r>
        <w:rPr>
          <w:lang w:val="fi-FI"/>
        </w:rPr>
        <w:t>., 1998)</w:t>
      </w:r>
    </w:p>
    <w:p w14:paraId="61343D99" w14:textId="76134DAE">
      <w:pPr>
        <w:pStyle w:val="IPPIndentClose"/>
      </w:pPr>
      <w:r>
        <w:rPr>
          <w:rStyle w:val="PleaseReviewParagraphId"/>
          <w:b w:val="off"/>
          <w:i w:val="off"/>
        </w:rPr>
        <w:t>[332]</w:t>
      </w:r>
      <w:r>
        <w:t xml:space="preserve">Mito 5 (reverse): 5′-TAA GAC CGC TAT A(T/A)A CCA GAC-3′ (Garbelotto </w:t>
      </w:r>
      <w:r>
        <w:rPr>
          <w:i/>
        </w:rPr>
        <w:t>et al</w:t>
      </w:r>
      <w:r>
        <w:t>., 1998)</w:t>
      </w:r>
    </w:p>
    <w:p w14:paraId="2ED882E6" w14:textId="6E4367A6">
      <w:pPr>
        <w:pStyle w:val="IPPIndentClose"/>
      </w:pPr>
      <w:r>
        <w:rPr>
          <w:rStyle w:val="PleaseReviewParagraphId"/>
          <w:b w:val="off"/>
          <w:i w:val="off"/>
        </w:rPr>
        <w:t>[333]</w:t>
      </w:r>
      <w:r>
        <w:t xml:space="preserve">MLF (forward): 5′-TAA AAA TTT AAA TTG CCT AA-3′ (Garbelotto </w:t>
      </w:r>
      <w:r>
        <w:rPr>
          <w:i/>
        </w:rPr>
        <w:t>et al</w:t>
      </w:r>
      <w:r>
        <w:t>., 1998)</w:t>
      </w:r>
    </w:p>
    <w:p w14:paraId="3774A7FF" w14:textId="7FAD346E">
      <w:pPr>
        <w:pStyle w:val="IPPIndent"/>
      </w:pPr>
      <w:r>
        <w:rPr>
          <w:rStyle w:val="PleaseReviewParagraphId"/>
          <w:b w:val="off"/>
          <w:i w:val="off"/>
        </w:rPr>
        <w:t>[334]</w:t>
      </w:r>
      <w:r>
        <w:t xml:space="preserve">Mito 7 (reverse): 5′-GCC AAT TTA TTT TGC TAC C-3′ (Gonthier </w:t>
      </w:r>
      <w:r>
        <w:rPr>
          <w:i/>
        </w:rPr>
        <w:t>et al</w:t>
      </w:r>
      <w:r>
        <w:t>., 2001)</w:t>
      </w:r>
    </w:p>
    <w:p w14:paraId="5705539C" w14:textId="68993EB6">
      <w:pPr>
        <w:pStyle w:val="IPPArial"/>
        <w:keepNext/>
        <w:spacing w:after="120"/>
      </w:pPr>
      <w:r>
        <w:rPr>
          <w:rStyle w:val="PleaseReviewParagraphId"/>
          <w:b w:val="off"/>
          <w:i w:val="off"/>
        </w:rPr>
        <w:t>[335]</w:t>
      </w:r>
      <w:r>
        <w:rPr>
          <w:b/>
          <w:bCs/>
        </w:rPr>
        <w:lastRenderedPageBreak/>
        <w:t>Table 6.</w:t>
      </w:r>
      <w:r>
        <w:t xml:space="preserve"> Master mix composition, cycling parameters and amplicons for conventional PCR targeting </w:t>
      </w:r>
      <w:r>
        <w:rPr>
          <w:i/>
          <w:iCs/>
        </w:rPr>
        <w:t>Heterobasidion abietinum</w:t>
      </w:r>
      <w:r>
        <w:rPr>
          <w:iCs/>
        </w:rPr>
        <w:t>,</w:t>
      </w:r>
      <w:r>
        <w:t xml:space="preserve"> </w:t>
      </w:r>
      <w:r>
        <w:rPr>
          <w:i/>
          <w:iCs/>
        </w:rPr>
        <w:t>H. annosum sensu stricto</w:t>
      </w:r>
      <w:r>
        <w:rPr>
          <w:iCs/>
        </w:rPr>
        <w:t xml:space="preserve"> and </w:t>
      </w:r>
      <w:r>
        <w:rPr>
          <w:i/>
          <w:iCs/>
        </w:rPr>
        <w:t>H. parviporum</w:t>
      </w:r>
    </w:p>
    <w:tbl>
      <w:tblPr>
        <w:tblStyle w:val="TableGrid"/>
        <w:tblW w:w="0" w:type="auto"/>
        <w:tblLook w:val="04A0" w:firstRow="1" w:lastRow="0" w:firstColumn="1" w:lastColumn="0" w:noHBand="0" w:noVBand="1"/>
      </w:tblPr>
      <w:tblGrid>
        <w:gridCol w:w="3823"/>
        <w:gridCol w:w="2268"/>
      </w:tblGrid>
      <w:tr w14:paraId="31F510E1" w14:textId="77777777">
        <w:tc>
          <w:tcPr>
            <w:tcW w:w="3823" w:type="dxa"/>
            <w:tcBorders>
              <w:left w:val="nil"/>
              <w:bottom w:val="single" w:color="auto" w:sz="4" w:space="0"/>
              <w:right w:val="nil"/>
            </w:tcBorders>
            <w:shd w:val="clear" w:color="auto" w:fill="BFBFBF" w:themeFill="background1" w:themeFillShade="BF"/>
          </w:tcPr>
          <w:p w14:paraId="44FF30F4" w14:textId="45665492">
            <w:pPr>
              <w:pStyle w:val="IPPArialTable"/>
              <w:rPr>
                <w:b/>
                <w:bCs/>
              </w:rPr>
            </w:pPr>
            <w:r>
              <w:rPr>
                <w:rStyle w:val="PleaseReviewParagraphId"/>
                <w:b w:val="off"/>
                <w:i w:val="off"/>
              </w:rPr>
              <w:t>[336]</w:t>
            </w:r>
            <w:r>
              <w:rPr>
                <w:b/>
                <w:bCs/>
              </w:rPr>
              <w:t>Reagents</w:t>
            </w:r>
          </w:p>
        </w:tc>
        <w:tc>
          <w:tcPr>
            <w:tcW w:w="2268" w:type="dxa"/>
            <w:tcBorders>
              <w:left w:val="nil"/>
              <w:bottom w:val="single" w:color="auto" w:sz="4" w:space="0"/>
              <w:right w:val="nil"/>
            </w:tcBorders>
            <w:shd w:val="clear" w:color="auto" w:fill="BFBFBF" w:themeFill="background1" w:themeFillShade="BF"/>
          </w:tcPr>
          <w:p w14:paraId="0D05C8CD" w14:textId="77777777">
            <w:pPr>
              <w:pStyle w:val="IPPArialTable"/>
              <w:rPr>
                <w:b/>
                <w:bCs/>
              </w:rPr>
            </w:pPr>
            <w:r>
              <w:rPr>
                <w:rStyle w:val="PleaseReviewParagraphId"/>
                <w:b w:val="off"/>
                <w:i w:val="off"/>
              </w:rPr>
              <w:t>[337]</w:t>
            </w:r>
            <w:r>
              <w:rPr>
                <w:b/>
                <w:bCs/>
              </w:rPr>
              <w:t>Final concentration</w:t>
            </w:r>
          </w:p>
        </w:tc>
      </w:tr>
      <w:tr w14:paraId="159C9F09" w14:textId="77777777">
        <w:tc>
          <w:tcPr>
            <w:tcW w:w="3823" w:type="dxa"/>
            <w:tcBorders>
              <w:left w:val="nil"/>
              <w:bottom w:val="nil"/>
              <w:right w:val="nil"/>
            </w:tcBorders>
          </w:tcPr>
          <w:p w14:paraId="21954841" w14:textId="7B869F04">
            <w:pPr>
              <w:pStyle w:val="IPPArialTable"/>
            </w:pPr>
            <w:r>
              <w:rPr>
                <w:rStyle w:val="PleaseReviewParagraphId"/>
                <w:b w:val="off"/>
                <w:i w:val="off"/>
              </w:rPr>
              <w:t>[338]</w:t>
            </w:r>
            <w:r>
              <w:t>PCR-grade water</w:t>
            </w:r>
          </w:p>
        </w:tc>
        <w:tc>
          <w:tcPr>
            <w:tcW w:w="2268" w:type="dxa"/>
            <w:tcBorders>
              <w:left w:val="nil"/>
              <w:bottom w:val="nil"/>
              <w:right w:val="nil"/>
            </w:tcBorders>
          </w:tcPr>
          <w:p w14:paraId="7701A826" w14:textId="477A02EE">
            <w:pPr>
              <w:pStyle w:val="IPPArialTable"/>
            </w:pPr>
            <w:r>
              <w:rPr>
                <w:rStyle w:val="PleaseReviewParagraphId"/>
                <w:b w:val="off"/>
                <w:i w:val="off"/>
              </w:rPr>
              <w:t>[339]</w:t>
            </w:r>
            <w:r>
              <w:rPr>
                <w:rFonts w:ascii="ArialMT" w:hAnsi="ArialMT" w:cs="ArialMT" w:eastAsiaTheme="minorHAnsi"/>
                <w:szCs w:val="20"/>
                <w:vertAlign w:val="superscript"/>
              </w:rPr>
              <w:t>†</w:t>
            </w:r>
          </w:p>
        </w:tc>
      </w:tr>
      <w:tr w14:paraId="662A0E88" w14:textId="77777777">
        <w:tc>
          <w:tcPr>
            <w:tcW w:w="3823" w:type="dxa"/>
            <w:tcBorders>
              <w:top w:val="nil"/>
              <w:left w:val="nil"/>
              <w:bottom w:val="nil"/>
              <w:right w:val="nil"/>
            </w:tcBorders>
          </w:tcPr>
          <w:p w14:paraId="348DDF08" w14:textId="3A09DB44">
            <w:pPr>
              <w:pStyle w:val="IPPArialTable"/>
            </w:pPr>
            <w:r>
              <w:rPr>
                <w:rStyle w:val="PleaseReviewParagraphId"/>
                <w:b w:val="off"/>
                <w:i w:val="off"/>
              </w:rPr>
              <w:t>[340]</w:t>
            </w:r>
            <w:r>
              <w:t>PCR buffer</w:t>
            </w:r>
          </w:p>
        </w:tc>
        <w:tc>
          <w:tcPr>
            <w:tcW w:w="2268" w:type="dxa"/>
            <w:tcBorders>
              <w:top w:val="nil"/>
              <w:left w:val="nil"/>
              <w:bottom w:val="nil"/>
              <w:right w:val="nil"/>
            </w:tcBorders>
          </w:tcPr>
          <w:p w14:paraId="41B209AD" w14:textId="77777777">
            <w:pPr>
              <w:pStyle w:val="IPPArialTable"/>
            </w:pPr>
            <w:r>
              <w:rPr>
                <w:rStyle w:val="PleaseReviewParagraphId"/>
                <w:b w:val="off"/>
                <w:i w:val="off"/>
              </w:rPr>
              <w:t>[341]</w:t>
            </w:r>
            <w:r>
              <w:t>1×</w:t>
            </w:r>
          </w:p>
        </w:tc>
      </w:tr>
      <w:tr w14:paraId="0D84DDD2" w14:textId="77777777">
        <w:tc>
          <w:tcPr>
            <w:tcW w:w="3823" w:type="dxa"/>
            <w:tcBorders>
              <w:top w:val="nil"/>
              <w:left w:val="nil"/>
              <w:bottom w:val="nil"/>
              <w:right w:val="nil"/>
            </w:tcBorders>
          </w:tcPr>
          <w:p w14:paraId="767C6BB1" w14:textId="77777777">
            <w:pPr>
              <w:pStyle w:val="IPPArialTable"/>
            </w:pPr>
            <w:r>
              <w:rPr>
                <w:rStyle w:val="PleaseReviewParagraphId"/>
                <w:b w:val="off"/>
                <w:i w:val="off"/>
              </w:rPr>
              <w:t>[342]</w:t>
            </w:r>
            <w:r>
              <w:t>MgCl</w:t>
            </w:r>
            <w:r>
              <w:rPr>
                <w:vertAlign w:val="subscript"/>
              </w:rPr>
              <w:t>2</w:t>
            </w:r>
          </w:p>
        </w:tc>
        <w:tc>
          <w:tcPr>
            <w:tcW w:w="2268" w:type="dxa"/>
            <w:tcBorders>
              <w:top w:val="nil"/>
              <w:left w:val="nil"/>
              <w:bottom w:val="nil"/>
              <w:right w:val="nil"/>
            </w:tcBorders>
          </w:tcPr>
          <w:p w14:paraId="1E3C61E9" w14:textId="0D1887C1">
            <w:pPr>
              <w:pStyle w:val="IPPArialTable"/>
            </w:pPr>
            <w:r>
              <w:rPr>
                <w:rStyle w:val="PleaseReviewParagraphId"/>
                <w:b w:val="off"/>
                <w:i w:val="off"/>
              </w:rPr>
              <w:t>[343]</w:t>
            </w:r>
            <w:r>
              <w:t>1.5 mM</w:t>
            </w:r>
          </w:p>
        </w:tc>
      </w:tr>
      <w:tr w14:paraId="6A3E0281" w14:textId="77777777">
        <w:tc>
          <w:tcPr>
            <w:tcW w:w="3823" w:type="dxa"/>
            <w:tcBorders>
              <w:top w:val="nil"/>
              <w:left w:val="nil"/>
              <w:bottom w:val="nil"/>
              <w:right w:val="nil"/>
            </w:tcBorders>
          </w:tcPr>
          <w:p w14:paraId="3D3E8147" w14:textId="77777777">
            <w:pPr>
              <w:pStyle w:val="IPPArialTable"/>
            </w:pPr>
            <w:r>
              <w:rPr>
                <w:rStyle w:val="PleaseReviewParagraphId"/>
                <w:b w:val="off"/>
                <w:i w:val="off"/>
              </w:rPr>
              <w:t>[344]</w:t>
            </w:r>
            <w:r>
              <w:t>dNTPs</w:t>
            </w:r>
          </w:p>
        </w:tc>
        <w:tc>
          <w:tcPr>
            <w:tcW w:w="2268" w:type="dxa"/>
            <w:tcBorders>
              <w:top w:val="nil"/>
              <w:left w:val="nil"/>
              <w:bottom w:val="nil"/>
              <w:right w:val="nil"/>
            </w:tcBorders>
          </w:tcPr>
          <w:p w14:paraId="21F25F48" w14:textId="011CB5E8">
            <w:pPr>
              <w:pStyle w:val="IPPArialTable"/>
            </w:pPr>
            <w:r>
              <w:rPr>
                <w:rStyle w:val="PleaseReviewParagraphId"/>
                <w:b w:val="off"/>
                <w:i w:val="off"/>
              </w:rPr>
              <w:t>[345]</w:t>
            </w:r>
            <w:r>
              <w:t>0.2 mM</w:t>
            </w:r>
          </w:p>
        </w:tc>
      </w:tr>
      <w:tr w14:paraId="49DBA3D5" w14:textId="77777777">
        <w:tc>
          <w:tcPr>
            <w:tcW w:w="3823" w:type="dxa"/>
            <w:tcBorders>
              <w:top w:val="nil"/>
              <w:left w:val="nil"/>
              <w:bottom w:val="nil"/>
              <w:right w:val="nil"/>
            </w:tcBorders>
          </w:tcPr>
          <w:p w14:paraId="67F2F54A" w14:textId="506DF4A1">
            <w:pPr>
              <w:pStyle w:val="IPPArialTable"/>
            </w:pPr>
            <w:r>
              <w:rPr>
                <w:rStyle w:val="PleaseReviewParagraphId"/>
                <w:b w:val="off"/>
                <w:i w:val="off"/>
              </w:rPr>
              <w:t>[346]</w:t>
            </w:r>
            <w:r>
              <w:t>Primer MLS (forward)</w:t>
            </w:r>
          </w:p>
        </w:tc>
        <w:tc>
          <w:tcPr>
            <w:tcW w:w="2268" w:type="dxa"/>
            <w:tcBorders>
              <w:top w:val="nil"/>
              <w:left w:val="nil"/>
              <w:bottom w:val="nil"/>
              <w:right w:val="nil"/>
            </w:tcBorders>
          </w:tcPr>
          <w:p w14:paraId="6EB8FD55" w14:textId="24796DED">
            <w:pPr>
              <w:pStyle w:val="IPPArialTable"/>
            </w:pPr>
            <w:r>
              <w:rPr>
                <w:rStyle w:val="PleaseReviewParagraphId"/>
                <w:b w:val="off"/>
                <w:i w:val="off"/>
              </w:rPr>
              <w:t>[347]</w:t>
            </w:r>
            <w:r>
              <w:t>0.5 µM</w:t>
            </w:r>
          </w:p>
        </w:tc>
      </w:tr>
      <w:tr w14:paraId="56C235E7" w14:textId="77777777">
        <w:tc>
          <w:tcPr>
            <w:tcW w:w="3823" w:type="dxa"/>
            <w:tcBorders>
              <w:top w:val="nil"/>
              <w:left w:val="nil"/>
              <w:bottom w:val="nil"/>
              <w:right w:val="nil"/>
            </w:tcBorders>
          </w:tcPr>
          <w:p w14:paraId="07EA9EA5" w14:textId="2938EC57">
            <w:pPr>
              <w:pStyle w:val="IPPArialTable"/>
            </w:pPr>
            <w:r>
              <w:rPr>
                <w:rStyle w:val="PleaseReviewParagraphId"/>
                <w:b w:val="off"/>
                <w:i w:val="off"/>
              </w:rPr>
              <w:t>[348]</w:t>
            </w:r>
            <w:r>
              <w:t>Primer Mito 5 (reverse)</w:t>
            </w:r>
          </w:p>
        </w:tc>
        <w:tc>
          <w:tcPr>
            <w:tcW w:w="2268" w:type="dxa"/>
            <w:tcBorders>
              <w:top w:val="nil"/>
              <w:left w:val="nil"/>
              <w:bottom w:val="nil"/>
              <w:right w:val="nil"/>
            </w:tcBorders>
          </w:tcPr>
          <w:p w14:paraId="4ED4DA29" w14:textId="77777777">
            <w:pPr>
              <w:pStyle w:val="IPPArialTable"/>
            </w:pPr>
            <w:r>
              <w:rPr>
                <w:rStyle w:val="PleaseReviewParagraphId"/>
                <w:b w:val="off"/>
                <w:i w:val="off"/>
              </w:rPr>
              <w:t>[349]</w:t>
            </w:r>
            <w:r>
              <w:t>0.5 µM</w:t>
            </w:r>
          </w:p>
        </w:tc>
      </w:tr>
      <w:tr w14:paraId="2E7CFB11" w14:textId="77777777">
        <w:tc>
          <w:tcPr>
            <w:tcW w:w="3823" w:type="dxa"/>
            <w:tcBorders>
              <w:top w:val="nil"/>
              <w:left w:val="nil"/>
              <w:bottom w:val="nil"/>
              <w:right w:val="nil"/>
            </w:tcBorders>
          </w:tcPr>
          <w:p w14:paraId="218E2A63" w14:textId="617AE2A1">
            <w:pPr>
              <w:pStyle w:val="IPPArialTable"/>
            </w:pPr>
            <w:r>
              <w:rPr>
                <w:rStyle w:val="PleaseReviewParagraphId"/>
                <w:b w:val="off"/>
                <w:i w:val="off"/>
              </w:rPr>
              <w:t>[350]</w:t>
            </w:r>
            <w:r>
              <w:t>Primer MLF (forward)</w:t>
            </w:r>
          </w:p>
        </w:tc>
        <w:tc>
          <w:tcPr>
            <w:tcW w:w="2268" w:type="dxa"/>
            <w:tcBorders>
              <w:top w:val="nil"/>
              <w:left w:val="nil"/>
              <w:bottom w:val="nil"/>
              <w:right w:val="nil"/>
            </w:tcBorders>
          </w:tcPr>
          <w:p w14:paraId="65FCCE23" w14:textId="583586F1">
            <w:pPr>
              <w:pStyle w:val="IPPArialTable"/>
            </w:pPr>
            <w:r>
              <w:rPr>
                <w:rStyle w:val="PleaseReviewParagraphId"/>
                <w:b w:val="off"/>
                <w:i w:val="off"/>
              </w:rPr>
              <w:t>[351]</w:t>
            </w:r>
            <w:r>
              <w:t>0.5 µM</w:t>
            </w:r>
          </w:p>
        </w:tc>
      </w:tr>
      <w:tr w14:paraId="71024653" w14:textId="77777777">
        <w:tc>
          <w:tcPr>
            <w:tcW w:w="3823" w:type="dxa"/>
            <w:tcBorders>
              <w:top w:val="nil"/>
              <w:left w:val="nil"/>
              <w:bottom w:val="nil"/>
              <w:right w:val="nil"/>
            </w:tcBorders>
          </w:tcPr>
          <w:p w14:paraId="4F6A4202" w14:textId="1886A757">
            <w:pPr>
              <w:pStyle w:val="IPPArialTable"/>
            </w:pPr>
            <w:r>
              <w:rPr>
                <w:rStyle w:val="PleaseReviewParagraphId"/>
                <w:b w:val="off"/>
                <w:i w:val="off"/>
              </w:rPr>
              <w:t>[352]</w:t>
            </w:r>
            <w:r>
              <w:t>Primer Mito 7 (reverse)</w:t>
            </w:r>
          </w:p>
        </w:tc>
        <w:tc>
          <w:tcPr>
            <w:tcW w:w="2268" w:type="dxa"/>
            <w:tcBorders>
              <w:top w:val="nil"/>
              <w:left w:val="nil"/>
              <w:bottom w:val="nil"/>
              <w:right w:val="nil"/>
            </w:tcBorders>
          </w:tcPr>
          <w:p w14:paraId="3A733698" w14:textId="0C69FD8D">
            <w:pPr>
              <w:pStyle w:val="IPPArialTable"/>
            </w:pPr>
            <w:r>
              <w:rPr>
                <w:rStyle w:val="PleaseReviewParagraphId"/>
                <w:b w:val="off"/>
                <w:i w:val="off"/>
              </w:rPr>
              <w:t>[353]</w:t>
            </w:r>
            <w:r>
              <w:t>0.5 µM</w:t>
            </w:r>
          </w:p>
        </w:tc>
      </w:tr>
      <w:tr w14:paraId="4BDBE5D1" w14:textId="77777777">
        <w:tc>
          <w:tcPr>
            <w:tcW w:w="3823" w:type="dxa"/>
            <w:tcBorders>
              <w:top w:val="nil"/>
              <w:left w:val="nil"/>
              <w:bottom w:val="single" w:color="auto" w:sz="4" w:space="0"/>
              <w:right w:val="nil"/>
            </w:tcBorders>
          </w:tcPr>
          <w:p w14:paraId="0A290942" w14:textId="14F5DE25">
            <w:pPr>
              <w:pStyle w:val="IPPArialTable"/>
            </w:pPr>
            <w:r>
              <w:rPr>
                <w:rStyle w:val="PleaseReviewParagraphId"/>
                <w:b w:val="off"/>
                <w:i w:val="off"/>
              </w:rPr>
              <w:t>[354]</w:t>
            </w:r>
            <w:r>
              <w:t>DNA polymerase</w:t>
            </w:r>
          </w:p>
        </w:tc>
        <w:tc>
          <w:tcPr>
            <w:tcW w:w="2268" w:type="dxa"/>
            <w:tcBorders>
              <w:top w:val="nil"/>
              <w:left w:val="nil"/>
              <w:bottom w:val="single" w:color="auto" w:sz="4" w:space="0"/>
              <w:right w:val="nil"/>
            </w:tcBorders>
          </w:tcPr>
          <w:p w14:paraId="6354EB83" w14:textId="5930BBD3">
            <w:pPr>
              <w:pStyle w:val="IPPArialTable"/>
            </w:pPr>
            <w:r>
              <w:rPr>
                <w:rStyle w:val="PleaseReviewParagraphId"/>
                <w:b w:val="off"/>
                <w:i w:val="off"/>
              </w:rPr>
              <w:t>[355]</w:t>
            </w:r>
            <w:r>
              <w:t>0.625 U</w:t>
            </w:r>
          </w:p>
        </w:tc>
      </w:tr>
      <w:tr w14:paraId="3A180E92" w14:textId="77777777">
        <w:tc>
          <w:tcPr>
            <w:tcW w:w="3823" w:type="dxa"/>
            <w:tcBorders>
              <w:top w:val="single" w:color="auto" w:sz="4" w:space="0"/>
              <w:left w:val="nil"/>
              <w:bottom w:val="single" w:color="auto" w:sz="4" w:space="0"/>
              <w:right w:val="nil"/>
            </w:tcBorders>
          </w:tcPr>
          <w:p w14:paraId="4E0C6BFA" w14:textId="1DD4D7D7">
            <w:pPr>
              <w:pStyle w:val="IPPArialTable"/>
            </w:pPr>
            <w:r>
              <w:rPr>
                <w:rStyle w:val="PleaseReviewParagraphId"/>
                <w:b w:val="off"/>
                <w:i w:val="off"/>
              </w:rPr>
              <w:t>[356]</w:t>
            </w:r>
            <w:r>
              <w:t>DNA (volume)</w:t>
            </w:r>
          </w:p>
        </w:tc>
        <w:tc>
          <w:tcPr>
            <w:tcW w:w="2268" w:type="dxa"/>
            <w:tcBorders>
              <w:top w:val="single" w:color="auto" w:sz="4" w:space="0"/>
              <w:left w:val="nil"/>
              <w:bottom w:val="single" w:color="auto" w:sz="4" w:space="0"/>
              <w:right w:val="nil"/>
            </w:tcBorders>
          </w:tcPr>
          <w:p w14:paraId="4D97229F" w14:textId="1D8C8A57">
            <w:pPr>
              <w:pStyle w:val="IPPArialTable"/>
            </w:pPr>
            <w:r>
              <w:rPr>
                <w:rStyle w:val="PleaseReviewParagraphId"/>
                <w:b w:val="off"/>
                <w:i w:val="off"/>
              </w:rPr>
              <w:t>[357]</w:t>
            </w:r>
            <w:r>
              <w:t>6.25 µL</w:t>
            </w:r>
          </w:p>
        </w:tc>
      </w:tr>
      <w:tr w14:paraId="6DC9AE9E" w14:textId="77777777">
        <w:tc>
          <w:tcPr>
            <w:tcW w:w="6091" w:type="dxa"/>
            <w:gridSpan w:val="2"/>
            <w:tcBorders>
              <w:left w:val="nil"/>
              <w:bottom w:val="single" w:color="auto" w:sz="4" w:space="0"/>
              <w:right w:val="nil"/>
            </w:tcBorders>
            <w:shd w:val="clear" w:color="auto" w:fill="BFBFBF" w:themeFill="background1" w:themeFillShade="BF"/>
          </w:tcPr>
          <w:p w14:paraId="47F3C497" w14:textId="77777777">
            <w:pPr>
              <w:pStyle w:val="IPPArialTable"/>
              <w:rPr>
                <w:b/>
                <w:bCs/>
              </w:rPr>
            </w:pPr>
            <w:r>
              <w:rPr>
                <w:rStyle w:val="PleaseReviewParagraphId"/>
                <w:b w:val="off"/>
                <w:i w:val="off"/>
              </w:rPr>
              <w:t>[358]</w:t>
            </w:r>
            <w:r>
              <w:rPr>
                <w:b/>
                <w:bCs/>
              </w:rPr>
              <w:t>Cycling parameters</w:t>
            </w:r>
          </w:p>
        </w:tc>
      </w:tr>
      <w:tr w14:paraId="5D0544D1" w14:textId="77777777">
        <w:tc>
          <w:tcPr>
            <w:tcW w:w="3823" w:type="dxa"/>
            <w:tcBorders>
              <w:top w:val="single" w:color="auto" w:sz="4" w:space="0"/>
              <w:left w:val="nil"/>
              <w:bottom w:val="nil"/>
              <w:right w:val="nil"/>
            </w:tcBorders>
          </w:tcPr>
          <w:p w14:paraId="6D3CD476" w14:textId="77777777">
            <w:pPr>
              <w:pStyle w:val="IPPArialTable"/>
            </w:pPr>
            <w:r>
              <w:rPr>
                <w:rStyle w:val="PleaseReviewParagraphId"/>
                <w:b w:val="off"/>
                <w:i w:val="off"/>
              </w:rPr>
              <w:t>[359]</w:t>
            </w:r>
            <w:r>
              <w:t>Initial denaturation</w:t>
            </w:r>
          </w:p>
        </w:tc>
        <w:tc>
          <w:tcPr>
            <w:tcW w:w="2268" w:type="dxa"/>
            <w:tcBorders>
              <w:top w:val="single" w:color="auto" w:sz="4" w:space="0"/>
              <w:left w:val="nil"/>
              <w:bottom w:val="nil"/>
              <w:right w:val="nil"/>
            </w:tcBorders>
          </w:tcPr>
          <w:p w14:paraId="51AFB6D1" w14:textId="33A3E12E">
            <w:pPr>
              <w:pStyle w:val="IPPArialTable"/>
            </w:pPr>
            <w:r>
              <w:rPr>
                <w:rStyle w:val="PleaseReviewParagraphId"/>
                <w:b w:val="off"/>
                <w:i w:val="off"/>
              </w:rPr>
              <w:t>[360]</w:t>
            </w:r>
            <w:r>
              <w:t>94 °C for 1.5 min</w:t>
            </w:r>
          </w:p>
        </w:tc>
      </w:tr>
      <w:tr w14:paraId="6BC81F0B" w14:textId="77777777">
        <w:tc>
          <w:tcPr>
            <w:tcW w:w="3823" w:type="dxa"/>
            <w:tcBorders>
              <w:top w:val="nil"/>
              <w:left w:val="nil"/>
              <w:bottom w:val="nil"/>
              <w:right w:val="nil"/>
            </w:tcBorders>
          </w:tcPr>
          <w:p w14:paraId="2E2DFE69" w14:textId="77777777">
            <w:pPr>
              <w:pStyle w:val="IPPArialTable"/>
            </w:pPr>
            <w:r>
              <w:rPr>
                <w:rStyle w:val="PleaseReviewParagraphId"/>
                <w:b w:val="off"/>
                <w:i w:val="off"/>
              </w:rPr>
              <w:t>[361]</w:t>
            </w:r>
            <w:r>
              <w:t>Numbers of cycles</w:t>
            </w:r>
          </w:p>
        </w:tc>
        <w:tc>
          <w:tcPr>
            <w:tcW w:w="2268" w:type="dxa"/>
            <w:tcBorders>
              <w:top w:val="nil"/>
              <w:left w:val="nil"/>
              <w:bottom w:val="nil"/>
              <w:right w:val="nil"/>
            </w:tcBorders>
          </w:tcPr>
          <w:p w14:paraId="3585DEFB" w14:textId="77777777">
            <w:pPr>
              <w:pStyle w:val="IPPArialTable"/>
            </w:pPr>
            <w:r>
              <w:rPr>
                <w:rStyle w:val="PleaseReviewParagraphId"/>
                <w:b w:val="off"/>
                <w:i w:val="off"/>
              </w:rPr>
              <w:t>[362]</w:t>
            </w:r>
            <w:r>
              <w:t>35</w:t>
            </w:r>
          </w:p>
        </w:tc>
      </w:tr>
      <w:tr w14:paraId="54C3D223" w14:textId="77777777">
        <w:tc>
          <w:tcPr>
            <w:tcW w:w="3823" w:type="dxa"/>
            <w:tcBorders>
              <w:top w:val="nil"/>
              <w:left w:val="nil"/>
              <w:bottom w:val="nil"/>
              <w:right w:val="nil"/>
            </w:tcBorders>
          </w:tcPr>
          <w:p w14:paraId="775BDD5B" w14:textId="77777777">
            <w:pPr>
              <w:pStyle w:val="IPPArialTable"/>
              <w:numPr>
                <w:ilvl w:val="0"/>
                <w:numId w:val="52"/>
              </w:numPr>
              <w:ind w:left="284" w:hanging="142"/>
            </w:pPr>
            <w:r>
              <w:rPr>
                <w:rStyle w:val="PleaseReviewParagraphId"/>
                <w:b w:val="off"/>
                <w:i w:val="off"/>
              </w:rPr>
              <w:t>[363]</w:t>
            </w:r>
            <w:r>
              <w:t>Denaturation</w:t>
            </w:r>
          </w:p>
        </w:tc>
        <w:tc>
          <w:tcPr>
            <w:tcW w:w="2268" w:type="dxa"/>
            <w:tcBorders>
              <w:top w:val="nil"/>
              <w:left w:val="nil"/>
              <w:bottom w:val="nil"/>
              <w:right w:val="nil"/>
            </w:tcBorders>
          </w:tcPr>
          <w:p w14:paraId="1A47EFB6" w14:textId="310276AE">
            <w:pPr>
              <w:pStyle w:val="IPPArialTable"/>
            </w:pPr>
            <w:r>
              <w:rPr>
                <w:rStyle w:val="PleaseReviewParagraphId"/>
                <w:b w:val="off"/>
                <w:i w:val="off"/>
              </w:rPr>
              <w:t>[364]</w:t>
            </w:r>
            <w:r>
              <w:t>92 °C for 1 min</w:t>
            </w:r>
          </w:p>
        </w:tc>
      </w:tr>
      <w:tr w14:paraId="2B2E29A6" w14:textId="77777777">
        <w:tc>
          <w:tcPr>
            <w:tcW w:w="3823" w:type="dxa"/>
            <w:tcBorders>
              <w:top w:val="nil"/>
              <w:left w:val="nil"/>
              <w:bottom w:val="nil"/>
              <w:right w:val="nil"/>
            </w:tcBorders>
          </w:tcPr>
          <w:p w14:paraId="77616B51" w14:textId="4DBC9328">
            <w:pPr>
              <w:pStyle w:val="IPPArialTable"/>
              <w:numPr>
                <w:ilvl w:val="0"/>
                <w:numId w:val="52"/>
              </w:numPr>
              <w:ind w:left="284" w:hanging="142"/>
            </w:pPr>
            <w:r>
              <w:rPr>
                <w:rStyle w:val="PleaseReviewParagraphId"/>
                <w:b w:val="off"/>
                <w:i w:val="off"/>
              </w:rPr>
              <w:t>[365]</w:t>
            </w:r>
            <w:r>
              <w:t>Annealing</w:t>
            </w:r>
          </w:p>
        </w:tc>
        <w:tc>
          <w:tcPr>
            <w:tcW w:w="2268" w:type="dxa"/>
            <w:tcBorders>
              <w:top w:val="nil"/>
              <w:left w:val="nil"/>
              <w:bottom w:val="nil"/>
              <w:right w:val="nil"/>
            </w:tcBorders>
          </w:tcPr>
          <w:p w14:paraId="6F5F0420" w14:textId="468FCA4D">
            <w:pPr>
              <w:pStyle w:val="IPPArialTable"/>
            </w:pPr>
            <w:r>
              <w:rPr>
                <w:rStyle w:val="PleaseReviewParagraphId"/>
                <w:b w:val="off"/>
                <w:i w:val="off"/>
              </w:rPr>
              <w:t>[366]</w:t>
            </w:r>
            <w:r>
              <w:t>53 °C for 1 min</w:t>
            </w:r>
          </w:p>
        </w:tc>
      </w:tr>
      <w:tr w14:paraId="79B7C89C" w14:textId="77777777">
        <w:tc>
          <w:tcPr>
            <w:tcW w:w="3823" w:type="dxa"/>
            <w:tcBorders>
              <w:top w:val="nil"/>
              <w:left w:val="nil"/>
              <w:bottom w:val="nil"/>
              <w:right w:val="nil"/>
            </w:tcBorders>
          </w:tcPr>
          <w:p w14:paraId="2500A00B" w14:textId="77777777">
            <w:pPr>
              <w:pStyle w:val="IPPArialTable"/>
              <w:numPr>
                <w:ilvl w:val="0"/>
                <w:numId w:val="52"/>
              </w:numPr>
              <w:ind w:left="284" w:hanging="142"/>
            </w:pPr>
            <w:r>
              <w:rPr>
                <w:rStyle w:val="PleaseReviewParagraphId"/>
                <w:b w:val="off"/>
                <w:i w:val="off"/>
              </w:rPr>
              <w:t>[367]</w:t>
            </w:r>
            <w:r>
              <w:t>Elongation</w:t>
            </w:r>
          </w:p>
        </w:tc>
        <w:tc>
          <w:tcPr>
            <w:tcW w:w="2268" w:type="dxa"/>
            <w:tcBorders>
              <w:top w:val="nil"/>
              <w:left w:val="nil"/>
              <w:bottom w:val="nil"/>
              <w:right w:val="nil"/>
            </w:tcBorders>
          </w:tcPr>
          <w:p w14:paraId="24089E90" w14:textId="1550C4B1">
            <w:pPr>
              <w:pStyle w:val="IPPArialTable"/>
            </w:pPr>
            <w:r>
              <w:rPr>
                <w:rStyle w:val="PleaseReviewParagraphId"/>
                <w:b w:val="off"/>
                <w:i w:val="off"/>
              </w:rPr>
              <w:t>[368]</w:t>
            </w:r>
            <w:r>
              <w:t>72 °C for 3 min</w:t>
            </w:r>
          </w:p>
        </w:tc>
      </w:tr>
      <w:tr w14:paraId="08BF9924" w14:textId="77777777">
        <w:tc>
          <w:tcPr>
            <w:tcW w:w="3823" w:type="dxa"/>
            <w:tcBorders>
              <w:top w:val="nil"/>
              <w:left w:val="nil"/>
              <w:bottom w:val="single" w:color="auto" w:sz="4" w:space="0"/>
              <w:right w:val="nil"/>
            </w:tcBorders>
          </w:tcPr>
          <w:p w14:paraId="1A9801C2" w14:textId="22B40D94">
            <w:pPr>
              <w:pStyle w:val="IPPArialTable"/>
            </w:pPr>
            <w:r>
              <w:rPr>
                <w:rStyle w:val="PleaseReviewParagraphId"/>
                <w:b w:val="off"/>
                <w:i w:val="off"/>
              </w:rPr>
              <w:t>[369]</w:t>
            </w:r>
            <w:r>
              <w:t>Final elongation</w:t>
            </w:r>
          </w:p>
        </w:tc>
        <w:tc>
          <w:tcPr>
            <w:tcW w:w="2268" w:type="dxa"/>
            <w:tcBorders>
              <w:top w:val="nil"/>
              <w:left w:val="nil"/>
              <w:bottom w:val="single" w:color="auto" w:sz="4" w:space="0"/>
              <w:right w:val="nil"/>
            </w:tcBorders>
          </w:tcPr>
          <w:p w14:paraId="54883755" w14:textId="5696702C">
            <w:pPr>
              <w:pStyle w:val="IPPArialTable"/>
            </w:pPr>
            <w:r>
              <w:rPr>
                <w:rStyle w:val="PleaseReviewParagraphId"/>
                <w:b w:val="off"/>
                <w:i w:val="off"/>
              </w:rPr>
              <w:t>[370]</w:t>
            </w:r>
            <w:r>
              <w:t>72 °C for 10 min</w:t>
            </w:r>
          </w:p>
        </w:tc>
      </w:tr>
      <w:tr w14:paraId="1855C185" w14:textId="77777777">
        <w:tc>
          <w:tcPr>
            <w:tcW w:w="6091" w:type="dxa"/>
            <w:gridSpan w:val="2"/>
            <w:tcBorders>
              <w:left w:val="nil"/>
              <w:bottom w:val="single" w:color="auto" w:sz="4" w:space="0"/>
              <w:right w:val="nil"/>
            </w:tcBorders>
            <w:shd w:val="clear" w:color="auto" w:fill="BFBFBF" w:themeFill="background1" w:themeFillShade="BF"/>
          </w:tcPr>
          <w:p w14:paraId="3962A4B7" w14:textId="77777777">
            <w:pPr>
              <w:pStyle w:val="IPPArialTable"/>
              <w:rPr>
                <w:b/>
                <w:bCs/>
              </w:rPr>
            </w:pPr>
            <w:r>
              <w:rPr>
                <w:rStyle w:val="PleaseReviewParagraphId"/>
                <w:b w:val="off"/>
                <w:i w:val="off"/>
              </w:rPr>
              <w:t>[371]</w:t>
            </w:r>
            <w:r>
              <w:rPr>
                <w:b/>
                <w:bCs/>
              </w:rPr>
              <w:t>Expected amplicons</w:t>
            </w:r>
          </w:p>
        </w:tc>
      </w:tr>
      <w:tr w14:paraId="6E5D8720" w14:textId="77777777">
        <w:tc>
          <w:tcPr>
            <w:tcW w:w="3823" w:type="dxa"/>
            <w:tcBorders>
              <w:top w:val="nil"/>
              <w:left w:val="nil"/>
              <w:bottom w:val="nil"/>
              <w:right w:val="nil"/>
            </w:tcBorders>
          </w:tcPr>
          <w:p w14:paraId="1A8C1282" w14:textId="645A38D3">
            <w:pPr>
              <w:pStyle w:val="IPPArialTable"/>
              <w:rPr>
                <w:i/>
              </w:rPr>
            </w:pPr>
            <w:r>
              <w:rPr>
                <w:rStyle w:val="PleaseReviewParagraphId"/>
                <w:b w:val="off"/>
                <w:i w:val="off"/>
              </w:rPr>
              <w:t>[372]</w:t>
            </w:r>
            <w:r>
              <w:rPr>
                <w:i/>
              </w:rPr>
              <w:t>Heterobasidion abietinum</w:t>
            </w:r>
          </w:p>
        </w:tc>
        <w:tc>
          <w:tcPr>
            <w:tcW w:w="2268" w:type="dxa"/>
            <w:tcBorders>
              <w:top w:val="nil"/>
              <w:left w:val="nil"/>
              <w:bottom w:val="nil"/>
              <w:right w:val="nil"/>
            </w:tcBorders>
          </w:tcPr>
          <w:p w14:paraId="0AAEC8E4" w14:textId="7442E59E">
            <w:pPr>
              <w:pStyle w:val="IPPArialTable"/>
            </w:pPr>
            <w:r>
              <w:rPr>
                <w:rStyle w:val="PleaseReviewParagraphId"/>
                <w:b w:val="off"/>
                <w:i w:val="off"/>
              </w:rPr>
              <w:t>[373]</w:t>
            </w:r>
            <w:r>
              <w:t>195 bp</w:t>
            </w:r>
          </w:p>
        </w:tc>
      </w:tr>
      <w:tr w14:paraId="2E1CD7D7" w14:textId="77777777">
        <w:tc>
          <w:tcPr>
            <w:tcW w:w="3823" w:type="dxa"/>
            <w:tcBorders>
              <w:top w:val="nil"/>
              <w:left w:val="nil"/>
              <w:bottom w:val="nil"/>
              <w:right w:val="nil"/>
            </w:tcBorders>
          </w:tcPr>
          <w:p w14:paraId="13C16FD2" w14:textId="42BD1804">
            <w:pPr>
              <w:pStyle w:val="IPPArialTable"/>
              <w:rPr>
                <w:i/>
              </w:rPr>
            </w:pPr>
            <w:r>
              <w:rPr>
                <w:rStyle w:val="PleaseReviewParagraphId"/>
                <w:b w:val="off"/>
                <w:i w:val="off"/>
              </w:rPr>
              <w:t>[374]</w:t>
            </w:r>
            <w:r>
              <w:rPr>
                <w:i/>
              </w:rPr>
              <w:t>Heterobasidion annosum sensu stricto</w:t>
            </w:r>
          </w:p>
        </w:tc>
        <w:tc>
          <w:tcPr>
            <w:tcW w:w="2268" w:type="dxa"/>
            <w:tcBorders>
              <w:top w:val="nil"/>
              <w:left w:val="nil"/>
              <w:bottom w:val="nil"/>
              <w:right w:val="nil"/>
            </w:tcBorders>
          </w:tcPr>
          <w:p w14:paraId="7EEB90BE" w14:textId="1CDAA806">
            <w:pPr>
              <w:pStyle w:val="IPPArialTable"/>
            </w:pPr>
            <w:r>
              <w:rPr>
                <w:rStyle w:val="PleaseReviewParagraphId"/>
                <w:b w:val="off"/>
                <w:i w:val="off"/>
              </w:rPr>
              <w:t>[375]</w:t>
            </w:r>
            <w:r>
              <w:t>230 bp</w:t>
            </w:r>
          </w:p>
        </w:tc>
      </w:tr>
      <w:tr w14:paraId="66BC9E2E" w14:textId="77777777">
        <w:tc>
          <w:tcPr>
            <w:tcW w:w="3823" w:type="dxa"/>
            <w:tcBorders>
              <w:top w:val="nil"/>
              <w:left w:val="nil"/>
              <w:bottom w:val="single" w:color="auto" w:sz="4" w:space="0"/>
              <w:right w:val="nil"/>
            </w:tcBorders>
          </w:tcPr>
          <w:p w14:paraId="11C7C028" w14:textId="456FDEFA">
            <w:pPr>
              <w:pStyle w:val="IPPArialTable"/>
              <w:rPr>
                <w:i/>
              </w:rPr>
            </w:pPr>
            <w:r>
              <w:rPr>
                <w:rStyle w:val="PleaseReviewParagraphId"/>
                <w:b w:val="off"/>
                <w:i w:val="off"/>
              </w:rPr>
              <w:t>[376]</w:t>
            </w:r>
            <w:r>
              <w:rPr>
                <w:i/>
              </w:rPr>
              <w:t>Heterobasidion parviporum</w:t>
            </w:r>
          </w:p>
        </w:tc>
        <w:tc>
          <w:tcPr>
            <w:tcW w:w="2268" w:type="dxa"/>
            <w:tcBorders>
              <w:top w:val="nil"/>
              <w:left w:val="nil"/>
              <w:bottom w:val="single" w:color="auto" w:sz="4" w:space="0"/>
              <w:right w:val="nil"/>
            </w:tcBorders>
          </w:tcPr>
          <w:p w14:paraId="372377ED" w14:textId="6FC9EAF8">
            <w:pPr>
              <w:pStyle w:val="IPPArialTable"/>
            </w:pPr>
            <w:r>
              <w:rPr>
                <w:rStyle w:val="PleaseReviewParagraphId"/>
                <w:b w:val="off"/>
                <w:i w:val="off"/>
              </w:rPr>
              <w:t>[377]</w:t>
            </w:r>
            <w:r>
              <w:t>185 bp</w:t>
            </w:r>
          </w:p>
        </w:tc>
      </w:tr>
    </w:tbl>
    <w:p w14:paraId="3102746F" w14:textId="58B075C5">
      <w:pPr>
        <w:pStyle w:val="IPPArialFootnote"/>
      </w:pPr>
      <w:r>
        <w:rPr>
          <w:rStyle w:val="PleaseReviewParagraphId"/>
          <w:b w:val="off"/>
          <w:i w:val="off"/>
        </w:rPr>
        <w:t>[378]</w:t>
      </w:r>
      <w:r>
        <w:rPr>
          <w:rFonts w:ascii="ArialMT" w:hAnsi="ArialMT" w:cs="ArialMT" w:eastAsiaTheme="minorHAnsi"/>
          <w:i/>
          <w:iCs/>
        </w:rPr>
        <w:t xml:space="preserve">Notes: </w:t>
      </w:r>
      <w:r>
        <w:rPr>
          <w:rFonts w:ascii="ArialMT" w:hAnsi="ArialMT" w:cs="ArialMT" w:eastAsiaTheme="minorHAnsi"/>
          <w:vertAlign w:val="superscript"/>
        </w:rPr>
        <w:t xml:space="preserve">† </w:t>
      </w:r>
      <w:r>
        <w:t>For a final reaction volume of 25 µL.</w:t>
      </w:r>
    </w:p>
    <w:p w14:paraId="07C31775" w14:textId="115EB615">
      <w:pPr>
        <w:pStyle w:val="IPPArialFootnote"/>
      </w:pPr>
      <w:r>
        <w:rPr>
          <w:rStyle w:val="PleaseReviewParagraphId"/>
          <w:b w:val="off"/>
          <w:i w:val="off"/>
        </w:rPr>
        <w:t>[379]</w:t>
      </w:r>
      <w:r>
        <w:t>bp, base pairs; PCR, polymerase chain reaction.</w:t>
      </w:r>
    </w:p>
    <w:p w14:paraId="74217333" w14:textId="58E5B129">
      <w:pPr>
        <w:pStyle w:val="IPPArialFootnote"/>
      </w:pPr>
      <w:r>
        <w:rPr>
          <w:rStyle w:val="PleaseReviewParagraphId"/>
          <w:b w:val="off"/>
          <w:i w:val="off"/>
        </w:rPr>
        <w:t>[380]</w:t>
      </w:r>
      <w:r>
        <w:rPr>
          <w:i/>
          <w:iCs/>
        </w:rPr>
        <w:t xml:space="preserve">Sources: </w:t>
      </w:r>
      <w:r>
        <w:t xml:space="preserve">Garbelotto, M., Otrosina, W.J., Cobb, F.W. &amp; Bruns, T.D. 1998. The European S and F intersterility groups of </w:t>
      </w:r>
      <w:r>
        <w:rPr>
          <w:i/>
        </w:rPr>
        <w:t>Heterobasidion annosum</w:t>
      </w:r>
      <w:r>
        <w:t xml:space="preserve"> may represent sympatric protospecies. </w:t>
      </w:r>
      <w:r>
        <w:rPr>
          <w:i/>
        </w:rPr>
        <w:t>Canadian Journal of Botany</w:t>
      </w:r>
      <w:r>
        <w:t xml:space="preserve">, 76: 397–409. </w:t>
      </w:r>
      <w:hyperlink w:history="1" r:id="rId22">
        <w:r>
          <w:rPr>
            <w:rStyle w:val="Hyperlink"/>
          </w:rPr>
          <w:t>https://doi.org/10.1139/b97-185</w:t>
        </w:r>
      </w:hyperlink>
    </w:p>
    <w:p w14:paraId="27F7A93D" w14:textId="4CD31F6D">
      <w:pPr>
        <w:pStyle w:val="IPPArialFootnote"/>
      </w:pPr>
      <w:r>
        <w:rPr>
          <w:rStyle w:val="PleaseReviewParagraphId"/>
          <w:b w:val="off"/>
          <w:i w:val="off"/>
        </w:rPr>
        <w:t>[381]</w:t>
      </w:r>
      <w:r>
        <w:t xml:space="preserve">Garbelotto, M., Ratcliff, A., Bruns, T.D., Cobb, F.W. &amp; Otrosina, W.J. 1996. Use of taxon-specific competitive-priming PCR to study host specificity, hybridization, and intergroup gene flow in intersterility groups of </w:t>
      </w:r>
      <w:r>
        <w:rPr>
          <w:i/>
        </w:rPr>
        <w:t>Heterobasidion annosum</w:t>
      </w:r>
      <w:r>
        <w:t xml:space="preserve">. </w:t>
      </w:r>
      <w:r>
        <w:rPr>
          <w:i/>
        </w:rPr>
        <w:t>Phytopathology</w:t>
      </w:r>
      <w:r>
        <w:t xml:space="preserve">, 86: 543–551. </w:t>
      </w:r>
      <w:hyperlink w:history="1" r:id="rId23">
        <w:r>
          <w:rPr>
            <w:rStyle w:val="Hyperlink"/>
            <w:iCs/>
          </w:rPr>
          <w:t>https://doi.org/</w:t>
        </w:r>
        <w:r>
          <w:rPr>
            <w:rStyle w:val="Hyperlink"/>
            <w:shd w:val="clear" w:color="auto" w:fill="FFFFFF"/>
          </w:rPr>
          <w:t>10.1094/Phyto-86-543</w:t>
        </w:r>
      </w:hyperlink>
    </w:p>
    <w:p w14:paraId="6F0D340D" w14:textId="0021C8B5">
      <w:pPr>
        <w:pStyle w:val="IPPArialFootnote"/>
      </w:pPr>
      <w:r>
        <w:rPr>
          <w:rStyle w:val="PleaseReviewParagraphId"/>
          <w:b w:val="off"/>
          <w:i w:val="off"/>
        </w:rPr>
        <w:t>[382]</w:t>
      </w:r>
      <w:r>
        <w:t xml:space="preserve">Gonthier, P., Garbelotto, M. &amp; Nicolotti, G. 2003. Swiss stone pine trees and spruce stumps represent an important habitat for </w:t>
      </w:r>
      <w:r>
        <w:rPr>
          <w:i/>
        </w:rPr>
        <w:t>Heterobasidion</w:t>
      </w:r>
      <w:r>
        <w:t xml:space="preserve"> spp. in subalpine forests. </w:t>
      </w:r>
      <w:r>
        <w:rPr>
          <w:i/>
        </w:rPr>
        <w:t>Forest Pathology</w:t>
      </w:r>
      <w:r>
        <w:t xml:space="preserve">, 33: 191–203. </w:t>
      </w:r>
      <w:hyperlink w:history="1" r:id="rId24">
        <w:r>
          <w:rPr>
            <w:rStyle w:val="Hyperlink"/>
          </w:rPr>
          <w:t>https://doi.org/10.1046/j.1439-0329.2003.00323.x</w:t>
        </w:r>
      </w:hyperlink>
    </w:p>
    <w:p w14:paraId="2D9BAAC4" w14:textId="6BDCB912">
      <w:pPr>
        <w:pStyle w:val="IPPArialFootnote"/>
        <w:spacing w:after="180"/>
      </w:pPr>
      <w:r>
        <w:rPr>
          <w:rStyle w:val="PleaseReviewParagraphId"/>
          <w:b w:val="off"/>
          <w:i w:val="off"/>
        </w:rPr>
        <w:t>[383]</w:t>
      </w:r>
      <w:r>
        <w:t xml:space="preserve">Gonthier, P., Garbelotto, M., Varese, G.C. &amp; Nicolotti, G. 2001. Relative abundance and potential dispersal range of intersterility groups of </w:t>
      </w:r>
      <w:r>
        <w:rPr>
          <w:i/>
        </w:rPr>
        <w:t>Heterobasidion annosum</w:t>
      </w:r>
      <w:r>
        <w:t xml:space="preserve"> in pure and mixed forests. </w:t>
      </w:r>
      <w:r>
        <w:rPr>
          <w:i/>
        </w:rPr>
        <w:t>Canadian Journal of Botany</w:t>
      </w:r>
      <w:r>
        <w:t xml:space="preserve">, 79: 1057–1065. </w:t>
      </w:r>
      <w:hyperlink w:history="1" r:id="rId25">
        <w:r>
          <w:rPr>
            <w:rStyle w:val="Hyperlink"/>
          </w:rPr>
          <w:t>https://doi.org/10.1139/b01-090</w:t>
        </w:r>
      </w:hyperlink>
    </w:p>
    <w:p w14:paraId="2CA425D1" w14:textId="68E9866E">
      <w:pPr>
        <w:pStyle w:val="IPPParagraphnumbering"/>
        <w:numPr>
          <w:ilvl w:val="0"/>
          <w:numId w:val="0"/>
        </w:numPr>
        <w:rPr>
          <w:lang w:val="en-GB"/>
        </w:rPr>
      </w:pPr>
      <w:r>
        <w:rPr>
          <w:rStyle w:val="PleaseReviewParagraphId"/>
          <w:b w:val="off"/>
          <w:i w:val="off"/>
        </w:rPr>
        <w:t>[384]</w:t>
      </w:r>
      <w:r>
        <w:rPr>
          <w:lang w:val="en-GB"/>
        </w:rPr>
        <w:t xml:space="preserve">The PCR products can be visualized by standard agarose gel electrophoresis. </w:t>
      </w:r>
    </w:p>
    <w:p w14:paraId="7EF6A1FA" w14:textId="5A07C533">
      <w:pPr>
        <w:pStyle w:val="IPPHeading3"/>
      </w:pPr>
      <w:r>
        <w:rPr>
          <w:rStyle w:val="PleaseReviewParagraphId"/>
          <w:b w:val="off"/>
          <w:i w:val="off"/>
        </w:rPr>
        <w:t>[385]</w:t>
      </w:r>
      <w:r>
        <w:t>3.4.3.3</w:t>
        <w:tab/>
        <w:t xml:space="preserve">Conventional PCR of Gonthier </w:t>
      </w:r>
      <w:r>
        <w:rPr>
          <w:i w:val="0"/>
        </w:rPr>
        <w:t>et al.</w:t>
      </w:r>
      <w:r>
        <w:t xml:space="preserve"> (2007) targeting </w:t>
      </w:r>
      <w:r>
        <w:rPr>
          <w:i w:val="0"/>
        </w:rPr>
        <w:t>Heterobasidion annosum s.l.</w:t>
      </w:r>
      <w:r>
        <w:t xml:space="preserve">, </w:t>
      </w:r>
      <w:r>
        <w:rPr>
          <w:i w:val="0"/>
        </w:rPr>
        <w:t>H. annosum s.s.</w:t>
      </w:r>
      <w:r>
        <w:t xml:space="preserve"> and </w:t>
      </w:r>
      <w:r>
        <w:rPr>
          <w:i w:val="0"/>
        </w:rPr>
        <w:t>H. irregulare</w:t>
      </w:r>
    </w:p>
    <w:p w14:paraId="00E1DF33" w14:textId="2C332F7A">
      <w:pPr>
        <w:pStyle w:val="IPPParagraphnumbering"/>
        <w:numPr>
          <w:ilvl w:val="0"/>
          <w:numId w:val="0"/>
        </w:numPr>
        <w:rPr>
          <w:lang w:val="en-GB"/>
        </w:rPr>
      </w:pPr>
      <w:r>
        <w:rPr>
          <w:rStyle w:val="PleaseReviewParagraphId"/>
          <w:b w:val="off"/>
          <w:i w:val="off"/>
        </w:rPr>
        <w:t>[386]</w:t>
      </w:r>
      <w:r>
        <w:rPr>
          <w:lang w:val="en-GB"/>
        </w:rPr>
        <w:t xml:space="preserve">A taxon-specific conventional PCR was developed by Gonthier </w:t>
      </w:r>
      <w:r>
        <w:rPr>
          <w:i/>
          <w:iCs/>
          <w:lang w:val="en-GB"/>
        </w:rPr>
        <w:t>et al</w:t>
      </w:r>
      <w:r>
        <w:rPr>
          <w:lang w:val="en-GB"/>
        </w:rPr>
        <w:t xml:space="preserve">. (2007) targeting </w:t>
      </w:r>
      <w:r>
        <w:rPr>
          <w:i/>
          <w:iCs/>
          <w:lang w:val="en-GB"/>
        </w:rPr>
        <w:t>H. </w:t>
      </w:r>
      <w:r>
        <w:rPr>
          <w:i/>
          <w:lang w:val="en-GB"/>
        </w:rPr>
        <w:t>annosum s.s</w:t>
      </w:r>
      <w:r>
        <w:rPr>
          <w:lang w:val="en-GB"/>
        </w:rPr>
        <w:t xml:space="preserve">. and </w:t>
      </w:r>
      <w:r>
        <w:rPr>
          <w:i/>
          <w:iCs/>
          <w:lang w:val="en-GB"/>
        </w:rPr>
        <w:t>H. </w:t>
      </w:r>
      <w:r>
        <w:rPr>
          <w:i/>
          <w:lang w:val="en-GB"/>
        </w:rPr>
        <w:t>irregulare</w:t>
      </w:r>
      <w:r>
        <w:rPr>
          <w:lang w:val="en-GB"/>
        </w:rPr>
        <w:t xml:space="preserve">; this PCR can also be used to detect hybrids between </w:t>
      </w:r>
      <w:r>
        <w:rPr>
          <w:i/>
          <w:iCs/>
          <w:lang w:val="en-GB"/>
        </w:rPr>
        <w:t>H. </w:t>
      </w:r>
      <w:r>
        <w:rPr>
          <w:i/>
          <w:lang w:val="en-GB"/>
        </w:rPr>
        <w:t>annosum</w:t>
      </w:r>
      <w:r>
        <w:rPr>
          <w:i/>
          <w:iCs/>
          <w:lang w:val="en-GB"/>
        </w:rPr>
        <w:t> s.s.</w:t>
      </w:r>
      <w:r>
        <w:rPr>
          <w:lang w:val="en-GB"/>
        </w:rPr>
        <w:t xml:space="preserve"> and </w:t>
      </w:r>
      <w:r>
        <w:rPr>
          <w:i/>
          <w:iCs/>
          <w:lang w:val="en-GB"/>
        </w:rPr>
        <w:t>H. </w:t>
      </w:r>
      <w:r>
        <w:rPr>
          <w:i/>
          <w:lang w:val="en-GB"/>
        </w:rPr>
        <w:t>irregulare</w:t>
      </w:r>
      <w:r>
        <w:rPr>
          <w:lang w:val="en-GB"/>
        </w:rPr>
        <w:t xml:space="preserve">. The DNA was characterized by three sets of PCR primers specifically designed to target one nuclear locus (two sets) and one mitochondrial locus in </w:t>
      </w:r>
      <w:r>
        <w:rPr>
          <w:i/>
          <w:lang w:val="en-GB"/>
        </w:rPr>
        <w:t>Heterobasidion</w:t>
      </w:r>
      <w:r>
        <w:rPr>
          <w:lang w:val="en-GB"/>
        </w:rPr>
        <w:t xml:space="preserve"> (Gonthier </w:t>
      </w:r>
      <w:r>
        <w:rPr>
          <w:i/>
          <w:iCs/>
          <w:lang w:val="en-GB"/>
        </w:rPr>
        <w:t>et al</w:t>
      </w:r>
      <w:r>
        <w:rPr>
          <w:lang w:val="en-GB"/>
        </w:rPr>
        <w:t>., 2001). The primers EFaNAPFor and EFaEuPFor were designed on the nuclear elongation factor 1-</w:t>
      </w:r>
      <w:r>
        <w:rPr>
          <w:rFonts w:ascii="Symbol" w:hAnsi="Symbol"/>
          <w:lang w:val="en-GB"/>
        </w:rPr>
        <w:t></w:t>
      </w:r>
      <w:r>
        <w:rPr>
          <w:lang w:val="en-GB"/>
        </w:rPr>
        <w:t xml:space="preserve"> (EFA</w:t>
      </w:r>
      <w:r>
        <w:rPr>
          <w:rFonts w:ascii="Symbol" w:hAnsi="Symbol"/>
          <w:lang w:val="en-GB"/>
        </w:rPr>
        <w:t></w:t>
      </w:r>
      <w:r>
        <w:rPr>
          <w:lang w:val="en-GB"/>
        </w:rPr>
        <w:t xml:space="preserve"> to exclusively amplify either </w:t>
      </w:r>
      <w:r>
        <w:rPr>
          <w:i/>
          <w:iCs/>
          <w:lang w:val="en-GB"/>
        </w:rPr>
        <w:t>H. </w:t>
      </w:r>
      <w:r>
        <w:rPr>
          <w:i/>
          <w:lang w:val="en-GB"/>
        </w:rPr>
        <w:t>irregulare</w:t>
      </w:r>
      <w:r>
        <w:rPr>
          <w:lang w:val="en-GB"/>
        </w:rPr>
        <w:t xml:space="preserve"> or </w:t>
      </w:r>
      <w:r>
        <w:rPr>
          <w:i/>
          <w:iCs/>
          <w:lang w:val="en-GB"/>
        </w:rPr>
        <w:t>H. </w:t>
      </w:r>
      <w:r>
        <w:rPr>
          <w:i/>
          <w:lang w:val="en-GB"/>
        </w:rPr>
        <w:t>annosum s.s</w:t>
      </w:r>
      <w:r>
        <w:rPr>
          <w:lang w:val="en-GB"/>
        </w:rPr>
        <w:t xml:space="preserve">., respectively, when each of them is used in combination with the two </w:t>
      </w:r>
      <w:r>
        <w:rPr>
          <w:i/>
          <w:iCs/>
          <w:lang w:val="en-GB"/>
        </w:rPr>
        <w:t>H. annosum</w:t>
      </w:r>
      <w:r>
        <w:rPr>
          <w:lang w:val="en-GB"/>
        </w:rPr>
        <w:t xml:space="preserve"> universal primers EFaHaFor and EFaHaRev. The use of both EFa primer sets allows the results obtained by each primer set to be confirmed. The primers Mito 5, </w:t>
        <w:lastRenderedPageBreak/>
        <w:t xml:space="preserve">Mito 7 and Mito 8 amplify a 121 bp amplicon in the mitochondrial ribosomal operon for </w:t>
      </w:r>
      <w:r>
        <w:rPr>
          <w:i/>
          <w:iCs/>
          <w:lang w:val="en-GB"/>
        </w:rPr>
        <w:t>H. </w:t>
      </w:r>
      <w:r>
        <w:rPr>
          <w:i/>
          <w:lang w:val="en-GB"/>
        </w:rPr>
        <w:t>irregulare</w:t>
      </w:r>
      <w:r>
        <w:rPr>
          <w:lang w:val="en-GB"/>
        </w:rPr>
        <w:t xml:space="preserve"> and one of 158 bp for </w:t>
      </w:r>
      <w:r>
        <w:rPr>
          <w:i/>
          <w:iCs/>
          <w:lang w:val="en-GB"/>
        </w:rPr>
        <w:t>H. </w:t>
      </w:r>
      <w:r>
        <w:rPr>
          <w:i/>
          <w:lang w:val="en-GB"/>
        </w:rPr>
        <w:t>annosum s.s</w:t>
      </w:r>
      <w:r>
        <w:rPr>
          <w:lang w:val="en-GB"/>
        </w:rPr>
        <w:t xml:space="preserve">. The specificity of the two resulting PCR methods (one targeting the nuclear locus and the other targeting the mitochondrial locus) was verified on 490 isolates of </w:t>
      </w:r>
      <w:r>
        <w:rPr>
          <w:i/>
          <w:iCs/>
          <w:lang w:val="en-GB"/>
        </w:rPr>
        <w:t>H. </w:t>
      </w:r>
      <w:r>
        <w:rPr>
          <w:i/>
          <w:lang w:val="en-GB"/>
        </w:rPr>
        <w:t>irregulare</w:t>
      </w:r>
      <w:r>
        <w:rPr>
          <w:lang w:val="en-GB"/>
        </w:rPr>
        <w:t xml:space="preserve">, 86 isolates of </w:t>
      </w:r>
      <w:r>
        <w:rPr>
          <w:i/>
          <w:iCs/>
          <w:lang w:val="en-GB"/>
        </w:rPr>
        <w:t>H. </w:t>
      </w:r>
      <w:r>
        <w:rPr>
          <w:i/>
          <w:lang w:val="en-GB"/>
        </w:rPr>
        <w:t>annosum s.s</w:t>
      </w:r>
      <w:r>
        <w:rPr>
          <w:lang w:val="en-GB"/>
        </w:rPr>
        <w:t>. and 6 hybrid isolates between the two species. Hybrid isolates are typed as EU (</w:t>
      </w:r>
      <w:r>
        <w:rPr>
          <w:i/>
          <w:iCs/>
          <w:lang w:val="en-GB"/>
        </w:rPr>
        <w:t>H. annosum s.s.</w:t>
      </w:r>
      <w:r>
        <w:rPr>
          <w:lang w:val="en-GB"/>
        </w:rPr>
        <w:t>) at the mitochondrial locus and as NA (</w:t>
      </w:r>
      <w:r>
        <w:rPr>
          <w:i/>
          <w:iCs/>
          <w:lang w:val="en-GB"/>
        </w:rPr>
        <w:t>H. irregulare</w:t>
      </w:r>
      <w:r>
        <w:rPr>
          <w:lang w:val="en-GB"/>
        </w:rPr>
        <w:t xml:space="preserve">) at the nuclear locus, or vice versa as NA at the mitochondrial locus and as EU at the nuclear locus (see section 1 for hybridization between </w:t>
      </w:r>
      <w:r>
        <w:rPr>
          <w:i/>
          <w:iCs/>
          <w:lang w:val="en-GB"/>
        </w:rPr>
        <w:t>H. annosum s.s.</w:t>
      </w:r>
      <w:r>
        <w:rPr>
          <w:lang w:val="en-GB"/>
        </w:rPr>
        <w:t xml:space="preserve"> and </w:t>
      </w:r>
      <w:r>
        <w:rPr>
          <w:i/>
          <w:iCs/>
          <w:lang w:val="en-GB"/>
        </w:rPr>
        <w:t>H. irregulare</w:t>
      </w:r>
      <w:r>
        <w:rPr>
          <w:lang w:val="en-GB"/>
        </w:rPr>
        <w:t xml:space="preserve">). The methods are 100% specific to the target species; no cross-reaction between species was noted (Gonthier </w:t>
      </w:r>
      <w:r>
        <w:rPr>
          <w:i/>
          <w:iCs/>
          <w:lang w:val="en-GB"/>
        </w:rPr>
        <w:t>et al</w:t>
      </w:r>
      <w:r>
        <w:rPr>
          <w:lang w:val="en-GB"/>
        </w:rPr>
        <w:t>., 2007).</w:t>
      </w:r>
    </w:p>
    <w:p w14:paraId="55EBB23F" w14:textId="5BA39422">
      <w:pPr>
        <w:pStyle w:val="IPPParagraphnumberingclose"/>
        <w:numPr>
          <w:ilvl w:val="0"/>
          <w:numId w:val="0"/>
        </w:numPr>
        <w:rPr>
          <w:lang w:val="en-GB"/>
        </w:rPr>
      </w:pPr>
      <w:r>
        <w:rPr>
          <w:rStyle w:val="PleaseReviewParagraphId"/>
          <w:b w:val="off"/>
          <w:i w:val="off"/>
        </w:rPr>
        <w:t>[387]</w:t>
      </w:r>
      <w:r>
        <w:rPr>
          <w:lang w:val="en-GB"/>
        </w:rPr>
        <w:t>The master mix and cycling parameters for the two PCR methods are described in Table 7 and Table 8, and the primers are as follows:</w:t>
      </w:r>
    </w:p>
    <w:p w14:paraId="1581C1F0" w14:textId="77777777">
      <w:pPr>
        <w:pStyle w:val="IPPIndentClose"/>
      </w:pPr>
      <w:r>
        <w:rPr>
          <w:rStyle w:val="PleaseReviewParagraphId"/>
          <w:b w:val="off"/>
          <w:i w:val="off"/>
        </w:rPr>
        <w:t>[388]</w:t>
      </w:r>
      <w:bookmarkStart w:name="_Hlk117714788" w:id="35"/>
      <w:r>
        <w:t xml:space="preserve">Mito 8 (forward): 5′-GCG GTG TAA TAA AAT CGG-3′ (Gonthier </w:t>
      </w:r>
      <w:r>
        <w:rPr>
          <w:i/>
        </w:rPr>
        <w:t>et al</w:t>
      </w:r>
      <w:r>
        <w:t>., 2001)</w:t>
      </w:r>
    </w:p>
    <w:p w14:paraId="582A8B8A" w14:textId="6631FBAE">
      <w:pPr>
        <w:pStyle w:val="IPPIndentClose"/>
      </w:pPr>
      <w:r>
        <w:rPr>
          <w:rStyle w:val="PleaseReviewParagraphId"/>
          <w:b w:val="off"/>
          <w:i w:val="off"/>
        </w:rPr>
        <w:t>[389]</w:t>
      </w:r>
      <w:r>
        <w:t xml:space="preserve">Mito 5 (reverse): 5′-TAA GAC CGC TAT A(T/A)A CCA GAC-3′ (Garbelotto </w:t>
      </w:r>
      <w:r>
        <w:rPr>
          <w:i/>
        </w:rPr>
        <w:t>et al</w:t>
      </w:r>
      <w:r>
        <w:t>., 1998)</w:t>
      </w:r>
    </w:p>
    <w:bookmarkEnd w:id="35"/>
    <w:p w14:paraId="66571C04" w14:textId="4C6F1134">
      <w:pPr>
        <w:pStyle w:val="IPPIndentClose"/>
      </w:pPr>
      <w:r>
        <w:rPr>
          <w:rStyle w:val="PleaseReviewParagraphId"/>
          <w:b w:val="off"/>
          <w:i w:val="off"/>
        </w:rPr>
        <w:t>[390]</w:t>
      </w:r>
      <w:r>
        <w:t xml:space="preserve">Mito 7 (reverse): 5′-GCC AAT TTA TTT TGC TAC C-3′ (Gonthier </w:t>
      </w:r>
      <w:r>
        <w:rPr>
          <w:i/>
        </w:rPr>
        <w:t>et al</w:t>
      </w:r>
      <w:r>
        <w:t>., 2001)</w:t>
      </w:r>
    </w:p>
    <w:p w14:paraId="7DD9038F" w14:textId="01C15DDD">
      <w:pPr>
        <w:pStyle w:val="IPPIndentClose"/>
      </w:pPr>
      <w:r>
        <w:rPr>
          <w:rStyle w:val="PleaseReviewParagraphId"/>
          <w:b w:val="off"/>
          <w:i w:val="off"/>
        </w:rPr>
        <w:t>[391]</w:t>
      </w:r>
      <w:r>
        <w:t xml:space="preserve">EFaHaFor (forward): 5′-CTA TGT CGC GGT ACA GCT TG-3′ (Gonthier </w:t>
      </w:r>
      <w:r>
        <w:rPr>
          <w:i/>
        </w:rPr>
        <w:t>et al</w:t>
      </w:r>
      <w:r>
        <w:t>., 2007)</w:t>
      </w:r>
    </w:p>
    <w:p w14:paraId="53837D5E" w14:textId="607077D7">
      <w:pPr>
        <w:pStyle w:val="IPPIndentClose"/>
        <w:ind w:left="1134" w:hanging="567"/>
      </w:pPr>
      <w:r>
        <w:rPr>
          <w:rStyle w:val="PleaseReviewParagraphId"/>
          <w:b w:val="off"/>
          <w:i w:val="off"/>
        </w:rPr>
        <w:t>[392]</w:t>
      </w:r>
      <w:r>
        <w:t xml:space="preserve">EFaNAPFor (forward): 5′-GTA CAT GGT CAC TGT ACG TAG ATG C-3′ (Gonthier </w:t>
      </w:r>
      <w:r>
        <w:rPr>
          <w:i/>
        </w:rPr>
        <w:t>et al</w:t>
      </w:r>
      <w:r>
        <w:t>., 2007)</w:t>
      </w:r>
    </w:p>
    <w:p w14:paraId="16BBCB35" w14:textId="77777777">
      <w:pPr>
        <w:pStyle w:val="IPPIndentClose"/>
      </w:pPr>
      <w:r>
        <w:rPr>
          <w:rStyle w:val="PleaseReviewParagraphId"/>
          <w:b w:val="off"/>
          <w:i w:val="off"/>
        </w:rPr>
        <w:t>[393]</w:t>
      </w:r>
      <w:r>
        <w:t xml:space="preserve">EFaEuPFor (forward): 5′-ATG GTC ACT GTA CGT AGA TCA TGC-3′ (Gonthier </w:t>
      </w:r>
      <w:r>
        <w:rPr>
          <w:i/>
        </w:rPr>
        <w:t>et al</w:t>
      </w:r>
      <w:r>
        <w:t>., 2007)</w:t>
      </w:r>
    </w:p>
    <w:p w14:paraId="195D4C80" w14:textId="77777777">
      <w:pPr>
        <w:pStyle w:val="IPPIndent"/>
        <w:ind w:left="1134" w:hanging="567"/>
      </w:pPr>
      <w:r>
        <w:rPr>
          <w:rStyle w:val="PleaseReviewParagraphId"/>
          <w:b w:val="off"/>
          <w:i w:val="off"/>
        </w:rPr>
        <w:t>[394]</w:t>
      </w:r>
      <w:r>
        <w:t xml:space="preserve">EFaHaRev (reverse): 5′-GCG AGG A(T/C)A AGA AGT AAT CAG CA-3′ (Gonthier </w:t>
      </w:r>
      <w:r>
        <w:rPr>
          <w:i/>
        </w:rPr>
        <w:t>et al</w:t>
      </w:r>
      <w:r>
        <w:t>., 2007)</w:t>
      </w:r>
    </w:p>
    <w:p w14:paraId="5C1AEA39" w14:textId="67737840">
      <w:pPr>
        <w:pStyle w:val="IPPArial"/>
        <w:keepNext/>
        <w:spacing w:after="120"/>
      </w:pPr>
      <w:r>
        <w:rPr>
          <w:rStyle w:val="PleaseReviewParagraphId"/>
          <w:b w:val="off"/>
          <w:i w:val="off"/>
        </w:rPr>
        <w:t>[395]</w:t>
      </w:r>
      <w:r>
        <w:rPr>
          <w:b/>
          <w:bCs/>
        </w:rPr>
        <w:t>Table 7.</w:t>
      </w:r>
      <w:r>
        <w:t xml:space="preserve"> Master mix composition, cycling parameters and amplicons for conventional PCR to target the nuclear locus of </w:t>
      </w:r>
      <w:r>
        <w:rPr>
          <w:i/>
          <w:iCs/>
        </w:rPr>
        <w:t>Heterobasidion annosum sensu lato</w:t>
      </w:r>
      <w:r>
        <w:t xml:space="preserve">, </w:t>
      </w:r>
      <w:r>
        <w:rPr>
          <w:i/>
          <w:iCs/>
        </w:rPr>
        <w:t xml:space="preserve">H. annosum sensu stricto </w:t>
      </w:r>
      <w:r>
        <w:t xml:space="preserve">and </w:t>
      </w:r>
      <w:r>
        <w:rPr>
          <w:i/>
          <w:iCs/>
        </w:rPr>
        <w:t>H. irregulare</w:t>
      </w:r>
    </w:p>
    <w:tbl>
      <w:tblPr>
        <w:tblStyle w:val="TableGrid"/>
        <w:tblW w:w="0" w:type="auto"/>
        <w:tblLook w:val="04A0" w:firstRow="1" w:lastRow="0" w:firstColumn="1" w:lastColumn="0" w:noHBand="0" w:noVBand="1"/>
      </w:tblPr>
      <w:tblGrid>
        <w:gridCol w:w="3823"/>
        <w:gridCol w:w="2268"/>
      </w:tblGrid>
      <w:tr w14:paraId="52EC0FF6" w14:textId="77777777">
        <w:tc>
          <w:tcPr>
            <w:tcW w:w="3823" w:type="dxa"/>
            <w:tcBorders>
              <w:left w:val="nil"/>
              <w:bottom w:val="single" w:color="auto" w:sz="4" w:space="0"/>
              <w:right w:val="nil"/>
            </w:tcBorders>
            <w:shd w:val="clear" w:color="auto" w:fill="BFBFBF" w:themeFill="background1" w:themeFillShade="BF"/>
          </w:tcPr>
          <w:p w14:paraId="5169708C" w14:textId="35BC54D2">
            <w:pPr>
              <w:pStyle w:val="IPPArialTable"/>
              <w:rPr>
                <w:b/>
                <w:bCs/>
              </w:rPr>
            </w:pPr>
            <w:r>
              <w:rPr>
                <w:rStyle w:val="PleaseReviewParagraphId"/>
                <w:b w:val="off"/>
                <w:i w:val="off"/>
              </w:rPr>
              <w:t>[396]</w:t>
            </w:r>
            <w:r>
              <w:rPr>
                <w:b/>
                <w:bCs/>
              </w:rPr>
              <w:t>Reagents</w:t>
            </w:r>
          </w:p>
        </w:tc>
        <w:tc>
          <w:tcPr>
            <w:tcW w:w="2268" w:type="dxa"/>
            <w:tcBorders>
              <w:left w:val="nil"/>
              <w:bottom w:val="single" w:color="auto" w:sz="4" w:space="0"/>
              <w:right w:val="nil"/>
            </w:tcBorders>
            <w:shd w:val="clear" w:color="auto" w:fill="BFBFBF" w:themeFill="background1" w:themeFillShade="BF"/>
          </w:tcPr>
          <w:p w14:paraId="550F9C4D" w14:textId="77777777">
            <w:pPr>
              <w:pStyle w:val="IPPArialTable"/>
              <w:rPr>
                <w:b/>
                <w:bCs/>
              </w:rPr>
            </w:pPr>
            <w:r>
              <w:rPr>
                <w:rStyle w:val="PleaseReviewParagraphId"/>
                <w:b w:val="off"/>
                <w:i w:val="off"/>
              </w:rPr>
              <w:t>[397]</w:t>
            </w:r>
            <w:r>
              <w:rPr>
                <w:b/>
                <w:bCs/>
              </w:rPr>
              <w:t>Final concentration</w:t>
            </w:r>
          </w:p>
        </w:tc>
      </w:tr>
      <w:tr w14:paraId="302CAB12" w14:textId="77777777">
        <w:tc>
          <w:tcPr>
            <w:tcW w:w="3823" w:type="dxa"/>
            <w:tcBorders>
              <w:left w:val="nil"/>
              <w:bottom w:val="nil"/>
              <w:right w:val="nil"/>
            </w:tcBorders>
          </w:tcPr>
          <w:p w14:paraId="452D2FFA" w14:textId="50367754">
            <w:pPr>
              <w:pStyle w:val="IPPArialTable"/>
            </w:pPr>
            <w:r>
              <w:rPr>
                <w:rStyle w:val="PleaseReviewParagraphId"/>
                <w:b w:val="off"/>
                <w:i w:val="off"/>
              </w:rPr>
              <w:t>[398]</w:t>
            </w:r>
            <w:r>
              <w:t>PCR-grade water</w:t>
            </w:r>
          </w:p>
        </w:tc>
        <w:tc>
          <w:tcPr>
            <w:tcW w:w="2268" w:type="dxa"/>
            <w:tcBorders>
              <w:left w:val="nil"/>
              <w:bottom w:val="nil"/>
              <w:right w:val="nil"/>
            </w:tcBorders>
          </w:tcPr>
          <w:p w14:paraId="71965AF7" w14:textId="37A34A05">
            <w:pPr>
              <w:pStyle w:val="IPPArialTable"/>
            </w:pPr>
            <w:r>
              <w:rPr>
                <w:rStyle w:val="PleaseReviewParagraphId"/>
                <w:b w:val="off"/>
                <w:i w:val="off"/>
              </w:rPr>
              <w:t>[399]</w:t>
            </w:r>
            <w:r>
              <w:rPr>
                <w:rFonts w:ascii="ArialMT" w:hAnsi="ArialMT" w:cs="ArialMT" w:eastAsiaTheme="minorHAnsi"/>
                <w:szCs w:val="20"/>
                <w:vertAlign w:val="superscript"/>
              </w:rPr>
              <w:t>†</w:t>
            </w:r>
          </w:p>
        </w:tc>
      </w:tr>
      <w:tr w14:paraId="5B7FE7A6" w14:textId="77777777">
        <w:tc>
          <w:tcPr>
            <w:tcW w:w="3823" w:type="dxa"/>
            <w:tcBorders>
              <w:top w:val="nil"/>
              <w:left w:val="nil"/>
              <w:bottom w:val="nil"/>
              <w:right w:val="nil"/>
            </w:tcBorders>
          </w:tcPr>
          <w:p w14:paraId="3CAB9666" w14:textId="6240E3D8">
            <w:pPr>
              <w:pStyle w:val="IPPArialTable"/>
            </w:pPr>
            <w:r>
              <w:rPr>
                <w:rStyle w:val="PleaseReviewParagraphId"/>
                <w:b w:val="off"/>
                <w:i w:val="off"/>
              </w:rPr>
              <w:t>[400]</w:t>
            </w:r>
            <w:r>
              <w:t>PCR buffer</w:t>
            </w:r>
          </w:p>
        </w:tc>
        <w:tc>
          <w:tcPr>
            <w:tcW w:w="2268" w:type="dxa"/>
            <w:tcBorders>
              <w:top w:val="nil"/>
              <w:left w:val="nil"/>
              <w:bottom w:val="nil"/>
              <w:right w:val="nil"/>
            </w:tcBorders>
          </w:tcPr>
          <w:p w14:paraId="1DB59E20" w14:textId="77777777">
            <w:pPr>
              <w:pStyle w:val="IPPArialTable"/>
            </w:pPr>
            <w:r>
              <w:rPr>
                <w:rStyle w:val="PleaseReviewParagraphId"/>
                <w:b w:val="off"/>
                <w:i w:val="off"/>
              </w:rPr>
              <w:t>[401]</w:t>
            </w:r>
            <w:r>
              <w:t>1×</w:t>
            </w:r>
          </w:p>
        </w:tc>
      </w:tr>
      <w:tr w14:paraId="0739AC01" w14:textId="77777777">
        <w:tc>
          <w:tcPr>
            <w:tcW w:w="3823" w:type="dxa"/>
            <w:tcBorders>
              <w:top w:val="nil"/>
              <w:left w:val="nil"/>
              <w:bottom w:val="nil"/>
              <w:right w:val="nil"/>
            </w:tcBorders>
          </w:tcPr>
          <w:p w14:paraId="54E6A3B8" w14:textId="03BE389C">
            <w:pPr>
              <w:pStyle w:val="IPPArialTable"/>
            </w:pPr>
            <w:r>
              <w:rPr>
                <w:rStyle w:val="PleaseReviewParagraphId"/>
                <w:b w:val="off"/>
                <w:i w:val="off"/>
              </w:rPr>
              <w:t>[402]</w:t>
            </w:r>
            <w:r>
              <w:t>MgCl</w:t>
            </w:r>
            <w:r>
              <w:rPr>
                <w:vertAlign w:val="subscript"/>
              </w:rPr>
              <w:t>2</w:t>
            </w:r>
          </w:p>
        </w:tc>
        <w:tc>
          <w:tcPr>
            <w:tcW w:w="2268" w:type="dxa"/>
            <w:tcBorders>
              <w:top w:val="nil"/>
              <w:left w:val="nil"/>
              <w:bottom w:val="nil"/>
              <w:right w:val="nil"/>
            </w:tcBorders>
          </w:tcPr>
          <w:p w14:paraId="2F23B092" w14:textId="08F416DA">
            <w:pPr>
              <w:pStyle w:val="IPPArialTable"/>
            </w:pPr>
            <w:r>
              <w:rPr>
                <w:rStyle w:val="PleaseReviewParagraphId"/>
                <w:b w:val="off"/>
                <w:i w:val="off"/>
              </w:rPr>
              <w:t>[403]</w:t>
            </w:r>
            <w:r>
              <w:t>1.5 mM</w:t>
            </w:r>
          </w:p>
        </w:tc>
      </w:tr>
      <w:tr w14:paraId="1CB90D0A" w14:textId="77777777">
        <w:tc>
          <w:tcPr>
            <w:tcW w:w="3823" w:type="dxa"/>
            <w:tcBorders>
              <w:top w:val="nil"/>
              <w:left w:val="nil"/>
              <w:bottom w:val="nil"/>
              <w:right w:val="nil"/>
            </w:tcBorders>
          </w:tcPr>
          <w:p w14:paraId="4A886978" w14:textId="72C552B0">
            <w:pPr>
              <w:pStyle w:val="IPPArialTable"/>
            </w:pPr>
            <w:r>
              <w:rPr>
                <w:rStyle w:val="PleaseReviewParagraphId"/>
                <w:b w:val="off"/>
                <w:i w:val="off"/>
              </w:rPr>
              <w:t>[404]</w:t>
            </w:r>
            <w:r>
              <w:t>dNTPs</w:t>
            </w:r>
          </w:p>
        </w:tc>
        <w:tc>
          <w:tcPr>
            <w:tcW w:w="2268" w:type="dxa"/>
            <w:tcBorders>
              <w:top w:val="nil"/>
              <w:left w:val="nil"/>
              <w:bottom w:val="nil"/>
              <w:right w:val="nil"/>
            </w:tcBorders>
          </w:tcPr>
          <w:p w14:paraId="6E4308E4" w14:textId="171D4DB0">
            <w:pPr>
              <w:pStyle w:val="IPPArialTable"/>
            </w:pPr>
            <w:r>
              <w:rPr>
                <w:rStyle w:val="PleaseReviewParagraphId"/>
                <w:b w:val="off"/>
                <w:i w:val="off"/>
              </w:rPr>
              <w:t>[405]</w:t>
            </w:r>
            <w:r>
              <w:t>0.2 mM</w:t>
            </w:r>
          </w:p>
        </w:tc>
      </w:tr>
      <w:tr w14:paraId="72AE346D" w14:textId="77777777">
        <w:tc>
          <w:tcPr>
            <w:tcW w:w="3823" w:type="dxa"/>
            <w:tcBorders>
              <w:top w:val="nil"/>
              <w:left w:val="nil"/>
              <w:bottom w:val="nil"/>
              <w:right w:val="nil"/>
            </w:tcBorders>
          </w:tcPr>
          <w:p w14:paraId="0235F601" w14:textId="7DA3BCDA">
            <w:pPr>
              <w:pStyle w:val="IPPArialTable"/>
            </w:pPr>
            <w:r>
              <w:rPr>
                <w:rStyle w:val="PleaseReviewParagraphId"/>
                <w:b w:val="off"/>
                <w:i w:val="off"/>
              </w:rPr>
              <w:t>[406]</w:t>
            </w:r>
            <w:r>
              <w:t>Primer EFaHaFor (forward)</w:t>
            </w:r>
          </w:p>
        </w:tc>
        <w:tc>
          <w:tcPr>
            <w:tcW w:w="2268" w:type="dxa"/>
            <w:tcBorders>
              <w:top w:val="nil"/>
              <w:left w:val="nil"/>
              <w:bottom w:val="nil"/>
              <w:right w:val="nil"/>
            </w:tcBorders>
          </w:tcPr>
          <w:p w14:paraId="6B2B2EC5" w14:textId="029E91CB">
            <w:pPr>
              <w:pStyle w:val="IPPArialTable"/>
            </w:pPr>
            <w:r>
              <w:rPr>
                <w:rStyle w:val="PleaseReviewParagraphId"/>
                <w:b w:val="off"/>
                <w:i w:val="off"/>
              </w:rPr>
              <w:t>[407]</w:t>
            </w:r>
            <w:r>
              <w:t>0.5 µM</w:t>
            </w:r>
          </w:p>
        </w:tc>
      </w:tr>
      <w:tr w14:paraId="22D19578" w14:textId="77777777">
        <w:tc>
          <w:tcPr>
            <w:tcW w:w="3823" w:type="dxa"/>
            <w:tcBorders>
              <w:top w:val="nil"/>
              <w:left w:val="nil"/>
              <w:bottom w:val="nil"/>
              <w:right w:val="nil"/>
            </w:tcBorders>
          </w:tcPr>
          <w:p w14:paraId="60915043" w14:textId="73CCDF18">
            <w:pPr>
              <w:pStyle w:val="IPPArialTable"/>
            </w:pPr>
            <w:r>
              <w:rPr>
                <w:rStyle w:val="PleaseReviewParagraphId"/>
                <w:b w:val="off"/>
                <w:i w:val="off"/>
              </w:rPr>
              <w:t>[408]</w:t>
            </w:r>
            <w:r>
              <w:t>Primer EFaNAPFor or EFaEuPFor (forward)</w:t>
            </w:r>
          </w:p>
        </w:tc>
        <w:tc>
          <w:tcPr>
            <w:tcW w:w="2268" w:type="dxa"/>
            <w:tcBorders>
              <w:top w:val="nil"/>
              <w:left w:val="nil"/>
              <w:bottom w:val="nil"/>
              <w:right w:val="nil"/>
            </w:tcBorders>
          </w:tcPr>
          <w:p w14:paraId="41C0F707" w14:textId="2D6DE953">
            <w:pPr>
              <w:pStyle w:val="IPPArialTable"/>
            </w:pPr>
            <w:r>
              <w:rPr>
                <w:rStyle w:val="PleaseReviewParagraphId"/>
                <w:b w:val="off"/>
                <w:i w:val="off"/>
              </w:rPr>
              <w:t>[409]</w:t>
            </w:r>
            <w:r>
              <w:t>0.5 µM</w:t>
            </w:r>
          </w:p>
        </w:tc>
      </w:tr>
      <w:tr w14:paraId="6F589733" w14:textId="77777777">
        <w:tc>
          <w:tcPr>
            <w:tcW w:w="3823" w:type="dxa"/>
            <w:tcBorders>
              <w:top w:val="nil"/>
              <w:left w:val="nil"/>
              <w:bottom w:val="nil"/>
              <w:right w:val="nil"/>
            </w:tcBorders>
          </w:tcPr>
          <w:p w14:paraId="7DF72B5E" w14:textId="77777777">
            <w:pPr>
              <w:pStyle w:val="IPPArialTable"/>
            </w:pPr>
            <w:r>
              <w:rPr>
                <w:rStyle w:val="PleaseReviewParagraphId"/>
                <w:b w:val="off"/>
                <w:i w:val="off"/>
              </w:rPr>
              <w:t>[410]</w:t>
            </w:r>
            <w:r>
              <w:t>Primer EFaHaRev (reverse)</w:t>
            </w:r>
          </w:p>
        </w:tc>
        <w:tc>
          <w:tcPr>
            <w:tcW w:w="2268" w:type="dxa"/>
            <w:tcBorders>
              <w:top w:val="nil"/>
              <w:left w:val="nil"/>
              <w:bottom w:val="nil"/>
              <w:right w:val="nil"/>
            </w:tcBorders>
          </w:tcPr>
          <w:p w14:paraId="0E47B0DC" w14:textId="77777777">
            <w:pPr>
              <w:pStyle w:val="IPPArialTable"/>
            </w:pPr>
            <w:r>
              <w:rPr>
                <w:rStyle w:val="PleaseReviewParagraphId"/>
                <w:b w:val="off"/>
                <w:i w:val="off"/>
              </w:rPr>
              <w:t>[411]</w:t>
            </w:r>
            <w:r>
              <w:t>0.5 µM</w:t>
            </w:r>
          </w:p>
        </w:tc>
      </w:tr>
      <w:tr w14:paraId="2B387623" w14:textId="77777777">
        <w:tc>
          <w:tcPr>
            <w:tcW w:w="3823" w:type="dxa"/>
            <w:tcBorders>
              <w:top w:val="nil"/>
              <w:left w:val="nil"/>
              <w:bottom w:val="single" w:color="auto" w:sz="4" w:space="0"/>
              <w:right w:val="nil"/>
            </w:tcBorders>
          </w:tcPr>
          <w:p w14:paraId="1C755F6E" w14:textId="39556C8D">
            <w:pPr>
              <w:pStyle w:val="IPPArialTable"/>
            </w:pPr>
            <w:r>
              <w:rPr>
                <w:rStyle w:val="PleaseReviewParagraphId"/>
                <w:b w:val="off"/>
                <w:i w:val="off"/>
              </w:rPr>
              <w:t>[412]</w:t>
            </w:r>
            <w:r>
              <w:t>DNA polymerase</w:t>
            </w:r>
          </w:p>
        </w:tc>
        <w:tc>
          <w:tcPr>
            <w:tcW w:w="2268" w:type="dxa"/>
            <w:tcBorders>
              <w:top w:val="nil"/>
              <w:left w:val="nil"/>
              <w:bottom w:val="single" w:color="auto" w:sz="4" w:space="0"/>
              <w:right w:val="nil"/>
            </w:tcBorders>
          </w:tcPr>
          <w:p w14:paraId="5DDABAAD" w14:textId="6C9CE1F4">
            <w:pPr>
              <w:pStyle w:val="IPPArialTable"/>
            </w:pPr>
            <w:r>
              <w:rPr>
                <w:rStyle w:val="PleaseReviewParagraphId"/>
                <w:b w:val="off"/>
                <w:i w:val="off"/>
              </w:rPr>
              <w:t>[413]</w:t>
            </w:r>
            <w:r>
              <w:t>0.625 U</w:t>
            </w:r>
          </w:p>
        </w:tc>
      </w:tr>
      <w:tr w14:paraId="1CC796BA" w14:textId="77777777">
        <w:tc>
          <w:tcPr>
            <w:tcW w:w="3823" w:type="dxa"/>
            <w:tcBorders>
              <w:top w:val="single" w:color="auto" w:sz="4" w:space="0"/>
              <w:left w:val="nil"/>
              <w:bottom w:val="single" w:color="auto" w:sz="4" w:space="0"/>
              <w:right w:val="nil"/>
            </w:tcBorders>
          </w:tcPr>
          <w:p w14:paraId="3018D6C9" w14:textId="158478A0">
            <w:pPr>
              <w:pStyle w:val="IPPArialTable"/>
            </w:pPr>
            <w:r>
              <w:rPr>
                <w:rStyle w:val="PleaseReviewParagraphId"/>
                <w:b w:val="off"/>
                <w:i w:val="off"/>
              </w:rPr>
              <w:t>[414]</w:t>
            </w:r>
            <w:r>
              <w:t>DNA (volume)</w:t>
            </w:r>
          </w:p>
        </w:tc>
        <w:tc>
          <w:tcPr>
            <w:tcW w:w="2268" w:type="dxa"/>
            <w:tcBorders>
              <w:top w:val="single" w:color="auto" w:sz="4" w:space="0"/>
              <w:left w:val="nil"/>
              <w:bottom w:val="single" w:color="auto" w:sz="4" w:space="0"/>
              <w:right w:val="nil"/>
            </w:tcBorders>
          </w:tcPr>
          <w:p w14:paraId="43F4AE18" w14:textId="4B23BF54">
            <w:pPr>
              <w:pStyle w:val="IPPArialTable"/>
            </w:pPr>
            <w:r>
              <w:rPr>
                <w:rStyle w:val="PleaseReviewParagraphId"/>
                <w:b w:val="off"/>
                <w:i w:val="off"/>
              </w:rPr>
              <w:t>[415]</w:t>
            </w:r>
            <w:r>
              <w:t>2 µL</w:t>
            </w:r>
          </w:p>
        </w:tc>
      </w:tr>
      <w:tr w14:paraId="5E44062C" w14:textId="77777777">
        <w:tc>
          <w:tcPr>
            <w:tcW w:w="6091" w:type="dxa"/>
            <w:gridSpan w:val="2"/>
            <w:tcBorders>
              <w:left w:val="nil"/>
              <w:bottom w:val="single" w:color="auto" w:sz="4" w:space="0"/>
              <w:right w:val="nil"/>
            </w:tcBorders>
            <w:shd w:val="clear" w:color="auto" w:fill="BFBFBF" w:themeFill="background1" w:themeFillShade="BF"/>
          </w:tcPr>
          <w:p w14:paraId="2FEE2667" w14:textId="77777777">
            <w:pPr>
              <w:pStyle w:val="IPPArialTable"/>
              <w:rPr>
                <w:b/>
                <w:bCs/>
              </w:rPr>
            </w:pPr>
            <w:r>
              <w:rPr>
                <w:rStyle w:val="PleaseReviewParagraphId"/>
                <w:b w:val="off"/>
                <w:i w:val="off"/>
              </w:rPr>
              <w:t>[416]</w:t>
            </w:r>
            <w:r>
              <w:rPr>
                <w:b/>
                <w:bCs/>
              </w:rPr>
              <w:t>Cycling parameters</w:t>
            </w:r>
          </w:p>
        </w:tc>
      </w:tr>
      <w:tr w14:paraId="331BD1BC" w14:textId="77777777">
        <w:tc>
          <w:tcPr>
            <w:tcW w:w="3823" w:type="dxa"/>
            <w:tcBorders>
              <w:top w:val="single" w:color="auto" w:sz="4" w:space="0"/>
              <w:left w:val="nil"/>
              <w:bottom w:val="nil"/>
              <w:right w:val="nil"/>
            </w:tcBorders>
          </w:tcPr>
          <w:p w14:paraId="72ADAE22" w14:textId="77777777">
            <w:pPr>
              <w:pStyle w:val="IPPArialTable"/>
            </w:pPr>
            <w:r>
              <w:rPr>
                <w:rStyle w:val="PleaseReviewParagraphId"/>
                <w:b w:val="off"/>
                <w:i w:val="off"/>
              </w:rPr>
              <w:t>[417]</w:t>
            </w:r>
            <w:r>
              <w:t>Initial denaturation</w:t>
            </w:r>
          </w:p>
        </w:tc>
        <w:tc>
          <w:tcPr>
            <w:tcW w:w="2268" w:type="dxa"/>
            <w:tcBorders>
              <w:top w:val="single" w:color="auto" w:sz="4" w:space="0"/>
              <w:left w:val="nil"/>
              <w:bottom w:val="nil"/>
              <w:right w:val="nil"/>
            </w:tcBorders>
          </w:tcPr>
          <w:p w14:paraId="0BFE3AA0" w14:textId="356FD348">
            <w:pPr>
              <w:pStyle w:val="IPPArialTable"/>
            </w:pPr>
            <w:r>
              <w:rPr>
                <w:rStyle w:val="PleaseReviewParagraphId"/>
                <w:b w:val="off"/>
                <w:i w:val="off"/>
              </w:rPr>
              <w:t>[418]</w:t>
            </w:r>
            <w:r>
              <w:t>94 °C for 5 min</w:t>
            </w:r>
          </w:p>
        </w:tc>
      </w:tr>
      <w:tr w14:paraId="457A1AAD" w14:textId="77777777">
        <w:tc>
          <w:tcPr>
            <w:tcW w:w="3823" w:type="dxa"/>
            <w:tcBorders>
              <w:top w:val="nil"/>
              <w:left w:val="nil"/>
              <w:bottom w:val="nil"/>
              <w:right w:val="nil"/>
            </w:tcBorders>
          </w:tcPr>
          <w:p w14:paraId="4D49E952" w14:textId="77777777">
            <w:pPr>
              <w:pStyle w:val="IPPArialTable"/>
            </w:pPr>
            <w:r>
              <w:rPr>
                <w:rStyle w:val="PleaseReviewParagraphId"/>
                <w:b w:val="off"/>
                <w:i w:val="off"/>
              </w:rPr>
              <w:t>[419]</w:t>
            </w:r>
            <w:r>
              <w:t>Numbers of cycles</w:t>
            </w:r>
          </w:p>
        </w:tc>
        <w:tc>
          <w:tcPr>
            <w:tcW w:w="2268" w:type="dxa"/>
            <w:tcBorders>
              <w:top w:val="nil"/>
              <w:left w:val="nil"/>
              <w:bottom w:val="nil"/>
              <w:right w:val="nil"/>
            </w:tcBorders>
          </w:tcPr>
          <w:p w14:paraId="2788C855" w14:textId="43C2201D">
            <w:pPr>
              <w:pStyle w:val="IPPArialTable"/>
            </w:pPr>
            <w:r>
              <w:rPr>
                <w:rStyle w:val="PleaseReviewParagraphId"/>
                <w:b w:val="off"/>
                <w:i w:val="off"/>
              </w:rPr>
              <w:t>[420]</w:t>
            </w:r>
            <w:r>
              <w:t>35</w:t>
            </w:r>
          </w:p>
        </w:tc>
      </w:tr>
      <w:tr w14:paraId="51D583AA" w14:textId="77777777">
        <w:tc>
          <w:tcPr>
            <w:tcW w:w="3823" w:type="dxa"/>
            <w:tcBorders>
              <w:top w:val="nil"/>
              <w:left w:val="nil"/>
              <w:bottom w:val="nil"/>
              <w:right w:val="nil"/>
            </w:tcBorders>
          </w:tcPr>
          <w:p w14:paraId="785E48B8" w14:textId="77777777">
            <w:pPr>
              <w:pStyle w:val="IPPArialTable"/>
              <w:numPr>
                <w:ilvl w:val="0"/>
                <w:numId w:val="53"/>
              </w:numPr>
              <w:ind w:left="284" w:hanging="142"/>
            </w:pPr>
            <w:r>
              <w:rPr>
                <w:rStyle w:val="PleaseReviewParagraphId"/>
                <w:b w:val="off"/>
                <w:i w:val="off"/>
              </w:rPr>
              <w:t>[421]</w:t>
            </w:r>
            <w:r>
              <w:t>Denaturation</w:t>
            </w:r>
          </w:p>
        </w:tc>
        <w:tc>
          <w:tcPr>
            <w:tcW w:w="2268" w:type="dxa"/>
            <w:tcBorders>
              <w:top w:val="nil"/>
              <w:left w:val="nil"/>
              <w:bottom w:val="nil"/>
              <w:right w:val="nil"/>
            </w:tcBorders>
          </w:tcPr>
          <w:p w14:paraId="5418ADEF" w14:textId="1E093BDD">
            <w:pPr>
              <w:pStyle w:val="IPPArialTable"/>
            </w:pPr>
            <w:r>
              <w:rPr>
                <w:rStyle w:val="PleaseReviewParagraphId"/>
                <w:b w:val="off"/>
                <w:i w:val="off"/>
              </w:rPr>
              <w:t>[422]</w:t>
            </w:r>
            <w:r>
              <w:t>95 °C for 45 s</w:t>
            </w:r>
          </w:p>
        </w:tc>
      </w:tr>
      <w:tr w14:paraId="3B539DEC" w14:textId="77777777">
        <w:tc>
          <w:tcPr>
            <w:tcW w:w="3823" w:type="dxa"/>
            <w:tcBorders>
              <w:top w:val="nil"/>
              <w:left w:val="nil"/>
              <w:bottom w:val="nil"/>
              <w:right w:val="nil"/>
            </w:tcBorders>
          </w:tcPr>
          <w:p w14:paraId="0728E26F" w14:textId="3F660DF7">
            <w:pPr>
              <w:pStyle w:val="IPPArialTable"/>
              <w:numPr>
                <w:ilvl w:val="0"/>
                <w:numId w:val="53"/>
              </w:numPr>
              <w:ind w:left="284" w:hanging="142"/>
            </w:pPr>
            <w:r>
              <w:rPr>
                <w:rStyle w:val="PleaseReviewParagraphId"/>
                <w:b w:val="off"/>
                <w:i w:val="off"/>
              </w:rPr>
              <w:t>[423]</w:t>
            </w:r>
            <w:r>
              <w:t>Annealing</w:t>
            </w:r>
          </w:p>
        </w:tc>
        <w:tc>
          <w:tcPr>
            <w:tcW w:w="2268" w:type="dxa"/>
            <w:tcBorders>
              <w:top w:val="nil"/>
              <w:left w:val="nil"/>
              <w:bottom w:val="nil"/>
              <w:right w:val="nil"/>
            </w:tcBorders>
          </w:tcPr>
          <w:p w14:paraId="46836F5A" w14:textId="634A446E">
            <w:pPr>
              <w:pStyle w:val="IPPArialTable"/>
            </w:pPr>
            <w:r>
              <w:rPr>
                <w:rStyle w:val="PleaseReviewParagraphId"/>
                <w:b w:val="off"/>
                <w:i w:val="off"/>
              </w:rPr>
              <w:t>[424]</w:t>
            </w:r>
            <w:r>
              <w:t>62 °C for 45 s</w:t>
            </w:r>
          </w:p>
        </w:tc>
      </w:tr>
      <w:tr w14:paraId="74E04A51" w14:textId="77777777">
        <w:tc>
          <w:tcPr>
            <w:tcW w:w="3823" w:type="dxa"/>
            <w:tcBorders>
              <w:top w:val="nil"/>
              <w:left w:val="nil"/>
              <w:bottom w:val="nil"/>
              <w:right w:val="nil"/>
            </w:tcBorders>
          </w:tcPr>
          <w:p w14:paraId="6EC77F47" w14:textId="7FEB5BE6">
            <w:pPr>
              <w:pStyle w:val="IPPArialTable"/>
              <w:numPr>
                <w:ilvl w:val="0"/>
                <w:numId w:val="53"/>
              </w:numPr>
              <w:ind w:left="284" w:hanging="142"/>
            </w:pPr>
            <w:r>
              <w:rPr>
                <w:rStyle w:val="PleaseReviewParagraphId"/>
                <w:b w:val="off"/>
                <w:i w:val="off"/>
              </w:rPr>
              <w:t>[425]</w:t>
            </w:r>
            <w:r>
              <w:t>Elongation</w:t>
            </w:r>
          </w:p>
        </w:tc>
        <w:tc>
          <w:tcPr>
            <w:tcW w:w="2268" w:type="dxa"/>
            <w:tcBorders>
              <w:top w:val="nil"/>
              <w:left w:val="nil"/>
              <w:bottom w:val="nil"/>
              <w:right w:val="nil"/>
            </w:tcBorders>
          </w:tcPr>
          <w:p w14:paraId="766AA8F2" w14:textId="3330242D">
            <w:pPr>
              <w:pStyle w:val="IPPArialTable"/>
            </w:pPr>
            <w:r>
              <w:rPr>
                <w:rStyle w:val="PleaseReviewParagraphId"/>
                <w:b w:val="off"/>
                <w:i w:val="off"/>
              </w:rPr>
              <w:t>[426]</w:t>
            </w:r>
            <w:r>
              <w:t>72 °C for 45 s</w:t>
            </w:r>
          </w:p>
        </w:tc>
      </w:tr>
      <w:tr w14:paraId="4A3D0F52" w14:textId="77777777">
        <w:tc>
          <w:tcPr>
            <w:tcW w:w="3823" w:type="dxa"/>
            <w:tcBorders>
              <w:top w:val="nil"/>
              <w:left w:val="nil"/>
              <w:bottom w:val="single" w:color="auto" w:sz="4" w:space="0"/>
              <w:right w:val="nil"/>
            </w:tcBorders>
          </w:tcPr>
          <w:p w14:paraId="1864C408" w14:textId="1A0FED80">
            <w:pPr>
              <w:pStyle w:val="IPPArialTable"/>
            </w:pPr>
            <w:r>
              <w:rPr>
                <w:rStyle w:val="PleaseReviewParagraphId"/>
                <w:b w:val="off"/>
                <w:i w:val="off"/>
              </w:rPr>
              <w:t>[427]</w:t>
            </w:r>
            <w:r>
              <w:t>Final elongation</w:t>
            </w:r>
          </w:p>
        </w:tc>
        <w:tc>
          <w:tcPr>
            <w:tcW w:w="2268" w:type="dxa"/>
            <w:tcBorders>
              <w:top w:val="nil"/>
              <w:left w:val="nil"/>
              <w:bottom w:val="single" w:color="auto" w:sz="4" w:space="0"/>
              <w:right w:val="nil"/>
            </w:tcBorders>
          </w:tcPr>
          <w:p w14:paraId="6CC12F36" w14:textId="58E8A19F">
            <w:pPr>
              <w:pStyle w:val="IPPArialTable"/>
            </w:pPr>
            <w:r>
              <w:rPr>
                <w:rStyle w:val="PleaseReviewParagraphId"/>
                <w:b w:val="off"/>
                <w:i w:val="off"/>
              </w:rPr>
              <w:t>[428]</w:t>
            </w:r>
            <w:r>
              <w:t>72 °C for 7 min</w:t>
            </w:r>
          </w:p>
        </w:tc>
      </w:tr>
      <w:tr w14:paraId="1443B164" w14:textId="77777777">
        <w:tc>
          <w:tcPr>
            <w:tcW w:w="6091" w:type="dxa"/>
            <w:gridSpan w:val="2"/>
            <w:tcBorders>
              <w:left w:val="nil"/>
              <w:bottom w:val="single" w:color="auto" w:sz="4" w:space="0"/>
              <w:right w:val="nil"/>
            </w:tcBorders>
            <w:shd w:val="clear" w:color="auto" w:fill="BFBFBF" w:themeFill="background1" w:themeFillShade="BF"/>
          </w:tcPr>
          <w:p w14:paraId="11DE327D" w14:textId="77777777">
            <w:pPr>
              <w:pStyle w:val="IPPArialTable"/>
              <w:rPr>
                <w:b/>
                <w:bCs/>
              </w:rPr>
            </w:pPr>
            <w:r>
              <w:rPr>
                <w:rStyle w:val="PleaseReviewParagraphId"/>
                <w:b w:val="off"/>
                <w:i w:val="off"/>
              </w:rPr>
              <w:t>[429]</w:t>
            </w:r>
            <w:r>
              <w:rPr>
                <w:b/>
                <w:bCs/>
              </w:rPr>
              <w:t>Expected amplicons</w:t>
            </w:r>
          </w:p>
        </w:tc>
      </w:tr>
      <w:tr w14:paraId="20F010CD" w14:textId="77777777">
        <w:tc>
          <w:tcPr>
            <w:tcW w:w="3823" w:type="dxa"/>
            <w:tcBorders>
              <w:top w:val="nil"/>
              <w:left w:val="nil"/>
              <w:bottom w:val="nil"/>
              <w:right w:val="nil"/>
            </w:tcBorders>
          </w:tcPr>
          <w:p w14:paraId="7F5EC272" w14:textId="33C5EBF3">
            <w:pPr>
              <w:pStyle w:val="IPPArialTable"/>
              <w:rPr>
                <w:i/>
              </w:rPr>
            </w:pPr>
            <w:r>
              <w:rPr>
                <w:rStyle w:val="PleaseReviewParagraphId"/>
                <w:b w:val="off"/>
                <w:i w:val="off"/>
              </w:rPr>
              <w:t>[430]</w:t>
            </w:r>
            <w:r>
              <w:rPr>
                <w:i/>
              </w:rPr>
              <w:t>Heterobasidion annosum sensu lato</w:t>
            </w:r>
          </w:p>
        </w:tc>
        <w:tc>
          <w:tcPr>
            <w:tcW w:w="2268" w:type="dxa"/>
            <w:tcBorders>
              <w:top w:val="nil"/>
              <w:left w:val="nil"/>
              <w:bottom w:val="nil"/>
              <w:right w:val="nil"/>
            </w:tcBorders>
          </w:tcPr>
          <w:p w14:paraId="71569070" w14:textId="4AF992DB">
            <w:pPr>
              <w:pStyle w:val="IPPArialTable"/>
            </w:pPr>
            <w:r>
              <w:rPr>
                <w:rStyle w:val="PleaseReviewParagraphId"/>
                <w:b w:val="off"/>
                <w:i w:val="off"/>
              </w:rPr>
              <w:t>[431]</w:t>
            </w:r>
            <w:r>
              <w:t>169 bp</w:t>
            </w:r>
          </w:p>
        </w:tc>
      </w:tr>
      <w:tr w14:paraId="1F885138" w14:textId="77777777">
        <w:tc>
          <w:tcPr>
            <w:tcW w:w="3823" w:type="dxa"/>
            <w:tcBorders>
              <w:top w:val="nil"/>
              <w:left w:val="nil"/>
              <w:bottom w:val="nil"/>
              <w:right w:val="nil"/>
            </w:tcBorders>
          </w:tcPr>
          <w:p w14:paraId="2B5A8EB0" w14:textId="6286DF2F">
            <w:pPr>
              <w:pStyle w:val="IPPArialTable"/>
              <w:rPr>
                <w:i/>
              </w:rPr>
            </w:pPr>
            <w:r>
              <w:rPr>
                <w:rStyle w:val="PleaseReviewParagraphId"/>
                <w:b w:val="off"/>
                <w:i w:val="off"/>
              </w:rPr>
              <w:t>[432]</w:t>
            </w:r>
            <w:r>
              <w:rPr>
                <w:i/>
              </w:rPr>
              <w:t>Heterobasidion annosum sensu stricto</w:t>
            </w:r>
          </w:p>
        </w:tc>
        <w:tc>
          <w:tcPr>
            <w:tcW w:w="2268" w:type="dxa"/>
            <w:tcBorders>
              <w:top w:val="nil"/>
              <w:left w:val="nil"/>
              <w:bottom w:val="nil"/>
              <w:right w:val="nil"/>
            </w:tcBorders>
          </w:tcPr>
          <w:p w14:paraId="4C20C091" w14:textId="6B2CFD1E">
            <w:pPr>
              <w:pStyle w:val="IPPArialTable"/>
            </w:pPr>
            <w:r>
              <w:rPr>
                <w:rStyle w:val="PleaseReviewParagraphId"/>
                <w:b w:val="off"/>
                <w:i w:val="off"/>
              </w:rPr>
              <w:t>[433]</w:t>
            </w:r>
            <w:r>
              <w:t>69 bp</w:t>
            </w:r>
          </w:p>
        </w:tc>
      </w:tr>
      <w:tr w14:paraId="3D8C3942" w14:textId="77777777">
        <w:tc>
          <w:tcPr>
            <w:tcW w:w="3823" w:type="dxa"/>
            <w:tcBorders>
              <w:top w:val="nil"/>
              <w:left w:val="nil"/>
              <w:bottom w:val="single" w:color="auto" w:sz="4" w:space="0"/>
              <w:right w:val="nil"/>
            </w:tcBorders>
          </w:tcPr>
          <w:p w14:paraId="4BA0A351" w14:textId="37F74915">
            <w:pPr>
              <w:pStyle w:val="IPPArialTable"/>
              <w:rPr>
                <w:i/>
              </w:rPr>
            </w:pPr>
            <w:r>
              <w:rPr>
                <w:rStyle w:val="PleaseReviewParagraphId"/>
                <w:b w:val="off"/>
                <w:i w:val="off"/>
              </w:rPr>
              <w:t>[434]</w:t>
            </w:r>
            <w:r>
              <w:rPr>
                <w:i/>
              </w:rPr>
              <w:t>Heterobasidion irregulare</w:t>
            </w:r>
          </w:p>
        </w:tc>
        <w:tc>
          <w:tcPr>
            <w:tcW w:w="2268" w:type="dxa"/>
            <w:tcBorders>
              <w:top w:val="nil"/>
              <w:left w:val="nil"/>
              <w:bottom w:val="single" w:color="auto" w:sz="4" w:space="0"/>
              <w:right w:val="nil"/>
            </w:tcBorders>
          </w:tcPr>
          <w:p w14:paraId="6CA62953" w14:textId="24BB74BC">
            <w:pPr>
              <w:pStyle w:val="IPPArialTable"/>
            </w:pPr>
            <w:r>
              <w:rPr>
                <w:rStyle w:val="PleaseReviewParagraphId"/>
                <w:b w:val="off"/>
                <w:i w:val="off"/>
              </w:rPr>
              <w:t>[435]</w:t>
            </w:r>
            <w:r>
              <w:t>71 bp</w:t>
            </w:r>
          </w:p>
        </w:tc>
      </w:tr>
    </w:tbl>
    <w:p w14:paraId="711E6578" w14:textId="55A14A0D">
      <w:pPr>
        <w:pStyle w:val="IPPArialFootnote"/>
      </w:pPr>
      <w:r>
        <w:rPr>
          <w:rStyle w:val="PleaseReviewParagraphId"/>
          <w:b w:val="off"/>
          <w:i w:val="off"/>
        </w:rPr>
        <w:t>[436]</w:t>
      </w:r>
      <w:r>
        <w:rPr>
          <w:rFonts w:ascii="ArialMT" w:hAnsi="ArialMT" w:cs="ArialMT" w:eastAsiaTheme="minorHAnsi"/>
          <w:i/>
          <w:iCs/>
        </w:rPr>
        <w:t xml:space="preserve">Notes: </w:t>
      </w:r>
      <w:r>
        <w:rPr>
          <w:rFonts w:ascii="ArialMT" w:hAnsi="ArialMT" w:cs="ArialMT" w:eastAsiaTheme="minorHAnsi"/>
          <w:vertAlign w:val="superscript"/>
        </w:rPr>
        <w:t xml:space="preserve">† </w:t>
      </w:r>
      <w:r>
        <w:t>For a final reaction volume of 25 µL.</w:t>
      </w:r>
    </w:p>
    <w:p w14:paraId="0CFC6ECB" w14:textId="1C573966">
      <w:pPr>
        <w:pStyle w:val="IPPArialFootnote"/>
      </w:pPr>
      <w:r>
        <w:rPr>
          <w:rStyle w:val="PleaseReviewParagraphId"/>
          <w:b w:val="off"/>
          <w:i w:val="off"/>
        </w:rPr>
        <w:t>[437]</w:t>
      </w:r>
      <w:r>
        <w:t>bp, base pairs; PCR, polymerase chain reaction.</w:t>
      </w:r>
    </w:p>
    <w:p w14:paraId="0F9F33BE" w14:textId="1A212C58">
      <w:pPr>
        <w:pStyle w:val="IPPArialFootnote"/>
        <w:spacing w:after="180"/>
        <w:rPr>
          <w:i/>
          <w:iCs/>
        </w:rPr>
      </w:pPr>
      <w:r>
        <w:rPr>
          <w:rStyle w:val="PleaseReviewParagraphId"/>
          <w:b w:val="off"/>
          <w:i w:val="off"/>
        </w:rPr>
        <w:t>[438]</w:t>
      </w:r>
      <w:r>
        <w:rPr>
          <w:i/>
          <w:iCs/>
        </w:rPr>
        <w:lastRenderedPageBreak/>
        <w:t xml:space="preserve">Source: </w:t>
      </w:r>
      <w:r>
        <w:t xml:space="preserve">Gonthier, P., Nicolotti, G., Linzer, R., Guglielmo, F. &amp; Garbelotto, M. 2007. Invasion of European pine stands by a North American forest pathogen and its hybridization with a native interfertile taxon. </w:t>
      </w:r>
      <w:r>
        <w:rPr>
          <w:i/>
        </w:rPr>
        <w:t>Molecular Ecology</w:t>
      </w:r>
      <w:r>
        <w:t xml:space="preserve">, 16: 1389–1400. </w:t>
      </w:r>
      <w:hyperlink w:history="1" r:id="rId26">
        <w:r>
          <w:rPr>
            <w:rStyle w:val="Hyperlink"/>
          </w:rPr>
          <w:t>https://doi.org/10.1111/j.1365-294X.2007.03250.x</w:t>
        </w:r>
      </w:hyperlink>
    </w:p>
    <w:p w14:paraId="4EF20A94" w14:textId="06CF3A99">
      <w:pPr>
        <w:pStyle w:val="IPPArial"/>
        <w:keepNext/>
        <w:spacing w:after="120"/>
      </w:pPr>
      <w:r>
        <w:rPr>
          <w:rStyle w:val="PleaseReviewParagraphId"/>
          <w:b w:val="off"/>
          <w:i w:val="off"/>
        </w:rPr>
        <w:t>[439]</w:t>
      </w:r>
      <w:r>
        <w:rPr>
          <w:b/>
          <w:bCs/>
        </w:rPr>
        <w:t>Table 8.</w:t>
      </w:r>
      <w:r>
        <w:t xml:space="preserve"> Master mix composition, cycling parameters and amplicons for conventional PCR to target the mitochondrial locus of </w:t>
      </w:r>
      <w:r>
        <w:rPr>
          <w:i/>
          <w:iCs/>
        </w:rPr>
        <w:t>Heterobasidion annosum sensu lato</w:t>
      </w:r>
      <w:r>
        <w:t xml:space="preserve">, </w:t>
      </w:r>
      <w:r>
        <w:rPr>
          <w:i/>
          <w:iCs/>
        </w:rPr>
        <w:t xml:space="preserve">H. annosum sensu stricto </w:t>
      </w:r>
      <w:r>
        <w:t xml:space="preserve">and </w:t>
      </w:r>
      <w:r>
        <w:rPr>
          <w:i/>
          <w:iCs/>
        </w:rPr>
        <w:t>H. irregulare</w:t>
      </w:r>
    </w:p>
    <w:tbl>
      <w:tblPr>
        <w:tblStyle w:val="TableGrid"/>
        <w:tblW w:w="0" w:type="auto"/>
        <w:tblLook w:val="04A0" w:firstRow="1" w:lastRow="0" w:firstColumn="1" w:lastColumn="0" w:noHBand="0" w:noVBand="1"/>
      </w:tblPr>
      <w:tblGrid>
        <w:gridCol w:w="3823"/>
        <w:gridCol w:w="2268"/>
      </w:tblGrid>
      <w:tr w14:paraId="11737B8E" w14:textId="77777777">
        <w:tc>
          <w:tcPr>
            <w:tcW w:w="3823" w:type="dxa"/>
            <w:tcBorders>
              <w:left w:val="nil"/>
              <w:bottom w:val="single" w:color="auto" w:sz="4" w:space="0"/>
              <w:right w:val="nil"/>
            </w:tcBorders>
            <w:shd w:val="clear" w:color="auto" w:fill="BFBFBF" w:themeFill="background1" w:themeFillShade="BF"/>
          </w:tcPr>
          <w:p w14:paraId="368C9F57" w14:textId="25748BAA">
            <w:pPr>
              <w:pStyle w:val="IPPArialTable"/>
              <w:rPr>
                <w:b/>
                <w:bCs/>
              </w:rPr>
            </w:pPr>
            <w:r>
              <w:rPr>
                <w:rStyle w:val="PleaseReviewParagraphId"/>
                <w:b w:val="off"/>
                <w:i w:val="off"/>
              </w:rPr>
              <w:t>[440]</w:t>
            </w:r>
            <w:r>
              <w:rPr>
                <w:b/>
                <w:bCs/>
              </w:rPr>
              <w:t>Reagents</w:t>
            </w:r>
          </w:p>
        </w:tc>
        <w:tc>
          <w:tcPr>
            <w:tcW w:w="2268" w:type="dxa"/>
            <w:tcBorders>
              <w:left w:val="nil"/>
              <w:bottom w:val="single" w:color="auto" w:sz="4" w:space="0"/>
              <w:right w:val="nil"/>
            </w:tcBorders>
            <w:shd w:val="clear" w:color="auto" w:fill="BFBFBF" w:themeFill="background1" w:themeFillShade="BF"/>
          </w:tcPr>
          <w:p w14:paraId="4BC9A2B3" w14:textId="77777777">
            <w:pPr>
              <w:pStyle w:val="IPPArialTable"/>
              <w:rPr>
                <w:b/>
                <w:bCs/>
              </w:rPr>
            </w:pPr>
            <w:r>
              <w:rPr>
                <w:rStyle w:val="PleaseReviewParagraphId"/>
                <w:b w:val="off"/>
                <w:i w:val="off"/>
              </w:rPr>
              <w:t>[441]</w:t>
            </w:r>
            <w:r>
              <w:rPr>
                <w:b/>
                <w:bCs/>
              </w:rPr>
              <w:t>Final concentration</w:t>
            </w:r>
          </w:p>
        </w:tc>
      </w:tr>
      <w:tr w14:paraId="0DC2FF52" w14:textId="77777777">
        <w:tc>
          <w:tcPr>
            <w:tcW w:w="3823" w:type="dxa"/>
            <w:tcBorders>
              <w:left w:val="nil"/>
              <w:bottom w:val="nil"/>
              <w:right w:val="nil"/>
            </w:tcBorders>
          </w:tcPr>
          <w:p w14:paraId="1657B7DA" w14:textId="3251C258">
            <w:pPr>
              <w:pStyle w:val="IPPArialTable"/>
            </w:pPr>
            <w:r>
              <w:rPr>
                <w:rStyle w:val="PleaseReviewParagraphId"/>
                <w:b w:val="off"/>
                <w:i w:val="off"/>
              </w:rPr>
              <w:t>[442]</w:t>
            </w:r>
            <w:r>
              <w:t>PCR-grade water</w:t>
            </w:r>
          </w:p>
        </w:tc>
        <w:tc>
          <w:tcPr>
            <w:tcW w:w="2268" w:type="dxa"/>
            <w:tcBorders>
              <w:left w:val="nil"/>
              <w:bottom w:val="nil"/>
              <w:right w:val="nil"/>
            </w:tcBorders>
          </w:tcPr>
          <w:p w14:paraId="3E34E1B0" w14:textId="5232C1AC">
            <w:pPr>
              <w:pStyle w:val="IPPArialTable"/>
            </w:pPr>
            <w:r>
              <w:rPr>
                <w:rStyle w:val="PleaseReviewParagraphId"/>
                <w:b w:val="off"/>
                <w:i w:val="off"/>
              </w:rPr>
              <w:t>[443]</w:t>
            </w:r>
            <w:r>
              <w:rPr>
                <w:rFonts w:ascii="ArialMT" w:hAnsi="ArialMT" w:cs="ArialMT" w:eastAsiaTheme="minorHAnsi"/>
                <w:szCs w:val="20"/>
                <w:vertAlign w:val="superscript"/>
              </w:rPr>
              <w:t>†</w:t>
            </w:r>
          </w:p>
        </w:tc>
      </w:tr>
      <w:tr w14:paraId="1DC83C9B" w14:textId="77777777">
        <w:tc>
          <w:tcPr>
            <w:tcW w:w="3823" w:type="dxa"/>
            <w:tcBorders>
              <w:top w:val="nil"/>
              <w:left w:val="nil"/>
              <w:bottom w:val="nil"/>
              <w:right w:val="nil"/>
            </w:tcBorders>
          </w:tcPr>
          <w:p w14:paraId="0CC9B33A" w14:textId="4005D19E">
            <w:pPr>
              <w:pStyle w:val="IPPArialTable"/>
            </w:pPr>
            <w:r>
              <w:rPr>
                <w:rStyle w:val="PleaseReviewParagraphId"/>
                <w:b w:val="off"/>
                <w:i w:val="off"/>
              </w:rPr>
              <w:t>[444]</w:t>
            </w:r>
            <w:r>
              <w:t>PCR buffer</w:t>
            </w:r>
          </w:p>
        </w:tc>
        <w:tc>
          <w:tcPr>
            <w:tcW w:w="2268" w:type="dxa"/>
            <w:tcBorders>
              <w:top w:val="nil"/>
              <w:left w:val="nil"/>
              <w:bottom w:val="nil"/>
              <w:right w:val="nil"/>
            </w:tcBorders>
          </w:tcPr>
          <w:p w14:paraId="30ED61A8" w14:textId="77777777">
            <w:pPr>
              <w:pStyle w:val="IPPArialTable"/>
            </w:pPr>
            <w:r>
              <w:rPr>
                <w:rStyle w:val="PleaseReviewParagraphId"/>
                <w:b w:val="off"/>
                <w:i w:val="off"/>
              </w:rPr>
              <w:t>[445]</w:t>
            </w:r>
            <w:r>
              <w:t>1×</w:t>
            </w:r>
          </w:p>
        </w:tc>
      </w:tr>
      <w:tr w14:paraId="04FF634B" w14:textId="77777777">
        <w:tc>
          <w:tcPr>
            <w:tcW w:w="3823" w:type="dxa"/>
            <w:tcBorders>
              <w:top w:val="nil"/>
              <w:left w:val="nil"/>
              <w:bottom w:val="nil"/>
              <w:right w:val="nil"/>
            </w:tcBorders>
          </w:tcPr>
          <w:p w14:paraId="25C9C03B" w14:textId="77777777">
            <w:pPr>
              <w:pStyle w:val="IPPArialTable"/>
            </w:pPr>
            <w:r>
              <w:rPr>
                <w:rStyle w:val="PleaseReviewParagraphId"/>
                <w:b w:val="off"/>
                <w:i w:val="off"/>
              </w:rPr>
              <w:t>[446]</w:t>
            </w:r>
            <w:r>
              <w:t>MgCl</w:t>
            </w:r>
            <w:r>
              <w:rPr>
                <w:vertAlign w:val="subscript"/>
              </w:rPr>
              <w:t>2</w:t>
            </w:r>
          </w:p>
        </w:tc>
        <w:tc>
          <w:tcPr>
            <w:tcW w:w="2268" w:type="dxa"/>
            <w:tcBorders>
              <w:top w:val="nil"/>
              <w:left w:val="nil"/>
              <w:bottom w:val="nil"/>
              <w:right w:val="nil"/>
            </w:tcBorders>
          </w:tcPr>
          <w:p w14:paraId="47E05A92" w14:textId="4232D91B">
            <w:pPr>
              <w:pStyle w:val="IPPArialTable"/>
            </w:pPr>
            <w:r>
              <w:rPr>
                <w:rStyle w:val="PleaseReviewParagraphId"/>
                <w:b w:val="off"/>
                <w:i w:val="off"/>
              </w:rPr>
              <w:t>[447]</w:t>
            </w:r>
            <w:r>
              <w:t>1.5 mM</w:t>
            </w:r>
          </w:p>
        </w:tc>
      </w:tr>
      <w:tr w14:paraId="1F850A0B" w14:textId="77777777">
        <w:tc>
          <w:tcPr>
            <w:tcW w:w="3823" w:type="dxa"/>
            <w:tcBorders>
              <w:top w:val="nil"/>
              <w:left w:val="nil"/>
              <w:bottom w:val="nil"/>
              <w:right w:val="nil"/>
            </w:tcBorders>
          </w:tcPr>
          <w:p w14:paraId="5490D5F7" w14:textId="77777777">
            <w:pPr>
              <w:pStyle w:val="IPPArialTable"/>
            </w:pPr>
            <w:r>
              <w:rPr>
                <w:rStyle w:val="PleaseReviewParagraphId"/>
                <w:b w:val="off"/>
                <w:i w:val="off"/>
              </w:rPr>
              <w:t>[448]</w:t>
            </w:r>
            <w:r>
              <w:t>dNTPs</w:t>
            </w:r>
          </w:p>
        </w:tc>
        <w:tc>
          <w:tcPr>
            <w:tcW w:w="2268" w:type="dxa"/>
            <w:tcBorders>
              <w:top w:val="nil"/>
              <w:left w:val="nil"/>
              <w:bottom w:val="nil"/>
              <w:right w:val="nil"/>
            </w:tcBorders>
          </w:tcPr>
          <w:p w14:paraId="536D3487" w14:textId="33BFC2F7">
            <w:pPr>
              <w:pStyle w:val="IPPArialTable"/>
            </w:pPr>
            <w:r>
              <w:rPr>
                <w:rStyle w:val="PleaseReviewParagraphId"/>
                <w:b w:val="off"/>
                <w:i w:val="off"/>
              </w:rPr>
              <w:t>[449]</w:t>
            </w:r>
            <w:r>
              <w:t>0.2 mM</w:t>
            </w:r>
          </w:p>
        </w:tc>
      </w:tr>
      <w:tr w14:paraId="03C06674" w14:textId="77777777">
        <w:tc>
          <w:tcPr>
            <w:tcW w:w="3823" w:type="dxa"/>
            <w:tcBorders>
              <w:top w:val="nil"/>
              <w:left w:val="nil"/>
              <w:bottom w:val="nil"/>
              <w:right w:val="nil"/>
            </w:tcBorders>
          </w:tcPr>
          <w:p w14:paraId="4DDF0A28" w14:textId="2B1FAC7D">
            <w:pPr>
              <w:pStyle w:val="IPPArialTable"/>
            </w:pPr>
            <w:r>
              <w:rPr>
                <w:rStyle w:val="PleaseReviewParagraphId"/>
                <w:b w:val="off"/>
                <w:i w:val="off"/>
              </w:rPr>
              <w:t>[450]</w:t>
            </w:r>
            <w:r>
              <w:t>Primer Mito 8 (forward)</w:t>
            </w:r>
          </w:p>
        </w:tc>
        <w:tc>
          <w:tcPr>
            <w:tcW w:w="2268" w:type="dxa"/>
            <w:tcBorders>
              <w:top w:val="nil"/>
              <w:left w:val="nil"/>
              <w:bottom w:val="nil"/>
              <w:right w:val="nil"/>
            </w:tcBorders>
          </w:tcPr>
          <w:p w14:paraId="00958949" w14:textId="2FA6575A">
            <w:pPr>
              <w:pStyle w:val="IPPArialTable"/>
            </w:pPr>
            <w:r>
              <w:rPr>
                <w:rStyle w:val="PleaseReviewParagraphId"/>
                <w:b w:val="off"/>
                <w:i w:val="off"/>
              </w:rPr>
              <w:t>[451]</w:t>
            </w:r>
            <w:r>
              <w:t>0.5 µM</w:t>
            </w:r>
          </w:p>
        </w:tc>
      </w:tr>
      <w:tr w14:paraId="4AB9E7D9" w14:textId="77777777">
        <w:tc>
          <w:tcPr>
            <w:tcW w:w="3823" w:type="dxa"/>
            <w:tcBorders>
              <w:top w:val="nil"/>
              <w:left w:val="nil"/>
              <w:bottom w:val="nil"/>
              <w:right w:val="nil"/>
            </w:tcBorders>
          </w:tcPr>
          <w:p w14:paraId="072714B6" w14:textId="7928EEA1">
            <w:pPr>
              <w:pStyle w:val="IPPArialTable"/>
            </w:pPr>
            <w:r>
              <w:rPr>
                <w:rStyle w:val="PleaseReviewParagraphId"/>
                <w:b w:val="off"/>
                <w:i w:val="off"/>
              </w:rPr>
              <w:t>[452]</w:t>
            </w:r>
            <w:r>
              <w:t>Primer Mito 5 (reverse)</w:t>
            </w:r>
          </w:p>
        </w:tc>
        <w:tc>
          <w:tcPr>
            <w:tcW w:w="2268" w:type="dxa"/>
            <w:tcBorders>
              <w:top w:val="nil"/>
              <w:left w:val="nil"/>
              <w:bottom w:val="nil"/>
              <w:right w:val="nil"/>
            </w:tcBorders>
          </w:tcPr>
          <w:p w14:paraId="01523B4F" w14:textId="1F70739B">
            <w:pPr>
              <w:pStyle w:val="IPPArialTable"/>
            </w:pPr>
            <w:r>
              <w:rPr>
                <w:rStyle w:val="PleaseReviewParagraphId"/>
                <w:b w:val="off"/>
                <w:i w:val="off"/>
              </w:rPr>
              <w:t>[453]</w:t>
            </w:r>
            <w:r>
              <w:t>0.5 µM</w:t>
            </w:r>
          </w:p>
        </w:tc>
      </w:tr>
      <w:tr w14:paraId="799A52C4" w14:textId="77777777">
        <w:tc>
          <w:tcPr>
            <w:tcW w:w="3823" w:type="dxa"/>
            <w:tcBorders>
              <w:top w:val="nil"/>
              <w:left w:val="nil"/>
              <w:bottom w:val="nil"/>
              <w:right w:val="nil"/>
            </w:tcBorders>
          </w:tcPr>
          <w:p w14:paraId="59004AED" w14:textId="325791AC">
            <w:pPr>
              <w:pStyle w:val="IPPArialTable"/>
            </w:pPr>
            <w:r>
              <w:rPr>
                <w:rStyle w:val="PleaseReviewParagraphId"/>
                <w:b w:val="off"/>
                <w:i w:val="off"/>
              </w:rPr>
              <w:t>[454]</w:t>
            </w:r>
            <w:r>
              <w:t>Primer Mito 7 (reverse)</w:t>
            </w:r>
          </w:p>
        </w:tc>
        <w:tc>
          <w:tcPr>
            <w:tcW w:w="2268" w:type="dxa"/>
            <w:tcBorders>
              <w:top w:val="nil"/>
              <w:left w:val="nil"/>
              <w:bottom w:val="nil"/>
              <w:right w:val="nil"/>
            </w:tcBorders>
          </w:tcPr>
          <w:p w14:paraId="7B474E78" w14:textId="4D7EB080">
            <w:pPr>
              <w:pStyle w:val="IPPArialTable"/>
            </w:pPr>
            <w:r>
              <w:rPr>
                <w:rStyle w:val="PleaseReviewParagraphId"/>
                <w:b w:val="off"/>
                <w:i w:val="off"/>
              </w:rPr>
              <w:t>[455]</w:t>
            </w:r>
            <w:r>
              <w:t>0.5 µM</w:t>
            </w:r>
          </w:p>
        </w:tc>
      </w:tr>
      <w:tr w14:paraId="6C1F2717" w14:textId="77777777">
        <w:tc>
          <w:tcPr>
            <w:tcW w:w="3823" w:type="dxa"/>
            <w:tcBorders>
              <w:top w:val="nil"/>
              <w:left w:val="nil"/>
              <w:bottom w:val="single" w:color="auto" w:sz="4" w:space="0"/>
              <w:right w:val="nil"/>
            </w:tcBorders>
          </w:tcPr>
          <w:p w14:paraId="30662F1A" w14:textId="41C36D94">
            <w:pPr>
              <w:pStyle w:val="IPPArialTable"/>
            </w:pPr>
            <w:r>
              <w:rPr>
                <w:rStyle w:val="PleaseReviewParagraphId"/>
                <w:b w:val="off"/>
                <w:i w:val="off"/>
              </w:rPr>
              <w:t>[456]</w:t>
            </w:r>
            <w:r>
              <w:t>DNA polymerase</w:t>
            </w:r>
          </w:p>
        </w:tc>
        <w:tc>
          <w:tcPr>
            <w:tcW w:w="2268" w:type="dxa"/>
            <w:tcBorders>
              <w:top w:val="nil"/>
              <w:left w:val="nil"/>
              <w:bottom w:val="single" w:color="auto" w:sz="4" w:space="0"/>
              <w:right w:val="nil"/>
            </w:tcBorders>
          </w:tcPr>
          <w:p w14:paraId="5B29C2B3" w14:textId="1046029C">
            <w:pPr>
              <w:pStyle w:val="IPPArialTable"/>
            </w:pPr>
            <w:r>
              <w:rPr>
                <w:rStyle w:val="PleaseReviewParagraphId"/>
                <w:b w:val="off"/>
                <w:i w:val="off"/>
              </w:rPr>
              <w:t>[457]</w:t>
            </w:r>
            <w:r>
              <w:t>0.625 U</w:t>
            </w:r>
          </w:p>
        </w:tc>
      </w:tr>
      <w:tr w14:paraId="44083E6B" w14:textId="77777777">
        <w:tc>
          <w:tcPr>
            <w:tcW w:w="3823" w:type="dxa"/>
            <w:tcBorders>
              <w:top w:val="single" w:color="auto" w:sz="4" w:space="0"/>
              <w:left w:val="nil"/>
              <w:bottom w:val="single" w:color="auto" w:sz="4" w:space="0"/>
              <w:right w:val="nil"/>
            </w:tcBorders>
          </w:tcPr>
          <w:p w14:paraId="022B83F0" w14:textId="379F6068">
            <w:pPr>
              <w:pStyle w:val="IPPArialTable"/>
            </w:pPr>
            <w:r>
              <w:rPr>
                <w:rStyle w:val="PleaseReviewParagraphId"/>
                <w:b w:val="off"/>
                <w:i w:val="off"/>
              </w:rPr>
              <w:t>[458]</w:t>
            </w:r>
            <w:r>
              <w:t>DNA (volume)</w:t>
            </w:r>
          </w:p>
        </w:tc>
        <w:tc>
          <w:tcPr>
            <w:tcW w:w="2268" w:type="dxa"/>
            <w:tcBorders>
              <w:top w:val="single" w:color="auto" w:sz="4" w:space="0"/>
              <w:left w:val="nil"/>
              <w:bottom w:val="single" w:color="auto" w:sz="4" w:space="0"/>
              <w:right w:val="nil"/>
            </w:tcBorders>
          </w:tcPr>
          <w:p w14:paraId="5A7134ED" w14:textId="44B46F34">
            <w:pPr>
              <w:pStyle w:val="IPPArialTable"/>
            </w:pPr>
            <w:r>
              <w:rPr>
                <w:rStyle w:val="PleaseReviewParagraphId"/>
                <w:b w:val="off"/>
                <w:i w:val="off"/>
              </w:rPr>
              <w:t>[459]</w:t>
            </w:r>
            <w:r>
              <w:t>6.25 µL</w:t>
            </w:r>
          </w:p>
        </w:tc>
      </w:tr>
      <w:tr w14:paraId="7F9389BE" w14:textId="77777777">
        <w:tc>
          <w:tcPr>
            <w:tcW w:w="6091" w:type="dxa"/>
            <w:gridSpan w:val="2"/>
            <w:tcBorders>
              <w:left w:val="nil"/>
              <w:bottom w:val="single" w:color="auto" w:sz="4" w:space="0"/>
              <w:right w:val="nil"/>
            </w:tcBorders>
            <w:shd w:val="clear" w:color="auto" w:fill="BFBFBF" w:themeFill="background1" w:themeFillShade="BF"/>
          </w:tcPr>
          <w:p w14:paraId="0B4F62F2" w14:textId="77777777">
            <w:pPr>
              <w:pStyle w:val="IPPArialTable"/>
              <w:rPr>
                <w:b/>
                <w:bCs/>
              </w:rPr>
            </w:pPr>
            <w:r>
              <w:rPr>
                <w:rStyle w:val="PleaseReviewParagraphId"/>
                <w:b w:val="off"/>
                <w:i w:val="off"/>
              </w:rPr>
              <w:t>[460]</w:t>
            </w:r>
            <w:r>
              <w:rPr>
                <w:b/>
                <w:bCs/>
              </w:rPr>
              <w:t>Cycling parameters</w:t>
            </w:r>
          </w:p>
        </w:tc>
      </w:tr>
      <w:tr w14:paraId="52A93DDF" w14:textId="77777777">
        <w:tc>
          <w:tcPr>
            <w:tcW w:w="3823" w:type="dxa"/>
            <w:tcBorders>
              <w:top w:val="single" w:color="auto" w:sz="4" w:space="0"/>
              <w:left w:val="nil"/>
              <w:bottom w:val="nil"/>
              <w:right w:val="nil"/>
            </w:tcBorders>
          </w:tcPr>
          <w:p w14:paraId="5A184831" w14:textId="77777777">
            <w:pPr>
              <w:pStyle w:val="IPPArialTable"/>
            </w:pPr>
            <w:r>
              <w:rPr>
                <w:rStyle w:val="PleaseReviewParagraphId"/>
                <w:b w:val="off"/>
                <w:i w:val="off"/>
              </w:rPr>
              <w:t>[461]</w:t>
            </w:r>
            <w:r>
              <w:t>Initial denaturation</w:t>
            </w:r>
          </w:p>
        </w:tc>
        <w:tc>
          <w:tcPr>
            <w:tcW w:w="2268" w:type="dxa"/>
            <w:tcBorders>
              <w:top w:val="single" w:color="auto" w:sz="4" w:space="0"/>
              <w:left w:val="nil"/>
              <w:bottom w:val="nil"/>
              <w:right w:val="nil"/>
            </w:tcBorders>
          </w:tcPr>
          <w:p w14:paraId="7096578A" w14:textId="591AF914">
            <w:pPr>
              <w:pStyle w:val="IPPArialTable"/>
            </w:pPr>
            <w:r>
              <w:rPr>
                <w:rStyle w:val="PleaseReviewParagraphId"/>
                <w:b w:val="off"/>
                <w:i w:val="off"/>
              </w:rPr>
              <w:t>[462]</w:t>
            </w:r>
            <w:r>
              <w:t>94 °C for 1.5 min</w:t>
            </w:r>
          </w:p>
        </w:tc>
      </w:tr>
      <w:tr w14:paraId="1299BF0A" w14:textId="77777777">
        <w:tc>
          <w:tcPr>
            <w:tcW w:w="3823" w:type="dxa"/>
            <w:tcBorders>
              <w:top w:val="nil"/>
              <w:left w:val="nil"/>
              <w:bottom w:val="nil"/>
              <w:right w:val="nil"/>
            </w:tcBorders>
          </w:tcPr>
          <w:p w14:paraId="41B76DDA" w14:textId="77777777">
            <w:pPr>
              <w:pStyle w:val="IPPArialTable"/>
            </w:pPr>
            <w:r>
              <w:rPr>
                <w:rStyle w:val="PleaseReviewParagraphId"/>
                <w:b w:val="off"/>
                <w:i w:val="off"/>
              </w:rPr>
              <w:t>[463]</w:t>
            </w:r>
            <w:r>
              <w:t>Numbers of cycles</w:t>
            </w:r>
          </w:p>
        </w:tc>
        <w:tc>
          <w:tcPr>
            <w:tcW w:w="2268" w:type="dxa"/>
            <w:tcBorders>
              <w:top w:val="nil"/>
              <w:left w:val="nil"/>
              <w:bottom w:val="nil"/>
              <w:right w:val="nil"/>
            </w:tcBorders>
          </w:tcPr>
          <w:p w14:paraId="34FE15DE" w14:textId="77777777">
            <w:pPr>
              <w:pStyle w:val="IPPArialTable"/>
            </w:pPr>
            <w:r>
              <w:rPr>
                <w:rStyle w:val="PleaseReviewParagraphId"/>
                <w:b w:val="off"/>
                <w:i w:val="off"/>
              </w:rPr>
              <w:t>[464]</w:t>
            </w:r>
            <w:r>
              <w:t>35</w:t>
            </w:r>
          </w:p>
        </w:tc>
      </w:tr>
      <w:tr w14:paraId="6D04BFD3" w14:textId="77777777">
        <w:tc>
          <w:tcPr>
            <w:tcW w:w="3823" w:type="dxa"/>
            <w:tcBorders>
              <w:top w:val="nil"/>
              <w:left w:val="nil"/>
              <w:bottom w:val="nil"/>
              <w:right w:val="nil"/>
            </w:tcBorders>
          </w:tcPr>
          <w:p w14:paraId="2F42B0DC" w14:textId="77777777">
            <w:pPr>
              <w:pStyle w:val="IPPArialTable"/>
              <w:numPr>
                <w:ilvl w:val="0"/>
                <w:numId w:val="54"/>
              </w:numPr>
              <w:ind w:left="284" w:hanging="142"/>
            </w:pPr>
            <w:r>
              <w:rPr>
                <w:rStyle w:val="PleaseReviewParagraphId"/>
                <w:b w:val="off"/>
                <w:i w:val="off"/>
              </w:rPr>
              <w:t>[465]</w:t>
            </w:r>
            <w:r>
              <w:t>Denaturation</w:t>
            </w:r>
          </w:p>
        </w:tc>
        <w:tc>
          <w:tcPr>
            <w:tcW w:w="2268" w:type="dxa"/>
            <w:tcBorders>
              <w:top w:val="nil"/>
              <w:left w:val="nil"/>
              <w:bottom w:val="nil"/>
              <w:right w:val="nil"/>
            </w:tcBorders>
          </w:tcPr>
          <w:p w14:paraId="2C87B3AD" w14:textId="7AD25046">
            <w:pPr>
              <w:pStyle w:val="IPPArialTable"/>
            </w:pPr>
            <w:r>
              <w:rPr>
                <w:rStyle w:val="PleaseReviewParagraphId"/>
                <w:b w:val="off"/>
                <w:i w:val="off"/>
              </w:rPr>
              <w:t>[466]</w:t>
            </w:r>
            <w:r>
              <w:t>92 °C for 1 min</w:t>
            </w:r>
          </w:p>
        </w:tc>
      </w:tr>
      <w:tr w14:paraId="1DE3AA66" w14:textId="77777777">
        <w:tc>
          <w:tcPr>
            <w:tcW w:w="3823" w:type="dxa"/>
            <w:tcBorders>
              <w:top w:val="nil"/>
              <w:left w:val="nil"/>
              <w:bottom w:val="nil"/>
              <w:right w:val="nil"/>
            </w:tcBorders>
          </w:tcPr>
          <w:p w14:paraId="6A3FE288" w14:textId="77777777">
            <w:pPr>
              <w:pStyle w:val="IPPArialTable"/>
              <w:numPr>
                <w:ilvl w:val="0"/>
                <w:numId w:val="54"/>
              </w:numPr>
              <w:ind w:left="284" w:hanging="142"/>
            </w:pPr>
            <w:r>
              <w:rPr>
                <w:rStyle w:val="PleaseReviewParagraphId"/>
                <w:b w:val="off"/>
                <w:i w:val="off"/>
              </w:rPr>
              <w:t>[467]</w:t>
            </w:r>
            <w:r>
              <w:t>Annealing</w:t>
            </w:r>
          </w:p>
        </w:tc>
        <w:tc>
          <w:tcPr>
            <w:tcW w:w="2268" w:type="dxa"/>
            <w:tcBorders>
              <w:top w:val="nil"/>
              <w:left w:val="nil"/>
              <w:bottom w:val="nil"/>
              <w:right w:val="nil"/>
            </w:tcBorders>
          </w:tcPr>
          <w:p w14:paraId="2FE2765D" w14:textId="715E8FBA">
            <w:pPr>
              <w:pStyle w:val="IPPArialTable"/>
            </w:pPr>
            <w:r>
              <w:rPr>
                <w:rStyle w:val="PleaseReviewParagraphId"/>
                <w:b w:val="off"/>
                <w:i w:val="off"/>
              </w:rPr>
              <w:t>[468]</w:t>
            </w:r>
            <w:r>
              <w:t>53 °C for 1 min</w:t>
            </w:r>
          </w:p>
        </w:tc>
      </w:tr>
      <w:tr w14:paraId="697C193A" w14:textId="77777777">
        <w:tc>
          <w:tcPr>
            <w:tcW w:w="3823" w:type="dxa"/>
            <w:tcBorders>
              <w:top w:val="nil"/>
              <w:left w:val="nil"/>
              <w:bottom w:val="nil"/>
              <w:right w:val="nil"/>
            </w:tcBorders>
          </w:tcPr>
          <w:p w14:paraId="420CD203" w14:textId="77777777">
            <w:pPr>
              <w:pStyle w:val="IPPArialTable"/>
              <w:numPr>
                <w:ilvl w:val="0"/>
                <w:numId w:val="54"/>
              </w:numPr>
              <w:ind w:left="284" w:hanging="142"/>
            </w:pPr>
            <w:r>
              <w:rPr>
                <w:rStyle w:val="PleaseReviewParagraphId"/>
                <w:b w:val="off"/>
                <w:i w:val="off"/>
              </w:rPr>
              <w:t>[469]</w:t>
            </w:r>
            <w:r>
              <w:t>Elongation</w:t>
            </w:r>
          </w:p>
        </w:tc>
        <w:tc>
          <w:tcPr>
            <w:tcW w:w="2268" w:type="dxa"/>
            <w:tcBorders>
              <w:top w:val="nil"/>
              <w:left w:val="nil"/>
              <w:bottom w:val="nil"/>
              <w:right w:val="nil"/>
            </w:tcBorders>
          </w:tcPr>
          <w:p w14:paraId="00E19775" w14:textId="53BCCDFA">
            <w:pPr>
              <w:pStyle w:val="IPPArialTable"/>
            </w:pPr>
            <w:r>
              <w:rPr>
                <w:rStyle w:val="PleaseReviewParagraphId"/>
                <w:b w:val="off"/>
                <w:i w:val="off"/>
              </w:rPr>
              <w:t>[470]</w:t>
            </w:r>
            <w:r>
              <w:t>72 °C for 3 min</w:t>
            </w:r>
          </w:p>
        </w:tc>
      </w:tr>
      <w:tr w14:paraId="7117F8CC" w14:textId="77777777">
        <w:tc>
          <w:tcPr>
            <w:tcW w:w="3823" w:type="dxa"/>
            <w:tcBorders>
              <w:top w:val="nil"/>
              <w:left w:val="nil"/>
              <w:bottom w:val="single" w:color="auto" w:sz="4" w:space="0"/>
              <w:right w:val="nil"/>
            </w:tcBorders>
          </w:tcPr>
          <w:p w14:paraId="58E0A8FA" w14:textId="124AB0B1">
            <w:pPr>
              <w:pStyle w:val="IPPArialTable"/>
            </w:pPr>
            <w:r>
              <w:rPr>
                <w:rStyle w:val="PleaseReviewParagraphId"/>
                <w:b w:val="off"/>
                <w:i w:val="off"/>
              </w:rPr>
              <w:t>[471]</w:t>
            </w:r>
            <w:r>
              <w:t>Final elongation</w:t>
            </w:r>
          </w:p>
        </w:tc>
        <w:tc>
          <w:tcPr>
            <w:tcW w:w="2268" w:type="dxa"/>
            <w:tcBorders>
              <w:top w:val="nil"/>
              <w:left w:val="nil"/>
              <w:bottom w:val="single" w:color="auto" w:sz="4" w:space="0"/>
              <w:right w:val="nil"/>
            </w:tcBorders>
          </w:tcPr>
          <w:p w14:paraId="3DBF5B22" w14:textId="0D36CFF5">
            <w:pPr>
              <w:pStyle w:val="IPPArialTable"/>
            </w:pPr>
            <w:r>
              <w:rPr>
                <w:rStyle w:val="PleaseReviewParagraphId"/>
                <w:b w:val="off"/>
                <w:i w:val="off"/>
              </w:rPr>
              <w:t>[472]</w:t>
            </w:r>
            <w:r>
              <w:t>72 °C for 10 min</w:t>
            </w:r>
          </w:p>
        </w:tc>
      </w:tr>
      <w:tr w14:paraId="744F55BD" w14:textId="77777777">
        <w:tc>
          <w:tcPr>
            <w:tcW w:w="6091" w:type="dxa"/>
            <w:gridSpan w:val="2"/>
            <w:tcBorders>
              <w:left w:val="nil"/>
              <w:bottom w:val="single" w:color="auto" w:sz="4" w:space="0"/>
              <w:right w:val="nil"/>
            </w:tcBorders>
            <w:shd w:val="clear" w:color="auto" w:fill="BFBFBF" w:themeFill="background1" w:themeFillShade="BF"/>
          </w:tcPr>
          <w:p w14:paraId="3FB094F5" w14:textId="77777777">
            <w:pPr>
              <w:pStyle w:val="IPPArialTable"/>
              <w:rPr>
                <w:b/>
                <w:bCs/>
              </w:rPr>
            </w:pPr>
            <w:r>
              <w:rPr>
                <w:rStyle w:val="PleaseReviewParagraphId"/>
                <w:b w:val="off"/>
                <w:i w:val="off"/>
              </w:rPr>
              <w:t>[473]</w:t>
            </w:r>
            <w:r>
              <w:rPr>
                <w:b/>
                <w:bCs/>
              </w:rPr>
              <w:t>Expected amplicons</w:t>
            </w:r>
          </w:p>
        </w:tc>
      </w:tr>
      <w:tr w14:paraId="4BA425FE" w14:textId="77777777">
        <w:tc>
          <w:tcPr>
            <w:tcW w:w="3823" w:type="dxa"/>
            <w:tcBorders>
              <w:top w:val="nil"/>
              <w:left w:val="nil"/>
              <w:bottom w:val="nil"/>
              <w:right w:val="nil"/>
            </w:tcBorders>
          </w:tcPr>
          <w:p w14:paraId="22993297" w14:textId="1D2084F0">
            <w:pPr>
              <w:pStyle w:val="IPPArialTable"/>
              <w:rPr>
                <w:i/>
              </w:rPr>
            </w:pPr>
            <w:r>
              <w:rPr>
                <w:rStyle w:val="PleaseReviewParagraphId"/>
                <w:b w:val="off"/>
                <w:i w:val="off"/>
              </w:rPr>
              <w:t>[474]</w:t>
            </w:r>
            <w:r>
              <w:rPr>
                <w:i/>
              </w:rPr>
              <w:t>Heterobasidion annosum sensu stricto</w:t>
            </w:r>
          </w:p>
        </w:tc>
        <w:tc>
          <w:tcPr>
            <w:tcW w:w="2268" w:type="dxa"/>
            <w:tcBorders>
              <w:top w:val="nil"/>
              <w:left w:val="nil"/>
              <w:bottom w:val="nil"/>
              <w:right w:val="nil"/>
            </w:tcBorders>
          </w:tcPr>
          <w:p w14:paraId="6A36994E" w14:textId="03989BAC">
            <w:pPr>
              <w:pStyle w:val="IPPArialTable"/>
            </w:pPr>
            <w:r>
              <w:rPr>
                <w:rStyle w:val="PleaseReviewParagraphId"/>
                <w:b w:val="off"/>
                <w:i w:val="off"/>
              </w:rPr>
              <w:t>[475]</w:t>
            </w:r>
            <w:r>
              <w:t>158 bp</w:t>
            </w:r>
          </w:p>
        </w:tc>
      </w:tr>
      <w:tr w14:paraId="02F481EF" w14:textId="77777777">
        <w:tc>
          <w:tcPr>
            <w:tcW w:w="3823" w:type="dxa"/>
            <w:tcBorders>
              <w:top w:val="nil"/>
              <w:left w:val="nil"/>
              <w:bottom w:val="single" w:color="auto" w:sz="4" w:space="0"/>
              <w:right w:val="nil"/>
            </w:tcBorders>
          </w:tcPr>
          <w:p w14:paraId="7352673F" w14:textId="1098B69B">
            <w:pPr>
              <w:pStyle w:val="IPPArialTable"/>
              <w:rPr>
                <w:i/>
              </w:rPr>
            </w:pPr>
            <w:r>
              <w:rPr>
                <w:rStyle w:val="PleaseReviewParagraphId"/>
                <w:b w:val="off"/>
                <w:i w:val="off"/>
              </w:rPr>
              <w:t>[476]</w:t>
            </w:r>
            <w:r>
              <w:rPr>
                <w:i/>
              </w:rPr>
              <w:t>Heterobasidion irregulare</w:t>
            </w:r>
          </w:p>
        </w:tc>
        <w:tc>
          <w:tcPr>
            <w:tcW w:w="2268" w:type="dxa"/>
            <w:tcBorders>
              <w:top w:val="nil"/>
              <w:left w:val="nil"/>
              <w:bottom w:val="single" w:color="auto" w:sz="4" w:space="0"/>
              <w:right w:val="nil"/>
            </w:tcBorders>
          </w:tcPr>
          <w:p w14:paraId="3B4FE442" w14:textId="4DA216B9">
            <w:pPr>
              <w:pStyle w:val="IPPArialTable"/>
            </w:pPr>
            <w:r>
              <w:rPr>
                <w:rStyle w:val="PleaseReviewParagraphId"/>
                <w:b w:val="off"/>
                <w:i w:val="off"/>
              </w:rPr>
              <w:t>[477]</w:t>
            </w:r>
            <w:r>
              <w:t>121 bp</w:t>
            </w:r>
          </w:p>
        </w:tc>
      </w:tr>
    </w:tbl>
    <w:p w14:paraId="79296C03" w14:textId="08E296BB">
      <w:pPr>
        <w:pStyle w:val="IPPArialFootnote"/>
      </w:pPr>
      <w:r>
        <w:rPr>
          <w:rStyle w:val="PleaseReviewParagraphId"/>
          <w:b w:val="off"/>
          <w:i w:val="off"/>
        </w:rPr>
        <w:t>[478]</w:t>
      </w:r>
      <w:r>
        <w:rPr>
          <w:rFonts w:ascii="ArialMT" w:hAnsi="ArialMT" w:cs="ArialMT" w:eastAsiaTheme="minorHAnsi"/>
          <w:i/>
          <w:iCs/>
        </w:rPr>
        <w:t xml:space="preserve">Notes: </w:t>
      </w:r>
      <w:r>
        <w:rPr>
          <w:rFonts w:ascii="ArialMT" w:hAnsi="ArialMT" w:cs="ArialMT" w:eastAsiaTheme="minorHAnsi"/>
          <w:vertAlign w:val="superscript"/>
        </w:rPr>
        <w:t xml:space="preserve">† </w:t>
      </w:r>
      <w:r>
        <w:t>For a final reaction volume of 25 µL.</w:t>
      </w:r>
    </w:p>
    <w:p w14:paraId="2C15D8CB" w14:textId="0C953490">
      <w:pPr>
        <w:pStyle w:val="IPPArialFootnote"/>
      </w:pPr>
      <w:r>
        <w:rPr>
          <w:rStyle w:val="PleaseReviewParagraphId"/>
          <w:b w:val="off"/>
          <w:i w:val="off"/>
        </w:rPr>
        <w:t>[479]</w:t>
      </w:r>
      <w:r>
        <w:t>bp, base pairs; PCR, polymerase chain reaction.</w:t>
      </w:r>
    </w:p>
    <w:p w14:paraId="0F37849D" w14:textId="7BD207C2">
      <w:pPr>
        <w:pStyle w:val="IPPArialFootnote"/>
        <w:spacing w:after="180"/>
        <w:rPr>
          <w:i/>
          <w:iCs/>
        </w:rPr>
      </w:pPr>
      <w:r>
        <w:rPr>
          <w:rStyle w:val="PleaseReviewParagraphId"/>
          <w:b w:val="off"/>
          <w:i w:val="off"/>
        </w:rPr>
        <w:t>[480]</w:t>
      </w:r>
      <w:r>
        <w:rPr>
          <w:i/>
          <w:iCs/>
        </w:rPr>
        <w:t xml:space="preserve">Source: </w:t>
      </w:r>
      <w:r>
        <w:t xml:space="preserve">Gonthier, P., Garbelotto, M., Varese, G.C. &amp; Nicolotti, G. 2001. Relative abundance and potential dispersal range of intersterility groups of </w:t>
      </w:r>
      <w:r>
        <w:rPr>
          <w:i/>
        </w:rPr>
        <w:t>Heterobasidion annosum</w:t>
      </w:r>
      <w:r>
        <w:t xml:space="preserve"> in pure and mixed forests. </w:t>
      </w:r>
      <w:r>
        <w:rPr>
          <w:i/>
        </w:rPr>
        <w:t>Canadian Journal of Botany</w:t>
      </w:r>
      <w:r>
        <w:t xml:space="preserve">, 79: 1057–1065. </w:t>
      </w:r>
      <w:hyperlink w:history="1" r:id="rId27">
        <w:r>
          <w:rPr>
            <w:rStyle w:val="Hyperlink"/>
          </w:rPr>
          <w:t>https://doi.org/10.1139/b01-090</w:t>
        </w:r>
      </w:hyperlink>
    </w:p>
    <w:p w14:paraId="09482E82" w14:textId="2701F812">
      <w:pPr>
        <w:pStyle w:val="IPPParagraphnumbering"/>
        <w:numPr>
          <w:ilvl w:val="0"/>
          <w:numId w:val="0"/>
        </w:numPr>
        <w:rPr>
          <w:lang w:val="en-GB"/>
        </w:rPr>
      </w:pPr>
      <w:r>
        <w:rPr>
          <w:rStyle w:val="PleaseReviewParagraphId"/>
          <w:b w:val="off"/>
          <w:i w:val="off"/>
        </w:rPr>
        <w:t>[481]</w:t>
      </w:r>
      <w:bookmarkStart w:name="_Hlk119613510" w:id="36"/>
      <w:r>
        <w:rPr>
          <w:lang w:val="en-GB"/>
        </w:rPr>
        <w:t>The PCR products can be visualized by standard agarose gel electrophoresis.</w:t>
      </w:r>
      <w:bookmarkEnd w:id="36"/>
    </w:p>
    <w:p w14:paraId="03D3D325" w14:textId="16F70E65">
      <w:pPr>
        <w:pStyle w:val="IPPHeading2"/>
        <w:ind w:left="0" w:firstLine="0"/>
      </w:pPr>
      <w:r>
        <w:rPr>
          <w:rStyle w:val="PleaseReviewParagraphId"/>
          <w:b w:val="off"/>
          <w:i w:val="off"/>
        </w:rPr>
        <w:t>[482]</w:t>
      </w:r>
      <w:bookmarkStart w:name="_Hlk117201680" w:id="37"/>
      <w:bookmarkStart w:name="_Hlk153185565" w:id="38"/>
      <w:r>
        <w:t>3.4.4</w:t>
        <w:tab/>
        <w:t>Detection by real-time PCR</w:t>
      </w:r>
    </w:p>
    <w:bookmarkEnd w:id="37"/>
    <w:p w14:paraId="42C0FE1F" w14:textId="582D7170">
      <w:pPr>
        <w:pStyle w:val="IPPParagraphnumbering"/>
        <w:numPr>
          <w:ilvl w:val="0"/>
          <w:numId w:val="0"/>
        </w:numPr>
        <w:rPr>
          <w:lang w:val="en-GB"/>
        </w:rPr>
      </w:pPr>
      <w:r>
        <w:rPr>
          <w:rStyle w:val="PleaseReviewParagraphId"/>
          <w:b w:val="off"/>
          <w:i w:val="off"/>
        </w:rPr>
        <w:t>[483]</w:t>
      </w:r>
      <w:r>
        <w:rPr>
          <w:lang w:val="en-GB"/>
        </w:rPr>
        <w:t xml:space="preserve">There are several </w:t>
      </w:r>
      <w:r>
        <w:rPr>
          <w:i/>
          <w:lang w:val="en-GB"/>
        </w:rPr>
        <w:t>Heterobasidion</w:t>
      </w:r>
      <w:r>
        <w:rPr>
          <w:lang w:val="en-GB"/>
        </w:rPr>
        <w:t>-specific real-time PCR methods available in the literature. Some of these are described in sections 3.4.4.1 to 3.4.4.3.</w:t>
      </w:r>
    </w:p>
    <w:p w14:paraId="30D497A2" w14:textId="17C1C9B5">
      <w:pPr>
        <w:pStyle w:val="IPPHeading3"/>
      </w:pPr>
      <w:r>
        <w:rPr>
          <w:rStyle w:val="PleaseReviewParagraphId"/>
          <w:b w:val="off"/>
          <w:i w:val="off"/>
        </w:rPr>
        <w:t>[484]</w:t>
      </w:r>
      <w:r>
        <w:t>3.4.4.1</w:t>
        <w:tab/>
        <w:t xml:space="preserve">Real-time PCR of Lamarche </w:t>
      </w:r>
      <w:r>
        <w:rPr>
          <w:i w:val="0"/>
          <w:iCs/>
        </w:rPr>
        <w:t>et al.</w:t>
      </w:r>
      <w:r>
        <w:t xml:space="preserve"> (2017) targeting </w:t>
      </w:r>
      <w:r>
        <w:rPr>
          <w:i w:val="0"/>
          <w:iCs/>
        </w:rPr>
        <w:t>Heterobasidion annosum s.l.</w:t>
      </w:r>
      <w:r>
        <w:t xml:space="preserve">, </w:t>
      </w:r>
      <w:r>
        <w:rPr>
          <w:i w:val="0"/>
          <w:iCs/>
        </w:rPr>
        <w:t>H. annosum s.s.</w:t>
      </w:r>
      <w:r>
        <w:t xml:space="preserve">, </w:t>
      </w:r>
      <w:r>
        <w:rPr>
          <w:i w:val="0"/>
          <w:iCs/>
        </w:rPr>
        <w:t>H. irregulare</w:t>
      </w:r>
      <w:r>
        <w:t xml:space="preserve"> and </w:t>
      </w:r>
      <w:r>
        <w:rPr>
          <w:i w:val="0"/>
          <w:iCs/>
        </w:rPr>
        <w:t>H. occidentale</w:t>
      </w:r>
    </w:p>
    <w:p w14:paraId="5D26E056" w14:textId="6D355F83">
      <w:pPr>
        <w:pStyle w:val="IPPParagraphnumbering"/>
        <w:numPr>
          <w:ilvl w:val="0"/>
          <w:numId w:val="0"/>
        </w:numPr>
        <w:rPr>
          <w:lang w:val="en-GB"/>
        </w:rPr>
      </w:pPr>
      <w:r>
        <w:rPr>
          <w:rStyle w:val="PleaseReviewParagraphId"/>
          <w:b w:val="off"/>
          <w:i w:val="off"/>
        </w:rPr>
        <w:t>[485]</w:t>
      </w:r>
      <w:r>
        <w:rPr>
          <w:lang w:val="en-GB"/>
        </w:rPr>
        <w:t xml:space="preserve">Lamarche </w:t>
      </w:r>
      <w:r>
        <w:rPr>
          <w:i/>
          <w:iCs/>
          <w:lang w:val="en-GB"/>
        </w:rPr>
        <w:t>et al</w:t>
      </w:r>
      <w:r>
        <w:rPr>
          <w:lang w:val="en-GB"/>
        </w:rPr>
        <w:t xml:space="preserve">. (2017) developed four real-time PCR primer–probe sets for the detection of </w:t>
      </w:r>
      <w:r>
        <w:rPr>
          <w:i/>
          <w:iCs/>
          <w:lang w:val="en-GB"/>
        </w:rPr>
        <w:t>H. </w:t>
      </w:r>
      <w:r>
        <w:rPr>
          <w:i/>
          <w:lang w:val="en-GB"/>
        </w:rPr>
        <w:t>annosum</w:t>
      </w:r>
      <w:r>
        <w:rPr>
          <w:i/>
          <w:iCs/>
          <w:lang w:val="en-GB"/>
        </w:rPr>
        <w:t> s.l.</w:t>
      </w:r>
      <w:r>
        <w:rPr>
          <w:lang w:val="en-GB"/>
        </w:rPr>
        <w:t xml:space="preserve">, </w:t>
      </w:r>
      <w:r>
        <w:rPr>
          <w:i/>
          <w:iCs/>
          <w:lang w:val="en-GB"/>
        </w:rPr>
        <w:t>H. </w:t>
      </w:r>
      <w:r>
        <w:rPr>
          <w:i/>
          <w:lang w:val="en-GB"/>
        </w:rPr>
        <w:t>annosum</w:t>
      </w:r>
      <w:r>
        <w:rPr>
          <w:i/>
          <w:iCs/>
          <w:lang w:val="en-GB"/>
        </w:rPr>
        <w:t> s.s.</w:t>
      </w:r>
      <w:r>
        <w:rPr>
          <w:lang w:val="en-GB"/>
        </w:rPr>
        <w:t xml:space="preserve">, </w:t>
      </w:r>
      <w:r>
        <w:rPr>
          <w:i/>
          <w:iCs/>
          <w:lang w:val="en-GB"/>
        </w:rPr>
        <w:t>H. </w:t>
      </w:r>
      <w:r>
        <w:rPr>
          <w:i/>
          <w:lang w:val="en-GB"/>
        </w:rPr>
        <w:t>irregulare</w:t>
      </w:r>
      <w:r>
        <w:rPr>
          <w:lang w:val="en-GB"/>
        </w:rPr>
        <w:t xml:space="preserve"> and</w:t>
      </w:r>
      <w:r>
        <w:rPr>
          <w:i/>
          <w:lang w:val="en-GB"/>
        </w:rPr>
        <w:t xml:space="preserve"> </w:t>
      </w:r>
      <w:r>
        <w:rPr>
          <w:i/>
          <w:iCs/>
          <w:lang w:val="en-GB"/>
        </w:rPr>
        <w:t>H. </w:t>
      </w:r>
      <w:r>
        <w:rPr>
          <w:i/>
          <w:lang w:val="en-GB"/>
        </w:rPr>
        <w:t>occidentale</w:t>
      </w:r>
      <w:r>
        <w:rPr>
          <w:lang w:val="en-GB"/>
        </w:rPr>
        <w:t>. The primer–probe sets were all designed to work with the same chemistry under a unique, standardized set of thermocycling parameters. Therefore, they can be used in microwell plates arrayed in any machine format to suit individual users’ needs and to increase throughput. Reactions for multiple samples, targeting multiple pathogens can be performed in a single real-time PCR run.</w:t>
      </w:r>
    </w:p>
    <w:p w14:paraId="3888E532" w14:textId="5D77B46C">
      <w:pPr>
        <w:pStyle w:val="IPPParagraphnumbering"/>
        <w:numPr>
          <w:ilvl w:val="0"/>
          <w:numId w:val="0"/>
        </w:numPr>
        <w:rPr>
          <w:lang w:val="en-GB"/>
        </w:rPr>
      </w:pPr>
      <w:r>
        <w:rPr>
          <w:rStyle w:val="PleaseReviewParagraphId"/>
          <w:b w:val="off"/>
          <w:i w:val="off"/>
        </w:rPr>
        <w:t>[486]</w:t>
      </w:r>
      <w:r>
        <w:rPr>
          <w:lang w:val="en-GB"/>
        </w:rPr>
        <w:t xml:space="preserve">Lamarche </w:t>
      </w:r>
      <w:r>
        <w:rPr>
          <w:i/>
          <w:iCs/>
          <w:lang w:val="en-GB"/>
        </w:rPr>
        <w:t>et al</w:t>
      </w:r>
      <w:r>
        <w:rPr>
          <w:lang w:val="en-GB"/>
        </w:rPr>
        <w:t xml:space="preserve">. (2017) assessed the performance of the real-time PCR methods using these primer–probe sets. The specificity of the methods was verified with a wide panel of pure fungal cultures from target and phylogenetically closely related species of </w:t>
      </w:r>
      <w:r>
        <w:rPr>
          <w:i/>
          <w:iCs/>
          <w:lang w:val="en-GB"/>
        </w:rPr>
        <w:t>Heterobasidion</w:t>
      </w:r>
      <w:r>
        <w:rPr>
          <w:lang w:val="en-GB"/>
        </w:rPr>
        <w:t xml:space="preserve">: </w:t>
      </w:r>
      <w:r>
        <w:rPr>
          <w:i/>
          <w:iCs/>
          <w:lang w:val="en-GB"/>
        </w:rPr>
        <w:t>H. </w:t>
      </w:r>
      <w:r>
        <w:rPr>
          <w:i/>
          <w:lang w:val="en-GB"/>
        </w:rPr>
        <w:t>abietinum</w:t>
      </w:r>
      <w:r>
        <w:rPr>
          <w:lang w:val="en-GB"/>
        </w:rPr>
        <w:t xml:space="preserve"> (7 isolates); </w:t>
      </w:r>
      <w:r>
        <w:rPr>
          <w:i/>
          <w:lang w:val="en-GB"/>
        </w:rPr>
        <w:lastRenderedPageBreak/>
        <w:t>H. annosum</w:t>
      </w:r>
      <w:r>
        <w:rPr>
          <w:i/>
          <w:iCs/>
          <w:lang w:val="en-GB"/>
        </w:rPr>
        <w:t> s.s.</w:t>
      </w:r>
      <w:r>
        <w:rPr>
          <w:lang w:val="en-GB"/>
        </w:rPr>
        <w:t xml:space="preserve"> (14); </w:t>
      </w:r>
      <w:r>
        <w:rPr>
          <w:i/>
          <w:lang w:val="en-GB"/>
        </w:rPr>
        <w:t>H. araucariae</w:t>
      </w:r>
      <w:r>
        <w:rPr>
          <w:lang w:val="en-GB"/>
        </w:rPr>
        <w:t xml:space="preserve"> P.K. Buchanan, 1988 (1); </w:t>
      </w:r>
      <w:r>
        <w:rPr>
          <w:i/>
          <w:lang w:val="en-GB"/>
        </w:rPr>
        <w:t>H. ecrustosum</w:t>
      </w:r>
      <w:r>
        <w:rPr>
          <w:lang w:val="en-GB"/>
        </w:rPr>
        <w:t xml:space="preserve"> Tokuda, T. Hatt. &amp; Y.C. Dai, 2009 (5); </w:t>
      </w:r>
      <w:r>
        <w:rPr>
          <w:i/>
          <w:lang w:val="en-GB"/>
        </w:rPr>
        <w:t>H. insulare</w:t>
      </w:r>
      <w:r>
        <w:rPr>
          <w:lang w:val="en-GB"/>
        </w:rPr>
        <w:t xml:space="preserve"> (Murrill) Ryvarden, 1972 (1); </w:t>
      </w:r>
      <w:r>
        <w:rPr>
          <w:i/>
          <w:lang w:val="en-GB"/>
        </w:rPr>
        <w:t>H. irregulare</w:t>
      </w:r>
      <w:r>
        <w:rPr>
          <w:lang w:val="en-GB"/>
        </w:rPr>
        <w:t xml:space="preserve"> (17 isolates of different origins and hosts); </w:t>
      </w:r>
      <w:r>
        <w:rPr>
          <w:i/>
          <w:lang w:val="en-GB"/>
        </w:rPr>
        <w:t>H. occidentale</w:t>
      </w:r>
      <w:r>
        <w:rPr>
          <w:lang w:val="en-GB"/>
        </w:rPr>
        <w:t xml:space="preserve"> (8); </w:t>
      </w:r>
      <w:r>
        <w:rPr>
          <w:i/>
          <w:iCs/>
          <w:lang w:val="en-GB"/>
        </w:rPr>
        <w:t>H. </w:t>
      </w:r>
      <w:r>
        <w:rPr>
          <w:i/>
          <w:lang w:val="en-GB"/>
        </w:rPr>
        <w:t>orientale</w:t>
      </w:r>
      <w:r>
        <w:rPr>
          <w:lang w:val="en-GB"/>
        </w:rPr>
        <w:t xml:space="preserve"> Tokuda, T. Hatt. &amp; Y.C. Dai, 2009 (5); and </w:t>
      </w:r>
      <w:r>
        <w:rPr>
          <w:i/>
          <w:lang w:val="en-GB"/>
        </w:rPr>
        <w:t>H. parviporum</w:t>
      </w:r>
      <w:r>
        <w:rPr>
          <w:lang w:val="en-GB"/>
        </w:rPr>
        <w:t xml:space="preserve"> (9) (Tokuda </w:t>
      </w:r>
      <w:r>
        <w:rPr>
          <w:i/>
          <w:iCs/>
          <w:lang w:val="en-GB"/>
        </w:rPr>
        <w:t>et al</w:t>
      </w:r>
      <w:r>
        <w:rPr>
          <w:lang w:val="en-GB"/>
        </w:rPr>
        <w:t xml:space="preserve">., 2009; Jang </w:t>
      </w:r>
      <w:r>
        <w:rPr>
          <w:i/>
          <w:iCs/>
          <w:lang w:val="en-GB"/>
        </w:rPr>
        <w:t>et al</w:t>
      </w:r>
      <w:r>
        <w:rPr>
          <w:lang w:val="en-GB"/>
        </w:rPr>
        <w:t xml:space="preserve">., 2014; EPPO 2020a). All four methods developed are 100% specific to their target species; no cross-reaction was observed. Sensitivity, evaluated by assessing the limit of detection (with a threshold of 95% of positive results), was found to be between 1 and 100 copies of the ITS region of the target DNA, corresponding to one binucleate spore per µL. The methods showed a high degree of repeatability; the coefficient of variation for each method, using the mean Ct value and the standard deviation, ranged from 1.2% for the </w:t>
      </w:r>
      <w:r>
        <w:rPr>
          <w:i/>
          <w:iCs/>
          <w:lang w:val="en-GB"/>
        </w:rPr>
        <w:t xml:space="preserve">H. occidentale </w:t>
      </w:r>
      <w:r>
        <w:rPr>
          <w:lang w:val="en-GB"/>
        </w:rPr>
        <w:t xml:space="preserve">method to 5.2% for the </w:t>
      </w:r>
      <w:r>
        <w:rPr>
          <w:i/>
          <w:iCs/>
          <w:lang w:val="en-GB"/>
        </w:rPr>
        <w:t>H. annosum s.s.</w:t>
      </w:r>
      <w:r>
        <w:rPr>
          <w:lang w:val="en-GB"/>
        </w:rPr>
        <w:t xml:space="preserve"> method (DNA samples containing 5 000 copies of the target gene region were used). </w:t>
      </w:r>
      <w:bookmarkStart w:name="_Hlk153175978" w:id="39"/>
      <w:r>
        <w:rPr>
          <w:lang w:val="en-GB"/>
        </w:rPr>
        <w:t xml:space="preserve">The real-time PCR methods were also verified on environmental samples collected through a trial examining the aerial density of </w:t>
      </w:r>
      <w:r>
        <w:rPr>
          <w:i/>
          <w:iCs/>
          <w:lang w:val="en-GB"/>
        </w:rPr>
        <w:t>Heterobasidion</w:t>
      </w:r>
      <w:r>
        <w:rPr>
          <w:lang w:val="en-GB"/>
        </w:rPr>
        <w:t xml:space="preserve"> spores in a forest nursery.</w:t>
      </w:r>
    </w:p>
    <w:bookmarkEnd w:id="39"/>
    <w:p w14:paraId="236A5946" w14:textId="39692077">
      <w:pPr>
        <w:pStyle w:val="IPPParagraphnumberingclose"/>
        <w:numPr>
          <w:ilvl w:val="0"/>
          <w:numId w:val="0"/>
        </w:numPr>
        <w:rPr>
          <w:lang w:val="en-GB"/>
        </w:rPr>
      </w:pPr>
      <w:r>
        <w:rPr>
          <w:rStyle w:val="PleaseReviewParagraphId"/>
          <w:b w:val="off"/>
          <w:i w:val="off"/>
        </w:rPr>
        <w:t>[487]</w:t>
      </w:r>
      <w:r>
        <w:rPr>
          <w:lang w:val="en-GB"/>
        </w:rPr>
        <w:t xml:space="preserve">The master mix and cycling parameters for the multiplex real-time PCR are described in Table 9. The primers and probes (Lamarche </w:t>
      </w:r>
      <w:r>
        <w:rPr>
          <w:i/>
          <w:lang w:val="en-GB"/>
        </w:rPr>
        <w:t>et al</w:t>
      </w:r>
      <w:r>
        <w:rPr>
          <w:lang w:val="en-GB"/>
        </w:rPr>
        <w:t>., 2017) are as follows:</w:t>
      </w:r>
    </w:p>
    <w:p w14:paraId="3B0BF4E2" w14:textId="62874C6F">
      <w:pPr>
        <w:pStyle w:val="IPPIndentClose"/>
      </w:pPr>
      <w:r>
        <w:rPr>
          <w:rStyle w:val="PleaseReviewParagraphId"/>
          <w:b w:val="off"/>
          <w:i w:val="off"/>
        </w:rPr>
        <w:t>[488]</w:t>
      </w:r>
      <w:r>
        <w:t xml:space="preserve">For </w:t>
      </w:r>
      <w:r>
        <w:rPr>
          <w:i/>
          <w:iCs/>
        </w:rPr>
        <w:t>Heterobasidion annosum s.l.</w:t>
      </w:r>
      <w:r>
        <w:t>:</w:t>
      </w:r>
    </w:p>
    <w:p w14:paraId="0DB84678" w14:textId="5B3AC5F3">
      <w:pPr>
        <w:pStyle w:val="IPPIndentClose"/>
      </w:pPr>
      <w:r>
        <w:rPr>
          <w:rStyle w:val="PleaseReviewParagraphId"/>
          <w:b w:val="off"/>
          <w:i w:val="off"/>
        </w:rPr>
        <w:t>[489]</w:t>
      </w:r>
      <w:r>
        <w:t xml:space="preserve">Hannosum_sl_F388 (forward primer): 5′-GAG ATC CAT TGT TGA AAG TTG TAT A-3′ </w:t>
      </w:r>
    </w:p>
    <w:p w14:paraId="717417E6" w14:textId="21AAE9EB">
      <w:pPr>
        <w:pStyle w:val="IPPIndentClose"/>
      </w:pPr>
      <w:r>
        <w:rPr>
          <w:rStyle w:val="PleaseReviewParagraphId"/>
          <w:b w:val="off"/>
          <w:i w:val="off"/>
        </w:rPr>
        <w:t>[490]</w:t>
      </w:r>
      <w:r>
        <w:t>Hannosum_sl_R591 (reverse primer): 5′-GAA TAT CGT GCR RGG TTG AA-3′</w:t>
      </w:r>
    </w:p>
    <w:p w14:paraId="1AD8ECB4" w14:textId="78749E83">
      <w:pPr>
        <w:pStyle w:val="IPPIndent"/>
        <w:ind w:left="1134" w:hanging="567"/>
      </w:pPr>
      <w:r>
        <w:rPr>
          <w:rStyle w:val="PleaseReviewParagraphId"/>
          <w:b w:val="off"/>
          <w:i w:val="off"/>
        </w:rPr>
        <w:t>[491]</w:t>
      </w:r>
      <w:r>
        <w:t>Hannosum_sl_T512RC (probe): 6FAM-5′-CCA TCT CAC/ZEN/ACC TGT GCA CAC TC-3′-3IABkFQ</w:t>
      </w:r>
    </w:p>
    <w:p w14:paraId="1A9EE75B" w14:textId="555EA2D1">
      <w:pPr>
        <w:pStyle w:val="IPPIndentClose"/>
      </w:pPr>
      <w:r>
        <w:rPr>
          <w:rStyle w:val="PleaseReviewParagraphId"/>
          <w:b w:val="off"/>
          <w:i w:val="off"/>
        </w:rPr>
        <w:t>[492]</w:t>
      </w:r>
      <w:r>
        <w:t xml:space="preserve">For </w:t>
      </w:r>
      <w:r>
        <w:rPr>
          <w:i/>
          <w:iCs/>
        </w:rPr>
        <w:t>Heterobasidion annosum s.s.</w:t>
      </w:r>
      <w:r>
        <w:t>:</w:t>
      </w:r>
    </w:p>
    <w:p w14:paraId="429CBEAD" w14:textId="0F892E7F">
      <w:pPr>
        <w:pStyle w:val="IPPIndentClose"/>
      </w:pPr>
      <w:r>
        <w:rPr>
          <w:rStyle w:val="PleaseReviewParagraphId"/>
          <w:b w:val="off"/>
          <w:i w:val="off"/>
        </w:rPr>
        <w:t>[493]</w:t>
      </w:r>
      <w:r>
        <w:t xml:space="preserve">Hannosum_ss_4A/T_F435 (forward primer): 5′-CCA TTC TAA AGA CAT ACG ATG AG-3′ </w:t>
      </w:r>
    </w:p>
    <w:p w14:paraId="124BC45F" w14:textId="66C183F0">
      <w:pPr>
        <w:pStyle w:val="IPPIndentClose"/>
      </w:pPr>
      <w:r>
        <w:rPr>
          <w:rStyle w:val="PleaseReviewParagraphId"/>
          <w:b w:val="off"/>
          <w:i w:val="off"/>
        </w:rPr>
        <w:t>[494]</w:t>
      </w:r>
      <w:r>
        <w:t>Hannosum_ss_R501 (reverse primer): 5′-GTC GGG TTC TTT TGA C-3′</w:t>
      </w:r>
    </w:p>
    <w:p w14:paraId="7FB93BF6" w14:textId="160E230A">
      <w:pPr>
        <w:pStyle w:val="IPPIndent"/>
        <w:ind w:left="1134" w:hanging="567"/>
      </w:pPr>
      <w:r>
        <w:rPr>
          <w:rStyle w:val="PleaseReviewParagraphId"/>
          <w:b w:val="off"/>
          <w:i w:val="off"/>
        </w:rPr>
        <w:t>[495]</w:t>
      </w:r>
      <w:r>
        <w:t xml:space="preserve">Hannosum_ss_irregulare_T464RC (probe): </w:t>
      </w:r>
      <w:bookmarkStart w:name="_Hlk136850942" w:id="40"/>
      <w:r>
        <w:t>6FAM-5′- TTC CGA GCC/ZEN/GCG TCT TCT-3′-3IABkFQ</w:t>
      </w:r>
      <w:bookmarkEnd w:id="40"/>
    </w:p>
    <w:p w14:paraId="67204452" w14:textId="132B121A">
      <w:pPr>
        <w:pStyle w:val="IPPIndentClose"/>
      </w:pPr>
      <w:r>
        <w:rPr>
          <w:rStyle w:val="PleaseReviewParagraphId"/>
          <w:b w:val="off"/>
          <w:i w:val="off"/>
        </w:rPr>
        <w:t>[496]</w:t>
      </w:r>
      <w:r>
        <w:t xml:space="preserve">For </w:t>
      </w:r>
      <w:r>
        <w:rPr>
          <w:i/>
          <w:iCs/>
        </w:rPr>
        <w:t>Heterobasidion irregulare</w:t>
      </w:r>
      <w:r>
        <w:t>:</w:t>
      </w:r>
    </w:p>
    <w:p w14:paraId="519DD3E3" w14:textId="199FA4E6">
      <w:pPr>
        <w:pStyle w:val="IPPIndentClose"/>
      </w:pPr>
      <w:r>
        <w:rPr>
          <w:rStyle w:val="PleaseReviewParagraphId"/>
          <w:b w:val="off"/>
          <w:i w:val="off"/>
        </w:rPr>
        <w:t>[497]</w:t>
      </w:r>
      <w:r>
        <w:t xml:space="preserve">Hirregulare_4A/G_F435 (forward primer): 5′-CAT TCT GAA GAC ATA CGA GGG A-3′ </w:t>
      </w:r>
    </w:p>
    <w:p w14:paraId="2ED68EBF" w14:textId="20A9E612">
      <w:pPr>
        <w:pStyle w:val="IPPIndentClose"/>
      </w:pPr>
      <w:r>
        <w:rPr>
          <w:rStyle w:val="PleaseReviewParagraphId"/>
          <w:b w:val="off"/>
          <w:i w:val="off"/>
        </w:rPr>
        <w:t>[498]</w:t>
      </w:r>
      <w:r>
        <w:t>Hirregulare_R500 (reverse primer): 5′-GGT CGG GTT CTT TTG AT-3′</w:t>
      </w:r>
    </w:p>
    <w:p w14:paraId="782F02B6" w14:textId="6A638E86">
      <w:pPr>
        <w:pStyle w:val="IPPIndent"/>
        <w:ind w:left="1134" w:hanging="567"/>
      </w:pPr>
      <w:r>
        <w:rPr>
          <w:rStyle w:val="PleaseReviewParagraphId"/>
          <w:b w:val="off"/>
          <w:i w:val="off"/>
        </w:rPr>
        <w:t>[499]</w:t>
      </w:r>
      <w:r>
        <w:t>Hannosum_ss_irregulare_T464RC (probe): 6FAM-5′-TTC CGA GCC/ZEN/GCG TCT TCT-3′-3IABkFQ</w:t>
      </w:r>
    </w:p>
    <w:p w14:paraId="22682658" w14:textId="1ADE6399">
      <w:pPr>
        <w:pStyle w:val="IPPIndentClose"/>
      </w:pPr>
      <w:r>
        <w:rPr>
          <w:rStyle w:val="PleaseReviewParagraphId"/>
          <w:b w:val="off"/>
          <w:i w:val="off"/>
        </w:rPr>
        <w:t>[500]</w:t>
      </w:r>
      <w:r>
        <w:t xml:space="preserve">For </w:t>
      </w:r>
      <w:r>
        <w:rPr>
          <w:i/>
          <w:iCs/>
        </w:rPr>
        <w:t>Heterobasidion occidentale</w:t>
      </w:r>
      <w:r>
        <w:t>:</w:t>
      </w:r>
    </w:p>
    <w:p w14:paraId="569CB0E7" w14:textId="43C77D68">
      <w:pPr>
        <w:pStyle w:val="IPPIndentClose"/>
      </w:pPr>
      <w:r>
        <w:rPr>
          <w:rStyle w:val="PleaseReviewParagraphId"/>
          <w:b w:val="off"/>
          <w:i w:val="off"/>
        </w:rPr>
        <w:t>[501]</w:t>
      </w:r>
      <w:r>
        <w:t>Hoccidentale_2C/T_F60 (forward primer): 5′-TCT TTC GAC GGT TGG AAG TG-3′</w:t>
      </w:r>
    </w:p>
    <w:p w14:paraId="543B7505" w14:textId="61C935F2">
      <w:pPr>
        <w:pStyle w:val="IPPIndentClose"/>
      </w:pPr>
      <w:r>
        <w:rPr>
          <w:rStyle w:val="PleaseReviewParagraphId"/>
          <w:b w:val="off"/>
          <w:i w:val="off"/>
        </w:rPr>
        <w:t>[502]</w:t>
      </w:r>
      <w:r>
        <w:t>Hoccidentale_3C/G_R195 (reverse primer): 5′-GAG GCT TTG CTG GTC GTT-3′</w:t>
      </w:r>
    </w:p>
    <w:p w14:paraId="08051843" w14:textId="3770982B">
      <w:pPr>
        <w:pStyle w:val="IPPIndent"/>
      </w:pPr>
      <w:r>
        <w:rPr>
          <w:rStyle w:val="PleaseReviewParagraphId"/>
          <w:b w:val="off"/>
          <w:i w:val="off"/>
        </w:rPr>
        <w:t>[503]</w:t>
      </w:r>
      <w:r>
        <w:t>Hoccidentale_T96RC (probe): 6FAM-5′-CGT GGG+T+A+C GCC-3′-3IABkFQ</w:t>
      </w:r>
    </w:p>
    <w:p w14:paraId="0589AD26" w14:textId="0D723DCC">
      <w:pPr>
        <w:pStyle w:val="IPPArial"/>
        <w:keepNext/>
        <w:spacing w:after="120"/>
      </w:pPr>
      <w:r>
        <w:rPr>
          <w:rStyle w:val="PleaseReviewParagraphId"/>
          <w:b w:val="off"/>
          <w:i w:val="off"/>
        </w:rPr>
        <w:t>[504]</w:t>
      </w:r>
      <w:r>
        <w:rPr>
          <w:b/>
          <w:bCs/>
        </w:rPr>
        <w:t>Table 9.</w:t>
      </w:r>
      <w:r>
        <w:t xml:space="preserve"> Master mix composition and cycling parameters for multiplex real-time PCR targeting </w:t>
      </w:r>
      <w:r>
        <w:rPr>
          <w:i/>
        </w:rPr>
        <w:t>Heterobasidion annosum sensu lato,</w:t>
      </w:r>
      <w:r>
        <w:t xml:space="preserve"> </w:t>
      </w:r>
      <w:r>
        <w:rPr>
          <w:i/>
        </w:rPr>
        <w:t>H. annosum sensu stricto, H. irregulare</w:t>
      </w:r>
      <w:r>
        <w:t xml:space="preserve"> and </w:t>
      </w:r>
      <w:r>
        <w:rPr>
          <w:i/>
        </w:rPr>
        <w:t>H. occidentale</w:t>
      </w:r>
    </w:p>
    <w:tbl>
      <w:tblPr>
        <w:tblStyle w:val="TableGrid"/>
        <w:tblW w:w="0" w:type="auto"/>
        <w:tblLook w:val="04A0" w:firstRow="1" w:lastRow="0" w:firstColumn="1" w:lastColumn="0" w:noHBand="0" w:noVBand="1"/>
      </w:tblPr>
      <w:tblGrid>
        <w:gridCol w:w="4962"/>
        <w:gridCol w:w="2409"/>
      </w:tblGrid>
      <w:tr w14:paraId="5C8C26EF" w14:textId="77777777">
        <w:tc>
          <w:tcPr>
            <w:tcW w:w="4962" w:type="dxa"/>
            <w:tcBorders>
              <w:left w:val="nil"/>
              <w:bottom w:val="single" w:color="auto" w:sz="4" w:space="0"/>
              <w:right w:val="nil"/>
            </w:tcBorders>
            <w:shd w:val="clear" w:color="auto" w:fill="BFBFBF" w:themeFill="background1" w:themeFillShade="BF"/>
          </w:tcPr>
          <w:p w14:paraId="53D21156" w14:textId="531FF583">
            <w:pPr>
              <w:pStyle w:val="IPPArialTable"/>
              <w:rPr>
                <w:b/>
                <w:bCs/>
              </w:rPr>
            </w:pPr>
            <w:r>
              <w:rPr>
                <w:rStyle w:val="PleaseReviewParagraphId"/>
                <w:b w:val="off"/>
                <w:i w:val="off"/>
              </w:rPr>
              <w:t>[505]</w:t>
            </w:r>
            <w:r>
              <w:rPr>
                <w:b/>
                <w:bCs/>
              </w:rPr>
              <w:t>Reagents</w:t>
            </w:r>
          </w:p>
        </w:tc>
        <w:tc>
          <w:tcPr>
            <w:tcW w:w="2409" w:type="dxa"/>
            <w:tcBorders>
              <w:left w:val="nil"/>
              <w:bottom w:val="single" w:color="auto" w:sz="4" w:space="0"/>
              <w:right w:val="nil"/>
            </w:tcBorders>
            <w:shd w:val="clear" w:color="auto" w:fill="BFBFBF" w:themeFill="background1" w:themeFillShade="BF"/>
          </w:tcPr>
          <w:p w14:paraId="3CEFF4B9" w14:textId="77777777">
            <w:pPr>
              <w:pStyle w:val="IPPArialTable"/>
              <w:rPr>
                <w:b/>
                <w:bCs/>
              </w:rPr>
            </w:pPr>
            <w:r>
              <w:rPr>
                <w:rStyle w:val="PleaseReviewParagraphId"/>
                <w:b w:val="off"/>
                <w:i w:val="off"/>
              </w:rPr>
              <w:t>[506]</w:t>
            </w:r>
            <w:r>
              <w:rPr>
                <w:b/>
                <w:bCs/>
              </w:rPr>
              <w:t>Final concentration</w:t>
            </w:r>
          </w:p>
        </w:tc>
      </w:tr>
      <w:tr w14:paraId="59B8533D" w14:textId="77777777">
        <w:tc>
          <w:tcPr>
            <w:tcW w:w="4962" w:type="dxa"/>
            <w:tcBorders>
              <w:left w:val="nil"/>
              <w:bottom w:val="nil"/>
              <w:right w:val="nil"/>
            </w:tcBorders>
          </w:tcPr>
          <w:p w14:paraId="07BE94D7" w14:textId="5631D4E0">
            <w:pPr>
              <w:pStyle w:val="IPPArialTable"/>
            </w:pPr>
            <w:r>
              <w:rPr>
                <w:rStyle w:val="PleaseReviewParagraphId"/>
                <w:b w:val="off"/>
                <w:i w:val="off"/>
              </w:rPr>
              <w:t>[507]</w:t>
            </w:r>
            <w:r>
              <w:t>PCR-grade water</w:t>
            </w:r>
          </w:p>
        </w:tc>
        <w:tc>
          <w:tcPr>
            <w:tcW w:w="2409" w:type="dxa"/>
            <w:tcBorders>
              <w:left w:val="nil"/>
              <w:bottom w:val="nil"/>
              <w:right w:val="nil"/>
            </w:tcBorders>
          </w:tcPr>
          <w:p w14:paraId="3560B2CE" w14:textId="00D2E35B">
            <w:pPr>
              <w:pStyle w:val="IPPArialTable"/>
            </w:pPr>
            <w:r>
              <w:rPr>
                <w:rStyle w:val="PleaseReviewParagraphId"/>
                <w:b w:val="off"/>
                <w:i w:val="off"/>
              </w:rPr>
              <w:t>[508]</w:t>
            </w:r>
            <w:r>
              <w:rPr>
                <w:rFonts w:ascii="ArialMT" w:hAnsi="ArialMT" w:cs="ArialMT" w:eastAsiaTheme="minorHAnsi"/>
                <w:szCs w:val="20"/>
                <w:vertAlign w:val="superscript"/>
              </w:rPr>
              <w:t>†</w:t>
            </w:r>
          </w:p>
        </w:tc>
      </w:tr>
      <w:tr w14:paraId="6D0CC735" w14:textId="77777777">
        <w:tc>
          <w:tcPr>
            <w:tcW w:w="4962" w:type="dxa"/>
            <w:tcBorders>
              <w:top w:val="nil"/>
              <w:left w:val="nil"/>
              <w:bottom w:val="nil"/>
              <w:right w:val="nil"/>
            </w:tcBorders>
          </w:tcPr>
          <w:p w14:paraId="0F5E332A" w14:textId="2DDE81C9">
            <w:pPr>
              <w:pStyle w:val="IPPArialTable"/>
            </w:pPr>
            <w:r>
              <w:rPr>
                <w:rStyle w:val="PleaseReviewParagraphId"/>
                <w:b w:val="off"/>
                <w:i w:val="off"/>
              </w:rPr>
              <w:t>[509]</w:t>
            </w:r>
            <w:r>
              <w:t>QuantiTect Multiplex PCR NoROX master mix (QIAGEN)</w:t>
            </w:r>
            <w:r>
              <w:rPr>
                <w:rFonts w:cs="Arial"/>
                <w:vertAlign w:val="superscript"/>
              </w:rPr>
              <w:t>‡</w:t>
            </w:r>
            <w:r>
              <w:t xml:space="preserve"> </w:t>
            </w:r>
          </w:p>
        </w:tc>
        <w:tc>
          <w:tcPr>
            <w:tcW w:w="2409" w:type="dxa"/>
            <w:tcBorders>
              <w:top w:val="nil"/>
              <w:left w:val="nil"/>
              <w:bottom w:val="nil"/>
              <w:right w:val="nil"/>
            </w:tcBorders>
          </w:tcPr>
          <w:p w14:paraId="2BDD8A3B" w14:textId="77777777">
            <w:pPr>
              <w:pStyle w:val="IPPArialTable"/>
            </w:pPr>
            <w:r>
              <w:rPr>
                <w:rStyle w:val="PleaseReviewParagraphId"/>
                <w:b w:val="off"/>
                <w:i w:val="off"/>
              </w:rPr>
              <w:t>[510]</w:t>
            </w:r>
            <w:r>
              <w:t>1×</w:t>
            </w:r>
          </w:p>
        </w:tc>
      </w:tr>
      <w:tr w14:paraId="6729223C" w14:textId="77777777">
        <w:tc>
          <w:tcPr>
            <w:tcW w:w="4962" w:type="dxa"/>
            <w:tcBorders>
              <w:top w:val="nil"/>
              <w:left w:val="nil"/>
              <w:bottom w:val="nil"/>
              <w:right w:val="nil"/>
            </w:tcBorders>
          </w:tcPr>
          <w:p w14:paraId="2DBA9E70" w14:textId="45BA685C">
            <w:pPr>
              <w:pStyle w:val="IPPArialTable"/>
            </w:pPr>
            <w:r>
              <w:rPr>
                <w:rStyle w:val="PleaseReviewParagraphId"/>
                <w:b w:val="off"/>
                <w:i w:val="off"/>
              </w:rPr>
              <w:t>[511]</w:t>
            </w:r>
            <w:r>
              <w:t>Forward primer</w:t>
            </w:r>
          </w:p>
        </w:tc>
        <w:tc>
          <w:tcPr>
            <w:tcW w:w="2409" w:type="dxa"/>
            <w:tcBorders>
              <w:top w:val="nil"/>
              <w:left w:val="nil"/>
              <w:bottom w:val="nil"/>
              <w:right w:val="nil"/>
            </w:tcBorders>
          </w:tcPr>
          <w:p w14:paraId="6B5CEE26" w14:textId="63349124">
            <w:pPr>
              <w:pStyle w:val="IPPArialTable"/>
            </w:pPr>
            <w:r>
              <w:rPr>
                <w:rStyle w:val="PleaseReviewParagraphId"/>
                <w:b w:val="off"/>
                <w:i w:val="off"/>
              </w:rPr>
              <w:t>[512]</w:t>
            </w:r>
            <w:r>
              <w:t>0.6 µM</w:t>
            </w:r>
          </w:p>
        </w:tc>
      </w:tr>
      <w:tr w14:paraId="717B47CE" w14:textId="77777777">
        <w:tc>
          <w:tcPr>
            <w:tcW w:w="4962" w:type="dxa"/>
            <w:tcBorders>
              <w:top w:val="nil"/>
              <w:left w:val="nil"/>
              <w:bottom w:val="nil"/>
              <w:right w:val="nil"/>
            </w:tcBorders>
          </w:tcPr>
          <w:p w14:paraId="30135082" w14:textId="107C7236">
            <w:pPr>
              <w:pStyle w:val="IPPArialTable"/>
            </w:pPr>
            <w:r>
              <w:rPr>
                <w:rStyle w:val="PleaseReviewParagraphId"/>
                <w:b w:val="off"/>
                <w:i w:val="off"/>
              </w:rPr>
              <w:t>[513]</w:t>
            </w:r>
            <w:r>
              <w:t>Reverse primer</w:t>
            </w:r>
          </w:p>
        </w:tc>
        <w:tc>
          <w:tcPr>
            <w:tcW w:w="2409" w:type="dxa"/>
            <w:tcBorders>
              <w:top w:val="nil"/>
              <w:left w:val="nil"/>
              <w:bottom w:val="nil"/>
              <w:right w:val="nil"/>
            </w:tcBorders>
          </w:tcPr>
          <w:p w14:paraId="7004569A" w14:textId="084BE890">
            <w:pPr>
              <w:pStyle w:val="IPPArialTable"/>
            </w:pPr>
            <w:r>
              <w:rPr>
                <w:rStyle w:val="PleaseReviewParagraphId"/>
                <w:b w:val="off"/>
                <w:i w:val="off"/>
              </w:rPr>
              <w:t>[514]</w:t>
            </w:r>
            <w:r>
              <w:t>0.6 µM</w:t>
            </w:r>
          </w:p>
        </w:tc>
      </w:tr>
      <w:tr w14:paraId="0A3B9420" w14:textId="77777777">
        <w:tc>
          <w:tcPr>
            <w:tcW w:w="4962" w:type="dxa"/>
            <w:tcBorders>
              <w:top w:val="nil"/>
              <w:left w:val="nil"/>
              <w:bottom w:val="nil"/>
              <w:right w:val="nil"/>
            </w:tcBorders>
          </w:tcPr>
          <w:p w14:paraId="217E9F67" w14:textId="77777777">
            <w:pPr>
              <w:pStyle w:val="IPPArialTable"/>
            </w:pPr>
            <w:r>
              <w:rPr>
                <w:rStyle w:val="PleaseReviewParagraphId"/>
                <w:b w:val="off"/>
                <w:i w:val="off"/>
              </w:rPr>
              <w:t>[515]</w:t>
            </w:r>
            <w:r>
              <w:t>Probe</w:t>
            </w:r>
          </w:p>
        </w:tc>
        <w:tc>
          <w:tcPr>
            <w:tcW w:w="2409" w:type="dxa"/>
            <w:tcBorders>
              <w:top w:val="nil"/>
              <w:left w:val="nil"/>
              <w:bottom w:val="nil"/>
              <w:right w:val="nil"/>
            </w:tcBorders>
          </w:tcPr>
          <w:p w14:paraId="11B5E5BF" w14:textId="3576EE1F">
            <w:pPr>
              <w:pStyle w:val="IPPArialTable"/>
            </w:pPr>
            <w:r>
              <w:rPr>
                <w:rStyle w:val="PleaseReviewParagraphId"/>
                <w:b w:val="off"/>
                <w:i w:val="off"/>
              </w:rPr>
              <w:t>[516]</w:t>
            </w:r>
            <w:r>
              <w:t>1 µM</w:t>
            </w:r>
          </w:p>
        </w:tc>
      </w:tr>
      <w:tr w14:paraId="6774C43C" w14:textId="77777777">
        <w:tc>
          <w:tcPr>
            <w:tcW w:w="4962" w:type="dxa"/>
            <w:tcBorders>
              <w:top w:val="single" w:color="auto" w:sz="4" w:space="0"/>
              <w:left w:val="nil"/>
              <w:bottom w:val="single" w:color="auto" w:sz="4" w:space="0"/>
              <w:right w:val="nil"/>
            </w:tcBorders>
          </w:tcPr>
          <w:p w14:paraId="2D6F7046" w14:textId="502C7181">
            <w:pPr>
              <w:pStyle w:val="IPPArialTable"/>
            </w:pPr>
            <w:r>
              <w:rPr>
                <w:rStyle w:val="PleaseReviewParagraphId"/>
                <w:b w:val="off"/>
                <w:i w:val="off"/>
              </w:rPr>
              <w:t>[517]</w:t>
            </w:r>
            <w:r>
              <w:t>DNA (volume)</w:t>
            </w:r>
          </w:p>
        </w:tc>
        <w:tc>
          <w:tcPr>
            <w:tcW w:w="2409" w:type="dxa"/>
            <w:tcBorders>
              <w:top w:val="single" w:color="auto" w:sz="4" w:space="0"/>
              <w:left w:val="nil"/>
              <w:bottom w:val="single" w:color="auto" w:sz="4" w:space="0"/>
              <w:right w:val="nil"/>
            </w:tcBorders>
          </w:tcPr>
          <w:p w14:paraId="2732EB2C" w14:textId="62208657">
            <w:pPr>
              <w:pStyle w:val="IPPArialTable"/>
            </w:pPr>
            <w:r>
              <w:rPr>
                <w:rStyle w:val="PleaseReviewParagraphId"/>
                <w:b w:val="off"/>
                <w:i w:val="off"/>
              </w:rPr>
              <w:t>[518]</w:t>
            </w:r>
            <w:r>
              <w:t>1 µL</w:t>
            </w:r>
          </w:p>
        </w:tc>
      </w:tr>
      <w:tr w14:paraId="5CEFCBE9" w14:textId="77777777">
        <w:tc>
          <w:tcPr>
            <w:tcW w:w="7371" w:type="dxa"/>
            <w:gridSpan w:val="2"/>
            <w:tcBorders>
              <w:left w:val="nil"/>
              <w:bottom w:val="single" w:color="auto" w:sz="4" w:space="0"/>
              <w:right w:val="nil"/>
            </w:tcBorders>
            <w:shd w:val="clear" w:color="auto" w:fill="BFBFBF" w:themeFill="background1" w:themeFillShade="BF"/>
          </w:tcPr>
          <w:p w14:paraId="0599160E" w14:textId="77777777">
            <w:pPr>
              <w:pStyle w:val="IPPArialTable"/>
              <w:rPr>
                <w:b/>
                <w:bCs/>
              </w:rPr>
            </w:pPr>
            <w:r>
              <w:rPr>
                <w:rStyle w:val="PleaseReviewParagraphId"/>
                <w:b w:val="off"/>
                <w:i w:val="off"/>
              </w:rPr>
              <w:t>[519]</w:t>
            </w:r>
            <w:r>
              <w:rPr>
                <w:b/>
                <w:bCs/>
              </w:rPr>
              <w:t>Cycling parameters</w:t>
            </w:r>
          </w:p>
        </w:tc>
      </w:tr>
      <w:tr w14:paraId="6D2A5423" w14:textId="77777777">
        <w:tc>
          <w:tcPr>
            <w:tcW w:w="4962" w:type="dxa"/>
            <w:tcBorders>
              <w:top w:val="single" w:color="auto" w:sz="4" w:space="0"/>
              <w:left w:val="nil"/>
              <w:bottom w:val="nil"/>
              <w:right w:val="nil"/>
            </w:tcBorders>
          </w:tcPr>
          <w:p w14:paraId="766E85A7" w14:textId="77777777">
            <w:pPr>
              <w:pStyle w:val="IPPArialTable"/>
            </w:pPr>
            <w:r>
              <w:rPr>
                <w:rStyle w:val="PleaseReviewParagraphId"/>
                <w:b w:val="off"/>
                <w:i w:val="off"/>
              </w:rPr>
              <w:t>[520]</w:t>
            </w:r>
            <w:r>
              <w:t>Initial denaturation</w:t>
            </w:r>
          </w:p>
        </w:tc>
        <w:tc>
          <w:tcPr>
            <w:tcW w:w="2409" w:type="dxa"/>
            <w:tcBorders>
              <w:top w:val="single" w:color="auto" w:sz="4" w:space="0"/>
              <w:left w:val="nil"/>
              <w:bottom w:val="nil"/>
              <w:right w:val="nil"/>
            </w:tcBorders>
          </w:tcPr>
          <w:p w14:paraId="090A59F9" w14:textId="14CEB051">
            <w:pPr>
              <w:pStyle w:val="IPPArialTable"/>
            </w:pPr>
            <w:r>
              <w:rPr>
                <w:rStyle w:val="PleaseReviewParagraphId"/>
                <w:b w:val="off"/>
                <w:i w:val="off"/>
              </w:rPr>
              <w:t>[521]</w:t>
            </w:r>
            <w:r>
              <w:t>95 °C for 15 min</w:t>
            </w:r>
          </w:p>
        </w:tc>
      </w:tr>
      <w:tr w14:paraId="3B6A6308" w14:textId="77777777">
        <w:tc>
          <w:tcPr>
            <w:tcW w:w="4962" w:type="dxa"/>
            <w:tcBorders>
              <w:top w:val="nil"/>
              <w:left w:val="nil"/>
              <w:bottom w:val="nil"/>
              <w:right w:val="nil"/>
            </w:tcBorders>
          </w:tcPr>
          <w:p w14:paraId="0BEAA2C7" w14:textId="77777777">
            <w:pPr>
              <w:pStyle w:val="IPPArialTable"/>
            </w:pPr>
            <w:r>
              <w:rPr>
                <w:rStyle w:val="PleaseReviewParagraphId"/>
                <w:b w:val="off"/>
                <w:i w:val="off"/>
              </w:rPr>
              <w:t>[522]</w:t>
            </w:r>
            <w:r>
              <w:lastRenderedPageBreak/>
              <w:t>Numbers of cycles</w:t>
            </w:r>
          </w:p>
        </w:tc>
        <w:tc>
          <w:tcPr>
            <w:tcW w:w="2409" w:type="dxa"/>
            <w:tcBorders>
              <w:top w:val="nil"/>
              <w:left w:val="nil"/>
              <w:bottom w:val="nil"/>
              <w:right w:val="nil"/>
            </w:tcBorders>
          </w:tcPr>
          <w:p w14:paraId="43735AAC" w14:textId="77CDC894">
            <w:pPr>
              <w:pStyle w:val="IPPArialTable"/>
            </w:pPr>
            <w:r>
              <w:rPr>
                <w:rStyle w:val="PleaseReviewParagraphId"/>
                <w:b w:val="off"/>
                <w:i w:val="off"/>
              </w:rPr>
              <w:t>[523]</w:t>
            </w:r>
            <w:r>
              <w:t>50</w:t>
            </w:r>
          </w:p>
        </w:tc>
      </w:tr>
      <w:tr w14:paraId="2D748C71" w14:textId="77777777">
        <w:tc>
          <w:tcPr>
            <w:tcW w:w="4962" w:type="dxa"/>
            <w:tcBorders>
              <w:top w:val="nil"/>
              <w:left w:val="nil"/>
              <w:bottom w:val="nil"/>
              <w:right w:val="nil"/>
            </w:tcBorders>
          </w:tcPr>
          <w:p w14:paraId="7B660EFB" w14:textId="77777777">
            <w:pPr>
              <w:pStyle w:val="IPPArialTable"/>
              <w:numPr>
                <w:ilvl w:val="0"/>
                <w:numId w:val="55"/>
              </w:numPr>
              <w:ind w:left="284" w:hanging="142"/>
            </w:pPr>
            <w:r>
              <w:rPr>
                <w:rStyle w:val="PleaseReviewParagraphId"/>
                <w:b w:val="off"/>
                <w:i w:val="off"/>
              </w:rPr>
              <w:t>[524]</w:t>
            </w:r>
            <w:r>
              <w:t>Denaturation</w:t>
            </w:r>
          </w:p>
        </w:tc>
        <w:tc>
          <w:tcPr>
            <w:tcW w:w="2409" w:type="dxa"/>
            <w:tcBorders>
              <w:top w:val="nil"/>
              <w:left w:val="nil"/>
              <w:bottom w:val="nil"/>
              <w:right w:val="nil"/>
            </w:tcBorders>
          </w:tcPr>
          <w:p w14:paraId="1559B4AA" w14:textId="584EDECD">
            <w:pPr>
              <w:pStyle w:val="IPPArialTable"/>
            </w:pPr>
            <w:r>
              <w:rPr>
                <w:rStyle w:val="PleaseReviewParagraphId"/>
                <w:b w:val="off"/>
                <w:i w:val="off"/>
              </w:rPr>
              <w:t>[525]</w:t>
            </w:r>
            <w:r>
              <w:t>95 °C for 15 s</w:t>
            </w:r>
          </w:p>
        </w:tc>
      </w:tr>
      <w:tr w14:paraId="7C4AE4DE" w14:textId="77777777">
        <w:tc>
          <w:tcPr>
            <w:tcW w:w="4962" w:type="dxa"/>
            <w:tcBorders>
              <w:top w:val="nil"/>
              <w:left w:val="nil"/>
              <w:bottom w:val="single" w:color="auto" w:sz="4" w:space="0"/>
              <w:right w:val="nil"/>
            </w:tcBorders>
          </w:tcPr>
          <w:p w14:paraId="6B3C84BE" w14:textId="279E365E">
            <w:pPr>
              <w:pStyle w:val="IPPArialTable"/>
              <w:numPr>
                <w:ilvl w:val="0"/>
                <w:numId w:val="55"/>
              </w:numPr>
              <w:ind w:left="284" w:hanging="142"/>
            </w:pPr>
            <w:r>
              <w:rPr>
                <w:rStyle w:val="PleaseReviewParagraphId"/>
                <w:b w:val="off"/>
                <w:i w:val="off"/>
              </w:rPr>
              <w:t>[526]</w:t>
            </w:r>
            <w:r>
              <w:t>Annealing and elongation</w:t>
            </w:r>
          </w:p>
        </w:tc>
        <w:tc>
          <w:tcPr>
            <w:tcW w:w="2409" w:type="dxa"/>
            <w:tcBorders>
              <w:top w:val="nil"/>
              <w:left w:val="nil"/>
              <w:bottom w:val="single" w:color="auto" w:sz="4" w:space="0"/>
              <w:right w:val="nil"/>
            </w:tcBorders>
          </w:tcPr>
          <w:p w14:paraId="0BBD67FC" w14:textId="7B9886CB">
            <w:pPr>
              <w:pStyle w:val="IPPArialTable"/>
            </w:pPr>
            <w:r>
              <w:rPr>
                <w:rStyle w:val="PleaseReviewParagraphId"/>
                <w:b w:val="off"/>
                <w:i w:val="off"/>
              </w:rPr>
              <w:t>[527]</w:t>
            </w:r>
            <w:r>
              <w:t>60 °C for 90 s</w:t>
            </w:r>
          </w:p>
        </w:tc>
      </w:tr>
    </w:tbl>
    <w:p w14:paraId="57B989DB" w14:textId="6BC7B3D3">
      <w:pPr>
        <w:pStyle w:val="IPPArialFootnote"/>
      </w:pPr>
      <w:r>
        <w:rPr>
          <w:rStyle w:val="PleaseReviewParagraphId"/>
          <w:b w:val="off"/>
          <w:i w:val="off"/>
        </w:rPr>
        <w:t>[528]</w:t>
      </w:r>
      <w:r>
        <w:rPr>
          <w:rFonts w:ascii="ArialMT" w:hAnsi="ArialMT" w:cs="ArialMT" w:eastAsiaTheme="minorHAnsi"/>
          <w:i/>
          <w:iCs/>
        </w:rPr>
        <w:t xml:space="preserve">Notes: </w:t>
      </w:r>
      <w:r>
        <w:rPr>
          <w:rFonts w:ascii="ArialMT" w:hAnsi="ArialMT" w:cs="ArialMT" w:eastAsiaTheme="minorHAnsi"/>
          <w:vertAlign w:val="superscript"/>
        </w:rPr>
        <w:t xml:space="preserve">† </w:t>
      </w:r>
      <w:r>
        <w:t>For a final reaction volume of 10 µL.</w:t>
      </w:r>
    </w:p>
    <w:p w14:paraId="0C667D54" w14:textId="2324BFDA">
      <w:pPr>
        <w:pStyle w:val="IPPArialFootnote"/>
      </w:pPr>
      <w:r>
        <w:rPr>
          <w:rStyle w:val="PleaseReviewParagraphId"/>
          <w:b w:val="off"/>
          <w:i w:val="off"/>
        </w:rPr>
        <w:t>[529]</w:t>
      </w:r>
      <w:r>
        <w:rPr>
          <w:rFonts w:cs="Arial"/>
          <w:vertAlign w:val="superscript"/>
        </w:rPr>
        <w:t>‡</w:t>
      </w:r>
      <w:r>
        <w:t xml:space="preserve"> See page footnote 2.</w:t>
      </w:r>
    </w:p>
    <w:p w14:paraId="216EB33A" w14:textId="72B97C5F">
      <w:pPr>
        <w:pStyle w:val="IPPArialFootnote"/>
      </w:pPr>
      <w:r>
        <w:rPr>
          <w:rStyle w:val="PleaseReviewParagraphId"/>
          <w:b w:val="off"/>
          <w:i w:val="off"/>
        </w:rPr>
        <w:t>[530]</w:t>
      </w:r>
      <w:r>
        <w:t>PCR, polymerase chain reaction.</w:t>
      </w:r>
    </w:p>
    <w:p w14:paraId="72971F03" w14:textId="331D90D7">
      <w:pPr>
        <w:pStyle w:val="IPPArialFootnote"/>
        <w:spacing w:after="180"/>
      </w:pPr>
      <w:r>
        <w:rPr>
          <w:rStyle w:val="PleaseReviewParagraphId"/>
          <w:b w:val="off"/>
          <w:i w:val="off"/>
        </w:rPr>
        <w:t>[531]</w:t>
      </w:r>
      <w:r>
        <w:rPr>
          <w:i/>
          <w:iCs/>
        </w:rPr>
        <w:t xml:space="preserve">Source: </w:t>
      </w:r>
      <w:r>
        <w:t xml:space="preserve">Lamarche J., Potvin, A., Stewart, D., Blais, M., Pelletier, G., Shamoun, S.F., Hamelin, R.C. &amp; Tanguay, P. 2017. Real-time PCR assays for the detection of </w:t>
      </w:r>
      <w:r>
        <w:rPr>
          <w:i/>
        </w:rPr>
        <w:t>Heterobasidion irregulare</w:t>
      </w:r>
      <w:r>
        <w:t xml:space="preserve">, </w:t>
      </w:r>
      <w:r>
        <w:rPr>
          <w:i/>
        </w:rPr>
        <w:t>H. occidentale</w:t>
      </w:r>
      <w:r>
        <w:t xml:space="preserve">, </w:t>
      </w:r>
      <w:r>
        <w:rPr>
          <w:i/>
        </w:rPr>
        <w:t>H</w:t>
      </w:r>
      <w:r>
        <w:t>. </w:t>
      </w:r>
      <w:r>
        <w:rPr>
          <w:i/>
        </w:rPr>
        <w:t>annosum sensu stricto</w:t>
      </w:r>
      <w:r>
        <w:t xml:space="preserve"> and the </w:t>
      </w:r>
      <w:r>
        <w:rPr>
          <w:i/>
        </w:rPr>
        <w:t>Heterobasidion annosum</w:t>
      </w:r>
      <w:r>
        <w:t xml:space="preserve"> complex. </w:t>
      </w:r>
      <w:r>
        <w:rPr>
          <w:i/>
        </w:rPr>
        <w:t>Forest Pathology</w:t>
      </w:r>
      <w:r>
        <w:t xml:space="preserve">, 47: e12321. </w:t>
      </w:r>
      <w:hyperlink w:history="1" r:id="rId28">
        <w:r>
          <w:rPr>
            <w:rStyle w:val="Hyperlink"/>
          </w:rPr>
          <w:t>https://doi.org/10.1111/efp.12321</w:t>
        </w:r>
      </w:hyperlink>
      <w:bookmarkStart w:name="_Hlk118405795" w:id="41"/>
    </w:p>
    <w:bookmarkEnd w:id="41"/>
    <w:p w14:paraId="77246D37" w14:textId="104A4C12">
      <w:pPr>
        <w:pStyle w:val="IPPHeading3"/>
      </w:pPr>
      <w:r>
        <w:rPr>
          <w:rStyle w:val="PleaseReviewParagraphId"/>
          <w:b w:val="off"/>
          <w:i w:val="off"/>
        </w:rPr>
        <w:t>[532]</w:t>
      </w:r>
      <w:r>
        <w:t>3.4.4.2</w:t>
        <w:tab/>
        <w:t xml:space="preserve">Multiplex real-time PCR of Ioos </w:t>
      </w:r>
      <w:r>
        <w:rPr>
          <w:i w:val="0"/>
        </w:rPr>
        <w:t>et al.</w:t>
      </w:r>
      <w:r>
        <w:t xml:space="preserve"> (2019) targeting </w:t>
      </w:r>
      <w:r>
        <w:rPr>
          <w:i w:val="0"/>
        </w:rPr>
        <w:t xml:space="preserve">Heterobasidion </w:t>
      </w:r>
      <w:r>
        <w:rPr>
          <w:i w:val="0"/>
          <w:iCs/>
        </w:rPr>
        <w:t>abietinum</w:t>
      </w:r>
      <w:r>
        <w:t xml:space="preserve">, </w:t>
      </w:r>
      <w:r>
        <w:rPr>
          <w:i w:val="0"/>
          <w:iCs/>
        </w:rPr>
        <w:t>H. annosum s.s.</w:t>
      </w:r>
      <w:r>
        <w:t xml:space="preserve">, </w:t>
      </w:r>
      <w:r>
        <w:rPr>
          <w:i w:val="0"/>
          <w:iCs/>
        </w:rPr>
        <w:t>H. irregulare</w:t>
      </w:r>
      <w:r>
        <w:t xml:space="preserve"> and</w:t>
      </w:r>
      <w:r>
        <w:rPr>
          <w:i w:val="0"/>
          <w:iCs/>
        </w:rPr>
        <w:t xml:space="preserve"> H. parviporum </w:t>
      </w:r>
    </w:p>
    <w:p w14:paraId="0C04184B" w14:textId="01FE095E">
      <w:pPr>
        <w:pStyle w:val="IPPParagraphnumbering"/>
        <w:numPr>
          <w:ilvl w:val="0"/>
          <w:numId w:val="0"/>
        </w:numPr>
        <w:rPr>
          <w:lang w:val="en-GB"/>
        </w:rPr>
      </w:pPr>
      <w:r>
        <w:rPr>
          <w:rStyle w:val="PleaseReviewParagraphId"/>
          <w:b w:val="off"/>
          <w:i w:val="off"/>
        </w:rPr>
        <w:t>[533]</w:t>
      </w:r>
      <w:bookmarkStart w:name="_Hlk116329972" w:id="42"/>
      <w:r>
        <w:rPr>
          <w:lang w:val="en-GB"/>
        </w:rPr>
        <w:t xml:space="preserve">Ioos </w:t>
      </w:r>
      <w:r>
        <w:rPr>
          <w:i/>
          <w:iCs/>
          <w:lang w:val="en-GB"/>
        </w:rPr>
        <w:t>et al</w:t>
      </w:r>
      <w:r>
        <w:rPr>
          <w:lang w:val="en-GB"/>
        </w:rPr>
        <w:t xml:space="preserve">. (2019) developed real-time PCR detection methods for </w:t>
      </w:r>
      <w:bookmarkEnd w:id="42"/>
      <w:r>
        <w:rPr>
          <w:i/>
          <w:iCs/>
          <w:lang w:val="en-GB"/>
        </w:rPr>
        <w:t>H. </w:t>
      </w:r>
      <w:r>
        <w:rPr>
          <w:i/>
          <w:lang w:val="en-GB"/>
        </w:rPr>
        <w:t>abietinum</w:t>
      </w:r>
      <w:r>
        <w:rPr>
          <w:lang w:val="en-GB"/>
        </w:rPr>
        <w:t xml:space="preserve">, </w:t>
      </w:r>
      <w:r>
        <w:rPr>
          <w:i/>
          <w:iCs/>
          <w:lang w:val="en-GB"/>
        </w:rPr>
        <w:t>H. </w:t>
      </w:r>
      <w:r>
        <w:rPr>
          <w:i/>
          <w:lang w:val="en-GB"/>
        </w:rPr>
        <w:t>annosum</w:t>
      </w:r>
      <w:r>
        <w:rPr>
          <w:i/>
          <w:iCs/>
          <w:lang w:val="en-GB"/>
        </w:rPr>
        <w:t> s.s.</w:t>
      </w:r>
      <w:r>
        <w:rPr>
          <w:lang w:val="en-GB"/>
        </w:rPr>
        <w:t xml:space="preserve">, </w:t>
      </w:r>
      <w:r>
        <w:rPr>
          <w:i/>
          <w:iCs/>
          <w:lang w:val="en-GB"/>
        </w:rPr>
        <w:t>H. </w:t>
      </w:r>
      <w:r>
        <w:rPr>
          <w:i/>
          <w:lang w:val="en-GB"/>
        </w:rPr>
        <w:t xml:space="preserve">irregulare </w:t>
      </w:r>
      <w:r>
        <w:rPr>
          <w:lang w:val="en-GB"/>
        </w:rPr>
        <w:t>and</w:t>
      </w:r>
      <w:r>
        <w:rPr>
          <w:i/>
          <w:lang w:val="en-GB"/>
        </w:rPr>
        <w:t xml:space="preserve"> </w:t>
      </w:r>
      <w:r>
        <w:rPr>
          <w:i/>
          <w:iCs/>
          <w:lang w:val="en-GB"/>
        </w:rPr>
        <w:t>H. </w:t>
      </w:r>
      <w:r>
        <w:rPr>
          <w:i/>
          <w:lang w:val="en-GB"/>
        </w:rPr>
        <w:t>parviporum</w:t>
      </w:r>
      <w:r>
        <w:rPr>
          <w:lang w:val="en-GB"/>
        </w:rPr>
        <w:t>, which can be used individually or simultaneously by using probes labelled with species-specific fluorescent dyes. The primers and probes target a specific region of the DNA replication licensing factor (</w:t>
      </w:r>
      <w:r>
        <w:rPr>
          <w:i/>
          <w:lang w:val="en-GB"/>
        </w:rPr>
        <w:t>Mcm7</w:t>
      </w:r>
      <w:r>
        <w:rPr>
          <w:iCs/>
          <w:lang w:val="en-GB"/>
        </w:rPr>
        <w:t>)</w:t>
      </w:r>
      <w:r>
        <w:rPr>
          <w:lang w:val="en-GB"/>
        </w:rPr>
        <w:t xml:space="preserve"> for </w:t>
      </w:r>
      <w:r>
        <w:rPr>
          <w:i/>
          <w:iCs/>
          <w:lang w:val="en-GB"/>
        </w:rPr>
        <w:t>H. </w:t>
      </w:r>
      <w:r>
        <w:rPr>
          <w:i/>
          <w:lang w:val="en-GB"/>
        </w:rPr>
        <w:t>abietinum</w:t>
      </w:r>
      <w:r>
        <w:rPr>
          <w:lang w:val="en-GB"/>
        </w:rPr>
        <w:t xml:space="preserve">, </w:t>
      </w:r>
      <w:r>
        <w:rPr>
          <w:i/>
          <w:iCs/>
          <w:lang w:val="en-GB"/>
        </w:rPr>
        <w:t>H. </w:t>
      </w:r>
      <w:r>
        <w:rPr>
          <w:i/>
          <w:lang w:val="en-GB"/>
        </w:rPr>
        <w:t>annosum</w:t>
      </w:r>
      <w:r>
        <w:rPr>
          <w:i/>
          <w:iCs/>
          <w:lang w:val="en-GB"/>
        </w:rPr>
        <w:t> s.s.</w:t>
      </w:r>
      <w:r>
        <w:rPr>
          <w:lang w:val="en-GB"/>
        </w:rPr>
        <w:t xml:space="preserve"> and </w:t>
      </w:r>
      <w:r>
        <w:rPr>
          <w:i/>
          <w:iCs/>
          <w:lang w:val="en-GB"/>
        </w:rPr>
        <w:t>H. </w:t>
      </w:r>
      <w:r>
        <w:rPr>
          <w:i/>
          <w:lang w:val="en-GB"/>
        </w:rPr>
        <w:t>irregulare</w:t>
      </w:r>
      <w:r>
        <w:rPr>
          <w:lang w:val="en-GB"/>
        </w:rPr>
        <w:t>, and the RNA polymerase II large subunit (</w:t>
      </w:r>
      <w:r>
        <w:rPr>
          <w:i/>
          <w:lang w:val="en-GB"/>
        </w:rPr>
        <w:t>RPB1</w:t>
      </w:r>
      <w:r>
        <w:rPr>
          <w:iCs/>
          <w:lang w:val="en-GB"/>
        </w:rPr>
        <w:t>)</w:t>
      </w:r>
      <w:r>
        <w:rPr>
          <w:lang w:val="en-GB"/>
        </w:rPr>
        <w:t xml:space="preserve"> for </w:t>
      </w:r>
      <w:r>
        <w:rPr>
          <w:i/>
          <w:iCs/>
          <w:lang w:val="en-GB"/>
        </w:rPr>
        <w:t>H. </w:t>
      </w:r>
      <w:r>
        <w:rPr>
          <w:i/>
          <w:lang w:val="en-GB"/>
        </w:rPr>
        <w:t>parviporum</w:t>
      </w:r>
      <w:r>
        <w:rPr>
          <w:lang w:val="en-GB"/>
        </w:rPr>
        <w:t xml:space="preserve">. Preliminary attempts to use all four primer–probe sets in a single PCR tube (quadruplex PCR) showed an unacceptable loss of sensitivity. However, it was found that a triplex real-time PCR, using primers and probes for </w:t>
      </w:r>
      <w:r>
        <w:rPr>
          <w:i/>
          <w:iCs/>
          <w:lang w:val="en-GB"/>
        </w:rPr>
        <w:t>H. </w:t>
      </w:r>
      <w:r>
        <w:rPr>
          <w:i/>
          <w:lang w:val="en-GB"/>
        </w:rPr>
        <w:t xml:space="preserve">irregulare </w:t>
      </w:r>
      <w:r>
        <w:rPr>
          <w:lang w:val="en-GB"/>
        </w:rPr>
        <w:t xml:space="preserve">and </w:t>
      </w:r>
      <w:r>
        <w:rPr>
          <w:i/>
          <w:iCs/>
          <w:lang w:val="en-GB"/>
        </w:rPr>
        <w:t>H. </w:t>
      </w:r>
      <w:r>
        <w:rPr>
          <w:i/>
          <w:lang w:val="en-GB"/>
        </w:rPr>
        <w:t>parviporum</w:t>
      </w:r>
      <w:r>
        <w:rPr>
          <w:lang w:val="en-GB"/>
        </w:rPr>
        <w:t xml:space="preserve"> plus the FungiQuant primer–probe set of Liu </w:t>
      </w:r>
      <w:r>
        <w:rPr>
          <w:i/>
          <w:iCs/>
          <w:lang w:val="en-GB"/>
        </w:rPr>
        <w:t>et al</w:t>
      </w:r>
      <w:r>
        <w:rPr>
          <w:lang w:val="en-GB"/>
        </w:rPr>
        <w:t xml:space="preserve">. (2012) targeting the 18S rDNA of a broad range of fungal species, together with a duplex real-time PCR for </w:t>
      </w:r>
      <w:r>
        <w:rPr>
          <w:i/>
          <w:iCs/>
          <w:lang w:val="en-GB"/>
        </w:rPr>
        <w:t>H. </w:t>
      </w:r>
      <w:r>
        <w:rPr>
          <w:i/>
          <w:lang w:val="en-GB"/>
        </w:rPr>
        <w:t>abietinum</w:t>
      </w:r>
      <w:r>
        <w:rPr>
          <w:lang w:val="en-GB"/>
        </w:rPr>
        <w:t xml:space="preserve"> and </w:t>
      </w:r>
      <w:r>
        <w:rPr>
          <w:i/>
          <w:iCs/>
          <w:lang w:val="en-GB"/>
        </w:rPr>
        <w:t>H. </w:t>
      </w:r>
      <w:r>
        <w:rPr>
          <w:i/>
          <w:lang w:val="en-GB"/>
        </w:rPr>
        <w:t>annosum</w:t>
      </w:r>
      <w:r>
        <w:rPr>
          <w:i/>
          <w:iCs/>
          <w:lang w:val="en-GB"/>
        </w:rPr>
        <w:t> s.s.</w:t>
      </w:r>
      <w:r>
        <w:rPr>
          <w:lang w:val="en-GB"/>
        </w:rPr>
        <w:t>,</w:t>
      </w:r>
      <w:r>
        <w:rPr>
          <w:i/>
          <w:lang w:val="en-GB"/>
        </w:rPr>
        <w:t xml:space="preserve"> </w:t>
      </w:r>
      <w:r>
        <w:rPr>
          <w:lang w:val="en-GB"/>
        </w:rPr>
        <w:t xml:space="preserve">could be successfully achieved without compromising the sensitivity of each method. </w:t>
      </w:r>
    </w:p>
    <w:p w14:paraId="21F65B6D" w14:textId="00A287A7">
      <w:pPr>
        <w:pStyle w:val="IPPParagraphnumbering"/>
        <w:numPr>
          <w:ilvl w:val="0"/>
          <w:numId w:val="0"/>
        </w:numPr>
        <w:rPr>
          <w:lang w:val="en-GB"/>
        </w:rPr>
      </w:pPr>
      <w:r>
        <w:rPr>
          <w:rStyle w:val="PleaseReviewParagraphId"/>
          <w:b w:val="off"/>
          <w:i w:val="off"/>
        </w:rPr>
        <w:t>[534]</w:t>
      </w:r>
      <w:r>
        <w:rPr>
          <w:lang w:val="en-GB"/>
        </w:rPr>
        <w:t xml:space="preserve">Ioos </w:t>
      </w:r>
      <w:r>
        <w:rPr>
          <w:i/>
          <w:iCs/>
          <w:lang w:val="en-GB"/>
        </w:rPr>
        <w:t>et al</w:t>
      </w:r>
      <w:r>
        <w:rPr>
          <w:lang w:val="en-GB"/>
        </w:rPr>
        <w:t xml:space="preserve">. (2019) assessed the performance of the real-time PCR methods in triplex for </w:t>
      </w:r>
      <w:r>
        <w:rPr>
          <w:i/>
          <w:iCs/>
          <w:lang w:val="en-GB"/>
        </w:rPr>
        <w:t>H. </w:t>
      </w:r>
      <w:r>
        <w:rPr>
          <w:i/>
          <w:lang w:val="en-GB"/>
        </w:rPr>
        <w:t>irregulare</w:t>
      </w:r>
      <w:r>
        <w:rPr>
          <w:iCs/>
          <w:lang w:val="en-GB"/>
        </w:rPr>
        <w:t xml:space="preserve">, </w:t>
      </w:r>
      <w:r>
        <w:rPr>
          <w:i/>
          <w:iCs/>
          <w:lang w:val="en-GB"/>
        </w:rPr>
        <w:t>H. </w:t>
      </w:r>
      <w:r>
        <w:rPr>
          <w:i/>
          <w:lang w:val="en-GB"/>
        </w:rPr>
        <w:t>parviporum</w:t>
      </w:r>
      <w:r>
        <w:rPr>
          <w:iCs/>
          <w:lang w:val="en-GB"/>
        </w:rPr>
        <w:t xml:space="preserve"> and</w:t>
      </w:r>
      <w:r>
        <w:rPr>
          <w:lang w:val="en-GB"/>
        </w:rPr>
        <w:t xml:space="preserve"> FungiQuant and in duplex for </w:t>
      </w:r>
      <w:r>
        <w:rPr>
          <w:i/>
          <w:iCs/>
          <w:lang w:val="en-GB"/>
        </w:rPr>
        <w:t>H. </w:t>
      </w:r>
      <w:r>
        <w:rPr>
          <w:i/>
          <w:lang w:val="en-GB"/>
        </w:rPr>
        <w:t>abietinum</w:t>
      </w:r>
      <w:r>
        <w:rPr>
          <w:iCs/>
          <w:lang w:val="en-GB"/>
        </w:rPr>
        <w:t xml:space="preserve"> and </w:t>
      </w:r>
      <w:r>
        <w:rPr>
          <w:i/>
          <w:iCs/>
          <w:lang w:val="en-GB"/>
        </w:rPr>
        <w:t>H. </w:t>
      </w:r>
      <w:r>
        <w:rPr>
          <w:i/>
          <w:lang w:val="en-GB"/>
        </w:rPr>
        <w:t>annosum</w:t>
      </w:r>
      <w:r>
        <w:rPr>
          <w:i/>
          <w:iCs/>
          <w:lang w:val="en-GB"/>
        </w:rPr>
        <w:t> s.s.</w:t>
      </w:r>
      <w:r>
        <w:rPr>
          <w:i/>
          <w:lang w:val="en-GB"/>
        </w:rPr>
        <w:t xml:space="preserve"> </w:t>
      </w:r>
      <w:r>
        <w:rPr>
          <w:lang w:val="en-GB"/>
        </w:rPr>
        <w:t xml:space="preserve">The limit of detection with genomic DNA from target species was estimated at 1 pg, 10 pg, 1 pg and 1 pg for </w:t>
      </w:r>
      <w:r>
        <w:rPr>
          <w:i/>
          <w:iCs/>
          <w:lang w:val="en-GB"/>
        </w:rPr>
        <w:t>H. </w:t>
      </w:r>
      <w:r>
        <w:rPr>
          <w:i/>
          <w:lang w:val="en-GB"/>
        </w:rPr>
        <w:t>abietinum</w:t>
      </w:r>
      <w:r>
        <w:rPr>
          <w:lang w:val="en-GB"/>
        </w:rPr>
        <w:t xml:space="preserve">, </w:t>
      </w:r>
      <w:r>
        <w:rPr>
          <w:i/>
          <w:iCs/>
          <w:lang w:val="en-GB"/>
        </w:rPr>
        <w:t>H. </w:t>
      </w:r>
      <w:r>
        <w:rPr>
          <w:i/>
          <w:lang w:val="en-GB"/>
        </w:rPr>
        <w:t>annosum</w:t>
      </w:r>
      <w:r>
        <w:rPr>
          <w:i/>
          <w:iCs/>
          <w:lang w:val="en-GB"/>
        </w:rPr>
        <w:t> s.s.</w:t>
      </w:r>
      <w:r>
        <w:rPr>
          <w:lang w:val="en-GB"/>
        </w:rPr>
        <w:t xml:space="preserve">, </w:t>
      </w:r>
      <w:r>
        <w:rPr>
          <w:i/>
          <w:iCs/>
          <w:lang w:val="en-GB"/>
        </w:rPr>
        <w:t>H. </w:t>
      </w:r>
      <w:r>
        <w:rPr>
          <w:i/>
          <w:lang w:val="en-GB"/>
        </w:rPr>
        <w:t>irregulare</w:t>
      </w:r>
      <w:r>
        <w:rPr>
          <w:lang w:val="en-GB"/>
        </w:rPr>
        <w:t xml:space="preserve"> and </w:t>
      </w:r>
      <w:r>
        <w:rPr>
          <w:i/>
          <w:iCs/>
          <w:lang w:val="en-GB"/>
        </w:rPr>
        <w:t>H. </w:t>
      </w:r>
      <w:r>
        <w:rPr>
          <w:i/>
          <w:lang w:val="en-GB"/>
        </w:rPr>
        <w:t>parviporum</w:t>
      </w:r>
      <w:r>
        <w:rPr>
          <w:lang w:val="en-GB"/>
        </w:rPr>
        <w:t xml:space="preserve">, respectively. The specificity of the methods was verified with a wide panel of pure fungal cultures from target and non-target species; in addition to other non-target </w:t>
      </w:r>
      <w:r>
        <w:rPr>
          <w:i/>
          <w:lang w:val="en-GB"/>
        </w:rPr>
        <w:t>Heterobasidion</w:t>
      </w:r>
      <w:r>
        <w:rPr>
          <w:lang w:val="en-GB"/>
        </w:rPr>
        <w:t xml:space="preserve"> species (e.g. </w:t>
      </w:r>
      <w:r>
        <w:rPr>
          <w:i/>
          <w:iCs/>
          <w:lang w:val="en-GB"/>
        </w:rPr>
        <w:t>H. </w:t>
      </w:r>
      <w:r>
        <w:rPr>
          <w:i/>
          <w:lang w:val="en-GB"/>
        </w:rPr>
        <w:t>araucariae</w:t>
      </w:r>
      <w:r>
        <w:rPr>
          <w:lang w:val="en-GB"/>
        </w:rPr>
        <w:t xml:space="preserve">, </w:t>
      </w:r>
      <w:r>
        <w:rPr>
          <w:i/>
          <w:iCs/>
          <w:lang w:val="en-GB"/>
        </w:rPr>
        <w:t>H. </w:t>
      </w:r>
      <w:r>
        <w:rPr>
          <w:i/>
          <w:lang w:val="en-GB"/>
        </w:rPr>
        <w:t>insulare</w:t>
      </w:r>
      <w:r>
        <w:rPr>
          <w:iCs/>
          <w:lang w:val="en-GB"/>
        </w:rPr>
        <w:t>,</w:t>
      </w:r>
      <w:r>
        <w:rPr>
          <w:lang w:val="en-GB"/>
        </w:rPr>
        <w:t xml:space="preserve"> </w:t>
      </w:r>
      <w:r>
        <w:rPr>
          <w:i/>
          <w:iCs/>
          <w:lang w:val="en-GB"/>
        </w:rPr>
        <w:t>H. </w:t>
      </w:r>
      <w:r>
        <w:rPr>
          <w:i/>
          <w:lang w:val="en-GB"/>
        </w:rPr>
        <w:t>occidentale</w:t>
      </w:r>
      <w:r>
        <w:rPr>
          <w:lang w:val="en-GB"/>
        </w:rPr>
        <w:t xml:space="preserve">), non-target species included </w:t>
      </w:r>
      <w:r>
        <w:rPr>
          <w:i/>
          <w:lang w:val="en-GB"/>
        </w:rPr>
        <w:t>Armillaria ostoyae</w:t>
      </w:r>
      <w:r>
        <w:rPr>
          <w:lang w:val="en-GB"/>
        </w:rPr>
        <w:t xml:space="preserve"> (Romagn.) Herink, 1973, </w:t>
      </w:r>
      <w:r>
        <w:rPr>
          <w:i/>
          <w:lang w:val="en-GB"/>
        </w:rPr>
        <w:t>Coniferiporia sulphurascens</w:t>
      </w:r>
      <w:r>
        <w:rPr>
          <w:lang w:val="en-GB"/>
        </w:rPr>
        <w:t xml:space="preserve"> (Pilát) L.W. Zhou &amp; Y.C. Dai, 2016, </w:t>
      </w:r>
      <w:r>
        <w:rPr>
          <w:i/>
          <w:lang w:val="en-GB"/>
        </w:rPr>
        <w:t>Echinodontium tinctorium</w:t>
      </w:r>
      <w:r>
        <w:rPr>
          <w:lang w:val="en-GB"/>
        </w:rPr>
        <w:t xml:space="preserve"> (Ellis &amp; Everh.) Ellis &amp; Everh., 1900, </w:t>
      </w:r>
      <w:r>
        <w:rPr>
          <w:i/>
          <w:lang w:val="en-GB"/>
        </w:rPr>
        <w:t>Fomitopsis pinicola</w:t>
      </w:r>
      <w:r>
        <w:rPr>
          <w:lang w:val="en-GB"/>
        </w:rPr>
        <w:t xml:space="preserve"> (Sw.) P. Karst., 1881, </w:t>
      </w:r>
      <w:r>
        <w:rPr>
          <w:i/>
          <w:lang w:val="en-GB"/>
        </w:rPr>
        <w:t>Fuscoporia torulosa</w:t>
      </w:r>
      <w:r>
        <w:rPr>
          <w:lang w:val="en-GB"/>
        </w:rPr>
        <w:t xml:space="preserve"> (Pers.) T. Wagner &amp; M. Fisch., 2001, </w:t>
      </w:r>
      <w:r>
        <w:rPr>
          <w:i/>
          <w:lang w:val="en-GB"/>
        </w:rPr>
        <w:t>Onnia tomentosa</w:t>
      </w:r>
      <w:r>
        <w:rPr>
          <w:lang w:val="en-GB"/>
        </w:rPr>
        <w:t xml:space="preserve"> (Fr.) P. Karst., 1889, </w:t>
      </w:r>
      <w:r>
        <w:rPr>
          <w:i/>
          <w:lang w:val="en-GB"/>
        </w:rPr>
        <w:t>Phaeolus schweinitzii</w:t>
      </w:r>
      <w:r>
        <w:rPr>
          <w:lang w:val="en-GB"/>
        </w:rPr>
        <w:t xml:space="preserve"> (Fr.) Pat., 1900, </w:t>
      </w:r>
      <w:r>
        <w:rPr>
          <w:i/>
          <w:lang w:val="en-GB"/>
        </w:rPr>
        <w:t>Porodaedalea pini</w:t>
      </w:r>
      <w:r>
        <w:rPr>
          <w:lang w:val="en-GB"/>
        </w:rPr>
        <w:t xml:space="preserve"> (Brot.) Murrill, 1905 and </w:t>
      </w:r>
      <w:r>
        <w:rPr>
          <w:i/>
          <w:lang w:val="en-GB"/>
        </w:rPr>
        <w:t>Stereum sanguinolentum</w:t>
      </w:r>
      <w:r>
        <w:rPr>
          <w:lang w:val="en-GB"/>
        </w:rPr>
        <w:t xml:space="preserve"> (Ioos </w:t>
      </w:r>
      <w:r>
        <w:rPr>
          <w:i/>
          <w:iCs/>
          <w:lang w:val="en-GB"/>
        </w:rPr>
        <w:t>et al</w:t>
      </w:r>
      <w:r>
        <w:rPr>
          <w:lang w:val="en-GB"/>
        </w:rPr>
        <w:t>., 2019).</w:t>
      </w:r>
    </w:p>
    <w:p w14:paraId="7FABC3F4" w14:textId="4AD302AE">
      <w:pPr>
        <w:pStyle w:val="IPPParagraphnumbering"/>
        <w:numPr>
          <w:ilvl w:val="0"/>
          <w:numId w:val="0"/>
        </w:numPr>
        <w:rPr>
          <w:lang w:val="en-GB"/>
        </w:rPr>
      </w:pPr>
      <w:r>
        <w:rPr>
          <w:rStyle w:val="PleaseReviewParagraphId"/>
          <w:b w:val="off"/>
          <w:i w:val="off"/>
        </w:rPr>
        <w:t>[535]</w:t>
      </w:r>
      <w:r>
        <w:rPr>
          <w:lang w:val="en-GB"/>
        </w:rPr>
        <w:t xml:space="preserve">These methods can also be used to detect heterokaryotic hybrids between species, because they can simultaneously detect DNA from different species of </w:t>
      </w:r>
      <w:r>
        <w:rPr>
          <w:i/>
          <w:iCs/>
          <w:lang w:val="en-GB"/>
        </w:rPr>
        <w:t>H. </w:t>
      </w:r>
      <w:r>
        <w:rPr>
          <w:i/>
          <w:lang w:val="en-GB"/>
        </w:rPr>
        <w:t>annosum s.l</w:t>
      </w:r>
      <w:r>
        <w:rPr>
          <w:lang w:val="en-GB"/>
        </w:rPr>
        <w:t xml:space="preserve">. Ioos </w:t>
      </w:r>
      <w:r>
        <w:rPr>
          <w:i/>
          <w:iCs/>
          <w:lang w:val="en-GB"/>
        </w:rPr>
        <w:t>et al</w:t>
      </w:r>
      <w:r>
        <w:rPr>
          <w:lang w:val="en-GB"/>
        </w:rPr>
        <w:t xml:space="preserve">. (2019) obtained positive results with the DNA from two artificial </w:t>
      </w:r>
      <w:r>
        <w:rPr>
          <w:i/>
          <w:iCs/>
          <w:lang w:val="en-GB"/>
        </w:rPr>
        <w:t>H. </w:t>
      </w:r>
      <w:r>
        <w:rPr>
          <w:i/>
          <w:lang w:val="en-GB"/>
        </w:rPr>
        <w:t>annosum</w:t>
      </w:r>
      <w:r>
        <w:rPr>
          <w:i/>
          <w:iCs/>
          <w:lang w:val="en-GB"/>
        </w:rPr>
        <w:t> s.s.</w:t>
      </w:r>
      <w:r>
        <w:rPr>
          <w:lang w:val="en-GB"/>
        </w:rPr>
        <w:t xml:space="preserve"> × </w:t>
      </w:r>
      <w:r>
        <w:rPr>
          <w:i/>
          <w:iCs/>
          <w:lang w:val="en-GB"/>
        </w:rPr>
        <w:t>H. </w:t>
      </w:r>
      <w:r>
        <w:rPr>
          <w:i/>
          <w:lang w:val="en-GB"/>
        </w:rPr>
        <w:t>irregulare</w:t>
      </w:r>
      <w:r>
        <w:rPr>
          <w:lang w:val="en-GB"/>
        </w:rPr>
        <w:t xml:space="preserve"> hybrids generated by Giordano </w:t>
      </w:r>
      <w:r>
        <w:rPr>
          <w:i/>
          <w:iCs/>
          <w:lang w:val="en-GB"/>
        </w:rPr>
        <w:t>et al</w:t>
      </w:r>
      <w:r>
        <w:rPr>
          <w:lang w:val="en-GB"/>
        </w:rPr>
        <w:t xml:space="preserve">. (2018): both the </w:t>
      </w:r>
      <w:r>
        <w:rPr>
          <w:i/>
          <w:iCs/>
          <w:lang w:val="en-GB"/>
        </w:rPr>
        <w:t>H. </w:t>
      </w:r>
      <w:r>
        <w:rPr>
          <w:i/>
          <w:lang w:val="en-GB"/>
        </w:rPr>
        <w:t>annosum</w:t>
      </w:r>
      <w:r>
        <w:rPr>
          <w:i/>
          <w:iCs/>
          <w:lang w:val="en-GB"/>
        </w:rPr>
        <w:t> s.s.</w:t>
      </w:r>
      <w:r>
        <w:rPr>
          <w:lang w:val="en-GB"/>
        </w:rPr>
        <w:t xml:space="preserve"> and </w:t>
      </w:r>
      <w:r>
        <w:rPr>
          <w:i/>
          <w:iCs/>
          <w:lang w:val="en-GB"/>
        </w:rPr>
        <w:t>H. </w:t>
      </w:r>
      <w:r>
        <w:rPr>
          <w:i/>
          <w:lang w:val="en-GB"/>
        </w:rPr>
        <w:t>irregulare</w:t>
      </w:r>
      <w:r>
        <w:rPr>
          <w:lang w:val="en-GB"/>
        </w:rPr>
        <w:t xml:space="preserve"> real-time PCR methods yielded positive results.</w:t>
      </w:r>
    </w:p>
    <w:p w14:paraId="7B6B97E5" w14:textId="59263F4D">
      <w:pPr>
        <w:pStyle w:val="IPPParagraphnumbering"/>
        <w:numPr>
          <w:ilvl w:val="0"/>
          <w:numId w:val="0"/>
        </w:numPr>
        <w:rPr>
          <w:lang w:val="en-GB"/>
        </w:rPr>
      </w:pPr>
      <w:r>
        <w:rPr>
          <w:rStyle w:val="PleaseReviewParagraphId"/>
          <w:b w:val="off"/>
          <w:i w:val="off"/>
        </w:rPr>
        <w:t>[536]</w:t>
      </w:r>
      <w:r>
        <w:rPr>
          <w:lang w:val="en-GB"/>
        </w:rPr>
        <w:t xml:space="preserve">The real-time PCR methods were verified on environmental samples, including both fruiting bodies and artificially inoculated or naturally infected wood samples (Ioos </w:t>
      </w:r>
      <w:r>
        <w:rPr>
          <w:i/>
          <w:iCs/>
          <w:lang w:val="en-GB"/>
        </w:rPr>
        <w:t>et al</w:t>
      </w:r>
      <w:r>
        <w:rPr>
          <w:lang w:val="en-GB"/>
        </w:rPr>
        <w:t>., 2019).</w:t>
      </w:r>
    </w:p>
    <w:p w14:paraId="0B49F87C" w14:textId="5D069420">
      <w:pPr>
        <w:pStyle w:val="IPPParagraphnumberingclose"/>
        <w:numPr>
          <w:ilvl w:val="0"/>
          <w:numId w:val="0"/>
        </w:numPr>
        <w:rPr>
          <w:lang w:val="en-GB"/>
        </w:rPr>
      </w:pPr>
      <w:r>
        <w:rPr>
          <w:rStyle w:val="PleaseReviewParagraphId"/>
          <w:b w:val="off"/>
          <w:i w:val="off"/>
        </w:rPr>
        <w:t>[537]</w:t>
      </w:r>
      <w:r>
        <w:rPr>
          <w:lang w:val="en-GB"/>
        </w:rPr>
        <w:t>The master mix and cycling parameters for the multiplex real-time PCR are described in Table 10. The primers and probes are as follows:</w:t>
      </w:r>
    </w:p>
    <w:p w14:paraId="09DA3622" w14:textId="61CFD31F">
      <w:pPr>
        <w:pStyle w:val="IPPIndentClose"/>
      </w:pPr>
      <w:r>
        <w:rPr>
          <w:rStyle w:val="PleaseReviewParagraphId"/>
          <w:b w:val="off"/>
          <w:i w:val="off"/>
        </w:rPr>
        <w:t>[538]</w:t>
      </w:r>
      <w:r>
        <w:t xml:space="preserve">For </w:t>
      </w:r>
      <w:r>
        <w:rPr>
          <w:i/>
          <w:iCs/>
        </w:rPr>
        <w:t>Heterobasidion abietinum</w:t>
      </w:r>
      <w:r>
        <w:t>:</w:t>
      </w:r>
    </w:p>
    <w:p w14:paraId="7C4D0F8C" w14:textId="692F9990">
      <w:pPr>
        <w:pStyle w:val="IPPIndentClose"/>
      </w:pPr>
      <w:r>
        <w:rPr>
          <w:rStyle w:val="PleaseReviewParagraphId"/>
          <w:b w:val="off"/>
          <w:i w:val="off"/>
        </w:rPr>
        <w:t>[539]</w:t>
      </w:r>
      <w:r>
        <w:t xml:space="preserve">Habi For 4 (forward primer): 5′-TCG TTT CAG CCC TTT CCA A-3′ (Ioos </w:t>
      </w:r>
      <w:r>
        <w:rPr>
          <w:i/>
        </w:rPr>
        <w:t>et al</w:t>
      </w:r>
      <w:r>
        <w:t>., 2019)</w:t>
      </w:r>
    </w:p>
    <w:p w14:paraId="5867D104" w14:textId="79C8C0F3">
      <w:pPr>
        <w:pStyle w:val="IPPIndentClose"/>
      </w:pPr>
      <w:r>
        <w:rPr>
          <w:rStyle w:val="PleaseReviewParagraphId"/>
          <w:b w:val="off"/>
          <w:i w:val="off"/>
        </w:rPr>
        <w:t>[540]</w:t>
      </w:r>
      <w:r>
        <w:t xml:space="preserve">Habi Rev 14 (reverse primer): 5′-TTG ATG AAT ATA GTG CGC CTC G-3′ (Ioos </w:t>
      </w:r>
      <w:r>
        <w:rPr>
          <w:i/>
        </w:rPr>
        <w:t>et al</w:t>
      </w:r>
      <w:r>
        <w:t>., 2019)</w:t>
      </w:r>
    </w:p>
    <w:p w14:paraId="3EDF8443" w14:textId="1D3409C9">
      <w:pPr>
        <w:pStyle w:val="IPPIndent"/>
        <w:ind w:left="1134" w:hanging="567"/>
      </w:pPr>
      <w:r>
        <w:rPr>
          <w:rStyle w:val="PleaseReviewParagraphId"/>
          <w:b w:val="off"/>
          <w:i w:val="off"/>
        </w:rPr>
        <w:t>[541]</w:t>
      </w:r>
      <w:r>
        <w:t xml:space="preserve">Habi P 7 (probe): Cy5-5′-GGT GCG TCG TCG CCT TCA TTA TTT T-3′-BHQ2 (Ioos </w:t>
      </w:r>
      <w:r>
        <w:rPr>
          <w:i/>
        </w:rPr>
        <w:t>et al</w:t>
      </w:r>
      <w:r>
        <w:t>., 2019)</w:t>
      </w:r>
    </w:p>
    <w:p w14:paraId="2B987A92" w14:textId="45E3C28C">
      <w:pPr>
        <w:pStyle w:val="IPPIndentClose"/>
      </w:pPr>
      <w:r>
        <w:rPr>
          <w:rStyle w:val="PleaseReviewParagraphId"/>
          <w:b w:val="off"/>
          <w:i w:val="off"/>
        </w:rPr>
        <w:t>[542]</w:t>
      </w:r>
      <w:r>
        <w:t xml:space="preserve">For </w:t>
      </w:r>
      <w:r>
        <w:rPr>
          <w:i/>
          <w:iCs/>
        </w:rPr>
        <w:t>Heterobasidion annosum s.s.</w:t>
      </w:r>
      <w:r>
        <w:t>:</w:t>
      </w:r>
    </w:p>
    <w:p w14:paraId="63B763C8" w14:textId="6628FFFC">
      <w:pPr>
        <w:pStyle w:val="IPPIndentClose"/>
      </w:pPr>
      <w:r>
        <w:rPr>
          <w:rStyle w:val="PleaseReviewParagraphId"/>
          <w:b w:val="off"/>
          <w:i w:val="off"/>
        </w:rPr>
        <w:t>[543]</w:t>
      </w:r>
      <w:r>
        <w:t xml:space="preserve">Hann For 14 (forward primer): 5′-CGT CGC CTT AAT GAT TTC ATA AG-3′ (Ioos </w:t>
      </w:r>
      <w:r>
        <w:rPr>
          <w:i/>
        </w:rPr>
        <w:t>et al</w:t>
      </w:r>
      <w:r>
        <w:t>., 2019)</w:t>
      </w:r>
    </w:p>
    <w:p w14:paraId="5781975E" w14:textId="3F3F3999">
      <w:pPr>
        <w:pStyle w:val="IPPIndentClose"/>
      </w:pPr>
      <w:r>
        <w:rPr>
          <w:rStyle w:val="PleaseReviewParagraphId"/>
          <w:b w:val="off"/>
          <w:i w:val="off"/>
        </w:rPr>
        <w:t>[544]</w:t>
      </w:r>
      <w:r>
        <w:t xml:space="preserve">Hann Rev 10 (reverse primer): 5′-TGT CAC TGT ACT GTT TCT TTA GC-3′ (Ioos </w:t>
      </w:r>
      <w:r>
        <w:rPr>
          <w:i/>
        </w:rPr>
        <w:t>et al</w:t>
      </w:r>
      <w:r>
        <w:t>., 2019)</w:t>
      </w:r>
    </w:p>
    <w:p w14:paraId="15FE6EF3" w14:textId="10BD33E3">
      <w:pPr>
        <w:pStyle w:val="IPPIndent"/>
        <w:ind w:left="1134" w:hanging="567"/>
      </w:pPr>
      <w:r>
        <w:rPr>
          <w:rStyle w:val="PleaseReviewParagraphId"/>
          <w:b w:val="off"/>
          <w:i w:val="off"/>
        </w:rPr>
        <w:t>[545]</w:t>
      </w:r>
      <w:r>
        <w:lastRenderedPageBreak/>
        <w:t xml:space="preserve">Hann P 11 (probe): FAM-5′-ACC ATA CAY GTT GGC GGG AAC CTC-3′ BHQ1 (Ioos </w:t>
      </w:r>
      <w:r>
        <w:rPr>
          <w:i/>
        </w:rPr>
        <w:t>et al</w:t>
      </w:r>
      <w:r>
        <w:t>., 2019)</w:t>
      </w:r>
    </w:p>
    <w:p w14:paraId="1F455152" w14:textId="5E2E3415">
      <w:pPr>
        <w:pStyle w:val="IPPIndentClose"/>
      </w:pPr>
      <w:r>
        <w:rPr>
          <w:rStyle w:val="PleaseReviewParagraphId"/>
          <w:b w:val="off"/>
          <w:i w:val="off"/>
        </w:rPr>
        <w:t>[546]</w:t>
      </w:r>
      <w:r>
        <w:t xml:space="preserve">For </w:t>
      </w:r>
      <w:r>
        <w:rPr>
          <w:i/>
          <w:iCs/>
        </w:rPr>
        <w:t>Heterobasidion irregulare</w:t>
      </w:r>
      <w:r>
        <w:t>:</w:t>
      </w:r>
    </w:p>
    <w:p w14:paraId="2B0D0078" w14:textId="4CFCF8E6">
      <w:pPr>
        <w:pStyle w:val="IPPIndentClose"/>
        <w:ind w:left="0" w:firstLine="567"/>
      </w:pPr>
      <w:r>
        <w:rPr>
          <w:rStyle w:val="PleaseReviewParagraphId"/>
          <w:b w:val="off"/>
          <w:i w:val="off"/>
        </w:rPr>
        <w:t>[547]</w:t>
      </w:r>
      <w:r>
        <w:t xml:space="preserve">Hirr For 1 (forward primer): 5′-CGT CGT CTC CAT GAT CTC AA-3′ (Ioos </w:t>
      </w:r>
      <w:r>
        <w:rPr>
          <w:i/>
        </w:rPr>
        <w:t>et al</w:t>
      </w:r>
      <w:r>
        <w:t>., 2019)</w:t>
      </w:r>
    </w:p>
    <w:p w14:paraId="424578D5" w14:textId="41B25AB7">
      <w:pPr>
        <w:pStyle w:val="IPPIndentClose"/>
      </w:pPr>
      <w:r>
        <w:rPr>
          <w:rStyle w:val="PleaseReviewParagraphId"/>
          <w:b w:val="off"/>
          <w:i w:val="off"/>
        </w:rPr>
        <w:t>[548]</w:t>
      </w:r>
      <w:r>
        <w:t xml:space="preserve">Hirr Rev 5 (reverse primer): 5′-TTG ATG AAT ATA GTG CGC TTC A-3′ (Ioos </w:t>
      </w:r>
      <w:r>
        <w:rPr>
          <w:i/>
        </w:rPr>
        <w:t>et al</w:t>
      </w:r>
      <w:r>
        <w:t>., 2019)</w:t>
      </w:r>
    </w:p>
    <w:p w14:paraId="4EA4144D" w14:textId="2C798435">
      <w:pPr>
        <w:pStyle w:val="IPPIndent"/>
      </w:pPr>
      <w:r>
        <w:rPr>
          <w:rStyle w:val="PleaseReviewParagraphId"/>
          <w:b w:val="off"/>
          <w:i w:val="off"/>
        </w:rPr>
        <w:t>[549]</w:t>
      </w:r>
      <w:r>
        <w:t xml:space="preserve">Hirr P 5 (probe): JOE-5′-CCA TWC ACG TTG GCG GGA ACC TT-3′-BHQ1 (Ioos </w:t>
      </w:r>
      <w:r>
        <w:rPr>
          <w:i/>
        </w:rPr>
        <w:t>et al</w:t>
      </w:r>
      <w:r>
        <w:t>., 2019)</w:t>
      </w:r>
    </w:p>
    <w:p w14:paraId="5FB44AA1" w14:textId="77777777">
      <w:pPr>
        <w:pStyle w:val="IPPIndentClose"/>
      </w:pPr>
      <w:r>
        <w:rPr>
          <w:rStyle w:val="PleaseReviewParagraphId"/>
          <w:b w:val="off"/>
          <w:i w:val="off"/>
        </w:rPr>
        <w:t>[550]</w:t>
      </w:r>
      <w:r>
        <w:t xml:space="preserve">For </w:t>
      </w:r>
      <w:r>
        <w:rPr>
          <w:i/>
          <w:iCs/>
        </w:rPr>
        <w:t>Heterobasidion parviporum</w:t>
      </w:r>
      <w:r>
        <w:t>:</w:t>
      </w:r>
    </w:p>
    <w:p w14:paraId="6B1C8BCF" w14:textId="388EF75C">
      <w:pPr>
        <w:pStyle w:val="IPPIndentClose"/>
      </w:pPr>
      <w:r>
        <w:rPr>
          <w:rStyle w:val="PleaseReviewParagraphId"/>
          <w:b w:val="off"/>
          <w:i w:val="off"/>
        </w:rPr>
        <w:t>[551]</w:t>
      </w:r>
      <w:r>
        <w:t xml:space="preserve">Hpar For 4 (forward primer): 5′-CAA TCG TAT GGG GTC ATT GTA A-3′ (Ioos </w:t>
      </w:r>
      <w:r>
        <w:rPr>
          <w:i/>
        </w:rPr>
        <w:t>et al</w:t>
      </w:r>
      <w:r>
        <w:t>., 2019)</w:t>
      </w:r>
    </w:p>
    <w:p w14:paraId="144C0D43" w14:textId="02B05293">
      <w:pPr>
        <w:pStyle w:val="IPPIndentClose"/>
      </w:pPr>
      <w:r>
        <w:rPr>
          <w:rStyle w:val="PleaseReviewParagraphId"/>
          <w:b w:val="off"/>
          <w:i w:val="off"/>
        </w:rPr>
        <w:t>[552]</w:t>
      </w:r>
      <w:r>
        <w:t xml:space="preserve">Hpar Rev 6 (reverse primer): 5′-CAC ATC CGC CAT GTC CC-3′ (Ioos </w:t>
      </w:r>
      <w:r>
        <w:rPr>
          <w:i/>
        </w:rPr>
        <w:t>et al</w:t>
      </w:r>
      <w:r>
        <w:t>., 2019)</w:t>
      </w:r>
    </w:p>
    <w:p w14:paraId="1C9B1314" w14:textId="35A3B80E">
      <w:pPr>
        <w:pStyle w:val="IPPIndent"/>
      </w:pPr>
      <w:r>
        <w:rPr>
          <w:rStyle w:val="PleaseReviewParagraphId"/>
          <w:b w:val="off"/>
          <w:i w:val="off"/>
        </w:rPr>
        <w:t>[553]</w:t>
      </w:r>
      <w:r>
        <w:t xml:space="preserve">Hpar P 8 (probe): ROX-5′-GAT CTG CGA GCC CGA CGA ACC G-3′-BHQ2 (Ioos </w:t>
      </w:r>
      <w:r>
        <w:rPr>
          <w:i/>
        </w:rPr>
        <w:t>et al</w:t>
      </w:r>
      <w:r>
        <w:t>., 2019)</w:t>
      </w:r>
    </w:p>
    <w:p w14:paraId="7124E8F4" w14:textId="6A243927">
      <w:pPr>
        <w:pStyle w:val="IPPIndentClose"/>
      </w:pPr>
      <w:r>
        <w:rPr>
          <w:rStyle w:val="PleaseReviewParagraphId"/>
          <w:b w:val="off"/>
          <w:i w:val="off"/>
        </w:rPr>
        <w:t>[554]</w:t>
      </w:r>
      <w:r>
        <w:t>For 18S rDNA (internal positive control):</w:t>
      </w:r>
    </w:p>
    <w:p w14:paraId="4CA17FC3" w14:textId="6D57E779">
      <w:pPr>
        <w:pStyle w:val="IPPIndentClose"/>
      </w:pPr>
      <w:r>
        <w:rPr>
          <w:rStyle w:val="PleaseReviewParagraphId"/>
          <w:b w:val="off"/>
          <w:i w:val="off"/>
        </w:rPr>
        <w:t>[555]</w:t>
      </w:r>
      <w:r>
        <w:t xml:space="preserve">FungiQuant-F (forward primer): 5′-GGR AAA CTC ACC AGG TCC AG-3′ (Liu </w:t>
      </w:r>
      <w:r>
        <w:rPr>
          <w:i/>
        </w:rPr>
        <w:t>et al</w:t>
      </w:r>
      <w:r>
        <w:t>., 2012)</w:t>
      </w:r>
    </w:p>
    <w:p w14:paraId="3590B599" w14:textId="29D8D3DB">
      <w:pPr>
        <w:pStyle w:val="IPPIndentClose"/>
      </w:pPr>
      <w:r>
        <w:rPr>
          <w:rStyle w:val="PleaseReviewParagraphId"/>
          <w:b w:val="off"/>
          <w:i w:val="off"/>
        </w:rPr>
        <w:t>[556]</w:t>
      </w:r>
      <w:r>
        <w:t xml:space="preserve">FungiQuant-R (reverse primer): 5′-GSW CTA TCC CCA KCA CGA-3′ (Liu </w:t>
      </w:r>
      <w:r>
        <w:rPr>
          <w:i/>
        </w:rPr>
        <w:t>et al</w:t>
      </w:r>
      <w:r>
        <w:t>., 2012)</w:t>
      </w:r>
    </w:p>
    <w:p w14:paraId="0B937E02" w14:textId="6A32C965">
      <w:pPr>
        <w:pStyle w:val="IPPIndent"/>
      </w:pPr>
      <w:r>
        <w:rPr>
          <w:rStyle w:val="PleaseReviewParagraphId"/>
          <w:b w:val="off"/>
          <w:i w:val="off"/>
        </w:rPr>
        <w:t>[557]</w:t>
      </w:r>
      <w:r>
        <w:t xml:space="preserve">FungiQuant-Prb (probe): FAM-5′-TGG TGC ATG GCC GTT-3′-BHQ1 (Liu </w:t>
      </w:r>
      <w:r>
        <w:rPr>
          <w:i/>
        </w:rPr>
        <w:t>et al</w:t>
      </w:r>
      <w:r>
        <w:t>., 2012)</w:t>
      </w:r>
    </w:p>
    <w:p w14:paraId="4411213A" w14:textId="65EA4F47">
      <w:pPr>
        <w:pStyle w:val="IPPArial"/>
        <w:keepNext/>
        <w:spacing w:after="120"/>
      </w:pPr>
      <w:r>
        <w:rPr>
          <w:rStyle w:val="PleaseReviewParagraphId"/>
          <w:b w:val="off"/>
          <w:i w:val="off"/>
        </w:rPr>
        <w:t>[558]</w:t>
      </w:r>
      <w:r>
        <w:rPr>
          <w:b/>
          <w:bCs/>
        </w:rPr>
        <w:t>Table 10.</w:t>
      </w:r>
      <w:r>
        <w:t xml:space="preserve"> Master mix composition and cycling parameters for multiplex real-time PCR targeting </w:t>
      </w:r>
      <w:r>
        <w:rPr>
          <w:i/>
          <w:iCs/>
        </w:rPr>
        <w:t>Heterobasidion abietinum</w:t>
      </w:r>
      <w:r>
        <w:rPr>
          <w:i/>
        </w:rPr>
        <w:t xml:space="preserve">, H. annosum sensu stricto, H. irregulare </w:t>
      </w:r>
      <w:r>
        <w:rPr>
          <w:iCs/>
        </w:rPr>
        <w:t xml:space="preserve">and </w:t>
      </w:r>
      <w:r>
        <w:rPr>
          <w:i/>
        </w:rPr>
        <w:t>H. parviporum</w:t>
      </w:r>
    </w:p>
    <w:tbl>
      <w:tblPr>
        <w:tblStyle w:val="TableGrid"/>
        <w:tblW w:w="0" w:type="auto"/>
        <w:tblLook w:val="04A0" w:firstRow="1" w:lastRow="0" w:firstColumn="1" w:lastColumn="0" w:noHBand="0" w:noVBand="1"/>
      </w:tblPr>
      <w:tblGrid>
        <w:gridCol w:w="4111"/>
        <w:gridCol w:w="2552"/>
      </w:tblGrid>
      <w:tr w14:paraId="557822F3" w14:textId="77777777">
        <w:tc>
          <w:tcPr>
            <w:tcW w:w="4111" w:type="dxa"/>
            <w:tcBorders>
              <w:left w:val="nil"/>
              <w:bottom w:val="single" w:color="auto" w:sz="4" w:space="0"/>
              <w:right w:val="nil"/>
            </w:tcBorders>
            <w:shd w:val="clear" w:color="auto" w:fill="BFBFBF" w:themeFill="background1" w:themeFillShade="BF"/>
          </w:tcPr>
          <w:p w14:paraId="200B0663" w14:textId="25E366F6">
            <w:pPr>
              <w:pStyle w:val="IPPArialTable"/>
              <w:rPr>
                <w:b/>
                <w:bCs/>
              </w:rPr>
            </w:pPr>
            <w:r>
              <w:rPr>
                <w:rStyle w:val="PleaseReviewParagraphId"/>
                <w:b w:val="off"/>
                <w:i w:val="off"/>
              </w:rPr>
              <w:t>[559]</w:t>
            </w:r>
            <w:r>
              <w:rPr>
                <w:b/>
                <w:bCs/>
              </w:rPr>
              <w:t>Reagents</w:t>
            </w:r>
          </w:p>
        </w:tc>
        <w:tc>
          <w:tcPr>
            <w:tcW w:w="2552" w:type="dxa"/>
            <w:tcBorders>
              <w:left w:val="nil"/>
              <w:bottom w:val="single" w:color="auto" w:sz="4" w:space="0"/>
              <w:right w:val="nil"/>
            </w:tcBorders>
            <w:shd w:val="clear" w:color="auto" w:fill="BFBFBF" w:themeFill="background1" w:themeFillShade="BF"/>
          </w:tcPr>
          <w:p w14:paraId="6200D855" w14:textId="146F8BF9">
            <w:pPr>
              <w:pStyle w:val="IPPArialTable"/>
              <w:rPr>
                <w:b/>
                <w:bCs/>
              </w:rPr>
            </w:pPr>
            <w:r>
              <w:rPr>
                <w:rStyle w:val="PleaseReviewParagraphId"/>
                <w:b w:val="off"/>
                <w:i w:val="off"/>
              </w:rPr>
              <w:t>[560]</w:t>
            </w:r>
            <w:r>
              <w:rPr>
                <w:b/>
                <w:bCs/>
              </w:rPr>
              <w:t>Final concentration</w:t>
            </w:r>
          </w:p>
        </w:tc>
      </w:tr>
      <w:tr w14:paraId="0929DC05" w14:textId="77777777">
        <w:tc>
          <w:tcPr>
            <w:tcW w:w="4111" w:type="dxa"/>
            <w:tcBorders>
              <w:left w:val="nil"/>
              <w:bottom w:val="nil"/>
              <w:right w:val="nil"/>
            </w:tcBorders>
          </w:tcPr>
          <w:p w14:paraId="7CE19798" w14:textId="46B01E86">
            <w:pPr>
              <w:pStyle w:val="IPPArialTable"/>
            </w:pPr>
            <w:r>
              <w:rPr>
                <w:rStyle w:val="PleaseReviewParagraphId"/>
                <w:b w:val="off"/>
                <w:i w:val="off"/>
              </w:rPr>
              <w:t>[561]</w:t>
            </w:r>
            <w:r>
              <w:t>PCR-grade water</w:t>
            </w:r>
          </w:p>
        </w:tc>
        <w:tc>
          <w:tcPr>
            <w:tcW w:w="2552" w:type="dxa"/>
            <w:tcBorders>
              <w:left w:val="nil"/>
              <w:bottom w:val="nil"/>
              <w:right w:val="nil"/>
            </w:tcBorders>
          </w:tcPr>
          <w:p w14:paraId="7581A1D2" w14:textId="257A2925">
            <w:pPr>
              <w:pStyle w:val="IPPArialTable"/>
            </w:pPr>
            <w:r>
              <w:rPr>
                <w:rStyle w:val="PleaseReviewParagraphId"/>
                <w:b w:val="off"/>
                <w:i w:val="off"/>
              </w:rPr>
              <w:t>[562]</w:t>
            </w:r>
            <w:r>
              <w:rPr>
                <w:rFonts w:ascii="ArialMT" w:hAnsi="ArialMT" w:cs="ArialMT" w:eastAsiaTheme="minorHAnsi"/>
                <w:szCs w:val="20"/>
                <w:vertAlign w:val="superscript"/>
              </w:rPr>
              <w:t>†</w:t>
            </w:r>
          </w:p>
        </w:tc>
      </w:tr>
      <w:tr w14:paraId="178F5C04" w14:textId="77777777">
        <w:tc>
          <w:tcPr>
            <w:tcW w:w="4111" w:type="dxa"/>
            <w:tcBorders>
              <w:top w:val="nil"/>
              <w:left w:val="nil"/>
              <w:bottom w:val="nil"/>
              <w:right w:val="nil"/>
            </w:tcBorders>
          </w:tcPr>
          <w:p w14:paraId="25EA607E" w14:textId="7E3DCEF9">
            <w:pPr>
              <w:pStyle w:val="IPPArialTable"/>
            </w:pPr>
            <w:r>
              <w:rPr>
                <w:rStyle w:val="PleaseReviewParagraphId"/>
                <w:b w:val="off"/>
                <w:i w:val="off"/>
              </w:rPr>
              <w:t>[563]</w:t>
            </w:r>
            <w:r>
              <w:t>PCR buffer</w:t>
            </w:r>
          </w:p>
        </w:tc>
        <w:tc>
          <w:tcPr>
            <w:tcW w:w="2552" w:type="dxa"/>
            <w:tcBorders>
              <w:top w:val="nil"/>
              <w:left w:val="nil"/>
              <w:bottom w:val="nil"/>
              <w:right w:val="nil"/>
            </w:tcBorders>
          </w:tcPr>
          <w:p w14:paraId="2B848FDA" w14:textId="7421462F">
            <w:pPr>
              <w:pStyle w:val="IPPArialTable"/>
            </w:pPr>
            <w:r>
              <w:rPr>
                <w:rStyle w:val="PleaseReviewParagraphId"/>
                <w:b w:val="off"/>
                <w:i w:val="off"/>
              </w:rPr>
              <w:t>[564]</w:t>
            </w:r>
            <w:r>
              <w:t>1×</w:t>
            </w:r>
          </w:p>
        </w:tc>
      </w:tr>
      <w:tr w14:paraId="6BAF7004" w14:textId="77777777">
        <w:tc>
          <w:tcPr>
            <w:tcW w:w="4111" w:type="dxa"/>
            <w:tcBorders>
              <w:top w:val="nil"/>
              <w:left w:val="nil"/>
              <w:bottom w:val="nil"/>
              <w:right w:val="nil"/>
            </w:tcBorders>
          </w:tcPr>
          <w:p w14:paraId="71C9B34E" w14:textId="3D831BFB">
            <w:pPr>
              <w:pStyle w:val="IPPArialTable"/>
            </w:pPr>
            <w:r>
              <w:rPr>
                <w:rStyle w:val="PleaseReviewParagraphId"/>
                <w:b w:val="off"/>
                <w:i w:val="off"/>
              </w:rPr>
              <w:t>[565]</w:t>
            </w:r>
            <w:r>
              <w:t>MgCl</w:t>
            </w:r>
            <w:r>
              <w:rPr>
                <w:vertAlign w:val="subscript"/>
              </w:rPr>
              <w:t>2</w:t>
            </w:r>
          </w:p>
        </w:tc>
        <w:tc>
          <w:tcPr>
            <w:tcW w:w="2552" w:type="dxa"/>
            <w:tcBorders>
              <w:top w:val="nil"/>
              <w:left w:val="nil"/>
              <w:bottom w:val="nil"/>
              <w:right w:val="nil"/>
            </w:tcBorders>
          </w:tcPr>
          <w:p w14:paraId="61F0BDD5" w14:textId="396522CD">
            <w:pPr>
              <w:pStyle w:val="IPPArialTable"/>
            </w:pPr>
            <w:r>
              <w:rPr>
                <w:rStyle w:val="PleaseReviewParagraphId"/>
                <w:b w:val="off"/>
                <w:i w:val="off"/>
              </w:rPr>
              <w:t>[566]</w:t>
            </w:r>
            <w:r>
              <w:t>5.0 mM</w:t>
            </w:r>
          </w:p>
        </w:tc>
      </w:tr>
      <w:tr w14:paraId="3D8904A5" w14:textId="77777777">
        <w:tc>
          <w:tcPr>
            <w:tcW w:w="4111" w:type="dxa"/>
            <w:tcBorders>
              <w:top w:val="nil"/>
              <w:left w:val="nil"/>
              <w:bottom w:val="nil"/>
              <w:right w:val="nil"/>
            </w:tcBorders>
          </w:tcPr>
          <w:p w14:paraId="60A9EDBC" w14:textId="2E7EEB93">
            <w:pPr>
              <w:pStyle w:val="IPPArialTable"/>
            </w:pPr>
            <w:r>
              <w:rPr>
                <w:rStyle w:val="PleaseReviewParagraphId"/>
                <w:b w:val="off"/>
                <w:i w:val="off"/>
              </w:rPr>
              <w:t>[567]</w:t>
            </w:r>
            <w:r>
              <w:t>dNTPs</w:t>
            </w:r>
          </w:p>
        </w:tc>
        <w:tc>
          <w:tcPr>
            <w:tcW w:w="2552" w:type="dxa"/>
            <w:tcBorders>
              <w:top w:val="nil"/>
              <w:left w:val="nil"/>
              <w:bottom w:val="nil"/>
              <w:right w:val="nil"/>
            </w:tcBorders>
          </w:tcPr>
          <w:p w14:paraId="721227AD" w14:textId="77F4D6A8">
            <w:pPr>
              <w:pStyle w:val="IPPArialTable"/>
            </w:pPr>
            <w:r>
              <w:rPr>
                <w:rStyle w:val="PleaseReviewParagraphId"/>
                <w:b w:val="off"/>
                <w:i w:val="off"/>
              </w:rPr>
              <w:t>[568]</w:t>
            </w:r>
            <w:r>
              <w:t>0.2 mM</w:t>
            </w:r>
          </w:p>
        </w:tc>
      </w:tr>
      <w:tr w14:paraId="5FC9784E" w14:textId="77777777">
        <w:tc>
          <w:tcPr>
            <w:tcW w:w="4111" w:type="dxa"/>
            <w:tcBorders>
              <w:top w:val="nil"/>
              <w:left w:val="nil"/>
              <w:bottom w:val="nil"/>
              <w:right w:val="nil"/>
            </w:tcBorders>
          </w:tcPr>
          <w:p w14:paraId="6E77E060" w14:textId="18E69256">
            <w:pPr>
              <w:pStyle w:val="IPPArialTable"/>
            </w:pPr>
            <w:r>
              <w:rPr>
                <w:rStyle w:val="PleaseReviewParagraphId"/>
                <w:b w:val="off"/>
                <w:i w:val="off"/>
              </w:rPr>
              <w:t>[569]</w:t>
            </w:r>
            <w:r>
              <w:t>Primer (forward)</w:t>
            </w:r>
          </w:p>
        </w:tc>
        <w:tc>
          <w:tcPr>
            <w:tcW w:w="2552" w:type="dxa"/>
            <w:tcBorders>
              <w:top w:val="nil"/>
              <w:left w:val="nil"/>
              <w:bottom w:val="nil"/>
              <w:right w:val="nil"/>
            </w:tcBorders>
          </w:tcPr>
          <w:p w14:paraId="07E7B9A4" w14:textId="39CB9D5C">
            <w:pPr>
              <w:pStyle w:val="IPPArialTable"/>
            </w:pPr>
            <w:r>
              <w:rPr>
                <w:rStyle w:val="PleaseReviewParagraphId"/>
                <w:b w:val="off"/>
                <w:i w:val="off"/>
              </w:rPr>
              <w:t>[570]</w:t>
            </w:r>
            <w:r>
              <w:t>0.3 µM</w:t>
            </w:r>
          </w:p>
        </w:tc>
      </w:tr>
      <w:tr w14:paraId="01D0FEA2" w14:textId="77777777">
        <w:tc>
          <w:tcPr>
            <w:tcW w:w="4111" w:type="dxa"/>
            <w:tcBorders>
              <w:top w:val="nil"/>
              <w:left w:val="nil"/>
              <w:bottom w:val="nil"/>
              <w:right w:val="nil"/>
            </w:tcBorders>
          </w:tcPr>
          <w:p w14:paraId="2B1EA130" w14:textId="20B505F0">
            <w:pPr>
              <w:pStyle w:val="IPPArialTable"/>
            </w:pPr>
            <w:r>
              <w:rPr>
                <w:rStyle w:val="PleaseReviewParagraphId"/>
                <w:b w:val="off"/>
                <w:i w:val="off"/>
              </w:rPr>
              <w:t>[571]</w:t>
            </w:r>
            <w:r>
              <w:t>Primer (reverse)</w:t>
            </w:r>
          </w:p>
        </w:tc>
        <w:tc>
          <w:tcPr>
            <w:tcW w:w="2552" w:type="dxa"/>
            <w:tcBorders>
              <w:top w:val="nil"/>
              <w:left w:val="nil"/>
              <w:bottom w:val="nil"/>
              <w:right w:val="nil"/>
            </w:tcBorders>
          </w:tcPr>
          <w:p w14:paraId="511A879A" w14:textId="3F10B443">
            <w:pPr>
              <w:pStyle w:val="IPPArialTable"/>
            </w:pPr>
            <w:r>
              <w:rPr>
                <w:rStyle w:val="PleaseReviewParagraphId"/>
                <w:b w:val="off"/>
                <w:i w:val="off"/>
              </w:rPr>
              <w:t>[572]</w:t>
            </w:r>
            <w:r>
              <w:t>0.3 µM</w:t>
            </w:r>
          </w:p>
        </w:tc>
      </w:tr>
      <w:tr w14:paraId="17AC2F6C" w14:textId="77777777">
        <w:tc>
          <w:tcPr>
            <w:tcW w:w="4111" w:type="dxa"/>
            <w:tcBorders>
              <w:top w:val="nil"/>
              <w:left w:val="nil"/>
              <w:bottom w:val="nil"/>
              <w:right w:val="nil"/>
            </w:tcBorders>
          </w:tcPr>
          <w:p w14:paraId="0727EC5E" w14:textId="0EBB8A94">
            <w:pPr>
              <w:pStyle w:val="IPPArialTable"/>
            </w:pPr>
            <w:r>
              <w:rPr>
                <w:rStyle w:val="PleaseReviewParagraphId"/>
                <w:b w:val="off"/>
                <w:i w:val="off"/>
              </w:rPr>
              <w:t>[573]</w:t>
            </w:r>
            <w:r>
              <w:t>Probe</w:t>
            </w:r>
          </w:p>
        </w:tc>
        <w:tc>
          <w:tcPr>
            <w:tcW w:w="2552" w:type="dxa"/>
            <w:tcBorders>
              <w:top w:val="nil"/>
              <w:left w:val="nil"/>
              <w:bottom w:val="nil"/>
              <w:right w:val="nil"/>
            </w:tcBorders>
          </w:tcPr>
          <w:p w14:paraId="21A37AD6" w14:textId="7C8306C9">
            <w:pPr>
              <w:pStyle w:val="IPPArialTable"/>
            </w:pPr>
            <w:r>
              <w:rPr>
                <w:rStyle w:val="PleaseReviewParagraphId"/>
                <w:b w:val="off"/>
                <w:i w:val="off"/>
              </w:rPr>
              <w:t>[574]</w:t>
            </w:r>
            <w:r>
              <w:t>0.1 µM</w:t>
            </w:r>
          </w:p>
        </w:tc>
      </w:tr>
      <w:tr w14:paraId="68FBC1BA" w14:textId="77777777">
        <w:tc>
          <w:tcPr>
            <w:tcW w:w="4111" w:type="dxa"/>
            <w:tcBorders>
              <w:top w:val="nil"/>
              <w:left w:val="nil"/>
              <w:bottom w:val="single" w:color="auto" w:sz="4" w:space="0"/>
              <w:right w:val="nil"/>
            </w:tcBorders>
          </w:tcPr>
          <w:p w14:paraId="7A651977" w14:textId="0A76D787">
            <w:pPr>
              <w:pStyle w:val="IPPArialTable"/>
            </w:pPr>
            <w:r>
              <w:rPr>
                <w:rStyle w:val="PleaseReviewParagraphId"/>
                <w:b w:val="off"/>
                <w:i w:val="off"/>
              </w:rPr>
              <w:t>[575]</w:t>
            </w:r>
            <w:bookmarkStart w:name="_Hlk136871511" w:id="43"/>
            <w:r>
              <w:t xml:space="preserve">HotGold Star DNA polymerase </w:t>
            </w:r>
            <w:bookmarkEnd w:id="43"/>
            <w:r>
              <w:t>(Eurogentec)</w:t>
            </w:r>
            <w:r>
              <w:rPr>
                <w:rFonts w:cs="Arial"/>
              </w:rPr>
              <w:t>‡</w:t>
            </w:r>
          </w:p>
        </w:tc>
        <w:tc>
          <w:tcPr>
            <w:tcW w:w="2552" w:type="dxa"/>
            <w:tcBorders>
              <w:top w:val="nil"/>
              <w:left w:val="nil"/>
              <w:bottom w:val="single" w:color="auto" w:sz="4" w:space="0"/>
              <w:right w:val="nil"/>
            </w:tcBorders>
          </w:tcPr>
          <w:p w14:paraId="138ED12F" w14:textId="0C370CF8">
            <w:pPr>
              <w:pStyle w:val="IPPArialTable"/>
            </w:pPr>
            <w:r>
              <w:rPr>
                <w:rStyle w:val="PleaseReviewParagraphId"/>
                <w:b w:val="off"/>
                <w:i w:val="off"/>
              </w:rPr>
              <w:t>[576]</w:t>
            </w:r>
            <w:r>
              <w:t>0.025 U</w:t>
            </w:r>
          </w:p>
        </w:tc>
      </w:tr>
      <w:tr w14:paraId="460B674D" w14:textId="77777777">
        <w:tc>
          <w:tcPr>
            <w:tcW w:w="4111" w:type="dxa"/>
            <w:tcBorders>
              <w:top w:val="single" w:color="auto" w:sz="4" w:space="0"/>
              <w:left w:val="nil"/>
              <w:bottom w:val="single" w:color="auto" w:sz="4" w:space="0"/>
              <w:right w:val="nil"/>
            </w:tcBorders>
          </w:tcPr>
          <w:p w14:paraId="446928E9" w14:textId="2257CA89">
            <w:pPr>
              <w:pStyle w:val="IPPArialTable"/>
            </w:pPr>
            <w:r>
              <w:rPr>
                <w:rStyle w:val="PleaseReviewParagraphId"/>
                <w:b w:val="off"/>
                <w:i w:val="off"/>
              </w:rPr>
              <w:t>[577]</w:t>
            </w:r>
            <w:r>
              <w:t>DNA (volume)</w:t>
            </w:r>
          </w:p>
        </w:tc>
        <w:tc>
          <w:tcPr>
            <w:tcW w:w="2552" w:type="dxa"/>
            <w:tcBorders>
              <w:top w:val="single" w:color="auto" w:sz="4" w:space="0"/>
              <w:left w:val="nil"/>
              <w:bottom w:val="single" w:color="auto" w:sz="4" w:space="0"/>
              <w:right w:val="nil"/>
            </w:tcBorders>
          </w:tcPr>
          <w:p w14:paraId="11535C5F" w14:textId="12F43E46">
            <w:pPr>
              <w:pStyle w:val="IPPArialTable"/>
            </w:pPr>
            <w:r>
              <w:rPr>
                <w:rStyle w:val="PleaseReviewParagraphId"/>
                <w:b w:val="off"/>
                <w:i w:val="off"/>
              </w:rPr>
              <w:t>[578]</w:t>
            </w:r>
            <w:r>
              <w:t>2 µL</w:t>
            </w:r>
          </w:p>
        </w:tc>
      </w:tr>
      <w:tr w14:paraId="33CDFE29" w14:textId="77777777">
        <w:tc>
          <w:tcPr>
            <w:tcW w:w="6663" w:type="dxa"/>
            <w:gridSpan w:val="2"/>
            <w:tcBorders>
              <w:left w:val="nil"/>
              <w:bottom w:val="single" w:color="auto" w:sz="4" w:space="0"/>
              <w:right w:val="nil"/>
            </w:tcBorders>
            <w:shd w:val="clear" w:color="auto" w:fill="BFBFBF" w:themeFill="background1" w:themeFillShade="BF"/>
          </w:tcPr>
          <w:p w14:paraId="55F50502" w14:textId="64628CF3">
            <w:pPr>
              <w:pStyle w:val="IPPArialTable"/>
              <w:rPr>
                <w:b/>
                <w:bCs/>
              </w:rPr>
            </w:pPr>
            <w:r>
              <w:rPr>
                <w:rStyle w:val="PleaseReviewParagraphId"/>
                <w:b w:val="off"/>
                <w:i w:val="off"/>
              </w:rPr>
              <w:t>[579]</w:t>
            </w:r>
            <w:r>
              <w:rPr>
                <w:b/>
                <w:bCs/>
              </w:rPr>
              <w:t>Cycling parameters</w:t>
            </w:r>
          </w:p>
        </w:tc>
      </w:tr>
      <w:tr w14:paraId="3D5AEB47" w14:textId="77777777">
        <w:tc>
          <w:tcPr>
            <w:tcW w:w="4111" w:type="dxa"/>
            <w:tcBorders>
              <w:top w:val="single" w:color="auto" w:sz="4" w:space="0"/>
              <w:left w:val="nil"/>
              <w:bottom w:val="nil"/>
              <w:right w:val="nil"/>
            </w:tcBorders>
          </w:tcPr>
          <w:p w14:paraId="009C3BF9" w14:textId="5A878301">
            <w:pPr>
              <w:pStyle w:val="IPPArialTable"/>
            </w:pPr>
            <w:r>
              <w:rPr>
                <w:rStyle w:val="PleaseReviewParagraphId"/>
                <w:b w:val="off"/>
                <w:i w:val="off"/>
              </w:rPr>
              <w:t>[580]</w:t>
            </w:r>
            <w:r>
              <w:t>Initial denaturation</w:t>
            </w:r>
          </w:p>
        </w:tc>
        <w:tc>
          <w:tcPr>
            <w:tcW w:w="2552" w:type="dxa"/>
            <w:tcBorders>
              <w:top w:val="single" w:color="auto" w:sz="4" w:space="0"/>
              <w:left w:val="nil"/>
              <w:bottom w:val="nil"/>
              <w:right w:val="nil"/>
            </w:tcBorders>
          </w:tcPr>
          <w:p w14:paraId="04B5611B" w14:textId="3F05BC87">
            <w:pPr>
              <w:pStyle w:val="IPPArialTable"/>
            </w:pPr>
            <w:r>
              <w:rPr>
                <w:rStyle w:val="PleaseReviewParagraphId"/>
                <w:b w:val="off"/>
                <w:i w:val="off"/>
              </w:rPr>
              <w:t>[581]</w:t>
            </w:r>
            <w:r>
              <w:t>95 °C for 10 min</w:t>
            </w:r>
          </w:p>
        </w:tc>
      </w:tr>
      <w:tr w14:paraId="00559D59" w14:textId="77777777">
        <w:tc>
          <w:tcPr>
            <w:tcW w:w="4111" w:type="dxa"/>
            <w:tcBorders>
              <w:top w:val="nil"/>
              <w:left w:val="nil"/>
              <w:bottom w:val="nil"/>
              <w:right w:val="nil"/>
            </w:tcBorders>
          </w:tcPr>
          <w:p w14:paraId="2D094AA7" w14:textId="72C2EDEB">
            <w:pPr>
              <w:pStyle w:val="IPPArialTable"/>
            </w:pPr>
            <w:r>
              <w:rPr>
                <w:rStyle w:val="PleaseReviewParagraphId"/>
                <w:b w:val="off"/>
                <w:i w:val="off"/>
              </w:rPr>
              <w:t>[582]</w:t>
            </w:r>
            <w:r>
              <w:t>Numbers of cycles</w:t>
            </w:r>
          </w:p>
        </w:tc>
        <w:tc>
          <w:tcPr>
            <w:tcW w:w="2552" w:type="dxa"/>
            <w:tcBorders>
              <w:top w:val="nil"/>
              <w:left w:val="nil"/>
              <w:bottom w:val="nil"/>
              <w:right w:val="nil"/>
            </w:tcBorders>
          </w:tcPr>
          <w:p w14:paraId="5881A2F6" w14:textId="767A9B53">
            <w:pPr>
              <w:pStyle w:val="IPPArialTable"/>
            </w:pPr>
            <w:r>
              <w:rPr>
                <w:rStyle w:val="PleaseReviewParagraphId"/>
                <w:b w:val="off"/>
                <w:i w:val="off"/>
              </w:rPr>
              <w:t>[583]</w:t>
            </w:r>
            <w:r>
              <w:t>40</w:t>
            </w:r>
          </w:p>
        </w:tc>
      </w:tr>
      <w:tr w14:paraId="6A4F1359" w14:textId="77777777">
        <w:tc>
          <w:tcPr>
            <w:tcW w:w="4111" w:type="dxa"/>
            <w:tcBorders>
              <w:top w:val="nil"/>
              <w:left w:val="nil"/>
              <w:bottom w:val="nil"/>
              <w:right w:val="nil"/>
            </w:tcBorders>
          </w:tcPr>
          <w:p w14:paraId="37D48FA1" w14:textId="48EB7FC0">
            <w:pPr>
              <w:pStyle w:val="IPPArialTable"/>
              <w:numPr>
                <w:ilvl w:val="0"/>
                <w:numId w:val="56"/>
              </w:numPr>
              <w:ind w:left="284" w:hanging="142"/>
            </w:pPr>
            <w:r>
              <w:rPr>
                <w:rStyle w:val="PleaseReviewParagraphId"/>
                <w:b w:val="off"/>
                <w:i w:val="off"/>
              </w:rPr>
              <w:t>[584]</w:t>
            </w:r>
            <w:r>
              <w:t>Denaturation</w:t>
            </w:r>
          </w:p>
        </w:tc>
        <w:tc>
          <w:tcPr>
            <w:tcW w:w="2552" w:type="dxa"/>
            <w:tcBorders>
              <w:top w:val="nil"/>
              <w:left w:val="nil"/>
              <w:bottom w:val="nil"/>
              <w:right w:val="nil"/>
            </w:tcBorders>
          </w:tcPr>
          <w:p w14:paraId="7096F558" w14:textId="5A1E4A41">
            <w:pPr>
              <w:pStyle w:val="IPPArialTable"/>
            </w:pPr>
            <w:r>
              <w:rPr>
                <w:rStyle w:val="PleaseReviewParagraphId"/>
                <w:b w:val="off"/>
                <w:i w:val="off"/>
              </w:rPr>
              <w:t>[585]</w:t>
            </w:r>
            <w:r>
              <w:t>95 °C for 15 s</w:t>
            </w:r>
          </w:p>
        </w:tc>
      </w:tr>
      <w:tr w14:paraId="2E1EFD09" w14:textId="77777777">
        <w:tc>
          <w:tcPr>
            <w:tcW w:w="4111" w:type="dxa"/>
            <w:tcBorders>
              <w:top w:val="nil"/>
              <w:left w:val="nil"/>
              <w:bottom w:val="single" w:color="auto" w:sz="4" w:space="0"/>
              <w:right w:val="nil"/>
            </w:tcBorders>
          </w:tcPr>
          <w:p w14:paraId="1785F7FE" w14:textId="20C28D57">
            <w:pPr>
              <w:pStyle w:val="IPPArialTable"/>
              <w:numPr>
                <w:ilvl w:val="0"/>
                <w:numId w:val="56"/>
              </w:numPr>
              <w:ind w:left="284" w:hanging="142"/>
            </w:pPr>
            <w:r>
              <w:rPr>
                <w:rStyle w:val="PleaseReviewParagraphId"/>
                <w:b w:val="off"/>
                <w:i w:val="off"/>
              </w:rPr>
              <w:t>[586]</w:t>
            </w:r>
            <w:r>
              <w:t>Annealing and elongation</w:t>
            </w:r>
          </w:p>
        </w:tc>
        <w:tc>
          <w:tcPr>
            <w:tcW w:w="2552" w:type="dxa"/>
            <w:tcBorders>
              <w:top w:val="nil"/>
              <w:left w:val="nil"/>
              <w:bottom w:val="single" w:color="auto" w:sz="4" w:space="0"/>
              <w:right w:val="nil"/>
            </w:tcBorders>
          </w:tcPr>
          <w:p w14:paraId="09877EFA" w14:textId="62B512C7">
            <w:pPr>
              <w:pStyle w:val="IPPArialTable"/>
            </w:pPr>
            <w:r>
              <w:rPr>
                <w:rStyle w:val="PleaseReviewParagraphId"/>
                <w:b w:val="off"/>
                <w:i w:val="off"/>
              </w:rPr>
              <w:t>[587]</w:t>
            </w:r>
            <w:r>
              <w:t>65 °C for 55 s</w:t>
            </w:r>
          </w:p>
        </w:tc>
      </w:tr>
    </w:tbl>
    <w:p w14:paraId="55A0986C" w14:textId="0FF23E3E">
      <w:pPr>
        <w:pStyle w:val="IPPArialFootnote"/>
      </w:pPr>
      <w:r>
        <w:rPr>
          <w:rStyle w:val="PleaseReviewParagraphId"/>
          <w:b w:val="off"/>
          <w:i w:val="off"/>
        </w:rPr>
        <w:t>[588]</w:t>
      </w:r>
      <w:r>
        <w:rPr>
          <w:rFonts w:ascii="ArialMT" w:hAnsi="ArialMT" w:cs="ArialMT" w:eastAsiaTheme="minorHAnsi"/>
          <w:i/>
          <w:iCs/>
        </w:rPr>
        <w:t xml:space="preserve">Notes: </w:t>
      </w:r>
      <w:r>
        <w:rPr>
          <w:rFonts w:ascii="ArialMT" w:hAnsi="ArialMT" w:cs="ArialMT" w:eastAsiaTheme="minorHAnsi"/>
          <w:vertAlign w:val="superscript"/>
        </w:rPr>
        <w:t xml:space="preserve">† </w:t>
      </w:r>
      <w:r>
        <w:t>For a final reaction volume of 20 µL.</w:t>
      </w:r>
    </w:p>
    <w:p w14:paraId="1D626FC2" w14:textId="5581022D">
      <w:pPr>
        <w:pStyle w:val="IPPArialFootnote"/>
      </w:pPr>
      <w:r>
        <w:rPr>
          <w:rStyle w:val="PleaseReviewParagraphId"/>
          <w:b w:val="off"/>
          <w:i w:val="off"/>
        </w:rPr>
        <w:t>[589]</w:t>
      </w:r>
      <w:r>
        <w:rPr>
          <w:rFonts w:cs="Arial"/>
          <w:vertAlign w:val="superscript"/>
        </w:rPr>
        <w:t>‡</w:t>
      </w:r>
      <w:r>
        <w:t xml:space="preserve"> See page footnote 2.</w:t>
      </w:r>
    </w:p>
    <w:p w14:paraId="00F73C49" w14:textId="68F04A2E">
      <w:pPr>
        <w:pStyle w:val="IPPArialFootnote"/>
      </w:pPr>
      <w:r>
        <w:rPr>
          <w:rStyle w:val="PleaseReviewParagraphId"/>
          <w:b w:val="off"/>
          <w:i w:val="off"/>
        </w:rPr>
        <w:t>[590]</w:t>
      </w:r>
      <w:r>
        <w:t>PCR, polymerase chain reaction.</w:t>
      </w:r>
    </w:p>
    <w:p w14:paraId="4B8B6089" w14:textId="597C11C8">
      <w:pPr>
        <w:pStyle w:val="IPPArialFootnote"/>
        <w:spacing w:after="180"/>
      </w:pPr>
      <w:r>
        <w:rPr>
          <w:rStyle w:val="PleaseReviewParagraphId"/>
          <w:b w:val="off"/>
          <w:i w:val="off"/>
        </w:rPr>
        <w:t>[591]</w:t>
      </w:r>
      <w:r>
        <w:rPr>
          <w:i/>
          <w:iCs/>
        </w:rPr>
        <w:t xml:space="preserve">Source: </w:t>
      </w:r>
      <w:r>
        <w:t xml:space="preserve">Ioos, R., Chrétien, P., Perrault, J., Jeandel, C., Dutech, C., Gonthier, P., Sillo, F., Hietala, A.M., Solheim, H. &amp; Hubert, J. 2019. Multiplex real-time PCR assays for the detection and identification of </w:t>
      </w:r>
      <w:r>
        <w:rPr>
          <w:i/>
        </w:rPr>
        <w:t>Heterobasidion</w:t>
      </w:r>
      <w:r>
        <w:t xml:space="preserve"> species attacking conifers in Europe. </w:t>
      </w:r>
      <w:r>
        <w:rPr>
          <w:i/>
        </w:rPr>
        <w:t>Plant Pathology</w:t>
      </w:r>
      <w:r>
        <w:t xml:space="preserve">, 68: 1493–1507. </w:t>
      </w:r>
      <w:hyperlink w:history="1" r:id="rId29">
        <w:r>
          <w:rPr>
            <w:rStyle w:val="Hyperlink"/>
          </w:rPr>
          <w:t>https://doi.org/10.1111/ppa.13071</w:t>
        </w:r>
      </w:hyperlink>
      <w:bookmarkEnd w:id="38"/>
    </w:p>
    <w:p w14:paraId="3349CE43" w14:textId="38DE48F6">
      <w:pPr>
        <w:pStyle w:val="IPPHeading3"/>
        <w:rPr>
          <w:iCs/>
        </w:rPr>
      </w:pPr>
      <w:r>
        <w:rPr>
          <w:rStyle w:val="PleaseReviewParagraphId"/>
          <w:b w:val="off"/>
          <w:i w:val="off"/>
        </w:rPr>
        <w:t>[592]</w:t>
      </w:r>
      <w:r>
        <w:t>3.4.4.3</w:t>
        <w:tab/>
        <w:t>LAMP</w:t>
      </w:r>
      <w:r>
        <w:rPr>
          <w:i w:val="0"/>
        </w:rPr>
        <w:fldChar w:fldCharType="begin"/>
      </w:r>
      <w:r>
        <w:rPr>
          <w:i w:val="0"/>
        </w:rPr>
        <w:instrText xml:space="preserve"> NOTEREF _Ref136780335 \f \h </w:instrText>
      </w:r>
      <w:r>
        <w:rPr>
          <w:i w:val="0"/>
        </w:rPr>
      </w:r>
      <w:r>
        <w:rPr>
          <w:i w:val="0"/>
        </w:rPr>
        <w:fldChar w:fldCharType="separate"/>
      </w:r>
      <w:r>
        <w:rPr>
          <w:rStyle w:val="FootnoteReference"/>
        </w:rPr>
        <w:t>1</w:t>
      </w:r>
      <w:r>
        <w:rPr>
          <w:i w:val="0"/>
        </w:rPr>
        <w:fldChar w:fldCharType="end"/>
      </w:r>
      <w:r>
        <w:t xml:space="preserve"> of Sillo, </w:t>
      </w:r>
      <w:r>
        <w:rPr>
          <w:iCs/>
        </w:rPr>
        <w:t>Giordano and Gonthier</w:t>
      </w:r>
      <w:r>
        <w:t xml:space="preserve"> (2018) targeting </w:t>
      </w:r>
      <w:r>
        <w:rPr>
          <w:i w:val="0"/>
        </w:rPr>
        <w:t>Heterobasidion irregulare</w:t>
      </w:r>
    </w:p>
    <w:p w14:paraId="3E65DE1E" w14:textId="07F6827C">
      <w:pPr>
        <w:pStyle w:val="IPPParagraphnumbering"/>
        <w:numPr>
          <w:ilvl w:val="0"/>
          <w:numId w:val="0"/>
        </w:numPr>
        <w:rPr>
          <w:lang w:val="en-GB"/>
        </w:rPr>
      </w:pPr>
      <w:r>
        <w:rPr>
          <w:rStyle w:val="PleaseReviewParagraphId"/>
          <w:b w:val="off"/>
          <w:i w:val="off"/>
        </w:rPr>
        <w:t>[593]</w:t>
      </w:r>
      <w:r>
        <w:rPr>
          <w:lang w:val="en-GB"/>
        </w:rPr>
        <w:t xml:space="preserve">Sillo, </w:t>
      </w:r>
      <w:r>
        <w:rPr>
          <w:iCs/>
          <w:lang w:val="en-GB"/>
        </w:rPr>
        <w:t>Giordano and Gonthier</w:t>
      </w:r>
      <w:r>
        <w:rPr>
          <w:lang w:val="en-GB"/>
        </w:rPr>
        <w:t xml:space="preserve"> (2018) developed a LAMP</w:t>
      </w:r>
      <w:r>
        <w:rPr>
          <w:lang w:val="en-GB"/>
        </w:rPr>
        <w:fldChar w:fldCharType="begin"/>
      </w:r>
      <w:r>
        <w:rPr>
          <w:lang w:val="en-GB"/>
        </w:rPr>
        <w:instrText xml:space="preserve"> NOTEREF _Ref136780335 \f </w:instrText>
      </w:r>
      <w:r>
        <w:rPr>
          <w:lang w:val="en-GB"/>
        </w:rPr>
        <w:fldChar w:fldCharType="separate"/>
      </w:r>
      <w:r>
        <w:rPr>
          <w:rStyle w:val="FootnoteReference"/>
          <w:lang w:val="en-GB"/>
        </w:rPr>
        <w:t>1</w:t>
      </w:r>
      <w:r>
        <w:rPr>
          <w:lang w:val="en-GB"/>
        </w:rPr>
        <w:fldChar w:fldCharType="end"/>
      </w:r>
      <w:r>
        <w:rPr>
          <w:lang w:val="en-GB"/>
        </w:rPr>
        <w:t xml:space="preserve"> method for the early detection of </w:t>
      </w:r>
      <w:r>
        <w:rPr>
          <w:i/>
          <w:iCs/>
          <w:lang w:val="en-GB"/>
        </w:rPr>
        <w:t>H. </w:t>
      </w:r>
      <w:r>
        <w:rPr>
          <w:i/>
          <w:lang w:val="en-GB"/>
        </w:rPr>
        <w:t>irregulare</w:t>
      </w:r>
      <w:r>
        <w:rPr>
          <w:lang w:val="en-GB"/>
        </w:rPr>
        <w:t xml:space="preserve">. The targeted gene is the gene for a cytochrome P450 monooxygenase with haem-binding activity in the genome of </w:t>
      </w:r>
      <w:r>
        <w:rPr>
          <w:i/>
          <w:iCs/>
          <w:lang w:val="en-GB"/>
        </w:rPr>
        <w:t>H. </w:t>
      </w:r>
      <w:r>
        <w:rPr>
          <w:i/>
          <w:lang w:val="en-GB"/>
        </w:rPr>
        <w:t>irregulare</w:t>
      </w:r>
      <w:r>
        <w:rPr>
          <w:lang w:val="en-GB"/>
        </w:rPr>
        <w:t xml:space="preserve"> strain TC 32-1 (Olson </w:t>
      </w:r>
      <w:r>
        <w:rPr>
          <w:i/>
          <w:iCs/>
          <w:lang w:val="en-GB"/>
        </w:rPr>
        <w:t>et al</w:t>
      </w:r>
      <w:r>
        <w:rPr>
          <w:lang w:val="en-GB"/>
        </w:rPr>
        <w:t>., 2012).</w:t>
      </w:r>
    </w:p>
    <w:p w14:paraId="58EB65F5" w14:textId="7B5A29DC">
      <w:pPr>
        <w:pStyle w:val="IPPParagraphnumbering"/>
        <w:numPr>
          <w:ilvl w:val="0"/>
          <w:numId w:val="0"/>
        </w:numPr>
        <w:rPr>
          <w:lang w:val="en-GB"/>
        </w:rPr>
      </w:pPr>
      <w:r>
        <w:rPr>
          <w:rStyle w:val="PleaseReviewParagraphId"/>
          <w:b w:val="off"/>
          <w:i w:val="off"/>
        </w:rPr>
        <w:t>[594]</w:t>
      </w:r>
      <w:r>
        <w:rPr>
          <w:lang w:val="en-GB"/>
        </w:rPr>
        <w:t xml:space="preserve">Sillo, </w:t>
      </w:r>
      <w:r>
        <w:rPr>
          <w:iCs/>
          <w:lang w:val="en-GB"/>
        </w:rPr>
        <w:t>Giordano and Gonthier</w:t>
      </w:r>
      <w:r>
        <w:rPr>
          <w:lang w:val="en-GB"/>
        </w:rPr>
        <w:t xml:space="preserve"> (2018) assessed the performance of the method, reporting the limit of detection to be about 20 pg of target DNA per reaction, and the time taken to achieve a detection result </w:t>
        <w:lastRenderedPageBreak/>
        <w:t xml:space="preserve">to be less than 40 minutes. No cross-reactivity was observed with 12 isolates of non-target phylogenetically closely related species, including </w:t>
      </w:r>
      <w:r>
        <w:rPr>
          <w:i/>
          <w:iCs/>
          <w:lang w:val="en-GB"/>
        </w:rPr>
        <w:t>H. </w:t>
      </w:r>
      <w:r>
        <w:rPr>
          <w:i/>
          <w:lang w:val="en-GB"/>
        </w:rPr>
        <w:t>abietinum</w:t>
      </w:r>
      <w:r>
        <w:rPr>
          <w:lang w:val="en-GB"/>
        </w:rPr>
        <w:t xml:space="preserve">, </w:t>
      </w:r>
      <w:r>
        <w:rPr>
          <w:i/>
          <w:iCs/>
          <w:lang w:val="en-GB"/>
        </w:rPr>
        <w:t>H. </w:t>
      </w:r>
      <w:r>
        <w:rPr>
          <w:i/>
          <w:lang w:val="en-GB"/>
        </w:rPr>
        <w:t>annosum</w:t>
      </w:r>
      <w:r>
        <w:rPr>
          <w:i/>
          <w:iCs/>
          <w:lang w:val="en-GB"/>
        </w:rPr>
        <w:t> s.s.</w:t>
      </w:r>
      <w:r>
        <w:rPr>
          <w:lang w:val="en-GB"/>
        </w:rPr>
        <w:t xml:space="preserve"> and </w:t>
      </w:r>
      <w:r>
        <w:rPr>
          <w:i/>
          <w:iCs/>
          <w:lang w:val="en-GB"/>
        </w:rPr>
        <w:t>H. </w:t>
      </w:r>
      <w:r>
        <w:rPr>
          <w:i/>
          <w:lang w:val="en-GB"/>
        </w:rPr>
        <w:t>parviporum</w:t>
      </w:r>
      <w:r>
        <w:rPr>
          <w:lang w:val="en-GB"/>
        </w:rPr>
        <w:t>, or with 14 isolates of seven other wood-decay hymenomycetes found in pine trees (</w:t>
      </w:r>
      <w:r>
        <w:rPr>
          <w:i/>
          <w:lang w:val="en-GB"/>
        </w:rPr>
        <w:t>Echinodontium tinctorium</w:t>
      </w:r>
      <w:r>
        <w:rPr>
          <w:lang w:val="en-GB"/>
        </w:rPr>
        <w:t xml:space="preserve">, </w:t>
      </w:r>
      <w:r>
        <w:rPr>
          <w:i/>
          <w:lang w:val="en-GB"/>
        </w:rPr>
        <w:t>Fomitopsis pinicola</w:t>
      </w:r>
      <w:r>
        <w:rPr>
          <w:lang w:val="en-GB"/>
        </w:rPr>
        <w:t xml:space="preserve">, </w:t>
      </w:r>
      <w:r>
        <w:rPr>
          <w:i/>
          <w:lang w:val="en-GB"/>
        </w:rPr>
        <w:t>Fuscoporia torulosa</w:t>
      </w:r>
      <w:r>
        <w:rPr>
          <w:lang w:val="en-GB"/>
        </w:rPr>
        <w:t xml:space="preserve">, </w:t>
      </w:r>
      <w:r>
        <w:rPr>
          <w:i/>
          <w:lang w:val="en-GB"/>
        </w:rPr>
        <w:t>Onnia</w:t>
      </w:r>
      <w:r>
        <w:rPr>
          <w:lang w:val="en-GB"/>
        </w:rPr>
        <w:t xml:space="preserve"> spp., </w:t>
      </w:r>
      <w:r>
        <w:rPr>
          <w:i/>
          <w:lang w:val="en-GB"/>
        </w:rPr>
        <w:t>Phaeolus schweinitzii</w:t>
      </w:r>
      <w:r>
        <w:rPr>
          <w:lang w:val="en-GB"/>
        </w:rPr>
        <w:t xml:space="preserve">, </w:t>
      </w:r>
      <w:r>
        <w:rPr>
          <w:i/>
          <w:lang w:val="en-GB"/>
        </w:rPr>
        <w:t>Porodaedalea pini</w:t>
      </w:r>
      <w:r>
        <w:rPr>
          <w:lang w:val="en-GB"/>
        </w:rPr>
        <w:t xml:space="preserve"> and </w:t>
      </w:r>
      <w:r>
        <w:rPr>
          <w:i/>
          <w:lang w:val="en-GB"/>
        </w:rPr>
        <w:t>Stereum</w:t>
      </w:r>
      <w:r>
        <w:rPr>
          <w:lang w:val="en-GB"/>
        </w:rPr>
        <w:t xml:space="preserve"> spp.). Nine isolates of </w:t>
      </w:r>
      <w:r>
        <w:rPr>
          <w:i/>
          <w:iCs/>
          <w:lang w:val="en-GB"/>
        </w:rPr>
        <w:t>H. </w:t>
      </w:r>
      <w:r>
        <w:rPr>
          <w:i/>
          <w:lang w:val="en-GB"/>
        </w:rPr>
        <w:t>irregulare</w:t>
      </w:r>
      <w:r>
        <w:rPr>
          <w:lang w:val="en-GB"/>
        </w:rPr>
        <w:t xml:space="preserve"> of different origins were also used. </w:t>
      </w:r>
    </w:p>
    <w:p w14:paraId="08B1928F" w14:textId="16F8823A">
      <w:pPr>
        <w:pStyle w:val="IPPParagraphnumberingclose"/>
        <w:numPr>
          <w:ilvl w:val="0"/>
          <w:numId w:val="0"/>
        </w:numPr>
        <w:rPr>
          <w:lang w:val="en-GB"/>
        </w:rPr>
      </w:pPr>
      <w:r>
        <w:rPr>
          <w:rStyle w:val="PleaseReviewParagraphId"/>
          <w:b w:val="off"/>
          <w:i w:val="off"/>
        </w:rPr>
        <w:t>[595]</w:t>
      </w:r>
      <w:r>
        <w:rPr>
          <w:lang w:val="en-GB"/>
        </w:rPr>
        <w:t>The master mix and incubation conditions for the LAMP</w:t>
      </w:r>
      <w:r>
        <w:rPr>
          <w:vertAlign w:val="superscript"/>
          <w:lang w:val="en-GB"/>
        </w:rPr>
        <w:t>1</w:t>
      </w:r>
      <w:r>
        <w:rPr>
          <w:lang w:val="en-GB"/>
        </w:rPr>
        <w:t xml:space="preserve"> method are described in Table 11 and the primers (Sillo, </w:t>
      </w:r>
      <w:r>
        <w:rPr>
          <w:iCs/>
          <w:lang w:val="en-GB"/>
        </w:rPr>
        <w:t>Giordano and Gonthier,</w:t>
      </w:r>
      <w:r>
        <w:rPr>
          <w:lang w:val="en-GB"/>
        </w:rPr>
        <w:t xml:space="preserve"> 2018) are as follows: </w:t>
      </w:r>
    </w:p>
    <w:p w14:paraId="08990005" w14:textId="4F7ED3A5">
      <w:pPr>
        <w:pStyle w:val="IPPIndentClose"/>
        <w:tabs>
          <w:tab w:val="num" w:pos="0"/>
        </w:tabs>
        <w:ind w:hanging="141"/>
      </w:pPr>
      <w:r>
        <w:rPr>
          <w:rStyle w:val="PleaseReviewParagraphId"/>
          <w:b w:val="off"/>
          <w:i w:val="off"/>
        </w:rPr>
        <w:t>[596]</w:t>
      </w:r>
      <w:r>
        <w:tab/>
        <w:t>HirrSC3_F3 (forward external primer): 5′-GCC ACC AAA ACT GGT TGT-3′</w:t>
      </w:r>
    </w:p>
    <w:p w14:paraId="70A269B3" w14:textId="40D8BE5B">
      <w:pPr>
        <w:pStyle w:val="IPPIndentClose"/>
        <w:tabs>
          <w:tab w:val="num" w:pos="567"/>
        </w:tabs>
        <w:ind w:hanging="993"/>
      </w:pPr>
      <w:r>
        <w:rPr>
          <w:rStyle w:val="PleaseReviewParagraphId"/>
          <w:b w:val="off"/>
          <w:i w:val="off"/>
        </w:rPr>
        <w:t>[597]</w:t>
      </w:r>
      <w:r>
        <w:tab/>
        <w:t>HirrSC3_B3 (reverse external primer): 5′-TGA AGA TGT CAA TGG AGG T-3′</w:t>
      </w:r>
    </w:p>
    <w:p w14:paraId="6065A77A" w14:textId="0EFD338C">
      <w:pPr>
        <w:pStyle w:val="IPPIndentClose"/>
        <w:ind w:left="1134" w:hanging="567"/>
      </w:pPr>
      <w:r>
        <w:rPr>
          <w:rStyle w:val="PleaseReviewParagraphId"/>
          <w:b w:val="off"/>
          <w:i w:val="off"/>
        </w:rPr>
        <w:t>[598]</w:t>
      </w:r>
      <w:r>
        <w:t>HirrSC3_FIP (forward internal primer): 5′-TCA CTA GAA CCG ATT TCA TGG GTA AAG GTG CTA GAG CAT AGC-3′</w:t>
      </w:r>
    </w:p>
    <w:p w14:paraId="36D6D0C2" w14:textId="38515F51">
      <w:pPr>
        <w:pStyle w:val="IPPIndentClose"/>
        <w:ind w:left="1134" w:hanging="567"/>
      </w:pPr>
      <w:r>
        <w:rPr>
          <w:rStyle w:val="PleaseReviewParagraphId"/>
          <w:b w:val="off"/>
          <w:i w:val="off"/>
        </w:rPr>
        <w:t>[599]</w:t>
      </w:r>
      <w:r>
        <w:t>HirrSC3_BIP (reverse internal primer): 5′-AGT GGA GAA TCG TTG TTA CAG TCC ACT GTC GAC ATA AGT GCA-3′</w:t>
      </w:r>
    </w:p>
    <w:p w14:paraId="091769C7" w14:textId="44D104D1">
      <w:pPr>
        <w:pStyle w:val="IPPIndentClose"/>
      </w:pPr>
      <w:r>
        <w:rPr>
          <w:rStyle w:val="PleaseReviewParagraphId"/>
          <w:b w:val="off"/>
          <w:i w:val="off"/>
        </w:rPr>
        <w:t>[600]</w:t>
      </w:r>
      <w:r>
        <w:t>HirrSC3_FL (forward loop primer): 5′-ACA TGG CGT ACG TAT GCT TG-3′</w:t>
      </w:r>
    </w:p>
    <w:p w14:paraId="6241B661" w14:textId="3A556B1C">
      <w:pPr>
        <w:pStyle w:val="IPPIndent"/>
      </w:pPr>
      <w:r>
        <w:rPr>
          <w:rStyle w:val="PleaseReviewParagraphId"/>
          <w:b w:val="off"/>
          <w:i w:val="off"/>
        </w:rPr>
        <w:t>[601]</w:t>
      </w:r>
      <w:r>
        <w:t>HirrSC3_BL (reverse loop primer): 5′-GAG GTT GAA GAC AAA AAC TTA CGT G-3′</w:t>
      </w:r>
    </w:p>
    <w:p w14:paraId="58F45FC9" w14:textId="47985382">
      <w:pPr>
        <w:pStyle w:val="IPPArial"/>
        <w:keepNext/>
        <w:spacing w:after="120"/>
      </w:pPr>
      <w:r>
        <w:rPr>
          <w:rStyle w:val="PleaseReviewParagraphId"/>
          <w:b w:val="off"/>
          <w:i w:val="off"/>
        </w:rPr>
        <w:t>[602]</w:t>
      </w:r>
      <w:r>
        <w:rPr>
          <w:b/>
          <w:bCs/>
        </w:rPr>
        <w:t>Table 11.</w:t>
      </w:r>
      <w:r>
        <w:t xml:space="preserve"> Master mix composition and incubation conditions for LAMP method targeting </w:t>
      </w:r>
      <w:r>
        <w:rPr>
          <w:i/>
        </w:rPr>
        <w:t>Heterobasidion irregulare</w:t>
      </w:r>
      <w:r>
        <w:t>*</w:t>
      </w:r>
    </w:p>
    <w:tbl>
      <w:tblPr>
        <w:tblStyle w:val="TableGrid"/>
        <w:tblW w:w="0" w:type="auto"/>
        <w:tblLook w:val="04A0" w:firstRow="1" w:lastRow="0" w:firstColumn="1" w:lastColumn="0" w:noHBand="0" w:noVBand="1"/>
      </w:tblPr>
      <w:tblGrid>
        <w:gridCol w:w="3823"/>
        <w:gridCol w:w="2268"/>
      </w:tblGrid>
      <w:tr w14:paraId="1D477774" w14:textId="77777777">
        <w:tc>
          <w:tcPr>
            <w:tcW w:w="3823" w:type="dxa"/>
            <w:tcBorders>
              <w:left w:val="nil"/>
              <w:bottom w:val="single" w:color="auto" w:sz="4" w:space="0"/>
              <w:right w:val="nil"/>
            </w:tcBorders>
            <w:shd w:val="clear" w:color="auto" w:fill="BFBFBF" w:themeFill="background1" w:themeFillShade="BF"/>
          </w:tcPr>
          <w:p w14:paraId="320B79E9" w14:textId="5735DA38">
            <w:pPr>
              <w:pStyle w:val="IPPArialTable"/>
              <w:rPr>
                <w:b/>
                <w:bCs/>
              </w:rPr>
            </w:pPr>
            <w:r>
              <w:rPr>
                <w:rStyle w:val="PleaseReviewParagraphId"/>
                <w:b w:val="off"/>
                <w:i w:val="off"/>
              </w:rPr>
              <w:t>[603]</w:t>
            </w:r>
            <w:r>
              <w:rPr>
                <w:b/>
                <w:bCs/>
              </w:rPr>
              <w:t>Reagents</w:t>
            </w:r>
          </w:p>
        </w:tc>
        <w:tc>
          <w:tcPr>
            <w:tcW w:w="2268" w:type="dxa"/>
            <w:tcBorders>
              <w:left w:val="nil"/>
              <w:bottom w:val="single" w:color="auto" w:sz="4" w:space="0"/>
              <w:right w:val="nil"/>
            </w:tcBorders>
            <w:shd w:val="clear" w:color="auto" w:fill="BFBFBF" w:themeFill="background1" w:themeFillShade="BF"/>
          </w:tcPr>
          <w:p w14:paraId="7D50BBF4" w14:textId="77777777">
            <w:pPr>
              <w:pStyle w:val="IPPArialTable"/>
              <w:rPr>
                <w:b/>
                <w:bCs/>
              </w:rPr>
            </w:pPr>
            <w:r>
              <w:rPr>
                <w:rStyle w:val="PleaseReviewParagraphId"/>
                <w:b w:val="off"/>
                <w:i w:val="off"/>
              </w:rPr>
              <w:t>[604]</w:t>
            </w:r>
            <w:r>
              <w:rPr>
                <w:b/>
                <w:bCs/>
              </w:rPr>
              <w:t>Final concentration</w:t>
            </w:r>
          </w:p>
        </w:tc>
      </w:tr>
      <w:tr w14:paraId="405ECE00" w14:textId="77777777">
        <w:tc>
          <w:tcPr>
            <w:tcW w:w="3823" w:type="dxa"/>
            <w:tcBorders>
              <w:left w:val="nil"/>
              <w:bottom w:val="nil"/>
              <w:right w:val="nil"/>
            </w:tcBorders>
          </w:tcPr>
          <w:p w14:paraId="59BE61B3" w14:textId="2D17A807">
            <w:pPr>
              <w:pStyle w:val="IPPArialTable"/>
            </w:pPr>
            <w:r>
              <w:rPr>
                <w:rStyle w:val="PleaseReviewParagraphId"/>
                <w:b w:val="off"/>
                <w:i w:val="off"/>
              </w:rPr>
              <w:t>[605]</w:t>
            </w:r>
            <w:r>
              <w:t>PCR-grade water</w:t>
            </w:r>
          </w:p>
        </w:tc>
        <w:tc>
          <w:tcPr>
            <w:tcW w:w="2268" w:type="dxa"/>
            <w:tcBorders>
              <w:left w:val="nil"/>
              <w:bottom w:val="nil"/>
              <w:right w:val="nil"/>
            </w:tcBorders>
          </w:tcPr>
          <w:p w14:paraId="77B6F195" w14:textId="5E0A69D7">
            <w:pPr>
              <w:pStyle w:val="IPPArialTable"/>
            </w:pPr>
            <w:r>
              <w:rPr>
                <w:rStyle w:val="PleaseReviewParagraphId"/>
                <w:b w:val="off"/>
                <w:i w:val="off"/>
              </w:rPr>
              <w:t>[606]</w:t>
            </w:r>
            <w:r>
              <w:rPr>
                <w:rFonts w:ascii="ArialMT" w:hAnsi="ArialMT" w:cs="ArialMT" w:eastAsiaTheme="minorHAnsi"/>
                <w:szCs w:val="20"/>
                <w:vertAlign w:val="superscript"/>
              </w:rPr>
              <w:t>†</w:t>
            </w:r>
          </w:p>
        </w:tc>
      </w:tr>
      <w:tr w14:paraId="087E9FD7" w14:textId="77777777">
        <w:tc>
          <w:tcPr>
            <w:tcW w:w="3823" w:type="dxa"/>
            <w:tcBorders>
              <w:top w:val="nil"/>
              <w:left w:val="nil"/>
              <w:bottom w:val="nil"/>
              <w:right w:val="nil"/>
            </w:tcBorders>
          </w:tcPr>
          <w:p w14:paraId="1011ACFF" w14:textId="23AEBD07">
            <w:pPr>
              <w:pStyle w:val="IPPArialTable"/>
            </w:pPr>
            <w:r>
              <w:rPr>
                <w:rStyle w:val="PleaseReviewParagraphId"/>
                <w:b w:val="off"/>
                <w:i w:val="off"/>
              </w:rPr>
              <w:t>[607]</w:t>
            </w:r>
            <w:r>
              <w:t>Isothermal Mastermix ISO-001 (OptiGene)</w:t>
            </w:r>
            <w:r>
              <w:rPr>
                <w:rFonts w:cs="Arial"/>
                <w:vertAlign w:val="superscript"/>
              </w:rPr>
              <w:t>‡</w:t>
            </w:r>
          </w:p>
        </w:tc>
        <w:tc>
          <w:tcPr>
            <w:tcW w:w="2268" w:type="dxa"/>
            <w:tcBorders>
              <w:top w:val="nil"/>
              <w:left w:val="nil"/>
              <w:bottom w:val="nil"/>
              <w:right w:val="nil"/>
            </w:tcBorders>
          </w:tcPr>
          <w:p w14:paraId="112661B2" w14:textId="4B8CE8FB">
            <w:pPr>
              <w:pStyle w:val="IPPArialTable"/>
            </w:pPr>
            <w:r>
              <w:rPr>
                <w:rStyle w:val="PleaseReviewParagraphId"/>
                <w:b w:val="off"/>
                <w:i w:val="off"/>
              </w:rPr>
              <w:t>[608]</w:t>
            </w:r>
            <w:r>
              <w:t>0.975×</w:t>
            </w:r>
          </w:p>
        </w:tc>
      </w:tr>
      <w:tr w14:paraId="16D1B4AE" w14:textId="77777777">
        <w:tc>
          <w:tcPr>
            <w:tcW w:w="3823" w:type="dxa"/>
            <w:tcBorders>
              <w:top w:val="nil"/>
              <w:left w:val="nil"/>
              <w:bottom w:val="nil"/>
              <w:right w:val="nil"/>
            </w:tcBorders>
          </w:tcPr>
          <w:p w14:paraId="7CC6BB17" w14:textId="0196735D">
            <w:pPr>
              <w:pStyle w:val="IPPArialTable"/>
            </w:pPr>
            <w:r>
              <w:rPr>
                <w:rStyle w:val="PleaseReviewParagraphId"/>
                <w:b w:val="off"/>
                <w:i w:val="off"/>
              </w:rPr>
              <w:t>[609]</w:t>
            </w:r>
            <w:r>
              <w:t>HirrSC3_F3 (forward primer)</w:t>
            </w:r>
          </w:p>
        </w:tc>
        <w:tc>
          <w:tcPr>
            <w:tcW w:w="2268" w:type="dxa"/>
            <w:tcBorders>
              <w:top w:val="nil"/>
              <w:left w:val="nil"/>
              <w:bottom w:val="nil"/>
              <w:right w:val="nil"/>
            </w:tcBorders>
          </w:tcPr>
          <w:p w14:paraId="6F046633" w14:textId="39C86E48">
            <w:pPr>
              <w:pStyle w:val="IPPArialTable"/>
            </w:pPr>
            <w:r>
              <w:rPr>
                <w:rStyle w:val="PleaseReviewParagraphId"/>
                <w:b w:val="off"/>
                <w:i w:val="off"/>
              </w:rPr>
              <w:t>[610]</w:t>
            </w:r>
            <w:r>
              <w:t>0.25 µM</w:t>
            </w:r>
          </w:p>
        </w:tc>
      </w:tr>
      <w:tr w14:paraId="740F606A" w14:textId="77777777">
        <w:tc>
          <w:tcPr>
            <w:tcW w:w="3823" w:type="dxa"/>
            <w:tcBorders>
              <w:top w:val="nil"/>
              <w:left w:val="nil"/>
              <w:bottom w:val="nil"/>
              <w:right w:val="nil"/>
            </w:tcBorders>
          </w:tcPr>
          <w:p w14:paraId="060D3E52" w14:textId="0625C7B7">
            <w:pPr>
              <w:pStyle w:val="IPPArialTable"/>
            </w:pPr>
            <w:r>
              <w:rPr>
                <w:rStyle w:val="PleaseReviewParagraphId"/>
                <w:b w:val="off"/>
                <w:i w:val="off"/>
              </w:rPr>
              <w:t>[611]</w:t>
            </w:r>
            <w:r>
              <w:t>HirrSC3_B3 (reverse primer)</w:t>
            </w:r>
          </w:p>
        </w:tc>
        <w:tc>
          <w:tcPr>
            <w:tcW w:w="2268" w:type="dxa"/>
            <w:tcBorders>
              <w:top w:val="nil"/>
              <w:left w:val="nil"/>
              <w:bottom w:val="nil"/>
              <w:right w:val="nil"/>
            </w:tcBorders>
          </w:tcPr>
          <w:p w14:paraId="451C91BA" w14:textId="593B81A4">
            <w:pPr>
              <w:pStyle w:val="IPPArialTable"/>
            </w:pPr>
            <w:r>
              <w:rPr>
                <w:rStyle w:val="PleaseReviewParagraphId"/>
                <w:b w:val="off"/>
                <w:i w:val="off"/>
              </w:rPr>
              <w:t>[612]</w:t>
            </w:r>
            <w:r>
              <w:t>0.25 µM</w:t>
            </w:r>
          </w:p>
        </w:tc>
      </w:tr>
      <w:tr w14:paraId="6F33F32B" w14:textId="77777777">
        <w:tc>
          <w:tcPr>
            <w:tcW w:w="3823" w:type="dxa"/>
            <w:tcBorders>
              <w:top w:val="nil"/>
              <w:left w:val="nil"/>
              <w:bottom w:val="nil"/>
              <w:right w:val="nil"/>
            </w:tcBorders>
          </w:tcPr>
          <w:p w14:paraId="0CF2A62A" w14:textId="1FEE35DC">
            <w:pPr>
              <w:pStyle w:val="IPPArialTable"/>
            </w:pPr>
            <w:r>
              <w:rPr>
                <w:rStyle w:val="PleaseReviewParagraphId"/>
                <w:b w:val="off"/>
                <w:i w:val="off"/>
              </w:rPr>
              <w:t>[613]</w:t>
            </w:r>
            <w:r>
              <w:t>HirrSC3_FIP (forward primer)</w:t>
            </w:r>
          </w:p>
        </w:tc>
        <w:tc>
          <w:tcPr>
            <w:tcW w:w="2268" w:type="dxa"/>
            <w:tcBorders>
              <w:top w:val="nil"/>
              <w:left w:val="nil"/>
              <w:bottom w:val="nil"/>
              <w:right w:val="nil"/>
            </w:tcBorders>
          </w:tcPr>
          <w:p w14:paraId="53DD6336" w14:textId="5AE96757">
            <w:pPr>
              <w:pStyle w:val="IPPArialTable"/>
            </w:pPr>
            <w:r>
              <w:rPr>
                <w:rStyle w:val="PleaseReviewParagraphId"/>
                <w:b w:val="off"/>
                <w:i w:val="off"/>
              </w:rPr>
              <w:t>[614]</w:t>
            </w:r>
            <w:r>
              <w:t>0.5 µM</w:t>
            </w:r>
          </w:p>
        </w:tc>
      </w:tr>
      <w:tr w14:paraId="7BDEDAC0" w14:textId="77777777">
        <w:tc>
          <w:tcPr>
            <w:tcW w:w="3823" w:type="dxa"/>
            <w:tcBorders>
              <w:top w:val="nil"/>
              <w:left w:val="nil"/>
              <w:bottom w:val="nil"/>
              <w:right w:val="nil"/>
            </w:tcBorders>
          </w:tcPr>
          <w:p w14:paraId="3704AFAF" w14:textId="3FAD6F27">
            <w:pPr>
              <w:pStyle w:val="IPPArialTable"/>
            </w:pPr>
            <w:r>
              <w:rPr>
                <w:rStyle w:val="PleaseReviewParagraphId"/>
                <w:b w:val="off"/>
                <w:i w:val="off"/>
              </w:rPr>
              <w:t>[615]</w:t>
            </w:r>
            <w:r>
              <w:t>HirrSC3_BIP (reverse primer)</w:t>
            </w:r>
          </w:p>
        </w:tc>
        <w:tc>
          <w:tcPr>
            <w:tcW w:w="2268" w:type="dxa"/>
            <w:tcBorders>
              <w:top w:val="nil"/>
              <w:left w:val="nil"/>
              <w:bottom w:val="nil"/>
              <w:right w:val="nil"/>
            </w:tcBorders>
          </w:tcPr>
          <w:p w14:paraId="49D4982D" w14:textId="472E4A9F">
            <w:pPr>
              <w:pStyle w:val="IPPArialTable"/>
            </w:pPr>
            <w:r>
              <w:rPr>
                <w:rStyle w:val="PleaseReviewParagraphId"/>
                <w:b w:val="off"/>
                <w:i w:val="off"/>
              </w:rPr>
              <w:t>[616]</w:t>
            </w:r>
            <w:r>
              <w:t>0.5 µM</w:t>
            </w:r>
          </w:p>
        </w:tc>
      </w:tr>
      <w:tr w14:paraId="2DEB565C" w14:textId="77777777">
        <w:tc>
          <w:tcPr>
            <w:tcW w:w="3823" w:type="dxa"/>
            <w:tcBorders>
              <w:top w:val="nil"/>
              <w:left w:val="nil"/>
              <w:bottom w:val="nil"/>
              <w:right w:val="nil"/>
            </w:tcBorders>
          </w:tcPr>
          <w:p w14:paraId="58470EFA" w14:textId="130F67A4">
            <w:pPr>
              <w:pStyle w:val="IPPArialTable"/>
            </w:pPr>
            <w:r>
              <w:rPr>
                <w:rStyle w:val="PleaseReviewParagraphId"/>
                <w:b w:val="off"/>
                <w:i w:val="off"/>
              </w:rPr>
              <w:t>[617]</w:t>
            </w:r>
            <w:r>
              <w:t>HirrSC3_FL (forward primer)</w:t>
            </w:r>
          </w:p>
        </w:tc>
        <w:tc>
          <w:tcPr>
            <w:tcW w:w="2268" w:type="dxa"/>
            <w:tcBorders>
              <w:top w:val="nil"/>
              <w:left w:val="nil"/>
              <w:bottom w:val="nil"/>
              <w:right w:val="nil"/>
            </w:tcBorders>
          </w:tcPr>
          <w:p w14:paraId="3916774B" w14:textId="49684114">
            <w:pPr>
              <w:pStyle w:val="IPPArialTable"/>
            </w:pPr>
            <w:r>
              <w:rPr>
                <w:rStyle w:val="PleaseReviewParagraphId"/>
                <w:b w:val="off"/>
                <w:i w:val="off"/>
              </w:rPr>
              <w:t>[618]</w:t>
            </w:r>
            <w:r>
              <w:t>0.5 µM</w:t>
            </w:r>
          </w:p>
        </w:tc>
      </w:tr>
      <w:tr w14:paraId="4F446E78" w14:textId="77777777">
        <w:tc>
          <w:tcPr>
            <w:tcW w:w="3823" w:type="dxa"/>
            <w:tcBorders>
              <w:top w:val="nil"/>
              <w:left w:val="nil"/>
              <w:bottom w:val="nil"/>
              <w:right w:val="nil"/>
            </w:tcBorders>
          </w:tcPr>
          <w:p w14:paraId="4D107BF6" w14:textId="326B708C">
            <w:pPr>
              <w:pStyle w:val="IPPArialTable"/>
            </w:pPr>
            <w:r>
              <w:rPr>
                <w:rStyle w:val="PleaseReviewParagraphId"/>
                <w:b w:val="off"/>
                <w:i w:val="off"/>
              </w:rPr>
              <w:t>[619]</w:t>
            </w:r>
            <w:r>
              <w:t>HirrSC3_BL (reverse primer)</w:t>
            </w:r>
          </w:p>
        </w:tc>
        <w:tc>
          <w:tcPr>
            <w:tcW w:w="2268" w:type="dxa"/>
            <w:tcBorders>
              <w:top w:val="nil"/>
              <w:left w:val="nil"/>
              <w:bottom w:val="nil"/>
              <w:right w:val="nil"/>
            </w:tcBorders>
          </w:tcPr>
          <w:p w14:paraId="0C7067A2" w14:textId="55F1A3AE">
            <w:pPr>
              <w:pStyle w:val="IPPArialTable"/>
            </w:pPr>
            <w:r>
              <w:rPr>
                <w:rStyle w:val="PleaseReviewParagraphId"/>
                <w:b w:val="off"/>
                <w:i w:val="off"/>
              </w:rPr>
              <w:t>[620]</w:t>
            </w:r>
            <w:r>
              <w:t>0.5 µM</w:t>
            </w:r>
          </w:p>
        </w:tc>
      </w:tr>
      <w:tr w14:paraId="4D569F70" w14:textId="77777777">
        <w:tc>
          <w:tcPr>
            <w:tcW w:w="3823" w:type="dxa"/>
            <w:tcBorders>
              <w:top w:val="single" w:color="auto" w:sz="4" w:space="0"/>
              <w:left w:val="nil"/>
              <w:bottom w:val="single" w:color="auto" w:sz="4" w:space="0"/>
              <w:right w:val="nil"/>
            </w:tcBorders>
          </w:tcPr>
          <w:p w14:paraId="1BC4FC4D" w14:textId="174335C3">
            <w:pPr>
              <w:pStyle w:val="IPPArialTable"/>
            </w:pPr>
            <w:r>
              <w:rPr>
                <w:rStyle w:val="PleaseReviewParagraphId"/>
                <w:b w:val="off"/>
                <w:i w:val="off"/>
              </w:rPr>
              <w:t>[621]</w:t>
            </w:r>
            <w:r>
              <w:t>DNA (volume)</w:t>
            </w:r>
          </w:p>
        </w:tc>
        <w:tc>
          <w:tcPr>
            <w:tcW w:w="2268" w:type="dxa"/>
            <w:tcBorders>
              <w:top w:val="single" w:color="auto" w:sz="4" w:space="0"/>
              <w:left w:val="nil"/>
              <w:bottom w:val="single" w:color="auto" w:sz="4" w:space="0"/>
              <w:right w:val="nil"/>
            </w:tcBorders>
          </w:tcPr>
          <w:p w14:paraId="6F0FD476" w14:textId="38EBDD72">
            <w:pPr>
              <w:pStyle w:val="IPPArialTable"/>
            </w:pPr>
            <w:r>
              <w:rPr>
                <w:rStyle w:val="PleaseReviewParagraphId"/>
                <w:b w:val="off"/>
                <w:i w:val="off"/>
              </w:rPr>
              <w:t>[622]</w:t>
            </w:r>
            <w:r>
              <w:t>1 µL</w:t>
            </w:r>
          </w:p>
        </w:tc>
      </w:tr>
      <w:tr w14:paraId="297BF086" w14:textId="77777777">
        <w:tc>
          <w:tcPr>
            <w:tcW w:w="6091" w:type="dxa"/>
            <w:gridSpan w:val="2"/>
            <w:tcBorders>
              <w:left w:val="nil"/>
              <w:bottom w:val="single" w:color="auto" w:sz="4" w:space="0"/>
              <w:right w:val="nil"/>
            </w:tcBorders>
            <w:shd w:val="clear" w:color="auto" w:fill="BFBFBF" w:themeFill="background1" w:themeFillShade="BF"/>
          </w:tcPr>
          <w:p w14:paraId="0F2F6D2C" w14:textId="4B9B41D8">
            <w:pPr>
              <w:pStyle w:val="IPPArialTable"/>
              <w:rPr>
                <w:b/>
                <w:bCs/>
              </w:rPr>
            </w:pPr>
            <w:r>
              <w:rPr>
                <w:rStyle w:val="PleaseReviewParagraphId"/>
                <w:b w:val="off"/>
                <w:i w:val="off"/>
              </w:rPr>
              <w:t>[623]</w:t>
            </w:r>
            <w:r>
              <w:rPr>
                <w:b/>
                <w:bCs/>
              </w:rPr>
              <w:t>Incubation conditions</w:t>
            </w:r>
          </w:p>
        </w:tc>
      </w:tr>
      <w:tr w14:paraId="5855528D" w14:textId="77777777">
        <w:tc>
          <w:tcPr>
            <w:tcW w:w="3823" w:type="dxa"/>
            <w:tcBorders>
              <w:top w:val="single" w:color="auto" w:sz="4" w:space="0"/>
              <w:left w:val="nil"/>
              <w:bottom w:val="nil"/>
              <w:right w:val="nil"/>
            </w:tcBorders>
          </w:tcPr>
          <w:p w14:paraId="12C71FB8" w14:textId="6E0EC8F1">
            <w:pPr>
              <w:pStyle w:val="IPPArialTable"/>
            </w:pPr>
            <w:r>
              <w:rPr>
                <w:rStyle w:val="PleaseReviewParagraphId"/>
                <w:b w:val="off"/>
                <w:i w:val="off"/>
              </w:rPr>
              <w:t>[624]</w:t>
            </w:r>
            <w:r>
              <w:t>Isothermal amplification</w:t>
            </w:r>
          </w:p>
        </w:tc>
        <w:tc>
          <w:tcPr>
            <w:tcW w:w="2268" w:type="dxa"/>
            <w:tcBorders>
              <w:top w:val="single" w:color="auto" w:sz="4" w:space="0"/>
              <w:left w:val="nil"/>
              <w:bottom w:val="nil"/>
              <w:right w:val="nil"/>
            </w:tcBorders>
          </w:tcPr>
          <w:p w14:paraId="7C18A3EA" w14:textId="1E39D6BC">
            <w:pPr>
              <w:pStyle w:val="IPPArialTable"/>
            </w:pPr>
            <w:r>
              <w:rPr>
                <w:rStyle w:val="PleaseReviewParagraphId"/>
                <w:b w:val="off"/>
                <w:i w:val="off"/>
              </w:rPr>
              <w:t>[625]</w:t>
            </w:r>
            <w:r>
              <w:t>65 °C for 40 min</w:t>
            </w:r>
          </w:p>
        </w:tc>
      </w:tr>
      <w:tr w14:paraId="722D7A86" w14:textId="77777777">
        <w:tc>
          <w:tcPr>
            <w:tcW w:w="3823" w:type="dxa"/>
            <w:tcBorders>
              <w:top w:val="nil"/>
              <w:left w:val="nil"/>
              <w:bottom w:val="nil"/>
              <w:right w:val="nil"/>
            </w:tcBorders>
          </w:tcPr>
          <w:p w14:paraId="5C4CBF84" w14:textId="6F71BC4D">
            <w:pPr>
              <w:pStyle w:val="IPPArialTable"/>
              <w:numPr>
                <w:ilvl w:val="0"/>
                <w:numId w:val="56"/>
              </w:numPr>
              <w:ind w:left="284" w:hanging="142"/>
            </w:pPr>
            <w:r>
              <w:rPr>
                <w:rStyle w:val="PleaseReviewParagraphId"/>
                <w:b w:val="off"/>
                <w:i w:val="off"/>
              </w:rPr>
              <w:t>[626]</w:t>
            </w:r>
            <w:r>
              <w:t>Fluorescence detection</w:t>
            </w:r>
          </w:p>
        </w:tc>
        <w:tc>
          <w:tcPr>
            <w:tcW w:w="2268" w:type="dxa"/>
            <w:tcBorders>
              <w:top w:val="nil"/>
              <w:left w:val="nil"/>
              <w:bottom w:val="nil"/>
              <w:right w:val="nil"/>
            </w:tcBorders>
          </w:tcPr>
          <w:p w14:paraId="075C120F" w14:textId="72778EE9">
            <w:pPr>
              <w:pStyle w:val="IPPArialTable"/>
            </w:pPr>
            <w:r>
              <w:rPr>
                <w:rStyle w:val="PleaseReviewParagraphId"/>
                <w:b w:val="off"/>
                <w:i w:val="off"/>
              </w:rPr>
              <w:t>[627]</w:t>
            </w:r>
            <w:r>
              <w:t>Every minute</w:t>
            </w:r>
          </w:p>
        </w:tc>
      </w:tr>
      <w:tr w14:paraId="447C8D7B" w14:textId="77777777">
        <w:tc>
          <w:tcPr>
            <w:tcW w:w="3823" w:type="dxa"/>
            <w:tcBorders>
              <w:top w:val="nil"/>
              <w:left w:val="nil"/>
              <w:bottom w:val="nil"/>
              <w:right w:val="nil"/>
            </w:tcBorders>
          </w:tcPr>
          <w:p w14:paraId="55C265E8" w14:textId="3F033ED9">
            <w:pPr>
              <w:pStyle w:val="IPPArialTable"/>
            </w:pPr>
            <w:r>
              <w:rPr>
                <w:rStyle w:val="PleaseReviewParagraphId"/>
                <w:b w:val="off"/>
                <w:i w:val="off"/>
              </w:rPr>
              <w:t>[628]</w:t>
            </w:r>
            <w:r>
              <w:t>Melting curve</w:t>
            </w:r>
          </w:p>
        </w:tc>
        <w:tc>
          <w:tcPr>
            <w:tcW w:w="2268" w:type="dxa"/>
            <w:tcBorders>
              <w:top w:val="nil"/>
              <w:left w:val="nil"/>
              <w:bottom w:val="nil"/>
              <w:right w:val="nil"/>
            </w:tcBorders>
          </w:tcPr>
          <w:p w14:paraId="1DCC5F9B" w14:textId="2BEFA6EA">
            <w:pPr>
              <w:pStyle w:val="IPPArialTable"/>
            </w:pPr>
            <w:r>
              <w:rPr>
                <w:rStyle w:val="PleaseReviewParagraphId"/>
                <w:b w:val="off"/>
                <w:i w:val="off"/>
              </w:rPr>
              <w:t>[629]</w:t>
            </w:r>
            <w:r>
              <w:t>From 65 °C to 95 °C</w:t>
            </w:r>
          </w:p>
        </w:tc>
      </w:tr>
      <w:tr w14:paraId="6F982748" w14:textId="77777777">
        <w:tc>
          <w:tcPr>
            <w:tcW w:w="3823" w:type="dxa"/>
            <w:tcBorders>
              <w:top w:val="nil"/>
              <w:left w:val="nil"/>
              <w:bottom w:val="nil"/>
              <w:right w:val="nil"/>
            </w:tcBorders>
          </w:tcPr>
          <w:p w14:paraId="545A09D0" w14:textId="4A04B804">
            <w:pPr>
              <w:pStyle w:val="IPPArialTable"/>
              <w:numPr>
                <w:ilvl w:val="0"/>
                <w:numId w:val="57"/>
              </w:numPr>
              <w:ind w:left="284" w:hanging="142"/>
            </w:pPr>
            <w:r>
              <w:rPr>
                <w:rStyle w:val="PleaseReviewParagraphId"/>
                <w:b w:val="off"/>
                <w:i w:val="off"/>
              </w:rPr>
              <w:t>[630]</w:t>
            </w:r>
            <w:r>
              <w:t>Temperature increment</w:t>
            </w:r>
          </w:p>
        </w:tc>
        <w:tc>
          <w:tcPr>
            <w:tcW w:w="2268" w:type="dxa"/>
            <w:tcBorders>
              <w:top w:val="nil"/>
              <w:left w:val="nil"/>
              <w:bottom w:val="nil"/>
              <w:right w:val="nil"/>
            </w:tcBorders>
          </w:tcPr>
          <w:p w14:paraId="1D375A83" w14:textId="6FFC2F45">
            <w:pPr>
              <w:pStyle w:val="IPPArialTable"/>
            </w:pPr>
            <w:r>
              <w:rPr>
                <w:rStyle w:val="PleaseReviewParagraphId"/>
                <w:b w:val="off"/>
                <w:i w:val="off"/>
              </w:rPr>
              <w:t>[631]</w:t>
            </w:r>
            <w:r>
              <w:t>0.1 °C</w:t>
            </w:r>
          </w:p>
        </w:tc>
      </w:tr>
      <w:tr w14:paraId="358F7530" w14:textId="77777777">
        <w:tc>
          <w:tcPr>
            <w:tcW w:w="3823" w:type="dxa"/>
            <w:tcBorders>
              <w:top w:val="nil"/>
              <w:left w:val="nil"/>
              <w:bottom w:val="single" w:color="auto" w:sz="4" w:space="0"/>
              <w:right w:val="nil"/>
            </w:tcBorders>
          </w:tcPr>
          <w:p w14:paraId="794C8F28" w14:textId="75C2BE16">
            <w:pPr>
              <w:pStyle w:val="IPPArialTable"/>
              <w:numPr>
                <w:ilvl w:val="0"/>
                <w:numId w:val="57"/>
              </w:numPr>
              <w:ind w:left="284" w:hanging="142"/>
            </w:pPr>
            <w:r>
              <w:rPr>
                <w:rStyle w:val="PleaseReviewParagraphId"/>
                <w:b w:val="off"/>
                <w:i w:val="off"/>
              </w:rPr>
              <w:t>[632]</w:t>
            </w:r>
            <w:r>
              <w:t>Fluorescence detection</w:t>
            </w:r>
          </w:p>
        </w:tc>
        <w:tc>
          <w:tcPr>
            <w:tcW w:w="2268" w:type="dxa"/>
            <w:tcBorders>
              <w:top w:val="nil"/>
              <w:left w:val="nil"/>
              <w:bottom w:val="single" w:color="auto" w:sz="4" w:space="0"/>
              <w:right w:val="nil"/>
            </w:tcBorders>
          </w:tcPr>
          <w:p w14:paraId="091CEBD1" w14:textId="23E336D3">
            <w:pPr>
              <w:pStyle w:val="IPPArialTable"/>
            </w:pPr>
            <w:r>
              <w:rPr>
                <w:rStyle w:val="PleaseReviewParagraphId"/>
                <w:b w:val="off"/>
                <w:i w:val="off"/>
              </w:rPr>
              <w:t>[633]</w:t>
            </w:r>
            <w:r>
              <w:t>Every 10 s</w:t>
            </w:r>
          </w:p>
        </w:tc>
      </w:tr>
    </w:tbl>
    <w:p w14:paraId="2978DD21" w14:textId="326CFD52">
      <w:pPr>
        <w:pStyle w:val="IPPArialFootnote"/>
        <w:rPr>
          <w:rFonts w:ascii="ArialMT" w:hAnsi="ArialMT" w:cs="ArialMT"/>
          <w:i/>
          <w:iCs/>
        </w:rPr>
      </w:pPr>
      <w:r>
        <w:rPr>
          <w:rStyle w:val="PleaseReviewParagraphId"/>
          <w:b w:val="off"/>
          <w:i w:val="off"/>
        </w:rPr>
        <w:t>[634]</w:t>
      </w:r>
      <w:r>
        <w:rPr>
          <w:rFonts w:ascii="ArialMT" w:hAnsi="ArialMT" w:cs="ArialMT"/>
          <w:i/>
          <w:iCs/>
        </w:rPr>
        <w:t xml:space="preserve">Notes: * </w:t>
      </w:r>
      <w:r>
        <w:rPr>
          <w:rFonts w:ascii="ArialMT" w:hAnsi="ArialMT" w:cs="ArialMT"/>
        </w:rPr>
        <w:t>See page footnote 1.</w:t>
      </w:r>
    </w:p>
    <w:p w14:paraId="0C4F8223" w14:textId="055E4FE6">
      <w:pPr>
        <w:pStyle w:val="IPPArialFootnote"/>
      </w:pPr>
      <w:r>
        <w:rPr>
          <w:rStyle w:val="PleaseReviewParagraphId"/>
          <w:b w:val="off"/>
          <w:i w:val="off"/>
        </w:rPr>
        <w:t>[635]</w:t>
      </w:r>
      <w:r>
        <w:rPr>
          <w:rFonts w:ascii="ArialMT" w:hAnsi="ArialMT" w:cs="ArialMT"/>
          <w:vertAlign w:val="superscript"/>
        </w:rPr>
        <w:t xml:space="preserve">† </w:t>
      </w:r>
      <w:r>
        <w:t>For a final reaction volume of 20 µL.</w:t>
      </w:r>
    </w:p>
    <w:p w14:paraId="5EC5EB8C" w14:textId="773DB0E3">
      <w:pPr>
        <w:pStyle w:val="IPPArialFootnote"/>
      </w:pPr>
      <w:r>
        <w:rPr>
          <w:rStyle w:val="PleaseReviewParagraphId"/>
          <w:b w:val="off"/>
          <w:i w:val="off"/>
        </w:rPr>
        <w:t>[636]</w:t>
      </w:r>
      <w:r>
        <w:rPr>
          <w:rFonts w:cs="Arial"/>
          <w:vertAlign w:val="superscript"/>
        </w:rPr>
        <w:t>‡</w:t>
      </w:r>
      <w:r>
        <w:t xml:space="preserve"> See page footnote 2.</w:t>
      </w:r>
    </w:p>
    <w:p w14:paraId="4E965602" w14:textId="6B8C8011">
      <w:pPr>
        <w:pStyle w:val="IPPArialFootnote"/>
      </w:pPr>
      <w:r>
        <w:rPr>
          <w:rStyle w:val="PleaseReviewParagraphId"/>
          <w:b w:val="off"/>
          <w:i w:val="off"/>
        </w:rPr>
        <w:t>[637]</w:t>
      </w:r>
      <w:r>
        <w:rPr>
          <w:iCs/>
        </w:rPr>
        <w:t xml:space="preserve">LAMP, loop-mediated isothermal amplification; </w:t>
      </w:r>
      <w:r>
        <w:t>PCR, polymerase chain reaction.</w:t>
      </w:r>
    </w:p>
    <w:p w14:paraId="47F90D9B" w14:textId="53C7F42A">
      <w:pPr>
        <w:pStyle w:val="IPPArialFootnote"/>
        <w:spacing w:after="180"/>
        <w:rPr>
          <w:i/>
          <w:iCs/>
        </w:rPr>
      </w:pPr>
      <w:r>
        <w:rPr>
          <w:rStyle w:val="PleaseReviewParagraphId"/>
          <w:b w:val="off"/>
          <w:i w:val="off"/>
        </w:rPr>
        <w:t>[638]</w:t>
      </w:r>
      <w:r>
        <w:rPr>
          <w:i/>
          <w:iCs/>
        </w:rPr>
        <w:t xml:space="preserve">Source: </w:t>
      </w:r>
      <w:r>
        <w:t xml:space="preserve">Sillo, F., Giordano, L. &amp; Gonthier, P. 2018. Fast and specific detection of the invasive forest pathogen </w:t>
      </w:r>
      <w:r>
        <w:rPr>
          <w:i/>
        </w:rPr>
        <w:t>Heterobasidion irregulare</w:t>
      </w:r>
      <w:r>
        <w:t xml:space="preserve"> through a loop-mediated isothermal Amplification (LAMP) assay. </w:t>
      </w:r>
      <w:r>
        <w:rPr>
          <w:i/>
        </w:rPr>
        <w:t>Forest Pathology</w:t>
      </w:r>
      <w:r>
        <w:t xml:space="preserve">, 48(2): e12396. </w:t>
      </w:r>
      <w:hyperlink w:history="1" r:id="rId30">
        <w:r>
          <w:rPr>
            <w:rStyle w:val="Hyperlink"/>
          </w:rPr>
          <w:t>https://doi.org/10.1111/efp.12396</w:t>
        </w:r>
      </w:hyperlink>
    </w:p>
    <w:p w14:paraId="4AE19BED" w14:textId="503FCDEE">
      <w:pPr>
        <w:pStyle w:val="IPPParagraphnumbering"/>
        <w:numPr>
          <w:ilvl w:val="0"/>
          <w:numId w:val="0"/>
        </w:numPr>
        <w:rPr>
          <w:lang w:val="en-GB"/>
        </w:rPr>
      </w:pPr>
      <w:r>
        <w:rPr>
          <w:rStyle w:val="PleaseReviewParagraphId"/>
          <w:b w:val="off"/>
          <w:i w:val="off"/>
        </w:rPr>
        <w:t>[639]</w:t>
      </w:r>
      <w:r>
        <w:rPr>
          <w:lang w:val="en-GB"/>
        </w:rPr>
        <w:t>The LAMP reactions are performed using an instrument equipped with a fluorophore (FAM) reading channel and melt curve analysis. Depending on the equipment, the peak value may vary and should be verified for each laboratory.</w:t>
      </w:r>
    </w:p>
    <w:p w14:paraId="68E0631B" w14:textId="5EDF868E">
      <w:pPr>
        <w:pStyle w:val="IPPHeading2"/>
      </w:pPr>
      <w:r>
        <w:rPr>
          <w:rStyle w:val="PleaseReviewParagraphId"/>
          <w:b w:val="off"/>
          <w:i w:val="off"/>
        </w:rPr>
        <w:t>[640]</w:t>
      </w:r>
      <w:r>
        <w:t>3.4.5</w:t>
        <w:tab/>
        <w:t>Controls for molecular tests</w:t>
      </w:r>
    </w:p>
    <w:p w14:paraId="1DEA597F" w14:textId="081A094F">
      <w:pPr>
        <w:pStyle w:val="IPPParagraphnumbering"/>
        <w:numPr>
          <w:ilvl w:val="0"/>
          <w:numId w:val="0"/>
        </w:numPr>
        <w:rPr>
          <w:lang w:val="en-GB"/>
        </w:rPr>
      </w:pPr>
      <w:r>
        <w:rPr>
          <w:rStyle w:val="PleaseReviewParagraphId"/>
          <w:b w:val="off"/>
          <w:i w:val="off"/>
        </w:rPr>
        <w:t>[641]</w:t>
      </w:r>
      <w:r>
        <w:rPr>
          <w:lang w:val="en-GB"/>
        </w:rPr>
        <w:t>For the test result obtained to be considered reliable, appropriate controls –</w:t>
      </w:r>
      <w:r>
        <w:rPr>
          <w:rFonts w:ascii="Calibri" w:hAnsi="Calibri" w:cs="Calibri"/>
          <w:lang w:val="en-GB"/>
        </w:rPr>
        <w:t xml:space="preserve"> </w:t>
      </w:r>
      <w:r>
        <w:rPr>
          <w:lang w:val="en-GB"/>
        </w:rPr>
        <w:t xml:space="preserve">which will depend on the type of method used and the level of certainty required – should be considered for each series of nucleic </w:t>
        <w:lastRenderedPageBreak/>
        <w:t>acid extractions and amplification of the target pests or target nucleic acid. For PCR-based methods (conventional PCR and real-time PCR) and LAMP,</w:t>
      </w:r>
      <w:r>
        <w:rPr>
          <w:vertAlign w:val="superscript"/>
          <w:lang w:val="en-GB"/>
        </w:rPr>
        <w:t>1</w:t>
      </w:r>
      <w:r>
        <w:rPr>
          <w:lang w:val="en-GB"/>
        </w:rPr>
        <w:t xml:space="preserve"> a positive nucleic acid control, a negative amplification control and either an internal positive control or positive extraction control, are the minimum controls to be used. </w:t>
      </w:r>
    </w:p>
    <w:p w14:paraId="1D3DA61D" w14:textId="69E3DC5C">
      <w:pPr>
        <w:pStyle w:val="IPPParagraphnumbering"/>
        <w:numPr>
          <w:ilvl w:val="0"/>
          <w:numId w:val="0"/>
        </w:numPr>
        <w:rPr>
          <w:lang w:val="en-GB"/>
        </w:rPr>
      </w:pPr>
      <w:r>
        <w:rPr>
          <w:rStyle w:val="PleaseReviewParagraphId"/>
          <w:b w:val="off"/>
          <w:i w:val="off"/>
        </w:rPr>
        <w:t>[642]</w:t>
      </w:r>
      <w:r>
        <w:rPr>
          <w:b/>
          <w:bCs/>
          <w:lang w:val="en-GB"/>
        </w:rPr>
        <w:t>Positive</w:t>
      </w:r>
      <w:r>
        <w:rPr>
          <w:b/>
          <w:bCs/>
          <w:spacing w:val="-4"/>
          <w:lang w:val="en-GB"/>
        </w:rPr>
        <w:t xml:space="preserve"> </w:t>
      </w:r>
      <w:r>
        <w:rPr>
          <w:b/>
          <w:bCs/>
          <w:lang w:val="en-GB"/>
        </w:rPr>
        <w:t>nucleic acid</w:t>
      </w:r>
      <w:r>
        <w:rPr>
          <w:b/>
          <w:bCs/>
          <w:spacing w:val="-2"/>
          <w:lang w:val="en-GB"/>
        </w:rPr>
        <w:t xml:space="preserve"> </w:t>
      </w:r>
      <w:r>
        <w:rPr>
          <w:b/>
          <w:bCs/>
          <w:lang w:val="en-GB"/>
        </w:rPr>
        <w:t xml:space="preserve">control. </w:t>
      </w:r>
      <w:r>
        <w:rPr>
          <w:lang w:val="en-GB"/>
        </w:rPr>
        <w:t>This control is used to monitor the efficiency of the amplification of nucleic acid of the target pest. This can include amplification of nucleic acid extracted from the target organism, total nucleic acid extracted from infected host tissue, a whole genome or a synthetic control. For reactions not performed on isolated pests, the positive nucleic acid control should preferably be near to the limit of detection.</w:t>
      </w:r>
    </w:p>
    <w:p w14:paraId="1D157983" w14:textId="6589AC42">
      <w:pPr>
        <w:pStyle w:val="IPPParagraphnumbering"/>
        <w:numPr>
          <w:ilvl w:val="0"/>
          <w:numId w:val="0"/>
        </w:numPr>
        <w:rPr>
          <w:lang w:val="en-GB"/>
        </w:rPr>
      </w:pPr>
      <w:r>
        <w:rPr>
          <w:rStyle w:val="PleaseReviewParagraphId"/>
          <w:b w:val="off"/>
          <w:i w:val="off"/>
        </w:rPr>
        <w:t>[643]</w:t>
      </w:r>
      <w:r>
        <w:rPr>
          <w:b/>
          <w:lang w:val="en-GB"/>
        </w:rPr>
        <w:t xml:space="preserve">Negative amplification control (no template control). </w:t>
      </w:r>
      <w:r>
        <w:rPr>
          <w:lang w:val="en-GB"/>
        </w:rPr>
        <w:t>This control is necessary to rule out false positives resulting from contamination (e.g. with the target DNA) during preparation of the reaction mixture. PCR-grade water that was used to prepare the reaction mixture is added at the amplification stage.</w:t>
      </w:r>
    </w:p>
    <w:p w14:paraId="5BA05DD0" w14:textId="22D46A9F">
      <w:pPr>
        <w:pStyle w:val="IPPParagraphnumbering"/>
        <w:numPr>
          <w:ilvl w:val="0"/>
          <w:numId w:val="0"/>
        </w:numPr>
        <w:rPr>
          <w:lang w:val="en-GB"/>
        </w:rPr>
      </w:pPr>
      <w:r>
        <w:rPr>
          <w:rStyle w:val="PleaseReviewParagraphId"/>
          <w:b w:val="off"/>
          <w:i w:val="off"/>
        </w:rPr>
        <w:t>[644]</w:t>
      </w:r>
      <w:r>
        <w:rPr>
          <w:b/>
          <w:lang w:val="en-GB"/>
        </w:rPr>
        <w:t xml:space="preserve">Negative </w:t>
      </w:r>
      <w:bookmarkStart w:name="_Hlk153190228" w:id="44"/>
      <w:r>
        <w:rPr>
          <w:b/>
          <w:lang w:val="en-GB"/>
        </w:rPr>
        <w:t xml:space="preserve">extraction control. </w:t>
      </w:r>
      <w:r>
        <w:rPr>
          <w:lang w:val="en-GB"/>
        </w:rPr>
        <w:t xml:space="preserve">This control is used to monitor both contamination during nucleic acid extraction and cross-reaction with the host tissue. The control comprises nucleic acid that is extracted from uninfected host tissue and subsequently amplified. </w:t>
      </w:r>
    </w:p>
    <w:p w14:paraId="083702B8" w14:textId="57B729EA">
      <w:pPr>
        <w:pStyle w:val="IPPParagraphnumbering"/>
        <w:numPr>
          <w:ilvl w:val="0"/>
          <w:numId w:val="0"/>
        </w:numPr>
        <w:rPr>
          <w:lang w:val="en-GB"/>
        </w:rPr>
      </w:pPr>
      <w:r>
        <w:rPr>
          <w:rStyle w:val="PleaseReviewParagraphId"/>
          <w:b w:val="off"/>
          <w:i w:val="off"/>
        </w:rPr>
        <w:t>[645]</w:t>
      </w:r>
      <w:r>
        <w:rPr>
          <w:lang w:val="en-GB"/>
        </w:rPr>
        <w:t>Alternatively, extraction blanks (e.g. sterile water, clean extraction buffer) can be processed with the samples to be tested if sufficient uninfected host tissue is not available. This will allow contamination of extraction reagents and cross-contamination between samples to be identified</w:t>
      </w:r>
      <w:bookmarkEnd w:id="44"/>
      <w:r>
        <w:rPr>
          <w:lang w:val="en-GB"/>
        </w:rPr>
        <w:t>. It is recommended that multiple controls be included when large numbers of positives are expected.</w:t>
      </w:r>
    </w:p>
    <w:p w14:paraId="4AE1977F" w14:textId="2B9A790C">
      <w:pPr>
        <w:pStyle w:val="IPPParagraphnumbering"/>
        <w:numPr>
          <w:ilvl w:val="0"/>
          <w:numId w:val="0"/>
        </w:numPr>
        <w:rPr>
          <w:lang w:val="en-GB"/>
        </w:rPr>
      </w:pPr>
      <w:r>
        <w:rPr>
          <w:rStyle w:val="PleaseReviewParagraphId"/>
          <w:b w:val="off"/>
          <w:i w:val="off"/>
        </w:rPr>
        <w:t>[646]</w:t>
      </w:r>
      <w:r>
        <w:rPr>
          <w:b/>
          <w:lang w:val="en-GB"/>
        </w:rPr>
        <w:t xml:space="preserve">Positive extraction control. </w:t>
      </w:r>
      <w:r>
        <w:rPr>
          <w:lang w:val="en-GB"/>
        </w:rPr>
        <w:t>This control is used to ensure that the target nucleic acid extracted is of sufficient quantity and quality and that the target is detected. Nucleic acid is extracted from infected host tissue or, if suitable infected material is not available, healthy plant tissue that has been spiked with the target pest.</w:t>
      </w:r>
    </w:p>
    <w:p w14:paraId="5EDFB8FD" w14:textId="1C27C89F">
      <w:pPr>
        <w:pStyle w:val="IPPParagraphnumbering"/>
        <w:numPr>
          <w:ilvl w:val="0"/>
          <w:numId w:val="0"/>
        </w:numPr>
        <w:rPr>
          <w:lang w:val="en-GB"/>
        </w:rPr>
      </w:pPr>
      <w:r>
        <w:rPr>
          <w:rStyle w:val="PleaseReviewParagraphId"/>
          <w:b w:val="off"/>
          <w:i w:val="off"/>
        </w:rPr>
        <w:t>[647]</w:t>
      </w:r>
      <w:r>
        <w:rPr>
          <w:b/>
          <w:color w:val="221F1F"/>
          <w:lang w:val="en-GB"/>
        </w:rPr>
        <w:t>Internal</w:t>
      </w:r>
      <w:r>
        <w:rPr>
          <w:b/>
          <w:color w:val="221F1F"/>
          <w:spacing w:val="-2"/>
          <w:lang w:val="en-GB"/>
        </w:rPr>
        <w:t xml:space="preserve"> positive </w:t>
      </w:r>
      <w:r>
        <w:rPr>
          <w:b/>
          <w:color w:val="221F1F"/>
          <w:lang w:val="en-GB"/>
        </w:rPr>
        <w:t xml:space="preserve">control. </w:t>
      </w:r>
      <w:r>
        <w:rPr>
          <w:lang w:val="en-GB"/>
        </w:rPr>
        <w:t>As an alternative (or in addition) to the external positive controls (positive extraction control and positive nucleic acid control), an internal positive control can be used to monitor each individual sample separately and to check for potential PCR inhibitors. Internal positive controls can be genes either present in the matrix DNA or added to the DNA solution.</w:t>
      </w:r>
    </w:p>
    <w:p w14:paraId="66B7C4BD" w14:textId="2B980819">
      <w:pPr>
        <w:pStyle w:val="IPPParagraphnumberingclose"/>
        <w:numPr>
          <w:ilvl w:val="0"/>
          <w:numId w:val="0"/>
        </w:numPr>
        <w:rPr>
          <w:iCs/>
          <w:lang w:val="en-GB"/>
        </w:rPr>
      </w:pPr>
      <w:r>
        <w:rPr>
          <w:rStyle w:val="PleaseReviewParagraphId"/>
          <w:b w:val="off"/>
          <w:i w:val="off"/>
        </w:rPr>
        <w:t>[648]</w:t>
      </w:r>
      <w:r>
        <w:rPr>
          <w:lang w:val="en-GB"/>
        </w:rPr>
        <w:t xml:space="preserve">When using the method of Sillo, </w:t>
      </w:r>
      <w:r>
        <w:rPr>
          <w:iCs/>
          <w:lang w:val="en-GB"/>
        </w:rPr>
        <w:t>Giordano and Gonthier</w:t>
      </w:r>
      <w:r>
        <w:rPr>
          <w:lang w:val="en-GB"/>
        </w:rPr>
        <w:t xml:space="preserve"> (2018) on plant samples, the test should be combined with the cytochrome oxidase (COX) LAMP method developed by Tomlinson, Dickinson and Boonham (2010) in order to confirm successful DNA extraction.</w:t>
      </w:r>
      <w:r>
        <w:rPr>
          <w:lang w:val="en-GB"/>
        </w:rPr>
        <w:fldChar w:fldCharType="begin"/>
      </w:r>
      <w:r>
        <w:rPr>
          <w:lang w:val="en-GB"/>
        </w:rPr>
        <w:instrText xml:space="preserve"> NOTEREF _Ref136780335 \f </w:instrText>
      </w:r>
      <w:r>
        <w:rPr>
          <w:lang w:val="en-GB"/>
        </w:rPr>
        <w:fldChar w:fldCharType="separate"/>
      </w:r>
      <w:r>
        <w:rPr>
          <w:rStyle w:val="FootnoteReference"/>
          <w:lang w:val="en-GB"/>
        </w:rPr>
        <w:t>1</w:t>
      </w:r>
      <w:r>
        <w:rPr>
          <w:lang w:val="en-GB"/>
        </w:rPr>
        <w:fldChar w:fldCharType="end"/>
      </w:r>
      <w:r>
        <w:rPr>
          <w:lang w:val="en-GB"/>
        </w:rPr>
        <w:t xml:space="preserve"> </w:t>
      </w:r>
      <w:r>
        <w:rPr>
          <w:iCs/>
          <w:lang w:val="en-GB"/>
        </w:rPr>
        <w:t>The primers (</w:t>
      </w:r>
      <w:r>
        <w:rPr>
          <w:lang w:val="en-GB"/>
        </w:rPr>
        <w:t>Tomlinson, Dickinson and Boonham,</w:t>
      </w:r>
      <w:r>
        <w:rPr>
          <w:rFonts w:eastAsiaTheme="minorHAnsi"/>
          <w:lang w:val="en-GB"/>
        </w:rPr>
        <w:t xml:space="preserve"> </w:t>
      </w:r>
      <w:r>
        <w:rPr>
          <w:iCs/>
          <w:lang w:val="en-GB"/>
        </w:rPr>
        <w:t>2010) are as follows:</w:t>
      </w:r>
    </w:p>
    <w:p w14:paraId="69F33120" w14:textId="479F10B0">
      <w:pPr>
        <w:pStyle w:val="IPPIndentClose"/>
      </w:pPr>
      <w:r>
        <w:rPr>
          <w:rStyle w:val="PleaseReviewParagraphId"/>
          <w:b w:val="off"/>
          <w:i w:val="off"/>
        </w:rPr>
        <w:t>[649]</w:t>
      </w:r>
      <w:r>
        <w:rPr>
          <w:rFonts w:eastAsiaTheme="minorHAnsi"/>
        </w:rPr>
        <w:t xml:space="preserve">COX-F3 (forward primer) </w:t>
      </w:r>
      <w:r>
        <w:t>5′-TAT GGG AGC CGT TTT TGC-3′</w:t>
      </w:r>
    </w:p>
    <w:p w14:paraId="664FB08D" w14:textId="73C4C49D">
      <w:pPr>
        <w:pStyle w:val="IPPIndentClose"/>
      </w:pPr>
      <w:r>
        <w:rPr>
          <w:rStyle w:val="PleaseReviewParagraphId"/>
          <w:b w:val="off"/>
          <w:i w:val="off"/>
        </w:rPr>
        <w:t>[650]</w:t>
      </w:r>
      <w:r>
        <w:rPr>
          <w:rFonts w:eastAsiaTheme="minorHAnsi"/>
        </w:rPr>
        <w:t xml:space="preserve">COX-B3 (reverse primer): </w:t>
      </w:r>
      <w:r>
        <w:t>5′-AAC TGC TAA GRG CAT TCC-3′</w:t>
      </w:r>
    </w:p>
    <w:p w14:paraId="188C0F89" w14:textId="0FEB0F7C">
      <w:pPr>
        <w:pStyle w:val="IPPIndentClose"/>
        <w:ind w:left="1134" w:hanging="567"/>
      </w:pPr>
      <w:r>
        <w:rPr>
          <w:rStyle w:val="PleaseReviewParagraphId"/>
          <w:b w:val="off"/>
          <w:i w:val="off"/>
        </w:rPr>
        <w:t>[651]</w:t>
      </w:r>
      <w:r>
        <w:rPr>
          <w:rFonts w:eastAsiaTheme="minorHAnsi"/>
        </w:rPr>
        <w:t xml:space="preserve">COX-FIP (forward primer): </w:t>
      </w:r>
      <w:r>
        <w:t>5′-ATG GAT TTG RCC TAA AGT TTC AGG GCA GGA TTT CAC TAT TGG GT-3′</w:t>
      </w:r>
    </w:p>
    <w:p w14:paraId="5D644025" w14:textId="64E30CEE">
      <w:pPr>
        <w:pStyle w:val="IPPIndentClose"/>
        <w:ind w:left="1134" w:hanging="567"/>
        <w:rPr>
          <w:rFonts w:eastAsiaTheme="minorHAnsi"/>
        </w:rPr>
      </w:pPr>
      <w:r>
        <w:rPr>
          <w:rStyle w:val="PleaseReviewParagraphId"/>
          <w:b w:val="off"/>
          <w:i w:val="off"/>
        </w:rPr>
        <w:t>[652]</w:t>
      </w:r>
      <w:r>
        <w:rPr>
          <w:rFonts w:eastAsiaTheme="minorHAnsi"/>
        </w:rPr>
        <w:t xml:space="preserve">COX-BIP (reverse primer): </w:t>
      </w:r>
      <w:r>
        <w:t>5′-TGC ATT TCT TAG GGC TTT CGG ATC CRG CGT AAG CAT CTG-3′</w:t>
      </w:r>
    </w:p>
    <w:p w14:paraId="42D01A3D" w14:textId="7BEAF55D">
      <w:pPr>
        <w:pStyle w:val="IPPIndentClose"/>
      </w:pPr>
      <w:r>
        <w:rPr>
          <w:rStyle w:val="PleaseReviewParagraphId"/>
          <w:b w:val="off"/>
          <w:i w:val="off"/>
        </w:rPr>
        <w:t>[653]</w:t>
      </w:r>
      <w:r>
        <w:rPr>
          <w:rFonts w:eastAsiaTheme="minorHAnsi"/>
        </w:rPr>
        <w:t xml:space="preserve">COX-FL (forward primer): </w:t>
      </w:r>
      <w:r>
        <w:t>5′-ATG TCC GAC CAA AGA TTT TAC C-3′</w:t>
      </w:r>
    </w:p>
    <w:p w14:paraId="4499D556" w14:textId="33949EAD">
      <w:pPr>
        <w:pStyle w:val="IPPIndent"/>
      </w:pPr>
      <w:r>
        <w:rPr>
          <w:rStyle w:val="PleaseReviewParagraphId"/>
          <w:b w:val="off"/>
          <w:i w:val="off"/>
        </w:rPr>
        <w:t>[654]</w:t>
      </w:r>
      <w:r>
        <w:t>COX-BL (reverse primer): 5′-GTA TGC CAC GTC GCA TTC C-3′</w:t>
      </w:r>
    </w:p>
    <w:p w14:paraId="0586CA85" w14:textId="027B5F48">
      <w:pPr>
        <w:pStyle w:val="IPPParagraphnumbering"/>
        <w:numPr>
          <w:ilvl w:val="0"/>
          <w:numId w:val="0"/>
        </w:numPr>
        <w:rPr>
          <w:lang w:val="en-GB"/>
        </w:rPr>
      </w:pPr>
      <w:r>
        <w:rPr>
          <w:rStyle w:val="PleaseReviewParagraphId"/>
          <w:b w:val="off"/>
          <w:i w:val="off"/>
        </w:rPr>
        <w:t>[655]</w:t>
      </w:r>
      <w:r>
        <w:rPr>
          <w:lang w:val="en-GB"/>
        </w:rPr>
        <w:t xml:space="preserve">In Lamarche </w:t>
      </w:r>
      <w:r>
        <w:rPr>
          <w:i/>
          <w:iCs/>
          <w:lang w:val="en-GB"/>
        </w:rPr>
        <w:t>et al.</w:t>
      </w:r>
      <w:r>
        <w:rPr>
          <w:lang w:val="en-GB"/>
        </w:rPr>
        <w:t xml:space="preserve"> (2017) and Gonthier </w:t>
      </w:r>
      <w:r>
        <w:rPr>
          <w:i/>
          <w:iCs/>
          <w:lang w:val="en-GB"/>
        </w:rPr>
        <w:t>et al</w:t>
      </w:r>
      <w:r>
        <w:rPr>
          <w:lang w:val="en-GB"/>
        </w:rPr>
        <w:t xml:space="preserve">. (2007), internal positive controls can include specific amplicons or co-amplification of endogenous nucleic acid, using conserved primers that amplify conserved non-organism target nucleic acid that is also present in the sample (e.g. plant </w:t>
      </w:r>
      <w:r>
        <w:rPr>
          <w:i/>
          <w:iCs/>
          <w:lang w:val="en-GB"/>
        </w:rPr>
        <w:t>COX</w:t>
      </w:r>
      <w:r>
        <w:rPr>
          <w:lang w:val="en-GB"/>
        </w:rPr>
        <w:t xml:space="preserve"> gene or eukaryotic 18S rDNA).</w:t>
      </w:r>
    </w:p>
    <w:p w14:paraId="6203A3AF" w14:textId="52030979">
      <w:pPr>
        <w:pStyle w:val="IPPHeading2"/>
      </w:pPr>
      <w:r>
        <w:rPr>
          <w:rStyle w:val="PleaseReviewParagraphId"/>
          <w:b w:val="off"/>
          <w:i w:val="off"/>
        </w:rPr>
        <w:t>[656]</w:t>
      </w:r>
      <w:r>
        <w:lastRenderedPageBreak/>
        <w:t>3.4.6</w:t>
        <w:tab/>
        <w:t>Interpretation of results</w:t>
      </w:r>
    </w:p>
    <w:p w14:paraId="67F88E10" w14:textId="598F4944">
      <w:pPr>
        <w:pStyle w:val="IPPHeading3"/>
      </w:pPr>
      <w:r>
        <w:rPr>
          <w:rStyle w:val="PleaseReviewParagraphId"/>
          <w:b w:val="off"/>
          <w:i w:val="off"/>
        </w:rPr>
        <w:t>[657]</w:t>
      </w:r>
      <w:r>
        <w:t>3.4.6.1</w:t>
        <w:tab/>
        <w:t>Interpretation of conventional PCR results</w:t>
      </w:r>
    </w:p>
    <w:p w14:paraId="54377646" w14:textId="5C198F1A">
      <w:pPr>
        <w:pStyle w:val="IPPParagraphnumberingclose"/>
        <w:numPr>
          <w:ilvl w:val="0"/>
          <w:numId w:val="0"/>
        </w:numPr>
        <w:rPr>
          <w:lang w:val="en-GB"/>
        </w:rPr>
      </w:pPr>
      <w:r>
        <w:rPr>
          <w:rStyle w:val="PleaseReviewParagraphId"/>
          <w:b w:val="off"/>
          <w:i w:val="off"/>
        </w:rPr>
        <w:t>[658]</w:t>
      </w:r>
      <w:r>
        <w:rPr>
          <w:lang w:val="en-GB"/>
        </w:rPr>
        <w:t>A conventional PCR will be considered valid only if the controls produce the expected results:</w:t>
      </w:r>
    </w:p>
    <w:p w14:paraId="6549DA28" w14:textId="68FA8C2B">
      <w:pPr>
        <w:pStyle w:val="IPPBullet1"/>
        <w:rPr>
          <w:lang w:val="en-GB"/>
        </w:rPr>
      </w:pPr>
      <w:r>
        <w:rPr>
          <w:rStyle w:val="PleaseReviewParagraphId"/>
          <w:b w:val="off"/>
          <w:i w:val="off"/>
        </w:rPr>
        <w:t>[659]</w:t>
      </w:r>
      <w:r>
        <w:rPr>
          <w:lang w:val="en-GB"/>
        </w:rPr>
        <w:t>the negative amplification control produces no band corresponding to the expected amplicon size; and</w:t>
      </w:r>
    </w:p>
    <w:p w14:paraId="0A80A896" w14:textId="2BDD42EF">
      <w:pPr>
        <w:pStyle w:val="IPPBullet1Last"/>
      </w:pPr>
      <w:r>
        <w:rPr>
          <w:rStyle w:val="PleaseReviewParagraphId"/>
          <w:b w:val="off"/>
          <w:i w:val="off"/>
        </w:rPr>
        <w:t>[660]</w:t>
      </w:r>
      <w:r>
        <w:t>the positive nucleic acid control, the positive extraction control (if used), and the internal positive control (if used), produce bands that correspond to the expected amplicon size.</w:t>
      </w:r>
    </w:p>
    <w:p w14:paraId="04D04302" w14:textId="77777777">
      <w:pPr>
        <w:pStyle w:val="IPPParagraphnumberingclose"/>
        <w:numPr>
          <w:ilvl w:val="0"/>
          <w:numId w:val="0"/>
        </w:numPr>
        <w:rPr>
          <w:lang w:val="en-GB"/>
        </w:rPr>
      </w:pPr>
      <w:r>
        <w:rPr>
          <w:rStyle w:val="PleaseReviewParagraphId"/>
          <w:b w:val="off"/>
          <w:i w:val="off"/>
        </w:rPr>
        <w:t>[661]</w:t>
      </w:r>
      <w:r>
        <w:rPr>
          <w:lang w:val="en-GB"/>
        </w:rPr>
        <w:t>When these conditions are met:</w:t>
      </w:r>
    </w:p>
    <w:p w14:paraId="3F98635D" w14:textId="1F887345">
      <w:pPr>
        <w:pStyle w:val="IPPBullet1"/>
        <w:rPr>
          <w:lang w:val="en-GB"/>
        </w:rPr>
      </w:pPr>
      <w:r>
        <w:rPr>
          <w:rStyle w:val="PleaseReviewParagraphId"/>
          <w:b w:val="off"/>
          <w:i w:val="off"/>
        </w:rPr>
        <w:t>[662]</w:t>
      </w:r>
      <w:r>
        <w:rPr>
          <w:lang w:val="en-GB"/>
        </w:rPr>
        <w:t>a sample will be considered negative if it produces no band or if it produces a band that corresponds to an amplicon size that is different than expected; and</w:t>
      </w:r>
    </w:p>
    <w:p w14:paraId="25162CD8" w14:textId="0227271B">
      <w:pPr>
        <w:pStyle w:val="IPPBullet1Last"/>
      </w:pPr>
      <w:r>
        <w:rPr>
          <w:rStyle w:val="PleaseReviewParagraphId"/>
          <w:b w:val="off"/>
          <w:i w:val="off"/>
        </w:rPr>
        <w:t>[663]</w:t>
      </w:r>
      <w:r>
        <w:t>a sample will be considered positive if it produces a band corresponding to the expected amplicon size.</w:t>
      </w:r>
    </w:p>
    <w:p w14:paraId="42033D5F" w14:textId="3A3515C3">
      <w:pPr>
        <w:pStyle w:val="IPPHeading3"/>
      </w:pPr>
      <w:r>
        <w:rPr>
          <w:rStyle w:val="PleaseReviewParagraphId"/>
          <w:b w:val="off"/>
          <w:i w:val="off"/>
        </w:rPr>
        <w:t>[664]</w:t>
      </w:r>
      <w:r>
        <w:t>3.4.6.2</w:t>
        <w:tab/>
        <w:t>Interpretation of real-time PCR results</w:t>
      </w:r>
    </w:p>
    <w:p w14:paraId="3F02D07D" w14:textId="2643F814">
      <w:pPr>
        <w:pStyle w:val="IPPParagraphnumberingclose"/>
        <w:numPr>
          <w:ilvl w:val="0"/>
          <w:numId w:val="0"/>
        </w:numPr>
        <w:rPr>
          <w:lang w:val="en-GB"/>
        </w:rPr>
      </w:pPr>
      <w:r>
        <w:rPr>
          <w:rStyle w:val="PleaseReviewParagraphId"/>
          <w:b w:val="off"/>
          <w:i w:val="off"/>
        </w:rPr>
        <w:t>[665]</w:t>
      </w:r>
      <w:r>
        <w:rPr>
          <w:lang w:val="en-GB"/>
        </w:rPr>
        <w:t>A real-time PCR will be considered valid only if the controls produce the expected results:</w:t>
      </w:r>
    </w:p>
    <w:p w14:paraId="76CFE2BF" w14:textId="2190AA17">
      <w:pPr>
        <w:pStyle w:val="IPPBullet1"/>
        <w:rPr>
          <w:lang w:val="en-GB"/>
        </w:rPr>
      </w:pPr>
      <w:r>
        <w:rPr>
          <w:rStyle w:val="PleaseReviewParagraphId"/>
          <w:b w:val="off"/>
          <w:i w:val="off"/>
        </w:rPr>
        <w:t>[666]</w:t>
      </w:r>
      <w:r>
        <w:rPr>
          <w:lang w:val="en-GB"/>
        </w:rPr>
        <w:t>the negative amplification control produces no amplification curve; and</w:t>
      </w:r>
    </w:p>
    <w:p w14:paraId="2C3A0CA4" w14:textId="1CCF9E59">
      <w:pPr>
        <w:pStyle w:val="IPPBullet1Last"/>
      </w:pPr>
      <w:r>
        <w:rPr>
          <w:rStyle w:val="PleaseReviewParagraphId"/>
          <w:b w:val="off"/>
          <w:i w:val="off"/>
        </w:rPr>
        <w:t>[667]</w:t>
      </w:r>
      <w:r>
        <w:t xml:space="preserve">the positive nucleic acid control, the positive extraction control (if used), and the internal positive control (if used), produce an exponential amplification curve.  </w:t>
      </w:r>
    </w:p>
    <w:p w14:paraId="63FA86F5" w14:textId="09F49C34">
      <w:pPr>
        <w:pStyle w:val="IPPParagraphnumberingclose"/>
        <w:numPr>
          <w:ilvl w:val="0"/>
          <w:numId w:val="0"/>
        </w:numPr>
        <w:rPr>
          <w:lang w:val="en-GB"/>
        </w:rPr>
      </w:pPr>
      <w:r>
        <w:rPr>
          <w:rStyle w:val="PleaseReviewParagraphId"/>
          <w:b w:val="off"/>
          <w:i w:val="off"/>
        </w:rPr>
        <w:t>[668]</w:t>
      </w:r>
      <w:r>
        <w:rPr>
          <w:lang w:val="en-GB"/>
        </w:rPr>
        <w:t>When these conditions are met:</w:t>
      </w:r>
    </w:p>
    <w:p w14:paraId="13F1562D" w14:textId="56B6247C">
      <w:pPr>
        <w:pStyle w:val="IPPBullet1"/>
        <w:rPr>
          <w:lang w:val="en-GB"/>
        </w:rPr>
      </w:pPr>
      <w:r>
        <w:rPr>
          <w:rStyle w:val="PleaseReviewParagraphId"/>
          <w:b w:val="off"/>
          <w:i w:val="off"/>
        </w:rPr>
        <w:t>[669]</w:t>
      </w:r>
      <w:r>
        <w:rPr>
          <w:lang w:val="en-GB"/>
        </w:rPr>
        <w:t>a sample will be considered negative if it produces no exponential amplification curve or if it produces a curve that is not exponential; and</w:t>
      </w:r>
    </w:p>
    <w:p w14:paraId="2B7E4B1C" w14:textId="4F68A111">
      <w:pPr>
        <w:pStyle w:val="IPPBullet1Last"/>
      </w:pPr>
      <w:r>
        <w:rPr>
          <w:rStyle w:val="PleaseReviewParagraphId"/>
          <w:b w:val="off"/>
          <w:i w:val="off"/>
        </w:rPr>
        <w:t>[670]</w:t>
      </w:r>
      <w:r>
        <w:t>a sample will be considered positive if it produces an exponential amplification curve.</w:t>
      </w:r>
    </w:p>
    <w:p w14:paraId="6B0F2766" w14:textId="7BF7E077">
      <w:pPr>
        <w:pStyle w:val="IPPParagraphnumbering"/>
        <w:numPr>
          <w:ilvl w:val="0"/>
          <w:numId w:val="0"/>
        </w:numPr>
      </w:pPr>
      <w:r>
        <w:rPr>
          <w:rStyle w:val="PleaseReviewParagraphId"/>
          <w:b w:val="off"/>
          <w:i w:val="off"/>
        </w:rPr>
        <w:t>[671]</w:t>
      </w:r>
      <w:r>
        <w:t>A Ct cut-off value may be applied according to laboratory validation data.</w:t>
      </w:r>
    </w:p>
    <w:p w14:paraId="5C608C06" w14:textId="478923DC">
      <w:pPr>
        <w:pStyle w:val="IPPHeading3"/>
      </w:pPr>
      <w:r>
        <w:rPr>
          <w:rStyle w:val="PleaseReviewParagraphId"/>
          <w:b w:val="off"/>
          <w:i w:val="off"/>
        </w:rPr>
        <w:t>[672]</w:t>
      </w:r>
      <w:r>
        <w:t>3.4.6.3</w:t>
        <w:tab/>
        <w:t>Interpretation of LAMP results</w:t>
      </w:r>
    </w:p>
    <w:p w14:paraId="23219EA1" w14:textId="46C91D59">
      <w:pPr>
        <w:pStyle w:val="IPPParagraphnumberingclose"/>
        <w:numPr>
          <w:ilvl w:val="0"/>
          <w:numId w:val="0"/>
        </w:numPr>
        <w:rPr>
          <w:lang w:val="en-GB"/>
        </w:rPr>
      </w:pPr>
      <w:r>
        <w:rPr>
          <w:rStyle w:val="PleaseReviewParagraphId"/>
          <w:b w:val="off"/>
          <w:i w:val="off"/>
        </w:rPr>
        <w:t>[673]</w:t>
      </w:r>
      <w:r>
        <w:rPr>
          <w:lang w:val="en-GB"/>
        </w:rPr>
        <w:t>The LAMP reaction will be considered valid only if the controls produce the expected results:</w:t>
      </w:r>
    </w:p>
    <w:p w14:paraId="5C8A06B9" w14:textId="7331865C">
      <w:pPr>
        <w:pStyle w:val="IPPBullet1"/>
        <w:numPr>
          <w:ilvl w:val="1"/>
          <w:numId w:val="64"/>
        </w:numPr>
        <w:ind w:hanging="598"/>
        <w:rPr>
          <w:lang w:val="en-GB"/>
        </w:rPr>
      </w:pPr>
      <w:r>
        <w:rPr>
          <w:rStyle w:val="PleaseReviewParagraphId"/>
          <w:b w:val="off"/>
          <w:i w:val="off"/>
        </w:rPr>
        <w:t>[674]</w:t>
      </w:r>
      <w:r>
        <w:rPr>
          <w:lang w:val="en-GB"/>
        </w:rPr>
        <w:t>the negative amplification control produces no amplification curve; and</w:t>
      </w:r>
    </w:p>
    <w:p w14:paraId="33C71B3C" w14:textId="3EC54E5D">
      <w:pPr>
        <w:pStyle w:val="IPPBullet1Last"/>
      </w:pPr>
      <w:r>
        <w:rPr>
          <w:rStyle w:val="PleaseReviewParagraphId"/>
          <w:b w:val="off"/>
          <w:i w:val="off"/>
        </w:rPr>
        <w:t>[675]</w:t>
      </w:r>
      <w:r>
        <w:t>the positive nucleic acid control, the positive extraction control (if used) and the internal positive control (if used), produce an exponential amplification curve (i.e. an exponential fluorescence signal) and a melting curve with a peak at 85.50 °C ± 0.5 °C (Sillo, Giordano and Gonthier, 2018).</w:t>
      </w:r>
    </w:p>
    <w:p w14:paraId="4FF8AC57" w14:textId="4E59156A">
      <w:pPr>
        <w:pStyle w:val="IPPParagraphnumberingclose"/>
        <w:numPr>
          <w:ilvl w:val="0"/>
          <w:numId w:val="0"/>
        </w:numPr>
        <w:rPr>
          <w:lang w:val="en-GB"/>
        </w:rPr>
      </w:pPr>
      <w:r>
        <w:rPr>
          <w:rStyle w:val="PleaseReviewParagraphId"/>
          <w:b w:val="off"/>
          <w:i w:val="off"/>
        </w:rPr>
        <w:t>[676]</w:t>
      </w:r>
      <w:r>
        <w:rPr>
          <w:lang w:val="en-GB"/>
        </w:rPr>
        <w:t>When these conditions are met:</w:t>
      </w:r>
    </w:p>
    <w:p w14:paraId="1109096D" w14:textId="2E02AECC">
      <w:pPr>
        <w:pStyle w:val="IPPBullet1"/>
        <w:numPr>
          <w:ilvl w:val="0"/>
          <w:numId w:val="57"/>
        </w:numPr>
        <w:ind w:left="567" w:hanging="567"/>
        <w:rPr>
          <w:lang w:val="en-GB"/>
        </w:rPr>
      </w:pPr>
      <w:r>
        <w:rPr>
          <w:rStyle w:val="PleaseReviewParagraphId"/>
          <w:b w:val="off"/>
          <w:i w:val="off"/>
        </w:rPr>
        <w:t>[677]</w:t>
      </w:r>
      <w:r>
        <w:rPr>
          <w:lang w:val="en-GB"/>
        </w:rPr>
        <w:t>a sample will be considered negative if it produces no amplification curve or if it produces a curve that has a melting temperature different from that expected (85.50 °C ± 0.5 °C); and</w:t>
      </w:r>
    </w:p>
    <w:p w14:paraId="6B1C9926" w14:textId="549B44CA">
      <w:pPr>
        <w:pStyle w:val="IPPBullet1Last"/>
      </w:pPr>
      <w:r>
        <w:rPr>
          <w:rStyle w:val="PleaseReviewParagraphId"/>
          <w:b w:val="off"/>
          <w:i w:val="off"/>
        </w:rPr>
        <w:t>[678]</w:t>
      </w:r>
      <w:r>
        <w:t xml:space="preserve">a sample will be considered positive if it produces an exponential amplification curve and a melting curve with a peak at 85.50 °C ± 0.5 °C as defined for positive controls. </w:t>
      </w:r>
    </w:p>
    <w:p w14:paraId="3D2584FA" w14:textId="38568AEE">
      <w:pPr>
        <w:pStyle w:val="IPPParagraphnumbering"/>
        <w:numPr>
          <w:ilvl w:val="0"/>
          <w:numId w:val="0"/>
        </w:numPr>
        <w:rPr>
          <w:lang w:val="en-GB"/>
        </w:rPr>
      </w:pPr>
      <w:r>
        <w:rPr>
          <w:rStyle w:val="PleaseReviewParagraphId"/>
          <w:b w:val="off"/>
          <w:i w:val="off"/>
        </w:rPr>
        <w:t>[679]</w:t>
      </w:r>
      <w:r>
        <w:rPr>
          <w:lang w:val="en-GB"/>
        </w:rPr>
        <w:t>Comparison of melting curves between samples and positive controls should be carried out to exclude false-positive signals. Depending on the equipment, the peak value may vary and should be verified for each laboratory.</w:t>
      </w:r>
    </w:p>
    <w:p w14:paraId="3DDD2BA6" w14:textId="3FB5DAB4">
      <w:pPr>
        <w:pStyle w:val="IPPHeading1"/>
      </w:pPr>
      <w:r>
        <w:rPr>
          <w:rStyle w:val="PleaseReviewParagraphId"/>
          <w:b w:val="off"/>
          <w:i w:val="off"/>
        </w:rPr>
        <w:t>[680]</w:t>
      </w:r>
      <w:r>
        <w:t>4.</w:t>
        <w:tab/>
        <w:t>Identification</w:t>
      </w:r>
    </w:p>
    <w:p w14:paraId="58584836" w14:textId="2A0D7669">
      <w:pPr>
        <w:pStyle w:val="IPPParagraphnumbering"/>
        <w:numPr>
          <w:ilvl w:val="0"/>
          <w:numId w:val="0"/>
        </w:numPr>
        <w:rPr>
          <w:lang w:val="en-GB"/>
        </w:rPr>
      </w:pPr>
      <w:r>
        <w:rPr>
          <w:rStyle w:val="PleaseReviewParagraphId"/>
          <w:b w:val="off"/>
          <w:i w:val="off"/>
        </w:rPr>
        <w:t>[681]</w:t>
      </w:r>
      <w:r>
        <w:rPr>
          <w:i/>
          <w:iCs/>
          <w:lang w:val="en-GB"/>
        </w:rPr>
        <w:t>Heterobasidion annosum s.l.</w:t>
      </w:r>
      <w:r>
        <w:rPr>
          <w:lang w:val="en-GB"/>
        </w:rPr>
        <w:t xml:space="preserve"> can be identified by the macro- and micromorphological characteristics of its fruiting bodies, or by its growth characteristics and morphology in pure culture, but experience with the identification of </w:t>
      </w:r>
      <w:r>
        <w:rPr>
          <w:i/>
          <w:iCs/>
          <w:lang w:val="en-GB"/>
        </w:rPr>
        <w:t>Heterobasidion</w:t>
      </w:r>
      <w:r>
        <w:rPr>
          <w:lang w:val="en-GB"/>
        </w:rPr>
        <w:t xml:space="preserve"> species is required. Even with experience, however, the slight differences and the partial overlapping of morphological traits between </w:t>
      </w:r>
      <w:r>
        <w:rPr>
          <w:i/>
          <w:iCs/>
          <w:lang w:val="en-GB"/>
        </w:rPr>
        <w:t>H. annosum s.l.</w:t>
      </w:r>
      <w:r>
        <w:rPr>
          <w:lang w:val="en-GB"/>
        </w:rPr>
        <w:t xml:space="preserve"> species often lead to erroneous identifications. Molecular methods therefore provide the most reliable way to accurately identify the pathogen at species level. In some cases, the traditional method using mating </w:t>
        <w:lastRenderedPageBreak/>
        <w:t>experiments with confirmed homokaryotic strains for each species (Korhonen, 1978; Stenlid, 1985; Mitchelson and Korhonen, 1998) can be used as an alternative to molecular methods, but it requires expertise in the interpretation of the results and more time. The conventional PCR and real-time PCR methods described in sections 3.4.3 and 3.4.4 are species specific and are used for detection of the pathogen in infected material, passive spore traps or in pure fungal cultures. DNA sequencing (see section 4.2) can also be performed to confirm the identity of pure fungal cultures of the pathogen.</w:t>
      </w:r>
    </w:p>
    <w:p w14:paraId="29D5D6E0" w14:textId="212B8BE6">
      <w:pPr>
        <w:pStyle w:val="IPPHeading2"/>
      </w:pPr>
      <w:r>
        <w:rPr>
          <w:rStyle w:val="PleaseReviewParagraphId"/>
          <w:b w:val="off"/>
          <w:i w:val="off"/>
        </w:rPr>
        <w:t>[682]</w:t>
      </w:r>
      <w:r>
        <w:t>4.1</w:t>
        <w:tab/>
        <w:t>Morphological identification of fruiting bodies</w:t>
      </w:r>
    </w:p>
    <w:p w14:paraId="1E6E0A78" w14:textId="730698EC">
      <w:pPr>
        <w:pStyle w:val="IPPParagraphnumbering"/>
        <w:numPr>
          <w:ilvl w:val="0"/>
          <w:numId w:val="0"/>
        </w:numPr>
        <w:rPr>
          <w:lang w:val="en-GB"/>
        </w:rPr>
      </w:pPr>
      <w:r>
        <w:rPr>
          <w:rStyle w:val="PleaseReviewParagraphId"/>
          <w:b w:val="off"/>
          <w:i w:val="off"/>
        </w:rPr>
        <w:t>[683]</w:t>
      </w:r>
      <w:r>
        <w:rPr>
          <w:lang w:val="en-GB"/>
        </w:rPr>
        <w:t xml:space="preserve">The fruiting bodies of </w:t>
      </w:r>
      <w:r>
        <w:rPr>
          <w:i/>
          <w:iCs/>
          <w:lang w:val="en-GB"/>
        </w:rPr>
        <w:t>H. annosum s.l.</w:t>
      </w:r>
      <w:r>
        <w:rPr>
          <w:lang w:val="en-GB"/>
        </w:rPr>
        <w:t xml:space="preserve"> are 1–40 cm across, perennial, very irregular in shape, pileate, resupinate or effused-reflexed, and rubbery in texture (Figure 5, Figure 6 and Figure 8). The top surface (when present) is reddish or dark brown in colour and becomes darker with age. The margin is distinct, thin and white. The context is 0.2</w:t>
      </w:r>
      <w:r>
        <w:rPr>
          <w:iCs/>
          <w:lang w:val="en-GB"/>
        </w:rPr>
        <w:t>−</w:t>
      </w:r>
      <w:r>
        <w:rPr>
          <w:lang w:val="en-GB"/>
        </w:rPr>
        <w:t xml:space="preserve">1 cm thick, whitish, and corky to woody. The hyphal system is dimitic </w:t>
      </w:r>
      <w:bookmarkStart w:name="_Hlk136885297" w:id="45"/>
      <w:r>
        <w:rPr>
          <w:lang w:val="en-GB"/>
        </w:rPr>
        <w:t>and non-agglutinated</w:t>
      </w:r>
      <w:bookmarkEnd w:id="45"/>
      <w:r>
        <w:rPr>
          <w:lang w:val="en-GB"/>
        </w:rPr>
        <w:t xml:space="preserve">, with generative hyphae and skeletal hyphae. The lower surface (hymenophore) is labyrinthine or </w:t>
      </w:r>
      <w:r>
        <w:t>daedaleoid,</w:t>
      </w:r>
      <w:r>
        <w:rPr>
          <w:lang w:val="en-GB"/>
        </w:rPr>
        <w:t xml:space="preserve"> white or cream coloured, with numerous small irregular pores; the pores are (1–)2–3 per mm and 150–500(–1000) µm in diameter (Figure 8). Tubes are unevenly or distinctly stratified and are 2–10 mm long in each layer. Basidia are 9</w:t>
      </w:r>
      <w:r>
        <w:rPr>
          <w:iCs/>
          <w:lang w:val="en-GB"/>
        </w:rPr>
        <w:t>−</w:t>
      </w:r>
      <w:r>
        <w:rPr>
          <w:lang w:val="en-GB"/>
        </w:rPr>
        <w:t>13 × 5</w:t>
      </w:r>
      <w:r>
        <w:rPr>
          <w:iCs/>
          <w:lang w:val="en-GB"/>
        </w:rPr>
        <w:t>−</w:t>
      </w:r>
      <w:r>
        <w:rPr>
          <w:lang w:val="en-GB"/>
        </w:rPr>
        <w:t>7 µm, clavate, four-spored, and without a basal clamp. Cystidia are absent. Basidiospores are 3.5</w:t>
      </w:r>
      <w:r>
        <w:rPr>
          <w:iCs/>
          <w:lang w:val="en-GB"/>
        </w:rPr>
        <w:t>−</w:t>
      </w:r>
      <w:r>
        <w:rPr>
          <w:lang w:val="en-GB"/>
        </w:rPr>
        <w:t>5.5 × 3</w:t>
      </w:r>
      <w:r>
        <w:rPr>
          <w:iCs/>
          <w:lang w:val="en-GB"/>
        </w:rPr>
        <w:t>−</w:t>
      </w:r>
      <w:r>
        <w:rPr>
          <w:lang w:val="en-GB"/>
        </w:rPr>
        <w:t xml:space="preserve">4 µm, ovoid to broadly ellipsoid, hyaline, thin-walled and slightly asperulate, with a few guttules (CABI, n.d.). </w:t>
      </w:r>
    </w:p>
    <w:p w14:paraId="7D3C10EC" w14:textId="5F2596C2">
      <w:pPr>
        <w:pStyle w:val="IPPParagraphnumbering"/>
        <w:numPr>
          <w:ilvl w:val="0"/>
          <w:numId w:val="0"/>
        </w:numPr>
        <w:rPr>
          <w:lang w:val="en-GB"/>
        </w:rPr>
      </w:pPr>
      <w:r>
        <w:rPr>
          <w:rStyle w:val="PleaseReviewParagraphId"/>
          <w:b w:val="off"/>
          <w:i w:val="off"/>
        </w:rPr>
        <w:t>[684]</w:t>
      </w:r>
      <w:r>
        <w:rPr>
          <w:lang w:val="en-GB"/>
        </w:rPr>
        <w:t xml:space="preserve">Slight differences between </w:t>
      </w:r>
      <w:r>
        <w:rPr>
          <w:i/>
          <w:iCs/>
          <w:lang w:val="en-GB"/>
        </w:rPr>
        <w:t>H. annosum s.l.</w:t>
      </w:r>
      <w:r>
        <w:rPr>
          <w:lang w:val="en-GB"/>
        </w:rPr>
        <w:t xml:space="preserve"> species occur in the macromorphology and micromorphology of fruiting bodies, especially in the size of pores, the length of brown hairs on the upper margin and, to a lesser extent, the size of spores (Mitchelson and Korhonen, 1998; Otrosina and Garbelotto, 2010). Unfortunately, differences are small and morphological traits partially overlap between species, which often leads to erroneous identifications in the field. Some diagnostic differences between species occurring in Europe and Asia (</w:t>
      </w:r>
      <w:r>
        <w:rPr>
          <w:i/>
          <w:iCs/>
          <w:lang w:val="en-GB"/>
        </w:rPr>
        <w:t>H. abietinum</w:t>
      </w:r>
      <w:r>
        <w:rPr>
          <w:lang w:val="en-GB"/>
        </w:rPr>
        <w:t xml:space="preserve">, </w:t>
      </w:r>
      <w:r>
        <w:rPr>
          <w:i/>
          <w:iCs/>
          <w:lang w:val="en-GB"/>
        </w:rPr>
        <w:t>H. annosum s.s.</w:t>
      </w:r>
      <w:r>
        <w:rPr>
          <w:lang w:val="en-GB"/>
        </w:rPr>
        <w:t xml:space="preserve"> and </w:t>
      </w:r>
      <w:r>
        <w:rPr>
          <w:i/>
          <w:iCs/>
          <w:lang w:val="en-GB"/>
        </w:rPr>
        <w:t>H. parviporum</w:t>
      </w:r>
      <w:r>
        <w:rPr>
          <w:lang w:val="en-GB"/>
        </w:rPr>
        <w:t>) and species occurring in North America (</w:t>
      </w:r>
      <w:r>
        <w:rPr>
          <w:i/>
          <w:iCs/>
          <w:lang w:val="en-GB"/>
        </w:rPr>
        <w:t>H. irregulare</w:t>
      </w:r>
      <w:r>
        <w:rPr>
          <w:lang w:val="en-GB"/>
        </w:rPr>
        <w:t xml:space="preserve"> and </w:t>
      </w:r>
      <w:r>
        <w:rPr>
          <w:i/>
          <w:iCs/>
          <w:lang w:val="en-GB"/>
        </w:rPr>
        <w:t>H. occidentale</w:t>
      </w:r>
      <w:r>
        <w:rPr>
          <w:lang w:val="en-GB"/>
        </w:rPr>
        <w:t>) that may be of use in the field where fruiting bodies are found are available in Table 12 (modified from Otrosina and Garbelotto, 2010).</w:t>
      </w:r>
    </w:p>
    <w:p w14:paraId="506108FB" w14:textId="420962A4">
      <w:pPr>
        <w:pStyle w:val="IPPParagraphnumbering"/>
        <w:numPr>
          <w:ilvl w:val="0"/>
          <w:numId w:val="0"/>
        </w:numPr>
        <w:rPr>
          <w:lang w:val="en-GB"/>
        </w:rPr>
      </w:pPr>
      <w:r>
        <w:rPr>
          <w:rStyle w:val="PleaseReviewParagraphId"/>
          <w:b w:val="off"/>
          <w:i w:val="off"/>
        </w:rPr>
        <w:t>[685]</w:t>
      </w:r>
      <w:r>
        <w:rPr>
          <w:lang w:val="en-GB"/>
        </w:rPr>
        <w:t xml:space="preserve">Isolation of </w:t>
      </w:r>
      <w:r>
        <w:rPr>
          <w:i/>
          <w:iCs/>
          <w:lang w:val="en-GB"/>
        </w:rPr>
        <w:t>H. annosum s.l.</w:t>
      </w:r>
      <w:r>
        <w:rPr>
          <w:lang w:val="en-GB"/>
        </w:rPr>
        <w:t xml:space="preserve"> may be performed directly from fresh fruiting bodies (see section 3.3.1).</w:t>
      </w:r>
    </w:p>
    <w:p w14:paraId="272D692E" w14:textId="0DF2CBB9">
      <w:pPr>
        <w:pStyle w:val="IPPArial"/>
        <w:keepNext/>
        <w:spacing w:after="120"/>
      </w:pPr>
      <w:r>
        <w:rPr>
          <w:rStyle w:val="PleaseReviewParagraphId"/>
          <w:b w:val="off"/>
          <w:i w:val="off"/>
        </w:rPr>
        <w:t>[686]</w:t>
      </w:r>
      <w:r>
        <w:rPr>
          <w:b/>
          <w:bCs/>
        </w:rPr>
        <w:t>Table 12.</w:t>
      </w:r>
      <w:r>
        <w:t xml:space="preserve"> Some diagnostic differences between species of </w:t>
      </w:r>
      <w:r>
        <w:rPr>
          <w:i/>
        </w:rPr>
        <w:t>Heterobasidion annosum sensu lato</w:t>
      </w:r>
      <w:r>
        <w:t xml:space="preserve"> occurring in Europe and Asia, and those occurring in North America, that may be of use in the field where fruiting bodies are found</w:t>
      </w:r>
    </w:p>
    <w:tbl>
      <w:tblPr>
        <w:tblStyle w:val="TableGrid"/>
        <w:tblW w:w="0" w:type="auto"/>
        <w:tblInd w:w="-5" w:type="dxa"/>
        <w:tblLook w:val="04A0" w:firstRow="1" w:lastRow="0" w:firstColumn="1" w:lastColumn="0" w:noHBand="0" w:noVBand="1"/>
      </w:tblPr>
      <w:tblGrid>
        <w:gridCol w:w="1680"/>
        <w:gridCol w:w="2497"/>
        <w:gridCol w:w="2395"/>
        <w:gridCol w:w="2493"/>
      </w:tblGrid>
      <w:tr w14:paraId="7727EE3F" w14:textId="77777777">
        <w:tc>
          <w:tcPr>
            <w:tcW w:w="1701" w:type="dxa"/>
            <w:shd w:val="clear" w:color="auto" w:fill="BFBFBF" w:themeFill="background1" w:themeFillShade="BF"/>
          </w:tcPr>
          <w:p w14:paraId="63A83441" w14:textId="428B4B58">
            <w:pPr>
              <w:pStyle w:val="IPPArialTable"/>
              <w:rPr>
                <w:b/>
                <w:bCs/>
              </w:rPr>
            </w:pPr>
            <w:r>
              <w:rPr>
                <w:rStyle w:val="PleaseReviewParagraphId"/>
                <w:b w:val="off"/>
                <w:i w:val="off"/>
              </w:rPr>
              <w:t>[687]</w:t>
            </w:r>
            <w:r>
              <w:rPr>
                <w:b/>
                <w:bCs/>
                <w:i/>
              </w:rPr>
              <w:t>S</w:t>
            </w:r>
            <w:r>
              <w:rPr>
                <w:b/>
                <w:bCs/>
              </w:rPr>
              <w:t>pecies</w:t>
            </w:r>
          </w:p>
        </w:tc>
        <w:tc>
          <w:tcPr>
            <w:tcW w:w="2694" w:type="dxa"/>
            <w:shd w:val="clear" w:color="auto" w:fill="BFBFBF" w:themeFill="background1" w:themeFillShade="BF"/>
          </w:tcPr>
          <w:p w14:paraId="46E990A8" w14:textId="357A50A0">
            <w:pPr>
              <w:pStyle w:val="IPPArialTable"/>
              <w:rPr>
                <w:b/>
                <w:bCs/>
              </w:rPr>
            </w:pPr>
            <w:r>
              <w:rPr>
                <w:rStyle w:val="PleaseReviewParagraphId"/>
                <w:b w:val="off"/>
                <w:i w:val="off"/>
              </w:rPr>
              <w:t>[688]</w:t>
            </w:r>
            <w:r>
              <w:rPr>
                <w:b/>
                <w:bCs/>
              </w:rPr>
              <w:t>Location of fruiting bodies</w:t>
            </w:r>
          </w:p>
        </w:tc>
        <w:tc>
          <w:tcPr>
            <w:tcW w:w="2551" w:type="dxa"/>
            <w:shd w:val="clear" w:color="auto" w:fill="BFBFBF" w:themeFill="background1" w:themeFillShade="BF"/>
          </w:tcPr>
          <w:p w14:paraId="0DCA74B5" w14:textId="77777777">
            <w:pPr>
              <w:pStyle w:val="IPPArialTable"/>
              <w:rPr>
                <w:b/>
                <w:bCs/>
              </w:rPr>
            </w:pPr>
            <w:r>
              <w:rPr>
                <w:rStyle w:val="PleaseReviewParagraphId"/>
                <w:b w:val="off"/>
                <w:i w:val="off"/>
              </w:rPr>
              <w:t>[689]</w:t>
            </w:r>
            <w:r>
              <w:rPr>
                <w:b/>
                <w:bCs/>
              </w:rPr>
              <w:t>Length of fruiting bodies</w:t>
            </w:r>
          </w:p>
          <w:p w14:paraId="095F5E38" w14:textId="0233AE48">
            <w:pPr>
              <w:pStyle w:val="IPPArialTable"/>
              <w:rPr>
                <w:b/>
                <w:bCs/>
              </w:rPr>
            </w:pPr>
            <w:r>
              <w:rPr>
                <w:rStyle w:val="PleaseReviewParagraphId"/>
                <w:b w:val="off"/>
                <w:i w:val="off"/>
              </w:rPr>
              <w:t>[690]</w:t>
            </w:r>
            <w:r>
              <w:rPr>
                <w:b/>
                <w:bCs/>
              </w:rPr>
              <w:t>(cm)</w:t>
            </w:r>
          </w:p>
        </w:tc>
        <w:tc>
          <w:tcPr>
            <w:tcW w:w="2687" w:type="dxa"/>
            <w:shd w:val="clear" w:color="auto" w:fill="BFBFBF" w:themeFill="background1" w:themeFillShade="BF"/>
          </w:tcPr>
          <w:p w14:paraId="2AAE2E03" w14:textId="70331855">
            <w:pPr>
              <w:pStyle w:val="IPPArialTable"/>
              <w:rPr>
                <w:b/>
                <w:bCs/>
              </w:rPr>
            </w:pPr>
            <w:r>
              <w:rPr>
                <w:rStyle w:val="PleaseReviewParagraphId"/>
                <w:b w:val="off"/>
                <w:i w:val="off"/>
              </w:rPr>
              <w:t>[691]</w:t>
            </w:r>
            <w:r>
              <w:rPr>
                <w:b/>
                <w:bCs/>
              </w:rPr>
              <w:t>Mean pore density in mm</w:t>
            </w:r>
            <w:r>
              <w:rPr>
                <w:b/>
                <w:bCs/>
                <w:vertAlign w:val="superscript"/>
              </w:rPr>
              <w:t>2</w:t>
            </w:r>
            <w:r>
              <w:rPr>
                <w:b/>
                <w:bCs/>
              </w:rPr>
              <w:t xml:space="preserve"> (SD) and % of irregular pores</w:t>
            </w:r>
          </w:p>
        </w:tc>
      </w:tr>
      <w:tr w14:paraId="73A9F1A4" w14:textId="77777777">
        <w:tc>
          <w:tcPr>
            <w:tcW w:w="1701" w:type="dxa"/>
          </w:tcPr>
          <w:p w14:paraId="51EBD9D3" w14:textId="54FDD05C">
            <w:pPr>
              <w:pStyle w:val="IPPArialTable"/>
              <w:rPr>
                <w:rFonts w:eastAsiaTheme="minorHAnsi"/>
              </w:rPr>
            </w:pPr>
            <w:r>
              <w:rPr>
                <w:rStyle w:val="PleaseReviewParagraphId"/>
                <w:b w:val="off"/>
                <w:i w:val="off"/>
              </w:rPr>
              <w:t>[692]</w:t>
            </w:r>
            <w:r>
              <w:rPr>
                <w:rFonts w:eastAsiaTheme="minorHAnsi"/>
                <w:i/>
              </w:rPr>
              <w:t>H. abietinum</w:t>
            </w:r>
          </w:p>
        </w:tc>
        <w:tc>
          <w:tcPr>
            <w:tcW w:w="2694" w:type="dxa"/>
          </w:tcPr>
          <w:p w14:paraId="60106611" w14:textId="1A65FBB3">
            <w:pPr>
              <w:pStyle w:val="IPPArialTable"/>
              <w:rPr>
                <w:rFonts w:eastAsiaTheme="minorHAnsi"/>
              </w:rPr>
            </w:pPr>
            <w:r>
              <w:rPr>
                <w:rStyle w:val="PleaseReviewParagraphId"/>
                <w:b w:val="off"/>
                <w:i w:val="off"/>
              </w:rPr>
              <w:t>[693]</w:t>
            </w:r>
            <w:r>
              <w:rPr>
                <w:rFonts w:eastAsiaTheme="minorHAnsi"/>
              </w:rPr>
              <w:t>Root collar, along roots, and in decay pockets</w:t>
            </w:r>
          </w:p>
        </w:tc>
        <w:tc>
          <w:tcPr>
            <w:tcW w:w="2551" w:type="dxa"/>
          </w:tcPr>
          <w:p w14:paraId="70288206" w14:textId="367E276A">
            <w:pPr>
              <w:pStyle w:val="IPPArialTable"/>
              <w:rPr>
                <w:rFonts w:eastAsiaTheme="minorHAnsi"/>
              </w:rPr>
            </w:pPr>
            <w:r>
              <w:rPr>
                <w:rStyle w:val="PleaseReviewParagraphId"/>
                <w:b w:val="off"/>
                <w:i w:val="off"/>
              </w:rPr>
              <w:t>[694]</w:t>
            </w:r>
            <w:r>
              <w:rPr>
                <w:rFonts w:eastAsiaTheme="minorHAnsi"/>
              </w:rPr>
              <w:t>In colder areas (central-eastern Europe) up to 30 cm, in mesic warm areas up to 40–45 cm</w:t>
            </w:r>
          </w:p>
        </w:tc>
        <w:tc>
          <w:tcPr>
            <w:tcW w:w="2687" w:type="dxa"/>
          </w:tcPr>
          <w:p w14:paraId="5D1116F1" w14:textId="27407D12">
            <w:pPr>
              <w:pStyle w:val="IPPArialTable"/>
              <w:rPr>
                <w:rFonts w:eastAsiaTheme="minorHAnsi"/>
              </w:rPr>
            </w:pPr>
            <w:r>
              <w:rPr>
                <w:rStyle w:val="PleaseReviewParagraphId"/>
                <w:b w:val="off"/>
                <w:i w:val="off"/>
              </w:rPr>
              <w:t>[695]</w:t>
            </w:r>
            <w:r>
              <w:rPr>
                <w:rFonts w:eastAsiaTheme="minorHAnsi"/>
              </w:rPr>
              <w:t>12.5 (0.3) (no % data available)</w:t>
            </w:r>
          </w:p>
        </w:tc>
      </w:tr>
      <w:tr w14:paraId="4BE88143" w14:textId="77777777">
        <w:tc>
          <w:tcPr>
            <w:tcW w:w="1701" w:type="dxa"/>
          </w:tcPr>
          <w:p w14:paraId="59A81577" w14:textId="4B3592AA">
            <w:pPr>
              <w:pStyle w:val="IPPArialTable"/>
              <w:rPr>
                <w:rFonts w:eastAsiaTheme="minorHAnsi"/>
              </w:rPr>
            </w:pPr>
            <w:r>
              <w:rPr>
                <w:rStyle w:val="PleaseReviewParagraphId"/>
                <w:b w:val="off"/>
                <w:i w:val="off"/>
              </w:rPr>
              <w:t>[696]</w:t>
            </w:r>
            <w:r>
              <w:rPr>
                <w:rFonts w:eastAsiaTheme="minorHAnsi"/>
                <w:i/>
              </w:rPr>
              <w:t>H. annosum s.s.</w:t>
            </w:r>
          </w:p>
        </w:tc>
        <w:tc>
          <w:tcPr>
            <w:tcW w:w="2694" w:type="dxa"/>
          </w:tcPr>
          <w:p w14:paraId="204C5DDC" w14:textId="2658565F">
            <w:pPr>
              <w:pStyle w:val="IPPArialTable"/>
              <w:rPr>
                <w:rFonts w:eastAsiaTheme="minorHAnsi"/>
              </w:rPr>
            </w:pPr>
            <w:r>
              <w:rPr>
                <w:rStyle w:val="PleaseReviewParagraphId"/>
                <w:b w:val="off"/>
                <w:i w:val="off"/>
              </w:rPr>
              <w:t>[697]</w:t>
            </w:r>
            <w:r>
              <w:rPr>
                <w:rFonts w:eastAsiaTheme="minorHAnsi"/>
              </w:rPr>
              <w:t>Root collar and primary roots of infected or dead trees</w:t>
            </w:r>
          </w:p>
        </w:tc>
        <w:tc>
          <w:tcPr>
            <w:tcW w:w="2551" w:type="dxa"/>
          </w:tcPr>
          <w:p w14:paraId="2CB97C6B" w14:textId="700AE890">
            <w:pPr>
              <w:pStyle w:val="IPPArialTable"/>
              <w:rPr>
                <w:rFonts w:eastAsiaTheme="minorHAnsi"/>
              </w:rPr>
            </w:pPr>
            <w:r>
              <w:rPr>
                <w:rStyle w:val="PleaseReviewParagraphId"/>
                <w:b w:val="off"/>
                <w:i w:val="off"/>
              </w:rPr>
              <w:t>[698]</w:t>
            </w:r>
            <w:r>
              <w:rPr>
                <w:rFonts w:eastAsiaTheme="minorHAnsi"/>
              </w:rPr>
              <w:t>Up to 30 cm</w:t>
            </w:r>
          </w:p>
        </w:tc>
        <w:tc>
          <w:tcPr>
            <w:tcW w:w="2687" w:type="dxa"/>
          </w:tcPr>
          <w:p w14:paraId="62E6D0E3" w14:textId="6D88D206">
            <w:pPr>
              <w:pStyle w:val="IPPArialTable"/>
              <w:rPr>
                <w:rFonts w:eastAsiaTheme="minorHAnsi"/>
              </w:rPr>
            </w:pPr>
            <w:r>
              <w:rPr>
                <w:rStyle w:val="PleaseReviewParagraphId"/>
                <w:b w:val="off"/>
                <w:i w:val="off"/>
              </w:rPr>
              <w:t>[699]</w:t>
            </w:r>
            <w:r>
              <w:rPr>
                <w:rFonts w:eastAsiaTheme="minorHAnsi"/>
              </w:rPr>
              <w:t>8 (0.3) (no % data available)</w:t>
            </w:r>
          </w:p>
        </w:tc>
      </w:tr>
      <w:tr w14:paraId="289F7A8C" w14:textId="77777777">
        <w:tc>
          <w:tcPr>
            <w:tcW w:w="1701" w:type="dxa"/>
          </w:tcPr>
          <w:p w14:paraId="31B3B74A" w14:textId="38D4E56F">
            <w:pPr>
              <w:pStyle w:val="IPPArialTable"/>
              <w:rPr>
                <w:rFonts w:eastAsiaTheme="minorHAnsi"/>
              </w:rPr>
            </w:pPr>
            <w:r>
              <w:rPr>
                <w:rStyle w:val="PleaseReviewParagraphId"/>
                <w:b w:val="off"/>
                <w:i w:val="off"/>
              </w:rPr>
              <w:t>[700]</w:t>
            </w:r>
            <w:r>
              <w:rPr>
                <w:rFonts w:eastAsiaTheme="minorHAnsi"/>
                <w:i/>
              </w:rPr>
              <w:t>H. irregulare</w:t>
            </w:r>
          </w:p>
        </w:tc>
        <w:tc>
          <w:tcPr>
            <w:tcW w:w="2694" w:type="dxa"/>
          </w:tcPr>
          <w:p w14:paraId="568B6474" w14:textId="20BAD19F">
            <w:pPr>
              <w:pStyle w:val="IPPArialTable"/>
              <w:rPr>
                <w:rFonts w:eastAsiaTheme="minorHAnsi"/>
              </w:rPr>
            </w:pPr>
            <w:r>
              <w:rPr>
                <w:rStyle w:val="PleaseReviewParagraphId"/>
                <w:b w:val="off"/>
                <w:i w:val="off"/>
              </w:rPr>
              <w:t>[701]</w:t>
            </w:r>
            <w:r>
              <w:rPr>
                <w:rFonts w:eastAsiaTheme="minorHAnsi"/>
              </w:rPr>
              <w:t>Root collar (eastern North America, Italy), under bark of buttress and under intact stump surface (western United States of America)</w:t>
            </w:r>
          </w:p>
        </w:tc>
        <w:tc>
          <w:tcPr>
            <w:tcW w:w="2551" w:type="dxa"/>
          </w:tcPr>
          <w:p w14:paraId="08E4FD4A" w14:textId="2D141BC5">
            <w:pPr>
              <w:pStyle w:val="IPPArialTable"/>
              <w:spacing w:after="180"/>
              <w:rPr>
                <w:rFonts w:eastAsiaTheme="minorHAnsi"/>
              </w:rPr>
            </w:pPr>
            <w:r>
              <w:rPr>
                <w:rStyle w:val="PleaseReviewParagraphId"/>
                <w:b w:val="off"/>
                <w:i w:val="off"/>
              </w:rPr>
              <w:t>[702]</w:t>
            </w:r>
            <w:r>
              <w:rPr>
                <w:rFonts w:eastAsiaTheme="minorHAnsi"/>
              </w:rPr>
              <w:t>Up to 30 cm in North America</w:t>
            </w:r>
          </w:p>
          <w:p w14:paraId="3C99966D" w14:textId="6B2A4001">
            <w:pPr>
              <w:pStyle w:val="IPPArialTable"/>
              <w:rPr>
                <w:rFonts w:eastAsiaTheme="minorHAnsi"/>
              </w:rPr>
            </w:pPr>
            <w:r>
              <w:rPr>
                <w:rStyle w:val="PleaseReviewParagraphId"/>
                <w:b w:val="off"/>
                <w:i w:val="off"/>
              </w:rPr>
              <w:t>[703]</w:t>
            </w:r>
            <w:r>
              <w:rPr>
                <w:rFonts w:eastAsiaTheme="minorHAnsi"/>
              </w:rPr>
              <w:t xml:space="preserve">In central Italy, sporocarps can be 30–40 cm, and larger than those of </w:t>
            </w:r>
            <w:r>
              <w:rPr>
                <w:rFonts w:eastAsiaTheme="minorHAnsi"/>
                <w:i/>
              </w:rPr>
              <w:t>H. annosum</w:t>
            </w:r>
          </w:p>
        </w:tc>
        <w:tc>
          <w:tcPr>
            <w:tcW w:w="2687" w:type="dxa"/>
          </w:tcPr>
          <w:p w14:paraId="6B2C96BB" w14:textId="4D70F043">
            <w:pPr>
              <w:pStyle w:val="IPPArialTable"/>
              <w:rPr>
                <w:rFonts w:eastAsiaTheme="minorHAnsi"/>
              </w:rPr>
            </w:pPr>
            <w:r>
              <w:rPr>
                <w:rStyle w:val="PleaseReviewParagraphId"/>
                <w:b w:val="off"/>
                <w:i w:val="off"/>
              </w:rPr>
              <w:t>[704]</w:t>
            </w:r>
            <w:r>
              <w:rPr>
                <w:rFonts w:eastAsiaTheme="minorHAnsi"/>
              </w:rPr>
              <w:t>7.3 (0.12) 11%</w:t>
            </w:r>
          </w:p>
        </w:tc>
      </w:tr>
      <w:tr w14:paraId="245C60C1" w14:textId="77777777">
        <w:tc>
          <w:tcPr>
            <w:tcW w:w="1701" w:type="dxa"/>
          </w:tcPr>
          <w:p w14:paraId="092D1505" w14:textId="52DC095A">
            <w:pPr>
              <w:pStyle w:val="IPPArialTable"/>
              <w:rPr>
                <w:rFonts w:eastAsiaTheme="minorHAnsi"/>
              </w:rPr>
            </w:pPr>
            <w:r>
              <w:rPr>
                <w:rStyle w:val="PleaseReviewParagraphId"/>
                <w:b w:val="off"/>
                <w:i w:val="off"/>
              </w:rPr>
              <w:t>[705]</w:t>
            </w:r>
            <w:r>
              <w:rPr>
                <w:rFonts w:eastAsiaTheme="minorHAnsi"/>
                <w:i/>
              </w:rPr>
              <w:t>H. occidentale</w:t>
            </w:r>
          </w:p>
        </w:tc>
        <w:tc>
          <w:tcPr>
            <w:tcW w:w="2694" w:type="dxa"/>
          </w:tcPr>
          <w:p w14:paraId="218C1139" w14:textId="3C421D75">
            <w:pPr>
              <w:pStyle w:val="IPPArialTable"/>
              <w:rPr>
                <w:rFonts w:eastAsiaTheme="minorHAnsi"/>
              </w:rPr>
            </w:pPr>
            <w:r>
              <w:rPr>
                <w:rStyle w:val="PleaseReviewParagraphId"/>
                <w:b w:val="off"/>
                <w:i w:val="off"/>
              </w:rPr>
              <w:t>[706]</w:t>
            </w:r>
            <w:r>
              <w:rPr>
                <w:rFonts w:eastAsiaTheme="minorHAnsi"/>
              </w:rPr>
              <w:t>Decay pockets in stumps and fallen trees, under intact surface of pine stumps</w:t>
            </w:r>
          </w:p>
        </w:tc>
        <w:tc>
          <w:tcPr>
            <w:tcW w:w="2551" w:type="dxa"/>
          </w:tcPr>
          <w:p w14:paraId="157D7839" w14:textId="51A0B5A8">
            <w:pPr>
              <w:pStyle w:val="IPPArialTable"/>
              <w:rPr>
                <w:rFonts w:eastAsiaTheme="minorHAnsi"/>
              </w:rPr>
            </w:pPr>
            <w:r>
              <w:rPr>
                <w:rStyle w:val="PleaseReviewParagraphId"/>
                <w:b w:val="off"/>
                <w:i w:val="off"/>
              </w:rPr>
              <w:t>[707]</w:t>
            </w:r>
            <w:r>
              <w:rPr>
                <w:rFonts w:eastAsiaTheme="minorHAnsi"/>
              </w:rPr>
              <w:t>Up to 40 cm</w:t>
            </w:r>
          </w:p>
        </w:tc>
        <w:tc>
          <w:tcPr>
            <w:tcW w:w="2687" w:type="dxa"/>
          </w:tcPr>
          <w:p w14:paraId="0979E53F" w14:textId="5BBBCC84">
            <w:pPr>
              <w:pStyle w:val="IPPArialTable"/>
              <w:rPr>
                <w:rFonts w:eastAsiaTheme="minorHAnsi"/>
              </w:rPr>
            </w:pPr>
            <w:r>
              <w:rPr>
                <w:rStyle w:val="PleaseReviewParagraphId"/>
                <w:b w:val="off"/>
                <w:i w:val="off"/>
              </w:rPr>
              <w:t>[708]</w:t>
            </w:r>
            <w:r>
              <w:rPr>
                <w:rFonts w:eastAsiaTheme="minorHAnsi"/>
              </w:rPr>
              <w:t>8.6 (0.07) 6%</w:t>
            </w:r>
          </w:p>
        </w:tc>
      </w:tr>
      <w:tr w14:paraId="747501E1" w14:textId="77777777">
        <w:tc>
          <w:tcPr>
            <w:tcW w:w="1701" w:type="dxa"/>
          </w:tcPr>
          <w:p w14:paraId="06F88ECE" w14:textId="1ED1DAF1">
            <w:pPr>
              <w:pStyle w:val="IPPArialTable"/>
              <w:rPr>
                <w:rFonts w:eastAsiaTheme="minorHAnsi"/>
              </w:rPr>
            </w:pPr>
            <w:r>
              <w:rPr>
                <w:rStyle w:val="PleaseReviewParagraphId"/>
                <w:b w:val="off"/>
                <w:i w:val="off"/>
              </w:rPr>
              <w:t>[709]</w:t>
            </w:r>
            <w:r>
              <w:rPr>
                <w:rFonts w:eastAsiaTheme="minorHAnsi"/>
                <w:i/>
              </w:rPr>
              <w:t>H. parviporum</w:t>
            </w:r>
          </w:p>
        </w:tc>
        <w:tc>
          <w:tcPr>
            <w:tcW w:w="2694" w:type="dxa"/>
          </w:tcPr>
          <w:p w14:paraId="088B1B47" w14:textId="1D65DBF4">
            <w:pPr>
              <w:pStyle w:val="IPPArialTable"/>
              <w:rPr>
                <w:rFonts w:eastAsiaTheme="minorHAnsi"/>
              </w:rPr>
            </w:pPr>
            <w:r>
              <w:rPr>
                <w:rStyle w:val="PleaseReviewParagraphId"/>
                <w:b w:val="off"/>
                <w:i w:val="off"/>
              </w:rPr>
              <w:t>[710]</w:t>
            </w:r>
            <w:r>
              <w:rPr>
                <w:rFonts w:eastAsiaTheme="minorHAnsi"/>
              </w:rPr>
              <w:t>Root collar, along roots and decay pockets within the butt</w:t>
            </w:r>
          </w:p>
        </w:tc>
        <w:tc>
          <w:tcPr>
            <w:tcW w:w="2551" w:type="dxa"/>
          </w:tcPr>
          <w:p w14:paraId="12D0561B" w14:textId="67B3E506">
            <w:pPr>
              <w:pStyle w:val="IPPArialTable"/>
              <w:spacing w:after="180"/>
              <w:rPr>
                <w:rFonts w:eastAsiaTheme="minorHAnsi"/>
              </w:rPr>
            </w:pPr>
            <w:r>
              <w:rPr>
                <w:rStyle w:val="PleaseReviewParagraphId"/>
                <w:b w:val="off"/>
                <w:i w:val="off"/>
              </w:rPr>
              <w:t>[711]</w:t>
            </w:r>
            <w:r>
              <w:rPr>
                <w:rFonts w:eastAsiaTheme="minorHAnsi"/>
              </w:rPr>
              <w:t>Up to 30 cm</w:t>
            </w:r>
          </w:p>
          <w:p w14:paraId="5BA22D3C" w14:textId="16FDCD62">
            <w:pPr>
              <w:pStyle w:val="IPPArialTable"/>
              <w:rPr>
                <w:rFonts w:eastAsiaTheme="minorHAnsi"/>
              </w:rPr>
            </w:pPr>
            <w:r>
              <w:rPr>
                <w:rStyle w:val="PleaseReviewParagraphId"/>
                <w:b w:val="off"/>
                <w:i w:val="off"/>
              </w:rPr>
              <w:t>[712]</w:t>
            </w:r>
            <w:r>
              <w:rPr>
                <w:rFonts w:eastAsiaTheme="minorHAnsi"/>
              </w:rPr>
              <w:lastRenderedPageBreak/>
              <w:t xml:space="preserve">Gaitnieks </w:t>
            </w:r>
            <w:r>
              <w:rPr>
                <w:rFonts w:eastAsiaTheme="minorHAnsi"/>
                <w:i/>
              </w:rPr>
              <w:t>et al</w:t>
            </w:r>
            <w:r>
              <w:rPr>
                <w:rFonts w:eastAsiaTheme="minorHAnsi"/>
              </w:rPr>
              <w:t>. (2021) observed larger fruiting bodies than earlier studies: the largest one had a total area of 1 784 cm</w:t>
            </w:r>
            <w:r>
              <w:rPr>
                <w:rFonts w:eastAsiaTheme="minorHAnsi"/>
                <w:vertAlign w:val="superscript"/>
              </w:rPr>
              <w:t>2</w:t>
            </w:r>
            <w:r>
              <w:rPr>
                <w:rFonts w:eastAsiaTheme="minorHAnsi"/>
              </w:rPr>
              <w:t xml:space="preserve"> and a length of 97 cm</w:t>
            </w:r>
          </w:p>
        </w:tc>
        <w:tc>
          <w:tcPr>
            <w:tcW w:w="2687" w:type="dxa"/>
          </w:tcPr>
          <w:p w14:paraId="77AE4AB5" w14:textId="21BCE66B">
            <w:pPr>
              <w:pStyle w:val="IPPArialTable"/>
              <w:rPr>
                <w:rFonts w:eastAsiaTheme="minorHAnsi"/>
              </w:rPr>
            </w:pPr>
            <w:r>
              <w:rPr>
                <w:rStyle w:val="PleaseReviewParagraphId"/>
                <w:b w:val="off"/>
                <w:i w:val="off"/>
              </w:rPr>
              <w:t>[713]</w:t>
            </w:r>
            <w:r>
              <w:rPr>
                <w:rFonts w:eastAsiaTheme="minorHAnsi"/>
              </w:rPr>
              <w:lastRenderedPageBreak/>
              <w:t>13.4 (0.4) (no % data available)</w:t>
            </w:r>
          </w:p>
        </w:tc>
      </w:tr>
    </w:tbl>
    <w:p w14:paraId="23F56EA1" w14:textId="3AFF8D39">
      <w:pPr>
        <w:pStyle w:val="IPPArialFootnote"/>
      </w:pPr>
      <w:r>
        <w:rPr>
          <w:rStyle w:val="PleaseReviewParagraphId"/>
          <w:b w:val="off"/>
          <w:i w:val="off"/>
        </w:rPr>
        <w:t>[714]</w:t>
      </w:r>
      <w:r>
        <w:rPr>
          <w:i/>
          <w:iCs/>
        </w:rPr>
        <w:t xml:space="preserve">Notes: </w:t>
      </w:r>
      <w:r>
        <w:t>SD, standard deviation.</w:t>
      </w:r>
    </w:p>
    <w:p w14:paraId="01FC945C" w14:textId="2FB71A7E">
      <w:pPr>
        <w:pStyle w:val="IPPArialFootnote"/>
      </w:pPr>
      <w:r>
        <w:rPr>
          <w:rStyle w:val="PleaseReviewParagraphId"/>
          <w:b w:val="off"/>
          <w:i w:val="off"/>
        </w:rPr>
        <w:t>[715]</w:t>
      </w:r>
      <w:r>
        <w:rPr>
          <w:iCs/>
        </w:rPr>
        <w:t xml:space="preserve">Gaitnieks, T., Bruna, L., Zaluma, A., Burnevica, N., Klavina, D., Legzdina, L., Jansons, J. &amp; Piri, T. 2021. Development of </w:t>
      </w:r>
      <w:r>
        <w:rPr>
          <w:i/>
        </w:rPr>
        <w:t>Heterobasidion</w:t>
      </w:r>
      <w:r>
        <w:rPr>
          <w:iCs/>
        </w:rPr>
        <w:t xml:space="preserve"> spp. fruit bodies on decayed </w:t>
      </w:r>
      <w:r>
        <w:rPr>
          <w:i/>
        </w:rPr>
        <w:t>Piecea abies</w:t>
      </w:r>
      <w:r>
        <w:rPr>
          <w:iCs/>
        </w:rPr>
        <w:t xml:space="preserve">. </w:t>
      </w:r>
      <w:r>
        <w:rPr>
          <w:i/>
        </w:rPr>
        <w:t>Forest Ecology and Management</w:t>
      </w:r>
      <w:r>
        <w:rPr>
          <w:iCs/>
        </w:rPr>
        <w:t xml:space="preserve">, 482: 118835. </w:t>
      </w:r>
      <w:hyperlink w:tgtFrame="_blank" w:tooltip="Persistent link using digital object identifier" w:history="1" r:id="rId31">
        <w:r>
          <w:rPr>
            <w:rStyle w:val="Hyperlink"/>
          </w:rPr>
          <w:t>https://doi.org/10.1016/j.foreco.2020.118835</w:t>
        </w:r>
      </w:hyperlink>
    </w:p>
    <w:p w14:paraId="6C1431A1" w14:textId="3A087882">
      <w:pPr>
        <w:pStyle w:val="IPPArialFootnote"/>
        <w:spacing w:after="180"/>
      </w:pPr>
      <w:r>
        <w:rPr>
          <w:rStyle w:val="PleaseReviewParagraphId"/>
          <w:b w:val="off"/>
          <w:i w:val="off"/>
        </w:rPr>
        <w:t>[716]</w:t>
      </w:r>
      <w:r>
        <w:rPr>
          <w:i/>
          <w:iCs/>
        </w:rPr>
        <w:t xml:space="preserve">Source: </w:t>
      </w:r>
      <w:r>
        <w:t xml:space="preserve">Adapted from Otrosina, W.J. &amp; Garbelotto, M. 2010. </w:t>
      </w:r>
      <w:r>
        <w:rPr>
          <w:i/>
        </w:rPr>
        <w:t>Heterobasidion occidentale</w:t>
      </w:r>
      <w:r>
        <w:t xml:space="preserve"> sp. nov. and </w:t>
      </w:r>
      <w:r>
        <w:rPr>
          <w:i/>
        </w:rPr>
        <w:t>Heterobasidion irregulare</w:t>
      </w:r>
      <w:r>
        <w:t xml:space="preserve"> nom. nov.: a disposition of North American </w:t>
      </w:r>
      <w:r>
        <w:rPr>
          <w:i/>
        </w:rPr>
        <w:t>Heterobasidion</w:t>
      </w:r>
      <w:r>
        <w:t xml:space="preserve"> biological species. </w:t>
      </w:r>
      <w:r>
        <w:rPr>
          <w:i/>
        </w:rPr>
        <w:t>Fungal Biology</w:t>
      </w:r>
      <w:r>
        <w:t xml:space="preserve">, 114: 16–25. </w:t>
      </w:r>
      <w:hyperlink w:tgtFrame="_blank" w:tooltip="Persistent link using digital object identifier" w:history="1" r:id="rId32">
        <w:r>
          <w:rPr>
            <w:rStyle w:val="Hyperlink"/>
          </w:rPr>
          <w:t>https://doi.org/10.1016/j.mycres.2009.09.001</w:t>
        </w:r>
      </w:hyperlink>
    </w:p>
    <w:p w14:paraId="4DA21162" w14:textId="48601E50">
      <w:pPr>
        <w:pStyle w:val="IPPHeading2"/>
      </w:pPr>
      <w:r>
        <w:rPr>
          <w:rStyle w:val="PleaseReviewParagraphId"/>
          <w:b w:val="off"/>
          <w:i w:val="off"/>
        </w:rPr>
        <w:t>[717]</w:t>
      </w:r>
      <w:r>
        <w:t>4.1.1</w:t>
        <w:tab/>
        <w:t>Cultural characteristics and morphology</w:t>
      </w:r>
    </w:p>
    <w:p w14:paraId="628501C1" w14:textId="1F411682">
      <w:pPr>
        <w:pStyle w:val="IPPParagraphnumbering"/>
        <w:numPr>
          <w:ilvl w:val="0"/>
          <w:numId w:val="0"/>
        </w:numPr>
        <w:rPr>
          <w:lang w:val="en-GB"/>
        </w:rPr>
      </w:pPr>
      <w:r>
        <w:rPr>
          <w:rStyle w:val="PleaseReviewParagraphId"/>
          <w:b w:val="off"/>
          <w:i w:val="off"/>
        </w:rPr>
        <w:t>[718]</w:t>
      </w:r>
      <w:r>
        <w:rPr>
          <w:lang w:val="en-GB"/>
        </w:rPr>
        <w:t xml:space="preserve">In culture, </w:t>
      </w:r>
      <w:r>
        <w:rPr>
          <w:i/>
          <w:iCs/>
          <w:lang w:val="en-GB"/>
        </w:rPr>
        <w:t>H. annosum s.l.</w:t>
      </w:r>
      <w:r>
        <w:rPr>
          <w:lang w:val="en-GB"/>
        </w:rPr>
        <w:t xml:space="preserve"> can be easily distinguished from other fungi based on its club-like conidiophores with </w:t>
      </w:r>
      <w:bookmarkStart w:name="_Hlk136888220" w:id="46"/>
      <w:r>
        <w:rPr>
          <w:lang w:val="en-GB"/>
        </w:rPr>
        <w:t>conidiogeneous</w:t>
      </w:r>
      <w:bookmarkEnd w:id="46"/>
      <w:r>
        <w:rPr>
          <w:lang w:val="en-GB"/>
        </w:rPr>
        <w:t xml:space="preserve"> vesicles 7.5–18(–22) µm diameter (Figure 9; Stalpers, 1978). Asexual spores (conidia), 4–8(–</w:t>
      </w:r>
      <w:r>
        <w:rPr>
          <w:iCs/>
          <w:lang w:val="en-GB"/>
        </w:rPr>
        <w:t>10) × 2.</w:t>
      </w:r>
      <w:r>
        <w:rPr>
          <w:lang w:val="en-GB"/>
        </w:rPr>
        <w:t xml:space="preserve">5–5(–6) µm in size, are </w:t>
      </w:r>
      <w:bookmarkStart w:name="_Hlk136888374" w:id="47"/>
      <w:r>
        <w:rPr>
          <w:lang w:val="en-GB"/>
        </w:rPr>
        <w:t>subglobose</w:t>
      </w:r>
      <w:bookmarkEnd w:id="47"/>
      <w:r>
        <w:rPr>
          <w:lang w:val="en-GB"/>
        </w:rPr>
        <w:t xml:space="preserve"> to ovoid or lacrymoid, smooth, hyaline, </w:t>
      </w:r>
      <w:bookmarkStart w:name="_Hlk136888399" w:id="48"/>
      <w:r>
        <w:rPr>
          <w:lang w:val="en-GB"/>
        </w:rPr>
        <w:t>non-septate</w:t>
      </w:r>
      <w:bookmarkEnd w:id="48"/>
      <w:r>
        <w:rPr>
          <w:lang w:val="en-GB"/>
        </w:rPr>
        <w:t xml:space="preserve">, </w:t>
      </w:r>
      <w:bookmarkStart w:name="_Hlk136888420" w:id="49"/>
      <w:r>
        <w:rPr>
          <w:lang w:val="en-GB"/>
        </w:rPr>
        <w:t>thick-walled</w:t>
      </w:r>
      <w:bookmarkEnd w:id="49"/>
      <w:r>
        <w:rPr>
          <w:lang w:val="en-GB"/>
        </w:rPr>
        <w:t xml:space="preserve"> and without vacuoles (Stalpers, 1978). Colonies grow rapidly on generic agar-based media, reaching 6–8 cm in 7 days; they are white or cream to light buff, ivory yellow or honey yellow, and are sometimes pulverulent because of conidial production (Figure 10). Marginal and aerial hyphae are 1.5–5.5(–8) µm, with clamp connections typically present but rare (Figure 10; Stalpers, 1978). Mycelia originating from germination of single basidiospores are haploid and lack clamp connections.</w:t>
      </w:r>
    </w:p>
    <w:p w14:paraId="09DA9421" w14:textId="46541713">
      <w:pPr>
        <w:pStyle w:val="IPPParagraphnumbering"/>
        <w:numPr>
          <w:ilvl w:val="0"/>
          <w:numId w:val="0"/>
        </w:numPr>
        <w:rPr>
          <w:lang w:val="en-GB"/>
        </w:rPr>
      </w:pPr>
      <w:r>
        <w:rPr>
          <w:rStyle w:val="PleaseReviewParagraphId"/>
          <w:b w:val="off"/>
          <w:i w:val="off"/>
        </w:rPr>
        <w:t>[719]</w:t>
      </w:r>
      <w:bookmarkStart w:name="_Hlk136888667" w:id="50"/>
      <w:r>
        <w:rPr>
          <w:lang w:val="en-GB"/>
        </w:rPr>
        <w:t xml:space="preserve">Macromorphological and micromorphological </w:t>
      </w:r>
      <w:bookmarkEnd w:id="50"/>
      <w:r>
        <w:rPr>
          <w:lang w:val="en-GB"/>
        </w:rPr>
        <w:t xml:space="preserve">characters of colonies of </w:t>
      </w:r>
      <w:r>
        <w:rPr>
          <w:i/>
          <w:iCs/>
          <w:lang w:val="en-GB"/>
        </w:rPr>
        <w:t>H. annosum s.l.</w:t>
      </w:r>
      <w:r>
        <w:rPr>
          <w:lang w:val="en-GB"/>
        </w:rPr>
        <w:t xml:space="preserve"> are not sufficiently divergent to allow a reliable identification of species within the complex (Mitchelson and Korhonen, 1998). Instead, the identification of species within </w:t>
      </w:r>
      <w:r>
        <w:rPr>
          <w:i/>
          <w:iCs/>
          <w:lang w:val="en-GB"/>
        </w:rPr>
        <w:t>H. annosum s.l.</w:t>
      </w:r>
      <w:r>
        <w:rPr>
          <w:lang w:val="en-GB"/>
        </w:rPr>
        <w:t xml:space="preserve"> was traditionally based on the use of mating experiments (i.e. sexual compatibility experiments), through which an unknown isolate is paired on agar medium with confirmed homokaryotic strains of the different species. Details on how to perform mating experiments are provided by Korhonen (1978), Stenlid (1985) and Mitchelson and Korhonen (1998). However, the partial </w:t>
      </w:r>
      <w:r>
        <w:rPr>
          <w:i/>
          <w:iCs/>
          <w:lang w:val="en-GB"/>
        </w:rPr>
        <w:t>in vitro</w:t>
      </w:r>
      <w:r>
        <w:rPr>
          <w:lang w:val="en-GB"/>
        </w:rPr>
        <w:t xml:space="preserve"> interfertility among species may occasionally lead to an ambiguous diagnosis.</w:t>
      </w:r>
    </w:p>
    <w:p w14:paraId="5BF545A7" w14:textId="31038FDE">
      <w:pPr>
        <w:pStyle w:val="IPPParagraphnumbering"/>
        <w:numPr>
          <w:ilvl w:val="0"/>
          <w:numId w:val="0"/>
        </w:numPr>
        <w:rPr>
          <w:lang w:val="en-GB"/>
        </w:rPr>
      </w:pPr>
      <w:r>
        <w:rPr>
          <w:rStyle w:val="PleaseReviewParagraphId"/>
          <w:b w:val="off"/>
          <w:i w:val="off"/>
        </w:rPr>
        <w:t>[720]</w:t>
      </w:r>
      <w:r>
        <w:rPr>
          <w:lang w:val="en-GB"/>
        </w:rPr>
        <w:t xml:space="preserve">Cultures of </w:t>
      </w:r>
      <w:r>
        <w:rPr>
          <w:i/>
          <w:iCs/>
          <w:lang w:val="en-GB"/>
        </w:rPr>
        <w:t xml:space="preserve">H. annosum s.l. </w:t>
      </w:r>
      <w:r>
        <w:rPr>
          <w:lang w:val="en-GB"/>
        </w:rPr>
        <w:t xml:space="preserve">can be stored on malt extract agar or potato dextrose agar slopes at 5 °C. DNA can be stored at −80 °C or −20 °C. </w:t>
      </w:r>
    </w:p>
    <w:p w14:paraId="09F665FD" w14:textId="70B2FE27">
      <w:pPr>
        <w:pStyle w:val="IPPParagraphnumbering"/>
        <w:numPr>
          <w:ilvl w:val="0"/>
          <w:numId w:val="0"/>
        </w:numPr>
        <w:rPr>
          <w:lang w:val="en-GB"/>
        </w:rPr>
      </w:pPr>
      <w:r>
        <w:rPr>
          <w:rStyle w:val="PleaseReviewParagraphId"/>
          <w:b w:val="off"/>
          <w:i w:val="off"/>
        </w:rPr>
        <w:t>[721]</w:t>
      </w:r>
      <w:r>
        <w:rPr>
          <w:lang w:val="en-GB"/>
        </w:rPr>
        <w:t>As previously indicated, molecular methods (including DNA sequencing, see section 4.2) provide the only reliable way to accurately identify the pathogen at species level.</w:t>
      </w:r>
    </w:p>
    <w:p w14:paraId="5CEA9F93" w14:textId="52423095">
      <w:pPr>
        <w:pStyle w:val="IPPHeading2"/>
      </w:pPr>
      <w:r>
        <w:rPr>
          <w:rStyle w:val="PleaseReviewParagraphId"/>
          <w:b w:val="off"/>
          <w:i w:val="off"/>
        </w:rPr>
        <w:t>[722]</w:t>
      </w:r>
      <w:r>
        <w:t>4.2</w:t>
        <w:tab/>
        <w:t>Molecular identification</w:t>
      </w:r>
    </w:p>
    <w:p w14:paraId="504EA263" w14:textId="0F3FA433">
      <w:pPr>
        <w:pStyle w:val="IPPParagraphnumbering"/>
        <w:numPr>
          <w:ilvl w:val="0"/>
          <w:numId w:val="0"/>
        </w:numPr>
        <w:rPr>
          <w:lang w:val="en-GB"/>
        </w:rPr>
      </w:pPr>
      <w:r>
        <w:rPr>
          <w:rStyle w:val="PleaseReviewParagraphId"/>
          <w:b w:val="off"/>
          <w:i w:val="off"/>
        </w:rPr>
        <w:t>[723]</w:t>
      </w:r>
      <w:r>
        <w:rPr>
          <w:lang w:val="en-GB"/>
        </w:rPr>
        <w:t xml:space="preserve">The conventional PCR and real-time PCR methods described in sections 3.4.3 and 3.4.4 are species specific and can be used for identification of the pathogen in infected material, passive spore traps or in pure fungal cultures. For </w:t>
      </w:r>
      <w:r>
        <w:rPr>
          <w:i/>
          <w:iCs/>
          <w:lang w:val="en-GB"/>
        </w:rPr>
        <w:t>Heterobasidion</w:t>
      </w:r>
      <w:r>
        <w:rPr>
          <w:lang w:val="en-GB"/>
        </w:rPr>
        <w:t xml:space="preserve"> isolated in pure culture, sequence analysis of the ITS and EFA regions (see section 4.2.1) is an alternative that can be used for sequence-based, species-level identification.</w:t>
      </w:r>
    </w:p>
    <w:p w14:paraId="1FD94AD0" w14:textId="6240D9AA">
      <w:pPr>
        <w:pStyle w:val="IPPHeading2"/>
      </w:pPr>
      <w:r>
        <w:rPr>
          <w:rStyle w:val="PleaseReviewParagraphId"/>
          <w:b w:val="off"/>
          <w:i w:val="off"/>
        </w:rPr>
        <w:t>[724]</w:t>
      </w:r>
      <w:r>
        <w:t>4.2.1</w:t>
        <w:tab/>
        <w:t xml:space="preserve">ITS and EFA sequencing for </w:t>
      </w:r>
      <w:bookmarkStart w:name="_Hlk118408318" w:id="51"/>
      <w:r>
        <w:t xml:space="preserve">species-level identification </w:t>
      </w:r>
      <w:bookmarkEnd w:id="51"/>
    </w:p>
    <w:p w14:paraId="3A23C0F8" w14:textId="689755CD">
      <w:pPr>
        <w:pStyle w:val="IPPParagraphnumbering"/>
        <w:numPr>
          <w:ilvl w:val="0"/>
          <w:numId w:val="0"/>
        </w:numPr>
        <w:rPr>
          <w:lang w:val="en-GB"/>
        </w:rPr>
      </w:pPr>
      <w:r>
        <w:rPr>
          <w:rStyle w:val="PleaseReviewParagraphId"/>
          <w:b w:val="off"/>
          <w:i w:val="off"/>
        </w:rPr>
        <w:t>[725]</w:t>
      </w:r>
      <w:r>
        <w:rPr>
          <w:i/>
          <w:iCs/>
          <w:lang w:val="en-GB"/>
        </w:rPr>
        <w:t>Heterobasidion</w:t>
      </w:r>
      <w:r>
        <w:rPr>
          <w:lang w:val="en-GB"/>
        </w:rPr>
        <w:t xml:space="preserve"> spp. isolated in pure culture can be identified by the amplification and sequencing of the ITS DNA region (including ITS1, 5.8S and ITS2) with two different primer pairs: ITS1-F and ITS4 or ITS1-F and ITS4-B (White </w:t>
      </w:r>
      <w:r>
        <w:rPr>
          <w:i/>
          <w:iCs/>
          <w:lang w:val="en-GB"/>
        </w:rPr>
        <w:t>et al</w:t>
      </w:r>
      <w:r>
        <w:rPr>
          <w:lang w:val="en-GB"/>
        </w:rPr>
        <w:t xml:space="preserve">., 1990; Gardes and Bruns, 1993). The first primer pair, which includes the fungal-selective primer ITS1-F, efficiently amplifies the DNA of ascomycetes and basidiomycetes; the second one, which also includes the phylum-selective (basidiomycetes) primer ITS4-B, efficiently amplifies the DNA of basidiomycetes but results in either no product or an extremely faint product for the DNA of ascomycetes (Gardes and Bruns, 1993). The EFA region (Johannesson and Stenlid, 2003) can be used to further confirm the identification of close species, such as when </w:t>
        <w:lastRenderedPageBreak/>
        <w:t xml:space="preserve">distinguishing between </w:t>
      </w:r>
      <w:r>
        <w:rPr>
          <w:i/>
          <w:iCs/>
          <w:lang w:val="en-GB"/>
        </w:rPr>
        <w:t>H. abietinum</w:t>
      </w:r>
      <w:r>
        <w:rPr>
          <w:lang w:val="en-GB"/>
        </w:rPr>
        <w:t xml:space="preserve"> and </w:t>
      </w:r>
      <w:r>
        <w:rPr>
          <w:i/>
          <w:iCs/>
          <w:lang w:val="en-GB"/>
        </w:rPr>
        <w:t>H. parviporum</w:t>
      </w:r>
      <w:r>
        <w:rPr>
          <w:lang w:val="en-GB"/>
        </w:rPr>
        <w:t xml:space="preserve">. These primer pairs can be used to generate amplification products for sequencing from all species of </w:t>
      </w:r>
      <w:r>
        <w:rPr>
          <w:i/>
          <w:iCs/>
          <w:lang w:val="en-GB"/>
        </w:rPr>
        <w:t>Heterobasidion</w:t>
      </w:r>
      <w:r>
        <w:rPr>
          <w:lang w:val="en-GB"/>
        </w:rPr>
        <w:t>. The expected amplicon produced using these primers can be generated only from DNA extracted from a pure fungal culture (for the preparation of material and DNA extraction, see sections 3.4.1 and 3.4.2).</w:t>
      </w:r>
    </w:p>
    <w:p w14:paraId="376C3ADD" w14:textId="46639889">
      <w:pPr>
        <w:pStyle w:val="IPPParagraphnumberingclose"/>
        <w:numPr>
          <w:ilvl w:val="0"/>
          <w:numId w:val="0"/>
        </w:numPr>
        <w:rPr>
          <w:lang w:val="en-GB"/>
        </w:rPr>
      </w:pPr>
      <w:r>
        <w:rPr>
          <w:rStyle w:val="PleaseReviewParagraphId"/>
          <w:b w:val="off"/>
          <w:i w:val="off"/>
        </w:rPr>
        <w:t>[726]</w:t>
      </w:r>
      <w:r>
        <w:rPr>
          <w:lang w:val="en-GB"/>
        </w:rPr>
        <w:t>The master mix and cycling parameters for the PCR are described in Table 13 and the primers are as follows:</w:t>
      </w:r>
    </w:p>
    <w:p w14:paraId="4E1AF5AB" w14:textId="16A9265E">
      <w:pPr>
        <w:pStyle w:val="IPPIndentClose"/>
        <w:ind w:left="1134" w:hanging="567"/>
      </w:pPr>
      <w:r>
        <w:rPr>
          <w:rStyle w:val="PleaseReviewParagraphId"/>
          <w:b w:val="off"/>
          <w:i w:val="off"/>
        </w:rPr>
        <w:t>[727]</w:t>
      </w:r>
      <w:r>
        <w:t>ITS1-F (forward primer): 5′-CTT GGT CAT TTA GAG GAA GTA A-3′ (Gardes and Bruns, 1993)</w:t>
      </w:r>
    </w:p>
    <w:p w14:paraId="7B4F8299" w14:textId="74DA580D">
      <w:pPr>
        <w:pStyle w:val="IPPIndentClose"/>
      </w:pPr>
      <w:r>
        <w:rPr>
          <w:rStyle w:val="PleaseReviewParagraphId"/>
          <w:b w:val="off"/>
          <w:i w:val="off"/>
        </w:rPr>
        <w:t>[728]</w:t>
      </w:r>
      <w:r>
        <w:t xml:space="preserve">ITS4 (reverse primer): 5′-TCC TCC GCT TAT TGA TAT GC-3′ (White </w:t>
      </w:r>
      <w:r>
        <w:rPr>
          <w:i/>
        </w:rPr>
        <w:t>et al</w:t>
      </w:r>
      <w:r>
        <w:t>., 1990)</w:t>
      </w:r>
    </w:p>
    <w:p w14:paraId="2F88AC01" w14:textId="3A6159BA">
      <w:pPr>
        <w:pStyle w:val="IPPIndentClose"/>
        <w:ind w:left="1134" w:hanging="567"/>
      </w:pPr>
      <w:r>
        <w:rPr>
          <w:rStyle w:val="PleaseReviewParagraphId"/>
          <w:b w:val="off"/>
          <w:i w:val="off"/>
        </w:rPr>
        <w:t>[729]</w:t>
      </w:r>
      <w:r>
        <w:t>ITS4-B (reverse primer): 5′-CAG GAG ACT TGT ACA CGG TCC AG-3′ (Gardes and Bruns, 1993)</w:t>
      </w:r>
    </w:p>
    <w:p w14:paraId="6785EA54" w14:textId="21565A40">
      <w:pPr>
        <w:pStyle w:val="IPPIndentClose"/>
        <w:ind w:left="1134" w:hanging="567"/>
      </w:pPr>
      <w:r>
        <w:rPr>
          <w:rStyle w:val="PleaseReviewParagraphId"/>
          <w:b w:val="off"/>
          <w:i w:val="off"/>
        </w:rPr>
        <w:t>[730]</w:t>
      </w:r>
      <w:r>
        <w:t>EFA-F (forward primer): 5′-TCA ACG TGG TCG GTG AGC AGG TA-3′ (Johannesson and Stenlid, 2003)</w:t>
      </w:r>
    </w:p>
    <w:p w14:paraId="177B9161" w14:textId="54B5BAA8">
      <w:pPr>
        <w:pStyle w:val="IPPIndent"/>
        <w:ind w:left="1134" w:hanging="567"/>
        <w:jc w:val="left"/>
      </w:pPr>
      <w:r>
        <w:rPr>
          <w:rStyle w:val="PleaseReviewParagraphId"/>
          <w:b w:val="off"/>
          <w:i w:val="off"/>
        </w:rPr>
        <w:t>[731]</w:t>
      </w:r>
      <w:r>
        <w:t>EFA-R (reverse primer): 5′-AAG TCA CGA TGT CCA GGA GCA TC-3′ (Johannesson and Stenlid, 2003)</w:t>
      </w:r>
    </w:p>
    <w:p w14:paraId="322E31F9" w14:textId="1B7D7300">
      <w:pPr>
        <w:pStyle w:val="IPPArial"/>
        <w:keepNext/>
        <w:spacing w:after="120"/>
      </w:pPr>
      <w:r>
        <w:rPr>
          <w:rStyle w:val="PleaseReviewParagraphId"/>
          <w:b w:val="off"/>
          <w:i w:val="off"/>
        </w:rPr>
        <w:t>[732]</w:t>
      </w:r>
      <w:r>
        <w:rPr>
          <w:b/>
          <w:bCs/>
        </w:rPr>
        <w:t>Table 13.</w:t>
      </w:r>
      <w:r>
        <w:t xml:space="preserve"> Master mix composition, cycling parameters and amplicons for ITS and EFA sequencing</w:t>
      </w:r>
    </w:p>
    <w:tbl>
      <w:tblPr>
        <w:tblStyle w:val="TableGrid"/>
        <w:tblW w:w="0" w:type="auto"/>
        <w:tblLook w:val="04A0" w:firstRow="1" w:lastRow="0" w:firstColumn="1" w:lastColumn="0" w:noHBand="0" w:noVBand="1"/>
      </w:tblPr>
      <w:tblGrid>
        <w:gridCol w:w="3823"/>
        <w:gridCol w:w="2268"/>
      </w:tblGrid>
      <w:tr w14:paraId="0826D345" w14:textId="77777777">
        <w:tc>
          <w:tcPr>
            <w:tcW w:w="3823" w:type="dxa"/>
            <w:tcBorders>
              <w:left w:val="nil"/>
              <w:bottom w:val="single" w:color="auto" w:sz="4" w:space="0"/>
              <w:right w:val="nil"/>
            </w:tcBorders>
            <w:shd w:val="clear" w:color="auto" w:fill="BFBFBF" w:themeFill="background1" w:themeFillShade="BF"/>
          </w:tcPr>
          <w:p w14:paraId="490B2159" w14:textId="1482C794">
            <w:pPr>
              <w:pStyle w:val="IPPArialTable"/>
              <w:rPr>
                <w:b/>
                <w:bCs/>
              </w:rPr>
            </w:pPr>
            <w:r>
              <w:rPr>
                <w:rStyle w:val="PleaseReviewParagraphId"/>
                <w:b w:val="off"/>
                <w:i w:val="off"/>
              </w:rPr>
              <w:t>[733]</w:t>
            </w:r>
            <w:bookmarkStart w:name="_Hlk129207080" w:id="52"/>
            <w:r>
              <w:rPr>
                <w:b/>
                <w:bCs/>
              </w:rPr>
              <w:t>Reagents</w:t>
            </w:r>
          </w:p>
        </w:tc>
        <w:tc>
          <w:tcPr>
            <w:tcW w:w="2268" w:type="dxa"/>
            <w:tcBorders>
              <w:left w:val="nil"/>
              <w:bottom w:val="single" w:color="auto" w:sz="4" w:space="0"/>
              <w:right w:val="nil"/>
            </w:tcBorders>
            <w:shd w:val="clear" w:color="auto" w:fill="BFBFBF" w:themeFill="background1" w:themeFillShade="BF"/>
          </w:tcPr>
          <w:p w14:paraId="4B0B3616" w14:textId="77777777">
            <w:pPr>
              <w:pStyle w:val="IPPArialTable"/>
              <w:rPr>
                <w:b/>
                <w:bCs/>
              </w:rPr>
            </w:pPr>
            <w:r>
              <w:rPr>
                <w:rStyle w:val="PleaseReviewParagraphId"/>
                <w:b w:val="off"/>
                <w:i w:val="off"/>
              </w:rPr>
              <w:t>[734]</w:t>
            </w:r>
            <w:r>
              <w:rPr>
                <w:b/>
                <w:bCs/>
              </w:rPr>
              <w:t>Final concentration</w:t>
            </w:r>
          </w:p>
        </w:tc>
      </w:tr>
      <w:bookmarkEnd w:id="52"/>
      <w:tr w14:paraId="53E50087" w14:textId="77777777">
        <w:tc>
          <w:tcPr>
            <w:tcW w:w="3823" w:type="dxa"/>
            <w:tcBorders>
              <w:left w:val="nil"/>
              <w:bottom w:val="nil"/>
              <w:right w:val="nil"/>
            </w:tcBorders>
          </w:tcPr>
          <w:p w14:paraId="5483B969" w14:textId="77777777">
            <w:pPr>
              <w:pStyle w:val="IPPArialTable"/>
            </w:pPr>
            <w:r>
              <w:rPr>
                <w:rStyle w:val="PleaseReviewParagraphId"/>
                <w:b w:val="off"/>
                <w:i w:val="off"/>
              </w:rPr>
              <w:t>[735]</w:t>
            </w:r>
            <w:r>
              <w:t>PCR-grade water</w:t>
            </w:r>
          </w:p>
        </w:tc>
        <w:tc>
          <w:tcPr>
            <w:tcW w:w="2268" w:type="dxa"/>
            <w:tcBorders>
              <w:left w:val="nil"/>
              <w:bottom w:val="nil"/>
              <w:right w:val="nil"/>
            </w:tcBorders>
          </w:tcPr>
          <w:p w14:paraId="5C6CC596" w14:textId="77777777">
            <w:pPr>
              <w:pStyle w:val="IPPArialTable"/>
            </w:pPr>
            <w:r>
              <w:rPr>
                <w:rStyle w:val="PleaseReviewParagraphId"/>
                <w:b w:val="off"/>
                <w:i w:val="off"/>
              </w:rPr>
              <w:t>[736]</w:t>
            </w:r>
            <w:r>
              <w:rPr>
                <w:rFonts w:ascii="ArialMT" w:hAnsi="ArialMT" w:cs="ArialMT" w:eastAsiaTheme="minorHAnsi"/>
                <w:szCs w:val="20"/>
                <w:vertAlign w:val="superscript"/>
              </w:rPr>
              <w:t>†</w:t>
            </w:r>
          </w:p>
        </w:tc>
      </w:tr>
      <w:tr w14:paraId="7B14D7DC" w14:textId="77777777">
        <w:tc>
          <w:tcPr>
            <w:tcW w:w="3823" w:type="dxa"/>
            <w:tcBorders>
              <w:top w:val="nil"/>
              <w:left w:val="nil"/>
              <w:bottom w:val="nil"/>
              <w:right w:val="nil"/>
            </w:tcBorders>
          </w:tcPr>
          <w:p w14:paraId="1352309C" w14:textId="3CE9A53C">
            <w:pPr>
              <w:pStyle w:val="IPPArialTable"/>
            </w:pPr>
            <w:r>
              <w:rPr>
                <w:rStyle w:val="PleaseReviewParagraphId"/>
                <w:b w:val="off"/>
                <w:i w:val="off"/>
              </w:rPr>
              <w:t>[737]</w:t>
            </w:r>
            <w:r>
              <w:t>PCR buffer</w:t>
            </w:r>
          </w:p>
        </w:tc>
        <w:tc>
          <w:tcPr>
            <w:tcW w:w="2268" w:type="dxa"/>
            <w:tcBorders>
              <w:top w:val="nil"/>
              <w:left w:val="nil"/>
              <w:bottom w:val="nil"/>
              <w:right w:val="nil"/>
            </w:tcBorders>
          </w:tcPr>
          <w:p w14:paraId="531F83EC" w14:textId="77777777">
            <w:pPr>
              <w:pStyle w:val="IPPArialTable"/>
            </w:pPr>
            <w:r>
              <w:rPr>
                <w:rStyle w:val="PleaseReviewParagraphId"/>
                <w:b w:val="off"/>
                <w:i w:val="off"/>
              </w:rPr>
              <w:t>[738]</w:t>
            </w:r>
            <w:r>
              <w:t>1×</w:t>
            </w:r>
          </w:p>
        </w:tc>
      </w:tr>
      <w:tr w14:paraId="3F1DB55B" w14:textId="77777777">
        <w:tc>
          <w:tcPr>
            <w:tcW w:w="3823" w:type="dxa"/>
            <w:tcBorders>
              <w:top w:val="nil"/>
              <w:left w:val="nil"/>
              <w:bottom w:val="nil"/>
              <w:right w:val="nil"/>
            </w:tcBorders>
          </w:tcPr>
          <w:p w14:paraId="69AA1F09" w14:textId="77777777">
            <w:pPr>
              <w:pStyle w:val="IPPArialTable"/>
            </w:pPr>
            <w:r>
              <w:rPr>
                <w:rStyle w:val="PleaseReviewParagraphId"/>
                <w:b w:val="off"/>
                <w:i w:val="off"/>
              </w:rPr>
              <w:t>[739]</w:t>
            </w:r>
            <w:r>
              <w:t>MgCl</w:t>
            </w:r>
            <w:r>
              <w:rPr>
                <w:vertAlign w:val="subscript"/>
              </w:rPr>
              <w:t>2</w:t>
            </w:r>
          </w:p>
        </w:tc>
        <w:tc>
          <w:tcPr>
            <w:tcW w:w="2268" w:type="dxa"/>
            <w:tcBorders>
              <w:top w:val="nil"/>
              <w:left w:val="nil"/>
              <w:bottom w:val="nil"/>
              <w:right w:val="nil"/>
            </w:tcBorders>
          </w:tcPr>
          <w:p w14:paraId="3E758FE2" w14:textId="24CD2293">
            <w:pPr>
              <w:pStyle w:val="IPPArialTable"/>
            </w:pPr>
            <w:r>
              <w:rPr>
                <w:rStyle w:val="PleaseReviewParagraphId"/>
                <w:b w:val="off"/>
                <w:i w:val="off"/>
              </w:rPr>
              <w:t>[740]</w:t>
            </w:r>
            <w:r>
              <w:t>1.5 mM</w:t>
            </w:r>
          </w:p>
        </w:tc>
      </w:tr>
      <w:tr w14:paraId="3A60667E" w14:textId="77777777">
        <w:tc>
          <w:tcPr>
            <w:tcW w:w="3823" w:type="dxa"/>
            <w:tcBorders>
              <w:top w:val="nil"/>
              <w:left w:val="nil"/>
              <w:bottom w:val="nil"/>
              <w:right w:val="nil"/>
            </w:tcBorders>
          </w:tcPr>
          <w:p w14:paraId="71C33F3E" w14:textId="77777777">
            <w:pPr>
              <w:pStyle w:val="IPPArialTable"/>
            </w:pPr>
            <w:r>
              <w:rPr>
                <w:rStyle w:val="PleaseReviewParagraphId"/>
                <w:b w:val="off"/>
                <w:i w:val="off"/>
              </w:rPr>
              <w:t>[741]</w:t>
            </w:r>
            <w:r>
              <w:t>dNTPs</w:t>
            </w:r>
          </w:p>
        </w:tc>
        <w:tc>
          <w:tcPr>
            <w:tcW w:w="2268" w:type="dxa"/>
            <w:tcBorders>
              <w:top w:val="nil"/>
              <w:left w:val="nil"/>
              <w:bottom w:val="nil"/>
              <w:right w:val="nil"/>
            </w:tcBorders>
          </w:tcPr>
          <w:p w14:paraId="6A5E2FE5" w14:textId="6CB42655">
            <w:pPr>
              <w:pStyle w:val="IPPArialTable"/>
            </w:pPr>
            <w:r>
              <w:rPr>
                <w:rStyle w:val="PleaseReviewParagraphId"/>
                <w:b w:val="off"/>
                <w:i w:val="off"/>
              </w:rPr>
              <w:t>[742]</w:t>
            </w:r>
            <w:r>
              <w:t>0.2 mM</w:t>
            </w:r>
          </w:p>
        </w:tc>
      </w:tr>
      <w:tr w14:paraId="35B4C77E" w14:textId="77777777">
        <w:tc>
          <w:tcPr>
            <w:tcW w:w="3823" w:type="dxa"/>
            <w:tcBorders>
              <w:top w:val="nil"/>
              <w:left w:val="nil"/>
              <w:bottom w:val="nil"/>
              <w:right w:val="nil"/>
            </w:tcBorders>
          </w:tcPr>
          <w:p w14:paraId="2203490D" w14:textId="4C5D07FA">
            <w:pPr>
              <w:pStyle w:val="IPPArialTable"/>
            </w:pPr>
            <w:r>
              <w:rPr>
                <w:rStyle w:val="PleaseReviewParagraphId"/>
                <w:b w:val="off"/>
                <w:i w:val="off"/>
              </w:rPr>
              <w:t>[743]</w:t>
            </w:r>
            <w:r>
              <w:t>Primers:</w:t>
            </w:r>
          </w:p>
        </w:tc>
        <w:tc>
          <w:tcPr>
            <w:tcW w:w="2268" w:type="dxa"/>
            <w:tcBorders>
              <w:top w:val="nil"/>
              <w:left w:val="nil"/>
              <w:bottom w:val="nil"/>
              <w:right w:val="nil"/>
            </w:tcBorders>
          </w:tcPr>
          <w:p w14:paraId="73163323" w14:textId="77777777">
            <w:pPr>
              <w:pStyle w:val="IPPArialTable"/>
            </w:pPr>
            <w:r>
              <w:rPr>
                <w:rStyle w:val="PleaseReviewParagraphId"/>
                <w:b w:val="off"/>
                <w:i w:val="off"/>
              </w:rPr>
              <w:t>[744]</w:t>
            </w:r>
          </w:p>
        </w:tc>
      </w:tr>
      <w:tr w14:paraId="2015DF41" w14:textId="77777777">
        <w:tc>
          <w:tcPr>
            <w:tcW w:w="3823" w:type="dxa"/>
            <w:tcBorders>
              <w:top w:val="nil"/>
              <w:left w:val="nil"/>
              <w:bottom w:val="nil"/>
              <w:right w:val="nil"/>
            </w:tcBorders>
          </w:tcPr>
          <w:p w14:paraId="1F48C4BF" w14:textId="55ADFE36">
            <w:pPr>
              <w:pStyle w:val="IPPArialTable"/>
              <w:numPr>
                <w:ilvl w:val="0"/>
                <w:numId w:val="57"/>
              </w:numPr>
              <w:ind w:left="284" w:hanging="142"/>
            </w:pPr>
            <w:r>
              <w:rPr>
                <w:rStyle w:val="PleaseReviewParagraphId"/>
                <w:b w:val="off"/>
                <w:i w:val="off"/>
              </w:rPr>
              <w:t>[745]</w:t>
            </w:r>
            <w:r>
              <w:t>ITS1-F (forward)</w:t>
            </w:r>
          </w:p>
        </w:tc>
        <w:tc>
          <w:tcPr>
            <w:tcW w:w="2268" w:type="dxa"/>
            <w:tcBorders>
              <w:top w:val="nil"/>
              <w:left w:val="nil"/>
              <w:bottom w:val="nil"/>
              <w:right w:val="nil"/>
            </w:tcBorders>
          </w:tcPr>
          <w:p w14:paraId="45B0861D" w14:textId="79986F21">
            <w:pPr>
              <w:pStyle w:val="IPPArialTable"/>
            </w:pPr>
            <w:r>
              <w:rPr>
                <w:rStyle w:val="PleaseReviewParagraphId"/>
                <w:b w:val="off"/>
                <w:i w:val="off"/>
              </w:rPr>
              <w:t>[746]</w:t>
            </w:r>
            <w:r>
              <w:t>0.5 µM</w:t>
            </w:r>
          </w:p>
        </w:tc>
      </w:tr>
      <w:tr w14:paraId="4B8CEA70" w14:textId="77777777">
        <w:tc>
          <w:tcPr>
            <w:tcW w:w="3823" w:type="dxa"/>
            <w:tcBorders>
              <w:top w:val="nil"/>
              <w:left w:val="nil"/>
              <w:bottom w:val="nil"/>
              <w:right w:val="nil"/>
            </w:tcBorders>
          </w:tcPr>
          <w:p w14:paraId="0222767E" w14:textId="2F5989F7">
            <w:pPr>
              <w:pStyle w:val="IPPArialTable"/>
              <w:numPr>
                <w:ilvl w:val="0"/>
                <w:numId w:val="57"/>
              </w:numPr>
              <w:ind w:left="284" w:hanging="142"/>
            </w:pPr>
            <w:r>
              <w:rPr>
                <w:rStyle w:val="PleaseReviewParagraphId"/>
                <w:b w:val="off"/>
                <w:i w:val="off"/>
              </w:rPr>
              <w:t>[747]</w:t>
            </w:r>
            <w:r>
              <w:t>ITS4 or ITS4-B (reverse)</w:t>
            </w:r>
          </w:p>
        </w:tc>
        <w:tc>
          <w:tcPr>
            <w:tcW w:w="2268" w:type="dxa"/>
            <w:tcBorders>
              <w:top w:val="nil"/>
              <w:left w:val="nil"/>
              <w:bottom w:val="nil"/>
              <w:right w:val="nil"/>
            </w:tcBorders>
          </w:tcPr>
          <w:p w14:paraId="7F2863E3" w14:textId="1BC1C0CF">
            <w:pPr>
              <w:pStyle w:val="IPPArialTable"/>
              <w:spacing w:after="144" w:afterLines="60"/>
            </w:pPr>
            <w:r>
              <w:rPr>
                <w:rStyle w:val="PleaseReviewParagraphId"/>
                <w:b w:val="off"/>
                <w:i w:val="off"/>
              </w:rPr>
              <w:t>[748]</w:t>
            </w:r>
            <w:r>
              <w:t>0.5 µM</w:t>
            </w:r>
          </w:p>
        </w:tc>
      </w:tr>
      <w:tr w14:paraId="42B841EC" w14:textId="77777777">
        <w:tc>
          <w:tcPr>
            <w:tcW w:w="3823" w:type="dxa"/>
            <w:tcBorders>
              <w:top w:val="nil"/>
              <w:left w:val="nil"/>
              <w:bottom w:val="nil"/>
              <w:right w:val="nil"/>
            </w:tcBorders>
          </w:tcPr>
          <w:p w14:paraId="09145CE5" w14:textId="3CA682DC">
            <w:pPr>
              <w:pStyle w:val="IPPArialTable"/>
              <w:spacing w:after="144" w:afterLines="60"/>
              <w:ind w:left="142"/>
            </w:pPr>
            <w:r>
              <w:rPr>
                <w:rStyle w:val="PleaseReviewParagraphId"/>
                <w:b w:val="off"/>
                <w:i w:val="off"/>
              </w:rPr>
              <w:t>[749]</w:t>
            </w:r>
            <w:r>
              <w:t>or</w:t>
            </w:r>
          </w:p>
        </w:tc>
        <w:tc>
          <w:tcPr>
            <w:tcW w:w="2268" w:type="dxa"/>
            <w:tcBorders>
              <w:top w:val="nil"/>
              <w:left w:val="nil"/>
              <w:bottom w:val="nil"/>
              <w:right w:val="nil"/>
            </w:tcBorders>
          </w:tcPr>
          <w:p w14:paraId="6D3C7097" w14:textId="77777777">
            <w:pPr>
              <w:pStyle w:val="IPPArialTable"/>
              <w:spacing w:after="144" w:afterLines="60"/>
            </w:pPr>
            <w:r>
              <w:rPr>
                <w:rStyle w:val="PleaseReviewParagraphId"/>
                <w:b w:val="off"/>
                <w:i w:val="off"/>
              </w:rPr>
              <w:t>[750]</w:t>
            </w:r>
          </w:p>
        </w:tc>
      </w:tr>
      <w:tr w14:paraId="645A2609" w14:textId="77777777">
        <w:tc>
          <w:tcPr>
            <w:tcW w:w="3823" w:type="dxa"/>
            <w:tcBorders>
              <w:top w:val="nil"/>
              <w:left w:val="nil"/>
              <w:bottom w:val="nil"/>
              <w:right w:val="nil"/>
            </w:tcBorders>
          </w:tcPr>
          <w:p w14:paraId="350DB042" w14:textId="7C5F851A">
            <w:pPr>
              <w:pStyle w:val="IPPArialTable"/>
              <w:numPr>
                <w:ilvl w:val="0"/>
                <w:numId w:val="57"/>
              </w:numPr>
              <w:spacing w:after="144" w:afterLines="60"/>
              <w:ind w:left="284" w:hanging="142"/>
            </w:pPr>
            <w:r>
              <w:rPr>
                <w:rStyle w:val="PleaseReviewParagraphId"/>
                <w:b w:val="off"/>
                <w:i w:val="off"/>
              </w:rPr>
              <w:t>[751]</w:t>
            </w:r>
            <w:r>
              <w:rPr>
                <w:rFonts w:cs="Arial"/>
              </w:rPr>
              <w:t>EFA-F (forward)</w:t>
            </w:r>
          </w:p>
        </w:tc>
        <w:tc>
          <w:tcPr>
            <w:tcW w:w="2268" w:type="dxa"/>
            <w:tcBorders>
              <w:top w:val="nil"/>
              <w:left w:val="nil"/>
              <w:bottom w:val="nil"/>
              <w:right w:val="nil"/>
            </w:tcBorders>
          </w:tcPr>
          <w:p w14:paraId="692FA858" w14:textId="49D4193A">
            <w:pPr>
              <w:pStyle w:val="IPPArialTable"/>
              <w:spacing w:after="144" w:afterLines="60"/>
            </w:pPr>
            <w:r>
              <w:rPr>
                <w:rStyle w:val="PleaseReviewParagraphId"/>
                <w:b w:val="off"/>
                <w:i w:val="off"/>
              </w:rPr>
              <w:t>[752]</w:t>
            </w:r>
            <w:r>
              <w:t>0.5 µM</w:t>
            </w:r>
          </w:p>
        </w:tc>
      </w:tr>
      <w:tr w14:paraId="21FFF96D" w14:textId="77777777">
        <w:tc>
          <w:tcPr>
            <w:tcW w:w="3823" w:type="dxa"/>
            <w:tcBorders>
              <w:top w:val="nil"/>
              <w:left w:val="nil"/>
              <w:bottom w:val="nil"/>
              <w:right w:val="nil"/>
            </w:tcBorders>
          </w:tcPr>
          <w:p w14:paraId="60153776" w14:textId="7847B20C">
            <w:pPr>
              <w:pStyle w:val="IPPArialTable"/>
              <w:numPr>
                <w:ilvl w:val="0"/>
                <w:numId w:val="57"/>
              </w:numPr>
              <w:spacing w:after="144" w:afterLines="60"/>
              <w:ind w:left="284" w:hanging="142"/>
            </w:pPr>
            <w:r>
              <w:rPr>
                <w:rStyle w:val="PleaseReviewParagraphId"/>
                <w:b w:val="off"/>
                <w:i w:val="off"/>
              </w:rPr>
              <w:t>[753]</w:t>
            </w:r>
            <w:r>
              <w:rPr>
                <w:rFonts w:cs="Arial"/>
              </w:rPr>
              <w:t>EFA-R (reverse)</w:t>
            </w:r>
          </w:p>
        </w:tc>
        <w:tc>
          <w:tcPr>
            <w:tcW w:w="2268" w:type="dxa"/>
            <w:tcBorders>
              <w:top w:val="nil"/>
              <w:left w:val="nil"/>
              <w:bottom w:val="nil"/>
              <w:right w:val="nil"/>
            </w:tcBorders>
          </w:tcPr>
          <w:p w14:paraId="28FD8C66" w14:textId="6B027703">
            <w:pPr>
              <w:pStyle w:val="IPPArialTable"/>
              <w:spacing w:after="144" w:afterLines="60"/>
            </w:pPr>
            <w:r>
              <w:rPr>
                <w:rStyle w:val="PleaseReviewParagraphId"/>
                <w:b w:val="off"/>
                <w:i w:val="off"/>
              </w:rPr>
              <w:t>[754]</w:t>
            </w:r>
            <w:r>
              <w:t>0.5 µM</w:t>
            </w:r>
          </w:p>
        </w:tc>
      </w:tr>
      <w:tr w14:paraId="61131E38" w14:textId="77777777">
        <w:tc>
          <w:tcPr>
            <w:tcW w:w="3823" w:type="dxa"/>
            <w:tcBorders>
              <w:top w:val="nil"/>
              <w:left w:val="nil"/>
              <w:bottom w:val="single" w:color="auto" w:sz="4" w:space="0"/>
              <w:right w:val="nil"/>
            </w:tcBorders>
          </w:tcPr>
          <w:p w14:paraId="7DB95946" w14:textId="77777777">
            <w:pPr>
              <w:pStyle w:val="IPPArialTable"/>
              <w:spacing w:after="144" w:afterLines="60"/>
            </w:pPr>
            <w:r>
              <w:rPr>
                <w:rStyle w:val="PleaseReviewParagraphId"/>
                <w:b w:val="off"/>
                <w:i w:val="off"/>
              </w:rPr>
              <w:t>[755]</w:t>
            </w:r>
            <w:r>
              <w:t>DNA polymerase</w:t>
            </w:r>
          </w:p>
        </w:tc>
        <w:tc>
          <w:tcPr>
            <w:tcW w:w="2268" w:type="dxa"/>
            <w:tcBorders>
              <w:top w:val="nil"/>
              <w:left w:val="nil"/>
              <w:bottom w:val="single" w:color="auto" w:sz="4" w:space="0"/>
              <w:right w:val="nil"/>
            </w:tcBorders>
          </w:tcPr>
          <w:p w14:paraId="4AA2C2AC" w14:textId="79BB7A72">
            <w:pPr>
              <w:pStyle w:val="IPPArialTable"/>
              <w:spacing w:after="144" w:afterLines="60"/>
            </w:pPr>
            <w:r>
              <w:rPr>
                <w:rStyle w:val="PleaseReviewParagraphId"/>
                <w:b w:val="off"/>
                <w:i w:val="off"/>
              </w:rPr>
              <w:t>[756]</w:t>
            </w:r>
            <w:r>
              <w:t>0.025 U</w:t>
            </w:r>
          </w:p>
        </w:tc>
      </w:tr>
      <w:tr w14:paraId="6A06E1C3" w14:textId="77777777">
        <w:tc>
          <w:tcPr>
            <w:tcW w:w="3823" w:type="dxa"/>
            <w:tcBorders>
              <w:top w:val="single" w:color="auto" w:sz="4" w:space="0"/>
              <w:left w:val="nil"/>
              <w:bottom w:val="single" w:color="auto" w:sz="4" w:space="0"/>
              <w:right w:val="nil"/>
            </w:tcBorders>
          </w:tcPr>
          <w:p w14:paraId="357B2D1A" w14:textId="77777777">
            <w:pPr>
              <w:pStyle w:val="IPPArialTable"/>
            </w:pPr>
            <w:r>
              <w:rPr>
                <w:rStyle w:val="PleaseReviewParagraphId"/>
                <w:b w:val="off"/>
                <w:i w:val="off"/>
              </w:rPr>
              <w:t>[757]</w:t>
            </w:r>
            <w:r>
              <w:t>DNA (volume)</w:t>
            </w:r>
          </w:p>
        </w:tc>
        <w:tc>
          <w:tcPr>
            <w:tcW w:w="2268" w:type="dxa"/>
            <w:tcBorders>
              <w:top w:val="single" w:color="auto" w:sz="4" w:space="0"/>
              <w:left w:val="nil"/>
              <w:bottom w:val="single" w:color="auto" w:sz="4" w:space="0"/>
              <w:right w:val="nil"/>
            </w:tcBorders>
          </w:tcPr>
          <w:p w14:paraId="517E015B" w14:textId="70F05912">
            <w:pPr>
              <w:pStyle w:val="IPPArialTable"/>
            </w:pPr>
            <w:r>
              <w:rPr>
                <w:rStyle w:val="PleaseReviewParagraphId"/>
                <w:b w:val="off"/>
                <w:i w:val="off"/>
              </w:rPr>
              <w:t>[758]</w:t>
            </w:r>
            <w:r>
              <w:t>6.25 µL</w:t>
            </w:r>
          </w:p>
        </w:tc>
      </w:tr>
      <w:tr w14:paraId="6F8FDEFA" w14:textId="77777777">
        <w:tc>
          <w:tcPr>
            <w:tcW w:w="6091" w:type="dxa"/>
            <w:gridSpan w:val="2"/>
            <w:tcBorders>
              <w:left w:val="nil"/>
              <w:bottom w:val="single" w:color="auto" w:sz="4" w:space="0"/>
              <w:right w:val="nil"/>
            </w:tcBorders>
            <w:shd w:val="clear" w:color="auto" w:fill="BFBFBF" w:themeFill="background1" w:themeFillShade="BF"/>
          </w:tcPr>
          <w:p w14:paraId="250FF0A6" w14:textId="77777777">
            <w:pPr>
              <w:pStyle w:val="IPPArialTable"/>
              <w:rPr>
                <w:b/>
                <w:bCs/>
              </w:rPr>
            </w:pPr>
            <w:r>
              <w:rPr>
                <w:rStyle w:val="PleaseReviewParagraphId"/>
                <w:b w:val="off"/>
                <w:i w:val="off"/>
              </w:rPr>
              <w:t>[759]</w:t>
            </w:r>
            <w:r>
              <w:rPr>
                <w:b/>
                <w:bCs/>
              </w:rPr>
              <w:t>Cycling parameters</w:t>
            </w:r>
          </w:p>
        </w:tc>
      </w:tr>
      <w:tr w14:paraId="4000E80E" w14:textId="77777777">
        <w:tc>
          <w:tcPr>
            <w:tcW w:w="3823" w:type="dxa"/>
            <w:tcBorders>
              <w:top w:val="single" w:color="auto" w:sz="4" w:space="0"/>
              <w:left w:val="nil"/>
              <w:bottom w:val="nil"/>
              <w:right w:val="nil"/>
            </w:tcBorders>
          </w:tcPr>
          <w:p w14:paraId="7D6A1261" w14:textId="77777777">
            <w:pPr>
              <w:pStyle w:val="IPPArialTable"/>
            </w:pPr>
            <w:r>
              <w:rPr>
                <w:rStyle w:val="PleaseReviewParagraphId"/>
                <w:b w:val="off"/>
                <w:i w:val="off"/>
              </w:rPr>
              <w:t>[760]</w:t>
            </w:r>
            <w:r>
              <w:t>Initial denaturation</w:t>
            </w:r>
          </w:p>
        </w:tc>
        <w:tc>
          <w:tcPr>
            <w:tcW w:w="2268" w:type="dxa"/>
            <w:tcBorders>
              <w:top w:val="single" w:color="auto" w:sz="4" w:space="0"/>
              <w:left w:val="nil"/>
              <w:bottom w:val="nil"/>
              <w:right w:val="nil"/>
            </w:tcBorders>
          </w:tcPr>
          <w:p w14:paraId="6950134A" w14:textId="7DC8C81C">
            <w:pPr>
              <w:pStyle w:val="IPPArialTable"/>
            </w:pPr>
            <w:r>
              <w:rPr>
                <w:rStyle w:val="PleaseReviewParagraphId"/>
                <w:b w:val="off"/>
                <w:i w:val="off"/>
              </w:rPr>
              <w:t>[761]</w:t>
            </w:r>
            <w:r>
              <w:t>95 °C for 5 min</w:t>
            </w:r>
          </w:p>
        </w:tc>
      </w:tr>
      <w:tr w14:paraId="0731467F" w14:textId="77777777">
        <w:tc>
          <w:tcPr>
            <w:tcW w:w="3823" w:type="dxa"/>
            <w:tcBorders>
              <w:top w:val="nil"/>
              <w:left w:val="nil"/>
              <w:bottom w:val="nil"/>
              <w:right w:val="nil"/>
            </w:tcBorders>
          </w:tcPr>
          <w:p w14:paraId="7DD349AF" w14:textId="77777777">
            <w:pPr>
              <w:pStyle w:val="IPPArialTable"/>
            </w:pPr>
            <w:r>
              <w:rPr>
                <w:rStyle w:val="PleaseReviewParagraphId"/>
                <w:b w:val="off"/>
                <w:i w:val="off"/>
              </w:rPr>
              <w:t>[762]</w:t>
            </w:r>
            <w:r>
              <w:t>Numbers of cycles</w:t>
            </w:r>
          </w:p>
        </w:tc>
        <w:tc>
          <w:tcPr>
            <w:tcW w:w="2268" w:type="dxa"/>
            <w:tcBorders>
              <w:top w:val="nil"/>
              <w:left w:val="nil"/>
              <w:bottom w:val="nil"/>
              <w:right w:val="nil"/>
            </w:tcBorders>
          </w:tcPr>
          <w:p w14:paraId="2DBEAE4B" w14:textId="77777777">
            <w:pPr>
              <w:pStyle w:val="IPPArialTable"/>
            </w:pPr>
            <w:r>
              <w:rPr>
                <w:rStyle w:val="PleaseReviewParagraphId"/>
                <w:b w:val="off"/>
                <w:i w:val="off"/>
              </w:rPr>
              <w:t>[763]</w:t>
            </w:r>
            <w:r>
              <w:t>35</w:t>
            </w:r>
          </w:p>
        </w:tc>
      </w:tr>
      <w:tr w14:paraId="6D435B2F" w14:textId="77777777">
        <w:tc>
          <w:tcPr>
            <w:tcW w:w="3823" w:type="dxa"/>
            <w:tcBorders>
              <w:top w:val="nil"/>
              <w:left w:val="nil"/>
              <w:bottom w:val="nil"/>
              <w:right w:val="nil"/>
            </w:tcBorders>
          </w:tcPr>
          <w:p w14:paraId="086A220C" w14:textId="77777777">
            <w:pPr>
              <w:pStyle w:val="IPPArialTable"/>
              <w:numPr>
                <w:ilvl w:val="0"/>
                <w:numId w:val="58"/>
              </w:numPr>
              <w:ind w:left="284" w:hanging="142"/>
            </w:pPr>
            <w:r>
              <w:rPr>
                <w:rStyle w:val="PleaseReviewParagraphId"/>
                <w:b w:val="off"/>
                <w:i w:val="off"/>
              </w:rPr>
              <w:t>[764]</w:t>
            </w:r>
            <w:r>
              <w:t>Denaturation</w:t>
            </w:r>
          </w:p>
        </w:tc>
        <w:tc>
          <w:tcPr>
            <w:tcW w:w="2268" w:type="dxa"/>
            <w:tcBorders>
              <w:top w:val="nil"/>
              <w:left w:val="nil"/>
              <w:bottom w:val="nil"/>
              <w:right w:val="nil"/>
            </w:tcBorders>
          </w:tcPr>
          <w:p w14:paraId="6AA8EAC4" w14:textId="5273447A">
            <w:pPr>
              <w:pStyle w:val="IPPArialTable"/>
            </w:pPr>
            <w:r>
              <w:rPr>
                <w:rStyle w:val="PleaseReviewParagraphId"/>
                <w:b w:val="off"/>
                <w:i w:val="off"/>
              </w:rPr>
              <w:t>[765]</w:t>
            </w:r>
            <w:r>
              <w:t>95 °C for 30 s</w:t>
            </w:r>
          </w:p>
        </w:tc>
      </w:tr>
      <w:tr w14:paraId="339441AC" w14:textId="77777777">
        <w:tc>
          <w:tcPr>
            <w:tcW w:w="3823" w:type="dxa"/>
            <w:tcBorders>
              <w:top w:val="nil"/>
              <w:left w:val="nil"/>
              <w:bottom w:val="nil"/>
              <w:right w:val="nil"/>
            </w:tcBorders>
          </w:tcPr>
          <w:p w14:paraId="4C0E0F30" w14:textId="77777777">
            <w:pPr>
              <w:pStyle w:val="IPPArialTable"/>
              <w:numPr>
                <w:ilvl w:val="0"/>
                <w:numId w:val="58"/>
              </w:numPr>
              <w:ind w:left="284" w:hanging="142"/>
            </w:pPr>
            <w:r>
              <w:rPr>
                <w:rStyle w:val="PleaseReviewParagraphId"/>
                <w:b w:val="off"/>
                <w:i w:val="off"/>
              </w:rPr>
              <w:t>[766]</w:t>
            </w:r>
            <w:r>
              <w:t>Annealing</w:t>
            </w:r>
          </w:p>
        </w:tc>
        <w:tc>
          <w:tcPr>
            <w:tcW w:w="2268" w:type="dxa"/>
            <w:tcBorders>
              <w:top w:val="nil"/>
              <w:left w:val="nil"/>
              <w:bottom w:val="nil"/>
              <w:right w:val="nil"/>
            </w:tcBorders>
          </w:tcPr>
          <w:p w14:paraId="52697AAE" w14:textId="2B8B5609">
            <w:pPr>
              <w:pStyle w:val="IPPArialTable"/>
            </w:pPr>
            <w:r>
              <w:rPr>
                <w:rStyle w:val="PleaseReviewParagraphId"/>
                <w:b w:val="off"/>
                <w:i w:val="off"/>
              </w:rPr>
              <w:t>[767]</w:t>
            </w:r>
            <w:r>
              <w:t>55 °C for 30 s</w:t>
            </w:r>
          </w:p>
        </w:tc>
      </w:tr>
      <w:tr w14:paraId="307A95F4" w14:textId="77777777">
        <w:tc>
          <w:tcPr>
            <w:tcW w:w="3823" w:type="dxa"/>
            <w:tcBorders>
              <w:top w:val="nil"/>
              <w:left w:val="nil"/>
              <w:bottom w:val="nil"/>
              <w:right w:val="nil"/>
            </w:tcBorders>
          </w:tcPr>
          <w:p w14:paraId="59A842DE" w14:textId="77777777">
            <w:pPr>
              <w:pStyle w:val="IPPArialTable"/>
              <w:numPr>
                <w:ilvl w:val="0"/>
                <w:numId w:val="58"/>
              </w:numPr>
              <w:ind w:left="284" w:hanging="142"/>
            </w:pPr>
            <w:r>
              <w:rPr>
                <w:rStyle w:val="PleaseReviewParagraphId"/>
                <w:b w:val="off"/>
                <w:i w:val="off"/>
              </w:rPr>
              <w:t>[768]</w:t>
            </w:r>
            <w:r>
              <w:t>Elongation</w:t>
            </w:r>
          </w:p>
        </w:tc>
        <w:tc>
          <w:tcPr>
            <w:tcW w:w="2268" w:type="dxa"/>
            <w:tcBorders>
              <w:top w:val="nil"/>
              <w:left w:val="nil"/>
              <w:bottom w:val="nil"/>
              <w:right w:val="nil"/>
            </w:tcBorders>
          </w:tcPr>
          <w:p w14:paraId="271A2142" w14:textId="2FD11514">
            <w:pPr>
              <w:pStyle w:val="IPPArialTable"/>
            </w:pPr>
            <w:r>
              <w:rPr>
                <w:rStyle w:val="PleaseReviewParagraphId"/>
                <w:b w:val="off"/>
                <w:i w:val="off"/>
              </w:rPr>
              <w:t>[769]</w:t>
            </w:r>
            <w:r>
              <w:t>72 °C for 1 min</w:t>
            </w:r>
          </w:p>
        </w:tc>
      </w:tr>
      <w:tr w14:paraId="1A1F05EC" w14:textId="77777777">
        <w:tc>
          <w:tcPr>
            <w:tcW w:w="3823" w:type="dxa"/>
            <w:tcBorders>
              <w:top w:val="nil"/>
              <w:left w:val="nil"/>
              <w:bottom w:val="single" w:color="auto" w:sz="4" w:space="0"/>
              <w:right w:val="nil"/>
            </w:tcBorders>
          </w:tcPr>
          <w:p w14:paraId="69D77539" w14:textId="77777777">
            <w:pPr>
              <w:pStyle w:val="IPPArialTable"/>
            </w:pPr>
            <w:r>
              <w:rPr>
                <w:rStyle w:val="PleaseReviewParagraphId"/>
                <w:b w:val="off"/>
                <w:i w:val="off"/>
              </w:rPr>
              <w:t>[770]</w:t>
            </w:r>
            <w:r>
              <w:t>Final elongation</w:t>
            </w:r>
          </w:p>
        </w:tc>
        <w:tc>
          <w:tcPr>
            <w:tcW w:w="2268" w:type="dxa"/>
            <w:tcBorders>
              <w:top w:val="nil"/>
              <w:left w:val="nil"/>
              <w:bottom w:val="single" w:color="auto" w:sz="4" w:space="0"/>
              <w:right w:val="nil"/>
            </w:tcBorders>
          </w:tcPr>
          <w:p w14:paraId="09B905C5" w14:textId="03227E74">
            <w:pPr>
              <w:pStyle w:val="IPPArialTable"/>
            </w:pPr>
            <w:r>
              <w:rPr>
                <w:rStyle w:val="PleaseReviewParagraphId"/>
                <w:b w:val="off"/>
                <w:i w:val="off"/>
              </w:rPr>
              <w:t>[771]</w:t>
            </w:r>
            <w:r>
              <w:t>72 °C for 10 min</w:t>
            </w:r>
          </w:p>
        </w:tc>
      </w:tr>
      <w:tr w14:paraId="46B1CE86" w14:textId="77777777">
        <w:tc>
          <w:tcPr>
            <w:tcW w:w="6091" w:type="dxa"/>
            <w:gridSpan w:val="2"/>
            <w:tcBorders>
              <w:left w:val="nil"/>
              <w:bottom w:val="single" w:color="auto" w:sz="4" w:space="0"/>
              <w:right w:val="nil"/>
            </w:tcBorders>
            <w:shd w:val="clear" w:color="auto" w:fill="BFBFBF" w:themeFill="background1" w:themeFillShade="BF"/>
          </w:tcPr>
          <w:p w14:paraId="333300C8" w14:textId="77777777">
            <w:pPr>
              <w:pStyle w:val="IPPArialTable"/>
              <w:rPr>
                <w:b/>
                <w:bCs/>
              </w:rPr>
            </w:pPr>
            <w:r>
              <w:rPr>
                <w:rStyle w:val="PleaseReviewParagraphId"/>
                <w:b w:val="off"/>
                <w:i w:val="off"/>
              </w:rPr>
              <w:t>[772]</w:t>
            </w:r>
            <w:r>
              <w:rPr>
                <w:b/>
                <w:bCs/>
              </w:rPr>
              <w:t>Expected amplicons</w:t>
            </w:r>
          </w:p>
        </w:tc>
      </w:tr>
      <w:tr w14:paraId="67F9F555" w14:textId="77777777">
        <w:tc>
          <w:tcPr>
            <w:tcW w:w="3823" w:type="dxa"/>
            <w:tcBorders>
              <w:top w:val="single" w:color="auto" w:sz="4" w:space="0"/>
              <w:left w:val="nil"/>
              <w:bottom w:val="single" w:color="auto" w:sz="4" w:space="0"/>
              <w:right w:val="nil"/>
            </w:tcBorders>
          </w:tcPr>
          <w:p w14:paraId="50E7DB19" w14:textId="730E742D">
            <w:pPr>
              <w:pStyle w:val="IPPArialTable"/>
              <w:rPr>
                <w:rFonts w:cs="Arial"/>
                <w:iCs/>
                <w:szCs w:val="18"/>
              </w:rPr>
            </w:pPr>
            <w:r>
              <w:rPr>
                <w:rStyle w:val="PleaseReviewParagraphId"/>
                <w:b w:val="off"/>
                <w:i w:val="off"/>
              </w:rPr>
              <w:t>[773]</w:t>
            </w:r>
            <w:r>
              <w:rPr>
                <w:rFonts w:cs="Arial"/>
                <w:iCs/>
                <w:szCs w:val="18"/>
              </w:rPr>
              <w:t>ITS</w:t>
            </w:r>
          </w:p>
          <w:p w14:paraId="2E4CCAAA" w14:textId="0C8BDE48">
            <w:pPr>
              <w:pStyle w:val="IPPArialTable"/>
              <w:rPr>
                <w:rFonts w:cs="Arial"/>
                <w:iCs/>
                <w:szCs w:val="18"/>
              </w:rPr>
            </w:pPr>
            <w:r>
              <w:rPr>
                <w:rStyle w:val="PleaseReviewParagraphId"/>
                <w:b w:val="off"/>
                <w:i w:val="off"/>
              </w:rPr>
              <w:t>[774]</w:t>
            </w:r>
            <w:r>
              <w:rPr>
                <w:rFonts w:cs="Arial"/>
                <w:iCs/>
                <w:szCs w:val="18"/>
              </w:rPr>
              <w:t>EFA</w:t>
            </w:r>
          </w:p>
        </w:tc>
        <w:tc>
          <w:tcPr>
            <w:tcW w:w="2268" w:type="dxa"/>
            <w:tcBorders>
              <w:top w:val="single" w:color="auto" w:sz="4" w:space="0"/>
              <w:left w:val="nil"/>
              <w:bottom w:val="single" w:color="auto" w:sz="4" w:space="0"/>
              <w:right w:val="nil"/>
            </w:tcBorders>
          </w:tcPr>
          <w:p w14:paraId="0CE8A070" w14:textId="77777777">
            <w:pPr>
              <w:pStyle w:val="IPPArialTable"/>
              <w:rPr>
                <w:rFonts w:cs="Arial"/>
                <w:szCs w:val="18"/>
              </w:rPr>
            </w:pPr>
            <w:r>
              <w:rPr>
                <w:rStyle w:val="PleaseReviewParagraphId"/>
                <w:b w:val="off"/>
                <w:i w:val="off"/>
              </w:rPr>
              <w:t>[775]</w:t>
            </w:r>
            <w:r>
              <w:rPr>
                <w:rFonts w:cs="Arial"/>
                <w:szCs w:val="18"/>
              </w:rPr>
              <w:t>600 bp</w:t>
            </w:r>
          </w:p>
          <w:p w14:paraId="5307A962" w14:textId="6CDB346A">
            <w:pPr>
              <w:rPr>
                <w:rFonts w:ascii="Arial" w:hAnsi="Arial" w:cs="Arial"/>
                <w:sz w:val="18"/>
                <w:szCs w:val="18"/>
              </w:rPr>
            </w:pPr>
            <w:r>
              <w:rPr>
                <w:rStyle w:val="PleaseReviewParagraphId"/>
                <w:b w:val="off"/>
                <w:i w:val="off"/>
              </w:rPr>
              <w:t>[776]</w:t>
            </w:r>
            <w:r>
              <w:rPr>
                <w:rFonts w:ascii="Arial" w:hAnsi="Arial" w:cs="Arial"/>
                <w:sz w:val="18"/>
                <w:szCs w:val="18"/>
              </w:rPr>
              <w:t>400 bp</w:t>
            </w:r>
          </w:p>
        </w:tc>
      </w:tr>
    </w:tbl>
    <w:p w14:paraId="1779579E" w14:textId="48A59C2A">
      <w:pPr>
        <w:pStyle w:val="IPPArialFootnote"/>
      </w:pPr>
      <w:r>
        <w:rPr>
          <w:rStyle w:val="PleaseReviewParagraphId"/>
          <w:b w:val="off"/>
          <w:i w:val="off"/>
        </w:rPr>
        <w:t>[777]</w:t>
      </w:r>
      <w:r>
        <w:rPr>
          <w:rFonts w:ascii="ArialMT" w:hAnsi="ArialMT" w:cs="ArialMT" w:eastAsiaTheme="minorHAnsi"/>
          <w:i/>
          <w:iCs/>
        </w:rPr>
        <w:t xml:space="preserve">Notes: </w:t>
      </w:r>
      <w:r>
        <w:rPr>
          <w:rFonts w:ascii="ArialMT" w:hAnsi="ArialMT" w:cs="ArialMT" w:eastAsiaTheme="minorHAnsi"/>
          <w:vertAlign w:val="superscript"/>
        </w:rPr>
        <w:t xml:space="preserve">† </w:t>
      </w:r>
      <w:r>
        <w:t>For a final reaction volume of 25 µL.</w:t>
      </w:r>
    </w:p>
    <w:p w14:paraId="25230398" w14:textId="1E858AE8">
      <w:pPr>
        <w:pStyle w:val="IPPArialFootnote"/>
      </w:pPr>
      <w:r>
        <w:rPr>
          <w:rStyle w:val="PleaseReviewParagraphId"/>
          <w:b w:val="off"/>
          <w:i w:val="off"/>
        </w:rPr>
        <w:t>[778]</w:t>
      </w:r>
      <w:r>
        <w:t>bp, base pairs; EFA, elongation factor 1-</w:t>
      </w:r>
      <w:r>
        <w:rPr>
          <w:rFonts w:cs="Arial"/>
        </w:rPr>
        <w:t>α</w:t>
      </w:r>
      <w:r>
        <w:t>; ITS, internal transcribed spacer; PCR, polymerase chain reaction.</w:t>
      </w:r>
    </w:p>
    <w:p w14:paraId="49769810" w14:textId="3076B28E">
      <w:pPr>
        <w:pStyle w:val="IPPArialFootnote"/>
      </w:pPr>
      <w:r>
        <w:rPr>
          <w:rStyle w:val="PleaseReviewParagraphId"/>
          <w:b w:val="off"/>
          <w:i w:val="off"/>
        </w:rPr>
        <w:t>[779]</w:t>
      </w:r>
      <w:r>
        <w:rPr>
          <w:i/>
          <w:iCs/>
        </w:rPr>
        <w:t xml:space="preserve">Sources: </w:t>
      </w:r>
      <w:r>
        <w:t xml:space="preserve">Gardes, M. &amp; Bruns, T.D. 1993. ITS primers with enhanced specificity for basidiomycetes: application to the identification of mycorrhizae and rusts. </w:t>
      </w:r>
      <w:r>
        <w:rPr>
          <w:i/>
        </w:rPr>
        <w:t>Molecular Ecology</w:t>
      </w:r>
      <w:r>
        <w:t xml:space="preserve">, 2: 113–118. </w:t>
      </w:r>
      <w:hyperlink w:history="1" r:id="rId33">
        <w:r>
          <w:rPr>
            <w:rStyle w:val="Hyperlink"/>
          </w:rPr>
          <w:t>https://doi.org/10.1111/j.1365-294X.1993.tb00005.x</w:t>
        </w:r>
      </w:hyperlink>
    </w:p>
    <w:p w14:paraId="16E8BA87" w14:textId="039D6AEE">
      <w:pPr>
        <w:pStyle w:val="IPPArialFootnote"/>
      </w:pPr>
      <w:r>
        <w:rPr>
          <w:rStyle w:val="PleaseReviewParagraphId"/>
          <w:b w:val="off"/>
          <w:i w:val="off"/>
        </w:rPr>
        <w:t>[780]</w:t>
      </w:r>
      <w:r>
        <w:lastRenderedPageBreak/>
        <w:t xml:space="preserve">Johannesson, H. &amp; Stenlid, J. 2003. Molecular markers reveal genetic isolation and phylogeography of the S and F intersterility groups of the wood-decay fungus </w:t>
      </w:r>
      <w:r>
        <w:rPr>
          <w:i/>
          <w:iCs/>
        </w:rPr>
        <w:t>Heterobasidion annosum</w:t>
      </w:r>
      <w:r>
        <w:t xml:space="preserve">. </w:t>
      </w:r>
      <w:r>
        <w:rPr>
          <w:i/>
          <w:iCs/>
        </w:rPr>
        <w:t>Molecular Phylogenetics and Evolution</w:t>
      </w:r>
      <w:r>
        <w:t xml:space="preserve">, 29: 94–101. </w:t>
      </w:r>
      <w:hyperlink w:tgtFrame="_blank" w:tooltip="Persistent link using digital object identifier" w:history="1" r:id="rId34">
        <w:r>
          <w:rPr>
            <w:rStyle w:val="Hyperlink"/>
          </w:rPr>
          <w:t>https://doi.org/10.1016/S1055-7903(03)00087-3</w:t>
        </w:r>
      </w:hyperlink>
    </w:p>
    <w:p w14:paraId="18F26CFD" w14:textId="000690AC">
      <w:pPr>
        <w:pStyle w:val="IPPArialFootnote"/>
        <w:spacing w:after="180"/>
        <w:rPr>
          <w:i/>
          <w:iCs/>
        </w:rPr>
      </w:pPr>
      <w:r>
        <w:rPr>
          <w:rStyle w:val="PleaseReviewParagraphId"/>
          <w:b w:val="off"/>
          <w:i w:val="off"/>
        </w:rPr>
        <w:t>[781]</w:t>
      </w:r>
      <w:r>
        <w:t xml:space="preserve">White, T.J., Bruns, T.D., Lee, S.B. &amp; Taylor, J.W. 1990. Amplification and direct sequencing of fungal ribosomal RNA genes for phylogenetics. In: N. Innis, D.H. Gelfand, J.J. Sninsky &amp; T.J. White, eds. </w:t>
      </w:r>
      <w:r>
        <w:rPr>
          <w:i/>
        </w:rPr>
        <w:t>PCR protocols – A guide to methods and applications</w:t>
      </w:r>
      <w:r>
        <w:t>, pp. 315–322. Academic Press, San Diego, USA. 482 pp.</w:t>
      </w:r>
    </w:p>
    <w:p w14:paraId="7F35F228" w14:textId="7BB18EC7">
      <w:pPr>
        <w:pStyle w:val="IPPParagraphnumbering"/>
        <w:numPr>
          <w:ilvl w:val="0"/>
          <w:numId w:val="0"/>
        </w:numPr>
        <w:rPr>
          <w:lang w:val="en-GB"/>
        </w:rPr>
      </w:pPr>
      <w:r>
        <w:rPr>
          <w:rStyle w:val="PleaseReviewParagraphId"/>
          <w:b w:val="off"/>
          <w:i w:val="off"/>
        </w:rPr>
        <w:t>[782]</w:t>
      </w:r>
      <w:r>
        <w:rPr>
          <w:lang w:val="en-GB"/>
        </w:rPr>
        <w:t xml:space="preserve">The PCR products can be visualized by standard agarose gel electrophoresis. The remaining amplification product can be purified using a suitable PCR purification kit following the manufacturer’s instructions and the purified amplicon can be bidirectionally sequenced with ITS1-F and ITS4, ITS1-F and ITS4-B, or EFA-F and EFA-R primer pairs. </w:t>
      </w:r>
    </w:p>
    <w:p w14:paraId="1BB4BB18" w14:textId="30098CE0">
      <w:pPr>
        <w:pStyle w:val="IPPHeading2"/>
      </w:pPr>
      <w:r>
        <w:rPr>
          <w:rStyle w:val="PleaseReviewParagraphId"/>
          <w:b w:val="off"/>
          <w:i w:val="off"/>
        </w:rPr>
        <w:t>[783]</w:t>
      </w:r>
      <w:r>
        <w:t>4.2.2</w:t>
        <w:tab/>
        <w:t>Controls for molecular tests</w:t>
      </w:r>
    </w:p>
    <w:p w14:paraId="5ED9192F" w14:textId="1DDCAA7F">
      <w:pPr>
        <w:pStyle w:val="IPPParagraphnumbering"/>
        <w:numPr>
          <w:ilvl w:val="0"/>
          <w:numId w:val="0"/>
        </w:numPr>
        <w:rPr>
          <w:lang w:val="en-GB"/>
        </w:rPr>
      </w:pPr>
      <w:r>
        <w:rPr>
          <w:rStyle w:val="PleaseReviewParagraphId"/>
          <w:b w:val="off"/>
          <w:i w:val="off"/>
        </w:rPr>
        <w:t>[784]</w:t>
      </w:r>
      <w:r>
        <w:rPr>
          <w:lang w:val="en-GB"/>
        </w:rPr>
        <w:t>The minimum controls for a sequence-based identification are a negative amplification control and a positive nucleic acid control for the PCR. See section 3.4.5 for more details on controls for molecular tests.</w:t>
      </w:r>
    </w:p>
    <w:p w14:paraId="7B151C24" w14:textId="1F17530C">
      <w:pPr>
        <w:pStyle w:val="IPPHeading2"/>
      </w:pPr>
      <w:r>
        <w:rPr>
          <w:rStyle w:val="PleaseReviewParagraphId"/>
          <w:b w:val="off"/>
          <w:i w:val="off"/>
        </w:rPr>
        <w:t>[785]</w:t>
      </w:r>
      <w:r>
        <w:t>4.2.3</w:t>
        <w:tab/>
        <w:t>Interpretation of results</w:t>
      </w:r>
    </w:p>
    <w:p w14:paraId="42015B0F" w14:textId="4D1AAD79">
      <w:pPr>
        <w:pStyle w:val="IPPParagraphnumbering"/>
        <w:numPr>
          <w:ilvl w:val="0"/>
          <w:numId w:val="0"/>
        </w:numPr>
        <w:rPr>
          <w:lang w:val="en-GB"/>
        </w:rPr>
      </w:pPr>
      <w:r>
        <w:rPr>
          <w:rStyle w:val="PleaseReviewParagraphId"/>
          <w:b w:val="off"/>
          <w:i w:val="off"/>
        </w:rPr>
        <w:t>[786]</w:t>
      </w:r>
      <w:r>
        <w:rPr>
          <w:lang w:val="en-GB"/>
        </w:rPr>
        <w:t>A test is considered valid if the negative amplification control does not produce a band corresponding to the expected amplicon size (see 3.4.6.1) and the positive nucleic acid control does produce a band that corresponds to the expected amplicon size.</w:t>
      </w:r>
    </w:p>
    <w:p w14:paraId="38544419" w14:textId="137DD16D">
      <w:pPr>
        <w:pStyle w:val="IPPParagraphnumbering"/>
        <w:numPr>
          <w:ilvl w:val="0"/>
          <w:numId w:val="0"/>
        </w:numPr>
        <w:rPr>
          <w:lang w:val="en-GB"/>
        </w:rPr>
      </w:pPr>
      <w:r>
        <w:rPr>
          <w:rStyle w:val="PleaseReviewParagraphId"/>
          <w:b w:val="off"/>
          <w:i w:val="off"/>
        </w:rPr>
        <w:t>[787]</w:t>
      </w:r>
      <w:r>
        <w:rPr>
          <w:lang w:val="en-GB"/>
        </w:rPr>
        <w:t>After sequencing, the quality of the resulting sequence should be checked by visual assessment of the electropherograms. Consensus sequences may be built from the forward and reverse reads. The final edited sequence should cover at least 99% of the expected length for data interpretation and should be compared with published sequences using the Basic Local Alignment Search Tool (BLAST), available at the National Center for Biotechnology Information, United States of America (</w:t>
      </w:r>
      <w:hyperlink w:history="1" r:id="rId35">
        <w:r>
          <w:rPr>
            <w:rStyle w:val="Hyperlink"/>
            <w:rFonts w:eastAsiaTheme="minorHAnsi"/>
            <w:lang w:val="en-GB"/>
          </w:rPr>
          <w:t>https://blast.ncbi.nlm.nih.gov/Blast.cgi</w:t>
        </w:r>
      </w:hyperlink>
      <w:r>
        <w:rPr>
          <w:lang w:val="en-GB"/>
        </w:rPr>
        <w:t xml:space="preserve">). </w:t>
      </w:r>
    </w:p>
    <w:p w14:paraId="7CCF4EE4" w14:textId="6648711F">
      <w:pPr>
        <w:pStyle w:val="IPPParagraphnumberingclose"/>
        <w:numPr>
          <w:ilvl w:val="0"/>
          <w:numId w:val="0"/>
        </w:numPr>
        <w:rPr>
          <w:lang w:val="en-GB"/>
        </w:rPr>
      </w:pPr>
      <w:r>
        <w:rPr>
          <w:rStyle w:val="PleaseReviewParagraphId"/>
          <w:b w:val="off"/>
          <w:i w:val="off"/>
        </w:rPr>
        <w:t>[788]</w:t>
      </w:r>
      <w:r>
        <w:rPr>
          <w:lang w:val="en-GB"/>
        </w:rPr>
        <w:t>There are three additional, useful databases for sequence comparison:</w:t>
      </w:r>
    </w:p>
    <w:p w14:paraId="592BD016" w14:textId="0428B145">
      <w:pPr>
        <w:pStyle w:val="IPPBullet1"/>
        <w:rPr>
          <w:lang w:val="en-GB"/>
        </w:rPr>
      </w:pPr>
      <w:r>
        <w:rPr>
          <w:rStyle w:val="PleaseReviewParagraphId"/>
          <w:b w:val="off"/>
          <w:i w:val="off"/>
        </w:rPr>
        <w:t>[789]</w:t>
      </w:r>
      <w:r>
        <w:rPr>
          <w:lang w:val="en-GB"/>
        </w:rPr>
        <w:t>Barcode of Life Data System (BOLD): the BOLD Identification System for ITS is a default identification tool for fungal barcodes (</w:t>
      </w:r>
      <w:hyperlink w:history="1" r:id="rId36">
        <w:r>
          <w:rPr>
            <w:rStyle w:val="Hyperlink"/>
            <w:rFonts w:eastAsiaTheme="minorHAnsi"/>
            <w:lang w:val="en-GB"/>
          </w:rPr>
          <w:t>www.boldsystems.org</w:t>
        </w:r>
      </w:hyperlink>
      <w:r>
        <w:rPr>
          <w:lang w:val="en-GB"/>
        </w:rPr>
        <w:t xml:space="preserve">). </w:t>
      </w:r>
    </w:p>
    <w:p w14:paraId="2D8BF7E4" w14:textId="5CD80D99">
      <w:pPr>
        <w:pStyle w:val="IPPBullet1"/>
        <w:rPr>
          <w:lang w:val="en-GB"/>
        </w:rPr>
      </w:pPr>
      <w:r>
        <w:rPr>
          <w:rStyle w:val="PleaseReviewParagraphId"/>
          <w:b w:val="off"/>
          <w:i w:val="off"/>
        </w:rPr>
        <w:t>[790]</w:t>
      </w:r>
      <w:r>
        <w:rPr>
          <w:lang w:val="en-GB"/>
        </w:rPr>
        <w:t>UNITE: this is a database and sequence management environment centred on the eukaryotic nuclear ribosomal ITS region (</w:t>
      </w:r>
      <w:hyperlink w:history="1" r:id="rId37">
        <w:r>
          <w:rPr>
            <w:rStyle w:val="Hyperlink"/>
            <w:rFonts w:eastAsiaTheme="minorHAnsi"/>
            <w:lang w:val="en-GB"/>
          </w:rPr>
          <w:t>https://unite.ut.ee</w:t>
        </w:r>
      </w:hyperlink>
      <w:r>
        <w:rPr>
          <w:lang w:val="en-GB"/>
        </w:rPr>
        <w:t xml:space="preserve">). </w:t>
      </w:r>
    </w:p>
    <w:p w14:paraId="13C5492D" w14:textId="1FE741A4">
      <w:pPr>
        <w:pStyle w:val="IPPBullet1Last"/>
      </w:pPr>
      <w:r>
        <w:rPr>
          <w:rStyle w:val="PleaseReviewParagraphId"/>
          <w:b w:val="off"/>
          <w:i w:val="off"/>
        </w:rPr>
        <w:t>[791]</w:t>
      </w:r>
      <w:r>
        <w:t>MycoBank: this is an online database documenting mycological nomenclatural novelties and providing pairwise sequence alignments and polyphasic identifications of fungi and yeasts against curated reference databases (</w:t>
      </w:r>
      <w:hyperlink w:history="1" r:id="rId38">
        <w:r>
          <w:rPr>
            <w:rStyle w:val="Hyperlink"/>
          </w:rPr>
          <w:t>https://www.mycobank.org/</w:t>
        </w:r>
      </w:hyperlink>
      <w:r>
        <w:t>).</w:t>
      </w:r>
    </w:p>
    <w:p w14:paraId="3157E182" w14:textId="7DFDBB33">
      <w:pPr>
        <w:pStyle w:val="IPPParagraphnumbering"/>
        <w:numPr>
          <w:ilvl w:val="0"/>
          <w:numId w:val="0"/>
        </w:numPr>
        <w:rPr>
          <w:b/>
          <w:lang w:val="en-GB"/>
        </w:rPr>
      </w:pPr>
      <w:r>
        <w:rPr>
          <w:rStyle w:val="PleaseReviewParagraphId"/>
          <w:b w:val="off"/>
          <w:i w:val="off"/>
        </w:rPr>
        <w:t>[792]</w:t>
      </w:r>
      <w:bookmarkStart w:name="_Hlk152343329" w:id="53"/>
      <w:r>
        <w:rPr>
          <w:lang w:val="en-GB"/>
        </w:rPr>
        <w:t xml:space="preserve">For species identification, the sequence should be at least a 99% match to published reference sequences (preferably from type specimens, if available). </w:t>
      </w:r>
      <w:bookmarkEnd w:id="53"/>
      <w:r>
        <w:rPr>
          <w:lang w:val="en-GB"/>
        </w:rPr>
        <w:t xml:space="preserve">Dalman </w:t>
      </w:r>
      <w:r>
        <w:rPr>
          <w:i/>
          <w:iCs/>
          <w:lang w:val="en-GB"/>
        </w:rPr>
        <w:t>et al.</w:t>
      </w:r>
      <w:r>
        <w:rPr>
          <w:lang w:val="en-GB"/>
        </w:rPr>
        <w:t xml:space="preserve"> (2010) provide GenBank accession numbers for reliable specimens of all </w:t>
      </w:r>
      <w:r>
        <w:rPr>
          <w:i/>
          <w:iCs/>
          <w:lang w:val="en-GB"/>
        </w:rPr>
        <w:t>Heterobasidion</w:t>
      </w:r>
      <w:r>
        <w:rPr>
          <w:lang w:val="en-GB"/>
        </w:rPr>
        <w:t xml:space="preserve"> species: GenBank accession numbers from FJ627520 to FJ627596 for ITS and FJ627434 to FJ627364 for EFA. Examples are: </w:t>
      </w:r>
      <w:r>
        <w:rPr>
          <w:i/>
          <w:iCs/>
          <w:lang w:val="en-GB"/>
        </w:rPr>
        <w:t xml:space="preserve">H. abietinum </w:t>
      </w:r>
      <w:r>
        <w:rPr>
          <w:lang w:val="en-GB"/>
        </w:rPr>
        <w:t>isolate Faf4-2, GenBank accession number FJ627561.1 for ITS and FJ627400.1 for EFA;</w:t>
      </w:r>
      <w:r>
        <w:rPr>
          <w:i/>
          <w:iCs/>
          <w:lang w:val="en-GB"/>
        </w:rPr>
        <w:t xml:space="preserve"> H. annosum s.s.</w:t>
      </w:r>
      <w:r>
        <w:rPr>
          <w:lang w:val="en-GB"/>
        </w:rPr>
        <w:t xml:space="preserve"> isolate W15, GenBank accession number FJ627596.1 for ITS and FJ627434.1 for EFA; </w:t>
      </w:r>
      <w:r>
        <w:rPr>
          <w:i/>
          <w:iCs/>
          <w:lang w:val="en-GB"/>
        </w:rPr>
        <w:t>H. irregulare</w:t>
      </w:r>
      <w:r>
        <w:rPr>
          <w:lang w:val="en-GB"/>
        </w:rPr>
        <w:t xml:space="preserve"> isolate MON 111, GenBank accession number FJ627580.1 for ITS and FJ627418.1 for EFA; </w:t>
      </w:r>
      <w:r>
        <w:rPr>
          <w:i/>
          <w:iCs/>
          <w:lang w:val="en-GB"/>
        </w:rPr>
        <w:t>H. occidentale</w:t>
      </w:r>
      <w:r>
        <w:rPr>
          <w:lang w:val="en-GB"/>
        </w:rPr>
        <w:t xml:space="preserve"> isolate MON 108, GenBank accession number FJ627578.1 for ITS and FJ627416.1 for EFA; and </w:t>
      </w:r>
      <w:r>
        <w:rPr>
          <w:i/>
          <w:iCs/>
          <w:lang w:val="en-GB"/>
        </w:rPr>
        <w:t>H. parviporum</w:t>
      </w:r>
      <w:r>
        <w:rPr>
          <w:lang w:val="en-GB"/>
        </w:rPr>
        <w:t xml:space="preserve"> isolate Fas1, GenBank accession number FJ627567.1 for ITS and FJ627406.1 for EFA.</w:t>
      </w:r>
    </w:p>
    <w:p w14:paraId="2BA4F82E" w14:textId="38B921F1">
      <w:pPr>
        <w:pStyle w:val="IPPHeading1"/>
      </w:pPr>
      <w:r>
        <w:rPr>
          <w:rStyle w:val="PleaseReviewParagraphId"/>
          <w:b w:val="off"/>
          <w:i w:val="off"/>
        </w:rPr>
        <w:t>[793]</w:t>
      </w:r>
      <w:r>
        <w:t>5.</w:t>
        <w:tab/>
        <w:t>Records</w:t>
      </w:r>
    </w:p>
    <w:p w14:paraId="3C18AFFB" w14:textId="491A196B">
      <w:pPr>
        <w:pStyle w:val="IPPParagraphnumbering"/>
        <w:numPr>
          <w:ilvl w:val="0"/>
          <w:numId w:val="0"/>
        </w:numPr>
        <w:rPr>
          <w:lang w:val="en-GB"/>
        </w:rPr>
      </w:pPr>
      <w:r>
        <w:rPr>
          <w:rStyle w:val="PleaseReviewParagraphId"/>
          <w:b w:val="off"/>
          <w:i w:val="off"/>
        </w:rPr>
        <w:t>[794]</w:t>
      </w:r>
      <w:r>
        <w:rPr>
          <w:lang w:val="en-GB"/>
        </w:rPr>
        <w:t>Records and evidence should be retained as described in section 2.5 of ISPM 27 (</w:t>
      </w:r>
      <w:r>
        <w:rPr>
          <w:i/>
          <w:lang w:val="en-GB"/>
        </w:rPr>
        <w:t>Diagnostic protocols for regulated pests</w:t>
      </w:r>
      <w:r>
        <w:rPr>
          <w:lang w:val="en-GB"/>
        </w:rPr>
        <w:t>).</w:t>
      </w:r>
    </w:p>
    <w:p w14:paraId="220E9571" w14:textId="0A037D41">
      <w:pPr>
        <w:pStyle w:val="IPPParagraphnumbering"/>
        <w:numPr>
          <w:ilvl w:val="0"/>
          <w:numId w:val="0"/>
        </w:numPr>
        <w:rPr>
          <w:lang w:val="en-GB"/>
        </w:rPr>
      </w:pPr>
      <w:r>
        <w:rPr>
          <w:rStyle w:val="PleaseReviewParagraphId"/>
          <w:b w:val="off"/>
          <w:i w:val="off"/>
        </w:rPr>
        <w:t>[795]</w:t>
      </w:r>
      <w:r>
        <w:rPr>
          <w:lang w:val="en-GB"/>
        </w:rPr>
        <w:t xml:space="preserve">In cases where other contracting parties may be adversely affected by the results of the diagnosis, records and evidence of the results (e.g. cultures, slides, photos of fungal structures, photos of symptoms and </w:t>
        <w:lastRenderedPageBreak/>
        <w:t xml:space="preserve">signs, photos of separation gels) should be retained for at least one year </w:t>
      </w:r>
      <w:r>
        <w:rPr>
          <w:rFonts w:eastAsia="Times New Roman"/>
          <w:color w:val="000000"/>
          <w:szCs w:val="22"/>
          <w:lang w:val="en-GB"/>
        </w:rPr>
        <w:t>in a manner that ensures traceability</w:t>
      </w:r>
      <w:r>
        <w:rPr>
          <w:lang w:val="en-GB"/>
        </w:rPr>
        <w:t>.</w:t>
      </w:r>
    </w:p>
    <w:p w14:paraId="3CAF4EA9" w14:textId="7F7199A6">
      <w:pPr>
        <w:pStyle w:val="IPPHeading1"/>
      </w:pPr>
      <w:r>
        <w:rPr>
          <w:rStyle w:val="PleaseReviewParagraphId"/>
          <w:b w:val="off"/>
          <w:i w:val="off"/>
        </w:rPr>
        <w:t>[796]</w:t>
      </w:r>
      <w:r>
        <w:t>6.</w:t>
        <w:tab/>
      </w:r>
      <w:bookmarkStart w:name="_TOC_250009" w:id="54"/>
      <w:r>
        <w:t>Contact points for further information</w:t>
      </w:r>
      <w:bookmarkEnd w:id="54"/>
    </w:p>
    <w:p w14:paraId="0EBA7FAB" w14:textId="05040BB8">
      <w:pPr>
        <w:pStyle w:val="IPPParagraphnumbering"/>
        <w:numPr>
          <w:ilvl w:val="0"/>
          <w:numId w:val="0"/>
        </w:numPr>
        <w:rPr>
          <w:lang w:val="en-GB"/>
        </w:rPr>
      </w:pPr>
      <w:r>
        <w:rPr>
          <w:rStyle w:val="PleaseReviewParagraphId"/>
          <w:b w:val="off"/>
          <w:i w:val="off"/>
        </w:rPr>
        <w:t>[797]</w:t>
      </w:r>
      <w:r>
        <w:rPr>
          <w:lang w:val="en-GB"/>
        </w:rPr>
        <w:t>Further information on this protocol can be obtained from:</w:t>
      </w:r>
    </w:p>
    <w:p w14:paraId="62B8689C" w14:textId="2DDB3BDF">
      <w:pPr>
        <w:pStyle w:val="IPPParagraphnumbering"/>
        <w:numPr>
          <w:ilvl w:val="0"/>
          <w:numId w:val="0"/>
        </w:numPr>
        <w:rPr>
          <w:lang w:val="en-GB"/>
        </w:rPr>
      </w:pPr>
      <w:r>
        <w:rPr>
          <w:rStyle w:val="PleaseReviewParagraphId"/>
          <w:b w:val="off"/>
          <w:i w:val="off"/>
        </w:rPr>
        <w:t>[798]</w:t>
      </w:r>
      <w:r>
        <w:rPr>
          <w:lang w:val="en-GB"/>
        </w:rPr>
        <w:t xml:space="preserve">Plant Protection Service Lombardy Region, Viale Raimondi 54, 22070 Vertemate con Minoprio, Como, Italy (Luana Giordano; email: </w:t>
      </w:r>
      <w:hyperlink w:history="1" r:id="rId39">
        <w:r>
          <w:rPr>
            <w:rStyle w:val="Hyperlink"/>
            <w:rFonts w:eastAsiaTheme="minorHAnsi"/>
            <w:lang w:val="en-GB"/>
          </w:rPr>
          <w:t>luana_giordano_cnt@regione.lombardia.it</w:t>
        </w:r>
      </w:hyperlink>
      <w:r>
        <w:rPr>
          <w:lang w:val="en-GB"/>
        </w:rPr>
        <w:t xml:space="preserve">; tel.: (+39) </w:t>
      </w:r>
      <w:r>
        <w:rPr>
          <w:rFonts w:cstheme="minorHAnsi"/>
          <w:color w:val="000000"/>
          <w:lang w:val="en-GB" w:eastAsia="it-IT"/>
        </w:rPr>
        <w:t>031 320583).</w:t>
      </w:r>
    </w:p>
    <w:p w14:paraId="6C4C9C3B" w14:textId="129DA3B2">
      <w:pPr>
        <w:pStyle w:val="IPPParagraphnumbering"/>
        <w:numPr>
          <w:ilvl w:val="0"/>
          <w:numId w:val="0"/>
        </w:numPr>
        <w:rPr>
          <w:lang w:val="en-GB"/>
        </w:rPr>
      </w:pPr>
      <w:r>
        <w:rPr>
          <w:rStyle w:val="PleaseReviewParagraphId"/>
          <w:b w:val="off"/>
          <w:i w:val="off"/>
        </w:rPr>
        <w:t>[799]</w:t>
      </w:r>
      <w:r>
        <w:rPr>
          <w:lang w:val="en-GB"/>
        </w:rPr>
        <w:t xml:space="preserve">Natural Resources Institute Finland, Latokartanonkaari 9, FI-00790 Helsinki, Finland (Eeva J. Vainio; email: </w:t>
      </w:r>
      <w:hyperlink w:history="1" r:id="rId40">
        <w:r>
          <w:rPr>
            <w:rStyle w:val="Hyperlink"/>
            <w:lang w:val="en-GB"/>
          </w:rPr>
          <w:t>eeva.vainio@luke.fi</w:t>
        </w:r>
      </w:hyperlink>
      <w:r>
        <w:rPr>
          <w:lang w:val="en-GB"/>
        </w:rPr>
        <w:t>; tel.: (+358) 29 5325410</w:t>
      </w:r>
      <w:r>
        <w:rPr>
          <w:rFonts w:cstheme="minorHAnsi"/>
          <w:color w:val="000000"/>
          <w:lang w:val="en-GB" w:eastAsia="it-IT"/>
        </w:rPr>
        <w:t>).</w:t>
      </w:r>
    </w:p>
    <w:p w14:paraId="5C8FABB1" w14:textId="6EC17A78">
      <w:pPr>
        <w:pStyle w:val="IPPParagraphnumbering"/>
        <w:numPr>
          <w:ilvl w:val="0"/>
          <w:numId w:val="0"/>
        </w:numPr>
        <w:rPr>
          <w:lang w:val="en-GB"/>
        </w:rPr>
      </w:pPr>
      <w:r>
        <w:rPr>
          <w:rStyle w:val="PleaseReviewParagraphId"/>
          <w:b w:val="off"/>
          <w:i w:val="off"/>
        </w:rPr>
        <w:t>[800]</w:t>
      </w:r>
      <w:r>
        <w:rPr>
          <w:lang w:val="en-GB"/>
        </w:rPr>
        <w:t>A request for a revision to a diagnostic protocol may be submitted by national plant protection organizations (NPPOs), regional plant protection organizations (RPPOs) or Commission on Phytosanitary Measures (CPM) subsidiary bodies through the IPPC Secretariat (</w:t>
      </w:r>
      <w:hyperlink w:history="1" r:id="rId41">
        <w:r>
          <w:rPr>
            <w:rStyle w:val="Hyperlink"/>
            <w:rFonts w:eastAsiaTheme="minorHAnsi"/>
            <w:lang w:val="en-GB"/>
          </w:rPr>
          <w:t>ippc@fao.org</w:t>
        </w:r>
      </w:hyperlink>
      <w:r>
        <w:rPr>
          <w:lang w:val="en-GB"/>
        </w:rPr>
        <w:t>), who will forward it to the Technical Panel on Diagnostic Protocols (TPDP).</w:t>
      </w:r>
    </w:p>
    <w:p w14:paraId="01F299D1" w14:textId="0F844076">
      <w:pPr>
        <w:pStyle w:val="IPPHeading1"/>
      </w:pPr>
      <w:r>
        <w:rPr>
          <w:rStyle w:val="PleaseReviewParagraphId"/>
          <w:b w:val="off"/>
          <w:i w:val="off"/>
        </w:rPr>
        <w:t>[801]</w:t>
      </w:r>
      <w:r>
        <w:t>7.</w:t>
        <w:tab/>
        <w:t>Acknowledgements</w:t>
      </w:r>
    </w:p>
    <w:p w14:paraId="02F73676" w14:textId="39213663">
      <w:pPr>
        <w:pStyle w:val="IPPParagraphnumbering"/>
        <w:numPr>
          <w:ilvl w:val="0"/>
          <w:numId w:val="0"/>
        </w:numPr>
        <w:rPr>
          <w:lang w:val="en-GB"/>
        </w:rPr>
      </w:pPr>
      <w:r>
        <w:rPr>
          <w:rStyle w:val="PleaseReviewParagraphId"/>
          <w:b w:val="off"/>
          <w:i w:val="off"/>
        </w:rPr>
        <w:t>[802]</w:t>
      </w:r>
      <w:r>
        <w:rPr>
          <w:lang w:val="en-GB"/>
        </w:rPr>
        <w:t xml:space="preserve">The first draft of this protocol was written by Luana Giordano (Plant Protection Service Lombardy Region, Italy (see preceding section)) and Eeva J. Vainio (Natural Resources Institute Finland (see preceding section)). </w:t>
      </w:r>
    </w:p>
    <w:p w14:paraId="03A1DCE3" w14:textId="0D9AD611">
      <w:pPr>
        <w:pStyle w:val="IPPParagraphnumbering"/>
        <w:numPr>
          <w:ilvl w:val="0"/>
          <w:numId w:val="0"/>
        </w:numPr>
        <w:rPr>
          <w:lang w:val="en-GB"/>
        </w:rPr>
      </w:pPr>
      <w:r>
        <w:rPr>
          <w:rStyle w:val="PleaseReviewParagraphId"/>
          <w:b w:val="off"/>
          <w:i w:val="off"/>
        </w:rPr>
        <w:t>[803]</w:t>
      </w:r>
      <w:r>
        <w:rPr>
          <w:lang w:val="en-GB"/>
        </w:rPr>
        <w:t xml:space="preserve">This protocol is partially adapted, with permission, from EPPO (2020a, 2020b). </w:t>
      </w:r>
    </w:p>
    <w:p w14:paraId="0538056E" w14:textId="48BF2CD3">
      <w:pPr>
        <w:pStyle w:val="IPPHeading1"/>
        <w:ind w:left="0" w:firstLine="0"/>
      </w:pPr>
      <w:r>
        <w:rPr>
          <w:rStyle w:val="PleaseReviewParagraphId"/>
          <w:b w:val="off"/>
          <w:i w:val="off"/>
        </w:rPr>
        <w:t>[804]</w:t>
      </w:r>
      <w:r>
        <w:t>8.</w:t>
        <w:tab/>
        <w:t>References</w:t>
      </w:r>
    </w:p>
    <w:p w14:paraId="6F978C5D" w14:textId="5DE90894">
      <w:pPr>
        <w:pStyle w:val="IPPParagraphnumbering"/>
        <w:numPr>
          <w:ilvl w:val="0"/>
          <w:numId w:val="0"/>
        </w:numPr>
        <w:rPr>
          <w:lang w:val="en-GB"/>
        </w:rPr>
      </w:pPr>
      <w:r>
        <w:rPr>
          <w:rStyle w:val="PleaseReviewParagraphId"/>
          <w:b w:val="off"/>
          <w:i w:val="off"/>
        </w:rPr>
        <w:t>[805]</w:t>
      </w:r>
      <w:r>
        <w:rPr>
          <w:lang w:val="en-GB"/>
        </w:rPr>
        <w:t xml:space="preserve">The present annex may refer to ISPMs. ISPMs are available on the International Phytosanitary Portal (IPP) at </w:t>
      </w:r>
      <w:hyperlink w:history="1" r:id="rId42">
        <w:r>
          <w:rPr>
            <w:rStyle w:val="Hyperlink"/>
            <w:iCs/>
            <w:lang w:val="en-GB"/>
          </w:rPr>
          <w:t>www.ippc.int/core-activities/standards-setting/ispms</w:t>
        </w:r>
      </w:hyperlink>
      <w:r>
        <w:rPr>
          <w:lang w:val="en-GB"/>
        </w:rPr>
        <w:t>.</w:t>
      </w:r>
    </w:p>
    <w:p w14:paraId="3EC8B3BC" w14:textId="3F82A43D">
      <w:pPr>
        <w:pStyle w:val="IPPParagraphnumbering"/>
        <w:numPr>
          <w:ilvl w:val="0"/>
          <w:numId w:val="0"/>
        </w:numPr>
        <w:rPr>
          <w:lang w:val="en-GB"/>
        </w:rPr>
      </w:pPr>
      <w:r>
        <w:rPr>
          <w:rStyle w:val="PleaseReviewParagraphId"/>
          <w:b w:val="off"/>
          <w:i w:val="off"/>
        </w:rPr>
        <w:t>[806]</w:t>
      </w:r>
      <w:r>
        <w:rPr>
          <w:b/>
          <w:bCs/>
          <w:lang w:val="en-GB"/>
        </w:rPr>
        <w:t xml:space="preserve">Bahnweg, G., Möller, E.M., Anegg, S., Langebartels, C., Wienhaus, O. &amp; Sandermann Jr, H. </w:t>
      </w:r>
      <w:r>
        <w:rPr>
          <w:lang w:val="en-GB"/>
        </w:rPr>
        <w:t xml:space="preserve">2002. Detection of </w:t>
      </w:r>
      <w:r>
        <w:rPr>
          <w:i/>
          <w:lang w:val="en-GB"/>
        </w:rPr>
        <w:t>Heterobasidion annosum s.l.</w:t>
      </w:r>
      <w:r>
        <w:rPr>
          <w:lang w:val="en-GB"/>
        </w:rPr>
        <w:t xml:space="preserve"> [(Fr.) Bref.] in Norway spruce by polymerase chain reaction. </w:t>
      </w:r>
      <w:r>
        <w:rPr>
          <w:i/>
          <w:lang w:val="en-GB"/>
        </w:rPr>
        <w:t>Journal of Phytopathology</w:t>
      </w:r>
      <w:r>
        <w:rPr>
          <w:lang w:val="en-GB"/>
        </w:rPr>
        <w:t xml:space="preserve">, 150: 382–389. </w:t>
      </w:r>
      <w:hyperlink w:history="1" r:id="rId43">
        <w:r>
          <w:rPr>
            <w:rStyle w:val="Hyperlink"/>
            <w:lang w:val="en-GB"/>
          </w:rPr>
          <w:t>https://doi.org/10.1046/j.1439-0434.2002.00772.x</w:t>
        </w:r>
      </w:hyperlink>
    </w:p>
    <w:p w14:paraId="19EC0B58" w14:textId="14F6B995">
      <w:pPr>
        <w:pStyle w:val="IPPParagraphnumbering"/>
        <w:numPr>
          <w:ilvl w:val="0"/>
          <w:numId w:val="0"/>
        </w:numPr>
        <w:rPr>
          <w:lang w:val="en-GB"/>
        </w:rPr>
      </w:pPr>
      <w:r>
        <w:rPr>
          <w:rStyle w:val="PleaseReviewParagraphId"/>
          <w:b w:val="off"/>
          <w:i w:val="off"/>
        </w:rPr>
        <w:t>[807]</w:t>
      </w:r>
      <w:r>
        <w:rPr>
          <w:b/>
          <w:bCs/>
          <w:lang w:val="en-GB"/>
        </w:rPr>
        <w:t xml:space="preserve">Bendel, M., Kienast, F., Bugmann, H. &amp; Rigling, D. </w:t>
      </w:r>
      <w:r>
        <w:rPr>
          <w:lang w:val="en-GB"/>
        </w:rPr>
        <w:t xml:space="preserve">2006. Incidence and distribution of </w:t>
      </w:r>
      <w:r>
        <w:rPr>
          <w:i/>
          <w:lang w:val="en-GB"/>
        </w:rPr>
        <w:t>Heterobasidion</w:t>
      </w:r>
      <w:r>
        <w:rPr>
          <w:lang w:val="en-GB"/>
        </w:rPr>
        <w:t xml:space="preserve"> and </w:t>
      </w:r>
      <w:r>
        <w:rPr>
          <w:i/>
          <w:lang w:val="en-GB"/>
        </w:rPr>
        <w:t>Armillaria</w:t>
      </w:r>
      <w:r>
        <w:rPr>
          <w:lang w:val="en-GB"/>
        </w:rPr>
        <w:t xml:space="preserve"> and their influence on canopy gap formation in unmanaged mountain pine forests in the Swiss Alps. </w:t>
      </w:r>
      <w:r>
        <w:rPr>
          <w:i/>
          <w:lang w:val="en-GB"/>
        </w:rPr>
        <w:t>European Journal of Plant Pathology</w:t>
      </w:r>
      <w:r>
        <w:rPr>
          <w:lang w:val="en-GB"/>
        </w:rPr>
        <w:t xml:space="preserve">, 116: 85–93. </w:t>
      </w:r>
      <w:hyperlink w:history="1" r:id="rId44">
        <w:r>
          <w:rPr>
            <w:rStyle w:val="Hyperlink"/>
            <w:lang w:val="en-GB"/>
          </w:rPr>
          <w:t>https://doi.org/10.1007/s10658-006-9028-1</w:t>
        </w:r>
      </w:hyperlink>
    </w:p>
    <w:p w14:paraId="2A4B1802" w14:textId="0812FE2E">
      <w:pPr>
        <w:pStyle w:val="IPPParagraphnumbering"/>
        <w:numPr>
          <w:ilvl w:val="0"/>
          <w:numId w:val="0"/>
        </w:numPr>
        <w:rPr>
          <w:lang w:val="en-GB"/>
        </w:rPr>
      </w:pPr>
      <w:r>
        <w:rPr>
          <w:rStyle w:val="PleaseReviewParagraphId"/>
          <w:b w:val="off"/>
          <w:i w:val="off"/>
        </w:rPr>
        <w:t>[808]</w:t>
      </w:r>
      <w:r>
        <w:rPr>
          <w:b/>
          <w:bCs/>
          <w:lang w:val="en-GB"/>
        </w:rPr>
        <w:t xml:space="preserve">CABI. </w:t>
      </w:r>
      <w:r>
        <w:rPr>
          <w:lang w:val="en-GB"/>
        </w:rPr>
        <w:t xml:space="preserve">n.d. </w:t>
      </w:r>
      <w:r>
        <w:rPr>
          <w:i/>
          <w:lang w:val="en-GB"/>
        </w:rPr>
        <w:t>Heterobasidion annosum sensu lato</w:t>
      </w:r>
      <w:r>
        <w:rPr>
          <w:lang w:val="en-GB"/>
        </w:rPr>
        <w:t xml:space="preserve"> (Heterobasidion root rot). In: </w:t>
      </w:r>
      <w:r>
        <w:rPr>
          <w:i/>
          <w:lang w:val="en-GB"/>
        </w:rPr>
        <w:t>CABI compendium</w:t>
      </w:r>
      <w:r>
        <w:rPr>
          <w:lang w:val="en-GB"/>
        </w:rPr>
        <w:t xml:space="preserve">. Wallingford, UK. [Cited 3 November 2022]. </w:t>
      </w:r>
      <w:hyperlink w:history="1" r:id="rId45">
        <w:r>
          <w:rPr>
            <w:rStyle w:val="Hyperlink"/>
            <w:lang w:val="en-GB"/>
          </w:rPr>
          <w:t>https://doi.org/10.1079/cabicompendium.27044</w:t>
        </w:r>
      </w:hyperlink>
    </w:p>
    <w:p w14:paraId="520559F6" w14:textId="2658F978">
      <w:pPr>
        <w:pStyle w:val="IPPParagraphnumbering"/>
        <w:numPr>
          <w:ilvl w:val="0"/>
          <w:numId w:val="0"/>
        </w:numPr>
        <w:rPr>
          <w:lang w:val="en-GB"/>
        </w:rPr>
      </w:pPr>
      <w:r>
        <w:rPr>
          <w:rStyle w:val="PleaseReviewParagraphId"/>
          <w:b w:val="off"/>
          <w:i w:val="off"/>
        </w:rPr>
        <w:t>[809]</w:t>
      </w:r>
      <w:r>
        <w:rPr>
          <w:b/>
          <w:bCs/>
          <w:lang w:val="fi-FI"/>
        </w:rPr>
        <w:t>Capretti, P., Korhonen, K., Mugnai, L. &amp; Romagnoli, C.</w:t>
      </w:r>
      <w:r>
        <w:rPr>
          <w:lang w:val="fi-FI"/>
        </w:rPr>
        <w:t xml:space="preserve"> 1990. </w:t>
      </w:r>
      <w:r>
        <w:rPr>
          <w:lang w:val="en-GB"/>
        </w:rPr>
        <w:t xml:space="preserve">An intersterility group of </w:t>
      </w:r>
      <w:r>
        <w:rPr>
          <w:i/>
          <w:lang w:val="en-GB"/>
        </w:rPr>
        <w:t>Heterobasidion annosum</w:t>
      </w:r>
      <w:r>
        <w:rPr>
          <w:lang w:val="en-GB"/>
        </w:rPr>
        <w:t xml:space="preserve"> specialized to </w:t>
      </w:r>
      <w:r>
        <w:rPr>
          <w:i/>
          <w:lang w:val="en-GB"/>
        </w:rPr>
        <w:t>Abies alba</w:t>
      </w:r>
      <w:r>
        <w:rPr>
          <w:lang w:val="en-GB"/>
        </w:rPr>
        <w:t xml:space="preserve">. </w:t>
      </w:r>
      <w:r>
        <w:rPr>
          <w:i/>
          <w:lang w:val="en-GB"/>
        </w:rPr>
        <w:t>European Journal of Forest Pathology</w:t>
      </w:r>
      <w:r>
        <w:rPr>
          <w:lang w:val="en-GB"/>
        </w:rPr>
        <w:t xml:space="preserve">, 20: 231–240. </w:t>
      </w:r>
      <w:hyperlink w:history="1" r:id="rId46">
        <w:r>
          <w:rPr>
            <w:rStyle w:val="Hyperlink"/>
            <w:lang w:val="en-GB"/>
          </w:rPr>
          <w:t>https://doi.org/10.1111/j.1439-0329.1990.tb01134.x</w:t>
        </w:r>
      </w:hyperlink>
    </w:p>
    <w:p w14:paraId="441552CD" w14:textId="354C3D27">
      <w:pPr>
        <w:pStyle w:val="IPPParagraphnumbering"/>
        <w:numPr>
          <w:ilvl w:val="0"/>
          <w:numId w:val="0"/>
        </w:numPr>
        <w:rPr>
          <w:b/>
          <w:bCs/>
          <w:lang w:val="en-GB"/>
        </w:rPr>
      </w:pPr>
      <w:r>
        <w:rPr>
          <w:rStyle w:val="PleaseReviewParagraphId"/>
          <w:b w:val="off"/>
          <w:i w:val="off"/>
        </w:rPr>
        <w:t>[810]</w:t>
      </w:r>
      <w:r>
        <w:rPr>
          <w:b/>
          <w:bCs/>
          <w:lang w:val="en-GB"/>
        </w:rPr>
        <w:t xml:space="preserve">Chase, T.E. &amp; Ullrich, R.C. </w:t>
      </w:r>
      <w:r>
        <w:rPr>
          <w:lang w:val="en-GB"/>
        </w:rPr>
        <w:t xml:space="preserve">1988. </w:t>
      </w:r>
      <w:r>
        <w:rPr>
          <w:i/>
          <w:lang w:val="en-GB"/>
        </w:rPr>
        <w:t>Heterobasidion annosum</w:t>
      </w:r>
      <w:r>
        <w:rPr>
          <w:lang w:val="en-GB"/>
        </w:rPr>
        <w:t xml:space="preserve">, root- and butt-rot of trees. </w:t>
      </w:r>
      <w:r>
        <w:rPr>
          <w:i/>
          <w:lang w:val="en-GB"/>
        </w:rPr>
        <w:t>Advances in Plant Pathology</w:t>
      </w:r>
      <w:r>
        <w:rPr>
          <w:lang w:val="en-GB"/>
        </w:rPr>
        <w:t xml:space="preserve">, 6: 501–510. </w:t>
      </w:r>
      <w:hyperlink w:tgtFrame="_blank" w:tooltip="Persistent link using digital object identifier" w:history="1" r:id="rId47">
        <w:r>
          <w:rPr>
            <w:rStyle w:val="Hyperlink"/>
            <w:lang w:val="en-GB"/>
          </w:rPr>
          <w:t>https://doi.org/10.1016/B978-0-12-033706-4.50037-2</w:t>
        </w:r>
      </w:hyperlink>
    </w:p>
    <w:p w14:paraId="3700B0CE" w14:textId="37B7263D">
      <w:pPr>
        <w:pStyle w:val="IPPParagraphnumbering"/>
        <w:numPr>
          <w:ilvl w:val="0"/>
          <w:numId w:val="0"/>
        </w:numPr>
        <w:rPr>
          <w:lang w:val="en-GB"/>
        </w:rPr>
      </w:pPr>
      <w:r>
        <w:rPr>
          <w:rStyle w:val="PleaseReviewParagraphId"/>
          <w:b w:val="off"/>
          <w:i w:val="off"/>
        </w:rPr>
        <w:t>[811]</w:t>
      </w:r>
      <w:r>
        <w:rPr>
          <w:b/>
          <w:bCs/>
          <w:lang w:val="en-GB"/>
        </w:rPr>
        <w:t xml:space="preserve">Chen, J.-J., Cui, B.-K., Zhou, L.-W., Korhonen, K. &amp; Dai, Y.-C. </w:t>
      </w:r>
      <w:r>
        <w:rPr>
          <w:lang w:val="en-GB"/>
        </w:rPr>
        <w:t xml:space="preserve">2015. Phylogeny, divergence time estimation, and biogeography of the genus </w:t>
      </w:r>
      <w:r>
        <w:rPr>
          <w:i/>
          <w:lang w:val="en-GB"/>
        </w:rPr>
        <w:t>Heterobasidion</w:t>
      </w:r>
      <w:r>
        <w:rPr>
          <w:lang w:val="en-GB"/>
        </w:rPr>
        <w:t xml:space="preserve"> (Basidiomycota, Russulales). </w:t>
      </w:r>
      <w:r>
        <w:rPr>
          <w:i/>
          <w:lang w:val="en-GB"/>
        </w:rPr>
        <w:t>Fungal Diversity</w:t>
      </w:r>
      <w:r>
        <w:rPr>
          <w:lang w:val="en-GB"/>
        </w:rPr>
        <w:t xml:space="preserve">, 71: 185–200. </w:t>
      </w:r>
      <w:hyperlink w:history="1" r:id="rId48">
        <w:r>
          <w:rPr>
            <w:rStyle w:val="Hyperlink"/>
            <w:lang w:val="en-GB"/>
          </w:rPr>
          <w:t>https://doi.org/10.1007/s13225-014-0317-2</w:t>
        </w:r>
      </w:hyperlink>
    </w:p>
    <w:p w14:paraId="377974EC" w14:textId="79EDC147">
      <w:pPr>
        <w:pStyle w:val="IPPParagraphnumbering"/>
        <w:numPr>
          <w:ilvl w:val="0"/>
          <w:numId w:val="0"/>
        </w:numPr>
        <w:rPr>
          <w:lang w:val="en-GB"/>
        </w:rPr>
      </w:pPr>
      <w:r>
        <w:rPr>
          <w:rStyle w:val="PleaseReviewParagraphId"/>
          <w:b w:val="off"/>
          <w:i w:val="off"/>
        </w:rPr>
        <w:t>[812]</w:t>
      </w:r>
      <w:r>
        <w:rPr>
          <w:b/>
          <w:bCs/>
          <w:lang w:val="en-GB"/>
        </w:rPr>
        <w:t xml:space="preserve">Chomczynski, P. &amp; Rymaszewski, M. </w:t>
      </w:r>
      <w:r>
        <w:rPr>
          <w:lang w:val="en-GB"/>
        </w:rPr>
        <w:t xml:space="preserve">2006. Alkaline polyethylene glycol-based method for direct PCR from bacteria, eukaryotic tissue samples, and whole blood. </w:t>
      </w:r>
      <w:r>
        <w:rPr>
          <w:i/>
          <w:lang w:val="en-GB"/>
        </w:rPr>
        <w:t>BioTechniques</w:t>
      </w:r>
      <w:r>
        <w:rPr>
          <w:lang w:val="en-GB"/>
        </w:rPr>
        <w:t xml:space="preserve">, 40: 454–458. </w:t>
      </w:r>
      <w:hyperlink w:history="1" r:id="rId49">
        <w:r>
          <w:rPr>
            <w:rStyle w:val="Hyperlink"/>
            <w:lang w:val="en-GB"/>
          </w:rPr>
          <w:t>https://doi.org/10.2144/000112149</w:t>
        </w:r>
      </w:hyperlink>
    </w:p>
    <w:p w14:paraId="6E1F3521" w14:textId="5BADE06F">
      <w:pPr>
        <w:pStyle w:val="IPPParagraphnumbering"/>
        <w:numPr>
          <w:ilvl w:val="0"/>
          <w:numId w:val="0"/>
        </w:numPr>
        <w:rPr>
          <w:lang w:val="en-GB"/>
        </w:rPr>
      </w:pPr>
      <w:r>
        <w:rPr>
          <w:rStyle w:val="PleaseReviewParagraphId"/>
          <w:b w:val="off"/>
          <w:i w:val="off"/>
        </w:rPr>
        <w:t>[813]</w:t>
      </w:r>
      <w:r>
        <w:rPr>
          <w:b/>
          <w:bCs/>
          <w:lang w:val="fi-FI"/>
        </w:rPr>
        <w:lastRenderedPageBreak/>
        <w:t>Dai, Y.-C., Vainio, E.J., Hantula, J., Niemelä, T. &amp; Korhonen, K.</w:t>
      </w:r>
      <w:r>
        <w:rPr>
          <w:lang w:val="fi-FI"/>
        </w:rPr>
        <w:t xml:space="preserve"> 2003. </w:t>
      </w:r>
      <w:r>
        <w:rPr>
          <w:lang w:val="en-GB"/>
        </w:rPr>
        <w:t xml:space="preserve">Investigations on </w:t>
      </w:r>
      <w:r>
        <w:rPr>
          <w:i/>
          <w:lang w:val="en-GB"/>
        </w:rPr>
        <w:t>Heterobasidion annosum s. lat.</w:t>
      </w:r>
      <w:r>
        <w:rPr>
          <w:lang w:val="en-GB"/>
        </w:rPr>
        <w:t xml:space="preserve"> in central and eastern Asia with the aid of mating tests and DNA fingerprinting. </w:t>
      </w:r>
      <w:r>
        <w:rPr>
          <w:i/>
          <w:lang w:val="en-GB"/>
        </w:rPr>
        <w:t>Forest Pathology</w:t>
      </w:r>
      <w:r>
        <w:rPr>
          <w:lang w:val="en-GB"/>
        </w:rPr>
        <w:t xml:space="preserve">, 33: 269–286. </w:t>
      </w:r>
      <w:hyperlink w:history="1" r:id="rId50">
        <w:r>
          <w:rPr>
            <w:rStyle w:val="Hyperlink"/>
            <w:lang w:val="en-GB"/>
          </w:rPr>
          <w:t>https://doi.org/10.1046/j.1439-0329.2003.00328.x</w:t>
        </w:r>
      </w:hyperlink>
    </w:p>
    <w:p w14:paraId="4FB48842" w14:textId="55854516">
      <w:pPr>
        <w:pStyle w:val="IPPParagraphnumbering"/>
        <w:numPr>
          <w:ilvl w:val="0"/>
          <w:numId w:val="0"/>
        </w:numPr>
        <w:rPr>
          <w:lang w:val="en-GB"/>
        </w:rPr>
      </w:pPr>
      <w:r>
        <w:rPr>
          <w:rStyle w:val="PleaseReviewParagraphId"/>
          <w:b w:val="off"/>
          <w:i w:val="off"/>
        </w:rPr>
        <w:t>[814]</w:t>
      </w:r>
      <w:r>
        <w:rPr>
          <w:b/>
          <w:bCs/>
          <w:lang w:val="en-GB"/>
        </w:rPr>
        <w:t xml:space="preserve">Dalman, K., Olson, Å. &amp; Stenlid, J. </w:t>
      </w:r>
      <w:r>
        <w:rPr>
          <w:lang w:val="en-GB"/>
        </w:rPr>
        <w:t xml:space="preserve">2010. Evolutionary history of the conifer root rot fungus </w:t>
      </w:r>
      <w:r>
        <w:rPr>
          <w:i/>
          <w:lang w:val="en-GB"/>
        </w:rPr>
        <w:t>Heterobasidion annosum sensu lato</w:t>
      </w:r>
      <w:r>
        <w:rPr>
          <w:lang w:val="en-GB"/>
        </w:rPr>
        <w:t xml:space="preserve">. </w:t>
      </w:r>
      <w:r>
        <w:rPr>
          <w:i/>
          <w:lang w:val="en-GB"/>
        </w:rPr>
        <w:t>Molecular Ecology</w:t>
      </w:r>
      <w:r>
        <w:rPr>
          <w:lang w:val="en-GB"/>
        </w:rPr>
        <w:t xml:space="preserve">, 19: 4979–4993. </w:t>
      </w:r>
      <w:hyperlink w:history="1" r:id="rId51">
        <w:r>
          <w:rPr>
            <w:rStyle w:val="Hyperlink"/>
            <w:lang w:val="en-GB"/>
          </w:rPr>
          <w:t>https://doi.org/10.1111/j.1365-294X.2010.04873.x</w:t>
        </w:r>
      </w:hyperlink>
    </w:p>
    <w:p w14:paraId="144AFBDA" w14:textId="33A549C3">
      <w:pPr>
        <w:pStyle w:val="IPPParagraphnumbering"/>
        <w:numPr>
          <w:ilvl w:val="0"/>
          <w:numId w:val="0"/>
        </w:numPr>
        <w:rPr>
          <w:rStyle w:val="Hyperlink"/>
          <w:color w:val="auto"/>
          <w:lang w:val="en-GB"/>
        </w:rPr>
      </w:pPr>
      <w:r>
        <w:rPr>
          <w:rStyle w:val="PleaseReviewParagraphId"/>
          <w:b w:val="off"/>
          <w:i w:val="off"/>
        </w:rPr>
        <w:t>[815]</w:t>
      </w:r>
      <w:r>
        <w:rPr>
          <w:b/>
          <w:bCs/>
          <w:lang w:val="en-GB"/>
        </w:rPr>
        <w:t>EPPO (European and Mediterranean Plant Protection Organization)</w:t>
      </w:r>
      <w:r>
        <w:rPr>
          <w:lang w:val="en-GB"/>
        </w:rPr>
        <w:t xml:space="preserve">. 2020a. </w:t>
      </w:r>
      <w:r>
        <w:rPr>
          <w:i/>
          <w:lang w:val="en-GB"/>
        </w:rPr>
        <w:t>Heterobasidion irregulare</w:t>
      </w:r>
      <w:r>
        <w:rPr>
          <w:lang w:val="en-GB"/>
        </w:rPr>
        <w:t xml:space="preserve">. PM 7/140(1). </w:t>
      </w:r>
      <w:r>
        <w:rPr>
          <w:i/>
          <w:lang w:val="en-GB"/>
        </w:rPr>
        <w:t>EPPO Bulletin</w:t>
      </w:r>
      <w:r>
        <w:rPr>
          <w:lang w:val="en-GB"/>
        </w:rPr>
        <w:t xml:space="preserve">, 50(1): 19–31. </w:t>
      </w:r>
      <w:hyperlink w:history="1" r:id="rId52">
        <w:r>
          <w:rPr>
            <w:rStyle w:val="Hyperlink"/>
            <w:lang w:val="en-GB"/>
          </w:rPr>
          <w:t>https://doi.org/10.1111/epp.12618</w:t>
        </w:r>
      </w:hyperlink>
    </w:p>
    <w:p w14:paraId="0F76F237" w14:textId="3887E53B">
      <w:pPr>
        <w:pStyle w:val="IPPParagraphnumbering"/>
        <w:numPr>
          <w:ilvl w:val="0"/>
          <w:numId w:val="0"/>
        </w:numPr>
        <w:rPr>
          <w:lang w:val="en-GB"/>
        </w:rPr>
      </w:pPr>
      <w:r>
        <w:rPr>
          <w:rStyle w:val="PleaseReviewParagraphId"/>
          <w:b w:val="off"/>
          <w:i w:val="off"/>
        </w:rPr>
        <w:t>[816]</w:t>
      </w:r>
      <w:r>
        <w:rPr>
          <w:b/>
          <w:bCs/>
          <w:lang w:val="en-GB"/>
        </w:rPr>
        <w:t>EPPO</w:t>
      </w:r>
      <w:r>
        <w:rPr>
          <w:lang w:val="en-GB"/>
        </w:rPr>
        <w:t xml:space="preserve">. 2020b. </w:t>
      </w:r>
      <w:r>
        <w:rPr>
          <w:i/>
          <w:iCs/>
          <w:lang w:val="en-GB"/>
        </w:rPr>
        <w:t>Heterobasidion irregulare</w:t>
      </w:r>
      <w:r>
        <w:rPr>
          <w:lang w:val="en-GB"/>
        </w:rPr>
        <w:t xml:space="preserve">: procedures for official control. PM 9/28(1). </w:t>
      </w:r>
      <w:r>
        <w:rPr>
          <w:i/>
          <w:iCs/>
          <w:lang w:val="en-GB"/>
        </w:rPr>
        <w:t>EPPO Bulletin</w:t>
      </w:r>
      <w:r>
        <w:rPr>
          <w:lang w:val="en-GB"/>
        </w:rPr>
        <w:t xml:space="preserve">, 50(1): 142–147. </w:t>
      </w:r>
      <w:hyperlink w:history="1" r:id="rId53">
        <w:r>
          <w:rPr>
            <w:rStyle w:val="Hyperlink"/>
            <w:lang w:val="en-GB"/>
          </w:rPr>
          <w:t>https://doi.org/10.1111/epp.12620</w:t>
        </w:r>
      </w:hyperlink>
    </w:p>
    <w:p w14:paraId="4A2AD3BD" w14:textId="77777777">
      <w:pPr>
        <w:pStyle w:val="IPPParagraphnumbering"/>
        <w:numPr>
          <w:ilvl w:val="0"/>
          <w:numId w:val="0"/>
        </w:numPr>
        <w:rPr>
          <w:rStyle w:val="Hyperlink"/>
          <w:color w:val="auto"/>
          <w:lang w:val="en-GB"/>
        </w:rPr>
      </w:pPr>
      <w:r>
        <w:rPr>
          <w:rStyle w:val="PleaseReviewParagraphId"/>
          <w:b w:val="off"/>
          <w:i w:val="off"/>
        </w:rPr>
        <w:t>[817]</w:t>
      </w:r>
      <w:r>
        <w:rPr>
          <w:b/>
          <w:bCs/>
          <w:lang w:val="en-GB"/>
        </w:rPr>
        <w:t>EPPO</w:t>
      </w:r>
      <w:r>
        <w:rPr>
          <w:lang w:val="en-GB"/>
        </w:rPr>
        <w:t xml:space="preserve">. n.d.(a). </w:t>
      </w:r>
      <w:r>
        <w:rPr>
          <w:i/>
          <w:lang w:val="en-GB"/>
        </w:rPr>
        <w:t>Heterobasidion irregulare</w:t>
      </w:r>
      <w:r>
        <w:rPr>
          <w:lang w:val="en-GB"/>
        </w:rPr>
        <w:t xml:space="preserve">. In: </w:t>
      </w:r>
      <w:r>
        <w:rPr>
          <w:i/>
          <w:lang w:val="en-GB"/>
        </w:rPr>
        <w:t>EPPO global database</w:t>
      </w:r>
      <w:r>
        <w:rPr>
          <w:lang w:val="en-GB"/>
        </w:rPr>
        <w:t xml:space="preserve">. Paris. [Cited 3 November 2022]. </w:t>
      </w:r>
      <w:hyperlink w:history="1" r:id="rId54">
        <w:r>
          <w:rPr>
            <w:rStyle w:val="Hyperlink"/>
            <w:lang w:val="en-GB"/>
          </w:rPr>
          <w:t>https://gd.eppo.int/taxon/HETEIR</w:t>
        </w:r>
      </w:hyperlink>
    </w:p>
    <w:p w14:paraId="33AA8989" w14:textId="2D80ACA1">
      <w:pPr>
        <w:pStyle w:val="IPPParagraphnumbering"/>
        <w:numPr>
          <w:ilvl w:val="0"/>
          <w:numId w:val="0"/>
        </w:numPr>
        <w:rPr>
          <w:lang w:val="en-GB"/>
        </w:rPr>
      </w:pPr>
      <w:r>
        <w:rPr>
          <w:rStyle w:val="PleaseReviewParagraphId"/>
          <w:b w:val="off"/>
          <w:i w:val="off"/>
        </w:rPr>
        <w:t>[818]</w:t>
      </w:r>
      <w:r>
        <w:rPr>
          <w:b/>
          <w:bCs/>
          <w:lang w:val="en-GB"/>
        </w:rPr>
        <w:t>EPPO</w:t>
      </w:r>
      <w:r>
        <w:rPr>
          <w:lang w:val="en-GB"/>
        </w:rPr>
        <w:t xml:space="preserve">. n.d.(b). </w:t>
      </w:r>
      <w:r>
        <w:rPr>
          <w:i/>
          <w:lang w:val="en-GB"/>
        </w:rPr>
        <w:t xml:space="preserve">Heterobasidion annosum. </w:t>
      </w:r>
      <w:r>
        <w:rPr>
          <w:lang w:val="en-GB"/>
        </w:rPr>
        <w:t xml:space="preserve">In: </w:t>
      </w:r>
      <w:r>
        <w:rPr>
          <w:i/>
          <w:lang w:val="en-GB"/>
        </w:rPr>
        <w:t>EPPO global database</w:t>
      </w:r>
      <w:r>
        <w:rPr>
          <w:lang w:val="en-GB"/>
        </w:rPr>
        <w:t xml:space="preserve">. Paris. [Cited 3 November 2022]. </w:t>
      </w:r>
      <w:hyperlink w:history="1" r:id="rId55">
        <w:r>
          <w:rPr>
            <w:rStyle w:val="Hyperlink"/>
            <w:iCs/>
            <w:lang w:val="en-GB"/>
          </w:rPr>
          <w:t>https://gd.eppo.int/taxon/HETEAN</w:t>
        </w:r>
      </w:hyperlink>
    </w:p>
    <w:p w14:paraId="58A1F77E" w14:textId="47C4DA96">
      <w:pPr>
        <w:pStyle w:val="IPPParagraphnumbering"/>
        <w:numPr>
          <w:ilvl w:val="0"/>
          <w:numId w:val="0"/>
        </w:numPr>
        <w:rPr>
          <w:lang w:val="en-GB"/>
        </w:rPr>
      </w:pPr>
      <w:r>
        <w:rPr>
          <w:rStyle w:val="PleaseReviewParagraphId"/>
          <w:b w:val="off"/>
          <w:i w:val="off"/>
        </w:rPr>
        <w:t>[819]</w:t>
      </w:r>
      <w:r>
        <w:rPr>
          <w:b/>
          <w:bCs/>
          <w:lang w:val="en-GB"/>
        </w:rPr>
        <w:t xml:space="preserve">Garbelotto, M. &amp; Gonthier, P. </w:t>
      </w:r>
      <w:r>
        <w:rPr>
          <w:lang w:val="en-GB"/>
        </w:rPr>
        <w:t xml:space="preserve">2013. Biology, epidemiology, and control of </w:t>
      </w:r>
      <w:r>
        <w:rPr>
          <w:i/>
          <w:lang w:val="en-GB"/>
        </w:rPr>
        <w:t>Heterobasidion</w:t>
      </w:r>
      <w:r>
        <w:rPr>
          <w:lang w:val="en-GB"/>
        </w:rPr>
        <w:t xml:space="preserve"> species worldwide. </w:t>
      </w:r>
      <w:r>
        <w:rPr>
          <w:i/>
          <w:lang w:val="en-GB"/>
        </w:rPr>
        <w:t>Annual Review of Phytopathology</w:t>
      </w:r>
      <w:r>
        <w:rPr>
          <w:lang w:val="en-GB"/>
        </w:rPr>
        <w:t xml:space="preserve">, 51: 39–59. </w:t>
      </w:r>
      <w:hyperlink w:history="1" r:id="rId56">
        <w:r>
          <w:rPr>
            <w:rStyle w:val="Hyperlink"/>
            <w:lang w:val="en-GB"/>
          </w:rPr>
          <w:t>https://doi.org/10.1146/annurev-phyto-082712-102225</w:t>
        </w:r>
      </w:hyperlink>
    </w:p>
    <w:p w14:paraId="7391D874" w14:textId="77777777">
      <w:pPr>
        <w:pStyle w:val="IPPParagraphnumbering"/>
        <w:numPr>
          <w:ilvl w:val="0"/>
          <w:numId w:val="0"/>
        </w:numPr>
        <w:rPr>
          <w:b/>
          <w:bCs/>
          <w:lang w:val="en-GB"/>
        </w:rPr>
      </w:pPr>
      <w:r>
        <w:rPr>
          <w:rStyle w:val="PleaseReviewParagraphId"/>
          <w:b w:val="off"/>
          <w:i w:val="off"/>
        </w:rPr>
        <w:t>[820]</w:t>
      </w:r>
      <w:r>
        <w:rPr>
          <w:b/>
          <w:bCs/>
          <w:lang w:val="en-GB"/>
        </w:rPr>
        <w:t>Garbelotto, M., Otrosina, W.J., Cobb, F.W. &amp; Bruns, T.D.</w:t>
      </w:r>
      <w:r>
        <w:rPr>
          <w:lang w:val="en-GB"/>
        </w:rPr>
        <w:t xml:space="preserve"> 1998. The European S and F intersterility groups of </w:t>
      </w:r>
      <w:r>
        <w:rPr>
          <w:i/>
          <w:lang w:val="en-GB"/>
        </w:rPr>
        <w:t>Heterobasidion annosum</w:t>
      </w:r>
      <w:r>
        <w:rPr>
          <w:lang w:val="en-GB"/>
        </w:rPr>
        <w:t xml:space="preserve"> may represent sympatric protospecies. </w:t>
      </w:r>
      <w:r>
        <w:rPr>
          <w:i/>
          <w:lang w:val="en-GB"/>
        </w:rPr>
        <w:t>Canadian Journal of Botany</w:t>
      </w:r>
      <w:r>
        <w:rPr>
          <w:lang w:val="en-GB"/>
        </w:rPr>
        <w:t xml:space="preserve">, 76: 397–409. </w:t>
      </w:r>
      <w:hyperlink w:history="1" r:id="rId57">
        <w:r>
          <w:rPr>
            <w:rStyle w:val="Hyperlink"/>
            <w:lang w:val="en-GB"/>
          </w:rPr>
          <w:t>https://doi.org/10.1139/b97-185</w:t>
        </w:r>
      </w:hyperlink>
    </w:p>
    <w:p w14:paraId="5F8DCB2B" w14:textId="6EE78DA7">
      <w:pPr>
        <w:pStyle w:val="IPPParagraphnumbering"/>
        <w:numPr>
          <w:ilvl w:val="0"/>
          <w:numId w:val="0"/>
        </w:numPr>
        <w:rPr>
          <w:lang w:val="en-GB"/>
        </w:rPr>
      </w:pPr>
      <w:r>
        <w:rPr>
          <w:rStyle w:val="PleaseReviewParagraphId"/>
          <w:b w:val="off"/>
          <w:i w:val="off"/>
        </w:rPr>
        <w:t>[821]</w:t>
      </w:r>
      <w:r>
        <w:rPr>
          <w:b/>
          <w:bCs/>
          <w:lang w:val="en-GB"/>
        </w:rPr>
        <w:t xml:space="preserve">Garbelotto, M., Ratcliff, A., Bruns, T.D., Cobb, F.W. &amp; Otrosina, W.J. </w:t>
      </w:r>
      <w:r>
        <w:rPr>
          <w:lang w:val="en-GB"/>
        </w:rPr>
        <w:t xml:space="preserve">1996. Use of taxon-specific competitive-priming PCR to study host specificity, hybridization, and intergroup gene flow in intersterility groups of </w:t>
      </w:r>
      <w:r>
        <w:rPr>
          <w:i/>
          <w:lang w:val="en-GB"/>
        </w:rPr>
        <w:t>Heterobasidion annosum</w:t>
      </w:r>
      <w:r>
        <w:rPr>
          <w:lang w:val="en-GB"/>
        </w:rPr>
        <w:t xml:space="preserve">. </w:t>
      </w:r>
      <w:r>
        <w:rPr>
          <w:i/>
          <w:lang w:val="en-GB"/>
        </w:rPr>
        <w:t>Phytopathology</w:t>
      </w:r>
      <w:r>
        <w:rPr>
          <w:lang w:val="en-GB"/>
        </w:rPr>
        <w:t xml:space="preserve">, 86: 543–551. </w:t>
      </w:r>
      <w:hyperlink w:history="1" r:id="rId58">
        <w:r>
          <w:rPr>
            <w:rStyle w:val="Hyperlink"/>
            <w:iCs/>
            <w:lang w:val="en-GB"/>
          </w:rPr>
          <w:t>https://doi.org/</w:t>
        </w:r>
        <w:r>
          <w:rPr>
            <w:rStyle w:val="Hyperlink"/>
            <w:shd w:val="clear" w:color="auto" w:fill="FFFFFF"/>
            <w:lang w:val="en-GB"/>
          </w:rPr>
          <w:t>10.1094/Phyto-86-543</w:t>
        </w:r>
      </w:hyperlink>
    </w:p>
    <w:p w14:paraId="6D910BEB" w14:textId="5071D948">
      <w:pPr>
        <w:pStyle w:val="IPPParagraphnumbering"/>
        <w:numPr>
          <w:ilvl w:val="0"/>
          <w:numId w:val="0"/>
        </w:numPr>
        <w:rPr>
          <w:lang w:val="en-GB"/>
        </w:rPr>
      </w:pPr>
      <w:r>
        <w:rPr>
          <w:rStyle w:val="PleaseReviewParagraphId"/>
          <w:b w:val="off"/>
          <w:i w:val="off"/>
        </w:rPr>
        <w:t>[822]</w:t>
      </w:r>
      <w:r>
        <w:rPr>
          <w:b/>
          <w:bCs/>
          <w:lang w:val="en-GB"/>
        </w:rPr>
        <w:t xml:space="preserve">Gardes, M. &amp; Bruns, T.D. </w:t>
      </w:r>
      <w:r>
        <w:rPr>
          <w:lang w:val="en-GB"/>
        </w:rPr>
        <w:t xml:space="preserve">1993. ITS primers with enhanced specificity for basidiomycetes: application to the identification of mycorrhizae and rusts. </w:t>
      </w:r>
      <w:r>
        <w:rPr>
          <w:i/>
          <w:lang w:val="en-GB"/>
        </w:rPr>
        <w:t>Molecular Ecology</w:t>
      </w:r>
      <w:r>
        <w:rPr>
          <w:lang w:val="en-GB"/>
        </w:rPr>
        <w:t xml:space="preserve">, 2: 113–118. </w:t>
      </w:r>
      <w:hyperlink w:history="1" r:id="rId59">
        <w:r>
          <w:rPr>
            <w:rStyle w:val="Hyperlink"/>
            <w:lang w:val="en-GB"/>
          </w:rPr>
          <w:t>https://doi.org/10.1111/j.1365-294X.1993.tb00005.x</w:t>
        </w:r>
      </w:hyperlink>
    </w:p>
    <w:p w14:paraId="5712D481" w14:textId="6A1BE551">
      <w:pPr>
        <w:pStyle w:val="IPPParagraphnumbering"/>
        <w:numPr>
          <w:ilvl w:val="0"/>
          <w:numId w:val="0"/>
        </w:numPr>
        <w:rPr>
          <w:lang w:val="en-GB"/>
        </w:rPr>
      </w:pPr>
      <w:r>
        <w:rPr>
          <w:rStyle w:val="PleaseReviewParagraphId"/>
          <w:b w:val="off"/>
          <w:i w:val="off"/>
        </w:rPr>
        <w:t>[823]</w:t>
      </w:r>
      <w:r>
        <w:rPr>
          <w:b/>
          <w:bCs/>
          <w:lang w:val="en-GB"/>
        </w:rPr>
        <w:t xml:space="preserve">Giordano, L., Gonthier, P., Varese, G.C., Miserere, L. &amp; Nicolotti, G. </w:t>
      </w:r>
      <w:r>
        <w:rPr>
          <w:lang w:val="en-GB"/>
        </w:rPr>
        <w:t>2009. Mycobiota inhabiting sapwood of healthy and declining Scots pine (</w:t>
      </w:r>
      <w:r>
        <w:rPr>
          <w:i/>
          <w:lang w:val="en-GB"/>
        </w:rPr>
        <w:t>Pinus sylvestris</w:t>
      </w:r>
      <w:r>
        <w:rPr>
          <w:lang w:val="en-GB"/>
        </w:rPr>
        <w:t xml:space="preserve"> L.) trees in the Alps. </w:t>
      </w:r>
      <w:r>
        <w:rPr>
          <w:i/>
          <w:lang w:val="en-GB"/>
        </w:rPr>
        <w:t>Fungal Diversity</w:t>
      </w:r>
      <w:r>
        <w:rPr>
          <w:lang w:val="en-GB"/>
        </w:rPr>
        <w:t xml:space="preserve">, 38: 69–83. </w:t>
      </w:r>
      <w:hyperlink w:history="1" r:id="rId60">
        <w:r>
          <w:rPr>
            <w:rStyle w:val="Hyperlink"/>
            <w:iCs/>
            <w:lang w:val="en-GB"/>
          </w:rPr>
          <w:t>www.fungaldiversity.org/fdp/sfdp/FD38-4.pdf</w:t>
        </w:r>
      </w:hyperlink>
    </w:p>
    <w:p w14:paraId="346CFD07" w14:textId="41F8BFC3">
      <w:pPr>
        <w:pStyle w:val="IPPParagraphnumbering"/>
        <w:numPr>
          <w:ilvl w:val="0"/>
          <w:numId w:val="0"/>
        </w:numPr>
        <w:rPr>
          <w:lang w:val="en-GB"/>
        </w:rPr>
      </w:pPr>
      <w:r>
        <w:rPr>
          <w:rStyle w:val="PleaseReviewParagraphId"/>
          <w:b w:val="off"/>
          <w:i w:val="off"/>
        </w:rPr>
        <w:t>[824]</w:t>
      </w:r>
      <w:r>
        <w:rPr>
          <w:b/>
          <w:bCs/>
          <w:lang w:val="en-GB"/>
        </w:rPr>
        <w:t>Giordano, L., Sillo, F., Garbelotto, M. &amp; Gonthier, P.</w:t>
      </w:r>
      <w:r>
        <w:rPr>
          <w:lang w:val="en-GB"/>
        </w:rPr>
        <w:t xml:space="preserve"> 2018. Mitonuclear interactions may contribute to fitness of fungal hybrids. </w:t>
      </w:r>
      <w:r>
        <w:rPr>
          <w:i/>
          <w:lang w:val="en-GB"/>
        </w:rPr>
        <w:t>Scientific Reports</w:t>
      </w:r>
      <w:r>
        <w:rPr>
          <w:iCs/>
          <w:lang w:val="en-GB"/>
        </w:rPr>
        <w:t>,</w:t>
      </w:r>
      <w:r>
        <w:rPr>
          <w:lang w:val="en-GB"/>
        </w:rPr>
        <w:t xml:space="preserve"> 8: 1706. </w:t>
      </w:r>
      <w:hyperlink w:history="1" r:id="rId61">
        <w:r>
          <w:rPr>
            <w:rStyle w:val="Hyperlink"/>
            <w:lang w:val="en-GB"/>
          </w:rPr>
          <w:t>https://doi.org/10.1038/s41598-018-19922-w</w:t>
        </w:r>
      </w:hyperlink>
    </w:p>
    <w:p w14:paraId="421209F4" w14:textId="77777777">
      <w:pPr>
        <w:pStyle w:val="IPPParagraphnumbering"/>
        <w:numPr>
          <w:ilvl w:val="0"/>
          <w:numId w:val="0"/>
        </w:numPr>
        <w:rPr>
          <w:lang w:val="en-GB"/>
        </w:rPr>
      </w:pPr>
      <w:r>
        <w:rPr>
          <w:rStyle w:val="PleaseReviewParagraphId"/>
          <w:b w:val="off"/>
          <w:i w:val="off"/>
        </w:rPr>
        <w:t>[825]</w:t>
      </w:r>
      <w:r>
        <w:rPr>
          <w:b/>
          <w:bCs/>
          <w:lang w:val="en-GB"/>
        </w:rPr>
        <w:t xml:space="preserve">Gonthier, P., Anselmi, N., Capretti, P., Bussotti, F., Feducci, M., Giordano, L., Honorati, T. </w:t>
      </w:r>
      <w:r>
        <w:rPr>
          <w:b/>
          <w:bCs/>
          <w:i/>
          <w:lang w:val="en-GB"/>
        </w:rPr>
        <w:t>et al.</w:t>
      </w:r>
      <w:r>
        <w:rPr>
          <w:b/>
          <w:bCs/>
          <w:lang w:val="en-GB"/>
        </w:rPr>
        <w:t xml:space="preserve"> </w:t>
      </w:r>
      <w:r>
        <w:rPr>
          <w:lang w:val="en-GB"/>
        </w:rPr>
        <w:t xml:space="preserve">2014. An integrated approach to control the introduced forest pathogen </w:t>
      </w:r>
      <w:r>
        <w:rPr>
          <w:i/>
          <w:lang w:val="en-GB"/>
        </w:rPr>
        <w:t>Heterobasidion irregulare</w:t>
      </w:r>
      <w:r>
        <w:rPr>
          <w:lang w:val="en-GB"/>
        </w:rPr>
        <w:t xml:space="preserve"> in Europe. </w:t>
      </w:r>
      <w:r>
        <w:rPr>
          <w:i/>
          <w:lang w:val="en-GB"/>
        </w:rPr>
        <w:t>Forestry</w:t>
      </w:r>
      <w:r>
        <w:rPr>
          <w:lang w:val="en-GB"/>
        </w:rPr>
        <w:t xml:space="preserve">, 87: 471–481. </w:t>
      </w:r>
      <w:hyperlink w:history="1" r:id="rId62">
        <w:r>
          <w:rPr>
            <w:rStyle w:val="Hyperlink"/>
            <w:lang w:val="en-GB"/>
          </w:rPr>
          <w:t>https://doi.org/10.1093/forestry/cpu015</w:t>
        </w:r>
      </w:hyperlink>
    </w:p>
    <w:p w14:paraId="163637C1" w14:textId="77777777">
      <w:pPr>
        <w:pStyle w:val="IPPParagraphnumbering"/>
        <w:numPr>
          <w:ilvl w:val="0"/>
          <w:numId w:val="0"/>
        </w:numPr>
        <w:rPr>
          <w:b/>
          <w:bCs/>
          <w:lang w:val="en-GB"/>
        </w:rPr>
      </w:pPr>
      <w:r>
        <w:rPr>
          <w:rStyle w:val="PleaseReviewParagraphId"/>
          <w:b w:val="off"/>
          <w:i w:val="off"/>
        </w:rPr>
        <w:t>[826]</w:t>
      </w:r>
      <w:r>
        <w:rPr>
          <w:b/>
          <w:bCs/>
          <w:lang w:val="en-GB"/>
        </w:rPr>
        <w:t xml:space="preserve">Gonthier, P., Garbelotto, M. &amp; Nicolotti, G. </w:t>
      </w:r>
      <w:r>
        <w:rPr>
          <w:lang w:val="en-GB"/>
        </w:rPr>
        <w:t xml:space="preserve">2003. Swiss stone pine trees and spruce stumps represent an important habitat for </w:t>
      </w:r>
      <w:r>
        <w:rPr>
          <w:i/>
          <w:lang w:val="en-GB"/>
        </w:rPr>
        <w:t>Heterobasidion</w:t>
      </w:r>
      <w:r>
        <w:rPr>
          <w:lang w:val="en-GB"/>
        </w:rPr>
        <w:t xml:space="preserve"> spp. in subalpine forests. </w:t>
      </w:r>
      <w:r>
        <w:rPr>
          <w:i/>
          <w:lang w:val="en-GB"/>
        </w:rPr>
        <w:t>Forest Pathology</w:t>
      </w:r>
      <w:r>
        <w:rPr>
          <w:lang w:val="en-GB"/>
        </w:rPr>
        <w:t xml:space="preserve">, 33: 191–203. </w:t>
      </w:r>
      <w:hyperlink w:history="1" r:id="rId63">
        <w:r>
          <w:rPr>
            <w:rStyle w:val="Hyperlink"/>
            <w:lang w:val="en-GB"/>
          </w:rPr>
          <w:t>https://doi.org/10.1046/j.1439-0329.2003.00323.x</w:t>
        </w:r>
      </w:hyperlink>
    </w:p>
    <w:p w14:paraId="3C25E8EF" w14:textId="7538DADC">
      <w:pPr>
        <w:pStyle w:val="IPPParagraphnumbering"/>
        <w:numPr>
          <w:ilvl w:val="0"/>
          <w:numId w:val="0"/>
        </w:numPr>
        <w:rPr>
          <w:lang w:val="en-GB"/>
        </w:rPr>
      </w:pPr>
      <w:r>
        <w:rPr>
          <w:rStyle w:val="PleaseReviewParagraphId"/>
          <w:b w:val="off"/>
          <w:i w:val="off"/>
        </w:rPr>
        <w:t>[827]</w:t>
      </w:r>
      <w:r>
        <w:rPr>
          <w:b/>
          <w:bCs/>
          <w:lang w:val="en-GB"/>
        </w:rPr>
        <w:t xml:space="preserve">Gonthier, P., Garbelotto, M., Varese, G.C. &amp; Nicolotti, G. </w:t>
      </w:r>
      <w:r>
        <w:rPr>
          <w:lang w:val="en-GB"/>
        </w:rPr>
        <w:t xml:space="preserve">2001. Relative abundance and potential dispersal range of intersterility groups of </w:t>
      </w:r>
      <w:r>
        <w:rPr>
          <w:i/>
          <w:lang w:val="en-GB"/>
        </w:rPr>
        <w:t>Heterobasidion annosum</w:t>
      </w:r>
      <w:r>
        <w:rPr>
          <w:lang w:val="en-GB"/>
        </w:rPr>
        <w:t xml:space="preserve"> in pure and mixed forests. </w:t>
      </w:r>
      <w:r>
        <w:rPr>
          <w:i/>
          <w:lang w:val="en-GB"/>
        </w:rPr>
        <w:t>Canadian Journal of Botany</w:t>
      </w:r>
      <w:r>
        <w:rPr>
          <w:lang w:val="en-GB"/>
        </w:rPr>
        <w:t xml:space="preserve">, 79: 1057–1065. </w:t>
      </w:r>
      <w:hyperlink w:history="1" r:id="rId64">
        <w:r>
          <w:rPr>
            <w:rStyle w:val="Hyperlink"/>
            <w:lang w:val="en-GB"/>
          </w:rPr>
          <w:t>https://doi.org/10.1139/b01-090</w:t>
        </w:r>
      </w:hyperlink>
    </w:p>
    <w:p w14:paraId="33C19377" w14:textId="77777777">
      <w:pPr>
        <w:pStyle w:val="IPPParagraphnumbering"/>
        <w:numPr>
          <w:ilvl w:val="0"/>
          <w:numId w:val="0"/>
        </w:numPr>
        <w:rPr>
          <w:lang w:val="en-GB"/>
        </w:rPr>
      </w:pPr>
      <w:r>
        <w:rPr>
          <w:rStyle w:val="PleaseReviewParagraphId"/>
          <w:b w:val="off"/>
          <w:i w:val="off"/>
        </w:rPr>
        <w:t>[828]</w:t>
      </w:r>
      <w:r>
        <w:rPr>
          <w:b/>
          <w:bCs/>
          <w:lang w:val="en-GB"/>
        </w:rPr>
        <w:t xml:space="preserve">Gonthier, P., Nicolotti, G., Linzer, R., Guglielmo, F. &amp; Garbelotto, M. </w:t>
      </w:r>
      <w:r>
        <w:rPr>
          <w:lang w:val="en-GB"/>
        </w:rPr>
        <w:t xml:space="preserve">2007. Invasion of European pine stands by a North American forest pathogen and its hybridization with a native interfertile taxon. </w:t>
      </w:r>
      <w:r>
        <w:rPr>
          <w:i/>
          <w:lang w:val="en-GB"/>
        </w:rPr>
        <w:t>Molecular Ecology</w:t>
      </w:r>
      <w:r>
        <w:rPr>
          <w:lang w:val="en-GB"/>
        </w:rPr>
        <w:t xml:space="preserve">, 16: 1389–1400. </w:t>
      </w:r>
      <w:hyperlink w:history="1" r:id="rId65">
        <w:r>
          <w:rPr>
            <w:rStyle w:val="Hyperlink"/>
            <w:lang w:val="en-GB"/>
          </w:rPr>
          <w:t>https://doi.org/10.1111/j.1365-294X.2007.03250.x</w:t>
        </w:r>
      </w:hyperlink>
    </w:p>
    <w:p w14:paraId="2E138994" w14:textId="1A158885">
      <w:pPr>
        <w:pStyle w:val="IPPParagraphnumbering"/>
        <w:numPr>
          <w:ilvl w:val="0"/>
          <w:numId w:val="0"/>
        </w:numPr>
        <w:rPr>
          <w:lang w:val="en-GB"/>
        </w:rPr>
      </w:pPr>
      <w:r>
        <w:rPr>
          <w:rStyle w:val="PleaseReviewParagraphId"/>
          <w:b w:val="off"/>
          <w:i w:val="off"/>
        </w:rPr>
        <w:t>[829]</w:t>
      </w:r>
      <w:r>
        <w:rPr>
          <w:b/>
          <w:bCs/>
          <w:lang w:val="en-GB"/>
        </w:rPr>
        <w:lastRenderedPageBreak/>
        <w:t xml:space="preserve">Gonthier, P. &amp; Thor, M. </w:t>
      </w:r>
      <w:r>
        <w:rPr>
          <w:lang w:val="en-GB"/>
        </w:rPr>
        <w:t xml:space="preserve">2013. Annosus root and butt rots. In: P. Gonthier &amp; G. Nicolotti, eds. </w:t>
      </w:r>
      <w:r>
        <w:rPr>
          <w:i/>
          <w:lang w:val="en-GB"/>
        </w:rPr>
        <w:t>Infectious forest diseases</w:t>
      </w:r>
      <w:r>
        <w:rPr>
          <w:lang w:val="en-GB"/>
        </w:rPr>
        <w:t xml:space="preserve">, pp. 128–158. Wallingford, UK, CABI. 641 pp. </w:t>
      </w:r>
      <w:hyperlink w:history="1" r:id="rId66">
        <w:r>
          <w:rPr>
            <w:rStyle w:val="Hyperlink"/>
            <w:lang w:val="en-GB"/>
          </w:rPr>
          <w:t>https://doi.org/10.1079/9781780640402.0128</w:t>
        </w:r>
      </w:hyperlink>
    </w:p>
    <w:p w14:paraId="13E6AC6A" w14:textId="59491894">
      <w:pPr>
        <w:pStyle w:val="IPPParagraphnumbering"/>
        <w:numPr>
          <w:ilvl w:val="0"/>
          <w:numId w:val="0"/>
        </w:numPr>
        <w:rPr>
          <w:lang w:val="en-GB"/>
        </w:rPr>
      </w:pPr>
      <w:r>
        <w:rPr>
          <w:rStyle w:val="PleaseReviewParagraphId"/>
          <w:b w:val="off"/>
          <w:i w:val="off"/>
        </w:rPr>
        <w:t>[830]</w:t>
      </w:r>
      <w:r>
        <w:rPr>
          <w:b/>
          <w:bCs/>
          <w:lang w:val="en-GB"/>
        </w:rPr>
        <w:t xml:space="preserve">Gonthier, P., Warner, R., Nicolotti, G., Mazzaglia, A. &amp; Garbelotto, M.M. </w:t>
      </w:r>
      <w:r>
        <w:rPr>
          <w:lang w:val="en-GB"/>
        </w:rPr>
        <w:t xml:space="preserve">2004. Pathogen introduction as a collateral effect of military activity. </w:t>
      </w:r>
      <w:r>
        <w:rPr>
          <w:i/>
          <w:lang w:val="en-GB"/>
        </w:rPr>
        <w:t>Mycological Research</w:t>
      </w:r>
      <w:r>
        <w:rPr>
          <w:lang w:val="en-GB"/>
        </w:rPr>
        <w:t xml:space="preserve">, 108: 468–470. </w:t>
      </w:r>
      <w:hyperlink w:tgtFrame="_blank" w:tooltip="Persistent link using digital object identifier" w:history="1" r:id="rId67">
        <w:r>
          <w:rPr>
            <w:rStyle w:val="Hyperlink"/>
            <w:lang w:val="en-GB"/>
          </w:rPr>
          <w:t>https://doi.org/10.1017/S0953756204240369</w:t>
        </w:r>
      </w:hyperlink>
    </w:p>
    <w:p w14:paraId="2AD601A8" w14:textId="543A9628">
      <w:pPr>
        <w:pStyle w:val="IPPParagraphnumbering"/>
        <w:numPr>
          <w:ilvl w:val="0"/>
          <w:numId w:val="0"/>
        </w:numPr>
        <w:rPr>
          <w:lang w:val="en-GB"/>
        </w:rPr>
      </w:pPr>
      <w:r>
        <w:rPr>
          <w:rStyle w:val="PleaseReviewParagraphId"/>
          <w:b w:val="off"/>
          <w:i w:val="off"/>
        </w:rPr>
        <w:t>[831]</w:t>
      </w:r>
      <w:r>
        <w:rPr>
          <w:b/>
          <w:bCs/>
          <w:lang w:val="en-GB"/>
        </w:rPr>
        <w:t xml:space="preserve">Greig, B.J.W. </w:t>
      </w:r>
      <w:r>
        <w:rPr>
          <w:lang w:val="en-GB"/>
        </w:rPr>
        <w:t xml:space="preserve">1998. Field recognition and diagnosis of </w:t>
      </w:r>
      <w:r>
        <w:rPr>
          <w:i/>
          <w:lang w:val="en-GB"/>
        </w:rPr>
        <w:t>Heterobasidion annosum</w:t>
      </w:r>
      <w:r>
        <w:rPr>
          <w:lang w:val="en-GB"/>
        </w:rPr>
        <w:t xml:space="preserve">. In: S. Woodward, J. Stenlid, R. Karjalainen &amp; A. Hüttermann, eds. </w:t>
      </w:r>
      <w:r>
        <w:rPr>
          <w:i/>
          <w:lang w:val="en-GB"/>
        </w:rPr>
        <w:t>Heterobasidion annosum – Biology, ecology, impact and control</w:t>
      </w:r>
      <w:r>
        <w:rPr>
          <w:lang w:val="en-GB"/>
        </w:rPr>
        <w:t>, pp. 35–41. Wallingford, UK, CABI. 589 pp.</w:t>
      </w:r>
    </w:p>
    <w:p w14:paraId="08E26824" w14:textId="7BE7F34B">
      <w:pPr>
        <w:pStyle w:val="IPPParagraphnumbering"/>
        <w:numPr>
          <w:ilvl w:val="0"/>
          <w:numId w:val="0"/>
        </w:numPr>
        <w:rPr>
          <w:lang w:val="en-GB"/>
        </w:rPr>
      </w:pPr>
      <w:r>
        <w:rPr>
          <w:rStyle w:val="PleaseReviewParagraphId"/>
          <w:b w:val="off"/>
          <w:i w:val="off"/>
        </w:rPr>
        <w:t>[832]</w:t>
      </w:r>
      <w:r>
        <w:rPr>
          <w:b/>
          <w:bCs/>
          <w:lang w:val="en-GB"/>
        </w:rPr>
        <w:t xml:space="preserve">Guglielmo, F., Gonthier, P., Garbelotto, M. &amp; Nicolotti, G. </w:t>
      </w:r>
      <w:r>
        <w:rPr>
          <w:lang w:val="en-GB"/>
        </w:rPr>
        <w:t xml:space="preserve">2010. Optimization of sampling procedures for DNA-based diagnosis of wood decay fungi in standing trees. </w:t>
      </w:r>
      <w:r>
        <w:rPr>
          <w:i/>
          <w:lang w:val="en-GB"/>
        </w:rPr>
        <w:t>Letters in Applied Microbiology</w:t>
      </w:r>
      <w:r>
        <w:rPr>
          <w:lang w:val="en-GB"/>
        </w:rPr>
        <w:t xml:space="preserve">, 51: 90–97. </w:t>
      </w:r>
      <w:hyperlink w:history="1" r:id="rId68">
        <w:r>
          <w:rPr>
            <w:rStyle w:val="Hyperlink"/>
            <w:lang w:val="en-GB"/>
          </w:rPr>
          <w:t>https://doi.org/10.1111/j.1472-765X.2010.02860.x</w:t>
        </w:r>
      </w:hyperlink>
    </w:p>
    <w:p w14:paraId="08E80B3A" w14:textId="1F24FAD9">
      <w:pPr>
        <w:pStyle w:val="IPPParagraphnumbering"/>
        <w:numPr>
          <w:ilvl w:val="0"/>
          <w:numId w:val="0"/>
        </w:numPr>
        <w:rPr>
          <w:lang w:val="en-GB"/>
        </w:rPr>
      </w:pPr>
      <w:r>
        <w:rPr>
          <w:rStyle w:val="PleaseReviewParagraphId"/>
          <w:b w:val="off"/>
          <w:i w:val="off"/>
        </w:rPr>
        <w:t>[833]</w:t>
      </w:r>
      <w:r>
        <w:rPr>
          <w:b/>
          <w:bCs/>
          <w:lang w:val="en-GB"/>
        </w:rPr>
        <w:t xml:space="preserve">Guillaumin, J.J., &amp; Legrand, P. </w:t>
      </w:r>
      <w:r>
        <w:rPr>
          <w:lang w:val="en-GB"/>
        </w:rPr>
        <w:t>2013. Armillaria root rots.</w:t>
      </w:r>
      <w:r>
        <w:rPr>
          <w:i/>
          <w:lang w:val="en-GB"/>
        </w:rPr>
        <w:t xml:space="preserve"> </w:t>
      </w:r>
      <w:r>
        <w:rPr>
          <w:lang w:val="en-GB"/>
        </w:rPr>
        <w:t xml:space="preserve">In: P. Gonthier &amp; G. Nicolotti, eds. </w:t>
      </w:r>
      <w:r>
        <w:rPr>
          <w:i/>
          <w:lang w:val="en-GB"/>
        </w:rPr>
        <w:t>Infectious forest diseases</w:t>
      </w:r>
      <w:r>
        <w:rPr>
          <w:lang w:val="en-GB"/>
        </w:rPr>
        <w:t xml:space="preserve">, pp. 159–177. Wallingford, UK, CABI. 641 pp. </w:t>
      </w:r>
      <w:hyperlink w:history="1" r:id="rId69">
        <w:r>
          <w:rPr>
            <w:rStyle w:val="Hyperlink"/>
            <w:lang w:val="en-GB"/>
          </w:rPr>
          <w:t>https://doi.org/10.1079/9781780640402.0128</w:t>
        </w:r>
      </w:hyperlink>
    </w:p>
    <w:p w14:paraId="17711112" w14:textId="3ACF25B6">
      <w:pPr>
        <w:pStyle w:val="IPPParagraphnumbering"/>
        <w:numPr>
          <w:ilvl w:val="0"/>
          <w:numId w:val="0"/>
        </w:numPr>
        <w:rPr>
          <w:lang w:val="en-GB"/>
        </w:rPr>
      </w:pPr>
      <w:r>
        <w:rPr>
          <w:rStyle w:val="PleaseReviewParagraphId"/>
          <w:b w:val="off"/>
          <w:i w:val="off"/>
        </w:rPr>
        <w:t>[834]</w:t>
      </w:r>
      <w:r>
        <w:rPr>
          <w:b/>
          <w:bCs/>
          <w:lang w:val="en-GB"/>
        </w:rPr>
        <w:t>Ioos, R., Chrétien, P., Perrault, J., Jeandel, C., Dutech, C., Gonthier, P., Sillo, F., Hietala, A.M., Solheim, H. &amp; Hubert, J.</w:t>
      </w:r>
      <w:r>
        <w:rPr>
          <w:lang w:val="en-GB"/>
        </w:rPr>
        <w:t xml:space="preserve"> 2019. Multiplex real-time PCR assays for the detection and identification of </w:t>
      </w:r>
      <w:r>
        <w:rPr>
          <w:i/>
          <w:lang w:val="en-GB"/>
        </w:rPr>
        <w:t>Heterobasidion</w:t>
      </w:r>
      <w:r>
        <w:rPr>
          <w:lang w:val="en-GB"/>
        </w:rPr>
        <w:t xml:space="preserve"> species attacking conifers in Europe. </w:t>
      </w:r>
      <w:r>
        <w:rPr>
          <w:i/>
          <w:lang w:val="en-GB"/>
        </w:rPr>
        <w:t>Plant Pathology</w:t>
      </w:r>
      <w:r>
        <w:rPr>
          <w:lang w:val="en-GB"/>
        </w:rPr>
        <w:t xml:space="preserve">, 68: 1493–1507. </w:t>
      </w:r>
      <w:hyperlink w:history="1" r:id="rId70">
        <w:r>
          <w:rPr>
            <w:rStyle w:val="Hyperlink"/>
            <w:lang w:val="en-GB"/>
          </w:rPr>
          <w:t>https://doi.org/10.1111/ppa.13071</w:t>
        </w:r>
      </w:hyperlink>
    </w:p>
    <w:p w14:paraId="5D6DF0A3" w14:textId="772D1BB3">
      <w:pPr>
        <w:pStyle w:val="IPPParagraphnumbering"/>
        <w:numPr>
          <w:ilvl w:val="0"/>
          <w:numId w:val="0"/>
        </w:numPr>
        <w:rPr>
          <w:lang w:val="en-GB"/>
        </w:rPr>
      </w:pPr>
      <w:r>
        <w:rPr>
          <w:rStyle w:val="PleaseReviewParagraphId"/>
          <w:b w:val="off"/>
          <w:i w:val="off"/>
        </w:rPr>
        <w:t>[835]</w:t>
      </w:r>
      <w:r>
        <w:rPr>
          <w:b/>
          <w:bCs/>
          <w:lang w:val="en-GB"/>
        </w:rPr>
        <w:t>James, R.L. &amp; Cobb, F.W.</w:t>
      </w:r>
      <w:r>
        <w:rPr>
          <w:lang w:val="en-GB"/>
        </w:rPr>
        <w:t xml:space="preserve"> 1984. Spore deposition by </w:t>
      </w:r>
      <w:r>
        <w:rPr>
          <w:i/>
          <w:lang w:val="en-GB"/>
        </w:rPr>
        <w:t>Heterobasidion annosum</w:t>
      </w:r>
      <w:r>
        <w:rPr>
          <w:lang w:val="en-GB"/>
        </w:rPr>
        <w:t xml:space="preserve"> in forests of California. </w:t>
      </w:r>
      <w:r>
        <w:rPr>
          <w:i/>
          <w:lang w:val="en-GB"/>
        </w:rPr>
        <w:t>Plant Disease</w:t>
      </w:r>
      <w:r>
        <w:rPr>
          <w:lang w:val="en-GB"/>
        </w:rPr>
        <w:t xml:space="preserve">, 68: 246–248. </w:t>
      </w:r>
      <w:hyperlink w:history="1" r:id="rId71">
        <w:r>
          <w:rPr>
            <w:rStyle w:val="Hyperlink"/>
            <w:iCs/>
            <w:lang w:val="en-GB"/>
          </w:rPr>
          <w:t>https://doi.org/</w:t>
        </w:r>
        <w:r>
          <w:rPr>
            <w:rStyle w:val="Hyperlink"/>
            <w:shd w:val="clear" w:color="auto" w:fill="FFFFFF"/>
            <w:lang w:val="en-GB"/>
          </w:rPr>
          <w:t>10.1094/PD-68-246</w:t>
        </w:r>
      </w:hyperlink>
    </w:p>
    <w:p w14:paraId="46DA460F" w14:textId="1C441A90">
      <w:pPr>
        <w:pStyle w:val="IPPParagraphnumbering"/>
        <w:numPr>
          <w:ilvl w:val="0"/>
          <w:numId w:val="0"/>
        </w:numPr>
        <w:rPr>
          <w:b/>
          <w:bCs/>
          <w:lang w:val="en-GB"/>
        </w:rPr>
      </w:pPr>
      <w:r>
        <w:rPr>
          <w:rStyle w:val="PleaseReviewParagraphId"/>
          <w:b w:val="off"/>
          <w:i w:val="off"/>
        </w:rPr>
        <w:t>[836]</w:t>
      </w:r>
      <w:r>
        <w:rPr>
          <w:b/>
          <w:bCs/>
          <w:lang w:val="en-GB"/>
        </w:rPr>
        <w:t xml:space="preserve">Jang, Y., Jang, S., Lim, Y.W., Kim, C. &amp; Kim, J.-J. </w:t>
      </w:r>
      <w:r>
        <w:rPr>
          <w:lang w:val="en-GB"/>
        </w:rPr>
        <w:t xml:space="preserve">2014. Taxonomy and phylogeny of </w:t>
      </w:r>
      <w:r>
        <w:rPr>
          <w:i/>
          <w:lang w:val="en-GB"/>
        </w:rPr>
        <w:t>Heterobasidion</w:t>
      </w:r>
      <w:r>
        <w:rPr>
          <w:lang w:val="en-GB"/>
        </w:rPr>
        <w:t xml:space="preserve"> in South Korea. </w:t>
      </w:r>
      <w:r>
        <w:rPr>
          <w:i/>
          <w:lang w:val="en-GB"/>
        </w:rPr>
        <w:t>Mycotaxon</w:t>
      </w:r>
      <w:r>
        <w:rPr>
          <w:lang w:val="en-GB"/>
        </w:rPr>
        <w:t xml:space="preserve">, 129: 47–56. </w:t>
      </w:r>
      <w:hyperlink w:history="1" r:id="rId72">
        <w:r>
          <w:rPr>
            <w:rStyle w:val="Hyperlink"/>
            <w:lang w:val="en-GB"/>
          </w:rPr>
          <w:t>https://doi.org/10.5248/129.47</w:t>
        </w:r>
      </w:hyperlink>
    </w:p>
    <w:p w14:paraId="7657591F" w14:textId="128540F5">
      <w:pPr>
        <w:pStyle w:val="IPPParagraphnumbering"/>
        <w:numPr>
          <w:ilvl w:val="0"/>
          <w:numId w:val="0"/>
        </w:numPr>
        <w:rPr>
          <w:lang w:val="en-GB"/>
        </w:rPr>
      </w:pPr>
      <w:r>
        <w:rPr>
          <w:rStyle w:val="PleaseReviewParagraphId"/>
          <w:b w:val="off"/>
          <w:i w:val="off"/>
        </w:rPr>
        <w:t>[837]</w:t>
      </w:r>
      <w:r>
        <w:rPr>
          <w:b/>
          <w:bCs/>
          <w:lang w:val="en-GB"/>
        </w:rPr>
        <w:t>Johannesson, H. &amp; Stenlid, J.</w:t>
      </w:r>
      <w:r>
        <w:rPr>
          <w:lang w:val="en-GB"/>
        </w:rPr>
        <w:t xml:space="preserve"> 2003. Molecular markers reveal genetic isolation and phylogeography of the S and F intersterility groups of the wood-decay fungus </w:t>
      </w:r>
      <w:r>
        <w:rPr>
          <w:i/>
          <w:iCs/>
          <w:lang w:val="en-GB"/>
        </w:rPr>
        <w:t>Heterobasidion annosum</w:t>
      </w:r>
      <w:r>
        <w:rPr>
          <w:lang w:val="en-GB"/>
        </w:rPr>
        <w:t xml:space="preserve">. </w:t>
      </w:r>
      <w:r>
        <w:rPr>
          <w:i/>
          <w:iCs/>
          <w:lang w:val="en-GB"/>
        </w:rPr>
        <w:t>Molecular Phylogenetics and Evolution</w:t>
      </w:r>
      <w:r>
        <w:rPr>
          <w:lang w:val="en-GB"/>
        </w:rPr>
        <w:t xml:space="preserve">, 29: 94–101. </w:t>
      </w:r>
      <w:hyperlink w:tgtFrame="_blank" w:tooltip="Persistent link using digital object identifier" w:history="1" r:id="rId73">
        <w:r>
          <w:rPr>
            <w:rStyle w:val="Hyperlink"/>
            <w:lang w:val="en-GB"/>
          </w:rPr>
          <w:t>https://doi.org/10.1016/S1055-7903(03)00087-3</w:t>
        </w:r>
      </w:hyperlink>
    </w:p>
    <w:p w14:paraId="1A96CFB5" w14:textId="6F3599BA">
      <w:pPr>
        <w:pStyle w:val="IPPParagraphnumbering"/>
        <w:numPr>
          <w:ilvl w:val="0"/>
          <w:numId w:val="0"/>
        </w:numPr>
        <w:rPr>
          <w:lang w:val="en-GB"/>
        </w:rPr>
      </w:pPr>
      <w:r>
        <w:rPr>
          <w:rStyle w:val="PleaseReviewParagraphId"/>
          <w:b w:val="off"/>
          <w:i w:val="off"/>
        </w:rPr>
        <w:t>[838]</w:t>
      </w:r>
      <w:r>
        <w:rPr>
          <w:b/>
          <w:bCs/>
          <w:lang w:val="en-GB"/>
        </w:rPr>
        <w:t xml:space="preserve">Kadlec, Z., Starý, P. &amp; Zumr, V. </w:t>
      </w:r>
      <w:r>
        <w:rPr>
          <w:lang w:val="en-GB"/>
        </w:rPr>
        <w:t xml:space="preserve">1992. Field evidence for the large pine weevil, </w:t>
      </w:r>
      <w:r>
        <w:rPr>
          <w:i/>
          <w:lang w:val="en-GB"/>
        </w:rPr>
        <w:t>Hylobius abietis</w:t>
      </w:r>
      <w:r>
        <w:rPr>
          <w:lang w:val="en-GB"/>
        </w:rPr>
        <w:t xml:space="preserve"> as a vector of </w:t>
      </w:r>
      <w:r>
        <w:rPr>
          <w:i/>
          <w:lang w:val="en-GB"/>
        </w:rPr>
        <w:t>Heterobasidion annosum</w:t>
      </w:r>
      <w:r>
        <w:rPr>
          <w:lang w:val="en-GB"/>
        </w:rPr>
        <w:t xml:space="preserve">. </w:t>
      </w:r>
      <w:r>
        <w:rPr>
          <w:i/>
          <w:lang w:val="en-GB"/>
        </w:rPr>
        <w:t>European Journal of Forest Pathology</w:t>
      </w:r>
      <w:r>
        <w:rPr>
          <w:lang w:val="en-GB"/>
        </w:rPr>
        <w:t xml:space="preserve">, 22: 316–318. </w:t>
      </w:r>
      <w:hyperlink w:history="1" r:id="rId74">
        <w:r>
          <w:rPr>
            <w:rStyle w:val="Hyperlink"/>
            <w:lang w:val="en-GB"/>
          </w:rPr>
          <w:t>https://doi.org/10.1111/j.1439-0329.1992.tb00799.x</w:t>
        </w:r>
      </w:hyperlink>
    </w:p>
    <w:p w14:paraId="60696762" w14:textId="68B81F36">
      <w:pPr>
        <w:pStyle w:val="IPPParagraphnumbering"/>
        <w:numPr>
          <w:ilvl w:val="0"/>
          <w:numId w:val="0"/>
        </w:numPr>
        <w:rPr>
          <w:lang w:val="en-GB"/>
        </w:rPr>
      </w:pPr>
      <w:r>
        <w:rPr>
          <w:rStyle w:val="PleaseReviewParagraphId"/>
          <w:b w:val="off"/>
          <w:i w:val="off"/>
        </w:rPr>
        <w:t>[839]</w:t>
      </w:r>
      <w:r>
        <w:rPr>
          <w:b/>
          <w:bCs/>
          <w:lang w:val="en-GB"/>
        </w:rPr>
        <w:t xml:space="preserve">Kasuga, T., Woods, C., Woodward, S. &amp; Mitchelson, K. </w:t>
      </w:r>
      <w:r>
        <w:rPr>
          <w:lang w:val="en-GB"/>
        </w:rPr>
        <w:t xml:space="preserve">1993. </w:t>
      </w:r>
      <w:r>
        <w:rPr>
          <w:i/>
          <w:lang w:val="en-GB"/>
        </w:rPr>
        <w:t>Heterobasidion annosum</w:t>
      </w:r>
      <w:r>
        <w:rPr>
          <w:lang w:val="en-GB"/>
        </w:rPr>
        <w:t xml:space="preserve"> 5.8S ribosomal DNA and internal transcribed spacer sequence: rapid identification of European intersterility groups by ribosomal DNA restriction polymorphism. </w:t>
      </w:r>
      <w:r>
        <w:rPr>
          <w:i/>
          <w:lang w:val="en-GB"/>
        </w:rPr>
        <w:t>Current Genetics</w:t>
      </w:r>
      <w:r>
        <w:rPr>
          <w:lang w:val="en-GB"/>
        </w:rPr>
        <w:t xml:space="preserve">, 24: 433–436. </w:t>
      </w:r>
      <w:hyperlink w:history="1" r:id="rId75">
        <w:r>
          <w:rPr>
            <w:rStyle w:val="Hyperlink"/>
            <w:lang w:val="en-GB"/>
          </w:rPr>
          <w:t>https://doi.org/10.1007/BF00351853</w:t>
        </w:r>
      </w:hyperlink>
    </w:p>
    <w:p w14:paraId="320320E2" w14:textId="5616BA54">
      <w:pPr>
        <w:pStyle w:val="IPPParagraphnumbering"/>
        <w:numPr>
          <w:ilvl w:val="0"/>
          <w:numId w:val="0"/>
        </w:numPr>
        <w:rPr>
          <w:b/>
          <w:bCs/>
          <w:lang w:val="en-GB"/>
        </w:rPr>
      </w:pPr>
      <w:r>
        <w:rPr>
          <w:rStyle w:val="PleaseReviewParagraphId"/>
          <w:b w:val="off"/>
          <w:i w:val="off"/>
        </w:rPr>
        <w:t>[840]</w:t>
      </w:r>
      <w:r>
        <w:rPr>
          <w:b/>
          <w:bCs/>
          <w:lang w:val="en-GB"/>
        </w:rPr>
        <w:t>Korhonen, K.</w:t>
      </w:r>
      <w:r>
        <w:rPr>
          <w:lang w:val="en-GB"/>
        </w:rPr>
        <w:t xml:space="preserve"> 1978. Intersterility groups of </w:t>
      </w:r>
      <w:r>
        <w:rPr>
          <w:i/>
          <w:iCs/>
          <w:lang w:val="en-GB"/>
        </w:rPr>
        <w:t>Heterobasidion annosum</w:t>
      </w:r>
      <w:r>
        <w:rPr>
          <w:lang w:val="en-GB"/>
        </w:rPr>
        <w:t xml:space="preserve">. </w:t>
      </w:r>
      <w:r>
        <w:rPr>
          <w:i/>
          <w:iCs/>
          <w:lang w:val="en-GB"/>
        </w:rPr>
        <w:t>Communicationes Instituti Forestalis Fenniae</w:t>
      </w:r>
      <w:r>
        <w:rPr>
          <w:lang w:val="en-GB"/>
        </w:rPr>
        <w:t>, 94: 1–25.</w:t>
      </w:r>
    </w:p>
    <w:p w14:paraId="2551FA1F" w14:textId="3559B05D">
      <w:pPr>
        <w:pStyle w:val="IPPParagraphnumbering"/>
        <w:numPr>
          <w:ilvl w:val="0"/>
          <w:numId w:val="0"/>
        </w:numPr>
        <w:rPr>
          <w:lang w:val="en-GB"/>
        </w:rPr>
      </w:pPr>
      <w:r>
        <w:rPr>
          <w:rStyle w:val="PleaseReviewParagraphId"/>
          <w:b w:val="off"/>
          <w:i w:val="off"/>
        </w:rPr>
        <w:t>[841]</w:t>
      </w:r>
      <w:r>
        <w:rPr>
          <w:b/>
          <w:bCs/>
          <w:lang w:val="fi-FI"/>
        </w:rPr>
        <w:t>Korhonen, K., Capretti, P., Karjalainen, R. &amp; Stenlid, J.</w:t>
      </w:r>
      <w:r>
        <w:rPr>
          <w:lang w:val="fi-FI"/>
        </w:rPr>
        <w:t xml:space="preserve"> 1998. </w:t>
      </w:r>
      <w:r>
        <w:rPr>
          <w:lang w:val="en-GB"/>
        </w:rPr>
        <w:t xml:space="preserve">Distribution of </w:t>
      </w:r>
      <w:r>
        <w:rPr>
          <w:i/>
          <w:lang w:val="en-GB"/>
        </w:rPr>
        <w:t>Heterobasidion annosum</w:t>
      </w:r>
      <w:r>
        <w:rPr>
          <w:lang w:val="en-GB"/>
        </w:rPr>
        <w:t xml:space="preserve"> intersterility groups in Europe. </w:t>
      </w:r>
      <w:bookmarkStart w:name="_Hlk116935009" w:id="55"/>
      <w:r>
        <w:rPr>
          <w:lang w:val="en-GB"/>
        </w:rPr>
        <w:t xml:space="preserve">In: S. Woodward, J. Stenlid, R. Karjalainen &amp; A. Hüttermann, eds. </w:t>
      </w:r>
      <w:r>
        <w:rPr>
          <w:i/>
          <w:lang w:val="en-GB"/>
        </w:rPr>
        <w:t>Heterobasidion annosum – Biology, ecology, impact and control</w:t>
      </w:r>
      <w:r>
        <w:rPr>
          <w:lang w:val="en-GB"/>
        </w:rPr>
        <w:t>, pp. 93–104. Wallingford, UK, CABI. 589 pp.</w:t>
      </w:r>
    </w:p>
    <w:bookmarkEnd w:id="55"/>
    <w:p w14:paraId="10AD0648" w14:textId="2F748A85">
      <w:pPr>
        <w:pStyle w:val="IPPParagraphnumbering"/>
        <w:numPr>
          <w:ilvl w:val="0"/>
          <w:numId w:val="0"/>
        </w:numPr>
        <w:rPr>
          <w:lang w:val="en-GB"/>
        </w:rPr>
      </w:pPr>
      <w:r>
        <w:rPr>
          <w:rStyle w:val="PleaseReviewParagraphId"/>
          <w:b w:val="off"/>
          <w:i w:val="off"/>
        </w:rPr>
        <w:t>[842]</w:t>
      </w:r>
      <w:r>
        <w:rPr>
          <w:b/>
          <w:bCs/>
          <w:lang w:val="en-GB"/>
        </w:rPr>
        <w:t>Kuhlman, E.G. &amp; Hendrix Jr, F.F.</w:t>
      </w:r>
      <w:r>
        <w:rPr>
          <w:lang w:val="en-GB"/>
        </w:rPr>
        <w:t xml:space="preserve"> 1962. A selective medium for the isolation of </w:t>
      </w:r>
      <w:r>
        <w:rPr>
          <w:i/>
          <w:lang w:val="en-GB"/>
        </w:rPr>
        <w:t>Fomes annosus</w:t>
      </w:r>
      <w:r>
        <w:rPr>
          <w:lang w:val="en-GB"/>
        </w:rPr>
        <w:t xml:space="preserve">. </w:t>
      </w:r>
      <w:r>
        <w:rPr>
          <w:i/>
          <w:lang w:val="en-GB"/>
        </w:rPr>
        <w:t>Phytopathology</w:t>
      </w:r>
      <w:r>
        <w:rPr>
          <w:lang w:val="en-GB"/>
        </w:rPr>
        <w:t>, 52: 1310–1312.</w:t>
      </w:r>
    </w:p>
    <w:p w14:paraId="12019720" w14:textId="1D19BEA3">
      <w:pPr>
        <w:pStyle w:val="IPPParagraphnumbering"/>
        <w:numPr>
          <w:ilvl w:val="0"/>
          <w:numId w:val="0"/>
        </w:numPr>
        <w:rPr>
          <w:lang w:val="en-GB"/>
        </w:rPr>
      </w:pPr>
      <w:r>
        <w:rPr>
          <w:rStyle w:val="PleaseReviewParagraphId"/>
          <w:b w:val="off"/>
          <w:i w:val="off"/>
        </w:rPr>
        <w:t>[843]</w:t>
      </w:r>
      <w:r>
        <w:rPr>
          <w:b/>
          <w:bCs/>
          <w:lang w:val="en-GB"/>
        </w:rPr>
        <w:t xml:space="preserve">Lamarche J., Potvin, A., Stewart, D., Blais, M., Pelletier, G., Shamoun, S.F., Hamelin, R.C. &amp; Tanguay, P. </w:t>
      </w:r>
      <w:r>
        <w:rPr>
          <w:lang w:val="en-GB"/>
        </w:rPr>
        <w:t xml:space="preserve">2017. Real-time PCR assays for the detection of </w:t>
      </w:r>
      <w:r>
        <w:rPr>
          <w:i/>
          <w:lang w:val="en-GB"/>
        </w:rPr>
        <w:t>Heterobasidion irregulare</w:t>
      </w:r>
      <w:r>
        <w:rPr>
          <w:lang w:val="en-GB"/>
        </w:rPr>
        <w:t xml:space="preserve">, </w:t>
      </w:r>
      <w:r>
        <w:rPr>
          <w:i/>
          <w:lang w:val="en-GB"/>
        </w:rPr>
        <w:lastRenderedPageBreak/>
        <w:t>H. occidentale</w:t>
      </w:r>
      <w:r>
        <w:rPr>
          <w:lang w:val="en-GB"/>
        </w:rPr>
        <w:t xml:space="preserve">, </w:t>
      </w:r>
      <w:r>
        <w:rPr>
          <w:i/>
          <w:lang w:val="en-GB"/>
        </w:rPr>
        <w:t>H</w:t>
      </w:r>
      <w:r>
        <w:rPr>
          <w:lang w:val="en-GB"/>
        </w:rPr>
        <w:t>. </w:t>
      </w:r>
      <w:r>
        <w:rPr>
          <w:i/>
          <w:lang w:val="en-GB"/>
        </w:rPr>
        <w:t>annosum sensu stricto</w:t>
      </w:r>
      <w:r>
        <w:rPr>
          <w:lang w:val="en-GB"/>
        </w:rPr>
        <w:t xml:space="preserve"> and the </w:t>
      </w:r>
      <w:r>
        <w:rPr>
          <w:i/>
          <w:lang w:val="en-GB"/>
        </w:rPr>
        <w:t>Heterobasidion annosum</w:t>
      </w:r>
      <w:r>
        <w:rPr>
          <w:lang w:val="en-GB"/>
        </w:rPr>
        <w:t xml:space="preserve"> complex. </w:t>
      </w:r>
      <w:r>
        <w:rPr>
          <w:i/>
          <w:lang w:val="en-GB"/>
        </w:rPr>
        <w:t>Forest Pathology</w:t>
      </w:r>
      <w:r>
        <w:rPr>
          <w:lang w:val="en-GB"/>
        </w:rPr>
        <w:t xml:space="preserve">, 47: e12321. </w:t>
      </w:r>
      <w:hyperlink w:history="1" r:id="rId76">
        <w:r>
          <w:rPr>
            <w:rStyle w:val="Hyperlink"/>
            <w:lang w:val="en-GB"/>
          </w:rPr>
          <w:t>https://doi.org/10.1111/efp.12321</w:t>
        </w:r>
      </w:hyperlink>
    </w:p>
    <w:p w14:paraId="1AEC78FC" w14:textId="2955CD15">
      <w:pPr>
        <w:pStyle w:val="IPPParagraphnumbering"/>
        <w:numPr>
          <w:ilvl w:val="0"/>
          <w:numId w:val="0"/>
        </w:numPr>
        <w:rPr>
          <w:lang w:val="en-GB"/>
        </w:rPr>
      </w:pPr>
      <w:r>
        <w:rPr>
          <w:rStyle w:val="PleaseReviewParagraphId"/>
          <w:b w:val="off"/>
          <w:i w:val="off"/>
        </w:rPr>
        <w:t>[844]</w:t>
      </w:r>
      <w:r>
        <w:rPr>
          <w:b/>
          <w:bCs/>
          <w:lang w:val="en-GB"/>
        </w:rPr>
        <w:t xml:space="preserve">Legrand, P. &amp; Guillaumin, J.J. </w:t>
      </w:r>
      <w:r>
        <w:rPr>
          <w:lang w:val="en-GB"/>
        </w:rPr>
        <w:t xml:space="preserve">1993. </w:t>
      </w:r>
      <w:r>
        <w:rPr>
          <w:i/>
          <w:lang w:val="en-GB"/>
        </w:rPr>
        <w:t>Armillaria</w:t>
      </w:r>
      <w:r>
        <w:rPr>
          <w:lang w:val="en-GB"/>
        </w:rPr>
        <w:t xml:space="preserve"> species in the forest ecosystems of the Auvergne (Central France). </w:t>
      </w:r>
      <w:r>
        <w:rPr>
          <w:i/>
          <w:lang w:val="en-GB"/>
        </w:rPr>
        <w:t>Acta Oecologica</w:t>
      </w:r>
      <w:r>
        <w:rPr>
          <w:lang w:val="en-GB"/>
        </w:rPr>
        <w:t>, 14: 389–403.</w:t>
      </w:r>
    </w:p>
    <w:p w14:paraId="468F2EF1" w14:textId="24F2D2EE">
      <w:pPr>
        <w:pStyle w:val="IPPParagraphnumbering"/>
        <w:numPr>
          <w:ilvl w:val="0"/>
          <w:numId w:val="0"/>
        </w:numPr>
        <w:rPr>
          <w:lang w:val="en-GB"/>
        </w:rPr>
      </w:pPr>
      <w:r>
        <w:rPr>
          <w:rStyle w:val="PleaseReviewParagraphId"/>
          <w:b w:val="off"/>
          <w:i w:val="off"/>
        </w:rPr>
        <w:t>[845]</w:t>
      </w:r>
      <w:r>
        <w:rPr>
          <w:b/>
          <w:bCs/>
          <w:lang w:val="en-GB"/>
        </w:rPr>
        <w:t>Linzer, R.E., Otrosina, W.J., Gonthier, P., Bruhn, J., Laflamme, G., Bussières, G. &amp; Garbelotto, M.</w:t>
      </w:r>
      <w:r>
        <w:rPr>
          <w:lang w:val="en-GB"/>
        </w:rPr>
        <w:t xml:space="preserve"> 2008. Inferences on the phylogeography of the fungal pathogen </w:t>
      </w:r>
      <w:r>
        <w:rPr>
          <w:i/>
          <w:lang w:val="en-GB"/>
        </w:rPr>
        <w:t>Heterobasidion annosum</w:t>
      </w:r>
      <w:r>
        <w:rPr>
          <w:lang w:val="en-GB"/>
        </w:rPr>
        <w:t xml:space="preserve">, including evidence of interspecific horizontal genetic transfer and of human-mediated, long-range dispersal. </w:t>
      </w:r>
      <w:r>
        <w:rPr>
          <w:i/>
          <w:lang w:val="en-GB"/>
        </w:rPr>
        <w:t>Molecular Phylogenetics and Evolution</w:t>
      </w:r>
      <w:r>
        <w:rPr>
          <w:lang w:val="en-GB"/>
        </w:rPr>
        <w:t xml:space="preserve">, 46: 844–862. </w:t>
      </w:r>
      <w:hyperlink w:tgtFrame="_blank" w:tooltip="Persistent link using digital object identifier" w:history="1" r:id="rId77">
        <w:r>
          <w:rPr>
            <w:rStyle w:val="Hyperlink"/>
            <w:lang w:val="en-GB"/>
          </w:rPr>
          <w:t>https://doi.org/10.1016/j.ympev.2007.12.010</w:t>
        </w:r>
      </w:hyperlink>
    </w:p>
    <w:p w14:paraId="0C255007" w14:textId="1292BA4C">
      <w:pPr>
        <w:pStyle w:val="IPPParagraphnumbering"/>
        <w:numPr>
          <w:ilvl w:val="0"/>
          <w:numId w:val="0"/>
        </w:numPr>
        <w:rPr>
          <w:lang w:val="en-GB"/>
        </w:rPr>
      </w:pPr>
      <w:r>
        <w:rPr>
          <w:rStyle w:val="PleaseReviewParagraphId"/>
          <w:b w:val="off"/>
          <w:i w:val="off"/>
        </w:rPr>
        <w:t>[846]</w:t>
      </w:r>
      <w:r>
        <w:rPr>
          <w:b/>
          <w:bCs/>
          <w:lang w:val="en-GB"/>
        </w:rPr>
        <w:t xml:space="preserve">Liu, C.M., Kachur, S., Dwan, M.G., </w:t>
      </w:r>
      <w:r>
        <w:rPr>
          <w:rFonts w:eastAsia="Times New Roman"/>
          <w:b/>
          <w:sz w:val="24"/>
          <w:lang w:val="en-GB" w:eastAsia="en-GB"/>
        </w:rPr>
        <w:t>Abraham, A.G., Aziz, M., Hsueh, P.-R., Huang, Y.-T.</w:t>
      </w:r>
      <w:r>
        <w:rPr>
          <w:b/>
          <w:bCs/>
          <w:lang w:val="en-GB"/>
        </w:rPr>
        <w:t xml:space="preserve"> </w:t>
      </w:r>
      <w:r>
        <w:rPr>
          <w:b/>
          <w:bCs/>
          <w:i/>
          <w:lang w:val="en-GB"/>
        </w:rPr>
        <w:t>et al</w:t>
      </w:r>
      <w:r>
        <w:rPr>
          <w:b/>
          <w:bCs/>
          <w:lang w:val="en-GB"/>
        </w:rPr>
        <w:t xml:space="preserve">. </w:t>
      </w:r>
      <w:r>
        <w:rPr>
          <w:lang w:val="en-GB"/>
        </w:rPr>
        <w:t xml:space="preserve">2012. FungiQuant: a broadcoverage fungal quantitative real-time PCR assay. </w:t>
      </w:r>
      <w:r>
        <w:rPr>
          <w:i/>
          <w:lang w:val="en-GB"/>
        </w:rPr>
        <w:t>BMC Microbiology</w:t>
      </w:r>
      <w:r>
        <w:rPr>
          <w:lang w:val="en-GB"/>
        </w:rPr>
        <w:t xml:space="preserve">, 12: 255. </w:t>
      </w:r>
      <w:hyperlink w:history="1" r:id="rId78">
        <w:r>
          <w:rPr>
            <w:rStyle w:val="Hyperlink"/>
            <w:lang w:val="en-GB"/>
          </w:rPr>
          <w:t>https://doi.org/10.1186/1471-2180-12-255</w:t>
        </w:r>
      </w:hyperlink>
    </w:p>
    <w:p w14:paraId="569841AA" w14:textId="51D55819">
      <w:pPr>
        <w:pStyle w:val="IPPParagraphnumbering"/>
        <w:numPr>
          <w:ilvl w:val="0"/>
          <w:numId w:val="0"/>
        </w:numPr>
        <w:rPr>
          <w:lang w:val="en-GB"/>
        </w:rPr>
      </w:pPr>
      <w:r>
        <w:rPr>
          <w:rStyle w:val="PleaseReviewParagraphId"/>
          <w:b w:val="off"/>
          <w:i w:val="off"/>
        </w:rPr>
        <w:t>[847]</w:t>
      </w:r>
      <w:r>
        <w:rPr>
          <w:b/>
          <w:bCs/>
          <w:lang w:val="en-GB"/>
        </w:rPr>
        <w:t xml:space="preserve">Lockman, I.B., Mascheretti, S., Schechter, S. &amp; Garbelotto, M. </w:t>
      </w:r>
      <w:r>
        <w:rPr>
          <w:lang w:val="en-GB"/>
        </w:rPr>
        <w:t xml:space="preserve">2014. A first generation hybrid discovered in </w:t>
      </w:r>
      <w:r>
        <w:rPr>
          <w:i/>
          <w:lang w:val="en-GB"/>
        </w:rPr>
        <w:t>Larix lyalli</w:t>
      </w:r>
      <w:r>
        <w:rPr>
          <w:lang w:val="en-GB"/>
        </w:rPr>
        <w:t xml:space="preserve"> in Montana. </w:t>
      </w:r>
      <w:r>
        <w:rPr>
          <w:i/>
          <w:iCs/>
          <w:lang w:val="en-GB"/>
        </w:rPr>
        <w:t>Plant Disease</w:t>
      </w:r>
      <w:r>
        <w:rPr>
          <w:lang w:val="en-GB"/>
        </w:rPr>
        <w:t xml:space="preserve">, 98: 1003. </w:t>
      </w:r>
      <w:hyperlink w:history="1" r:id="rId79">
        <w:r>
          <w:rPr>
            <w:rStyle w:val="Hyperlink"/>
            <w:lang w:val="en-GB"/>
          </w:rPr>
          <w:t>https://doi.org/10.1094/PDIS-12-13-1211-PDN</w:t>
        </w:r>
      </w:hyperlink>
    </w:p>
    <w:p w14:paraId="5E3514DE" w14:textId="5C87336E">
      <w:pPr>
        <w:pStyle w:val="IPPParagraphnumbering"/>
        <w:numPr>
          <w:ilvl w:val="0"/>
          <w:numId w:val="0"/>
        </w:numPr>
        <w:rPr>
          <w:lang w:val="en-GB"/>
        </w:rPr>
      </w:pPr>
      <w:r>
        <w:rPr>
          <w:rStyle w:val="PleaseReviewParagraphId"/>
          <w:b w:val="off"/>
          <w:i w:val="off"/>
        </w:rPr>
        <w:t>[848]</w:t>
      </w:r>
      <w:r>
        <w:rPr>
          <w:b/>
          <w:bCs/>
          <w:lang w:val="en-GB"/>
        </w:rPr>
        <w:t xml:space="preserve">Mitchelson, K. &amp; Korhonen, K. </w:t>
      </w:r>
      <w:r>
        <w:rPr>
          <w:lang w:val="en-GB"/>
        </w:rPr>
        <w:t>1998. Diagnosis and differentiation of intersterility groups.</w:t>
      </w:r>
      <w:r>
        <w:rPr>
          <w:i/>
          <w:lang w:val="en-GB"/>
        </w:rPr>
        <w:t xml:space="preserve"> </w:t>
      </w:r>
      <w:r>
        <w:rPr>
          <w:lang w:val="en-GB"/>
        </w:rPr>
        <w:t xml:space="preserve">In: S. Woodward, J. Stenlid, R. Karjalainen &amp; A. Hüttermann, eds. </w:t>
      </w:r>
      <w:r>
        <w:rPr>
          <w:i/>
          <w:lang w:val="en-GB"/>
        </w:rPr>
        <w:t>Heterobasidion annosum – Biology, ecology, impact and control</w:t>
      </w:r>
      <w:r>
        <w:rPr>
          <w:lang w:val="en-GB"/>
        </w:rPr>
        <w:t>, pp. 71–92. Wallingford, UK, CABI. 589 pp.</w:t>
      </w:r>
    </w:p>
    <w:p w14:paraId="086B9A9D" w14:textId="1D9CBA24">
      <w:pPr>
        <w:pStyle w:val="IPPParagraphnumbering"/>
        <w:numPr>
          <w:ilvl w:val="0"/>
          <w:numId w:val="0"/>
        </w:numPr>
        <w:rPr>
          <w:lang w:val="en-GB"/>
        </w:rPr>
      </w:pPr>
      <w:r>
        <w:rPr>
          <w:rStyle w:val="PleaseReviewParagraphId"/>
          <w:b w:val="off"/>
          <w:i w:val="off"/>
        </w:rPr>
        <w:t>[849]</w:t>
      </w:r>
      <w:r>
        <w:rPr>
          <w:b/>
          <w:bCs/>
          <w:lang w:val="en-GB"/>
        </w:rPr>
        <w:t xml:space="preserve">Niemelä, T. &amp; Korhonen, K. </w:t>
      </w:r>
      <w:r>
        <w:rPr>
          <w:lang w:val="en-GB"/>
        </w:rPr>
        <w:t xml:space="preserve">1998. Taxonomy of the genus </w:t>
      </w:r>
      <w:r>
        <w:rPr>
          <w:i/>
          <w:lang w:val="en-GB"/>
        </w:rPr>
        <w:t>Heterobasidion</w:t>
      </w:r>
      <w:r>
        <w:rPr>
          <w:lang w:val="en-GB"/>
        </w:rPr>
        <w:t xml:space="preserve">. </w:t>
      </w:r>
      <w:bookmarkStart w:name="_Hlk114175306" w:id="56"/>
      <w:r>
        <w:rPr>
          <w:lang w:val="en-GB"/>
        </w:rPr>
        <w:t xml:space="preserve">In: S. Woodward, J. Stenlid, R. Karjalainen &amp; A. Hüttermann, eds. </w:t>
      </w:r>
      <w:r>
        <w:rPr>
          <w:i/>
          <w:lang w:val="en-GB"/>
        </w:rPr>
        <w:t>Heterobasidion annosum – Biology, ecology, impact and control</w:t>
      </w:r>
      <w:r>
        <w:rPr>
          <w:lang w:val="en-GB"/>
        </w:rPr>
        <w:t>, pp. 27–33. Wallingford, UK</w:t>
      </w:r>
      <w:bookmarkEnd w:id="56"/>
      <w:r>
        <w:rPr>
          <w:lang w:val="en-GB"/>
        </w:rPr>
        <w:t>, CABI. 589 pp.</w:t>
      </w:r>
    </w:p>
    <w:p w14:paraId="5F6608C9" w14:textId="2161098E">
      <w:pPr>
        <w:pStyle w:val="IPPParagraphnumbering"/>
        <w:numPr>
          <w:ilvl w:val="0"/>
          <w:numId w:val="0"/>
        </w:numPr>
        <w:rPr>
          <w:lang w:val="en-GB"/>
        </w:rPr>
      </w:pPr>
      <w:r>
        <w:rPr>
          <w:rStyle w:val="PleaseReviewParagraphId"/>
          <w:b w:val="off"/>
          <w:i w:val="off"/>
        </w:rPr>
        <w:t>[850]</w:t>
      </w:r>
      <w:r>
        <w:rPr>
          <w:b/>
          <w:bCs/>
          <w:lang w:val="en-GB"/>
        </w:rPr>
        <w:t xml:space="preserve">Olson, Å., Aerts, A., Asiegbu, F. Belbahri, L., Bouzid, O., Broberg, A., Canbäck, B. </w:t>
      </w:r>
      <w:r>
        <w:rPr>
          <w:b/>
          <w:bCs/>
          <w:i/>
          <w:lang w:val="en-GB"/>
        </w:rPr>
        <w:t>et al</w:t>
      </w:r>
      <w:r>
        <w:rPr>
          <w:b/>
          <w:bCs/>
          <w:lang w:val="en-GB"/>
        </w:rPr>
        <w:t xml:space="preserve">. </w:t>
      </w:r>
      <w:r>
        <w:rPr>
          <w:lang w:val="en-GB"/>
        </w:rPr>
        <w:t xml:space="preserve">2012. Insight into trade-off between wood decay and parasitism from the genome of a fungal forest pathogen. </w:t>
      </w:r>
      <w:r>
        <w:rPr>
          <w:i/>
          <w:lang w:val="en-GB"/>
        </w:rPr>
        <w:t>New Phytologist</w:t>
      </w:r>
      <w:r>
        <w:rPr>
          <w:lang w:val="en-GB"/>
        </w:rPr>
        <w:t xml:space="preserve">, 194: 1001–1013. </w:t>
      </w:r>
      <w:hyperlink w:history="1" r:id="rId80">
        <w:r>
          <w:rPr>
            <w:rStyle w:val="Hyperlink"/>
            <w:lang w:val="en-GB"/>
          </w:rPr>
          <w:t>https://doi.org/10.1111/j.1469-8137.2012.04128.x</w:t>
        </w:r>
      </w:hyperlink>
    </w:p>
    <w:p w14:paraId="4ECB3B14" w14:textId="209DA875">
      <w:pPr>
        <w:pStyle w:val="IPPParagraphnumbering"/>
        <w:numPr>
          <w:ilvl w:val="0"/>
          <w:numId w:val="0"/>
        </w:numPr>
        <w:rPr>
          <w:lang w:val="en-GB"/>
        </w:rPr>
      </w:pPr>
      <w:r>
        <w:rPr>
          <w:rStyle w:val="PleaseReviewParagraphId"/>
          <w:b w:val="off"/>
          <w:i w:val="off"/>
        </w:rPr>
        <w:t>[851]</w:t>
      </w:r>
      <w:r>
        <w:rPr>
          <w:b/>
          <w:bCs/>
          <w:lang w:val="en-GB"/>
        </w:rPr>
        <w:t xml:space="preserve">Otrosina, W.J., Chase, T.E., Cobb Jr, F.W. &amp; Korhonen, K. </w:t>
      </w:r>
      <w:r>
        <w:rPr>
          <w:lang w:val="en-GB"/>
        </w:rPr>
        <w:t xml:space="preserve">1993. Population structure of </w:t>
      </w:r>
      <w:r>
        <w:rPr>
          <w:i/>
          <w:lang w:val="en-GB"/>
        </w:rPr>
        <w:t>Heterobasidion annosum</w:t>
      </w:r>
      <w:r>
        <w:rPr>
          <w:lang w:val="en-GB"/>
        </w:rPr>
        <w:t xml:space="preserve"> from North America and Europe. </w:t>
      </w:r>
      <w:r>
        <w:rPr>
          <w:i/>
          <w:lang w:val="en-GB"/>
        </w:rPr>
        <w:t>Canadian Journal of Botany</w:t>
      </w:r>
      <w:r>
        <w:rPr>
          <w:lang w:val="en-GB"/>
        </w:rPr>
        <w:t xml:space="preserve">, 71: 1064–1071. </w:t>
      </w:r>
      <w:hyperlink w:history="1" r:id="rId81">
        <w:r>
          <w:rPr>
            <w:rStyle w:val="Hyperlink"/>
            <w:lang w:val="en-GB"/>
          </w:rPr>
          <w:t>https://doi.org/10.1139/b93-123</w:t>
        </w:r>
      </w:hyperlink>
    </w:p>
    <w:p w14:paraId="741A3C5C" w14:textId="045650C3">
      <w:pPr>
        <w:pStyle w:val="IPPParagraphnumbering"/>
        <w:numPr>
          <w:ilvl w:val="0"/>
          <w:numId w:val="0"/>
        </w:numPr>
        <w:rPr>
          <w:lang w:val="en-GB"/>
        </w:rPr>
      </w:pPr>
      <w:r>
        <w:rPr>
          <w:rStyle w:val="PleaseReviewParagraphId"/>
          <w:b w:val="off"/>
          <w:i w:val="off"/>
        </w:rPr>
        <w:t>[852]</w:t>
      </w:r>
      <w:r>
        <w:rPr>
          <w:b/>
          <w:bCs/>
          <w:lang w:val="fi-FI"/>
        </w:rPr>
        <w:t xml:space="preserve">Otrosina, W.J. &amp; Garbelotto, M. </w:t>
      </w:r>
      <w:r>
        <w:rPr>
          <w:lang w:val="fi-FI"/>
        </w:rPr>
        <w:t xml:space="preserve">2010. </w:t>
      </w:r>
      <w:r>
        <w:rPr>
          <w:i/>
          <w:lang w:val="en-GB"/>
        </w:rPr>
        <w:t>Heterobasidion occidentale</w:t>
      </w:r>
      <w:r>
        <w:rPr>
          <w:lang w:val="en-GB"/>
        </w:rPr>
        <w:t xml:space="preserve"> sp. nov. and </w:t>
      </w:r>
      <w:r>
        <w:rPr>
          <w:i/>
          <w:lang w:val="en-GB"/>
        </w:rPr>
        <w:t>Heterobasidion irregulare</w:t>
      </w:r>
      <w:r>
        <w:rPr>
          <w:lang w:val="en-GB"/>
        </w:rPr>
        <w:t xml:space="preserve"> nom. nov.: a disposition of North American </w:t>
      </w:r>
      <w:r>
        <w:rPr>
          <w:i/>
          <w:lang w:val="en-GB"/>
        </w:rPr>
        <w:t>Heterobasidion</w:t>
      </w:r>
      <w:r>
        <w:rPr>
          <w:lang w:val="en-GB"/>
        </w:rPr>
        <w:t xml:space="preserve"> biological species. </w:t>
      </w:r>
      <w:r>
        <w:rPr>
          <w:i/>
          <w:lang w:val="en-GB"/>
        </w:rPr>
        <w:t>Fungal Biology</w:t>
      </w:r>
      <w:r>
        <w:rPr>
          <w:lang w:val="en-GB"/>
        </w:rPr>
        <w:t xml:space="preserve">, 114: 16–25. </w:t>
      </w:r>
      <w:hyperlink w:tgtFrame="_blank" w:tooltip="Persistent link using digital object identifier" w:history="1" r:id="rId82">
        <w:r>
          <w:rPr>
            <w:rStyle w:val="Hyperlink"/>
            <w:lang w:val="en-GB"/>
          </w:rPr>
          <w:t>https://doi.org/10.1016/j.mycres.2009.09.001</w:t>
        </w:r>
      </w:hyperlink>
    </w:p>
    <w:p w14:paraId="7DF15FA7" w14:textId="7DCA1334">
      <w:pPr>
        <w:pStyle w:val="IPPParagraphnumbering"/>
        <w:numPr>
          <w:ilvl w:val="0"/>
          <w:numId w:val="0"/>
        </w:numPr>
        <w:rPr>
          <w:lang w:val="en-GB"/>
        </w:rPr>
      </w:pPr>
      <w:r>
        <w:rPr>
          <w:rStyle w:val="PleaseReviewParagraphId"/>
          <w:b w:val="off"/>
          <w:i w:val="off"/>
        </w:rPr>
        <w:t>[853]</w:t>
      </w:r>
      <w:r>
        <w:rPr>
          <w:b/>
          <w:bCs/>
          <w:lang w:val="en-GB"/>
        </w:rPr>
        <w:t xml:space="preserve">Redfern, D.B. &amp; Stenlid, J. </w:t>
      </w:r>
      <w:r>
        <w:rPr>
          <w:lang w:val="en-GB"/>
        </w:rPr>
        <w:t xml:space="preserve">1998. Spore dispersal and infection. In: S. Woodward, J. Stenlid, R. Karjalainen &amp; A. Hüttermann, eds. </w:t>
      </w:r>
      <w:r>
        <w:rPr>
          <w:i/>
          <w:lang w:val="en-GB"/>
        </w:rPr>
        <w:t>Heterobasidion annosum – Biology, ecology, impact and control</w:t>
      </w:r>
      <w:r>
        <w:rPr>
          <w:lang w:val="en-GB"/>
        </w:rPr>
        <w:t>, pp. 105–124. Wallingford, UK, CABI. 589 pp.</w:t>
      </w:r>
    </w:p>
    <w:p w14:paraId="1AE3CCEA" w14:textId="4C4FB564">
      <w:pPr>
        <w:pStyle w:val="IPPParagraphnumbering"/>
        <w:numPr>
          <w:ilvl w:val="0"/>
          <w:numId w:val="0"/>
        </w:numPr>
        <w:rPr>
          <w:lang w:val="en-GB"/>
        </w:rPr>
      </w:pPr>
      <w:r>
        <w:rPr>
          <w:rStyle w:val="PleaseReviewParagraphId"/>
          <w:b w:val="off"/>
          <w:i w:val="off"/>
        </w:rPr>
        <w:t>[854]</w:t>
      </w:r>
      <w:r>
        <w:rPr>
          <w:b/>
          <w:bCs/>
          <w:lang w:val="en-GB"/>
        </w:rPr>
        <w:t xml:space="preserve">Rishbeth, J. </w:t>
      </w:r>
      <w:r>
        <w:rPr>
          <w:lang w:val="en-GB"/>
        </w:rPr>
        <w:t xml:space="preserve">1950. Observations on the biology of </w:t>
      </w:r>
      <w:r>
        <w:rPr>
          <w:i/>
          <w:lang w:val="en-GB"/>
        </w:rPr>
        <w:t>Fomes annosus</w:t>
      </w:r>
      <w:r>
        <w:rPr>
          <w:lang w:val="en-GB"/>
        </w:rPr>
        <w:t xml:space="preserve">, with particular reference to East Anglian pine plantations – I. The outbreaks of disease and ecological state of the fungus. </w:t>
      </w:r>
      <w:r>
        <w:rPr>
          <w:i/>
          <w:lang w:val="en-GB"/>
        </w:rPr>
        <w:t>Annals of Botany</w:t>
      </w:r>
      <w:r>
        <w:rPr>
          <w:lang w:val="en-GB"/>
        </w:rPr>
        <w:t xml:space="preserve">, 14: 365–383. </w:t>
      </w:r>
      <w:hyperlink w:history="1" r:id="rId83">
        <w:r>
          <w:rPr>
            <w:rStyle w:val="Hyperlink"/>
            <w:lang w:val="en-GB"/>
          </w:rPr>
          <w:t>https://doi.org/10.1093/oxfordjournals.aob.a083252</w:t>
        </w:r>
      </w:hyperlink>
    </w:p>
    <w:p w14:paraId="5C8D3ECF" w14:textId="62E82CC7">
      <w:pPr>
        <w:pStyle w:val="IPPParagraphnumbering"/>
        <w:numPr>
          <w:ilvl w:val="0"/>
          <w:numId w:val="0"/>
        </w:numPr>
        <w:rPr>
          <w:lang w:val="en-GB"/>
        </w:rPr>
      </w:pPr>
      <w:r>
        <w:rPr>
          <w:rStyle w:val="PleaseReviewParagraphId"/>
          <w:b w:val="off"/>
          <w:i w:val="off"/>
        </w:rPr>
        <w:t>[855]</w:t>
      </w:r>
      <w:r>
        <w:rPr>
          <w:b/>
          <w:bCs/>
          <w:lang w:val="en-GB"/>
        </w:rPr>
        <w:t xml:space="preserve">Rishbeth, J. </w:t>
      </w:r>
      <w:r>
        <w:rPr>
          <w:lang w:val="en-GB"/>
        </w:rPr>
        <w:t xml:space="preserve">1951a. Observations on the biology of </w:t>
      </w:r>
      <w:r>
        <w:rPr>
          <w:i/>
          <w:lang w:val="en-GB"/>
        </w:rPr>
        <w:t>Fomes annosus</w:t>
      </w:r>
      <w:r>
        <w:rPr>
          <w:lang w:val="en-GB"/>
        </w:rPr>
        <w:t xml:space="preserve"> with particular reference to East Anglian pine plantations – II. Spore production, stump infection, and saprophytic activity in stumps. </w:t>
      </w:r>
      <w:r>
        <w:rPr>
          <w:i/>
          <w:lang w:val="en-GB"/>
        </w:rPr>
        <w:t>Annals of Botany</w:t>
      </w:r>
      <w:r>
        <w:rPr>
          <w:lang w:val="en-GB"/>
        </w:rPr>
        <w:t xml:space="preserve">, 15: 1–22. </w:t>
      </w:r>
      <w:hyperlink w:history="1" r:id="rId84">
        <w:r>
          <w:rPr>
            <w:rStyle w:val="Hyperlink"/>
            <w:lang w:val="en-GB"/>
          </w:rPr>
          <w:t>https://doi.org/10.1093/oxfordjournals.aob.a083264</w:t>
        </w:r>
      </w:hyperlink>
    </w:p>
    <w:p w14:paraId="31AF82B6" w14:textId="000AA8E3">
      <w:pPr>
        <w:pStyle w:val="IPPParagraphnumbering"/>
        <w:numPr>
          <w:ilvl w:val="0"/>
          <w:numId w:val="0"/>
        </w:numPr>
        <w:rPr>
          <w:lang w:val="en-GB"/>
        </w:rPr>
      </w:pPr>
      <w:r>
        <w:rPr>
          <w:rStyle w:val="PleaseReviewParagraphId"/>
          <w:b w:val="off"/>
          <w:i w:val="off"/>
        </w:rPr>
        <w:t>[856]</w:t>
      </w:r>
      <w:r>
        <w:rPr>
          <w:b/>
          <w:bCs/>
          <w:lang w:val="en-GB"/>
        </w:rPr>
        <w:t xml:space="preserve">Rishbeth, J. </w:t>
      </w:r>
      <w:r>
        <w:rPr>
          <w:lang w:val="en-GB"/>
        </w:rPr>
        <w:t xml:space="preserve">1951b. Observations on the biology of </w:t>
      </w:r>
      <w:r>
        <w:rPr>
          <w:i/>
          <w:lang w:val="en-GB"/>
        </w:rPr>
        <w:t>Fomes annosus</w:t>
      </w:r>
      <w:r>
        <w:rPr>
          <w:lang w:val="en-GB"/>
        </w:rPr>
        <w:t xml:space="preserve"> with particular reference to East Anglian pine plantations – III. Natural and experimental infection of pines, and some factors affecting severity of the disease. </w:t>
      </w:r>
      <w:r>
        <w:rPr>
          <w:i/>
          <w:lang w:val="en-GB"/>
        </w:rPr>
        <w:t>Annals of Botany</w:t>
      </w:r>
      <w:r>
        <w:rPr>
          <w:lang w:val="en-GB"/>
        </w:rPr>
        <w:t xml:space="preserve">, 15: 221–246. </w:t>
      </w:r>
      <w:hyperlink w:history="1" r:id="rId85">
        <w:r>
          <w:rPr>
            <w:rStyle w:val="Hyperlink"/>
            <w:lang w:val="en-GB"/>
          </w:rPr>
          <w:t>https://doi.org/10.1093/oxfordjournals.aob.a083278</w:t>
        </w:r>
      </w:hyperlink>
    </w:p>
    <w:p w14:paraId="1B9F40D7" w14:textId="784C14F1">
      <w:pPr>
        <w:pStyle w:val="IPPParagraphnumbering"/>
        <w:numPr>
          <w:ilvl w:val="0"/>
          <w:numId w:val="0"/>
        </w:numPr>
        <w:rPr>
          <w:lang w:val="en-GB"/>
        </w:rPr>
      </w:pPr>
      <w:r>
        <w:rPr>
          <w:rStyle w:val="PleaseReviewParagraphId"/>
          <w:b w:val="off"/>
          <w:i w:val="off"/>
        </w:rPr>
        <w:t>[857]</w:t>
      </w:r>
      <w:r>
        <w:rPr>
          <w:b/>
          <w:bCs/>
          <w:lang w:val="en-GB"/>
        </w:rPr>
        <w:t>Rishbeth, J.</w:t>
      </w:r>
      <w:r>
        <w:rPr>
          <w:lang w:val="en-GB"/>
        </w:rPr>
        <w:t xml:space="preserve"> 1959. Dispersal of </w:t>
      </w:r>
      <w:r>
        <w:rPr>
          <w:i/>
          <w:lang w:val="en-GB"/>
        </w:rPr>
        <w:t>Fomes annosus</w:t>
      </w:r>
      <w:r>
        <w:rPr>
          <w:lang w:val="en-GB"/>
        </w:rPr>
        <w:t xml:space="preserve"> Fr. and </w:t>
      </w:r>
      <w:r>
        <w:rPr>
          <w:i/>
          <w:lang w:val="en-GB"/>
        </w:rPr>
        <w:t>Peniophora gigantea</w:t>
      </w:r>
      <w:r>
        <w:rPr>
          <w:lang w:val="en-GB"/>
        </w:rPr>
        <w:t xml:space="preserve"> (Fr.) Massee. </w:t>
      </w:r>
      <w:r>
        <w:rPr>
          <w:i/>
          <w:lang w:val="en-GB"/>
        </w:rPr>
        <w:t>Transactions of the British Mycological Society</w:t>
      </w:r>
      <w:r>
        <w:rPr>
          <w:lang w:val="en-GB"/>
        </w:rPr>
        <w:t xml:space="preserve">, 42: 243–260. </w:t>
      </w:r>
      <w:hyperlink w:tgtFrame="_blank" w:tooltip="Persistent link using digital object identifier" w:history="1" r:id="rId86">
        <w:r>
          <w:rPr>
            <w:rStyle w:val="Hyperlink"/>
            <w:lang w:val="en-GB"/>
          </w:rPr>
          <w:t>https://doi.org/10.1016/S0007-1536(59)80034-6</w:t>
        </w:r>
      </w:hyperlink>
    </w:p>
    <w:p w14:paraId="5033A340" w14:textId="2671CC7B">
      <w:pPr>
        <w:pStyle w:val="IPPParagraphnumbering"/>
        <w:numPr>
          <w:ilvl w:val="0"/>
          <w:numId w:val="0"/>
        </w:numPr>
        <w:rPr>
          <w:lang w:val="en-GB"/>
        </w:rPr>
      </w:pPr>
      <w:r>
        <w:rPr>
          <w:rStyle w:val="PleaseReviewParagraphId"/>
          <w:b w:val="off"/>
          <w:i w:val="off"/>
        </w:rPr>
        <w:t>[858]</w:t>
      </w:r>
      <w:r>
        <w:rPr>
          <w:b/>
          <w:bCs/>
          <w:lang w:val="en-GB"/>
        </w:rPr>
        <w:lastRenderedPageBreak/>
        <w:t xml:space="preserve">Schulze, S., Bahnweg, G., Möller, E.M. &amp; Sandermann Jr, H. </w:t>
      </w:r>
      <w:r>
        <w:rPr>
          <w:lang w:val="en-GB"/>
        </w:rPr>
        <w:t xml:space="preserve">1997. Identification of the genus </w:t>
      </w:r>
      <w:r>
        <w:rPr>
          <w:i/>
          <w:lang w:val="en-GB"/>
        </w:rPr>
        <w:t>Armillaria</w:t>
      </w:r>
      <w:r>
        <w:rPr>
          <w:lang w:val="en-GB"/>
        </w:rPr>
        <w:t xml:space="preserve"> by specific amplification of an rDNA-ITS fragment and evaluation of genetic variation within </w:t>
      </w:r>
      <w:r>
        <w:rPr>
          <w:i/>
          <w:lang w:val="en-GB"/>
        </w:rPr>
        <w:t>A. ostoyae</w:t>
      </w:r>
      <w:r>
        <w:rPr>
          <w:lang w:val="en-GB"/>
        </w:rPr>
        <w:t xml:space="preserve"> by rDNA-RFLP and RAPD analysis. </w:t>
      </w:r>
      <w:r>
        <w:rPr>
          <w:i/>
          <w:lang w:val="en-GB"/>
        </w:rPr>
        <w:t>European Journal of Forest Pathology</w:t>
      </w:r>
      <w:r>
        <w:rPr>
          <w:lang w:val="en-GB"/>
        </w:rPr>
        <w:t xml:space="preserve">, 27: 225–239. </w:t>
      </w:r>
      <w:hyperlink w:history="1" r:id="rId87">
        <w:r>
          <w:rPr>
            <w:rStyle w:val="Hyperlink"/>
            <w:lang w:val="en-GB"/>
          </w:rPr>
          <w:t>https://doi.org/10.1111/j.1439-0329.1997.tb00865.x</w:t>
        </w:r>
      </w:hyperlink>
    </w:p>
    <w:p w14:paraId="4D724133" w14:textId="76BE43ED">
      <w:pPr>
        <w:pStyle w:val="IPPParagraphnumbering"/>
        <w:numPr>
          <w:ilvl w:val="0"/>
          <w:numId w:val="0"/>
        </w:numPr>
        <w:rPr>
          <w:lang w:val="en-GB"/>
        </w:rPr>
      </w:pPr>
      <w:r>
        <w:rPr>
          <w:rStyle w:val="PleaseReviewParagraphId"/>
          <w:b w:val="off"/>
          <w:i w:val="off"/>
        </w:rPr>
        <w:t>[859]</w:t>
      </w:r>
      <w:r>
        <w:rPr>
          <w:b/>
          <w:bCs/>
          <w:lang w:val="en-GB"/>
        </w:rPr>
        <w:t xml:space="preserve">Schweigkofler, W., O’ Donnell, K. &amp; Garbelotto, M. </w:t>
      </w:r>
      <w:r>
        <w:rPr>
          <w:lang w:val="en-GB"/>
        </w:rPr>
        <w:t xml:space="preserve">2004. Detection and quantification of airborne conidia of </w:t>
      </w:r>
      <w:r>
        <w:rPr>
          <w:i/>
          <w:lang w:val="en-GB"/>
        </w:rPr>
        <w:t>Fusarium circinatum</w:t>
      </w:r>
      <w:r>
        <w:rPr>
          <w:lang w:val="en-GB"/>
        </w:rPr>
        <w:t xml:space="preserve">, the causal agent of pine pitch canker, from two California sites by using a real-time PCR approach combined with a simple spore trapping method. </w:t>
      </w:r>
      <w:r>
        <w:rPr>
          <w:i/>
          <w:lang w:val="en-GB"/>
        </w:rPr>
        <w:t>Applied and Environmental Microbiology</w:t>
      </w:r>
      <w:r>
        <w:rPr>
          <w:lang w:val="en-GB"/>
        </w:rPr>
        <w:t xml:space="preserve">, 70: 3512–3520. </w:t>
      </w:r>
      <w:hyperlink w:history="1" r:id="rId88">
        <w:r>
          <w:rPr>
            <w:rStyle w:val="Hyperlink"/>
            <w:lang w:val="en-GB"/>
          </w:rPr>
          <w:t>https://doi.org/10.1128/AEM.70.6.3512-3520.2004</w:t>
        </w:r>
      </w:hyperlink>
    </w:p>
    <w:p w14:paraId="1B5C29D2" w14:textId="31BA17FE">
      <w:pPr>
        <w:pStyle w:val="IPPParagraphnumbering"/>
        <w:numPr>
          <w:ilvl w:val="0"/>
          <w:numId w:val="0"/>
        </w:numPr>
        <w:rPr>
          <w:lang w:val="en-GB"/>
        </w:rPr>
      </w:pPr>
      <w:r>
        <w:rPr>
          <w:rStyle w:val="PleaseReviewParagraphId"/>
          <w:b w:val="off"/>
          <w:i w:val="off"/>
        </w:rPr>
        <w:t>[860]</w:t>
      </w:r>
      <w:r>
        <w:rPr>
          <w:b/>
          <w:bCs/>
          <w:lang w:val="en-GB"/>
        </w:rPr>
        <w:t xml:space="preserve">Sillo, F., Garbelotto M., Friedman, M. &amp; Gonthier, P. </w:t>
      </w:r>
      <w:r>
        <w:rPr>
          <w:lang w:val="en-GB"/>
        </w:rPr>
        <w:t xml:space="preserve">2015. Comparative genomics of sibling fungal pathogenic taxa identifies adaptive evolution without divergence in pathogenicity genes or genomic structure. </w:t>
      </w:r>
      <w:r>
        <w:rPr>
          <w:i/>
          <w:lang w:val="en-GB"/>
        </w:rPr>
        <w:t>Genome Biology and Evolution</w:t>
      </w:r>
      <w:r>
        <w:rPr>
          <w:lang w:val="en-GB"/>
        </w:rPr>
        <w:t xml:space="preserve">, 7: 3190–3206. </w:t>
      </w:r>
      <w:hyperlink w:history="1" r:id="rId89">
        <w:r>
          <w:rPr>
            <w:rStyle w:val="Hyperlink"/>
            <w:lang w:val="en-GB"/>
          </w:rPr>
          <w:t>https://doi.org/10.1093/gbe/evv209</w:t>
        </w:r>
      </w:hyperlink>
    </w:p>
    <w:p w14:paraId="7C2E204B" w14:textId="6E3679F5">
      <w:pPr>
        <w:pStyle w:val="IPPParagraphnumbering"/>
        <w:numPr>
          <w:ilvl w:val="0"/>
          <w:numId w:val="0"/>
        </w:numPr>
        <w:rPr>
          <w:lang w:val="en-GB"/>
        </w:rPr>
      </w:pPr>
      <w:r>
        <w:rPr>
          <w:rStyle w:val="PleaseReviewParagraphId"/>
          <w:b w:val="off"/>
          <w:i w:val="off"/>
        </w:rPr>
        <w:t>[861]</w:t>
      </w:r>
      <w:r>
        <w:rPr>
          <w:b/>
          <w:bCs/>
          <w:lang w:val="en-GB"/>
        </w:rPr>
        <w:t xml:space="preserve">Sillo, F., Giordano, L. &amp; Gonthier, P. </w:t>
      </w:r>
      <w:r>
        <w:rPr>
          <w:lang w:val="en-GB"/>
        </w:rPr>
        <w:t xml:space="preserve">2018. Fast and specific detection of the invasive forest pathogen </w:t>
      </w:r>
      <w:r>
        <w:rPr>
          <w:i/>
          <w:lang w:val="en-GB"/>
        </w:rPr>
        <w:t>Heterobasidion irregulare</w:t>
      </w:r>
      <w:r>
        <w:rPr>
          <w:lang w:val="en-GB"/>
        </w:rPr>
        <w:t xml:space="preserve"> through a loop-mediated isothermal amplification (LAMP) assay. </w:t>
      </w:r>
      <w:r>
        <w:rPr>
          <w:i/>
          <w:lang w:val="en-GB"/>
        </w:rPr>
        <w:t>Forest Pathology</w:t>
      </w:r>
      <w:r>
        <w:rPr>
          <w:lang w:val="en-GB"/>
        </w:rPr>
        <w:t xml:space="preserve">, 48(2): e12396. </w:t>
      </w:r>
      <w:hyperlink w:history="1" r:id="rId90">
        <w:r>
          <w:rPr>
            <w:rStyle w:val="Hyperlink"/>
            <w:lang w:val="en-GB"/>
          </w:rPr>
          <w:t>https://doi.org/10.1111/efp.12396</w:t>
        </w:r>
      </w:hyperlink>
    </w:p>
    <w:p w14:paraId="6FFF81F4" w14:textId="7FB33F90">
      <w:pPr>
        <w:pStyle w:val="IPPParagraphnumbering"/>
        <w:numPr>
          <w:ilvl w:val="0"/>
          <w:numId w:val="0"/>
        </w:numPr>
        <w:rPr>
          <w:lang w:val="en-GB"/>
        </w:rPr>
      </w:pPr>
      <w:r>
        <w:rPr>
          <w:rStyle w:val="PleaseReviewParagraphId"/>
          <w:b w:val="off"/>
          <w:i w:val="off"/>
        </w:rPr>
        <w:t>[862]</w:t>
      </w:r>
      <w:r>
        <w:rPr>
          <w:b/>
          <w:bCs/>
          <w:lang w:val="en-GB"/>
        </w:rPr>
        <w:t xml:space="preserve">Stalpers, J.A. </w:t>
      </w:r>
      <w:r>
        <w:rPr>
          <w:lang w:val="en-GB"/>
        </w:rPr>
        <w:t xml:space="preserve">1978. Identification of wood-inhabiting </w:t>
      </w:r>
      <w:r>
        <w:rPr>
          <w:i/>
          <w:lang w:val="en-GB"/>
        </w:rPr>
        <w:t>Aphyllophorales</w:t>
      </w:r>
      <w:r>
        <w:rPr>
          <w:lang w:val="en-GB"/>
        </w:rPr>
        <w:t xml:space="preserve"> in pure culture. </w:t>
      </w:r>
      <w:r>
        <w:rPr>
          <w:i/>
          <w:lang w:val="en-GB"/>
        </w:rPr>
        <w:t>Studies in Mycology No. 16</w:t>
      </w:r>
      <w:r>
        <w:rPr>
          <w:lang w:val="en-GB"/>
        </w:rPr>
        <w:t xml:space="preserve">. Baarn, Kingdom of the Netherlands, Centraalbureau voor Schimmelcultures. 248 pp. </w:t>
      </w:r>
      <w:hyperlink w:history="1" r:id="rId91">
        <w:r>
          <w:rPr>
            <w:rStyle w:val="Hyperlink"/>
            <w:lang w:val="en-GB"/>
          </w:rPr>
          <w:t>www.studiesinmycology.org/index.php/issue/18-studies-in-mycology-no-16</w:t>
        </w:r>
      </w:hyperlink>
    </w:p>
    <w:p w14:paraId="6390644D" w14:textId="0A18E090">
      <w:pPr>
        <w:pStyle w:val="IPPParagraphnumbering"/>
        <w:numPr>
          <w:ilvl w:val="0"/>
          <w:numId w:val="0"/>
        </w:numPr>
        <w:rPr>
          <w:lang w:val="en-GB"/>
        </w:rPr>
      </w:pPr>
      <w:r>
        <w:rPr>
          <w:rStyle w:val="PleaseReviewParagraphId"/>
          <w:b w:val="off"/>
          <w:i w:val="off"/>
        </w:rPr>
        <w:t>[863]</w:t>
      </w:r>
      <w:r>
        <w:rPr>
          <w:b/>
          <w:bCs/>
          <w:lang w:val="en-GB"/>
        </w:rPr>
        <w:t xml:space="preserve">Stenlid, J. </w:t>
      </w:r>
      <w:r>
        <w:rPr>
          <w:lang w:val="en-GB"/>
        </w:rPr>
        <w:t xml:space="preserve">1985. Population structure of </w:t>
      </w:r>
      <w:r>
        <w:rPr>
          <w:i/>
          <w:lang w:val="en-GB"/>
        </w:rPr>
        <w:t>Heterobasidion annosum</w:t>
      </w:r>
      <w:r>
        <w:rPr>
          <w:lang w:val="en-GB"/>
        </w:rPr>
        <w:t xml:space="preserve"> as determined by somatic incompatibility, sexual incompatibility and isoenzyme patterns. </w:t>
      </w:r>
      <w:r>
        <w:rPr>
          <w:i/>
          <w:lang w:val="en-GB"/>
        </w:rPr>
        <w:t>Canadian Journal of Botany</w:t>
      </w:r>
      <w:r>
        <w:rPr>
          <w:lang w:val="en-GB"/>
        </w:rPr>
        <w:t xml:space="preserve">, 63: 2268–2273. </w:t>
      </w:r>
      <w:hyperlink w:history="1" r:id="rId92">
        <w:r>
          <w:rPr>
            <w:rStyle w:val="Hyperlink"/>
            <w:lang w:val="en-GB"/>
          </w:rPr>
          <w:t>https://doi.org/10.1139/b85-322</w:t>
        </w:r>
      </w:hyperlink>
    </w:p>
    <w:p w14:paraId="205893B9" w14:textId="133D324B">
      <w:pPr>
        <w:pStyle w:val="IPPParagraphnumbering"/>
        <w:numPr>
          <w:ilvl w:val="0"/>
          <w:numId w:val="0"/>
        </w:numPr>
        <w:rPr>
          <w:lang w:val="en-GB"/>
        </w:rPr>
      </w:pPr>
      <w:r>
        <w:rPr>
          <w:rStyle w:val="PleaseReviewParagraphId"/>
          <w:b w:val="off"/>
          <w:i w:val="off"/>
        </w:rPr>
        <w:t>[864]</w:t>
      </w:r>
      <w:r>
        <w:rPr>
          <w:b/>
          <w:bCs/>
          <w:lang w:val="en-GB"/>
        </w:rPr>
        <w:t xml:space="preserve">Stenlid, J. &amp; Redfern, D.B. </w:t>
      </w:r>
      <w:r>
        <w:rPr>
          <w:lang w:val="en-GB"/>
        </w:rPr>
        <w:t xml:space="preserve">1998. Spread within the tree and stand. In: S. Woodward, J. Stenlid, R. Karjalainen &amp; A. Hüttermann, eds. </w:t>
      </w:r>
      <w:r>
        <w:rPr>
          <w:i/>
          <w:lang w:val="en-GB"/>
        </w:rPr>
        <w:t>Heterobasidion annosum – Biology, ecology, impact and control</w:t>
      </w:r>
      <w:r>
        <w:rPr>
          <w:lang w:val="en-GB"/>
        </w:rPr>
        <w:t>, pp. 125–141. Wallingford, UK, CABI. 589 pp.</w:t>
      </w:r>
    </w:p>
    <w:p w14:paraId="4259507C" w14:textId="065C71CD">
      <w:pPr>
        <w:pStyle w:val="IPPParagraphnumbering"/>
        <w:numPr>
          <w:ilvl w:val="0"/>
          <w:numId w:val="0"/>
        </w:numPr>
        <w:rPr>
          <w:b/>
          <w:bCs/>
          <w:lang w:val="en-GB"/>
        </w:rPr>
      </w:pPr>
      <w:r>
        <w:rPr>
          <w:rStyle w:val="PleaseReviewParagraphId"/>
          <w:b w:val="off"/>
          <w:i w:val="off"/>
        </w:rPr>
        <w:t>[865]</w:t>
      </w:r>
      <w:r>
        <w:rPr>
          <w:b/>
          <w:bCs/>
          <w:lang w:val="fi-FI"/>
        </w:rPr>
        <w:t xml:space="preserve">Tokuda, S., Hattori, T., Dai, Y.-C., Ota, Y. &amp; Buchanan, P.K. </w:t>
      </w:r>
      <w:r>
        <w:rPr>
          <w:lang w:val="fi-FI"/>
        </w:rPr>
        <w:t xml:space="preserve">2009. </w:t>
      </w:r>
      <w:r>
        <w:rPr>
          <w:lang w:val="en-GB"/>
        </w:rPr>
        <w:t xml:space="preserve">Three species of </w:t>
      </w:r>
      <w:r>
        <w:rPr>
          <w:i/>
          <w:lang w:val="en-GB"/>
        </w:rPr>
        <w:t>Heterobasidion</w:t>
      </w:r>
      <w:r>
        <w:rPr>
          <w:lang w:val="en-GB"/>
        </w:rPr>
        <w:t xml:space="preserve"> (Basidiomycota, Hericiales), </w:t>
      </w:r>
      <w:r>
        <w:rPr>
          <w:i/>
          <w:lang w:val="en-GB"/>
        </w:rPr>
        <w:t>H. parviporum</w:t>
      </w:r>
      <w:r>
        <w:rPr>
          <w:lang w:val="en-GB"/>
        </w:rPr>
        <w:t xml:space="preserve">, </w:t>
      </w:r>
      <w:r>
        <w:rPr>
          <w:i/>
          <w:lang w:val="en-GB"/>
        </w:rPr>
        <w:t>H. orientale</w:t>
      </w:r>
      <w:r>
        <w:rPr>
          <w:lang w:val="en-GB"/>
        </w:rPr>
        <w:t xml:space="preserve"> sp. nov. and </w:t>
      </w:r>
      <w:r>
        <w:rPr>
          <w:i/>
          <w:lang w:val="en-GB"/>
        </w:rPr>
        <w:t>H. ecrustosum</w:t>
      </w:r>
      <w:r>
        <w:rPr>
          <w:lang w:val="en-GB"/>
        </w:rPr>
        <w:t xml:space="preserve"> sp. nov. from East Asia. </w:t>
      </w:r>
      <w:r>
        <w:rPr>
          <w:i/>
          <w:lang w:val="en-GB"/>
        </w:rPr>
        <w:t>Mycoscience</w:t>
      </w:r>
      <w:r>
        <w:rPr>
          <w:lang w:val="en-GB"/>
        </w:rPr>
        <w:t xml:space="preserve">, 50: 190–202. </w:t>
      </w:r>
      <w:hyperlink w:tgtFrame="_blank" w:tooltip="Persistent link using digital object identifier" w:history="1" r:id="rId93">
        <w:r>
          <w:rPr>
            <w:rStyle w:val="Hyperlink"/>
            <w:lang w:val="en-GB"/>
          </w:rPr>
          <w:t>https://doi.org/10.1007/S10267-008-0476-7</w:t>
        </w:r>
      </w:hyperlink>
    </w:p>
    <w:p w14:paraId="1046597B" w14:textId="1648EA34">
      <w:pPr>
        <w:pStyle w:val="IPPParagraphnumbering"/>
        <w:numPr>
          <w:ilvl w:val="0"/>
          <w:numId w:val="0"/>
        </w:numPr>
        <w:rPr>
          <w:lang w:val="en-GB"/>
        </w:rPr>
      </w:pPr>
      <w:r>
        <w:rPr>
          <w:rStyle w:val="PleaseReviewParagraphId"/>
          <w:b w:val="off"/>
          <w:i w:val="off"/>
        </w:rPr>
        <w:t>[866]</w:t>
      </w:r>
      <w:r>
        <w:rPr>
          <w:b/>
          <w:bCs/>
          <w:lang w:val="en-GB"/>
        </w:rPr>
        <w:t xml:space="preserve">Tomlinson, J.A., Dickinson, M.J. &amp; Boonham, N. </w:t>
      </w:r>
      <w:r>
        <w:rPr>
          <w:lang w:val="en-GB"/>
        </w:rPr>
        <w:t xml:space="preserve">2010. Rapid detection of </w:t>
      </w:r>
      <w:r>
        <w:rPr>
          <w:i/>
          <w:lang w:val="en-GB"/>
        </w:rPr>
        <w:t>Phytophthora ramorum</w:t>
      </w:r>
      <w:r>
        <w:rPr>
          <w:lang w:val="en-GB"/>
        </w:rPr>
        <w:t xml:space="preserve"> and </w:t>
      </w:r>
      <w:r>
        <w:rPr>
          <w:i/>
          <w:lang w:val="en-GB"/>
        </w:rPr>
        <w:t>P. kernoviae</w:t>
      </w:r>
      <w:r>
        <w:rPr>
          <w:lang w:val="en-GB"/>
        </w:rPr>
        <w:t xml:space="preserve"> by two-minute DNA extraction followed by isothermal amplification and amplicon detection by generic lateral flow device. </w:t>
      </w:r>
      <w:r>
        <w:rPr>
          <w:i/>
          <w:lang w:val="en-GB"/>
        </w:rPr>
        <w:t>Phytopathology</w:t>
      </w:r>
      <w:r>
        <w:rPr>
          <w:lang w:val="en-GB"/>
        </w:rPr>
        <w:t xml:space="preserve">, 100(2): 143–149. </w:t>
      </w:r>
      <w:hyperlink w:history="1" r:id="rId94">
        <w:r>
          <w:rPr>
            <w:rStyle w:val="Hyperlink"/>
            <w:lang w:val="en-GB"/>
          </w:rPr>
          <w:t>https://doi.org/10.1094/PHYTO-100-2-0143</w:t>
        </w:r>
      </w:hyperlink>
    </w:p>
    <w:p w14:paraId="73B0FA1F" w14:textId="680D1F84">
      <w:pPr>
        <w:pStyle w:val="IPPParagraphnumbering"/>
        <w:numPr>
          <w:ilvl w:val="0"/>
          <w:numId w:val="0"/>
        </w:numPr>
        <w:rPr>
          <w:lang w:val="en-GB"/>
        </w:rPr>
      </w:pPr>
      <w:r>
        <w:rPr>
          <w:rStyle w:val="PleaseReviewParagraphId"/>
          <w:b w:val="off"/>
          <w:i w:val="off"/>
        </w:rPr>
        <w:t>[867]</w:t>
      </w:r>
      <w:r>
        <w:rPr>
          <w:b/>
          <w:bCs/>
          <w:lang w:val="en-GB"/>
        </w:rPr>
        <w:t xml:space="preserve">White, T.J., Bruns, T.D., Lee, S.B. &amp; Taylor, J.W. </w:t>
      </w:r>
      <w:r>
        <w:rPr>
          <w:lang w:val="en-GB"/>
        </w:rPr>
        <w:t xml:space="preserve">1990. Amplification and direct sequencing of fungal ribosomal RNA genes for phylogenetics. In: N. Innis, D.H. Gelfand, J.J. Sninsky &amp; T.J. White, eds. </w:t>
      </w:r>
      <w:r>
        <w:rPr>
          <w:i/>
          <w:lang w:val="en-GB"/>
        </w:rPr>
        <w:t>PCR protocols – A guide to methods and applications</w:t>
      </w:r>
      <w:r>
        <w:rPr>
          <w:lang w:val="en-GB"/>
        </w:rPr>
        <w:t>, pp. 315–322. Academic Press, San Diego, USA. 482 pp.</w:t>
      </w:r>
    </w:p>
    <w:p w14:paraId="2C435BF1" w14:textId="7D8A3EA1">
      <w:pPr>
        <w:pStyle w:val="IPPParagraphnumbering"/>
        <w:numPr>
          <w:ilvl w:val="0"/>
          <w:numId w:val="0"/>
        </w:numPr>
        <w:rPr>
          <w:lang w:val="en-GB"/>
        </w:rPr>
      </w:pPr>
      <w:r>
        <w:rPr>
          <w:rStyle w:val="PleaseReviewParagraphId"/>
          <w:b w:val="off"/>
          <w:i w:val="off"/>
        </w:rPr>
        <w:t>[868]</w:t>
      </w:r>
      <w:r>
        <w:rPr>
          <w:b/>
          <w:bCs/>
          <w:lang w:val="en-GB"/>
        </w:rPr>
        <w:t>Worrall, J.J., Harrington, T.C., Blodgett, J.T., Conklin, D.A. &amp; Fairweather, M.L.</w:t>
      </w:r>
      <w:r>
        <w:rPr>
          <w:lang w:val="en-GB"/>
        </w:rPr>
        <w:t xml:space="preserve"> 2010. </w:t>
      </w:r>
      <w:r>
        <w:rPr>
          <w:i/>
          <w:lang w:val="en-GB"/>
        </w:rPr>
        <w:t>Heterobasidion annosum</w:t>
      </w:r>
      <w:r>
        <w:rPr>
          <w:lang w:val="en-GB"/>
        </w:rPr>
        <w:t xml:space="preserve"> and </w:t>
      </w:r>
      <w:r>
        <w:rPr>
          <w:i/>
          <w:lang w:val="en-GB"/>
        </w:rPr>
        <w:t>H. parviporum</w:t>
      </w:r>
      <w:r>
        <w:rPr>
          <w:lang w:val="en-GB"/>
        </w:rPr>
        <w:t xml:space="preserve"> in the southern Rocky Mountains and adjoining states. </w:t>
      </w:r>
      <w:r>
        <w:rPr>
          <w:i/>
          <w:lang w:val="en-GB"/>
        </w:rPr>
        <w:t>Plant Disease</w:t>
      </w:r>
      <w:r>
        <w:rPr>
          <w:lang w:val="en-GB"/>
        </w:rPr>
        <w:t xml:space="preserve">, 94: 115–118. </w:t>
      </w:r>
      <w:hyperlink w:history="1" r:id="rId95">
        <w:r>
          <w:rPr>
            <w:rStyle w:val="Hyperlink"/>
            <w:lang w:val="en-GB"/>
          </w:rPr>
          <w:t>https://doi.org/10.1094/PDIS-94-1-0115</w:t>
        </w:r>
      </w:hyperlink>
    </w:p>
    <w:p w14:paraId="47872F7A" w14:textId="0F7226C9">
      <w:pPr>
        <w:pStyle w:val="IPPParagraphnumbering"/>
        <w:numPr>
          <w:ilvl w:val="0"/>
          <w:numId w:val="0"/>
        </w:numPr>
        <w:rPr>
          <w:lang w:val="en-GB"/>
        </w:rPr>
      </w:pPr>
      <w:r>
        <w:rPr>
          <w:rStyle w:val="PleaseReviewParagraphId"/>
          <w:b w:val="off"/>
          <w:i w:val="off"/>
        </w:rPr>
        <w:t>[869]</w:t>
      </w:r>
      <w:r>
        <w:rPr>
          <w:b/>
          <w:bCs/>
          <w:lang w:val="en-GB"/>
        </w:rPr>
        <w:t xml:space="preserve">Yuan, Y., Chen, J.-J., Korhonen, K., Martin, F. &amp; Dai, Y.-C. </w:t>
      </w:r>
      <w:r>
        <w:rPr>
          <w:lang w:val="en-GB"/>
        </w:rPr>
        <w:t xml:space="preserve">2021. An updated global species diversity and phylogeny in the forest pathogenic genus </w:t>
      </w:r>
      <w:r>
        <w:rPr>
          <w:i/>
          <w:lang w:val="en-GB"/>
        </w:rPr>
        <w:t>Heterobasidion</w:t>
      </w:r>
      <w:r>
        <w:rPr>
          <w:lang w:val="en-GB"/>
        </w:rPr>
        <w:t xml:space="preserve"> (Basidiomycota, Russulales). </w:t>
      </w:r>
      <w:r>
        <w:rPr>
          <w:i/>
          <w:lang w:val="en-GB"/>
        </w:rPr>
        <w:t>Frontiers in Microbiology</w:t>
      </w:r>
      <w:r>
        <w:rPr>
          <w:lang w:val="en-GB"/>
        </w:rPr>
        <w:t xml:space="preserve">, 11: 596393. </w:t>
      </w:r>
      <w:hyperlink w:history="1" r:id="rId96">
        <w:r>
          <w:rPr>
            <w:rStyle w:val="Hyperlink"/>
            <w:lang w:val="en-GB"/>
          </w:rPr>
          <w:t>https://doi.org/10.3389/fmicb.2020.596393</w:t>
        </w:r>
      </w:hyperlink>
    </w:p>
    <w:p w14:paraId="54344CFD" w14:textId="25790535">
      <w:pPr>
        <w:rPr>
          <w:iCs/>
        </w:rPr>
      </w:pPr>
      <w:r>
        <w:rPr>
          <w:rStyle w:val="PleaseReviewParagraphId"/>
          <w:b w:val="off"/>
          <w:i w:val="off"/>
        </w:rPr>
        <w:t>[870]</w:t>
      </w:r>
      <w:r>
        <w:rPr>
          <w:iCs/>
        </w:rPr>
        <w:br w:type="page"/>
      </w:r>
    </w:p>
    <w:p w14:paraId="4E2E2DD1" w14:textId="1E0CAA69">
      <w:pPr>
        <w:pStyle w:val="IPPHeading1"/>
      </w:pPr>
      <w:r>
        <w:rPr>
          <w:rStyle w:val="PleaseReviewParagraphId"/>
          <w:b w:val="off"/>
          <w:i w:val="off"/>
        </w:rPr>
        <w:t>[871]</w:t>
      </w:r>
      <w:r>
        <w:lastRenderedPageBreak/>
        <w:t>9.</w:t>
        <w:tab/>
        <w:t>Figures</w:t>
      </w:r>
    </w:p>
    <w:p w14:paraId="6571A268" w14:textId="777C153E">
      <w:pPr>
        <w:pStyle w:val="BodyText"/>
        <w:tabs>
          <w:tab w:val="left" w:pos="426"/>
          <w:tab w:val="left" w:pos="4536"/>
        </w:tabs>
        <w:ind w:right="-1"/>
        <w:rPr>
          <w:b/>
          <w:bCs/>
        </w:rPr>
      </w:pPr>
      <w:r>
        <w:rPr>
          <w:rStyle w:val="PleaseReviewParagraphId"/>
          <w:b w:val="off"/>
          <w:i w:val="off"/>
        </w:rPr>
        <w:t>[872]</w:t>
      </w:r>
      <w:r>
        <w:drawing>
          <wp:anchor distT="0" distB="0" distL="114300" distR="114300" simplePos="0" relativeHeight="251658241" behindDoc="0" locked="0" layoutInCell="1" allowOverlap="1" wp14:editId="3FD4F068" wp14:anchorId="3FFA2B2E">
            <wp:simplePos x="0" y="0"/>
            <wp:positionH relativeFrom="column">
              <wp:posOffset>2573020</wp:posOffset>
            </wp:positionH>
            <wp:positionV relativeFrom="paragraph">
              <wp:posOffset>450850</wp:posOffset>
            </wp:positionV>
            <wp:extent cx="3664585" cy="2804160"/>
            <wp:effectExtent l="0" t="7937" r="4127" b="4128"/>
            <wp:wrapSquare wrapText="bothSides"/>
            <wp:docPr id="20" name="Picture 20" descr="C:\Users\Luana\Desktop\Luana\Progetti in corso\Horizon 2020\RICERCA\13-16 giugno 2017\13-16 giugno 2017\DSCN9123.JPG">
              <a:extLst>
                <a:ext uri="{FF2B5EF4-FFF2-40B4-BE49-F238E27FC236}">
                  <a16:creationId id="{F1B5400D-8DAF-4F1C-BB55-2D6B6EA79298}"/>
                </a:ext>
              </a:extLst>
            </wp:docPr>
            <wp:cNvGraphicFramePr>
              <a:graphicFrameLocks noChangeAspect="1"/>
            </wp:cNvGraphicFramePr>
            <a:graphic>
              <a:graphicData uri="http://schemas.openxmlformats.org/drawingml/2006/picture">
                <pic:pic>
                  <pic:nvPicPr>
                    <pic:cNvPr id="20" name="Picture 3" descr="C:\Users\Luana\Desktop\Luana\Progetti in corso\Horizon 2020\RICERCA\13-16 giugno 2017\13-16 giugno 2017\DSCN9123.JPG">
                      <a:extLst>
                        <a:ext uri="{FF2B5EF4-FFF2-40B4-BE49-F238E27FC236}">
                          <a16:creationId id="{F1B5400D-8DAF-4F1C-BB55-2D6B6EA79298}"/>
                        </a:ext>
                      </a:extLst>
                    </pic:cNvPr>
                    <pic:cNvPicPr>
                      <a:picLocks noChangeAspect="1" noChangeArrowheads="1"/>
                    </pic:cNvPicPr>
                  </pic:nvPicPr>
                  <pic:blipFill>
                    <a:blip r:embed="rId97" cstate="print">
                      <a:extLst>
                        <a:ext uri="{28A0092B-C50C-407E-A947-70E740481C1C}">
                          <a14:useLocalDpi val="0"/>
                        </a:ext>
                      </a:extLst>
                    </a:blip>
                    <a:srcRect/>
                    <a:stretch>
                      <a:fillRect/>
                    </a:stretch>
                  </pic:blipFill>
                  <pic:spPr bwMode="auto">
                    <a:xfrm rot="5400000">
                      <a:off x="0" y="0"/>
                      <a:ext cx="3664585" cy="2804160"/>
                    </a:xfrm>
                    <a:prstGeom prst="rect">
                      <a:avLst/>
                    </a:prstGeom>
                    <a:ln>
                      <a:noFill/>
                    </a:ln>
                    <a:effectLst/>
                    <a:extLst>
                      <a:ext uri="{909E8E84-426E-40DD-AFC4-6F175D3DCCD1}">
                        <a14:hiddenFill>
                          <a:solidFill>
                            <a:srgbClr val="FFFFFF"/>
                          </a:solidFill>
                        </a14:hiddenFill>
                      </a:ext>
                    </a:extLst>
                  </pic:spPr>
                </pic:pic>
              </a:graphicData>
            </a:graphic>
            <wp14:sizeRelH relativeFrom="page">
              <wp14:pctWidth>0</wp14:pctWidth>
            </wp14:sizeRelH>
            <wp14:sizeRelV relativeFrom="page">
              <wp14:pctHeight>0</wp14:pctHeight>
            </wp14:sizeRelV>
          </wp:anchor>
        </w:drawing>
        <w:drawing>
          <wp:anchor distT="0" distB="0" distL="114300" distR="114300" simplePos="0" relativeHeight="251658240" behindDoc="0" locked="0" layoutInCell="1" allowOverlap="1" wp14:editId="0B86430C" wp14:anchorId="32824086">
            <wp:simplePos x="0" y="0"/>
            <wp:positionH relativeFrom="margin">
              <wp:posOffset>0</wp:posOffset>
            </wp:positionH>
            <wp:positionV relativeFrom="paragraph">
              <wp:posOffset>19050</wp:posOffset>
            </wp:positionV>
            <wp:extent cx="2811600" cy="3664800"/>
            <wp:effectExtent l="0" t="0" r="8255" b="0"/>
            <wp:wrapSquare wrapText="bothSides"/>
            <wp:docPr id="3" name="Picture 3"/>
            <wp:cNvGraphicFramePr>
              <a:graphicFrameLocks noChangeAspect="1"/>
            </wp:cNvGraphicFramePr>
            <a:graphic>
              <a:graphicData uri="http://schemas.openxmlformats.org/drawingml/2006/picture">
                <pic:pic>
                  <pic:nvPicPr>
                    <pic:cNvPr id="0" name="Picture 5"/>
                    <pic:cNvPicPr>
                      <a:picLocks noChangeAspect="1" noChangeArrowheads="1"/>
                    </pic:cNvPicPr>
                  </pic:nvPicPr>
                  <pic:blipFill>
                    <a:blip r:embed="rId98" cstate="print">
                      <a:extLst>
                        <a:ext uri="{28A0092B-C50C-407E-A947-70E740481C1C}">
                          <a14:useLocalDpi val="0"/>
                        </a:ext>
                      </a:extLst>
                    </a:blip>
                    <a:srcRect/>
                    <a:stretch>
                      <a:fillRect/>
                    </a:stretch>
                  </pic:blipFill>
                  <pic:spPr bwMode="auto">
                    <a:xfrm>
                      <a:off x="0" y="0"/>
                      <a:ext cx="2811600" cy="36648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99DBBCD" w14:textId="3CEAA74F">
      <w:pPr>
        <w:pStyle w:val="IPPArial"/>
      </w:pPr>
      <w:r>
        <w:rPr>
          <w:rStyle w:val="PleaseReviewParagraphId"/>
          <w:b w:val="off"/>
          <w:i w:val="off"/>
        </w:rPr>
        <w:t>[873]</w:t>
      </w:r>
      <w:r>
        <w:rPr>
          <w:b/>
          <w:bCs/>
        </w:rPr>
        <w:t xml:space="preserve">Figure 1. </w:t>
      </w:r>
      <w:r>
        <w:t xml:space="preserve">Mortality of </w:t>
      </w:r>
      <w:r>
        <w:rPr>
          <w:i/>
          <w:iCs/>
        </w:rPr>
        <w:t>Pinus sylvestris</w:t>
      </w:r>
      <w:r>
        <w:t xml:space="preserve"> (left) and </w:t>
      </w:r>
      <w:r>
        <w:rPr>
          <w:i/>
          <w:iCs/>
        </w:rPr>
        <w:t>Pinus pinea</w:t>
      </w:r>
      <w:r>
        <w:t xml:space="preserve"> (right) caused by </w:t>
      </w:r>
      <w:r>
        <w:rPr>
          <w:i/>
          <w:iCs/>
        </w:rPr>
        <w:t>Heterobasidion annosum sensu stricto</w:t>
      </w:r>
      <w:r>
        <w:t xml:space="preserve"> and </w:t>
      </w:r>
      <w:r>
        <w:rPr>
          <w:i/>
          <w:iCs/>
        </w:rPr>
        <w:t>Heterobasidion irregulare</w:t>
      </w:r>
      <w:r>
        <w:t xml:space="preserve">, respectively. </w:t>
      </w:r>
    </w:p>
    <w:p w14:paraId="7322CB2B" w14:textId="20561F0D">
      <w:pPr>
        <w:pStyle w:val="IPPArialFootnote"/>
      </w:pPr>
      <w:r>
        <w:rPr>
          <w:rStyle w:val="PleaseReviewParagraphId"/>
          <w:b w:val="off"/>
          <w:i w:val="off"/>
        </w:rPr>
        <w:t>[874]</w:t>
      </w:r>
      <w:r>
        <w:rPr>
          <w:i/>
          <w:iCs/>
        </w:rPr>
        <w:t xml:space="preserve">Source: </w:t>
      </w:r>
      <w:r>
        <w:t>L. Giordano, Plant Protection Service Lombardy Region, Italy.</w:t>
      </w:r>
    </w:p>
    <w:p w14:paraId="433CBCB2" w14:textId="60BC929A">
      <w:pPr>
        <w:pStyle w:val="BodyText"/>
        <w:tabs>
          <w:tab w:val="left" w:pos="426"/>
        </w:tabs>
        <w:ind w:right="-1"/>
        <w:rPr>
          <w:i/>
          <w:iCs/>
        </w:rPr>
      </w:pPr>
      <w:r>
        <w:rPr>
          <w:rStyle w:val="PleaseReviewParagraphId"/>
          <w:b w:val="off"/>
          <w:i w:val="off"/>
        </w:rPr>
        <w:t>[875]</w:t>
      </w:r>
    </w:p>
    <w:p w14:paraId="3C70E9D0" w14:textId="75399622">
      <w:pPr>
        <w:pStyle w:val="BodyText"/>
        <w:tabs>
          <w:tab w:val="left" w:pos="426"/>
        </w:tabs>
        <w:ind w:right="-1"/>
        <w:rPr>
          <w:i/>
          <w:iCs/>
        </w:rPr>
      </w:pPr>
      <w:r>
        <w:rPr>
          <w:rStyle w:val="PleaseReviewParagraphId"/>
          <w:b w:val="off"/>
          <w:i w:val="off"/>
        </w:rPr>
        <w:t>[876]</w:t>
      </w:r>
    </w:p>
    <w:p w14:paraId="27146AAA" w14:textId="21305580">
      <w:pPr>
        <w:pStyle w:val="BodyText"/>
        <w:tabs>
          <w:tab w:val="left" w:pos="426"/>
        </w:tabs>
        <w:ind w:right="-1"/>
        <w:rPr>
          <w:i/>
          <w:iCs/>
        </w:rPr>
      </w:pPr>
      <w:r>
        <w:rPr>
          <w:rStyle w:val="PleaseReviewParagraphId"/>
          <w:b w:val="off"/>
          <w:i w:val="off"/>
        </w:rPr>
        <w:t>[877]</w:t>
      </w:r>
    </w:p>
    <w:p w14:paraId="53316110" w14:textId="3B0F8C34">
      <w:pPr>
        <w:pStyle w:val="BodyText"/>
        <w:tabs>
          <w:tab w:val="left" w:pos="426"/>
        </w:tabs>
        <w:ind w:right="-1"/>
        <w:rPr>
          <w:i/>
          <w:iCs/>
        </w:rPr>
      </w:pPr>
      <w:r>
        <w:rPr>
          <w:rStyle w:val="PleaseReviewParagraphId"/>
          <w:b w:val="off"/>
          <w:i w:val="off"/>
        </w:rPr>
        <w:t>[878]</w:t>
      </w:r>
    </w:p>
    <w:p w14:paraId="2ACCB159" w14:textId="64E1F4B9">
      <w:pPr>
        <w:pStyle w:val="BodyText"/>
        <w:tabs>
          <w:tab w:val="left" w:pos="426"/>
        </w:tabs>
        <w:ind w:right="-1"/>
        <w:jc w:val="center"/>
      </w:pPr>
      <w:r>
        <w:rPr>
          <w:rStyle w:val="PleaseReviewParagraphId"/>
          <w:b w:val="off"/>
          <w:i w:val="off"/>
        </w:rPr>
        <w:t>[879]</w:t>
      </w:r>
      <w:r>
        <w:drawing>
          <wp:anchor distT="0" distB="0" distL="114300" distR="114300" simplePos="0" relativeHeight="251658244" behindDoc="0" locked="0" layoutInCell="1" allowOverlap="1" wp14:editId="314B25FD" wp14:anchorId="68515C46">
            <wp:simplePos x="0" y="0"/>
            <wp:positionH relativeFrom="column">
              <wp:posOffset>-635</wp:posOffset>
            </wp:positionH>
            <wp:positionV relativeFrom="page">
              <wp:posOffset>6249559</wp:posOffset>
            </wp:positionV>
            <wp:extent cx="3607200" cy="2613600"/>
            <wp:effectExtent l="1587" t="0" r="0" b="0"/>
            <wp:wrapTopAndBottom/>
            <wp:docPr id="6" name="Picture 6"/>
            <wp:cNvGraphicFramePr>
              <a:graphicFrameLocks noChangeAspect="1"/>
            </wp:cNvGraphicFramePr>
            <a:graphic>
              <a:graphicData uri="http://schemas.openxmlformats.org/drawingml/2006/picture">
                <pic:pic>
                  <pic:nvPicPr>
                    <pic:cNvPr id="0" name="Picture 11"/>
                    <pic:cNvPicPr>
                      <a:picLocks noChangeAspect="1" noChangeArrowheads="1"/>
                    </pic:cNvPicPr>
                  </pic:nvPicPr>
                  <pic:blipFill rotWithShape="1">
                    <a:blip r:embed="rId99" cstate="print">
                      <a:extLst>
                        <a:ext uri="{28A0092B-C50C-407E-A947-70E740481C1C}">
                          <a14:useLocalDpi val="0"/>
                        </a:ext>
                      </a:extLst>
                    </a:blip>
                    <a:srcRect b="3394"/>
                    <a:stretch/>
                  </pic:blipFill>
                  <pic:spPr bwMode="auto">
                    <a:xfrm rot="10800000">
                      <a:off x="0" y="0"/>
                      <a:ext cx="3607200" cy="2613600"/>
                    </a:xfrm>
                    <a:prstGeom prst="rect">
                      <a:avLst/>
                    </a:prstGeom>
                    <a:noFill/>
                    <a:ln w="9525" cap="flat" cmpd="sng" algn="ctr">
                      <a:noFill/>
                      <a:prstDash val="solid"/>
                      <a:round/>
                      <a:headEnd type="none" w="med" len="med"/>
                      <a:tailEnd type="none" w="med" len="med"/>
                      <a:extLst>
                        <a:ext uri="{C807C97D-BFC1-408E-A445-0C87EB9F89A2}">
                          <ask:lineSketchStyleProps sd="0">
                            <a:custGeom>
                              <a:avLst/>
                              <a:gdLst/>
                              <a:ahLst/>
                              <a:cxnLst/>
                              <a:rect l="0" t="0" r="0" b="0"/>
                              <a:pathLst/>
                            </a:custGeom>
                            <ask:type/>
                          </ask:lineSketchStyleProps>
                        </a:ext>
                      </a:extLst>
                    </a:ln>
                    <a:extLst>
                      <a:ext uri="{53640926-AAD7-44D8-BBD7-CCE9431645EC}">
                        <a14:shadowObscured/>
                      </a:ext>
                    </a:extLst>
                  </pic:spPr>
                </pic:pic>
              </a:graphicData>
            </a:graphic>
            <wp14:sizeRelH relativeFrom="page">
              <wp14:pctWidth>0</wp14:pctWidth>
            </wp14:sizeRelH>
            <wp14:sizeRelV relativeFrom="page">
              <wp14:pctHeight>0</wp14:pctHeight>
            </wp14:sizeRelV>
          </wp:anchor>
        </w:drawing>
      </w:r>
    </w:p>
    <w:p w14:paraId="7887AC77" w14:textId="11215147">
      <w:pPr>
        <w:pStyle w:val="IPPArial"/>
      </w:pPr>
      <w:r>
        <w:rPr>
          <w:rStyle w:val="PleaseReviewParagraphId"/>
          <w:b w:val="off"/>
          <w:i w:val="off"/>
        </w:rPr>
        <w:t>[880]</w:t>
      </w:r>
      <w:r>
        <w:rPr>
          <w:b/>
          <w:bCs/>
        </w:rPr>
        <w:t xml:space="preserve">Figure 2. </w:t>
      </w:r>
      <w:r>
        <w:t>The</w:t>
      </w:r>
      <w:r>
        <w:rPr>
          <w:b/>
          <w:bCs/>
        </w:rPr>
        <w:t xml:space="preserve"> </w:t>
      </w:r>
      <w:r>
        <w:t xml:space="preserve">lion-tailing phenomenon of </w:t>
      </w:r>
      <w:r>
        <w:rPr>
          <w:i/>
          <w:iCs/>
        </w:rPr>
        <w:t>Pinus pinea</w:t>
      </w:r>
      <w:r>
        <w:t xml:space="preserve"> caused by </w:t>
      </w:r>
      <w:r>
        <w:rPr>
          <w:i/>
          <w:iCs/>
        </w:rPr>
        <w:t>Heterobasidion irregulare</w:t>
      </w:r>
      <w:r>
        <w:t>.</w:t>
      </w:r>
    </w:p>
    <w:p w14:paraId="6BF96A20" w14:textId="1D9D25D9">
      <w:pPr>
        <w:pStyle w:val="IPPArialFootnote"/>
      </w:pPr>
      <w:r>
        <w:rPr>
          <w:rStyle w:val="PleaseReviewParagraphId"/>
          <w:b w:val="off"/>
          <w:i w:val="off"/>
        </w:rPr>
        <w:t>[881]</w:t>
      </w:r>
      <w:r>
        <w:rPr>
          <w:i/>
          <w:iCs/>
        </w:rPr>
        <w:t xml:space="preserve">Source: </w:t>
      </w:r>
      <w:r>
        <w:t>L. Giordano, Plant Protection Service Lombardy Region, Italy.</w:t>
      </w:r>
    </w:p>
    <w:p w14:paraId="689007CA" w14:textId="0FC56A6D">
      <w:pPr>
        <w:pStyle w:val="BodyText"/>
        <w:tabs>
          <w:tab w:val="left" w:pos="426"/>
        </w:tabs>
        <w:ind w:right="-1"/>
      </w:pPr>
      <w:r>
        <w:rPr>
          <w:rStyle w:val="PleaseReviewParagraphId"/>
          <w:b w:val="off"/>
          <w:i w:val="off"/>
        </w:rPr>
        <w:t>[882]</w:t>
      </w:r>
    </w:p>
    <w:p w14:paraId="45FDDB91" w14:textId="3E8D276D">
      <w:pPr>
        <w:pStyle w:val="BodyText"/>
        <w:tabs>
          <w:tab w:val="left" w:pos="426"/>
        </w:tabs>
        <w:ind w:right="-1"/>
      </w:pPr>
      <w:r>
        <w:rPr>
          <w:rStyle w:val="PleaseReviewParagraphId"/>
          <w:b w:val="off"/>
          <w:i w:val="off"/>
        </w:rPr>
        <w:t>[883]</w:t>
      </w:r>
      <w:r>
        <w:lastRenderedPageBreak/>
        <w:drawing>
          <wp:anchor distT="0" distB="0" distL="114300" distR="114300" simplePos="0" relativeHeight="251658257" behindDoc="0" locked="0" layoutInCell="1" allowOverlap="1" wp14:editId="68FE56C9" wp14:anchorId="12831F49">
            <wp:simplePos x="0" y="0"/>
            <wp:positionH relativeFrom="column">
              <wp:posOffset>2952750</wp:posOffset>
            </wp:positionH>
            <wp:positionV relativeFrom="paragraph">
              <wp:posOffset>19050</wp:posOffset>
            </wp:positionV>
            <wp:extent cx="2807970" cy="2105660"/>
            <wp:effectExtent l="0" t="0" r="0" b="8890"/>
            <wp:wrapSquare wrapText="bothSides"/>
            <wp:docPr id="2" name="Picture 2"/>
            <wp:cNvGraphicFramePr>
              <a:graphicFrameLocks noChangeAspect="1"/>
            </wp:cNvGraphicFramePr>
            <a:graphic>
              <a:graphicData uri="http://schemas.openxmlformats.org/drawingml/2006/picture">
                <pic:pic>
                  <pic:nvPicPr>
                    <pic:cNvPr id="0" name="Picture 3"/>
                    <pic:cNvPicPr>
                      <a:picLocks noChangeAspect="1" noChangeArrowheads="1"/>
                    </pic:cNvPicPr>
                  </pic:nvPicPr>
                  <pic:blipFill>
                    <a:blip r:embed="rId100" cstate="print">
                      <a:extLst>
                        <a:ext uri="{28A0092B-C50C-407E-A947-70E740481C1C}">
                          <a14:useLocalDpi val="0"/>
                        </a:ext>
                      </a:extLst>
                    </a:blip>
                    <a:srcRect/>
                    <a:stretch>
                      <a:fillRect/>
                    </a:stretch>
                  </pic:blipFill>
                  <pic:spPr bwMode="auto">
                    <a:xfrm>
                      <a:off x="0" y="0"/>
                      <a:ext cx="2807970" cy="2105660"/>
                    </a:xfrm>
                    <a:prstGeom prst="rect">
                      <a:avLst/>
                    </a:prstGeom>
                    <a:noFill/>
                    <a:ln>
                      <a:noFill/>
                    </a:ln>
                  </pic:spPr>
                </pic:pic>
              </a:graphicData>
            </a:graphic>
            <wp14:sizeRelH relativeFrom="page">
              <wp14:pctWidth>0</wp14:pctWidth>
            </wp14:sizeRelH>
            <wp14:sizeRelV relativeFrom="page">
              <wp14:pctHeight>0</wp14:pctHeight>
            </wp14:sizeRelV>
          </wp:anchor>
        </w:drawing>
        <w:drawing>
          <wp:anchor distT="0" distB="0" distL="114300" distR="114300" simplePos="0" relativeHeight="251658260" behindDoc="0" locked="0" layoutInCell="1" allowOverlap="1" wp14:editId="158B852A" wp14:anchorId="1EAA3887">
            <wp:simplePos x="0" y="0"/>
            <wp:positionH relativeFrom="column">
              <wp:posOffset>1270</wp:posOffset>
            </wp:positionH>
            <wp:positionV relativeFrom="paragraph">
              <wp:posOffset>19050</wp:posOffset>
            </wp:positionV>
            <wp:extent cx="2843530" cy="2105660"/>
            <wp:effectExtent l="0" t="0" r="0" b="8890"/>
            <wp:wrapSquare wrapText="bothSides"/>
            <wp:docPr id="24" name="Picture 24"/>
            <wp:cNvGraphicFramePr>
              <a:graphicFrameLocks noChangeAspect="1"/>
            </wp:cNvGraphicFramePr>
            <a:graphic>
              <a:graphicData uri="http://schemas.openxmlformats.org/drawingml/2006/picture">
                <pic:pic>
                  <pic:nvPicPr>
                    <pic:cNvPr id="0" name="Picture 2"/>
                    <pic:cNvPicPr>
                      <a:picLocks noChangeAspect="1" noChangeArrowheads="1"/>
                    </pic:cNvPicPr>
                  </pic:nvPicPr>
                  <pic:blipFill rotWithShape="1">
                    <a:blip r:embed="rId101">
                      <a:extLst>
                        <a:ext uri="{28A0092B-C50C-407E-A947-70E740481C1C}">
                          <a14:useLocalDpi val="0"/>
                        </a:ext>
                      </a:extLst>
                    </a:blip>
                    <a:srcRect l="1123" t="1522" r="2422" b="2912"/>
                    <a:stretch/>
                  </pic:blipFill>
                  <pic:spPr bwMode="auto">
                    <a:xfrm>
                      <a:off x="0" y="0"/>
                      <a:ext cx="2843530" cy="2105660"/>
                    </a:xfrm>
                    <a:prstGeom prst="rect">
                      <a:avLst/>
                    </a:prstGeom>
                    <a:noFill/>
                    <a:ln w="9525" cap="flat" cmpd="sng" algn="ctr">
                      <a:noFill/>
                      <a:prstDash val="solid"/>
                      <a:round/>
                      <a:headEnd type="none" w="med" len="med"/>
                      <a:tailEnd type="none" w="med" len="med"/>
                      <a:extLst>
                        <a:ext uri="{C807C97D-BFC1-408E-A445-0C87EB9F89A2}">
                          <ask:lineSketchStyleProps sd="0">
                            <a:custGeom>
                              <a:avLst/>
                              <a:gdLst/>
                              <a:ahLst/>
                              <a:cxnLst/>
                              <a:rect l="0" t="0" r="0" b="0"/>
                              <a:pathLst/>
                            </a:custGeom>
                            <ask:type/>
                          </ask:lineSketchStyleProps>
                        </a:ext>
                      </a:extLst>
                    </a:ln>
                    <a:extLst>
                      <a:ext uri="{53640926-AAD7-44D8-BBD7-CCE9431645EC}">
                        <a14:shadowObscured/>
                      </a:ext>
                    </a:extLst>
                  </pic:spPr>
                </pic:pic>
              </a:graphicData>
            </a:graphic>
            <wp14:sizeRelH relativeFrom="page">
              <wp14:pctWidth>0</wp14:pctWidth>
            </wp14:sizeRelH>
            <wp14:sizeRelV relativeFrom="page">
              <wp14:pctHeight>0</wp14:pctHeight>
            </wp14:sizeRelV>
          </wp:anchor>
        </w:drawing>
        <mc:AlternateContent>
          <mc:Choice Requires="wps">
            <w:drawing>
              <wp:anchor distT="0" distB="0" distL="114300" distR="114300" simplePos="0" relativeHeight="251658261" behindDoc="0" locked="0" layoutInCell="1" allowOverlap="1" wp14:editId="2F940923" wp14:anchorId="22E5E635">
                <wp:simplePos x="0" y="0"/>
                <wp:positionH relativeFrom="column">
                  <wp:posOffset>714375</wp:posOffset>
                </wp:positionH>
                <wp:positionV relativeFrom="paragraph">
                  <wp:posOffset>1205139</wp:posOffset>
                </wp:positionV>
                <wp:extent cx="447070" cy="114603"/>
                <wp:effectExtent l="0" t="95250" r="0" b="76200"/>
                <wp:wrapNone/>
                <wp:docPr id="25" name="Arrow: Right 25"/>
                <wp:cNvGraphicFramePr/>
                <a:graphic>
                  <a:graphicData uri="http://schemas.microsoft.com/office/word/2010/wordprocessingShape">
                    <wps:wsp>
                      <wps:cNvSpPr/>
                      <wps:spPr>
                        <a:xfrm rot="1806290">
                          <a:off x="0" y="0"/>
                          <a:ext cx="447070" cy="114603"/>
                        </a:xfrm>
                        <a:prstGeom prst="rightArrow">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13" coordsize="21600,21600" o:spt="13" adj="16200,5400" path="m@0,l@0@1,0@1,0@2@0@2@0,21600,21600,10800xe" w14:anchorId="78CDCEAB">
                <v:stroke joinstyle="miter"/>
                <v:formulas>
                  <v:f eqn="val #0"/>
                  <v:f eqn="val #1"/>
                  <v:f eqn="sum height 0 #1"/>
                  <v:f eqn="sum 10800 0 #1"/>
                  <v:f eqn="sum width 0 #0"/>
                  <v:f eqn="prod @4 @3 10800"/>
                  <v:f eqn="sum width 0 @5"/>
                </v:formulas>
                <v:path textboxrect="0,@1,@6,@2" o:connecttype="custom" o:connectlocs="@0,0;0,10800;@0,21600;21600,10800" o:connectangles="270,180,90,0"/>
                <v:handles>
                  <v:h position="#0,#1" xrange="0,21600" yrange="0,10800"/>
                </v:handles>
              </v:shapetype>
              <v:shape id="Arrow: Right 25" style="position:absolute;margin-left:56.25pt;margin-top:94.9pt;width:35.2pt;height:9pt;rotation:1972950fd;z-index:25165826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spid="_x0000_s1026" fillcolor="white [3212]" stroked="f" strokeweight="1pt" type="#_x0000_t13" adj="188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"/>
            </w:pict>
          </mc:Fallback>
        </mc:AlternateContent>
      </w:r>
    </w:p>
    <w:p w14:paraId="0B6A1871" w14:textId="4637C086">
      <w:pPr>
        <w:pStyle w:val="IPPArial"/>
        <w:rPr>
          <w:b/>
          <w:bCs/>
        </w:rPr>
      </w:pPr>
      <w:r>
        <w:rPr>
          <w:rStyle w:val="PleaseReviewParagraphId"/>
          <w:b w:val="off"/>
          <w:i w:val="off"/>
        </w:rPr>
        <w:t>[884]</w:t>
      </w:r>
      <w:r>
        <w:rPr>
          <w:b/>
          <w:bCs/>
        </w:rPr>
        <w:t xml:space="preserve">Figure 3. </w:t>
      </w:r>
      <w:r>
        <w:t xml:space="preserve">Paper-thin mycelium of </w:t>
      </w:r>
      <w:r>
        <w:rPr>
          <w:i/>
          <w:iCs/>
        </w:rPr>
        <w:t>Heterobasidion</w:t>
      </w:r>
      <w:r>
        <w:t xml:space="preserve"> sp. and cambium necrosis beneath the bark at the tree collar of </w:t>
      </w:r>
      <w:r>
        <w:rPr>
          <w:i/>
          <w:iCs/>
        </w:rPr>
        <w:t>Pinus sylvestris</w:t>
      </w:r>
      <w:r>
        <w:t xml:space="preserve"> (left). Thicker white mycelium of </w:t>
      </w:r>
      <w:r>
        <w:rPr>
          <w:i/>
          <w:iCs/>
        </w:rPr>
        <w:t>Armillaria</w:t>
      </w:r>
      <w:r>
        <w:t xml:space="preserve"> sp. beneath the bark at the tree collar of </w:t>
      </w:r>
      <w:r>
        <w:rPr>
          <w:i/>
          <w:iCs/>
        </w:rPr>
        <w:t>Pinus sylvestris</w:t>
      </w:r>
      <w:r>
        <w:t xml:space="preserve"> (right).</w:t>
      </w:r>
    </w:p>
    <w:p w14:paraId="0AC8A319" w14:textId="22E38800">
      <w:pPr>
        <w:pStyle w:val="IPPArialFootnote"/>
      </w:pPr>
      <w:r>
        <w:rPr>
          <w:rStyle w:val="PleaseReviewParagraphId"/>
          <w:b w:val="off"/>
          <w:i w:val="off"/>
        </w:rPr>
        <w:t>[885]</w:t>
      </w:r>
      <w:r>
        <w:rPr>
          <w:i/>
          <w:iCs/>
        </w:rPr>
        <w:t xml:space="preserve">Source: </w:t>
      </w:r>
      <w:r>
        <w:t>L. Giordano, Plant Protection Service Lombardy Region, Italy.</w:t>
        <w:drawing>
          <wp:anchor distT="0" distB="0" distL="114300" distR="114300" simplePos="0" relativeHeight="251658243" behindDoc="0" locked="0" layoutInCell="1" allowOverlap="1" wp14:editId="64ECBDC1" wp14:anchorId="2FF7F4EF">
            <wp:simplePos x="0" y="0"/>
            <wp:positionH relativeFrom="column">
              <wp:posOffset>2960252</wp:posOffset>
            </wp:positionH>
            <wp:positionV relativeFrom="paragraph">
              <wp:posOffset>224790</wp:posOffset>
            </wp:positionV>
            <wp:extent cx="2804400" cy="2106000"/>
            <wp:effectExtent l="0" t="0" r="0" b="8890"/>
            <wp:wrapSquare wrapText="bothSides"/>
            <wp:docPr id="5" name="Picture 5"/>
            <wp:cNvGraphicFramePr>
              <a:graphicFrameLocks noChangeAspect="1"/>
            </wp:cNvGraphicFramePr>
            <a:graphic>
              <a:graphicData uri="http://schemas.openxmlformats.org/drawingml/2006/picture">
                <pic:pic>
                  <pic:nvPicPr>
                    <pic:cNvPr id="0" name="Picture 9"/>
                    <pic:cNvPicPr>
                      <a:picLocks noChangeAspect="1" noChangeArrowheads="1"/>
                    </pic:cNvPicPr>
                  </pic:nvPicPr>
                  <pic:blipFill>
                    <a:blip r:embed="rId102" cstate="print">
                      <a:extLst>
                        <a:ext uri="{28A0092B-C50C-407E-A947-70E740481C1C}">
                          <a14:useLocalDpi val="0"/>
                        </a:ext>
                      </a:extLst>
                    </a:blip>
                    <a:srcRect/>
                    <a:stretch>
                      <a:fillRect/>
                    </a:stretch>
                  </pic:blipFill>
                  <pic:spPr bwMode="auto">
                    <a:xfrm>
                      <a:off x="0" y="0"/>
                      <a:ext cx="2804400" cy="21060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C623B34" w14:textId="606D5F17">
      <w:pPr>
        <w:pStyle w:val="BodyText"/>
        <w:tabs>
          <w:tab w:val="left" w:pos="426"/>
        </w:tabs>
        <w:ind w:right="-1"/>
        <w:rPr>
          <w:b/>
          <w:bCs/>
        </w:rPr>
      </w:pPr>
      <w:r>
        <w:rPr>
          <w:rStyle w:val="PleaseReviewParagraphId"/>
          <w:b w:val="off"/>
          <w:i w:val="off"/>
        </w:rPr>
        <w:t>[886]</w:t>
      </w:r>
      <w:r>
        <w:drawing>
          <wp:anchor distT="0" distB="0" distL="114300" distR="114300" simplePos="0" relativeHeight="251658242" behindDoc="0" locked="0" layoutInCell="1" allowOverlap="1" wp14:editId="677BE1BE" wp14:anchorId="7502C53D">
            <wp:simplePos x="0" y="0"/>
            <wp:positionH relativeFrom="column">
              <wp:posOffset>0</wp:posOffset>
            </wp:positionH>
            <wp:positionV relativeFrom="paragraph">
              <wp:posOffset>62230</wp:posOffset>
            </wp:positionV>
            <wp:extent cx="2808000" cy="2106000"/>
            <wp:effectExtent l="0" t="0" r="0" b="8890"/>
            <wp:wrapSquare wrapText="bothSides"/>
            <wp:docPr id="4" name="Picture 4"/>
            <wp:cNvGraphicFramePr>
              <a:graphicFrameLocks noChangeAspect="1"/>
            </wp:cNvGraphicFramePr>
            <a:graphic>
              <a:graphicData uri="http://schemas.openxmlformats.org/drawingml/2006/picture">
                <pic:pic>
                  <pic:nvPicPr>
                    <pic:cNvPr id="0" name="Picture 7"/>
                    <pic:cNvPicPr>
                      <a:picLocks noChangeAspect="1" noChangeArrowheads="1"/>
                    </pic:cNvPicPr>
                  </pic:nvPicPr>
                  <pic:blipFill>
                    <a:blip r:embed="rId103" cstate="print">
                      <a:extLst>
                        <a:ext uri="{28A0092B-C50C-407E-A947-70E740481C1C}">
                          <a14:useLocalDpi val="0"/>
                        </a:ext>
                      </a:extLst>
                    </a:blip>
                    <a:srcRect/>
                    <a:stretch>
                      <a:fillRect/>
                    </a:stretch>
                  </pic:blipFill>
                  <pic:spPr bwMode="auto">
                    <a:xfrm>
                      <a:off x="0" y="0"/>
                      <a:ext cx="2808000" cy="21060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5211D3C" w14:textId="63E1A334">
      <w:pPr>
        <w:pStyle w:val="IPPArial"/>
      </w:pPr>
      <w:r>
        <w:rPr>
          <w:rStyle w:val="PleaseReviewParagraphId"/>
          <w:b w:val="off"/>
          <w:i w:val="off"/>
        </w:rPr>
        <w:t>[887]</w:t>
      </w:r>
      <w:r>
        <w:rPr>
          <w:b/>
          <w:bCs/>
        </w:rPr>
        <w:t xml:space="preserve">Figure 4. </w:t>
      </w:r>
      <w:r>
        <w:t xml:space="preserve">Heart rot of </w:t>
      </w:r>
      <w:r>
        <w:rPr>
          <w:i/>
          <w:iCs/>
        </w:rPr>
        <w:t xml:space="preserve">Picea abies </w:t>
      </w:r>
      <w:r>
        <w:t xml:space="preserve">caused by </w:t>
      </w:r>
      <w:r>
        <w:rPr>
          <w:i/>
          <w:iCs/>
        </w:rPr>
        <w:t>Heterobasidion parviporum</w:t>
      </w:r>
      <w:r>
        <w:t>. When heart rot develops, it can result in cavities (right).</w:t>
      </w:r>
    </w:p>
    <w:p w14:paraId="12452383" w14:textId="3758DAFD">
      <w:pPr>
        <w:pStyle w:val="IPPArialFootnote"/>
      </w:pPr>
      <w:r>
        <w:rPr>
          <w:rStyle w:val="PleaseReviewParagraphId"/>
          <w:b w:val="off"/>
          <w:i w:val="off"/>
        </w:rPr>
        <w:t>[888]</w:t>
      </w:r>
      <w:r>
        <w:rPr>
          <w:i/>
          <w:iCs/>
        </w:rPr>
        <w:t xml:space="preserve">Source: </w:t>
      </w:r>
      <w:r>
        <w:t>L. Giordano, Plant Protection Service Lombardy Region, Italy.</w:t>
      </w:r>
    </w:p>
    <w:p w14:paraId="44AD77DD" w14:textId="4DDC2F14">
      <w:pPr>
        <w:pStyle w:val="BodyText"/>
        <w:tabs>
          <w:tab w:val="left" w:pos="426"/>
        </w:tabs>
        <w:ind w:right="-1"/>
      </w:pPr>
      <w:r>
        <w:rPr>
          <w:rStyle w:val="PleaseReviewParagraphId"/>
          <w:b w:val="off"/>
          <w:i w:val="off"/>
        </w:rPr>
        <w:t>[889]</w:t>
      </w:r>
    </w:p>
    <w:p w14:paraId="07FFD1D6" w14:textId="2F5BEDD2">
      <w:pPr>
        <w:spacing w:after="160" w:line="259" w:lineRule="auto"/>
        <w:jc w:val="left"/>
        <w:rPr>
          <w:iCs/>
        </w:rPr>
      </w:pPr>
      <w:r>
        <w:rPr>
          <w:rStyle w:val="PleaseReviewParagraphId"/>
          <w:b w:val="off"/>
          <w:i w:val="off"/>
        </w:rPr>
        <w:t>[890]</w:t>
      </w:r>
      <w:r>
        <w:rPr>
          <w:iCs/>
        </w:rPr>
        <w:br w:type="page"/>
      </w:r>
    </w:p>
    <w:p w14:paraId="66D7B0E1" w14:textId="5FED957A">
      <w:pPr>
        <w:rPr>
          <w:iCs/>
        </w:rPr>
      </w:pPr>
      <w:r>
        <w:rPr>
          <w:rStyle w:val="PleaseReviewParagraphId"/>
          <w:b w:val="off"/>
          <w:i w:val="off"/>
        </w:rPr>
        <w:t>[891]</w:t>
      </w:r>
      <w:r>
        <w:lastRenderedPageBreak/>
        <w:drawing>
          <wp:anchor distT="0" distB="0" distL="114300" distR="114300" simplePos="0" relativeHeight="251658246" behindDoc="0" locked="0" layoutInCell="1" allowOverlap="1" wp14:editId="05E1B4CE" wp14:anchorId="37C1AE5E">
            <wp:simplePos x="0" y="0"/>
            <wp:positionH relativeFrom="column">
              <wp:posOffset>3098800</wp:posOffset>
            </wp:positionH>
            <wp:positionV relativeFrom="page">
              <wp:posOffset>1017270</wp:posOffset>
            </wp:positionV>
            <wp:extent cx="2662555" cy="2105660"/>
            <wp:effectExtent l="0" t="0" r="4445" b="8890"/>
            <wp:wrapSquare wrapText="bothSides"/>
            <wp:docPr id="8" name="Picture 8"/>
            <wp:cNvGraphicFramePr>
              <a:graphicFrameLocks noChangeAspect="1"/>
            </wp:cNvGraphicFramePr>
            <a:graphic>
              <a:graphicData uri="http://schemas.openxmlformats.org/drawingml/2006/picture">
                <pic:pic>
                  <pic:nvPicPr>
                    <pic:cNvPr id="0" name="Picture 15"/>
                    <pic:cNvPicPr>
                      <a:picLocks noChangeAspect="1" noChangeArrowheads="1"/>
                    </pic:cNvPicPr>
                  </pic:nvPicPr>
                  <pic:blipFill rotWithShape="1">
                    <a:blip r:embed="rId104" cstate="print">
                      <a:extLst>
                        <a:ext uri="{28A0092B-C50C-407E-A947-70E740481C1C}">
                          <a14:useLocalDpi val="0"/>
                        </a:ext>
                      </a:extLst>
                    </a:blip>
                    <a:srcRect l="-1" r="8878" b="3929"/>
                    <a:stretch/>
                  </pic:blipFill>
                  <pic:spPr bwMode="auto">
                    <a:xfrm>
                      <a:off x="0" y="0"/>
                      <a:ext cx="2662555" cy="2105660"/>
                    </a:xfrm>
                    <a:prstGeom prst="rect">
                      <a:avLst/>
                    </a:prstGeom>
                    <a:noFill/>
                    <a:ln>
                      <a:noFill/>
                    </a:ln>
                    <a:extLst>
                      <a:ext uri="{53640926-AAD7-44D8-BBD7-CCE9431645EC}">
                        <a14:shadowObscured/>
                      </a:ext>
                    </a:extLst>
                  </pic:spPr>
                </pic:pic>
              </a:graphicData>
            </a:graphic>
            <wp14:sizeRelH relativeFrom="page">
              <wp14:pctWidth>0</wp14:pctWidth>
            </wp14:sizeRelH>
            <wp14:sizeRelV relativeFrom="page">
              <wp14:pctHeight>0</wp14:pctHeight>
            </wp14:sizeRelV>
          </wp:anchor>
        </w:drawing>
        <w:drawing>
          <wp:anchor distT="0" distB="0" distL="114300" distR="114300" simplePos="0" relativeHeight="251658245" behindDoc="0" locked="0" layoutInCell="1" allowOverlap="1" wp14:editId="794E6F0E" wp14:anchorId="37A7E1AC">
            <wp:simplePos x="0" y="0"/>
            <wp:positionH relativeFrom="column">
              <wp:posOffset>0</wp:posOffset>
            </wp:positionH>
            <wp:positionV relativeFrom="page">
              <wp:posOffset>1021301</wp:posOffset>
            </wp:positionV>
            <wp:extent cx="2959200" cy="2106000"/>
            <wp:effectExtent l="0" t="0" r="0" b="8890"/>
            <wp:wrapSquare wrapText="bothSides"/>
            <wp:docPr id="7" name="Picture 7"/>
            <wp:cNvGraphicFramePr>
              <a:graphicFrameLocks noChangeAspect="1"/>
            </wp:cNvGraphicFramePr>
            <a:graphic>
              <a:graphicData uri="http://schemas.openxmlformats.org/drawingml/2006/picture">
                <pic:pic>
                  <pic:nvPicPr>
                    <pic:cNvPr id="0" name="Picture 13"/>
                    <pic:cNvPicPr>
                      <a:picLocks noChangeAspect="1" noChangeArrowheads="1"/>
                    </pic:cNvPicPr>
                  </pic:nvPicPr>
                  <pic:blipFill rotWithShape="1">
                    <a:blip r:embed="rId105" cstate="print">
                      <a:extLst>
                        <a:ext uri="{28A0092B-C50C-407E-A947-70E740481C1C}">
                          <a14:useLocalDpi val="0"/>
                        </a:ext>
                      </a:extLst>
                    </a:blip>
                    <a:srcRect b="5168"/>
                    <a:stretch/>
                  </pic:blipFill>
                  <pic:spPr bwMode="auto">
                    <a:xfrm>
                      <a:off x="0" y="0"/>
                      <a:ext cx="2959200" cy="2106000"/>
                    </a:xfrm>
                    <a:prstGeom prst="rect">
                      <a:avLst/>
                    </a:prstGeom>
                    <a:noFill/>
                    <a:ln w="9525" cap="flat" cmpd="sng" algn="ctr">
                      <a:noFill/>
                      <a:prstDash val="solid"/>
                      <a:round/>
                      <a:headEnd type="none" w="med" len="med"/>
                      <a:tailEnd type="none" w="med" len="med"/>
                      <a:extLst>
                        <a:ext uri="{C807C97D-BFC1-408E-A445-0C87EB9F89A2}">
                          <ask:lineSketchStyleProps sd="0">
                            <a:custGeom>
                              <a:avLst/>
                              <a:gdLst/>
                              <a:ahLst/>
                              <a:cxnLst/>
                              <a:rect l="0" t="0" r="0" b="0"/>
                              <a:pathLst/>
                            </a:custGeom>
                            <ask:type/>
                          </ask:lineSketchStyleProps>
                        </a:ext>
                      </a:extLst>
                    </a:ln>
                    <a:extLst>
                      <a:ext uri="{53640926-AAD7-44D8-BBD7-CCE9431645EC}">
                        <a14:shadowObscured/>
                      </a:ext>
                    </a:extLst>
                  </pic:spPr>
                </pic:pic>
              </a:graphicData>
            </a:graphic>
            <wp14:sizeRelH relativeFrom="page">
              <wp14:pctWidth>0</wp14:pctWidth>
            </wp14:sizeRelH>
            <wp14:sizeRelV relativeFrom="page">
              <wp14:pctHeight>0</wp14:pctHeight>
            </wp14:sizeRelV>
          </wp:anchor>
        </w:drawing>
      </w:r>
    </w:p>
    <w:p w14:paraId="60A9BA85" w14:textId="623EE984">
      <w:pPr>
        <w:pStyle w:val="IPPArial"/>
      </w:pPr>
      <w:r>
        <w:rPr>
          <w:rStyle w:val="PleaseReviewParagraphId"/>
          <w:b w:val="off"/>
          <w:i w:val="off"/>
        </w:rPr>
        <w:t>[892]</w:t>
      </w:r>
      <w:r>
        <w:rPr>
          <w:b/>
          <w:bCs/>
        </w:rPr>
        <w:t xml:space="preserve">Figure 5. </w:t>
      </w:r>
      <w:r>
        <w:t xml:space="preserve">Examples of </w:t>
      </w:r>
      <w:r>
        <w:rPr>
          <w:i/>
          <w:iCs/>
        </w:rPr>
        <w:t>Heterobasidion annosum sensu lato</w:t>
      </w:r>
      <w:r>
        <w:t xml:space="preserve"> fruiting bodies. They may envelop litter debris (left) and develop inside the internal cavities of old decayed stumps (right).</w:t>
      </w:r>
    </w:p>
    <w:p w14:paraId="3B928524" w14:textId="27AB4BF5">
      <w:pPr>
        <w:pStyle w:val="IPPArialFootnote"/>
      </w:pPr>
      <w:r>
        <w:rPr>
          <w:rStyle w:val="PleaseReviewParagraphId"/>
          <w:b w:val="off"/>
          <w:i w:val="off"/>
        </w:rPr>
        <w:t>[893]</w:t>
      </w:r>
      <w:r>
        <w:rPr>
          <w:i/>
          <w:iCs/>
        </w:rPr>
        <w:t xml:space="preserve">Source: </w:t>
      </w:r>
      <w:r>
        <w:t>L. Giordano, Plant Protection Service Lombardy Region, Italy.</w:t>
        <w:drawing>
          <wp:anchor distT="0" distB="0" distL="114300" distR="114300" simplePos="0" relativeHeight="251658262" behindDoc="0" locked="0" layoutInCell="1" allowOverlap="1" wp14:editId="649CD94F" wp14:anchorId="49945126">
            <wp:simplePos x="0" y="0"/>
            <wp:positionH relativeFrom="column">
              <wp:posOffset>1906905</wp:posOffset>
            </wp:positionH>
            <wp:positionV relativeFrom="paragraph">
              <wp:posOffset>239395</wp:posOffset>
            </wp:positionV>
            <wp:extent cx="2446655" cy="1775460"/>
            <wp:effectExtent l="0" t="0" r="0" b="0"/>
            <wp:wrapSquare wrapText="bothSides"/>
            <wp:docPr id="678606952" name="Picture 678606952"/>
            <wp:cNvGraphicFramePr>
              <a:graphicFrameLocks noChangeAspect="1"/>
            </wp:cNvGraphicFramePr>
            <a:graphic>
              <a:graphicData uri="http://schemas.openxmlformats.org/drawingml/2006/picture">
                <pic:pic>
                  <pic:nvPicPr>
                    <pic:cNvPr id="0" name="Picture 2"/>
                    <pic:cNvPicPr>
                      <a:picLocks noChangeAspect="1" noChangeArrowheads="1"/>
                    </pic:cNvPicPr>
                  </pic:nvPicPr>
                  <pic:blipFill rotWithShape="1">
                    <a:blip r:embed="rId106" cstate="print">
                      <a:extLst>
                        <a:ext uri="{28A0092B-C50C-407E-A947-70E740481C1C}">
                          <a14:useLocalDpi val="0"/>
                        </a:ext>
                      </a:extLst>
                    </a:blip>
                    <a:srcRect l="8609" t="9178" r="6660"/>
                    <a:stretch/>
                  </pic:blipFill>
                  <pic:spPr bwMode="auto">
                    <a:xfrm>
                      <a:off x="0" y="0"/>
                      <a:ext cx="2446655" cy="1775460"/>
                    </a:xfrm>
                    <a:prstGeom prst="rect">
                      <a:avLst/>
                    </a:prstGeom>
                    <a:noFill/>
                    <a:ln>
                      <a:noFill/>
                    </a:ln>
                    <a:extLst>
                      <a:ext uri="{53640926-AAD7-44D8-BBD7-CCE9431645EC}">
                        <a14:shadowObscured/>
                      </a:ext>
                    </a:extLst>
                  </pic:spPr>
                </pic:pic>
              </a:graphicData>
            </a:graphic>
            <wp14:sizeRelH relativeFrom="page">
              <wp14:pctWidth>0</wp14:pctWidth>
            </wp14:sizeRelH>
            <wp14:sizeRelV relativeFrom="page">
              <wp14:pctHeight>0</wp14:pctHeight>
            </wp14:sizeRelV>
          </wp:anchor>
        </w:drawing>
        <w:drawing>
          <wp:anchor distT="0" distB="0" distL="114300" distR="114300" simplePos="0" relativeHeight="251658259" behindDoc="0" locked="0" layoutInCell="1" allowOverlap="1" wp14:editId="3A7E2A86" wp14:anchorId="6E34DA0D">
            <wp:simplePos x="0" y="0"/>
            <wp:positionH relativeFrom="column">
              <wp:posOffset>4442460</wp:posOffset>
            </wp:positionH>
            <wp:positionV relativeFrom="paragraph">
              <wp:posOffset>241300</wp:posOffset>
            </wp:positionV>
            <wp:extent cx="1318895" cy="1775460"/>
            <wp:effectExtent l="0" t="0" r="0" b="0"/>
            <wp:wrapSquare wrapText="bothSides"/>
            <wp:docPr id="18" name="Picture 18"/>
            <wp:cNvGraphicFramePr>
              <a:graphicFrameLocks noChangeAspect="1"/>
            </wp:cNvGraphicFramePr>
            <a:graphic>
              <a:graphicData uri="http://schemas.openxmlformats.org/drawingml/2006/picture">
                <pic:pic>
                  <pic:nvPicPr>
                    <pic:cNvPr id="0" name="Picture 10"/>
                    <pic:cNvPicPr>
                      <a:picLocks noChangeAspect="1" noChangeArrowheads="1"/>
                    </pic:cNvPicPr>
                  </pic:nvPicPr>
                  <pic:blipFill rotWithShape="1">
                    <a:blip r:embed="rId107" cstate="print">
                      <a:extLst>
                        <a:ext uri="{28A0092B-C50C-407E-A947-70E740481C1C}">
                          <a14:useLocalDpi val="0"/>
                        </a:ext>
                      </a:extLst>
                    </a:blip>
                    <a:srcRect t="16558" b="7737"/>
                    <a:stretch/>
                  </pic:blipFill>
                  <pic:spPr bwMode="auto">
                    <a:xfrm rot="10800000">
                      <a:off x="0" y="0"/>
                      <a:ext cx="1318895" cy="1775460"/>
                    </a:xfrm>
                    <a:prstGeom prst="rect">
                      <a:avLst/>
                    </a:prstGeom>
                    <a:noFill/>
                    <a:ln w="9525" cap="flat" cmpd="sng" algn="ctr">
                      <a:noFill/>
                      <a:prstDash val="solid"/>
                      <a:round/>
                      <a:headEnd type="none" w="med" len="med"/>
                      <a:tailEnd type="none" w="med" len="med"/>
                      <a:extLst>
                        <a:ext uri="{C807C97D-BFC1-408E-A445-0C87EB9F89A2}">
                          <ask:lineSketchStyleProps sd="0">
                            <a:custGeom>
                              <a:avLst/>
                              <a:gdLst/>
                              <a:ahLst/>
                              <a:cxnLst/>
                              <a:rect l="0" t="0" r="0" b="0"/>
                              <a:pathLst/>
                            </a:custGeom>
                            <ask:type/>
                          </ask:lineSketchStyleProps>
                        </a:ext>
                      </a:extLst>
                    </a:ln>
                    <a:extLst>
                      <a:ext uri="{53640926-AAD7-44D8-BBD7-CCE9431645EC}">
                        <a14:shadowObscured/>
                      </a:ext>
                    </a:extLst>
                  </pic:spPr>
                </pic:pic>
              </a:graphicData>
            </a:graphic>
            <wp14:sizeRelH relativeFrom="page">
              <wp14:pctWidth>0</wp14:pctWidth>
            </wp14:sizeRelH>
            <wp14:sizeRelV relativeFrom="page">
              <wp14:pctHeight>0</wp14:pctHeight>
            </wp14:sizeRelV>
          </wp:anchor>
        </w:drawing>
        <w:drawing>
          <wp:anchor distT="0" distB="0" distL="114300" distR="114300" simplePos="0" relativeHeight="251658258" behindDoc="0" locked="0" layoutInCell="1" allowOverlap="1" wp14:editId="6418B5F5" wp14:anchorId="12DF4368">
            <wp:simplePos x="0" y="0"/>
            <wp:positionH relativeFrom="column">
              <wp:posOffset>15240</wp:posOffset>
            </wp:positionH>
            <wp:positionV relativeFrom="paragraph">
              <wp:posOffset>220980</wp:posOffset>
            </wp:positionV>
            <wp:extent cx="1778000" cy="1810385"/>
            <wp:effectExtent l="2857" t="0" r="0" b="0"/>
            <wp:wrapSquare wrapText="bothSides"/>
            <wp:docPr id="13" name="Picture 13"/>
            <wp:cNvGraphicFramePr>
              <a:graphicFrameLocks noChangeAspect="1"/>
            </wp:cNvGraphicFramePr>
            <a:graphic>
              <a:graphicData uri="http://schemas.openxmlformats.org/drawingml/2006/picture">
                <pic:pic>
                  <pic:nvPicPr>
                    <pic:cNvPr id="0" name="Picture 8"/>
                    <pic:cNvPicPr>
                      <a:picLocks noChangeAspect="1" noChangeArrowheads="1"/>
                    </pic:cNvPicPr>
                  </pic:nvPicPr>
                  <pic:blipFill rotWithShape="1">
                    <a:blip r:embed="rId108" cstate="print">
                      <a:extLst>
                        <a:ext uri="{28A0092B-C50C-407E-A947-70E740481C1C}">
                          <a14:useLocalDpi val="0"/>
                        </a:ext>
                      </a:extLst>
                    </a:blip>
                    <a:srcRect t="10796" r="34381"/>
                    <a:stretch/>
                  </pic:blipFill>
                  <pic:spPr bwMode="auto">
                    <a:xfrm rot="16200000">
                      <a:off x="0" y="0"/>
                      <a:ext cx="1778000" cy="1810385"/>
                    </a:xfrm>
                    <a:prstGeom prst="rect">
                      <a:avLst/>
                    </a:prstGeom>
                    <a:noFill/>
                    <a:ln>
                      <a:noFill/>
                    </a:ln>
                    <a:extLst>
                      <a:ext uri="{53640926-AAD7-44D8-BBD7-CCE9431645EC}">
                        <a14:shadowObscured/>
                      </a:ext>
                    </a:extLst>
                  </pic:spPr>
                </pic:pic>
              </a:graphicData>
            </a:graphic>
            <wp14:sizeRelH relativeFrom="page">
              <wp14:pctWidth>0</wp14:pctWidth>
            </wp14:sizeRelH>
            <wp14:sizeRelV relativeFrom="page">
              <wp14:pctHeight>0</wp14:pctHeight>
            </wp14:sizeRelV>
          </wp:anchor>
        </w:drawing>
      </w:r>
    </w:p>
    <w:p w14:paraId="0CB18CC2" w14:textId="44ACFA68">
      <w:r>
        <w:rPr>
          <w:rStyle w:val="PleaseReviewParagraphId"/>
          <w:b w:val="off"/>
          <w:i w:val="off"/>
        </w:rPr>
        <w:t>[894]</w:t>
      </w:r>
    </w:p>
    <w:p w14:paraId="52CEC405" w14:textId="0C9425B4">
      <w:pPr>
        <w:pStyle w:val="IPPArial"/>
      </w:pPr>
      <w:r>
        <w:rPr>
          <w:rStyle w:val="PleaseReviewParagraphId"/>
          <w:b w:val="off"/>
          <w:i w:val="off"/>
        </w:rPr>
        <w:t>[895]</w:t>
      </w:r>
      <w:r>
        <w:rPr>
          <w:b/>
          <w:bCs/>
        </w:rPr>
        <w:t xml:space="preserve">Figure 6 </w:t>
      </w:r>
      <w:r>
        <w:t xml:space="preserve">Incipient fruiting bodies of </w:t>
      </w:r>
      <w:r>
        <w:rPr>
          <w:i/>
          <w:iCs/>
        </w:rPr>
        <w:t>Heterobasidion annosum sensu lato</w:t>
      </w:r>
      <w:r>
        <w:t xml:space="preserve">, referred to as “popcorn” because of their appearance in pine roots (left, centre). Large fruiting body surrounding a stump of a very small Scots pine seedling that has been cut after being killed by </w:t>
      </w:r>
      <w:r>
        <w:rPr>
          <w:i/>
          <w:iCs/>
        </w:rPr>
        <w:t xml:space="preserve">H. annosum sensu stricto </w:t>
      </w:r>
      <w:r>
        <w:t>(right): the reddish-brown top surface of the fruiting body is visible.</w:t>
      </w:r>
    </w:p>
    <w:p w14:paraId="5E6BEA0F" w14:textId="0EF2ECD5">
      <w:pPr>
        <w:pStyle w:val="IPPArialFootnote"/>
      </w:pPr>
      <w:r>
        <w:rPr>
          <w:rStyle w:val="PleaseReviewParagraphId"/>
          <w:b w:val="off"/>
          <w:i w:val="off"/>
        </w:rPr>
        <w:t>[896]</w:t>
      </w:r>
      <w:r>
        <w:rPr>
          <w:i/>
          <w:iCs/>
        </w:rPr>
        <w:t xml:space="preserve">Sources: </w:t>
      </w:r>
      <w:r>
        <w:t>E.J. Vainio, Natural Resources Institute Finland (left and right); L. Giordano, Plant Protection Service Lombardy Region, Italy (centre).</w:t>
        <w:drawing>
          <wp:anchor distT="0" distB="0" distL="114300" distR="114300" simplePos="0" relativeHeight="251658248" behindDoc="0" locked="0" layoutInCell="1" allowOverlap="1" wp14:editId="4981ADE9" wp14:anchorId="5AD26C0E">
            <wp:simplePos x="0" y="0"/>
            <wp:positionH relativeFrom="column">
              <wp:posOffset>3915410</wp:posOffset>
            </wp:positionH>
            <wp:positionV relativeFrom="paragraph">
              <wp:posOffset>186055</wp:posOffset>
            </wp:positionV>
            <wp:extent cx="1838960" cy="1435100"/>
            <wp:effectExtent l="0" t="0" r="8890" b="0"/>
            <wp:wrapSquare wrapText="bothSides"/>
            <wp:docPr id="10" name="Picture 10" descr="Immagine che contiene erba, esterni, sporco, area&#10;&#10;Descrizione generata automaticamente"/>
            <wp:cNvGraphicFramePr>
              <a:graphicFrameLocks noChangeAspect="1"/>
            </wp:cNvGraphicFramePr>
            <a:graphic>
              <a:graphicData uri="http://schemas.openxmlformats.org/drawingml/2006/picture">
                <pic:pic>
                  <pic:nvPicPr>
                    <pic:cNvPr id="10" name="Immagine 10" descr="Immagine che contiene erba, esterni, sporco, area&#10;&#10;Descrizione generata automaticamente"/>
                    <pic:cNvPicPr>
                      <a:picLocks noChangeAspect="1" noChangeArrowheads="1"/>
                    </pic:cNvPicPr>
                  </pic:nvPicPr>
                  <pic:blipFill rotWithShape="1">
                    <a:blip r:embed="rId109" cstate="print">
                      <a:extLst>
                        <a:ext uri="{28A0092B-C50C-407E-A947-70E740481C1C}">
                          <a14:useLocalDpi val="0"/>
                        </a:ext>
                      </a:extLst>
                    </a:blip>
                    <a:srcRect r="3824"/>
                    <a:stretch/>
                  </pic:blipFill>
                  <pic:spPr bwMode="auto">
                    <a:xfrm>
                      <a:off x="0" y="0"/>
                      <a:ext cx="1838960" cy="1435100"/>
                    </a:xfrm>
                    <a:prstGeom prst="rect">
                      <a:avLst/>
                    </a:prstGeom>
                    <a:noFill/>
                    <a:ln>
                      <a:noFill/>
                    </a:ln>
                    <a:extLst>
                      <a:ext uri="{53640926-AAD7-44D8-BBD7-CCE9431645EC}">
                        <a14:shadowObscured/>
                      </a:ext>
                    </a:extLst>
                  </pic:spPr>
                </pic:pic>
              </a:graphicData>
            </a:graphic>
            <wp14:sizeRelH relativeFrom="page">
              <wp14:pctWidth>0</wp14:pctWidth>
            </wp14:sizeRelH>
            <wp14:sizeRelV relativeFrom="page">
              <wp14:pctHeight>0</wp14:pctHeight>
            </wp14:sizeRelV>
          </wp:anchor>
        </w:drawing>
        <w:drawing>
          <wp:anchor distT="0" distB="0" distL="114300" distR="114300" simplePos="0" relativeHeight="251658247" behindDoc="0" locked="0" layoutInCell="1" allowOverlap="1" wp14:editId="599FEF89" wp14:anchorId="415DC568">
            <wp:simplePos x="0" y="0"/>
            <wp:positionH relativeFrom="column">
              <wp:posOffset>1903095</wp:posOffset>
            </wp:positionH>
            <wp:positionV relativeFrom="paragraph">
              <wp:posOffset>184785</wp:posOffset>
            </wp:positionV>
            <wp:extent cx="1913255" cy="1435100"/>
            <wp:effectExtent l="0" t="0" r="0" b="0"/>
            <wp:wrapSquare wrapText="bothSides"/>
            <wp:docPr id="9" name="Picture 9"/>
            <wp:cNvGraphicFramePr>
              <a:graphicFrameLocks noChangeAspect="1"/>
            </wp:cNvGraphicFramePr>
            <a:graphic>
              <a:graphicData uri="http://schemas.openxmlformats.org/drawingml/2006/picture">
                <pic:pic>
                  <pic:nvPicPr>
                    <pic:cNvPr id="0" name="Picture 1"/>
                    <pic:cNvPicPr>
                      <a:picLocks noChangeAspect="1" noChangeArrowheads="1"/>
                    </pic:cNvPicPr>
                  </pic:nvPicPr>
                  <pic:blipFill>
                    <a:blip r:embed="rId110" cstate="print">
                      <a:extLst>
                        <a:ext uri="{28A0092B-C50C-407E-A947-70E740481C1C}">
                          <a14:useLocalDpi val="0"/>
                        </a:ext>
                      </a:extLst>
                    </a:blip>
                    <a:srcRect/>
                    <a:stretch>
                      <a:fillRect/>
                    </a:stretch>
                  </pic:blipFill>
                  <pic:spPr bwMode="auto">
                    <a:xfrm>
                      <a:off x="0" y="0"/>
                      <a:ext cx="1913255" cy="1435100"/>
                    </a:xfrm>
                    <a:prstGeom prst="rect">
                      <a:avLst/>
                    </a:prstGeom>
                    <a:noFill/>
                    <a:ln>
                      <a:noFill/>
                    </a:ln>
                  </pic:spPr>
                </pic:pic>
              </a:graphicData>
            </a:graphic>
            <wp14:sizeRelH relativeFrom="page">
              <wp14:pctWidth>0</wp14:pctWidth>
            </wp14:sizeRelH>
            <wp14:sizeRelV relativeFrom="page">
              <wp14:pctHeight>0</wp14:pctHeight>
            </wp14:sizeRelV>
          </wp:anchor>
        </w:drawing>
        <w:drawing>
          <wp:anchor distT="0" distB="0" distL="114300" distR="114300" simplePos="0" relativeHeight="251658249" behindDoc="0" locked="0" layoutInCell="1" allowOverlap="1" wp14:editId="4AC223D9" wp14:anchorId="54BF93A2">
            <wp:simplePos x="0" y="0"/>
            <wp:positionH relativeFrom="column">
              <wp:posOffset>0</wp:posOffset>
            </wp:positionH>
            <wp:positionV relativeFrom="paragraph">
              <wp:posOffset>183515</wp:posOffset>
            </wp:positionV>
            <wp:extent cx="1760400" cy="1436400"/>
            <wp:effectExtent l="0" t="0" r="0" b="0"/>
            <wp:wrapSquare wrapText="bothSides"/>
            <wp:docPr id="12" name="Picture 12"/>
            <wp:cNvGraphicFramePr>
              <a:graphicFrameLocks noChangeAspect="1"/>
            </wp:cNvGraphicFramePr>
            <a:graphic>
              <a:graphicData uri="http://schemas.openxmlformats.org/drawingml/2006/picture">
                <pic:pic>
                  <pic:nvPicPr>
                    <pic:cNvPr id="0" name="Picture 6"/>
                    <pic:cNvPicPr>
                      <a:picLocks noChangeAspect="1" noChangeArrowheads="1"/>
                    </pic:cNvPicPr>
                  </pic:nvPicPr>
                  <pic:blipFill rotWithShape="1">
                    <a:blip r:embed="rId111" cstate="print">
                      <a:extLst>
                        <a:ext uri="{28A0092B-C50C-407E-A947-70E740481C1C}">
                          <a14:useLocalDpi val="0"/>
                        </a:ext>
                      </a:extLst>
                    </a:blip>
                    <a:srcRect l="7936"/>
                    <a:stretch/>
                  </pic:blipFill>
                  <pic:spPr bwMode="auto">
                    <a:xfrm>
                      <a:off x="0" y="0"/>
                      <a:ext cx="1760400" cy="1436400"/>
                    </a:xfrm>
                    <a:prstGeom prst="rect">
                      <a:avLst/>
                    </a:prstGeom>
                    <a:noFill/>
                    <a:ln>
                      <a:noFill/>
                    </a:ln>
                    <a:extLst>
                      <a:ext uri="{53640926-AAD7-44D8-BBD7-CCE9431645EC}">
                        <a14:shadowObscured/>
                      </a:ext>
                    </a:extLst>
                  </pic:spPr>
                </pic:pic>
              </a:graphicData>
            </a:graphic>
            <wp14:sizeRelH relativeFrom="page">
              <wp14:pctWidth>0</wp14:pctWidth>
            </wp14:sizeRelH>
            <wp14:sizeRelV relativeFrom="page">
              <wp14:pctHeight>0</wp14:pctHeight>
            </wp14:sizeRelV>
          </wp:anchor>
        </w:drawing>
      </w:r>
    </w:p>
    <w:p w14:paraId="671EB7EE" w14:textId="4FF4D51A">
      <w:pPr>
        <w:pStyle w:val="BodyText"/>
        <w:tabs>
          <w:tab w:val="left" w:pos="426"/>
          <w:tab w:val="left" w:pos="2977"/>
          <w:tab w:val="left" w:pos="4678"/>
          <w:tab w:val="left" w:pos="4962"/>
        </w:tabs>
        <w:ind w:right="-1"/>
      </w:pPr>
      <w:r>
        <w:rPr>
          <w:rStyle w:val="PleaseReviewParagraphId"/>
          <w:b w:val="off"/>
          <w:i w:val="off"/>
        </w:rPr>
        <w:t>[897]</w:t>
      </w:r>
    </w:p>
    <w:p w14:paraId="6D699C80" w14:textId="1A9A7B0A">
      <w:pPr>
        <w:pStyle w:val="IPPArial"/>
      </w:pPr>
      <w:r>
        <w:rPr>
          <w:rStyle w:val="PleaseReviewParagraphId"/>
          <w:b w:val="off"/>
          <w:i w:val="off"/>
        </w:rPr>
        <w:t>[898]</w:t>
      </w:r>
      <w:r>
        <w:rPr>
          <w:b/>
          <w:bCs/>
        </w:rPr>
        <w:t xml:space="preserve">Figure 7. </w:t>
      </w:r>
      <w:r>
        <w:t xml:space="preserve">Conidiophores of the anamorphic stage of </w:t>
      </w:r>
      <w:r>
        <w:rPr>
          <w:i/>
          <w:iCs/>
        </w:rPr>
        <w:t>Heterobasidion annosum sensu lato</w:t>
      </w:r>
      <w:r>
        <w:t xml:space="preserve"> that appear as a mass of whitish “pinheads” on stalks (left). Wood sawdust from drilling at the base of a tree (centre). Passive spore trap exposed in the field inside an open, 15-cm diameter, plastic Petri dish containing a sterile piece of filter paper dampened with sterile distilled water (right).</w:t>
      </w:r>
    </w:p>
    <w:p w14:paraId="07A5C0EE" w14:textId="09A01FB6">
      <w:pPr>
        <w:pStyle w:val="IPPArialFootnote"/>
      </w:pPr>
      <w:r>
        <w:rPr>
          <w:rStyle w:val="PleaseReviewParagraphId"/>
          <w:b w:val="off"/>
          <w:i w:val="off"/>
        </w:rPr>
        <w:t>[899]</w:t>
      </w:r>
      <w:r>
        <w:rPr>
          <w:i/>
          <w:iCs/>
        </w:rPr>
        <w:t xml:space="preserve">Source: </w:t>
      </w:r>
      <w:r>
        <w:t>L. Giordano, Plant Protection Service Lombardy Region, Italy.</w:t>
      </w:r>
    </w:p>
    <w:p w14:paraId="2AEC401A" w14:textId="77BE3EE9">
      <w:pPr>
        <w:pStyle w:val="BodyText"/>
        <w:tabs>
          <w:tab w:val="left" w:pos="426"/>
        </w:tabs>
        <w:spacing w:after="120"/>
        <w:rPr>
          <w:b/>
          <w:bCs/>
          <w:sz w:val="14"/>
          <w:szCs w:val="14"/>
        </w:rPr>
      </w:pPr>
      <w:r>
        <w:rPr>
          <w:rStyle w:val="PleaseReviewParagraphId"/>
          <w:b w:val="off"/>
          <w:i w:val="off"/>
        </w:rPr>
        <w:t>[900]</w:t>
      </w:r>
      <w:r>
        <w:rPr>
          <w:sz w:val="14"/>
          <w:szCs w:val="14"/>
        </w:rPr>
        <w:drawing>
          <wp:anchor distT="0" distB="0" distL="114300" distR="114300" simplePos="0" relativeHeight="251658251" behindDoc="0" locked="0" layoutInCell="1" allowOverlap="1" wp14:editId="03989C21" wp14:anchorId="65172842">
            <wp:simplePos x="0" y="0"/>
            <wp:positionH relativeFrom="column">
              <wp:posOffset>6985</wp:posOffset>
            </wp:positionH>
            <wp:positionV relativeFrom="paragraph">
              <wp:posOffset>2430256</wp:posOffset>
            </wp:positionV>
            <wp:extent cx="2761200" cy="2127600"/>
            <wp:effectExtent l="0" t="0" r="1270" b="6350"/>
            <wp:wrapTopAndBottom/>
            <wp:docPr id="14" name="Picture 14"/>
            <wp:cNvGraphicFramePr>
              <a:graphicFrameLocks noChangeAspect="1"/>
            </wp:cNvGraphicFramePr>
            <a:graphic>
              <a:graphicData uri="http://schemas.openxmlformats.org/drawingml/2006/picture">
                <pic:pic>
                  <pic:nvPicPr>
                    <pic:cNvPr id="0" name="Picture 5"/>
                    <pic:cNvPicPr>
                      <a:picLocks noChangeAspect="1" noChangeArrowheads="1"/>
                    </pic:cNvPicPr>
                  </pic:nvPicPr>
                  <pic:blipFill rotWithShape="1">
                    <a:blip r:embed="rId112" cstate="print">
                      <a:extLst>
                        <a:ext uri="{28A0092B-C50C-407E-A947-70E740481C1C}">
                          <a14:useLocalDpi val="0"/>
                        </a:ext>
                      </a:extLst>
                    </a:blip>
                    <a:srcRect l="2627"/>
                    <a:stretch/>
                  </pic:blipFill>
                  <pic:spPr bwMode="auto">
                    <a:xfrm>
                      <a:off x="0" y="0"/>
                      <a:ext cx="2761200" cy="2127600"/>
                    </a:xfrm>
                    <a:prstGeom prst="rect">
                      <a:avLst/>
                    </a:prstGeom>
                    <a:noFill/>
                    <a:ln>
                      <a:noFill/>
                    </a:ln>
                    <a:extLst>
                      <a:ext uri="{53640926-AAD7-44D8-BBD7-CCE9431645EC}">
                        <a14:shadowObscured/>
                      </a:ext>
                    </a:extLst>
                  </pic:spPr>
                </pic:pic>
              </a:graphicData>
            </a:graphic>
            <wp14:sizeRelH relativeFrom="page">
              <wp14:pctWidth>0</wp14:pctWidth>
            </wp14:sizeRelH>
            <wp14:sizeRelV relativeFrom="page">
              <wp14:pctHeight>0</wp14:pctHeight>
            </wp14:sizeRelV>
          </wp:anchor>
        </w:drawing>
        <w:drawing>
          <wp:anchor distT="0" distB="0" distL="114300" distR="114300" simplePos="0" relativeHeight="251658253" behindDoc="0" locked="0" layoutInCell="1" allowOverlap="1" wp14:editId="33D358AC" wp14:anchorId="2C17F3B9">
            <wp:simplePos x="0" y="0"/>
            <wp:positionH relativeFrom="column">
              <wp:posOffset>2864071</wp:posOffset>
            </wp:positionH>
            <wp:positionV relativeFrom="paragraph">
              <wp:posOffset>80645</wp:posOffset>
            </wp:positionV>
            <wp:extent cx="2851200" cy="2196000"/>
            <wp:effectExtent l="0" t="0" r="6350" b="0"/>
            <wp:wrapSquare wrapText="bothSides"/>
            <wp:docPr id="17" name="Picture 17"/>
            <wp:cNvGraphicFramePr>
              <a:graphicFrameLocks noChangeAspect="1"/>
            </wp:cNvGraphicFramePr>
            <a:graphic>
              <a:graphicData uri="http://schemas.openxmlformats.org/drawingml/2006/picture">
                <pic:pic>
                  <pic:nvPicPr>
                    <pic:cNvPr id="0" name="Picture 1"/>
                    <pic:cNvPicPr>
                      <a:picLocks noChangeAspect="1" noChangeArrowheads="1"/>
                    </pic:cNvPicPr>
                  </pic:nvPicPr>
                  <pic:blipFill rotWithShape="1">
                    <a:blip r:embed="rId113" cstate="print">
                      <a:extLst>
                        <a:ext uri="{28A0092B-C50C-407E-A947-70E740481C1C}">
                          <a14:useLocalDpi val="0"/>
                        </a:ext>
                      </a:extLst>
                    </a:blip>
                    <a:srcRect l="2627"/>
                    <a:stretch/>
                  </pic:blipFill>
                  <pic:spPr bwMode="auto">
                    <a:xfrm>
                      <a:off x="0" y="0"/>
                      <a:ext cx="2851200" cy="2196000"/>
                    </a:xfrm>
                    <a:prstGeom prst="rect">
                      <a:avLst/>
                    </a:prstGeom>
                    <a:noFill/>
                    <a:ln>
                      <a:noFill/>
                    </a:ln>
                    <a:extLst>
                      <a:ext uri="{53640926-AAD7-44D8-BBD7-CCE9431645EC}">
                        <a14:shadowObscured/>
                      </a:ext>
                    </a:extLst>
                  </pic:spPr>
                </pic:pic>
              </a:graphicData>
            </a:graphic>
            <wp14:sizeRelH relativeFrom="page">
              <wp14:pctWidth>0</wp14:pctWidth>
            </wp14:sizeRelH>
            <wp14:sizeRelV relativeFrom="page">
              <wp14:pctHeight>0</wp14:pctHeight>
            </wp14:sizeRelV>
          </wp:anchor>
        </w:drawing>
        <w:drawing>
          <wp:anchor distT="0" distB="0" distL="114300" distR="114300" simplePos="0" relativeHeight="251658252" behindDoc="0" locked="0" layoutInCell="1" allowOverlap="1" wp14:editId="0720848F" wp14:anchorId="4AC783EA">
            <wp:simplePos x="0" y="0"/>
            <wp:positionH relativeFrom="margin">
              <wp:posOffset>0</wp:posOffset>
            </wp:positionH>
            <wp:positionV relativeFrom="paragraph">
              <wp:posOffset>80645</wp:posOffset>
            </wp:positionV>
            <wp:extent cx="2761200" cy="2196000"/>
            <wp:effectExtent l="0" t="0" r="1270" b="0"/>
            <wp:wrapSquare wrapText="bothSides"/>
            <wp:docPr id="15" name="Picture 15"/>
            <wp:cNvGraphicFramePr>
              <a:graphicFrameLocks noChangeAspect="1"/>
            </wp:cNvGraphicFramePr>
            <a:graphic>
              <a:graphicData uri="http://schemas.openxmlformats.org/drawingml/2006/picture">
                <pic:pic>
                  <pic:nvPicPr>
                    <pic:cNvPr id="0" name="Picture 7"/>
                    <pic:cNvPicPr>
                      <a:picLocks noChangeAspect="1" noChangeArrowheads="1"/>
                    </pic:cNvPicPr>
                  </pic:nvPicPr>
                  <pic:blipFill rotWithShape="1">
                    <a:blip r:embed="rId114" cstate="print">
                      <a:extLst>
                        <a:ext uri="{28A0092B-C50C-407E-A947-70E740481C1C}">
                          <a14:useLocalDpi val="0"/>
                        </a:ext>
                      </a:extLst>
                    </a:blip>
                    <a:srcRect l="5954"/>
                    <a:stretch/>
                  </pic:blipFill>
                  <pic:spPr bwMode="auto">
                    <a:xfrm>
                      <a:off x="0" y="0"/>
                      <a:ext cx="2761200" cy="2196000"/>
                    </a:xfrm>
                    <a:prstGeom prst="rect">
                      <a:avLst/>
                    </a:prstGeom>
                    <a:noFill/>
                    <a:ln>
                      <a:noFill/>
                    </a:ln>
                    <a:extLst>
                      <a:ext uri="{53640926-AAD7-44D8-BBD7-CCE9431645EC}">
                        <a14:shadowObscured/>
                      </a:ext>
                    </a:extLst>
                  </pic:spPr>
                </pic:pic>
              </a:graphicData>
            </a:graphic>
            <wp14:sizeRelH relativeFrom="page">
              <wp14:pctWidth>0</wp14:pctWidth>
            </wp14:sizeRelH>
            <wp14:sizeRelV relativeFrom="page">
              <wp14:pctHeight>0</wp14:pctHeight>
            </wp14:sizeRelV>
          </wp:anchor>
        </w:drawing>
      </w:r>
    </w:p>
    <w:p w14:paraId="279EA424" w14:textId="63B6A3D8">
      <w:pPr>
        <w:pStyle w:val="IPPArial"/>
        <w:rPr>
          <w:b/>
          <w:bCs/>
        </w:rPr>
      </w:pPr>
      <w:r>
        <w:rPr>
          <w:rStyle w:val="PleaseReviewParagraphId"/>
          <w:b w:val="off"/>
          <w:i w:val="off"/>
        </w:rPr>
        <w:t>[901]</w:t>
      </w:r>
    </w:p>
    <w:p w14:paraId="5517E2E2" w14:textId="20C7DF0A">
      <w:pPr>
        <w:pStyle w:val="IPPArial"/>
        <w:rPr>
          <w:b/>
          <w:bCs/>
        </w:rPr>
      </w:pPr>
      <w:r>
        <w:rPr>
          <w:rStyle w:val="PleaseReviewParagraphId"/>
          <w:b w:val="off"/>
          <w:i w:val="off"/>
        </w:rPr>
        <w:t>[902]</w:t>
      </w:r>
      <w:r>
        <w:rPr>
          <w:b/>
          <w:bCs/>
        </w:rPr>
        <w:t xml:space="preserve">Figure 8. </w:t>
      </w:r>
      <w:r>
        <w:t xml:space="preserve">Fruiting bodies of </w:t>
      </w:r>
      <w:r>
        <w:rPr>
          <w:i/>
          <w:iCs/>
        </w:rPr>
        <w:t>Heterobasidion annosum sensu lato</w:t>
      </w:r>
      <w:r>
        <w:t xml:space="preserve"> (top left, top right); pores of the lower surface of fruiting bodies (bottom).</w:t>
      </w:r>
    </w:p>
    <w:p w14:paraId="1C5C6560" w14:textId="125281E9">
      <w:pPr>
        <w:pStyle w:val="IPPArialFootnote"/>
      </w:pPr>
      <w:r>
        <w:rPr>
          <w:rStyle w:val="PleaseReviewParagraphId"/>
          <w:b w:val="off"/>
          <w:i w:val="off"/>
        </w:rPr>
        <w:t>[903]</w:t>
      </w:r>
      <w:r>
        <w:rPr>
          <w:i/>
          <w:iCs/>
        </w:rPr>
        <w:t xml:space="preserve">Source: </w:t>
      </w:r>
      <w:r>
        <w:t>L. Giordano, Plant Protection Service Lombardy Region, Italy.</w:t>
        <w:drawing>
          <wp:anchor distT="0" distB="0" distL="114300" distR="114300" simplePos="0" relativeHeight="251658256" behindDoc="0" locked="0" layoutInCell="1" allowOverlap="1" wp14:editId="1C18CF94" wp14:anchorId="0F319A27">
            <wp:simplePos x="0" y="0"/>
            <wp:positionH relativeFrom="column">
              <wp:posOffset>2988310</wp:posOffset>
            </wp:positionH>
            <wp:positionV relativeFrom="paragraph">
              <wp:posOffset>255905</wp:posOffset>
            </wp:positionV>
            <wp:extent cx="2757600" cy="2275200"/>
            <wp:effectExtent l="0" t="0" r="5080" b="0"/>
            <wp:wrapSquare wrapText="bothSides"/>
            <wp:docPr id="22" name="Picture 22" descr="Immagine che contiene abbigliamento&#10;&#10;Descrizione generata automaticamente"/>
            <wp:cNvGraphicFramePr>
              <a:graphicFrameLocks noChangeAspect="1"/>
            </wp:cNvGraphicFramePr>
            <a:graphic>
              <a:graphicData uri="http://schemas.openxmlformats.org/drawingml/2006/picture">
                <pic:pic>
                  <pic:nvPicPr>
                    <pic:cNvPr id="22" name="Immagine 22" descr="Immagine che contiene abbigliamento&#10;&#10;Descrizione generata automaticamente"/>
                    <pic:cNvPicPr>
                      <a:picLocks noChangeAspect="1" noChangeArrowheads="1"/>
                    </pic:cNvPicPr>
                  </pic:nvPicPr>
                  <pic:blipFill rotWithShape="1">
                    <a:blip r:embed="rId115" cstate="print">
                      <a:extLst>
                        <a:ext uri="{28A0092B-C50C-407E-A947-70E740481C1C}">
                          <a14:useLocalDpi val="0"/>
                        </a:ext>
                      </a:extLst>
                    </a:blip>
                    <a:srcRect l="20790" t="9804" r="23535" b="21347"/>
                    <a:stretch/>
                  </pic:blipFill>
                  <pic:spPr bwMode="auto">
                    <a:xfrm>
                      <a:off x="0" y="0"/>
                      <a:ext cx="2757600" cy="2275200"/>
                    </a:xfrm>
                    <a:prstGeom prst="rect">
                      <a:avLst/>
                    </a:prstGeom>
                    <a:noFill/>
                    <a:ln>
                      <a:noFill/>
                    </a:ln>
                    <a:extLst>
                      <a:ext uri="{53640926-AAD7-44D8-BBD7-CCE9431645EC}">
                        <a14:shadowObscured/>
                      </a:ext>
                    </a:extLst>
                  </pic:spPr>
                </pic:pic>
              </a:graphicData>
            </a:graphic>
            <wp14:sizeRelH relativeFrom="page">
              <wp14:pctWidth>0</wp14:pctWidth>
            </wp14:sizeRelH>
            <wp14:sizeRelV relativeFrom="page">
              <wp14:pctHeight>0</wp14:pctHeight>
            </wp14:sizeRelV>
          </wp:anchor>
        </w:drawing>
        <w:drawing>
          <wp:anchor distT="0" distB="0" distL="114300" distR="114300" simplePos="0" relativeHeight="251658255" behindDoc="0" locked="0" layoutInCell="1" allowOverlap="1" wp14:editId="411168F4" wp14:anchorId="118F3B6B">
            <wp:simplePos x="0" y="0"/>
            <wp:positionH relativeFrom="column">
              <wp:posOffset>13970</wp:posOffset>
            </wp:positionH>
            <wp:positionV relativeFrom="paragraph">
              <wp:posOffset>253365</wp:posOffset>
            </wp:positionV>
            <wp:extent cx="2852420" cy="2274570"/>
            <wp:effectExtent l="0" t="0" r="5080" b="0"/>
            <wp:wrapSquare wrapText="bothSides"/>
            <wp:docPr id="21" name="Picture 21" descr="Immagine che contiene mappa&#10;&#10;Descrizione generata automaticamente"/>
            <wp:cNvGraphicFramePr>
              <a:graphicFrameLocks noChangeAspect="1"/>
            </wp:cNvGraphicFramePr>
            <a:graphic>
              <a:graphicData uri="http://schemas.openxmlformats.org/drawingml/2006/picture">
                <pic:pic>
                  <pic:nvPicPr>
                    <pic:cNvPr id="21" name="Immagine 21" descr="Immagine che contiene mappa&#10;&#10;Descrizione generata automaticamente"/>
                    <pic:cNvPicPr>
                      <a:picLocks noChangeAspect="1" noChangeArrowheads="1"/>
                    </pic:cNvPicPr>
                  </pic:nvPicPr>
                  <pic:blipFill rotWithShape="1">
                    <a:blip r:embed="rId116" cstate="print">
                      <a:extLst>
                        <a:ext uri="{28A0092B-C50C-407E-A947-70E740481C1C}">
                          <a14:useLocalDpi val="0"/>
                        </a:ext>
                      </a:extLst>
                    </a:blip>
                    <a:srcRect l="16657" t="21514" r="36802" b="22817"/>
                    <a:stretch/>
                  </pic:blipFill>
                  <pic:spPr bwMode="auto">
                    <a:xfrm>
                      <a:off x="0" y="0"/>
                      <a:ext cx="2852420" cy="2274570"/>
                    </a:xfrm>
                    <a:prstGeom prst="rect">
                      <a:avLst/>
                    </a:prstGeom>
                    <a:noFill/>
                    <a:ln>
                      <a:noFill/>
                    </a:ln>
                    <a:extLst>
                      <a:ext uri="{53640926-AAD7-44D8-BBD7-CCE9431645EC}">
                        <a14:shadowObscured/>
                      </a:ext>
                    </a:extLst>
                  </pic:spPr>
                </pic:pic>
              </a:graphicData>
            </a:graphic>
            <wp14:sizeRelH relativeFrom="page">
              <wp14:pctWidth>0</wp14:pctWidth>
            </wp14:sizeRelH>
            <wp14:sizeRelV relativeFrom="page">
              <wp14:pctHeight>0</wp14:pctHeight>
            </wp14:sizeRelV>
          </wp:anchor>
        </w:drawing>
      </w:r>
    </w:p>
    <w:p w14:paraId="236E48B1" w14:textId="1026835C">
      <w:pPr>
        <w:pStyle w:val="BodyText"/>
        <w:tabs>
          <w:tab w:val="left" w:pos="426"/>
        </w:tabs>
        <w:ind w:right="-1"/>
        <w:rPr>
          <w:b/>
          <w:bCs/>
        </w:rPr>
      </w:pPr>
      <w:r>
        <w:rPr>
          <w:rStyle w:val="PleaseReviewParagraphId"/>
          <w:b w:val="off"/>
          <w:i w:val="off"/>
        </w:rPr>
        <w:t>[904]</w:t>
      </w:r>
    </w:p>
    <w:p w14:paraId="71999E0F" w14:textId="336EEEB3">
      <w:pPr>
        <w:pStyle w:val="IPPArial"/>
      </w:pPr>
      <w:r>
        <w:rPr>
          <w:rStyle w:val="PleaseReviewParagraphId"/>
          <w:b w:val="off"/>
          <w:i w:val="off"/>
        </w:rPr>
        <w:t>[905]</w:t>
      </w:r>
      <w:r>
        <w:rPr>
          <w:b/>
          <w:bCs/>
        </w:rPr>
        <w:t xml:space="preserve">Figure 9. </w:t>
      </w:r>
      <w:r>
        <w:t xml:space="preserve">Conidiophores and conidia of the asexual stage of </w:t>
      </w:r>
      <w:r>
        <w:rPr>
          <w:i/>
          <w:iCs/>
        </w:rPr>
        <w:t>Heterobasidion annosum sensu lato</w:t>
      </w:r>
      <w:r>
        <w:t xml:space="preserve"> (40</w:t>
      </w:r>
      <w:r>
        <w:rPr>
          <w:rFonts w:cs="Arial"/>
        </w:rPr>
        <w:t>×</w:t>
      </w:r>
      <w:r>
        <w:t xml:space="preserve"> magnification).</w:t>
      </w:r>
    </w:p>
    <w:p w14:paraId="2D51A4FB" w14:textId="6342AB3E">
      <w:pPr>
        <w:pStyle w:val="IPPArialFootnote"/>
      </w:pPr>
      <w:r>
        <w:rPr>
          <w:rStyle w:val="PleaseReviewParagraphId"/>
          <w:b w:val="off"/>
          <w:i w:val="off"/>
        </w:rPr>
        <w:t>[906]</w:t>
      </w:r>
      <w:r>
        <w:rPr>
          <w:i/>
          <w:iCs/>
        </w:rPr>
        <w:t xml:space="preserve">Source: </w:t>
      </w:r>
      <w:r>
        <w:t>L. Giordano, Plant Protection Service Lombardy Region, Italy.</w:t>
      </w:r>
    </w:p>
    <w:p w14:paraId="6275EB90" w14:textId="21E4048A">
      <w:pPr>
        <w:pStyle w:val="BodyText"/>
        <w:tabs>
          <w:tab w:val="left" w:pos="426"/>
        </w:tabs>
        <w:ind w:right="-1"/>
      </w:pPr>
      <w:r>
        <w:rPr>
          <w:rStyle w:val="PleaseReviewParagraphId"/>
          <w:b w:val="off"/>
          <w:i w:val="off"/>
        </w:rPr>
        <w:t>[907]</w:t>
      </w:r>
    </w:p>
    <w:p w14:paraId="02754CE9" w14:textId="2535C5CD">
      <w:pPr>
        <w:spacing w:after="160" w:line="259" w:lineRule="auto"/>
        <w:jc w:val="left"/>
      </w:pPr>
      <w:r>
        <w:rPr>
          <w:rStyle w:val="PleaseReviewParagraphId"/>
          <w:b w:val="off"/>
          <w:i w:val="off"/>
        </w:rPr>
        <w:t>[908]</w:t>
      </w:r>
      <w:r>
        <w:br w:type="page"/>
      </w:r>
    </w:p>
    <w:p w14:paraId="58831CC1" w14:textId="572B2792">
      <w:pPr>
        <w:pStyle w:val="BodyText"/>
        <w:tabs>
          <w:tab w:val="left" w:pos="426"/>
        </w:tabs>
        <w:spacing w:after="120"/>
        <w:ind w:right="-1"/>
      </w:pPr>
      <w:r>
        <w:rPr>
          <w:rStyle w:val="PleaseReviewParagraphId"/>
          <w:b w:val="off"/>
          <w:i w:val="off"/>
        </w:rPr>
        <w:t>[909]</w:t>
      </w:r>
      <w:r>
        <w:lastRenderedPageBreak/>
        <w:drawing>
          <wp:anchor distT="0" distB="0" distL="114300" distR="114300" simplePos="0" relativeHeight="251658254" behindDoc="0" locked="0" layoutInCell="1" allowOverlap="1" wp14:editId="4FF82D9B" wp14:anchorId="5884C371">
            <wp:simplePos x="0" y="0"/>
            <wp:positionH relativeFrom="column">
              <wp:posOffset>2644969</wp:posOffset>
            </wp:positionH>
            <wp:positionV relativeFrom="paragraph">
              <wp:posOffset>22225</wp:posOffset>
            </wp:positionV>
            <wp:extent cx="2554605" cy="2209800"/>
            <wp:effectExtent l="0" t="0" r="0" b="0"/>
            <wp:wrapSquare wrapText="bothSides"/>
            <wp:docPr id="19" name="Picture 19" descr="Immagine che contiene tessuto&#10;&#10;Descrizione generata automaticamente"/>
            <wp:cNvGraphicFramePr>
              <a:graphicFrameLocks noChangeAspect="1"/>
            </wp:cNvGraphicFramePr>
            <a:graphic>
              <a:graphicData uri="http://schemas.openxmlformats.org/drawingml/2006/picture">
                <pic:pic>
                  <pic:nvPicPr>
                    <pic:cNvPr id="19" name="Immagine 19" descr="Immagine che contiene tessuto&#10;&#10;Descrizione generata automaticamente"/>
                    <pic:cNvPicPr>
                      <a:picLocks noChangeAspect="1" noChangeArrowheads="1"/>
                    </pic:cNvPicPr>
                  </pic:nvPicPr>
                  <pic:blipFill rotWithShape="1">
                    <a:blip r:embed="rId117" cstate="print">
                      <a:extLst>
                        <a:ext uri="{28A0092B-C50C-407E-A947-70E740481C1C}">
                          <a14:useLocalDpi val="0"/>
                        </a:ext>
                      </a:extLst>
                    </a:blip>
                    <a:srcRect l="31178" t="27289" r="31476" b="24256"/>
                    <a:stretch/>
                  </pic:blipFill>
                  <pic:spPr bwMode="auto">
                    <a:xfrm>
                      <a:off x="0" y="0"/>
                      <a:ext cx="2554605" cy="2209800"/>
                    </a:xfrm>
                    <a:prstGeom prst="rect">
                      <a:avLst/>
                    </a:prstGeom>
                    <a:noFill/>
                    <a:ln>
                      <a:noFill/>
                    </a:ln>
                    <a:extLst>
                      <a:ext uri="{53640926-AAD7-44D8-BBD7-CCE9431645EC}">
                        <a14:shadowObscured/>
                      </a:ext>
                    </a:extLst>
                  </pic:spPr>
                </pic:pic>
              </a:graphicData>
            </a:graphic>
            <wp14:sizeRelH relativeFrom="page">
              <wp14:pctWidth>0</wp14:pctWidth>
            </wp14:sizeRelH>
            <wp14:sizeRelV relativeFrom="page">
              <wp14:pctHeight>0</wp14:pctHeight>
            </wp14:sizeRelV>
          </wp:anchor>
        </w:drawing>
        <w:drawing>
          <wp:anchor distT="0" distB="0" distL="114300" distR="114300" simplePos="0" relativeHeight="251658250" behindDoc="0" locked="0" layoutInCell="1" allowOverlap="1" wp14:editId="403F6047" wp14:anchorId="4813E7A4">
            <wp:simplePos x="0" y="0"/>
            <wp:positionH relativeFrom="column">
              <wp:posOffset>11154</wp:posOffset>
            </wp:positionH>
            <wp:positionV relativeFrom="paragraph">
              <wp:posOffset>22225</wp:posOffset>
            </wp:positionV>
            <wp:extent cx="2418080" cy="2209800"/>
            <wp:effectExtent l="0" t="0" r="1270" b="0"/>
            <wp:wrapSquare wrapText="bothSides"/>
            <wp:docPr id="11" name="Picture 11"/>
            <wp:cNvGraphicFramePr>
              <a:graphicFrameLocks noChangeAspect="1"/>
            </wp:cNvGraphicFramePr>
            <a:graphic>
              <a:graphicData uri="http://schemas.openxmlformats.org/drawingml/2006/picture">
                <pic:pic>
                  <pic:nvPicPr>
                    <pic:cNvPr id="0" name="Picture 1"/>
                    <pic:cNvPicPr>
                      <a:picLocks noChangeAspect="1" noChangeArrowheads="1"/>
                    </pic:cNvPicPr>
                  </pic:nvPicPr>
                  <pic:blipFill rotWithShape="1">
                    <a:blip r:embed="rId118" cstate="print">
                      <a:extLst>
                        <a:ext uri="{28A0092B-C50C-407E-A947-70E740481C1C}">
                          <a14:useLocalDpi val="0"/>
                        </a:ext>
                      </a:extLst>
                    </a:blip>
                    <a:srcRect l="20232" t="13285" r="22390" b="14614"/>
                    <a:stretch/>
                  </pic:blipFill>
                  <pic:spPr bwMode="auto">
                    <a:xfrm>
                      <a:off x="0" y="0"/>
                      <a:ext cx="2418080" cy="2209800"/>
                    </a:xfrm>
                    <a:prstGeom prst="rect">
                      <a:avLst/>
                    </a:prstGeom>
                    <a:noFill/>
                    <a:ln>
                      <a:noFill/>
                    </a:ln>
                    <a:extLst>
                      <a:ext uri="{53640926-AAD7-44D8-BBD7-CCE9431645EC}">
                        <a14:shadowObscured/>
                      </a:ext>
                    </a:extLst>
                  </pic:spPr>
                </pic:pic>
              </a:graphicData>
            </a:graphic>
            <wp14:sizeRelH relativeFrom="page">
              <wp14:pctWidth>0</wp14:pctWidth>
            </wp14:sizeRelH>
            <wp14:sizeRelV relativeFrom="page">
              <wp14:pctHeight>0</wp14:pctHeight>
            </wp14:sizeRelV>
          </wp:anchor>
        </w:drawing>
      </w:r>
    </w:p>
    <w:p w14:paraId="5CEE24D4" w14:textId="1AF1F252">
      <w:pPr>
        <w:pStyle w:val="BodyText"/>
        <w:tabs>
          <w:tab w:val="left" w:pos="426"/>
        </w:tabs>
        <w:ind w:right="-1"/>
        <w:rPr>
          <w:b/>
          <w:bCs/>
        </w:rPr>
      </w:pPr>
      <w:r>
        <w:rPr>
          <w:rStyle w:val="PleaseReviewParagraphId"/>
          <w:b w:val="off"/>
          <w:i w:val="off"/>
        </w:rPr>
        <w:t>[910]</w:t>
      </w:r>
    </w:p>
    <w:p w14:paraId="404AEBDD" w14:textId="19473D81">
      <w:pPr>
        <w:pStyle w:val="BodyText"/>
        <w:tabs>
          <w:tab w:val="left" w:pos="426"/>
        </w:tabs>
        <w:ind w:right="-1"/>
        <w:rPr>
          <w:b/>
          <w:bCs/>
        </w:rPr>
      </w:pPr>
      <w:r>
        <w:rPr>
          <w:rStyle w:val="PleaseReviewParagraphId"/>
          <w:b w:val="off"/>
          <w:i w:val="off"/>
        </w:rPr>
        <w:t>[911]</w:t>
      </w:r>
    </w:p>
    <w:p w14:paraId="6E78A630" w14:textId="50B0F5D4">
      <w:pPr>
        <w:pStyle w:val="BodyText"/>
        <w:tabs>
          <w:tab w:val="left" w:pos="426"/>
        </w:tabs>
        <w:ind w:right="-1"/>
        <w:rPr>
          <w:b/>
          <w:bCs/>
        </w:rPr>
      </w:pPr>
      <w:r>
        <w:rPr>
          <w:rStyle w:val="PleaseReviewParagraphId"/>
          <w:b w:val="off"/>
          <w:i w:val="off"/>
        </w:rPr>
        <w:t>[912]</w:t>
      </w:r>
    </w:p>
    <w:p w14:paraId="19BECBB1" w14:textId="44C031EC">
      <w:pPr>
        <w:pStyle w:val="BodyText"/>
        <w:tabs>
          <w:tab w:val="left" w:pos="426"/>
        </w:tabs>
        <w:ind w:right="-1"/>
        <w:rPr>
          <w:b/>
          <w:bCs/>
        </w:rPr>
      </w:pPr>
      <w:r>
        <w:rPr>
          <w:rStyle w:val="PleaseReviewParagraphId"/>
          <w:b w:val="off"/>
          <w:i w:val="off"/>
        </w:rPr>
        <w:t>[913]</w:t>
      </w:r>
    </w:p>
    <w:p w14:paraId="52561E6C" w14:textId="3C4695BB">
      <w:pPr>
        <w:pStyle w:val="BodyText"/>
        <w:tabs>
          <w:tab w:val="left" w:pos="426"/>
        </w:tabs>
        <w:ind w:right="-1"/>
        <w:rPr>
          <w:b/>
          <w:bCs/>
        </w:rPr>
      </w:pPr>
      <w:r>
        <w:rPr>
          <w:rStyle w:val="PleaseReviewParagraphId"/>
          <w:b w:val="off"/>
          <w:i w:val="off"/>
        </w:rPr>
        <w:t>[914]</w:t>
      </w:r>
    </w:p>
    <w:p w14:paraId="5FE09BA2" w14:textId="001C4BFC">
      <w:pPr>
        <w:pStyle w:val="BodyText"/>
        <w:tabs>
          <w:tab w:val="left" w:pos="426"/>
        </w:tabs>
        <w:ind w:right="-1"/>
        <w:rPr>
          <w:b/>
          <w:bCs/>
        </w:rPr>
      </w:pPr>
      <w:r>
        <w:rPr>
          <w:rStyle w:val="PleaseReviewParagraphId"/>
          <w:b w:val="off"/>
          <w:i w:val="off"/>
        </w:rPr>
        <w:t>[915]</w:t>
      </w:r>
    </w:p>
    <w:p w14:paraId="3B577203" w14:textId="756AE606">
      <w:pPr>
        <w:pStyle w:val="BodyText"/>
        <w:tabs>
          <w:tab w:val="left" w:pos="426"/>
        </w:tabs>
        <w:ind w:right="-1"/>
        <w:rPr>
          <w:b/>
          <w:bCs/>
          <w:sz w:val="20"/>
          <w:szCs w:val="20"/>
        </w:rPr>
      </w:pPr>
      <w:r>
        <w:rPr>
          <w:rStyle w:val="PleaseReviewParagraphId"/>
          <w:b w:val="off"/>
          <w:i w:val="off"/>
        </w:rPr>
        <w:t>[916]</w:t>
      </w:r>
    </w:p>
    <w:p w14:paraId="1E982932" w14:textId="7764938D">
      <w:pPr>
        <w:pStyle w:val="BodyText"/>
        <w:tabs>
          <w:tab w:val="left" w:pos="426"/>
        </w:tabs>
        <w:ind w:right="-1"/>
        <w:rPr>
          <w:b/>
          <w:bCs/>
        </w:rPr>
      </w:pPr>
      <w:r>
        <w:rPr>
          <w:rStyle w:val="PleaseReviewParagraphId"/>
          <w:b w:val="off"/>
          <w:i w:val="off"/>
        </w:rPr>
        <w:t>[917]</w:t>
      </w:r>
    </w:p>
    <w:p w14:paraId="6302C8CF" w14:textId="09A07047">
      <w:pPr>
        <w:pStyle w:val="BodyText"/>
        <w:tabs>
          <w:tab w:val="left" w:pos="426"/>
        </w:tabs>
        <w:ind w:right="-1"/>
        <w:rPr>
          <w:b/>
          <w:bCs/>
        </w:rPr>
      </w:pPr>
      <w:r>
        <w:rPr>
          <w:rStyle w:val="PleaseReviewParagraphId"/>
          <w:b w:val="off"/>
          <w:i w:val="off"/>
        </w:rPr>
        <w:t>[918]</w:t>
      </w:r>
    </w:p>
    <w:p w14:paraId="036D5417" w14:textId="77777777">
      <w:pPr>
        <w:pStyle w:val="BodyText"/>
        <w:tabs>
          <w:tab w:val="left" w:pos="426"/>
        </w:tabs>
        <w:ind w:right="-1"/>
        <w:rPr>
          <w:b/>
          <w:bCs/>
        </w:rPr>
      </w:pPr>
      <w:r>
        <w:rPr>
          <w:rStyle w:val="PleaseReviewParagraphId"/>
          <w:b w:val="off"/>
          <w:i w:val="off"/>
        </w:rPr>
        <w:t>[919]</w:t>
      </w:r>
    </w:p>
    <w:p w14:paraId="66FBFDB9" w14:textId="77777777">
      <w:pPr>
        <w:pStyle w:val="BodyText"/>
        <w:tabs>
          <w:tab w:val="left" w:pos="426"/>
        </w:tabs>
        <w:ind w:right="-1"/>
        <w:rPr>
          <w:b/>
          <w:bCs/>
          <w:sz w:val="12"/>
          <w:szCs w:val="12"/>
        </w:rPr>
      </w:pPr>
      <w:r>
        <w:rPr>
          <w:rStyle w:val="PleaseReviewParagraphId"/>
          <w:b w:val="off"/>
          <w:i w:val="off"/>
        </w:rPr>
        <w:t>[920]</w:t>
      </w:r>
    </w:p>
    <w:p w14:paraId="2CDDE95F" w14:textId="7389993B">
      <w:pPr>
        <w:pStyle w:val="BodyText"/>
        <w:tabs>
          <w:tab w:val="left" w:pos="426"/>
        </w:tabs>
        <w:ind w:right="-1"/>
        <w:rPr>
          <w:b/>
          <w:bCs/>
        </w:rPr>
      </w:pPr>
      <w:r>
        <w:rPr>
          <w:rStyle w:val="PleaseReviewParagraphId"/>
          <w:b w:val="off"/>
          <w:i w:val="off"/>
        </w:rPr>
        <w:t>[921]</w:t>
      </w:r>
    </w:p>
    <w:p w14:paraId="5B546CF5" w14:textId="7E48D854">
      <w:pPr>
        <w:pStyle w:val="BodyText"/>
        <w:tabs>
          <w:tab w:val="left" w:pos="426"/>
        </w:tabs>
        <w:ind w:right="-1"/>
        <w:rPr>
          <w:b/>
          <w:bCs/>
        </w:rPr>
      </w:pPr>
      <w:r>
        <w:rPr>
          <w:rStyle w:val="PleaseReviewParagraphId"/>
          <w:b w:val="off"/>
          <w:i w:val="off"/>
        </w:rPr>
        <w:t>[922]</w:t>
      </w:r>
    </w:p>
    <w:p w14:paraId="4BA011CA" w14:textId="77777777">
      <w:pPr>
        <w:pStyle w:val="BodyText"/>
        <w:tabs>
          <w:tab w:val="left" w:pos="426"/>
        </w:tabs>
        <w:ind w:right="-1"/>
        <w:rPr>
          <w:b/>
          <w:bCs/>
        </w:rPr>
      </w:pPr>
      <w:r>
        <w:rPr>
          <w:rStyle w:val="PleaseReviewParagraphId"/>
          <w:b w:val="off"/>
          <w:i w:val="off"/>
        </w:rPr>
        <w:t>[923]</w:t>
      </w:r>
    </w:p>
    <w:p w14:paraId="554C0F76" w14:textId="41C8081E">
      <w:pPr>
        <w:pStyle w:val="IPPArial"/>
      </w:pPr>
      <w:r>
        <w:rPr>
          <w:rStyle w:val="PleaseReviewParagraphId"/>
          <w:b w:val="off"/>
          <w:i w:val="off"/>
        </w:rPr>
        <w:t>[924]</w:t>
      </w:r>
      <w:r>
        <w:rPr>
          <w:b/>
          <w:bCs/>
        </w:rPr>
        <w:t xml:space="preserve">Figure 10. </w:t>
      </w:r>
      <w:r>
        <w:t xml:space="preserve">White-cream colony of </w:t>
      </w:r>
      <w:r>
        <w:rPr>
          <w:i/>
          <w:iCs/>
        </w:rPr>
        <w:t>Heterobasidion annosum sensu lato</w:t>
      </w:r>
      <w:r>
        <w:t xml:space="preserve"> (left) and clamp connection (right) (40</w:t>
      </w:r>
      <w:r>
        <w:rPr>
          <w:rFonts w:cs="Arial"/>
        </w:rPr>
        <w:t>×</w:t>
      </w:r>
      <w:r>
        <w:t xml:space="preserve"> magnification).</w:t>
      </w:r>
    </w:p>
    <w:p w14:paraId="5E7412E5" w14:textId="3AAE7F01">
      <w:pPr>
        <w:pStyle w:val="IPPArialFootnote"/>
      </w:pPr>
      <w:r>
        <w:rPr>
          <w:rStyle w:val="PleaseReviewParagraphId"/>
          <w:b w:val="off"/>
          <w:i w:val="off"/>
        </w:rPr>
        <w:t>[925]</w:t>
      </w:r>
      <w:r>
        <w:rPr>
          <w:i/>
          <w:iCs/>
        </w:rPr>
        <w:t xml:space="preserve">Source: </w:t>
      </w:r>
      <w:r>
        <w:t>L. Giordano, Plant Protection Service Lombardy Region, Italy.</w:t>
      </w:r>
    </w:p>
    <w:sectPr>
      <w:pgSz w:w="11906" w:h="16838" w:code="9"/>
      <w:pgMar w:top="1559" w:right="1418" w:bottom="1418" w:left="1418" w:header="851" w:footer="851" w:gutter="0"/>
      <w:cols w:space="708"/>
      <w:titlePg/>
      <w:docGrid w:linePitch="360"/>
    </w:sectPr>
  </w:body>
</w:document>
</file>

<file path=word/endnotes.xml><?xml version="1.0" encoding="utf-8"?>
<w:endnotes xmlns:w="http://schemas.openxmlformats.org/wordprocessingml/2006/main"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5ED8CFF" w14:textId="77777777">
      <w:r>
        <w:rPr>
          <w:rStyle w:val="PleaseReviewParagraphId"/>
          <w:b w:val="off"/>
          <w:i w:val="off"/>
        </w:rPr>
        <w:t>[]</w:t>
      </w:r>
      <w:r>
        <w:separator/>
      </w:r>
    </w:p>
  </w:endnote>
  <w:endnote w:type="continuationSeparator" w:id="0">
    <w:p w14:paraId="7099AB92" w14:textId="77777777">
      <w:r>
        <w:rPr>
          <w:rStyle w:val="PleaseReviewParagraphId"/>
          <w:b w:val="off"/>
          <w:i w:val="off"/>
        </w:rPr>
        <w:t>[]</w:t>
      </w:r>
      <w:r>
        <w:continuationSeparator/>
      </w:r>
    </w:p>
  </w:endnote>
  <w:endnote w:type="continuationNotice" w:id="1">
    <w:p w14:paraId="13A3EC91" w14:textId="77777777">
      <w:r>
        <w:rPr>
          <w:rStyle w:val="PleaseReviewParagraphId"/>
          <w:b w:val="off"/>
          <w:i w:val="off"/>
        </w:rPr>
        <w:t>[]</w:t>
      </w:r>
    </w:p>
  </w:endnote>
</w:endnotes>
</file>

<file path=word/fontTable.xml><?xml version="1.0" encoding="utf-8"?>
<w:fonts xmlns:w="http://schemas.openxmlformats.org/wordprocessingml/2006/main" xmlns:mc="http://schemas.openxmlformats.org/markup-compatibility/2006" xmlns:r="http://schemas.openxmlformats.org/officeDocument/2006/relationships"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Arial Italic">
    <w:panose1 w:val="020B0604020202090204"/>
    <w:charset w:val="00"/>
    <w:family w:val="auto"/>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Arial MT">
    <w:altName w:val="Arial"/>
    <w:charset w:val="01"/>
    <w:family w:val="swiss"/>
    <w:pitch w:val="variable"/>
  </w:font>
  <w:font w:name="MS Mincho">
    <w:altName w:val="ＭＳ 明朝"/>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Verdana">
    <w:panose1 w:val="020B0604030504040204"/>
    <w:charset w:val="00"/>
    <w:family w:val="swiss"/>
    <w:pitch w:val="variable"/>
    <w:sig w:usb0="A00006FF" w:usb1="4000205B" w:usb2="00000010" w:usb3="00000000" w:csb0="0000019F" w:csb1="00000000"/>
  </w:font>
  <w:font w:name="Courier">
    <w:panose1 w:val="02070409020205020404"/>
    <w:charset w:val="00"/>
    <w:family w:val="modern"/>
    <w:notTrueType/>
    <w:pitch w:val="fixed"/>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TimesNewRomanPSMT">
    <w:altName w:val="MS Gothic"/>
    <w:panose1 w:val="00000000000000000000"/>
    <w:charset w:val="00"/>
    <w:family w:val="roman"/>
    <w:notTrueType/>
    <w:pitch w:val="default"/>
    <w:sig w:usb0="00000003" w:usb1="08070000" w:usb2="00000010" w:usb3="00000000" w:csb0="00020001" w:csb1="00000000"/>
  </w:font>
  <w:font w:name="Segoe UI">
    <w:panose1 w:val="020B0502040204020203"/>
    <w:charset w:val="00"/>
    <w:family w:val="swiss"/>
    <w:pitch w:val="variable"/>
    <w:sig w:usb0="E4002EFF" w:usb1="C000E47F" w:usb2="00000009" w:usb3="00000000" w:csb0="000001FF" w:csb1="00000000"/>
  </w:font>
  <w:font w:name="ArialMT">
    <w:altName w:val="Arial"/>
    <w:panose1 w:val="00000000000000000000"/>
    <w:charset w:val="00"/>
    <w:family w:val="auto"/>
    <w:notTrueType/>
    <w:pitch w:val="default"/>
    <w:sig w:usb0="00000003" w:usb1="00000000" w:usb2="00000000" w:usb3="00000000" w:csb0="00000001" w:csb1="00000000"/>
  </w:font>
</w:fonts>
</file>

<file path=word/footnotes.xml><?xml version="1.0" encoding="utf-8"?>
<w:footnotes xmlns:w="http://schemas.openxmlformats.org/wordprocessingml/2006/main"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C7F6BB4" w14:textId="77777777">
      <w:r>
        <w:rPr>
          <w:rStyle w:val="PleaseReviewParagraphId"/>
          <w:b w:val="off"/>
          <w:i w:val="off"/>
        </w:rPr>
        <w:t>[]</w:t>
      </w:r>
      <w:r>
        <w:separator/>
      </w:r>
    </w:p>
  </w:footnote>
  <w:footnote w:type="continuationSeparator" w:id="0">
    <w:p w14:paraId="56F249BD" w14:textId="77777777">
      <w:r>
        <w:rPr>
          <w:rStyle w:val="PleaseReviewParagraphId"/>
          <w:b w:val="off"/>
          <w:i w:val="off"/>
        </w:rPr>
        <w:t>[]</w:t>
      </w:r>
      <w:r>
        <w:continuationSeparator/>
      </w:r>
    </w:p>
  </w:footnote>
  <w:footnote w:type="continuationNotice" w:id="1">
    <w:p w14:paraId="2F83FB45" w14:textId="77777777">
      <w:r>
        <w:rPr>
          <w:rStyle w:val="FootnoteReference"/>
        </w:rPr>
        <w:footnoteRef/>
      </w:r>
      <w:r>
        <w:rPr>
          <w:rStyle w:val="PleaseReviewParagraphId"/>
          <w:b w:val="off"/>
          <w:i w:val="off"/>
        </w:rPr>
        <w:t>[]</w:t>
      </w:r>
    </w:p>
  </w:footnote>
  <w:footnote w:id="2">
    <w:p w14:paraId="35294F66" w14:textId="379CF710">
      <w:pPr>
        <w:pStyle w:val="IPPFootnote"/>
        <w:rPr>
          <w:lang w:val="it-IT"/>
        </w:rPr>
      </w:pPr>
      <w:r>
        <w:rPr>
          <w:rStyle w:val="PleaseReviewParagraphId"/>
          <w:b w:val="off"/>
          <w:i w:val="off"/>
        </w:rPr>
        <w:t>[161]</w:t>
      </w:r>
      <w:r>
        <w:rPr>
          <w:rStyle w:val="FootnoteReference"/>
        </w:rPr>
        <w:footnoteRef/>
      </w:r>
      <w:r>
        <w:t xml:space="preserve"> When using LAMP on a regular basis in an area which has a patent system such as Japan (Patent Nos. 3,313,358, 3,974,441 and 4,139,424), the United States of America (US6,410,278, US6,974,670 and US7,494,790), the European Union (Nos. 1,020,534, 1,873,260, 2,045,337 and 2,287,338), China (ZL008818262), the Republic of Korea (Patent No, 10-0612551), Australia (No. 779160), and the Russian Federation (No. 2,252,964), it is necessary for users to receive a licence from Eiken Chemical Co., Ltd. before use.</w:t>
      </w:r>
    </w:p>
  </w:footnote>
  <w:footnote w:id="3">
    <w:p w14:paraId="0FA2EDD6" w14:textId="1BBEEC58">
      <w:pPr>
        <w:pStyle w:val="IPPFootnote"/>
        <w:rPr>
          <w:lang w:val="it-IT"/>
        </w:rPr>
      </w:pPr>
      <w:r>
        <w:rPr>
          <w:rStyle w:val="PleaseReviewParagraphId"/>
          <w:b w:val="off"/>
          <w:i w:val="off"/>
        </w:rPr>
        <w:t>[247]</w:t>
      </w:r>
      <w:r>
        <w:rPr>
          <w:rStyle w:val="FootnoteReference"/>
        </w:rPr>
        <w:footnoteRef/>
      </w:r>
      <w:r>
        <w:t xml:space="preserve"> The use of names of reagents, chemicals or equipment in these diagnostic protocols implies no approval of them to the exclusion of others that may also be suitable.</w:t>
      </w:r>
    </w:p>
  </w:footnote>
</w:footnotes>
</file>

<file path=word/numbering.xml><?xml version="1.0" encoding="utf-8"?>
<w:numbering xmlns:w="http://schemas.openxmlformats.org/wordprocessingml/2006/main"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09E055DE"/>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15BA0390"/>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5AFCE760"/>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40D80476"/>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E9260048"/>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5EF0A17E"/>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613CC30C"/>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33BE47AE"/>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9A641E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4A10C02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0CC46E7"/>
    <w:multiLevelType w:val="hybridMultilevel"/>
    <w:tmpl w:val="890CFEFE"/>
    <w:lvl w:ilvl="0" w:tplc="C1C2A830">
      <w:start w:val="1"/>
      <w:numFmt w:val="bullet"/>
      <w:lvlText w:val="‐"/>
      <w:lvlJc w:val="left"/>
      <w:pPr>
        <w:ind w:left="720" w:hanging="360"/>
      </w:pPr>
      <w:rPr>
        <w:rFonts w:ascii="Calibri" w:hAnsi="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023E28F8"/>
    <w:multiLevelType w:val="hybridMultilevel"/>
    <w:tmpl w:val="8494C498"/>
    <w:lvl w:ilvl="0" w:tplc="C1C2A830">
      <w:start w:val="1"/>
      <w:numFmt w:val="bullet"/>
      <w:lvlText w:val="‐"/>
      <w:lvlJc w:val="left"/>
      <w:pPr>
        <w:ind w:left="720" w:hanging="360"/>
      </w:pPr>
      <w:rPr>
        <w:rFonts w:ascii="Calibri" w:hAnsi="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02D600EF"/>
    <w:multiLevelType w:val="hybridMultilevel"/>
    <w:tmpl w:val="8CEA962A"/>
    <w:lvl w:ilvl="0" w:tplc="F0B4E928">
      <w:start w:val="3"/>
      <w:numFmt w:val="bullet"/>
      <w:lvlText w:val="-"/>
      <w:lvlJc w:val="left"/>
      <w:pPr>
        <w:ind w:left="1069" w:hanging="360"/>
      </w:pPr>
      <w:rPr>
        <w:rFonts w:ascii="Times New Roman" w:eastAsia="Times" w:hAnsi="Times New Roman" w:cs="Times New Roman" w:hint="default"/>
      </w:rPr>
    </w:lvl>
    <w:lvl w:ilvl="1" w:tplc="C1C2A830">
      <w:start w:val="1"/>
      <w:numFmt w:val="bullet"/>
      <w:lvlText w:val="‐"/>
      <w:lvlJc w:val="left"/>
      <w:pPr>
        <w:ind w:left="1429" w:hanging="360"/>
      </w:pPr>
      <w:rPr>
        <w:rFonts w:ascii="Calibri" w:hAnsi="Calibri" w:hint="default"/>
      </w:rPr>
    </w:lvl>
    <w:lvl w:ilvl="2" w:tplc="04090005" w:tentative="1">
      <w:start w:val="1"/>
      <w:numFmt w:val="bullet"/>
      <w:lvlText w:val=""/>
      <w:lvlJc w:val="left"/>
      <w:pPr>
        <w:ind w:left="2509" w:hanging="360"/>
      </w:pPr>
      <w:rPr>
        <w:rFonts w:ascii="Wingdings" w:hAnsi="Wingdings" w:hint="default"/>
      </w:rPr>
    </w:lvl>
    <w:lvl w:ilvl="3" w:tplc="04090001" w:tentative="1">
      <w:start w:val="1"/>
      <w:numFmt w:val="bullet"/>
      <w:lvlText w:val=""/>
      <w:lvlJc w:val="left"/>
      <w:pPr>
        <w:ind w:left="3229" w:hanging="360"/>
      </w:pPr>
      <w:rPr>
        <w:rFonts w:ascii="Symbol" w:hAnsi="Symbol" w:hint="default"/>
      </w:rPr>
    </w:lvl>
    <w:lvl w:ilvl="4" w:tplc="04090003" w:tentative="1">
      <w:start w:val="1"/>
      <w:numFmt w:val="bullet"/>
      <w:lvlText w:val="o"/>
      <w:lvlJc w:val="left"/>
      <w:pPr>
        <w:ind w:left="3949" w:hanging="360"/>
      </w:pPr>
      <w:rPr>
        <w:rFonts w:ascii="Courier New" w:hAnsi="Courier New" w:cs="Courier New" w:hint="default"/>
      </w:rPr>
    </w:lvl>
    <w:lvl w:ilvl="5" w:tplc="04090005" w:tentative="1">
      <w:start w:val="1"/>
      <w:numFmt w:val="bullet"/>
      <w:lvlText w:val=""/>
      <w:lvlJc w:val="left"/>
      <w:pPr>
        <w:ind w:left="4669" w:hanging="360"/>
      </w:pPr>
      <w:rPr>
        <w:rFonts w:ascii="Wingdings" w:hAnsi="Wingdings" w:hint="default"/>
      </w:rPr>
    </w:lvl>
    <w:lvl w:ilvl="6" w:tplc="04090001" w:tentative="1">
      <w:start w:val="1"/>
      <w:numFmt w:val="bullet"/>
      <w:lvlText w:val=""/>
      <w:lvlJc w:val="left"/>
      <w:pPr>
        <w:ind w:left="5389" w:hanging="360"/>
      </w:pPr>
      <w:rPr>
        <w:rFonts w:ascii="Symbol" w:hAnsi="Symbol" w:hint="default"/>
      </w:rPr>
    </w:lvl>
    <w:lvl w:ilvl="7" w:tplc="04090003" w:tentative="1">
      <w:start w:val="1"/>
      <w:numFmt w:val="bullet"/>
      <w:lvlText w:val="o"/>
      <w:lvlJc w:val="left"/>
      <w:pPr>
        <w:ind w:left="6109" w:hanging="360"/>
      </w:pPr>
      <w:rPr>
        <w:rFonts w:ascii="Courier New" w:hAnsi="Courier New" w:cs="Courier New" w:hint="default"/>
      </w:rPr>
    </w:lvl>
    <w:lvl w:ilvl="8" w:tplc="04090005" w:tentative="1">
      <w:start w:val="1"/>
      <w:numFmt w:val="bullet"/>
      <w:lvlText w:val=""/>
      <w:lvlJc w:val="left"/>
      <w:pPr>
        <w:ind w:left="6829" w:hanging="360"/>
      </w:pPr>
      <w:rPr>
        <w:rFonts w:ascii="Wingdings" w:hAnsi="Wingdings" w:hint="default"/>
      </w:rPr>
    </w:lvl>
  </w:abstractNum>
  <w:abstractNum w:abstractNumId="13" w15:restartNumberingAfterBreak="0">
    <w:nsid w:val="02F115FB"/>
    <w:multiLevelType w:val="hybridMultilevel"/>
    <w:tmpl w:val="E5BCFC7E"/>
    <w:lvl w:ilvl="0" w:tplc="C1C2A830">
      <w:start w:val="1"/>
      <w:numFmt w:val="bullet"/>
      <w:lvlText w:val="‐"/>
      <w:lvlJc w:val="left"/>
      <w:pPr>
        <w:ind w:left="720" w:hanging="360"/>
      </w:pPr>
      <w:rPr>
        <w:rFonts w:ascii="Calibri" w:hAnsi="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031155BF"/>
    <w:multiLevelType w:val="multilevel"/>
    <w:tmpl w:val="7CF43532"/>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5" w15:restartNumberingAfterBreak="0">
    <w:nsid w:val="03592949"/>
    <w:multiLevelType w:val="hybridMultilevel"/>
    <w:tmpl w:val="F2C0325A"/>
    <w:lvl w:ilvl="0" w:tplc="29423E1C">
      <w:start w:val="1"/>
      <w:numFmt w:val="decimal"/>
      <w:pStyle w:val="IPPNumberedList"/>
      <w:lvlText w:val="(%1)"/>
      <w:lvlJc w:val="left"/>
      <w:pPr>
        <w:tabs>
          <w:tab w:val="num" w:pos="567"/>
        </w:tabs>
        <w:ind w:left="567" w:hanging="567"/>
      </w:pPr>
      <w:rPr>
        <w:rFonts w:ascii="Times New Roman" w:hAnsi="Times New Roman" w:hint="default"/>
        <w:b w:val="0"/>
        <w:i w:val="0"/>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04561535"/>
    <w:multiLevelType w:val="hybridMultilevel"/>
    <w:tmpl w:val="716484CA"/>
    <w:lvl w:ilvl="0" w:tplc="C1C2A830">
      <w:start w:val="1"/>
      <w:numFmt w:val="bullet"/>
      <w:lvlText w:val="‐"/>
      <w:lvlJc w:val="left"/>
      <w:pPr>
        <w:ind w:left="720" w:hanging="360"/>
      </w:pPr>
      <w:rPr>
        <w:rFonts w:ascii="Calibri" w:hAnsi="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050B2C2E"/>
    <w:multiLevelType w:val="hybridMultilevel"/>
    <w:tmpl w:val="30BE78A6"/>
    <w:lvl w:ilvl="0" w:tplc="C1C2A830">
      <w:start w:val="1"/>
      <w:numFmt w:val="bullet"/>
      <w:lvlText w:val="‐"/>
      <w:lvlJc w:val="left"/>
      <w:pPr>
        <w:ind w:left="720" w:hanging="360"/>
      </w:pPr>
      <w:rPr>
        <w:rFonts w:ascii="Calibri" w:hAnsi="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07614785"/>
    <w:multiLevelType w:val="hybridMultilevel"/>
    <w:tmpl w:val="E1200F78"/>
    <w:lvl w:ilvl="0" w:tplc="1534CAA6">
      <w:start w:val="1"/>
      <w:numFmt w:val="decimal"/>
      <w:lvlText w:val="%1."/>
      <w:lvlJc w:val="left"/>
      <w:pPr>
        <w:ind w:left="420" w:hanging="360"/>
      </w:pPr>
      <w:rPr>
        <w:rFonts w:hint="default"/>
      </w:rPr>
    </w:lvl>
    <w:lvl w:ilvl="1" w:tplc="04090019" w:tentative="1">
      <w:start w:val="1"/>
      <w:numFmt w:val="lowerLetter"/>
      <w:lvlText w:val="%2."/>
      <w:lvlJc w:val="left"/>
      <w:pPr>
        <w:ind w:left="1140" w:hanging="360"/>
      </w:pPr>
    </w:lvl>
    <w:lvl w:ilvl="2" w:tplc="0409001B" w:tentative="1">
      <w:start w:val="1"/>
      <w:numFmt w:val="lowerRoman"/>
      <w:lvlText w:val="%3."/>
      <w:lvlJc w:val="right"/>
      <w:pPr>
        <w:ind w:left="1860" w:hanging="180"/>
      </w:pPr>
    </w:lvl>
    <w:lvl w:ilvl="3" w:tplc="0409000F" w:tentative="1">
      <w:start w:val="1"/>
      <w:numFmt w:val="decimal"/>
      <w:lvlText w:val="%4."/>
      <w:lvlJc w:val="left"/>
      <w:pPr>
        <w:ind w:left="2580" w:hanging="360"/>
      </w:pPr>
    </w:lvl>
    <w:lvl w:ilvl="4" w:tplc="04090019" w:tentative="1">
      <w:start w:val="1"/>
      <w:numFmt w:val="lowerLetter"/>
      <w:lvlText w:val="%5."/>
      <w:lvlJc w:val="left"/>
      <w:pPr>
        <w:ind w:left="3300" w:hanging="360"/>
      </w:pPr>
    </w:lvl>
    <w:lvl w:ilvl="5" w:tplc="0409001B" w:tentative="1">
      <w:start w:val="1"/>
      <w:numFmt w:val="lowerRoman"/>
      <w:lvlText w:val="%6."/>
      <w:lvlJc w:val="right"/>
      <w:pPr>
        <w:ind w:left="4020" w:hanging="180"/>
      </w:pPr>
    </w:lvl>
    <w:lvl w:ilvl="6" w:tplc="0409000F" w:tentative="1">
      <w:start w:val="1"/>
      <w:numFmt w:val="decimal"/>
      <w:lvlText w:val="%7."/>
      <w:lvlJc w:val="left"/>
      <w:pPr>
        <w:ind w:left="4740" w:hanging="360"/>
      </w:pPr>
    </w:lvl>
    <w:lvl w:ilvl="7" w:tplc="04090019" w:tentative="1">
      <w:start w:val="1"/>
      <w:numFmt w:val="lowerLetter"/>
      <w:lvlText w:val="%8."/>
      <w:lvlJc w:val="left"/>
      <w:pPr>
        <w:ind w:left="5460" w:hanging="360"/>
      </w:pPr>
    </w:lvl>
    <w:lvl w:ilvl="8" w:tplc="0409001B" w:tentative="1">
      <w:start w:val="1"/>
      <w:numFmt w:val="lowerRoman"/>
      <w:lvlText w:val="%9."/>
      <w:lvlJc w:val="right"/>
      <w:pPr>
        <w:ind w:left="6180" w:hanging="180"/>
      </w:pPr>
    </w:lvl>
  </w:abstractNum>
  <w:abstractNum w:abstractNumId="19" w15:restartNumberingAfterBreak="0">
    <w:nsid w:val="079C0B0A"/>
    <w:multiLevelType w:val="hybridMultilevel"/>
    <w:tmpl w:val="3CCE257C"/>
    <w:lvl w:ilvl="0" w:tplc="4ED2534E">
      <w:start w:val="1"/>
      <w:numFmt w:val="bullet"/>
      <w:lvlText w:val="-"/>
      <w:lvlJc w:val="left"/>
      <w:pPr>
        <w:ind w:left="720" w:hanging="360"/>
      </w:pPr>
      <w:rPr>
        <w:rFonts w:ascii="Times New Roman" w:eastAsia="Times New Roman" w:hAnsi="Times New Roman" w:cs="Times New Roman"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0" w15:restartNumberingAfterBreak="0">
    <w:nsid w:val="084C0A6C"/>
    <w:multiLevelType w:val="multilevel"/>
    <w:tmpl w:val="06E871E4"/>
    <w:numStyleLink w:val="IPPParagraphnumberedlist"/>
  </w:abstractNum>
  <w:abstractNum w:abstractNumId="21" w15:restartNumberingAfterBreak="0">
    <w:nsid w:val="0AAA575C"/>
    <w:multiLevelType w:val="hybridMultilevel"/>
    <w:tmpl w:val="61F0C2C0"/>
    <w:lvl w:ilvl="0" w:tplc="FFFFFFFF">
      <w:start w:val="1"/>
      <w:numFmt w:val="bullet"/>
      <w:pStyle w:val="IPPLetterListIndent"/>
      <w:lvlText w:val=""/>
      <w:lvlJc w:val="left"/>
      <w:pPr>
        <w:tabs>
          <w:tab w:val="num" w:pos="1701"/>
        </w:tabs>
        <w:ind w:left="1701" w:hanging="567"/>
      </w:pPr>
      <w:rPr>
        <w:rFonts w:ascii="Times New Roman" w:hAnsi="Times New Roman" w:hint="default"/>
        <w:color w:val="auto"/>
        <w:sz w:val="22"/>
      </w:rPr>
    </w:lvl>
    <w:lvl w:ilvl="1" w:tplc="FFFFFFFF" w:tentative="1">
      <w:start w:val="1"/>
      <w:numFmt w:val="bullet"/>
      <w:lvlText w:val="o"/>
      <w:lvlJc w:val="left"/>
      <w:pPr>
        <w:ind w:left="1440" w:hanging="360"/>
      </w:pPr>
      <w:rPr>
        <w:rFonts w:ascii="Courier New" w:hAnsi="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2" w15:restartNumberingAfterBreak="0">
    <w:nsid w:val="0F8E7E61"/>
    <w:multiLevelType w:val="hybridMultilevel"/>
    <w:tmpl w:val="B9C2D1BC"/>
    <w:lvl w:ilvl="0" w:tplc="0410000F">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3" w15:restartNumberingAfterBreak="0">
    <w:nsid w:val="124F1C9C"/>
    <w:multiLevelType w:val="hybridMultilevel"/>
    <w:tmpl w:val="AD0C4984"/>
    <w:lvl w:ilvl="0" w:tplc="04100017">
      <w:start w:val="1"/>
      <w:numFmt w:val="lowerLetter"/>
      <w:lvlText w:val="%1)"/>
      <w:lvlJc w:val="left"/>
      <w:pPr>
        <w:ind w:left="-98" w:hanging="360"/>
      </w:pPr>
    </w:lvl>
    <w:lvl w:ilvl="1" w:tplc="04100019" w:tentative="1">
      <w:start w:val="1"/>
      <w:numFmt w:val="lowerLetter"/>
      <w:lvlText w:val="%2."/>
      <w:lvlJc w:val="left"/>
      <w:pPr>
        <w:ind w:left="622" w:hanging="360"/>
      </w:pPr>
    </w:lvl>
    <w:lvl w:ilvl="2" w:tplc="0410001B" w:tentative="1">
      <w:start w:val="1"/>
      <w:numFmt w:val="lowerRoman"/>
      <w:lvlText w:val="%3."/>
      <w:lvlJc w:val="right"/>
      <w:pPr>
        <w:ind w:left="1342" w:hanging="180"/>
      </w:pPr>
    </w:lvl>
    <w:lvl w:ilvl="3" w:tplc="0410000F" w:tentative="1">
      <w:start w:val="1"/>
      <w:numFmt w:val="decimal"/>
      <w:lvlText w:val="%4."/>
      <w:lvlJc w:val="left"/>
      <w:pPr>
        <w:ind w:left="2062" w:hanging="360"/>
      </w:pPr>
    </w:lvl>
    <w:lvl w:ilvl="4" w:tplc="04100019" w:tentative="1">
      <w:start w:val="1"/>
      <w:numFmt w:val="lowerLetter"/>
      <w:lvlText w:val="%5."/>
      <w:lvlJc w:val="left"/>
      <w:pPr>
        <w:ind w:left="2782" w:hanging="360"/>
      </w:pPr>
    </w:lvl>
    <w:lvl w:ilvl="5" w:tplc="0410001B" w:tentative="1">
      <w:start w:val="1"/>
      <w:numFmt w:val="lowerRoman"/>
      <w:lvlText w:val="%6."/>
      <w:lvlJc w:val="right"/>
      <w:pPr>
        <w:ind w:left="3502" w:hanging="180"/>
      </w:pPr>
    </w:lvl>
    <w:lvl w:ilvl="6" w:tplc="0410000F" w:tentative="1">
      <w:start w:val="1"/>
      <w:numFmt w:val="decimal"/>
      <w:lvlText w:val="%7."/>
      <w:lvlJc w:val="left"/>
      <w:pPr>
        <w:ind w:left="4222" w:hanging="360"/>
      </w:pPr>
    </w:lvl>
    <w:lvl w:ilvl="7" w:tplc="04100019" w:tentative="1">
      <w:start w:val="1"/>
      <w:numFmt w:val="lowerLetter"/>
      <w:lvlText w:val="%8."/>
      <w:lvlJc w:val="left"/>
      <w:pPr>
        <w:ind w:left="4942" w:hanging="360"/>
      </w:pPr>
    </w:lvl>
    <w:lvl w:ilvl="8" w:tplc="0410001B" w:tentative="1">
      <w:start w:val="1"/>
      <w:numFmt w:val="lowerRoman"/>
      <w:lvlText w:val="%9."/>
      <w:lvlJc w:val="right"/>
      <w:pPr>
        <w:ind w:left="5662" w:hanging="180"/>
      </w:pPr>
    </w:lvl>
  </w:abstractNum>
  <w:abstractNum w:abstractNumId="24" w15:restartNumberingAfterBreak="0">
    <w:nsid w:val="157303BA"/>
    <w:multiLevelType w:val="hybridMultilevel"/>
    <w:tmpl w:val="33DABD40"/>
    <w:lvl w:ilvl="0" w:tplc="C1C2A830">
      <w:start w:val="1"/>
      <w:numFmt w:val="bullet"/>
      <w:lvlText w:val="‐"/>
      <w:lvlJc w:val="left"/>
      <w:pPr>
        <w:ind w:left="720" w:hanging="360"/>
      </w:pPr>
      <w:rPr>
        <w:rFonts w:ascii="Calibri" w:hAnsi="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160F62B9"/>
    <w:multiLevelType w:val="hybridMultilevel"/>
    <w:tmpl w:val="346686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19894D37"/>
    <w:multiLevelType w:val="hybridMultilevel"/>
    <w:tmpl w:val="FA645C3A"/>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7" w15:restartNumberingAfterBreak="0">
    <w:nsid w:val="1BB651B3"/>
    <w:multiLevelType w:val="hybridMultilevel"/>
    <w:tmpl w:val="6130C5F8"/>
    <w:lvl w:ilvl="0" w:tplc="4A507126">
      <w:start w:val="1"/>
      <w:numFmt w:val="decimal"/>
      <w:lvlText w:val="[%1]"/>
      <w:lvlJc w:val="left"/>
      <w:pPr>
        <w:ind w:left="720" w:hanging="360"/>
      </w:pPr>
      <w:rPr>
        <w:rFonts w:ascii="Arial Italic" w:hAnsi="Arial Italic" w:hint="default"/>
        <w:b w:val="0"/>
        <w:i/>
        <w:color w:val="0000FF"/>
        <w:sz w:val="16"/>
      </w:rPr>
    </w:lvl>
    <w:lvl w:ilvl="1" w:tplc="04090003"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28" w15:restartNumberingAfterBreak="0">
    <w:nsid w:val="1D4D58D1"/>
    <w:multiLevelType w:val="multilevel"/>
    <w:tmpl w:val="4A0046FC"/>
    <w:lvl w:ilvl="0">
      <w:start w:val="1"/>
      <w:numFmt w:val="decimal"/>
      <w:lvlText w:val="%1."/>
      <w:lvlJc w:val="left"/>
      <w:pPr>
        <w:ind w:left="851" w:hanging="567"/>
      </w:pPr>
      <w:rPr>
        <w:rFonts w:ascii="Times New Roman" w:eastAsia="Times New Roman" w:hAnsi="Times New Roman" w:cs="Times New Roman" w:hint="default"/>
        <w:b/>
        <w:bCs/>
        <w:w w:val="100"/>
        <w:sz w:val="24"/>
        <w:szCs w:val="24"/>
        <w:lang w:val="en-US" w:eastAsia="en-US" w:bidi="ar-SA"/>
      </w:rPr>
    </w:lvl>
    <w:lvl w:ilvl="1">
      <w:start w:val="1"/>
      <w:numFmt w:val="decimal"/>
      <w:lvlText w:val="%1.%2"/>
      <w:lvlJc w:val="left"/>
      <w:pPr>
        <w:ind w:left="1385" w:hanging="567"/>
      </w:pPr>
      <w:rPr>
        <w:rFonts w:ascii="Times New Roman" w:eastAsia="Times New Roman" w:hAnsi="Times New Roman" w:cs="Times New Roman" w:hint="default"/>
        <w:b/>
        <w:bCs/>
        <w:w w:val="100"/>
        <w:sz w:val="24"/>
        <w:szCs w:val="24"/>
        <w:lang w:val="en-US" w:eastAsia="en-US" w:bidi="ar-SA"/>
      </w:rPr>
    </w:lvl>
    <w:lvl w:ilvl="2">
      <w:start w:val="1"/>
      <w:numFmt w:val="decimal"/>
      <w:lvlText w:val="%1.%2.%3"/>
      <w:lvlJc w:val="left"/>
      <w:pPr>
        <w:ind w:left="993" w:hanging="567"/>
      </w:pPr>
      <w:rPr>
        <w:rFonts w:ascii="Times New Roman" w:eastAsia="Times New Roman" w:hAnsi="Times New Roman" w:cs="Times New Roman" w:hint="default"/>
        <w:b/>
        <w:bCs/>
        <w:w w:val="100"/>
        <w:sz w:val="22"/>
        <w:szCs w:val="22"/>
        <w:lang w:val="en-US" w:eastAsia="en-US" w:bidi="ar-SA"/>
      </w:rPr>
    </w:lvl>
    <w:lvl w:ilvl="3">
      <w:start w:val="1"/>
      <w:numFmt w:val="decimal"/>
      <w:lvlText w:val="%1.%2.%3.%4"/>
      <w:lvlJc w:val="left"/>
      <w:pPr>
        <w:ind w:left="1538" w:hanging="720"/>
      </w:pPr>
      <w:rPr>
        <w:rFonts w:ascii="Times New Roman" w:eastAsia="Times New Roman" w:hAnsi="Times New Roman" w:cs="Times New Roman" w:hint="default"/>
        <w:b/>
        <w:bCs/>
        <w:i/>
        <w:iCs/>
        <w:w w:val="100"/>
        <w:sz w:val="22"/>
        <w:szCs w:val="22"/>
        <w:lang w:val="en-US" w:eastAsia="en-US" w:bidi="ar-SA"/>
      </w:rPr>
    </w:lvl>
    <w:lvl w:ilvl="4">
      <w:numFmt w:val="bullet"/>
      <w:lvlText w:val="•"/>
      <w:lvlJc w:val="left"/>
      <w:pPr>
        <w:ind w:left="4702" w:hanging="720"/>
      </w:pPr>
      <w:rPr>
        <w:rFonts w:hint="default"/>
        <w:lang w:val="en-US" w:eastAsia="en-US" w:bidi="ar-SA"/>
      </w:rPr>
    </w:lvl>
    <w:lvl w:ilvl="5">
      <w:numFmt w:val="bullet"/>
      <w:lvlText w:val="•"/>
      <w:lvlJc w:val="left"/>
      <w:pPr>
        <w:ind w:left="5756" w:hanging="720"/>
      </w:pPr>
      <w:rPr>
        <w:rFonts w:hint="default"/>
        <w:lang w:val="en-US" w:eastAsia="en-US" w:bidi="ar-SA"/>
      </w:rPr>
    </w:lvl>
    <w:lvl w:ilvl="6">
      <w:numFmt w:val="bullet"/>
      <w:lvlText w:val="•"/>
      <w:lvlJc w:val="left"/>
      <w:pPr>
        <w:ind w:left="6810" w:hanging="720"/>
      </w:pPr>
      <w:rPr>
        <w:rFonts w:hint="default"/>
        <w:lang w:val="en-US" w:eastAsia="en-US" w:bidi="ar-SA"/>
      </w:rPr>
    </w:lvl>
    <w:lvl w:ilvl="7">
      <w:numFmt w:val="bullet"/>
      <w:lvlText w:val="•"/>
      <w:lvlJc w:val="left"/>
      <w:pPr>
        <w:ind w:left="7864" w:hanging="720"/>
      </w:pPr>
      <w:rPr>
        <w:rFonts w:hint="default"/>
        <w:lang w:val="en-US" w:eastAsia="en-US" w:bidi="ar-SA"/>
      </w:rPr>
    </w:lvl>
    <w:lvl w:ilvl="8">
      <w:numFmt w:val="bullet"/>
      <w:lvlText w:val="•"/>
      <w:lvlJc w:val="left"/>
      <w:pPr>
        <w:ind w:left="8918" w:hanging="720"/>
      </w:pPr>
      <w:rPr>
        <w:rFonts w:hint="default"/>
        <w:lang w:val="en-US" w:eastAsia="en-US" w:bidi="ar-SA"/>
      </w:rPr>
    </w:lvl>
  </w:abstractNum>
  <w:abstractNum w:abstractNumId="29" w15:restartNumberingAfterBreak="0">
    <w:nsid w:val="1DDB0660"/>
    <w:multiLevelType w:val="hybridMultilevel"/>
    <w:tmpl w:val="095EA76A"/>
    <w:lvl w:ilvl="0" w:tplc="813690F2">
      <w:start w:val="1"/>
      <w:numFmt w:val="bullet"/>
      <w:lvlText w:val="-"/>
      <w:lvlJc w:val="left"/>
      <w:pPr>
        <w:ind w:left="720" w:hanging="360"/>
      </w:pPr>
      <w:rPr>
        <w:rFonts w:ascii="Times New Roman" w:eastAsia="Times New Roman" w:hAnsi="Times New Roman" w:cs="Times New Roman"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0" w15:restartNumberingAfterBreak="0">
    <w:nsid w:val="21091C36"/>
    <w:multiLevelType w:val="hybridMultilevel"/>
    <w:tmpl w:val="56AEC15E"/>
    <w:lvl w:ilvl="0" w:tplc="04090015">
      <w:start w:val="8"/>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21F20040"/>
    <w:multiLevelType w:val="hybridMultilevel"/>
    <w:tmpl w:val="6DC22592"/>
    <w:lvl w:ilvl="0" w:tplc="C1C2A830">
      <w:start w:val="1"/>
      <w:numFmt w:val="bullet"/>
      <w:lvlText w:val="‐"/>
      <w:lvlJc w:val="left"/>
      <w:pPr>
        <w:ind w:left="720" w:hanging="360"/>
      </w:pPr>
      <w:rPr>
        <w:rFonts w:ascii="Calibri" w:hAnsi="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15:restartNumberingAfterBreak="0">
    <w:nsid w:val="26012DAD"/>
    <w:multiLevelType w:val="hybridMultilevel"/>
    <w:tmpl w:val="EF2AD55A"/>
    <w:lvl w:ilvl="0" w:tplc="C1C2A830">
      <w:start w:val="1"/>
      <w:numFmt w:val="bullet"/>
      <w:lvlText w:val="‐"/>
      <w:lvlJc w:val="left"/>
      <w:pPr>
        <w:ind w:left="720" w:hanging="360"/>
      </w:pPr>
      <w:rPr>
        <w:rFonts w:ascii="Calibri" w:hAnsi="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15:restartNumberingAfterBreak="0">
    <w:nsid w:val="2EDA1B6C"/>
    <w:multiLevelType w:val="hybridMultilevel"/>
    <w:tmpl w:val="1E027C66"/>
    <w:lvl w:ilvl="0" w:tplc="23F4B2D4">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4" w15:restartNumberingAfterBreak="0">
    <w:nsid w:val="31FE0F8F"/>
    <w:multiLevelType w:val="multilevel"/>
    <w:tmpl w:val="06E871E4"/>
    <w:styleLink w:val="IPPParagraphnumberedlist"/>
    <w:lvl w:ilvl="0">
      <w:start w:val="1"/>
      <w:numFmt w:val="decimal"/>
      <w:lvlText w:val="[%1]"/>
      <w:lvlJc w:val="left"/>
      <w:pPr>
        <w:tabs>
          <w:tab w:val="num" w:pos="0"/>
        </w:tabs>
        <w:ind w:left="0" w:hanging="482"/>
      </w:pPr>
      <w:rPr>
        <w:rFonts w:ascii="Arial" w:hAnsi="Arial" w:hint="default"/>
        <w:b w:val="0"/>
        <w:i/>
        <w:color w:val="0000FF"/>
        <w:sz w:val="16"/>
      </w:rPr>
    </w:lvl>
    <w:lvl w:ilvl="1">
      <w:start w:val="1"/>
      <w:numFmt w:val="none"/>
      <w:lvlRestart w:val="0"/>
      <w:lvlText w:val=""/>
      <w:lvlJc w:val="left"/>
      <w:pPr>
        <w:tabs>
          <w:tab w:val="num" w:pos="0"/>
        </w:tabs>
        <w:ind w:left="0" w:hanging="482"/>
      </w:pPr>
      <w:rPr>
        <w:rFonts w:hint="default"/>
      </w:rPr>
    </w:lvl>
    <w:lvl w:ilvl="2">
      <w:start w:val="1"/>
      <w:numFmt w:val="none"/>
      <w:lvlRestart w:val="0"/>
      <w:lvlText w:val=""/>
      <w:lvlJc w:val="left"/>
      <w:pPr>
        <w:tabs>
          <w:tab w:val="num" w:pos="0"/>
        </w:tabs>
        <w:ind w:left="0" w:hanging="482"/>
      </w:pPr>
      <w:rPr>
        <w:rFonts w:hint="default"/>
      </w:rPr>
    </w:lvl>
    <w:lvl w:ilvl="3">
      <w:start w:val="1"/>
      <w:numFmt w:val="none"/>
      <w:lvlRestart w:val="0"/>
      <w:lvlText w:val=""/>
      <w:lvlJc w:val="left"/>
      <w:pPr>
        <w:tabs>
          <w:tab w:val="num" w:pos="0"/>
        </w:tabs>
        <w:ind w:left="0" w:hanging="482"/>
      </w:pPr>
      <w:rPr>
        <w:rFonts w:hint="default"/>
      </w:rPr>
    </w:lvl>
    <w:lvl w:ilvl="4">
      <w:start w:val="1"/>
      <w:numFmt w:val="none"/>
      <w:lvlRestart w:val="0"/>
      <w:lvlText w:val=""/>
      <w:lvlJc w:val="left"/>
      <w:pPr>
        <w:tabs>
          <w:tab w:val="num" w:pos="0"/>
        </w:tabs>
        <w:ind w:left="0" w:hanging="482"/>
      </w:pPr>
      <w:rPr>
        <w:rFonts w:hint="default"/>
      </w:rPr>
    </w:lvl>
    <w:lvl w:ilvl="5">
      <w:start w:val="1"/>
      <w:numFmt w:val="none"/>
      <w:lvlRestart w:val="0"/>
      <w:lvlText w:val=""/>
      <w:lvlJc w:val="left"/>
      <w:pPr>
        <w:tabs>
          <w:tab w:val="num" w:pos="0"/>
        </w:tabs>
        <w:ind w:left="0" w:hanging="482"/>
      </w:pPr>
      <w:rPr>
        <w:rFonts w:hint="default"/>
      </w:rPr>
    </w:lvl>
    <w:lvl w:ilvl="6">
      <w:start w:val="1"/>
      <w:numFmt w:val="none"/>
      <w:lvlRestart w:val="0"/>
      <w:lvlText w:val=""/>
      <w:lvlJc w:val="left"/>
      <w:pPr>
        <w:tabs>
          <w:tab w:val="num" w:pos="0"/>
        </w:tabs>
        <w:ind w:left="0" w:hanging="482"/>
      </w:pPr>
      <w:rPr>
        <w:rFonts w:hint="default"/>
      </w:rPr>
    </w:lvl>
    <w:lvl w:ilvl="7">
      <w:start w:val="1"/>
      <w:numFmt w:val="none"/>
      <w:lvlRestart w:val="0"/>
      <w:lvlText w:val=""/>
      <w:lvlJc w:val="left"/>
      <w:pPr>
        <w:tabs>
          <w:tab w:val="num" w:pos="0"/>
        </w:tabs>
        <w:ind w:left="0" w:hanging="482"/>
      </w:pPr>
      <w:rPr>
        <w:rFonts w:hint="default"/>
      </w:rPr>
    </w:lvl>
    <w:lvl w:ilvl="8">
      <w:start w:val="1"/>
      <w:numFmt w:val="none"/>
      <w:lvlRestart w:val="0"/>
      <w:lvlText w:val=""/>
      <w:lvlJc w:val="left"/>
      <w:pPr>
        <w:tabs>
          <w:tab w:val="num" w:pos="0"/>
        </w:tabs>
        <w:ind w:left="0" w:hanging="482"/>
      </w:pPr>
      <w:rPr>
        <w:rFonts w:hint="default"/>
      </w:rPr>
    </w:lvl>
  </w:abstractNum>
  <w:abstractNum w:abstractNumId="35" w15:restartNumberingAfterBreak="0">
    <w:nsid w:val="350C43B4"/>
    <w:multiLevelType w:val="hybridMultilevel"/>
    <w:tmpl w:val="3B98C7D6"/>
    <w:lvl w:ilvl="0" w:tplc="C1C2A830">
      <w:start w:val="1"/>
      <w:numFmt w:val="bullet"/>
      <w:lvlText w:val="‐"/>
      <w:lvlJc w:val="left"/>
      <w:pPr>
        <w:ind w:left="720" w:hanging="360"/>
      </w:pPr>
      <w:rPr>
        <w:rFonts w:ascii="Calibri" w:hAnsi="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 w15:restartNumberingAfterBreak="0">
    <w:nsid w:val="356945EF"/>
    <w:multiLevelType w:val="hybridMultilevel"/>
    <w:tmpl w:val="1848C250"/>
    <w:lvl w:ilvl="0" w:tplc="D714B68E">
      <w:start w:val="1"/>
      <w:numFmt w:val="bullet"/>
      <w:lvlText w:val="–"/>
      <w:lvlJc w:val="left"/>
      <w:pPr>
        <w:ind w:left="360" w:hanging="360"/>
      </w:pPr>
      <w:rPr>
        <w:rFonts w:ascii="Times New Roman" w:eastAsia="Times New Roman" w:hAnsi="Times New Roman" w:cs="Times New Roman"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7" w15:restartNumberingAfterBreak="0">
    <w:nsid w:val="36286CC2"/>
    <w:multiLevelType w:val="hybridMultilevel"/>
    <w:tmpl w:val="286ABAF2"/>
    <w:lvl w:ilvl="0" w:tplc="C1C2A830">
      <w:start w:val="1"/>
      <w:numFmt w:val="bullet"/>
      <w:lvlText w:val="‐"/>
      <w:lvlJc w:val="left"/>
      <w:pPr>
        <w:ind w:left="720" w:hanging="360"/>
      </w:pPr>
      <w:rPr>
        <w:rFonts w:ascii="Calibri" w:hAnsi="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8" w15:restartNumberingAfterBreak="0">
    <w:nsid w:val="36603771"/>
    <w:multiLevelType w:val="hybridMultilevel"/>
    <w:tmpl w:val="45869E52"/>
    <w:lvl w:ilvl="0" w:tplc="C1C2A830">
      <w:start w:val="1"/>
      <w:numFmt w:val="bullet"/>
      <w:lvlText w:val="‐"/>
      <w:lvlJc w:val="left"/>
      <w:pPr>
        <w:ind w:left="720" w:hanging="360"/>
      </w:pPr>
      <w:rPr>
        <w:rFonts w:ascii="Calibri" w:hAnsi="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 w15:restartNumberingAfterBreak="0">
    <w:nsid w:val="37422FF4"/>
    <w:multiLevelType w:val="hybridMultilevel"/>
    <w:tmpl w:val="9D5A01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3B0874F3"/>
    <w:multiLevelType w:val="hybridMultilevel"/>
    <w:tmpl w:val="3860451C"/>
    <w:lvl w:ilvl="0" w:tplc="FFFFFFFF">
      <w:start w:val="1"/>
      <w:numFmt w:val="decimal"/>
      <w:pStyle w:val="IPPHdg1Num"/>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1" w15:restartNumberingAfterBreak="0">
    <w:nsid w:val="3D4543F1"/>
    <w:multiLevelType w:val="hybridMultilevel"/>
    <w:tmpl w:val="FC7E040C"/>
    <w:lvl w:ilvl="0" w:tplc="F0B4E928">
      <w:start w:val="3"/>
      <w:numFmt w:val="bullet"/>
      <w:lvlText w:val="-"/>
      <w:lvlJc w:val="left"/>
      <w:pPr>
        <w:ind w:left="720" w:hanging="360"/>
      </w:pPr>
      <w:rPr>
        <w:rFonts w:ascii="Times New Roman" w:eastAsia="Times"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467071CE"/>
    <w:multiLevelType w:val="multilevel"/>
    <w:tmpl w:val="D56E9BA2"/>
    <w:lvl w:ilvl="0">
      <w:start w:val="1"/>
      <w:numFmt w:val="decimal"/>
      <w:lvlText w:val="(%1)"/>
      <w:lvlJc w:val="left"/>
      <w:pPr>
        <w:tabs>
          <w:tab w:val="num" w:pos="567"/>
        </w:tabs>
        <w:ind w:left="567" w:hanging="567"/>
      </w:pPr>
      <w:rPr>
        <w:rFonts w:ascii="Times New Roman" w:hAnsi="Times New Roman" w:hint="default"/>
        <w:b w:val="0"/>
        <w:i w:val="0"/>
        <w:sz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3" w15:restartNumberingAfterBreak="0">
    <w:nsid w:val="4CB73C54"/>
    <w:multiLevelType w:val="hybridMultilevel"/>
    <w:tmpl w:val="2D3E1C2A"/>
    <w:lvl w:ilvl="0" w:tplc="04100017">
      <w:start w:val="1"/>
      <w:numFmt w:val="lowerLetter"/>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44" w15:restartNumberingAfterBreak="0">
    <w:nsid w:val="53A776E5"/>
    <w:multiLevelType w:val="hybridMultilevel"/>
    <w:tmpl w:val="E73EF442"/>
    <w:lvl w:ilvl="0" w:tplc="9B64C2C4">
      <w:start w:val="1"/>
      <w:numFmt w:val="bullet"/>
      <w:pStyle w:val="IPPBullet1Last"/>
      <w:lvlText w:val="-"/>
      <w:lvlJc w:val="left"/>
      <w:pPr>
        <w:tabs>
          <w:tab w:val="num" w:pos="567"/>
        </w:tabs>
        <w:ind w:left="567" w:hanging="567"/>
      </w:pPr>
      <w:rPr>
        <w:rFonts w:ascii="Times New Roman" w:hAnsi="Times New Roman" w:hint="default"/>
        <w:b w:val="0"/>
        <w:i w:val="0"/>
        <w:color w:val="auto"/>
        <w:sz w:val="22"/>
      </w:rPr>
    </w:lvl>
    <w:lvl w:ilvl="1" w:tplc="04090019" w:tentative="1">
      <w:start w:val="1"/>
      <w:numFmt w:val="bullet"/>
      <w:lvlText w:val="o"/>
      <w:lvlJc w:val="left"/>
      <w:pPr>
        <w:ind w:left="1440" w:hanging="360"/>
      </w:pPr>
      <w:rPr>
        <w:rFonts w:ascii="Courier New" w:hAnsi="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45" w15:restartNumberingAfterBreak="0">
    <w:nsid w:val="53E41640"/>
    <w:multiLevelType w:val="multilevel"/>
    <w:tmpl w:val="9BF46330"/>
    <w:lvl w:ilvl="0">
      <w:start w:val="5"/>
      <w:numFmt w:val="decimal"/>
      <w:lvlText w:val="%1."/>
      <w:lvlJc w:val="left"/>
      <w:pPr>
        <w:ind w:left="1385" w:hanging="567"/>
      </w:pPr>
      <w:rPr>
        <w:rFonts w:ascii="Times New Roman" w:eastAsia="Times New Roman" w:hAnsi="Times New Roman" w:cs="Times New Roman" w:hint="default"/>
        <w:b/>
        <w:bCs/>
        <w:w w:val="100"/>
        <w:sz w:val="24"/>
        <w:szCs w:val="24"/>
      </w:rPr>
    </w:lvl>
    <w:lvl w:ilvl="1">
      <w:start w:val="1"/>
      <w:numFmt w:val="decimal"/>
      <w:lvlText w:val="%1.%2"/>
      <w:lvlJc w:val="left"/>
      <w:pPr>
        <w:ind w:left="1385" w:hanging="567"/>
      </w:pPr>
      <w:rPr>
        <w:rFonts w:ascii="Times New Roman" w:eastAsia="Times New Roman" w:hAnsi="Times New Roman" w:cs="Times New Roman" w:hint="default"/>
        <w:b/>
        <w:bCs/>
        <w:w w:val="100"/>
        <w:sz w:val="24"/>
        <w:szCs w:val="24"/>
      </w:rPr>
    </w:lvl>
    <w:lvl w:ilvl="2">
      <w:start w:val="1"/>
      <w:numFmt w:val="decimal"/>
      <w:lvlText w:val="%1.%2.%3"/>
      <w:lvlJc w:val="left"/>
      <w:pPr>
        <w:ind w:left="993" w:hanging="567"/>
      </w:pPr>
      <w:rPr>
        <w:rFonts w:ascii="Times New Roman" w:eastAsia="Times New Roman" w:hAnsi="Times New Roman" w:cs="Times New Roman" w:hint="default"/>
        <w:b/>
        <w:bCs/>
        <w:w w:val="100"/>
        <w:sz w:val="22"/>
        <w:szCs w:val="22"/>
      </w:rPr>
    </w:lvl>
    <w:lvl w:ilvl="3">
      <w:start w:val="1"/>
      <w:numFmt w:val="decimal"/>
      <w:lvlText w:val="%1.%2.%3.%4"/>
      <w:lvlJc w:val="left"/>
      <w:pPr>
        <w:ind w:left="1538" w:hanging="720"/>
      </w:pPr>
      <w:rPr>
        <w:rFonts w:ascii="Times New Roman" w:eastAsia="Times New Roman" w:hAnsi="Times New Roman" w:cs="Times New Roman" w:hint="default"/>
        <w:b/>
        <w:bCs/>
        <w:i/>
        <w:iCs/>
        <w:w w:val="100"/>
        <w:sz w:val="22"/>
        <w:szCs w:val="22"/>
      </w:rPr>
    </w:lvl>
    <w:lvl w:ilvl="4">
      <w:numFmt w:val="bullet"/>
      <w:lvlText w:val="•"/>
      <w:lvlJc w:val="left"/>
      <w:pPr>
        <w:ind w:left="4702" w:hanging="720"/>
      </w:pPr>
      <w:rPr>
        <w:rFonts w:hint="default"/>
      </w:rPr>
    </w:lvl>
    <w:lvl w:ilvl="5">
      <w:numFmt w:val="bullet"/>
      <w:lvlText w:val="•"/>
      <w:lvlJc w:val="left"/>
      <w:pPr>
        <w:ind w:left="5756" w:hanging="720"/>
      </w:pPr>
      <w:rPr>
        <w:rFonts w:hint="default"/>
      </w:rPr>
    </w:lvl>
    <w:lvl w:ilvl="6">
      <w:numFmt w:val="bullet"/>
      <w:lvlText w:val="•"/>
      <w:lvlJc w:val="left"/>
      <w:pPr>
        <w:ind w:left="6810" w:hanging="720"/>
      </w:pPr>
      <w:rPr>
        <w:rFonts w:hint="default"/>
      </w:rPr>
    </w:lvl>
    <w:lvl w:ilvl="7">
      <w:numFmt w:val="bullet"/>
      <w:lvlText w:val="•"/>
      <w:lvlJc w:val="left"/>
      <w:pPr>
        <w:ind w:left="7864" w:hanging="720"/>
      </w:pPr>
      <w:rPr>
        <w:rFonts w:hint="default"/>
      </w:rPr>
    </w:lvl>
    <w:lvl w:ilvl="8">
      <w:numFmt w:val="bullet"/>
      <w:lvlText w:val="•"/>
      <w:lvlJc w:val="left"/>
      <w:pPr>
        <w:ind w:left="8918" w:hanging="720"/>
      </w:pPr>
      <w:rPr>
        <w:rFonts w:hint="default"/>
      </w:rPr>
    </w:lvl>
  </w:abstractNum>
  <w:abstractNum w:abstractNumId="46" w15:restartNumberingAfterBreak="0">
    <w:nsid w:val="54284DB5"/>
    <w:multiLevelType w:val="hybridMultilevel"/>
    <w:tmpl w:val="6DFA92FC"/>
    <w:lvl w:ilvl="0" w:tplc="040B0001">
      <w:start w:val="8"/>
      <w:numFmt w:val="bullet"/>
      <w:lvlText w:val=""/>
      <w:lvlJc w:val="left"/>
      <w:pPr>
        <w:ind w:left="720" w:hanging="360"/>
      </w:pPr>
      <w:rPr>
        <w:rFonts w:ascii="Symbol" w:eastAsia="Times New Roman" w:hAnsi="Symbol" w:cs="Times New Roman"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47" w15:restartNumberingAfterBreak="0">
    <w:nsid w:val="560662B7"/>
    <w:multiLevelType w:val="hybridMultilevel"/>
    <w:tmpl w:val="5E08D1D8"/>
    <w:lvl w:ilvl="0" w:tplc="F0B4E928">
      <w:start w:val="3"/>
      <w:numFmt w:val="bullet"/>
      <w:lvlText w:val="-"/>
      <w:lvlJc w:val="left"/>
      <w:pPr>
        <w:ind w:left="720" w:hanging="360"/>
      </w:pPr>
      <w:rPr>
        <w:rFonts w:ascii="Times New Roman" w:eastAsia="Times"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8" w15:restartNumberingAfterBreak="0">
    <w:nsid w:val="56B067F7"/>
    <w:multiLevelType w:val="hybridMultilevel"/>
    <w:tmpl w:val="BEC62FE4"/>
    <w:lvl w:ilvl="0" w:tplc="C1C2A830">
      <w:start w:val="1"/>
      <w:numFmt w:val="bullet"/>
      <w:lvlText w:val="‐"/>
      <w:lvlJc w:val="left"/>
      <w:pPr>
        <w:ind w:left="238" w:hanging="360"/>
      </w:pPr>
      <w:rPr>
        <w:rFonts w:ascii="Calibri" w:hAnsi="Calibri" w:hint="default"/>
      </w:rPr>
    </w:lvl>
    <w:lvl w:ilvl="1" w:tplc="04100003" w:tentative="1">
      <w:start w:val="1"/>
      <w:numFmt w:val="bullet"/>
      <w:lvlText w:val="o"/>
      <w:lvlJc w:val="left"/>
      <w:pPr>
        <w:ind w:left="958" w:hanging="360"/>
      </w:pPr>
      <w:rPr>
        <w:rFonts w:ascii="Courier New" w:hAnsi="Courier New" w:cs="Courier New" w:hint="default"/>
      </w:rPr>
    </w:lvl>
    <w:lvl w:ilvl="2" w:tplc="04100005" w:tentative="1">
      <w:start w:val="1"/>
      <w:numFmt w:val="bullet"/>
      <w:lvlText w:val=""/>
      <w:lvlJc w:val="left"/>
      <w:pPr>
        <w:ind w:left="1678" w:hanging="360"/>
      </w:pPr>
      <w:rPr>
        <w:rFonts w:ascii="Wingdings" w:hAnsi="Wingdings" w:hint="default"/>
      </w:rPr>
    </w:lvl>
    <w:lvl w:ilvl="3" w:tplc="04100001" w:tentative="1">
      <w:start w:val="1"/>
      <w:numFmt w:val="bullet"/>
      <w:lvlText w:val=""/>
      <w:lvlJc w:val="left"/>
      <w:pPr>
        <w:ind w:left="2398" w:hanging="360"/>
      </w:pPr>
      <w:rPr>
        <w:rFonts w:ascii="Symbol" w:hAnsi="Symbol" w:hint="default"/>
      </w:rPr>
    </w:lvl>
    <w:lvl w:ilvl="4" w:tplc="04100003" w:tentative="1">
      <w:start w:val="1"/>
      <w:numFmt w:val="bullet"/>
      <w:lvlText w:val="o"/>
      <w:lvlJc w:val="left"/>
      <w:pPr>
        <w:ind w:left="3118" w:hanging="360"/>
      </w:pPr>
      <w:rPr>
        <w:rFonts w:ascii="Courier New" w:hAnsi="Courier New" w:cs="Courier New" w:hint="default"/>
      </w:rPr>
    </w:lvl>
    <w:lvl w:ilvl="5" w:tplc="04100005" w:tentative="1">
      <w:start w:val="1"/>
      <w:numFmt w:val="bullet"/>
      <w:lvlText w:val=""/>
      <w:lvlJc w:val="left"/>
      <w:pPr>
        <w:ind w:left="3838" w:hanging="360"/>
      </w:pPr>
      <w:rPr>
        <w:rFonts w:ascii="Wingdings" w:hAnsi="Wingdings" w:hint="default"/>
      </w:rPr>
    </w:lvl>
    <w:lvl w:ilvl="6" w:tplc="04100001" w:tentative="1">
      <w:start w:val="1"/>
      <w:numFmt w:val="bullet"/>
      <w:lvlText w:val=""/>
      <w:lvlJc w:val="left"/>
      <w:pPr>
        <w:ind w:left="4558" w:hanging="360"/>
      </w:pPr>
      <w:rPr>
        <w:rFonts w:ascii="Symbol" w:hAnsi="Symbol" w:hint="default"/>
      </w:rPr>
    </w:lvl>
    <w:lvl w:ilvl="7" w:tplc="04100003" w:tentative="1">
      <w:start w:val="1"/>
      <w:numFmt w:val="bullet"/>
      <w:lvlText w:val="o"/>
      <w:lvlJc w:val="left"/>
      <w:pPr>
        <w:ind w:left="5278" w:hanging="360"/>
      </w:pPr>
      <w:rPr>
        <w:rFonts w:ascii="Courier New" w:hAnsi="Courier New" w:cs="Courier New" w:hint="default"/>
      </w:rPr>
    </w:lvl>
    <w:lvl w:ilvl="8" w:tplc="04100005" w:tentative="1">
      <w:start w:val="1"/>
      <w:numFmt w:val="bullet"/>
      <w:lvlText w:val=""/>
      <w:lvlJc w:val="left"/>
      <w:pPr>
        <w:ind w:left="5998" w:hanging="360"/>
      </w:pPr>
      <w:rPr>
        <w:rFonts w:ascii="Wingdings" w:hAnsi="Wingdings" w:hint="default"/>
      </w:rPr>
    </w:lvl>
  </w:abstractNum>
  <w:abstractNum w:abstractNumId="49" w15:restartNumberingAfterBreak="0">
    <w:nsid w:val="65AE0D6D"/>
    <w:multiLevelType w:val="hybridMultilevel"/>
    <w:tmpl w:val="4FE224AA"/>
    <w:lvl w:ilvl="0" w:tplc="462A3BA6">
      <w:start w:val="1"/>
      <w:numFmt w:val="lowerLetter"/>
      <w:pStyle w:val="IPPLetterList"/>
      <w:lvlText w:val="(%1)"/>
      <w:lvlJc w:val="left"/>
      <w:pPr>
        <w:tabs>
          <w:tab w:val="num" w:pos="1134"/>
        </w:tabs>
        <w:ind w:left="1134" w:hanging="567"/>
      </w:pPr>
      <w:rPr>
        <w:rFonts w:ascii="Times New Roman" w:hAnsi="Times New Roman" w:hint="default"/>
        <w:b w:val="0"/>
        <w:i w:val="0"/>
        <w:color w:val="auto"/>
        <w:sz w:val="22"/>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65BA4B44"/>
    <w:multiLevelType w:val="hybridMultilevel"/>
    <w:tmpl w:val="E6387BDA"/>
    <w:lvl w:ilvl="0" w:tplc="ED3E1744">
      <w:start w:val="2"/>
      <w:numFmt w:val="bullet"/>
      <w:lvlText w:val="-"/>
      <w:lvlJc w:val="left"/>
      <w:pPr>
        <w:ind w:left="720" w:hanging="360"/>
      </w:pPr>
      <w:rPr>
        <w:rFonts w:ascii="Times New Roman" w:eastAsia="Times New Roman" w:hAnsi="Times New Roman" w:cs="Times New Roman"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51" w15:restartNumberingAfterBreak="0">
    <w:nsid w:val="661A52B6"/>
    <w:multiLevelType w:val="hybridMultilevel"/>
    <w:tmpl w:val="8F6C9E92"/>
    <w:lvl w:ilvl="0" w:tplc="992824E4">
      <w:start w:val="3"/>
      <w:numFmt w:val="bullet"/>
      <w:lvlText w:val="−"/>
      <w:lvlJc w:val="left"/>
      <w:pPr>
        <w:ind w:left="720" w:hanging="360"/>
      </w:pPr>
      <w:rPr>
        <w:rFonts w:ascii="Times New Roman" w:eastAsia="Times New Roman" w:hAnsi="Times New Roman" w:cs="Times New Roman"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52" w15:restartNumberingAfterBreak="0">
    <w:nsid w:val="66F21406"/>
    <w:multiLevelType w:val="hybridMultilevel"/>
    <w:tmpl w:val="00A646EA"/>
    <w:lvl w:ilvl="0" w:tplc="2ADA3A9A">
      <w:start w:val="1"/>
      <w:numFmt w:val="lowerLetter"/>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53" w15:restartNumberingAfterBreak="0">
    <w:nsid w:val="6917769C"/>
    <w:multiLevelType w:val="hybridMultilevel"/>
    <w:tmpl w:val="FFBC704A"/>
    <w:lvl w:ilvl="0" w:tplc="0410000F">
      <w:start w:val="1"/>
      <w:numFmt w:val="decimal"/>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54" w15:restartNumberingAfterBreak="0">
    <w:nsid w:val="6A354E39"/>
    <w:multiLevelType w:val="hybridMultilevel"/>
    <w:tmpl w:val="52EA3E24"/>
    <w:lvl w:ilvl="0" w:tplc="34EC9708">
      <w:numFmt w:val="bullet"/>
      <w:pStyle w:val="IPPBullet1"/>
      <w:lvlText w:val="-"/>
      <w:lvlJc w:val="left"/>
      <w:pPr>
        <w:ind w:left="720" w:hanging="360"/>
      </w:pPr>
      <w:rPr>
        <w:rFonts w:ascii="Times New Roman" w:eastAsia="Calibr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6A411AC4"/>
    <w:multiLevelType w:val="multilevel"/>
    <w:tmpl w:val="6AB416EC"/>
    <w:lvl w:ilvl="0">
      <w:start w:val="1"/>
      <w:numFmt w:val="decimal"/>
      <w:lvlText w:val="%1."/>
      <w:lvlJc w:val="left"/>
      <w:pPr>
        <w:ind w:left="1385" w:hanging="567"/>
      </w:pPr>
      <w:rPr>
        <w:rFonts w:ascii="Times New Roman" w:eastAsia="Times New Roman" w:hAnsi="Times New Roman" w:cs="Times New Roman" w:hint="default"/>
        <w:b/>
        <w:bCs/>
        <w:w w:val="100"/>
        <w:sz w:val="24"/>
        <w:szCs w:val="24"/>
        <w:lang w:val="en-US" w:eastAsia="en-US" w:bidi="ar-SA"/>
      </w:rPr>
    </w:lvl>
    <w:lvl w:ilvl="1">
      <w:start w:val="1"/>
      <w:numFmt w:val="decimal"/>
      <w:lvlText w:val="%1.%2"/>
      <w:lvlJc w:val="left"/>
      <w:pPr>
        <w:ind w:left="1385" w:hanging="567"/>
      </w:pPr>
      <w:rPr>
        <w:rFonts w:ascii="Times New Roman" w:eastAsia="Times New Roman" w:hAnsi="Times New Roman" w:cs="Times New Roman" w:hint="default"/>
        <w:b/>
        <w:bCs/>
        <w:w w:val="100"/>
        <w:sz w:val="24"/>
        <w:szCs w:val="24"/>
        <w:lang w:val="en-US" w:eastAsia="en-US" w:bidi="ar-SA"/>
      </w:rPr>
    </w:lvl>
    <w:lvl w:ilvl="2">
      <w:start w:val="1"/>
      <w:numFmt w:val="decimal"/>
      <w:lvlText w:val="%1.%2.%3"/>
      <w:lvlJc w:val="left"/>
      <w:pPr>
        <w:ind w:left="1385" w:hanging="567"/>
      </w:pPr>
      <w:rPr>
        <w:rFonts w:ascii="Times New Roman" w:eastAsia="Times New Roman" w:hAnsi="Times New Roman" w:cs="Times New Roman" w:hint="default"/>
        <w:b/>
        <w:bCs/>
        <w:w w:val="100"/>
        <w:sz w:val="24"/>
        <w:szCs w:val="24"/>
        <w:lang w:val="en-US" w:eastAsia="en-US" w:bidi="ar-SA"/>
      </w:rPr>
    </w:lvl>
    <w:lvl w:ilvl="3">
      <w:start w:val="1"/>
      <w:numFmt w:val="decimal"/>
      <w:lvlText w:val="%1.%2.%3.%4"/>
      <w:lvlJc w:val="left"/>
      <w:pPr>
        <w:ind w:left="1538" w:hanging="720"/>
      </w:pPr>
      <w:rPr>
        <w:rFonts w:ascii="Times New Roman" w:eastAsia="Times New Roman" w:hAnsi="Times New Roman" w:cs="Times New Roman" w:hint="default"/>
        <w:b/>
        <w:bCs/>
        <w:i/>
        <w:iCs/>
        <w:w w:val="100"/>
        <w:sz w:val="22"/>
        <w:szCs w:val="22"/>
        <w:lang w:val="en-US" w:eastAsia="en-US" w:bidi="ar-SA"/>
      </w:rPr>
    </w:lvl>
    <w:lvl w:ilvl="4">
      <w:numFmt w:val="bullet"/>
      <w:lvlText w:val="•"/>
      <w:lvlJc w:val="left"/>
      <w:pPr>
        <w:ind w:left="4702" w:hanging="720"/>
      </w:pPr>
      <w:rPr>
        <w:rFonts w:hint="default"/>
        <w:lang w:val="en-US" w:eastAsia="en-US" w:bidi="ar-SA"/>
      </w:rPr>
    </w:lvl>
    <w:lvl w:ilvl="5">
      <w:numFmt w:val="bullet"/>
      <w:lvlText w:val="•"/>
      <w:lvlJc w:val="left"/>
      <w:pPr>
        <w:ind w:left="5756" w:hanging="720"/>
      </w:pPr>
      <w:rPr>
        <w:rFonts w:hint="default"/>
        <w:lang w:val="en-US" w:eastAsia="en-US" w:bidi="ar-SA"/>
      </w:rPr>
    </w:lvl>
    <w:lvl w:ilvl="6">
      <w:numFmt w:val="bullet"/>
      <w:lvlText w:val="•"/>
      <w:lvlJc w:val="left"/>
      <w:pPr>
        <w:ind w:left="6810" w:hanging="720"/>
      </w:pPr>
      <w:rPr>
        <w:rFonts w:hint="default"/>
        <w:lang w:val="en-US" w:eastAsia="en-US" w:bidi="ar-SA"/>
      </w:rPr>
    </w:lvl>
    <w:lvl w:ilvl="7">
      <w:numFmt w:val="bullet"/>
      <w:lvlText w:val="•"/>
      <w:lvlJc w:val="left"/>
      <w:pPr>
        <w:ind w:left="7864" w:hanging="720"/>
      </w:pPr>
      <w:rPr>
        <w:rFonts w:hint="default"/>
        <w:lang w:val="en-US" w:eastAsia="en-US" w:bidi="ar-SA"/>
      </w:rPr>
    </w:lvl>
    <w:lvl w:ilvl="8">
      <w:numFmt w:val="bullet"/>
      <w:lvlText w:val="•"/>
      <w:lvlJc w:val="left"/>
      <w:pPr>
        <w:ind w:left="8918" w:hanging="720"/>
      </w:pPr>
      <w:rPr>
        <w:rFonts w:hint="default"/>
        <w:lang w:val="en-US" w:eastAsia="en-US" w:bidi="ar-SA"/>
      </w:rPr>
    </w:lvl>
  </w:abstractNum>
  <w:abstractNum w:abstractNumId="56" w15:restartNumberingAfterBreak="0">
    <w:nsid w:val="6B927BA5"/>
    <w:multiLevelType w:val="multilevel"/>
    <w:tmpl w:val="6AB416EC"/>
    <w:lvl w:ilvl="0">
      <w:start w:val="1"/>
      <w:numFmt w:val="decimal"/>
      <w:lvlText w:val="%1."/>
      <w:lvlJc w:val="left"/>
      <w:pPr>
        <w:ind w:left="1385" w:hanging="567"/>
      </w:pPr>
      <w:rPr>
        <w:rFonts w:ascii="Times New Roman" w:eastAsia="Times New Roman" w:hAnsi="Times New Roman" w:cs="Times New Roman" w:hint="default"/>
        <w:b/>
        <w:bCs/>
        <w:w w:val="100"/>
        <w:sz w:val="24"/>
        <w:szCs w:val="24"/>
        <w:lang w:val="en-US" w:eastAsia="en-US" w:bidi="ar-SA"/>
      </w:rPr>
    </w:lvl>
    <w:lvl w:ilvl="1">
      <w:start w:val="1"/>
      <w:numFmt w:val="decimal"/>
      <w:lvlText w:val="%1.%2"/>
      <w:lvlJc w:val="left"/>
      <w:pPr>
        <w:ind w:left="1385" w:hanging="567"/>
      </w:pPr>
      <w:rPr>
        <w:rFonts w:ascii="Times New Roman" w:eastAsia="Times New Roman" w:hAnsi="Times New Roman" w:cs="Times New Roman" w:hint="default"/>
        <w:b/>
        <w:bCs/>
        <w:w w:val="100"/>
        <w:sz w:val="24"/>
        <w:szCs w:val="24"/>
        <w:lang w:val="en-US" w:eastAsia="en-US" w:bidi="ar-SA"/>
      </w:rPr>
    </w:lvl>
    <w:lvl w:ilvl="2">
      <w:start w:val="1"/>
      <w:numFmt w:val="decimal"/>
      <w:lvlText w:val="%1.%2.%3"/>
      <w:lvlJc w:val="left"/>
      <w:pPr>
        <w:ind w:left="1385" w:hanging="567"/>
      </w:pPr>
      <w:rPr>
        <w:rFonts w:ascii="Times New Roman" w:eastAsia="Times New Roman" w:hAnsi="Times New Roman" w:cs="Times New Roman" w:hint="default"/>
        <w:b/>
        <w:bCs/>
        <w:w w:val="100"/>
        <w:sz w:val="24"/>
        <w:szCs w:val="24"/>
        <w:lang w:val="en-US" w:eastAsia="en-US" w:bidi="ar-SA"/>
      </w:rPr>
    </w:lvl>
    <w:lvl w:ilvl="3">
      <w:start w:val="1"/>
      <w:numFmt w:val="decimal"/>
      <w:lvlText w:val="%1.%2.%3.%4"/>
      <w:lvlJc w:val="left"/>
      <w:pPr>
        <w:ind w:left="1538" w:hanging="720"/>
      </w:pPr>
      <w:rPr>
        <w:rFonts w:ascii="Times New Roman" w:eastAsia="Times New Roman" w:hAnsi="Times New Roman" w:cs="Times New Roman" w:hint="default"/>
        <w:b/>
        <w:bCs/>
        <w:i/>
        <w:iCs/>
        <w:w w:val="100"/>
        <w:sz w:val="22"/>
        <w:szCs w:val="22"/>
        <w:lang w:val="en-US" w:eastAsia="en-US" w:bidi="ar-SA"/>
      </w:rPr>
    </w:lvl>
    <w:lvl w:ilvl="4">
      <w:numFmt w:val="bullet"/>
      <w:lvlText w:val="•"/>
      <w:lvlJc w:val="left"/>
      <w:pPr>
        <w:ind w:left="4702" w:hanging="720"/>
      </w:pPr>
      <w:rPr>
        <w:rFonts w:hint="default"/>
        <w:lang w:val="en-US" w:eastAsia="en-US" w:bidi="ar-SA"/>
      </w:rPr>
    </w:lvl>
    <w:lvl w:ilvl="5">
      <w:numFmt w:val="bullet"/>
      <w:lvlText w:val="•"/>
      <w:lvlJc w:val="left"/>
      <w:pPr>
        <w:ind w:left="5756" w:hanging="720"/>
      </w:pPr>
      <w:rPr>
        <w:rFonts w:hint="default"/>
        <w:lang w:val="en-US" w:eastAsia="en-US" w:bidi="ar-SA"/>
      </w:rPr>
    </w:lvl>
    <w:lvl w:ilvl="6">
      <w:numFmt w:val="bullet"/>
      <w:lvlText w:val="•"/>
      <w:lvlJc w:val="left"/>
      <w:pPr>
        <w:ind w:left="6810" w:hanging="720"/>
      </w:pPr>
      <w:rPr>
        <w:rFonts w:hint="default"/>
        <w:lang w:val="en-US" w:eastAsia="en-US" w:bidi="ar-SA"/>
      </w:rPr>
    </w:lvl>
    <w:lvl w:ilvl="7">
      <w:numFmt w:val="bullet"/>
      <w:lvlText w:val="•"/>
      <w:lvlJc w:val="left"/>
      <w:pPr>
        <w:ind w:left="7864" w:hanging="720"/>
      </w:pPr>
      <w:rPr>
        <w:rFonts w:hint="default"/>
        <w:lang w:val="en-US" w:eastAsia="en-US" w:bidi="ar-SA"/>
      </w:rPr>
    </w:lvl>
    <w:lvl w:ilvl="8">
      <w:numFmt w:val="bullet"/>
      <w:lvlText w:val="•"/>
      <w:lvlJc w:val="left"/>
      <w:pPr>
        <w:ind w:left="8918" w:hanging="720"/>
      </w:pPr>
      <w:rPr>
        <w:rFonts w:hint="default"/>
        <w:lang w:val="en-US" w:eastAsia="en-US" w:bidi="ar-SA"/>
      </w:rPr>
    </w:lvl>
  </w:abstractNum>
  <w:abstractNum w:abstractNumId="57" w15:restartNumberingAfterBreak="0">
    <w:nsid w:val="6C3B4F51"/>
    <w:multiLevelType w:val="hybridMultilevel"/>
    <w:tmpl w:val="754E987C"/>
    <w:lvl w:ilvl="0" w:tplc="C1C2A830">
      <w:start w:val="1"/>
      <w:numFmt w:val="bullet"/>
      <w:lvlText w:val="‐"/>
      <w:lvlJc w:val="left"/>
      <w:pPr>
        <w:ind w:left="720" w:hanging="360"/>
      </w:pPr>
      <w:rPr>
        <w:rFonts w:ascii="Calibri" w:hAnsi="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8" w15:restartNumberingAfterBreak="0">
    <w:nsid w:val="71B914F1"/>
    <w:multiLevelType w:val="hybridMultilevel"/>
    <w:tmpl w:val="43D6B51A"/>
    <w:lvl w:ilvl="0" w:tplc="36FCB1F0">
      <w:numFmt w:val="bullet"/>
      <w:lvlText w:val="-"/>
      <w:lvlJc w:val="left"/>
      <w:pPr>
        <w:ind w:left="108" w:hanging="111"/>
      </w:pPr>
      <w:rPr>
        <w:rFonts w:ascii="Arial MT" w:eastAsia="Arial MT" w:hAnsi="Arial MT" w:cs="Arial MT" w:hint="default"/>
        <w:w w:val="99"/>
        <w:sz w:val="18"/>
        <w:szCs w:val="18"/>
        <w:lang w:val="en-US" w:eastAsia="en-US" w:bidi="ar-SA"/>
      </w:rPr>
    </w:lvl>
    <w:lvl w:ilvl="1" w:tplc="D27A3DC6">
      <w:numFmt w:val="bullet"/>
      <w:lvlText w:val="•"/>
      <w:lvlJc w:val="left"/>
      <w:pPr>
        <w:ind w:left="718" w:hanging="111"/>
      </w:pPr>
      <w:rPr>
        <w:rFonts w:hint="default"/>
        <w:lang w:val="en-US" w:eastAsia="en-US" w:bidi="ar-SA"/>
      </w:rPr>
    </w:lvl>
    <w:lvl w:ilvl="2" w:tplc="52FA98F6">
      <w:numFmt w:val="bullet"/>
      <w:lvlText w:val="•"/>
      <w:lvlJc w:val="left"/>
      <w:pPr>
        <w:ind w:left="1337" w:hanging="111"/>
      </w:pPr>
      <w:rPr>
        <w:rFonts w:hint="default"/>
        <w:lang w:val="en-US" w:eastAsia="en-US" w:bidi="ar-SA"/>
      </w:rPr>
    </w:lvl>
    <w:lvl w:ilvl="3" w:tplc="90FCAA7E">
      <w:numFmt w:val="bullet"/>
      <w:lvlText w:val="•"/>
      <w:lvlJc w:val="left"/>
      <w:pPr>
        <w:ind w:left="1956" w:hanging="111"/>
      </w:pPr>
      <w:rPr>
        <w:rFonts w:hint="default"/>
        <w:lang w:val="en-US" w:eastAsia="en-US" w:bidi="ar-SA"/>
      </w:rPr>
    </w:lvl>
    <w:lvl w:ilvl="4" w:tplc="28BC12BE">
      <w:numFmt w:val="bullet"/>
      <w:lvlText w:val="•"/>
      <w:lvlJc w:val="left"/>
      <w:pPr>
        <w:ind w:left="2575" w:hanging="111"/>
      </w:pPr>
      <w:rPr>
        <w:rFonts w:hint="default"/>
        <w:lang w:val="en-US" w:eastAsia="en-US" w:bidi="ar-SA"/>
      </w:rPr>
    </w:lvl>
    <w:lvl w:ilvl="5" w:tplc="7350518C">
      <w:numFmt w:val="bullet"/>
      <w:lvlText w:val="•"/>
      <w:lvlJc w:val="left"/>
      <w:pPr>
        <w:ind w:left="3194" w:hanging="111"/>
      </w:pPr>
      <w:rPr>
        <w:rFonts w:hint="default"/>
        <w:lang w:val="en-US" w:eastAsia="en-US" w:bidi="ar-SA"/>
      </w:rPr>
    </w:lvl>
    <w:lvl w:ilvl="6" w:tplc="BF408ED0">
      <w:numFmt w:val="bullet"/>
      <w:lvlText w:val="•"/>
      <w:lvlJc w:val="left"/>
      <w:pPr>
        <w:ind w:left="3813" w:hanging="111"/>
      </w:pPr>
      <w:rPr>
        <w:rFonts w:hint="default"/>
        <w:lang w:val="en-US" w:eastAsia="en-US" w:bidi="ar-SA"/>
      </w:rPr>
    </w:lvl>
    <w:lvl w:ilvl="7" w:tplc="32E02312">
      <w:numFmt w:val="bullet"/>
      <w:lvlText w:val="•"/>
      <w:lvlJc w:val="left"/>
      <w:pPr>
        <w:ind w:left="4432" w:hanging="111"/>
      </w:pPr>
      <w:rPr>
        <w:rFonts w:hint="default"/>
        <w:lang w:val="en-US" w:eastAsia="en-US" w:bidi="ar-SA"/>
      </w:rPr>
    </w:lvl>
    <w:lvl w:ilvl="8" w:tplc="D3B41F40">
      <w:numFmt w:val="bullet"/>
      <w:lvlText w:val="•"/>
      <w:lvlJc w:val="left"/>
      <w:pPr>
        <w:ind w:left="5051" w:hanging="111"/>
      </w:pPr>
      <w:rPr>
        <w:rFonts w:hint="default"/>
        <w:lang w:val="en-US" w:eastAsia="en-US" w:bidi="ar-SA"/>
      </w:rPr>
    </w:lvl>
  </w:abstractNum>
  <w:abstractNum w:abstractNumId="59" w15:restartNumberingAfterBreak="0">
    <w:nsid w:val="751D2757"/>
    <w:multiLevelType w:val="hybridMultilevel"/>
    <w:tmpl w:val="8E445FD4"/>
    <w:lvl w:ilvl="0" w:tplc="C4348534">
      <w:start w:val="1"/>
      <w:numFmt w:val="bullet"/>
      <w:pStyle w:val="IPPBullet2"/>
      <w:lvlText w:val=""/>
      <w:lvlJc w:val="left"/>
      <w:pPr>
        <w:ind w:left="927" w:hanging="360"/>
      </w:pPr>
      <w:rPr>
        <w:rFonts w:ascii="Symbol" w:hAnsi="Symbol" w:hint="default"/>
        <w:b w:val="0"/>
        <w:i w:val="0"/>
        <w:color w:val="auto"/>
        <w:sz w:val="22"/>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759349C4"/>
    <w:multiLevelType w:val="hybridMultilevel"/>
    <w:tmpl w:val="2C1A3F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15:restartNumberingAfterBreak="0">
    <w:nsid w:val="76E50659"/>
    <w:multiLevelType w:val="hybridMultilevel"/>
    <w:tmpl w:val="DDF47700"/>
    <w:lvl w:ilvl="0" w:tplc="CC404BF2">
      <w:start w:val="3"/>
      <w:numFmt w:val="bullet"/>
      <w:lvlText w:val="-"/>
      <w:lvlJc w:val="left"/>
      <w:pPr>
        <w:ind w:left="720" w:hanging="360"/>
      </w:pPr>
      <w:rPr>
        <w:rFonts w:ascii="Times New Roman" w:eastAsia="MS Mincho"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2" w15:restartNumberingAfterBreak="0">
    <w:nsid w:val="774C6E3F"/>
    <w:multiLevelType w:val="hybridMultilevel"/>
    <w:tmpl w:val="BB343D62"/>
    <w:lvl w:ilvl="0" w:tplc="5E00AC4C">
      <w:start w:val="9"/>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63" w15:restartNumberingAfterBreak="0">
    <w:nsid w:val="79A61CD3"/>
    <w:multiLevelType w:val="multilevel"/>
    <w:tmpl w:val="0A84B060"/>
    <w:lvl w:ilvl="0">
      <w:start w:val="3"/>
      <w:numFmt w:val="decimal"/>
      <w:lvlText w:val="%1"/>
      <w:lvlJc w:val="left"/>
      <w:pPr>
        <w:ind w:left="1385" w:hanging="567"/>
      </w:pPr>
      <w:rPr>
        <w:rFonts w:hint="default"/>
        <w:lang w:val="en-US" w:eastAsia="en-US" w:bidi="ar-SA"/>
      </w:rPr>
    </w:lvl>
    <w:lvl w:ilvl="1">
      <w:start w:val="6"/>
      <w:numFmt w:val="decimal"/>
      <w:lvlText w:val="%1.%2"/>
      <w:lvlJc w:val="left"/>
      <w:pPr>
        <w:ind w:left="1385" w:hanging="567"/>
      </w:pPr>
      <w:rPr>
        <w:rFonts w:hint="default"/>
        <w:lang w:val="en-US" w:eastAsia="en-US" w:bidi="ar-SA"/>
      </w:rPr>
    </w:lvl>
    <w:lvl w:ilvl="2">
      <w:start w:val="4"/>
      <w:numFmt w:val="decimal"/>
      <w:lvlText w:val="%1.%2.%3"/>
      <w:lvlJc w:val="left"/>
      <w:pPr>
        <w:ind w:left="1385" w:hanging="567"/>
      </w:pPr>
      <w:rPr>
        <w:rFonts w:ascii="Times New Roman" w:eastAsia="Times New Roman" w:hAnsi="Times New Roman" w:cs="Times New Roman" w:hint="default"/>
        <w:b/>
        <w:bCs/>
        <w:w w:val="100"/>
        <w:sz w:val="24"/>
        <w:szCs w:val="24"/>
        <w:lang w:val="en-US" w:eastAsia="en-US" w:bidi="ar-SA"/>
      </w:rPr>
    </w:lvl>
    <w:lvl w:ilvl="3">
      <w:numFmt w:val="bullet"/>
      <w:lvlText w:val="•"/>
      <w:lvlJc w:val="left"/>
      <w:pPr>
        <w:ind w:left="4273" w:hanging="567"/>
      </w:pPr>
      <w:rPr>
        <w:rFonts w:hint="default"/>
        <w:lang w:val="en-US" w:eastAsia="en-US" w:bidi="ar-SA"/>
      </w:rPr>
    </w:lvl>
    <w:lvl w:ilvl="4">
      <w:numFmt w:val="bullet"/>
      <w:lvlText w:val="•"/>
      <w:lvlJc w:val="left"/>
      <w:pPr>
        <w:ind w:left="5238" w:hanging="567"/>
      </w:pPr>
      <w:rPr>
        <w:rFonts w:hint="default"/>
        <w:lang w:val="en-US" w:eastAsia="en-US" w:bidi="ar-SA"/>
      </w:rPr>
    </w:lvl>
    <w:lvl w:ilvl="5">
      <w:numFmt w:val="bullet"/>
      <w:lvlText w:val="•"/>
      <w:lvlJc w:val="left"/>
      <w:pPr>
        <w:ind w:left="6203" w:hanging="567"/>
      </w:pPr>
      <w:rPr>
        <w:rFonts w:hint="default"/>
        <w:lang w:val="en-US" w:eastAsia="en-US" w:bidi="ar-SA"/>
      </w:rPr>
    </w:lvl>
    <w:lvl w:ilvl="6">
      <w:numFmt w:val="bullet"/>
      <w:lvlText w:val="•"/>
      <w:lvlJc w:val="left"/>
      <w:pPr>
        <w:ind w:left="7167" w:hanging="567"/>
      </w:pPr>
      <w:rPr>
        <w:rFonts w:hint="default"/>
        <w:lang w:val="en-US" w:eastAsia="en-US" w:bidi="ar-SA"/>
      </w:rPr>
    </w:lvl>
    <w:lvl w:ilvl="7">
      <w:numFmt w:val="bullet"/>
      <w:lvlText w:val="•"/>
      <w:lvlJc w:val="left"/>
      <w:pPr>
        <w:ind w:left="8132" w:hanging="567"/>
      </w:pPr>
      <w:rPr>
        <w:rFonts w:hint="default"/>
        <w:lang w:val="en-US" w:eastAsia="en-US" w:bidi="ar-SA"/>
      </w:rPr>
    </w:lvl>
    <w:lvl w:ilvl="8">
      <w:numFmt w:val="bullet"/>
      <w:lvlText w:val="•"/>
      <w:lvlJc w:val="left"/>
      <w:pPr>
        <w:ind w:left="9097" w:hanging="567"/>
      </w:pPr>
      <w:rPr>
        <w:rFonts w:hint="default"/>
        <w:lang w:val="en-US" w:eastAsia="en-US" w:bidi="ar-SA"/>
      </w:rPr>
    </w:lvl>
  </w:abstractNum>
  <w:abstractNum w:abstractNumId="64" w15:restartNumberingAfterBreak="0">
    <w:nsid w:val="7DCF3612"/>
    <w:multiLevelType w:val="hybridMultilevel"/>
    <w:tmpl w:val="F5E28C50"/>
    <w:lvl w:ilvl="0" w:tplc="F0B4E928">
      <w:start w:val="3"/>
      <w:numFmt w:val="bullet"/>
      <w:lvlText w:val="-"/>
      <w:lvlJc w:val="left"/>
      <w:pPr>
        <w:ind w:left="-122" w:hanging="360"/>
      </w:pPr>
      <w:rPr>
        <w:rFonts w:ascii="Times New Roman" w:eastAsia="Times" w:hAnsi="Times New Roman" w:cs="Times New Roman" w:hint="default"/>
      </w:rPr>
    </w:lvl>
    <w:lvl w:ilvl="1" w:tplc="F0B4E928">
      <w:start w:val="3"/>
      <w:numFmt w:val="bullet"/>
      <w:lvlText w:val="-"/>
      <w:lvlJc w:val="left"/>
      <w:pPr>
        <w:ind w:left="598" w:hanging="360"/>
      </w:pPr>
      <w:rPr>
        <w:rFonts w:ascii="Times New Roman" w:eastAsia="Times" w:hAnsi="Times New Roman" w:cs="Times New Roman" w:hint="default"/>
      </w:rPr>
    </w:lvl>
    <w:lvl w:ilvl="2" w:tplc="04090005" w:tentative="1">
      <w:start w:val="1"/>
      <w:numFmt w:val="bullet"/>
      <w:lvlText w:val=""/>
      <w:lvlJc w:val="left"/>
      <w:pPr>
        <w:ind w:left="1318" w:hanging="360"/>
      </w:pPr>
      <w:rPr>
        <w:rFonts w:ascii="Wingdings" w:hAnsi="Wingdings" w:hint="default"/>
      </w:rPr>
    </w:lvl>
    <w:lvl w:ilvl="3" w:tplc="04090001" w:tentative="1">
      <w:start w:val="1"/>
      <w:numFmt w:val="bullet"/>
      <w:lvlText w:val=""/>
      <w:lvlJc w:val="left"/>
      <w:pPr>
        <w:ind w:left="2038" w:hanging="360"/>
      </w:pPr>
      <w:rPr>
        <w:rFonts w:ascii="Symbol" w:hAnsi="Symbol" w:hint="default"/>
      </w:rPr>
    </w:lvl>
    <w:lvl w:ilvl="4" w:tplc="04090003" w:tentative="1">
      <w:start w:val="1"/>
      <w:numFmt w:val="bullet"/>
      <w:lvlText w:val="o"/>
      <w:lvlJc w:val="left"/>
      <w:pPr>
        <w:ind w:left="2758" w:hanging="360"/>
      </w:pPr>
      <w:rPr>
        <w:rFonts w:ascii="Courier New" w:hAnsi="Courier New" w:cs="Courier New" w:hint="default"/>
      </w:rPr>
    </w:lvl>
    <w:lvl w:ilvl="5" w:tplc="04090005" w:tentative="1">
      <w:start w:val="1"/>
      <w:numFmt w:val="bullet"/>
      <w:lvlText w:val=""/>
      <w:lvlJc w:val="left"/>
      <w:pPr>
        <w:ind w:left="3478" w:hanging="360"/>
      </w:pPr>
      <w:rPr>
        <w:rFonts w:ascii="Wingdings" w:hAnsi="Wingdings" w:hint="default"/>
      </w:rPr>
    </w:lvl>
    <w:lvl w:ilvl="6" w:tplc="04090001" w:tentative="1">
      <w:start w:val="1"/>
      <w:numFmt w:val="bullet"/>
      <w:lvlText w:val=""/>
      <w:lvlJc w:val="left"/>
      <w:pPr>
        <w:ind w:left="4198" w:hanging="360"/>
      </w:pPr>
      <w:rPr>
        <w:rFonts w:ascii="Symbol" w:hAnsi="Symbol" w:hint="default"/>
      </w:rPr>
    </w:lvl>
    <w:lvl w:ilvl="7" w:tplc="04090003" w:tentative="1">
      <w:start w:val="1"/>
      <w:numFmt w:val="bullet"/>
      <w:lvlText w:val="o"/>
      <w:lvlJc w:val="left"/>
      <w:pPr>
        <w:ind w:left="4918" w:hanging="360"/>
      </w:pPr>
      <w:rPr>
        <w:rFonts w:ascii="Courier New" w:hAnsi="Courier New" w:cs="Courier New" w:hint="default"/>
      </w:rPr>
    </w:lvl>
    <w:lvl w:ilvl="8" w:tplc="04090005" w:tentative="1">
      <w:start w:val="1"/>
      <w:numFmt w:val="bullet"/>
      <w:lvlText w:val=""/>
      <w:lvlJc w:val="left"/>
      <w:pPr>
        <w:ind w:left="5638" w:hanging="360"/>
      </w:pPr>
      <w:rPr>
        <w:rFonts w:ascii="Wingdings" w:hAnsi="Wingdings" w:hint="default"/>
      </w:rPr>
    </w:lvl>
  </w:abstractNum>
  <w:abstractNum w:abstractNumId="65" w15:restartNumberingAfterBreak="0">
    <w:nsid w:val="7E943ECD"/>
    <w:multiLevelType w:val="multilevel"/>
    <w:tmpl w:val="B55AE162"/>
    <w:lvl w:ilvl="0">
      <w:start w:val="1"/>
      <w:numFmt w:val="decimal"/>
      <w:lvlText w:val="%1."/>
      <w:lvlJc w:val="left"/>
      <w:pPr>
        <w:ind w:left="360" w:hanging="360"/>
      </w:pPr>
      <w:rPr>
        <w:rFonts w:hint="default"/>
      </w:rPr>
    </w:lvl>
    <w:lvl w:ilvl="1">
      <w:start w:val="1"/>
      <w:numFmt w:val="decimal"/>
      <w:pStyle w:val="IPPHdg2Num"/>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6" w15:restartNumberingAfterBreak="0">
    <w:nsid w:val="7EAC51A0"/>
    <w:multiLevelType w:val="multilevel"/>
    <w:tmpl w:val="46581966"/>
    <w:lvl w:ilvl="0">
      <w:start w:val="3"/>
      <w:numFmt w:val="decimal"/>
      <w:lvlText w:val="%1."/>
      <w:lvlJc w:val="left"/>
      <w:pPr>
        <w:ind w:left="540" w:hanging="540"/>
      </w:pPr>
      <w:rPr>
        <w:rFonts w:hint="default"/>
      </w:rPr>
    </w:lvl>
    <w:lvl w:ilvl="1">
      <w:start w:val="6"/>
      <w:numFmt w:val="decimal"/>
      <w:lvlText w:val="%1.%2."/>
      <w:lvlJc w:val="left"/>
      <w:pPr>
        <w:ind w:left="540" w:hanging="540"/>
      </w:pPr>
      <w:rPr>
        <w:rFonts w:hint="default"/>
      </w:rPr>
    </w:lvl>
    <w:lvl w:ilvl="2">
      <w:start w:val="4"/>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num w:numId="1" w16cid:durableId="259263526">
    <w:abstractNumId w:val="56"/>
  </w:num>
  <w:num w:numId="2" w16cid:durableId="775099055">
    <w:abstractNumId w:val="55"/>
  </w:num>
  <w:num w:numId="3" w16cid:durableId="653490339">
    <w:abstractNumId w:val="28"/>
  </w:num>
  <w:num w:numId="4" w16cid:durableId="1344434413">
    <w:abstractNumId w:val="58"/>
  </w:num>
  <w:num w:numId="5" w16cid:durableId="372928971">
    <w:abstractNumId w:val="52"/>
  </w:num>
  <w:num w:numId="6" w16cid:durableId="369116100">
    <w:abstractNumId w:val="23"/>
  </w:num>
  <w:num w:numId="7" w16cid:durableId="2128504390">
    <w:abstractNumId w:val="43"/>
  </w:num>
  <w:num w:numId="8" w16cid:durableId="438599004">
    <w:abstractNumId w:val="62"/>
  </w:num>
  <w:num w:numId="9" w16cid:durableId="59181558">
    <w:abstractNumId w:val="19"/>
  </w:num>
  <w:num w:numId="10" w16cid:durableId="1888226437">
    <w:abstractNumId w:val="36"/>
  </w:num>
  <w:num w:numId="11" w16cid:durableId="2064676713">
    <w:abstractNumId w:val="50"/>
  </w:num>
  <w:num w:numId="12" w16cid:durableId="806313077">
    <w:abstractNumId w:val="29"/>
  </w:num>
  <w:num w:numId="13" w16cid:durableId="1092507111">
    <w:abstractNumId w:val="63"/>
  </w:num>
  <w:num w:numId="14" w16cid:durableId="1145273463">
    <w:abstractNumId w:val="66"/>
  </w:num>
  <w:num w:numId="15" w16cid:durableId="1816139115">
    <w:abstractNumId w:val="45"/>
  </w:num>
  <w:num w:numId="16" w16cid:durableId="314917127">
    <w:abstractNumId w:val="51"/>
  </w:num>
  <w:num w:numId="17" w16cid:durableId="906259605">
    <w:abstractNumId w:val="22"/>
  </w:num>
  <w:num w:numId="18" w16cid:durableId="93408788">
    <w:abstractNumId w:val="14"/>
  </w:num>
  <w:num w:numId="19" w16cid:durableId="1341198161">
    <w:abstractNumId w:val="46"/>
  </w:num>
  <w:num w:numId="20" w16cid:durableId="1882092343">
    <w:abstractNumId w:val="53"/>
  </w:num>
  <w:num w:numId="21" w16cid:durableId="42409282">
    <w:abstractNumId w:val="34"/>
  </w:num>
  <w:num w:numId="22" w16cid:durableId="1302466820">
    <w:abstractNumId w:val="20"/>
    <w:lvlOverride w:ilvl="0">
      <w:lvl w:ilvl="0">
        <w:start w:val="1"/>
        <w:numFmt w:val="decimal"/>
        <w:pStyle w:val="IPPParagraphnumbering"/>
        <w:lvlText w:val="[%1]"/>
        <w:lvlJc w:val="left"/>
        <w:pPr>
          <w:tabs>
            <w:tab w:val="num" w:pos="0"/>
          </w:tabs>
          <w:ind w:left="0" w:hanging="482"/>
        </w:pPr>
        <w:rPr>
          <w:rFonts w:ascii="Arial" w:hAnsi="Arial" w:hint="default"/>
          <w:b w:val="0"/>
          <w:i/>
          <w:color w:val="0000FF"/>
          <w:sz w:val="16"/>
        </w:rPr>
      </w:lvl>
    </w:lvlOverride>
    <w:lvlOverride w:ilvl="1">
      <w:lvl w:ilvl="1">
        <w:start w:val="1"/>
        <w:numFmt w:val="none"/>
        <w:lvlRestart w:val="0"/>
        <w:lvlText w:val=""/>
        <w:lvlJc w:val="left"/>
        <w:pPr>
          <w:tabs>
            <w:tab w:val="num" w:pos="0"/>
          </w:tabs>
          <w:ind w:left="0" w:hanging="482"/>
        </w:pPr>
        <w:rPr>
          <w:rFonts w:hint="default"/>
        </w:rPr>
      </w:lvl>
    </w:lvlOverride>
    <w:lvlOverride w:ilvl="2">
      <w:lvl w:ilvl="2">
        <w:start w:val="1"/>
        <w:numFmt w:val="none"/>
        <w:lvlRestart w:val="0"/>
        <w:lvlText w:val=""/>
        <w:lvlJc w:val="left"/>
        <w:pPr>
          <w:tabs>
            <w:tab w:val="num" w:pos="0"/>
          </w:tabs>
          <w:ind w:left="0" w:hanging="482"/>
        </w:pPr>
        <w:rPr>
          <w:rFonts w:hint="default"/>
        </w:rPr>
      </w:lvl>
    </w:lvlOverride>
    <w:lvlOverride w:ilvl="3">
      <w:lvl w:ilvl="3">
        <w:start w:val="1"/>
        <w:numFmt w:val="none"/>
        <w:lvlRestart w:val="0"/>
        <w:lvlText w:val=""/>
        <w:lvlJc w:val="left"/>
        <w:pPr>
          <w:tabs>
            <w:tab w:val="num" w:pos="0"/>
          </w:tabs>
          <w:ind w:left="0" w:hanging="482"/>
        </w:pPr>
        <w:rPr>
          <w:rFonts w:hint="default"/>
        </w:rPr>
      </w:lvl>
    </w:lvlOverride>
    <w:lvlOverride w:ilvl="4">
      <w:lvl w:ilvl="4">
        <w:start w:val="1"/>
        <w:numFmt w:val="none"/>
        <w:lvlRestart w:val="0"/>
        <w:lvlText w:val=""/>
        <w:lvlJc w:val="left"/>
        <w:pPr>
          <w:tabs>
            <w:tab w:val="num" w:pos="0"/>
          </w:tabs>
          <w:ind w:left="0" w:hanging="482"/>
        </w:pPr>
        <w:rPr>
          <w:rFonts w:hint="default"/>
        </w:rPr>
      </w:lvl>
    </w:lvlOverride>
    <w:lvlOverride w:ilvl="5">
      <w:lvl w:ilvl="5">
        <w:start w:val="1"/>
        <w:numFmt w:val="none"/>
        <w:lvlRestart w:val="0"/>
        <w:lvlText w:val=""/>
        <w:lvlJc w:val="left"/>
        <w:pPr>
          <w:tabs>
            <w:tab w:val="num" w:pos="0"/>
          </w:tabs>
          <w:ind w:left="0" w:hanging="482"/>
        </w:pPr>
        <w:rPr>
          <w:rFonts w:hint="default"/>
        </w:rPr>
      </w:lvl>
    </w:lvlOverride>
    <w:lvlOverride w:ilvl="6">
      <w:lvl w:ilvl="6">
        <w:start w:val="1"/>
        <w:numFmt w:val="none"/>
        <w:lvlRestart w:val="0"/>
        <w:lvlText w:val=""/>
        <w:lvlJc w:val="left"/>
        <w:pPr>
          <w:tabs>
            <w:tab w:val="num" w:pos="0"/>
          </w:tabs>
          <w:ind w:left="0" w:hanging="482"/>
        </w:pPr>
        <w:rPr>
          <w:rFonts w:hint="default"/>
        </w:rPr>
      </w:lvl>
    </w:lvlOverride>
    <w:lvlOverride w:ilvl="7">
      <w:lvl w:ilvl="7">
        <w:start w:val="1"/>
        <w:numFmt w:val="none"/>
        <w:lvlRestart w:val="0"/>
        <w:lvlText w:val=""/>
        <w:lvlJc w:val="left"/>
        <w:pPr>
          <w:tabs>
            <w:tab w:val="num" w:pos="0"/>
          </w:tabs>
          <w:ind w:left="0" w:hanging="482"/>
        </w:pPr>
        <w:rPr>
          <w:rFonts w:hint="default"/>
        </w:rPr>
      </w:lvl>
    </w:lvlOverride>
    <w:lvlOverride w:ilvl="8">
      <w:lvl w:ilvl="8">
        <w:start w:val="1"/>
        <w:numFmt w:val="none"/>
        <w:lvlRestart w:val="0"/>
        <w:lvlText w:val=""/>
        <w:lvlJc w:val="left"/>
        <w:pPr>
          <w:tabs>
            <w:tab w:val="num" w:pos="0"/>
          </w:tabs>
          <w:ind w:left="0" w:hanging="482"/>
        </w:pPr>
        <w:rPr>
          <w:rFonts w:hint="default"/>
        </w:rPr>
      </w:lvl>
    </w:lvlOverride>
  </w:num>
  <w:num w:numId="23" w16cid:durableId="1537547664">
    <w:abstractNumId w:val="60"/>
  </w:num>
  <w:num w:numId="24" w16cid:durableId="908416715">
    <w:abstractNumId w:val="39"/>
  </w:num>
  <w:num w:numId="25" w16cid:durableId="2090492571">
    <w:abstractNumId w:val="49"/>
  </w:num>
  <w:num w:numId="26" w16cid:durableId="283314168">
    <w:abstractNumId w:val="21"/>
  </w:num>
  <w:num w:numId="27" w16cid:durableId="1534341756">
    <w:abstractNumId w:val="20"/>
  </w:num>
  <w:num w:numId="28" w16cid:durableId="2080131155">
    <w:abstractNumId w:val="59"/>
  </w:num>
  <w:num w:numId="29" w16cid:durableId="1799376587">
    <w:abstractNumId w:val="44"/>
  </w:num>
  <w:num w:numId="30" w16cid:durableId="223758343">
    <w:abstractNumId w:val="40"/>
  </w:num>
  <w:num w:numId="31" w16cid:durableId="2070302872">
    <w:abstractNumId w:val="65"/>
  </w:num>
  <w:num w:numId="32" w16cid:durableId="274824583">
    <w:abstractNumId w:val="27"/>
  </w:num>
  <w:num w:numId="33" w16cid:durableId="1847013198">
    <w:abstractNumId w:val="15"/>
  </w:num>
  <w:num w:numId="34" w16cid:durableId="39983142">
    <w:abstractNumId w:val="42"/>
  </w:num>
  <w:num w:numId="35" w16cid:durableId="363870774">
    <w:abstractNumId w:val="54"/>
  </w:num>
  <w:num w:numId="36" w16cid:durableId="1492526858">
    <w:abstractNumId w:val="9"/>
  </w:num>
  <w:num w:numId="37" w16cid:durableId="1802730414">
    <w:abstractNumId w:val="7"/>
  </w:num>
  <w:num w:numId="38" w16cid:durableId="493452325">
    <w:abstractNumId w:val="6"/>
  </w:num>
  <w:num w:numId="39" w16cid:durableId="2012249311">
    <w:abstractNumId w:val="5"/>
  </w:num>
  <w:num w:numId="40" w16cid:durableId="1332681018">
    <w:abstractNumId w:val="4"/>
  </w:num>
  <w:num w:numId="41" w16cid:durableId="230232807">
    <w:abstractNumId w:val="8"/>
  </w:num>
  <w:num w:numId="42" w16cid:durableId="1489904745">
    <w:abstractNumId w:val="3"/>
  </w:num>
  <w:num w:numId="43" w16cid:durableId="2056389555">
    <w:abstractNumId w:val="2"/>
  </w:num>
  <w:num w:numId="44" w16cid:durableId="605386630">
    <w:abstractNumId w:val="1"/>
  </w:num>
  <w:num w:numId="45" w16cid:durableId="653753371">
    <w:abstractNumId w:val="0"/>
  </w:num>
  <w:num w:numId="46" w16cid:durableId="757562553">
    <w:abstractNumId w:val="33"/>
  </w:num>
  <w:num w:numId="47" w16cid:durableId="998189838">
    <w:abstractNumId w:val="17"/>
  </w:num>
  <w:num w:numId="48" w16cid:durableId="1051462967">
    <w:abstractNumId w:val="35"/>
  </w:num>
  <w:num w:numId="49" w16cid:durableId="1128010780">
    <w:abstractNumId w:val="31"/>
  </w:num>
  <w:num w:numId="50" w16cid:durableId="478965016">
    <w:abstractNumId w:val="13"/>
  </w:num>
  <w:num w:numId="51" w16cid:durableId="275261639">
    <w:abstractNumId w:val="16"/>
  </w:num>
  <w:num w:numId="52" w16cid:durableId="1698893661">
    <w:abstractNumId w:val="32"/>
  </w:num>
  <w:num w:numId="53" w16cid:durableId="1311865108">
    <w:abstractNumId w:val="38"/>
  </w:num>
  <w:num w:numId="54" w16cid:durableId="663820132">
    <w:abstractNumId w:val="24"/>
  </w:num>
  <w:num w:numId="55" w16cid:durableId="2043817467">
    <w:abstractNumId w:val="37"/>
  </w:num>
  <w:num w:numId="56" w16cid:durableId="307713268">
    <w:abstractNumId w:val="57"/>
  </w:num>
  <w:num w:numId="57" w16cid:durableId="1722555847">
    <w:abstractNumId w:val="11"/>
  </w:num>
  <w:num w:numId="58" w16cid:durableId="110249594">
    <w:abstractNumId w:val="10"/>
  </w:num>
  <w:num w:numId="59" w16cid:durableId="1184514088">
    <w:abstractNumId w:val="47"/>
  </w:num>
  <w:num w:numId="60" w16cid:durableId="1670016688">
    <w:abstractNumId w:val="20"/>
    <w:lvlOverride w:ilvl="0">
      <w:lvl w:ilvl="0">
        <w:start w:val="1"/>
        <w:numFmt w:val="decimal"/>
        <w:pStyle w:val="IPPParagraphnumbering"/>
        <w:lvlText w:val="[%1]"/>
        <w:lvlJc w:val="left"/>
        <w:pPr>
          <w:tabs>
            <w:tab w:val="num" w:pos="0"/>
          </w:tabs>
          <w:ind w:left="0" w:hanging="482"/>
        </w:pPr>
        <w:rPr>
          <w:rFonts w:ascii="Arial" w:hAnsi="Arial" w:hint="default"/>
          <w:b w:val="0"/>
          <w:i/>
          <w:color w:val="0000FF"/>
          <w:sz w:val="16"/>
        </w:rPr>
      </w:lvl>
    </w:lvlOverride>
    <w:lvlOverride w:ilvl="1">
      <w:lvl w:ilvl="1">
        <w:start w:val="1"/>
        <w:numFmt w:val="none"/>
        <w:lvlRestart w:val="0"/>
        <w:lvlText w:val=""/>
        <w:lvlJc w:val="left"/>
        <w:pPr>
          <w:tabs>
            <w:tab w:val="num" w:pos="0"/>
          </w:tabs>
          <w:ind w:left="0" w:hanging="482"/>
        </w:pPr>
        <w:rPr>
          <w:rFonts w:hint="default"/>
        </w:rPr>
      </w:lvl>
    </w:lvlOverride>
    <w:lvlOverride w:ilvl="2">
      <w:lvl w:ilvl="2">
        <w:start w:val="1"/>
        <w:numFmt w:val="none"/>
        <w:lvlRestart w:val="0"/>
        <w:lvlText w:val=""/>
        <w:lvlJc w:val="left"/>
        <w:pPr>
          <w:tabs>
            <w:tab w:val="num" w:pos="0"/>
          </w:tabs>
          <w:ind w:left="0" w:hanging="482"/>
        </w:pPr>
        <w:rPr>
          <w:rFonts w:hint="default"/>
        </w:rPr>
      </w:lvl>
    </w:lvlOverride>
    <w:lvlOverride w:ilvl="3">
      <w:lvl w:ilvl="3">
        <w:start w:val="1"/>
        <w:numFmt w:val="none"/>
        <w:lvlRestart w:val="0"/>
        <w:lvlText w:val=""/>
        <w:lvlJc w:val="left"/>
        <w:pPr>
          <w:tabs>
            <w:tab w:val="num" w:pos="0"/>
          </w:tabs>
          <w:ind w:left="0" w:hanging="482"/>
        </w:pPr>
        <w:rPr>
          <w:rFonts w:hint="default"/>
        </w:rPr>
      </w:lvl>
    </w:lvlOverride>
    <w:lvlOverride w:ilvl="4">
      <w:lvl w:ilvl="4">
        <w:start w:val="1"/>
        <w:numFmt w:val="none"/>
        <w:lvlRestart w:val="0"/>
        <w:lvlText w:val=""/>
        <w:lvlJc w:val="left"/>
        <w:pPr>
          <w:tabs>
            <w:tab w:val="num" w:pos="0"/>
          </w:tabs>
          <w:ind w:left="0" w:hanging="482"/>
        </w:pPr>
        <w:rPr>
          <w:rFonts w:hint="default"/>
        </w:rPr>
      </w:lvl>
    </w:lvlOverride>
    <w:lvlOverride w:ilvl="5">
      <w:lvl w:ilvl="5">
        <w:start w:val="1"/>
        <w:numFmt w:val="none"/>
        <w:lvlRestart w:val="0"/>
        <w:lvlText w:val=""/>
        <w:lvlJc w:val="left"/>
        <w:pPr>
          <w:tabs>
            <w:tab w:val="num" w:pos="0"/>
          </w:tabs>
          <w:ind w:left="0" w:hanging="482"/>
        </w:pPr>
        <w:rPr>
          <w:rFonts w:hint="default"/>
        </w:rPr>
      </w:lvl>
    </w:lvlOverride>
    <w:lvlOverride w:ilvl="6">
      <w:lvl w:ilvl="6">
        <w:start w:val="1"/>
        <w:numFmt w:val="none"/>
        <w:lvlRestart w:val="0"/>
        <w:lvlText w:val=""/>
        <w:lvlJc w:val="left"/>
        <w:pPr>
          <w:tabs>
            <w:tab w:val="num" w:pos="0"/>
          </w:tabs>
          <w:ind w:left="0" w:hanging="482"/>
        </w:pPr>
        <w:rPr>
          <w:rFonts w:hint="default"/>
        </w:rPr>
      </w:lvl>
    </w:lvlOverride>
    <w:lvlOverride w:ilvl="7">
      <w:lvl w:ilvl="7">
        <w:start w:val="1"/>
        <w:numFmt w:val="none"/>
        <w:lvlRestart w:val="0"/>
        <w:lvlText w:val=""/>
        <w:lvlJc w:val="left"/>
        <w:pPr>
          <w:tabs>
            <w:tab w:val="num" w:pos="0"/>
          </w:tabs>
          <w:ind w:left="0" w:hanging="482"/>
        </w:pPr>
        <w:rPr>
          <w:rFonts w:hint="default"/>
        </w:rPr>
      </w:lvl>
    </w:lvlOverride>
    <w:lvlOverride w:ilvl="8">
      <w:lvl w:ilvl="8">
        <w:start w:val="1"/>
        <w:numFmt w:val="none"/>
        <w:lvlRestart w:val="0"/>
        <w:lvlText w:val=""/>
        <w:lvlJc w:val="left"/>
        <w:pPr>
          <w:tabs>
            <w:tab w:val="num" w:pos="0"/>
          </w:tabs>
          <w:ind w:left="0" w:hanging="482"/>
        </w:pPr>
        <w:rPr>
          <w:rFonts w:hint="default"/>
        </w:rPr>
      </w:lvl>
    </w:lvlOverride>
  </w:num>
  <w:num w:numId="61" w16cid:durableId="577515780">
    <w:abstractNumId w:val="30"/>
  </w:num>
  <w:num w:numId="62" w16cid:durableId="423066746">
    <w:abstractNumId w:val="25"/>
  </w:num>
  <w:num w:numId="63" w16cid:durableId="243076933">
    <w:abstractNumId w:val="12"/>
  </w:num>
  <w:num w:numId="64" w16cid:durableId="249506491">
    <w:abstractNumId w:val="64"/>
  </w:num>
  <w:num w:numId="65" w16cid:durableId="1951273899">
    <w:abstractNumId w:val="41"/>
  </w:num>
  <w:num w:numId="66" w16cid:durableId="569311898">
    <w:abstractNumId w:val="20"/>
    <w:lvlOverride w:ilvl="0">
      <w:lvl w:ilvl="0">
        <w:start w:val="1"/>
        <w:numFmt w:val="decimal"/>
        <w:pStyle w:val="IPPParagraphnumbering"/>
        <w:lvlText w:val="[%1]"/>
        <w:lvlJc w:val="left"/>
        <w:pPr>
          <w:tabs>
            <w:tab w:val="num" w:pos="0"/>
          </w:tabs>
          <w:ind w:left="0" w:hanging="482"/>
        </w:pPr>
        <w:rPr>
          <w:rFonts w:ascii="Arial" w:hAnsi="Arial" w:hint="default"/>
          <w:b w:val="0"/>
          <w:i/>
          <w:color w:val="0000FF"/>
          <w:sz w:val="16"/>
        </w:rPr>
      </w:lvl>
    </w:lvlOverride>
    <w:lvlOverride w:ilvl="1">
      <w:lvl w:ilvl="1">
        <w:start w:val="1"/>
        <w:numFmt w:val="none"/>
        <w:lvlRestart w:val="0"/>
        <w:lvlText w:val=""/>
        <w:lvlJc w:val="left"/>
        <w:pPr>
          <w:tabs>
            <w:tab w:val="num" w:pos="0"/>
          </w:tabs>
          <w:ind w:left="0" w:hanging="482"/>
        </w:pPr>
        <w:rPr>
          <w:rFonts w:hint="default"/>
        </w:rPr>
      </w:lvl>
    </w:lvlOverride>
    <w:lvlOverride w:ilvl="2">
      <w:lvl w:ilvl="2">
        <w:start w:val="1"/>
        <w:numFmt w:val="none"/>
        <w:lvlRestart w:val="0"/>
        <w:lvlText w:val=""/>
        <w:lvlJc w:val="left"/>
        <w:pPr>
          <w:tabs>
            <w:tab w:val="num" w:pos="0"/>
          </w:tabs>
          <w:ind w:left="0" w:hanging="482"/>
        </w:pPr>
        <w:rPr>
          <w:rFonts w:hint="default"/>
        </w:rPr>
      </w:lvl>
    </w:lvlOverride>
    <w:lvlOverride w:ilvl="3">
      <w:lvl w:ilvl="3">
        <w:start w:val="1"/>
        <w:numFmt w:val="none"/>
        <w:lvlRestart w:val="0"/>
        <w:lvlText w:val=""/>
        <w:lvlJc w:val="left"/>
        <w:pPr>
          <w:tabs>
            <w:tab w:val="num" w:pos="0"/>
          </w:tabs>
          <w:ind w:left="0" w:hanging="482"/>
        </w:pPr>
        <w:rPr>
          <w:rFonts w:hint="default"/>
        </w:rPr>
      </w:lvl>
    </w:lvlOverride>
    <w:lvlOverride w:ilvl="4">
      <w:lvl w:ilvl="4">
        <w:start w:val="1"/>
        <w:numFmt w:val="none"/>
        <w:lvlRestart w:val="0"/>
        <w:lvlText w:val=""/>
        <w:lvlJc w:val="left"/>
        <w:pPr>
          <w:tabs>
            <w:tab w:val="num" w:pos="0"/>
          </w:tabs>
          <w:ind w:left="0" w:hanging="482"/>
        </w:pPr>
        <w:rPr>
          <w:rFonts w:hint="default"/>
        </w:rPr>
      </w:lvl>
    </w:lvlOverride>
    <w:lvlOverride w:ilvl="5">
      <w:lvl w:ilvl="5">
        <w:start w:val="1"/>
        <w:numFmt w:val="none"/>
        <w:lvlRestart w:val="0"/>
        <w:lvlText w:val=""/>
        <w:lvlJc w:val="left"/>
        <w:pPr>
          <w:tabs>
            <w:tab w:val="num" w:pos="0"/>
          </w:tabs>
          <w:ind w:left="0" w:hanging="482"/>
        </w:pPr>
        <w:rPr>
          <w:rFonts w:hint="default"/>
        </w:rPr>
      </w:lvl>
    </w:lvlOverride>
    <w:lvlOverride w:ilvl="6">
      <w:lvl w:ilvl="6">
        <w:start w:val="1"/>
        <w:numFmt w:val="none"/>
        <w:lvlRestart w:val="0"/>
        <w:lvlText w:val=""/>
        <w:lvlJc w:val="left"/>
        <w:pPr>
          <w:tabs>
            <w:tab w:val="num" w:pos="0"/>
          </w:tabs>
          <w:ind w:left="0" w:hanging="482"/>
        </w:pPr>
        <w:rPr>
          <w:rFonts w:hint="default"/>
        </w:rPr>
      </w:lvl>
    </w:lvlOverride>
    <w:lvlOverride w:ilvl="7">
      <w:lvl w:ilvl="7">
        <w:start w:val="1"/>
        <w:numFmt w:val="none"/>
        <w:lvlRestart w:val="0"/>
        <w:lvlText w:val=""/>
        <w:lvlJc w:val="left"/>
        <w:pPr>
          <w:tabs>
            <w:tab w:val="num" w:pos="0"/>
          </w:tabs>
          <w:ind w:left="0" w:hanging="482"/>
        </w:pPr>
        <w:rPr>
          <w:rFonts w:hint="default"/>
        </w:rPr>
      </w:lvl>
    </w:lvlOverride>
    <w:lvlOverride w:ilvl="8">
      <w:lvl w:ilvl="8">
        <w:start w:val="1"/>
        <w:numFmt w:val="none"/>
        <w:lvlRestart w:val="0"/>
        <w:lvlText w:val=""/>
        <w:lvlJc w:val="left"/>
        <w:pPr>
          <w:tabs>
            <w:tab w:val="num" w:pos="0"/>
          </w:tabs>
          <w:ind w:left="0" w:hanging="482"/>
        </w:pPr>
        <w:rPr>
          <w:rFonts w:hint="default"/>
        </w:rPr>
      </w:lvl>
    </w:lvlOverride>
  </w:num>
  <w:num w:numId="67" w16cid:durableId="13197383">
    <w:abstractNumId w:val="20"/>
    <w:lvlOverride w:ilvl="0">
      <w:lvl w:ilvl="0">
        <w:start w:val="1"/>
        <w:numFmt w:val="decimal"/>
        <w:pStyle w:val="IPPParagraphnumbering"/>
        <w:lvlText w:val="[%1]"/>
        <w:lvlJc w:val="left"/>
        <w:pPr>
          <w:tabs>
            <w:tab w:val="num" w:pos="0"/>
          </w:tabs>
          <w:ind w:left="0" w:hanging="482"/>
        </w:pPr>
        <w:rPr>
          <w:rFonts w:ascii="Arial" w:hAnsi="Arial" w:hint="default"/>
          <w:b w:val="0"/>
          <w:i/>
          <w:color w:val="0000FF"/>
          <w:sz w:val="16"/>
        </w:rPr>
      </w:lvl>
    </w:lvlOverride>
    <w:lvlOverride w:ilvl="1">
      <w:lvl w:ilvl="1">
        <w:start w:val="1"/>
        <w:numFmt w:val="none"/>
        <w:lvlRestart w:val="0"/>
        <w:lvlText w:val=""/>
        <w:lvlJc w:val="left"/>
        <w:pPr>
          <w:tabs>
            <w:tab w:val="num" w:pos="0"/>
          </w:tabs>
          <w:ind w:left="0" w:hanging="482"/>
        </w:pPr>
        <w:rPr>
          <w:rFonts w:hint="default"/>
        </w:rPr>
      </w:lvl>
    </w:lvlOverride>
    <w:lvlOverride w:ilvl="2">
      <w:lvl w:ilvl="2">
        <w:start w:val="1"/>
        <w:numFmt w:val="none"/>
        <w:lvlRestart w:val="0"/>
        <w:lvlText w:val=""/>
        <w:lvlJc w:val="left"/>
        <w:pPr>
          <w:tabs>
            <w:tab w:val="num" w:pos="0"/>
          </w:tabs>
          <w:ind w:left="0" w:hanging="482"/>
        </w:pPr>
        <w:rPr>
          <w:rFonts w:hint="default"/>
        </w:rPr>
      </w:lvl>
    </w:lvlOverride>
    <w:lvlOverride w:ilvl="3">
      <w:lvl w:ilvl="3">
        <w:start w:val="1"/>
        <w:numFmt w:val="none"/>
        <w:lvlRestart w:val="0"/>
        <w:lvlText w:val=""/>
        <w:lvlJc w:val="left"/>
        <w:pPr>
          <w:tabs>
            <w:tab w:val="num" w:pos="0"/>
          </w:tabs>
          <w:ind w:left="0" w:hanging="482"/>
        </w:pPr>
        <w:rPr>
          <w:rFonts w:hint="default"/>
        </w:rPr>
      </w:lvl>
    </w:lvlOverride>
    <w:lvlOverride w:ilvl="4">
      <w:lvl w:ilvl="4">
        <w:start w:val="1"/>
        <w:numFmt w:val="none"/>
        <w:lvlRestart w:val="0"/>
        <w:lvlText w:val=""/>
        <w:lvlJc w:val="left"/>
        <w:pPr>
          <w:tabs>
            <w:tab w:val="num" w:pos="0"/>
          </w:tabs>
          <w:ind w:left="0" w:hanging="482"/>
        </w:pPr>
        <w:rPr>
          <w:rFonts w:hint="default"/>
        </w:rPr>
      </w:lvl>
    </w:lvlOverride>
    <w:lvlOverride w:ilvl="5">
      <w:lvl w:ilvl="5">
        <w:start w:val="1"/>
        <w:numFmt w:val="none"/>
        <w:lvlRestart w:val="0"/>
        <w:lvlText w:val=""/>
        <w:lvlJc w:val="left"/>
        <w:pPr>
          <w:tabs>
            <w:tab w:val="num" w:pos="0"/>
          </w:tabs>
          <w:ind w:left="0" w:hanging="482"/>
        </w:pPr>
        <w:rPr>
          <w:rFonts w:hint="default"/>
        </w:rPr>
      </w:lvl>
    </w:lvlOverride>
    <w:lvlOverride w:ilvl="6">
      <w:lvl w:ilvl="6">
        <w:start w:val="1"/>
        <w:numFmt w:val="none"/>
        <w:lvlRestart w:val="0"/>
        <w:lvlText w:val=""/>
        <w:lvlJc w:val="left"/>
        <w:pPr>
          <w:tabs>
            <w:tab w:val="num" w:pos="0"/>
          </w:tabs>
          <w:ind w:left="0" w:hanging="482"/>
        </w:pPr>
        <w:rPr>
          <w:rFonts w:hint="default"/>
        </w:rPr>
      </w:lvl>
    </w:lvlOverride>
    <w:lvlOverride w:ilvl="7">
      <w:lvl w:ilvl="7">
        <w:start w:val="1"/>
        <w:numFmt w:val="none"/>
        <w:lvlRestart w:val="0"/>
        <w:lvlText w:val=""/>
        <w:lvlJc w:val="left"/>
        <w:pPr>
          <w:tabs>
            <w:tab w:val="num" w:pos="0"/>
          </w:tabs>
          <w:ind w:left="0" w:hanging="482"/>
        </w:pPr>
        <w:rPr>
          <w:rFonts w:hint="default"/>
        </w:rPr>
      </w:lvl>
    </w:lvlOverride>
    <w:lvlOverride w:ilvl="8">
      <w:lvl w:ilvl="8">
        <w:start w:val="1"/>
        <w:numFmt w:val="none"/>
        <w:lvlRestart w:val="0"/>
        <w:lvlText w:val=""/>
        <w:lvlJc w:val="left"/>
        <w:pPr>
          <w:tabs>
            <w:tab w:val="num" w:pos="0"/>
          </w:tabs>
          <w:ind w:left="0" w:hanging="482"/>
        </w:pPr>
        <w:rPr>
          <w:rFonts w:hint="default"/>
        </w:rPr>
      </w:lvl>
    </w:lvlOverride>
  </w:num>
  <w:num w:numId="68" w16cid:durableId="507060758">
    <w:abstractNumId w:val="48"/>
  </w:num>
  <w:num w:numId="69" w16cid:durableId="23485579">
    <w:abstractNumId w:val="26"/>
  </w:num>
  <w:num w:numId="70" w16cid:durableId="975331878">
    <w:abstractNumId w:val="18"/>
  </w:num>
  <w:num w:numId="71" w16cid:durableId="1546865881">
    <w:abstractNumId w:val="61"/>
  </w:num>
  <w:num w:numId="72" w16cid:durableId="1977955482">
    <w:abstractNumId w:val="20"/>
    <w:lvlOverride w:ilvl="0">
      <w:lvl w:ilvl="0">
        <w:start w:val="1"/>
        <w:numFmt w:val="decimal"/>
        <w:pStyle w:val="IPPParagraphnumbering"/>
        <w:lvlText w:val="[%1]"/>
        <w:lvlJc w:val="left"/>
        <w:pPr>
          <w:tabs>
            <w:tab w:val="num" w:pos="0"/>
          </w:tabs>
          <w:ind w:left="0" w:hanging="482"/>
        </w:pPr>
        <w:rPr>
          <w:rFonts w:ascii="Arial" w:hAnsi="Arial" w:hint="default"/>
          <w:b w:val="0"/>
          <w:i/>
          <w:color w:val="0000FF"/>
          <w:sz w:val="16"/>
        </w:rPr>
      </w:lvl>
    </w:lvlOverride>
    <w:lvlOverride w:ilvl="1">
      <w:lvl w:ilvl="1">
        <w:start w:val="1"/>
        <w:numFmt w:val="none"/>
        <w:lvlRestart w:val="0"/>
        <w:lvlText w:val=""/>
        <w:lvlJc w:val="left"/>
        <w:pPr>
          <w:tabs>
            <w:tab w:val="num" w:pos="0"/>
          </w:tabs>
          <w:ind w:left="0" w:hanging="482"/>
        </w:pPr>
        <w:rPr>
          <w:rFonts w:hint="default"/>
        </w:rPr>
      </w:lvl>
    </w:lvlOverride>
    <w:lvlOverride w:ilvl="2">
      <w:lvl w:ilvl="2">
        <w:start w:val="1"/>
        <w:numFmt w:val="none"/>
        <w:lvlRestart w:val="0"/>
        <w:lvlText w:val=""/>
        <w:lvlJc w:val="left"/>
        <w:pPr>
          <w:tabs>
            <w:tab w:val="num" w:pos="0"/>
          </w:tabs>
          <w:ind w:left="0" w:hanging="482"/>
        </w:pPr>
        <w:rPr>
          <w:rFonts w:hint="default"/>
        </w:rPr>
      </w:lvl>
    </w:lvlOverride>
    <w:lvlOverride w:ilvl="3">
      <w:lvl w:ilvl="3">
        <w:start w:val="1"/>
        <w:numFmt w:val="none"/>
        <w:lvlRestart w:val="0"/>
        <w:lvlText w:val=""/>
        <w:lvlJc w:val="left"/>
        <w:pPr>
          <w:tabs>
            <w:tab w:val="num" w:pos="0"/>
          </w:tabs>
          <w:ind w:left="0" w:hanging="482"/>
        </w:pPr>
        <w:rPr>
          <w:rFonts w:hint="default"/>
        </w:rPr>
      </w:lvl>
    </w:lvlOverride>
    <w:lvlOverride w:ilvl="4">
      <w:lvl w:ilvl="4">
        <w:start w:val="1"/>
        <w:numFmt w:val="none"/>
        <w:lvlRestart w:val="0"/>
        <w:lvlText w:val=""/>
        <w:lvlJc w:val="left"/>
        <w:pPr>
          <w:tabs>
            <w:tab w:val="num" w:pos="0"/>
          </w:tabs>
          <w:ind w:left="0" w:hanging="482"/>
        </w:pPr>
        <w:rPr>
          <w:rFonts w:hint="default"/>
        </w:rPr>
      </w:lvl>
    </w:lvlOverride>
    <w:lvlOverride w:ilvl="5">
      <w:lvl w:ilvl="5">
        <w:start w:val="1"/>
        <w:numFmt w:val="none"/>
        <w:lvlRestart w:val="0"/>
        <w:lvlText w:val=""/>
        <w:lvlJc w:val="left"/>
        <w:pPr>
          <w:tabs>
            <w:tab w:val="num" w:pos="0"/>
          </w:tabs>
          <w:ind w:left="0" w:hanging="482"/>
        </w:pPr>
        <w:rPr>
          <w:rFonts w:hint="default"/>
        </w:rPr>
      </w:lvl>
    </w:lvlOverride>
    <w:lvlOverride w:ilvl="6">
      <w:lvl w:ilvl="6">
        <w:start w:val="1"/>
        <w:numFmt w:val="none"/>
        <w:lvlRestart w:val="0"/>
        <w:lvlText w:val=""/>
        <w:lvlJc w:val="left"/>
        <w:pPr>
          <w:tabs>
            <w:tab w:val="num" w:pos="0"/>
          </w:tabs>
          <w:ind w:left="0" w:hanging="482"/>
        </w:pPr>
        <w:rPr>
          <w:rFonts w:hint="default"/>
        </w:rPr>
      </w:lvl>
    </w:lvlOverride>
    <w:lvlOverride w:ilvl="7">
      <w:lvl w:ilvl="7">
        <w:start w:val="1"/>
        <w:numFmt w:val="none"/>
        <w:lvlRestart w:val="0"/>
        <w:lvlText w:val=""/>
        <w:lvlJc w:val="left"/>
        <w:pPr>
          <w:tabs>
            <w:tab w:val="num" w:pos="0"/>
          </w:tabs>
          <w:ind w:left="0" w:hanging="482"/>
        </w:pPr>
        <w:rPr>
          <w:rFonts w:hint="default"/>
        </w:rPr>
      </w:lvl>
    </w:lvlOverride>
    <w:lvlOverride w:ilvl="8">
      <w:lvl w:ilvl="8">
        <w:start w:val="1"/>
        <w:numFmt w:val="none"/>
        <w:lvlRestart w:val="0"/>
        <w:lvlText w:val=""/>
        <w:lvlJc w:val="left"/>
        <w:pPr>
          <w:tabs>
            <w:tab w:val="num" w:pos="0"/>
          </w:tabs>
          <w:ind w:left="0" w:hanging="482"/>
        </w:pPr>
        <w:rPr>
          <w:rFonts w:hint="default"/>
        </w:rPr>
      </w:lvl>
    </w:lvlOverride>
  </w:num>
  <w:numIdMacAtCleanup w:val="70"/>
</w:numbering>
</file>

<file path=word/settings.xml><?xml version="1.0" encoding="utf-8"?>
<w:settings xmlns:w="http://schemas.openxmlformats.org/wordprocessingml/2006/main"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80"/>
  <w:displayBackgroundShape/>
  <w:proofState w:spelling="clean"/>
  <w:attachedTemplate r:id="rId1"/>
  <w:defaultTabStop w:val="709"/>
  <w:hyphenationZone w:val="283"/>
  <w:evenAndOddHeaders/>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C6296"/>
    <w:rsid w:val="0000008C"/>
    <w:rsid w:val="00000865"/>
    <w:rsid w:val="000009BD"/>
    <w:rsid w:val="00000CD8"/>
    <w:rsid w:val="00000D19"/>
    <w:rsid w:val="0000188C"/>
    <w:rsid w:val="000019B2"/>
    <w:rsid w:val="00001CDA"/>
    <w:rsid w:val="00001DFE"/>
    <w:rsid w:val="00002C9D"/>
    <w:rsid w:val="00003320"/>
    <w:rsid w:val="000044B4"/>
    <w:rsid w:val="00005156"/>
    <w:rsid w:val="00007309"/>
    <w:rsid w:val="00007507"/>
    <w:rsid w:val="000078A8"/>
    <w:rsid w:val="00010260"/>
    <w:rsid w:val="000112B2"/>
    <w:rsid w:val="0001143F"/>
    <w:rsid w:val="00012CAC"/>
    <w:rsid w:val="00013783"/>
    <w:rsid w:val="0001439B"/>
    <w:rsid w:val="00014459"/>
    <w:rsid w:val="00014578"/>
    <w:rsid w:val="000146EA"/>
    <w:rsid w:val="0001686C"/>
    <w:rsid w:val="00020350"/>
    <w:rsid w:val="000208B0"/>
    <w:rsid w:val="00021F68"/>
    <w:rsid w:val="000226E5"/>
    <w:rsid w:val="00022D07"/>
    <w:rsid w:val="00022F32"/>
    <w:rsid w:val="00023CD4"/>
    <w:rsid w:val="00023D22"/>
    <w:rsid w:val="00024029"/>
    <w:rsid w:val="00025201"/>
    <w:rsid w:val="00025783"/>
    <w:rsid w:val="00025BBA"/>
    <w:rsid w:val="00027E56"/>
    <w:rsid w:val="00030941"/>
    <w:rsid w:val="0003199F"/>
    <w:rsid w:val="00033011"/>
    <w:rsid w:val="0003438A"/>
    <w:rsid w:val="00034A8F"/>
    <w:rsid w:val="00034F72"/>
    <w:rsid w:val="00035011"/>
    <w:rsid w:val="00035273"/>
    <w:rsid w:val="00035478"/>
    <w:rsid w:val="00036A04"/>
    <w:rsid w:val="00037F7C"/>
    <w:rsid w:val="00040132"/>
    <w:rsid w:val="00040418"/>
    <w:rsid w:val="00040770"/>
    <w:rsid w:val="00040AD4"/>
    <w:rsid w:val="00040B5A"/>
    <w:rsid w:val="00041021"/>
    <w:rsid w:val="00041B36"/>
    <w:rsid w:val="00042ADF"/>
    <w:rsid w:val="00042EE2"/>
    <w:rsid w:val="00043598"/>
    <w:rsid w:val="000437C2"/>
    <w:rsid w:val="00043EE3"/>
    <w:rsid w:val="0004417E"/>
    <w:rsid w:val="0004447D"/>
    <w:rsid w:val="00044505"/>
    <w:rsid w:val="000446AD"/>
    <w:rsid w:val="00045376"/>
    <w:rsid w:val="00045F2A"/>
    <w:rsid w:val="00045F78"/>
    <w:rsid w:val="00046156"/>
    <w:rsid w:val="000462FB"/>
    <w:rsid w:val="0005053A"/>
    <w:rsid w:val="0005055F"/>
    <w:rsid w:val="00050A3D"/>
    <w:rsid w:val="00051E5C"/>
    <w:rsid w:val="00052C53"/>
    <w:rsid w:val="00053360"/>
    <w:rsid w:val="0005391F"/>
    <w:rsid w:val="00054558"/>
    <w:rsid w:val="00054815"/>
    <w:rsid w:val="0005484A"/>
    <w:rsid w:val="00054B2F"/>
    <w:rsid w:val="0005532E"/>
    <w:rsid w:val="00055E17"/>
    <w:rsid w:val="000560BB"/>
    <w:rsid w:val="0005617B"/>
    <w:rsid w:val="0005621E"/>
    <w:rsid w:val="000562EF"/>
    <w:rsid w:val="00056664"/>
    <w:rsid w:val="000567DF"/>
    <w:rsid w:val="00057359"/>
    <w:rsid w:val="00060439"/>
    <w:rsid w:val="0006051E"/>
    <w:rsid w:val="0006123C"/>
    <w:rsid w:val="0006127B"/>
    <w:rsid w:val="00061798"/>
    <w:rsid w:val="00061CAA"/>
    <w:rsid w:val="00061CAC"/>
    <w:rsid w:val="0006314D"/>
    <w:rsid w:val="00063548"/>
    <w:rsid w:val="00063F7A"/>
    <w:rsid w:val="00064A7C"/>
    <w:rsid w:val="00064C03"/>
    <w:rsid w:val="00064CFE"/>
    <w:rsid w:val="000665DD"/>
    <w:rsid w:val="000679EB"/>
    <w:rsid w:val="00070029"/>
    <w:rsid w:val="00070831"/>
    <w:rsid w:val="00070EAA"/>
    <w:rsid w:val="00071DBB"/>
    <w:rsid w:val="00071DDB"/>
    <w:rsid w:val="0007254A"/>
    <w:rsid w:val="00072631"/>
    <w:rsid w:val="000739C1"/>
    <w:rsid w:val="00073D96"/>
    <w:rsid w:val="00076347"/>
    <w:rsid w:val="000809F2"/>
    <w:rsid w:val="00080AC0"/>
    <w:rsid w:val="00081054"/>
    <w:rsid w:val="0008147C"/>
    <w:rsid w:val="0008148B"/>
    <w:rsid w:val="0008446A"/>
    <w:rsid w:val="000847BE"/>
    <w:rsid w:val="00086671"/>
    <w:rsid w:val="000877E7"/>
    <w:rsid w:val="000877F0"/>
    <w:rsid w:val="000900B0"/>
    <w:rsid w:val="00090A13"/>
    <w:rsid w:val="00090AC6"/>
    <w:rsid w:val="0009133A"/>
    <w:rsid w:val="0009169A"/>
    <w:rsid w:val="00091DCA"/>
    <w:rsid w:val="00091F01"/>
    <w:rsid w:val="00091FEE"/>
    <w:rsid w:val="0009218C"/>
    <w:rsid w:val="00092FB9"/>
    <w:rsid w:val="0009334D"/>
    <w:rsid w:val="00093383"/>
    <w:rsid w:val="000972BF"/>
    <w:rsid w:val="0009741B"/>
    <w:rsid w:val="000976BD"/>
    <w:rsid w:val="00097805"/>
    <w:rsid w:val="00097BEE"/>
    <w:rsid w:val="000A00ED"/>
    <w:rsid w:val="000A03E2"/>
    <w:rsid w:val="000A0CCF"/>
    <w:rsid w:val="000A198E"/>
    <w:rsid w:val="000A2AFE"/>
    <w:rsid w:val="000A3153"/>
    <w:rsid w:val="000A3253"/>
    <w:rsid w:val="000A5526"/>
    <w:rsid w:val="000A5591"/>
    <w:rsid w:val="000A564E"/>
    <w:rsid w:val="000A573A"/>
    <w:rsid w:val="000A5837"/>
    <w:rsid w:val="000A60DF"/>
    <w:rsid w:val="000A6979"/>
    <w:rsid w:val="000B05C3"/>
    <w:rsid w:val="000B0965"/>
    <w:rsid w:val="000B1CB7"/>
    <w:rsid w:val="000B306F"/>
    <w:rsid w:val="000B3F36"/>
    <w:rsid w:val="000B4087"/>
    <w:rsid w:val="000B4A3B"/>
    <w:rsid w:val="000B5837"/>
    <w:rsid w:val="000B69E5"/>
    <w:rsid w:val="000B7B0B"/>
    <w:rsid w:val="000C044A"/>
    <w:rsid w:val="000C15BD"/>
    <w:rsid w:val="000C1708"/>
    <w:rsid w:val="000C2863"/>
    <w:rsid w:val="000C2E9D"/>
    <w:rsid w:val="000C3501"/>
    <w:rsid w:val="000C35DE"/>
    <w:rsid w:val="000C5168"/>
    <w:rsid w:val="000C541E"/>
    <w:rsid w:val="000C565D"/>
    <w:rsid w:val="000C60E0"/>
    <w:rsid w:val="000C78A2"/>
    <w:rsid w:val="000C7A2E"/>
    <w:rsid w:val="000D05CA"/>
    <w:rsid w:val="000D2263"/>
    <w:rsid w:val="000D29B2"/>
    <w:rsid w:val="000D3AA8"/>
    <w:rsid w:val="000D5034"/>
    <w:rsid w:val="000D58EE"/>
    <w:rsid w:val="000D799D"/>
    <w:rsid w:val="000D7ED6"/>
    <w:rsid w:val="000E09DE"/>
    <w:rsid w:val="000E0CA5"/>
    <w:rsid w:val="000E0F29"/>
    <w:rsid w:val="000E1D05"/>
    <w:rsid w:val="000E2E67"/>
    <w:rsid w:val="000E3264"/>
    <w:rsid w:val="000E3318"/>
    <w:rsid w:val="000E33AA"/>
    <w:rsid w:val="000E3C36"/>
    <w:rsid w:val="000E516D"/>
    <w:rsid w:val="000E58CE"/>
    <w:rsid w:val="000E5CB7"/>
    <w:rsid w:val="000E772F"/>
    <w:rsid w:val="000E7C31"/>
    <w:rsid w:val="000F04B4"/>
    <w:rsid w:val="000F0C5E"/>
    <w:rsid w:val="000F175C"/>
    <w:rsid w:val="000F20EE"/>
    <w:rsid w:val="000F2431"/>
    <w:rsid w:val="000F2AA2"/>
    <w:rsid w:val="000F2DDA"/>
    <w:rsid w:val="000F31C6"/>
    <w:rsid w:val="000F3BDC"/>
    <w:rsid w:val="000F3DE1"/>
    <w:rsid w:val="000F57EB"/>
    <w:rsid w:val="000F63F5"/>
    <w:rsid w:val="000F6AF4"/>
    <w:rsid w:val="000F6DEB"/>
    <w:rsid w:val="000F768C"/>
    <w:rsid w:val="00100231"/>
    <w:rsid w:val="001007BA"/>
    <w:rsid w:val="001013DD"/>
    <w:rsid w:val="001027AC"/>
    <w:rsid w:val="00102929"/>
    <w:rsid w:val="00102A97"/>
    <w:rsid w:val="00103807"/>
    <w:rsid w:val="00103BC0"/>
    <w:rsid w:val="00104088"/>
    <w:rsid w:val="0010410C"/>
    <w:rsid w:val="00107A1C"/>
    <w:rsid w:val="00110317"/>
    <w:rsid w:val="001105EC"/>
    <w:rsid w:val="00110CEE"/>
    <w:rsid w:val="001163CD"/>
    <w:rsid w:val="00116803"/>
    <w:rsid w:val="001171A5"/>
    <w:rsid w:val="001202DB"/>
    <w:rsid w:val="0012168E"/>
    <w:rsid w:val="001219EF"/>
    <w:rsid w:val="00122C1F"/>
    <w:rsid w:val="00122EF5"/>
    <w:rsid w:val="00124016"/>
    <w:rsid w:val="00124344"/>
    <w:rsid w:val="00124DC1"/>
    <w:rsid w:val="001259FB"/>
    <w:rsid w:val="00126805"/>
    <w:rsid w:val="001270CC"/>
    <w:rsid w:val="00130E55"/>
    <w:rsid w:val="00131533"/>
    <w:rsid w:val="00131F22"/>
    <w:rsid w:val="00132118"/>
    <w:rsid w:val="00132A24"/>
    <w:rsid w:val="00133A73"/>
    <w:rsid w:val="00133C3B"/>
    <w:rsid w:val="00133F56"/>
    <w:rsid w:val="00136358"/>
    <w:rsid w:val="001369FF"/>
    <w:rsid w:val="00136B7C"/>
    <w:rsid w:val="00136C17"/>
    <w:rsid w:val="00137BAF"/>
    <w:rsid w:val="00141A82"/>
    <w:rsid w:val="001425A4"/>
    <w:rsid w:val="00143A91"/>
    <w:rsid w:val="00144388"/>
    <w:rsid w:val="00144799"/>
    <w:rsid w:val="00144BE1"/>
    <w:rsid w:val="0014538C"/>
    <w:rsid w:val="00146815"/>
    <w:rsid w:val="00146C36"/>
    <w:rsid w:val="00147EDF"/>
    <w:rsid w:val="00150B81"/>
    <w:rsid w:val="001511A7"/>
    <w:rsid w:val="00151CAE"/>
    <w:rsid w:val="00152857"/>
    <w:rsid w:val="00153ABF"/>
    <w:rsid w:val="00154C88"/>
    <w:rsid w:val="00155536"/>
    <w:rsid w:val="00156333"/>
    <w:rsid w:val="00157B0E"/>
    <w:rsid w:val="001612B6"/>
    <w:rsid w:val="00161F2C"/>
    <w:rsid w:val="001622CC"/>
    <w:rsid w:val="001623F0"/>
    <w:rsid w:val="001645CF"/>
    <w:rsid w:val="0016600F"/>
    <w:rsid w:val="00166185"/>
    <w:rsid w:val="00166727"/>
    <w:rsid w:val="00167EBB"/>
    <w:rsid w:val="00172544"/>
    <w:rsid w:val="001727F9"/>
    <w:rsid w:val="00172A4C"/>
    <w:rsid w:val="00172B04"/>
    <w:rsid w:val="00172CD5"/>
    <w:rsid w:val="0017327A"/>
    <w:rsid w:val="00174B7A"/>
    <w:rsid w:val="00174CA0"/>
    <w:rsid w:val="00174DA9"/>
    <w:rsid w:val="00175016"/>
    <w:rsid w:val="00175321"/>
    <w:rsid w:val="00176148"/>
    <w:rsid w:val="00176EA8"/>
    <w:rsid w:val="00176F36"/>
    <w:rsid w:val="00177105"/>
    <w:rsid w:val="0017757A"/>
    <w:rsid w:val="00177AAE"/>
    <w:rsid w:val="00177C95"/>
    <w:rsid w:val="00180560"/>
    <w:rsid w:val="00181D9A"/>
    <w:rsid w:val="00182D3B"/>
    <w:rsid w:val="001840FC"/>
    <w:rsid w:val="00184329"/>
    <w:rsid w:val="001857BA"/>
    <w:rsid w:val="001857C9"/>
    <w:rsid w:val="00185A46"/>
    <w:rsid w:val="00186C03"/>
    <w:rsid w:val="001879EC"/>
    <w:rsid w:val="00187CEC"/>
    <w:rsid w:val="00190EC2"/>
    <w:rsid w:val="001921BC"/>
    <w:rsid w:val="00192D1F"/>
    <w:rsid w:val="001932BA"/>
    <w:rsid w:val="001936E2"/>
    <w:rsid w:val="00193788"/>
    <w:rsid w:val="0019438D"/>
    <w:rsid w:val="0019441A"/>
    <w:rsid w:val="00194878"/>
    <w:rsid w:val="001951AA"/>
    <w:rsid w:val="0019599C"/>
    <w:rsid w:val="00195C26"/>
    <w:rsid w:val="00196757"/>
    <w:rsid w:val="00197141"/>
    <w:rsid w:val="001A1D4E"/>
    <w:rsid w:val="001A1E2C"/>
    <w:rsid w:val="001A3BD5"/>
    <w:rsid w:val="001A46D4"/>
    <w:rsid w:val="001A564E"/>
    <w:rsid w:val="001A6B29"/>
    <w:rsid w:val="001A6DCA"/>
    <w:rsid w:val="001A7212"/>
    <w:rsid w:val="001A7AF4"/>
    <w:rsid w:val="001B0646"/>
    <w:rsid w:val="001B0850"/>
    <w:rsid w:val="001B1D3F"/>
    <w:rsid w:val="001B1D90"/>
    <w:rsid w:val="001B2352"/>
    <w:rsid w:val="001B4AF2"/>
    <w:rsid w:val="001B5B1B"/>
    <w:rsid w:val="001B6085"/>
    <w:rsid w:val="001B7635"/>
    <w:rsid w:val="001C16C4"/>
    <w:rsid w:val="001C19E9"/>
    <w:rsid w:val="001C2930"/>
    <w:rsid w:val="001C36C2"/>
    <w:rsid w:val="001C3B07"/>
    <w:rsid w:val="001C4B9F"/>
    <w:rsid w:val="001C5BC1"/>
    <w:rsid w:val="001C5D93"/>
    <w:rsid w:val="001C6039"/>
    <w:rsid w:val="001C6319"/>
    <w:rsid w:val="001C7BA0"/>
    <w:rsid w:val="001C7FE7"/>
    <w:rsid w:val="001D058B"/>
    <w:rsid w:val="001D0980"/>
    <w:rsid w:val="001D13C4"/>
    <w:rsid w:val="001D177B"/>
    <w:rsid w:val="001D1CA6"/>
    <w:rsid w:val="001D3DA8"/>
    <w:rsid w:val="001D51EB"/>
    <w:rsid w:val="001D5D4A"/>
    <w:rsid w:val="001D6560"/>
    <w:rsid w:val="001D667E"/>
    <w:rsid w:val="001D6B1A"/>
    <w:rsid w:val="001D6C44"/>
    <w:rsid w:val="001D7424"/>
    <w:rsid w:val="001E0565"/>
    <w:rsid w:val="001E0846"/>
    <w:rsid w:val="001E0D5B"/>
    <w:rsid w:val="001E138B"/>
    <w:rsid w:val="001E1DC2"/>
    <w:rsid w:val="001E2198"/>
    <w:rsid w:val="001E29CE"/>
    <w:rsid w:val="001E2E46"/>
    <w:rsid w:val="001E386A"/>
    <w:rsid w:val="001E4F7F"/>
    <w:rsid w:val="001E5722"/>
    <w:rsid w:val="001E630A"/>
    <w:rsid w:val="001E6A2B"/>
    <w:rsid w:val="001F119B"/>
    <w:rsid w:val="001F18F7"/>
    <w:rsid w:val="001F2A8D"/>
    <w:rsid w:val="001F3309"/>
    <w:rsid w:val="001F35A7"/>
    <w:rsid w:val="001F3F56"/>
    <w:rsid w:val="001F44AA"/>
    <w:rsid w:val="001F580F"/>
    <w:rsid w:val="001F6410"/>
    <w:rsid w:val="001F6505"/>
    <w:rsid w:val="001F6C76"/>
    <w:rsid w:val="001F74B6"/>
    <w:rsid w:val="002003BD"/>
    <w:rsid w:val="00201F89"/>
    <w:rsid w:val="002022AD"/>
    <w:rsid w:val="0020285E"/>
    <w:rsid w:val="002028B2"/>
    <w:rsid w:val="002032E9"/>
    <w:rsid w:val="00203408"/>
    <w:rsid w:val="00203747"/>
    <w:rsid w:val="00203F15"/>
    <w:rsid w:val="00204C40"/>
    <w:rsid w:val="00204F7C"/>
    <w:rsid w:val="002058AE"/>
    <w:rsid w:val="00206790"/>
    <w:rsid w:val="00207694"/>
    <w:rsid w:val="00207F1D"/>
    <w:rsid w:val="0021010B"/>
    <w:rsid w:val="00211571"/>
    <w:rsid w:val="00212A98"/>
    <w:rsid w:val="00213C37"/>
    <w:rsid w:val="00215AF9"/>
    <w:rsid w:val="00215D82"/>
    <w:rsid w:val="002165A4"/>
    <w:rsid w:val="00216C61"/>
    <w:rsid w:val="00216E43"/>
    <w:rsid w:val="00220FB1"/>
    <w:rsid w:val="002212ED"/>
    <w:rsid w:val="002216AB"/>
    <w:rsid w:val="0022182C"/>
    <w:rsid w:val="00222040"/>
    <w:rsid w:val="0022225A"/>
    <w:rsid w:val="0022238C"/>
    <w:rsid w:val="00222623"/>
    <w:rsid w:val="0022263C"/>
    <w:rsid w:val="00222753"/>
    <w:rsid w:val="002243CB"/>
    <w:rsid w:val="002251B1"/>
    <w:rsid w:val="0022556B"/>
    <w:rsid w:val="00225864"/>
    <w:rsid w:val="002258D1"/>
    <w:rsid w:val="002265E8"/>
    <w:rsid w:val="00227812"/>
    <w:rsid w:val="002305DA"/>
    <w:rsid w:val="00230C22"/>
    <w:rsid w:val="00230E6E"/>
    <w:rsid w:val="00231F9D"/>
    <w:rsid w:val="00232B3C"/>
    <w:rsid w:val="00232FBB"/>
    <w:rsid w:val="00233095"/>
    <w:rsid w:val="0023337B"/>
    <w:rsid w:val="00234072"/>
    <w:rsid w:val="002363D7"/>
    <w:rsid w:val="00236539"/>
    <w:rsid w:val="002368C6"/>
    <w:rsid w:val="00236BC7"/>
    <w:rsid w:val="00236DC9"/>
    <w:rsid w:val="0023732E"/>
    <w:rsid w:val="00237A88"/>
    <w:rsid w:val="0024000C"/>
    <w:rsid w:val="00240664"/>
    <w:rsid w:val="00240F50"/>
    <w:rsid w:val="002416D7"/>
    <w:rsid w:val="00242F1D"/>
    <w:rsid w:val="002433FC"/>
    <w:rsid w:val="002443C4"/>
    <w:rsid w:val="00244AFB"/>
    <w:rsid w:val="00244D93"/>
    <w:rsid w:val="002451EA"/>
    <w:rsid w:val="00245F93"/>
    <w:rsid w:val="002466AB"/>
    <w:rsid w:val="0024691F"/>
    <w:rsid w:val="00247B04"/>
    <w:rsid w:val="00250BE3"/>
    <w:rsid w:val="00250EB2"/>
    <w:rsid w:val="00251C51"/>
    <w:rsid w:val="002550D2"/>
    <w:rsid w:val="0025541C"/>
    <w:rsid w:val="002565F1"/>
    <w:rsid w:val="0025712E"/>
    <w:rsid w:val="002574E3"/>
    <w:rsid w:val="00260977"/>
    <w:rsid w:val="00261182"/>
    <w:rsid w:val="0026200C"/>
    <w:rsid w:val="002622DE"/>
    <w:rsid w:val="00262315"/>
    <w:rsid w:val="0026292A"/>
    <w:rsid w:val="00262CB9"/>
    <w:rsid w:val="00262D11"/>
    <w:rsid w:val="00263EC7"/>
    <w:rsid w:val="00264145"/>
    <w:rsid w:val="002647CB"/>
    <w:rsid w:val="002652BC"/>
    <w:rsid w:val="0026580E"/>
    <w:rsid w:val="00265C25"/>
    <w:rsid w:val="00266475"/>
    <w:rsid w:val="00266D28"/>
    <w:rsid w:val="0027007F"/>
    <w:rsid w:val="00270496"/>
    <w:rsid w:val="00270CCC"/>
    <w:rsid w:val="00270DBC"/>
    <w:rsid w:val="00271E18"/>
    <w:rsid w:val="00271EBA"/>
    <w:rsid w:val="00272278"/>
    <w:rsid w:val="00272E49"/>
    <w:rsid w:val="002738CE"/>
    <w:rsid w:val="002742D1"/>
    <w:rsid w:val="002749AB"/>
    <w:rsid w:val="00275E35"/>
    <w:rsid w:val="00276D4C"/>
    <w:rsid w:val="00277ABC"/>
    <w:rsid w:val="00277B8F"/>
    <w:rsid w:val="00280044"/>
    <w:rsid w:val="00280B5B"/>
    <w:rsid w:val="00282D57"/>
    <w:rsid w:val="0028344D"/>
    <w:rsid w:val="00283578"/>
    <w:rsid w:val="00284392"/>
    <w:rsid w:val="00285608"/>
    <w:rsid w:val="00286995"/>
    <w:rsid w:val="00286BFB"/>
    <w:rsid w:val="00286C5A"/>
    <w:rsid w:val="00290415"/>
    <w:rsid w:val="00290B2A"/>
    <w:rsid w:val="0029144A"/>
    <w:rsid w:val="002915F0"/>
    <w:rsid w:val="00291B39"/>
    <w:rsid w:val="00292A3D"/>
    <w:rsid w:val="00293A79"/>
    <w:rsid w:val="00293D94"/>
    <w:rsid w:val="00293DAE"/>
    <w:rsid w:val="00294A56"/>
    <w:rsid w:val="00294A73"/>
    <w:rsid w:val="00294F07"/>
    <w:rsid w:val="002977A9"/>
    <w:rsid w:val="00297C10"/>
    <w:rsid w:val="00297CB7"/>
    <w:rsid w:val="002A0075"/>
    <w:rsid w:val="002A02D1"/>
    <w:rsid w:val="002A0A2F"/>
    <w:rsid w:val="002A0C0D"/>
    <w:rsid w:val="002A20EA"/>
    <w:rsid w:val="002A6B46"/>
    <w:rsid w:val="002B0DAA"/>
    <w:rsid w:val="002B1427"/>
    <w:rsid w:val="002B1FCA"/>
    <w:rsid w:val="002B218E"/>
    <w:rsid w:val="002B2331"/>
    <w:rsid w:val="002B3271"/>
    <w:rsid w:val="002B33DB"/>
    <w:rsid w:val="002B3EE6"/>
    <w:rsid w:val="002B405C"/>
    <w:rsid w:val="002B4B9C"/>
    <w:rsid w:val="002B59DE"/>
    <w:rsid w:val="002B627A"/>
    <w:rsid w:val="002B68D5"/>
    <w:rsid w:val="002B6990"/>
    <w:rsid w:val="002B6EAD"/>
    <w:rsid w:val="002B7B92"/>
    <w:rsid w:val="002C07D1"/>
    <w:rsid w:val="002C21CE"/>
    <w:rsid w:val="002C2642"/>
    <w:rsid w:val="002C2E28"/>
    <w:rsid w:val="002C3A36"/>
    <w:rsid w:val="002C4266"/>
    <w:rsid w:val="002C43C7"/>
    <w:rsid w:val="002C4805"/>
    <w:rsid w:val="002C4BA7"/>
    <w:rsid w:val="002C4F7F"/>
    <w:rsid w:val="002C547D"/>
    <w:rsid w:val="002C54D1"/>
    <w:rsid w:val="002C5955"/>
    <w:rsid w:val="002C5F4C"/>
    <w:rsid w:val="002C6B7A"/>
    <w:rsid w:val="002C728A"/>
    <w:rsid w:val="002C75CA"/>
    <w:rsid w:val="002D06D1"/>
    <w:rsid w:val="002D13FD"/>
    <w:rsid w:val="002D15DF"/>
    <w:rsid w:val="002D1731"/>
    <w:rsid w:val="002D1A4A"/>
    <w:rsid w:val="002D1B5C"/>
    <w:rsid w:val="002D1B6C"/>
    <w:rsid w:val="002D21A5"/>
    <w:rsid w:val="002D2229"/>
    <w:rsid w:val="002D26CF"/>
    <w:rsid w:val="002D312D"/>
    <w:rsid w:val="002D373A"/>
    <w:rsid w:val="002D3C2D"/>
    <w:rsid w:val="002D40B8"/>
    <w:rsid w:val="002D47DB"/>
    <w:rsid w:val="002D485A"/>
    <w:rsid w:val="002D4E53"/>
    <w:rsid w:val="002D50ED"/>
    <w:rsid w:val="002D631F"/>
    <w:rsid w:val="002D70B2"/>
    <w:rsid w:val="002D72BC"/>
    <w:rsid w:val="002D790B"/>
    <w:rsid w:val="002E0045"/>
    <w:rsid w:val="002E1523"/>
    <w:rsid w:val="002E1771"/>
    <w:rsid w:val="002E181E"/>
    <w:rsid w:val="002E38E8"/>
    <w:rsid w:val="002E3A59"/>
    <w:rsid w:val="002E46F7"/>
    <w:rsid w:val="002E4878"/>
    <w:rsid w:val="002E52A2"/>
    <w:rsid w:val="002E72F3"/>
    <w:rsid w:val="002F1077"/>
    <w:rsid w:val="002F185E"/>
    <w:rsid w:val="002F2D42"/>
    <w:rsid w:val="002F34A3"/>
    <w:rsid w:val="002F431A"/>
    <w:rsid w:val="002F468E"/>
    <w:rsid w:val="002F555E"/>
    <w:rsid w:val="002F6CD5"/>
    <w:rsid w:val="00300051"/>
    <w:rsid w:val="003008C6"/>
    <w:rsid w:val="00300E8A"/>
    <w:rsid w:val="00301DE8"/>
    <w:rsid w:val="00301E63"/>
    <w:rsid w:val="0030383E"/>
    <w:rsid w:val="0030470D"/>
    <w:rsid w:val="00304A8F"/>
    <w:rsid w:val="00305A8E"/>
    <w:rsid w:val="00305C85"/>
    <w:rsid w:val="0030764D"/>
    <w:rsid w:val="00307E22"/>
    <w:rsid w:val="00310492"/>
    <w:rsid w:val="00310E5B"/>
    <w:rsid w:val="00311550"/>
    <w:rsid w:val="0031189F"/>
    <w:rsid w:val="00311D06"/>
    <w:rsid w:val="00312260"/>
    <w:rsid w:val="00312618"/>
    <w:rsid w:val="00312881"/>
    <w:rsid w:val="00312AAF"/>
    <w:rsid w:val="00312BAC"/>
    <w:rsid w:val="00313B71"/>
    <w:rsid w:val="00313E64"/>
    <w:rsid w:val="00314330"/>
    <w:rsid w:val="00314735"/>
    <w:rsid w:val="003160DB"/>
    <w:rsid w:val="00316166"/>
    <w:rsid w:val="00316270"/>
    <w:rsid w:val="00316312"/>
    <w:rsid w:val="003164C1"/>
    <w:rsid w:val="003168D7"/>
    <w:rsid w:val="00320626"/>
    <w:rsid w:val="00321395"/>
    <w:rsid w:val="00321EE8"/>
    <w:rsid w:val="00322B20"/>
    <w:rsid w:val="00322C71"/>
    <w:rsid w:val="00322EBA"/>
    <w:rsid w:val="003231C4"/>
    <w:rsid w:val="0032364E"/>
    <w:rsid w:val="00325898"/>
    <w:rsid w:val="00325AF3"/>
    <w:rsid w:val="00325D3C"/>
    <w:rsid w:val="00326183"/>
    <w:rsid w:val="003268F2"/>
    <w:rsid w:val="003269DA"/>
    <w:rsid w:val="00330E65"/>
    <w:rsid w:val="00332E48"/>
    <w:rsid w:val="003331A2"/>
    <w:rsid w:val="00334261"/>
    <w:rsid w:val="00335CA1"/>
    <w:rsid w:val="003360AE"/>
    <w:rsid w:val="0033736D"/>
    <w:rsid w:val="00340108"/>
    <w:rsid w:val="00340A36"/>
    <w:rsid w:val="0034130C"/>
    <w:rsid w:val="00342C3F"/>
    <w:rsid w:val="00342E63"/>
    <w:rsid w:val="00343230"/>
    <w:rsid w:val="0034488E"/>
    <w:rsid w:val="00344E20"/>
    <w:rsid w:val="00345E3B"/>
    <w:rsid w:val="00345F40"/>
    <w:rsid w:val="00346226"/>
    <w:rsid w:val="003465F3"/>
    <w:rsid w:val="00347123"/>
    <w:rsid w:val="00347858"/>
    <w:rsid w:val="00347EA2"/>
    <w:rsid w:val="00347ED9"/>
    <w:rsid w:val="00350084"/>
    <w:rsid w:val="003501B5"/>
    <w:rsid w:val="00352DF5"/>
    <w:rsid w:val="00352F24"/>
    <w:rsid w:val="0035419E"/>
    <w:rsid w:val="00357FD5"/>
    <w:rsid w:val="0036025E"/>
    <w:rsid w:val="003610A9"/>
    <w:rsid w:val="00361D58"/>
    <w:rsid w:val="00362443"/>
    <w:rsid w:val="00362B3C"/>
    <w:rsid w:val="003647C4"/>
    <w:rsid w:val="00367552"/>
    <w:rsid w:val="003678D0"/>
    <w:rsid w:val="00367A70"/>
    <w:rsid w:val="00370294"/>
    <w:rsid w:val="00371028"/>
    <w:rsid w:val="00371883"/>
    <w:rsid w:val="003725A1"/>
    <w:rsid w:val="00373B30"/>
    <w:rsid w:val="003746FD"/>
    <w:rsid w:val="0037647A"/>
    <w:rsid w:val="00380657"/>
    <w:rsid w:val="003808DC"/>
    <w:rsid w:val="00380A67"/>
    <w:rsid w:val="00380BFF"/>
    <w:rsid w:val="003822B8"/>
    <w:rsid w:val="00383182"/>
    <w:rsid w:val="00383659"/>
    <w:rsid w:val="0038395D"/>
    <w:rsid w:val="00384429"/>
    <w:rsid w:val="0038455D"/>
    <w:rsid w:val="00386623"/>
    <w:rsid w:val="00386B1C"/>
    <w:rsid w:val="0038709E"/>
    <w:rsid w:val="00387ED2"/>
    <w:rsid w:val="00390912"/>
    <w:rsid w:val="00390D24"/>
    <w:rsid w:val="003918E2"/>
    <w:rsid w:val="00391A66"/>
    <w:rsid w:val="00393F2D"/>
    <w:rsid w:val="0039587E"/>
    <w:rsid w:val="00395E08"/>
    <w:rsid w:val="0039624E"/>
    <w:rsid w:val="00396F78"/>
    <w:rsid w:val="00397CBC"/>
    <w:rsid w:val="003A169B"/>
    <w:rsid w:val="003A26AA"/>
    <w:rsid w:val="003A2A5F"/>
    <w:rsid w:val="003A2D96"/>
    <w:rsid w:val="003A3F6F"/>
    <w:rsid w:val="003A530D"/>
    <w:rsid w:val="003A53F7"/>
    <w:rsid w:val="003A583B"/>
    <w:rsid w:val="003A5EFD"/>
    <w:rsid w:val="003A64FF"/>
    <w:rsid w:val="003A7252"/>
    <w:rsid w:val="003A76FA"/>
    <w:rsid w:val="003A7ED6"/>
    <w:rsid w:val="003A7FB0"/>
    <w:rsid w:val="003B0702"/>
    <w:rsid w:val="003B0B7D"/>
    <w:rsid w:val="003B11D4"/>
    <w:rsid w:val="003B1B0C"/>
    <w:rsid w:val="003B25AD"/>
    <w:rsid w:val="003B54A9"/>
    <w:rsid w:val="003B60CC"/>
    <w:rsid w:val="003B66BE"/>
    <w:rsid w:val="003B724F"/>
    <w:rsid w:val="003C0627"/>
    <w:rsid w:val="003C16D0"/>
    <w:rsid w:val="003C1763"/>
    <w:rsid w:val="003C2A25"/>
    <w:rsid w:val="003C34A4"/>
    <w:rsid w:val="003C550D"/>
    <w:rsid w:val="003C55CE"/>
    <w:rsid w:val="003C5760"/>
    <w:rsid w:val="003C5D74"/>
    <w:rsid w:val="003C5ECF"/>
    <w:rsid w:val="003C6473"/>
    <w:rsid w:val="003C688C"/>
    <w:rsid w:val="003C6944"/>
    <w:rsid w:val="003C717C"/>
    <w:rsid w:val="003C757D"/>
    <w:rsid w:val="003C7B46"/>
    <w:rsid w:val="003D002F"/>
    <w:rsid w:val="003D03DD"/>
    <w:rsid w:val="003D0495"/>
    <w:rsid w:val="003D139C"/>
    <w:rsid w:val="003D14E0"/>
    <w:rsid w:val="003D1919"/>
    <w:rsid w:val="003D2ABC"/>
    <w:rsid w:val="003D2ED0"/>
    <w:rsid w:val="003D3298"/>
    <w:rsid w:val="003D4521"/>
    <w:rsid w:val="003D50C7"/>
    <w:rsid w:val="003D5160"/>
    <w:rsid w:val="003D5BB5"/>
    <w:rsid w:val="003D6F34"/>
    <w:rsid w:val="003E108F"/>
    <w:rsid w:val="003E33B8"/>
    <w:rsid w:val="003E3928"/>
    <w:rsid w:val="003E393B"/>
    <w:rsid w:val="003E3A72"/>
    <w:rsid w:val="003E42B2"/>
    <w:rsid w:val="003E5354"/>
    <w:rsid w:val="003E5598"/>
    <w:rsid w:val="003E5657"/>
    <w:rsid w:val="003E5946"/>
    <w:rsid w:val="003E7278"/>
    <w:rsid w:val="003E7B67"/>
    <w:rsid w:val="003F02BC"/>
    <w:rsid w:val="003F02D3"/>
    <w:rsid w:val="003F05F5"/>
    <w:rsid w:val="003F0A0B"/>
    <w:rsid w:val="003F0CDF"/>
    <w:rsid w:val="003F1445"/>
    <w:rsid w:val="003F1599"/>
    <w:rsid w:val="003F2F53"/>
    <w:rsid w:val="003F332A"/>
    <w:rsid w:val="003F5FAF"/>
    <w:rsid w:val="003F72EE"/>
    <w:rsid w:val="003F788D"/>
    <w:rsid w:val="003F7CE0"/>
    <w:rsid w:val="003F7EA7"/>
    <w:rsid w:val="004003E1"/>
    <w:rsid w:val="00400AAA"/>
    <w:rsid w:val="00401177"/>
    <w:rsid w:val="00401BE6"/>
    <w:rsid w:val="00402E38"/>
    <w:rsid w:val="00404475"/>
    <w:rsid w:val="00404CB7"/>
    <w:rsid w:val="004050BA"/>
    <w:rsid w:val="00405209"/>
    <w:rsid w:val="00405BD3"/>
    <w:rsid w:val="00407175"/>
    <w:rsid w:val="00407630"/>
    <w:rsid w:val="00410A29"/>
    <w:rsid w:val="00410E75"/>
    <w:rsid w:val="00411289"/>
    <w:rsid w:val="004113F8"/>
    <w:rsid w:val="004116E3"/>
    <w:rsid w:val="00411D00"/>
    <w:rsid w:val="00412B93"/>
    <w:rsid w:val="00413285"/>
    <w:rsid w:val="00414F4E"/>
    <w:rsid w:val="004151CB"/>
    <w:rsid w:val="00416781"/>
    <w:rsid w:val="0041742C"/>
    <w:rsid w:val="00417FA4"/>
    <w:rsid w:val="00420F32"/>
    <w:rsid w:val="004212CC"/>
    <w:rsid w:val="0042156B"/>
    <w:rsid w:val="00421BB3"/>
    <w:rsid w:val="00421DD5"/>
    <w:rsid w:val="00421E61"/>
    <w:rsid w:val="0042239B"/>
    <w:rsid w:val="00422F1B"/>
    <w:rsid w:val="004233AB"/>
    <w:rsid w:val="00424672"/>
    <w:rsid w:val="00424A96"/>
    <w:rsid w:val="00424E36"/>
    <w:rsid w:val="00426457"/>
    <w:rsid w:val="00426BA3"/>
    <w:rsid w:val="00427B27"/>
    <w:rsid w:val="00427F18"/>
    <w:rsid w:val="004300E6"/>
    <w:rsid w:val="00431B8C"/>
    <w:rsid w:val="00431D83"/>
    <w:rsid w:val="0043285E"/>
    <w:rsid w:val="0043387E"/>
    <w:rsid w:val="00433ED3"/>
    <w:rsid w:val="00435040"/>
    <w:rsid w:val="00435150"/>
    <w:rsid w:val="00435185"/>
    <w:rsid w:val="004368FD"/>
    <w:rsid w:val="00436B49"/>
    <w:rsid w:val="0043719C"/>
    <w:rsid w:val="00437360"/>
    <w:rsid w:val="004376FF"/>
    <w:rsid w:val="00440D12"/>
    <w:rsid w:val="004411DB"/>
    <w:rsid w:val="00441666"/>
    <w:rsid w:val="00441956"/>
    <w:rsid w:val="00441F1D"/>
    <w:rsid w:val="004420BF"/>
    <w:rsid w:val="00442631"/>
    <w:rsid w:val="00443B36"/>
    <w:rsid w:val="00444276"/>
    <w:rsid w:val="0044464B"/>
    <w:rsid w:val="00444952"/>
    <w:rsid w:val="0044497A"/>
    <w:rsid w:val="00444FA9"/>
    <w:rsid w:val="004453BA"/>
    <w:rsid w:val="00445A5C"/>
    <w:rsid w:val="0044614E"/>
    <w:rsid w:val="00447617"/>
    <w:rsid w:val="00447DD0"/>
    <w:rsid w:val="004508F3"/>
    <w:rsid w:val="004509DB"/>
    <w:rsid w:val="004516BD"/>
    <w:rsid w:val="0045254E"/>
    <w:rsid w:val="00452A2C"/>
    <w:rsid w:val="00452F99"/>
    <w:rsid w:val="00453FC9"/>
    <w:rsid w:val="00454A10"/>
    <w:rsid w:val="00455033"/>
    <w:rsid w:val="00455130"/>
    <w:rsid w:val="004553F7"/>
    <w:rsid w:val="00456176"/>
    <w:rsid w:val="00456668"/>
    <w:rsid w:val="00457B3C"/>
    <w:rsid w:val="00457C7D"/>
    <w:rsid w:val="00460C0D"/>
    <w:rsid w:val="00462571"/>
    <w:rsid w:val="00463767"/>
    <w:rsid w:val="004638BA"/>
    <w:rsid w:val="00463E94"/>
    <w:rsid w:val="0046418A"/>
    <w:rsid w:val="004646C0"/>
    <w:rsid w:val="004646C9"/>
    <w:rsid w:val="00464D2A"/>
    <w:rsid w:val="00464FD6"/>
    <w:rsid w:val="004669DC"/>
    <w:rsid w:val="00467DF2"/>
    <w:rsid w:val="00470B0B"/>
    <w:rsid w:val="0047111F"/>
    <w:rsid w:val="00472A07"/>
    <w:rsid w:val="00472C7E"/>
    <w:rsid w:val="004733CA"/>
    <w:rsid w:val="00473A96"/>
    <w:rsid w:val="004745DE"/>
    <w:rsid w:val="00475814"/>
    <w:rsid w:val="00475C6C"/>
    <w:rsid w:val="00475D5D"/>
    <w:rsid w:val="00476270"/>
    <w:rsid w:val="00476491"/>
    <w:rsid w:val="0047663E"/>
    <w:rsid w:val="004776FD"/>
    <w:rsid w:val="0047798D"/>
    <w:rsid w:val="004800DE"/>
    <w:rsid w:val="00480204"/>
    <w:rsid w:val="00485FB6"/>
    <w:rsid w:val="004866D3"/>
    <w:rsid w:val="004871AE"/>
    <w:rsid w:val="00487CEC"/>
    <w:rsid w:val="00487DEB"/>
    <w:rsid w:val="00491225"/>
    <w:rsid w:val="00491A63"/>
    <w:rsid w:val="00491C1B"/>
    <w:rsid w:val="0049219B"/>
    <w:rsid w:val="00492C88"/>
    <w:rsid w:val="00493666"/>
    <w:rsid w:val="004941DC"/>
    <w:rsid w:val="00494B00"/>
    <w:rsid w:val="00494C3C"/>
    <w:rsid w:val="00494E37"/>
    <w:rsid w:val="0049505F"/>
    <w:rsid w:val="00495337"/>
    <w:rsid w:val="00495354"/>
    <w:rsid w:val="0049566D"/>
    <w:rsid w:val="00495ACB"/>
    <w:rsid w:val="00495B1C"/>
    <w:rsid w:val="00495DC6"/>
    <w:rsid w:val="0049645B"/>
    <w:rsid w:val="00496D30"/>
    <w:rsid w:val="004A00AB"/>
    <w:rsid w:val="004A0357"/>
    <w:rsid w:val="004A1339"/>
    <w:rsid w:val="004A192F"/>
    <w:rsid w:val="004A2851"/>
    <w:rsid w:val="004A392D"/>
    <w:rsid w:val="004A4500"/>
    <w:rsid w:val="004A4D13"/>
    <w:rsid w:val="004A5107"/>
    <w:rsid w:val="004A6ECA"/>
    <w:rsid w:val="004A7723"/>
    <w:rsid w:val="004A7897"/>
    <w:rsid w:val="004B0740"/>
    <w:rsid w:val="004B10FD"/>
    <w:rsid w:val="004B387B"/>
    <w:rsid w:val="004B3987"/>
    <w:rsid w:val="004B3D90"/>
    <w:rsid w:val="004B43D2"/>
    <w:rsid w:val="004B563A"/>
    <w:rsid w:val="004B57EB"/>
    <w:rsid w:val="004B58AF"/>
    <w:rsid w:val="004B79C0"/>
    <w:rsid w:val="004B7F48"/>
    <w:rsid w:val="004C00A1"/>
    <w:rsid w:val="004C04D2"/>
    <w:rsid w:val="004C06C5"/>
    <w:rsid w:val="004C2B2C"/>
    <w:rsid w:val="004C4970"/>
    <w:rsid w:val="004C5093"/>
    <w:rsid w:val="004C64FD"/>
    <w:rsid w:val="004C68BB"/>
    <w:rsid w:val="004C7D30"/>
    <w:rsid w:val="004D022F"/>
    <w:rsid w:val="004D02E7"/>
    <w:rsid w:val="004D0547"/>
    <w:rsid w:val="004D0E79"/>
    <w:rsid w:val="004D16AB"/>
    <w:rsid w:val="004D1836"/>
    <w:rsid w:val="004D2259"/>
    <w:rsid w:val="004D2390"/>
    <w:rsid w:val="004D27A8"/>
    <w:rsid w:val="004D2930"/>
    <w:rsid w:val="004D3242"/>
    <w:rsid w:val="004D33B3"/>
    <w:rsid w:val="004D456C"/>
    <w:rsid w:val="004D4811"/>
    <w:rsid w:val="004D4A97"/>
    <w:rsid w:val="004D6077"/>
    <w:rsid w:val="004D624F"/>
    <w:rsid w:val="004D6A64"/>
    <w:rsid w:val="004D6E02"/>
    <w:rsid w:val="004D6E7B"/>
    <w:rsid w:val="004E0B07"/>
    <w:rsid w:val="004E0BD0"/>
    <w:rsid w:val="004E1872"/>
    <w:rsid w:val="004E193F"/>
    <w:rsid w:val="004E204B"/>
    <w:rsid w:val="004E231A"/>
    <w:rsid w:val="004E25DD"/>
    <w:rsid w:val="004E25FE"/>
    <w:rsid w:val="004E3BE1"/>
    <w:rsid w:val="004E4F98"/>
    <w:rsid w:val="004E5065"/>
    <w:rsid w:val="004E53D3"/>
    <w:rsid w:val="004E56B2"/>
    <w:rsid w:val="004E615B"/>
    <w:rsid w:val="004E62D8"/>
    <w:rsid w:val="004E6438"/>
    <w:rsid w:val="004E6D03"/>
    <w:rsid w:val="004E711E"/>
    <w:rsid w:val="004E7271"/>
    <w:rsid w:val="004E73E5"/>
    <w:rsid w:val="004F0A5A"/>
    <w:rsid w:val="004F0F19"/>
    <w:rsid w:val="004F10EB"/>
    <w:rsid w:val="004F1582"/>
    <w:rsid w:val="004F1C24"/>
    <w:rsid w:val="004F1D49"/>
    <w:rsid w:val="004F216C"/>
    <w:rsid w:val="004F391F"/>
    <w:rsid w:val="004F3932"/>
    <w:rsid w:val="004F4CD0"/>
    <w:rsid w:val="004F57F9"/>
    <w:rsid w:val="004F59B5"/>
    <w:rsid w:val="004F65E3"/>
    <w:rsid w:val="004F67ED"/>
    <w:rsid w:val="004F7516"/>
    <w:rsid w:val="004F78EB"/>
    <w:rsid w:val="004F7D5C"/>
    <w:rsid w:val="0050043E"/>
    <w:rsid w:val="0050081E"/>
    <w:rsid w:val="00500A38"/>
    <w:rsid w:val="005012A5"/>
    <w:rsid w:val="00501B1B"/>
    <w:rsid w:val="00501F80"/>
    <w:rsid w:val="00503DB4"/>
    <w:rsid w:val="00504A25"/>
    <w:rsid w:val="0050508D"/>
    <w:rsid w:val="00506644"/>
    <w:rsid w:val="00506F6E"/>
    <w:rsid w:val="005070D7"/>
    <w:rsid w:val="00507AEE"/>
    <w:rsid w:val="005116F7"/>
    <w:rsid w:val="005120B9"/>
    <w:rsid w:val="00512873"/>
    <w:rsid w:val="00515C2F"/>
    <w:rsid w:val="005174E0"/>
    <w:rsid w:val="00520865"/>
    <w:rsid w:val="00520910"/>
    <w:rsid w:val="00521541"/>
    <w:rsid w:val="00521DE2"/>
    <w:rsid w:val="00522C37"/>
    <w:rsid w:val="00523786"/>
    <w:rsid w:val="00523BB0"/>
    <w:rsid w:val="00523D47"/>
    <w:rsid w:val="005247FB"/>
    <w:rsid w:val="00524D80"/>
    <w:rsid w:val="0052542E"/>
    <w:rsid w:val="005265CB"/>
    <w:rsid w:val="00527F78"/>
    <w:rsid w:val="00527FA7"/>
    <w:rsid w:val="00530213"/>
    <w:rsid w:val="0053031E"/>
    <w:rsid w:val="00531186"/>
    <w:rsid w:val="00531B46"/>
    <w:rsid w:val="005327D4"/>
    <w:rsid w:val="00532FAB"/>
    <w:rsid w:val="00535FD6"/>
    <w:rsid w:val="00536472"/>
    <w:rsid w:val="00536AA8"/>
    <w:rsid w:val="00536F2B"/>
    <w:rsid w:val="00537184"/>
    <w:rsid w:val="00537BB2"/>
    <w:rsid w:val="00537BFA"/>
    <w:rsid w:val="00537E46"/>
    <w:rsid w:val="00540E84"/>
    <w:rsid w:val="00541BE3"/>
    <w:rsid w:val="00541D33"/>
    <w:rsid w:val="00542489"/>
    <w:rsid w:val="00542673"/>
    <w:rsid w:val="005428C7"/>
    <w:rsid w:val="0054293D"/>
    <w:rsid w:val="00542996"/>
    <w:rsid w:val="00543EDB"/>
    <w:rsid w:val="005442A0"/>
    <w:rsid w:val="005444C6"/>
    <w:rsid w:val="00547671"/>
    <w:rsid w:val="00547DD2"/>
    <w:rsid w:val="00550B35"/>
    <w:rsid w:val="00550CAB"/>
    <w:rsid w:val="005513FE"/>
    <w:rsid w:val="005519A0"/>
    <w:rsid w:val="00552B73"/>
    <w:rsid w:val="0055325E"/>
    <w:rsid w:val="00553763"/>
    <w:rsid w:val="00556C6F"/>
    <w:rsid w:val="00557288"/>
    <w:rsid w:val="00561740"/>
    <w:rsid w:val="005619E7"/>
    <w:rsid w:val="00561CAD"/>
    <w:rsid w:val="005624CA"/>
    <w:rsid w:val="005624D0"/>
    <w:rsid w:val="00562DC4"/>
    <w:rsid w:val="00563708"/>
    <w:rsid w:val="00563A9A"/>
    <w:rsid w:val="005642A2"/>
    <w:rsid w:val="005656A2"/>
    <w:rsid w:val="00565B25"/>
    <w:rsid w:val="00570873"/>
    <w:rsid w:val="00570A24"/>
    <w:rsid w:val="00570CBF"/>
    <w:rsid w:val="0057106B"/>
    <w:rsid w:val="00571F0D"/>
    <w:rsid w:val="00574172"/>
    <w:rsid w:val="00574D55"/>
    <w:rsid w:val="005760AE"/>
    <w:rsid w:val="00576C91"/>
    <w:rsid w:val="0057723E"/>
    <w:rsid w:val="0058036F"/>
    <w:rsid w:val="0058199B"/>
    <w:rsid w:val="005819EC"/>
    <w:rsid w:val="0058203C"/>
    <w:rsid w:val="00582430"/>
    <w:rsid w:val="0058323F"/>
    <w:rsid w:val="00583A08"/>
    <w:rsid w:val="00583ACF"/>
    <w:rsid w:val="00584134"/>
    <w:rsid w:val="0058433D"/>
    <w:rsid w:val="0058493C"/>
    <w:rsid w:val="005849F6"/>
    <w:rsid w:val="00584FEC"/>
    <w:rsid w:val="005860C0"/>
    <w:rsid w:val="00586A0B"/>
    <w:rsid w:val="00587447"/>
    <w:rsid w:val="00592D98"/>
    <w:rsid w:val="00593736"/>
    <w:rsid w:val="005940CE"/>
    <w:rsid w:val="0059461E"/>
    <w:rsid w:val="005947B0"/>
    <w:rsid w:val="005954ED"/>
    <w:rsid w:val="005967DB"/>
    <w:rsid w:val="00596C34"/>
    <w:rsid w:val="00596CAE"/>
    <w:rsid w:val="00597565"/>
    <w:rsid w:val="005A0119"/>
    <w:rsid w:val="005A01BB"/>
    <w:rsid w:val="005A068F"/>
    <w:rsid w:val="005A1FE8"/>
    <w:rsid w:val="005A231C"/>
    <w:rsid w:val="005A2956"/>
    <w:rsid w:val="005A30F2"/>
    <w:rsid w:val="005A3598"/>
    <w:rsid w:val="005A39E7"/>
    <w:rsid w:val="005A3EEA"/>
    <w:rsid w:val="005A3F17"/>
    <w:rsid w:val="005A4B23"/>
    <w:rsid w:val="005A6315"/>
    <w:rsid w:val="005A6602"/>
    <w:rsid w:val="005A6625"/>
    <w:rsid w:val="005A6CD9"/>
    <w:rsid w:val="005B0F0D"/>
    <w:rsid w:val="005B1083"/>
    <w:rsid w:val="005B1C66"/>
    <w:rsid w:val="005B1F5E"/>
    <w:rsid w:val="005B2122"/>
    <w:rsid w:val="005B21F5"/>
    <w:rsid w:val="005B2E01"/>
    <w:rsid w:val="005B4A4C"/>
    <w:rsid w:val="005B4BC2"/>
    <w:rsid w:val="005B63BF"/>
    <w:rsid w:val="005B6DC6"/>
    <w:rsid w:val="005C024B"/>
    <w:rsid w:val="005C0D34"/>
    <w:rsid w:val="005C1DD0"/>
    <w:rsid w:val="005C1E46"/>
    <w:rsid w:val="005C25AE"/>
    <w:rsid w:val="005C2DFC"/>
    <w:rsid w:val="005C2E46"/>
    <w:rsid w:val="005C3E65"/>
    <w:rsid w:val="005C4AB8"/>
    <w:rsid w:val="005C5541"/>
    <w:rsid w:val="005C59A0"/>
    <w:rsid w:val="005C59EC"/>
    <w:rsid w:val="005C6296"/>
    <w:rsid w:val="005D16E5"/>
    <w:rsid w:val="005D21C0"/>
    <w:rsid w:val="005D3013"/>
    <w:rsid w:val="005D3572"/>
    <w:rsid w:val="005D3D20"/>
    <w:rsid w:val="005D4765"/>
    <w:rsid w:val="005D559D"/>
    <w:rsid w:val="005D6558"/>
    <w:rsid w:val="005D7ED0"/>
    <w:rsid w:val="005E0502"/>
    <w:rsid w:val="005E066A"/>
    <w:rsid w:val="005E0BEB"/>
    <w:rsid w:val="005E0C58"/>
    <w:rsid w:val="005E0DCA"/>
    <w:rsid w:val="005E1121"/>
    <w:rsid w:val="005E1A77"/>
    <w:rsid w:val="005E1E66"/>
    <w:rsid w:val="005E255A"/>
    <w:rsid w:val="005E25F3"/>
    <w:rsid w:val="005E306A"/>
    <w:rsid w:val="005E595C"/>
    <w:rsid w:val="005E5DBA"/>
    <w:rsid w:val="005E68AF"/>
    <w:rsid w:val="005E71D6"/>
    <w:rsid w:val="005E7312"/>
    <w:rsid w:val="005E732E"/>
    <w:rsid w:val="005E756E"/>
    <w:rsid w:val="005E7964"/>
    <w:rsid w:val="005F09A8"/>
    <w:rsid w:val="005F226E"/>
    <w:rsid w:val="005F2667"/>
    <w:rsid w:val="005F280F"/>
    <w:rsid w:val="005F2FCE"/>
    <w:rsid w:val="005F314C"/>
    <w:rsid w:val="005F3658"/>
    <w:rsid w:val="005F4827"/>
    <w:rsid w:val="005F4E2D"/>
    <w:rsid w:val="005F5AA5"/>
    <w:rsid w:val="005F5CAE"/>
    <w:rsid w:val="005F6EA4"/>
    <w:rsid w:val="0060059B"/>
    <w:rsid w:val="00600A3E"/>
    <w:rsid w:val="00600A9A"/>
    <w:rsid w:val="006011FD"/>
    <w:rsid w:val="00602010"/>
    <w:rsid w:val="00602090"/>
    <w:rsid w:val="00602D52"/>
    <w:rsid w:val="00603231"/>
    <w:rsid w:val="00603366"/>
    <w:rsid w:val="00603C2D"/>
    <w:rsid w:val="0060471B"/>
    <w:rsid w:val="0060498D"/>
    <w:rsid w:val="006057C8"/>
    <w:rsid w:val="00605D44"/>
    <w:rsid w:val="0060633F"/>
    <w:rsid w:val="00606DA3"/>
    <w:rsid w:val="00607986"/>
    <w:rsid w:val="00607C86"/>
    <w:rsid w:val="00607EA5"/>
    <w:rsid w:val="00610B4A"/>
    <w:rsid w:val="0061134E"/>
    <w:rsid w:val="006113C3"/>
    <w:rsid w:val="0061216F"/>
    <w:rsid w:val="00612E4A"/>
    <w:rsid w:val="00612E62"/>
    <w:rsid w:val="006132AE"/>
    <w:rsid w:val="0061333F"/>
    <w:rsid w:val="00613A8F"/>
    <w:rsid w:val="00613B00"/>
    <w:rsid w:val="00613EF7"/>
    <w:rsid w:val="00614C80"/>
    <w:rsid w:val="00615F0B"/>
    <w:rsid w:val="00620ACB"/>
    <w:rsid w:val="006217C7"/>
    <w:rsid w:val="00622040"/>
    <w:rsid w:val="0062385E"/>
    <w:rsid w:val="00623C1C"/>
    <w:rsid w:val="0062449F"/>
    <w:rsid w:val="00624C0C"/>
    <w:rsid w:val="0062579D"/>
    <w:rsid w:val="00626AED"/>
    <w:rsid w:val="00626C5D"/>
    <w:rsid w:val="00627B1C"/>
    <w:rsid w:val="00630B05"/>
    <w:rsid w:val="00630EDB"/>
    <w:rsid w:val="00632DA6"/>
    <w:rsid w:val="00632F42"/>
    <w:rsid w:val="006347EA"/>
    <w:rsid w:val="00634B53"/>
    <w:rsid w:val="00635AFD"/>
    <w:rsid w:val="00635B5B"/>
    <w:rsid w:val="00635F0B"/>
    <w:rsid w:val="00636378"/>
    <w:rsid w:val="00636804"/>
    <w:rsid w:val="0063685C"/>
    <w:rsid w:val="00637322"/>
    <w:rsid w:val="006403F6"/>
    <w:rsid w:val="00641076"/>
    <w:rsid w:val="006416F6"/>
    <w:rsid w:val="00641C1A"/>
    <w:rsid w:val="00644290"/>
    <w:rsid w:val="00645E69"/>
    <w:rsid w:val="006461FA"/>
    <w:rsid w:val="0064675B"/>
    <w:rsid w:val="00646BA5"/>
    <w:rsid w:val="00647102"/>
    <w:rsid w:val="006511E5"/>
    <w:rsid w:val="00651A6B"/>
    <w:rsid w:val="00652A07"/>
    <w:rsid w:val="00654A30"/>
    <w:rsid w:val="00655288"/>
    <w:rsid w:val="0065689B"/>
    <w:rsid w:val="0066004B"/>
    <w:rsid w:val="00660A7B"/>
    <w:rsid w:val="0066123F"/>
    <w:rsid w:val="006615CF"/>
    <w:rsid w:val="006617C5"/>
    <w:rsid w:val="00661FFE"/>
    <w:rsid w:val="0066218B"/>
    <w:rsid w:val="00663C8A"/>
    <w:rsid w:val="00664ED3"/>
    <w:rsid w:val="0066503B"/>
    <w:rsid w:val="00665129"/>
    <w:rsid w:val="00665FBC"/>
    <w:rsid w:val="00666B72"/>
    <w:rsid w:val="00666EFE"/>
    <w:rsid w:val="00670F85"/>
    <w:rsid w:val="006719B2"/>
    <w:rsid w:val="0067207D"/>
    <w:rsid w:val="00672088"/>
    <w:rsid w:val="006726E6"/>
    <w:rsid w:val="00674712"/>
    <w:rsid w:val="00674C78"/>
    <w:rsid w:val="006754B2"/>
    <w:rsid w:val="0067573E"/>
    <w:rsid w:val="00675B30"/>
    <w:rsid w:val="00675B96"/>
    <w:rsid w:val="00676551"/>
    <w:rsid w:val="006800D3"/>
    <w:rsid w:val="00680F70"/>
    <w:rsid w:val="00681780"/>
    <w:rsid w:val="00681B18"/>
    <w:rsid w:val="006835A5"/>
    <w:rsid w:val="006845A4"/>
    <w:rsid w:val="0068501D"/>
    <w:rsid w:val="00685429"/>
    <w:rsid w:val="006856AE"/>
    <w:rsid w:val="006863ED"/>
    <w:rsid w:val="006867A6"/>
    <w:rsid w:val="00686A0F"/>
    <w:rsid w:val="00686BC9"/>
    <w:rsid w:val="00687B7D"/>
    <w:rsid w:val="0069109A"/>
    <w:rsid w:val="006913C7"/>
    <w:rsid w:val="00691508"/>
    <w:rsid w:val="0069190E"/>
    <w:rsid w:val="00691A33"/>
    <w:rsid w:val="00692764"/>
    <w:rsid w:val="006928C8"/>
    <w:rsid w:val="00692B27"/>
    <w:rsid w:val="00693E0E"/>
    <w:rsid w:val="00693F52"/>
    <w:rsid w:val="00694A86"/>
    <w:rsid w:val="006950E1"/>
    <w:rsid w:val="00695567"/>
    <w:rsid w:val="00695AD9"/>
    <w:rsid w:val="00695D41"/>
    <w:rsid w:val="0069636E"/>
    <w:rsid w:val="00696D3C"/>
    <w:rsid w:val="00697106"/>
    <w:rsid w:val="00697679"/>
    <w:rsid w:val="006A00FD"/>
    <w:rsid w:val="006A09B9"/>
    <w:rsid w:val="006A120F"/>
    <w:rsid w:val="006A121F"/>
    <w:rsid w:val="006A12A7"/>
    <w:rsid w:val="006A1B3E"/>
    <w:rsid w:val="006A25CD"/>
    <w:rsid w:val="006A31E0"/>
    <w:rsid w:val="006A3587"/>
    <w:rsid w:val="006A3786"/>
    <w:rsid w:val="006A3963"/>
    <w:rsid w:val="006A4ED7"/>
    <w:rsid w:val="006A4F66"/>
    <w:rsid w:val="006A517C"/>
    <w:rsid w:val="006A6DC8"/>
    <w:rsid w:val="006A74DD"/>
    <w:rsid w:val="006A754B"/>
    <w:rsid w:val="006A7DF5"/>
    <w:rsid w:val="006B0915"/>
    <w:rsid w:val="006B2D53"/>
    <w:rsid w:val="006B2F23"/>
    <w:rsid w:val="006B3086"/>
    <w:rsid w:val="006B3EA8"/>
    <w:rsid w:val="006B4C84"/>
    <w:rsid w:val="006B521B"/>
    <w:rsid w:val="006B5CE3"/>
    <w:rsid w:val="006B63E1"/>
    <w:rsid w:val="006B66AB"/>
    <w:rsid w:val="006B68B2"/>
    <w:rsid w:val="006B73A5"/>
    <w:rsid w:val="006B75B1"/>
    <w:rsid w:val="006B7F9A"/>
    <w:rsid w:val="006C3A9E"/>
    <w:rsid w:val="006C3AB7"/>
    <w:rsid w:val="006C5573"/>
    <w:rsid w:val="006C6EAA"/>
    <w:rsid w:val="006D0608"/>
    <w:rsid w:val="006D0E8C"/>
    <w:rsid w:val="006D107E"/>
    <w:rsid w:val="006D17B8"/>
    <w:rsid w:val="006D2042"/>
    <w:rsid w:val="006D25DA"/>
    <w:rsid w:val="006D2A23"/>
    <w:rsid w:val="006D2BC7"/>
    <w:rsid w:val="006D2BD0"/>
    <w:rsid w:val="006D3461"/>
    <w:rsid w:val="006D3A1F"/>
    <w:rsid w:val="006D3CA7"/>
    <w:rsid w:val="006D4426"/>
    <w:rsid w:val="006D6470"/>
    <w:rsid w:val="006D6A03"/>
    <w:rsid w:val="006D74D9"/>
    <w:rsid w:val="006D75DB"/>
    <w:rsid w:val="006D7ED5"/>
    <w:rsid w:val="006D7F18"/>
    <w:rsid w:val="006E0CC2"/>
    <w:rsid w:val="006E1D1C"/>
    <w:rsid w:val="006E3941"/>
    <w:rsid w:val="006E48E9"/>
    <w:rsid w:val="006E4F13"/>
    <w:rsid w:val="006E501F"/>
    <w:rsid w:val="006E514B"/>
    <w:rsid w:val="006E6129"/>
    <w:rsid w:val="006E65F9"/>
    <w:rsid w:val="006F06C4"/>
    <w:rsid w:val="006F148C"/>
    <w:rsid w:val="006F14C3"/>
    <w:rsid w:val="006F1664"/>
    <w:rsid w:val="006F24C0"/>
    <w:rsid w:val="006F27D5"/>
    <w:rsid w:val="006F2FB5"/>
    <w:rsid w:val="006F4019"/>
    <w:rsid w:val="006F5F41"/>
    <w:rsid w:val="00704227"/>
    <w:rsid w:val="00704D0F"/>
    <w:rsid w:val="0070636C"/>
    <w:rsid w:val="00706BEB"/>
    <w:rsid w:val="0070764A"/>
    <w:rsid w:val="00707914"/>
    <w:rsid w:val="00707AC6"/>
    <w:rsid w:val="00710B08"/>
    <w:rsid w:val="00710B69"/>
    <w:rsid w:val="00711988"/>
    <w:rsid w:val="00713B54"/>
    <w:rsid w:val="007141F3"/>
    <w:rsid w:val="00716AB4"/>
    <w:rsid w:val="007175E3"/>
    <w:rsid w:val="00717DF5"/>
    <w:rsid w:val="007207B4"/>
    <w:rsid w:val="00721ACF"/>
    <w:rsid w:val="007228D2"/>
    <w:rsid w:val="00722D20"/>
    <w:rsid w:val="00724889"/>
    <w:rsid w:val="00725666"/>
    <w:rsid w:val="0072601C"/>
    <w:rsid w:val="007265E9"/>
    <w:rsid w:val="00726CEA"/>
    <w:rsid w:val="00726D61"/>
    <w:rsid w:val="0073025C"/>
    <w:rsid w:val="00730544"/>
    <w:rsid w:val="00730F19"/>
    <w:rsid w:val="00732E41"/>
    <w:rsid w:val="00733169"/>
    <w:rsid w:val="007345FE"/>
    <w:rsid w:val="00734FBB"/>
    <w:rsid w:val="00736EF4"/>
    <w:rsid w:val="00737D64"/>
    <w:rsid w:val="00740D55"/>
    <w:rsid w:val="00740D91"/>
    <w:rsid w:val="00740E5E"/>
    <w:rsid w:val="007421B1"/>
    <w:rsid w:val="0074273F"/>
    <w:rsid w:val="00742F5E"/>
    <w:rsid w:val="0074331B"/>
    <w:rsid w:val="007436FD"/>
    <w:rsid w:val="00744110"/>
    <w:rsid w:val="00744C49"/>
    <w:rsid w:val="00744CFF"/>
    <w:rsid w:val="00744F0F"/>
    <w:rsid w:val="00746ECA"/>
    <w:rsid w:val="00750788"/>
    <w:rsid w:val="00750AF7"/>
    <w:rsid w:val="00750B6B"/>
    <w:rsid w:val="00752692"/>
    <w:rsid w:val="00752760"/>
    <w:rsid w:val="007532D9"/>
    <w:rsid w:val="00753A91"/>
    <w:rsid w:val="00753CC1"/>
    <w:rsid w:val="007544FA"/>
    <w:rsid w:val="00754BBF"/>
    <w:rsid w:val="00754C14"/>
    <w:rsid w:val="00756364"/>
    <w:rsid w:val="007563DF"/>
    <w:rsid w:val="00756488"/>
    <w:rsid w:val="00756A41"/>
    <w:rsid w:val="00756E7B"/>
    <w:rsid w:val="0075778B"/>
    <w:rsid w:val="00760517"/>
    <w:rsid w:val="00760AE6"/>
    <w:rsid w:val="00761C66"/>
    <w:rsid w:val="00761E79"/>
    <w:rsid w:val="00763652"/>
    <w:rsid w:val="00763739"/>
    <w:rsid w:val="007653D5"/>
    <w:rsid w:val="00765626"/>
    <w:rsid w:val="007658F1"/>
    <w:rsid w:val="00766D09"/>
    <w:rsid w:val="00767105"/>
    <w:rsid w:val="007674CB"/>
    <w:rsid w:val="00767764"/>
    <w:rsid w:val="00770069"/>
    <w:rsid w:val="00770296"/>
    <w:rsid w:val="00771194"/>
    <w:rsid w:val="00771532"/>
    <w:rsid w:val="00771AF5"/>
    <w:rsid w:val="00771AFA"/>
    <w:rsid w:val="00772595"/>
    <w:rsid w:val="00772A51"/>
    <w:rsid w:val="00772ECC"/>
    <w:rsid w:val="007733D2"/>
    <w:rsid w:val="007738ED"/>
    <w:rsid w:val="00773F56"/>
    <w:rsid w:val="00774207"/>
    <w:rsid w:val="0077470B"/>
    <w:rsid w:val="00775265"/>
    <w:rsid w:val="007776E3"/>
    <w:rsid w:val="00780646"/>
    <w:rsid w:val="00780FFA"/>
    <w:rsid w:val="007818FB"/>
    <w:rsid w:val="007826D4"/>
    <w:rsid w:val="007828E9"/>
    <w:rsid w:val="00782ACA"/>
    <w:rsid w:val="00782B41"/>
    <w:rsid w:val="00782EB9"/>
    <w:rsid w:val="00783D85"/>
    <w:rsid w:val="00784545"/>
    <w:rsid w:val="007848F8"/>
    <w:rsid w:val="007854F3"/>
    <w:rsid w:val="007859AA"/>
    <w:rsid w:val="007862E5"/>
    <w:rsid w:val="00787770"/>
    <w:rsid w:val="00787FE9"/>
    <w:rsid w:val="00790B12"/>
    <w:rsid w:val="007918B1"/>
    <w:rsid w:val="00791DFC"/>
    <w:rsid w:val="00791F4D"/>
    <w:rsid w:val="007920B0"/>
    <w:rsid w:val="0079294F"/>
    <w:rsid w:val="00792FD4"/>
    <w:rsid w:val="00793772"/>
    <w:rsid w:val="007937C3"/>
    <w:rsid w:val="00794A1B"/>
    <w:rsid w:val="00795257"/>
    <w:rsid w:val="00795C6F"/>
    <w:rsid w:val="00796771"/>
    <w:rsid w:val="00796FAE"/>
    <w:rsid w:val="00797BC7"/>
    <w:rsid w:val="007A10B1"/>
    <w:rsid w:val="007A2F27"/>
    <w:rsid w:val="007A4877"/>
    <w:rsid w:val="007A5185"/>
    <w:rsid w:val="007A5CB7"/>
    <w:rsid w:val="007A69DC"/>
    <w:rsid w:val="007A7CB7"/>
    <w:rsid w:val="007A7CE3"/>
    <w:rsid w:val="007B1E19"/>
    <w:rsid w:val="007B23E9"/>
    <w:rsid w:val="007B277B"/>
    <w:rsid w:val="007B2CF1"/>
    <w:rsid w:val="007B3A9A"/>
    <w:rsid w:val="007B4CA2"/>
    <w:rsid w:val="007B51A0"/>
    <w:rsid w:val="007B6BEA"/>
    <w:rsid w:val="007B7939"/>
    <w:rsid w:val="007C0111"/>
    <w:rsid w:val="007C0A7E"/>
    <w:rsid w:val="007C1784"/>
    <w:rsid w:val="007C4AF6"/>
    <w:rsid w:val="007C55D1"/>
    <w:rsid w:val="007C5BF6"/>
    <w:rsid w:val="007C65B3"/>
    <w:rsid w:val="007C742F"/>
    <w:rsid w:val="007C7623"/>
    <w:rsid w:val="007C7AA9"/>
    <w:rsid w:val="007D064A"/>
    <w:rsid w:val="007D15FD"/>
    <w:rsid w:val="007D198C"/>
    <w:rsid w:val="007D1E99"/>
    <w:rsid w:val="007D2519"/>
    <w:rsid w:val="007D2E92"/>
    <w:rsid w:val="007D3513"/>
    <w:rsid w:val="007D3D18"/>
    <w:rsid w:val="007D3DE3"/>
    <w:rsid w:val="007D4091"/>
    <w:rsid w:val="007D4E38"/>
    <w:rsid w:val="007D4FBC"/>
    <w:rsid w:val="007D5596"/>
    <w:rsid w:val="007D59A5"/>
    <w:rsid w:val="007D68FB"/>
    <w:rsid w:val="007E0568"/>
    <w:rsid w:val="007E1E7B"/>
    <w:rsid w:val="007E2589"/>
    <w:rsid w:val="007E37DA"/>
    <w:rsid w:val="007E3AC7"/>
    <w:rsid w:val="007E3B0B"/>
    <w:rsid w:val="007E6ED3"/>
    <w:rsid w:val="007E7C9D"/>
    <w:rsid w:val="007E7DB4"/>
    <w:rsid w:val="007F19E0"/>
    <w:rsid w:val="007F1B00"/>
    <w:rsid w:val="007F2574"/>
    <w:rsid w:val="007F26CA"/>
    <w:rsid w:val="007F3436"/>
    <w:rsid w:val="007F404A"/>
    <w:rsid w:val="007F4F45"/>
    <w:rsid w:val="007F6A1C"/>
    <w:rsid w:val="007F7485"/>
    <w:rsid w:val="007F7716"/>
    <w:rsid w:val="007F7911"/>
    <w:rsid w:val="00800A7E"/>
    <w:rsid w:val="00801767"/>
    <w:rsid w:val="0080276E"/>
    <w:rsid w:val="00803CC6"/>
    <w:rsid w:val="00804F12"/>
    <w:rsid w:val="00805D84"/>
    <w:rsid w:val="00807AC5"/>
    <w:rsid w:val="008107C7"/>
    <w:rsid w:val="00810B53"/>
    <w:rsid w:val="00812090"/>
    <w:rsid w:val="0081236C"/>
    <w:rsid w:val="00812438"/>
    <w:rsid w:val="00812D4E"/>
    <w:rsid w:val="00813321"/>
    <w:rsid w:val="0081353C"/>
    <w:rsid w:val="008135EA"/>
    <w:rsid w:val="00813AD5"/>
    <w:rsid w:val="00813E1C"/>
    <w:rsid w:val="00813EE0"/>
    <w:rsid w:val="008141A0"/>
    <w:rsid w:val="0081490E"/>
    <w:rsid w:val="00814DFF"/>
    <w:rsid w:val="00814F7F"/>
    <w:rsid w:val="00815DEB"/>
    <w:rsid w:val="008162D3"/>
    <w:rsid w:val="008162F6"/>
    <w:rsid w:val="00816937"/>
    <w:rsid w:val="00816C0F"/>
    <w:rsid w:val="00816D8E"/>
    <w:rsid w:val="008173BF"/>
    <w:rsid w:val="00817BCA"/>
    <w:rsid w:val="0082063C"/>
    <w:rsid w:val="00820831"/>
    <w:rsid w:val="00820BBA"/>
    <w:rsid w:val="00820EF4"/>
    <w:rsid w:val="00822442"/>
    <w:rsid w:val="00822E56"/>
    <w:rsid w:val="00823326"/>
    <w:rsid w:val="00825EB9"/>
    <w:rsid w:val="008266DC"/>
    <w:rsid w:val="0082750D"/>
    <w:rsid w:val="00827E8E"/>
    <w:rsid w:val="00830438"/>
    <w:rsid w:val="00830AAC"/>
    <w:rsid w:val="00831287"/>
    <w:rsid w:val="0083172B"/>
    <w:rsid w:val="00831761"/>
    <w:rsid w:val="008319F7"/>
    <w:rsid w:val="008322F6"/>
    <w:rsid w:val="008328E8"/>
    <w:rsid w:val="00832E2C"/>
    <w:rsid w:val="00833144"/>
    <w:rsid w:val="008337DE"/>
    <w:rsid w:val="00835CC4"/>
    <w:rsid w:val="00836316"/>
    <w:rsid w:val="0083679D"/>
    <w:rsid w:val="0084015F"/>
    <w:rsid w:val="00840363"/>
    <w:rsid w:val="008405FD"/>
    <w:rsid w:val="008412FD"/>
    <w:rsid w:val="0084196A"/>
    <w:rsid w:val="0084202A"/>
    <w:rsid w:val="008424D2"/>
    <w:rsid w:val="00842782"/>
    <w:rsid w:val="00842D59"/>
    <w:rsid w:val="00843151"/>
    <w:rsid w:val="008435D9"/>
    <w:rsid w:val="00844FBA"/>
    <w:rsid w:val="00845F04"/>
    <w:rsid w:val="00845F24"/>
    <w:rsid w:val="008460CC"/>
    <w:rsid w:val="00846ED0"/>
    <w:rsid w:val="008520E6"/>
    <w:rsid w:val="00853371"/>
    <w:rsid w:val="0085367F"/>
    <w:rsid w:val="00853E07"/>
    <w:rsid w:val="00854C6E"/>
    <w:rsid w:val="00856307"/>
    <w:rsid w:val="00856514"/>
    <w:rsid w:val="00856A4E"/>
    <w:rsid w:val="00856E2C"/>
    <w:rsid w:val="0086000B"/>
    <w:rsid w:val="00860E64"/>
    <w:rsid w:val="00862770"/>
    <w:rsid w:val="00862AFD"/>
    <w:rsid w:val="00862CCD"/>
    <w:rsid w:val="00864752"/>
    <w:rsid w:val="00864916"/>
    <w:rsid w:val="008658A2"/>
    <w:rsid w:val="008665BE"/>
    <w:rsid w:val="00866CCE"/>
    <w:rsid w:val="00866F3B"/>
    <w:rsid w:val="008702B3"/>
    <w:rsid w:val="008704C5"/>
    <w:rsid w:val="008708DE"/>
    <w:rsid w:val="00870AF7"/>
    <w:rsid w:val="008714FE"/>
    <w:rsid w:val="008717DE"/>
    <w:rsid w:val="0087193B"/>
    <w:rsid w:val="0087273E"/>
    <w:rsid w:val="00872842"/>
    <w:rsid w:val="00872CC6"/>
    <w:rsid w:val="0087303A"/>
    <w:rsid w:val="00873B94"/>
    <w:rsid w:val="00873E16"/>
    <w:rsid w:val="00873FE2"/>
    <w:rsid w:val="008742F8"/>
    <w:rsid w:val="00875A8C"/>
    <w:rsid w:val="00875B9A"/>
    <w:rsid w:val="0087666A"/>
    <w:rsid w:val="00876C37"/>
    <w:rsid w:val="00876E01"/>
    <w:rsid w:val="00877099"/>
    <w:rsid w:val="00877ADE"/>
    <w:rsid w:val="00877C51"/>
    <w:rsid w:val="00880453"/>
    <w:rsid w:val="0088084D"/>
    <w:rsid w:val="0088105A"/>
    <w:rsid w:val="0088130A"/>
    <w:rsid w:val="00881AD8"/>
    <w:rsid w:val="00881D2D"/>
    <w:rsid w:val="00883308"/>
    <w:rsid w:val="008848DE"/>
    <w:rsid w:val="00886A0E"/>
    <w:rsid w:val="00886F1C"/>
    <w:rsid w:val="00886F24"/>
    <w:rsid w:val="008870A1"/>
    <w:rsid w:val="00887185"/>
    <w:rsid w:val="008905FC"/>
    <w:rsid w:val="00890C21"/>
    <w:rsid w:val="00890E0C"/>
    <w:rsid w:val="0089113F"/>
    <w:rsid w:val="008914BE"/>
    <w:rsid w:val="0089176D"/>
    <w:rsid w:val="00891B08"/>
    <w:rsid w:val="00892CB0"/>
    <w:rsid w:val="00892EB2"/>
    <w:rsid w:val="008931B1"/>
    <w:rsid w:val="00893581"/>
    <w:rsid w:val="00893AAA"/>
    <w:rsid w:val="008947CB"/>
    <w:rsid w:val="00894F55"/>
    <w:rsid w:val="008951B2"/>
    <w:rsid w:val="00895443"/>
    <w:rsid w:val="00896640"/>
    <w:rsid w:val="00896C75"/>
    <w:rsid w:val="00896F92"/>
    <w:rsid w:val="00897AB6"/>
    <w:rsid w:val="008A0315"/>
    <w:rsid w:val="008A043C"/>
    <w:rsid w:val="008A0777"/>
    <w:rsid w:val="008A0D89"/>
    <w:rsid w:val="008A16AF"/>
    <w:rsid w:val="008A2403"/>
    <w:rsid w:val="008A2886"/>
    <w:rsid w:val="008A3B82"/>
    <w:rsid w:val="008A3DBE"/>
    <w:rsid w:val="008A47A2"/>
    <w:rsid w:val="008A4953"/>
    <w:rsid w:val="008A556D"/>
    <w:rsid w:val="008A588D"/>
    <w:rsid w:val="008A5C13"/>
    <w:rsid w:val="008A6EF3"/>
    <w:rsid w:val="008A70CA"/>
    <w:rsid w:val="008A73FF"/>
    <w:rsid w:val="008A7848"/>
    <w:rsid w:val="008A7E9C"/>
    <w:rsid w:val="008B3895"/>
    <w:rsid w:val="008B4637"/>
    <w:rsid w:val="008B534B"/>
    <w:rsid w:val="008B5BE0"/>
    <w:rsid w:val="008B65CC"/>
    <w:rsid w:val="008B6A43"/>
    <w:rsid w:val="008B7541"/>
    <w:rsid w:val="008B77C7"/>
    <w:rsid w:val="008B787E"/>
    <w:rsid w:val="008C0BDD"/>
    <w:rsid w:val="008C11EB"/>
    <w:rsid w:val="008C1E76"/>
    <w:rsid w:val="008C2319"/>
    <w:rsid w:val="008C23A0"/>
    <w:rsid w:val="008C2BFB"/>
    <w:rsid w:val="008C3B18"/>
    <w:rsid w:val="008C4113"/>
    <w:rsid w:val="008C4DA5"/>
    <w:rsid w:val="008C5CB2"/>
    <w:rsid w:val="008C657B"/>
    <w:rsid w:val="008C6B34"/>
    <w:rsid w:val="008C6BDC"/>
    <w:rsid w:val="008C6E9A"/>
    <w:rsid w:val="008C7B76"/>
    <w:rsid w:val="008C7F3F"/>
    <w:rsid w:val="008D0D11"/>
    <w:rsid w:val="008D1CFF"/>
    <w:rsid w:val="008D2612"/>
    <w:rsid w:val="008D281B"/>
    <w:rsid w:val="008D3A82"/>
    <w:rsid w:val="008D49BB"/>
    <w:rsid w:val="008D67EE"/>
    <w:rsid w:val="008D6C84"/>
    <w:rsid w:val="008D7255"/>
    <w:rsid w:val="008D775B"/>
    <w:rsid w:val="008D7EF3"/>
    <w:rsid w:val="008E02D9"/>
    <w:rsid w:val="008E0324"/>
    <w:rsid w:val="008E108F"/>
    <w:rsid w:val="008E12D1"/>
    <w:rsid w:val="008E1AC0"/>
    <w:rsid w:val="008E29C0"/>
    <w:rsid w:val="008E43BA"/>
    <w:rsid w:val="008E4E68"/>
    <w:rsid w:val="008E5193"/>
    <w:rsid w:val="008E621D"/>
    <w:rsid w:val="008E6397"/>
    <w:rsid w:val="008E64D2"/>
    <w:rsid w:val="008E740F"/>
    <w:rsid w:val="008E77D6"/>
    <w:rsid w:val="008E78FB"/>
    <w:rsid w:val="008E7B55"/>
    <w:rsid w:val="008E7E78"/>
    <w:rsid w:val="008F0CA6"/>
    <w:rsid w:val="008F1AE6"/>
    <w:rsid w:val="008F2A9A"/>
    <w:rsid w:val="008F2AD3"/>
    <w:rsid w:val="008F3072"/>
    <w:rsid w:val="008F3565"/>
    <w:rsid w:val="008F4C71"/>
    <w:rsid w:val="008F4E0E"/>
    <w:rsid w:val="008F550E"/>
    <w:rsid w:val="008F5574"/>
    <w:rsid w:val="008F6A16"/>
    <w:rsid w:val="0090121D"/>
    <w:rsid w:val="00901967"/>
    <w:rsid w:val="00902450"/>
    <w:rsid w:val="0090391A"/>
    <w:rsid w:val="00903BDC"/>
    <w:rsid w:val="009044DD"/>
    <w:rsid w:val="00905114"/>
    <w:rsid w:val="00905BE8"/>
    <w:rsid w:val="00905DAC"/>
    <w:rsid w:val="00906C17"/>
    <w:rsid w:val="0090719E"/>
    <w:rsid w:val="00907996"/>
    <w:rsid w:val="00907F00"/>
    <w:rsid w:val="0091028C"/>
    <w:rsid w:val="009106DF"/>
    <w:rsid w:val="00910D77"/>
    <w:rsid w:val="00911EB5"/>
    <w:rsid w:val="009122BD"/>
    <w:rsid w:val="009124C7"/>
    <w:rsid w:val="009125B7"/>
    <w:rsid w:val="00914361"/>
    <w:rsid w:val="0091612C"/>
    <w:rsid w:val="0091659E"/>
    <w:rsid w:val="00916D9E"/>
    <w:rsid w:val="0091774F"/>
    <w:rsid w:val="00917DC9"/>
    <w:rsid w:val="009225C4"/>
    <w:rsid w:val="00922629"/>
    <w:rsid w:val="00923BB2"/>
    <w:rsid w:val="00923FDB"/>
    <w:rsid w:val="00924302"/>
    <w:rsid w:val="00924D55"/>
    <w:rsid w:val="00925AEF"/>
    <w:rsid w:val="00926012"/>
    <w:rsid w:val="0092643B"/>
    <w:rsid w:val="00926C27"/>
    <w:rsid w:val="00926D2B"/>
    <w:rsid w:val="009275F3"/>
    <w:rsid w:val="009313D2"/>
    <w:rsid w:val="009315DC"/>
    <w:rsid w:val="00931904"/>
    <w:rsid w:val="00931CE3"/>
    <w:rsid w:val="009320D3"/>
    <w:rsid w:val="009324F5"/>
    <w:rsid w:val="00934559"/>
    <w:rsid w:val="009348F2"/>
    <w:rsid w:val="0093500D"/>
    <w:rsid w:val="00936557"/>
    <w:rsid w:val="00936C9C"/>
    <w:rsid w:val="00937577"/>
    <w:rsid w:val="00937A83"/>
    <w:rsid w:val="00940233"/>
    <w:rsid w:val="00940A52"/>
    <w:rsid w:val="009414F0"/>
    <w:rsid w:val="00942351"/>
    <w:rsid w:val="009427AF"/>
    <w:rsid w:val="0094298A"/>
    <w:rsid w:val="00943105"/>
    <w:rsid w:val="0094444B"/>
    <w:rsid w:val="0094475C"/>
    <w:rsid w:val="00944DB7"/>
    <w:rsid w:val="0094538C"/>
    <w:rsid w:val="009453B5"/>
    <w:rsid w:val="0094654D"/>
    <w:rsid w:val="00946F0C"/>
    <w:rsid w:val="00950B79"/>
    <w:rsid w:val="00953873"/>
    <w:rsid w:val="00953D63"/>
    <w:rsid w:val="009545F1"/>
    <w:rsid w:val="009548FB"/>
    <w:rsid w:val="00954AB2"/>
    <w:rsid w:val="00954FD8"/>
    <w:rsid w:val="009558B0"/>
    <w:rsid w:val="00955AE9"/>
    <w:rsid w:val="00955C07"/>
    <w:rsid w:val="00955C16"/>
    <w:rsid w:val="00955D04"/>
    <w:rsid w:val="00955DB2"/>
    <w:rsid w:val="00955E54"/>
    <w:rsid w:val="0095702D"/>
    <w:rsid w:val="00957AEF"/>
    <w:rsid w:val="00960278"/>
    <w:rsid w:val="0096081E"/>
    <w:rsid w:val="00960EE3"/>
    <w:rsid w:val="009611D8"/>
    <w:rsid w:val="009617F9"/>
    <w:rsid w:val="00962BB1"/>
    <w:rsid w:val="00963954"/>
    <w:rsid w:val="00964F69"/>
    <w:rsid w:val="0096526E"/>
    <w:rsid w:val="009659DF"/>
    <w:rsid w:val="00967629"/>
    <w:rsid w:val="00967F0E"/>
    <w:rsid w:val="00970138"/>
    <w:rsid w:val="0097059C"/>
    <w:rsid w:val="00970631"/>
    <w:rsid w:val="00970B51"/>
    <w:rsid w:val="00970F60"/>
    <w:rsid w:val="009711F1"/>
    <w:rsid w:val="0097145F"/>
    <w:rsid w:val="009714AC"/>
    <w:rsid w:val="00971AD0"/>
    <w:rsid w:val="00972A7A"/>
    <w:rsid w:val="00973C53"/>
    <w:rsid w:val="00975757"/>
    <w:rsid w:val="0097675C"/>
    <w:rsid w:val="0097711E"/>
    <w:rsid w:val="00977B52"/>
    <w:rsid w:val="009802A5"/>
    <w:rsid w:val="00980652"/>
    <w:rsid w:val="009806C4"/>
    <w:rsid w:val="00981CCA"/>
    <w:rsid w:val="009821E4"/>
    <w:rsid w:val="009825C8"/>
    <w:rsid w:val="00982BCB"/>
    <w:rsid w:val="00983308"/>
    <w:rsid w:val="00983A14"/>
    <w:rsid w:val="009840E6"/>
    <w:rsid w:val="00984188"/>
    <w:rsid w:val="00984660"/>
    <w:rsid w:val="00984D19"/>
    <w:rsid w:val="0098533E"/>
    <w:rsid w:val="009868A9"/>
    <w:rsid w:val="0098691A"/>
    <w:rsid w:val="00986D4C"/>
    <w:rsid w:val="009876D1"/>
    <w:rsid w:val="009904B8"/>
    <w:rsid w:val="00990B9F"/>
    <w:rsid w:val="00990C9B"/>
    <w:rsid w:val="00992057"/>
    <w:rsid w:val="009924F0"/>
    <w:rsid w:val="00992706"/>
    <w:rsid w:val="00992CEE"/>
    <w:rsid w:val="0099488A"/>
    <w:rsid w:val="00994BB8"/>
    <w:rsid w:val="00994C22"/>
    <w:rsid w:val="00994F91"/>
    <w:rsid w:val="009963CE"/>
    <w:rsid w:val="009971D5"/>
    <w:rsid w:val="009A038E"/>
    <w:rsid w:val="009A03F0"/>
    <w:rsid w:val="009A24A0"/>
    <w:rsid w:val="009A3FD9"/>
    <w:rsid w:val="009A4762"/>
    <w:rsid w:val="009A49C9"/>
    <w:rsid w:val="009A4E3A"/>
    <w:rsid w:val="009A5B7B"/>
    <w:rsid w:val="009A6836"/>
    <w:rsid w:val="009A6C97"/>
    <w:rsid w:val="009B0DD3"/>
    <w:rsid w:val="009B13BE"/>
    <w:rsid w:val="009B1456"/>
    <w:rsid w:val="009B168F"/>
    <w:rsid w:val="009B200F"/>
    <w:rsid w:val="009B3BE4"/>
    <w:rsid w:val="009B50FC"/>
    <w:rsid w:val="009B559E"/>
    <w:rsid w:val="009B5C4F"/>
    <w:rsid w:val="009B6AC4"/>
    <w:rsid w:val="009B6C33"/>
    <w:rsid w:val="009B6E8D"/>
    <w:rsid w:val="009C0806"/>
    <w:rsid w:val="009C0A7C"/>
    <w:rsid w:val="009C1121"/>
    <w:rsid w:val="009C117E"/>
    <w:rsid w:val="009C2193"/>
    <w:rsid w:val="009C239D"/>
    <w:rsid w:val="009C2BD2"/>
    <w:rsid w:val="009C2FDB"/>
    <w:rsid w:val="009C3577"/>
    <w:rsid w:val="009C3AB8"/>
    <w:rsid w:val="009C521B"/>
    <w:rsid w:val="009C6825"/>
    <w:rsid w:val="009C69EC"/>
    <w:rsid w:val="009C7185"/>
    <w:rsid w:val="009C768D"/>
    <w:rsid w:val="009C7A15"/>
    <w:rsid w:val="009C7AF3"/>
    <w:rsid w:val="009D0838"/>
    <w:rsid w:val="009D2B53"/>
    <w:rsid w:val="009D42EF"/>
    <w:rsid w:val="009D469F"/>
    <w:rsid w:val="009D4E4B"/>
    <w:rsid w:val="009D5BC8"/>
    <w:rsid w:val="009D6017"/>
    <w:rsid w:val="009D6D44"/>
    <w:rsid w:val="009D714B"/>
    <w:rsid w:val="009D7267"/>
    <w:rsid w:val="009E0B12"/>
    <w:rsid w:val="009E1297"/>
    <w:rsid w:val="009E1407"/>
    <w:rsid w:val="009E2A34"/>
    <w:rsid w:val="009E2FB6"/>
    <w:rsid w:val="009E3424"/>
    <w:rsid w:val="009E41AA"/>
    <w:rsid w:val="009E494E"/>
    <w:rsid w:val="009E4D43"/>
    <w:rsid w:val="009E4D81"/>
    <w:rsid w:val="009E560E"/>
    <w:rsid w:val="009E5BE7"/>
    <w:rsid w:val="009E6481"/>
    <w:rsid w:val="009E778B"/>
    <w:rsid w:val="009F0619"/>
    <w:rsid w:val="009F0B15"/>
    <w:rsid w:val="009F20C8"/>
    <w:rsid w:val="009F2829"/>
    <w:rsid w:val="009F359F"/>
    <w:rsid w:val="009F4389"/>
    <w:rsid w:val="009F494F"/>
    <w:rsid w:val="009F5469"/>
    <w:rsid w:val="009F5943"/>
    <w:rsid w:val="009F5C67"/>
    <w:rsid w:val="009F63DE"/>
    <w:rsid w:val="009F6BE4"/>
    <w:rsid w:val="009F6C67"/>
    <w:rsid w:val="009F7414"/>
    <w:rsid w:val="00A006A3"/>
    <w:rsid w:val="00A00A91"/>
    <w:rsid w:val="00A03062"/>
    <w:rsid w:val="00A0367E"/>
    <w:rsid w:val="00A0382F"/>
    <w:rsid w:val="00A04D52"/>
    <w:rsid w:val="00A05516"/>
    <w:rsid w:val="00A05EEC"/>
    <w:rsid w:val="00A06D68"/>
    <w:rsid w:val="00A07049"/>
    <w:rsid w:val="00A10E3E"/>
    <w:rsid w:val="00A10ED8"/>
    <w:rsid w:val="00A11006"/>
    <w:rsid w:val="00A111EA"/>
    <w:rsid w:val="00A111FE"/>
    <w:rsid w:val="00A12238"/>
    <w:rsid w:val="00A12747"/>
    <w:rsid w:val="00A138F9"/>
    <w:rsid w:val="00A13DE9"/>
    <w:rsid w:val="00A13F61"/>
    <w:rsid w:val="00A14194"/>
    <w:rsid w:val="00A14A31"/>
    <w:rsid w:val="00A1526C"/>
    <w:rsid w:val="00A15A23"/>
    <w:rsid w:val="00A172AA"/>
    <w:rsid w:val="00A172F7"/>
    <w:rsid w:val="00A173EE"/>
    <w:rsid w:val="00A17D3D"/>
    <w:rsid w:val="00A22190"/>
    <w:rsid w:val="00A22B32"/>
    <w:rsid w:val="00A23266"/>
    <w:rsid w:val="00A2349E"/>
    <w:rsid w:val="00A23A13"/>
    <w:rsid w:val="00A23E3C"/>
    <w:rsid w:val="00A23F22"/>
    <w:rsid w:val="00A245E2"/>
    <w:rsid w:val="00A264B1"/>
    <w:rsid w:val="00A26991"/>
    <w:rsid w:val="00A26D55"/>
    <w:rsid w:val="00A27578"/>
    <w:rsid w:val="00A27EC3"/>
    <w:rsid w:val="00A30091"/>
    <w:rsid w:val="00A304E5"/>
    <w:rsid w:val="00A30536"/>
    <w:rsid w:val="00A30EDF"/>
    <w:rsid w:val="00A31614"/>
    <w:rsid w:val="00A31AA3"/>
    <w:rsid w:val="00A31C88"/>
    <w:rsid w:val="00A31F82"/>
    <w:rsid w:val="00A32942"/>
    <w:rsid w:val="00A33188"/>
    <w:rsid w:val="00A3326D"/>
    <w:rsid w:val="00A33899"/>
    <w:rsid w:val="00A338BD"/>
    <w:rsid w:val="00A34884"/>
    <w:rsid w:val="00A351B8"/>
    <w:rsid w:val="00A3585E"/>
    <w:rsid w:val="00A3650B"/>
    <w:rsid w:val="00A365F4"/>
    <w:rsid w:val="00A36C00"/>
    <w:rsid w:val="00A36E7B"/>
    <w:rsid w:val="00A36EB5"/>
    <w:rsid w:val="00A372EA"/>
    <w:rsid w:val="00A3732A"/>
    <w:rsid w:val="00A37D77"/>
    <w:rsid w:val="00A40108"/>
    <w:rsid w:val="00A40A76"/>
    <w:rsid w:val="00A40EF7"/>
    <w:rsid w:val="00A419CE"/>
    <w:rsid w:val="00A41A0C"/>
    <w:rsid w:val="00A41AC8"/>
    <w:rsid w:val="00A43279"/>
    <w:rsid w:val="00A432F1"/>
    <w:rsid w:val="00A43386"/>
    <w:rsid w:val="00A434F4"/>
    <w:rsid w:val="00A43CAB"/>
    <w:rsid w:val="00A4444C"/>
    <w:rsid w:val="00A44772"/>
    <w:rsid w:val="00A44DBA"/>
    <w:rsid w:val="00A45455"/>
    <w:rsid w:val="00A45F2C"/>
    <w:rsid w:val="00A46B05"/>
    <w:rsid w:val="00A46BD8"/>
    <w:rsid w:val="00A47466"/>
    <w:rsid w:val="00A47C82"/>
    <w:rsid w:val="00A512DF"/>
    <w:rsid w:val="00A51424"/>
    <w:rsid w:val="00A519FA"/>
    <w:rsid w:val="00A52197"/>
    <w:rsid w:val="00A522C2"/>
    <w:rsid w:val="00A5268E"/>
    <w:rsid w:val="00A527A6"/>
    <w:rsid w:val="00A527DF"/>
    <w:rsid w:val="00A552D0"/>
    <w:rsid w:val="00A559A5"/>
    <w:rsid w:val="00A56891"/>
    <w:rsid w:val="00A57BB9"/>
    <w:rsid w:val="00A60288"/>
    <w:rsid w:val="00A60D4F"/>
    <w:rsid w:val="00A60FD1"/>
    <w:rsid w:val="00A61298"/>
    <w:rsid w:val="00A62004"/>
    <w:rsid w:val="00A62217"/>
    <w:rsid w:val="00A622D9"/>
    <w:rsid w:val="00A62CDA"/>
    <w:rsid w:val="00A63639"/>
    <w:rsid w:val="00A639AC"/>
    <w:rsid w:val="00A64632"/>
    <w:rsid w:val="00A64925"/>
    <w:rsid w:val="00A64BA7"/>
    <w:rsid w:val="00A65985"/>
    <w:rsid w:val="00A65D55"/>
    <w:rsid w:val="00A67093"/>
    <w:rsid w:val="00A673C9"/>
    <w:rsid w:val="00A67ACB"/>
    <w:rsid w:val="00A716D6"/>
    <w:rsid w:val="00A73139"/>
    <w:rsid w:val="00A73449"/>
    <w:rsid w:val="00A73573"/>
    <w:rsid w:val="00A7379A"/>
    <w:rsid w:val="00A73A30"/>
    <w:rsid w:val="00A73ACD"/>
    <w:rsid w:val="00A74489"/>
    <w:rsid w:val="00A75133"/>
    <w:rsid w:val="00A75A09"/>
    <w:rsid w:val="00A760F7"/>
    <w:rsid w:val="00A76234"/>
    <w:rsid w:val="00A763EF"/>
    <w:rsid w:val="00A76F35"/>
    <w:rsid w:val="00A77A02"/>
    <w:rsid w:val="00A77C93"/>
    <w:rsid w:val="00A81B4C"/>
    <w:rsid w:val="00A820DA"/>
    <w:rsid w:val="00A83041"/>
    <w:rsid w:val="00A8323A"/>
    <w:rsid w:val="00A83B10"/>
    <w:rsid w:val="00A83EBF"/>
    <w:rsid w:val="00A84D4E"/>
    <w:rsid w:val="00A85162"/>
    <w:rsid w:val="00A85BCC"/>
    <w:rsid w:val="00A85D8B"/>
    <w:rsid w:val="00A86DC1"/>
    <w:rsid w:val="00A86F93"/>
    <w:rsid w:val="00A872D2"/>
    <w:rsid w:val="00A87FC4"/>
    <w:rsid w:val="00A9100C"/>
    <w:rsid w:val="00A919DB"/>
    <w:rsid w:val="00A91DC5"/>
    <w:rsid w:val="00A926CE"/>
    <w:rsid w:val="00A928DE"/>
    <w:rsid w:val="00A929C1"/>
    <w:rsid w:val="00A93A11"/>
    <w:rsid w:val="00A94C9A"/>
    <w:rsid w:val="00A94F63"/>
    <w:rsid w:val="00A96A6F"/>
    <w:rsid w:val="00AA0267"/>
    <w:rsid w:val="00AA05BE"/>
    <w:rsid w:val="00AA10BB"/>
    <w:rsid w:val="00AA1275"/>
    <w:rsid w:val="00AA1B46"/>
    <w:rsid w:val="00AA2B09"/>
    <w:rsid w:val="00AA3892"/>
    <w:rsid w:val="00AA3E8F"/>
    <w:rsid w:val="00AA426D"/>
    <w:rsid w:val="00AA433C"/>
    <w:rsid w:val="00AA5A21"/>
    <w:rsid w:val="00AA6CA9"/>
    <w:rsid w:val="00AA6FB1"/>
    <w:rsid w:val="00AA7F75"/>
    <w:rsid w:val="00AB1A06"/>
    <w:rsid w:val="00AB24A5"/>
    <w:rsid w:val="00AB2D8F"/>
    <w:rsid w:val="00AB343E"/>
    <w:rsid w:val="00AB3AA0"/>
    <w:rsid w:val="00AB5DA6"/>
    <w:rsid w:val="00AC011B"/>
    <w:rsid w:val="00AC0A7E"/>
    <w:rsid w:val="00AC0C63"/>
    <w:rsid w:val="00AC38A3"/>
    <w:rsid w:val="00AC3EBF"/>
    <w:rsid w:val="00AC411C"/>
    <w:rsid w:val="00AC4DD2"/>
    <w:rsid w:val="00AC57D6"/>
    <w:rsid w:val="00AC5B44"/>
    <w:rsid w:val="00AC5D01"/>
    <w:rsid w:val="00AC6D91"/>
    <w:rsid w:val="00AC6FB7"/>
    <w:rsid w:val="00AC7562"/>
    <w:rsid w:val="00AC7E2D"/>
    <w:rsid w:val="00AD1D35"/>
    <w:rsid w:val="00AD223F"/>
    <w:rsid w:val="00AD2D94"/>
    <w:rsid w:val="00AD2E0F"/>
    <w:rsid w:val="00AD3463"/>
    <w:rsid w:val="00AD3CE4"/>
    <w:rsid w:val="00AD45BB"/>
    <w:rsid w:val="00AD4F01"/>
    <w:rsid w:val="00AD5E72"/>
    <w:rsid w:val="00AD6738"/>
    <w:rsid w:val="00AE14AE"/>
    <w:rsid w:val="00AE1BFC"/>
    <w:rsid w:val="00AE221B"/>
    <w:rsid w:val="00AE2A8A"/>
    <w:rsid w:val="00AE3103"/>
    <w:rsid w:val="00AE4E29"/>
    <w:rsid w:val="00AE5DAC"/>
    <w:rsid w:val="00AE6905"/>
    <w:rsid w:val="00AE6932"/>
    <w:rsid w:val="00AE78A2"/>
    <w:rsid w:val="00AE7BDF"/>
    <w:rsid w:val="00AF11BA"/>
    <w:rsid w:val="00AF1955"/>
    <w:rsid w:val="00AF1B1E"/>
    <w:rsid w:val="00AF1C02"/>
    <w:rsid w:val="00AF24F5"/>
    <w:rsid w:val="00AF314A"/>
    <w:rsid w:val="00AF4A3C"/>
    <w:rsid w:val="00AF4AA0"/>
    <w:rsid w:val="00AF4FA6"/>
    <w:rsid w:val="00AF5AB3"/>
    <w:rsid w:val="00AF5C08"/>
    <w:rsid w:val="00AF74B7"/>
    <w:rsid w:val="00AF7C4C"/>
    <w:rsid w:val="00B00EA0"/>
    <w:rsid w:val="00B01035"/>
    <w:rsid w:val="00B026D3"/>
    <w:rsid w:val="00B0287B"/>
    <w:rsid w:val="00B02EFF"/>
    <w:rsid w:val="00B0360B"/>
    <w:rsid w:val="00B03870"/>
    <w:rsid w:val="00B03D06"/>
    <w:rsid w:val="00B049AA"/>
    <w:rsid w:val="00B04D3E"/>
    <w:rsid w:val="00B04DF4"/>
    <w:rsid w:val="00B04F57"/>
    <w:rsid w:val="00B059E0"/>
    <w:rsid w:val="00B05E56"/>
    <w:rsid w:val="00B0662D"/>
    <w:rsid w:val="00B0695E"/>
    <w:rsid w:val="00B06BD4"/>
    <w:rsid w:val="00B07049"/>
    <w:rsid w:val="00B0739B"/>
    <w:rsid w:val="00B07B2F"/>
    <w:rsid w:val="00B104CF"/>
    <w:rsid w:val="00B11612"/>
    <w:rsid w:val="00B12B57"/>
    <w:rsid w:val="00B12EF9"/>
    <w:rsid w:val="00B13CE1"/>
    <w:rsid w:val="00B141B3"/>
    <w:rsid w:val="00B16B24"/>
    <w:rsid w:val="00B17900"/>
    <w:rsid w:val="00B17B1D"/>
    <w:rsid w:val="00B20574"/>
    <w:rsid w:val="00B207D4"/>
    <w:rsid w:val="00B2106B"/>
    <w:rsid w:val="00B2132B"/>
    <w:rsid w:val="00B22622"/>
    <w:rsid w:val="00B23F29"/>
    <w:rsid w:val="00B247CF"/>
    <w:rsid w:val="00B248BB"/>
    <w:rsid w:val="00B250BE"/>
    <w:rsid w:val="00B255EE"/>
    <w:rsid w:val="00B26C0A"/>
    <w:rsid w:val="00B2782D"/>
    <w:rsid w:val="00B30429"/>
    <w:rsid w:val="00B309AD"/>
    <w:rsid w:val="00B310B5"/>
    <w:rsid w:val="00B312F1"/>
    <w:rsid w:val="00B319E6"/>
    <w:rsid w:val="00B324B9"/>
    <w:rsid w:val="00B32FB8"/>
    <w:rsid w:val="00B33F51"/>
    <w:rsid w:val="00B34B74"/>
    <w:rsid w:val="00B3509F"/>
    <w:rsid w:val="00B35493"/>
    <w:rsid w:val="00B369C0"/>
    <w:rsid w:val="00B36CCC"/>
    <w:rsid w:val="00B37BA8"/>
    <w:rsid w:val="00B40B87"/>
    <w:rsid w:val="00B416BC"/>
    <w:rsid w:val="00B42063"/>
    <w:rsid w:val="00B423C7"/>
    <w:rsid w:val="00B4410E"/>
    <w:rsid w:val="00B4584B"/>
    <w:rsid w:val="00B46279"/>
    <w:rsid w:val="00B46CCA"/>
    <w:rsid w:val="00B4700B"/>
    <w:rsid w:val="00B4735F"/>
    <w:rsid w:val="00B4774F"/>
    <w:rsid w:val="00B47BDA"/>
    <w:rsid w:val="00B5031E"/>
    <w:rsid w:val="00B503D1"/>
    <w:rsid w:val="00B51033"/>
    <w:rsid w:val="00B517C7"/>
    <w:rsid w:val="00B525AB"/>
    <w:rsid w:val="00B529DD"/>
    <w:rsid w:val="00B533B4"/>
    <w:rsid w:val="00B5453A"/>
    <w:rsid w:val="00B5498E"/>
    <w:rsid w:val="00B54C58"/>
    <w:rsid w:val="00B54EF2"/>
    <w:rsid w:val="00B55711"/>
    <w:rsid w:val="00B5601E"/>
    <w:rsid w:val="00B56798"/>
    <w:rsid w:val="00B56AFF"/>
    <w:rsid w:val="00B56F89"/>
    <w:rsid w:val="00B575AE"/>
    <w:rsid w:val="00B57C9B"/>
    <w:rsid w:val="00B603ED"/>
    <w:rsid w:val="00B60B48"/>
    <w:rsid w:val="00B60BE8"/>
    <w:rsid w:val="00B61210"/>
    <w:rsid w:val="00B613D1"/>
    <w:rsid w:val="00B61BEE"/>
    <w:rsid w:val="00B62486"/>
    <w:rsid w:val="00B629E6"/>
    <w:rsid w:val="00B62B23"/>
    <w:rsid w:val="00B63216"/>
    <w:rsid w:val="00B63BC5"/>
    <w:rsid w:val="00B63E2B"/>
    <w:rsid w:val="00B6676F"/>
    <w:rsid w:val="00B679ED"/>
    <w:rsid w:val="00B67C24"/>
    <w:rsid w:val="00B701B9"/>
    <w:rsid w:val="00B70E31"/>
    <w:rsid w:val="00B71148"/>
    <w:rsid w:val="00B7175C"/>
    <w:rsid w:val="00B71FBE"/>
    <w:rsid w:val="00B729F0"/>
    <w:rsid w:val="00B7310D"/>
    <w:rsid w:val="00B73765"/>
    <w:rsid w:val="00B73F3B"/>
    <w:rsid w:val="00B744BE"/>
    <w:rsid w:val="00B755F7"/>
    <w:rsid w:val="00B75BD4"/>
    <w:rsid w:val="00B76C47"/>
    <w:rsid w:val="00B76C81"/>
    <w:rsid w:val="00B76F71"/>
    <w:rsid w:val="00B77D00"/>
    <w:rsid w:val="00B80B8D"/>
    <w:rsid w:val="00B81A6B"/>
    <w:rsid w:val="00B81DF5"/>
    <w:rsid w:val="00B81E00"/>
    <w:rsid w:val="00B8285B"/>
    <w:rsid w:val="00B83A38"/>
    <w:rsid w:val="00B84F0C"/>
    <w:rsid w:val="00B85003"/>
    <w:rsid w:val="00B8562D"/>
    <w:rsid w:val="00B85FD4"/>
    <w:rsid w:val="00B86ECB"/>
    <w:rsid w:val="00B86F32"/>
    <w:rsid w:val="00B87AEA"/>
    <w:rsid w:val="00B87BAB"/>
    <w:rsid w:val="00B9125B"/>
    <w:rsid w:val="00B92970"/>
    <w:rsid w:val="00B92C02"/>
    <w:rsid w:val="00B92F4B"/>
    <w:rsid w:val="00B9422E"/>
    <w:rsid w:val="00B94EAB"/>
    <w:rsid w:val="00B95383"/>
    <w:rsid w:val="00B957A5"/>
    <w:rsid w:val="00B965B4"/>
    <w:rsid w:val="00B96E40"/>
    <w:rsid w:val="00B9700D"/>
    <w:rsid w:val="00B978DE"/>
    <w:rsid w:val="00B97CBA"/>
    <w:rsid w:val="00BA1E95"/>
    <w:rsid w:val="00BA20DF"/>
    <w:rsid w:val="00BA26F7"/>
    <w:rsid w:val="00BA2727"/>
    <w:rsid w:val="00BA3A36"/>
    <w:rsid w:val="00BA5A3A"/>
    <w:rsid w:val="00BA6483"/>
    <w:rsid w:val="00BA65DB"/>
    <w:rsid w:val="00BA7A63"/>
    <w:rsid w:val="00BB0F32"/>
    <w:rsid w:val="00BB11CA"/>
    <w:rsid w:val="00BB27B5"/>
    <w:rsid w:val="00BB333E"/>
    <w:rsid w:val="00BB44B7"/>
    <w:rsid w:val="00BB55B0"/>
    <w:rsid w:val="00BB621C"/>
    <w:rsid w:val="00BB64B9"/>
    <w:rsid w:val="00BB6A03"/>
    <w:rsid w:val="00BB7054"/>
    <w:rsid w:val="00BB71ED"/>
    <w:rsid w:val="00BB728E"/>
    <w:rsid w:val="00BB7F4D"/>
    <w:rsid w:val="00BC0A46"/>
    <w:rsid w:val="00BC0EBA"/>
    <w:rsid w:val="00BC1511"/>
    <w:rsid w:val="00BC1DB6"/>
    <w:rsid w:val="00BC1E10"/>
    <w:rsid w:val="00BC2359"/>
    <w:rsid w:val="00BC2486"/>
    <w:rsid w:val="00BC2FF8"/>
    <w:rsid w:val="00BC301D"/>
    <w:rsid w:val="00BC35D6"/>
    <w:rsid w:val="00BC39C5"/>
    <w:rsid w:val="00BC574E"/>
    <w:rsid w:val="00BC5AE3"/>
    <w:rsid w:val="00BC5CCE"/>
    <w:rsid w:val="00BC6B17"/>
    <w:rsid w:val="00BD005E"/>
    <w:rsid w:val="00BD0DC1"/>
    <w:rsid w:val="00BD17BB"/>
    <w:rsid w:val="00BD1BCD"/>
    <w:rsid w:val="00BD3DD5"/>
    <w:rsid w:val="00BD41A9"/>
    <w:rsid w:val="00BD466D"/>
    <w:rsid w:val="00BD4803"/>
    <w:rsid w:val="00BD546E"/>
    <w:rsid w:val="00BD7251"/>
    <w:rsid w:val="00BD73A0"/>
    <w:rsid w:val="00BE034D"/>
    <w:rsid w:val="00BE0E73"/>
    <w:rsid w:val="00BE116B"/>
    <w:rsid w:val="00BE1ED6"/>
    <w:rsid w:val="00BE3143"/>
    <w:rsid w:val="00BE330A"/>
    <w:rsid w:val="00BE59BF"/>
    <w:rsid w:val="00BE5D66"/>
    <w:rsid w:val="00BE7013"/>
    <w:rsid w:val="00BE73E1"/>
    <w:rsid w:val="00BE78E1"/>
    <w:rsid w:val="00BE7CFE"/>
    <w:rsid w:val="00BF1942"/>
    <w:rsid w:val="00BF1B75"/>
    <w:rsid w:val="00BF229D"/>
    <w:rsid w:val="00BF2C68"/>
    <w:rsid w:val="00BF2D24"/>
    <w:rsid w:val="00BF3330"/>
    <w:rsid w:val="00BF3BF2"/>
    <w:rsid w:val="00BF4825"/>
    <w:rsid w:val="00BF4BE5"/>
    <w:rsid w:val="00BF5E36"/>
    <w:rsid w:val="00BF7E63"/>
    <w:rsid w:val="00C0008F"/>
    <w:rsid w:val="00C01817"/>
    <w:rsid w:val="00C03833"/>
    <w:rsid w:val="00C04843"/>
    <w:rsid w:val="00C05574"/>
    <w:rsid w:val="00C055ED"/>
    <w:rsid w:val="00C0780B"/>
    <w:rsid w:val="00C10E40"/>
    <w:rsid w:val="00C11559"/>
    <w:rsid w:val="00C1193F"/>
    <w:rsid w:val="00C11A6F"/>
    <w:rsid w:val="00C12E41"/>
    <w:rsid w:val="00C140E2"/>
    <w:rsid w:val="00C14421"/>
    <w:rsid w:val="00C1458E"/>
    <w:rsid w:val="00C14A1D"/>
    <w:rsid w:val="00C14CF5"/>
    <w:rsid w:val="00C152CD"/>
    <w:rsid w:val="00C15AE2"/>
    <w:rsid w:val="00C16C4F"/>
    <w:rsid w:val="00C21147"/>
    <w:rsid w:val="00C2177E"/>
    <w:rsid w:val="00C21BF1"/>
    <w:rsid w:val="00C2321B"/>
    <w:rsid w:val="00C232AC"/>
    <w:rsid w:val="00C238B0"/>
    <w:rsid w:val="00C23A5A"/>
    <w:rsid w:val="00C24174"/>
    <w:rsid w:val="00C251A3"/>
    <w:rsid w:val="00C2585A"/>
    <w:rsid w:val="00C30179"/>
    <w:rsid w:val="00C303E9"/>
    <w:rsid w:val="00C31A33"/>
    <w:rsid w:val="00C34176"/>
    <w:rsid w:val="00C342B2"/>
    <w:rsid w:val="00C36729"/>
    <w:rsid w:val="00C37191"/>
    <w:rsid w:val="00C37BED"/>
    <w:rsid w:val="00C403FE"/>
    <w:rsid w:val="00C40DB4"/>
    <w:rsid w:val="00C41555"/>
    <w:rsid w:val="00C417DF"/>
    <w:rsid w:val="00C43530"/>
    <w:rsid w:val="00C44329"/>
    <w:rsid w:val="00C44998"/>
    <w:rsid w:val="00C45517"/>
    <w:rsid w:val="00C458B9"/>
    <w:rsid w:val="00C46262"/>
    <w:rsid w:val="00C4716C"/>
    <w:rsid w:val="00C47C50"/>
    <w:rsid w:val="00C50D5F"/>
    <w:rsid w:val="00C51E4B"/>
    <w:rsid w:val="00C51EC5"/>
    <w:rsid w:val="00C51F3C"/>
    <w:rsid w:val="00C52A93"/>
    <w:rsid w:val="00C532AB"/>
    <w:rsid w:val="00C54151"/>
    <w:rsid w:val="00C54695"/>
    <w:rsid w:val="00C54AE1"/>
    <w:rsid w:val="00C550FF"/>
    <w:rsid w:val="00C55577"/>
    <w:rsid w:val="00C559AA"/>
    <w:rsid w:val="00C55F29"/>
    <w:rsid w:val="00C56E51"/>
    <w:rsid w:val="00C5751D"/>
    <w:rsid w:val="00C60222"/>
    <w:rsid w:val="00C61E7C"/>
    <w:rsid w:val="00C628DB"/>
    <w:rsid w:val="00C64824"/>
    <w:rsid w:val="00C64C9B"/>
    <w:rsid w:val="00C65515"/>
    <w:rsid w:val="00C65792"/>
    <w:rsid w:val="00C6597A"/>
    <w:rsid w:val="00C65A4A"/>
    <w:rsid w:val="00C70183"/>
    <w:rsid w:val="00C70661"/>
    <w:rsid w:val="00C71337"/>
    <w:rsid w:val="00C7205B"/>
    <w:rsid w:val="00C721BE"/>
    <w:rsid w:val="00C72637"/>
    <w:rsid w:val="00C73EC5"/>
    <w:rsid w:val="00C76370"/>
    <w:rsid w:val="00C7637E"/>
    <w:rsid w:val="00C76597"/>
    <w:rsid w:val="00C76D59"/>
    <w:rsid w:val="00C77842"/>
    <w:rsid w:val="00C77AA3"/>
    <w:rsid w:val="00C77B3F"/>
    <w:rsid w:val="00C817EC"/>
    <w:rsid w:val="00C81844"/>
    <w:rsid w:val="00C82247"/>
    <w:rsid w:val="00C82CAA"/>
    <w:rsid w:val="00C831AC"/>
    <w:rsid w:val="00C834C4"/>
    <w:rsid w:val="00C8412E"/>
    <w:rsid w:val="00C84281"/>
    <w:rsid w:val="00C858B0"/>
    <w:rsid w:val="00C85B4A"/>
    <w:rsid w:val="00C85B5D"/>
    <w:rsid w:val="00C860A1"/>
    <w:rsid w:val="00C86805"/>
    <w:rsid w:val="00C87394"/>
    <w:rsid w:val="00C91170"/>
    <w:rsid w:val="00C9149B"/>
    <w:rsid w:val="00C918F6"/>
    <w:rsid w:val="00C925A2"/>
    <w:rsid w:val="00C92720"/>
    <w:rsid w:val="00C93878"/>
    <w:rsid w:val="00C95973"/>
    <w:rsid w:val="00C95B78"/>
    <w:rsid w:val="00C95C44"/>
    <w:rsid w:val="00C96295"/>
    <w:rsid w:val="00C969E3"/>
    <w:rsid w:val="00C96C38"/>
    <w:rsid w:val="00C96F96"/>
    <w:rsid w:val="00C9776B"/>
    <w:rsid w:val="00CA1AB2"/>
    <w:rsid w:val="00CA25A9"/>
    <w:rsid w:val="00CA291F"/>
    <w:rsid w:val="00CA34AA"/>
    <w:rsid w:val="00CA5928"/>
    <w:rsid w:val="00CA5B21"/>
    <w:rsid w:val="00CA6E55"/>
    <w:rsid w:val="00CA74B8"/>
    <w:rsid w:val="00CA7A90"/>
    <w:rsid w:val="00CA7C15"/>
    <w:rsid w:val="00CB1B19"/>
    <w:rsid w:val="00CB1E31"/>
    <w:rsid w:val="00CB20B0"/>
    <w:rsid w:val="00CB21BA"/>
    <w:rsid w:val="00CB25A4"/>
    <w:rsid w:val="00CB2B22"/>
    <w:rsid w:val="00CB2E70"/>
    <w:rsid w:val="00CB436E"/>
    <w:rsid w:val="00CB56F4"/>
    <w:rsid w:val="00CC1523"/>
    <w:rsid w:val="00CC1717"/>
    <w:rsid w:val="00CC2201"/>
    <w:rsid w:val="00CC2205"/>
    <w:rsid w:val="00CC2C4D"/>
    <w:rsid w:val="00CC3F4B"/>
    <w:rsid w:val="00CC432A"/>
    <w:rsid w:val="00CC475A"/>
    <w:rsid w:val="00CC4A4B"/>
    <w:rsid w:val="00CC53DA"/>
    <w:rsid w:val="00CC5CD0"/>
    <w:rsid w:val="00CC625E"/>
    <w:rsid w:val="00CC676F"/>
    <w:rsid w:val="00CC727E"/>
    <w:rsid w:val="00CD0583"/>
    <w:rsid w:val="00CD0711"/>
    <w:rsid w:val="00CD0F26"/>
    <w:rsid w:val="00CD159C"/>
    <w:rsid w:val="00CD23AD"/>
    <w:rsid w:val="00CD3AB3"/>
    <w:rsid w:val="00CD3C17"/>
    <w:rsid w:val="00CD3CFA"/>
    <w:rsid w:val="00CD3F76"/>
    <w:rsid w:val="00CD4F5D"/>
    <w:rsid w:val="00CD52D3"/>
    <w:rsid w:val="00CD66F5"/>
    <w:rsid w:val="00CD67E6"/>
    <w:rsid w:val="00CD6883"/>
    <w:rsid w:val="00CD713A"/>
    <w:rsid w:val="00CE15A8"/>
    <w:rsid w:val="00CE17CB"/>
    <w:rsid w:val="00CE24C5"/>
    <w:rsid w:val="00CE295A"/>
    <w:rsid w:val="00CE3E8E"/>
    <w:rsid w:val="00CE40CF"/>
    <w:rsid w:val="00CE4988"/>
    <w:rsid w:val="00CE5849"/>
    <w:rsid w:val="00CE58BE"/>
    <w:rsid w:val="00CE6173"/>
    <w:rsid w:val="00CE7187"/>
    <w:rsid w:val="00CE734A"/>
    <w:rsid w:val="00CE7A93"/>
    <w:rsid w:val="00CE7D2B"/>
    <w:rsid w:val="00CF04A3"/>
    <w:rsid w:val="00CF05FB"/>
    <w:rsid w:val="00CF11D3"/>
    <w:rsid w:val="00CF303D"/>
    <w:rsid w:val="00CF311A"/>
    <w:rsid w:val="00CF44E2"/>
    <w:rsid w:val="00CF4EC2"/>
    <w:rsid w:val="00CF4EF3"/>
    <w:rsid w:val="00CF57D6"/>
    <w:rsid w:val="00CF5C03"/>
    <w:rsid w:val="00CF7325"/>
    <w:rsid w:val="00CF748D"/>
    <w:rsid w:val="00D008FA"/>
    <w:rsid w:val="00D00C44"/>
    <w:rsid w:val="00D012E8"/>
    <w:rsid w:val="00D0146D"/>
    <w:rsid w:val="00D01D03"/>
    <w:rsid w:val="00D023F6"/>
    <w:rsid w:val="00D02638"/>
    <w:rsid w:val="00D03ACD"/>
    <w:rsid w:val="00D044FB"/>
    <w:rsid w:val="00D0480A"/>
    <w:rsid w:val="00D048E8"/>
    <w:rsid w:val="00D050CB"/>
    <w:rsid w:val="00D05588"/>
    <w:rsid w:val="00D05AF3"/>
    <w:rsid w:val="00D068A3"/>
    <w:rsid w:val="00D06F0E"/>
    <w:rsid w:val="00D07241"/>
    <w:rsid w:val="00D07E93"/>
    <w:rsid w:val="00D100D5"/>
    <w:rsid w:val="00D108C7"/>
    <w:rsid w:val="00D10967"/>
    <w:rsid w:val="00D1139E"/>
    <w:rsid w:val="00D1141F"/>
    <w:rsid w:val="00D114AB"/>
    <w:rsid w:val="00D1440D"/>
    <w:rsid w:val="00D144A6"/>
    <w:rsid w:val="00D14AD5"/>
    <w:rsid w:val="00D15501"/>
    <w:rsid w:val="00D15F4B"/>
    <w:rsid w:val="00D160B7"/>
    <w:rsid w:val="00D17C2A"/>
    <w:rsid w:val="00D20DE0"/>
    <w:rsid w:val="00D21643"/>
    <w:rsid w:val="00D2172C"/>
    <w:rsid w:val="00D22208"/>
    <w:rsid w:val="00D22AE0"/>
    <w:rsid w:val="00D22F74"/>
    <w:rsid w:val="00D24160"/>
    <w:rsid w:val="00D24287"/>
    <w:rsid w:val="00D24DDC"/>
    <w:rsid w:val="00D25233"/>
    <w:rsid w:val="00D25C8A"/>
    <w:rsid w:val="00D26444"/>
    <w:rsid w:val="00D30039"/>
    <w:rsid w:val="00D30627"/>
    <w:rsid w:val="00D30CB6"/>
    <w:rsid w:val="00D31946"/>
    <w:rsid w:val="00D31BC9"/>
    <w:rsid w:val="00D350AF"/>
    <w:rsid w:val="00D35D7F"/>
    <w:rsid w:val="00D366D3"/>
    <w:rsid w:val="00D37411"/>
    <w:rsid w:val="00D3784F"/>
    <w:rsid w:val="00D37BE9"/>
    <w:rsid w:val="00D37DFC"/>
    <w:rsid w:val="00D40663"/>
    <w:rsid w:val="00D4103E"/>
    <w:rsid w:val="00D41177"/>
    <w:rsid w:val="00D41B93"/>
    <w:rsid w:val="00D41DEC"/>
    <w:rsid w:val="00D41E2F"/>
    <w:rsid w:val="00D41FD1"/>
    <w:rsid w:val="00D42C07"/>
    <w:rsid w:val="00D42C38"/>
    <w:rsid w:val="00D43328"/>
    <w:rsid w:val="00D43424"/>
    <w:rsid w:val="00D435DF"/>
    <w:rsid w:val="00D436F1"/>
    <w:rsid w:val="00D43C56"/>
    <w:rsid w:val="00D44A52"/>
    <w:rsid w:val="00D44F73"/>
    <w:rsid w:val="00D44FAD"/>
    <w:rsid w:val="00D461ED"/>
    <w:rsid w:val="00D46791"/>
    <w:rsid w:val="00D46E33"/>
    <w:rsid w:val="00D47A90"/>
    <w:rsid w:val="00D50804"/>
    <w:rsid w:val="00D51726"/>
    <w:rsid w:val="00D517F3"/>
    <w:rsid w:val="00D52698"/>
    <w:rsid w:val="00D5270F"/>
    <w:rsid w:val="00D543E2"/>
    <w:rsid w:val="00D543F6"/>
    <w:rsid w:val="00D54766"/>
    <w:rsid w:val="00D54F96"/>
    <w:rsid w:val="00D56429"/>
    <w:rsid w:val="00D57345"/>
    <w:rsid w:val="00D573CE"/>
    <w:rsid w:val="00D57F6B"/>
    <w:rsid w:val="00D6069C"/>
    <w:rsid w:val="00D61BA4"/>
    <w:rsid w:val="00D62203"/>
    <w:rsid w:val="00D6300E"/>
    <w:rsid w:val="00D650BD"/>
    <w:rsid w:val="00D657E4"/>
    <w:rsid w:val="00D6634C"/>
    <w:rsid w:val="00D674AA"/>
    <w:rsid w:val="00D71DCA"/>
    <w:rsid w:val="00D71F4E"/>
    <w:rsid w:val="00D72045"/>
    <w:rsid w:val="00D722E0"/>
    <w:rsid w:val="00D7272D"/>
    <w:rsid w:val="00D73014"/>
    <w:rsid w:val="00D75715"/>
    <w:rsid w:val="00D76973"/>
    <w:rsid w:val="00D76984"/>
    <w:rsid w:val="00D772E5"/>
    <w:rsid w:val="00D77468"/>
    <w:rsid w:val="00D77F40"/>
    <w:rsid w:val="00D812F6"/>
    <w:rsid w:val="00D81C43"/>
    <w:rsid w:val="00D8340F"/>
    <w:rsid w:val="00D837F7"/>
    <w:rsid w:val="00D838EF"/>
    <w:rsid w:val="00D83953"/>
    <w:rsid w:val="00D84336"/>
    <w:rsid w:val="00D84A30"/>
    <w:rsid w:val="00D85905"/>
    <w:rsid w:val="00D86AA2"/>
    <w:rsid w:val="00D86E0B"/>
    <w:rsid w:val="00D906F0"/>
    <w:rsid w:val="00D909B8"/>
    <w:rsid w:val="00D91600"/>
    <w:rsid w:val="00D91A74"/>
    <w:rsid w:val="00D91C0A"/>
    <w:rsid w:val="00D91E35"/>
    <w:rsid w:val="00D926C5"/>
    <w:rsid w:val="00D92EB9"/>
    <w:rsid w:val="00D935F3"/>
    <w:rsid w:val="00D9368B"/>
    <w:rsid w:val="00D93EC8"/>
    <w:rsid w:val="00D93ED3"/>
    <w:rsid w:val="00D94454"/>
    <w:rsid w:val="00D954E5"/>
    <w:rsid w:val="00D958AB"/>
    <w:rsid w:val="00D96D79"/>
    <w:rsid w:val="00D97307"/>
    <w:rsid w:val="00D979B9"/>
    <w:rsid w:val="00D97A40"/>
    <w:rsid w:val="00DA01FB"/>
    <w:rsid w:val="00DA22AC"/>
    <w:rsid w:val="00DA380F"/>
    <w:rsid w:val="00DA44C7"/>
    <w:rsid w:val="00DA5386"/>
    <w:rsid w:val="00DA54B7"/>
    <w:rsid w:val="00DA5D63"/>
    <w:rsid w:val="00DA5E69"/>
    <w:rsid w:val="00DA76AB"/>
    <w:rsid w:val="00DB0A42"/>
    <w:rsid w:val="00DB14CB"/>
    <w:rsid w:val="00DB1972"/>
    <w:rsid w:val="00DB1B4C"/>
    <w:rsid w:val="00DB2568"/>
    <w:rsid w:val="00DB27C0"/>
    <w:rsid w:val="00DB2B09"/>
    <w:rsid w:val="00DB2E21"/>
    <w:rsid w:val="00DB388B"/>
    <w:rsid w:val="00DB3CF4"/>
    <w:rsid w:val="00DB52FE"/>
    <w:rsid w:val="00DB5CBB"/>
    <w:rsid w:val="00DB6A47"/>
    <w:rsid w:val="00DB6BDF"/>
    <w:rsid w:val="00DB7DF4"/>
    <w:rsid w:val="00DC0D5C"/>
    <w:rsid w:val="00DC0F9A"/>
    <w:rsid w:val="00DC1951"/>
    <w:rsid w:val="00DC35E2"/>
    <w:rsid w:val="00DC52F7"/>
    <w:rsid w:val="00DC60A9"/>
    <w:rsid w:val="00DC6628"/>
    <w:rsid w:val="00DC68A2"/>
    <w:rsid w:val="00DC71C1"/>
    <w:rsid w:val="00DC7DE5"/>
    <w:rsid w:val="00DD0180"/>
    <w:rsid w:val="00DD0DD8"/>
    <w:rsid w:val="00DD0F4D"/>
    <w:rsid w:val="00DD14C9"/>
    <w:rsid w:val="00DD2AC0"/>
    <w:rsid w:val="00DD421C"/>
    <w:rsid w:val="00DD4CD0"/>
    <w:rsid w:val="00DD5270"/>
    <w:rsid w:val="00DD5373"/>
    <w:rsid w:val="00DD54BA"/>
    <w:rsid w:val="00DD580B"/>
    <w:rsid w:val="00DD5951"/>
    <w:rsid w:val="00DD5DAE"/>
    <w:rsid w:val="00DD7261"/>
    <w:rsid w:val="00DE0415"/>
    <w:rsid w:val="00DE078F"/>
    <w:rsid w:val="00DE18F4"/>
    <w:rsid w:val="00DE19E2"/>
    <w:rsid w:val="00DE1B19"/>
    <w:rsid w:val="00DE2F86"/>
    <w:rsid w:val="00DE360E"/>
    <w:rsid w:val="00DE4580"/>
    <w:rsid w:val="00DE64AB"/>
    <w:rsid w:val="00DE68A2"/>
    <w:rsid w:val="00DE6B7A"/>
    <w:rsid w:val="00DE71C1"/>
    <w:rsid w:val="00DE723C"/>
    <w:rsid w:val="00DE77C3"/>
    <w:rsid w:val="00DE79F2"/>
    <w:rsid w:val="00DF025C"/>
    <w:rsid w:val="00DF082D"/>
    <w:rsid w:val="00DF09A7"/>
    <w:rsid w:val="00DF0C38"/>
    <w:rsid w:val="00DF1940"/>
    <w:rsid w:val="00DF2141"/>
    <w:rsid w:val="00DF226B"/>
    <w:rsid w:val="00DF4512"/>
    <w:rsid w:val="00DF477F"/>
    <w:rsid w:val="00DF54CA"/>
    <w:rsid w:val="00DF601F"/>
    <w:rsid w:val="00DF6582"/>
    <w:rsid w:val="00DF6B76"/>
    <w:rsid w:val="00DF74DD"/>
    <w:rsid w:val="00E021A2"/>
    <w:rsid w:val="00E034A9"/>
    <w:rsid w:val="00E0351C"/>
    <w:rsid w:val="00E0640A"/>
    <w:rsid w:val="00E07D17"/>
    <w:rsid w:val="00E07E03"/>
    <w:rsid w:val="00E10075"/>
    <w:rsid w:val="00E1030F"/>
    <w:rsid w:val="00E10D33"/>
    <w:rsid w:val="00E114B9"/>
    <w:rsid w:val="00E11555"/>
    <w:rsid w:val="00E11796"/>
    <w:rsid w:val="00E11E8B"/>
    <w:rsid w:val="00E13839"/>
    <w:rsid w:val="00E150E9"/>
    <w:rsid w:val="00E1528A"/>
    <w:rsid w:val="00E15773"/>
    <w:rsid w:val="00E15AB3"/>
    <w:rsid w:val="00E1753D"/>
    <w:rsid w:val="00E177F4"/>
    <w:rsid w:val="00E20DB4"/>
    <w:rsid w:val="00E20E4F"/>
    <w:rsid w:val="00E21BD1"/>
    <w:rsid w:val="00E22104"/>
    <w:rsid w:val="00E22387"/>
    <w:rsid w:val="00E22895"/>
    <w:rsid w:val="00E23692"/>
    <w:rsid w:val="00E236B9"/>
    <w:rsid w:val="00E241A8"/>
    <w:rsid w:val="00E262A7"/>
    <w:rsid w:val="00E2669A"/>
    <w:rsid w:val="00E275FE"/>
    <w:rsid w:val="00E30219"/>
    <w:rsid w:val="00E3149F"/>
    <w:rsid w:val="00E31719"/>
    <w:rsid w:val="00E317F8"/>
    <w:rsid w:val="00E31A2A"/>
    <w:rsid w:val="00E31B47"/>
    <w:rsid w:val="00E32697"/>
    <w:rsid w:val="00E329A5"/>
    <w:rsid w:val="00E33584"/>
    <w:rsid w:val="00E34B86"/>
    <w:rsid w:val="00E34DD7"/>
    <w:rsid w:val="00E3542F"/>
    <w:rsid w:val="00E35AA8"/>
    <w:rsid w:val="00E35EF3"/>
    <w:rsid w:val="00E36D07"/>
    <w:rsid w:val="00E378AD"/>
    <w:rsid w:val="00E4031B"/>
    <w:rsid w:val="00E40BB9"/>
    <w:rsid w:val="00E41754"/>
    <w:rsid w:val="00E42511"/>
    <w:rsid w:val="00E428DD"/>
    <w:rsid w:val="00E42F63"/>
    <w:rsid w:val="00E4348A"/>
    <w:rsid w:val="00E43835"/>
    <w:rsid w:val="00E43D7F"/>
    <w:rsid w:val="00E44083"/>
    <w:rsid w:val="00E44D95"/>
    <w:rsid w:val="00E44FA4"/>
    <w:rsid w:val="00E452BF"/>
    <w:rsid w:val="00E453C6"/>
    <w:rsid w:val="00E45C03"/>
    <w:rsid w:val="00E45F96"/>
    <w:rsid w:val="00E460F6"/>
    <w:rsid w:val="00E46884"/>
    <w:rsid w:val="00E46BEE"/>
    <w:rsid w:val="00E473C1"/>
    <w:rsid w:val="00E479CF"/>
    <w:rsid w:val="00E51699"/>
    <w:rsid w:val="00E51798"/>
    <w:rsid w:val="00E51CC9"/>
    <w:rsid w:val="00E53044"/>
    <w:rsid w:val="00E547D6"/>
    <w:rsid w:val="00E5643D"/>
    <w:rsid w:val="00E56894"/>
    <w:rsid w:val="00E5741A"/>
    <w:rsid w:val="00E579BA"/>
    <w:rsid w:val="00E60147"/>
    <w:rsid w:val="00E60367"/>
    <w:rsid w:val="00E61037"/>
    <w:rsid w:val="00E61688"/>
    <w:rsid w:val="00E61D9E"/>
    <w:rsid w:val="00E64503"/>
    <w:rsid w:val="00E648EC"/>
    <w:rsid w:val="00E64AC9"/>
    <w:rsid w:val="00E65188"/>
    <w:rsid w:val="00E66869"/>
    <w:rsid w:val="00E66EA8"/>
    <w:rsid w:val="00E710C6"/>
    <w:rsid w:val="00E7308A"/>
    <w:rsid w:val="00E74BEE"/>
    <w:rsid w:val="00E74D50"/>
    <w:rsid w:val="00E75212"/>
    <w:rsid w:val="00E755FB"/>
    <w:rsid w:val="00E760A5"/>
    <w:rsid w:val="00E77A39"/>
    <w:rsid w:val="00E809E2"/>
    <w:rsid w:val="00E826F4"/>
    <w:rsid w:val="00E8286A"/>
    <w:rsid w:val="00E83231"/>
    <w:rsid w:val="00E8668E"/>
    <w:rsid w:val="00E917A5"/>
    <w:rsid w:val="00E91913"/>
    <w:rsid w:val="00E9286C"/>
    <w:rsid w:val="00E92B0F"/>
    <w:rsid w:val="00E933BE"/>
    <w:rsid w:val="00E93B77"/>
    <w:rsid w:val="00E949AB"/>
    <w:rsid w:val="00E95087"/>
    <w:rsid w:val="00E95E4B"/>
    <w:rsid w:val="00E96A00"/>
    <w:rsid w:val="00E96DF6"/>
    <w:rsid w:val="00E9726B"/>
    <w:rsid w:val="00E974E4"/>
    <w:rsid w:val="00E97C2B"/>
    <w:rsid w:val="00EA0650"/>
    <w:rsid w:val="00EA0954"/>
    <w:rsid w:val="00EA0A58"/>
    <w:rsid w:val="00EA1B21"/>
    <w:rsid w:val="00EA1E25"/>
    <w:rsid w:val="00EA3AA6"/>
    <w:rsid w:val="00EA45C7"/>
    <w:rsid w:val="00EA4F40"/>
    <w:rsid w:val="00EA7F2E"/>
    <w:rsid w:val="00EB023B"/>
    <w:rsid w:val="00EB08A1"/>
    <w:rsid w:val="00EB405C"/>
    <w:rsid w:val="00EB4697"/>
    <w:rsid w:val="00EB4C3C"/>
    <w:rsid w:val="00EB50C8"/>
    <w:rsid w:val="00EB596A"/>
    <w:rsid w:val="00EB5D41"/>
    <w:rsid w:val="00EB625A"/>
    <w:rsid w:val="00EB69CB"/>
    <w:rsid w:val="00EB6EEC"/>
    <w:rsid w:val="00EC05DB"/>
    <w:rsid w:val="00EC0DE3"/>
    <w:rsid w:val="00EC0FB4"/>
    <w:rsid w:val="00EC1772"/>
    <w:rsid w:val="00EC19BE"/>
    <w:rsid w:val="00EC2333"/>
    <w:rsid w:val="00EC2603"/>
    <w:rsid w:val="00EC28DC"/>
    <w:rsid w:val="00EC417F"/>
    <w:rsid w:val="00EC59E6"/>
    <w:rsid w:val="00EC6323"/>
    <w:rsid w:val="00EC7161"/>
    <w:rsid w:val="00EC7550"/>
    <w:rsid w:val="00ED0854"/>
    <w:rsid w:val="00ED1FFE"/>
    <w:rsid w:val="00ED20E4"/>
    <w:rsid w:val="00ED2969"/>
    <w:rsid w:val="00ED33F5"/>
    <w:rsid w:val="00ED382D"/>
    <w:rsid w:val="00ED38AE"/>
    <w:rsid w:val="00ED50E9"/>
    <w:rsid w:val="00ED557C"/>
    <w:rsid w:val="00ED577F"/>
    <w:rsid w:val="00ED6AC6"/>
    <w:rsid w:val="00ED75A4"/>
    <w:rsid w:val="00ED7E11"/>
    <w:rsid w:val="00EE144F"/>
    <w:rsid w:val="00EE1628"/>
    <w:rsid w:val="00EE1835"/>
    <w:rsid w:val="00EE1B48"/>
    <w:rsid w:val="00EE1F18"/>
    <w:rsid w:val="00EE2248"/>
    <w:rsid w:val="00EE37F0"/>
    <w:rsid w:val="00EE47C4"/>
    <w:rsid w:val="00EE5307"/>
    <w:rsid w:val="00EE6C36"/>
    <w:rsid w:val="00EE79B0"/>
    <w:rsid w:val="00EF1226"/>
    <w:rsid w:val="00EF208E"/>
    <w:rsid w:val="00EF2332"/>
    <w:rsid w:val="00EF2744"/>
    <w:rsid w:val="00EF2C7C"/>
    <w:rsid w:val="00EF390D"/>
    <w:rsid w:val="00EF3D4E"/>
    <w:rsid w:val="00EF4577"/>
    <w:rsid w:val="00EF4C53"/>
    <w:rsid w:val="00EF4DB8"/>
    <w:rsid w:val="00EF6108"/>
    <w:rsid w:val="00EF62C3"/>
    <w:rsid w:val="00EF7522"/>
    <w:rsid w:val="00EF7617"/>
    <w:rsid w:val="00EF7DD2"/>
    <w:rsid w:val="00F00156"/>
    <w:rsid w:val="00F00A55"/>
    <w:rsid w:val="00F01E0B"/>
    <w:rsid w:val="00F0253F"/>
    <w:rsid w:val="00F02541"/>
    <w:rsid w:val="00F02A61"/>
    <w:rsid w:val="00F0460C"/>
    <w:rsid w:val="00F04DE0"/>
    <w:rsid w:val="00F056A2"/>
    <w:rsid w:val="00F063F0"/>
    <w:rsid w:val="00F06530"/>
    <w:rsid w:val="00F0768F"/>
    <w:rsid w:val="00F0789A"/>
    <w:rsid w:val="00F07DF9"/>
    <w:rsid w:val="00F07F20"/>
    <w:rsid w:val="00F111EA"/>
    <w:rsid w:val="00F11313"/>
    <w:rsid w:val="00F11F3A"/>
    <w:rsid w:val="00F122F7"/>
    <w:rsid w:val="00F13569"/>
    <w:rsid w:val="00F13C71"/>
    <w:rsid w:val="00F13EB5"/>
    <w:rsid w:val="00F1494E"/>
    <w:rsid w:val="00F15A37"/>
    <w:rsid w:val="00F16317"/>
    <w:rsid w:val="00F17684"/>
    <w:rsid w:val="00F206A1"/>
    <w:rsid w:val="00F2091E"/>
    <w:rsid w:val="00F210E6"/>
    <w:rsid w:val="00F2133C"/>
    <w:rsid w:val="00F22ECB"/>
    <w:rsid w:val="00F23D0C"/>
    <w:rsid w:val="00F24781"/>
    <w:rsid w:val="00F24C0C"/>
    <w:rsid w:val="00F252FA"/>
    <w:rsid w:val="00F25FCF"/>
    <w:rsid w:val="00F26271"/>
    <w:rsid w:val="00F26EFC"/>
    <w:rsid w:val="00F274B2"/>
    <w:rsid w:val="00F31A8E"/>
    <w:rsid w:val="00F32C96"/>
    <w:rsid w:val="00F348C3"/>
    <w:rsid w:val="00F34E11"/>
    <w:rsid w:val="00F355B2"/>
    <w:rsid w:val="00F36D6F"/>
    <w:rsid w:val="00F3761A"/>
    <w:rsid w:val="00F37FAD"/>
    <w:rsid w:val="00F40654"/>
    <w:rsid w:val="00F41432"/>
    <w:rsid w:val="00F41997"/>
    <w:rsid w:val="00F41F64"/>
    <w:rsid w:val="00F423E4"/>
    <w:rsid w:val="00F42447"/>
    <w:rsid w:val="00F4297F"/>
    <w:rsid w:val="00F43ADD"/>
    <w:rsid w:val="00F43C91"/>
    <w:rsid w:val="00F43CC7"/>
    <w:rsid w:val="00F44FE9"/>
    <w:rsid w:val="00F455E5"/>
    <w:rsid w:val="00F46161"/>
    <w:rsid w:val="00F46888"/>
    <w:rsid w:val="00F471C3"/>
    <w:rsid w:val="00F5016A"/>
    <w:rsid w:val="00F51386"/>
    <w:rsid w:val="00F51C02"/>
    <w:rsid w:val="00F528CF"/>
    <w:rsid w:val="00F537BA"/>
    <w:rsid w:val="00F5408E"/>
    <w:rsid w:val="00F5412B"/>
    <w:rsid w:val="00F54859"/>
    <w:rsid w:val="00F55052"/>
    <w:rsid w:val="00F551F4"/>
    <w:rsid w:val="00F55F94"/>
    <w:rsid w:val="00F57F35"/>
    <w:rsid w:val="00F601D6"/>
    <w:rsid w:val="00F604DB"/>
    <w:rsid w:val="00F60550"/>
    <w:rsid w:val="00F60CCA"/>
    <w:rsid w:val="00F60DFE"/>
    <w:rsid w:val="00F6100D"/>
    <w:rsid w:val="00F6128A"/>
    <w:rsid w:val="00F61989"/>
    <w:rsid w:val="00F61DF7"/>
    <w:rsid w:val="00F623A6"/>
    <w:rsid w:val="00F62933"/>
    <w:rsid w:val="00F63494"/>
    <w:rsid w:val="00F63642"/>
    <w:rsid w:val="00F63711"/>
    <w:rsid w:val="00F65760"/>
    <w:rsid w:val="00F65A8A"/>
    <w:rsid w:val="00F6736A"/>
    <w:rsid w:val="00F725C7"/>
    <w:rsid w:val="00F725FC"/>
    <w:rsid w:val="00F72B3D"/>
    <w:rsid w:val="00F72C8E"/>
    <w:rsid w:val="00F72DA0"/>
    <w:rsid w:val="00F730B2"/>
    <w:rsid w:val="00F74DF2"/>
    <w:rsid w:val="00F762FB"/>
    <w:rsid w:val="00F76CB7"/>
    <w:rsid w:val="00F77340"/>
    <w:rsid w:val="00F80A28"/>
    <w:rsid w:val="00F8118F"/>
    <w:rsid w:val="00F8262C"/>
    <w:rsid w:val="00F83CB5"/>
    <w:rsid w:val="00F83F78"/>
    <w:rsid w:val="00F84062"/>
    <w:rsid w:val="00F845EF"/>
    <w:rsid w:val="00F848D3"/>
    <w:rsid w:val="00F85322"/>
    <w:rsid w:val="00F85B4F"/>
    <w:rsid w:val="00F8643B"/>
    <w:rsid w:val="00F86B4D"/>
    <w:rsid w:val="00F8701A"/>
    <w:rsid w:val="00F87C26"/>
    <w:rsid w:val="00F90197"/>
    <w:rsid w:val="00F901EC"/>
    <w:rsid w:val="00F90361"/>
    <w:rsid w:val="00F90734"/>
    <w:rsid w:val="00F93E01"/>
    <w:rsid w:val="00F94A44"/>
    <w:rsid w:val="00F9558E"/>
    <w:rsid w:val="00F955AE"/>
    <w:rsid w:val="00F972EB"/>
    <w:rsid w:val="00F975EF"/>
    <w:rsid w:val="00FA0949"/>
    <w:rsid w:val="00FA1659"/>
    <w:rsid w:val="00FA16E6"/>
    <w:rsid w:val="00FA2703"/>
    <w:rsid w:val="00FA354C"/>
    <w:rsid w:val="00FA3F9A"/>
    <w:rsid w:val="00FA43DF"/>
    <w:rsid w:val="00FA4890"/>
    <w:rsid w:val="00FA4D49"/>
    <w:rsid w:val="00FA72AD"/>
    <w:rsid w:val="00FA736A"/>
    <w:rsid w:val="00FA753B"/>
    <w:rsid w:val="00FB1B3E"/>
    <w:rsid w:val="00FB20D4"/>
    <w:rsid w:val="00FB2565"/>
    <w:rsid w:val="00FB30DD"/>
    <w:rsid w:val="00FB3161"/>
    <w:rsid w:val="00FB3713"/>
    <w:rsid w:val="00FB3B0A"/>
    <w:rsid w:val="00FB4162"/>
    <w:rsid w:val="00FB47CD"/>
    <w:rsid w:val="00FB47ED"/>
    <w:rsid w:val="00FB5796"/>
    <w:rsid w:val="00FB57A3"/>
    <w:rsid w:val="00FB5F78"/>
    <w:rsid w:val="00FB6BC1"/>
    <w:rsid w:val="00FB76C0"/>
    <w:rsid w:val="00FC07D7"/>
    <w:rsid w:val="00FC0FE0"/>
    <w:rsid w:val="00FC0FEB"/>
    <w:rsid w:val="00FC1BC2"/>
    <w:rsid w:val="00FC1FEE"/>
    <w:rsid w:val="00FC2136"/>
    <w:rsid w:val="00FC3752"/>
    <w:rsid w:val="00FC3C5B"/>
    <w:rsid w:val="00FC3D1C"/>
    <w:rsid w:val="00FC48ED"/>
    <w:rsid w:val="00FC4EF0"/>
    <w:rsid w:val="00FC581D"/>
    <w:rsid w:val="00FC605D"/>
    <w:rsid w:val="00FC66E9"/>
    <w:rsid w:val="00FC6DA2"/>
    <w:rsid w:val="00FC729F"/>
    <w:rsid w:val="00FD125D"/>
    <w:rsid w:val="00FD256E"/>
    <w:rsid w:val="00FD37A6"/>
    <w:rsid w:val="00FD3C8E"/>
    <w:rsid w:val="00FD3E99"/>
    <w:rsid w:val="00FD4929"/>
    <w:rsid w:val="00FD59C4"/>
    <w:rsid w:val="00FD67E6"/>
    <w:rsid w:val="00FD7113"/>
    <w:rsid w:val="00FD75A7"/>
    <w:rsid w:val="00FD7A38"/>
    <w:rsid w:val="00FE192B"/>
    <w:rsid w:val="00FE2186"/>
    <w:rsid w:val="00FE2496"/>
    <w:rsid w:val="00FE351F"/>
    <w:rsid w:val="00FE35F3"/>
    <w:rsid w:val="00FE39C9"/>
    <w:rsid w:val="00FE3BC9"/>
    <w:rsid w:val="00FE3FF1"/>
    <w:rsid w:val="00FE5EB5"/>
    <w:rsid w:val="00FE6522"/>
    <w:rsid w:val="00FE6B74"/>
    <w:rsid w:val="00FF0985"/>
    <w:rsid w:val="00FF0F1B"/>
    <w:rsid w:val="00FF1379"/>
    <w:rsid w:val="00FF1B7B"/>
    <w:rsid w:val="00FF1E8F"/>
    <w:rsid w:val="00FF210E"/>
    <w:rsid w:val="00FF2655"/>
    <w:rsid w:val="00FF346C"/>
    <w:rsid w:val="00FF3554"/>
    <w:rsid w:val="00FF369D"/>
    <w:rsid w:val="00FF42C7"/>
    <w:rsid w:val="00FF5881"/>
    <w:rsid w:val="00FF62FD"/>
    <w:rsid w:val="00FF7999"/>
    <w:rsid w:val="00FF79BE"/>
    <w:rsid w:val="00FF7B66"/>
    <w:rsid w:val="00FF7E83"/>
  </w:rsids>
  <m:mathPr>
    <m:mathFont m:val="Cambria Math"/>
    <m:brkBin m:val="before"/>
    <m:brkBinSub m:val="--"/>
    <m:smallFrac m:val="0"/>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CFDEBFF"/>
  <w15:chartTrackingRefBased/>
  <w15:docId w15:val="{C7A13869-E7D0-443A-9E8B-280246155707}"/>
</w:settings>
</file>

<file path=word/styles.xml><?xml version="1.0" encoding="utf-8"?>
<w:styles xmlns:w="http://schemas.openxmlformats.org/wordprocessingml/2006/main" xmlns:mc="http://schemas.openxmlformats.org/markup-compatibility/2006" xmlns:r="http://schemas.openxmlformats.org/officeDocument/2006/relationships"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it-IT"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qFormat="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qFormat="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pacing w:after="0" w:line="240" w:lineRule="auto"/>
      <w:jc w:val="both"/>
    </w:pPr>
    <w:rPr>
      <w:rFonts w:ascii="Times New Roman" w:eastAsia="MS Mincho" w:hAnsi="Times New Roman" w:cs="Times New Roman"/>
      <w:szCs w:val="24"/>
      <w:lang w:val="en-GB"/>
    </w:rPr>
  </w:style>
  <w:style w:type="paragraph" w:styleId="Heading1">
    <w:name w:val="heading 1"/>
    <w:basedOn w:val="Normal"/>
    <w:next w:val="Normal"/>
    <w:link w:val="Heading1Char"/>
    <w:qFormat/>
    <w:pPr>
      <w:keepNext/>
      <w:overflowPunct w:val="0"/>
      <w:autoSpaceDE w:val="0"/>
      <w:autoSpaceDN w:val="0"/>
      <w:adjustRightInd w:val="0"/>
      <w:textAlignment w:val="baseline"/>
      <w:outlineLvl w:val="0"/>
    </w:pPr>
    <w:rPr>
      <w:b/>
      <w:bCs/>
    </w:rPr>
  </w:style>
  <w:style w:type="paragraph" w:styleId="Heading2">
    <w:name w:val="heading 2"/>
    <w:basedOn w:val="Normal"/>
    <w:next w:val="Normal"/>
    <w:link w:val="Heading2Char"/>
    <w:qFormat/>
    <w:pPr>
      <w:keepNext/>
      <w:spacing w:before="240" w:after="60"/>
      <w:outlineLvl w:val="1"/>
    </w:pPr>
    <w:rPr>
      <w:rFonts w:ascii="Calibri" w:hAnsi="Calibri"/>
      <w:b/>
      <w:bCs/>
      <w:i/>
      <w:iCs/>
      <w:sz w:val="28"/>
      <w:szCs w:val="28"/>
    </w:rPr>
  </w:style>
  <w:style w:type="paragraph" w:styleId="Heading3">
    <w:name w:val="heading 3"/>
    <w:basedOn w:val="Normal"/>
    <w:next w:val="Normal"/>
    <w:link w:val="Heading3Char"/>
    <w:qFormat/>
    <w:pPr>
      <w:keepNext/>
      <w:spacing w:before="240" w:after="60"/>
      <w:outlineLvl w:val="2"/>
    </w:pPr>
    <w:rPr>
      <w:rFonts w:ascii="Calibri" w:hAnsi="Calibri"/>
      <w:b/>
      <w:bCs/>
      <w:sz w:val="26"/>
      <w:szCs w:val="26"/>
    </w:rPr>
  </w:style>
  <w:style w:type="paragraph" w:styleId="Heading6">
    <w:name w:val="heading 6"/>
    <w:basedOn w:val="Normal"/>
    <w:next w:val="Normal"/>
    <w:link w:val="Heading6Char"/>
    <w:uiPriority w:val="9"/>
    <w:unhideWhenUsed/>
    <w:qFormat/>
    <w:pPr>
      <w:keepNext/>
      <w:keepLines/>
      <w:spacing w:before="40"/>
      <w:outlineLvl w:val="5"/>
    </w:pPr>
    <w:rPr>
      <w:rFonts w:asciiTheme="majorHAnsi" w:eastAsiaTheme="majorEastAsia" w:hAnsiTheme="majorHAnsi" w:cstheme="majorBidi"/>
      <w:color w:val="1F3763" w:themeColor="accent1" w:themeShade="7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Pr>
      <w:rFonts w:ascii="Times New Roman" w:eastAsia="MS Mincho" w:hAnsi="Times New Roman" w:cs="Times New Roman"/>
      <w:b/>
      <w:bCs/>
      <w:szCs w:val="24"/>
      <w:lang w:val="en-GB"/>
    </w:rPr>
  </w:style>
  <w:style w:type="paragraph" w:styleId="BodyText">
    <w:name w:val="Body Text"/>
    <w:basedOn w:val="Normal"/>
    <w:link w:val="BodyTextChar"/>
    <w:uiPriority w:val="1"/>
    <w:qFormat/>
  </w:style>
  <w:style w:type="character" w:customStyle="1" w:styleId="BodyTextChar">
    <w:name w:val="Body Text Char"/>
    <w:basedOn w:val="DefaultParagraphFont"/>
    <w:link w:val="BodyText"/>
    <w:uiPriority w:val="1"/>
    <w:rPr>
      <w:rFonts w:ascii="Times New Roman" w:eastAsia="Times New Roman" w:hAnsi="Times New Roman" w:cs="Times New Roman"/>
      <w:lang w:val="en-US"/>
    </w:rPr>
  </w:style>
  <w:style w:type="table" w:customStyle="1" w:styleId="TableNormal1">
    <w:name w:val="Table Normal1"/>
    <w:uiPriority w:val="2"/>
    <w:semiHidden/>
    <w:unhideWhenUsed/>
    <w:qFormat/>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Pr>
      <w:rFonts w:ascii="Arial MT" w:eastAsia="Arial MT" w:hAnsi="Arial MT" w:cs="Arial MT"/>
    </w:rPr>
  </w:style>
  <w:style w:type="character" w:customStyle="1" w:styleId="Heading2Char">
    <w:name w:val="Heading 2 Char"/>
    <w:basedOn w:val="DefaultParagraphFont"/>
    <w:link w:val="Heading2"/>
    <w:rPr>
      <w:rFonts w:ascii="Calibri" w:eastAsia="MS Mincho" w:hAnsi="Calibri" w:cs="Times New Roman"/>
      <w:b/>
      <w:bCs/>
      <w:i/>
      <w:iCs/>
      <w:sz w:val="28"/>
      <w:szCs w:val="28"/>
      <w:lang w:val="en-GB"/>
    </w:rPr>
  </w:style>
  <w:style w:type="character" w:styleId="Hyperlink">
    <w:name w:val="Hyperlink"/>
    <w:basedOn w:val="DefaultParagraphFont"/>
    <w:unhideWhenUsed/>
    <w:rPr>
      <w:color w:val="0000FF"/>
      <w:u w:val="none"/>
    </w:rPr>
  </w:style>
  <w:style w:type="character" w:customStyle="1" w:styleId="UnresolvedMention1">
    <w:name w:val="Unresolved Mention1"/>
    <w:basedOn w:val="DefaultParagraphFont"/>
    <w:uiPriority w:val="99"/>
    <w:semiHidden/>
    <w:unhideWhenUsed/>
    <w:rPr>
      <w:color w:val="605E5C"/>
      <w:shd w:val="clear" w:color="auto" w:fill="E1DFDD"/>
    </w:rPr>
  </w:style>
  <w:style w:type="table" w:styleId="TableGrid">
    <w:name w:val="Table Grid"/>
    <w:basedOn w:val="TableNormal"/>
    <w:pPr>
      <w:spacing w:after="0" w:line="240" w:lineRule="auto"/>
    </w:pPr>
    <w:rPr>
      <w:rFonts w:ascii="Cambria" w:eastAsia="MS Mincho" w:hAnsi="Cambria" w:cs="Times New Roman"/>
      <w:sz w:val="20"/>
      <w:szCs w:val="20"/>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pPr>
      <w:spacing w:line="240" w:lineRule="atLeast"/>
      <w:ind w:leftChars="400" w:left="800"/>
    </w:pPr>
    <w:rPr>
      <w:rFonts w:ascii="Verdana" w:eastAsia="Times New Roman" w:hAnsi="Verdana"/>
      <w:sz w:val="20"/>
      <w:lang w:val="nl-NL" w:eastAsia="nl-NL"/>
    </w:rPr>
  </w:style>
  <w:style w:type="paragraph" w:styleId="FootnoteText">
    <w:name w:val="footnote text"/>
    <w:basedOn w:val="Normal"/>
    <w:link w:val="FootnoteTextChar"/>
    <w:semiHidden/>
    <w:pPr>
      <w:spacing w:before="60"/>
    </w:pPr>
    <w:rPr>
      <w:sz w:val="20"/>
    </w:rPr>
  </w:style>
  <w:style w:type="character" w:customStyle="1" w:styleId="FootnoteTextChar">
    <w:name w:val="Footnote Text Char"/>
    <w:basedOn w:val="DefaultParagraphFont"/>
    <w:link w:val="FootnoteText"/>
    <w:semiHidden/>
    <w:rPr>
      <w:rFonts w:ascii="Times New Roman" w:eastAsia="MS Mincho" w:hAnsi="Times New Roman" w:cs="Times New Roman"/>
      <w:sz w:val="20"/>
      <w:szCs w:val="24"/>
      <w:lang w:val="en-GB"/>
    </w:rPr>
  </w:style>
  <w:style w:type="character" w:styleId="FootnoteReference">
    <w:name w:val="footnote reference"/>
    <w:basedOn w:val="DefaultParagraphFont"/>
    <w:semiHidden/>
    <w:rPr>
      <w:vertAlign w:val="superscript"/>
    </w:rPr>
  </w:style>
  <w:style w:type="paragraph" w:styleId="Header">
    <w:name w:val="header"/>
    <w:basedOn w:val="Normal"/>
    <w:link w:val="HeaderChar"/>
    <w:pPr>
      <w:tabs>
        <w:tab w:val="center" w:pos="4680"/>
        <w:tab w:val="right" w:pos="9360"/>
      </w:tabs>
    </w:pPr>
  </w:style>
  <w:style w:type="character" w:customStyle="1" w:styleId="HeaderChar">
    <w:name w:val="Header Char"/>
    <w:basedOn w:val="DefaultParagraphFont"/>
    <w:link w:val="Header"/>
    <w:rPr>
      <w:rFonts w:ascii="Times New Roman" w:eastAsia="MS Mincho" w:hAnsi="Times New Roman" w:cs="Times New Roman"/>
      <w:szCs w:val="24"/>
      <w:lang w:val="en-GB"/>
    </w:rPr>
  </w:style>
  <w:style w:type="paragraph" w:styleId="Footer">
    <w:name w:val="footer"/>
    <w:basedOn w:val="Normal"/>
    <w:link w:val="FooterChar"/>
    <w:pPr>
      <w:tabs>
        <w:tab w:val="center" w:pos="4680"/>
        <w:tab w:val="right" w:pos="9360"/>
      </w:tabs>
    </w:pPr>
  </w:style>
  <w:style w:type="character" w:customStyle="1" w:styleId="FooterChar">
    <w:name w:val="Footer Char"/>
    <w:basedOn w:val="DefaultParagraphFont"/>
    <w:link w:val="Footer"/>
    <w:rPr>
      <w:rFonts w:ascii="Times New Roman" w:eastAsia="MS Mincho" w:hAnsi="Times New Roman" w:cs="Times New Roman"/>
      <w:szCs w:val="24"/>
      <w:lang w:val="en-GB"/>
    </w:rPr>
  </w:style>
  <w:style w:type="character" w:styleId="CommentReference">
    <w:name w:val="annotation reference"/>
    <w:basedOn w:val="DefaultParagraphFont"/>
    <w:unhideWhenUsed/>
    <w:qFormat/>
    <w:rPr>
      <w:sz w:val="16"/>
      <w:szCs w:val="16"/>
    </w:rPr>
  </w:style>
  <w:style w:type="paragraph" w:styleId="CommentText">
    <w:name w:val="annotation text"/>
    <w:basedOn w:val="Normal"/>
    <w:link w:val="CommentTextChar"/>
    <w:uiPriority w:val="99"/>
    <w:unhideWhenUsed/>
    <w:qFormat/>
    <w:rPr>
      <w:sz w:val="20"/>
      <w:szCs w:val="20"/>
    </w:rPr>
  </w:style>
  <w:style w:type="character" w:customStyle="1" w:styleId="CommentTextChar">
    <w:name w:val="Comment Text Char"/>
    <w:basedOn w:val="DefaultParagraphFont"/>
    <w:link w:val="CommentText"/>
    <w:uiPriority w:val="99"/>
    <w:qFormat/>
    <w:rPr>
      <w:rFonts w:ascii="Times New Roman" w:eastAsia="Times New Roman" w:hAnsi="Times New Roman" w:cs="Times New Roman"/>
      <w:sz w:val="20"/>
      <w:szCs w:val="20"/>
      <w:lang w:val="en-US"/>
    </w:rPr>
  </w:style>
  <w:style w:type="paragraph" w:styleId="CommentSubject">
    <w:name w:val="annotation subject"/>
    <w:basedOn w:val="CommentText"/>
    <w:next w:val="CommentText"/>
    <w:link w:val="CommentSubjectChar"/>
    <w:uiPriority w:val="99"/>
    <w:semiHidden/>
    <w:unhideWhenUsed/>
    <w:rPr>
      <w:b/>
      <w:bCs/>
    </w:rPr>
  </w:style>
  <w:style w:type="character" w:customStyle="1" w:styleId="CommentSubjectChar">
    <w:name w:val="Comment Subject Char"/>
    <w:basedOn w:val="CommentTextChar"/>
    <w:link w:val="CommentSubject"/>
    <w:uiPriority w:val="99"/>
    <w:semiHidden/>
    <w:rPr>
      <w:rFonts w:ascii="Times New Roman" w:eastAsia="Times New Roman" w:hAnsi="Times New Roman" w:cs="Times New Roman"/>
      <w:b/>
      <w:bCs/>
      <w:sz w:val="20"/>
      <w:szCs w:val="20"/>
      <w:lang w:val="en-US"/>
    </w:rPr>
  </w:style>
  <w:style w:type="paragraph" w:styleId="Revision">
    <w:name w:val="Revision"/>
    <w:hidden/>
    <w:uiPriority w:val="99"/>
    <w:semiHidden/>
    <w:pPr>
      <w:spacing w:after="0" w:line="240" w:lineRule="auto"/>
    </w:pPr>
    <w:rPr>
      <w:rFonts w:ascii="Times New Roman" w:eastAsia="Times New Roman" w:hAnsi="Times New Roman" w:cs="Times New Roman"/>
      <w:lang w:val="en-US"/>
    </w:rPr>
  </w:style>
  <w:style w:type="character" w:styleId="FollowedHyperlink">
    <w:name w:val="FollowedHyperlink"/>
    <w:basedOn w:val="DefaultParagraphFont"/>
    <w:semiHidden/>
    <w:unhideWhenUsed/>
    <w:rPr>
      <w:color w:val="954F72" w:themeColor="followedHyperlink"/>
      <w:u w:val="none"/>
    </w:rPr>
  </w:style>
  <w:style w:type="paragraph" w:customStyle="1" w:styleId="IPPArialTable">
    <w:name w:val="IPP Arial Table"/>
    <w:basedOn w:val="IPPArial"/>
    <w:qFormat/>
    <w:pPr>
      <w:spacing w:before="60" w:after="60"/>
      <w:jc w:val="left"/>
    </w:pPr>
  </w:style>
  <w:style w:type="character" w:customStyle="1" w:styleId="fldtext1">
    <w:name w:val="fldtext1"/>
    <w:basedOn w:val="DefaultParagraphFont"/>
    <w:rPr>
      <w:sz w:val="20"/>
      <w:szCs w:val="20"/>
    </w:rPr>
  </w:style>
  <w:style w:type="numbering" w:customStyle="1" w:styleId="IPPParagraphnumberedlist">
    <w:name w:val="IPP Paragraph numbered list"/>
    <w:pPr>
      <w:numPr>
        <w:numId w:val="21"/>
      </w:numPr>
    </w:pPr>
  </w:style>
  <w:style w:type="paragraph" w:customStyle="1" w:styleId="IPPParagraphnumbering">
    <w:name w:val="IPP Paragraph numbering"/>
    <w:basedOn w:val="IPPNormal"/>
    <w:link w:val="IPPParagraphnumberingChar"/>
    <w:qFormat/>
    <w:pPr>
      <w:numPr>
        <w:numId w:val="72"/>
      </w:numPr>
    </w:pPr>
    <w:rPr>
      <w:lang w:val="en-US"/>
    </w:rPr>
  </w:style>
  <w:style w:type="character" w:customStyle="1" w:styleId="IPPParagraphnumberingChar">
    <w:name w:val="IPP Paragraph numbering Char"/>
    <w:link w:val="IPPParagraphnumbering"/>
    <w:rPr>
      <w:rFonts w:ascii="Times New Roman" w:eastAsia="Times" w:hAnsi="Times New Roman" w:cs="Times New Roman"/>
      <w:szCs w:val="24"/>
      <w:lang w:val="en-US"/>
    </w:rPr>
  </w:style>
  <w:style w:type="paragraph" w:customStyle="1" w:styleId="IPPHeader">
    <w:name w:val="IPP Header"/>
    <w:basedOn w:val="Normal"/>
    <w:qFormat/>
    <w:pPr>
      <w:pBdr>
        <w:bottom w:val="single" w:sz="4" w:space="4" w:color="auto"/>
      </w:pBdr>
      <w:tabs>
        <w:tab w:val="left" w:pos="1134"/>
        <w:tab w:val="right" w:pos="9072"/>
      </w:tabs>
      <w:spacing w:after="120"/>
      <w:jc w:val="left"/>
    </w:pPr>
    <w:rPr>
      <w:rFonts w:ascii="Arial" w:hAnsi="Arial"/>
      <w:sz w:val="18"/>
      <w:lang w:val="en-US"/>
    </w:rPr>
  </w:style>
  <w:style w:type="paragraph" w:customStyle="1" w:styleId="IPPFooter">
    <w:name w:val="IPP Footer"/>
    <w:basedOn w:val="IPPHeader"/>
    <w:next w:val="PlainText"/>
    <w:qFormat/>
    <w:pPr>
      <w:pBdr>
        <w:top w:val="single" w:sz="4" w:space="4" w:color="auto"/>
        <w:bottom w:val="none" w:sz="0" w:space="0" w:color="auto"/>
      </w:pBdr>
      <w:tabs>
        <w:tab w:val="clear" w:pos="1134"/>
      </w:tabs>
      <w:jc w:val="right"/>
    </w:pPr>
    <w:rPr>
      <w:b/>
    </w:rPr>
  </w:style>
  <w:style w:type="character" w:styleId="PageNumber">
    <w:name w:val="page number"/>
    <w:rPr>
      <w:rFonts w:ascii="Arial" w:hAnsi="Arial"/>
      <w:b/>
      <w:sz w:val="18"/>
    </w:rPr>
  </w:style>
  <w:style w:type="paragraph" w:styleId="PlainText">
    <w:name w:val="Plain Text"/>
    <w:basedOn w:val="Normal"/>
    <w:link w:val="PlainTextChar"/>
    <w:uiPriority w:val="99"/>
    <w:unhideWhenUsed/>
    <w:pPr>
      <w:jc w:val="left"/>
    </w:pPr>
    <w:rPr>
      <w:rFonts w:ascii="Courier" w:eastAsia="Times" w:hAnsi="Courier"/>
      <w:sz w:val="21"/>
      <w:szCs w:val="21"/>
      <w:lang w:val="en-AU"/>
    </w:rPr>
  </w:style>
  <w:style w:type="character" w:customStyle="1" w:styleId="PlainTextChar">
    <w:name w:val="Plain Text Char"/>
    <w:basedOn w:val="DefaultParagraphFont"/>
    <w:link w:val="PlainText"/>
    <w:uiPriority w:val="99"/>
    <w:rPr>
      <w:rFonts w:ascii="Courier" w:eastAsia="Times" w:hAnsi="Courier" w:cs="Times New Roman"/>
      <w:sz w:val="21"/>
      <w:szCs w:val="21"/>
      <w:lang w:val="en-AU"/>
    </w:rPr>
  </w:style>
  <w:style w:type="character" w:customStyle="1" w:styleId="Heading3Char">
    <w:name w:val="Heading 3 Char"/>
    <w:basedOn w:val="DefaultParagraphFont"/>
    <w:link w:val="Heading3"/>
    <w:rPr>
      <w:rFonts w:ascii="Calibri" w:eastAsia="MS Mincho" w:hAnsi="Calibri" w:cs="Times New Roman"/>
      <w:b/>
      <w:bCs/>
      <w:sz w:val="26"/>
      <w:szCs w:val="26"/>
      <w:lang w:val="en-GB"/>
    </w:rPr>
  </w:style>
  <w:style w:type="paragraph" w:customStyle="1" w:styleId="Style">
    <w:name w:val="Style"/>
    <w:basedOn w:val="Footer"/>
    <w:autoRedefine/>
    <w:qFormat/>
    <w:pPr>
      <w:pBdr>
        <w:top w:val="single" w:sz="4" w:space="1" w:color="auto"/>
      </w:pBdr>
      <w:tabs>
        <w:tab w:val="clear" w:pos="4680"/>
        <w:tab w:val="clear" w:pos="9360"/>
        <w:tab w:val="right" w:pos="9072"/>
      </w:tabs>
      <w:spacing w:after="120"/>
      <w:jc w:val="left"/>
    </w:pPr>
    <w:rPr>
      <w:rFonts w:ascii="Arial" w:eastAsia="Times" w:hAnsi="Arial"/>
      <w:sz w:val="18"/>
      <w:lang w:val="es-ES_tradnl" w:eastAsia="en-GB"/>
    </w:rPr>
  </w:style>
  <w:style w:type="paragraph" w:customStyle="1" w:styleId="IPPArialFootnote">
    <w:name w:val="IPP Arial Footnote"/>
    <w:basedOn w:val="IPPArialTable"/>
    <w:qFormat/>
    <w:pPr>
      <w:tabs>
        <w:tab w:val="left" w:pos="28"/>
      </w:tabs>
      <w:ind w:left="284" w:hanging="284"/>
    </w:pPr>
    <w:rPr>
      <w:sz w:val="16"/>
    </w:rPr>
  </w:style>
  <w:style w:type="paragraph" w:customStyle="1" w:styleId="IPPContentsHead">
    <w:name w:val="IPP ContentsHead"/>
    <w:basedOn w:val="IPPSubhead"/>
    <w:next w:val="IPPNormal"/>
    <w:qFormat/>
    <w:pPr>
      <w:spacing w:after="240"/>
    </w:pPr>
    <w:rPr>
      <w:sz w:val="24"/>
    </w:rPr>
  </w:style>
  <w:style w:type="paragraph" w:styleId="BalloonText">
    <w:name w:val="Balloon Text"/>
    <w:basedOn w:val="Normal"/>
    <w:link w:val="BalloonTextChar"/>
    <w:rPr>
      <w:rFonts w:ascii="Tahoma" w:hAnsi="Tahoma" w:cs="Tahoma"/>
      <w:sz w:val="16"/>
      <w:szCs w:val="16"/>
    </w:rPr>
  </w:style>
  <w:style w:type="character" w:customStyle="1" w:styleId="BalloonTextChar">
    <w:name w:val="Balloon Text Char"/>
    <w:basedOn w:val="DefaultParagraphFont"/>
    <w:link w:val="BalloonText"/>
    <w:rPr>
      <w:rFonts w:ascii="Tahoma" w:eastAsia="MS Mincho" w:hAnsi="Tahoma" w:cs="Tahoma"/>
      <w:sz w:val="16"/>
      <w:szCs w:val="16"/>
      <w:lang w:val="en-GB"/>
    </w:rPr>
  </w:style>
  <w:style w:type="paragraph" w:customStyle="1" w:styleId="IPPBullet2">
    <w:name w:val="IPP Bullet2"/>
    <w:basedOn w:val="IPPNormal"/>
    <w:next w:val="IPPBullet1"/>
    <w:qFormat/>
    <w:pPr>
      <w:numPr>
        <w:numId w:val="28"/>
      </w:numPr>
      <w:tabs>
        <w:tab w:val="left" w:pos="1134"/>
      </w:tabs>
      <w:spacing w:after="60"/>
      <w:ind w:left="1134" w:hanging="567"/>
    </w:pPr>
  </w:style>
  <w:style w:type="paragraph" w:customStyle="1" w:styleId="IPPQuote">
    <w:name w:val="IPP Quote"/>
    <w:basedOn w:val="IPPNormal"/>
    <w:qFormat/>
    <w:pPr>
      <w:ind w:left="851" w:right="851"/>
    </w:pPr>
    <w:rPr>
      <w:sz w:val="18"/>
    </w:rPr>
  </w:style>
  <w:style w:type="paragraph" w:customStyle="1" w:styleId="IPPNormal">
    <w:name w:val="IPP Normal"/>
    <w:basedOn w:val="Normal"/>
    <w:qFormat/>
    <w:pPr>
      <w:spacing w:after="180"/>
    </w:pPr>
    <w:rPr>
      <w:rFonts w:eastAsia="Times"/>
    </w:rPr>
  </w:style>
  <w:style w:type="paragraph" w:customStyle="1" w:styleId="IPPIndentClose">
    <w:name w:val="IPP Indent Close"/>
    <w:basedOn w:val="IPPNormal"/>
    <w:qFormat/>
    <w:pPr>
      <w:tabs>
        <w:tab w:val="left" w:pos="2835"/>
      </w:tabs>
      <w:spacing w:after="60"/>
      <w:ind w:left="567"/>
    </w:pPr>
  </w:style>
  <w:style w:type="paragraph" w:customStyle="1" w:styleId="IPPIndent">
    <w:name w:val="IPP Indent"/>
    <w:basedOn w:val="IPPIndentClose"/>
    <w:qFormat/>
    <w:pPr>
      <w:spacing w:after="180"/>
    </w:pPr>
  </w:style>
  <w:style w:type="paragraph" w:customStyle="1" w:styleId="IPPFootnote">
    <w:name w:val="IPP Footnote"/>
    <w:basedOn w:val="IPPArialFootnote"/>
    <w:qFormat/>
    <w:pPr>
      <w:tabs>
        <w:tab w:val="left" w:pos="0"/>
      </w:tabs>
      <w:spacing w:before="0"/>
      <w:ind w:left="0" w:firstLine="0"/>
      <w:jc w:val="both"/>
    </w:pPr>
    <w:rPr>
      <w:rFonts w:ascii="Times New Roman" w:eastAsia="Times New Roman" w:hAnsi="Times New Roman"/>
      <w:sz w:val="20"/>
    </w:rPr>
  </w:style>
  <w:style w:type="paragraph" w:customStyle="1" w:styleId="IPPHeading3">
    <w:name w:val="IPP Heading3"/>
    <w:basedOn w:val="IPPNormal"/>
    <w:qFormat/>
    <w:pPr>
      <w:keepNext/>
      <w:tabs>
        <w:tab w:val="left" w:pos="567"/>
      </w:tabs>
      <w:spacing w:before="120" w:after="120"/>
      <w:ind w:left="567" w:hanging="567"/>
    </w:pPr>
    <w:rPr>
      <w:b/>
      <w:i/>
    </w:rPr>
  </w:style>
  <w:style w:type="character" w:customStyle="1" w:styleId="IPPnormalitalics">
    <w:name w:val="IPP normal italics"/>
    <w:basedOn w:val="DefaultParagraphFont"/>
    <w:rPr>
      <w:rFonts w:ascii="Times New Roman" w:hAnsi="Times New Roman"/>
      <w:i/>
      <w:sz w:val="22"/>
      <w:lang w:val="en-US"/>
    </w:rPr>
  </w:style>
  <w:style w:type="character" w:customStyle="1" w:styleId="IPPNormalbold">
    <w:name w:val="IPP Normal bold"/>
    <w:basedOn w:val="PlainTextChar"/>
    <w:rPr>
      <w:rFonts w:ascii="Times New Roman" w:eastAsia="Times" w:hAnsi="Times New Roman" w:cs="Times New Roman"/>
      <w:b/>
      <w:sz w:val="22"/>
      <w:szCs w:val="21"/>
      <w:lang w:val="en-AU"/>
    </w:rPr>
  </w:style>
  <w:style w:type="paragraph" w:customStyle="1" w:styleId="IPPHeadSection">
    <w:name w:val="IPP HeadSection"/>
    <w:basedOn w:val="Normal"/>
    <w:next w:val="Normal"/>
    <w:qFormat/>
    <w:pPr>
      <w:keepNext/>
      <w:tabs>
        <w:tab w:val="left" w:pos="851"/>
      </w:tabs>
      <w:spacing w:before="360" w:after="120"/>
      <w:ind w:left="851" w:hanging="851"/>
      <w:outlineLvl w:val="0"/>
    </w:pPr>
    <w:rPr>
      <w:rFonts w:eastAsia="Times"/>
      <w:b/>
      <w:bCs/>
      <w:caps/>
      <w:sz w:val="24"/>
      <w:szCs w:val="22"/>
    </w:rPr>
  </w:style>
  <w:style w:type="paragraph" w:customStyle="1" w:styleId="IPPHeading1">
    <w:name w:val="IPP Heading1"/>
    <w:basedOn w:val="IPPNormal"/>
    <w:next w:val="IPPNormal"/>
    <w:qFormat/>
    <w:pPr>
      <w:keepNext/>
      <w:tabs>
        <w:tab w:val="left" w:pos="567"/>
      </w:tabs>
      <w:spacing w:before="240" w:after="120"/>
      <w:ind w:left="567" w:hanging="567"/>
      <w:jc w:val="left"/>
      <w:outlineLvl w:val="1"/>
    </w:pPr>
    <w:rPr>
      <w:b/>
      <w:sz w:val="24"/>
      <w:szCs w:val="22"/>
    </w:rPr>
  </w:style>
  <w:style w:type="paragraph" w:customStyle="1" w:styleId="IPPSubhead">
    <w:name w:val="IPP Subhead"/>
    <w:basedOn w:val="Normal"/>
    <w:qFormat/>
    <w:pPr>
      <w:keepNext/>
      <w:ind w:left="567" w:hanging="567"/>
      <w:jc w:val="left"/>
    </w:pPr>
    <w:rPr>
      <w:b/>
      <w:bCs/>
      <w:iCs/>
      <w:szCs w:val="22"/>
    </w:rPr>
  </w:style>
  <w:style w:type="character" w:customStyle="1" w:styleId="IPPNormalunderlined">
    <w:name w:val="IPP Normal underlined"/>
    <w:basedOn w:val="DefaultParagraphFont"/>
    <w:rPr>
      <w:rFonts w:ascii="Times New Roman" w:hAnsi="Times New Roman"/>
      <w:sz w:val="22"/>
      <w:u w:val="single"/>
      <w:lang w:val="en-US"/>
    </w:rPr>
  </w:style>
  <w:style w:type="paragraph" w:customStyle="1" w:styleId="IPPBullet1">
    <w:name w:val="IPP Bullet1"/>
    <w:basedOn w:val="IPPBullet1Last"/>
    <w:qFormat/>
    <w:pPr>
      <w:numPr>
        <w:numId w:val="35"/>
      </w:numPr>
      <w:spacing w:after="60"/>
      <w:ind w:left="567" w:hanging="567"/>
    </w:pPr>
    <w:rPr>
      <w:lang w:val="en-US"/>
    </w:rPr>
  </w:style>
  <w:style w:type="paragraph" w:customStyle="1" w:styleId="IPPBullet1Last">
    <w:name w:val="IPP Bullet1Last"/>
    <w:basedOn w:val="IPPNormal"/>
    <w:next w:val="IPPNormal"/>
    <w:qFormat/>
    <w:pPr>
      <w:numPr>
        <w:numId w:val="29"/>
      </w:numPr>
    </w:pPr>
  </w:style>
  <w:style w:type="character" w:customStyle="1" w:styleId="IPPNormalstrikethrough">
    <w:name w:val="IPP Normal strikethrough"/>
    <w:rPr>
      <w:rFonts w:ascii="Times New Roman" w:hAnsi="Times New Roman"/>
      <w:strike/>
      <w:dstrike w:val="0"/>
      <w:sz w:val="22"/>
    </w:rPr>
  </w:style>
  <w:style w:type="paragraph" w:customStyle="1" w:styleId="IPPTitle16pt">
    <w:name w:val="IPP Title16pt"/>
    <w:basedOn w:val="Normal"/>
    <w:qFormat/>
    <w:pPr>
      <w:spacing w:after="720"/>
      <w:ind w:left="1701" w:right="1701"/>
      <w:jc w:val="center"/>
    </w:pPr>
    <w:rPr>
      <w:rFonts w:ascii="Arial" w:hAnsi="Arial" w:cs="Arial"/>
      <w:b/>
      <w:bCs/>
      <w:sz w:val="32"/>
      <w:szCs w:val="32"/>
    </w:rPr>
  </w:style>
  <w:style w:type="paragraph" w:customStyle="1" w:styleId="IPPTitle18pt">
    <w:name w:val="IPP Title18pt"/>
    <w:basedOn w:val="Normal"/>
    <w:qFormat/>
    <w:pPr>
      <w:spacing w:after="360"/>
      <w:jc w:val="center"/>
    </w:pPr>
    <w:rPr>
      <w:rFonts w:ascii="Arial" w:hAnsi="Arial" w:cs="Arial"/>
      <w:b/>
      <w:bCs/>
      <w:sz w:val="36"/>
      <w:szCs w:val="36"/>
    </w:rPr>
  </w:style>
  <w:style w:type="paragraph" w:customStyle="1" w:styleId="IPPAnnexHead">
    <w:name w:val="IPP AnnexHead"/>
    <w:basedOn w:val="IPPNormal"/>
    <w:next w:val="IPPNormal"/>
    <w:qFormat/>
    <w:pPr>
      <w:keepNext/>
      <w:tabs>
        <w:tab w:val="left" w:pos="567"/>
      </w:tabs>
      <w:spacing w:before="120"/>
      <w:jc w:val="left"/>
      <w:outlineLvl w:val="1"/>
    </w:pPr>
    <w:rPr>
      <w:b/>
      <w:sz w:val="24"/>
    </w:rPr>
  </w:style>
  <w:style w:type="paragraph" w:customStyle="1" w:styleId="IPPNormalCloseSpace">
    <w:name w:val="IPP NormalCloseSpace"/>
    <w:basedOn w:val="Normal"/>
    <w:qFormat/>
    <w:pPr>
      <w:keepNext/>
      <w:spacing w:after="60"/>
    </w:pPr>
  </w:style>
  <w:style w:type="paragraph" w:customStyle="1" w:styleId="IPPHeading2">
    <w:name w:val="IPP Heading2"/>
    <w:basedOn w:val="IPPNormal"/>
    <w:next w:val="IPPNormal"/>
    <w:qFormat/>
    <w:pPr>
      <w:keepNext/>
      <w:tabs>
        <w:tab w:val="left" w:pos="567"/>
      </w:tabs>
      <w:spacing w:before="120" w:after="120"/>
      <w:ind w:left="567" w:hanging="567"/>
      <w:jc w:val="left"/>
      <w:outlineLvl w:val="2"/>
    </w:pPr>
    <w:rPr>
      <w:b/>
      <w:sz w:val="24"/>
    </w:rPr>
  </w:style>
  <w:style w:type="paragraph" w:styleId="TOC1">
    <w:name w:val="toc 1"/>
    <w:basedOn w:val="IPPNormalCloseSpace"/>
    <w:next w:val="Normal"/>
    <w:autoRedefine/>
    <w:uiPriority w:val="39"/>
    <w:pPr>
      <w:tabs>
        <w:tab w:val="right" w:leader="dot" w:pos="9072"/>
      </w:tabs>
      <w:spacing w:before="240"/>
      <w:ind w:left="567" w:hanging="567"/>
    </w:pPr>
  </w:style>
  <w:style w:type="paragraph" w:styleId="TOC2">
    <w:name w:val="toc 2"/>
    <w:basedOn w:val="TOC1"/>
    <w:next w:val="Normal"/>
    <w:autoRedefine/>
    <w:uiPriority w:val="39"/>
    <w:pPr>
      <w:keepNext w:val="0"/>
      <w:tabs>
        <w:tab w:val="left" w:pos="425"/>
      </w:tabs>
      <w:spacing w:before="120" w:after="0"/>
      <w:ind w:left="425" w:right="284" w:hanging="425"/>
    </w:pPr>
  </w:style>
  <w:style w:type="paragraph" w:styleId="TOC3">
    <w:name w:val="toc 3"/>
    <w:basedOn w:val="TOC2"/>
    <w:next w:val="Normal"/>
    <w:autoRedefine/>
    <w:uiPriority w:val="39"/>
    <w:pPr>
      <w:tabs>
        <w:tab w:val="left" w:pos="1276"/>
      </w:tabs>
      <w:spacing w:before="60"/>
      <w:ind w:left="1276" w:hanging="851"/>
    </w:pPr>
    <w:rPr>
      <w:rFonts w:eastAsia="Times"/>
    </w:rPr>
  </w:style>
  <w:style w:type="paragraph" w:styleId="TOC4">
    <w:name w:val="toc 4"/>
    <w:basedOn w:val="Normal"/>
    <w:next w:val="Normal"/>
    <w:autoRedefine/>
    <w:uiPriority w:val="39"/>
    <w:pPr>
      <w:spacing w:after="120"/>
      <w:ind w:left="660"/>
    </w:pPr>
    <w:rPr>
      <w:rFonts w:eastAsia="Times"/>
      <w:lang w:val="en-AU"/>
    </w:rPr>
  </w:style>
  <w:style w:type="paragraph" w:styleId="TOC5">
    <w:name w:val="toc 5"/>
    <w:basedOn w:val="Normal"/>
    <w:next w:val="Normal"/>
    <w:autoRedefine/>
    <w:uiPriority w:val="39"/>
    <w:pPr>
      <w:spacing w:after="120"/>
      <w:ind w:left="880"/>
    </w:pPr>
    <w:rPr>
      <w:rFonts w:eastAsia="Times"/>
      <w:lang w:val="en-AU"/>
    </w:rPr>
  </w:style>
  <w:style w:type="paragraph" w:styleId="TOC6">
    <w:name w:val="toc 6"/>
    <w:basedOn w:val="Normal"/>
    <w:next w:val="Normal"/>
    <w:autoRedefine/>
    <w:uiPriority w:val="39"/>
    <w:pPr>
      <w:spacing w:after="120"/>
      <w:ind w:left="1100"/>
    </w:pPr>
    <w:rPr>
      <w:rFonts w:eastAsia="Times"/>
      <w:lang w:val="en-AU"/>
    </w:rPr>
  </w:style>
  <w:style w:type="paragraph" w:styleId="TOC7">
    <w:name w:val="toc 7"/>
    <w:basedOn w:val="Normal"/>
    <w:next w:val="Normal"/>
    <w:autoRedefine/>
    <w:uiPriority w:val="39"/>
    <w:pPr>
      <w:spacing w:after="120"/>
      <w:ind w:left="1320"/>
    </w:pPr>
    <w:rPr>
      <w:rFonts w:eastAsia="Times"/>
      <w:lang w:val="en-AU"/>
    </w:rPr>
  </w:style>
  <w:style w:type="paragraph" w:styleId="TOC8">
    <w:name w:val="toc 8"/>
    <w:basedOn w:val="Normal"/>
    <w:next w:val="Normal"/>
    <w:autoRedefine/>
    <w:uiPriority w:val="39"/>
    <w:pPr>
      <w:spacing w:after="120"/>
      <w:ind w:left="1540"/>
    </w:pPr>
    <w:rPr>
      <w:rFonts w:eastAsia="Times"/>
      <w:lang w:val="en-AU"/>
    </w:rPr>
  </w:style>
  <w:style w:type="paragraph" w:styleId="TOC9">
    <w:name w:val="toc 9"/>
    <w:basedOn w:val="Normal"/>
    <w:next w:val="Normal"/>
    <w:autoRedefine/>
    <w:uiPriority w:val="39"/>
    <w:pPr>
      <w:spacing w:after="120"/>
      <w:ind w:left="1760"/>
    </w:pPr>
    <w:rPr>
      <w:rFonts w:eastAsia="Times"/>
      <w:lang w:val="en-AU"/>
    </w:rPr>
  </w:style>
  <w:style w:type="paragraph" w:customStyle="1" w:styleId="IPPReferences">
    <w:name w:val="IPP References"/>
    <w:basedOn w:val="IPPNormal"/>
    <w:qFormat/>
    <w:pPr>
      <w:spacing w:after="60"/>
      <w:ind w:left="567" w:hanging="567"/>
    </w:pPr>
  </w:style>
  <w:style w:type="paragraph" w:customStyle="1" w:styleId="IPPArial">
    <w:name w:val="IPP Arial"/>
    <w:basedOn w:val="IPPNormal"/>
    <w:qFormat/>
    <w:pPr>
      <w:spacing w:after="0"/>
    </w:pPr>
    <w:rPr>
      <w:rFonts w:ascii="Arial" w:hAnsi="Arial"/>
      <w:sz w:val="18"/>
    </w:rPr>
  </w:style>
  <w:style w:type="paragraph" w:customStyle="1" w:styleId="IPPHeaderlandscape">
    <w:name w:val="IPP Header landscape"/>
    <w:basedOn w:val="IPPHeader"/>
    <w:qFormat/>
    <w:pPr>
      <w:pBdr>
        <w:bottom w:val="single" w:sz="4" w:space="1" w:color="auto"/>
      </w:pBdr>
      <w:tabs>
        <w:tab w:val="clear" w:pos="9072"/>
        <w:tab w:val="right" w:pos="14034"/>
      </w:tabs>
      <w:spacing w:after="0"/>
      <w:ind w:right="-32"/>
    </w:pPr>
  </w:style>
  <w:style w:type="paragraph" w:customStyle="1" w:styleId="IPPLetterList">
    <w:name w:val="IPP LetterList"/>
    <w:basedOn w:val="IPPBullet2"/>
    <w:qFormat/>
    <w:pPr>
      <w:numPr>
        <w:numId w:val="25"/>
      </w:numPr>
      <w:jc w:val="left"/>
    </w:pPr>
  </w:style>
  <w:style w:type="paragraph" w:customStyle="1" w:styleId="IPPLetterListIndent">
    <w:name w:val="IPP LetterList Indent"/>
    <w:basedOn w:val="IPPLetterList"/>
    <w:qFormat/>
    <w:pPr>
      <w:numPr>
        <w:numId w:val="26"/>
      </w:numPr>
    </w:pPr>
  </w:style>
  <w:style w:type="paragraph" w:customStyle="1" w:styleId="IPPFooterLandscape">
    <w:name w:val="IPP Footer Landscape"/>
    <w:basedOn w:val="IPPHeaderlandscape"/>
    <w:qFormat/>
    <w:pPr>
      <w:pBdr>
        <w:top w:val="single" w:sz="4" w:space="1" w:color="auto"/>
        <w:bottom w:val="none" w:sz="0" w:space="0" w:color="auto"/>
      </w:pBdr>
      <w:jc w:val="right"/>
    </w:pPr>
    <w:rPr>
      <w:b/>
    </w:rPr>
  </w:style>
  <w:style w:type="paragraph" w:customStyle="1" w:styleId="IPPSubheadSpace">
    <w:name w:val="IPP Subhead Space"/>
    <w:basedOn w:val="IPPSubhead"/>
    <w:qFormat/>
    <w:pPr>
      <w:tabs>
        <w:tab w:val="left" w:pos="567"/>
      </w:tabs>
      <w:spacing w:before="60" w:after="60"/>
    </w:pPr>
  </w:style>
  <w:style w:type="paragraph" w:customStyle="1" w:styleId="IPPSubheadSpaceAfter">
    <w:name w:val="IPP Subhead SpaceAfter"/>
    <w:basedOn w:val="IPPSubhead"/>
    <w:qFormat/>
    <w:pPr>
      <w:spacing w:after="60"/>
    </w:pPr>
  </w:style>
  <w:style w:type="paragraph" w:customStyle="1" w:styleId="IPPHdg1Num">
    <w:name w:val="IPP Hdg1Num"/>
    <w:basedOn w:val="IPPHeading1"/>
    <w:next w:val="IPPNormal"/>
    <w:qFormat/>
    <w:pPr>
      <w:numPr>
        <w:numId w:val="30"/>
      </w:numPr>
    </w:pPr>
  </w:style>
  <w:style w:type="paragraph" w:customStyle="1" w:styleId="IPPHdg2Num">
    <w:name w:val="IPP Hdg2Num"/>
    <w:basedOn w:val="IPPHeading2"/>
    <w:next w:val="IPPNormal"/>
    <w:qFormat/>
    <w:pPr>
      <w:numPr>
        <w:ilvl w:val="1" numString="1.1. "/>
        <w:numId w:val="31"/>
      </w:numPr>
    </w:pPr>
  </w:style>
  <w:style w:type="paragraph" w:customStyle="1" w:styleId="IPPNumberedList">
    <w:name w:val="IPP NumberedList"/>
    <w:basedOn w:val="IPPBullet1"/>
    <w:qFormat/>
    <w:pPr>
      <w:numPr>
        <w:numId w:val="33"/>
      </w:numPr>
    </w:pPr>
  </w:style>
  <w:style w:type="character" w:styleId="Strong">
    <w:name w:val="Strong"/>
    <w:basedOn w:val="DefaultParagraphFont"/>
    <w:qFormat/>
    <w:rPr>
      <w:b/>
      <w:bCs/>
    </w:rPr>
  </w:style>
  <w:style w:type="paragraph" w:customStyle="1" w:styleId="IPPParagraphnumberingclose">
    <w:name w:val="IPP Paragraph numbering close"/>
    <w:basedOn w:val="IPPParagraphnumbering"/>
    <w:qFormat/>
    <w:pPr>
      <w:keepNext/>
      <w:spacing w:after="60"/>
    </w:pPr>
  </w:style>
  <w:style w:type="paragraph" w:customStyle="1" w:styleId="IPPNumberedListLast">
    <w:name w:val="IPP NumberedListLast"/>
    <w:basedOn w:val="IPPNumberedList"/>
    <w:qFormat/>
    <w:pPr>
      <w:spacing w:after="180"/>
    </w:pPr>
  </w:style>
  <w:style w:type="character" w:customStyle="1" w:styleId="fontstyle01">
    <w:name w:val="fontstyle01"/>
    <w:basedOn w:val="DefaultParagraphFont"/>
    <w:rPr>
      <w:rFonts w:ascii="TimesNewRomanPSMT" w:eastAsia="TimesNewRomanPSMT" w:hint="eastAsia"/>
      <w:b w:val="0"/>
      <w:bCs w:val="0"/>
      <w:i w:val="0"/>
      <w:iCs w:val="0"/>
      <w:color w:val="000000"/>
      <w:sz w:val="22"/>
      <w:szCs w:val="22"/>
    </w:rPr>
  </w:style>
  <w:style w:type="character" w:styleId="UnresolvedMention">
    <w:name w:val="Unresolved Mention"/>
    <w:basedOn w:val="DefaultParagraphFont"/>
    <w:uiPriority w:val="99"/>
    <w:semiHidden/>
    <w:unhideWhenUsed/>
    <w:rPr>
      <w:color w:val="605E5C"/>
      <w:shd w:val="clear" w:color="auto" w:fill="E1DFDD"/>
    </w:rPr>
  </w:style>
  <w:style w:type="character" w:styleId="PlaceholderText">
    <w:name w:val="Placeholder Text"/>
    <w:basedOn w:val="DefaultParagraphFont"/>
    <w:uiPriority w:val="99"/>
    <w:semiHidden/>
    <w:rPr>
      <w:color w:val="808080"/>
    </w:rPr>
  </w:style>
  <w:style w:type="character" w:customStyle="1" w:styleId="anchor-text">
    <w:name w:val="anchor-text"/>
    <w:basedOn w:val="DefaultParagraphFont"/>
  </w:style>
  <w:style w:type="character" w:customStyle="1" w:styleId="cf01">
    <w:name w:val="cf01"/>
    <w:basedOn w:val="DefaultParagraphFont"/>
    <w:rPr>
      <w:rFonts w:ascii="Segoe UI" w:hAnsi="Segoe UI" w:cs="Segoe UI" w:hint="default"/>
      <w:color w:val="0070C0"/>
      <w:sz w:val="18"/>
      <w:szCs w:val="18"/>
    </w:rPr>
  </w:style>
  <w:style w:type="character" w:customStyle="1" w:styleId="Heading6Char">
    <w:name w:val="Heading 6 Char"/>
    <w:basedOn w:val="DefaultParagraphFont"/>
    <w:link w:val="Heading6"/>
    <w:uiPriority w:val="9"/>
    <w:rPr>
      <w:rFonts w:asciiTheme="majorHAnsi" w:eastAsiaTheme="majorEastAsia" w:hAnsiTheme="majorHAnsi" w:cstheme="majorBidi"/>
      <w:color w:val="1F3763" w:themeColor="accent1" w:themeShade="7F"/>
      <w:szCs w:val="24"/>
      <w:lang w:val="en-GB"/>
    </w:rPr>
  </w:style>
  <w:style w:type="paragraph" w:styleId="NoSpacing">
    <w:name w:val="No Spacing"/>
    <w:uiPriority w:val="1"/>
    <w:qFormat/>
    <w:pPr>
      <w:spacing w:after="0" w:line="240" w:lineRule="auto"/>
      <w:jc w:val="both"/>
    </w:pPr>
    <w:rPr>
      <w:rFonts w:ascii="Times New Roman" w:eastAsia="MS Mincho" w:hAnsi="Times New Roman" w:cs="Times New Roman"/>
      <w:szCs w:val="24"/>
      <w:lang w:val="en-GB"/>
    </w:rPr>
  </w:style>
  <w:style w:type="character" w:styleId="PleaseReviewParagraphId">
    <w:name w:val="PleaseReviewParagraphId"/>
    <w:basedOn w:val="DefaultParagraphFont"/>
    <w:rPr>
      <w:rFonts w:ascii="Arial" w:hAnsi="Arial"/>
      <w:b w:val="off"/>
      <w:i w:val="off"/>
      <w:u w:val="off"/>
      <w:color w:val="000080"/>
      <w:sz w:val="16"/>
    </w:rPr>
  </w:style>
</w:styles>
</file>

<file path=word/webSettings.xml><?xml version="1.0" encoding="utf-8"?>
<w:webSettings xmlns:w="http://schemas.openxmlformats.org/wordprocessingml/2006/main" xmlns:mc="http://schemas.openxmlformats.org/markup-compatibility/2006" xmlns:r="http://schemas.openxmlformats.org/officeDocument/2006/relationships"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0715059">
      <w:bodyDiv w:val="1"/>
      <w:marLeft w:val="0"/>
      <w:marRight w:val="0"/>
      <w:marTop w:val="0"/>
      <w:marBottom w:val="0"/>
      <w:divBdr>
        <w:top w:val="none" w:sz="0" w:space="0" w:color="auto"/>
        <w:left w:val="none" w:sz="0" w:space="0" w:color="auto"/>
        <w:bottom w:val="none" w:sz="0" w:space="0" w:color="auto"/>
        <w:right w:val="none" w:sz="0" w:space="0" w:color="auto"/>
      </w:divBdr>
      <w:divsChild>
        <w:div w:id="1200703193">
          <w:marLeft w:val="0"/>
          <w:marRight w:val="0"/>
          <w:marTop w:val="0"/>
          <w:marBottom w:val="0"/>
          <w:divBdr>
            <w:top w:val="none" w:sz="0" w:space="0" w:color="auto"/>
            <w:left w:val="none" w:sz="0" w:space="0" w:color="auto"/>
            <w:bottom w:val="none" w:sz="0" w:space="0" w:color="auto"/>
            <w:right w:val="none" w:sz="0" w:space="0" w:color="auto"/>
          </w:divBdr>
        </w:div>
      </w:divsChild>
    </w:div>
    <w:div w:id="149950623">
      <w:bodyDiv w:val="1"/>
      <w:marLeft w:val="0"/>
      <w:marRight w:val="0"/>
      <w:marTop w:val="0"/>
      <w:marBottom w:val="0"/>
      <w:divBdr>
        <w:top w:val="none" w:sz="0" w:space="0" w:color="auto"/>
        <w:left w:val="none" w:sz="0" w:space="0" w:color="auto"/>
        <w:bottom w:val="none" w:sz="0" w:space="0" w:color="auto"/>
        <w:right w:val="none" w:sz="0" w:space="0" w:color="auto"/>
      </w:divBdr>
      <w:divsChild>
        <w:div w:id="231281525">
          <w:marLeft w:val="0"/>
          <w:marRight w:val="0"/>
          <w:marTop w:val="0"/>
          <w:marBottom w:val="0"/>
          <w:divBdr>
            <w:top w:val="none" w:sz="0" w:space="0" w:color="auto"/>
            <w:left w:val="none" w:sz="0" w:space="0" w:color="auto"/>
            <w:bottom w:val="none" w:sz="0" w:space="0" w:color="auto"/>
            <w:right w:val="none" w:sz="0" w:space="0" w:color="auto"/>
          </w:divBdr>
        </w:div>
      </w:divsChild>
    </w:div>
    <w:div w:id="223031095">
      <w:bodyDiv w:val="1"/>
      <w:marLeft w:val="0"/>
      <w:marRight w:val="0"/>
      <w:marTop w:val="0"/>
      <w:marBottom w:val="0"/>
      <w:divBdr>
        <w:top w:val="none" w:sz="0" w:space="0" w:color="auto"/>
        <w:left w:val="none" w:sz="0" w:space="0" w:color="auto"/>
        <w:bottom w:val="none" w:sz="0" w:space="0" w:color="auto"/>
        <w:right w:val="none" w:sz="0" w:space="0" w:color="auto"/>
      </w:divBdr>
    </w:div>
    <w:div w:id="403525232">
      <w:bodyDiv w:val="1"/>
      <w:marLeft w:val="0"/>
      <w:marRight w:val="0"/>
      <w:marTop w:val="0"/>
      <w:marBottom w:val="0"/>
      <w:divBdr>
        <w:top w:val="none" w:sz="0" w:space="0" w:color="auto"/>
        <w:left w:val="none" w:sz="0" w:space="0" w:color="auto"/>
        <w:bottom w:val="none" w:sz="0" w:space="0" w:color="auto"/>
        <w:right w:val="none" w:sz="0" w:space="0" w:color="auto"/>
      </w:divBdr>
      <w:divsChild>
        <w:div w:id="1613825879">
          <w:marLeft w:val="0"/>
          <w:marRight w:val="0"/>
          <w:marTop w:val="0"/>
          <w:marBottom w:val="0"/>
          <w:divBdr>
            <w:top w:val="none" w:sz="0" w:space="0" w:color="auto"/>
            <w:left w:val="none" w:sz="0" w:space="0" w:color="auto"/>
            <w:bottom w:val="none" w:sz="0" w:space="0" w:color="auto"/>
            <w:right w:val="none" w:sz="0" w:space="0" w:color="auto"/>
          </w:divBdr>
        </w:div>
      </w:divsChild>
    </w:div>
    <w:div w:id="942227281">
      <w:bodyDiv w:val="1"/>
      <w:marLeft w:val="0"/>
      <w:marRight w:val="0"/>
      <w:marTop w:val="0"/>
      <w:marBottom w:val="0"/>
      <w:divBdr>
        <w:top w:val="none" w:sz="0" w:space="0" w:color="auto"/>
        <w:left w:val="none" w:sz="0" w:space="0" w:color="auto"/>
        <w:bottom w:val="none" w:sz="0" w:space="0" w:color="auto"/>
        <w:right w:val="none" w:sz="0" w:space="0" w:color="auto"/>
      </w:divBdr>
      <w:divsChild>
        <w:div w:id="288511560">
          <w:marLeft w:val="0"/>
          <w:marRight w:val="0"/>
          <w:marTop w:val="0"/>
          <w:marBottom w:val="0"/>
          <w:divBdr>
            <w:top w:val="none" w:sz="0" w:space="0" w:color="auto"/>
            <w:left w:val="none" w:sz="0" w:space="0" w:color="auto"/>
            <w:bottom w:val="none" w:sz="0" w:space="0" w:color="auto"/>
            <w:right w:val="none" w:sz="0" w:space="0" w:color="auto"/>
          </w:divBdr>
        </w:div>
      </w:divsChild>
    </w:div>
    <w:div w:id="962079685">
      <w:bodyDiv w:val="1"/>
      <w:marLeft w:val="0"/>
      <w:marRight w:val="0"/>
      <w:marTop w:val="0"/>
      <w:marBottom w:val="0"/>
      <w:divBdr>
        <w:top w:val="none" w:sz="0" w:space="0" w:color="auto"/>
        <w:left w:val="none" w:sz="0" w:space="0" w:color="auto"/>
        <w:bottom w:val="none" w:sz="0" w:space="0" w:color="auto"/>
        <w:right w:val="none" w:sz="0" w:space="0" w:color="auto"/>
      </w:divBdr>
      <w:divsChild>
        <w:div w:id="431170871">
          <w:marLeft w:val="0"/>
          <w:marRight w:val="0"/>
          <w:marTop w:val="0"/>
          <w:marBottom w:val="0"/>
          <w:divBdr>
            <w:top w:val="none" w:sz="0" w:space="0" w:color="auto"/>
            <w:left w:val="none" w:sz="0" w:space="0" w:color="auto"/>
            <w:bottom w:val="none" w:sz="0" w:space="0" w:color="auto"/>
            <w:right w:val="none" w:sz="0" w:space="0" w:color="auto"/>
          </w:divBdr>
        </w:div>
      </w:divsChild>
    </w:div>
    <w:div w:id="1168788664">
      <w:bodyDiv w:val="1"/>
      <w:marLeft w:val="0"/>
      <w:marRight w:val="0"/>
      <w:marTop w:val="0"/>
      <w:marBottom w:val="0"/>
      <w:divBdr>
        <w:top w:val="none" w:sz="0" w:space="0" w:color="auto"/>
        <w:left w:val="none" w:sz="0" w:space="0" w:color="auto"/>
        <w:bottom w:val="none" w:sz="0" w:space="0" w:color="auto"/>
        <w:right w:val="none" w:sz="0" w:space="0" w:color="auto"/>
      </w:divBdr>
      <w:divsChild>
        <w:div w:id="1984693923">
          <w:marLeft w:val="0"/>
          <w:marRight w:val="0"/>
          <w:marTop w:val="72"/>
          <w:marBottom w:val="0"/>
          <w:divBdr>
            <w:top w:val="none" w:sz="0" w:space="0" w:color="auto"/>
            <w:left w:val="none" w:sz="0" w:space="0" w:color="auto"/>
            <w:bottom w:val="none" w:sz="0" w:space="0" w:color="auto"/>
            <w:right w:val="none" w:sz="0" w:space="0" w:color="auto"/>
          </w:divBdr>
          <w:divsChild>
            <w:div w:id="1659726321">
              <w:marLeft w:val="0"/>
              <w:marRight w:val="0"/>
              <w:marTop w:val="0"/>
              <w:marBottom w:val="0"/>
              <w:divBdr>
                <w:top w:val="none" w:sz="0" w:space="0" w:color="auto"/>
                <w:left w:val="none" w:sz="0" w:space="0" w:color="auto"/>
                <w:bottom w:val="none" w:sz="0" w:space="0" w:color="auto"/>
                <w:right w:val="none" w:sz="0" w:space="0" w:color="auto"/>
              </w:divBdr>
              <w:divsChild>
                <w:div w:id="576598032">
                  <w:marLeft w:val="495"/>
                  <w:marRight w:val="120"/>
                  <w:marTop w:val="0"/>
                  <w:marBottom w:val="0"/>
                  <w:divBdr>
                    <w:top w:val="none" w:sz="0" w:space="0" w:color="auto"/>
                    <w:left w:val="none" w:sz="0" w:space="0" w:color="auto"/>
                    <w:bottom w:val="none" w:sz="0" w:space="0" w:color="auto"/>
                    <w:right w:val="none" w:sz="0" w:space="0" w:color="auto"/>
                  </w:divBdr>
                </w:div>
              </w:divsChild>
            </w:div>
          </w:divsChild>
        </w:div>
        <w:div w:id="657459843">
          <w:marLeft w:val="0"/>
          <w:marRight w:val="0"/>
          <w:marTop w:val="0"/>
          <w:marBottom w:val="0"/>
          <w:divBdr>
            <w:top w:val="none" w:sz="0" w:space="0" w:color="auto"/>
            <w:left w:val="none" w:sz="0" w:space="0" w:color="auto"/>
            <w:bottom w:val="none" w:sz="0" w:space="0" w:color="auto"/>
            <w:right w:val="none" w:sz="0" w:space="0" w:color="auto"/>
          </w:divBdr>
        </w:div>
      </w:divsChild>
    </w:div>
    <w:div w:id="1323193211">
      <w:bodyDiv w:val="1"/>
      <w:marLeft w:val="0"/>
      <w:marRight w:val="0"/>
      <w:marTop w:val="0"/>
      <w:marBottom w:val="0"/>
      <w:divBdr>
        <w:top w:val="none" w:sz="0" w:space="0" w:color="auto"/>
        <w:left w:val="none" w:sz="0" w:space="0" w:color="auto"/>
        <w:bottom w:val="none" w:sz="0" w:space="0" w:color="auto"/>
        <w:right w:val="none" w:sz="0" w:space="0" w:color="auto"/>
      </w:divBdr>
      <w:divsChild>
        <w:div w:id="1972242391">
          <w:marLeft w:val="0"/>
          <w:marRight w:val="0"/>
          <w:marTop w:val="0"/>
          <w:marBottom w:val="0"/>
          <w:divBdr>
            <w:top w:val="none" w:sz="0" w:space="0" w:color="auto"/>
            <w:left w:val="none" w:sz="0" w:space="0" w:color="auto"/>
            <w:bottom w:val="none" w:sz="0" w:space="0" w:color="auto"/>
            <w:right w:val="none" w:sz="0" w:space="0" w:color="auto"/>
          </w:divBdr>
        </w:div>
      </w:divsChild>
    </w:div>
    <w:div w:id="1652708403">
      <w:bodyDiv w:val="1"/>
      <w:marLeft w:val="0"/>
      <w:marRight w:val="0"/>
      <w:marTop w:val="0"/>
      <w:marBottom w:val="0"/>
      <w:divBdr>
        <w:top w:val="none" w:sz="0" w:space="0" w:color="auto"/>
        <w:left w:val="none" w:sz="0" w:space="0" w:color="auto"/>
        <w:bottom w:val="none" w:sz="0" w:space="0" w:color="auto"/>
        <w:right w:val="none" w:sz="0" w:space="0" w:color="auto"/>
      </w:divBdr>
      <w:divsChild>
        <w:div w:id="1220902460">
          <w:marLeft w:val="0"/>
          <w:marRight w:val="0"/>
          <w:marTop w:val="0"/>
          <w:marBottom w:val="0"/>
          <w:divBdr>
            <w:top w:val="none" w:sz="0" w:space="0" w:color="auto"/>
            <w:left w:val="none" w:sz="0" w:space="0" w:color="auto"/>
            <w:bottom w:val="none" w:sz="0" w:space="0" w:color="auto"/>
            <w:right w:val="none" w:sz="0" w:space="0" w:color="auto"/>
          </w:divBdr>
        </w:div>
      </w:divsChild>
    </w:div>
    <w:div w:id="1781794870">
      <w:bodyDiv w:val="1"/>
      <w:marLeft w:val="0"/>
      <w:marRight w:val="0"/>
      <w:marTop w:val="0"/>
      <w:marBottom w:val="0"/>
      <w:divBdr>
        <w:top w:val="none" w:sz="0" w:space="0" w:color="auto"/>
        <w:left w:val="none" w:sz="0" w:space="0" w:color="auto"/>
        <w:bottom w:val="none" w:sz="0" w:space="0" w:color="auto"/>
        <w:right w:val="none" w:sz="0" w:space="0" w:color="auto"/>
      </w:divBdr>
      <w:divsChild>
        <w:div w:id="1889026422">
          <w:marLeft w:val="0"/>
          <w:marRight w:val="0"/>
          <w:marTop w:val="0"/>
          <w:marBottom w:val="0"/>
          <w:divBdr>
            <w:top w:val="none" w:sz="0" w:space="0" w:color="auto"/>
            <w:left w:val="none" w:sz="0" w:space="0" w:color="auto"/>
            <w:bottom w:val="none" w:sz="0" w:space="0" w:color="auto"/>
            <w:right w:val="none" w:sz="0" w:space="0" w:color="auto"/>
          </w:divBdr>
        </w:div>
      </w:divsChild>
    </w:div>
    <w:div w:id="2032023298">
      <w:bodyDiv w:val="1"/>
      <w:marLeft w:val="0"/>
      <w:marRight w:val="0"/>
      <w:marTop w:val="0"/>
      <w:marBottom w:val="0"/>
      <w:divBdr>
        <w:top w:val="none" w:sz="0" w:space="0" w:color="auto"/>
        <w:left w:val="none" w:sz="0" w:space="0" w:color="auto"/>
        <w:bottom w:val="none" w:sz="0" w:space="0" w:color="auto"/>
        <w:right w:val="none" w:sz="0" w:space="0" w:color="auto"/>
      </w:divBdr>
      <w:divsChild>
        <w:div w:id="1909608699">
          <w:marLeft w:val="0"/>
          <w:marRight w:val="0"/>
          <w:marTop w:val="0"/>
          <w:marBottom w:val="0"/>
          <w:divBdr>
            <w:top w:val="none" w:sz="0" w:space="0" w:color="auto"/>
            <w:left w:val="none" w:sz="0" w:space="0" w:color="auto"/>
            <w:bottom w:val="none" w:sz="0" w:space="0" w:color="auto"/>
            <w:right w:val="none" w:sz="0" w:space="0" w:color="auto"/>
          </w:divBdr>
          <w:divsChild>
            <w:div w:id="290744614">
              <w:marLeft w:val="0"/>
              <w:marRight w:val="0"/>
              <w:marTop w:val="0"/>
              <w:marBottom w:val="0"/>
              <w:divBdr>
                <w:top w:val="none" w:sz="0" w:space="0" w:color="auto"/>
                <w:left w:val="none" w:sz="0" w:space="0" w:color="auto"/>
                <w:bottom w:val="none" w:sz="0" w:space="0" w:color="auto"/>
                <w:right w:val="none" w:sz="0" w:space="0" w:color="auto"/>
              </w:divBdr>
            </w:div>
          </w:divsChild>
        </w:div>
        <w:div w:id="2129468801">
          <w:marLeft w:val="0"/>
          <w:marRight w:val="0"/>
          <w:marTop w:val="0"/>
          <w:marBottom w:val="0"/>
          <w:divBdr>
            <w:top w:val="none" w:sz="0" w:space="0" w:color="auto"/>
            <w:left w:val="none" w:sz="0" w:space="0" w:color="auto"/>
            <w:bottom w:val="none" w:sz="0" w:space="0" w:color="auto"/>
            <w:right w:val="none" w:sz="0" w:space="0" w:color="auto"/>
          </w:divBdr>
          <w:divsChild>
            <w:div w:id="15068945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60661916">
      <w:bodyDiv w:val="1"/>
      <w:marLeft w:val="0"/>
      <w:marRight w:val="0"/>
      <w:marTop w:val="0"/>
      <w:marBottom w:val="0"/>
      <w:divBdr>
        <w:top w:val="none" w:sz="0" w:space="0" w:color="auto"/>
        <w:left w:val="none" w:sz="0" w:space="0" w:color="auto"/>
        <w:bottom w:val="none" w:sz="0" w:space="0" w:color="auto"/>
        <w:right w:val="none" w:sz="0" w:space="0" w:color="auto"/>
      </w:divBdr>
      <w:divsChild>
        <w:div w:id="1319576722">
          <w:marLeft w:val="0"/>
          <w:marRight w:val="0"/>
          <w:marTop w:val="0"/>
          <w:marBottom w:val="0"/>
          <w:divBdr>
            <w:top w:val="none" w:sz="0" w:space="0" w:color="auto"/>
            <w:left w:val="none" w:sz="0" w:space="0" w:color="auto"/>
            <w:bottom w:val="none" w:sz="0" w:space="0" w:color="auto"/>
            <w:right w:val="none" w:sz="0" w:space="0" w:color="auto"/>
          </w:divBdr>
        </w:div>
      </w:divsChild>
    </w:div>
    <w:div w:id="2100978440">
      <w:bodyDiv w:val="1"/>
      <w:marLeft w:val="0"/>
      <w:marRight w:val="0"/>
      <w:marTop w:val="0"/>
      <w:marBottom w:val="0"/>
      <w:divBdr>
        <w:top w:val="none" w:sz="0" w:space="0" w:color="auto"/>
        <w:left w:val="none" w:sz="0" w:space="0" w:color="auto"/>
        <w:bottom w:val="none" w:sz="0" w:space="0" w:color="auto"/>
        <w:right w:val="none" w:sz="0" w:space="0" w:color="auto"/>
      </w:divBdr>
      <w:divsChild>
        <w:div w:id="1372339908">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&#65279;<?xml version="1.0" encoding="utf-8"?><Relationships xmlns="http://schemas.openxmlformats.org/package/2006/relationships"><Relationship Type="http://schemas.openxmlformats.org/officeDocument/2006/relationships/hyperlink" Target="https://doi.org/10.1111/j.1365-294X.2007.03250.x" TargetMode="External" Id="rId26" /><Relationship Type="http://schemas.openxmlformats.org/officeDocument/2006/relationships/image" Target="media/image21.jpeg" Id="rId117" /><Relationship Type="http://schemas.openxmlformats.org/officeDocument/2006/relationships/hyperlink" Target="https://doi.org/10.1111/j.1439-0329.1997.tb00865.x" TargetMode="External" Id="rId21" /><Relationship Type="http://schemas.openxmlformats.org/officeDocument/2006/relationships/hyperlink" Target="https://www.ippc.int/core-activities/standards-setting/ispms" TargetMode="External" Id="rId42" /><Relationship Type="http://schemas.openxmlformats.org/officeDocument/2006/relationships/hyperlink" Target="https://doi.org/10.1016/B978-0-12-033706-4.50037-2" TargetMode="External" Id="rId47" /><Relationship Type="http://schemas.openxmlformats.org/officeDocument/2006/relationships/hyperlink" Target="https://doi.org/10.1046/j.1439-0329.2003.00323.x" TargetMode="External" Id="rId63" /><Relationship Type="http://schemas.openxmlformats.org/officeDocument/2006/relationships/hyperlink" Target="https://doi.org/10.1111/j.1472-765X.2010.02860.x" TargetMode="External" Id="rId68" /><Relationship Type="http://schemas.openxmlformats.org/officeDocument/2006/relationships/hyperlink" Target="https://doi.org/10.1093/oxfordjournals.aob.a083264" TargetMode="External" Id="rId84" /><Relationship Type="http://schemas.openxmlformats.org/officeDocument/2006/relationships/hyperlink" Target="https://doi.org/10.1093/gbe/evv209" TargetMode="External" Id="rId89" /><Relationship Type="http://schemas.openxmlformats.org/officeDocument/2006/relationships/image" Target="media/image16.jpeg" Id="rId112" /><Relationship Type="http://schemas.openxmlformats.org/officeDocument/2006/relationships/hyperlink" Target="https://doi.org/10.1111/efp.12321" TargetMode="External" Id="rId16" /><Relationship Type="http://schemas.openxmlformats.org/officeDocument/2006/relationships/image" Target="media/image11.jpeg" Id="rId107" /><Relationship Type="http://schemas.openxmlformats.org/officeDocument/2006/relationships/hyperlink" Target="https://doi.org/10.1007/s10658-006-9028-1" TargetMode="External" Id="rId11" /><Relationship Type="http://schemas.openxmlformats.org/officeDocument/2006/relationships/hyperlink" Target="https://doi.org/10.1016/j.mycres.2009.09.001" TargetMode="External" Id="rId32" /><Relationship Type="http://schemas.openxmlformats.org/officeDocument/2006/relationships/hyperlink" Target="https://unite.ut.ee/" TargetMode="External" Id="rId37" /><Relationship Type="http://schemas.openxmlformats.org/officeDocument/2006/relationships/hyperlink" Target="https://doi.org/10.1111/epp.12620" TargetMode="External" Id="rId53" /><Relationship Type="http://schemas.openxmlformats.org/officeDocument/2006/relationships/hyperlink" Target="https://doi.org/10.1094/Phyto-86-543" TargetMode="External" Id="rId58" /><Relationship Type="http://schemas.openxmlformats.org/officeDocument/2006/relationships/hyperlink" Target="https://doi.org/10.1111/j.1439-0329.1992.tb00799.x" TargetMode="External" Id="rId74" /><Relationship Type="http://schemas.openxmlformats.org/officeDocument/2006/relationships/hyperlink" Target="https://doi.org/10.1094/PDIS-12-13-1211-PDN" TargetMode="External" Id="rId79" /><Relationship Type="http://schemas.openxmlformats.org/officeDocument/2006/relationships/image" Target="media/image6.jpeg" Id="rId102" /><Relationship Type="http://schemas.openxmlformats.org/officeDocument/2006/relationships/numbering" Target="numbering.xml" Id="rId5" /><Relationship Type="http://schemas.openxmlformats.org/officeDocument/2006/relationships/hyperlink" Target="https://doi.org/10.1111/efp.12396" TargetMode="External" Id="rId90" /><Relationship Type="http://schemas.openxmlformats.org/officeDocument/2006/relationships/hyperlink" Target="https://doi.org/10.1094/PDIS-94-1-0115" TargetMode="External" Id="rId95" /><Relationship Type="http://schemas.openxmlformats.org/officeDocument/2006/relationships/hyperlink" Target="https://doi.org/10.1139/b97-185" TargetMode="External" Id="rId22" /><Relationship Type="http://schemas.openxmlformats.org/officeDocument/2006/relationships/hyperlink" Target="https://doi.org/10.1139/b01-090" TargetMode="External" Id="rId27" /><Relationship Type="http://schemas.openxmlformats.org/officeDocument/2006/relationships/hyperlink" Target="https://doi.org/10.1046/j.1439-0434.2002.00772.x" TargetMode="External" Id="rId43" /><Relationship Type="http://schemas.openxmlformats.org/officeDocument/2006/relationships/hyperlink" Target="https://doi.org/10.1007/s13225-014-0317-2" TargetMode="External" Id="rId48" /><Relationship Type="http://schemas.openxmlformats.org/officeDocument/2006/relationships/hyperlink" Target="https://doi.org/10.1139/b01-090" TargetMode="External" Id="rId64" /><Relationship Type="http://schemas.openxmlformats.org/officeDocument/2006/relationships/hyperlink" Target="https://doi.org/10.1079/9781780640402.0128" TargetMode="External" Id="rId69" /><Relationship Type="http://schemas.openxmlformats.org/officeDocument/2006/relationships/image" Target="media/image17.jpeg" Id="rId113" /><Relationship Type="http://schemas.openxmlformats.org/officeDocument/2006/relationships/image" Target="media/image22.jpeg" Id="rId118" /><Relationship Type="http://schemas.openxmlformats.org/officeDocument/2006/relationships/hyperlink" Target="https://doi.org/10.1111/j.1469-8137.2012.04128.x" TargetMode="External" Id="rId80" /><Relationship Type="http://schemas.openxmlformats.org/officeDocument/2006/relationships/hyperlink" Target="https://doi.org/10.1093/oxfordjournals.aob.a083278" TargetMode="External" Id="rId85" /><Relationship Type="http://schemas.openxmlformats.org/officeDocument/2006/relationships/hyperlink" Target="https://doi.org/10.1046/j.1439-0434.2002.00772.x" TargetMode="External" Id="rId12" /><Relationship Type="http://schemas.openxmlformats.org/officeDocument/2006/relationships/hyperlink" Target="https://doi.org/10.1111/ppa.13071" TargetMode="External" Id="rId17" /><Relationship Type="http://schemas.openxmlformats.org/officeDocument/2006/relationships/hyperlink" Target="https://doi.org/10.1111/j.1365-294X.1993.tb00005.x" TargetMode="External" Id="rId33" /><Relationship Type="http://schemas.openxmlformats.org/officeDocument/2006/relationships/hyperlink" Target="https://www.mycobank.org/" TargetMode="External" Id="rId38" /><Relationship Type="http://schemas.openxmlformats.org/officeDocument/2006/relationships/hyperlink" Target="https://doi.org/10.1111/j.1365-294X.1993.tb00005.x" TargetMode="External" Id="rId59" /><Relationship Type="http://schemas.openxmlformats.org/officeDocument/2006/relationships/image" Target="media/image7.jpeg" Id="rId103" /><Relationship Type="http://schemas.openxmlformats.org/officeDocument/2006/relationships/image" Target="media/image12.jpeg" Id="rId108" /><Relationship Type="http://schemas.openxmlformats.org/officeDocument/2006/relationships/hyperlink" Target="https://gd.eppo.int/taxon/HETEIR" TargetMode="External" Id="rId54" /><Relationship Type="http://schemas.openxmlformats.org/officeDocument/2006/relationships/hyperlink" Target="https://doi.org/10.1111/ppa.13071" TargetMode="External" Id="rId70" /><Relationship Type="http://schemas.openxmlformats.org/officeDocument/2006/relationships/hyperlink" Target="https://doi.org/10.1007/BF00351853" TargetMode="External" Id="rId75" /><Relationship Type="http://schemas.openxmlformats.org/officeDocument/2006/relationships/hyperlink" Target="https://www.studiesinmycology.org/index.php/issue/18-studies-in-mycology-no-16" TargetMode="External" Id="rId91" /><Relationship Type="http://schemas.openxmlformats.org/officeDocument/2006/relationships/hyperlink" Target="https://doi.org/10.3389/fmicb.2020.596393" TargetMode="External" Id="rId96" /><Relationship Type="http://schemas.openxmlformats.org/officeDocument/2006/relationships/customXml" Target="../customXml/item1.xml" Id="rId1" /><Relationship Type="http://schemas.openxmlformats.org/officeDocument/2006/relationships/styles" Target="styles.xml" Id="rId6" /><Relationship Type="http://schemas.openxmlformats.org/officeDocument/2006/relationships/hyperlink" Target="https://doi.org/10.1094/Phyto-86-543" TargetMode="External" Id="rId23" /><Relationship Type="http://schemas.openxmlformats.org/officeDocument/2006/relationships/hyperlink" Target="https://doi.org/10.1111/efp.12321" TargetMode="External" Id="rId28" /><Relationship Type="http://schemas.openxmlformats.org/officeDocument/2006/relationships/hyperlink" Target="https://doi.org/10.2144/000112149" TargetMode="External" Id="rId49" /><Relationship Type="http://schemas.openxmlformats.org/officeDocument/2006/relationships/image" Target="media/image18.jpeg" Id="rId114" /><Relationship Type="http://schemas.openxmlformats.org/officeDocument/2006/relationships/fontTable" Target="fontTable.xml" Id="rId119" /><Relationship Type="http://schemas.openxmlformats.org/officeDocument/2006/relationships/endnotes" Target="endnotes.xml" Id="rId10" /><Relationship Type="http://schemas.openxmlformats.org/officeDocument/2006/relationships/hyperlink" Target="https://doi.org/10.1016/j.foreco.2020.118835" TargetMode="External" Id="rId31" /><Relationship Type="http://schemas.openxmlformats.org/officeDocument/2006/relationships/hyperlink" Target="https://doi.org/10.1007/s10658-006-9028-1" TargetMode="External" Id="rId44" /><Relationship Type="http://schemas.openxmlformats.org/officeDocument/2006/relationships/hyperlink" Target="https://doi.org/10.1111/epp.12618" TargetMode="External" Id="rId52" /><Relationship Type="http://schemas.openxmlformats.org/officeDocument/2006/relationships/hyperlink" Target="https://www.fungaldiversity.org/fdp/sfdp/FD38-4.pdf" TargetMode="External" Id="rId60" /><Relationship Type="http://schemas.openxmlformats.org/officeDocument/2006/relationships/hyperlink" Target="https://doi.org/10.1111/j.1365-294X.2007.03250.x" TargetMode="External" Id="rId65" /><Relationship Type="http://schemas.openxmlformats.org/officeDocument/2006/relationships/hyperlink" Target="https://doi.org/10.1016/S1055-7903(03)00087-3" TargetMode="External" Id="rId73" /><Relationship Type="http://schemas.openxmlformats.org/officeDocument/2006/relationships/hyperlink" Target="https://doi.org/10.1186/1471-2180-12-255" TargetMode="External" Id="rId78" /><Relationship Type="http://schemas.openxmlformats.org/officeDocument/2006/relationships/hyperlink" Target="https://doi.org/10.1139/b93-123" TargetMode="External" Id="rId81" /><Relationship Type="http://schemas.openxmlformats.org/officeDocument/2006/relationships/hyperlink" Target="https://doi.org/10.1016/S0007-1536(59)80034-6" TargetMode="External" Id="rId86" /><Relationship Type="http://schemas.openxmlformats.org/officeDocument/2006/relationships/hyperlink" Target="https://doi.org/10.1094/PHYTO-100-2-0143" TargetMode="External" Id="rId94" /><Relationship Type="http://schemas.openxmlformats.org/officeDocument/2006/relationships/image" Target="media/image3.jpeg" Id="rId99" /><Relationship Type="http://schemas.openxmlformats.org/officeDocument/2006/relationships/image" Target="media/image5.png" Id="rId101" /><Relationship Type="http://schemas.openxmlformats.org/officeDocument/2006/relationships/customXml" Target="../customXml/item4.xml" Id="rId4" /><Relationship Type="http://schemas.openxmlformats.org/officeDocument/2006/relationships/footnotes" Target="footnotes.xml" Id="rId9" /><Relationship Type="http://schemas.openxmlformats.org/officeDocument/2006/relationships/hyperlink" Target="https://doi.org/10.1139/b01-090" TargetMode="External" Id="rId13" /><Relationship Type="http://schemas.openxmlformats.org/officeDocument/2006/relationships/hyperlink" Target="https://doi.org/10.1111/efp.12396" TargetMode="External" Id="rId18" /><Relationship Type="http://schemas.openxmlformats.org/officeDocument/2006/relationships/hyperlink" Target="mailto:luana_giordano_cnt@regione.lombardia.it" TargetMode="External" Id="rId39" /><Relationship Type="http://schemas.openxmlformats.org/officeDocument/2006/relationships/image" Target="media/image13.jpeg" Id="rId109" /><Relationship Type="http://schemas.openxmlformats.org/officeDocument/2006/relationships/hyperlink" Target="https://doi.org/10.1016/S1055-7903(03)00087-3" TargetMode="External" Id="rId34" /><Relationship Type="http://schemas.openxmlformats.org/officeDocument/2006/relationships/hyperlink" Target="https://doi.org/10.1046/j.1439-0329.2003.00328.x" TargetMode="External" Id="rId50" /><Relationship Type="http://schemas.openxmlformats.org/officeDocument/2006/relationships/hyperlink" Target="https://gd.eppo.int/taxon/HETEAN" TargetMode="External" Id="rId55" /><Relationship Type="http://schemas.openxmlformats.org/officeDocument/2006/relationships/hyperlink" Target="https://doi.org/10.1111/efp.12321" TargetMode="External" Id="rId76" /><Relationship Type="http://schemas.openxmlformats.org/officeDocument/2006/relationships/image" Target="media/image1.jpeg" Id="rId97" /><Relationship Type="http://schemas.openxmlformats.org/officeDocument/2006/relationships/image" Target="media/image8.jpeg" Id="rId104" /><Relationship Type="http://schemas.openxmlformats.org/officeDocument/2006/relationships/theme" Target="theme/theme1.xml" Id="rId120" /><Relationship Type="http://schemas.openxmlformats.org/officeDocument/2006/relationships/settings" Target="settings.xml" Id="rId7" /><Relationship Type="http://schemas.openxmlformats.org/officeDocument/2006/relationships/hyperlink" Target="https://doi.org/10.1094/PD-68-246" TargetMode="External" Id="rId71" /><Relationship Type="http://schemas.openxmlformats.org/officeDocument/2006/relationships/hyperlink" Target="https://doi.org/10.1139/b85-322" TargetMode="External" Id="rId92" /><Relationship Type="http://schemas.openxmlformats.org/officeDocument/2006/relationships/customXml" Target="../customXml/item2.xml" Id="rId2" /><Relationship Type="http://schemas.openxmlformats.org/officeDocument/2006/relationships/hyperlink" Target="https://doi.org/10.1111/ppa.13071" TargetMode="External" Id="rId29" /><Relationship Type="http://schemas.openxmlformats.org/officeDocument/2006/relationships/hyperlink" Target="https://doi.org/10.1046/j.1439-0329.2003.00323.x" TargetMode="External" Id="rId24" /><Relationship Type="http://schemas.openxmlformats.org/officeDocument/2006/relationships/hyperlink" Target="mailto:eeva.vainio@luke.fi" TargetMode="External" Id="rId40" /><Relationship Type="http://schemas.openxmlformats.org/officeDocument/2006/relationships/hyperlink" Target="https://doi.org/10.1079/cabicompendium.27044" TargetMode="External" Id="rId45" /><Relationship Type="http://schemas.openxmlformats.org/officeDocument/2006/relationships/hyperlink" Target="https://doi.org/10.1079/9781780640402.0128" TargetMode="External" Id="rId66" /><Relationship Type="http://schemas.openxmlformats.org/officeDocument/2006/relationships/hyperlink" Target="https://doi.org/10.1111/j.1439-0329.1997.tb00865.x" TargetMode="External" Id="rId87" /><Relationship Type="http://schemas.openxmlformats.org/officeDocument/2006/relationships/image" Target="media/image14.jpeg" Id="rId110" /><Relationship Type="http://schemas.openxmlformats.org/officeDocument/2006/relationships/image" Target="media/image19.jpeg" Id="rId115" /><Relationship Type="http://schemas.openxmlformats.org/officeDocument/2006/relationships/hyperlink" Target="https://doi.org/10.1038/s41598-018-19922-w" TargetMode="External" Id="rId61" /><Relationship Type="http://schemas.openxmlformats.org/officeDocument/2006/relationships/hyperlink" Target="https://doi.org/10.1016/j.mycres.2009.09.001" TargetMode="External" Id="rId82" /><Relationship Type="http://schemas.openxmlformats.org/officeDocument/2006/relationships/hyperlink" Target="https://doi.org/10.2144/000112149" TargetMode="External" Id="rId19" /><Relationship Type="http://schemas.openxmlformats.org/officeDocument/2006/relationships/hyperlink" Target="https://doi.org/10.1046/j.1439-0329.2003.00323.x" TargetMode="External" Id="rId14" /><Relationship Type="http://schemas.openxmlformats.org/officeDocument/2006/relationships/hyperlink" Target="https://doi.org/10.1111/efp.12396" TargetMode="External" Id="rId30" /><Relationship Type="http://schemas.openxmlformats.org/officeDocument/2006/relationships/hyperlink" Target="https://blast.ncbi.nlm.nih.gov/Blast.cgi" TargetMode="External" Id="rId35" /><Relationship Type="http://schemas.openxmlformats.org/officeDocument/2006/relationships/hyperlink" Target="https://doi.org/10.1146/annurev-phyto-082712-102225" TargetMode="External" Id="rId56" /><Relationship Type="http://schemas.openxmlformats.org/officeDocument/2006/relationships/hyperlink" Target="https://doi.org/10.1016/j.ympev.2007.12.010" TargetMode="External" Id="rId77" /><Relationship Type="http://schemas.openxmlformats.org/officeDocument/2006/relationships/image" Target="media/image4.jpeg" Id="rId100" /><Relationship Type="http://schemas.openxmlformats.org/officeDocument/2006/relationships/image" Target="media/image9.jpeg" Id="rId105" /><Relationship Type="http://schemas.openxmlformats.org/officeDocument/2006/relationships/webSettings" Target="webSettings.xml" Id="rId8" /><Relationship Type="http://schemas.openxmlformats.org/officeDocument/2006/relationships/hyperlink" Target="https://doi.org/10.1111/j.1365-294X.2010.04873.x" TargetMode="External" Id="rId51" /><Relationship Type="http://schemas.openxmlformats.org/officeDocument/2006/relationships/hyperlink" Target="https://doi.org/10.5248/129.47" TargetMode="External" Id="rId72" /><Relationship Type="http://schemas.openxmlformats.org/officeDocument/2006/relationships/hyperlink" Target="https://doi.org/10.1007/S10267-008-0476-7" TargetMode="External" Id="rId93" /><Relationship Type="http://schemas.openxmlformats.org/officeDocument/2006/relationships/image" Target="media/image2.jpeg" Id="rId98" /><Relationship Type="http://schemas.openxmlformats.org/officeDocument/2006/relationships/customXml" Target="../customXml/item3.xml" Id="rId3" /><Relationship Type="http://schemas.openxmlformats.org/officeDocument/2006/relationships/hyperlink" Target="https://doi.org/10.1139/b01-090" TargetMode="External" Id="rId25" /><Relationship Type="http://schemas.openxmlformats.org/officeDocument/2006/relationships/hyperlink" Target="https://doi.org/10.1111/j.1439-0329.1990.tb01134.x" TargetMode="External" Id="rId46" /><Relationship Type="http://schemas.openxmlformats.org/officeDocument/2006/relationships/hyperlink" Target="https://doi.org/10.1017/S0953756204240369" TargetMode="External" Id="rId67" /><Relationship Type="http://schemas.openxmlformats.org/officeDocument/2006/relationships/image" Target="media/image20.jpeg" Id="rId116" /><Relationship Type="http://schemas.openxmlformats.org/officeDocument/2006/relationships/hyperlink" Target="https://doi.org/10.1046/j.1439-0434.2002.00772.x" TargetMode="External" Id="rId20" /><Relationship Type="http://schemas.openxmlformats.org/officeDocument/2006/relationships/hyperlink" Target="mailto:ippc@fao.org" TargetMode="External" Id="rId41" /><Relationship Type="http://schemas.openxmlformats.org/officeDocument/2006/relationships/hyperlink" Target="https://doi.org/10.1093/forestry/cpu015" TargetMode="External" Id="rId62" /><Relationship Type="http://schemas.openxmlformats.org/officeDocument/2006/relationships/hyperlink" Target="https://doi.org/10.1093/oxfordjournals.aob.a083252" TargetMode="External" Id="rId83" /><Relationship Type="http://schemas.openxmlformats.org/officeDocument/2006/relationships/hyperlink" Target="https://doi.org/10.1128/AEM.70.6.3512-3520.2004" TargetMode="External" Id="rId88" /><Relationship Type="http://schemas.openxmlformats.org/officeDocument/2006/relationships/image" Target="media/image15.jpeg" Id="rId111" /><Relationship Type="http://schemas.openxmlformats.org/officeDocument/2006/relationships/hyperlink" Target="https://doi.org/10.1111/j.1365-294X.2007.03250.x" TargetMode="External" Id="rId15" /><Relationship Type="http://schemas.openxmlformats.org/officeDocument/2006/relationships/hyperlink" Target="https://www.boldsystems.org/" TargetMode="External" Id="rId36" /><Relationship Type="http://schemas.openxmlformats.org/officeDocument/2006/relationships/hyperlink" Target="https://doi.org/10.1139/b97-185" TargetMode="External" Id="rId57" /><Relationship Type="http://schemas.openxmlformats.org/officeDocument/2006/relationships/image" Target="media/image10.png" Id="rId106" /></Relationships>
</file>

<file path=word/_rels/settings.xml.rels>&#65279;<?xml version="1.0" encoding="utf-8"?><Relationships xmlns="http://schemas.openxmlformats.org/package/2006/relationships"><Relationship Type="http://schemas.openxmlformats.org/officeDocument/2006/relationships/attachedTemplate" Target="file:///C:\Users\karen\OneDrive\Desktop\IPPC_2023-01-28.dotx" TargetMode="External" Id="rId1" /></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&#65279;<?xml version="1.0" encoding="utf-8"?><Relationships xmlns="http://schemas.openxmlformats.org/package/2006/relationships"><Relationship Type="http://schemas.openxmlformats.org/officeDocument/2006/relationships/customXmlProps" Target="itemProps1.xml" Id="rId1" /></Relationships>
</file>

<file path=customXml/_rels/item2.xml.rels>&#65279;<?xml version="1.0" encoding="utf-8"?><Relationships xmlns="http://schemas.openxmlformats.org/package/2006/relationships"><Relationship Type="http://schemas.openxmlformats.org/officeDocument/2006/relationships/customXmlProps" Target="itemProps2.xml" Id="rId1" /></Relationships>
</file>

<file path=customXml/_rels/item3.xml.rels>&#65279;<?xml version="1.0" encoding="utf-8"?><Relationships xmlns="http://schemas.openxmlformats.org/package/2006/relationships"><Relationship Type="http://schemas.openxmlformats.org/officeDocument/2006/relationships/customXmlProps" Target="itemProps3.xml" Id="rId1" /></Relationships>
</file>

<file path=customXml/_rels/item4.xml.rels>&#65279;<?xml version="1.0" encoding="utf-8"?><Relationships xmlns="http://schemas.openxmlformats.org/package/2006/relationships"><Relationship Type="http://schemas.openxmlformats.org/officeDocument/2006/relationships/customXmlProps" Target="itemProps4.xml" Id="rId1" /></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a05d7f75-f42e-4288-8809-604fd4d9691f" xsi:nil="true"/>
    <lcf76f155ced4ddcb4097134ff3c332f xmlns="ea6feb38-a85a-45e8-92e9-814486bbe375">
      <Terms xmlns="http://schemas.microsoft.com/office/infopath/2007/PartnerControls"/>
    </lcf76f155ced4ddcb4097134ff3c332f>
    <_Flow_SignoffStatus xmlns="ea6feb38-a85a-45e8-92e9-814486bbe375" xsi:nil="true"/>
  </documentManagement>
</p:properties>
</file>

<file path=customXml/item2.xml><?xml version="1.0" encoding="utf-8"?>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299519679B1A8B4091DBA33CE26F55F5" ma:contentTypeVersion="19" ma:contentTypeDescription="Create a new document." ma:contentTypeScope="" ma:versionID="1c12a54429c4b9f7fb3094c9887c84ad">
  <xsd:schema xmlns:xs="http://www.w3.org/2001/XMLSchema" xmlns:xsd="http://www.w3.org/2001/XMLSchema" xmlns:p="http://schemas.microsoft.com/office/2006/metadata/properties" xmlns:ns2="a05d7f75-f42e-4288-8809-604fd4d9691f" xmlns:ns3="ea6feb38-a85a-45e8-92e9-814486bbe375" targetNamespace="http://schemas.microsoft.com/office/2006/metadata/properties" ma:root="true" ma:fieldsID="5e54bd48ca98dfb5547f01d30199786f" ns2:_="" ns3:_="">
    <xsd:import namespace="a05d7f75-f42e-4288-8809-604fd4d9691f"/>
    <xsd:import namespace="ea6feb38-a85a-45e8-92e9-814486bbe375"/>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AutoKeyPoints" minOccurs="0"/>
                <xsd:element ref="ns3:MediaServiceKeyPoints" minOccurs="0"/>
                <xsd:element ref="ns3:MediaServiceDateTaken" minOccurs="0"/>
                <xsd:element ref="ns3:MediaServiceAutoTags" minOccurs="0"/>
                <xsd:element ref="ns3:MediaServiceGenerationTime" minOccurs="0"/>
                <xsd:element ref="ns3:MediaServiceEventHashCode" minOccurs="0"/>
                <xsd:element ref="ns3:MediaServiceOCR" minOccurs="0"/>
                <xsd:element ref="ns3:MediaServiceLocation" minOccurs="0"/>
                <xsd:element ref="ns3:MediaLengthInSeconds" minOccurs="0"/>
                <xsd:element ref="ns3:_Flow_SignoffStatus" minOccurs="0"/>
                <xsd:element ref="ns3:lcf76f155ced4ddcb4097134ff3c332f" minOccurs="0"/>
                <xsd:element ref="ns2:TaxCatchAll" minOccurs="0"/>
                <xsd:element ref="ns3:MediaServiceObjectDetectorVersions" minOccurs="0"/>
                <xsd:element ref="ns3:MediaServiceSearchProperties" minOccurs="0"/>
              </xsd:all>
            </xsd:complexType>
          </xsd:element>
        </xsd:sequence>
      </xsd:complexType>
    </xsd:element>
  </xsd:schema>
  <xsd:schema xmlns:xs="http://www.w3.org/2001/XMLSchema" xmlns:xsd="http://www.w3.org/2001/XMLSchema" xmlns:dms="http://schemas.microsoft.com/office/2006/documentManagement/types" xmlns:pc="http://schemas.microsoft.com/office/infopath/2007/PartnerControls" targetNamespace="a05d7f75-f42e-4288-8809-604fd4d9691f"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element name="TaxCatchAll" ma:index="24" nillable="true" ma:displayName="Taxonomy Catch All Column" ma:hidden="true" ma:list="{540dbf57-1e7b-4a73-94c8-cbcaaea3fe5a}" ma:internalName="TaxCatchAll" ma:showField="CatchAllData" ma:web="a05d7f75-f42e-4288-8809-604fd4d9691f">
      <xsd:complexType>
        <xsd:complexContent>
          <xsd:extension base="dms:MultiChoiceLookup">
            <xsd:sequence>
              <xsd:element name="Value" type="dms:Lookup" maxOccurs="unbounded" minOccurs="0" nillable="true"/>
            </xsd:sequence>
          </xsd:extension>
        </xsd:complexContent>
      </xsd:complexType>
    </xsd:element>
  </xsd:schema>
  <xsd:schema xmlns:xs="http://www.w3.org/2001/XMLSchema" xmlns:xsd="http://www.w3.org/2001/XMLSchema" xmlns:dms="http://schemas.microsoft.com/office/2006/documentManagement/types" xmlns:pc="http://schemas.microsoft.com/office/infopath/2007/PartnerControls" targetNamespace="ea6feb38-a85a-45e8-92e9-814486bbe375"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Tags" ma:index="15" nillable="true" ma:displayName="Tags" ma:internalName="MediaServiceAutoTags"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OCR" ma:index="18" nillable="true" ma:displayName="Extracted Text" ma:internalName="MediaServiceOCR" ma:readOnly="true">
      <xsd:simpleType>
        <xsd:restriction base="dms:Note">
          <xsd:maxLength value="255"/>
        </xsd:restriction>
      </xsd:simpleType>
    </xsd:element>
    <xsd:element name="MediaServiceLocation" ma:index="19" nillable="true" ma:displayName="Location" ma:internalName="MediaServiceLocatio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_Flow_SignoffStatus" ma:index="21" nillable="true" ma:displayName="Sign-off status" ma:internalName="Sign_x002d_off_x0020_status">
      <xsd:simpleType>
        <xsd:restriction base="dms:Text"/>
      </xsd:simpleType>
    </xsd:element>
    <xsd:element name="lcf76f155ced4ddcb4097134ff3c332f" ma:index="23" nillable="true" ma:taxonomy="true" ma:internalName="lcf76f155ced4ddcb4097134ff3c332f" ma:taxonomyFieldName="MediaServiceImageTags" ma:displayName="Image Tags" ma:readOnly="false" ma:fieldId="{5cf76f15-5ced-4ddc-b409-7134ff3c332f}" ma:taxonomyMulti="true" ma:sspId="f40eee1e-ad38-437e-be40-fc9f033adc9a"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5"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6" nillable="true" ma:displayName="MediaServiceSearchProperties" ma:hidden="true" ma:internalName="MediaServiceSearchProperties" ma:readOnly="true">
      <xsd:simpleType>
        <xsd:restriction base="dms:Note"/>
      </xsd:simpleType>
    </xsd:element>
  </xsd:schema>
  <xsd:schema xmlns:xsd="http://www.w3.org/2001/XMLSchema" xmlns="http://schemas.openxmlformats.org/package/2006/metadata/core-properties"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xs="http://www.w3.org/2001/XMLSchema" xmlns:pc="http://schemas.microsoft.com/office/infopath/2007/PartnerControls"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http://schemas.openxmlformats.org/officeDocument/2006/bibliography" xmlns:b="http://schemas.openxmlformats.org/officeDocument/2006/bibliography" SelectedStyle="\APASixthEditionOfficeOnline.xsl" StyleName="APA" Version="6"/>
</file>

<file path=customXml/itemProps1.xml><?xml version="1.0" encoding="utf-8"?>
<ds:datastoreItem xmlns:ds="http://schemas.openxmlformats.org/officeDocument/2006/customXml" ds:itemID="{0BAD09BB-29D0-4913-95ED-8D22B6C90D88}">
  <ds:schemaRefs>
    <ds:schemaRef ds:uri="http://purl.org/dc/dcmitype/"/>
    <ds:schemaRef ds:uri="http://www.w3.org/XML/1998/namespace"/>
    <ds:schemaRef ds:uri="http://schemas.openxmlformats.org/package/2006/metadata/core-properties"/>
    <ds:schemaRef ds:uri="http://purl.org/dc/terms/"/>
    <ds:schemaRef ds:uri="http://purl.org/dc/elements/1.1/"/>
    <ds:schemaRef ds:uri="ea6feb38-a85a-45e8-92e9-814486bbe375"/>
    <ds:schemaRef ds:uri="http://schemas.microsoft.com/office/2006/metadata/properties"/>
    <ds:schemaRef ds:uri="http://schemas.microsoft.com/office/2006/documentManagement/types"/>
    <ds:schemaRef ds:uri="http://schemas.microsoft.com/office/infopath/2007/PartnerControls"/>
    <ds:schemaRef ds:uri="a05d7f75-f42e-4288-8809-604fd4d9691f"/>
  </ds:schemaRefs>
</ds:datastoreItem>
</file>

<file path=customXml/itemProps2.xml><?xml version="1.0" encoding="utf-8"?>
<ds:datastoreItem xmlns:ds="http://schemas.openxmlformats.org/officeDocument/2006/customXml" ds:itemID="{64C716A2-8DDB-444D-8782-B5A8A8F13367}">
  <ds:schemaRefs>
    <ds:schemaRef ds:uri="http://schemas.microsoft.com/sharepoint/v3/contenttype/forms"/>
  </ds:schemaRefs>
</ds:datastoreItem>
</file>

<file path=customXml/itemProps3.xml><?xml version="1.0" encoding="utf-8"?>
<ds:datastoreItem xmlns:ds="http://schemas.openxmlformats.org/officeDocument/2006/customXml" ds:itemID="{9F901E6B-7611-4EDF-9613-A8AD6B43869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05d7f75-f42e-4288-8809-604fd4d9691f"/>
    <ds:schemaRef ds:uri="ea6feb38-a85a-45e8-92e9-814486bbe37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58A9C712-8C2F-419F-A758-3F842C45BA0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IPPC_2023-01-28.dotx</Template>
  <TotalTime>23</TotalTime>
  <Pages>34</Pages>
  <Words>15341</Words>
  <Characters>87450</Characters>
  <Application>Microsoft Office Word</Application>
  <DocSecurity>0</DocSecurity>
  <Lines>728</Lines>
  <Paragraphs>205</Paragraphs>
  <ScaleCrop>false</ScaleCrop>
  <HeadingPairs>
    <vt:vector size="6" baseType="variant">
      <vt:variant>
        <vt:lpstr>Titolo</vt:lpstr>
      </vt:variant>
      <vt:variant>
        <vt:i4>1</vt:i4>
      </vt:variant>
      <vt:variant>
        <vt:lpstr>Title</vt:lpstr>
      </vt:variant>
      <vt:variant>
        <vt:i4>1</vt:i4>
      </vt:variant>
      <vt:variant>
        <vt:lpstr>Otsikko</vt:lpstr>
      </vt:variant>
      <vt:variant>
        <vt:i4>1</vt:i4>
      </vt:variant>
    </vt:vector>
  </HeadingPairs>
  <TitlesOfParts>
    <vt:vector size="3" baseType="lpstr">
      <vt:lpstr/>
      <vt:lpstr/>
      <vt:lpstr/>
    </vt:vector>
  </TitlesOfParts>
  <Company/>
  <LinksUpToDate>false</LinksUpToDate>
  <CharactersWithSpaces>102586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Luana Giordano</dc:creator>
  <cp:keywords/>
  <dc:description/>
  <cp:lastModifiedBy>Krah, Emmanuel (NSPD)</cp:lastModifiedBy>
  <cp:revision>19</cp:revision>
  <dcterms:created xsi:type="dcterms:W3CDTF">2024-01-09T17:03:00Z</dcterms:created>
  <dcterms:modified xsi:type="dcterms:W3CDTF">2024-01-29T12:42:00Z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0x010100299519679B1A8B4091DBA33CE26F55F5</vt:lpwstr>
  </property>
  <property fmtid="{D5CDD505-2E9C-101B-9397-08002B2CF9AE}" pid="3" name="MediaServiceImageTags">
    <vt:lpwstr/>
  </property>
</Properties>
</file>