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Revision of ISPM 26. Document title: 2021-010_DraftSpec_RevISPM26_Fr_2022-06-30.docx]</w:t>
      </w:r>
    </w:p>
    <w:p w14:paraId="5AA55C90" w14:textId="36FFF1A5">
      <w:pPr>
        <w:spacing w:before="120"/>
        <w:rPr>
          <w:b/>
          <w:bCs/>
        </w:rPr>
      </w:pPr>
      <w:r>
        <w:rPr>
          <w:rStyle w:val="PleaseReviewParagraphId"/>
          <w:b w:val="off"/>
          <w:i w:val="off"/>
        </w:rPr>
        <w:t>[1]</w:t>
      </w:r>
      <w:r>
        <w:rPr>
          <w:b/>
        </w:rPr>
        <w:t>PROJET DE SPÉCIFICATION POUR UNE NIMP: Révision de la NIMP 26 (</w:t>
      </w:r>
      <w:r>
        <w:rPr>
          <w:b/>
          <w:i/>
        </w:rPr>
        <w:t>Établissement de zones exemptes de mouches des fruits [Tephritidae]</w:t>
      </w:r>
      <w:r>
        <w:rPr>
          <w:b/>
        </w:rPr>
        <w:t>) (2021-010)</w:t>
      </w:r>
    </w:p>
    <w:p w14:paraId="14DCF25B" w14:textId="77777777">
      <w:pPr>
        <w:pStyle w:val="IPPSubheadSpace"/>
      </w:pPr>
      <w:r>
        <w:rPr>
          <w:rStyle w:val="PleaseReviewParagraphId"/>
          <w:b w:val="off"/>
          <w:i w:val="off"/>
        </w:rPr>
        <w:t>[2]</w:t>
      </w:r>
      <w: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517"/>
        <w:gridCol w:w="6522"/>
      </w:tblGrid>
      <w:tr w14:paraId="6D3B3B2D" w14:textId="77777777">
        <w:trPr>
          <w:trHeight w:val="286"/>
        </w:trPr>
        <w:tc>
          <w:tcPr>
            <w:tcW w:w="9039" w:type="dxa"/>
            <w:gridSpan w:val="2"/>
          </w:tcPr>
          <w:p w14:paraId="7B4A5210" w14:textId="4285F276">
            <w:pPr>
              <w:pStyle w:val="IPPArialTable"/>
            </w:pPr>
            <w:r>
              <w:rPr>
                <w:rStyle w:val="PleaseReviewParagraphId"/>
                <w:b w:val="off"/>
                <w:i w:val="off"/>
              </w:rPr>
              <w:t>[3]</w:t>
            </w:r>
            <w:r>
              <w:t>Cet encadré ne fait pas officiellement partie de la spécification et sera modifié par le Secrétariat de la CIPV après l’approbation.</w:t>
            </w:r>
          </w:p>
        </w:tc>
      </w:tr>
      <w:tr w14:paraId="6491D9C2" w14:textId="77777777">
        <w:trPr>
          <w:trHeight w:val="286"/>
        </w:trPr>
        <w:tc>
          <w:tcPr>
            <w:tcW w:w="2517" w:type="dxa"/>
          </w:tcPr>
          <w:p w14:paraId="145A27DC" w14:textId="77777777">
            <w:pPr>
              <w:pStyle w:val="IPPArialTable"/>
              <w:rPr>
                <w:b/>
                <w:bCs/>
              </w:rPr>
            </w:pPr>
            <w:r>
              <w:rPr>
                <w:rStyle w:val="PleaseReviewParagraphId"/>
                <w:b w:val="off"/>
                <w:i w:val="off"/>
              </w:rPr>
              <w:t>[4]</w:t>
            </w:r>
            <w:r>
              <w:rPr>
                <w:b/>
              </w:rPr>
              <w:t>Date du présent document</w:t>
            </w:r>
          </w:p>
        </w:tc>
        <w:tc>
          <w:tcPr>
            <w:tcW w:w="6522" w:type="dxa"/>
          </w:tcPr>
          <w:p w14:paraId="61B7D5CC" w14:textId="31068917">
            <w:pPr>
              <w:pStyle w:val="IPPArialTable"/>
            </w:pPr>
            <w:r>
              <w:rPr>
                <w:rStyle w:val="PleaseReviewParagraphId"/>
                <w:b w:val="off"/>
                <w:i w:val="off"/>
              </w:rPr>
              <w:t>[5]</w:t>
            </w:r>
            <w:r>
              <w:t>2022-05-10</w:t>
            </w:r>
          </w:p>
        </w:tc>
      </w:tr>
      <w:tr w14:paraId="3966A705" w14:textId="77777777">
        <w:trPr>
          <w:trHeight w:val="59"/>
        </w:trPr>
        <w:tc>
          <w:tcPr>
            <w:tcW w:w="2517" w:type="dxa"/>
          </w:tcPr>
          <w:p w14:paraId="4A5BE1D6" w14:textId="77777777">
            <w:pPr>
              <w:pStyle w:val="IPPArialTable"/>
              <w:rPr>
                <w:b/>
                <w:bCs/>
              </w:rPr>
            </w:pPr>
            <w:r>
              <w:rPr>
                <w:rStyle w:val="PleaseReviewParagraphId"/>
                <w:b w:val="off"/>
                <w:i w:val="off"/>
              </w:rPr>
              <w:t>[6]</w:t>
            </w:r>
            <w:r>
              <w:rPr>
                <w:b/>
              </w:rPr>
              <w:t>Catégorie du document</w:t>
            </w:r>
          </w:p>
        </w:tc>
        <w:tc>
          <w:tcPr>
            <w:tcW w:w="6522" w:type="dxa"/>
          </w:tcPr>
          <w:p w14:paraId="41F399F8" w14:textId="1F29B1D9">
            <w:pPr>
              <w:pStyle w:val="IPPArialTable"/>
            </w:pPr>
            <w:r>
              <w:rPr>
                <w:rStyle w:val="PleaseReviewParagraphId"/>
                <w:b w:val="off"/>
                <w:i w:val="off"/>
              </w:rPr>
              <w:t>[7]</w:t>
            </w:r>
            <w:r>
              <w:t>Projet de spécification pour la révision d’une NIMP</w:t>
            </w:r>
          </w:p>
        </w:tc>
      </w:tr>
      <w:tr w14:paraId="49B0D663" w14:textId="77777777">
        <w:trPr>
          <w:trHeight w:val="299"/>
        </w:trPr>
        <w:tc>
          <w:tcPr>
            <w:tcW w:w="2517" w:type="dxa"/>
          </w:tcPr>
          <w:p w14:paraId="3222422F" w14:textId="77777777">
            <w:pPr>
              <w:pStyle w:val="IPPArialTable"/>
              <w:rPr>
                <w:b/>
                <w:bCs/>
              </w:rPr>
            </w:pPr>
            <w:r>
              <w:rPr>
                <w:rStyle w:val="PleaseReviewParagraphId"/>
                <w:b w:val="off"/>
                <w:i w:val="off"/>
              </w:rPr>
              <w:t>[8]</w:t>
            </w:r>
            <w:r>
              <w:rPr>
                <w:b/>
              </w:rPr>
              <w:t>Étape de la préparation du document</w:t>
            </w:r>
          </w:p>
        </w:tc>
        <w:tc>
          <w:tcPr>
            <w:tcW w:w="6522" w:type="dxa"/>
          </w:tcPr>
          <w:p w14:paraId="6751D6F8" w14:textId="1BB27834">
            <w:pPr>
              <w:pStyle w:val="IPPArialTable"/>
            </w:pPr>
            <w:r>
              <w:rPr>
                <w:rStyle w:val="PleaseReviewParagraphId"/>
                <w:b w:val="off"/>
                <w:i w:val="off"/>
              </w:rPr>
              <w:t>[9]</w:t>
            </w:r>
            <w:r>
              <w:t>Préalable à la première consultation</w:t>
            </w:r>
          </w:p>
        </w:tc>
      </w:tr>
      <w:tr w14:paraId="6E82449F" w14:textId="77777777">
        <w:trPr>
          <w:trHeight w:val="59"/>
        </w:trPr>
        <w:tc>
          <w:tcPr>
            <w:tcW w:w="2517" w:type="dxa"/>
          </w:tcPr>
          <w:p w14:paraId="201D7C31" w14:textId="77777777">
            <w:pPr>
              <w:pStyle w:val="IPPArialTable"/>
              <w:rPr>
                <w:b/>
                <w:bCs/>
              </w:rPr>
            </w:pPr>
            <w:r>
              <w:rPr>
                <w:rStyle w:val="PleaseReviewParagraphId"/>
                <w:b w:val="off"/>
                <w:i w:val="off"/>
              </w:rPr>
              <w:t>[10]</w:t>
            </w:r>
            <w:r>
              <w:rPr>
                <w:b/>
              </w:rPr>
              <w:t>Principales étapes</w:t>
            </w:r>
          </w:p>
        </w:tc>
        <w:tc>
          <w:tcPr>
            <w:tcW w:w="6522" w:type="dxa"/>
          </w:tcPr>
          <w:p w14:paraId="33BDF212" w14:textId="03A367B5">
            <w:pPr>
              <w:pStyle w:val="IPPArialTable"/>
            </w:pPr>
            <w:r>
              <w:rPr>
                <w:rStyle w:val="PleaseReviewParagraphId"/>
                <w:b w:val="off"/>
                <w:i w:val="off"/>
              </w:rPr>
              <w:t>[11]</w:t>
            </w:r>
            <w:r>
              <w:t xml:space="preserve">2022-04 La CPM, à sa seizième session, ajoute le thème </w:t>
            </w:r>
            <w:r>
              <w:rPr>
                <w:i/>
              </w:rPr>
              <w:t>Révision de la NIMP 26 (</w:t>
            </w:r>
            <w:r>
              <w:t>Établissement de zones exemptes de mouches des fruits (Tephritidae), avec le niveau de priorité 2.</w:t>
            </w:r>
          </w:p>
          <w:p w14:paraId="263230AE" w14:textId="3598A140">
            <w:pPr>
              <w:pStyle w:val="IPPArialTable"/>
            </w:pPr>
            <w:r>
              <w:rPr>
                <w:rStyle w:val="PleaseReviewParagraphId"/>
                <w:b w:val="off"/>
                <w:i w:val="off"/>
              </w:rPr>
              <w:t>[12]</w:t>
            </w:r>
            <w:r>
              <w:t>2022-05 Le Comité des normes (CN) révise le projet et l’approuve en vue de la première consultation.</w:t>
            </w:r>
          </w:p>
        </w:tc>
      </w:tr>
      <w:tr w14:paraId="71F412C0" w14:textId="77777777">
        <w:trPr>
          <w:trHeight w:val="59"/>
        </w:trPr>
        <w:tc>
          <w:tcPr>
            <w:tcW w:w="2517" w:type="dxa"/>
          </w:tcPr>
          <w:p w14:paraId="168F778F" w14:textId="77777777">
            <w:pPr>
              <w:pStyle w:val="IPPArialTable"/>
              <w:rPr>
                <w:b/>
                <w:bCs/>
              </w:rPr>
            </w:pPr>
            <w:r>
              <w:rPr>
                <w:rStyle w:val="PleaseReviewParagraphId"/>
                <w:b w:val="off"/>
                <w:i w:val="off"/>
              </w:rPr>
              <w:t>[13]</w:t>
            </w:r>
            <w:r>
              <w:rPr>
                <w:b/>
              </w:rPr>
              <w:t>Responsables successifs</w:t>
            </w:r>
          </w:p>
        </w:tc>
        <w:tc>
          <w:tcPr>
            <w:tcW w:w="6522" w:type="dxa"/>
          </w:tcPr>
          <w:p w14:paraId="18EA5CBA" w14:textId="3B7E100F">
            <w:pPr>
              <w:pStyle w:val="IPPArialTable"/>
            </w:pPr>
            <w:r>
              <w:rPr>
                <w:rStyle w:val="PleaseReviewParagraphId"/>
                <w:b w:val="off"/>
                <w:i w:val="off"/>
              </w:rPr>
              <w:t>[14]</w:t>
            </w:r>
            <w:r>
              <w:t>2022-05 CN M</w:t>
            </w:r>
            <w:r>
              <w:rPr>
                <w:vertAlign w:val="superscript"/>
              </w:rPr>
              <w:t>me</w:t>
            </w:r>
            <w:r>
              <w:t> Joanne WILSON (NZ, responsable principale)</w:t>
            </w:r>
          </w:p>
        </w:tc>
      </w:tr>
      <w:tr w14:paraId="597FDC08" w14:textId="77777777">
        <w:trPr>
          <w:trHeight w:val="59"/>
        </w:trPr>
        <w:tc>
          <w:tcPr>
            <w:tcW w:w="2517" w:type="dxa"/>
          </w:tcPr>
          <w:p w14:paraId="3B803F05" w14:textId="77777777">
            <w:pPr>
              <w:pStyle w:val="IPPArialTable"/>
              <w:rPr>
                <w:b/>
                <w:bCs/>
              </w:rPr>
            </w:pPr>
            <w:r>
              <w:rPr>
                <w:rStyle w:val="PleaseReviewParagraphId"/>
                <w:b w:val="off"/>
                <w:i w:val="off"/>
              </w:rPr>
              <w:t>[15]</w:t>
            </w:r>
            <w:r>
              <w:rPr>
                <w:b/>
              </w:rPr>
              <w:t>Notes</w:t>
            </w:r>
          </w:p>
        </w:tc>
        <w:tc>
          <w:tcPr>
            <w:tcW w:w="6522" w:type="dxa"/>
          </w:tcPr>
          <w:p w14:paraId="032231C9" w14:textId="77777777">
            <w:pPr>
              <w:pStyle w:val="IPPArialTable"/>
              <w:rPr>
                <w:rStyle w:val="eop"/>
              </w:rPr>
            </w:pPr>
            <w:r>
              <w:rPr>
                <w:rStyle w:val="PleaseReviewParagraphId"/>
                <w:b w:val="off"/>
                <w:i w:val="off"/>
              </w:rPr>
              <w:t>[16]</w:t>
            </w:r>
            <w:r>
              <w:rPr>
                <w:rStyle w:val="normaltextrun"/>
              </w:rPr>
              <w:t>Le présent document est à l’état de projet.</w:t>
            </w:r>
          </w:p>
          <w:p w14:paraId="41FE729E" w14:textId="161173A1">
            <w:pPr>
              <w:pStyle w:val="IPPArialTable"/>
            </w:pPr>
            <w:r>
              <w:rPr>
                <w:rStyle w:val="PleaseReviewParagraphId"/>
                <w:b w:val="off"/>
                <w:i w:val="off"/>
              </w:rPr>
              <w:t>[17]</w:t>
            </w:r>
            <w:r>
              <w:rPr>
                <w:rStyle w:val="eop"/>
              </w:rPr>
              <w:t>2022-05 Révision éditoriale.</w:t>
            </w:r>
          </w:p>
        </w:tc>
      </w:tr>
    </w:tbl>
    <w:p w14:paraId="560EEFB6" w14:textId="77777777">
      <w:pPr>
        <w:pStyle w:val="IPPSubheadSpace"/>
      </w:pPr>
      <w:r>
        <w:rPr>
          <w:rStyle w:val="PleaseReviewParagraphId"/>
          <w:b w:val="off"/>
          <w:i w:val="off"/>
        </w:rPr>
        <w:t>[18]</w:t>
      </w:r>
      <w:r>
        <w:t>Titre</w:t>
      </w:r>
    </w:p>
    <w:p w14:paraId="160EF069" w14:textId="4FCA4E88">
      <w:pPr>
        <w:pStyle w:val="IPPNormal"/>
      </w:pPr>
      <w:r>
        <w:rPr>
          <w:rStyle w:val="PleaseReviewParagraphId"/>
          <w:b w:val="off"/>
          <w:i w:val="off"/>
        </w:rPr>
        <w:t>[19]</w:t>
      </w:r>
      <w:r>
        <w:t>Révision de la NIMP 26 (</w:t>
      </w:r>
      <w:r>
        <w:rPr>
          <w:i/>
        </w:rPr>
        <w:t>Établissement de zones exemptes de mouches des fruits [Tephritidae]</w:t>
      </w:r>
      <w:r>
        <w:t>) (2021‑010).</w:t>
      </w:r>
    </w:p>
    <w:p w14:paraId="5629B712" w14:textId="77777777">
      <w:pPr>
        <w:pStyle w:val="IPPSubheadSpace"/>
      </w:pPr>
      <w:r>
        <w:rPr>
          <w:rStyle w:val="PleaseReviewParagraphId"/>
          <w:b w:val="off"/>
          <w:i w:val="off"/>
        </w:rPr>
        <w:t>[20]</w:t>
      </w:r>
      <w:r>
        <w:t xml:space="preserve">Justification de la révision de la norme </w:t>
      </w:r>
    </w:p>
    <w:p w14:paraId="19611FF5" w14:textId="457F8777">
      <w:pPr>
        <w:pStyle w:val="IPPNormalCloseSpace"/>
      </w:pPr>
      <w:r>
        <w:rPr>
          <w:rStyle w:val="PleaseReviewParagraphId"/>
          <w:b w:val="off"/>
          <w:i w:val="off"/>
        </w:rPr>
        <w:t>[21]</w:t>
      </w:r>
      <w:r>
        <w:t>La NIMP 26 devrait être révisée pour les raisons suivantes:</w:t>
      </w:r>
    </w:p>
    <w:p w14:paraId="3E13BB7E" w14:textId="08DE4BAE">
      <w:pPr>
        <w:pStyle w:val="IPPBullet1"/>
      </w:pPr>
      <w:r>
        <w:rPr>
          <w:rStyle w:val="PleaseReviewParagraphId"/>
          <w:b w:val="off"/>
          <w:i w:val="off"/>
        </w:rPr>
        <w:t>[22]</w:t>
      </w:r>
      <w:r>
        <w:t>L’objectif d’une NIMP est de fournir des indications aux fins d’une approche harmonisée des échanges commerciaux internationaux, or les exigences établies par la NIMP 26 sont trop imprécises et larges, et laissent une marge d’interprétation trop importante aux pays.</w:t>
      </w:r>
    </w:p>
    <w:p w14:paraId="160CA12D" w14:textId="2DD2EB5D">
      <w:pPr>
        <w:pStyle w:val="IPPBullet1"/>
      </w:pPr>
      <w:r>
        <w:rPr>
          <w:rStyle w:val="PleaseReviewParagraphId"/>
          <w:b w:val="off"/>
          <w:i w:val="off"/>
        </w:rPr>
        <w:t>[23]</w:t>
      </w:r>
      <w:r>
        <w:t>Certaines parties essentielles de la NIMP 26 (par exemple la section 2.4) ne sont pas suffisamment claires pour garantir une harmonisation adéquate, c’est pourquoi il est nécessaire de les développer.</w:t>
      </w:r>
    </w:p>
    <w:p w14:paraId="7D8FEB00" w14:textId="34C35378">
      <w:pPr>
        <w:pStyle w:val="IPPBullet1Last"/>
      </w:pPr>
      <w:r>
        <w:rPr>
          <w:rStyle w:val="PleaseReviewParagraphId"/>
          <w:b w:val="off"/>
          <w:i w:val="off"/>
        </w:rPr>
        <w:t>[24]</w:t>
      </w:r>
      <w:r>
        <w:t>Certains aspects de la norme peuvent être interprétés de diverses manières, en particulier par des pays qui sont normalement exempts de mouches des fruits. La norme doit donc expliciter les liens avec la NIMP 4 (</w:t>
      </w:r>
      <w:r>
        <w:rPr>
          <w:i/>
        </w:rPr>
        <w:t>Exigences pour l’établissement de zones indemnes</w:t>
      </w:r>
      <w:r>
        <w:t>) et la NIMP 8 (</w:t>
      </w:r>
      <w:r>
        <w:rPr>
          <w:i/>
        </w:rPr>
        <w:t>Détermination de la situation d’un organisme nuisible dans une zone</w:t>
      </w:r>
      <w:r>
        <w:t>) afin de réduire l’ambiguïté.</w:t>
      </w:r>
    </w:p>
    <w:p w14:paraId="3408B008" w14:textId="77777777">
      <w:pPr>
        <w:pStyle w:val="IPPSubheadSpace"/>
      </w:pPr>
      <w:r>
        <w:rPr>
          <w:rStyle w:val="PleaseReviewParagraphId"/>
          <w:b w:val="off"/>
          <w:i w:val="off"/>
        </w:rPr>
        <w:t>[25]</w:t>
      </w:r>
      <w:r>
        <w:t xml:space="preserve">Champ d’application </w:t>
      </w:r>
    </w:p>
    <w:p w14:paraId="4C55FE51" w14:textId="7551B7E0">
      <w:pPr>
        <w:pStyle w:val="IPPNormal"/>
      </w:pPr>
      <w:r>
        <w:rPr>
          <w:rStyle w:val="PleaseReviewParagraphId"/>
          <w:b w:val="off"/>
          <w:i w:val="off"/>
        </w:rPr>
        <w:t>[26]</w:t>
      </w:r>
      <w:r>
        <w:t>La NIMP 26 révisé devrait fournir des orientations sur l’établissement et le maintien de zones exemptes de mouches des fruits (Tephritidae) ayant une importance économique, notamment des exigences qui tiennent compte des besoins des pays hébergeant des populations autochtones de mouches des fruits et des pays exempts de ces organismes nuisibles.</w:t>
      </w:r>
    </w:p>
    <w:p w14:paraId="1A0A5A58" w14:textId="77777777">
      <w:pPr>
        <w:pStyle w:val="IPPSubheadSpace"/>
      </w:pPr>
      <w:r>
        <w:rPr>
          <w:rStyle w:val="PleaseReviewParagraphId"/>
          <w:b w:val="off"/>
          <w:i w:val="off"/>
        </w:rPr>
        <w:t>[27]</w:t>
      </w:r>
      <w:r>
        <w:t>Objectif</w:t>
      </w:r>
    </w:p>
    <w:p w14:paraId="1A38B18C" w14:textId="7979D6A9">
      <w:pPr>
        <w:pStyle w:val="IPPNormalCloseSpace"/>
      </w:pPr>
      <w:r>
        <w:rPr>
          <w:rStyle w:val="PleaseReviewParagraphId"/>
          <w:b w:val="off"/>
          <w:i w:val="off"/>
        </w:rPr>
        <w:t>[28]</w:t>
      </w:r>
      <w:r>
        <w:t>La révision de la NIMP 26 vise à:</w:t>
      </w:r>
    </w:p>
    <w:p w14:paraId="5B560B47" w14:textId="6BFF0028">
      <w:pPr>
        <w:pStyle w:val="IPPBullet1"/>
      </w:pPr>
      <w:r>
        <w:rPr>
          <w:rStyle w:val="PleaseReviewParagraphId"/>
          <w:b w:val="off"/>
          <w:i w:val="off"/>
        </w:rPr>
        <w:t>[29]</w:t>
      </w:r>
      <w:r>
        <w:t>garantir la cohérence entre les exigences de la NIMP 26 et celles établies dans les NIMP 4 et 8;</w:t>
      </w:r>
    </w:p>
    <w:p w14:paraId="0BFFF798" w14:textId="71A0F13D">
      <w:pPr>
        <w:pStyle w:val="IPPBullet1"/>
      </w:pPr>
      <w:r>
        <w:rPr>
          <w:rStyle w:val="PleaseReviewParagraphId"/>
          <w:b w:val="off"/>
          <w:i w:val="off"/>
        </w:rPr>
        <w:t>[30]</w:t>
      </w:r>
      <w:r>
        <w:t xml:space="preserve">fournir des critères adaptés pour déterminer si une population d’organismes nuisibles correspond à une incursion ou à l’apparition d’un foyer; </w:t>
      </w:r>
    </w:p>
    <w:p w14:paraId="67C8B2DD" w14:textId="28B7327D">
      <w:pPr>
        <w:pStyle w:val="IPPBullet1"/>
      </w:pPr>
      <w:r>
        <w:rPr>
          <w:rStyle w:val="PleaseReviewParagraphId"/>
          <w:b w:val="off"/>
          <w:i w:val="off"/>
        </w:rPr>
        <w:t>[31]</w:t>
      </w:r>
      <w:r>
        <w:lastRenderedPageBreak/>
        <w:t>mieux décrire les critères pour la suspension ou le rétablissement du statut de zone exempte d’organismes nuisibles (sections 2.4.1 et 2.4.2 de la NIMP 26), en tenant compte des différentes échelles géographiques et densités de l’hôte aux fins d’une approche plus harmonisée;</w:t>
      </w:r>
    </w:p>
    <w:p w14:paraId="44C8E954" w14:textId="1E6D8FC7">
      <w:pPr>
        <w:pStyle w:val="IPPBullet1Last"/>
      </w:pPr>
      <w:r>
        <w:rPr>
          <w:rStyle w:val="PleaseReviewParagraphId"/>
          <w:b w:val="off"/>
          <w:i w:val="off"/>
        </w:rPr>
        <w:t>[32]</w:t>
      </w:r>
      <w:r>
        <w:t>déterminer si les appendices et les annexes devraient être conservés dans la norme ou déplacés dans une ressource d’aide à la mise en œuvre.</w:t>
      </w:r>
    </w:p>
    <w:p w14:paraId="473FC686" w14:textId="77777777">
      <w:pPr>
        <w:pStyle w:val="IPPSubheadSpace"/>
        <w:ind w:left="0" w:firstLine="0"/>
      </w:pPr>
      <w:r>
        <w:rPr>
          <w:rStyle w:val="PleaseReviewParagraphId"/>
          <w:b w:val="off"/>
          <w:i w:val="off"/>
        </w:rPr>
        <w:t>[33]</w:t>
      </w:r>
      <w:r>
        <w:t>Tâches</w:t>
      </w:r>
    </w:p>
    <w:p w14:paraId="74AFEE0D" w14:textId="014D0EDD">
      <w:pPr>
        <w:pStyle w:val="IPPNormalCloseSpace"/>
      </w:pPr>
      <w:r>
        <w:rPr>
          <w:rStyle w:val="PleaseReviewParagraphId"/>
          <w:b w:val="off"/>
          <w:i w:val="off"/>
        </w:rPr>
        <w:t>[34]</w:t>
      </w:r>
      <w:r>
        <w:t>Le groupe de travail d’experts chargé de la rédaction devrait s’acquitter des tâches suivantes:</w:t>
      </w:r>
    </w:p>
    <w:p w14:paraId="044FF616" w14:textId="183018E3">
      <w:pPr>
        <w:pStyle w:val="IPPNumberedList"/>
      </w:pPr>
      <w:r>
        <w:rPr>
          <w:rStyle w:val="PleaseReviewParagraphId"/>
          <w:b w:val="off"/>
          <w:i w:val="off"/>
        </w:rPr>
        <w:t>[35]</w:t>
      </w:r>
      <w:r>
        <w:t>Réviser le texte actuel de la NIMP 26 afin de réduire l’ambiguïté des passages de la norme qui pourraient être interprétés diversement par les pays normalement exempts de mouches des fruits.</w:t>
      </w:r>
    </w:p>
    <w:p w14:paraId="1C4C4DBA" w14:textId="08377304">
      <w:pPr>
        <w:pStyle w:val="IPPNumberedList"/>
      </w:pPr>
      <w:r>
        <w:rPr>
          <w:rStyle w:val="PleaseReviewParagraphId"/>
          <w:b w:val="off"/>
          <w:i w:val="off"/>
        </w:rPr>
        <w:t>[36]</w:t>
      </w:r>
      <w:bookmarkStart w:name="_Hlk103024280" w:id="0"/>
      <w:r>
        <w:t>Réviser le texte actuel de la NIMP 26 afin de mieux expliciter les liens avec la NIMP 4 et la NIMP 8 en vue de garantir une approche efficace et cohérente de l’établissement de zones exemptes de mouches des fruits téphritides. En outre, actualiser le texte, là où c’est nécessaire, de manière à tenir compte de l’évolution récente des pratiques de gestion des zones exemptes de ces organismes nuisibles</w:t>
      </w:r>
      <w:bookmarkEnd w:id="0"/>
      <w:r>
        <w:t>.</w:t>
      </w:r>
    </w:p>
    <w:p w14:paraId="364EACB7" w14:textId="390A6D06">
      <w:pPr>
        <w:pStyle w:val="IPPNumberedList"/>
      </w:pPr>
      <w:r>
        <w:rPr>
          <w:rStyle w:val="PleaseReviewParagraphId"/>
          <w:b w:val="off"/>
          <w:i w:val="off"/>
        </w:rPr>
        <w:t>[37]</w:t>
      </w:r>
      <w:r>
        <w:t>Examiner le texte actuel de la NIMP 26, des annexes et des appendices et proposer soit de conserver chaque section ou partie dans la norme, soit, éventuellement, de la déplacer dans une ressource d’aide à la mise en œuvre.</w:t>
      </w:r>
    </w:p>
    <w:p w14:paraId="0344C1A6" w14:textId="46F8B4B7">
      <w:pPr>
        <w:pStyle w:val="IPPNumberedList"/>
      </w:pPr>
      <w:r>
        <w:rPr>
          <w:rStyle w:val="PleaseReviewParagraphId"/>
          <w:b w:val="off"/>
          <w:i w:val="off"/>
        </w:rPr>
        <w:t>[38]</w:t>
      </w:r>
      <w:r>
        <w:t>Proposer quelle ressource de mise en œuvre il convient d’élaborer sous une forme plus facile à actualiser au fur et à mesure que de nouvelles informations sont disponibles.</w:t>
      </w:r>
    </w:p>
    <w:p w14:paraId="491A24E5" w14:textId="5EADDAAD">
      <w:pPr>
        <w:pStyle w:val="IPPNumberedList"/>
      </w:pPr>
      <w:r>
        <w:rPr>
          <w:rStyle w:val="PleaseReviewParagraphId"/>
          <w:b w:val="off"/>
          <w:i w:val="off"/>
        </w:rPr>
        <w:t>[39]</w:t>
      </w:r>
      <w:r>
        <w:t>Définir les critères adaptés pour déterminer si une population d’organismes nuisibles correspond à une incursion ou à l’apparition d’un foyer. L’élaboration de ces critères devra reposer sur la biologie de l’espèce considérée, le nombre de détections, les stades de développement détectés, les indicateurs de la taille d’une population, ainsi que les effets des périodes d’observation, de la distance entre les lieux de détection, du climat, de la saison, des caractéristiques de reproduction, de la densité du système de surveillance par piégeage et d’autres facteurs encore, selon le cas. Prendre en compte les connaissances et les modèles actuels ainsi que les arrangements, protocoles d’urgence ou plans d’exportation existants en vigueur au niveau international ou adoptés bilatéralement.</w:t>
      </w:r>
    </w:p>
    <w:p w14:paraId="7FC5B69F" w14:textId="6F9CB846">
      <w:pPr>
        <w:pStyle w:val="IPPNumberedList"/>
      </w:pPr>
      <w:r>
        <w:rPr>
          <w:rStyle w:val="PleaseReviewParagraphId"/>
          <w:b w:val="off"/>
          <w:i w:val="off"/>
        </w:rPr>
        <w:t>[40]</w:t>
      </w:r>
      <w:r>
        <w:t>Examiner la question de savoir si la NIMP pourrait avoir une incidence spécifique (positive ou négative) sur la protection de la biodiversité et de l’environnement. Dans l’affirmative, les répercussions devraient être identifiées, traitées et précisées dans le projet de NIMP.</w:t>
      </w:r>
    </w:p>
    <w:p w14:paraId="023C5C75" w14:textId="6A563ACE">
      <w:pPr>
        <w:pStyle w:val="IPPNumberedList"/>
      </w:pPr>
      <w:r>
        <w:rPr>
          <w:rStyle w:val="PleaseReviewParagraphId"/>
          <w:b w:val="off"/>
          <w:i w:val="off"/>
        </w:rPr>
        <w:t>[41]</w:t>
      </w:r>
      <w:r>
        <w:t xml:space="preserve">Examiner la mise en œuvre de la NIMP par les parties contractantes et cerner d’éventuels problèmes opérationnels ou techniques. Fournir des informations et, éventuellement, formuler des recommandations sur ces questions à l’intention du Comité des normes. </w:t>
      </w:r>
    </w:p>
    <w:p w14:paraId="60B3B77D" w14:textId="5AD7B910">
      <w:pPr>
        <w:pStyle w:val="IPPNumberedList"/>
      </w:pPr>
      <w:r>
        <w:rPr>
          <w:rStyle w:val="PleaseReviewParagraphId"/>
          <w:b w:val="off"/>
          <w:i w:val="off"/>
        </w:rPr>
        <w:t>[42]</w:t>
      </w:r>
      <w:r>
        <w:t>Examiner tous les renvois à la NIMP 26 figurant dans les autres NIMP et veiller à ce qu’ils restent pertinents, et proposer des modifications à y apporter s’il y a lieu. Passer en revue toutes les références faites à d’autres NIMP dans la NIMP révisée et proposer des amendements si nécessaire.</w:t>
      </w:r>
    </w:p>
    <w:p w14:paraId="69931F16" w14:textId="77777777">
      <w:pPr>
        <w:pStyle w:val="IPPSubheadSpace"/>
      </w:pPr>
      <w:r>
        <w:rPr>
          <w:rStyle w:val="PleaseReviewParagraphId"/>
          <w:b w:val="off"/>
          <w:i w:val="off"/>
        </w:rPr>
        <w:t>[43]</w:t>
      </w:r>
      <w:r>
        <w:t>Fourniture de ressources</w:t>
      </w:r>
      <w:r>
        <w:rPr>
          <w:color w:val="76923C"/>
        </w:rPr>
        <w:t xml:space="preserve"> </w:t>
      </w:r>
    </w:p>
    <w:p w14:paraId="4C1C7651" w14:textId="20E3880F">
      <w:pPr>
        <w:pStyle w:val="IPPNormal"/>
      </w:pPr>
      <w:r>
        <w:rPr>
          <w:rStyle w:val="PleaseReviewParagraphId"/>
          <w:b w:val="off"/>
          <w:i w:val="off"/>
        </w:rPr>
        <w:t>[44]</w:t>
      </w:r>
      <w:r>
        <w:t>Le financement de la réunion peut être assuré hors budget ordinaire de la CIPV (FAO). Comme la CIMP l’a recommandé à sa deuxième session (1999), autant que possible, les participants aux activités d’établissement de normes prennent volontairement à leur charge leurs frais de voyage et de subsistance pour assister aux réunions. Ils peuvent demander une aide financière, étant entendu que les ressources sont limitées et que la priorité est donnée aux participants des pays en développement. À ce sujet, il convient de se référer aux critères de priorité (</w:t>
      </w:r>
      <w:r>
        <w:rPr>
          <w:i/>
        </w:rPr>
        <w:t>Criteria used for prioritizing participants to receive travel assistance to attend meetings organized by the IPPC Secretariat</w:t>
      </w:r>
      <w:r>
        <w:t>) mis en ligne sur le Portail phytosanitaire international (</w:t>
      </w:r>
      <w:hyperlink w:history="1" r:id="rId11">
        <w:r>
          <w:rPr>
            <w:rStyle w:val="Hyperlink"/>
          </w:rPr>
          <w:t>https://www.ippc.int/fr/core-activities/</w:t>
        </w:r>
      </w:hyperlink>
      <w:r>
        <w:t>).</w:t>
      </w:r>
    </w:p>
    <w:p w14:paraId="7AF3EDC5" w14:textId="77777777">
      <w:pPr>
        <w:pStyle w:val="IPPSubheadSpace"/>
      </w:pPr>
      <w:r>
        <w:rPr>
          <w:rStyle w:val="PleaseReviewParagraphId"/>
          <w:b w:val="off"/>
          <w:i w:val="off"/>
        </w:rPr>
        <w:t>[45]</w:t>
      </w:r>
      <w:r>
        <w:t>Collaborateur</w:t>
      </w:r>
    </w:p>
    <w:p w14:paraId="7AF5916E" w14:textId="77777777">
      <w:pPr>
        <w:pStyle w:val="IPPNormal"/>
      </w:pPr>
      <w:r>
        <w:rPr>
          <w:rStyle w:val="PleaseReviewParagraphId"/>
          <w:b w:val="off"/>
          <w:i w:val="off"/>
        </w:rPr>
        <w:t>[46]</w:t>
      </w:r>
      <w:r>
        <w:t>À déterminer</w:t>
      </w:r>
    </w:p>
    <w:p w14:paraId="39D91455" w14:textId="77777777">
      <w:pPr>
        <w:pStyle w:val="IPPSubheadSpace"/>
      </w:pPr>
      <w:r>
        <w:rPr>
          <w:rStyle w:val="PleaseReviewParagraphId"/>
          <w:b w:val="off"/>
          <w:i w:val="off"/>
        </w:rPr>
        <w:t>[47]</w:t>
      </w:r>
      <w:r>
        <w:lastRenderedPageBreak/>
        <w:t>Responsable</w:t>
      </w:r>
    </w:p>
    <w:p w14:paraId="57EDE5F5" w14:textId="53E77AD8">
      <w:pPr>
        <w:pStyle w:val="IPPNormal"/>
      </w:pPr>
      <w:r>
        <w:rPr>
          <w:rStyle w:val="PleaseReviewParagraphId"/>
          <w:b w:val="off"/>
          <w:i w:val="off"/>
        </w:rPr>
        <w:t>[48]</w:t>
      </w:r>
      <w:r>
        <w:t xml:space="preserve">Prière de se reporter à la </w:t>
      </w:r>
      <w:r>
        <w:rPr>
          <w:i/>
        </w:rPr>
        <w:t>Liste de thèmes pour les normes de la CIPV</w:t>
      </w:r>
      <w:r>
        <w:t xml:space="preserve"> qui est publiée sur le Portail phytosanitaire international </w:t>
      </w:r>
      <w:hyperlink w:history="1" r:id="rId12">
        <w:r>
          <w:rPr>
            <w:rStyle w:val="Hyperlink"/>
          </w:rPr>
          <w:t>https://www.ippc.int/core-activities/standards-setting/list-topics-ippc-standards</w:t>
        </w:r>
      </w:hyperlink>
      <w:r>
        <w:t>).</w:t>
      </w:r>
    </w:p>
    <w:p w14:paraId="5C9BC31E" w14:textId="77777777">
      <w:pPr>
        <w:pStyle w:val="IPPSubheadSpace"/>
      </w:pPr>
      <w:r>
        <w:rPr>
          <w:rStyle w:val="PleaseReviewParagraphId"/>
          <w:b w:val="off"/>
          <w:i w:val="off"/>
        </w:rPr>
        <w:t>[49]</w:t>
      </w:r>
      <w:r>
        <w:t xml:space="preserve">Compétences d’experts </w:t>
      </w:r>
    </w:p>
    <w:p w14:paraId="3BB7AFA7" w14:textId="726090AD">
      <w:pPr>
        <w:pStyle w:val="IPPNormalCloseSpace"/>
      </w:pPr>
      <w:r>
        <w:rPr>
          <w:rStyle w:val="PleaseReviewParagraphId"/>
          <w:b w:val="off"/>
          <w:i w:val="off"/>
        </w:rPr>
        <w:t>[50]</w:t>
      </w:r>
      <w:r>
        <w:t>Experts disposant d’une expérience et de connaissances vastes dans le domaine de l’établissement ou du maintien de zones exemptes d’organismes nuisibles, en particulier:</w:t>
      </w:r>
    </w:p>
    <w:p w14:paraId="76335D6A" w14:textId="27AFDB03">
      <w:pPr>
        <w:pStyle w:val="IPPBullet1"/>
      </w:pPr>
      <w:r>
        <w:rPr>
          <w:rStyle w:val="PleaseReviewParagraphId"/>
          <w:b w:val="off"/>
          <w:i w:val="off"/>
        </w:rPr>
        <w:t>[51]</w:t>
      </w:r>
      <w:r>
        <w:t>au moins une personne ayant des connaissances solides en biologie des mouches des fruits téphritides;</w:t>
      </w:r>
    </w:p>
    <w:p w14:paraId="76F879DC" w14:textId="2450511F">
      <w:pPr>
        <w:pStyle w:val="IPPBullet1"/>
      </w:pPr>
      <w:r>
        <w:rPr>
          <w:rStyle w:val="PleaseReviewParagraphId"/>
          <w:b w:val="off"/>
          <w:i w:val="off"/>
        </w:rPr>
        <w:t>[52]</w:t>
      </w:r>
      <w:r>
        <w:t>au moins une personne ayant des connaissances solides en gestion des risques commerciaux;</w:t>
      </w:r>
    </w:p>
    <w:p w14:paraId="0F75E824" w14:textId="430FA0AF">
      <w:pPr>
        <w:pStyle w:val="IPPBullet1Last"/>
      </w:pPr>
      <w:r>
        <w:rPr>
          <w:rStyle w:val="PleaseReviewParagraphId"/>
          <w:b w:val="off"/>
          <w:i w:val="off"/>
        </w:rPr>
        <w:t>[53]</w:t>
      </w:r>
      <w:r>
        <w:t xml:space="preserve">au moins un expert d’une organisation nationale pour la protection des végétaux (ONPV) d’un pays exempt de mouches des fruits téphritides (soit parce qu’aucun de ces organismes n’y a été repéré, soit parce que des zones exemptes y sont établies) afin que les intérêts et l’interprétation de ces ONPV soient représentés. </w:t>
      </w:r>
    </w:p>
    <w:p w14:paraId="35113F9C" w14:textId="53DBCE52">
      <w:pPr>
        <w:pStyle w:val="IPPNormal"/>
      </w:pPr>
      <w:r>
        <w:rPr>
          <w:rStyle w:val="PleaseReviewParagraphId"/>
          <w:b w:val="off"/>
          <w:i w:val="off"/>
        </w:rPr>
        <w:t>[54]</w:t>
      </w:r>
      <w:r>
        <w:t>La participation d’un membre du groupe de travail d’experts chargé de réviser la NIMP 4 (2009‑002) serait également utile pour veiller à ce que la NIMP 26 révisée soit alignée sur la NIMP 4 révisée.</w:t>
      </w:r>
    </w:p>
    <w:p w14:paraId="0830AE06" w14:textId="6B34E968">
      <w:pPr>
        <w:pStyle w:val="IPPNormal"/>
      </w:pPr>
      <w:r>
        <w:rPr>
          <w:rStyle w:val="PleaseReviewParagraphId"/>
          <w:b w:val="off"/>
          <w:i w:val="off"/>
        </w:rPr>
        <w:t>[55]</w:t>
      </w:r>
      <w:r>
        <w:t>De plus, un membre du Comité chargé de la mise en œuvre et du renforcement des capacités devrait être convié à participer en tant qu’expert invité.</w:t>
      </w:r>
    </w:p>
    <w:p w14:paraId="3E29C551" w14:textId="3D193824">
      <w:pPr>
        <w:pStyle w:val="IPPSubheadSpace"/>
      </w:pPr>
      <w:r>
        <w:rPr>
          <w:rStyle w:val="PleaseReviewParagraphId"/>
          <w:b w:val="off"/>
          <w:i w:val="off"/>
        </w:rPr>
        <w:t>[56]</w:t>
      </w:r>
      <w:r>
        <w:t>Participants</w:t>
      </w:r>
    </w:p>
    <w:p w14:paraId="63837B62" w14:textId="1063585A">
      <w:pPr>
        <w:pStyle w:val="IPPNormal"/>
      </w:pPr>
      <w:r>
        <w:rPr>
          <w:rStyle w:val="PleaseReviewParagraphId"/>
          <w:b w:val="off"/>
          <w:i w:val="off"/>
        </w:rPr>
        <w:t>[57]</w:t>
      </w:r>
      <w:r>
        <w:t xml:space="preserve">Sept à neuf experts, plus un expert invité. </w:t>
      </w:r>
    </w:p>
    <w:p w14:paraId="462138F7" w14:textId="45247FB1">
      <w:pPr>
        <w:pStyle w:val="IPPSubheadSpace"/>
      </w:pPr>
      <w:r>
        <w:rPr>
          <w:rStyle w:val="PleaseReviewParagraphId"/>
          <w:b w:val="off"/>
          <w:i w:val="off"/>
        </w:rPr>
        <w:t>[58]</w:t>
      </w:r>
      <w:r>
        <w:t>Références</w:t>
      </w:r>
    </w:p>
    <w:p w14:paraId="039337D2" w14:textId="3286F549">
      <w:pPr>
        <w:pStyle w:val="IPPParagraphnumbering"/>
        <w:numPr>
          <w:ilvl w:val="0"/>
          <w:numId w:val="0"/>
        </w:numPr>
      </w:pPr>
      <w:r>
        <w:rPr>
          <w:rStyle w:val="PleaseReviewParagraphId"/>
          <w:b w:val="off"/>
          <w:i w:val="off"/>
        </w:rPr>
        <w:t>[59]</w:t>
      </w:r>
      <w:r>
        <w:t>La CIPV, les NIMP pertinentes et les autres normes ou accords nationaux, régionaux et internationaux qui peuvent s’appliquer aux tâches à entreprendre, ainsi que les documents de travail communiqués en rapport avec ces activités.</w:t>
      </w:r>
    </w:p>
    <w:p w14:paraId="7DFBF7E3" w14:textId="50DF58C6">
      <w:pPr>
        <w:pStyle w:val="IPPReferences"/>
      </w:pPr>
      <w:r>
        <w:rPr>
          <w:rStyle w:val="PleaseReviewParagraphId"/>
          <w:b w:val="off"/>
          <w:i w:val="off"/>
        </w:rPr>
        <w:t>[60]</w:t>
      </w:r>
      <w:r>
        <w:rPr>
          <w:b/>
        </w:rPr>
        <w:t>Clarke, A. R., Powell, K. S., Weldon, C. W., et Taylor, P. W.</w:t>
      </w:r>
      <w:r>
        <w:t xml:space="preserve"> </w:t>
      </w:r>
      <w:r>
        <w:rPr>
          <w:b/>
          <w:bCs/>
        </w:rPr>
        <w:t>2011.</w:t>
      </w:r>
      <w:r>
        <w:t xml:space="preserve"> The ecology of </w:t>
      </w:r>
      <w:r>
        <w:rPr>
          <w:i/>
        </w:rPr>
        <w:t>Bactrocera tryoni</w:t>
      </w:r>
      <w:r>
        <w:t xml:space="preserve"> (Diptera: Tephritidae): what do we know to assist pest management? </w:t>
      </w:r>
      <w:r>
        <w:rPr>
          <w:i/>
        </w:rPr>
        <w:t>Annals of Applied Biology</w:t>
      </w:r>
      <w:r>
        <w:t>, 158: 26-54.</w:t>
      </w:r>
    </w:p>
    <w:p w14:paraId="64EC4972" w14:textId="7E7CAEA8">
      <w:pPr>
        <w:pStyle w:val="IPPReferences"/>
      </w:pPr>
      <w:r>
        <w:rPr>
          <w:rStyle w:val="PleaseReviewParagraphId"/>
          <w:b w:val="off"/>
          <w:i w:val="off"/>
        </w:rPr>
        <w:t>[61]</w:t>
      </w:r>
      <w:r>
        <w:rPr>
          <w:b/>
        </w:rPr>
        <w:t>Dominiak, B. C., et Fanson, B. G.</w:t>
      </w:r>
      <w:r>
        <w:t xml:space="preserve"> 2014. Revised quarantine distances for domestic and international trading. Présentation faite lors du neuvième Symposium international sur les mouches des fruits ayant une importance économique (Ninth International Symposium on Fruit Flies of Economic Importance), 12‑16 mai 2014, Bangkok (Thaïlande). </w:t>
      </w:r>
    </w:p>
    <w:p w14:paraId="0D7BAC0C" w14:textId="10456BA1">
      <w:pPr>
        <w:pStyle w:val="IPPReferences"/>
      </w:pPr>
      <w:r>
        <w:rPr>
          <w:rStyle w:val="PleaseReviewParagraphId"/>
          <w:b w:val="off"/>
          <w:i w:val="off"/>
        </w:rPr>
        <w:t>[62]</w:t>
      </w:r>
      <w:r>
        <w:rPr>
          <w:b/>
        </w:rPr>
        <w:t>Dominiak, B. C., et Fanson, B. G.</w:t>
      </w:r>
      <w:r>
        <w:t xml:space="preserve"> 2020. Current quarantine and suspension distances are excessive for incipient populations of Queensland fruit fly (</w:t>
      </w:r>
      <w:r>
        <w:rPr>
          <w:i/>
        </w:rPr>
        <w:t>Bactrocera tryoni</w:t>
      </w:r>
      <w:r>
        <w:t xml:space="preserve"> (Froggatt)) (Diptera: Tephritidae) in southern New South Wales, Australia. </w:t>
      </w:r>
      <w:r>
        <w:rPr>
          <w:i/>
        </w:rPr>
        <w:t>Crop Protection</w:t>
      </w:r>
      <w:r>
        <w:t xml:space="preserve">, 138: 105341. </w:t>
      </w:r>
    </w:p>
    <w:p w14:paraId="20BA7602" w14:textId="523EB80F">
      <w:pPr>
        <w:pStyle w:val="IPPReferences"/>
      </w:pPr>
      <w:r>
        <w:rPr>
          <w:rStyle w:val="PleaseReviewParagraphId"/>
          <w:b w:val="off"/>
          <w:i w:val="off"/>
        </w:rPr>
        <w:t>[63]</w:t>
      </w:r>
      <w:r>
        <w:rPr>
          <w:b/>
        </w:rPr>
        <w:t>NIMP 4</w:t>
      </w:r>
      <w:r>
        <w:t xml:space="preserve">. </w:t>
      </w:r>
      <w:r>
        <w:rPr>
          <w:i/>
        </w:rPr>
        <w:t>Exigences pour l’établissement de zones indemnes</w:t>
      </w:r>
      <w:r>
        <w:t xml:space="preserve">. Rome, Secrétariat de la CIPV, FAO. </w:t>
      </w:r>
      <w:hyperlink w:history="1" r:id="rId13">
        <w:r>
          <w:rPr>
            <w:rStyle w:val="Hyperlink"/>
          </w:rPr>
          <w:t>https://www.ippc.int/fr/publications/614/</w:t>
        </w:r>
      </w:hyperlink>
    </w:p>
    <w:p w14:paraId="67F97201" w14:textId="4B27F69C">
      <w:pPr>
        <w:pStyle w:val="IPPReferences"/>
      </w:pPr>
      <w:r>
        <w:rPr>
          <w:rStyle w:val="PleaseReviewParagraphId"/>
          <w:b w:val="off"/>
          <w:i w:val="off"/>
        </w:rPr>
        <w:t>[64]</w:t>
      </w:r>
      <w:r>
        <w:rPr>
          <w:b/>
        </w:rPr>
        <w:t>NIMP 8</w:t>
      </w:r>
      <w:r>
        <w:t xml:space="preserve">. </w:t>
      </w:r>
      <w:r>
        <w:rPr>
          <w:i/>
          <w:iCs/>
        </w:rPr>
        <w:t>Détermination de la situation d’un organisme nuisible dans une zone.</w:t>
      </w:r>
      <w:r>
        <w:t xml:space="preserve"> Rome, Secrétariat de la CIPV, FAO. </w:t>
      </w:r>
      <w:hyperlink w:history="1" r:id="rId14">
        <w:r>
          <w:rPr>
            <w:rStyle w:val="Hyperlink"/>
          </w:rPr>
          <w:t>https://www.ippc.int/fr/publications/612/</w:t>
        </w:r>
      </w:hyperlink>
    </w:p>
    <w:p w14:paraId="4E38D439" w14:textId="2A721280">
      <w:pPr>
        <w:pStyle w:val="IPPReferences"/>
      </w:pPr>
      <w:r>
        <w:rPr>
          <w:rStyle w:val="PleaseReviewParagraphId"/>
          <w:b w:val="off"/>
          <w:i w:val="off"/>
        </w:rPr>
        <w:t>[65]</w:t>
      </w:r>
      <w:r>
        <w:rPr>
          <w:b/>
        </w:rPr>
        <w:t>Kean, J.</w:t>
      </w:r>
      <w:r>
        <w:t xml:space="preserve"> 2015. The effective sampling area of traps: estimation and application. Dans: R. M. Beresford, K. J. Froud, J. M. Kean et S. P. Worner (dir. de publ.). </w:t>
      </w:r>
      <w:r>
        <w:rPr>
          <w:i/>
        </w:rPr>
        <w:t>The plant protection data toolbox</w:t>
      </w:r>
      <w:r>
        <w:t>. Actes d’un symposium organisé le 11 août 2014 à Taupo (Nouvelle-Zélande). Auckland (Nouvelle</w:t>
        <w:noBreakHyphen/>
        <w:t xml:space="preserve">Zélande), New Zealand Plant Protection Society. 176 pp. </w:t>
      </w:r>
    </w:p>
    <w:p w14:paraId="2CB5F3F1" w14:textId="23CC6AF4">
      <w:pPr>
        <w:pStyle w:val="IPPReferences"/>
      </w:pPr>
      <w:r>
        <w:rPr>
          <w:rStyle w:val="PleaseReviewParagraphId"/>
          <w:b w:val="off"/>
          <w:i w:val="off"/>
        </w:rPr>
        <w:t>[66]</w:t>
      </w:r>
      <w:r>
        <w:rPr>
          <w:b/>
        </w:rPr>
        <w:t>Meats, A., et Edgerton, J. E.</w:t>
      </w:r>
      <w:r>
        <w:t xml:space="preserve"> 2008. Short- and long-range dispersal of the Queensland fruit fly, </w:t>
      </w:r>
      <w:r>
        <w:rPr>
          <w:i/>
        </w:rPr>
        <w:t>Bactrocera tryoni</w:t>
      </w:r>
      <w:r>
        <w:t xml:space="preserve"> and its relevance to invasive potential, sterile insect technique and surveillance trapping. </w:t>
      </w:r>
      <w:r>
        <w:rPr>
          <w:i/>
        </w:rPr>
        <w:t>Australian Journal of Experimental Agriculture</w:t>
      </w:r>
      <w:r>
        <w:t xml:space="preserve">, 48: 1237-1245. </w:t>
      </w:r>
    </w:p>
    <w:p w14:paraId="01A32695" w14:textId="572C8C5F">
      <w:pPr>
        <w:pStyle w:val="IPPReferences"/>
      </w:pPr>
      <w:r>
        <w:rPr>
          <w:rStyle w:val="PleaseReviewParagraphId"/>
          <w:b w:val="off"/>
          <w:i w:val="off"/>
        </w:rPr>
        <w:t>[67]</w:t>
      </w:r>
      <w:r>
        <w:rPr>
          <w:b/>
        </w:rPr>
        <w:t>NAPPO (Organisation nord-américaine pour la protection des plantes)</w:t>
      </w:r>
      <w:r>
        <w:t xml:space="preserve">. 2010. </w:t>
      </w:r>
      <w:r>
        <w:rPr>
          <w:i/>
        </w:rPr>
        <w:t>Guidelines for the establishment, maintenance and verification of fruit fly pest free areas in North America</w:t>
      </w:r>
      <w:r>
        <w:t xml:space="preserve">. Regional Standard for Phytosanitary Measures (RSPM) 17. Ottawa, secrétariat de la NAPPO. 13 pp. </w:t>
      </w:r>
    </w:p>
    <w:p w14:paraId="7C5F592B" w14:textId="06D8EF27">
      <w:pPr>
        <w:pStyle w:val="IPPReferences"/>
      </w:pPr>
      <w:r>
        <w:rPr>
          <w:rStyle w:val="PleaseReviewParagraphId"/>
          <w:b w:val="off"/>
          <w:i w:val="off"/>
        </w:rPr>
        <w:t>[68]</w:t>
      </w:r>
      <w:r>
        <w:rPr>
          <w:b/>
        </w:rPr>
        <w:t>Ormsby, M. D.</w:t>
      </w:r>
      <w:r>
        <w:t xml:space="preserve"> 2021. Establishing criteria for the management of tephritid fruit fly outbreaks. </w:t>
      </w:r>
      <w:r>
        <w:rPr>
          <w:i/>
        </w:rPr>
        <w:t>CABI Agriculture &amp; Bioscience</w:t>
      </w:r>
      <w:r>
        <w:t xml:space="preserve">, 2: 23. </w:t>
      </w:r>
      <w:hyperlink w:history="1" r:id="rId15">
        <w:r>
          <w:rPr>
            <w:rStyle w:val="Hyperlink"/>
          </w:rPr>
          <w:t>https://doi.org/10.1186/s43170-021-00043-w</w:t>
        </w:r>
      </w:hyperlink>
      <w:r>
        <w:t xml:space="preserve"> </w:t>
      </w:r>
    </w:p>
    <w:p w14:paraId="48380B84" w14:textId="0D46B8A2">
      <w:pPr>
        <w:pStyle w:val="IPPReferences"/>
      </w:pPr>
      <w:r>
        <w:rPr>
          <w:rStyle w:val="PleaseReviewParagraphId"/>
          <w:b w:val="off"/>
          <w:i w:val="off"/>
        </w:rPr>
        <w:t>[69]</w:t>
      </w:r>
      <w:r>
        <w:rPr>
          <w:b/>
        </w:rPr>
        <w:t>Qin, Y., Paini, D. R., Wang, C., Fang, Y., et Li, Z.</w:t>
      </w:r>
      <w:r>
        <w:t xml:space="preserve"> 2015. Global establishment risk of economically important fruit fly species (Tephritidae). </w:t>
      </w:r>
      <w:r>
        <w:rPr>
          <w:i/>
        </w:rPr>
        <w:t>PLoS ONE</w:t>
      </w:r>
      <w:r>
        <w:t xml:space="preserve">, 10(1): e0116424. </w:t>
      </w:r>
      <w:hyperlink w:history="1" r:id="rId16">
        <w:r>
          <w:rPr>
            <w:rStyle w:val="Hyperlink"/>
          </w:rPr>
          <w:t>https://doi.org/10.1371/journal.pone.0116424</w:t>
        </w:r>
      </w:hyperlink>
      <w:r>
        <w:t xml:space="preserve"> </w:t>
      </w:r>
    </w:p>
    <w:p w14:paraId="41D12FD5" w14:textId="449F0071">
      <w:pPr>
        <w:pStyle w:val="IPPReferences"/>
      </w:pPr>
      <w:r>
        <w:rPr>
          <w:rStyle w:val="PleaseReviewParagraphId"/>
          <w:b w:val="off"/>
          <w:i w:val="off"/>
        </w:rPr>
        <w:t>[70]</w:t>
      </w:r>
      <w:r>
        <w:rPr>
          <w:b/>
        </w:rPr>
        <w:t>Suckling, D. M., Kean, J. M., Stringer, L. D, Cáceres-Barrios, C., Hendrichs, J., Reyes-Flores, J., et Dominiak, B. C.</w:t>
      </w:r>
      <w:r>
        <w:t xml:space="preserve"> 2016. Eradication of tephritid fruit fly pest populations: outcomes and prospects. </w:t>
      </w:r>
      <w:r>
        <w:rPr>
          <w:i/>
        </w:rPr>
        <w:t>Pest Management Science</w:t>
      </w:r>
      <w:r>
        <w:t>, 72: 456‑465.</w:t>
      </w:r>
    </w:p>
    <w:p w14:paraId="1124CF3B" w14:textId="77777777">
      <w:pPr>
        <w:pStyle w:val="IPPSubheadSpace"/>
      </w:pPr>
      <w:r>
        <w:rPr>
          <w:rStyle w:val="PleaseReviewParagraphId"/>
          <w:b w:val="off"/>
          <w:i w:val="off"/>
        </w:rPr>
        <w:t>[71]</w:t>
      </w:r>
      <w:r>
        <w:t>Documents de travail</w:t>
      </w:r>
    </w:p>
    <w:p w14:paraId="3F339C5D" w14:textId="429BC574">
      <w:pPr>
        <w:pStyle w:val="IPPParagraphnumbering"/>
        <w:numPr>
          <w:ilvl w:val="0"/>
          <w:numId w:val="0"/>
        </w:numPr>
      </w:pPr>
      <w:r>
        <w:rPr>
          <w:rStyle w:val="PleaseReviewParagraphId"/>
          <w:b w:val="off"/>
          <w:i w:val="off"/>
        </w:rPr>
        <w:t>[72]</w:t>
      </w:r>
      <w:r>
        <w:t>Les participants et les parties intéressées sont encouragés à présenter des documents de travail au Secrétariat de la CIPV (</w:t>
      </w:r>
      <w:hyperlink w:history="1" r:id="rId17">
        <w:r>
          <w:rPr>
            <w:rStyle w:val="Hyperlink"/>
          </w:rPr>
          <w:t>ippc@fao.org</w:t>
        </w:r>
      </w:hyperlink>
      <w:r>
        <w:t xml:space="preserve">), en vue de leur examen par le groupe de travail d’experts. </w:t>
      </w:r>
    </w:p>
    <w:sectPr>
      <w:headerReference w:type="even" r:id="rId18"/>
      <w:footerReference w:type="even" r:id="rId19"/>
      <w:headerReference w:type="first" r:id="rId20"/>
      <w:footerReference w:type="first" r:id="rId21"/>
      <w:type w:val="continuous"/>
      <w:pgSz w:w="11906" w:h="16838" w:code="9"/>
      <w:pgMar w:top="1559" w:right="1418" w:bottom="1418" w:left="1418" w:header="851" w:footer="851"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A32A" w14:textId="77777777">
      <w:r>
        <w:rPr>
          <w:rStyle w:val="PleaseReviewParagraphId"/>
          <w:b w:val="off"/>
          <w:i w:val="off"/>
        </w:rPr>
        <w:t>[]</w:t>
      </w:r>
      <w:r>
        <w:separator/>
      </w:r>
    </w:p>
  </w:endnote>
  <w:endnote w:type="continuationSeparator" w:id="0">
    <w:p w14:paraId="42252442"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7ACF" w14:textId="6CF90370">
    <w:pPr>
      <w:pStyle w:val="IPPFooter"/>
    </w:pPr>
    <w:r>
      <w:rPr>
        <w:rStyle w:val="PleaseReviewParagraphId"/>
        <w:b w:val="off"/>
        <w:i w:val="off"/>
      </w:rPr>
      <w:t>[75]</w:t>
    </w:r>
    <w:r>
      <w:rPr>
        <w:rStyle w:val="PageNumber"/>
        <w:b/>
      </w:rPr>
      <w:t>Page 2 / 3</w:t>
      <w:tab/>
    </w:r>
    <w:r>
      <w:t>Convention internationale pour la protection des végétaux</w:t>
    </w:r>
  </w:p>
</w:ftr>
</file>

<file path=word/footer2.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874B" w14:textId="5A483D29">
    <w:pPr>
      <w:pStyle w:val="IPPFooter"/>
    </w:pPr>
    <w:r>
      <w:rPr>
        <w:rStyle w:val="PleaseReviewParagraphId"/>
        <w:b w:val="off"/>
        <w:i w:val="off"/>
      </w:rPr>
      <w:t>[76]</w:t>
    </w:r>
    <w:r>
      <w:t>Convention internationale pour la protection des végétaux</w:t>
      <w:tab/>
    </w:r>
    <w:r>
      <w:rPr>
        <w:rStyle w:val="PageNumber"/>
        <w:b/>
      </w:rPr>
      <w:t>Page 4 / 4</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3E15" w14:textId="77777777">
      <w:r>
        <w:rPr>
          <w:rStyle w:val="PleaseReviewParagraphId"/>
          <w:b w:val="off"/>
          <w:i w:val="off"/>
        </w:rPr>
        <w:t>[]</w:t>
      </w:r>
      <w:r>
        <w:separator/>
      </w:r>
    </w:p>
  </w:footnote>
  <w:footnote w:type="continuationSeparator" w:id="0">
    <w:p w14:paraId="4D05D7DB" w14:textId="77777777">
      <w:r>
        <w:rPr>
          <w:rStyle w:val="PleaseReviewParagraphId"/>
          <w:b w:val="off"/>
          <w:i w:val="off"/>
        </w:rPr>
        <w:t>[]</w:t>
      </w:r>
      <w:r>
        <w:continuationSeparator/>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AFB8" w14:textId="77777777">
    <w:pPr>
      <w:pStyle w:val="IPPHeader"/>
    </w:pPr>
    <w:r>
      <w:rPr>
        <w:rStyle w:val="PleaseReviewParagraphId"/>
        <w:b w:val="off"/>
        <w:i w:val="off"/>
      </w:rPr>
      <w:t>[73]</w:t>
    </w:r>
    <w:r>
      <w:t>[Numéro du thème]</w:t>
      <w:tab/>
      <w:t xml:space="preserve">Projet de spécification: Révision de la NIMP 26 </w:t>
    </w:r>
    <w:r>
      <w:rPr>
        <w:i/>
        <w:iCs/>
      </w:rPr>
      <w:t>Établissement de zones exemptes de mouches des fruits (Tephritidae)</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55E6" w14:textId="11829985">
    <w:pPr>
      <w:pStyle w:val="IPPHeader"/>
    </w:pPr>
    <w:r>
      <w:rPr>
        <w:rStyle w:val="PleaseReviewParagraphId"/>
        <w:b w:val="off"/>
        <w:i w:val="off"/>
      </w:rPr>
      <w:t>[74]</w:t>
    </w:r>
    <w:r>
      <w:t>Projet de spécification: Révision de la NIMP 26 (</w:t>
    </w:r>
    <w:r>
      <w:rPr>
        <w:i/>
      </w:rPr>
      <w:t>Établissement de zones exemptes de mouches des fruits (Tephritidae)</w:t>
    </w:r>
    <w:r>
      <w:t>)</w:t>
      <w:tab/>
      <w:t>2021‑002</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16C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E8F1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F616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C23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F6A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A9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D652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C05B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B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9ED5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51E64198"/>
    <w:lvl w:ilvl="0" w:tplc="4DD0BAB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C3B822DA"/>
    <w:lvl w:ilvl="0" w:tplc="77AEE26E">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7196877">
    <w:abstractNumId w:val="17"/>
  </w:num>
  <w:num w:numId="2" w16cid:durableId="305553963">
    <w:abstractNumId w:val="16"/>
  </w:num>
  <w:num w:numId="3" w16cid:durableId="1047605984">
    <w:abstractNumId w:val="31"/>
  </w:num>
  <w:num w:numId="4" w16cid:durableId="1445424095">
    <w:abstractNumId w:val="26"/>
  </w:num>
  <w:num w:numId="5" w16cid:durableId="1047223396">
    <w:abstractNumId w:val="30"/>
  </w:num>
  <w:num w:numId="6" w16cid:durableId="465859209">
    <w:abstractNumId w:val="12"/>
  </w:num>
  <w:num w:numId="7" w16cid:durableId="815803009">
    <w:abstractNumId w:val="18"/>
  </w:num>
  <w:num w:numId="8" w16cid:durableId="1505393633">
    <w:abstractNumId w:val="10"/>
  </w:num>
  <w:num w:numId="9" w16cid:durableId="1632443268">
    <w:abstractNumId w:val="28"/>
  </w:num>
  <w:num w:numId="10" w16cid:durableId="636690252">
    <w:abstractNumId w:val="13"/>
  </w:num>
  <w:num w:numId="11" w16cid:durableId="1078284154">
    <w:abstractNumId w:val="15"/>
  </w:num>
  <w:num w:numId="12" w16cid:durableId="1303149785">
    <w:abstractNumId w:val="32"/>
  </w:num>
  <w:num w:numId="13" w16cid:durableId="1598249030">
    <w:abstractNumId w:val="25"/>
  </w:num>
  <w:num w:numId="14" w16cid:durableId="230505186">
    <w:abstractNumId w:val="20"/>
  </w:num>
  <w:num w:numId="15" w16cid:durableId="1244798947">
    <w:abstractNumId w:val="19"/>
  </w:num>
  <w:num w:numId="16" w16cid:durableId="779760659">
    <w:abstractNumId w:val="10"/>
  </w:num>
  <w:num w:numId="17" w16cid:durableId="1775251727">
    <w:abstractNumId w:val="21"/>
  </w:num>
  <w:num w:numId="18" w16cid:durableId="638805641">
    <w:abstractNumId w:val="27"/>
  </w:num>
  <w:num w:numId="19" w16cid:durableId="137920105">
    <w:abstractNumId w:val="10"/>
  </w:num>
  <w:num w:numId="20" w16cid:durableId="1150054116">
    <w:abstractNumId w:val="11"/>
  </w:num>
  <w:num w:numId="21" w16cid:durableId="1546215550">
    <w:abstractNumId w:val="22"/>
  </w:num>
  <w:num w:numId="22" w16cid:durableId="1981112766">
    <w:abstractNumId w:val="33"/>
  </w:num>
  <w:num w:numId="23" w16cid:durableId="498083283">
    <w:abstractNumId w:val="14"/>
  </w:num>
  <w:num w:numId="24" w16cid:durableId="18938090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1830589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4653777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69476786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30836272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74679853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775200725">
    <w:abstractNumId w:val="23"/>
  </w:num>
  <w:num w:numId="31" w16cid:durableId="1144547247">
    <w:abstractNumId w:val="29"/>
  </w:num>
  <w:num w:numId="32" w16cid:durableId="2146198088">
    <w:abstractNumId w:val="24"/>
  </w:num>
  <w:num w:numId="33" w16cid:durableId="496924394">
    <w:abstractNumId w:val="10"/>
  </w:num>
  <w:num w:numId="34" w16cid:durableId="1167986930">
    <w:abstractNumId w:val="10"/>
  </w:num>
  <w:num w:numId="35" w16cid:durableId="1373535974">
    <w:abstractNumId w:val="9"/>
  </w:num>
  <w:num w:numId="36" w16cid:durableId="555118870">
    <w:abstractNumId w:val="7"/>
  </w:num>
  <w:num w:numId="37" w16cid:durableId="688794808">
    <w:abstractNumId w:val="6"/>
  </w:num>
  <w:num w:numId="38" w16cid:durableId="1045369370">
    <w:abstractNumId w:val="5"/>
  </w:num>
  <w:num w:numId="39" w16cid:durableId="121390050">
    <w:abstractNumId w:val="4"/>
  </w:num>
  <w:num w:numId="40" w16cid:durableId="137234429">
    <w:abstractNumId w:val="8"/>
  </w:num>
  <w:num w:numId="41" w16cid:durableId="1320308441">
    <w:abstractNumId w:val="3"/>
  </w:num>
  <w:num w:numId="42" w16cid:durableId="568081255">
    <w:abstractNumId w:val="2"/>
  </w:num>
  <w:num w:numId="43" w16cid:durableId="1882397786">
    <w:abstractNumId w:val="1"/>
  </w:num>
  <w:num w:numId="44" w16cid:durableId="795561697">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activeWritingStyle w:appName="MSWord" w:lang="fr-FR" w:vendorID="64" w:dllVersion="6" w:nlCheck="1" w:checkStyle="0"/>
  <w:activeWritingStyle w:appName="MSWord" w:lang="en-US" w:vendorID="64" w:dllVersion="6" w:nlCheck="1" w:checkStyle="1"/>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mwqAUAmtlEDiwAAAA="/>
  </w:docVars>
  <w:rsids>
    <w:rsidRoot w:val="00CD6E70"/>
    <w:rsid w:val="00004E8A"/>
    <w:rsid w:val="00012842"/>
    <w:rsid w:val="00013203"/>
    <w:rsid w:val="000238A4"/>
    <w:rsid w:val="0003363F"/>
    <w:rsid w:val="000413C4"/>
    <w:rsid w:val="00041CEC"/>
    <w:rsid w:val="00041DE4"/>
    <w:rsid w:val="00042041"/>
    <w:rsid w:val="0004626B"/>
    <w:rsid w:val="00055FF9"/>
    <w:rsid w:val="0006125F"/>
    <w:rsid w:val="00062EDF"/>
    <w:rsid w:val="00065CE8"/>
    <w:rsid w:val="00087736"/>
    <w:rsid w:val="00087C0D"/>
    <w:rsid w:val="0009240F"/>
    <w:rsid w:val="000A3E02"/>
    <w:rsid w:val="000B2B99"/>
    <w:rsid w:val="000E0C8E"/>
    <w:rsid w:val="000E4AC0"/>
    <w:rsid w:val="00102233"/>
    <w:rsid w:val="00112E1D"/>
    <w:rsid w:val="00114299"/>
    <w:rsid w:val="001161D1"/>
    <w:rsid w:val="00116207"/>
    <w:rsid w:val="001240F5"/>
    <w:rsid w:val="00130198"/>
    <w:rsid w:val="001306DE"/>
    <w:rsid w:val="00142E0E"/>
    <w:rsid w:val="0014335A"/>
    <w:rsid w:val="001501CF"/>
    <w:rsid w:val="00161500"/>
    <w:rsid w:val="00162C2C"/>
    <w:rsid w:val="00170CEE"/>
    <w:rsid w:val="00172B35"/>
    <w:rsid w:val="001803E3"/>
    <w:rsid w:val="00185365"/>
    <w:rsid w:val="00186DFB"/>
    <w:rsid w:val="00187F16"/>
    <w:rsid w:val="00190582"/>
    <w:rsid w:val="001968F6"/>
    <w:rsid w:val="001A291E"/>
    <w:rsid w:val="001D26D1"/>
    <w:rsid w:val="001D2F8A"/>
    <w:rsid w:val="001D4FF0"/>
    <w:rsid w:val="001F6E51"/>
    <w:rsid w:val="001F7454"/>
    <w:rsid w:val="00210BCF"/>
    <w:rsid w:val="002226CF"/>
    <w:rsid w:val="00225BBB"/>
    <w:rsid w:val="00233CC8"/>
    <w:rsid w:val="00237B6E"/>
    <w:rsid w:val="00237DE4"/>
    <w:rsid w:val="00242BCF"/>
    <w:rsid w:val="002431F5"/>
    <w:rsid w:val="00243F17"/>
    <w:rsid w:val="00243F65"/>
    <w:rsid w:val="00252BBC"/>
    <w:rsid w:val="00253E72"/>
    <w:rsid w:val="0026405D"/>
    <w:rsid w:val="0026435B"/>
    <w:rsid w:val="0027686B"/>
    <w:rsid w:val="00277DD6"/>
    <w:rsid w:val="00283A0A"/>
    <w:rsid w:val="0029569B"/>
    <w:rsid w:val="002A42C9"/>
    <w:rsid w:val="002B4298"/>
    <w:rsid w:val="002B777A"/>
    <w:rsid w:val="002D1111"/>
    <w:rsid w:val="002D61BB"/>
    <w:rsid w:val="002E0E1D"/>
    <w:rsid w:val="002E130C"/>
    <w:rsid w:val="002E76E4"/>
    <w:rsid w:val="002F652C"/>
    <w:rsid w:val="00305F69"/>
    <w:rsid w:val="00314DE2"/>
    <w:rsid w:val="00326163"/>
    <w:rsid w:val="00326C5E"/>
    <w:rsid w:val="00330579"/>
    <w:rsid w:val="00330E59"/>
    <w:rsid w:val="00340680"/>
    <w:rsid w:val="0034273F"/>
    <w:rsid w:val="0034410C"/>
    <w:rsid w:val="003478FB"/>
    <w:rsid w:val="00350927"/>
    <w:rsid w:val="00353458"/>
    <w:rsid w:val="00366921"/>
    <w:rsid w:val="00372312"/>
    <w:rsid w:val="00373FB5"/>
    <w:rsid w:val="00394494"/>
    <w:rsid w:val="003C1891"/>
    <w:rsid w:val="003D2B6D"/>
    <w:rsid w:val="003D52A0"/>
    <w:rsid w:val="003D54BE"/>
    <w:rsid w:val="003E7DD1"/>
    <w:rsid w:val="003F429D"/>
    <w:rsid w:val="00407076"/>
    <w:rsid w:val="004200E4"/>
    <w:rsid w:val="00420C14"/>
    <w:rsid w:val="00426E2C"/>
    <w:rsid w:val="0043282B"/>
    <w:rsid w:val="004337CD"/>
    <w:rsid w:val="004627E0"/>
    <w:rsid w:val="00464492"/>
    <w:rsid w:val="00482D49"/>
    <w:rsid w:val="00491C2B"/>
    <w:rsid w:val="00492913"/>
    <w:rsid w:val="00495BBC"/>
    <w:rsid w:val="004A37E4"/>
    <w:rsid w:val="004A578A"/>
    <w:rsid w:val="004A778B"/>
    <w:rsid w:val="004B081F"/>
    <w:rsid w:val="004B1AC8"/>
    <w:rsid w:val="004B4CCB"/>
    <w:rsid w:val="004C2D77"/>
    <w:rsid w:val="004D7E1C"/>
    <w:rsid w:val="004E1849"/>
    <w:rsid w:val="00502985"/>
    <w:rsid w:val="00510D5B"/>
    <w:rsid w:val="005125C2"/>
    <w:rsid w:val="00514B9F"/>
    <w:rsid w:val="00517C5F"/>
    <w:rsid w:val="0053224B"/>
    <w:rsid w:val="00564682"/>
    <w:rsid w:val="0057013D"/>
    <w:rsid w:val="005738E1"/>
    <w:rsid w:val="00584113"/>
    <w:rsid w:val="005850AB"/>
    <w:rsid w:val="005A05B8"/>
    <w:rsid w:val="005B1471"/>
    <w:rsid w:val="005C3E81"/>
    <w:rsid w:val="005C4395"/>
    <w:rsid w:val="005C6023"/>
    <w:rsid w:val="005D07DC"/>
    <w:rsid w:val="005E4E14"/>
    <w:rsid w:val="005F14D6"/>
    <w:rsid w:val="0062501B"/>
    <w:rsid w:val="006318EF"/>
    <w:rsid w:val="006327BA"/>
    <w:rsid w:val="00633952"/>
    <w:rsid w:val="0064160C"/>
    <w:rsid w:val="00647079"/>
    <w:rsid w:val="00660AA6"/>
    <w:rsid w:val="0066567F"/>
    <w:rsid w:val="00666EF2"/>
    <w:rsid w:val="00672A0F"/>
    <w:rsid w:val="0068334A"/>
    <w:rsid w:val="00686C1C"/>
    <w:rsid w:val="00691A8A"/>
    <w:rsid w:val="006A197C"/>
    <w:rsid w:val="006B03CC"/>
    <w:rsid w:val="006B12F5"/>
    <w:rsid w:val="006B7CAD"/>
    <w:rsid w:val="006C14F4"/>
    <w:rsid w:val="006C1DD9"/>
    <w:rsid w:val="006C6BA2"/>
    <w:rsid w:val="006C7154"/>
    <w:rsid w:val="006D0672"/>
    <w:rsid w:val="006D51A6"/>
    <w:rsid w:val="006E0EA9"/>
    <w:rsid w:val="006E5259"/>
    <w:rsid w:val="006F41B7"/>
    <w:rsid w:val="007009D0"/>
    <w:rsid w:val="0070455B"/>
    <w:rsid w:val="007206B5"/>
    <w:rsid w:val="007277FA"/>
    <w:rsid w:val="007364D3"/>
    <w:rsid w:val="00763F7F"/>
    <w:rsid w:val="00771695"/>
    <w:rsid w:val="00772F2B"/>
    <w:rsid w:val="0077543C"/>
    <w:rsid w:val="00782DF2"/>
    <w:rsid w:val="00787269"/>
    <w:rsid w:val="00791A19"/>
    <w:rsid w:val="0079787B"/>
    <w:rsid w:val="007A0681"/>
    <w:rsid w:val="007A5505"/>
    <w:rsid w:val="007B2B36"/>
    <w:rsid w:val="007B38E9"/>
    <w:rsid w:val="007B3D1D"/>
    <w:rsid w:val="007C7BFA"/>
    <w:rsid w:val="007E2C1F"/>
    <w:rsid w:val="007E7872"/>
    <w:rsid w:val="007F521D"/>
    <w:rsid w:val="0080196C"/>
    <w:rsid w:val="00802481"/>
    <w:rsid w:val="00807E9A"/>
    <w:rsid w:val="00814A03"/>
    <w:rsid w:val="0081699F"/>
    <w:rsid w:val="0082266B"/>
    <w:rsid w:val="008436DD"/>
    <w:rsid w:val="00851D2D"/>
    <w:rsid w:val="00867441"/>
    <w:rsid w:val="00871D7A"/>
    <w:rsid w:val="0087329D"/>
    <w:rsid w:val="0087427C"/>
    <w:rsid w:val="00876210"/>
    <w:rsid w:val="00877165"/>
    <w:rsid w:val="008A78A8"/>
    <w:rsid w:val="008B04D8"/>
    <w:rsid w:val="008B2DEA"/>
    <w:rsid w:val="008C0091"/>
    <w:rsid w:val="008C2797"/>
    <w:rsid w:val="008D7DF2"/>
    <w:rsid w:val="008E5CEB"/>
    <w:rsid w:val="008F2643"/>
    <w:rsid w:val="008F7C29"/>
    <w:rsid w:val="00903AC4"/>
    <w:rsid w:val="00915F6D"/>
    <w:rsid w:val="00920B33"/>
    <w:rsid w:val="00923BC2"/>
    <w:rsid w:val="00933B2E"/>
    <w:rsid w:val="00943DD6"/>
    <w:rsid w:val="00951190"/>
    <w:rsid w:val="009563FA"/>
    <w:rsid w:val="009613ED"/>
    <w:rsid w:val="009647D0"/>
    <w:rsid w:val="009849D1"/>
    <w:rsid w:val="009B59A8"/>
    <w:rsid w:val="009C3419"/>
    <w:rsid w:val="009C34F5"/>
    <w:rsid w:val="009F5BB6"/>
    <w:rsid w:val="009F7F6D"/>
    <w:rsid w:val="00A04855"/>
    <w:rsid w:val="00A102AE"/>
    <w:rsid w:val="00A23C3F"/>
    <w:rsid w:val="00A24065"/>
    <w:rsid w:val="00A378DF"/>
    <w:rsid w:val="00A57C1A"/>
    <w:rsid w:val="00A6108C"/>
    <w:rsid w:val="00A6245B"/>
    <w:rsid w:val="00A72791"/>
    <w:rsid w:val="00A7578F"/>
    <w:rsid w:val="00A76758"/>
    <w:rsid w:val="00A849D1"/>
    <w:rsid w:val="00A8699A"/>
    <w:rsid w:val="00A94B98"/>
    <w:rsid w:val="00AA18F5"/>
    <w:rsid w:val="00AA39EC"/>
    <w:rsid w:val="00AA5F46"/>
    <w:rsid w:val="00AB21CA"/>
    <w:rsid w:val="00AD20CA"/>
    <w:rsid w:val="00AD7C74"/>
    <w:rsid w:val="00AE0252"/>
    <w:rsid w:val="00AE19B1"/>
    <w:rsid w:val="00AE40E1"/>
    <w:rsid w:val="00AF3908"/>
    <w:rsid w:val="00AF4260"/>
    <w:rsid w:val="00B037A2"/>
    <w:rsid w:val="00B23EDC"/>
    <w:rsid w:val="00B33D35"/>
    <w:rsid w:val="00B34207"/>
    <w:rsid w:val="00B3707E"/>
    <w:rsid w:val="00B4025C"/>
    <w:rsid w:val="00B508A1"/>
    <w:rsid w:val="00B508AC"/>
    <w:rsid w:val="00B55B60"/>
    <w:rsid w:val="00B575AA"/>
    <w:rsid w:val="00B60DDB"/>
    <w:rsid w:val="00B62328"/>
    <w:rsid w:val="00B7580C"/>
    <w:rsid w:val="00B9232A"/>
    <w:rsid w:val="00B959AA"/>
    <w:rsid w:val="00BA081F"/>
    <w:rsid w:val="00BA732A"/>
    <w:rsid w:val="00BC3F60"/>
    <w:rsid w:val="00BC5888"/>
    <w:rsid w:val="00BC6796"/>
    <w:rsid w:val="00BE0550"/>
    <w:rsid w:val="00BF792D"/>
    <w:rsid w:val="00C10D00"/>
    <w:rsid w:val="00C17EF1"/>
    <w:rsid w:val="00C332F9"/>
    <w:rsid w:val="00C36B0E"/>
    <w:rsid w:val="00C42705"/>
    <w:rsid w:val="00C53B12"/>
    <w:rsid w:val="00C6377D"/>
    <w:rsid w:val="00C8283E"/>
    <w:rsid w:val="00C92A7A"/>
    <w:rsid w:val="00C97056"/>
    <w:rsid w:val="00CA0628"/>
    <w:rsid w:val="00CA5AD6"/>
    <w:rsid w:val="00CB1EA9"/>
    <w:rsid w:val="00CB309D"/>
    <w:rsid w:val="00CD6E70"/>
    <w:rsid w:val="00CE02A3"/>
    <w:rsid w:val="00CE2174"/>
    <w:rsid w:val="00CF47FE"/>
    <w:rsid w:val="00D20EA7"/>
    <w:rsid w:val="00D23383"/>
    <w:rsid w:val="00D25D33"/>
    <w:rsid w:val="00D275BD"/>
    <w:rsid w:val="00D27FA1"/>
    <w:rsid w:val="00D30380"/>
    <w:rsid w:val="00D309C1"/>
    <w:rsid w:val="00D3564B"/>
    <w:rsid w:val="00D368F3"/>
    <w:rsid w:val="00D574CC"/>
    <w:rsid w:val="00D80DA4"/>
    <w:rsid w:val="00D83E94"/>
    <w:rsid w:val="00D85DC2"/>
    <w:rsid w:val="00D86891"/>
    <w:rsid w:val="00D9185C"/>
    <w:rsid w:val="00DA0F57"/>
    <w:rsid w:val="00DB30BD"/>
    <w:rsid w:val="00DB457C"/>
    <w:rsid w:val="00DC7A89"/>
    <w:rsid w:val="00DD07E6"/>
    <w:rsid w:val="00DE2294"/>
    <w:rsid w:val="00DE2853"/>
    <w:rsid w:val="00DE4B4D"/>
    <w:rsid w:val="00DE65F8"/>
    <w:rsid w:val="00DF4459"/>
    <w:rsid w:val="00E02206"/>
    <w:rsid w:val="00E20E1D"/>
    <w:rsid w:val="00E37F3C"/>
    <w:rsid w:val="00E64FF8"/>
    <w:rsid w:val="00E6789B"/>
    <w:rsid w:val="00E87819"/>
    <w:rsid w:val="00EA307B"/>
    <w:rsid w:val="00EA793C"/>
    <w:rsid w:val="00EB2717"/>
    <w:rsid w:val="00EB55B7"/>
    <w:rsid w:val="00EC467C"/>
    <w:rsid w:val="00EC5FC3"/>
    <w:rsid w:val="00EC618F"/>
    <w:rsid w:val="00EE7BC9"/>
    <w:rsid w:val="00EF203A"/>
    <w:rsid w:val="00EF2127"/>
    <w:rsid w:val="00F0232E"/>
    <w:rsid w:val="00F031E3"/>
    <w:rsid w:val="00F037FD"/>
    <w:rsid w:val="00F03983"/>
    <w:rsid w:val="00F04D6A"/>
    <w:rsid w:val="00F05223"/>
    <w:rsid w:val="00F06191"/>
    <w:rsid w:val="00F07CC1"/>
    <w:rsid w:val="00F11888"/>
    <w:rsid w:val="00F1721C"/>
    <w:rsid w:val="00F245FB"/>
    <w:rsid w:val="00F26B00"/>
    <w:rsid w:val="00F3117C"/>
    <w:rsid w:val="00F32D2A"/>
    <w:rsid w:val="00F44C5F"/>
    <w:rsid w:val="00F455BF"/>
    <w:rsid w:val="00F471A2"/>
    <w:rsid w:val="00F50B12"/>
    <w:rsid w:val="00F550A7"/>
    <w:rsid w:val="00F74F8B"/>
    <w:rsid w:val="00F7717B"/>
    <w:rsid w:val="00F85FD0"/>
    <w:rsid w:val="00FA029C"/>
    <w:rsid w:val="00FA5393"/>
    <w:rsid w:val="00FA589A"/>
    <w:rsid w:val="00FB5137"/>
    <w:rsid w:val="00FB5A47"/>
    <w:rsid w:val="00FB63BC"/>
    <w:rsid w:val="00FC6847"/>
    <w:rsid w:val="00FD096B"/>
    <w:rsid w:val="00FD1B8D"/>
    <w:rsid w:val="00FE1C24"/>
    <w:rsid w:val="00FE2EB7"/>
    <w:rsid w:val="00FF1BC7"/>
    <w:rsid w:val="00FF1DD1"/>
    <w:rsid w:val="00FF7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86104C"/>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1">
    <w:name w:val="Заголовок 1 Знак"/>
    <w:basedOn w:val="DefaultParagraphFont"/>
    <w:rPr>
      <w:rFonts w:eastAsia="MS Mincho"/>
      <w:b/>
      <w:bCs/>
      <w:sz w:val="22"/>
      <w:szCs w:val="24"/>
      <w:lang w:val="fr-FR" w:eastAsia="en-US"/>
    </w:rPr>
  </w:style>
  <w:style w:type="character" w:styleId="CommentReference">
    <w:name w:val="annotation reference"/>
    <w:rPr>
      <w:sz w:val="16"/>
      <w:szCs w:val="16"/>
    </w:rPr>
  </w:style>
  <w:style w:type="paragraph" w:styleId="CommentText">
    <w:name w:val="annotation text"/>
    <w:basedOn w:val="Normal"/>
    <w:link w:val="CommentTextChar"/>
    <w:rPr>
      <w:rFonts w:eastAsia="Times New Roman"/>
      <w:sz w:val="20"/>
      <w:szCs w:val="20"/>
      <w:lang w:eastAsia="x-none"/>
    </w:rPr>
  </w:style>
  <w:style w:type="character" w:customStyle="1" w:styleId="CommentTextChar">
    <w:name w:val="Comment Text Char"/>
    <w:link w:val="CommentText"/>
    <w:rPr>
      <w:lang w:val="fr-FR"/>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fr-FR"/>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2">
    <w:name w:val="Заголовок 2 Знак"/>
    <w:basedOn w:val="DefaultParagraphFont"/>
    <w:rPr>
      <w:rFonts w:ascii="Calibri" w:eastAsia="MS Mincho" w:hAnsi="Calibri"/>
      <w:b/>
      <w:bCs/>
      <w:i/>
      <w:iCs/>
      <w:sz w:val="28"/>
      <w:szCs w:val="28"/>
      <w:lang w:val="fr-FR" w:eastAsia="en-US"/>
    </w:rPr>
  </w:style>
  <w:style w:type="character" w:customStyle="1" w:styleId="3">
    <w:name w:val="Заголовок 3 Знак"/>
    <w:basedOn w:val="DefaultParagraphFont"/>
    <w:rPr>
      <w:rFonts w:ascii="Calibri" w:eastAsia="MS Mincho" w:hAnsi="Calibri"/>
      <w:b/>
      <w:bCs/>
      <w:sz w:val="26"/>
      <w:szCs w:val="26"/>
      <w:lang w:val="fr-FR"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a">
    <w:name w:val="Текст сноски Знак"/>
    <w:basedOn w:val="DefaultParagraphFont"/>
    <w:semiHidden/>
    <w:rPr>
      <w:rFonts w:eastAsia="MS Mincho"/>
      <w:szCs w:val="24"/>
      <w:lang w:val="fr-FR" w:eastAsia="en-US"/>
    </w:rPr>
  </w:style>
  <w:style w:type="paragraph" w:customStyle="1" w:styleId="Indent1">
    <w:name w:val="Indent 1"/>
    <w:basedOn w:val="Normal"/>
    <w:qFormat/>
    <w:pPr>
      <w:spacing w:after="60"/>
      <w:ind w:left="567"/>
      <w:jc w:val="left"/>
    </w:pPr>
    <w:rPr>
      <w:rFonts w:ascii="Georgia" w:eastAsia="Times" w:hAnsi="Georgia"/>
      <w:sz w:val="18"/>
    </w:rPr>
  </w:style>
  <w:style w:type="paragraph" w:customStyle="1" w:styleId="Subhead">
    <w:name w:val="Subhead"/>
    <w:basedOn w:val="Normal"/>
    <w:qFormat/>
    <w:pPr>
      <w:keepNext/>
      <w:spacing w:before="120" w:after="60"/>
      <w:jc w:val="left"/>
    </w:pPr>
    <w:rPr>
      <w:rFonts w:ascii="Georgia" w:eastAsia="Times" w:hAnsi="Georgia"/>
      <w:b/>
      <w:sz w:val="19"/>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a0">
    <w:name w:val="Текст Знак"/>
    <w:basedOn w:val="DefaultParagraphFont"/>
    <w:uiPriority w:val="99"/>
    <w:rPr>
      <w:rFonts w:ascii="Courier" w:eastAsia="Times" w:hAnsi="Courier"/>
      <w:sz w:val="21"/>
      <w:szCs w:val="21"/>
      <w:lang w:val="fr-FR"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a1">
    <w:name w:val="Верхний колонтитул Знак"/>
    <w:basedOn w:val="DefaultParagraphFont"/>
    <w:rPr>
      <w:rFonts w:eastAsia="MS Mincho"/>
      <w:sz w:val="22"/>
      <w:szCs w:val="24"/>
      <w:lang w:val="fr-FR" w:eastAsia="en-US"/>
    </w:rPr>
  </w:style>
  <w:style w:type="character" w:customStyle="1" w:styleId="a2">
    <w:name w:val="Нижний колонтитул Знак"/>
    <w:basedOn w:val="DefaultParagraphFont"/>
    <w:rPr>
      <w:rFonts w:eastAsia="MS Mincho"/>
      <w:sz w:val="22"/>
      <w:szCs w:val="24"/>
      <w:lang w:val="fr-FR" w:eastAsia="en-US"/>
    </w:rPr>
  </w:style>
  <w:style w:type="character" w:customStyle="1" w:styleId="IPPNormalChar">
    <w:name w:val="IPP Normal Char"/>
    <w:link w:val="IPPNormal"/>
    <w:rPr>
      <w:rFonts w:eastAsia="Times"/>
      <w:sz w:val="22"/>
      <w:szCs w:val="24"/>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customStyle="1" w:styleId="a3">
    <w:name w:val="Текст выноски Знак"/>
    <w:basedOn w:val="DefaultParagraphFont"/>
    <w:rPr>
      <w:rFonts w:ascii="Tahoma" w:eastAsia="MS Mincho" w:hAnsi="Tahoma" w:cs="Tahoma"/>
      <w:sz w:val="16"/>
      <w:szCs w:val="16"/>
      <w:lang w:val="fr-FR"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character" w:customStyle="1" w:styleId="IPPNormalunderlined">
    <w:name w:val="IPP Normal underlined"/>
    <w:basedOn w:val="DefaultParagraphFont"/>
    <w:rPr>
      <w:rFonts w:ascii="Times New Roman" w:hAnsi="Times New Roman"/>
      <w:sz w:val="22"/>
      <w:u w:val="single"/>
      <w:lang w:val="fr-FR"/>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24"/>
      </w:numPr>
    </w:p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FooterChar">
    <w:name w:val="Footer Char"/>
    <w:basedOn w:val="DefaultParagraphFont"/>
    <w:link w:val="Footer"/>
    <w:rPr>
      <w:rFonts w:eastAsia="MS Mincho"/>
      <w:sz w:val="22"/>
      <w:szCs w:val="24"/>
      <w:lang w:val="fr-FR" w:eastAsia="en-US"/>
    </w:rPr>
  </w:style>
  <w:style w:type="character" w:customStyle="1" w:styleId="BalloonTextChar">
    <w:name w:val="Balloon Text Char"/>
    <w:basedOn w:val="DefaultParagraphFont"/>
    <w:link w:val="BalloonText"/>
    <w:rPr>
      <w:rFonts w:ascii="Tahoma" w:eastAsia="MS Mincho" w:hAnsi="Tahoma" w:cs="Tahoma"/>
      <w:sz w:val="16"/>
      <w:szCs w:val="16"/>
      <w:lang w:val="fr-FR" w:eastAsia="en-US"/>
    </w:rPr>
  </w:style>
  <w:style w:type="character" w:customStyle="1" w:styleId="Heading1Char">
    <w:name w:val="Heading 1 Char"/>
    <w:basedOn w:val="DefaultParagraphFont"/>
    <w:link w:val="Heading1"/>
    <w:rPr>
      <w:rFonts w:eastAsia="MS Mincho"/>
      <w:b/>
      <w:bCs/>
      <w:sz w:val="22"/>
      <w:szCs w:val="24"/>
      <w:lang w:val="fr-FR" w:eastAsia="en-US"/>
    </w:rPr>
  </w:style>
  <w:style w:type="character" w:customStyle="1" w:styleId="Heading2Char">
    <w:name w:val="Heading 2 Char"/>
    <w:basedOn w:val="DefaultParagraphFont"/>
    <w:link w:val="Heading2"/>
    <w:rPr>
      <w:rFonts w:ascii="Calibri" w:eastAsia="MS Mincho" w:hAnsi="Calibri"/>
      <w:b/>
      <w:bCs/>
      <w:i/>
      <w:iCs/>
      <w:sz w:val="28"/>
      <w:szCs w:val="28"/>
      <w:lang w:val="fr-FR" w:eastAsia="en-US"/>
    </w:rPr>
  </w:style>
  <w:style w:type="character" w:customStyle="1" w:styleId="Heading3Char">
    <w:name w:val="Heading 3 Char"/>
    <w:basedOn w:val="DefaultParagraphFont"/>
    <w:link w:val="Heading3"/>
    <w:rPr>
      <w:rFonts w:ascii="Calibri" w:eastAsia="MS Mincho" w:hAnsi="Calibri"/>
      <w:b/>
      <w:bCs/>
      <w:sz w:val="26"/>
      <w:szCs w:val="26"/>
      <w:lang w:val="fr-FR" w:eastAsia="en-US"/>
    </w:rPr>
  </w:style>
  <w:style w:type="character" w:customStyle="1" w:styleId="FootnoteTextChar">
    <w:name w:val="Footnote Text Char"/>
    <w:basedOn w:val="DefaultParagraphFont"/>
    <w:link w:val="FootnoteText"/>
    <w:semiHidden/>
    <w:rPr>
      <w:rFonts w:eastAsia="MS Mincho"/>
      <w:szCs w:val="24"/>
      <w:lang w:val="fr-FR" w:eastAsia="en-US"/>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character" w:customStyle="1" w:styleId="HeaderChar">
    <w:name w:val="Header Char"/>
    <w:basedOn w:val="DefaultParagraphFont"/>
    <w:link w:val="Header"/>
    <w:rPr>
      <w:rFonts w:eastAsia="MS Mincho"/>
      <w:sz w:val="22"/>
      <w:szCs w:val="24"/>
      <w:lang w:val="fr-FR" w:eastAsia="en-US"/>
    </w:rPr>
  </w:style>
  <w:style w:type="paragraph" w:styleId="Revision">
    <w:name w:val="Revision"/>
    <w:hidden/>
    <w:semiHidden/>
    <w:rPr>
      <w:rFonts w:eastAsia="MS Mincho"/>
      <w:sz w:val="22"/>
      <w:szCs w:val="24"/>
      <w:lang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about:blank"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about:blank" TargetMode="External" Id="rId12" /><Relationship Type="http://schemas.openxmlformats.org/officeDocument/2006/relationships/hyperlink" Target="about:blank" TargetMode="External" Id="rId17" /><Relationship Type="http://schemas.openxmlformats.org/officeDocument/2006/relationships/customXml" Target="../customXml/item2.xml" Id="rId2" /><Relationship Type="http://schemas.openxmlformats.org/officeDocument/2006/relationships/hyperlink" Target="about:blank"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about:blank" TargetMode="External" Id="rId11" /><Relationship Type="http://schemas.openxmlformats.org/officeDocument/2006/relationships/numbering" Target="numbering.xml" Id="rId5" /><Relationship Type="http://schemas.openxmlformats.org/officeDocument/2006/relationships/hyperlink" Target="about:blank"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about:blank" TargetMode="Externa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D93298-3E1E-42AF-A837-2F54E87B0ECB}">
  <ds:schemaRefs>
    <ds:schemaRef ds:uri="http://schemas.openxmlformats.org/officeDocument/2006/bibliography"/>
  </ds:schemaRefs>
</ds:datastoreItem>
</file>

<file path=customXml/itemProps2.xml><?xml version="1.0" encoding="utf-8"?>
<ds:datastoreItem xmlns:ds="http://schemas.openxmlformats.org/officeDocument/2006/customXml" ds:itemID="{EC367181-0927-4743-B840-1195BC782375}">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3.xml><?xml version="1.0" encoding="utf-8"?>
<ds:datastoreItem xmlns:ds="http://schemas.openxmlformats.org/officeDocument/2006/customXml" ds:itemID="{C81AB28B-6675-45FD-B61B-E1F5A3B228ED}">
  <ds:schemaRefs>
    <ds:schemaRef ds:uri="http://schemas.microsoft.com/sharepoint/v3/contenttype/forms"/>
  </ds:schemaRefs>
</ds:datastoreItem>
</file>

<file path=customXml/itemProps4.xml><?xml version="1.0" encoding="utf-8"?>
<ds:datastoreItem xmlns:ds="http://schemas.openxmlformats.org/officeDocument/2006/customXml" ds:itemID="{3B783B0A-E9F3-4526-BA23-46191BD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1668</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IPPC-Styles</vt:lpstr>
      <vt:lpstr>IPPC-Styles</vt:lpstr>
    </vt:vector>
  </TitlesOfParts>
  <Company>FAO of the UN</Company>
  <LinksUpToDate>false</LinksUpToDate>
  <CharactersWithSpaces>11245</CharactersWithSpaces>
  <SharedDoc>false</SharedDoc>
  <HyperlinkBase/>
  <HLinks>
    <vt:vector size="12" baseType="variant">
      <vt:variant>
        <vt:i4>393279</vt:i4>
      </vt:variant>
      <vt:variant>
        <vt:i4>29</vt:i4>
      </vt:variant>
      <vt:variant>
        <vt:i4>0</vt:i4>
      </vt:variant>
      <vt:variant>
        <vt:i4>5</vt:i4>
      </vt:variant>
      <vt:variant>
        <vt:lpwstr>mailto:ippc@fao.org</vt:lpwstr>
      </vt:variant>
      <vt:variant>
        <vt:lpwstr/>
      </vt:variant>
      <vt:variant>
        <vt:i4>5963805</vt:i4>
      </vt:variant>
      <vt:variant>
        <vt:i4>21</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4</cp:revision>
  <cp:lastPrinted>2022-06-10T12:56:00Z</cp:lastPrinted>
  <dcterms:created xsi:type="dcterms:W3CDTF">2022-06-10T12:56:00Z</dcterms:created>
  <dcterms:modified xsi:type="dcterms:W3CDTF">2022-06-30T16:31:00Z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