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pPr>
      <w:r>
        <w:rPr>
          <w:sz w:val="20"/>
          <w:rStyle w:val="PleaseReviewParagraphId"/>
          <w:noProof/>
        </w:rPr>
        <w:t>[PleaseReview document review. Review title: 2022 First Consultation: Draft Specification for ISPM: Annex Field inspection (including growing-season inspection) to ISPM 23. Document title: 2021-018_DraftSpec_Annex-ISPM23-FieldInspection_Fr.docx]</w:t>
      </w:r>
    </w:p>
    <w:p w14:paraId="647BCCC6" w14:textId="68B979E3">
      <w:pPr>
        <w:spacing w:before="120"/>
        <w:rPr>
          <w:b/>
          <w:bCs/>
        </w:rPr>
      </w:pPr>
      <w:r>
        <w:rPr>
          <w:rStyle w:val="PleaseReviewParagraphId"/>
          <w:b w:val="off"/>
          <w:i w:val="off"/>
        </w:rPr>
        <w:t>[1]</w:t>
      </w:r>
      <w:r>
        <w:rPr>
          <w:b/>
        </w:rPr>
        <w:t xml:space="preserve">PROJET DE SPÉCIFICATION POUR UNE NIMP: Annexe </w:t>
      </w:r>
      <w:r>
        <w:rPr>
          <w:b/>
          <w:i/>
          <w:iCs/>
        </w:rPr>
        <w:t>Inspection au champ (y compris inspection pendant la période de végétation)</w:t>
      </w:r>
      <w:r>
        <w:rPr>
          <w:b/>
        </w:rPr>
        <w:t xml:space="preserve"> (2021-018) à la NIMP 23</w:t>
      </w:r>
    </w:p>
    <w:p w14:paraId="48CACCFF" w14:textId="43683A59">
      <w:pPr>
        <w:pStyle w:val="IPPSubheadSpace"/>
      </w:pPr>
      <w:r>
        <w:rPr>
          <w:rStyle w:val="PleaseReviewParagraphId"/>
          <w:b w:val="off"/>
          <w:i w:val="off"/>
        </w:rPr>
        <w:t>[2]</w:t>
      </w:r>
      <w: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24BF978C" w14:textId="77777777">
        <w:trPr>
          <w:trHeight w:val="286"/>
        </w:trPr>
        <w:tc>
          <w:tcPr>
            <w:tcW w:w="9039" w:type="dxa"/>
            <w:gridSpan w:val="2"/>
          </w:tcPr>
          <w:p w14:paraId="27272B94" w14:textId="7BEE48B2">
            <w:pPr>
              <w:pStyle w:val="IPPArialTable"/>
              <w:spacing w:before="0" w:after="0"/>
              <w:rPr>
                <w:szCs w:val="18"/>
              </w:rPr>
            </w:pPr>
            <w:r>
              <w:rPr>
                <w:rStyle w:val="PleaseReviewParagraphId"/>
                <w:b w:val="off"/>
                <w:i w:val="off"/>
              </w:rPr>
              <w:t>[3]</w:t>
            </w:r>
            <w:r>
              <w:t>Cet encadré ne fait pas officiellement partie de la spécification et sera modifié par le Secrétariat de la CIPV après l’approbation.</w:t>
            </w:r>
          </w:p>
        </w:tc>
      </w:tr>
      <w:tr w14:paraId="46EA9BDF" w14:textId="77777777">
        <w:trPr>
          <w:trHeight w:val="286"/>
        </w:trPr>
        <w:tc>
          <w:tcPr>
            <w:tcW w:w="2273" w:type="dxa"/>
          </w:tcPr>
          <w:p w14:paraId="652593F9" w14:textId="77777777">
            <w:pPr>
              <w:pStyle w:val="IPPArialTable"/>
              <w:spacing w:before="0" w:after="0"/>
              <w:rPr>
                <w:b/>
                <w:bCs/>
                <w:szCs w:val="18"/>
              </w:rPr>
            </w:pPr>
            <w:r>
              <w:rPr>
                <w:rStyle w:val="PleaseReviewParagraphId"/>
                <w:b w:val="off"/>
                <w:i w:val="off"/>
              </w:rPr>
              <w:t>[4]</w:t>
            </w:r>
            <w:r>
              <w:rPr>
                <w:b/>
              </w:rPr>
              <w:t>Date du présent document</w:t>
            </w:r>
          </w:p>
        </w:tc>
        <w:tc>
          <w:tcPr>
            <w:tcW w:w="6766" w:type="dxa"/>
          </w:tcPr>
          <w:p w14:paraId="6DAAA78C" w14:textId="636376D4">
            <w:pPr>
              <w:pStyle w:val="IPPArialTable"/>
              <w:spacing w:before="0" w:after="0"/>
              <w:rPr>
                <w:szCs w:val="18"/>
              </w:rPr>
            </w:pPr>
            <w:r>
              <w:rPr>
                <w:rStyle w:val="PleaseReviewParagraphId"/>
                <w:b w:val="off"/>
                <w:i w:val="off"/>
              </w:rPr>
              <w:t>[5]</w:t>
            </w:r>
            <w:r>
              <w:t>2022-05-09 </w:t>
            </w:r>
          </w:p>
        </w:tc>
      </w:tr>
      <w:tr w14:paraId="576AC83A" w14:textId="77777777">
        <w:trPr>
          <w:trHeight w:val="59"/>
        </w:trPr>
        <w:tc>
          <w:tcPr>
            <w:tcW w:w="2273" w:type="dxa"/>
          </w:tcPr>
          <w:p w14:paraId="316A9726" w14:textId="77777777">
            <w:pPr>
              <w:pStyle w:val="IPPArialTable"/>
              <w:spacing w:before="0" w:after="0"/>
              <w:rPr>
                <w:b/>
                <w:bCs/>
                <w:szCs w:val="18"/>
              </w:rPr>
            </w:pPr>
            <w:r>
              <w:rPr>
                <w:rStyle w:val="PleaseReviewParagraphId"/>
                <w:b w:val="off"/>
                <w:i w:val="off"/>
              </w:rPr>
              <w:t>[6]</w:t>
            </w:r>
            <w:r>
              <w:rPr>
                <w:b/>
              </w:rPr>
              <w:t>Catégorie du document</w:t>
            </w:r>
          </w:p>
        </w:tc>
        <w:tc>
          <w:tcPr>
            <w:tcW w:w="6766" w:type="dxa"/>
          </w:tcPr>
          <w:p w14:paraId="61355E2D" w14:textId="2BA8E452">
            <w:pPr>
              <w:pStyle w:val="IPPArialTable"/>
              <w:spacing w:before="0" w:after="0"/>
              <w:rPr>
                <w:szCs w:val="18"/>
              </w:rPr>
            </w:pPr>
            <w:r>
              <w:rPr>
                <w:rStyle w:val="PleaseReviewParagraphId"/>
                <w:b w:val="off"/>
                <w:i w:val="off"/>
              </w:rPr>
              <w:t>[7]</w:t>
            </w:r>
            <w:r>
              <w:t>Projet de spécification pour une annexe à une NIMP</w:t>
            </w:r>
          </w:p>
        </w:tc>
      </w:tr>
      <w:tr w14:paraId="2B5A6DB6" w14:textId="77777777">
        <w:trPr>
          <w:trHeight w:val="299"/>
        </w:trPr>
        <w:tc>
          <w:tcPr>
            <w:tcW w:w="2273" w:type="dxa"/>
          </w:tcPr>
          <w:p w14:paraId="369037C8" w14:textId="77777777">
            <w:pPr>
              <w:pStyle w:val="IPPArialTable"/>
              <w:spacing w:before="0" w:after="0"/>
              <w:rPr>
                <w:b/>
                <w:bCs/>
                <w:szCs w:val="18"/>
              </w:rPr>
            </w:pPr>
            <w:r>
              <w:rPr>
                <w:rStyle w:val="PleaseReviewParagraphId"/>
                <w:b w:val="off"/>
                <w:i w:val="off"/>
              </w:rPr>
              <w:t>[8]</w:t>
            </w:r>
            <w:r>
              <w:rPr>
                <w:b/>
              </w:rPr>
              <w:t>Étape de la préparation du document</w:t>
            </w:r>
          </w:p>
        </w:tc>
        <w:tc>
          <w:tcPr>
            <w:tcW w:w="6766" w:type="dxa"/>
          </w:tcPr>
          <w:p w14:paraId="55B8BDE9" w14:textId="485727FB">
            <w:pPr>
              <w:pStyle w:val="IPPArialTable"/>
              <w:spacing w:before="0" w:after="0"/>
              <w:rPr>
                <w:szCs w:val="18"/>
              </w:rPr>
            </w:pPr>
            <w:r>
              <w:rPr>
                <w:rStyle w:val="PleaseReviewParagraphId"/>
                <w:b w:val="off"/>
                <w:i w:val="off"/>
              </w:rPr>
              <w:t>[9]</w:t>
            </w:r>
            <w:r>
              <w:rPr>
                <w:rStyle w:val="normaltextrun"/>
                <w:shd w:val="clear" w:color="auto" w:fill="FFFFFF"/>
              </w:rPr>
              <w:t>Étape préalable à la première consultation</w:t>
            </w:r>
          </w:p>
        </w:tc>
      </w:tr>
      <w:tr w14:paraId="6B932FA1" w14:textId="77777777">
        <w:trPr>
          <w:trHeight w:val="59"/>
        </w:trPr>
        <w:tc>
          <w:tcPr>
            <w:tcW w:w="2273" w:type="dxa"/>
          </w:tcPr>
          <w:p w14:paraId="472F9F55" w14:textId="77777777">
            <w:pPr>
              <w:pStyle w:val="IPPArialTable"/>
              <w:spacing w:before="0" w:after="0"/>
              <w:rPr>
                <w:b/>
                <w:bCs/>
                <w:szCs w:val="18"/>
              </w:rPr>
            </w:pPr>
            <w:r>
              <w:rPr>
                <w:rStyle w:val="PleaseReviewParagraphId"/>
                <w:b w:val="off"/>
                <w:i w:val="off"/>
              </w:rPr>
              <w:t>[10]</w:t>
            </w:r>
            <w:r>
              <w:rPr>
                <w:b/>
              </w:rPr>
              <w:t>Principales étapes</w:t>
            </w:r>
          </w:p>
        </w:tc>
        <w:tc>
          <w:tcPr>
            <w:tcW w:w="6766" w:type="dxa"/>
          </w:tcPr>
          <w:p w14:paraId="27728093" w14:textId="6CAB1F50">
            <w:pPr>
              <w:pStyle w:val="IPPArialTable"/>
              <w:spacing w:before="0" w:after="0"/>
              <w:rPr>
                <w:rStyle w:val="normaltextrun"/>
                <w:rFonts w:cs="Arial"/>
                <w:szCs w:val="18"/>
                <w:shd w:val="clear" w:color="auto" w:fill="FFFFFF"/>
              </w:rPr>
            </w:pPr>
            <w:r>
              <w:rPr>
                <w:rStyle w:val="PleaseReviewParagraphId"/>
                <w:b w:val="off"/>
                <w:i w:val="off"/>
              </w:rPr>
              <w:t>[11]</w:t>
            </w:r>
            <w:r>
              <w:rPr>
                <w:rStyle w:val="normaltextrun"/>
                <w:shd w:val="clear" w:color="auto" w:fill="FFFFFF"/>
              </w:rPr>
              <w:t xml:space="preserve">2022-04 La CPM, à sa seizième session, ajoute le thème </w:t>
            </w:r>
            <w:r>
              <w:rPr>
                <w:rStyle w:val="normaltextrun"/>
                <w:i/>
                <w:shd w:val="clear" w:color="auto" w:fill="FFFFFF"/>
              </w:rPr>
              <w:t>Inspection au champ (y compris inspection pendant la période de végétation) (Annexe à la NIMP 23 [</w:t>
            </w:r>
            <w:r>
              <w:rPr>
                <w:rStyle w:val="normaltextrun"/>
                <w:shd w:val="clear" w:color="auto" w:fill="FFFFFF"/>
              </w:rPr>
              <w:t>Directives pour l’inspection</w:t>
            </w:r>
            <w:r>
              <w:rPr>
                <w:rStyle w:val="normaltextrun"/>
                <w:i/>
                <w:shd w:val="clear" w:color="auto" w:fill="FFFFFF"/>
              </w:rPr>
              <w:t>])</w:t>
            </w:r>
            <w:r>
              <w:rPr>
                <w:rStyle w:val="normaltextrun"/>
                <w:shd w:val="clear" w:color="auto" w:fill="FFFFFF"/>
              </w:rPr>
              <w:t>, avec le niveau de priorité 2.</w:t>
            </w:r>
          </w:p>
          <w:p w14:paraId="09004CE9" w14:textId="552C0A0A">
            <w:pPr>
              <w:pStyle w:val="IPPArialTable"/>
              <w:spacing w:before="0" w:after="0"/>
            </w:pPr>
            <w:r>
              <w:rPr>
                <w:rStyle w:val="PleaseReviewParagraphId"/>
                <w:b w:val="off"/>
                <w:i w:val="off"/>
              </w:rPr>
              <w:t>[12]</w:t>
            </w:r>
            <w:r>
              <w:t>2022-04 Le CN révise le projet et l’approuve en vue de sa première consultation.</w:t>
            </w:r>
          </w:p>
        </w:tc>
      </w:tr>
      <w:tr w14:paraId="034C7990" w14:textId="77777777">
        <w:trPr>
          <w:trHeight w:val="59"/>
        </w:trPr>
        <w:tc>
          <w:tcPr>
            <w:tcW w:w="2273" w:type="dxa"/>
          </w:tcPr>
          <w:p w14:paraId="08971B0B" w14:textId="77777777">
            <w:pPr>
              <w:pStyle w:val="IPPArialTable"/>
              <w:spacing w:before="0" w:after="0"/>
              <w:rPr>
                <w:b/>
                <w:bCs/>
                <w:szCs w:val="18"/>
              </w:rPr>
            </w:pPr>
            <w:r>
              <w:rPr>
                <w:rStyle w:val="PleaseReviewParagraphId"/>
                <w:b w:val="off"/>
                <w:i w:val="off"/>
              </w:rPr>
              <w:t>[13]</w:t>
            </w:r>
            <w:r>
              <w:rPr>
                <w:b/>
              </w:rPr>
              <w:t>Responsables successifs</w:t>
            </w:r>
          </w:p>
        </w:tc>
        <w:tc>
          <w:tcPr>
            <w:tcW w:w="6766" w:type="dxa"/>
          </w:tcPr>
          <w:p w14:paraId="58807FA7" w14:textId="40804FEB">
            <w:pPr>
              <w:pStyle w:val="IPPArialTable"/>
              <w:spacing w:before="0" w:after="0"/>
              <w:rPr>
                <w:szCs w:val="18"/>
              </w:rPr>
            </w:pPr>
            <w:r>
              <w:rPr>
                <w:rStyle w:val="PleaseReviewParagraphId"/>
                <w:b w:val="off"/>
                <w:i w:val="off"/>
              </w:rPr>
              <w:t>[14]</w:t>
            </w:r>
            <w:r>
              <w:t>2022-05 CN [M. Masahiro SAI (JP, responsable principal)]</w:t>
            </w:r>
          </w:p>
          <w:p w14:paraId="27F529AC" w14:textId="39173CE7">
            <w:pPr>
              <w:pStyle w:val="IPPArialTable"/>
              <w:rPr>
                <w:szCs w:val="18"/>
              </w:rPr>
            </w:pPr>
            <w:r>
              <w:rPr>
                <w:rStyle w:val="PleaseReviewParagraphId"/>
                <w:b w:val="off"/>
                <w:i w:val="off"/>
              </w:rPr>
              <w:t>[15]</w:t>
            </w:r>
            <w:r>
              <w:t>2022-05 CN [M</w:t>
            </w:r>
            <w:r>
              <w:rPr>
                <w:vertAlign w:val="superscript"/>
              </w:rPr>
              <w:t>me</w:t>
            </w:r>
            <w:r>
              <w:t xml:space="preserve"> Mariangela CIAMPITTI (IT, responsable adjointe)]</w:t>
            </w:r>
          </w:p>
        </w:tc>
      </w:tr>
      <w:tr w14:paraId="70709563" w14:textId="77777777">
        <w:trPr>
          <w:trHeight w:val="59"/>
        </w:trPr>
        <w:tc>
          <w:tcPr>
            <w:tcW w:w="2273" w:type="dxa"/>
          </w:tcPr>
          <w:p w14:paraId="27E04721" w14:textId="77777777">
            <w:pPr>
              <w:pStyle w:val="IPPArialTable"/>
              <w:spacing w:before="0" w:after="0"/>
              <w:rPr>
                <w:b/>
                <w:bCs/>
                <w:szCs w:val="18"/>
              </w:rPr>
            </w:pPr>
            <w:r>
              <w:rPr>
                <w:rStyle w:val="PleaseReviewParagraphId"/>
                <w:b w:val="off"/>
                <w:i w:val="off"/>
              </w:rPr>
              <w:t>[16]</w:t>
            </w:r>
            <w:r>
              <w:rPr>
                <w:b/>
              </w:rPr>
              <w:t>Notes</w:t>
            </w:r>
          </w:p>
        </w:tc>
        <w:tc>
          <w:tcPr>
            <w:tcW w:w="6766" w:type="dxa"/>
          </w:tcPr>
          <w:p w14:paraId="25D5F206" w14:textId="6A9AD5F4">
            <w:pPr>
              <w:pStyle w:val="IPPArialTable"/>
              <w:spacing w:before="0" w:after="0"/>
              <w:rPr>
                <w:rStyle w:val="eop"/>
                <w:rFonts w:cs="Arial"/>
                <w:szCs w:val="18"/>
                <w:shd w:val="clear" w:color="auto" w:fill="FFFFFF"/>
              </w:rPr>
            </w:pPr>
            <w:r>
              <w:rPr>
                <w:rStyle w:val="PleaseReviewParagraphId"/>
                <w:b w:val="off"/>
                <w:i w:val="off"/>
              </w:rPr>
              <w:t>[17]</w:t>
            </w:r>
            <w:r>
              <w:rPr>
                <w:rStyle w:val="normaltextrun"/>
                <w:shd w:val="clear" w:color="auto" w:fill="FFFFFF"/>
              </w:rPr>
              <w:t>Le présent document est à l’état de projet.</w:t>
            </w:r>
          </w:p>
          <w:p w14:paraId="62159135" w14:textId="4B8833DF">
            <w:pPr>
              <w:pStyle w:val="IPPArialTable"/>
              <w:spacing w:before="0" w:after="0"/>
              <w:rPr>
                <w:szCs w:val="18"/>
              </w:rPr>
            </w:pPr>
            <w:r>
              <w:rPr>
                <w:rStyle w:val="PleaseReviewParagraphId"/>
                <w:b w:val="off"/>
                <w:i w:val="off"/>
              </w:rPr>
              <w:t>[18]</w:t>
            </w:r>
            <w:r>
              <w:rPr>
                <w:rStyle w:val="eop"/>
                <w:shd w:val="clear" w:color="auto" w:fill="FFFFFF"/>
              </w:rPr>
              <w:t>2022‑05 Révision éditoriale.</w:t>
            </w:r>
          </w:p>
        </w:tc>
      </w:tr>
    </w:tbl>
    <w:p w14:paraId="26404B0B" w14:textId="77777777">
      <w:pPr>
        <w:pStyle w:val="IPPSubheadSpace"/>
      </w:pPr>
      <w:r>
        <w:rPr>
          <w:rStyle w:val="PleaseReviewParagraphId"/>
          <w:b w:val="off"/>
          <w:i w:val="off"/>
        </w:rPr>
        <w:t>[19]</w:t>
      </w:r>
      <w:r>
        <w:t>Titre</w:t>
      </w:r>
    </w:p>
    <w:p w14:paraId="0B8BB33A" w14:textId="424760D6">
      <w:pPr>
        <w:pStyle w:val="IPPNormal"/>
      </w:pPr>
      <w:r>
        <w:rPr>
          <w:rStyle w:val="PleaseReviewParagraphId"/>
          <w:b w:val="off"/>
          <w:i w:val="off"/>
        </w:rPr>
        <w:t>[20]</w:t>
      </w:r>
      <w:r>
        <w:t xml:space="preserve">Annexe </w:t>
      </w:r>
      <w:r>
        <w:rPr>
          <w:i/>
          <w:iCs/>
        </w:rPr>
        <w:t>Inspection au champ (y compris inspection pendant la période de végétation)</w:t>
      </w:r>
      <w:r>
        <w:t xml:space="preserve"> (2021‑018) à la NIMP 23 (</w:t>
      </w:r>
      <w:r>
        <w:rPr>
          <w:i/>
          <w:iCs/>
        </w:rPr>
        <w:t>Directives pour l’inspection</w:t>
      </w:r>
      <w:r>
        <w:t>).</w:t>
      </w:r>
    </w:p>
    <w:p w14:paraId="09675D77" w14:textId="7F2A3CDA">
      <w:pPr>
        <w:pStyle w:val="IPPSubheadSpace"/>
      </w:pPr>
      <w:r>
        <w:rPr>
          <w:rStyle w:val="PleaseReviewParagraphId"/>
          <w:b w:val="off"/>
          <w:i w:val="off"/>
        </w:rPr>
        <w:t>[21]</w:t>
      </w:r>
      <w:r>
        <w:t xml:space="preserve">Justification de l’annexe à la norme </w:t>
      </w:r>
    </w:p>
    <w:p w14:paraId="5D7943D8" w14:textId="7BDD28CF">
      <w:pPr>
        <w:pStyle w:val="IPPNormal"/>
      </w:pPr>
      <w:r>
        <w:rPr>
          <w:rStyle w:val="PleaseReviewParagraphId"/>
          <w:b w:val="off"/>
          <w:i w:val="off"/>
        </w:rPr>
        <w:t>[22]</w:t>
      </w:r>
      <w:r>
        <w:t>L’inspection au champ (y compris inspection pendant la période de végétation) est une mesure phytosanitaire efficace établie par de nombreux pays comme exigence phytosanitaire à l’importation. En exigeant que les pays exportateurs inspectent les cultures de plein champ, les cultures semencières et les plantes mères en plein champ ou dans des environnements contrôlés, le pays importateur peut, directement ou indirectement, réduire le risque phytosanitaire associé aux déplacements internationaux de végétaux et de produits végétaux. Cependant, bien que certaines NIMP (NIMP 10 [</w:t>
      </w:r>
      <w:r>
        <w:rPr>
          <w:i/>
        </w:rPr>
        <w:t>Exigences pour l’établissement de lieux et sites de production exempts d’organismes nuisibles</w:t>
      </w:r>
      <w:r>
        <w:t>], NIMP 12 [</w:t>
      </w:r>
      <w:r>
        <w:rPr>
          <w:i/>
        </w:rPr>
        <w:t>Certificats phytosanitaires</w:t>
      </w:r>
      <w:r>
        <w:t>], NIMP 20 [</w:t>
      </w:r>
      <w:r>
        <w:rPr>
          <w:i/>
        </w:rPr>
        <w:t>Directives pour un système phytosanitaire de réglementation des importations</w:t>
      </w:r>
      <w:r>
        <w:t>], NIMP 36 [</w:t>
      </w:r>
      <w:r>
        <w:rPr>
          <w:i/>
        </w:rPr>
        <w:t>Mesures intégrées applicables aux végétaux destinés à la plantation</w:t>
      </w:r>
      <w:r>
        <w:t>] et NIMP 38 [</w:t>
      </w:r>
      <w:r>
        <w:rPr>
          <w:i/>
        </w:rPr>
        <w:t>Déplacements internationaux de semences</w:t>
      </w:r>
      <w:r>
        <w:t xml:space="preserve">]) décrivent l’inspection au champ (ou «inspection pendant la période de végétation», qui en est une expression synonyme), elles ne fournissent pas d’orientations particulières sur ce type d’inspection, ce qui se traduit par un manque d’harmonisation dans la mise en œuvre de l’inspection au champ d’un pays à l’autre. </w:t>
      </w:r>
    </w:p>
    <w:p w14:paraId="102C965B" w14:textId="53BF807E">
      <w:pPr>
        <w:pStyle w:val="IPPNormal"/>
      </w:pPr>
      <w:r>
        <w:rPr>
          <w:rStyle w:val="PleaseReviewParagraphId"/>
          <w:b w:val="off"/>
          <w:i w:val="off"/>
        </w:rPr>
        <w:t>[23]</w:t>
      </w:r>
      <w:r>
        <w:t>De ce fait, il existe une certaine confusion entre les concepts d’inspection au champ et de surveillance spécifique. L’inspection au champ est une mesure phytosanitaire qui vise à détecter les organismes nuisibles réglementés qui sont à l’origine de signes ou symptômes visibles sur les plantes hôtes pendant la période de végétation. La surveillance, en revanche, vise à déterminer la présence ou l’absence d’organismes nuisibles dans une zone (prospection de repérage), les limites d’une zone considérée comme infestée par un organisme nuisible ou comme en étant exempte (prospection de délimitation) ou les caractéristiques d’une population d’organismes nuisibles dans une zone (prospection de suivi). Bien que l’inspection au champ et la surveillance spécifique puissent reposer sur des procédures et des méthodes similaires et constituent toutes deux des processus officiels, elles divergent sur le plan conceptuel et quant à leurs objectifs.</w:t>
      </w:r>
    </w:p>
    <w:p w14:paraId="7F243333" w14:textId="0843ACD1">
      <w:pPr>
        <w:pStyle w:val="IPPNormal"/>
      </w:pPr>
      <w:r>
        <w:rPr>
          <w:rStyle w:val="PleaseReviewParagraphId"/>
          <w:b w:val="off"/>
          <w:i w:val="off"/>
        </w:rPr>
        <w:t>[24]</w:t>
      </w:r>
      <w:bookmarkStart w:name="_Hlk102764370" w:id="0"/>
      <w:r>
        <w:t>Afin que l’inspection au champ soit interprétée et mise en œuvre correctement par les pays, il convient donc de décrire le concept et les objectifs de l’inspection au champ sous forme d’annexe à la NIMP 23 (</w:t>
      </w:r>
      <w:r>
        <w:rPr>
          <w:i/>
        </w:rPr>
        <w:t>Directives pour l’inspection</w:t>
      </w:r>
      <w:r>
        <w:t xml:space="preserve">). </w:t>
      </w:r>
      <w:bookmarkEnd w:id="0"/>
    </w:p>
    <w:p w14:paraId="2ACD2BE2" w14:textId="288C25AB">
      <w:pPr>
        <w:pStyle w:val="IPPSubheadSpace"/>
      </w:pPr>
      <w:r>
        <w:rPr>
          <w:rStyle w:val="PleaseReviewParagraphId"/>
          <w:b w:val="off"/>
          <w:i w:val="off"/>
        </w:rPr>
        <w:t>[25]</w:t>
      </w:r>
      <w:r>
        <w:t xml:space="preserve">Champ d’application </w:t>
      </w:r>
    </w:p>
    <w:p w14:paraId="17A1DB8D" w14:textId="33BAFB46">
      <w:pPr>
        <w:pStyle w:val="IPPNormal"/>
      </w:pPr>
      <w:r>
        <w:rPr>
          <w:rStyle w:val="PleaseReviewParagraphId"/>
          <w:b w:val="off"/>
          <w:i w:val="off"/>
        </w:rPr>
        <w:t>[26]</w:t>
      </w:r>
      <w:bookmarkStart w:name="_Hlk102765266" w:id="1"/>
      <w:r>
        <w:t xml:space="preserve">L’annexe proposée devrait être applicable aux végétaux (par exemple jeunes plants, boutures) et parties de végétaux (par exemple semences, greffons, bulbes, fruits) déplacés dans le cadre du commerce </w:t>
        <w:lastRenderedPageBreak/>
        <w:t xml:space="preserve">international. Elle devrait définir les exigences générales et spécifiques liées à l’inspection au champ (y compris inspection pendant la période de végétation) applicables lorsqu’une organisation nationale pour la protection des végétaux (ONPV) recourt à ce type d’inspection en tant que mesure phytosanitaire ponctuelle ou intégrée dans un système. </w:t>
      </w:r>
      <w:bookmarkEnd w:id="1"/>
      <w:r>
        <w:t>L’annexe devrait définir un concept normalisé, des objectifs et un processus de manière à ce que les ONPV puissent vérifier la conformité aux exigences relatives à l’inspection au champ. Cette reconnaissance de la part des ONPV pourrait servir de base à une certification phytosanitaire fondée sur les résultats des inspections au champ.</w:t>
      </w:r>
    </w:p>
    <w:p w14:paraId="0E49A55A" w14:textId="77777777">
      <w:pPr>
        <w:pStyle w:val="IPPSubheadSpace"/>
      </w:pPr>
      <w:r>
        <w:rPr>
          <w:rStyle w:val="PleaseReviewParagraphId"/>
          <w:b w:val="off"/>
          <w:i w:val="off"/>
        </w:rPr>
        <w:t>[27]</w:t>
      </w:r>
      <w:r>
        <w:t>Objectif</w:t>
      </w:r>
    </w:p>
    <w:p w14:paraId="74F2224E" w14:textId="2EA1346F">
      <w:pPr>
        <w:pStyle w:val="IPPNormal"/>
      </w:pPr>
      <w:r>
        <w:rPr>
          <w:rStyle w:val="PleaseReviewParagraphId"/>
          <w:b w:val="off"/>
          <w:i w:val="off"/>
        </w:rPr>
        <w:t>[28]</w:t>
      </w:r>
      <w:bookmarkStart w:name="_Hlk102768808" w:id="2"/>
      <w:r>
        <w:t xml:space="preserve">L’inspection au champ (y compris inspection pendant la période de végétation) comme mesure phytosanitaire peut aider les parties contractantes à satisfaire l’objectif général défini à l’article I, paragraphe 1, de la CIPV: assurer une action commune et efficace afin de prévenir la dissémination et l’introduction d’organismes nuisibles aux végétaux et produits végétaux et de promouvoir l’adoption des mesures appropriées de lutte contre ces derniers. L’inspection au champ est l’approche adoptée par bon nombre de pays pour inspecter les cultures de plein champ, les cultures semencières et les plantes mères. Le secteur privé (par exemple les semenciers et pépiniéristes) fait également appel aux inspections au champ pour vérifier la santé et la qualité des semences, des jeunes plants et des cultures. </w:t>
      </w:r>
    </w:p>
    <w:bookmarkEnd w:id="2"/>
    <w:p w14:paraId="081B00BA" w14:textId="53DBA80F">
      <w:pPr>
        <w:pStyle w:val="IPPNormal"/>
      </w:pPr>
      <w:r>
        <w:rPr>
          <w:rStyle w:val="PleaseReviewParagraphId"/>
          <w:b w:val="off"/>
          <w:i w:val="off"/>
        </w:rPr>
        <w:t>[29]</w:t>
      </w:r>
      <w:r>
        <w:t>L’inspection au champ est une méthode efficace pour examiner visuellement les végétaux à la recherche de signes ou symptômes causés par les organismes nuisibles dans un champ pendant la période de végétation. L’inspection peut par exemple être effectuée au cours de la période avant récolte afin de détecter les organismes nuisibles qui entraînent des signes ou des symptômes visibles sur les plantes hôtes et de repérer les plantes nuisibles (mauvaises herbes, végétaux parasites) parmi les cultures en champ. L’inspection au champ peut être réalisée en tant que mesure isolée ou qu’élément d’une approche systémique pour certaines marchandises ou certains organismes nuisibles (comme option durant la période avant récolte). Dans les deux cas, elle peut directement ou indirectement réduire le risque phytosanitaire lié aux déplacements internationaux de végétaux et de parties de végétaux, et ainsi contribuer à la sécurité des échanges commerciaux internationaux de végétaux et de produits végétaux.</w:t>
      </w:r>
    </w:p>
    <w:p w14:paraId="0EF792C0" w14:textId="0FC67C30">
      <w:pPr>
        <w:pStyle w:val="IPPNormal"/>
      </w:pPr>
      <w:r>
        <w:rPr>
          <w:rStyle w:val="PleaseReviewParagraphId"/>
          <w:b w:val="off"/>
          <w:i w:val="off"/>
        </w:rPr>
        <w:t>[30]</w:t>
      </w:r>
      <w:r>
        <w:t>L’annexe proposée complétera les informations données dans la NIMP 23 en fournissant des renseignements spécifiques sur l’inspection au champ afin de favoriser une compréhension commune du concept et des objectifs de ce type d’inspection parmi les pays. Cela facilitera l’harmonisation de l’inspection au champ comme mesure phytosanitaire et aidera les pays à l’appliquer comme il convient.</w:t>
      </w:r>
    </w:p>
    <w:p w14:paraId="4AC5858C" w14:textId="77777777">
      <w:pPr>
        <w:pStyle w:val="IPPSubheadSpace"/>
      </w:pPr>
      <w:r>
        <w:rPr>
          <w:rStyle w:val="PleaseReviewParagraphId"/>
          <w:b w:val="off"/>
          <w:i w:val="off"/>
        </w:rPr>
        <w:t>[31]</w:t>
      </w:r>
      <w:r>
        <w:t>Tâches</w:t>
      </w:r>
    </w:p>
    <w:p w14:paraId="16A135BC" w14:textId="3A576711">
      <w:pPr>
        <w:pStyle w:val="IPPNormalCloseSpace"/>
      </w:pPr>
      <w:r>
        <w:rPr>
          <w:rStyle w:val="PleaseReviewParagraphId"/>
          <w:b w:val="off"/>
          <w:i w:val="off"/>
        </w:rPr>
        <w:t>[32]</w:t>
      </w:r>
      <w:r>
        <w:t>Le groupe d’experts chargé de la rédaction devrait s’acquitter des tâches suivantes:</w:t>
      </w:r>
    </w:p>
    <w:p w14:paraId="41973A06" w14:textId="64A5B874">
      <w:pPr>
        <w:pStyle w:val="IPPNumberedList"/>
      </w:pPr>
      <w:r>
        <w:rPr>
          <w:rStyle w:val="PleaseReviewParagraphId"/>
          <w:b w:val="off"/>
          <w:i w:val="off"/>
        </w:rPr>
        <w:t>[33]</w:t>
      </w:r>
      <w:r>
        <w:t>Examiner les exigences relatives à l’inspection au champ (y compris inspection pendant la période de végétation) (ci-après simplement désigné «inspection au champ») décrites dans les normes existantes (par exemple les NIMP 10, 12, 20, 36 et 38).</w:t>
      </w:r>
    </w:p>
    <w:p w14:paraId="6199D204" w14:textId="5A5A14C6">
      <w:pPr>
        <w:pStyle w:val="IPPNumberedList"/>
      </w:pPr>
      <w:r>
        <w:rPr>
          <w:rStyle w:val="PleaseReviewParagraphId"/>
          <w:b w:val="off"/>
          <w:i w:val="off"/>
        </w:rPr>
        <w:t>[34]</w:t>
      </w:r>
      <w:r>
        <w:t xml:space="preserve">Examiner des exemples d’exigences phytosanitaires à l’importation et d’orientations pour l’inspection au champ émanant de diverses ONPV, organisations régionales pour la protection des végétaux et organismes sectoriels. </w:t>
      </w:r>
    </w:p>
    <w:p w14:paraId="526323CC" w14:textId="1807EAB2">
      <w:pPr>
        <w:pStyle w:val="IPPNumberedList"/>
      </w:pPr>
      <w:r>
        <w:rPr>
          <w:rStyle w:val="PleaseReviewParagraphId"/>
          <w:b w:val="off"/>
          <w:i w:val="off"/>
        </w:rPr>
        <w:t>[35]</w:t>
      </w:r>
      <w:r>
        <w:t>Décrire l’objectif et le champ d’application de l’inspection au champ dans le contexte phytosanitaire, en particulier la différence entre inspection au champ et surveillance spécifique (par exemple prospection de repérage) en termes de concept et d’objectifs.</w:t>
      </w:r>
    </w:p>
    <w:p w14:paraId="40613DB3" w14:textId="1F75CFC6">
      <w:pPr>
        <w:pStyle w:val="IPPNumberedList"/>
      </w:pPr>
      <w:r>
        <w:rPr>
          <w:rStyle w:val="PleaseReviewParagraphId"/>
          <w:b w:val="off"/>
          <w:i w:val="off"/>
        </w:rPr>
        <w:t>[36]</w:t>
      </w:r>
      <w:r>
        <w:t xml:space="preserve">Définir les exigences générales pour l’inspection au champ, notamment les circonstances dans lesquelles elle peut être techniquement justifiée. </w:t>
      </w:r>
    </w:p>
    <w:p w14:paraId="587C7986" w14:textId="6CBFDC08">
      <w:pPr>
        <w:pStyle w:val="IPPNumberedList"/>
      </w:pPr>
      <w:r>
        <w:rPr>
          <w:rStyle w:val="PleaseReviewParagraphId"/>
          <w:b w:val="off"/>
          <w:i w:val="off"/>
        </w:rPr>
        <w:t>[37]</w:t>
      </w:r>
      <w:r>
        <w:t>Décrire les exigences spécifiques pour l’inspection au champ, par exemple les exigences pour les méthodes d’inspection en fonction des caractéristiques des organismes nuisibles et les exigences portant sur l’expertise des inspecteurs.</w:t>
      </w:r>
    </w:p>
    <w:p w14:paraId="7E72C2E2" w14:textId="71E0CCAF">
      <w:pPr>
        <w:pStyle w:val="IPPNumberedList"/>
      </w:pPr>
      <w:r>
        <w:rPr>
          <w:rStyle w:val="PleaseReviewParagraphId"/>
          <w:b w:val="off"/>
          <w:i w:val="off"/>
        </w:rPr>
        <w:t>[38]</w:t>
      </w:r>
      <w:r>
        <w:t>Proposer une description de l’inspection au champ à examiner aux fins d’une inclusion dans une future révision ciblée de la NIMP 23 (section 1.1) ainsi que les éventuelles corrections à insérer dans le texte de la NIMP 23.</w:t>
      </w:r>
    </w:p>
    <w:p w14:paraId="13AB535D" w14:textId="414FC560">
      <w:pPr>
        <w:pStyle w:val="IPPNumberedList"/>
      </w:pPr>
      <w:r>
        <w:rPr>
          <w:rStyle w:val="PleaseReviewParagraphId"/>
          <w:b w:val="off"/>
          <w:i w:val="off"/>
        </w:rPr>
        <w:t>[39]</w:t>
      </w:r>
      <w:r>
        <w:lastRenderedPageBreak/>
        <w:t>Examiner la mise en œuvre de l’annexe par les parties contractantes et cerner d’éventuels problèmes opérationnels ou techniques. Fournir des informations et, éventuellement, formuler des recommandations sur ces questions à l’intention du Comité des normes.</w:t>
      </w:r>
    </w:p>
    <w:p w14:paraId="2EA9C29F" w14:textId="77777777">
      <w:pPr>
        <w:pStyle w:val="IPPSubheadSpace"/>
      </w:pPr>
      <w:r>
        <w:rPr>
          <w:rStyle w:val="PleaseReviewParagraphId"/>
          <w:b w:val="off"/>
          <w:i w:val="off"/>
        </w:rPr>
        <w:t>[40]</w:t>
      </w:r>
      <w:r>
        <w:t>Fourniture de ressources</w:t>
      </w:r>
      <w:r>
        <w:rPr>
          <w:color w:val="76923C"/>
        </w:rPr>
        <w:t xml:space="preserve"> </w:t>
      </w:r>
    </w:p>
    <w:p w14:paraId="419C0B34" w14:textId="42D0B45B">
      <w:pPr>
        <w:pStyle w:val="IPPNormal"/>
      </w:pPr>
      <w:r>
        <w:rPr>
          <w:rStyle w:val="PleaseReviewParagraphId"/>
          <w:b w:val="off"/>
          <w:i w:val="off"/>
        </w:rPr>
        <w:t>[41]</w:t>
      </w:r>
      <w:r>
        <w:t>Le financement de la réunion peut être assuré grâce à des ressources hors budget ordinaire de la CIPV (FAO). Comme la CIMP l’a recommandé à sa deuxième session (1999), si possible, les participants aux activités d’établissement de normes prennent volontairement à leur charge leurs frais de voyage et de subsistance pour assister aux réunions. Ils peuvent demander une aide financière, étant entendu que les ressources sont limitées et que la priorité est donnée aux participants des pays en développement. À ce sujet, il convient de se référer aux critères de priorité (</w:t>
      </w:r>
      <w:r>
        <w:rPr>
          <w:i/>
        </w:rPr>
        <w:t>Criteria used for prioritizing participants to receive travel assistance to attend meetings organized by the IPPC Secretariat</w:t>
      </w:r>
      <w:r>
        <w:t>) mis en ligne sur le Portail phytosanitaire international (PPI) (</w:t>
      </w:r>
      <w:hyperlink w:history="1" r:id="rId10">
        <w:r>
          <w:rPr>
            <w:rStyle w:val="Hyperlink"/>
          </w:rPr>
          <w:t>www.ippc.int/fr/core-activities/</w:t>
        </w:r>
      </w:hyperlink>
      <w:r>
        <w:t>).</w:t>
      </w:r>
    </w:p>
    <w:p w14:paraId="1A66A1A2" w14:textId="77777777">
      <w:pPr>
        <w:pStyle w:val="IPPSubheadSpace"/>
      </w:pPr>
      <w:r>
        <w:rPr>
          <w:rStyle w:val="PleaseReviewParagraphId"/>
          <w:b w:val="off"/>
          <w:i w:val="off"/>
        </w:rPr>
        <w:t>[42]</w:t>
      </w:r>
      <w:r>
        <w:t>Collaborateur</w:t>
      </w:r>
    </w:p>
    <w:p w14:paraId="6E539239" w14:textId="77777777">
      <w:pPr>
        <w:pStyle w:val="IPPNormal"/>
      </w:pPr>
      <w:r>
        <w:rPr>
          <w:rStyle w:val="PleaseReviewParagraphId"/>
          <w:b w:val="off"/>
          <w:i w:val="off"/>
        </w:rPr>
        <w:t>[43]</w:t>
      </w:r>
      <w:r>
        <w:t>À déterminer.</w:t>
      </w:r>
    </w:p>
    <w:p w14:paraId="171D94C3" w14:textId="77777777">
      <w:pPr>
        <w:pStyle w:val="IPPSubheadSpace"/>
      </w:pPr>
      <w:r>
        <w:rPr>
          <w:rStyle w:val="PleaseReviewParagraphId"/>
          <w:b w:val="off"/>
          <w:i w:val="off"/>
        </w:rPr>
        <w:t>[44]</w:t>
      </w:r>
      <w:r>
        <w:t>Responsable</w:t>
      </w:r>
    </w:p>
    <w:p w14:paraId="64E0C0A6" w14:textId="4CCE5799">
      <w:pPr>
        <w:pStyle w:val="IPPNormal"/>
      </w:pPr>
      <w:r>
        <w:rPr>
          <w:rStyle w:val="PleaseReviewParagraphId"/>
          <w:b w:val="off"/>
          <w:i w:val="off"/>
        </w:rPr>
        <w:t>[45]</w:t>
      </w:r>
      <w:r>
        <w:t xml:space="preserve">Prière de se reporter à la </w:t>
      </w:r>
      <w:r>
        <w:rPr>
          <w:i/>
        </w:rPr>
        <w:t>Liste de thèmes pour les normes de la CIPV</w:t>
      </w:r>
      <w:r>
        <w:t xml:space="preserve"> qui est consultable sur le PPI (</w:t>
      </w:r>
      <w:hyperlink w:history="1" r:id="rId11">
        <w:r>
          <w:rPr>
            <w:rStyle w:val="Hyperlink"/>
          </w:rPr>
          <w:t>www.ippc.int/core-activities/standards-setting/list-topics-ippc-standards</w:t>
        </w:r>
      </w:hyperlink>
      <w:r>
        <w:t>).</w:t>
      </w:r>
    </w:p>
    <w:p w14:paraId="1D4B88E8" w14:textId="66372B82">
      <w:pPr>
        <w:pStyle w:val="IPPSubheadSpace"/>
      </w:pPr>
      <w:r>
        <w:rPr>
          <w:rStyle w:val="PleaseReviewParagraphId"/>
          <w:b w:val="off"/>
          <w:i w:val="off"/>
        </w:rPr>
        <w:t>[46]</w:t>
      </w:r>
      <w:r>
        <w:t xml:space="preserve">Compétences d’experts </w:t>
      </w:r>
    </w:p>
    <w:p w14:paraId="75CFF5A2" w14:textId="60FB4888">
      <w:pPr>
        <w:pStyle w:val="IPPNormal"/>
      </w:pPr>
      <w:r>
        <w:rPr>
          <w:rStyle w:val="PleaseReviewParagraphId"/>
          <w:b w:val="off"/>
          <w:i w:val="off"/>
        </w:rPr>
        <w:t>[47]</w:t>
      </w:r>
      <w:r>
        <w:t>Experts disposant de vastes connaissances et d’une grande expérience en matière d’inspection au champ visant les cultures de plein champ, les cultures semencières et les végétaux destinés à la plantation, d’évaluation du risque phytosanitaire et de gestion de risque phytosanitaire.</w:t>
      </w:r>
    </w:p>
    <w:p w14:paraId="460F4163" w14:textId="77777777">
      <w:pPr>
        <w:pStyle w:val="IPPSubheadSpace"/>
      </w:pPr>
      <w:r>
        <w:rPr>
          <w:rStyle w:val="PleaseReviewParagraphId"/>
          <w:b w:val="off"/>
          <w:i w:val="off"/>
        </w:rPr>
        <w:t>[48]</w:t>
      </w:r>
      <w:r>
        <w:t>Participants</w:t>
      </w:r>
    </w:p>
    <w:p w14:paraId="524C3E6B" w14:textId="7F3ABF2B">
      <w:pPr>
        <w:pStyle w:val="IPPNormal"/>
      </w:pPr>
      <w:r>
        <w:rPr>
          <w:rStyle w:val="PleaseReviewParagraphId"/>
          <w:b w:val="off"/>
          <w:i w:val="off"/>
        </w:rPr>
        <w:t>[49]</w:t>
      </w:r>
      <w:r>
        <w:t>Cinq à sept experts.</w:t>
      </w:r>
    </w:p>
    <w:p w14:paraId="52036556" w14:textId="77777777">
      <w:pPr>
        <w:pStyle w:val="IPPSubheadSpace"/>
        <w:rPr>
          <w:color w:val="0070C0"/>
        </w:rPr>
      </w:pPr>
      <w:r>
        <w:rPr>
          <w:rStyle w:val="PleaseReviewParagraphId"/>
          <w:b w:val="off"/>
          <w:i w:val="off"/>
        </w:rPr>
        <w:t>[50]</w:t>
      </w:r>
      <w:r>
        <w:t>Références</w:t>
      </w:r>
    </w:p>
    <w:p w14:paraId="6753859B" w14:textId="48A89F2D">
      <w:pPr>
        <w:pStyle w:val="IPPNormal"/>
      </w:pPr>
      <w:r>
        <w:rPr>
          <w:rStyle w:val="PleaseReviewParagraphId"/>
          <w:b w:val="off"/>
          <w:i w:val="off"/>
        </w:rPr>
        <w:t>[51]</w:t>
      </w:r>
      <w:r>
        <w:t>La CIPV, les NIMP pertinentes et les autres normes ou accords nationaux, régionaux et internationaux qui peuvent s’appliquer aux tâches à entreprendre, ainsi que les documents de travail communiqués en rapport avec ces activités.</w:t>
      </w:r>
    </w:p>
    <w:p w14:paraId="07EAF1ED" w14:textId="5610005C">
      <w:pPr>
        <w:pStyle w:val="IPPReferences"/>
      </w:pPr>
      <w:r>
        <w:rPr>
          <w:rStyle w:val="PleaseReviewParagraphId"/>
          <w:b w:val="off"/>
          <w:i w:val="off"/>
        </w:rPr>
        <w:t>[52]</w:t>
      </w:r>
      <w:r>
        <w:rPr>
          <w:b/>
        </w:rPr>
        <w:t>Secrétariat de la CIPV</w:t>
      </w:r>
      <w:r>
        <w:t xml:space="preserve">. 1997. </w:t>
      </w:r>
      <w:r>
        <w:rPr>
          <w:i/>
        </w:rPr>
        <w:t>Convention internationale pour la protection des végétaux</w:t>
      </w:r>
      <w:r>
        <w:t xml:space="preserve">. Rome, Secrétariat de la CIPV, FAO. </w:t>
      </w:r>
      <w:hyperlink w:history="1" r:id="rId12">
        <w:r>
          <w:rPr>
            <w:rStyle w:val="Hyperlink"/>
          </w:rPr>
          <w:t>www.ippc.int/fr/core-activities/governance/convention-text/</w:t>
        </w:r>
      </w:hyperlink>
    </w:p>
    <w:p w14:paraId="2802671B" w14:textId="4F59B69E">
      <w:pPr>
        <w:pStyle w:val="IPPReferences"/>
      </w:pPr>
      <w:r>
        <w:rPr>
          <w:rStyle w:val="PleaseReviewParagraphId"/>
          <w:b w:val="off"/>
          <w:i w:val="off"/>
        </w:rPr>
        <w:t>[53]</w:t>
      </w:r>
      <w:r>
        <w:rPr>
          <w:b/>
        </w:rPr>
        <w:t>NIMP 4</w:t>
      </w:r>
      <w:r>
        <w:t xml:space="preserve">. 2017. </w:t>
      </w:r>
      <w:r>
        <w:rPr>
          <w:i/>
        </w:rPr>
        <w:t>Exigences pour l’établissement de zones indemnes</w:t>
      </w:r>
      <w:r>
        <w:t xml:space="preserve">. Rome, Secrétariat de la CIPV, FAO. </w:t>
      </w:r>
      <w:hyperlink w:history="1" r:id="rId13">
        <w:r>
          <w:rPr>
            <w:rStyle w:val="Hyperlink"/>
          </w:rPr>
          <w:t>www.ippc.int/fr/publications/614/</w:t>
        </w:r>
      </w:hyperlink>
    </w:p>
    <w:p w14:paraId="0FB55F79" w14:textId="166E15CD">
      <w:pPr>
        <w:pStyle w:val="IPPReferences"/>
      </w:pPr>
      <w:r>
        <w:rPr>
          <w:rStyle w:val="PleaseReviewParagraphId"/>
          <w:b w:val="off"/>
          <w:i w:val="off"/>
        </w:rPr>
        <w:t>[54]</w:t>
      </w:r>
      <w:r>
        <w:rPr>
          <w:b/>
        </w:rPr>
        <w:t>NIMP 5</w:t>
      </w:r>
      <w:r>
        <w:t xml:space="preserve">. </w:t>
      </w:r>
      <w:r>
        <w:rPr>
          <w:i/>
          <w:iCs/>
        </w:rPr>
        <w:t>Glossaire des termes phytosanitaires.</w:t>
      </w:r>
      <w:r>
        <w:t xml:space="preserve"> Rome, Secrétariat de la CIPV, FAO. </w:t>
      </w:r>
      <w:hyperlink w:history="1" r:id="rId14">
        <w:r>
          <w:rPr>
            <w:rStyle w:val="Hyperlink"/>
          </w:rPr>
          <w:t>www.ippc.int/fr/publications/622/</w:t>
        </w:r>
      </w:hyperlink>
    </w:p>
    <w:p w14:paraId="05B55C80" w14:textId="17127744">
      <w:pPr>
        <w:pStyle w:val="IPPReferences"/>
      </w:pPr>
      <w:r>
        <w:rPr>
          <w:rStyle w:val="PleaseReviewParagraphId"/>
          <w:b w:val="off"/>
          <w:i w:val="off"/>
        </w:rPr>
        <w:t>[55]</w:t>
      </w:r>
      <w:r>
        <w:rPr>
          <w:b/>
        </w:rPr>
        <w:t>NIMP 6</w:t>
      </w:r>
      <w:r>
        <w:t xml:space="preserve">. 2018. </w:t>
      </w:r>
      <w:r>
        <w:rPr>
          <w:i/>
        </w:rPr>
        <w:t>Surveillance</w:t>
      </w:r>
      <w:r>
        <w:t xml:space="preserve">. Rome, Secrétariat de la CIPV, FAO. </w:t>
      </w:r>
      <w:hyperlink w:history="1" r:id="rId15">
        <w:r>
          <w:rPr>
            <w:rStyle w:val="Hyperlink"/>
          </w:rPr>
          <w:t>www.ippc.int/fr/publications/615/</w:t>
        </w:r>
      </w:hyperlink>
    </w:p>
    <w:p w14:paraId="6813A861" w14:textId="3EF54847">
      <w:pPr>
        <w:pStyle w:val="IPPReferences"/>
      </w:pPr>
      <w:r>
        <w:rPr>
          <w:rStyle w:val="PleaseReviewParagraphId"/>
          <w:b w:val="off"/>
          <w:i w:val="off"/>
        </w:rPr>
        <w:t>[56]</w:t>
      </w:r>
      <w:r>
        <w:rPr>
          <w:b/>
        </w:rPr>
        <w:t>NIMP 10</w:t>
      </w:r>
      <w:r>
        <w:t xml:space="preserve">. 2016. </w:t>
      </w:r>
      <w:r>
        <w:rPr>
          <w:i/>
        </w:rPr>
        <w:t>Exigences pour l’établissement de lieux et sites de production exempts d’organismes nuisibles</w:t>
      </w:r>
      <w:r>
        <w:t xml:space="preserve">. Rome, Secrétariat de la CIPV, FAO. </w:t>
      </w:r>
      <w:hyperlink w:history="1" r:id="rId16">
        <w:r>
          <w:rPr>
            <w:rStyle w:val="Hyperlink"/>
          </w:rPr>
          <w:t>www.ippc.int/fr/publications/610/</w:t>
        </w:r>
      </w:hyperlink>
    </w:p>
    <w:p w14:paraId="0CF3756E" w14:textId="7970ACFD">
      <w:pPr>
        <w:pStyle w:val="IPPReferences"/>
      </w:pPr>
      <w:r>
        <w:rPr>
          <w:rStyle w:val="PleaseReviewParagraphId"/>
          <w:b w:val="off"/>
          <w:i w:val="off"/>
        </w:rPr>
        <w:t>[57]</w:t>
      </w:r>
      <w:r>
        <w:rPr>
          <w:b/>
        </w:rPr>
        <w:t>NIMP 12</w:t>
      </w:r>
      <w:r>
        <w:t xml:space="preserve">. 2022. </w:t>
      </w:r>
      <w:r>
        <w:rPr>
          <w:i/>
        </w:rPr>
        <w:t>Certificats phytosanitaires</w:t>
      </w:r>
      <w:r>
        <w:t xml:space="preserve">. Rome, Secrétariat de la CIPV, FAO. </w:t>
      </w:r>
      <w:hyperlink w:history="1" r:id="rId17">
        <w:r>
          <w:rPr>
            <w:rStyle w:val="Hyperlink"/>
          </w:rPr>
          <w:t>www.ippc.int/fr/publications/609/</w:t>
        </w:r>
      </w:hyperlink>
    </w:p>
    <w:p w14:paraId="6C031511" w14:textId="38759C50">
      <w:pPr>
        <w:pStyle w:val="IPPReferences"/>
      </w:pPr>
      <w:r>
        <w:rPr>
          <w:rStyle w:val="PleaseReviewParagraphId"/>
          <w:b w:val="off"/>
          <w:i w:val="off"/>
        </w:rPr>
        <w:t>[58]</w:t>
      </w:r>
      <w:r>
        <w:rPr>
          <w:b/>
        </w:rPr>
        <w:t>NIMP 20</w:t>
      </w:r>
      <w:r>
        <w:t xml:space="preserve">. 2019. </w:t>
      </w:r>
      <w:r>
        <w:rPr>
          <w:i/>
        </w:rPr>
        <w:t>Directives pour un système phytosanitaire de réglementation des importations</w:t>
      </w:r>
      <w:r>
        <w:t xml:space="preserve">. Rome, Secrétariat de la CIPV, FAO. </w:t>
      </w:r>
      <w:hyperlink w:history="1" r:id="rId18">
        <w:r>
          <w:rPr>
            <w:rStyle w:val="Hyperlink"/>
          </w:rPr>
          <w:t>www.ippc.int/fr/publications/602/</w:t>
        </w:r>
      </w:hyperlink>
    </w:p>
    <w:p w14:paraId="6E820A7F" w14:textId="39557924">
      <w:pPr>
        <w:pStyle w:val="IPPReferences"/>
      </w:pPr>
      <w:r>
        <w:rPr>
          <w:rStyle w:val="PleaseReviewParagraphId"/>
          <w:b w:val="off"/>
          <w:i w:val="off"/>
        </w:rPr>
        <w:t>[59]</w:t>
      </w:r>
      <w:r>
        <w:rPr>
          <w:b/>
        </w:rPr>
        <w:t>NIMP 23</w:t>
      </w:r>
      <w:r>
        <w:t xml:space="preserve">. 2019. </w:t>
      </w:r>
      <w:r>
        <w:rPr>
          <w:i/>
        </w:rPr>
        <w:t>Directives pour l’inspection</w:t>
      </w:r>
      <w:r>
        <w:t xml:space="preserve">. Rome, Secrétariat de la CIPV, FAO. </w:t>
      </w:r>
      <w:hyperlink w:history="1" r:id="rId19">
        <w:r>
          <w:rPr>
            <w:rStyle w:val="Hyperlink"/>
          </w:rPr>
          <w:t>www.ippc.int/fr/publications/598/</w:t>
        </w:r>
      </w:hyperlink>
    </w:p>
    <w:p w14:paraId="3EDB42E0" w14:textId="33B72085">
      <w:pPr>
        <w:pStyle w:val="IPPReferences"/>
      </w:pPr>
      <w:r>
        <w:rPr>
          <w:rStyle w:val="PleaseReviewParagraphId"/>
          <w:b w:val="off"/>
          <w:i w:val="off"/>
        </w:rPr>
        <w:t>[60]</w:t>
      </w:r>
      <w:r>
        <w:rPr>
          <w:b/>
        </w:rPr>
        <w:t>NIMP 36</w:t>
      </w:r>
      <w:r>
        <w:t xml:space="preserve">. 2019. </w:t>
      </w:r>
      <w:r>
        <w:rPr>
          <w:i/>
        </w:rPr>
        <w:t>Mesures intégrées applicables aux végétaux destinés à la plantation</w:t>
      </w:r>
      <w:r>
        <w:t xml:space="preserve">. Rome, Secrétariat de la CIPV, FAO. </w:t>
      </w:r>
      <w:hyperlink w:history="1" r:id="rId20">
        <w:r>
          <w:rPr>
            <w:rStyle w:val="Hyperlink"/>
          </w:rPr>
          <w:t>www.ippc.int/fr/publications/636/</w:t>
        </w:r>
      </w:hyperlink>
    </w:p>
    <w:p w14:paraId="14B56EA0" w14:textId="3D5747AA">
      <w:pPr>
        <w:pStyle w:val="IPPReferences"/>
      </w:pPr>
      <w:r>
        <w:rPr>
          <w:rStyle w:val="PleaseReviewParagraphId"/>
          <w:b w:val="off"/>
          <w:i w:val="off"/>
        </w:rPr>
        <w:t>[61]</w:t>
      </w:r>
      <w:r>
        <w:rPr>
          <w:b/>
        </w:rPr>
        <w:lastRenderedPageBreak/>
        <w:t>NIMP 38</w:t>
      </w:r>
      <w:r>
        <w:t xml:space="preserve">. 2018. </w:t>
      </w:r>
      <w:r>
        <w:rPr>
          <w:i/>
        </w:rPr>
        <w:t>Déplacements internationaux de semences</w:t>
      </w:r>
      <w:r>
        <w:t xml:space="preserve">. Rome, Secrétariat de la CIPV, FAO. </w:t>
      </w:r>
      <w:hyperlink w:history="1" r:id="rId21">
        <w:r>
          <w:rPr>
            <w:rStyle w:val="Hyperlink"/>
          </w:rPr>
          <w:t>www.ippc.int/fr/publications/84340/</w:t>
        </w:r>
      </w:hyperlink>
    </w:p>
    <w:p w14:paraId="5BA45E07" w14:textId="77777777">
      <w:pPr>
        <w:pStyle w:val="IPPSubheadSpace"/>
      </w:pPr>
      <w:r>
        <w:rPr>
          <w:rStyle w:val="PleaseReviewParagraphId"/>
          <w:b w:val="off"/>
          <w:i w:val="off"/>
        </w:rPr>
        <w:t>[62]</w:t>
      </w:r>
      <w:r>
        <w:t>Documents de travail</w:t>
      </w:r>
    </w:p>
    <w:p w14:paraId="0B5B8667" w14:textId="5F218916">
      <w:pPr>
        <w:pStyle w:val="IPPNormal"/>
      </w:pPr>
      <w:r>
        <w:rPr>
          <w:rStyle w:val="PleaseReviewParagraphId"/>
          <w:b w:val="off"/>
          <w:i w:val="off"/>
        </w:rPr>
        <w:t>[63]</w:t>
      </w:r>
      <w:r>
        <w:t>Les participants et les parties intéressées sont encouragés à présenter au Secrétariat de la CIPV (</w:t>
      </w:r>
      <w:hyperlink w:history="1" r:id="rId22">
        <w:r>
          <w:rPr>
            <w:rStyle w:val="Hyperlink"/>
          </w:rPr>
          <w:t>ippc@fao.org</w:t>
        </w:r>
      </w:hyperlink>
      <w:r>
        <w:t>) des documents de travail, qui seront communiqués au groupe de travail d’experts, pour examen.</w:t>
      </w:r>
    </w:p>
    <w:sectPr>
      <w:type w:val="continuous"/>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18C26" w14:textId="77777777">
      <w:r>
        <w:rPr>
          <w:rStyle w:val="PleaseReviewParagraphId"/>
          <w:b w:val="off"/>
          <w:i w:val="off"/>
        </w:rPr>
        <w:t>[]</w:t>
      </w:r>
      <w:r>
        <w:separator/>
      </w:r>
    </w:p>
  </w:endnote>
  <w:endnote w:type="continuationSeparator" w:id="0">
    <w:p w14:paraId="65BD9A4E"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1819E" w14:textId="77777777">
      <w:r>
        <w:rPr>
          <w:rStyle w:val="PleaseReviewParagraphId"/>
          <w:b w:val="off"/>
          <w:i w:val="off"/>
        </w:rPr>
        <w:t>[]</w:t>
      </w:r>
      <w:r>
        <w:separator/>
      </w:r>
    </w:p>
  </w:footnote>
  <w:footnote w:type="continuationSeparator" w:id="0">
    <w:p w14:paraId="2C675334" w14:textId="77777777">
      <w:r>
        <w:rPr>
          <w:rStyle w:val="PleaseReviewParagraphId"/>
          <w:b w:val="off"/>
          <w:i w:val="off"/>
        </w:rPr>
        <w:t>[]</w:t>
      </w:r>
      <w:r>
        <w:continuationSeparator/>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42DB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B462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4AA3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002A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D638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B0A7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104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C472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C69D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267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197E473C"/>
    <w:lvl w:ilvl="0" w:tplc="0809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1">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1">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1">
    <w:nsid w:val="35A3795A"/>
    <w:multiLevelType w:val="hybridMultilevel"/>
    <w:tmpl w:val="F6DE69F2"/>
    <w:lvl w:ilvl="0" w:tplc="6C3249DA">
      <w:start w:val="1"/>
      <w:numFmt w:val="decimal"/>
      <w:lvlText w:val="[%1]"/>
      <w:lvlJc w:val="left"/>
      <w:pPr>
        <w:ind w:left="644"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1">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1">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1">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1">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1">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64042736">
    <w:abstractNumId w:val="17"/>
  </w:num>
  <w:num w:numId="2" w16cid:durableId="1843466027">
    <w:abstractNumId w:val="16"/>
  </w:num>
  <w:num w:numId="3" w16cid:durableId="1757944753">
    <w:abstractNumId w:val="31"/>
  </w:num>
  <w:num w:numId="4" w16cid:durableId="1384058006">
    <w:abstractNumId w:val="26"/>
  </w:num>
  <w:num w:numId="5" w16cid:durableId="1719236832">
    <w:abstractNumId w:val="30"/>
  </w:num>
  <w:num w:numId="6" w16cid:durableId="305623993">
    <w:abstractNumId w:val="12"/>
  </w:num>
  <w:num w:numId="7" w16cid:durableId="1068115338">
    <w:abstractNumId w:val="18"/>
  </w:num>
  <w:num w:numId="8" w16cid:durableId="143932487">
    <w:abstractNumId w:val="10"/>
  </w:num>
  <w:num w:numId="9" w16cid:durableId="202913569">
    <w:abstractNumId w:val="28"/>
  </w:num>
  <w:num w:numId="10" w16cid:durableId="1563908079">
    <w:abstractNumId w:val="13"/>
  </w:num>
  <w:num w:numId="11" w16cid:durableId="1268806151">
    <w:abstractNumId w:val="15"/>
  </w:num>
  <w:num w:numId="12" w16cid:durableId="2133328971">
    <w:abstractNumId w:val="32"/>
  </w:num>
  <w:num w:numId="13" w16cid:durableId="838929825">
    <w:abstractNumId w:val="25"/>
  </w:num>
  <w:num w:numId="14" w16cid:durableId="279148930">
    <w:abstractNumId w:val="20"/>
  </w:num>
  <w:num w:numId="15" w16cid:durableId="1195387286">
    <w:abstractNumId w:val="19"/>
  </w:num>
  <w:num w:numId="16" w16cid:durableId="523593489">
    <w:abstractNumId w:val="10"/>
  </w:num>
  <w:num w:numId="17" w16cid:durableId="1692413400">
    <w:abstractNumId w:val="21"/>
  </w:num>
  <w:num w:numId="18" w16cid:durableId="23792407">
    <w:abstractNumId w:val="27"/>
  </w:num>
  <w:num w:numId="19" w16cid:durableId="351222723">
    <w:abstractNumId w:val="10"/>
  </w:num>
  <w:num w:numId="20" w16cid:durableId="1149783027">
    <w:abstractNumId w:val="11"/>
  </w:num>
  <w:num w:numId="21" w16cid:durableId="11146837">
    <w:abstractNumId w:val="22"/>
  </w:num>
  <w:num w:numId="22" w16cid:durableId="643779408">
    <w:abstractNumId w:val="33"/>
  </w:num>
  <w:num w:numId="23" w16cid:durableId="1927377085">
    <w:abstractNumId w:val="14"/>
  </w:num>
  <w:num w:numId="24" w16cid:durableId="67452802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57569800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15592243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21666896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8456771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79478400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701058531">
    <w:abstractNumId w:val="23"/>
  </w:num>
  <w:num w:numId="31" w16cid:durableId="336201205">
    <w:abstractNumId w:val="29"/>
  </w:num>
  <w:num w:numId="32" w16cid:durableId="1785492575">
    <w:abstractNumId w:val="24"/>
  </w:num>
  <w:num w:numId="33" w16cid:durableId="1270430658">
    <w:abstractNumId w:val="9"/>
  </w:num>
  <w:num w:numId="34" w16cid:durableId="501895434">
    <w:abstractNumId w:val="7"/>
  </w:num>
  <w:num w:numId="35" w16cid:durableId="1398749317">
    <w:abstractNumId w:val="6"/>
  </w:num>
  <w:num w:numId="36" w16cid:durableId="1415323095">
    <w:abstractNumId w:val="5"/>
  </w:num>
  <w:num w:numId="37" w16cid:durableId="297035205">
    <w:abstractNumId w:val="4"/>
  </w:num>
  <w:num w:numId="38" w16cid:durableId="496193727">
    <w:abstractNumId w:val="8"/>
  </w:num>
  <w:num w:numId="39" w16cid:durableId="1796830035">
    <w:abstractNumId w:val="3"/>
  </w:num>
  <w:num w:numId="40" w16cid:durableId="1714304484">
    <w:abstractNumId w:val="2"/>
  </w:num>
  <w:num w:numId="41" w16cid:durableId="720521553">
    <w:abstractNumId w:val="1"/>
  </w:num>
  <w:num w:numId="42" w16cid:durableId="1024399743">
    <w:abstractNumId w:val="0"/>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UxMzYzNDM3NTRV0lEKTi0uzszPAymwqAUAmtlEDiwAAAA="/>
  </w:docVars>
  <w:rsids>
    <w:rsidRoot w:val="00CD6E70"/>
    <w:rsid w:val="00012842"/>
    <w:rsid w:val="00013203"/>
    <w:rsid w:val="000257D3"/>
    <w:rsid w:val="0003363F"/>
    <w:rsid w:val="00040FF4"/>
    <w:rsid w:val="00041CEC"/>
    <w:rsid w:val="00042041"/>
    <w:rsid w:val="0004626B"/>
    <w:rsid w:val="000512D8"/>
    <w:rsid w:val="000537F5"/>
    <w:rsid w:val="00054279"/>
    <w:rsid w:val="00065CE8"/>
    <w:rsid w:val="00065D0C"/>
    <w:rsid w:val="000731F4"/>
    <w:rsid w:val="0008409D"/>
    <w:rsid w:val="000844BF"/>
    <w:rsid w:val="00087C0D"/>
    <w:rsid w:val="00087D20"/>
    <w:rsid w:val="00093026"/>
    <w:rsid w:val="000A3E02"/>
    <w:rsid w:val="000B0449"/>
    <w:rsid w:val="000E0C8E"/>
    <w:rsid w:val="00102233"/>
    <w:rsid w:val="00112778"/>
    <w:rsid w:val="00112E1D"/>
    <w:rsid w:val="001161D1"/>
    <w:rsid w:val="00116207"/>
    <w:rsid w:val="00142E0E"/>
    <w:rsid w:val="001501CF"/>
    <w:rsid w:val="00154C7C"/>
    <w:rsid w:val="00156692"/>
    <w:rsid w:val="00161B90"/>
    <w:rsid w:val="00162BDC"/>
    <w:rsid w:val="00170CEE"/>
    <w:rsid w:val="00172B35"/>
    <w:rsid w:val="00186DFB"/>
    <w:rsid w:val="00187F16"/>
    <w:rsid w:val="00190582"/>
    <w:rsid w:val="00196197"/>
    <w:rsid w:val="001A024C"/>
    <w:rsid w:val="001A1931"/>
    <w:rsid w:val="001C53E0"/>
    <w:rsid w:val="001D4FF0"/>
    <w:rsid w:val="001E3289"/>
    <w:rsid w:val="001E4DA5"/>
    <w:rsid w:val="001F6E51"/>
    <w:rsid w:val="001F7454"/>
    <w:rsid w:val="00210BCF"/>
    <w:rsid w:val="00216FD5"/>
    <w:rsid w:val="002226CF"/>
    <w:rsid w:val="00225BBB"/>
    <w:rsid w:val="00233CC8"/>
    <w:rsid w:val="00253E72"/>
    <w:rsid w:val="0026405D"/>
    <w:rsid w:val="0026435B"/>
    <w:rsid w:val="00264B2F"/>
    <w:rsid w:val="00276367"/>
    <w:rsid w:val="0027686B"/>
    <w:rsid w:val="002835E2"/>
    <w:rsid w:val="00283A0A"/>
    <w:rsid w:val="002874A5"/>
    <w:rsid w:val="00291D69"/>
    <w:rsid w:val="0029569B"/>
    <w:rsid w:val="002A2286"/>
    <w:rsid w:val="002A3CA1"/>
    <w:rsid w:val="002A42C9"/>
    <w:rsid w:val="002B777A"/>
    <w:rsid w:val="002D1111"/>
    <w:rsid w:val="002D61BB"/>
    <w:rsid w:val="002E0C3A"/>
    <w:rsid w:val="002E130C"/>
    <w:rsid w:val="002E7C7E"/>
    <w:rsid w:val="002F3826"/>
    <w:rsid w:val="002F435E"/>
    <w:rsid w:val="002F652C"/>
    <w:rsid w:val="00314DE2"/>
    <w:rsid w:val="00323030"/>
    <w:rsid w:val="003240F9"/>
    <w:rsid w:val="00326C5E"/>
    <w:rsid w:val="00330E59"/>
    <w:rsid w:val="003329AC"/>
    <w:rsid w:val="00333BC2"/>
    <w:rsid w:val="00336C83"/>
    <w:rsid w:val="0034410C"/>
    <w:rsid w:val="003478FB"/>
    <w:rsid w:val="00362D91"/>
    <w:rsid w:val="00372312"/>
    <w:rsid w:val="00375C5D"/>
    <w:rsid w:val="00394494"/>
    <w:rsid w:val="00394E51"/>
    <w:rsid w:val="00395D54"/>
    <w:rsid w:val="003B555A"/>
    <w:rsid w:val="003B5B08"/>
    <w:rsid w:val="003C1891"/>
    <w:rsid w:val="003C4B33"/>
    <w:rsid w:val="003D2B6D"/>
    <w:rsid w:val="003D52A0"/>
    <w:rsid w:val="003D7E2B"/>
    <w:rsid w:val="003E612B"/>
    <w:rsid w:val="003F5BC3"/>
    <w:rsid w:val="004200E4"/>
    <w:rsid w:val="00430D6B"/>
    <w:rsid w:val="00432760"/>
    <w:rsid w:val="004337CD"/>
    <w:rsid w:val="00456F04"/>
    <w:rsid w:val="0045705E"/>
    <w:rsid w:val="0046256A"/>
    <w:rsid w:val="004627E0"/>
    <w:rsid w:val="00476479"/>
    <w:rsid w:val="00495BBC"/>
    <w:rsid w:val="004A5E8C"/>
    <w:rsid w:val="004A706D"/>
    <w:rsid w:val="004B081F"/>
    <w:rsid w:val="004D7E1C"/>
    <w:rsid w:val="004E091E"/>
    <w:rsid w:val="004E49C1"/>
    <w:rsid w:val="004E5B0D"/>
    <w:rsid w:val="004F691C"/>
    <w:rsid w:val="00502985"/>
    <w:rsid w:val="00510D5B"/>
    <w:rsid w:val="005125C2"/>
    <w:rsid w:val="00517C5F"/>
    <w:rsid w:val="00525393"/>
    <w:rsid w:val="0053224B"/>
    <w:rsid w:val="005332C8"/>
    <w:rsid w:val="00561C9C"/>
    <w:rsid w:val="00564FB4"/>
    <w:rsid w:val="0057013D"/>
    <w:rsid w:val="005820CB"/>
    <w:rsid w:val="005978D4"/>
    <w:rsid w:val="005B1471"/>
    <w:rsid w:val="005C3E81"/>
    <w:rsid w:val="005C4395"/>
    <w:rsid w:val="005C652C"/>
    <w:rsid w:val="005C65C0"/>
    <w:rsid w:val="005D0654"/>
    <w:rsid w:val="005D07DC"/>
    <w:rsid w:val="005E1545"/>
    <w:rsid w:val="005E3346"/>
    <w:rsid w:val="005E4E14"/>
    <w:rsid w:val="005F14D6"/>
    <w:rsid w:val="005F3127"/>
    <w:rsid w:val="00607CDA"/>
    <w:rsid w:val="0062501B"/>
    <w:rsid w:val="006335B5"/>
    <w:rsid w:val="00633952"/>
    <w:rsid w:val="00660AA6"/>
    <w:rsid w:val="0066567F"/>
    <w:rsid w:val="00666EF2"/>
    <w:rsid w:val="00667AB5"/>
    <w:rsid w:val="00673E70"/>
    <w:rsid w:val="0068334A"/>
    <w:rsid w:val="006B03CC"/>
    <w:rsid w:val="006B20B7"/>
    <w:rsid w:val="006B3A39"/>
    <w:rsid w:val="006B4D28"/>
    <w:rsid w:val="006B5C70"/>
    <w:rsid w:val="006B7CAD"/>
    <w:rsid w:val="006C0DA5"/>
    <w:rsid w:val="006C1DD9"/>
    <w:rsid w:val="006D1E2F"/>
    <w:rsid w:val="006D494C"/>
    <w:rsid w:val="006D4F93"/>
    <w:rsid w:val="006E5259"/>
    <w:rsid w:val="006F030D"/>
    <w:rsid w:val="007009D0"/>
    <w:rsid w:val="0070455B"/>
    <w:rsid w:val="007051AD"/>
    <w:rsid w:val="007277FA"/>
    <w:rsid w:val="00734773"/>
    <w:rsid w:val="007364D3"/>
    <w:rsid w:val="007440DC"/>
    <w:rsid w:val="007467A5"/>
    <w:rsid w:val="00763F7F"/>
    <w:rsid w:val="00764A0F"/>
    <w:rsid w:val="00764C6A"/>
    <w:rsid w:val="00774F87"/>
    <w:rsid w:val="007764EF"/>
    <w:rsid w:val="00781249"/>
    <w:rsid w:val="00782DF2"/>
    <w:rsid w:val="007901D5"/>
    <w:rsid w:val="00791A19"/>
    <w:rsid w:val="00793E7E"/>
    <w:rsid w:val="00794F86"/>
    <w:rsid w:val="007A5AFB"/>
    <w:rsid w:val="007B2B36"/>
    <w:rsid w:val="007B3113"/>
    <w:rsid w:val="007C7BFA"/>
    <w:rsid w:val="007D4431"/>
    <w:rsid w:val="007E69A1"/>
    <w:rsid w:val="007E7872"/>
    <w:rsid w:val="007F0DD7"/>
    <w:rsid w:val="007F22F7"/>
    <w:rsid w:val="007F2A2F"/>
    <w:rsid w:val="00802481"/>
    <w:rsid w:val="00807E9A"/>
    <w:rsid w:val="008140D8"/>
    <w:rsid w:val="0081699F"/>
    <w:rsid w:val="00825C54"/>
    <w:rsid w:val="00835FEF"/>
    <w:rsid w:val="008406BF"/>
    <w:rsid w:val="00851D2D"/>
    <w:rsid w:val="008555D8"/>
    <w:rsid w:val="008572D4"/>
    <w:rsid w:val="008723BE"/>
    <w:rsid w:val="0087329D"/>
    <w:rsid w:val="0087427C"/>
    <w:rsid w:val="00876210"/>
    <w:rsid w:val="00895DAB"/>
    <w:rsid w:val="008B04D8"/>
    <w:rsid w:val="008B2DEA"/>
    <w:rsid w:val="008B46E8"/>
    <w:rsid w:val="008C0091"/>
    <w:rsid w:val="008C0632"/>
    <w:rsid w:val="008C2797"/>
    <w:rsid w:val="008E3D5B"/>
    <w:rsid w:val="008E5CEB"/>
    <w:rsid w:val="008F1C6F"/>
    <w:rsid w:val="00903AC4"/>
    <w:rsid w:val="009047EA"/>
    <w:rsid w:val="00915C4D"/>
    <w:rsid w:val="00923B96"/>
    <w:rsid w:val="00933B2E"/>
    <w:rsid w:val="00943DD6"/>
    <w:rsid w:val="00951190"/>
    <w:rsid w:val="009563FA"/>
    <w:rsid w:val="009608D4"/>
    <w:rsid w:val="00962984"/>
    <w:rsid w:val="009647D0"/>
    <w:rsid w:val="009849D1"/>
    <w:rsid w:val="00996E90"/>
    <w:rsid w:val="009A3EC5"/>
    <w:rsid w:val="009B7C18"/>
    <w:rsid w:val="009C0D17"/>
    <w:rsid w:val="009C3004"/>
    <w:rsid w:val="009C3419"/>
    <w:rsid w:val="009C7B0E"/>
    <w:rsid w:val="009D55B5"/>
    <w:rsid w:val="009F118E"/>
    <w:rsid w:val="009F2FB6"/>
    <w:rsid w:val="009F346A"/>
    <w:rsid w:val="009F5BB6"/>
    <w:rsid w:val="009F7F6D"/>
    <w:rsid w:val="00A102AE"/>
    <w:rsid w:val="00A173D0"/>
    <w:rsid w:val="00A22ECA"/>
    <w:rsid w:val="00A24065"/>
    <w:rsid w:val="00A30D2E"/>
    <w:rsid w:val="00A6108C"/>
    <w:rsid w:val="00A6245B"/>
    <w:rsid w:val="00A72791"/>
    <w:rsid w:val="00A8429B"/>
    <w:rsid w:val="00A849D1"/>
    <w:rsid w:val="00A8699A"/>
    <w:rsid w:val="00A90C61"/>
    <w:rsid w:val="00A94B98"/>
    <w:rsid w:val="00A9506F"/>
    <w:rsid w:val="00A951CE"/>
    <w:rsid w:val="00AA18F5"/>
    <w:rsid w:val="00AA5F46"/>
    <w:rsid w:val="00AB21CA"/>
    <w:rsid w:val="00AC3647"/>
    <w:rsid w:val="00AC5CD4"/>
    <w:rsid w:val="00AD7C74"/>
    <w:rsid w:val="00AE17A5"/>
    <w:rsid w:val="00AE19B1"/>
    <w:rsid w:val="00B037A2"/>
    <w:rsid w:val="00B11DB3"/>
    <w:rsid w:val="00B30397"/>
    <w:rsid w:val="00B34207"/>
    <w:rsid w:val="00B34211"/>
    <w:rsid w:val="00B3707E"/>
    <w:rsid w:val="00B45B33"/>
    <w:rsid w:val="00B508AC"/>
    <w:rsid w:val="00B60DDB"/>
    <w:rsid w:val="00B62B14"/>
    <w:rsid w:val="00B75CCA"/>
    <w:rsid w:val="00B8374B"/>
    <w:rsid w:val="00B9232A"/>
    <w:rsid w:val="00B959AA"/>
    <w:rsid w:val="00B95E37"/>
    <w:rsid w:val="00B97A08"/>
    <w:rsid w:val="00BA081F"/>
    <w:rsid w:val="00BA2F8D"/>
    <w:rsid w:val="00BB3336"/>
    <w:rsid w:val="00BB6CCC"/>
    <w:rsid w:val="00BC6796"/>
    <w:rsid w:val="00BD315F"/>
    <w:rsid w:val="00BD4D98"/>
    <w:rsid w:val="00BE330B"/>
    <w:rsid w:val="00BF792D"/>
    <w:rsid w:val="00BF7B96"/>
    <w:rsid w:val="00BF7CAD"/>
    <w:rsid w:val="00C04A4F"/>
    <w:rsid w:val="00C23708"/>
    <w:rsid w:val="00C24BE7"/>
    <w:rsid w:val="00C332F9"/>
    <w:rsid w:val="00C461B4"/>
    <w:rsid w:val="00C53B12"/>
    <w:rsid w:val="00C55C39"/>
    <w:rsid w:val="00C6377D"/>
    <w:rsid w:val="00C64C40"/>
    <w:rsid w:val="00C65729"/>
    <w:rsid w:val="00C83574"/>
    <w:rsid w:val="00C92A7A"/>
    <w:rsid w:val="00C9343C"/>
    <w:rsid w:val="00CA1702"/>
    <w:rsid w:val="00CA5AD6"/>
    <w:rsid w:val="00CB64EB"/>
    <w:rsid w:val="00CC3D2F"/>
    <w:rsid w:val="00CD6561"/>
    <w:rsid w:val="00CD6E70"/>
    <w:rsid w:val="00CE347B"/>
    <w:rsid w:val="00CF47FE"/>
    <w:rsid w:val="00D06744"/>
    <w:rsid w:val="00D15DC5"/>
    <w:rsid w:val="00D275BD"/>
    <w:rsid w:val="00D331BB"/>
    <w:rsid w:val="00D368F3"/>
    <w:rsid w:val="00D574CC"/>
    <w:rsid w:val="00D76B80"/>
    <w:rsid w:val="00D80A19"/>
    <w:rsid w:val="00D80DA4"/>
    <w:rsid w:val="00D85DC2"/>
    <w:rsid w:val="00D9185C"/>
    <w:rsid w:val="00D918A3"/>
    <w:rsid w:val="00D919D0"/>
    <w:rsid w:val="00DA0F57"/>
    <w:rsid w:val="00DB30BD"/>
    <w:rsid w:val="00DC084A"/>
    <w:rsid w:val="00DD370C"/>
    <w:rsid w:val="00DE4B4D"/>
    <w:rsid w:val="00DE5661"/>
    <w:rsid w:val="00DF4459"/>
    <w:rsid w:val="00E0129D"/>
    <w:rsid w:val="00E02206"/>
    <w:rsid w:val="00E065C4"/>
    <w:rsid w:val="00E176F3"/>
    <w:rsid w:val="00E47A19"/>
    <w:rsid w:val="00E5088C"/>
    <w:rsid w:val="00E63D3C"/>
    <w:rsid w:val="00E64FF8"/>
    <w:rsid w:val="00E6737C"/>
    <w:rsid w:val="00E6789B"/>
    <w:rsid w:val="00E7190F"/>
    <w:rsid w:val="00EA307B"/>
    <w:rsid w:val="00EB2717"/>
    <w:rsid w:val="00EB55B7"/>
    <w:rsid w:val="00EB579C"/>
    <w:rsid w:val="00EC4E1D"/>
    <w:rsid w:val="00EC5FC3"/>
    <w:rsid w:val="00EC618F"/>
    <w:rsid w:val="00EE2B0F"/>
    <w:rsid w:val="00F0232E"/>
    <w:rsid w:val="00F031E3"/>
    <w:rsid w:val="00F05223"/>
    <w:rsid w:val="00F06191"/>
    <w:rsid w:val="00F06B56"/>
    <w:rsid w:val="00F07CC1"/>
    <w:rsid w:val="00F10D5C"/>
    <w:rsid w:val="00F11888"/>
    <w:rsid w:val="00F245FB"/>
    <w:rsid w:val="00F32D2A"/>
    <w:rsid w:val="00F37BEF"/>
    <w:rsid w:val="00F455BF"/>
    <w:rsid w:val="00F471A2"/>
    <w:rsid w:val="00F5089A"/>
    <w:rsid w:val="00F74F8B"/>
    <w:rsid w:val="00F75265"/>
    <w:rsid w:val="00F85A6E"/>
    <w:rsid w:val="00FA029C"/>
    <w:rsid w:val="00FA07B6"/>
    <w:rsid w:val="00FA5393"/>
    <w:rsid w:val="00FA589A"/>
    <w:rsid w:val="00FB493A"/>
    <w:rsid w:val="00FB5CA8"/>
    <w:rsid w:val="00FB62A8"/>
    <w:rsid w:val="00FC2752"/>
    <w:rsid w:val="00FC293A"/>
    <w:rsid w:val="00FC6847"/>
    <w:rsid w:val="00FD1B8D"/>
    <w:rsid w:val="00FD61FB"/>
    <w:rsid w:val="00FE2EB7"/>
  </w:rsids>
  <m:mathPr>
    <m:mathFont m:val="Cambria Math"/>
    <m:brkBin m:val="before"/>
    <m:brkBinSub m:val="--"/>
    <m:smallFrac m:val="0"/>
    <m:dispDef/>
    <m:lMargin m:val="0"/>
    <m:rMargin m:val="0"/>
    <m:defJc m:val="centerGroup"/>
    <m:wrapIndent m:val="1440"/>
    <m:intLim m:val="subSup"/>
    <m:naryLim m:val="undOvr"/>
  </m:mathPr>
  <w:themeFontLang w:val="ru-R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2C3D9F"/>
  <w15:chartTrackingRefBased/>
  <w15:docId w15:val="{4D116BE7-CCB8-4BC0-B5C7-CAF7734D1465}"/>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MS Mincho"/>
      <w:sz w:val="22"/>
      <w:szCs w:val="24"/>
      <w:lang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rPr>
      <w:color w:val="0000FF"/>
      <w:u w:val="none"/>
    </w:rPr>
  </w:style>
  <w:style w:type="character" w:styleId="FollowedHyperlink">
    <w:name w:val="FollowedHyperlink"/>
    <w:rPr>
      <w:color w:val="800080"/>
      <w:u w:val="none"/>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basedOn w:val="DefaultParagraphFont"/>
    <w:link w:val="Heading1"/>
    <w:rPr>
      <w:rFonts w:eastAsia="MS Mincho"/>
      <w:b/>
      <w:bCs/>
      <w:sz w:val="22"/>
      <w:szCs w:val="24"/>
      <w:lang w:val="fr-FR" w:eastAsia="en-US"/>
    </w:rPr>
  </w:style>
  <w:style w:type="character" w:styleId="CommentReference">
    <w:name w:val="annotation reference"/>
    <w:rPr>
      <w:sz w:val="16"/>
      <w:szCs w:val="16"/>
    </w:rPr>
  </w:style>
  <w:style w:type="paragraph" w:styleId="CommentText">
    <w:name w:val="annotation text"/>
    <w:basedOn w:val="Normal"/>
    <w:link w:val="CommentTextChar"/>
    <w:rPr>
      <w:rFonts w:eastAsia="Times New Roman"/>
      <w:sz w:val="20"/>
      <w:szCs w:val="20"/>
      <w:lang w:eastAsia="x-none"/>
    </w:rPr>
  </w:style>
  <w:style w:type="character" w:customStyle="1" w:styleId="CommentTextChar">
    <w:name w:val="Comment Text Char"/>
    <w:link w:val="CommentText"/>
    <w:rPr>
      <w:lang w:val="fr-FR"/>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b/>
      <w:bCs/>
      <w:lang w:val="fr-FR"/>
    </w:rPr>
  </w:style>
  <w:style w:type="paragraph" w:customStyle="1" w:styleId="Comments">
    <w:name w:val="Comments"/>
    <w:basedOn w:val="Normal"/>
    <w:pPr>
      <w:ind w:left="284" w:hanging="284"/>
    </w:p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NumberedList">
    <w:name w:val="IPP NumberedList"/>
    <w:basedOn w:val="IPPBullet1"/>
    <w:qFormat/>
    <w:pPr>
      <w:numPr>
        <w:numId w:val="8"/>
      </w:numPr>
    </w:pPr>
  </w:style>
  <w:style w:type="paragraph" w:customStyle="1" w:styleId="IPPBullet1">
    <w:name w:val="IPP Bullet1"/>
    <w:basedOn w:val="IPPBullet1Last"/>
    <w:qFormat/>
    <w:pPr>
      <w:numPr>
        <w:numId w:val="31"/>
      </w:numPr>
      <w:spacing w:after="60"/>
      <w:ind w:left="567" w:hanging="567"/>
    </w:pPr>
  </w:style>
  <w:style w:type="paragraph" w:customStyle="1" w:styleId="IPPBullet1Last">
    <w:name w:val="IPP Bullet1Last"/>
    <w:basedOn w:val="IPPNormal"/>
    <w:next w:val="IPPNormal"/>
    <w:autoRedefine/>
    <w:qFormat/>
    <w:pPr>
      <w:numPr>
        <w:numId w:val="4"/>
      </w:numPr>
    </w:pPr>
  </w:style>
  <w:style w:type="paragraph" w:customStyle="1" w:styleId="IPPNumberClose">
    <w:name w:val="IPP NumberClose"/>
    <w:basedOn w:val="IPPNumber"/>
    <w:qFormat/>
    <w:pPr>
      <w:keepNext/>
      <w:spacing w:after="60"/>
    </w:p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Number">
    <w:name w:val="IPP Number"/>
    <w:basedOn w:val="IPPNormal"/>
    <w:qFormat/>
    <w:pPr>
      <w:numPr>
        <w:numId w:val="1"/>
      </w:numPr>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pPr>
      <w:spacing w:after="180"/>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character" w:customStyle="1" w:styleId="Heading2Char">
    <w:name w:val="Heading 2 Char"/>
    <w:basedOn w:val="DefaultParagraphFont"/>
    <w:link w:val="Heading2"/>
    <w:rPr>
      <w:rFonts w:ascii="Calibri" w:eastAsia="MS Mincho" w:hAnsi="Calibri"/>
      <w:b/>
      <w:bCs/>
      <w:i/>
      <w:iCs/>
      <w:sz w:val="28"/>
      <w:szCs w:val="28"/>
      <w:lang w:val="fr-FR" w:eastAsia="en-US"/>
    </w:rPr>
  </w:style>
  <w:style w:type="character" w:customStyle="1" w:styleId="Heading3Char">
    <w:name w:val="Heading 3 Char"/>
    <w:basedOn w:val="DefaultParagraphFont"/>
    <w:link w:val="Heading3"/>
    <w:rPr>
      <w:rFonts w:ascii="Calibri" w:eastAsia="MS Mincho" w:hAnsi="Calibri"/>
      <w:b/>
      <w:bCs/>
      <w:sz w:val="26"/>
      <w:szCs w:val="26"/>
      <w:lang w:val="fr-FR" w:eastAsia="en-US"/>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FootnoteTextChar">
    <w:name w:val="Footnote Text Char"/>
    <w:basedOn w:val="DefaultParagraphFont"/>
    <w:link w:val="FootnoteText"/>
    <w:semiHidden/>
    <w:rPr>
      <w:rFonts w:eastAsia="MS Mincho"/>
      <w:szCs w:val="24"/>
      <w:lang w:val="fr-FR" w:eastAsia="en-US"/>
    </w:rPr>
  </w:style>
  <w:style w:type="paragraph" w:customStyle="1" w:styleId="Indent1">
    <w:name w:val="Indent 1"/>
    <w:basedOn w:val="Normal"/>
    <w:qFormat/>
    <w:pPr>
      <w:spacing w:after="60"/>
      <w:ind w:left="567"/>
      <w:jc w:val="left"/>
    </w:pPr>
    <w:rPr>
      <w:rFonts w:ascii="Georgia" w:eastAsia="Times" w:hAnsi="Georgia"/>
      <w:sz w:val="18"/>
    </w:rPr>
  </w:style>
  <w:style w:type="paragraph" w:customStyle="1" w:styleId="Subhead">
    <w:name w:val="Subhead"/>
    <w:basedOn w:val="Normal"/>
    <w:qFormat/>
    <w:pPr>
      <w:keepNext/>
      <w:spacing w:before="120" w:after="60"/>
      <w:jc w:val="left"/>
    </w:pPr>
    <w:rPr>
      <w:rFonts w:ascii="Georgia" w:eastAsia="Times" w:hAnsi="Georgia"/>
      <w:b/>
      <w:sz w:val="19"/>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fr-FR" w:eastAsia="en-US"/>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2"/>
      </w:numPr>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6"/>
      </w:numPr>
    </w:pPr>
  </w:style>
  <w:style w:type="paragraph" w:customStyle="1" w:styleId="CharChar">
    <w:name w:val="(文字) (文字) Char (文字) (文字) Char"/>
    <w:basedOn w:val="Normal"/>
    <w:pPr>
      <w:spacing w:after="160" w:line="240" w:lineRule="exact"/>
      <w:jc w:val="left"/>
    </w:pPr>
    <w:rPr>
      <w:rFonts w:ascii="Tahoma" w:hAnsi="Tahoma"/>
      <w:sz w:val="20"/>
    </w:rPr>
  </w:style>
  <w:style w:type="paragraph" w:customStyle="1" w:styleId="IPPSubheadSpace">
    <w:name w:val="IPP Subhead Space"/>
    <w:basedOn w:val="IPPSubhead"/>
    <w:qFormat/>
    <w:pPr>
      <w:tabs>
        <w:tab w:val="left" w:pos="567"/>
      </w:tabs>
      <w:spacing w:before="60" w:after="60"/>
    </w:pPr>
  </w:style>
  <w:style w:type="paragraph" w:customStyle="1" w:styleId="CarCar">
    <w:name w:val="Car Car"/>
    <w:basedOn w:val="Normal"/>
    <w:pPr>
      <w:spacing w:after="160" w:line="240" w:lineRule="exact"/>
      <w:jc w:val="left"/>
    </w:pPr>
    <w:rPr>
      <w:rFonts w:ascii="Tahoma" w:hAnsi="Tahoma"/>
      <w:sz w:val="20"/>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Hdg1Num">
    <w:name w:val="IPP Hdg1Num"/>
    <w:basedOn w:val="IPPHeading1"/>
    <w:next w:val="IPPNormal"/>
    <w:qFormat/>
    <w:pPr>
      <w:numPr>
        <w:numId w:val="21"/>
      </w:numPr>
    </w:pPr>
  </w:style>
  <w:style w:type="paragraph" w:customStyle="1" w:styleId="IPPHdg2Num">
    <w:name w:val="IPP Hdg2Num"/>
    <w:basedOn w:val="IPPHeading2"/>
    <w:next w:val="IPPNormal"/>
    <w:qFormat/>
    <w:pPr>
      <w:numPr>
        <w:ilvl w:val="1" numString="1.1. "/>
        <w:numId w:val="22"/>
      </w:numPr>
    </w:p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pPr>
      <w:spacing w:after="60"/>
    </w:pPr>
  </w:style>
  <w:style w:type="character" w:customStyle="1" w:styleId="HeaderChar">
    <w:name w:val="Header Char"/>
    <w:basedOn w:val="DefaultParagraphFont"/>
    <w:link w:val="Header"/>
    <w:rPr>
      <w:rFonts w:eastAsia="MS Mincho"/>
      <w:sz w:val="22"/>
      <w:szCs w:val="24"/>
      <w:lang w:val="fr-FR" w:eastAsia="en-US"/>
    </w:rPr>
  </w:style>
  <w:style w:type="character" w:customStyle="1" w:styleId="FooterChar">
    <w:name w:val="Footer Char"/>
    <w:basedOn w:val="DefaultParagraphFont"/>
    <w:link w:val="Footer"/>
    <w:rPr>
      <w:rFonts w:eastAsia="MS Mincho"/>
      <w:sz w:val="22"/>
      <w:szCs w:val="24"/>
      <w:lang w:val="fr-FR" w:eastAsia="en-US"/>
    </w:rPr>
  </w:style>
  <w:style w:type="character" w:customStyle="1" w:styleId="IPPNormalChar">
    <w:name w:val="IPP Normal Char"/>
    <w:link w:val="IPPNormal"/>
    <w:rPr>
      <w:rFonts w:eastAsia="Times"/>
      <w:sz w:val="22"/>
      <w:szCs w:val="24"/>
      <w:lang w:val="fr-FR"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customStyle="1" w:styleId="BalloonTextChar">
    <w:name w:val="Balloon Text Char"/>
    <w:basedOn w:val="DefaultParagraphFont"/>
    <w:link w:val="BalloonText"/>
    <w:rPr>
      <w:rFonts w:ascii="Tahoma" w:eastAsia="MS Mincho" w:hAnsi="Tahoma" w:cs="Tahoma"/>
      <w:sz w:val="16"/>
      <w:szCs w:val="16"/>
      <w:lang w:val="fr-FR" w:eastAsia="en-U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eastAsia="en-US"/>
    </w:rPr>
  </w:style>
  <w:style w:type="character" w:customStyle="1" w:styleId="IPPNormalunderlined">
    <w:name w:val="IPP Normal underlined"/>
    <w:basedOn w:val="DefaultParagraphFont"/>
    <w:rPr>
      <w:rFonts w:ascii="Times New Roman" w:hAnsi="Times New Roman"/>
      <w:sz w:val="22"/>
      <w:u w:val="single"/>
      <w:lang w:val="fr-FR"/>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pPr>
      <w:numPr>
        <w:numId w:val="7"/>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24"/>
      </w:numPr>
    </w:pPr>
  </w:style>
  <w:style w:type="paragraph" w:customStyle="1" w:styleId="IPPParagraphnumberingclose">
    <w:name w:val="IPP Paragraph numbering close"/>
    <w:basedOn w:val="IPPParagraphnumbering"/>
    <w:qFormat/>
    <w:pPr>
      <w:keepNext/>
      <w:spacing w:after="60"/>
    </w:pPr>
  </w:style>
  <w:style w:type="paragraph" w:customStyle="1" w:styleId="IPPPargraphnumbering">
    <w:name w:val="IPP Pargraph numbering"/>
    <w:basedOn w:val="IPPNormal"/>
    <w:qFormat/>
    <w:pPr>
      <w:tabs>
        <w:tab w:val="num" w:pos="360"/>
      </w:tabs>
    </w:pPr>
  </w:style>
  <w:style w:type="character" w:customStyle="1" w:styleId="normaltextrun">
    <w:name w:val="normaltextrun"/>
    <w:basedOn w:val="DefaultParagraphFont"/>
  </w:style>
  <w:style w:type="character" w:customStyle="1" w:styleId="eop">
    <w:name w:val="eop"/>
    <w:basedOn w:val="DefaultParagraphFont"/>
  </w:style>
  <w:style w:type="paragraph" w:styleId="Revision">
    <w:name w:val="Revision"/>
    <w:hidden/>
    <w:semiHidden/>
    <w:rPr>
      <w:rFonts w:eastAsia="MS Mincho"/>
      <w:sz w:val="22"/>
      <w:szCs w:val="24"/>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20529002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about:blank" TargetMode="External" Id="rId13" /><Relationship Type="http://schemas.openxmlformats.org/officeDocument/2006/relationships/hyperlink" Target="about:blank" TargetMode="External" Id="rId18" /><Relationship Type="http://schemas.openxmlformats.org/officeDocument/2006/relationships/customXml" Target="../customXml/item3.xml" Id="rId3" /><Relationship Type="http://schemas.openxmlformats.org/officeDocument/2006/relationships/hyperlink" Target="about:blank" TargetMode="External" Id="rId21" /><Relationship Type="http://schemas.openxmlformats.org/officeDocument/2006/relationships/webSettings" Target="webSettings.xml" Id="rId7" /><Relationship Type="http://schemas.openxmlformats.org/officeDocument/2006/relationships/hyperlink" Target="about:blank" TargetMode="External" Id="rId12" /><Relationship Type="http://schemas.openxmlformats.org/officeDocument/2006/relationships/hyperlink" Target="about:blank" TargetMode="External" Id="rId17" /><Relationship Type="http://schemas.openxmlformats.org/officeDocument/2006/relationships/customXml" Target="../customXml/item2.xml" Id="rId2" /><Relationship Type="http://schemas.openxmlformats.org/officeDocument/2006/relationships/hyperlink" Target="about:blank" TargetMode="External" Id="rId16" /><Relationship Type="http://schemas.openxmlformats.org/officeDocument/2006/relationships/hyperlink" Target="about:blank"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about:blank" TargetMode="External"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hyperlink" Target="about:blank" TargetMode="External" Id="rId15" /><Relationship Type="http://schemas.openxmlformats.org/officeDocument/2006/relationships/fontTable" Target="fontTable.xml" Id="rId23" /><Relationship Type="http://schemas.openxmlformats.org/officeDocument/2006/relationships/hyperlink" Target="about:blank" TargetMode="External" Id="rId10" /><Relationship Type="http://schemas.openxmlformats.org/officeDocument/2006/relationships/hyperlink" Target="about:blank"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about:blank" TargetMode="External" Id="rId14" /><Relationship Type="http://schemas.openxmlformats.org/officeDocument/2006/relationships/hyperlink" Target="about:blank"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B7C0D2-344F-4383-ADE9-EF79BA141A7F}">
  <ds:schemaRefs>
    <ds:schemaRef ds:uri="http://schemas.microsoft.com/sharepoint/v3/contenttype/forms"/>
  </ds:schemaRefs>
</ds:datastoreItem>
</file>

<file path=customXml/itemProps2.xml><?xml version="1.0" encoding="utf-8"?>
<ds:datastoreItem xmlns:ds="http://schemas.openxmlformats.org/officeDocument/2006/customXml" ds:itemID="{09C90AB9-7179-4268-9DD2-3F05C0903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8A753-8411-4F3E-A395-537E53A2826F}">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1653</Words>
  <Characters>10407</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Название</vt:lpstr>
      </vt:variant>
      <vt:variant>
        <vt:i4>1</vt:i4>
      </vt:variant>
    </vt:vector>
  </HeadingPairs>
  <TitlesOfParts>
    <vt:vector size="3" baseType="lpstr">
      <vt:lpstr>IPPC-Styles</vt:lpstr>
      <vt:lpstr>IPPC-Styles</vt:lpstr>
      <vt:lpstr>IPPC-Styles</vt:lpstr>
    </vt:vector>
  </TitlesOfParts>
  <Company>FAO of the UN</Company>
  <LinksUpToDate>false</LinksUpToDate>
  <CharactersWithSpaces>12036</CharactersWithSpaces>
  <SharedDoc>false</SharedDoc>
  <HyperlinkBase/>
  <HLinks>
    <vt:vector size="12" baseType="variant">
      <vt:variant>
        <vt:i4>393279</vt:i4>
      </vt:variant>
      <vt:variant>
        <vt:i4>29</vt:i4>
      </vt:variant>
      <vt:variant>
        <vt:i4>0</vt:i4>
      </vt:variant>
      <vt:variant>
        <vt:i4>5</vt:i4>
      </vt:variant>
      <vt:variant>
        <vt:lpwstr>mailto:ippc@fao.org</vt:lpwstr>
      </vt:variant>
      <vt:variant>
        <vt:lpwstr/>
      </vt:variant>
      <vt:variant>
        <vt:i4>5963805</vt:i4>
      </vt:variant>
      <vt:variant>
        <vt:i4>21</vt:i4>
      </vt:variant>
      <vt:variant>
        <vt:i4>0</vt:i4>
      </vt:variant>
      <vt:variant>
        <vt:i4>5</vt:i4>
      </vt:variant>
      <vt:variant>
        <vt:lpwstr>https://www.ippc.int/en/core-activities/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Mushegian, Edgar (NSP)</cp:lastModifiedBy>
  <cp:revision>7</cp:revision>
  <cp:lastPrinted>2022-06-27T10:34:00Z</cp:lastPrinted>
  <dcterms:created xsi:type="dcterms:W3CDTF">2022-05-16T09:11:00Z</dcterms:created>
  <dcterms:modified xsi:type="dcterms:W3CDTF">2022-06-30T16:50:00Z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