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:rsidR="00B222DA" w:rsidRPr="00B222DA" w:rsidRDefault="00B222DA" w:rsidP="00B222DA">
      <w:pPr>
        <w:tabs>
          <w:tab w:val="left" w:pos="9360"/>
        </w:tabs>
        <w:spacing w:before="600" w:after="240"/>
        <w:ind w:right="43"/>
        <w:jc w:val="right"/>
      </w:pPr>
      <w:r w:rsidRPr="00B222DA">
        <w:rPr>
          <w:u w:val="single"/>
        </w:rPr>
        <w:t>Name of Country/RPPO:__________</w:t>
      </w:r>
      <w:r w:rsidRPr="00173E15">
        <w:rPr>
          <w:b/>
          <w:u w:val="single"/>
        </w:rPr>
        <w:t>_</w:t>
      </w:r>
      <w:r w:rsidR="00173E15" w:rsidRPr="00173E15">
        <w:rPr>
          <w:b/>
          <w:u w:val="single"/>
        </w:rPr>
        <w:t>MEXICO</w:t>
      </w:r>
      <w:r w:rsidRPr="00B222DA">
        <w:rPr>
          <w:u w:val="single"/>
        </w:rPr>
        <w:t>____________________________</w:t>
      </w:r>
      <w:bookmarkStart w:id="0" w:name="_GoBack"/>
      <w:bookmarkEnd w:id="0"/>
      <w:r w:rsidRPr="00B222DA">
        <w:rPr>
          <w:u w:val="single"/>
        </w:rPr>
        <w:t>___</w:t>
      </w:r>
      <w:r w:rsidRPr="00B222DA">
        <w:t>___________</w:t>
      </w:r>
    </w:p>
    <w:p w:rsidR="00B222DA" w:rsidRPr="00B222DA" w:rsidRDefault="009B4A36" w:rsidP="00B222DA">
      <w:pPr>
        <w:spacing w:after="180"/>
        <w:rPr>
          <w:rFonts w:eastAsia="Times"/>
          <w:sz w:val="18"/>
          <w:szCs w:val="18"/>
        </w:rPr>
      </w:pP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10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1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2" w:history="1">
        <w:r w:rsidR="00EE5B03" w:rsidRPr="00EE5B03">
          <w:rPr>
            <w:rStyle w:val="Hipervnculo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:rsidR="00230255" w:rsidRDefault="00230255" w:rsidP="0023025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:rsidR="00230255" w:rsidRDefault="00230255" w:rsidP="00230255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 xml:space="preserve">, please check the </w:t>
      </w:r>
      <w:r w:rsidR="00FD735E">
        <w:rPr>
          <w:rFonts w:eastAsia="Times"/>
        </w:rPr>
        <w:t xml:space="preserve">relevant </w:t>
      </w:r>
      <w:r>
        <w:rPr>
          <w:rFonts w:eastAsia="Times"/>
        </w:rPr>
        <w:t>box</w:t>
      </w:r>
      <w:r w:rsidR="00FD735E">
        <w:rPr>
          <w:rFonts w:eastAsia="Times"/>
        </w:rPr>
        <w:t xml:space="preserve"> below.</w:t>
      </w:r>
    </w:p>
    <w:p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38"/>
        <w:gridCol w:w="7636"/>
      </w:tblGrid>
      <w:tr w:rsidR="006F49CD" w:rsidRPr="006F49CD" w:rsidTr="0019346C">
        <w:tc>
          <w:tcPr>
            <w:tcW w:w="0" w:type="auto"/>
          </w:tcPr>
          <w:p w:rsidR="00B222DA" w:rsidRPr="006F49CD" w:rsidRDefault="00B222DA" w:rsidP="00B222DA">
            <w:pPr>
              <w:rPr>
                <w:b/>
              </w:rPr>
            </w:pPr>
            <w:r w:rsidRPr="006F49CD">
              <w:rPr>
                <w:b/>
              </w:rPr>
              <w:t>Name of treatment</w:t>
            </w:r>
          </w:p>
        </w:tc>
        <w:tc>
          <w:tcPr>
            <w:tcW w:w="0" w:type="auto"/>
          </w:tcPr>
          <w:p w:rsidR="00B222DA" w:rsidRPr="006F49CD" w:rsidRDefault="0003571B" w:rsidP="006F49CD">
            <w:pPr>
              <w:rPr>
                <w:lang w:val="en-US"/>
              </w:rPr>
            </w:pPr>
            <w:r w:rsidRPr="006F49CD">
              <w:rPr>
                <w:lang w:val="en-US"/>
              </w:rPr>
              <w:t xml:space="preserve">Irradiation </w:t>
            </w:r>
            <w:proofErr w:type="spellStart"/>
            <w:r w:rsidRPr="006F49CD">
              <w:rPr>
                <w:lang w:val="en-US"/>
              </w:rPr>
              <w:t>Treatmen</w:t>
            </w:r>
            <w:proofErr w:type="spellEnd"/>
            <w:r w:rsidRPr="006F49CD">
              <w:rPr>
                <w:lang w:val="en-US"/>
              </w:rPr>
              <w:t xml:space="preserve"> against fruit flies of the family</w:t>
            </w:r>
            <w:r w:rsidR="00B63962" w:rsidRPr="006F49CD">
              <w:rPr>
                <w:lang w:val="en-US"/>
              </w:rPr>
              <w:t xml:space="preserve"> </w:t>
            </w:r>
            <w:proofErr w:type="spellStart"/>
            <w:r w:rsidR="0006460B" w:rsidRPr="006F49CD">
              <w:rPr>
                <w:i/>
                <w:lang w:val="en-US"/>
              </w:rPr>
              <w:t>Anastrepha</w:t>
            </w:r>
            <w:proofErr w:type="spellEnd"/>
            <w:r w:rsidR="0006460B" w:rsidRPr="006F49CD">
              <w:rPr>
                <w:i/>
                <w:lang w:val="en-US"/>
              </w:rPr>
              <w:t xml:space="preserve"> </w:t>
            </w:r>
            <w:r w:rsidR="00B63962" w:rsidRPr="006F49CD">
              <w:rPr>
                <w:lang w:val="en-US"/>
              </w:rPr>
              <w:t>spp</w:t>
            </w:r>
            <w:r w:rsidR="0006460B" w:rsidRPr="006F49CD">
              <w:rPr>
                <w:i/>
                <w:lang w:val="en-US"/>
              </w:rPr>
              <w:t>.</w:t>
            </w:r>
            <w:r w:rsidR="00CA6454" w:rsidRPr="006F49CD">
              <w:rPr>
                <w:lang w:val="en-US"/>
              </w:rPr>
              <w:t xml:space="preserve"> </w:t>
            </w:r>
            <w:r w:rsidR="0079274A" w:rsidRPr="006F49CD">
              <w:rPr>
                <w:lang w:val="en-US"/>
              </w:rPr>
              <w:t>(</w:t>
            </w:r>
            <w:r w:rsidRPr="006F49CD">
              <w:rPr>
                <w:lang w:val="en-US"/>
              </w:rPr>
              <w:t>Dose Modification</w:t>
            </w:r>
            <w:r w:rsidR="0079274A" w:rsidRPr="006F49CD">
              <w:rPr>
                <w:lang w:val="en-US"/>
              </w:rPr>
              <w:t>)</w:t>
            </w:r>
          </w:p>
        </w:tc>
      </w:tr>
    </w:tbl>
    <w:p w:rsidR="00B222DA" w:rsidRPr="006F49CD" w:rsidRDefault="00B222DA" w:rsidP="00B222DA">
      <w:pPr>
        <w:jc w:val="center"/>
        <w:rPr>
          <w:sz w:val="20"/>
          <w:lang w:val="en-US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80"/>
      </w:tblGrid>
      <w:tr w:rsidR="006F49CD" w:rsidRPr="006F49CD" w:rsidTr="004E2EBC">
        <w:trPr>
          <w:jc w:val="center"/>
        </w:trPr>
        <w:tc>
          <w:tcPr>
            <w:tcW w:w="5000" w:type="pct"/>
          </w:tcPr>
          <w:p w:rsidR="001B353F" w:rsidRPr="006F49CD" w:rsidRDefault="00B222DA" w:rsidP="00B222DA">
            <w:pPr>
              <w:rPr>
                <w:lang w:val="en-US"/>
              </w:rPr>
            </w:pPr>
            <w:r w:rsidRPr="006F49CD">
              <w:rPr>
                <w:b/>
                <w:u w:val="single"/>
                <w:lang w:val="en-US"/>
              </w:rPr>
              <w:t>Submitted by:</w:t>
            </w:r>
            <w:r w:rsidRPr="006F49CD">
              <w:rPr>
                <w:lang w:val="en-US"/>
              </w:rPr>
              <w:t xml:space="preserve"> </w:t>
            </w:r>
          </w:p>
          <w:p w:rsidR="00B222DA" w:rsidRPr="006F49CD" w:rsidRDefault="0003571B" w:rsidP="00B222DA">
            <w:pPr>
              <w:rPr>
                <w:sz w:val="20"/>
                <w:lang w:val="en-US"/>
              </w:rPr>
            </w:pPr>
            <w:r w:rsidRPr="006F49CD">
              <w:rPr>
                <w:lang w:val="en-US"/>
              </w:rPr>
              <w:t>Dirección General de Sanidad Vegetal (DGSV) / General Directorate of Plant Health, recognized as the National Plant Protection Organization (NPPO) from Mexico</w:t>
            </w:r>
          </w:p>
        </w:tc>
      </w:tr>
      <w:tr w:rsidR="006F49CD" w:rsidRPr="006F49CD" w:rsidTr="004E2EBC">
        <w:trPr>
          <w:jc w:val="center"/>
        </w:trPr>
        <w:tc>
          <w:tcPr>
            <w:tcW w:w="5000" w:type="pct"/>
          </w:tcPr>
          <w:p w:rsidR="00230255" w:rsidRPr="006F49CD" w:rsidRDefault="009B4A36" w:rsidP="00314D1C">
            <w:pPr>
              <w:spacing w:after="180"/>
              <w:rPr>
                <w:rFonts w:eastAsia="Times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255" w:rsidRPr="006F49C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0255" w:rsidRPr="006F49CD">
              <w:rPr>
                <w:rFonts w:eastAsia="Times"/>
              </w:rPr>
              <w:t xml:space="preserve"> I agree to the public release of the submission and supporting documents.</w:t>
            </w:r>
          </w:p>
        </w:tc>
      </w:tr>
      <w:tr w:rsidR="006F49CD" w:rsidRPr="006F49CD" w:rsidTr="004E2EBC">
        <w:trPr>
          <w:jc w:val="center"/>
        </w:trPr>
        <w:tc>
          <w:tcPr>
            <w:tcW w:w="5000" w:type="pct"/>
          </w:tcPr>
          <w:p w:rsidR="0093758C" w:rsidRPr="006F49CD" w:rsidRDefault="0093758C" w:rsidP="0093758C">
            <w:r w:rsidRPr="006F49CD">
              <w:rPr>
                <w:b/>
                <w:u w:val="single"/>
              </w:rPr>
              <w:t>Contact:</w:t>
            </w:r>
            <w:r w:rsidRPr="006F49CD">
              <w:t xml:space="preserve"> (Contact information of an individual able to clarify issues relating to this submission, including sources of efficacy data)</w:t>
            </w:r>
          </w:p>
          <w:p w:rsidR="0093758C" w:rsidRPr="006F49CD" w:rsidRDefault="0093758C" w:rsidP="0093758C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6F49CD">
              <w:rPr>
                <w:sz w:val="20"/>
              </w:rPr>
              <w:t>Name: Francisco Javier Trujillo Arriaga</w:t>
            </w:r>
            <w:r w:rsidRPr="006F49CD">
              <w:rPr>
                <w:sz w:val="20"/>
              </w:rPr>
              <w:tab/>
            </w:r>
          </w:p>
          <w:p w:rsidR="0093758C" w:rsidRPr="006F49CD" w:rsidRDefault="0093758C" w:rsidP="0093758C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6F49CD">
              <w:rPr>
                <w:sz w:val="20"/>
              </w:rPr>
              <w:t xml:space="preserve">Position and organization: </w:t>
            </w:r>
            <w:r w:rsidR="0003571B" w:rsidRPr="006F49CD">
              <w:rPr>
                <w:szCs w:val="22"/>
              </w:rPr>
              <w:t>General Director of Plant Health</w:t>
            </w:r>
            <w:r w:rsidRPr="006F49CD">
              <w:rPr>
                <w:sz w:val="20"/>
              </w:rPr>
              <w:tab/>
            </w:r>
          </w:p>
          <w:p w:rsidR="0093758C" w:rsidRPr="006F49CD" w:rsidRDefault="0093758C" w:rsidP="0093758C">
            <w:pPr>
              <w:tabs>
                <w:tab w:val="right" w:leader="dot" w:pos="9500"/>
              </w:tabs>
              <w:spacing w:before="60" w:after="60"/>
              <w:rPr>
                <w:sz w:val="20"/>
                <w:lang w:val="en-US"/>
              </w:rPr>
            </w:pPr>
            <w:r w:rsidRPr="006F49CD">
              <w:rPr>
                <w:sz w:val="20"/>
              </w:rPr>
              <w:t xml:space="preserve">Mailing address: </w:t>
            </w:r>
            <w:r w:rsidR="0003571B" w:rsidRPr="006F49CD">
              <w:rPr>
                <w:szCs w:val="22"/>
              </w:rPr>
              <w:t xml:space="preserve">Boulevard Adolfo Ruiz </w:t>
            </w:r>
            <w:proofErr w:type="spellStart"/>
            <w:r w:rsidR="0003571B" w:rsidRPr="006F49CD">
              <w:rPr>
                <w:szCs w:val="22"/>
              </w:rPr>
              <w:t>Cortines</w:t>
            </w:r>
            <w:proofErr w:type="spellEnd"/>
            <w:r w:rsidR="0003571B" w:rsidRPr="006F49CD">
              <w:rPr>
                <w:szCs w:val="22"/>
              </w:rPr>
              <w:t xml:space="preserve"> Street No. 5010, Floor 4, </w:t>
            </w:r>
            <w:proofErr w:type="spellStart"/>
            <w:r w:rsidR="0003571B" w:rsidRPr="006F49CD">
              <w:rPr>
                <w:szCs w:val="22"/>
              </w:rPr>
              <w:t>Insurgentes</w:t>
            </w:r>
            <w:proofErr w:type="spellEnd"/>
            <w:r w:rsidR="0003571B" w:rsidRPr="006F49CD">
              <w:rPr>
                <w:szCs w:val="22"/>
              </w:rPr>
              <w:t xml:space="preserve"> </w:t>
            </w:r>
            <w:proofErr w:type="spellStart"/>
            <w:r w:rsidR="0003571B" w:rsidRPr="006F49CD">
              <w:rPr>
                <w:szCs w:val="22"/>
              </w:rPr>
              <w:t>Cuicuilco</w:t>
            </w:r>
            <w:proofErr w:type="spellEnd"/>
            <w:r w:rsidR="0003571B" w:rsidRPr="006F49CD">
              <w:rPr>
                <w:szCs w:val="22"/>
              </w:rPr>
              <w:t xml:space="preserve">, </w:t>
            </w:r>
            <w:proofErr w:type="spellStart"/>
            <w:r w:rsidR="0003571B" w:rsidRPr="006F49CD">
              <w:rPr>
                <w:szCs w:val="22"/>
              </w:rPr>
              <w:t>Delegacion</w:t>
            </w:r>
            <w:proofErr w:type="spellEnd"/>
            <w:r w:rsidR="0003571B" w:rsidRPr="006F49CD">
              <w:rPr>
                <w:szCs w:val="22"/>
              </w:rPr>
              <w:t xml:space="preserve"> </w:t>
            </w:r>
            <w:proofErr w:type="spellStart"/>
            <w:r w:rsidR="0003571B" w:rsidRPr="006F49CD">
              <w:rPr>
                <w:szCs w:val="22"/>
              </w:rPr>
              <w:t>Coyoacan</w:t>
            </w:r>
            <w:proofErr w:type="spellEnd"/>
            <w:r w:rsidR="0003571B" w:rsidRPr="006F49CD">
              <w:rPr>
                <w:szCs w:val="22"/>
              </w:rPr>
              <w:t>, Mexico City</w:t>
            </w:r>
            <w:r w:rsidRPr="006F49CD">
              <w:rPr>
                <w:sz w:val="20"/>
                <w:lang w:val="en-US"/>
              </w:rPr>
              <w:t>.</w:t>
            </w:r>
            <w:r w:rsidRPr="006F49CD">
              <w:rPr>
                <w:sz w:val="20"/>
                <w:lang w:val="en-US"/>
              </w:rPr>
              <w:tab/>
            </w:r>
          </w:p>
          <w:p w:rsidR="0093758C" w:rsidRPr="006F49CD" w:rsidRDefault="0093758C" w:rsidP="0093758C">
            <w:pPr>
              <w:tabs>
                <w:tab w:val="right" w:leader="dot" w:pos="9500"/>
              </w:tabs>
              <w:spacing w:before="60" w:after="60"/>
              <w:rPr>
                <w:sz w:val="20"/>
                <w:lang w:val="en-US"/>
              </w:rPr>
            </w:pPr>
            <w:r w:rsidRPr="006F49CD">
              <w:rPr>
                <w:sz w:val="20"/>
                <w:lang w:val="en-US"/>
              </w:rPr>
              <w:tab/>
            </w:r>
          </w:p>
          <w:p w:rsidR="0093758C" w:rsidRPr="006F49CD" w:rsidRDefault="0093758C" w:rsidP="0093758C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  <w:lang w:val="en-US"/>
              </w:rPr>
            </w:pPr>
            <w:r w:rsidRPr="006F49CD">
              <w:rPr>
                <w:sz w:val="20"/>
                <w:lang w:val="en-US"/>
              </w:rPr>
              <w:t>Phone: +52(55) 5905 10 00</w:t>
            </w:r>
            <w:r w:rsidRPr="006F49CD">
              <w:rPr>
                <w:sz w:val="20"/>
                <w:lang w:val="en-US"/>
              </w:rPr>
              <w:tab/>
            </w:r>
            <w:r w:rsidRPr="006F49CD">
              <w:rPr>
                <w:sz w:val="20"/>
                <w:lang w:val="en-US"/>
              </w:rPr>
              <w:tab/>
              <w:t>Fax:</w:t>
            </w:r>
            <w:r w:rsidRPr="006F49CD">
              <w:rPr>
                <w:sz w:val="20"/>
                <w:lang w:val="en-US"/>
              </w:rPr>
              <w:tab/>
            </w:r>
          </w:p>
          <w:p w:rsidR="00B222DA" w:rsidRPr="006F49CD" w:rsidRDefault="0093758C" w:rsidP="0093758C">
            <w:pPr>
              <w:tabs>
                <w:tab w:val="right" w:leader="dot" w:pos="9525"/>
              </w:tabs>
              <w:rPr>
                <w:sz w:val="20"/>
                <w:lang w:val="en-US"/>
              </w:rPr>
            </w:pPr>
            <w:r w:rsidRPr="006F49CD">
              <w:rPr>
                <w:sz w:val="20"/>
                <w:lang w:val="en-US"/>
              </w:rPr>
              <w:t>E-mail: trujillo@senasica.gob.mx; ana.montealegre@senasica.gob.mx</w:t>
            </w:r>
            <w:r w:rsidRPr="006F49CD">
              <w:rPr>
                <w:sz w:val="20"/>
                <w:lang w:val="en-US"/>
              </w:rPr>
              <w:tab/>
            </w:r>
          </w:p>
        </w:tc>
      </w:tr>
    </w:tbl>
    <w:p w:rsidR="00B222DA" w:rsidRPr="006F49CD" w:rsidRDefault="00B222DA" w:rsidP="00B222DA">
      <w:pPr>
        <w:rPr>
          <w:lang w:val="en-US"/>
        </w:rPr>
      </w:pPr>
    </w:p>
    <w:p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03"/>
        <w:gridCol w:w="8171"/>
      </w:tblGrid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:rsidR="00B222DA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>Does not apply</w:t>
            </w:r>
          </w:p>
        </w:tc>
      </w:tr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Treatment type</w:t>
            </w:r>
          </w:p>
        </w:tc>
        <w:tc>
          <w:tcPr>
            <w:tcW w:w="0" w:type="auto"/>
          </w:tcPr>
          <w:p w:rsidR="00B222DA" w:rsidRPr="006F49CD" w:rsidRDefault="0003571B" w:rsidP="007A0697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Irradiation treatment against </w:t>
            </w:r>
            <w:proofErr w:type="spellStart"/>
            <w:r w:rsidR="00B63962" w:rsidRPr="006F49CD">
              <w:rPr>
                <w:rFonts w:ascii="Arial" w:eastAsia="Times" w:hAnsi="Arial"/>
                <w:i/>
                <w:sz w:val="18"/>
                <w:lang w:val="en-US"/>
              </w:rPr>
              <w:t>Anastrepha</w:t>
            </w:r>
            <w:proofErr w:type="spellEnd"/>
            <w:r w:rsidR="00B63962" w:rsidRPr="006F49CD">
              <w:rPr>
                <w:rFonts w:ascii="Arial" w:eastAsia="Times" w:hAnsi="Arial"/>
                <w:i/>
                <w:sz w:val="18"/>
                <w:lang w:val="en-US"/>
              </w:rPr>
              <w:t xml:space="preserve"> </w:t>
            </w:r>
            <w:r w:rsidR="00B63962" w:rsidRPr="006F49CD">
              <w:rPr>
                <w:rFonts w:ascii="Arial" w:eastAsia="Times" w:hAnsi="Arial"/>
                <w:sz w:val="18"/>
                <w:lang w:val="en-US"/>
              </w:rPr>
              <w:t>spp.</w:t>
            </w:r>
            <w:r w:rsidR="002D3F46" w:rsidRPr="006F49CD">
              <w:rPr>
                <w:rFonts w:ascii="Arial" w:eastAsia="Times" w:hAnsi="Arial"/>
                <w:sz w:val="18"/>
                <w:lang w:val="en-US"/>
              </w:rPr>
              <w:t xml:space="preserve"> </w:t>
            </w:r>
            <w:r w:rsidR="002D3F46" w:rsidRPr="006F49CD">
              <w:rPr>
                <w:rFonts w:ascii="Arial" w:eastAsia="Times" w:hAnsi="Arial"/>
                <w:sz w:val="18"/>
              </w:rPr>
              <w:t>(</w:t>
            </w:r>
            <w:r w:rsidRPr="006F49CD">
              <w:rPr>
                <w:rFonts w:ascii="Arial" w:eastAsia="Times" w:hAnsi="Arial"/>
                <w:sz w:val="18"/>
              </w:rPr>
              <w:t>Dose Modification</w:t>
            </w:r>
            <w:r w:rsidR="002D3F46" w:rsidRPr="006F49CD">
              <w:rPr>
                <w:rFonts w:ascii="Arial" w:eastAsia="Times" w:hAnsi="Arial"/>
                <w:sz w:val="18"/>
              </w:rPr>
              <w:t>)</w:t>
            </w:r>
            <w:r w:rsidR="00B63962" w:rsidRPr="006F49CD">
              <w:rPr>
                <w:rFonts w:ascii="Arial" w:eastAsia="Times" w:hAnsi="Arial"/>
                <w:sz w:val="18"/>
              </w:rPr>
              <w:t xml:space="preserve"> </w:t>
            </w:r>
          </w:p>
        </w:tc>
      </w:tr>
      <w:tr w:rsidR="00580D54" w:rsidRPr="0003571B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:rsidR="00B222DA" w:rsidRPr="006F49CD" w:rsidRDefault="0003571B" w:rsidP="003948CE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Fly fruit </w:t>
            </w:r>
            <w:r w:rsidR="003948CE" w:rsidRPr="006F49CD">
              <w:rPr>
                <w:rFonts w:ascii="Arial" w:eastAsia="Times" w:hAnsi="Arial"/>
                <w:sz w:val="18"/>
                <w:lang w:val="en-US"/>
              </w:rPr>
              <w:t>from</w:t>
            </w: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 the family </w:t>
            </w:r>
            <w:proofErr w:type="spellStart"/>
            <w:r w:rsidR="00B63962" w:rsidRPr="006F49CD">
              <w:rPr>
                <w:rFonts w:ascii="Arial" w:eastAsia="Times" w:hAnsi="Arial"/>
                <w:sz w:val="18"/>
                <w:lang w:val="en-US"/>
              </w:rPr>
              <w:t>Tephritidae</w:t>
            </w:r>
            <w:proofErr w:type="spellEnd"/>
            <w:r w:rsidR="00B63962" w:rsidRPr="006F49CD">
              <w:rPr>
                <w:rFonts w:ascii="Arial" w:eastAsia="Times" w:hAnsi="Arial"/>
                <w:sz w:val="18"/>
                <w:lang w:val="en-US"/>
              </w:rPr>
              <w:t xml:space="preserve"> (</w:t>
            </w:r>
            <w:proofErr w:type="spellStart"/>
            <w:r w:rsidR="00B63962" w:rsidRPr="006F49CD">
              <w:rPr>
                <w:rFonts w:ascii="Arial" w:eastAsia="Times" w:hAnsi="Arial"/>
                <w:sz w:val="18"/>
                <w:lang w:val="en-US"/>
              </w:rPr>
              <w:t>Dipera</w:t>
            </w:r>
            <w:proofErr w:type="spellEnd"/>
            <w:r w:rsidR="00B63962" w:rsidRPr="006F49CD">
              <w:rPr>
                <w:rFonts w:ascii="Arial" w:eastAsia="Times" w:hAnsi="Arial"/>
                <w:sz w:val="18"/>
                <w:lang w:val="en-US"/>
              </w:rPr>
              <w:t xml:space="preserve">: </w:t>
            </w:r>
            <w:proofErr w:type="spellStart"/>
            <w:r w:rsidR="00B63962" w:rsidRPr="006F49CD">
              <w:rPr>
                <w:rFonts w:ascii="Arial" w:eastAsia="Times" w:hAnsi="Arial"/>
                <w:sz w:val="18"/>
                <w:lang w:val="en-US"/>
              </w:rPr>
              <w:t>Tephritidae</w:t>
            </w:r>
            <w:proofErr w:type="spellEnd"/>
            <w:r w:rsidR="00CA6454" w:rsidRPr="006F49CD">
              <w:rPr>
                <w:rFonts w:ascii="Arial" w:eastAsia="Times" w:hAnsi="Arial"/>
                <w:sz w:val="18"/>
                <w:lang w:val="en-US"/>
              </w:rPr>
              <w:t xml:space="preserve">) </w:t>
            </w:r>
          </w:p>
        </w:tc>
      </w:tr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:rsidR="00B222DA" w:rsidRPr="006F49CD" w:rsidRDefault="00CF5802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</w:rPr>
              <w:t>Mango</w:t>
            </w:r>
            <w:r w:rsidR="003A393A" w:rsidRPr="006F49CD">
              <w:rPr>
                <w:rFonts w:ascii="Arial" w:eastAsia="Times" w:hAnsi="Arial"/>
                <w:sz w:val="18"/>
              </w:rPr>
              <w:t xml:space="preserve"> Fruits</w:t>
            </w:r>
            <w:r w:rsidRPr="006F49CD"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</w:rPr>
              <w:t>Mangifera</w:t>
            </w:r>
            <w:proofErr w:type="spellEnd"/>
            <w:r w:rsidRPr="006F49CD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</w:rPr>
              <w:t>indica</w:t>
            </w:r>
            <w:proofErr w:type="spellEnd"/>
            <w:r w:rsidRPr="006F49CD">
              <w:rPr>
                <w:rFonts w:ascii="Arial" w:eastAsia="Times" w:hAnsi="Arial"/>
                <w:sz w:val="18"/>
              </w:rPr>
              <w:t>)</w:t>
            </w:r>
          </w:p>
        </w:tc>
      </w:tr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:rsidR="00CF5802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Minimum dose of 70 </w:t>
            </w:r>
            <w:proofErr w:type="spellStart"/>
            <w:r w:rsidRPr="006F49CD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 to prevent the emergence of adults for</w:t>
            </w:r>
            <w:r w:rsidR="00CF5802" w:rsidRPr="006F49CD">
              <w:rPr>
                <w:rFonts w:ascii="Arial" w:eastAsia="Times" w:hAnsi="Arial"/>
                <w:sz w:val="18"/>
                <w:lang w:val="en-US"/>
              </w:rPr>
              <w:t xml:space="preserve"> </w:t>
            </w:r>
            <w:proofErr w:type="spellStart"/>
            <w:r w:rsidR="00CF5802" w:rsidRPr="006F49CD">
              <w:rPr>
                <w:rFonts w:ascii="Arial" w:eastAsia="Times" w:hAnsi="Arial"/>
                <w:i/>
                <w:sz w:val="18"/>
                <w:lang w:val="en-US"/>
              </w:rPr>
              <w:t>Anastrepha</w:t>
            </w:r>
            <w:proofErr w:type="spellEnd"/>
            <w:r w:rsidR="00CF5802" w:rsidRPr="006F49CD">
              <w:rPr>
                <w:rFonts w:ascii="Arial" w:eastAsia="Times" w:hAnsi="Arial"/>
                <w:sz w:val="18"/>
                <w:lang w:val="en-US"/>
              </w:rPr>
              <w:t xml:space="preserve"> spp. </w:t>
            </w:r>
          </w:p>
          <w:p w:rsidR="00CF5802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>There is a 95% confidence level in treatment that prevents the emergence of not less than 99.9% of adult fruit flies in the adult stage.</w:t>
            </w:r>
          </w:p>
          <w:p w:rsidR="00B222DA" w:rsidRPr="006F49CD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</w:rPr>
              <w:t>(Include a brief description such as active ingredient, dose, time and temperature and the efficacy of the treatment (effective dose and confidence limits))</w:t>
            </w:r>
          </w:p>
        </w:tc>
      </w:tr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:rsidR="0003571B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Because irradiation does not necessarily cause death, inspectors may find individuals of species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lang w:val="en-US"/>
              </w:rPr>
              <w:t>Anastrepha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 spp. (Larvae or pupae), although not viable, during the inspection process. This would not be a failure of treatment.</w:t>
            </w:r>
          </w:p>
          <w:p w:rsidR="0003571B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The present proposal was based on the work done by Hallman (2013) in which it was analyzed and determined the existence of sufficient support for a generic dose lower than 150 </w:t>
            </w:r>
            <w:proofErr w:type="spellStart"/>
            <w:r w:rsidRPr="006F49CD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, considering that the objective of the irradiation treatment in </w:t>
            </w:r>
            <w:proofErr w:type="spellStart"/>
            <w:r w:rsidRPr="006F49CD">
              <w:rPr>
                <w:rFonts w:ascii="Arial" w:eastAsia="Times" w:hAnsi="Arial"/>
                <w:sz w:val="18"/>
                <w:lang w:val="en-US"/>
              </w:rPr>
              <w:t>Tephritidae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 is the prevention of the Adult emergence when eggs or larvae are irradiated in the fruit and that the 3rd instar is the most tolerant stage.</w:t>
            </w:r>
          </w:p>
          <w:p w:rsidR="0003571B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It was reviewed that at doses between 69 and 100 </w:t>
            </w:r>
            <w:proofErr w:type="spellStart"/>
            <w:r w:rsidRPr="006F49CD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>, applied to third instar larvae, there was no adult emergenc</w:t>
            </w:r>
            <w:r w:rsidR="003A393A" w:rsidRPr="006F49CD">
              <w:rPr>
                <w:rFonts w:ascii="Arial" w:eastAsia="Times" w:hAnsi="Arial"/>
                <w:sz w:val="18"/>
                <w:lang w:val="en-US"/>
              </w:rPr>
              <w:t>e</w:t>
            </w:r>
          </w:p>
          <w:p w:rsidR="0003571B" w:rsidRPr="006F49CD" w:rsidRDefault="0003571B" w:rsidP="00B222DA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>Based on the apparent homogeneous radiation response within the genus</w:t>
            </w:r>
            <w:r w:rsidRPr="006F49CD">
              <w:rPr>
                <w:rFonts w:ascii="Arial" w:eastAsia="Times" w:hAnsi="Arial"/>
                <w:i/>
                <w:sz w:val="18"/>
                <w:lang w:val="en-US"/>
              </w:rPr>
              <w:t xml:space="preserve">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lang w:val="en-US"/>
              </w:rPr>
              <w:t>Anastrepha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 and the fact that the IPPC has approved this dose for two key species, they propose a generic dose of 70 </w:t>
            </w:r>
            <w:proofErr w:type="spellStart"/>
            <w:r w:rsidRPr="006F49CD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Pr="006F49CD">
              <w:rPr>
                <w:rFonts w:ascii="Arial" w:eastAsia="Times" w:hAnsi="Arial"/>
                <w:sz w:val="18"/>
                <w:lang w:val="en-US"/>
              </w:rPr>
              <w:t xml:space="preserve">. </w:t>
            </w:r>
          </w:p>
          <w:p w:rsidR="00B222DA" w:rsidRPr="006F49CD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</w:rPr>
              <w:t>(This should include any assumptions or extrapolations and the supporting evidence for these)</w:t>
            </w:r>
          </w:p>
        </w:tc>
      </w:tr>
      <w:tr w:rsidR="00580D54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:rsidR="00B222DA" w:rsidRPr="006F49CD" w:rsidRDefault="00583054" w:rsidP="0079274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6F49CD">
              <w:rPr>
                <w:rFonts w:ascii="Arial" w:eastAsia="Times" w:hAnsi="Arial"/>
                <w:sz w:val="18"/>
              </w:rPr>
              <w:t xml:space="preserve">Hallman G.J., 2013, Rationale for a generic phytosanitary irradiation dose of 70 </w:t>
            </w:r>
            <w:proofErr w:type="spellStart"/>
            <w:r w:rsidRPr="006F49CD">
              <w:rPr>
                <w:rFonts w:ascii="Arial" w:eastAsia="Times" w:hAnsi="Arial"/>
                <w:sz w:val="18"/>
              </w:rPr>
              <w:t>Gy</w:t>
            </w:r>
            <w:proofErr w:type="spellEnd"/>
            <w:r w:rsidRPr="006F49CD">
              <w:rPr>
                <w:rFonts w:ascii="Arial" w:eastAsia="Times" w:hAnsi="Arial"/>
                <w:sz w:val="18"/>
              </w:rPr>
              <w:t xml:space="preserve"> for the genus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</w:rPr>
              <w:t>Antastrepha</w:t>
            </w:r>
            <w:proofErr w:type="spellEnd"/>
            <w:r w:rsidRPr="006F49CD"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 w:rsidRPr="006F49CD">
              <w:rPr>
                <w:rFonts w:ascii="Arial" w:eastAsia="Times" w:hAnsi="Arial"/>
                <w:sz w:val="18"/>
              </w:rPr>
              <w:t>Diptera</w:t>
            </w:r>
            <w:proofErr w:type="spellEnd"/>
            <w:r w:rsidRPr="006F49CD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 w:rsidRPr="006F49CD">
              <w:rPr>
                <w:rFonts w:ascii="Arial" w:eastAsia="Times" w:hAnsi="Arial"/>
                <w:sz w:val="18"/>
              </w:rPr>
              <w:t>Tephritidae</w:t>
            </w:r>
            <w:proofErr w:type="spellEnd"/>
            <w:r w:rsidRPr="006F49CD">
              <w:rPr>
                <w:rFonts w:ascii="Arial" w:eastAsia="Times" w:hAnsi="Arial"/>
                <w:sz w:val="18"/>
              </w:rPr>
              <w:t>), Florida Entomologist Vol. 96, No. 3, ISSN: 1938-5102.</w:t>
            </w:r>
          </w:p>
        </w:tc>
      </w:tr>
    </w:tbl>
    <w:p w:rsidR="00B222DA" w:rsidRPr="00B222DA" w:rsidRDefault="00B222DA" w:rsidP="00B222DA"/>
    <w:p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74"/>
      </w:tblGrid>
      <w:tr w:rsidR="00B222DA" w:rsidRPr="00B222DA" w:rsidTr="0019346C">
        <w:trPr>
          <w:jc w:val="center"/>
        </w:trPr>
        <w:tc>
          <w:tcPr>
            <w:tcW w:w="0" w:type="auto"/>
            <w:shd w:val="clear" w:color="auto" w:fill="24406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733E54" w:rsidP="003948CE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proofErr w:type="spellStart"/>
            <w:r w:rsidRPr="008665CE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Anastrepha</w:t>
            </w:r>
            <w:proofErr w:type="spellEnd"/>
            <w:r w:rsidRPr="008665CE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65CE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ludens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, A</w:t>
            </w:r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.</w:t>
            </w:r>
            <w:r w:rsidR="00EC7302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C7302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obliqua</w:t>
            </w:r>
            <w:proofErr w:type="spellEnd"/>
            <w:r w:rsidR="00EC7302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,</w:t>
            </w:r>
            <w:r w:rsidR="00182C3F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A. </w:t>
            </w:r>
            <w:proofErr w:type="spellStart"/>
            <w:r w:rsidR="00182C3F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serpentina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y</w:t>
            </w:r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A.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striata</w:t>
            </w:r>
            <w:proofErr w:type="spellEnd"/>
            <w:r w:rsidR="00182C3F" w:rsidRPr="006F49CD">
              <w:rPr>
                <w:lang w:val="en-US"/>
              </w:rPr>
              <w:t xml:space="preserve">, </w:t>
            </w:r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t</w:t>
            </w:r>
            <w:r w:rsidR="0003571B" w:rsidRPr="006F49CD">
              <w:rPr>
                <w:rFonts w:ascii="Arial" w:eastAsia="Times" w:hAnsi="Arial"/>
                <w:sz w:val="18"/>
                <w:szCs w:val="18"/>
                <w:lang w:val="en-US"/>
              </w:rPr>
              <w:t>hird instar larvae, which were reared on a diet basis and artificially inserted into the fruits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Laboratory conditions with artificial diet.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High reproduction rate, wide range of hosts.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Artificial, fruits larvae of the third instar were introduced to the fruits by means of vials.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Third instar larval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Fresh fruit for human consumption.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EC7302" w:rsidP="00B222DA">
            <w:pPr>
              <w:rPr>
                <w:rFonts w:ascii="Arial" w:eastAsia="Times" w:hAnsi="Arial"/>
                <w:i/>
                <w:sz w:val="18"/>
                <w:szCs w:val="18"/>
              </w:rPr>
            </w:pP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</w:rPr>
              <w:lastRenderedPageBreak/>
              <w:t>Manguifera</w:t>
            </w:r>
            <w:proofErr w:type="spellEnd"/>
            <w:r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</w:rPr>
              <w:t>indica</w:t>
            </w:r>
            <w:proofErr w:type="spellEnd"/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Fresh fruit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95% level of confidence. </w:t>
            </w:r>
            <w:proofErr w:type="spellStart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Probit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9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Laboratory, irradiation equipment with Cobalt 60 (</w:t>
            </w:r>
            <w:proofErr w:type="spellStart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Gammacell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220 and </w:t>
            </w:r>
            <w:proofErr w:type="spellStart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Husman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)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9506EB" w:rsidP="003A393A">
            <w:pPr>
              <w:pStyle w:val="Prrafodelista"/>
              <w:numPr>
                <w:ilvl w:val="0"/>
                <w:numId w:val="20"/>
              </w:numPr>
              <w:ind w:leftChars="0" w:left="142" w:hanging="142"/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Measure of efficacy: Prevention of adult emergence when the 3</w:t>
            </w:r>
            <w:r w:rsidRPr="006F49CD">
              <w:rPr>
                <w:rFonts w:ascii="Arial" w:eastAsia="Times" w:hAnsi="Arial"/>
                <w:sz w:val="18"/>
                <w:szCs w:val="18"/>
                <w:vertAlign w:val="superscript"/>
              </w:rPr>
              <w:t>rd</w:t>
            </w:r>
            <w:r w:rsidRPr="006F49CD">
              <w:rPr>
                <w:rFonts w:ascii="Arial" w:eastAsia="Times" w:hAnsi="Arial"/>
                <w:sz w:val="18"/>
                <w:szCs w:val="18"/>
              </w:rPr>
              <w:t xml:space="preserve"> instar.</w:t>
            </w:r>
          </w:p>
          <w:p w:rsidR="009506EB" w:rsidRPr="006F49CD" w:rsidRDefault="009506EB" w:rsidP="003A393A">
            <w:pPr>
              <w:pStyle w:val="Prrafodelista"/>
              <w:numPr>
                <w:ilvl w:val="0"/>
                <w:numId w:val="20"/>
              </w:numPr>
              <w:ind w:leftChars="0" w:left="142" w:hanging="142"/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 xml:space="preserve">Dosimetry: </w:t>
            </w:r>
            <w:r w:rsidR="00D278E2" w:rsidRPr="006F49CD">
              <w:rPr>
                <w:rFonts w:ascii="Arial" w:eastAsia="Times" w:hAnsi="Arial"/>
                <w:sz w:val="18"/>
                <w:szCs w:val="18"/>
              </w:rPr>
              <w:t>irradiators</w:t>
            </w:r>
            <w:r w:rsidRPr="006F49CD">
              <w:rPr>
                <w:rFonts w:ascii="Arial" w:eastAsia="Times" w:hAnsi="Arial"/>
                <w:sz w:val="18"/>
                <w:szCs w:val="18"/>
              </w:rPr>
              <w:t xml:space="preserve"> (Gammacell 220</w:t>
            </w:r>
            <w:r w:rsidR="00E46D97" w:rsidRPr="006F49CD">
              <w:rPr>
                <w:rFonts w:ascii="Arial" w:eastAsia="Times" w:hAnsi="Arial"/>
                <w:sz w:val="18"/>
                <w:szCs w:val="18"/>
              </w:rPr>
              <w:t>, JS-7400, Nordion, Ottawa</w:t>
            </w:r>
            <w:r w:rsidRPr="006F49CD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278E2" w:rsidRPr="006F49CD">
              <w:rPr>
                <w:rFonts w:ascii="Arial" w:eastAsia="Times" w:hAnsi="Arial"/>
                <w:sz w:val="18"/>
                <w:szCs w:val="18"/>
              </w:rPr>
              <w:t>and</w:t>
            </w:r>
            <w:r w:rsidRPr="006F49CD">
              <w:rPr>
                <w:rFonts w:ascii="Arial" w:eastAsia="Times" w:hAnsi="Arial"/>
                <w:sz w:val="18"/>
                <w:szCs w:val="18"/>
              </w:rPr>
              <w:t xml:space="preserve"> Husman)</w:t>
            </w:r>
          </w:p>
          <w:p w:rsidR="00502EBB" w:rsidRPr="006F49CD" w:rsidRDefault="00502EBB" w:rsidP="000A4CC7">
            <w:pPr>
              <w:pStyle w:val="Prrafodelista"/>
              <w:numPr>
                <w:ilvl w:val="0"/>
                <w:numId w:val="20"/>
              </w:numPr>
              <w:ind w:leftChars="0" w:left="142" w:hanging="142"/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 xml:space="preserve">Infestation technique: </w:t>
            </w:r>
            <w:r w:rsidR="00F96CFA" w:rsidRPr="006F49CD">
              <w:rPr>
                <w:rFonts w:ascii="Arial" w:eastAsia="Times" w:hAnsi="Arial"/>
                <w:sz w:val="18"/>
                <w:szCs w:val="18"/>
              </w:rPr>
              <w:t xml:space="preserve">artificial infestation techniques; larvae reared on diet were inserted into holes made in fruit </w:t>
            </w:r>
            <w:r w:rsidR="000A4CC7" w:rsidRPr="006F49CD">
              <w:rPr>
                <w:rFonts w:ascii="Arial" w:eastAsia="Times" w:hAnsi="Arial"/>
                <w:sz w:val="18"/>
                <w:szCs w:val="18"/>
              </w:rPr>
              <w:t>or</w:t>
            </w:r>
            <w:r w:rsidR="00F96CFA" w:rsidRPr="006F49CD">
              <w:rPr>
                <w:rFonts w:ascii="Arial" w:eastAsia="Times" w:hAnsi="Arial"/>
                <w:sz w:val="18"/>
                <w:szCs w:val="18"/>
              </w:rPr>
              <w:t xml:space="preserve"> places in vials which were inserted into fruit.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83054" w:rsidRPr="006F49CD" w:rsidRDefault="003948CE" w:rsidP="00182C3F">
            <w:pPr>
              <w:rPr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Dosimetry, definition of efficacy, most radio-tolerant, stage, infestation technique, low oxygen level during irradiation and the response of non-irradiated control organisms.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Adult Emergence.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6F49CD" w:rsidRDefault="003948CE" w:rsidP="000A4CC7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E</w:t>
            </w:r>
            <w:r w:rsidR="000A4CC7" w:rsidRPr="006F49CD">
              <w:rPr>
                <w:rFonts w:ascii="Arial" w:eastAsia="Times" w:hAnsi="Arial"/>
                <w:sz w:val="18"/>
                <w:szCs w:val="18"/>
                <w:lang w:val="en-US"/>
              </w:rPr>
              <w:t>valuation of the adult emergence</w:t>
            </w: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percentage of irradiated larvae </w:t>
            </w:r>
            <w:r w:rsidR="000A4CC7" w:rsidRPr="006F49CD">
              <w:rPr>
                <w:rFonts w:ascii="Arial" w:eastAsia="Times" w:hAnsi="Arial"/>
                <w:sz w:val="18"/>
                <w:szCs w:val="18"/>
                <w:lang w:val="en-US"/>
              </w:rPr>
              <w:t>with</w:t>
            </w: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different doses </w:t>
            </w:r>
            <w:r w:rsidR="000A4CC7" w:rsidRPr="006F49CD">
              <w:rPr>
                <w:rFonts w:ascii="Arial" w:eastAsia="Times" w:hAnsi="Arial"/>
                <w:sz w:val="18"/>
                <w:szCs w:val="18"/>
                <w:lang w:val="en-US"/>
              </w:rPr>
              <w:t>of</w:t>
            </w:r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cobalt 60.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948CE" w:rsidRPr="006F49CD" w:rsidRDefault="008A4BA8" w:rsidP="008A4BA8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Anastrepha</w:t>
            </w:r>
            <w:proofErr w:type="spellEnd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ludens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: </w:t>
            </w:r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The 1.5% emergence of adults in irradiated oranges at a dose of 60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was determined. For mango, 86% of adult emergency control was determined with an irradiation dose of 40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. In pomelos, it was determined that at 69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doses, neither larva of the third instar emerged.</w:t>
            </w:r>
          </w:p>
          <w:p w:rsidR="003948CE" w:rsidRPr="006F49CD" w:rsidRDefault="00BA6DCD" w:rsidP="00733E54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A</w:t>
            </w:r>
            <w:r w:rsidR="00733E54"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obliqua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  <w:lang w:val="en-US"/>
              </w:rPr>
              <w:t>:</w:t>
            </w:r>
            <w:r w:rsidR="0065710F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</w:t>
            </w:r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A control of 66% in larvae of the third instar in irradiated guava was determined at a dose of 50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. For mango fruit at doses of 60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, 0% of adult emergence was estimated. For carambola fruits at doses of 50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, 65% of control in the emergence of adults was determined.</w:t>
            </w:r>
          </w:p>
          <w:p w:rsidR="00733E54" w:rsidRPr="006F49CD" w:rsidRDefault="00733E54" w:rsidP="00733E54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A.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serpentina</w:t>
            </w:r>
            <w:proofErr w:type="spellEnd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: </w:t>
            </w:r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In mangos, it was found that at doses of 40 and 60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, the emergence of adults was 0.2 to 0%.</w:t>
            </w:r>
          </w:p>
          <w:p w:rsidR="00733E54" w:rsidRPr="006F49CD" w:rsidRDefault="00733E54" w:rsidP="00733E54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A. </w:t>
            </w:r>
            <w:proofErr w:type="spellStart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striata</w:t>
            </w:r>
            <w:proofErr w:type="spellEnd"/>
            <w:r w:rsidRPr="006F49CD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, </w:t>
            </w:r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In guava, dose ranges of 29.7-30.3 and 39.7-40.3 </w:t>
            </w:r>
            <w:proofErr w:type="spellStart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>Gy</w:t>
            </w:r>
            <w:proofErr w:type="spellEnd"/>
            <w:r w:rsidR="003948CE" w:rsidRPr="006F49CD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were absorbed, resulting in adult emergence at 0.1% and 0%.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6F49CD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6F49CD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222DA" w:rsidRPr="006F49CD" w:rsidRDefault="003948CE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lang w:val="en-US"/>
              </w:rPr>
              <w:t>Does not apply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6F49CD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6F49CD" w:rsidRPr="006F49CD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B222DA" w:rsidRPr="006F49CD" w:rsidRDefault="00182C3F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6F49CD">
              <w:rPr>
                <w:rFonts w:ascii="Arial" w:eastAsia="Times" w:hAnsi="Arial"/>
                <w:sz w:val="18"/>
                <w:szCs w:val="18"/>
              </w:rPr>
              <w:t>I</w:t>
            </w:r>
            <w:r w:rsidR="00E26418" w:rsidRPr="006F49CD">
              <w:rPr>
                <w:rFonts w:ascii="Arial" w:eastAsia="Times" w:hAnsi="Arial"/>
                <w:sz w:val="18"/>
                <w:szCs w:val="18"/>
              </w:rPr>
              <w:t>rradiators (</w:t>
            </w:r>
            <w:proofErr w:type="spellStart"/>
            <w:r w:rsidR="00E46D97" w:rsidRPr="006F49CD">
              <w:rPr>
                <w:rFonts w:ascii="Arial" w:eastAsia="Times" w:hAnsi="Arial"/>
                <w:sz w:val="18"/>
                <w:szCs w:val="18"/>
              </w:rPr>
              <w:t>Gammacell</w:t>
            </w:r>
            <w:proofErr w:type="spellEnd"/>
            <w:r w:rsidR="00E46D97" w:rsidRPr="006F49CD">
              <w:rPr>
                <w:rFonts w:ascii="Arial" w:eastAsia="Times" w:hAnsi="Arial"/>
                <w:sz w:val="18"/>
                <w:szCs w:val="18"/>
              </w:rPr>
              <w:t xml:space="preserve"> 220, JS-7400, </w:t>
            </w:r>
            <w:proofErr w:type="spellStart"/>
            <w:r w:rsidR="00E46D97" w:rsidRPr="006F49CD">
              <w:rPr>
                <w:rFonts w:ascii="Arial" w:eastAsia="Times" w:hAnsi="Arial"/>
                <w:sz w:val="18"/>
                <w:szCs w:val="18"/>
              </w:rPr>
              <w:t>Nordion</w:t>
            </w:r>
            <w:proofErr w:type="spellEnd"/>
            <w:r w:rsidR="00E46D97" w:rsidRPr="006F49CD">
              <w:rPr>
                <w:rFonts w:ascii="Arial" w:eastAsia="Times" w:hAnsi="Arial"/>
                <w:sz w:val="18"/>
                <w:szCs w:val="18"/>
              </w:rPr>
              <w:t xml:space="preserve">, Ottawa and </w:t>
            </w:r>
            <w:proofErr w:type="spellStart"/>
            <w:r w:rsidR="00E46D97" w:rsidRPr="006F49CD">
              <w:rPr>
                <w:rFonts w:ascii="Arial" w:eastAsia="Times" w:hAnsi="Arial"/>
                <w:sz w:val="18"/>
                <w:szCs w:val="18"/>
              </w:rPr>
              <w:t>Husman</w:t>
            </w:r>
            <w:proofErr w:type="spellEnd"/>
            <w:r w:rsidR="00E26418" w:rsidRPr="006F49CD">
              <w:rPr>
                <w:rFonts w:ascii="Arial" w:eastAsia="Times" w:hAnsi="Arial"/>
                <w:sz w:val="18"/>
                <w:szCs w:val="18"/>
              </w:rPr>
              <w:t xml:space="preserve">), for </w:t>
            </w:r>
            <w:r w:rsidR="00E26418"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A. </w:t>
            </w:r>
            <w:proofErr w:type="spellStart"/>
            <w:r w:rsidR="00E26418" w:rsidRPr="006F49CD">
              <w:rPr>
                <w:rFonts w:ascii="Arial" w:eastAsia="Times" w:hAnsi="Arial"/>
                <w:i/>
                <w:sz w:val="18"/>
                <w:szCs w:val="18"/>
              </w:rPr>
              <w:t>ludens</w:t>
            </w:r>
            <w:proofErr w:type="spellEnd"/>
            <w:r w:rsidR="00E26418" w:rsidRPr="006F49CD">
              <w:rPr>
                <w:rFonts w:ascii="Arial" w:eastAsia="Times" w:hAnsi="Arial"/>
                <w:sz w:val="18"/>
                <w:szCs w:val="18"/>
              </w:rPr>
              <w:t xml:space="preserve"> dose 60 </w:t>
            </w:r>
            <w:proofErr w:type="spellStart"/>
            <w:r w:rsidR="00E26418" w:rsidRPr="006F49CD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E26418" w:rsidRPr="006F49CD">
              <w:rPr>
                <w:rFonts w:ascii="Arial" w:eastAsia="Times" w:hAnsi="Arial"/>
                <w:sz w:val="18"/>
                <w:szCs w:val="18"/>
              </w:rPr>
              <w:t xml:space="preserve"> for mangoes and orange, for </w:t>
            </w:r>
            <w:r w:rsidR="00E26418"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A. </w:t>
            </w:r>
            <w:proofErr w:type="spellStart"/>
            <w:r w:rsidR="00E26418" w:rsidRPr="006F49CD">
              <w:rPr>
                <w:rFonts w:ascii="Arial" w:eastAsia="Times" w:hAnsi="Arial"/>
                <w:i/>
                <w:sz w:val="18"/>
                <w:szCs w:val="18"/>
              </w:rPr>
              <w:t>obliqua</w:t>
            </w:r>
            <w:proofErr w:type="spellEnd"/>
            <w:r w:rsidR="00E26418" w:rsidRPr="006F49CD">
              <w:rPr>
                <w:rFonts w:ascii="Arial" w:eastAsia="Times" w:hAnsi="Arial"/>
                <w:sz w:val="18"/>
                <w:szCs w:val="18"/>
              </w:rPr>
              <w:t xml:space="preserve"> dose 50 </w:t>
            </w:r>
            <w:proofErr w:type="spellStart"/>
            <w:r w:rsidR="00E26418" w:rsidRPr="006F49CD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E26418" w:rsidRPr="006F49CD">
              <w:rPr>
                <w:rFonts w:ascii="Arial" w:eastAsia="Times" w:hAnsi="Arial"/>
                <w:sz w:val="18"/>
                <w:szCs w:val="18"/>
              </w:rPr>
              <w:t xml:space="preserve"> for guava and carambola</w:t>
            </w:r>
            <w:r w:rsidRPr="006F49CD">
              <w:rPr>
                <w:rFonts w:ascii="Arial" w:eastAsia="Times" w:hAnsi="Arial"/>
                <w:sz w:val="18"/>
                <w:szCs w:val="18"/>
              </w:rPr>
              <w:t>.</w:t>
            </w:r>
            <w:r w:rsidR="00733E54" w:rsidRPr="006F49CD">
              <w:rPr>
                <w:rFonts w:ascii="Arial" w:eastAsia="Times" w:hAnsi="Arial"/>
                <w:sz w:val="18"/>
                <w:szCs w:val="18"/>
              </w:rPr>
              <w:t xml:space="preserve"> For </w:t>
            </w:r>
            <w:r w:rsidR="00733E54"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A. serpentine </w:t>
            </w:r>
            <w:r w:rsidR="00733E54" w:rsidRPr="006F49CD">
              <w:rPr>
                <w:rFonts w:ascii="Arial" w:eastAsia="Times" w:hAnsi="Arial"/>
                <w:sz w:val="18"/>
                <w:szCs w:val="18"/>
              </w:rPr>
              <w:t xml:space="preserve">dose 60 </w:t>
            </w:r>
            <w:proofErr w:type="spellStart"/>
            <w:r w:rsidR="00733E54" w:rsidRPr="006F49CD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733E54" w:rsidRPr="006F49CD">
              <w:rPr>
                <w:rFonts w:ascii="Arial" w:eastAsia="Times" w:hAnsi="Arial"/>
                <w:sz w:val="18"/>
                <w:szCs w:val="18"/>
              </w:rPr>
              <w:t xml:space="preserve"> for mangoes. For </w:t>
            </w:r>
            <w:r w:rsidR="00733E54"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A. </w:t>
            </w:r>
            <w:proofErr w:type="spellStart"/>
            <w:r w:rsidR="00733E54" w:rsidRPr="006F49CD">
              <w:rPr>
                <w:rFonts w:ascii="Arial" w:eastAsia="Times" w:hAnsi="Arial"/>
                <w:i/>
                <w:sz w:val="18"/>
                <w:szCs w:val="18"/>
              </w:rPr>
              <w:t>striata</w:t>
            </w:r>
            <w:proofErr w:type="spellEnd"/>
            <w:r w:rsidR="00733E54" w:rsidRPr="006F49CD">
              <w:rPr>
                <w:rFonts w:ascii="Arial" w:eastAsia="Times" w:hAnsi="Arial"/>
                <w:i/>
                <w:sz w:val="18"/>
                <w:szCs w:val="18"/>
              </w:rPr>
              <w:t xml:space="preserve"> </w:t>
            </w:r>
            <w:r w:rsidR="00733E54" w:rsidRPr="006F49CD">
              <w:rPr>
                <w:rFonts w:ascii="Arial" w:eastAsia="Times" w:hAnsi="Arial"/>
                <w:sz w:val="18"/>
                <w:szCs w:val="18"/>
              </w:rPr>
              <w:t xml:space="preserve">dose 40 </w:t>
            </w:r>
            <w:proofErr w:type="spellStart"/>
            <w:r w:rsidR="00733E54" w:rsidRPr="006F49CD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733E54" w:rsidRPr="006F49CD">
              <w:rPr>
                <w:rFonts w:ascii="Arial" w:eastAsia="Times" w:hAnsi="Arial"/>
                <w:sz w:val="18"/>
                <w:szCs w:val="18"/>
              </w:rPr>
              <w:t xml:space="preserve"> for guava.</w:t>
            </w:r>
          </w:p>
          <w:p w:rsidR="00733E54" w:rsidRPr="006F49CD" w:rsidRDefault="00733E54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F90EA9" w:rsidRPr="00F90EA9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F90EA9" w:rsidRDefault="00F90EA9" w:rsidP="00B222DA">
            <w:pPr>
              <w:rPr>
                <w:rFonts w:ascii="Arial" w:eastAsia="Times" w:hAnsi="Arial"/>
                <w:caps/>
                <w:color w:val="FF0000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Level of confidence of laboratory tests provided by the method of statistical analysis and the data supporting that calculation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FB49B7" w:rsidRPr="00FB49B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FB49B7" w:rsidRDefault="00F90EA9" w:rsidP="00FB49B7">
            <w:pPr>
              <w:rPr>
                <w:rFonts w:ascii="Arial" w:eastAsia="Times" w:hAnsi="Arial"/>
                <w:color w:val="FF0000"/>
                <w:sz w:val="18"/>
                <w:szCs w:val="18"/>
              </w:rPr>
            </w:pP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F90EA9" w:rsidRPr="00B222DA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</w:tbl>
    <w:p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:rsidR="000170B8" w:rsidRPr="0003571B" w:rsidRDefault="000170B8">
      <w:pPr>
        <w:rPr>
          <w:lang w:val="es-MX"/>
        </w:rPr>
      </w:pPr>
    </w:p>
    <w:sectPr w:rsidR="000170B8" w:rsidRPr="0003571B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A36" w:rsidRDefault="009B4A36" w:rsidP="00B222DA">
      <w:r>
        <w:separator/>
      </w:r>
    </w:p>
  </w:endnote>
  <w:endnote w:type="continuationSeparator" w:id="0">
    <w:p w:rsidR="009B4A36" w:rsidRDefault="009B4A36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A36" w:rsidRDefault="009B4A36" w:rsidP="00B222DA">
      <w:r>
        <w:separator/>
      </w:r>
    </w:p>
  </w:footnote>
  <w:footnote w:type="continuationSeparator" w:id="0">
    <w:p w:rsidR="009B4A36" w:rsidRDefault="009B4A36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06D28"/>
    <w:multiLevelType w:val="hybridMultilevel"/>
    <w:tmpl w:val="99F4A13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546B3"/>
    <w:multiLevelType w:val="hybridMultilevel"/>
    <w:tmpl w:val="F4DE6C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857CA"/>
    <w:multiLevelType w:val="hybridMultilevel"/>
    <w:tmpl w:val="2E5C0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5"/>
  </w:num>
  <w:num w:numId="5">
    <w:abstractNumId w:val="13"/>
  </w:num>
  <w:num w:numId="6">
    <w:abstractNumId w:val="9"/>
  </w:num>
  <w:num w:numId="7">
    <w:abstractNumId w:val="6"/>
  </w:num>
  <w:num w:numId="8">
    <w:abstractNumId w:val="14"/>
  </w:num>
  <w:num w:numId="9">
    <w:abstractNumId w:val="4"/>
  </w:num>
  <w:num w:numId="10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8"/>
  </w:num>
  <w:num w:numId="18">
    <w:abstractNumId w:val="12"/>
  </w:num>
  <w:num w:numId="19">
    <w:abstractNumId w:val="10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AC"/>
    <w:rsid w:val="0001163F"/>
    <w:rsid w:val="000170B8"/>
    <w:rsid w:val="0003571B"/>
    <w:rsid w:val="00041646"/>
    <w:rsid w:val="000530F4"/>
    <w:rsid w:val="0006460B"/>
    <w:rsid w:val="0009561B"/>
    <w:rsid w:val="000A4CC7"/>
    <w:rsid w:val="000B2E66"/>
    <w:rsid w:val="000B5660"/>
    <w:rsid w:val="000E676E"/>
    <w:rsid w:val="00127524"/>
    <w:rsid w:val="001339D2"/>
    <w:rsid w:val="00173E15"/>
    <w:rsid w:val="00182C3F"/>
    <w:rsid w:val="001A51DD"/>
    <w:rsid w:val="001A78BC"/>
    <w:rsid w:val="001B353F"/>
    <w:rsid w:val="001F7A9B"/>
    <w:rsid w:val="00230255"/>
    <w:rsid w:val="002900DA"/>
    <w:rsid w:val="002A4328"/>
    <w:rsid w:val="002D3F46"/>
    <w:rsid w:val="00314D1C"/>
    <w:rsid w:val="003308C9"/>
    <w:rsid w:val="003948CE"/>
    <w:rsid w:val="003A393A"/>
    <w:rsid w:val="0042165D"/>
    <w:rsid w:val="0045501F"/>
    <w:rsid w:val="00496DFE"/>
    <w:rsid w:val="004C50C4"/>
    <w:rsid w:val="004E2EBC"/>
    <w:rsid w:val="00502EBB"/>
    <w:rsid w:val="005041FD"/>
    <w:rsid w:val="00572023"/>
    <w:rsid w:val="005751B7"/>
    <w:rsid w:val="00580D54"/>
    <w:rsid w:val="00583054"/>
    <w:rsid w:val="00595E90"/>
    <w:rsid w:val="00597E92"/>
    <w:rsid w:val="005E57F3"/>
    <w:rsid w:val="00624EAC"/>
    <w:rsid w:val="0065710F"/>
    <w:rsid w:val="006F49CD"/>
    <w:rsid w:val="00733E54"/>
    <w:rsid w:val="00773901"/>
    <w:rsid w:val="0079274A"/>
    <w:rsid w:val="007A0697"/>
    <w:rsid w:val="008665CE"/>
    <w:rsid w:val="008A1F46"/>
    <w:rsid w:val="008A4BA8"/>
    <w:rsid w:val="0093758C"/>
    <w:rsid w:val="009506EB"/>
    <w:rsid w:val="009B4A36"/>
    <w:rsid w:val="009D79A0"/>
    <w:rsid w:val="009E3EBF"/>
    <w:rsid w:val="00A41553"/>
    <w:rsid w:val="00AA47D4"/>
    <w:rsid w:val="00B02793"/>
    <w:rsid w:val="00B222DA"/>
    <w:rsid w:val="00B23660"/>
    <w:rsid w:val="00B63962"/>
    <w:rsid w:val="00BA6DCD"/>
    <w:rsid w:val="00BD1D8B"/>
    <w:rsid w:val="00C05DE6"/>
    <w:rsid w:val="00C068EE"/>
    <w:rsid w:val="00CA6454"/>
    <w:rsid w:val="00CB1A84"/>
    <w:rsid w:val="00CB7424"/>
    <w:rsid w:val="00CE26F1"/>
    <w:rsid w:val="00CF5802"/>
    <w:rsid w:val="00D142B2"/>
    <w:rsid w:val="00D278E2"/>
    <w:rsid w:val="00DD706A"/>
    <w:rsid w:val="00DE36DE"/>
    <w:rsid w:val="00E26418"/>
    <w:rsid w:val="00E46D97"/>
    <w:rsid w:val="00E76AD4"/>
    <w:rsid w:val="00E86975"/>
    <w:rsid w:val="00EC032E"/>
    <w:rsid w:val="00EC7302"/>
    <w:rsid w:val="00EE5B03"/>
    <w:rsid w:val="00EF279F"/>
    <w:rsid w:val="00EF7010"/>
    <w:rsid w:val="00EF71F7"/>
    <w:rsid w:val="00F5119D"/>
    <w:rsid w:val="00F5637C"/>
    <w:rsid w:val="00F6758C"/>
    <w:rsid w:val="00F90EA9"/>
    <w:rsid w:val="00F96CFA"/>
    <w:rsid w:val="00FB3D8B"/>
    <w:rsid w:val="00FB49B7"/>
    <w:rsid w:val="00FD735E"/>
    <w:rsid w:val="00F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5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Ttulo1">
    <w:name w:val="heading 1"/>
    <w:basedOn w:val="Normal"/>
    <w:next w:val="Normal"/>
    <w:link w:val="Ttulo1Car"/>
    <w:qFormat/>
    <w:rsid w:val="00FD735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FD735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FD735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D735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D735E"/>
    <w:rPr>
      <w:rFonts w:ascii="Times New Roman" w:eastAsia="MS Mincho" w:hAnsi="Times New Roman" w:cs="Times New Roman"/>
      <w:szCs w:val="24"/>
      <w:lang w:val="en-GB"/>
    </w:rPr>
  </w:style>
  <w:style w:type="paragraph" w:styleId="Piedepgina">
    <w:name w:val="footer"/>
    <w:basedOn w:val="Normal"/>
    <w:link w:val="PiedepginaCar"/>
    <w:rsid w:val="00FD735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rsid w:val="00FD735E"/>
    <w:rPr>
      <w:rFonts w:ascii="Times New Roman" w:eastAsia="MS Mincho" w:hAnsi="Times New Roman" w:cs="Times New Roman"/>
      <w:szCs w:val="24"/>
      <w:lang w:val="en-GB"/>
    </w:rPr>
  </w:style>
  <w:style w:type="character" w:customStyle="1" w:styleId="Ttulo1Car">
    <w:name w:val="Título 1 Car"/>
    <w:basedOn w:val="Fuentedeprrafopredeter"/>
    <w:link w:val="Ttulo1"/>
    <w:rsid w:val="00FD735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Ttulo2Car">
    <w:name w:val="Título 2 Car"/>
    <w:basedOn w:val="Fuentedeprrafopredeter"/>
    <w:link w:val="Ttulo2"/>
    <w:rsid w:val="00FD735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Ttulo3Car">
    <w:name w:val="Título 3 Car"/>
    <w:basedOn w:val="Fuentedeprrafopredeter"/>
    <w:link w:val="Ttulo3"/>
    <w:rsid w:val="00FD735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Textonotapie">
    <w:name w:val="footnote text"/>
    <w:basedOn w:val="Normal"/>
    <w:link w:val="TextonotapieCar"/>
    <w:semiHidden/>
    <w:rsid w:val="00FD735E"/>
    <w:pPr>
      <w:spacing w:before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D735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Refdenotaalpie">
    <w:name w:val="footnote reference"/>
    <w:basedOn w:val="Fuentedeprrafopredeter"/>
    <w:semiHidden/>
    <w:rsid w:val="00FD735E"/>
    <w:rPr>
      <w:vertAlign w:val="superscript"/>
    </w:rPr>
  </w:style>
  <w:style w:type="paragraph" w:customStyle="1" w:styleId="Style">
    <w:name w:val="Style"/>
    <w:basedOn w:val="Piedepgina"/>
    <w:autoRedefine/>
    <w:qFormat/>
    <w:rsid w:val="00FD735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merodepgina">
    <w:name w:val="page number"/>
    <w:rsid w:val="00FD735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735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735E"/>
    <w:pPr>
      <w:spacing w:after="240"/>
    </w:pPr>
    <w:rPr>
      <w:sz w:val="24"/>
    </w:rPr>
  </w:style>
  <w:style w:type="table" w:styleId="Tablaconcuadrcula">
    <w:name w:val="Table Grid"/>
    <w:basedOn w:val="Tablanormal"/>
    <w:rsid w:val="00FD735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FD73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D735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D735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735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D735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735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735E"/>
    <w:pPr>
      <w:spacing w:after="180"/>
    </w:pPr>
  </w:style>
  <w:style w:type="paragraph" w:customStyle="1" w:styleId="IPPFootnote">
    <w:name w:val="IPP Footnote"/>
    <w:basedOn w:val="IPPArialFootnote"/>
    <w:qFormat/>
    <w:rsid w:val="00FD735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735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Fuentedeprrafopredeter"/>
    <w:rsid w:val="00FD735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osinformatoCar"/>
    <w:rsid w:val="00FD735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735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735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735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Fuentedeprrafopredeter"/>
    <w:rsid w:val="00FD735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735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735E"/>
    <w:pPr>
      <w:numPr>
        <w:numId w:val="6"/>
      </w:numPr>
    </w:pPr>
  </w:style>
  <w:style w:type="character" w:customStyle="1" w:styleId="IPPNormalstrikethrough">
    <w:name w:val="IPP Normal strikethrough"/>
    <w:rsid w:val="00FD735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735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735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735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735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735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D735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735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osinformato"/>
    <w:qFormat/>
    <w:rsid w:val="00FD735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DC1">
    <w:name w:val="toc 1"/>
    <w:basedOn w:val="IPPNormalCloseSpace"/>
    <w:next w:val="Normal"/>
    <w:autoRedefine/>
    <w:uiPriority w:val="39"/>
    <w:rsid w:val="00FD735E"/>
    <w:pPr>
      <w:tabs>
        <w:tab w:val="right" w:leader="dot" w:pos="9072"/>
      </w:tabs>
      <w:spacing w:before="240"/>
      <w:ind w:left="567" w:hanging="567"/>
    </w:pPr>
  </w:style>
  <w:style w:type="paragraph" w:styleId="TDC2">
    <w:name w:val="toc 2"/>
    <w:basedOn w:val="TDC1"/>
    <w:next w:val="Normal"/>
    <w:autoRedefine/>
    <w:uiPriority w:val="39"/>
    <w:rsid w:val="00FD735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DC3">
    <w:name w:val="toc 3"/>
    <w:basedOn w:val="TDC2"/>
    <w:next w:val="Normal"/>
    <w:autoRedefine/>
    <w:uiPriority w:val="39"/>
    <w:rsid w:val="00FD735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DC4">
    <w:name w:val="toc 4"/>
    <w:basedOn w:val="Normal"/>
    <w:next w:val="Normal"/>
    <w:autoRedefine/>
    <w:uiPriority w:val="39"/>
    <w:rsid w:val="00FD735E"/>
    <w:pPr>
      <w:spacing w:after="120"/>
      <w:ind w:left="660"/>
    </w:pPr>
    <w:rPr>
      <w:rFonts w:eastAsia="Times"/>
      <w:lang w:val="en-AU"/>
    </w:rPr>
  </w:style>
  <w:style w:type="paragraph" w:styleId="TDC5">
    <w:name w:val="toc 5"/>
    <w:basedOn w:val="Normal"/>
    <w:next w:val="Normal"/>
    <w:autoRedefine/>
    <w:uiPriority w:val="39"/>
    <w:rsid w:val="00FD735E"/>
    <w:pPr>
      <w:spacing w:after="120"/>
      <w:ind w:left="880"/>
    </w:pPr>
    <w:rPr>
      <w:rFonts w:eastAsia="Times"/>
      <w:lang w:val="en-AU"/>
    </w:rPr>
  </w:style>
  <w:style w:type="paragraph" w:styleId="TDC6">
    <w:name w:val="toc 6"/>
    <w:basedOn w:val="Normal"/>
    <w:next w:val="Normal"/>
    <w:autoRedefine/>
    <w:uiPriority w:val="39"/>
    <w:rsid w:val="00FD735E"/>
    <w:pPr>
      <w:spacing w:after="120"/>
      <w:ind w:left="1100"/>
    </w:pPr>
    <w:rPr>
      <w:rFonts w:eastAsia="Times"/>
      <w:lang w:val="en-AU"/>
    </w:rPr>
  </w:style>
  <w:style w:type="paragraph" w:styleId="TDC7">
    <w:name w:val="toc 7"/>
    <w:basedOn w:val="Normal"/>
    <w:next w:val="Normal"/>
    <w:autoRedefine/>
    <w:uiPriority w:val="39"/>
    <w:rsid w:val="00FD735E"/>
    <w:pPr>
      <w:spacing w:after="120"/>
      <w:ind w:left="1320"/>
    </w:pPr>
    <w:rPr>
      <w:rFonts w:eastAsia="Times"/>
      <w:lang w:val="en-AU"/>
    </w:rPr>
  </w:style>
  <w:style w:type="paragraph" w:styleId="TDC8">
    <w:name w:val="toc 8"/>
    <w:basedOn w:val="Normal"/>
    <w:next w:val="Normal"/>
    <w:autoRedefine/>
    <w:uiPriority w:val="39"/>
    <w:rsid w:val="00FD735E"/>
    <w:pPr>
      <w:spacing w:after="120"/>
      <w:ind w:left="1540"/>
    </w:pPr>
    <w:rPr>
      <w:rFonts w:eastAsia="Times"/>
      <w:lang w:val="en-AU"/>
    </w:rPr>
  </w:style>
  <w:style w:type="paragraph" w:styleId="TDC9">
    <w:name w:val="toc 9"/>
    <w:basedOn w:val="Normal"/>
    <w:next w:val="Normal"/>
    <w:autoRedefine/>
    <w:uiPriority w:val="39"/>
    <w:rsid w:val="00FD735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735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735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735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735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osinformato">
    <w:name w:val="Plain Text"/>
    <w:basedOn w:val="Normal"/>
    <w:link w:val="TextosinformatoCar"/>
    <w:uiPriority w:val="99"/>
    <w:unhideWhenUsed/>
    <w:rsid w:val="00FD735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D735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735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D735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D735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735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735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735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D735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D735E"/>
    <w:pPr>
      <w:numPr>
        <w:numId w:val="16"/>
      </w:numPr>
    </w:pPr>
  </w:style>
  <w:style w:type="character" w:styleId="Textoennegrita">
    <w:name w:val="Strong"/>
    <w:basedOn w:val="Fuentedeprrafopredeter"/>
    <w:qFormat/>
    <w:rsid w:val="00FD735E"/>
    <w:rPr>
      <w:b/>
      <w:bCs/>
    </w:rPr>
  </w:style>
  <w:style w:type="paragraph" w:styleId="Prrafodelista">
    <w:name w:val="List Paragraph"/>
    <w:basedOn w:val="Normal"/>
    <w:uiPriority w:val="34"/>
    <w:qFormat/>
    <w:rsid w:val="00FD735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735E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735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735E"/>
    <w:pPr>
      <w:spacing w:after="180"/>
    </w:pPr>
  </w:style>
  <w:style w:type="character" w:styleId="Refdecomentario">
    <w:name w:val="annotation reference"/>
    <w:basedOn w:val="Fuentedeprrafopredeter"/>
    <w:uiPriority w:val="99"/>
    <w:semiHidden/>
    <w:unhideWhenUsed/>
    <w:rsid w:val="00B222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22D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22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EE5B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5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Ttulo1">
    <w:name w:val="heading 1"/>
    <w:basedOn w:val="Normal"/>
    <w:next w:val="Normal"/>
    <w:link w:val="Ttulo1Car"/>
    <w:qFormat/>
    <w:rsid w:val="00FD735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FD735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FD735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D735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D735E"/>
    <w:rPr>
      <w:rFonts w:ascii="Times New Roman" w:eastAsia="MS Mincho" w:hAnsi="Times New Roman" w:cs="Times New Roman"/>
      <w:szCs w:val="24"/>
      <w:lang w:val="en-GB"/>
    </w:rPr>
  </w:style>
  <w:style w:type="paragraph" w:styleId="Piedepgina">
    <w:name w:val="footer"/>
    <w:basedOn w:val="Normal"/>
    <w:link w:val="PiedepginaCar"/>
    <w:rsid w:val="00FD735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rsid w:val="00FD735E"/>
    <w:rPr>
      <w:rFonts w:ascii="Times New Roman" w:eastAsia="MS Mincho" w:hAnsi="Times New Roman" w:cs="Times New Roman"/>
      <w:szCs w:val="24"/>
      <w:lang w:val="en-GB"/>
    </w:rPr>
  </w:style>
  <w:style w:type="character" w:customStyle="1" w:styleId="Ttulo1Car">
    <w:name w:val="Título 1 Car"/>
    <w:basedOn w:val="Fuentedeprrafopredeter"/>
    <w:link w:val="Ttulo1"/>
    <w:rsid w:val="00FD735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Ttulo2Car">
    <w:name w:val="Título 2 Car"/>
    <w:basedOn w:val="Fuentedeprrafopredeter"/>
    <w:link w:val="Ttulo2"/>
    <w:rsid w:val="00FD735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Ttulo3Car">
    <w:name w:val="Título 3 Car"/>
    <w:basedOn w:val="Fuentedeprrafopredeter"/>
    <w:link w:val="Ttulo3"/>
    <w:rsid w:val="00FD735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Textonotapie">
    <w:name w:val="footnote text"/>
    <w:basedOn w:val="Normal"/>
    <w:link w:val="TextonotapieCar"/>
    <w:semiHidden/>
    <w:rsid w:val="00FD735E"/>
    <w:pPr>
      <w:spacing w:before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D735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Refdenotaalpie">
    <w:name w:val="footnote reference"/>
    <w:basedOn w:val="Fuentedeprrafopredeter"/>
    <w:semiHidden/>
    <w:rsid w:val="00FD735E"/>
    <w:rPr>
      <w:vertAlign w:val="superscript"/>
    </w:rPr>
  </w:style>
  <w:style w:type="paragraph" w:customStyle="1" w:styleId="Style">
    <w:name w:val="Style"/>
    <w:basedOn w:val="Piedepgina"/>
    <w:autoRedefine/>
    <w:qFormat/>
    <w:rsid w:val="00FD735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merodepgina">
    <w:name w:val="page number"/>
    <w:rsid w:val="00FD735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735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735E"/>
    <w:pPr>
      <w:spacing w:after="240"/>
    </w:pPr>
    <w:rPr>
      <w:sz w:val="24"/>
    </w:rPr>
  </w:style>
  <w:style w:type="table" w:styleId="Tablaconcuadrcula">
    <w:name w:val="Table Grid"/>
    <w:basedOn w:val="Tablanormal"/>
    <w:rsid w:val="00FD735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FD73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D735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D735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735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D735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735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735E"/>
    <w:pPr>
      <w:spacing w:after="180"/>
    </w:pPr>
  </w:style>
  <w:style w:type="paragraph" w:customStyle="1" w:styleId="IPPFootnote">
    <w:name w:val="IPP Footnote"/>
    <w:basedOn w:val="IPPArialFootnote"/>
    <w:qFormat/>
    <w:rsid w:val="00FD735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735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Fuentedeprrafopredeter"/>
    <w:rsid w:val="00FD735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osinformatoCar"/>
    <w:rsid w:val="00FD735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735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735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735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Fuentedeprrafopredeter"/>
    <w:rsid w:val="00FD735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735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735E"/>
    <w:pPr>
      <w:numPr>
        <w:numId w:val="6"/>
      </w:numPr>
    </w:pPr>
  </w:style>
  <w:style w:type="character" w:customStyle="1" w:styleId="IPPNormalstrikethrough">
    <w:name w:val="IPP Normal strikethrough"/>
    <w:rsid w:val="00FD735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735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735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735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735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735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D735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735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osinformato"/>
    <w:qFormat/>
    <w:rsid w:val="00FD735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DC1">
    <w:name w:val="toc 1"/>
    <w:basedOn w:val="IPPNormalCloseSpace"/>
    <w:next w:val="Normal"/>
    <w:autoRedefine/>
    <w:uiPriority w:val="39"/>
    <w:rsid w:val="00FD735E"/>
    <w:pPr>
      <w:tabs>
        <w:tab w:val="right" w:leader="dot" w:pos="9072"/>
      </w:tabs>
      <w:spacing w:before="240"/>
      <w:ind w:left="567" w:hanging="567"/>
    </w:pPr>
  </w:style>
  <w:style w:type="paragraph" w:styleId="TDC2">
    <w:name w:val="toc 2"/>
    <w:basedOn w:val="TDC1"/>
    <w:next w:val="Normal"/>
    <w:autoRedefine/>
    <w:uiPriority w:val="39"/>
    <w:rsid w:val="00FD735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DC3">
    <w:name w:val="toc 3"/>
    <w:basedOn w:val="TDC2"/>
    <w:next w:val="Normal"/>
    <w:autoRedefine/>
    <w:uiPriority w:val="39"/>
    <w:rsid w:val="00FD735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DC4">
    <w:name w:val="toc 4"/>
    <w:basedOn w:val="Normal"/>
    <w:next w:val="Normal"/>
    <w:autoRedefine/>
    <w:uiPriority w:val="39"/>
    <w:rsid w:val="00FD735E"/>
    <w:pPr>
      <w:spacing w:after="120"/>
      <w:ind w:left="660"/>
    </w:pPr>
    <w:rPr>
      <w:rFonts w:eastAsia="Times"/>
      <w:lang w:val="en-AU"/>
    </w:rPr>
  </w:style>
  <w:style w:type="paragraph" w:styleId="TDC5">
    <w:name w:val="toc 5"/>
    <w:basedOn w:val="Normal"/>
    <w:next w:val="Normal"/>
    <w:autoRedefine/>
    <w:uiPriority w:val="39"/>
    <w:rsid w:val="00FD735E"/>
    <w:pPr>
      <w:spacing w:after="120"/>
      <w:ind w:left="880"/>
    </w:pPr>
    <w:rPr>
      <w:rFonts w:eastAsia="Times"/>
      <w:lang w:val="en-AU"/>
    </w:rPr>
  </w:style>
  <w:style w:type="paragraph" w:styleId="TDC6">
    <w:name w:val="toc 6"/>
    <w:basedOn w:val="Normal"/>
    <w:next w:val="Normal"/>
    <w:autoRedefine/>
    <w:uiPriority w:val="39"/>
    <w:rsid w:val="00FD735E"/>
    <w:pPr>
      <w:spacing w:after="120"/>
      <w:ind w:left="1100"/>
    </w:pPr>
    <w:rPr>
      <w:rFonts w:eastAsia="Times"/>
      <w:lang w:val="en-AU"/>
    </w:rPr>
  </w:style>
  <w:style w:type="paragraph" w:styleId="TDC7">
    <w:name w:val="toc 7"/>
    <w:basedOn w:val="Normal"/>
    <w:next w:val="Normal"/>
    <w:autoRedefine/>
    <w:uiPriority w:val="39"/>
    <w:rsid w:val="00FD735E"/>
    <w:pPr>
      <w:spacing w:after="120"/>
      <w:ind w:left="1320"/>
    </w:pPr>
    <w:rPr>
      <w:rFonts w:eastAsia="Times"/>
      <w:lang w:val="en-AU"/>
    </w:rPr>
  </w:style>
  <w:style w:type="paragraph" w:styleId="TDC8">
    <w:name w:val="toc 8"/>
    <w:basedOn w:val="Normal"/>
    <w:next w:val="Normal"/>
    <w:autoRedefine/>
    <w:uiPriority w:val="39"/>
    <w:rsid w:val="00FD735E"/>
    <w:pPr>
      <w:spacing w:after="120"/>
      <w:ind w:left="1540"/>
    </w:pPr>
    <w:rPr>
      <w:rFonts w:eastAsia="Times"/>
      <w:lang w:val="en-AU"/>
    </w:rPr>
  </w:style>
  <w:style w:type="paragraph" w:styleId="TDC9">
    <w:name w:val="toc 9"/>
    <w:basedOn w:val="Normal"/>
    <w:next w:val="Normal"/>
    <w:autoRedefine/>
    <w:uiPriority w:val="39"/>
    <w:rsid w:val="00FD735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735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735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735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735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osinformato">
    <w:name w:val="Plain Text"/>
    <w:basedOn w:val="Normal"/>
    <w:link w:val="TextosinformatoCar"/>
    <w:uiPriority w:val="99"/>
    <w:unhideWhenUsed/>
    <w:rsid w:val="00FD735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D735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735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D735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D735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735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735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735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D735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D735E"/>
    <w:pPr>
      <w:numPr>
        <w:numId w:val="16"/>
      </w:numPr>
    </w:pPr>
  </w:style>
  <w:style w:type="character" w:styleId="Textoennegrita">
    <w:name w:val="Strong"/>
    <w:basedOn w:val="Fuentedeprrafopredeter"/>
    <w:qFormat/>
    <w:rsid w:val="00FD735E"/>
    <w:rPr>
      <w:b/>
      <w:bCs/>
    </w:rPr>
  </w:style>
  <w:style w:type="paragraph" w:styleId="Prrafodelista">
    <w:name w:val="List Paragraph"/>
    <w:basedOn w:val="Normal"/>
    <w:uiPriority w:val="34"/>
    <w:qFormat/>
    <w:rsid w:val="00FD735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735E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735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735E"/>
    <w:pPr>
      <w:spacing w:after="180"/>
    </w:pPr>
  </w:style>
  <w:style w:type="character" w:styleId="Refdecomentario">
    <w:name w:val="annotation reference"/>
    <w:basedOn w:val="Fuentedeprrafopredeter"/>
    <w:uiPriority w:val="99"/>
    <w:semiHidden/>
    <w:unhideWhenUsed/>
    <w:rsid w:val="00B222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22D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22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pc.int/en/publications/1089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ppc@fao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ppc.int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s://www.ippc.int/core-activities/ippc-standard-setting-procedure-manual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0B5C2-CE63-41BC-B581-536DD8C5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31</TotalTime>
  <Pages>4</Pages>
  <Words>1758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Ana Lilia Montealegre Lara</cp:lastModifiedBy>
  <cp:revision>5</cp:revision>
  <cp:lastPrinted>2017-06-02T16:06:00Z</cp:lastPrinted>
  <dcterms:created xsi:type="dcterms:W3CDTF">2017-06-05T21:00:00Z</dcterms:created>
  <dcterms:modified xsi:type="dcterms:W3CDTF">2017-06-05T21:35:00Z</dcterms:modified>
</cp:coreProperties>
</file>