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6"/>
        <w:gridCol w:w="7214"/>
      </w:tblGrid>
      <w:tr w:rsidR="00FC6CE6" w:rsidRPr="00156700" w:rsidTr="00545385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CE6" w:rsidRPr="00156700" w:rsidRDefault="00FC6CE6" w:rsidP="0054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00">
              <w:rPr>
                <w:rFonts w:ascii="Times New Roman" w:eastAsia="Times New Roman" w:hAnsi="Times New Roman" w:cs="Times New Roman"/>
                <w:sz w:val="24"/>
                <w:szCs w:val="24"/>
              </w:rPr>
              <w:t>OPTIONAL REPORTING</w:t>
            </w:r>
          </w:p>
        </w:tc>
      </w:tr>
      <w:tr w:rsidR="00FC6CE6" w:rsidRPr="00156700" w:rsidTr="0054538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CE6" w:rsidRPr="00156700" w:rsidRDefault="00FC6CE6" w:rsidP="00545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6CE6" w:rsidRPr="00156700" w:rsidTr="005453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CE6" w:rsidRPr="00156700" w:rsidRDefault="00FC6CE6" w:rsidP="0054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CE6" w:rsidRPr="00156700" w:rsidRDefault="00FC6CE6" w:rsidP="0054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CE6" w:rsidRPr="00156700" w:rsidTr="005453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CE6" w:rsidRPr="00156700" w:rsidRDefault="00FC6CE6" w:rsidP="004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Optional reporting type under the IPPC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CE6" w:rsidRPr="00156700" w:rsidRDefault="00FC6CE6" w:rsidP="0054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Rationale for </w:t>
            </w:r>
            <w:proofErr w:type="spellStart"/>
            <w:r w:rsidRPr="00156700">
              <w:rPr>
                <w:rFonts w:ascii="Times New Roman" w:eastAsia="Times New Roman" w:hAnsi="Times New Roman" w:cs="Times New Roman"/>
                <w:sz w:val="24"/>
                <w:szCs w:val="24"/>
              </w:rPr>
              <w:t>phytosanitary</w:t>
            </w:r>
            <w:proofErr w:type="spellEnd"/>
            <w:r w:rsidRPr="00156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requirements </w:t>
            </w:r>
            <w:r w:rsidRPr="0015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(Art. VII.2c)</w:t>
            </w:r>
          </w:p>
        </w:tc>
      </w:tr>
      <w:tr w:rsidR="00FC6CE6" w:rsidRPr="00156700" w:rsidTr="005453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CE6" w:rsidRPr="00156700" w:rsidRDefault="00FC6CE6" w:rsidP="0054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Publication Date: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CE6" w:rsidRPr="00156700" w:rsidRDefault="00FC6CE6" w:rsidP="0054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56700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</w:t>
            </w:r>
            <w:r w:rsidRPr="0015670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6CE6" w:rsidRPr="00156700" w:rsidTr="005453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CE6" w:rsidRPr="00156700" w:rsidRDefault="00FC6CE6" w:rsidP="0054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CE6" w:rsidRPr="00156700" w:rsidRDefault="00FC6CE6" w:rsidP="0054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tooltip=" Kb" w:history="1">
              <w:r w:rsidRPr="001567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En</w:t>
              </w:r>
            </w:hyperlink>
          </w:p>
        </w:tc>
      </w:tr>
      <w:tr w:rsidR="00FC6CE6" w:rsidRPr="00156700" w:rsidTr="005453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CE6" w:rsidRPr="00156700" w:rsidRDefault="00FC6CE6" w:rsidP="0054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Short description: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A40" w:rsidRDefault="00986A40" w:rsidP="00986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 xml:space="preserve">Potential pests may already be present in or on host material at the time of harvest, or they may 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</w:rPr>
              <w:t>colonise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</w:rPr>
              <w:t xml:space="preserve"> after harvest. Many species of bark beetles and wood borers are particularly attracted</w:t>
            </w:r>
          </w:p>
          <w:p w:rsidR="00986A40" w:rsidRDefault="00986A40" w:rsidP="00986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proofErr w:type="gramStart"/>
            <w:r>
              <w:rPr>
                <w:rFonts w:ascii="TimesNewRomanPSMT" w:hAnsi="TimesNewRomanPSMT" w:cs="TimesNewRomanPSMT"/>
                <w:sz w:val="23"/>
                <w:szCs w:val="23"/>
              </w:rPr>
              <w:t>to</w:t>
            </w:r>
            <w:proofErr w:type="gramEnd"/>
            <w:r>
              <w:rPr>
                <w:rFonts w:ascii="TimesNewRomanPSMT" w:hAnsi="TimesNewRomanPSMT" w:cs="TimesNewRomanPSMT"/>
                <w:sz w:val="23"/>
                <w:szCs w:val="23"/>
              </w:rPr>
              <w:t xml:space="preserve"> recently cut wood. In some countries of origin, wood packaging material (especially single use materials) are more likely to be constructed out of infested materials because of its general</w:t>
            </w:r>
          </w:p>
          <w:p w:rsidR="00986A40" w:rsidRDefault="00986A40" w:rsidP="00986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proofErr w:type="gramStart"/>
            <w:r>
              <w:rPr>
                <w:rFonts w:ascii="TimesNewRomanPSMT" w:hAnsi="TimesNewRomanPSMT" w:cs="TimesNewRomanPSMT"/>
                <w:sz w:val="23"/>
                <w:szCs w:val="23"/>
              </w:rPr>
              <w:t>unsuitability</w:t>
            </w:r>
            <w:proofErr w:type="gramEnd"/>
            <w:r>
              <w:rPr>
                <w:rFonts w:ascii="TimesNewRomanPSMT" w:hAnsi="TimesNewRomanPSMT" w:cs="TimesNewRomanPSMT"/>
                <w:sz w:val="23"/>
                <w:szCs w:val="23"/>
              </w:rPr>
              <w:t xml:space="preserve"> for other uses. </w:t>
            </w:r>
          </w:p>
          <w:p w:rsidR="00986A40" w:rsidRDefault="00986A40" w:rsidP="00FC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  <w:p w:rsidR="00FC6CE6" w:rsidRPr="00986A40" w:rsidRDefault="00FC6CE6" w:rsidP="00E4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ISPM 15 approved treatment measures have been adopted by</w:t>
            </w:r>
            <w:r w:rsidR="00E4169E">
              <w:rPr>
                <w:rFonts w:ascii="TimesNewRomanPSMT" w:hAnsi="TimesNewRomanPSMT" w:cs="TimesNewRomanPSMT"/>
                <w:sz w:val="23"/>
                <w:szCs w:val="23"/>
              </w:rPr>
              <w:t xml:space="preserve"> Suriname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 xml:space="preserve"> and incorporated into</w:t>
            </w:r>
            <w:r w:rsidR="00986A40">
              <w:rPr>
                <w:rFonts w:ascii="TimesNewRomanPSMT" w:hAnsi="TimesNewRomanPSMT" w:cs="TimesNewRomanPSMT"/>
                <w:sz w:val="23"/>
                <w:szCs w:val="23"/>
              </w:rPr>
              <w:t xml:space="preserve"> Q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uarantine requirements for the importation of wood packaging materials into</w:t>
            </w:r>
            <w:r w:rsidR="00E4169E">
              <w:rPr>
                <w:rFonts w:ascii="TimesNewRomanPSMT" w:hAnsi="TimesNewRomanPSMT" w:cs="TimesNewRomanPSMT"/>
                <w:sz w:val="23"/>
                <w:szCs w:val="23"/>
              </w:rPr>
              <w:t xml:space="preserve"> Suriname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 xml:space="preserve">. </w:t>
            </w:r>
            <w:r w:rsidR="00E4169E">
              <w:rPr>
                <w:rFonts w:ascii="TimesNewRomanPSMT" w:hAnsi="TimesNewRomanPSMT" w:cs="TimesNewRomanPSMT"/>
                <w:sz w:val="23"/>
                <w:szCs w:val="23"/>
              </w:rPr>
              <w:t xml:space="preserve">The Plant Quarantine </w:t>
            </w:r>
            <w:proofErr w:type="spellStart"/>
            <w:r w:rsidR="00E4169E">
              <w:rPr>
                <w:rFonts w:ascii="TimesNewRomanPSMT" w:hAnsi="TimesNewRomanPSMT" w:cs="TimesNewRomanPSMT"/>
                <w:sz w:val="23"/>
                <w:szCs w:val="23"/>
              </w:rPr>
              <w:t>Divison</w:t>
            </w:r>
            <w:proofErr w:type="spellEnd"/>
            <w:r w:rsidR="00E4169E">
              <w:rPr>
                <w:rFonts w:ascii="TimesNewRomanPSMT" w:hAnsi="TimesNewRomanPSMT" w:cs="TimesNewRomanPSMT"/>
                <w:sz w:val="23"/>
                <w:szCs w:val="23"/>
              </w:rPr>
              <w:t xml:space="preserve"> </w:t>
            </w:r>
          </w:p>
          <w:p w:rsidR="00FC6CE6" w:rsidRDefault="00FC6CE6" w:rsidP="00FC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revised the import regulations for </w:t>
            </w:r>
            <w:r w:rsidR="00E4169E">
              <w:rPr>
                <w:rFonts w:ascii="TimesNewRoman" w:hAnsi="TimesNewRoman" w:cs="TimesNewRoman"/>
                <w:sz w:val="24"/>
                <w:szCs w:val="24"/>
              </w:rPr>
              <w:t>Wood Packing Material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to be consistent with the International</w:t>
            </w:r>
          </w:p>
          <w:p w:rsidR="00444E04" w:rsidRPr="00986A40" w:rsidRDefault="00FC6CE6" w:rsidP="0044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Plant Protection Convention standard ISPM #15. The regulation restricts the importation</w:t>
            </w:r>
            <w:r w:rsidR="00986A40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of many types of wooden packaging materials </w:t>
            </w:r>
            <w:r w:rsidR="00444E04">
              <w:rPr>
                <w:rFonts w:ascii="TimesNewRoman" w:hAnsi="TimesNewRoman" w:cs="TimesNewRoman"/>
                <w:sz w:val="24"/>
                <w:szCs w:val="24"/>
              </w:rPr>
              <w:t xml:space="preserve">such as </w:t>
            </w:r>
            <w:r w:rsidR="00444E04">
              <w:rPr>
                <w:rFonts w:ascii="TimesNewRomanPSMT" w:hAnsi="TimesNewRomanPSMT" w:cs="TimesNewRomanPSMT"/>
                <w:sz w:val="23"/>
                <w:szCs w:val="23"/>
              </w:rPr>
              <w:t xml:space="preserve">pallets, crating, </w:t>
            </w:r>
            <w:proofErr w:type="spellStart"/>
            <w:r w:rsidR="00444E04">
              <w:rPr>
                <w:rFonts w:ascii="TimesNewRomanPSMT" w:hAnsi="TimesNewRomanPSMT" w:cs="TimesNewRomanPSMT"/>
                <w:sz w:val="23"/>
                <w:szCs w:val="23"/>
              </w:rPr>
              <w:t>packaging,boxes,dunnage</w:t>
            </w:r>
            <w:proofErr w:type="spellEnd"/>
          </w:p>
          <w:p w:rsidR="00444E04" w:rsidRDefault="00444E04" w:rsidP="0044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blocks, cable drums, bulk heads, load boards, pallet collars and skids through to round log</w:t>
            </w:r>
          </w:p>
          <w:p w:rsidR="00444E04" w:rsidRDefault="00444E04" w:rsidP="00986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proofErr w:type="gramStart"/>
            <w:r>
              <w:rPr>
                <w:rFonts w:ascii="TimesNewRomanPSMT" w:hAnsi="TimesNewRomanPSMT" w:cs="TimesNewRomanPSMT"/>
                <w:sz w:val="23"/>
                <w:szCs w:val="23"/>
              </w:rPr>
              <w:t>sections</w:t>
            </w:r>
            <w:proofErr w:type="gramEnd"/>
            <w:r>
              <w:rPr>
                <w:rFonts w:ascii="TimesNewRomanPSMT" w:hAnsi="TimesNewRomanPSMT" w:cs="TimesNewRomanPSMT"/>
                <w:sz w:val="23"/>
                <w:szCs w:val="23"/>
              </w:rPr>
              <w:t xml:space="preserve"> and whole round logs used to prevent </w:t>
            </w:r>
            <w:r w:rsidR="00986A40">
              <w:rPr>
                <w:rFonts w:ascii="TimesNewRomanPSMT" w:hAnsi="TimesNewRomanPSMT" w:cs="TimesNewRomanPSMT"/>
                <w:sz w:val="23"/>
                <w:szCs w:val="23"/>
              </w:rPr>
              <w:t xml:space="preserve">the 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 xml:space="preserve">movement of larger cargo items (IPPC 2002). </w:t>
            </w:r>
          </w:p>
          <w:p w:rsidR="00444E04" w:rsidRDefault="00444E04" w:rsidP="0044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  <w:p w:rsidR="00FC6CE6" w:rsidRDefault="00FC6CE6" w:rsidP="00E4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The revised </w:t>
            </w:r>
            <w:r w:rsidR="00E4169E">
              <w:rPr>
                <w:rFonts w:ascii="TimesNewRoman" w:hAnsi="TimesNewRoman" w:cs="TimesNewRoman"/>
                <w:sz w:val="24"/>
                <w:szCs w:val="24"/>
              </w:rPr>
              <w:t>ISPM #15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regulation is effective </w:t>
            </w:r>
            <w:r w:rsidR="00E4169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March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, 200</w:t>
            </w:r>
            <w:r w:rsidR="00E4169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9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</w:p>
          <w:p w:rsidR="00FC6CE6" w:rsidRDefault="00E4169E" w:rsidP="00FC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Wood Packing material (WPM)</w:t>
            </w:r>
            <w:r w:rsidR="00986A40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FC6CE6">
              <w:rPr>
                <w:rFonts w:ascii="TimesNewRoman" w:hAnsi="TimesNewRoman" w:cs="TimesNewRoman"/>
                <w:sz w:val="24"/>
                <w:szCs w:val="24"/>
              </w:rPr>
              <w:t>must be marked with the IPPC logo and the two letter ISO code for the country that</w:t>
            </w:r>
          </w:p>
          <w:p w:rsidR="00FC6CE6" w:rsidRDefault="00FC6CE6" w:rsidP="00FC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treated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the WPM. The marking must also include the unique number assigned by the</w:t>
            </w:r>
            <w:r w:rsidR="00E4169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national plant protection organization to the company responsible for ensuring the WPM</w:t>
            </w:r>
            <w:r w:rsidR="00986A40">
              <w:rPr>
                <w:rFonts w:ascii="TimesNewRoman" w:hAnsi="TimesNewRoman" w:cs="TimesNewRoman"/>
                <w:sz w:val="24"/>
                <w:szCs w:val="24"/>
              </w:rPr>
              <w:t xml:space="preserve"> is de-barked,</w:t>
            </w:r>
          </w:p>
          <w:p w:rsidR="00FC6CE6" w:rsidRDefault="00FC6CE6" w:rsidP="00FC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was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properly treated, and either the abbreviation HT (heat treatment) or MB (methyl</w:t>
            </w:r>
            <w:r w:rsidR="00986A40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bromide). </w:t>
            </w:r>
          </w:p>
          <w:p w:rsidR="00FC6CE6" w:rsidRDefault="00FC6CE6" w:rsidP="00FC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WPM not in compliance with the above requirements must be destroyed or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reexported</w:t>
            </w:r>
            <w:r w:rsidR="00E4169E">
              <w:rPr>
                <w:rFonts w:ascii="TimesNewRoman" w:hAnsi="TimesNewRoman" w:cs="TimesNewRoman"/>
                <w:sz w:val="24"/>
                <w:szCs w:val="24"/>
              </w:rPr>
              <w:t>.</w:t>
            </w:r>
            <w:r>
              <w:rPr>
                <w:rFonts w:ascii="TimesNewRoman" w:hAnsi="TimesNewRoman" w:cs="TimesNewRoman"/>
                <w:sz w:val="24"/>
                <w:szCs w:val="24"/>
              </w:rPr>
              <w:t>Treatment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or destruction will not be permitted.</w:t>
            </w:r>
          </w:p>
          <w:p w:rsidR="00FC6CE6" w:rsidRDefault="00FC6CE6" w:rsidP="00FC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Treatment will be allowed if</w:t>
            </w:r>
            <w:r w:rsidR="00986A40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hitchhiking (non-wood) pests are intercepted with IPPC marked WPM.</w:t>
            </w:r>
          </w:p>
          <w:p w:rsidR="00FC6CE6" w:rsidRDefault="00FC6CE6" w:rsidP="00FC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FC6CE6" w:rsidRPr="00156700" w:rsidRDefault="00FC6CE6" w:rsidP="0054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CE6" w:rsidRPr="00156700" w:rsidTr="005453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CE6" w:rsidRPr="00156700" w:rsidRDefault="00FC6CE6" w:rsidP="0054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Issue keywords: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CE6" w:rsidRPr="00156700" w:rsidRDefault="00FC6CE6" w:rsidP="0054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ISPM 15, </w:t>
            </w:r>
            <w:proofErr w:type="spellStart"/>
            <w:r w:rsidRPr="00156700">
              <w:rPr>
                <w:rFonts w:ascii="Times New Roman" w:eastAsia="Times New Roman" w:hAnsi="Times New Roman" w:cs="Times New Roman"/>
                <w:sz w:val="24"/>
                <w:szCs w:val="24"/>
              </w:rPr>
              <w:t>Phytosanitary</w:t>
            </w:r>
            <w:proofErr w:type="spellEnd"/>
            <w:r w:rsidRPr="00156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Measures</w:t>
            </w:r>
          </w:p>
        </w:tc>
      </w:tr>
      <w:tr w:rsidR="00FC6CE6" w:rsidRPr="00156700" w:rsidTr="005453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CE6" w:rsidRPr="00156700" w:rsidRDefault="00FC6CE6" w:rsidP="0054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Contact for more </w:t>
            </w:r>
            <w:proofErr w:type="spellStart"/>
            <w:r w:rsidRPr="0015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informations</w:t>
            </w:r>
            <w:proofErr w:type="spellEnd"/>
            <w:r w:rsidRPr="0015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9"/>
              <w:gridCol w:w="2482"/>
            </w:tblGrid>
            <w:tr w:rsidR="00FC6CE6" w:rsidRPr="00156700" w:rsidTr="00FC6CE6">
              <w:trPr>
                <w:tblCellSpacing w:w="15" w:type="dxa"/>
              </w:trPr>
              <w:tc>
                <w:tcPr>
                  <w:tcW w:w="1564" w:type="dxa"/>
                  <w:vAlign w:val="center"/>
                  <w:hideMark/>
                </w:tcPr>
                <w:p w:rsidR="00FC6CE6" w:rsidRPr="00156700" w:rsidRDefault="00FC6CE6" w:rsidP="00FC6C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37" w:type="dxa"/>
                  <w:vAlign w:val="center"/>
                  <w:hideMark/>
                </w:tcPr>
                <w:p w:rsidR="00FC6CE6" w:rsidRDefault="00FC6CE6" w:rsidP="0054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C6CE6" w:rsidRDefault="00FC6CE6" w:rsidP="0054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PLANT QUARANTINE DIVISION-MAAHF</w:t>
                  </w:r>
                </w:p>
                <w:p w:rsidR="00FC6CE6" w:rsidRPr="00156700" w:rsidRDefault="00FC6CE6" w:rsidP="0054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Kankantristraat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#9</w:t>
                  </w:r>
                </w:p>
              </w:tc>
            </w:tr>
            <w:tr w:rsidR="00FC6CE6" w:rsidRPr="00156700" w:rsidTr="00FC6CE6">
              <w:trPr>
                <w:tblCellSpacing w:w="15" w:type="dxa"/>
              </w:trPr>
              <w:tc>
                <w:tcPr>
                  <w:tcW w:w="1564" w:type="dxa"/>
                  <w:vAlign w:val="center"/>
                  <w:hideMark/>
                </w:tcPr>
                <w:p w:rsidR="00FC6CE6" w:rsidRPr="00156700" w:rsidRDefault="00FC6CE6" w:rsidP="005453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37" w:type="dxa"/>
                  <w:vAlign w:val="center"/>
                  <w:hideMark/>
                </w:tcPr>
                <w:p w:rsidR="00FC6CE6" w:rsidRPr="00156700" w:rsidRDefault="00FC6CE6" w:rsidP="0054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6CE6" w:rsidRPr="00156700" w:rsidTr="00FC6CE6">
              <w:trPr>
                <w:tblCellSpacing w:w="15" w:type="dxa"/>
              </w:trPr>
              <w:tc>
                <w:tcPr>
                  <w:tcW w:w="1564" w:type="dxa"/>
                  <w:vAlign w:val="center"/>
                  <w:hideMark/>
                </w:tcPr>
                <w:p w:rsidR="00FC6CE6" w:rsidRPr="00156700" w:rsidRDefault="00FC6CE6" w:rsidP="005453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37" w:type="dxa"/>
                  <w:vAlign w:val="center"/>
                  <w:hideMark/>
                </w:tcPr>
                <w:p w:rsidR="00FC6CE6" w:rsidRPr="00156700" w:rsidRDefault="00FC6CE6" w:rsidP="0054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6CE6" w:rsidRPr="00156700" w:rsidTr="00FC6CE6">
              <w:trPr>
                <w:tblCellSpacing w:w="15" w:type="dxa"/>
              </w:trPr>
              <w:tc>
                <w:tcPr>
                  <w:tcW w:w="1564" w:type="dxa"/>
                  <w:vAlign w:val="center"/>
                  <w:hideMark/>
                </w:tcPr>
                <w:p w:rsidR="00FC6CE6" w:rsidRPr="00156700" w:rsidRDefault="00FC6CE6" w:rsidP="005453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37" w:type="dxa"/>
                  <w:vAlign w:val="center"/>
                  <w:hideMark/>
                </w:tcPr>
                <w:p w:rsidR="00FC6CE6" w:rsidRPr="00156700" w:rsidRDefault="00FC6CE6" w:rsidP="0054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6CE6" w:rsidRPr="00156700" w:rsidTr="00FC6CE6">
              <w:trPr>
                <w:tblCellSpacing w:w="15" w:type="dxa"/>
              </w:trPr>
              <w:tc>
                <w:tcPr>
                  <w:tcW w:w="1564" w:type="dxa"/>
                  <w:vAlign w:val="center"/>
                  <w:hideMark/>
                </w:tcPr>
                <w:p w:rsidR="00FC6CE6" w:rsidRPr="00156700" w:rsidRDefault="00FC6CE6" w:rsidP="005453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37" w:type="dxa"/>
                  <w:vAlign w:val="center"/>
                  <w:hideMark/>
                </w:tcPr>
                <w:p w:rsidR="00FC6CE6" w:rsidRPr="00156700" w:rsidRDefault="00FC6CE6" w:rsidP="0054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6CE6" w:rsidRPr="00156700" w:rsidTr="00FC6CE6">
              <w:trPr>
                <w:tblCellSpacing w:w="15" w:type="dxa"/>
              </w:trPr>
              <w:tc>
                <w:tcPr>
                  <w:tcW w:w="1564" w:type="dxa"/>
                  <w:vAlign w:val="center"/>
                  <w:hideMark/>
                </w:tcPr>
                <w:p w:rsidR="00FC6CE6" w:rsidRPr="00156700" w:rsidRDefault="00FC6CE6" w:rsidP="005453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67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Country:</w:t>
                  </w:r>
                </w:p>
              </w:tc>
              <w:tc>
                <w:tcPr>
                  <w:tcW w:w="2437" w:type="dxa"/>
                  <w:vAlign w:val="center"/>
                  <w:hideMark/>
                </w:tcPr>
                <w:p w:rsidR="00FC6CE6" w:rsidRPr="00156700" w:rsidRDefault="00FC6CE6" w:rsidP="0054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SURINAME</w:t>
                  </w:r>
                </w:p>
              </w:tc>
            </w:tr>
            <w:tr w:rsidR="00FC6CE6" w:rsidRPr="00156700" w:rsidTr="00FC6CE6">
              <w:trPr>
                <w:tblCellSpacing w:w="15" w:type="dxa"/>
              </w:trPr>
              <w:tc>
                <w:tcPr>
                  <w:tcW w:w="1564" w:type="dxa"/>
                  <w:vAlign w:val="center"/>
                  <w:hideMark/>
                </w:tcPr>
                <w:p w:rsidR="00FC6CE6" w:rsidRPr="00156700" w:rsidRDefault="00FC6CE6" w:rsidP="005453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67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E-mail:</w:t>
                  </w:r>
                </w:p>
              </w:tc>
              <w:tc>
                <w:tcPr>
                  <w:tcW w:w="2437" w:type="dxa"/>
                  <w:vAlign w:val="center"/>
                  <w:hideMark/>
                </w:tcPr>
                <w:p w:rsidR="00FC6CE6" w:rsidRPr="00156700" w:rsidRDefault="00FC6CE6" w:rsidP="0054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ppsur@sr.net</w:t>
                  </w:r>
                </w:p>
              </w:tc>
            </w:tr>
          </w:tbl>
          <w:p w:rsidR="00FC6CE6" w:rsidRPr="00156700" w:rsidRDefault="00FC6CE6" w:rsidP="0054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6CE6" w:rsidRDefault="00FC6CE6" w:rsidP="00FC6CE6"/>
    <w:p w:rsidR="003D58E0" w:rsidRDefault="003D58E0"/>
    <w:sectPr w:rsidR="003D58E0" w:rsidSect="008A4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6CE6"/>
    <w:rsid w:val="003D58E0"/>
    <w:rsid w:val="00444E04"/>
    <w:rsid w:val="00986A40"/>
    <w:rsid w:val="00D66F58"/>
    <w:rsid w:val="00E4169E"/>
    <w:rsid w:val="00FC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ff.gov.au/__data/assets/pdf_file/0013/12361/2006-13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phytosanitary regulations ISPM # 15.dotx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2010-06-15T14:50:00Z</dcterms:created>
  <dcterms:modified xsi:type="dcterms:W3CDTF">2010-06-15T14:50:00Z</dcterms:modified>
</cp:coreProperties>
</file>