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BCE32" w14:textId="77777777" w:rsidR="008841F1" w:rsidRDefault="008841F1" w:rsidP="00CD7300">
      <w:pPr>
        <w:spacing w:after="0" w:line="276" w:lineRule="auto"/>
        <w:jc w:val="center"/>
        <w:rPr>
          <w:rFonts w:ascii="Arial" w:hAnsi="Arial" w:cs="Arial"/>
          <w:b/>
        </w:rPr>
      </w:pPr>
    </w:p>
    <w:p w14:paraId="0FA219B3" w14:textId="77777777" w:rsidR="00F574D0" w:rsidRDefault="00F574D0" w:rsidP="00CD7300">
      <w:pPr>
        <w:spacing w:after="0" w:line="276" w:lineRule="auto"/>
        <w:jc w:val="center"/>
        <w:rPr>
          <w:rFonts w:ascii="Arial" w:hAnsi="Arial" w:cs="Arial"/>
          <w:b/>
        </w:rPr>
      </w:pPr>
    </w:p>
    <w:p w14:paraId="142BDDF2" w14:textId="77777777" w:rsidR="00734B7E" w:rsidRDefault="00734B7E" w:rsidP="00CD7300">
      <w:pPr>
        <w:spacing w:after="0" w:line="276" w:lineRule="auto"/>
        <w:jc w:val="center"/>
        <w:rPr>
          <w:rFonts w:ascii="Arial" w:hAnsi="Arial" w:cs="Arial"/>
          <w:b/>
        </w:rPr>
      </w:pPr>
    </w:p>
    <w:p w14:paraId="71EE5BE3" w14:textId="77777777" w:rsidR="00734B7E" w:rsidRDefault="00734B7E" w:rsidP="00CD7300">
      <w:pPr>
        <w:spacing w:after="0" w:line="276" w:lineRule="auto"/>
        <w:jc w:val="center"/>
        <w:rPr>
          <w:rFonts w:ascii="Arial" w:hAnsi="Arial" w:cs="Arial"/>
          <w:b/>
        </w:rPr>
      </w:pPr>
    </w:p>
    <w:p w14:paraId="58C0B115" w14:textId="77777777" w:rsidR="00CD7300" w:rsidRPr="00666E25" w:rsidRDefault="00CD7300" w:rsidP="00CD7300">
      <w:pPr>
        <w:spacing w:after="0" w:line="276" w:lineRule="auto"/>
        <w:jc w:val="center"/>
        <w:rPr>
          <w:rFonts w:ascii="Arial" w:hAnsi="Arial" w:cs="Arial"/>
          <w:b/>
        </w:rPr>
      </w:pPr>
      <w:r w:rsidRPr="00666E25">
        <w:rPr>
          <w:rFonts w:ascii="Arial" w:hAnsi="Arial" w:cs="Arial"/>
          <w:b/>
        </w:rPr>
        <w:t xml:space="preserve">Joint Work Plan for Cooperation between the Secretariats of </w:t>
      </w:r>
    </w:p>
    <w:p w14:paraId="73565049" w14:textId="77777777" w:rsidR="00CD7300" w:rsidRDefault="00CD7300" w:rsidP="00CD7300">
      <w:pPr>
        <w:spacing w:after="0" w:line="276" w:lineRule="auto"/>
        <w:jc w:val="center"/>
        <w:rPr>
          <w:rFonts w:ascii="Arial" w:hAnsi="Arial" w:cs="Arial"/>
          <w:b/>
        </w:rPr>
      </w:pPr>
      <w:r w:rsidRPr="00666E25">
        <w:rPr>
          <w:rFonts w:ascii="Arial" w:hAnsi="Arial" w:cs="Arial"/>
          <w:b/>
        </w:rPr>
        <w:t>the World Customs Organization and the International Plant Protection Convention</w:t>
      </w:r>
    </w:p>
    <w:p w14:paraId="7ABBA9C5" w14:textId="0C6CE3E1" w:rsidR="009F396F" w:rsidRPr="00461613" w:rsidRDefault="009F396F" w:rsidP="00CD7300">
      <w:pPr>
        <w:spacing w:after="0" w:line="276" w:lineRule="auto"/>
        <w:jc w:val="center"/>
        <w:rPr>
          <w:rFonts w:ascii="Arial" w:hAnsi="Arial" w:cs="Arial"/>
        </w:rPr>
      </w:pPr>
      <w:r w:rsidRPr="00461613">
        <w:rPr>
          <w:rFonts w:ascii="Arial" w:hAnsi="Arial" w:cs="Arial"/>
        </w:rPr>
        <w:t>Agreed on 2019-03-18</w:t>
      </w:r>
    </w:p>
    <w:p w14:paraId="515302AB" w14:textId="77777777" w:rsidR="00CD7300" w:rsidRPr="00666E25" w:rsidRDefault="00CD7300" w:rsidP="00CD7300">
      <w:pPr>
        <w:spacing w:line="276" w:lineRule="auto"/>
        <w:jc w:val="both"/>
        <w:rPr>
          <w:rFonts w:ascii="Arial" w:hAnsi="Arial" w:cs="Arial"/>
        </w:rPr>
      </w:pPr>
    </w:p>
    <w:p w14:paraId="789A4797" w14:textId="535C29E3" w:rsidR="00195F2D" w:rsidRDefault="00195F2D" w:rsidP="00CD7300">
      <w:pPr>
        <w:spacing w:line="276" w:lineRule="auto"/>
        <w:jc w:val="both"/>
        <w:rPr>
          <w:rFonts w:ascii="Arial" w:hAnsi="Arial" w:cs="Arial"/>
        </w:rPr>
      </w:pPr>
      <w:r>
        <w:rPr>
          <w:rFonts w:ascii="Arial" w:hAnsi="Arial" w:cs="Arial"/>
        </w:rPr>
        <w:t xml:space="preserve">Article 6 of the Agreement </w:t>
      </w:r>
      <w:r w:rsidR="00EF450D">
        <w:rPr>
          <w:rFonts w:ascii="Arial" w:hAnsi="Arial" w:cs="Arial"/>
        </w:rPr>
        <w:t xml:space="preserve">(signed 19 June 2018) </w:t>
      </w:r>
      <w:r>
        <w:rPr>
          <w:rFonts w:ascii="Arial" w:hAnsi="Arial" w:cs="Arial"/>
        </w:rPr>
        <w:t>between the Food and Agriculture Organization of the United Nations (FAO) on behalf of the Secretariat of the International Plant protection Convention</w:t>
      </w:r>
      <w:r w:rsidR="00E65F53">
        <w:rPr>
          <w:rFonts w:ascii="Arial" w:hAnsi="Arial" w:cs="Arial"/>
        </w:rPr>
        <w:t xml:space="preserve"> (IPPC)</w:t>
      </w:r>
      <w:r>
        <w:rPr>
          <w:rFonts w:ascii="Arial" w:hAnsi="Arial" w:cs="Arial"/>
        </w:rPr>
        <w:t xml:space="preserve"> and the World Customs Organization </w:t>
      </w:r>
      <w:r w:rsidR="00E65F53">
        <w:rPr>
          <w:rFonts w:ascii="Arial" w:hAnsi="Arial" w:cs="Arial"/>
        </w:rPr>
        <w:t xml:space="preserve">(WCO) </w:t>
      </w:r>
      <w:r>
        <w:rPr>
          <w:rFonts w:ascii="Arial" w:hAnsi="Arial" w:cs="Arial"/>
        </w:rPr>
        <w:t xml:space="preserve">stipulates that a joint workplan will be developed and agreed to by the </w:t>
      </w:r>
      <w:r w:rsidR="00714400">
        <w:rPr>
          <w:rFonts w:ascii="Arial" w:hAnsi="Arial" w:cs="Arial"/>
        </w:rPr>
        <w:t xml:space="preserve">Secretariats </w:t>
      </w:r>
      <w:r>
        <w:rPr>
          <w:rFonts w:ascii="Arial" w:hAnsi="Arial" w:cs="Arial"/>
        </w:rPr>
        <w:t>on a regular basis. In Article 6 it is indicated that the workplan covers a one year, if possible, or a two year period; however, the Secretariats have agreed to develop a joint workplan</w:t>
      </w:r>
      <w:r w:rsidRPr="00666E25">
        <w:rPr>
          <w:rFonts w:ascii="Arial" w:hAnsi="Arial" w:cs="Arial"/>
        </w:rPr>
        <w:t xml:space="preserve"> for three years, July 2019 – June 2022</w:t>
      </w:r>
      <w:r>
        <w:rPr>
          <w:rFonts w:ascii="Arial" w:hAnsi="Arial" w:cs="Arial"/>
        </w:rPr>
        <w:t>.</w:t>
      </w:r>
      <w:r w:rsidR="00B34EE1">
        <w:rPr>
          <w:rFonts w:ascii="Arial" w:hAnsi="Arial" w:cs="Arial"/>
        </w:rPr>
        <w:t xml:space="preserve"> Respective governing bodies will be informed, for the IPPC, the Co</w:t>
      </w:r>
      <w:r w:rsidR="00044533">
        <w:rPr>
          <w:rFonts w:ascii="Arial" w:hAnsi="Arial" w:cs="Arial"/>
        </w:rPr>
        <w:t>m</w:t>
      </w:r>
      <w:r w:rsidR="00B34EE1">
        <w:rPr>
          <w:rFonts w:ascii="Arial" w:hAnsi="Arial" w:cs="Arial"/>
        </w:rPr>
        <w:t>mission on Phytosanitary Measures (CPM) and for the W</w:t>
      </w:r>
      <w:r w:rsidR="00CA7835">
        <w:rPr>
          <w:rFonts w:ascii="Arial" w:hAnsi="Arial" w:cs="Arial"/>
        </w:rPr>
        <w:t>C</w:t>
      </w:r>
      <w:r w:rsidR="00B34EE1">
        <w:rPr>
          <w:rFonts w:ascii="Arial" w:hAnsi="Arial" w:cs="Arial"/>
        </w:rPr>
        <w:t>O</w:t>
      </w:r>
      <w:r w:rsidR="00B34EE1" w:rsidRPr="00CA7835">
        <w:rPr>
          <w:rFonts w:ascii="Arial" w:hAnsi="Arial" w:cs="Arial"/>
        </w:rPr>
        <w:t xml:space="preserve">, the </w:t>
      </w:r>
      <w:r w:rsidR="00044533" w:rsidRPr="00CA7835">
        <w:rPr>
          <w:rFonts w:ascii="Arial" w:hAnsi="Arial" w:cs="Arial"/>
        </w:rPr>
        <w:t>Policy Commisison and the Council</w:t>
      </w:r>
      <w:r w:rsidR="00B34EE1" w:rsidRPr="00CA7835">
        <w:rPr>
          <w:rFonts w:ascii="Arial" w:hAnsi="Arial" w:cs="Arial"/>
        </w:rPr>
        <w:t>.</w:t>
      </w:r>
    </w:p>
    <w:p w14:paraId="7DE2363C" w14:textId="77777777" w:rsidR="0033579B" w:rsidRDefault="00CD7300" w:rsidP="00CD7300">
      <w:pPr>
        <w:spacing w:line="276" w:lineRule="auto"/>
        <w:jc w:val="both"/>
        <w:rPr>
          <w:rFonts w:ascii="Arial" w:hAnsi="Arial" w:cs="Arial"/>
        </w:rPr>
      </w:pPr>
      <w:r w:rsidRPr="00666E25">
        <w:rPr>
          <w:rFonts w:ascii="Arial" w:hAnsi="Arial" w:cs="Arial"/>
        </w:rPr>
        <w:t>This joint work plan addresses major activities for bilateral cooperation between the Secretariats of the WCO and the IPPC, and it explore</w:t>
      </w:r>
      <w:r w:rsidR="007517BE">
        <w:rPr>
          <w:rFonts w:ascii="Arial" w:hAnsi="Arial" w:cs="Arial"/>
        </w:rPr>
        <w:t>s</w:t>
      </w:r>
      <w:r w:rsidRPr="00666E25">
        <w:rPr>
          <w:rFonts w:ascii="Arial" w:hAnsi="Arial" w:cs="Arial"/>
        </w:rPr>
        <w:t xml:space="preserve"> further areas of joint work between the two Secretariats. The two Secretariats will review the progress made in the implementation of this joint work plan and prepare a revised plan, as appropriate, for the next period (July 2022 – June 2025) in the first quarter of the 2022.</w:t>
      </w:r>
      <w:r w:rsidR="00E65F53">
        <w:rPr>
          <w:rFonts w:ascii="Arial" w:hAnsi="Arial" w:cs="Arial"/>
        </w:rPr>
        <w:t xml:space="preserve"> </w:t>
      </w:r>
      <w:r w:rsidRPr="00666E25">
        <w:rPr>
          <w:rFonts w:ascii="Arial" w:hAnsi="Arial" w:cs="Arial"/>
        </w:rPr>
        <w:t>The plan has been developed and agreed to by the two Secretariats, subject to the availability of resources, and includes seven major activities</w:t>
      </w:r>
      <w:r w:rsidR="00117E23">
        <w:rPr>
          <w:rFonts w:ascii="Arial" w:hAnsi="Arial" w:cs="Arial"/>
        </w:rPr>
        <w:t xml:space="preserve"> </w:t>
      </w:r>
      <w:r w:rsidR="007517BE">
        <w:rPr>
          <w:rFonts w:ascii="Arial" w:hAnsi="Arial" w:cs="Arial"/>
        </w:rPr>
        <w:t>as well as</w:t>
      </w:r>
      <w:r w:rsidR="00117E23">
        <w:rPr>
          <w:rFonts w:ascii="Arial" w:hAnsi="Arial" w:cs="Arial"/>
        </w:rPr>
        <w:t xml:space="preserve"> actions under each of them</w:t>
      </w:r>
      <w:r w:rsidRPr="00666E25">
        <w:rPr>
          <w:rFonts w:ascii="Arial" w:hAnsi="Arial" w:cs="Arial"/>
        </w:rPr>
        <w:t>.</w:t>
      </w:r>
      <w:r w:rsidR="00A216DB">
        <w:rPr>
          <w:rFonts w:ascii="Arial" w:hAnsi="Arial" w:cs="Arial"/>
        </w:rPr>
        <w:t xml:space="preserve"> </w:t>
      </w:r>
    </w:p>
    <w:p w14:paraId="51B95428" w14:textId="6A47A73C" w:rsidR="00CD7300" w:rsidRPr="00666E25" w:rsidRDefault="00A216DB" w:rsidP="00CD7300">
      <w:pPr>
        <w:spacing w:line="276" w:lineRule="auto"/>
        <w:jc w:val="both"/>
        <w:rPr>
          <w:rFonts w:ascii="Arial" w:hAnsi="Arial" w:cs="Arial"/>
        </w:rPr>
      </w:pPr>
      <w:r w:rsidRPr="00A216DB">
        <w:rPr>
          <w:rFonts w:ascii="Arial" w:hAnsi="Arial" w:cs="Arial"/>
        </w:rPr>
        <w:t>This joint work plan will not be deemed or construed to create, or have been intended to create, legally binding obligations between or among the Secretariats and respective Members.</w:t>
      </w:r>
    </w:p>
    <w:p w14:paraId="4DDE5660" w14:textId="77777777" w:rsidR="001844BA" w:rsidRPr="00666E25" w:rsidRDefault="001844BA" w:rsidP="001844BA">
      <w:pPr>
        <w:rPr>
          <w:rFonts w:ascii="Arial" w:hAnsi="Arial" w:cs="Arial"/>
        </w:rPr>
      </w:pPr>
    </w:p>
    <w:tbl>
      <w:tblPr>
        <w:tblStyle w:val="TableGrid"/>
        <w:tblW w:w="0" w:type="auto"/>
        <w:tblLook w:val="04A0" w:firstRow="1" w:lastRow="0" w:firstColumn="1" w:lastColumn="0" w:noHBand="0" w:noVBand="1"/>
      </w:tblPr>
      <w:tblGrid>
        <w:gridCol w:w="645"/>
        <w:gridCol w:w="7430"/>
        <w:gridCol w:w="1701"/>
      </w:tblGrid>
      <w:tr w:rsidR="0096762E" w:rsidRPr="00666E25" w14:paraId="2223313D" w14:textId="77777777" w:rsidTr="00520B9D">
        <w:tc>
          <w:tcPr>
            <w:tcW w:w="9776" w:type="dxa"/>
            <w:gridSpan w:val="3"/>
            <w:shd w:val="clear" w:color="auto" w:fill="385623" w:themeFill="accent6" w:themeFillShade="80"/>
          </w:tcPr>
          <w:p w14:paraId="58313E0D" w14:textId="77777777" w:rsidR="0096762E" w:rsidRPr="00666E25" w:rsidRDefault="0096762E" w:rsidP="00D27638">
            <w:pPr>
              <w:spacing w:before="120"/>
              <w:rPr>
                <w:rFonts w:ascii="Arial" w:hAnsi="Arial" w:cs="Arial"/>
                <w:b/>
                <w:bCs/>
                <w:color w:val="FFFFFF" w:themeColor="background1"/>
                <w:lang w:val="en-GB"/>
              </w:rPr>
            </w:pPr>
            <w:r w:rsidRPr="00666E25">
              <w:rPr>
                <w:rFonts w:ascii="Arial" w:hAnsi="Arial" w:cs="Arial"/>
                <w:b/>
                <w:bCs/>
                <w:color w:val="FFFFFF" w:themeColor="background1"/>
                <w:lang w:val="en-GB"/>
              </w:rPr>
              <w:t xml:space="preserve">1. Exploring opportunities to organize joint events especially in the context of </w:t>
            </w:r>
            <w:r>
              <w:rPr>
                <w:rFonts w:ascii="Arial" w:hAnsi="Arial" w:cs="Arial"/>
                <w:b/>
                <w:bCs/>
                <w:color w:val="FFFFFF" w:themeColor="background1"/>
                <w:lang w:val="en-GB"/>
              </w:rPr>
              <w:t>Trade Facilitation Agreement</w:t>
            </w:r>
            <w:r w:rsidRPr="00666E25">
              <w:rPr>
                <w:rFonts w:ascii="Arial" w:hAnsi="Arial" w:cs="Arial"/>
                <w:b/>
                <w:bCs/>
                <w:color w:val="FFFFFF" w:themeColor="background1"/>
                <w:lang w:val="en-GB"/>
              </w:rPr>
              <w:t xml:space="preserve"> implementation</w:t>
            </w:r>
          </w:p>
          <w:p w14:paraId="62A12AC7" w14:textId="2270B089" w:rsidR="0096762E" w:rsidRPr="00666E25" w:rsidRDefault="0096762E" w:rsidP="00D27638">
            <w:pPr>
              <w:spacing w:after="120"/>
              <w:rPr>
                <w:rFonts w:ascii="Arial" w:hAnsi="Arial" w:cs="Arial"/>
                <w:color w:val="FFFF00"/>
                <w:lang w:val="en-GB"/>
              </w:rPr>
            </w:pPr>
            <w:r w:rsidRPr="00666E25">
              <w:rPr>
                <w:rFonts w:ascii="Arial" w:hAnsi="Arial" w:cs="Arial"/>
                <w:color w:val="FFFF00"/>
                <w:lang w:val="en-GB"/>
              </w:rPr>
              <w:t>The Secretariats would make efforts to recognize roles and opportunities to facilitate trade at a global level and, to the extent pos</w:t>
            </w:r>
            <w:bookmarkStart w:id="0" w:name="_GoBack"/>
            <w:bookmarkEnd w:id="0"/>
            <w:r w:rsidRPr="00666E25">
              <w:rPr>
                <w:rFonts w:ascii="Arial" w:hAnsi="Arial" w:cs="Arial"/>
                <w:color w:val="FFFF00"/>
                <w:lang w:val="en-GB"/>
              </w:rPr>
              <w:t>sible, protect each other specific interest in the supply chain, with specific reference to the outcomes directed by the TFA.</w:t>
            </w:r>
          </w:p>
        </w:tc>
      </w:tr>
      <w:tr w:rsidR="0096762E" w:rsidRPr="00666E25" w14:paraId="05D23459" w14:textId="77777777" w:rsidTr="0096762E">
        <w:tc>
          <w:tcPr>
            <w:tcW w:w="645" w:type="dxa"/>
            <w:shd w:val="clear" w:color="auto" w:fill="A8D08D" w:themeFill="accent6" w:themeFillTint="99"/>
          </w:tcPr>
          <w:p w14:paraId="3B24A3BD" w14:textId="77777777" w:rsidR="0096762E" w:rsidRPr="00666E25" w:rsidRDefault="0096762E" w:rsidP="00B869C4">
            <w:pPr>
              <w:spacing w:before="120"/>
              <w:rPr>
                <w:rFonts w:ascii="Arial" w:hAnsi="Arial" w:cs="Arial"/>
                <w:b/>
                <w:bCs/>
                <w:lang w:val="en-GB"/>
              </w:rPr>
            </w:pPr>
            <w:r w:rsidRPr="00666E25">
              <w:rPr>
                <w:rFonts w:ascii="Arial" w:hAnsi="Arial" w:cs="Arial"/>
                <w:b/>
                <w:bCs/>
                <w:lang w:val="en-GB"/>
              </w:rPr>
              <w:t>No</w:t>
            </w:r>
          </w:p>
        </w:tc>
        <w:tc>
          <w:tcPr>
            <w:tcW w:w="7430" w:type="dxa"/>
            <w:shd w:val="clear" w:color="auto" w:fill="A8D08D" w:themeFill="accent6" w:themeFillTint="99"/>
            <w:vAlign w:val="center"/>
          </w:tcPr>
          <w:p w14:paraId="07AA5471" w14:textId="77777777" w:rsidR="0096762E" w:rsidRPr="00666E25" w:rsidRDefault="0096762E" w:rsidP="00136643">
            <w:pPr>
              <w:rPr>
                <w:rFonts w:ascii="Arial" w:hAnsi="Arial" w:cs="Arial"/>
                <w:b/>
                <w:bCs/>
                <w:lang w:val="en-GB"/>
              </w:rPr>
            </w:pPr>
            <w:r w:rsidRPr="00666E25">
              <w:rPr>
                <w:rFonts w:ascii="Arial" w:hAnsi="Arial" w:cs="Arial"/>
                <w:b/>
                <w:bCs/>
                <w:lang w:val="en-GB"/>
              </w:rPr>
              <w:t>Action</w:t>
            </w:r>
          </w:p>
        </w:tc>
        <w:tc>
          <w:tcPr>
            <w:tcW w:w="1701" w:type="dxa"/>
            <w:shd w:val="clear" w:color="auto" w:fill="A8D08D" w:themeFill="accent6" w:themeFillTint="99"/>
            <w:vAlign w:val="center"/>
          </w:tcPr>
          <w:p w14:paraId="2C76312B" w14:textId="77777777" w:rsidR="0096762E" w:rsidRPr="00666E25" w:rsidRDefault="0096762E" w:rsidP="00136643">
            <w:pPr>
              <w:rPr>
                <w:rFonts w:ascii="Arial" w:hAnsi="Arial" w:cs="Arial"/>
                <w:b/>
                <w:bCs/>
                <w:lang w:val="en-GB"/>
              </w:rPr>
            </w:pPr>
            <w:r w:rsidRPr="00666E25">
              <w:rPr>
                <w:rFonts w:ascii="Arial" w:hAnsi="Arial" w:cs="Arial"/>
                <w:b/>
                <w:bCs/>
                <w:lang w:val="en-GB"/>
              </w:rPr>
              <w:t>Time frame</w:t>
            </w:r>
          </w:p>
        </w:tc>
      </w:tr>
      <w:tr w:rsidR="0096762E" w:rsidRPr="00666E25" w14:paraId="68FD5473" w14:textId="77777777" w:rsidTr="0096762E">
        <w:tc>
          <w:tcPr>
            <w:tcW w:w="645" w:type="dxa"/>
            <w:shd w:val="clear" w:color="auto" w:fill="auto"/>
          </w:tcPr>
          <w:p w14:paraId="6C2EF107" w14:textId="77777777" w:rsidR="0096762E" w:rsidRPr="00666E25" w:rsidRDefault="0096762E" w:rsidP="00136643">
            <w:pPr>
              <w:rPr>
                <w:rFonts w:ascii="Arial" w:hAnsi="Arial" w:cs="Arial"/>
                <w:b/>
                <w:bCs/>
                <w:lang w:val="en-GB"/>
              </w:rPr>
            </w:pPr>
            <w:r w:rsidRPr="00666E25">
              <w:rPr>
                <w:rFonts w:ascii="Arial" w:hAnsi="Arial" w:cs="Arial"/>
                <w:b/>
                <w:bCs/>
                <w:lang w:val="en-GB"/>
              </w:rPr>
              <w:t>1.1</w:t>
            </w:r>
          </w:p>
        </w:tc>
        <w:tc>
          <w:tcPr>
            <w:tcW w:w="7430" w:type="dxa"/>
            <w:shd w:val="clear" w:color="auto" w:fill="auto"/>
          </w:tcPr>
          <w:p w14:paraId="5FE18A4F" w14:textId="729039F6" w:rsidR="0096762E" w:rsidRPr="00133D39" w:rsidRDefault="0096762E" w:rsidP="00C321C0">
            <w:pPr>
              <w:rPr>
                <w:rFonts w:ascii="Arial" w:hAnsi="Arial" w:cs="Arial"/>
                <w:bCs/>
                <w:lang w:val="en-GB"/>
              </w:rPr>
            </w:pPr>
            <w:r>
              <w:rPr>
                <w:rFonts w:ascii="Arial" w:hAnsi="Arial" w:cs="Arial"/>
                <w:lang w:val="en-US"/>
              </w:rPr>
              <w:t>Organize j</w:t>
            </w:r>
            <w:r w:rsidRPr="00666E25">
              <w:rPr>
                <w:rFonts w:ascii="Arial" w:hAnsi="Arial" w:cs="Arial"/>
                <w:lang w:val="en-US"/>
              </w:rPr>
              <w:t xml:space="preserve">oint workshops on </w:t>
            </w:r>
            <w:r>
              <w:rPr>
                <w:rFonts w:ascii="Arial" w:hAnsi="Arial" w:cs="Arial"/>
                <w:lang w:val="en-US"/>
              </w:rPr>
              <w:t>Coordinated Border Management (</w:t>
            </w:r>
            <w:r w:rsidRPr="00666E25">
              <w:rPr>
                <w:rFonts w:ascii="Arial" w:hAnsi="Arial" w:cs="Arial"/>
                <w:lang w:val="en-US"/>
              </w:rPr>
              <w:t>CBM</w:t>
            </w:r>
            <w:r>
              <w:rPr>
                <w:rFonts w:ascii="Arial" w:hAnsi="Arial" w:cs="Arial"/>
                <w:lang w:val="en-US"/>
              </w:rPr>
              <w:t>)</w:t>
            </w:r>
            <w:r w:rsidRPr="00666E25">
              <w:rPr>
                <w:rFonts w:ascii="Arial" w:hAnsi="Arial" w:cs="Arial"/>
                <w:lang w:val="en-US"/>
              </w:rPr>
              <w:t xml:space="preserve">, </w:t>
            </w:r>
            <w:r>
              <w:rPr>
                <w:rFonts w:ascii="Arial" w:hAnsi="Arial" w:cs="Arial"/>
                <w:lang w:val="en-US"/>
              </w:rPr>
              <w:t>National Committees on Trade Facilitation (</w:t>
            </w:r>
            <w:r w:rsidRPr="00666E25">
              <w:rPr>
                <w:rFonts w:ascii="Arial" w:hAnsi="Arial" w:cs="Arial"/>
                <w:lang w:val="en-US"/>
              </w:rPr>
              <w:t>NCTFs</w:t>
            </w:r>
            <w:r>
              <w:rPr>
                <w:rFonts w:ascii="Arial" w:hAnsi="Arial" w:cs="Arial"/>
                <w:lang w:val="en-US"/>
              </w:rPr>
              <w:t>)</w:t>
            </w:r>
            <w:r w:rsidRPr="00666E25">
              <w:rPr>
                <w:rFonts w:ascii="Arial" w:hAnsi="Arial" w:cs="Arial"/>
                <w:lang w:val="en-US"/>
              </w:rPr>
              <w:t xml:space="preserve"> and </w:t>
            </w:r>
            <w:r>
              <w:rPr>
                <w:rFonts w:ascii="Arial" w:hAnsi="Arial" w:cs="Arial"/>
                <w:lang w:val="en-US"/>
              </w:rPr>
              <w:t>Time Release Study (</w:t>
            </w:r>
            <w:r w:rsidRPr="00666E25">
              <w:rPr>
                <w:rFonts w:ascii="Arial" w:hAnsi="Arial" w:cs="Arial"/>
                <w:lang w:val="en-US"/>
              </w:rPr>
              <w:t>TRS</w:t>
            </w:r>
            <w:r>
              <w:rPr>
                <w:rFonts w:ascii="Arial" w:hAnsi="Arial" w:cs="Arial"/>
                <w:lang w:val="en-GB"/>
              </w:rPr>
              <w:t>)</w:t>
            </w:r>
          </w:p>
        </w:tc>
        <w:tc>
          <w:tcPr>
            <w:tcW w:w="1701" w:type="dxa"/>
            <w:shd w:val="clear" w:color="auto" w:fill="auto"/>
          </w:tcPr>
          <w:p w14:paraId="6A83E0C6" w14:textId="77777777" w:rsidR="0096762E" w:rsidRPr="00666E25" w:rsidRDefault="0096762E" w:rsidP="00136643">
            <w:pPr>
              <w:rPr>
                <w:rFonts w:ascii="Arial" w:hAnsi="Arial" w:cs="Arial"/>
                <w:bCs/>
                <w:lang w:val="en-GB"/>
              </w:rPr>
            </w:pPr>
            <w:r w:rsidRPr="00666E25">
              <w:rPr>
                <w:rFonts w:ascii="Arial" w:hAnsi="Arial" w:cs="Arial"/>
                <w:bCs/>
                <w:lang w:val="en-GB"/>
              </w:rPr>
              <w:t>2019-2022</w:t>
            </w:r>
          </w:p>
        </w:tc>
      </w:tr>
      <w:tr w:rsidR="0096762E" w:rsidRPr="00666E25" w14:paraId="595B601D" w14:textId="77777777" w:rsidTr="0096762E">
        <w:tc>
          <w:tcPr>
            <w:tcW w:w="645" w:type="dxa"/>
            <w:shd w:val="clear" w:color="auto" w:fill="auto"/>
          </w:tcPr>
          <w:p w14:paraId="599DAED2" w14:textId="77777777" w:rsidR="0096762E" w:rsidRPr="00666E25" w:rsidRDefault="0096762E" w:rsidP="00136643">
            <w:pPr>
              <w:rPr>
                <w:rFonts w:ascii="Arial" w:hAnsi="Arial" w:cs="Arial"/>
                <w:b/>
                <w:bCs/>
                <w:lang w:val="en-GB"/>
              </w:rPr>
            </w:pPr>
            <w:r w:rsidRPr="00666E25">
              <w:rPr>
                <w:rFonts w:ascii="Arial" w:hAnsi="Arial" w:cs="Arial"/>
                <w:b/>
                <w:bCs/>
                <w:lang w:val="en-GB"/>
              </w:rPr>
              <w:t>1.2</w:t>
            </w:r>
          </w:p>
        </w:tc>
        <w:tc>
          <w:tcPr>
            <w:tcW w:w="7430" w:type="dxa"/>
            <w:shd w:val="clear" w:color="auto" w:fill="auto"/>
          </w:tcPr>
          <w:p w14:paraId="11488F79" w14:textId="77777777" w:rsidR="0096762E" w:rsidRPr="00666E25" w:rsidRDefault="0096762E" w:rsidP="00136643">
            <w:pPr>
              <w:rPr>
                <w:rFonts w:ascii="Arial" w:hAnsi="Arial" w:cs="Arial"/>
                <w:bCs/>
                <w:lang w:val="en-GB"/>
              </w:rPr>
            </w:pPr>
            <w:r w:rsidRPr="00666E25">
              <w:rPr>
                <w:rFonts w:ascii="Arial" w:hAnsi="Arial" w:cs="Arial"/>
                <w:lang w:val="en-US"/>
              </w:rPr>
              <w:t>Cooperate to organize side events during the meetings of their respective governing bodies</w:t>
            </w:r>
          </w:p>
        </w:tc>
        <w:tc>
          <w:tcPr>
            <w:tcW w:w="1701" w:type="dxa"/>
            <w:shd w:val="clear" w:color="auto" w:fill="auto"/>
          </w:tcPr>
          <w:p w14:paraId="27B4DEFD" w14:textId="77777777" w:rsidR="0096762E" w:rsidRPr="00666E25" w:rsidRDefault="0096762E" w:rsidP="00136643">
            <w:pPr>
              <w:rPr>
                <w:rFonts w:ascii="Arial" w:hAnsi="Arial" w:cs="Arial"/>
                <w:bCs/>
                <w:lang w:val="en-GB"/>
              </w:rPr>
            </w:pPr>
            <w:r w:rsidRPr="00666E25">
              <w:rPr>
                <w:rFonts w:ascii="Arial" w:hAnsi="Arial" w:cs="Arial"/>
                <w:bCs/>
                <w:lang w:val="en-GB"/>
              </w:rPr>
              <w:t>2019-2022</w:t>
            </w:r>
          </w:p>
        </w:tc>
      </w:tr>
      <w:tr w:rsidR="0096762E" w:rsidRPr="00666E25" w14:paraId="258D3184" w14:textId="77777777" w:rsidTr="0096762E">
        <w:tc>
          <w:tcPr>
            <w:tcW w:w="645" w:type="dxa"/>
            <w:shd w:val="clear" w:color="auto" w:fill="auto"/>
          </w:tcPr>
          <w:p w14:paraId="21832ACE" w14:textId="77777777" w:rsidR="0096762E" w:rsidRPr="00666E25" w:rsidRDefault="0096762E" w:rsidP="00136643">
            <w:pPr>
              <w:rPr>
                <w:rFonts w:ascii="Arial" w:hAnsi="Arial" w:cs="Arial"/>
                <w:b/>
                <w:bCs/>
                <w:lang w:val="en-GB"/>
              </w:rPr>
            </w:pPr>
            <w:r w:rsidRPr="00666E25">
              <w:rPr>
                <w:rFonts w:ascii="Arial" w:hAnsi="Arial" w:cs="Arial"/>
                <w:b/>
                <w:bCs/>
                <w:lang w:val="en-GB"/>
              </w:rPr>
              <w:t>1.3</w:t>
            </w:r>
          </w:p>
        </w:tc>
        <w:tc>
          <w:tcPr>
            <w:tcW w:w="7430" w:type="dxa"/>
            <w:shd w:val="clear" w:color="auto" w:fill="auto"/>
          </w:tcPr>
          <w:p w14:paraId="400DD463" w14:textId="28765136" w:rsidR="0096762E" w:rsidRPr="00666E25" w:rsidRDefault="0096762E" w:rsidP="00F05F9D">
            <w:pPr>
              <w:rPr>
                <w:rFonts w:ascii="Arial" w:hAnsi="Arial" w:cs="Arial"/>
                <w:bCs/>
                <w:lang w:val="en-GB"/>
              </w:rPr>
            </w:pPr>
            <w:r w:rsidRPr="00666E25">
              <w:rPr>
                <w:rFonts w:ascii="Arial" w:hAnsi="Arial" w:cs="Arial"/>
                <w:lang w:val="en-GB"/>
              </w:rPr>
              <w:t xml:space="preserve">Facilitate the presentation of </w:t>
            </w:r>
            <w:r>
              <w:rPr>
                <w:rFonts w:ascii="Arial" w:hAnsi="Arial" w:cs="Arial"/>
                <w:lang w:val="en-GB"/>
              </w:rPr>
              <w:t xml:space="preserve">this agreed </w:t>
            </w:r>
            <w:r w:rsidRPr="00666E25">
              <w:rPr>
                <w:rFonts w:ascii="Arial" w:hAnsi="Arial" w:cs="Arial"/>
                <w:lang w:val="en-GB"/>
              </w:rPr>
              <w:t>joint work</w:t>
            </w:r>
            <w:r>
              <w:rPr>
                <w:rFonts w:ascii="Arial" w:hAnsi="Arial" w:cs="Arial"/>
                <w:lang w:val="en-GB"/>
              </w:rPr>
              <w:t xml:space="preserve"> plan as well as</w:t>
            </w:r>
            <w:r w:rsidRPr="00666E25">
              <w:rPr>
                <w:rFonts w:ascii="Arial" w:hAnsi="Arial" w:cs="Arial"/>
                <w:lang w:val="en-GB"/>
              </w:rPr>
              <w:t xml:space="preserve"> </w:t>
            </w:r>
            <w:r>
              <w:rPr>
                <w:rFonts w:ascii="Arial" w:hAnsi="Arial" w:cs="Arial"/>
                <w:lang w:val="en-GB"/>
              </w:rPr>
              <w:t xml:space="preserve">written </w:t>
            </w:r>
            <w:r w:rsidRPr="00666E25">
              <w:rPr>
                <w:rFonts w:ascii="Arial" w:hAnsi="Arial" w:cs="Arial"/>
                <w:lang w:val="en-GB"/>
              </w:rPr>
              <w:t>reports</w:t>
            </w:r>
            <w:r>
              <w:rPr>
                <w:rFonts w:ascii="Arial" w:hAnsi="Arial" w:cs="Arial"/>
                <w:lang w:val="en-GB"/>
              </w:rPr>
              <w:t xml:space="preserve"> on activities of relevance</w:t>
            </w:r>
            <w:r w:rsidRPr="00666E25">
              <w:rPr>
                <w:rFonts w:ascii="Arial" w:hAnsi="Arial" w:cs="Arial"/>
                <w:lang w:val="en-GB"/>
              </w:rPr>
              <w:t xml:space="preserve"> to  respective governing bodies, as appropriate</w:t>
            </w:r>
          </w:p>
        </w:tc>
        <w:tc>
          <w:tcPr>
            <w:tcW w:w="1701" w:type="dxa"/>
            <w:shd w:val="clear" w:color="auto" w:fill="auto"/>
          </w:tcPr>
          <w:p w14:paraId="6D99B29A" w14:textId="6A0228AF" w:rsidR="0096762E" w:rsidRPr="00666E25" w:rsidRDefault="0096762E" w:rsidP="00136643">
            <w:pPr>
              <w:rPr>
                <w:rFonts w:ascii="Arial" w:hAnsi="Arial" w:cs="Arial"/>
                <w:bCs/>
                <w:lang w:val="en-GB"/>
              </w:rPr>
            </w:pPr>
            <w:r>
              <w:rPr>
                <w:rFonts w:ascii="Arial" w:hAnsi="Arial" w:cs="Arial"/>
                <w:bCs/>
                <w:lang w:val="en-GB"/>
              </w:rPr>
              <w:t>On going</w:t>
            </w:r>
          </w:p>
        </w:tc>
      </w:tr>
      <w:tr w:rsidR="0096762E" w:rsidRPr="00666E25" w14:paraId="1E4B1B62" w14:textId="77777777" w:rsidTr="0096762E">
        <w:tc>
          <w:tcPr>
            <w:tcW w:w="645" w:type="dxa"/>
            <w:shd w:val="clear" w:color="auto" w:fill="auto"/>
          </w:tcPr>
          <w:p w14:paraId="348E0E28" w14:textId="42664AA7" w:rsidR="0096762E" w:rsidRPr="00666E25" w:rsidRDefault="0096762E" w:rsidP="00136643">
            <w:pPr>
              <w:rPr>
                <w:rFonts w:ascii="Arial" w:hAnsi="Arial" w:cs="Arial"/>
                <w:b/>
                <w:bCs/>
                <w:lang w:val="en-GB"/>
              </w:rPr>
            </w:pPr>
            <w:r>
              <w:rPr>
                <w:rFonts w:ascii="Arial" w:hAnsi="Arial" w:cs="Arial"/>
                <w:b/>
                <w:bCs/>
                <w:lang w:val="en-GB"/>
              </w:rPr>
              <w:t>1.4</w:t>
            </w:r>
          </w:p>
        </w:tc>
        <w:tc>
          <w:tcPr>
            <w:tcW w:w="7430" w:type="dxa"/>
            <w:shd w:val="clear" w:color="auto" w:fill="auto"/>
          </w:tcPr>
          <w:p w14:paraId="48C1D6B1" w14:textId="58519CA4" w:rsidR="0096762E" w:rsidRPr="00666E25" w:rsidRDefault="0096762E" w:rsidP="004C3713">
            <w:pPr>
              <w:rPr>
                <w:rFonts w:ascii="Arial" w:hAnsi="Arial" w:cs="Arial"/>
                <w:lang w:val="en-GB"/>
              </w:rPr>
            </w:pPr>
            <w:r w:rsidRPr="00D31DA9">
              <w:rPr>
                <w:rFonts w:ascii="Arial" w:hAnsi="Arial" w:cs="Arial"/>
                <w:lang w:val="en-GB"/>
              </w:rPr>
              <w:t xml:space="preserve">Encourage participation of the IPPC Secretariat and </w:t>
            </w:r>
            <w:r>
              <w:rPr>
                <w:rFonts w:ascii="Arial" w:hAnsi="Arial" w:cs="Arial"/>
                <w:lang w:val="en-GB"/>
              </w:rPr>
              <w:t xml:space="preserve">National Plant Protection Organization </w:t>
            </w:r>
            <w:r w:rsidRPr="00D31DA9">
              <w:rPr>
                <w:rFonts w:ascii="Arial" w:hAnsi="Arial" w:cs="Arial"/>
                <w:lang w:val="en-GB"/>
              </w:rPr>
              <w:t xml:space="preserve"> authorities in the meetings of the WCO Working Group on the TFA</w:t>
            </w:r>
          </w:p>
        </w:tc>
        <w:tc>
          <w:tcPr>
            <w:tcW w:w="1701" w:type="dxa"/>
            <w:shd w:val="clear" w:color="auto" w:fill="auto"/>
          </w:tcPr>
          <w:p w14:paraId="4F562D0D" w14:textId="463512B8" w:rsidR="0096762E" w:rsidRPr="00666E25" w:rsidRDefault="0096762E" w:rsidP="00136643">
            <w:pPr>
              <w:rPr>
                <w:rFonts w:ascii="Arial" w:hAnsi="Arial" w:cs="Arial"/>
                <w:bCs/>
                <w:lang w:val="en-GB"/>
              </w:rPr>
            </w:pPr>
            <w:r>
              <w:rPr>
                <w:rFonts w:ascii="Arial" w:hAnsi="Arial" w:cs="Arial"/>
                <w:bCs/>
                <w:lang w:val="en-GB"/>
              </w:rPr>
              <w:t>On going</w:t>
            </w:r>
          </w:p>
        </w:tc>
      </w:tr>
      <w:tr w:rsidR="0096762E" w:rsidRPr="00666E25" w14:paraId="38EB249E" w14:textId="77777777" w:rsidTr="00C455F4">
        <w:tc>
          <w:tcPr>
            <w:tcW w:w="9776" w:type="dxa"/>
            <w:gridSpan w:val="3"/>
            <w:shd w:val="clear" w:color="auto" w:fill="385623" w:themeFill="accent6" w:themeFillShade="80"/>
          </w:tcPr>
          <w:p w14:paraId="77202AE7" w14:textId="77777777" w:rsidR="0096762E" w:rsidRPr="00AA633B" w:rsidRDefault="0096762E" w:rsidP="00D27638">
            <w:pPr>
              <w:spacing w:before="120"/>
              <w:rPr>
                <w:rFonts w:ascii="Arial" w:eastAsia="Calibri" w:hAnsi="Arial" w:cs="Arial"/>
                <w:b/>
                <w:bCs/>
                <w:color w:val="FFFFFF"/>
                <w:lang w:val="en-GB"/>
              </w:rPr>
            </w:pPr>
            <w:r w:rsidRPr="00AA633B">
              <w:rPr>
                <w:rFonts w:ascii="Arial" w:eastAsia="Calibri" w:hAnsi="Arial" w:cs="Arial"/>
                <w:b/>
                <w:bCs/>
                <w:color w:val="FFFFFF"/>
                <w:lang w:val="en-GB"/>
              </w:rPr>
              <w:lastRenderedPageBreak/>
              <w:t xml:space="preserve">2. Promotion of Communication and Advocacy </w:t>
            </w:r>
          </w:p>
          <w:p w14:paraId="07981D55" w14:textId="753115D9" w:rsidR="0096762E" w:rsidRPr="00666E25" w:rsidRDefault="0096762E" w:rsidP="00D27638">
            <w:pPr>
              <w:spacing w:after="120"/>
              <w:rPr>
                <w:rFonts w:ascii="Arial" w:hAnsi="Arial" w:cs="Arial"/>
              </w:rPr>
            </w:pPr>
            <w:r w:rsidRPr="00666E25">
              <w:rPr>
                <w:rFonts w:ascii="Arial" w:eastAsia="Calibri" w:hAnsi="Arial" w:cs="Arial"/>
                <w:color w:val="FFFF00"/>
                <w:lang w:val="en-GB"/>
              </w:rPr>
              <w:t>Each Secretariat will promote awareness of the themes that the other one will focus on.</w:t>
            </w:r>
          </w:p>
        </w:tc>
      </w:tr>
      <w:tr w:rsidR="0096762E" w:rsidRPr="00666E25" w14:paraId="782ECFD3" w14:textId="77777777" w:rsidTr="0096762E">
        <w:tc>
          <w:tcPr>
            <w:tcW w:w="645" w:type="dxa"/>
            <w:shd w:val="clear" w:color="auto" w:fill="A8D08D" w:themeFill="accent6" w:themeFillTint="99"/>
          </w:tcPr>
          <w:p w14:paraId="2FE8A3A1" w14:textId="77777777" w:rsidR="0096762E" w:rsidRPr="00666E25" w:rsidRDefault="0096762E" w:rsidP="00B869C4">
            <w:pPr>
              <w:spacing w:before="120"/>
              <w:rPr>
                <w:rFonts w:ascii="Arial" w:hAnsi="Arial" w:cs="Arial"/>
                <w:b/>
                <w:bCs/>
                <w:lang w:val="en-GB"/>
              </w:rPr>
            </w:pPr>
            <w:r w:rsidRPr="00666E25">
              <w:rPr>
                <w:rFonts w:ascii="Arial" w:hAnsi="Arial" w:cs="Arial"/>
                <w:b/>
                <w:bCs/>
                <w:lang w:val="en-GB"/>
              </w:rPr>
              <w:t>No</w:t>
            </w:r>
          </w:p>
        </w:tc>
        <w:tc>
          <w:tcPr>
            <w:tcW w:w="7430" w:type="dxa"/>
            <w:shd w:val="clear" w:color="auto" w:fill="A8D08D" w:themeFill="accent6" w:themeFillTint="99"/>
            <w:vAlign w:val="center"/>
          </w:tcPr>
          <w:p w14:paraId="0ADA365A" w14:textId="77777777" w:rsidR="0096762E" w:rsidRPr="00666E25" w:rsidRDefault="0096762E" w:rsidP="00136643">
            <w:pPr>
              <w:rPr>
                <w:rFonts w:ascii="Arial" w:hAnsi="Arial" w:cs="Arial"/>
                <w:b/>
                <w:bCs/>
                <w:lang w:val="en-GB"/>
              </w:rPr>
            </w:pPr>
            <w:r w:rsidRPr="00666E25">
              <w:rPr>
                <w:rFonts w:ascii="Arial" w:hAnsi="Arial" w:cs="Arial"/>
                <w:b/>
                <w:bCs/>
                <w:lang w:val="en-GB"/>
              </w:rPr>
              <w:t>Action</w:t>
            </w:r>
          </w:p>
        </w:tc>
        <w:tc>
          <w:tcPr>
            <w:tcW w:w="1701" w:type="dxa"/>
            <w:shd w:val="clear" w:color="auto" w:fill="A8D08D" w:themeFill="accent6" w:themeFillTint="99"/>
            <w:vAlign w:val="center"/>
          </w:tcPr>
          <w:p w14:paraId="7063CC85" w14:textId="77777777" w:rsidR="0096762E" w:rsidRPr="00666E25" w:rsidRDefault="0096762E" w:rsidP="00136643">
            <w:pPr>
              <w:rPr>
                <w:rFonts w:ascii="Arial" w:hAnsi="Arial" w:cs="Arial"/>
                <w:b/>
                <w:bCs/>
                <w:lang w:val="en-GB"/>
              </w:rPr>
            </w:pPr>
            <w:r w:rsidRPr="00666E25">
              <w:rPr>
                <w:rFonts w:ascii="Arial" w:hAnsi="Arial" w:cs="Arial"/>
                <w:b/>
                <w:bCs/>
                <w:lang w:val="en-GB"/>
              </w:rPr>
              <w:t>Time frame</w:t>
            </w:r>
          </w:p>
        </w:tc>
      </w:tr>
      <w:tr w:rsidR="0096762E" w:rsidRPr="00666E25" w14:paraId="14052EDB" w14:textId="77777777" w:rsidTr="0096762E">
        <w:tc>
          <w:tcPr>
            <w:tcW w:w="645" w:type="dxa"/>
            <w:shd w:val="clear" w:color="auto" w:fill="auto"/>
          </w:tcPr>
          <w:p w14:paraId="36E7BE00" w14:textId="77777777" w:rsidR="0096762E" w:rsidRPr="00666E25" w:rsidRDefault="0096762E" w:rsidP="00136643">
            <w:pPr>
              <w:rPr>
                <w:rFonts w:ascii="Arial" w:hAnsi="Arial" w:cs="Arial"/>
                <w:b/>
                <w:bCs/>
                <w:lang w:val="en-GB"/>
              </w:rPr>
            </w:pPr>
            <w:r w:rsidRPr="00666E25">
              <w:rPr>
                <w:rFonts w:ascii="Arial" w:hAnsi="Arial" w:cs="Arial"/>
                <w:b/>
                <w:bCs/>
                <w:lang w:val="en-GB"/>
              </w:rPr>
              <w:t>2.1</w:t>
            </w:r>
          </w:p>
        </w:tc>
        <w:tc>
          <w:tcPr>
            <w:tcW w:w="7430" w:type="dxa"/>
            <w:shd w:val="clear" w:color="auto" w:fill="auto"/>
          </w:tcPr>
          <w:p w14:paraId="7370D2A6" w14:textId="3BC2F065" w:rsidR="0096762E" w:rsidRPr="00666E25" w:rsidRDefault="0096762E" w:rsidP="002818B4">
            <w:pPr>
              <w:rPr>
                <w:rFonts w:ascii="Arial" w:hAnsi="Arial" w:cs="Arial"/>
                <w:bCs/>
                <w:lang w:val="en-GB"/>
              </w:rPr>
            </w:pPr>
            <w:r w:rsidRPr="00666E25">
              <w:rPr>
                <w:rFonts w:ascii="Arial" w:hAnsi="Arial" w:cs="Arial"/>
                <w:lang w:val="en-GB"/>
              </w:rPr>
              <w:t>Promote International Year of Plant Health (IYPH)</w:t>
            </w:r>
            <w:r>
              <w:rPr>
                <w:rFonts w:ascii="Arial" w:hAnsi="Arial" w:cs="Arial"/>
                <w:lang w:val="en-GB"/>
              </w:rPr>
              <w:t xml:space="preserve"> and contribute to the global plant health events and awareness campaigns in 2020</w:t>
            </w:r>
          </w:p>
        </w:tc>
        <w:tc>
          <w:tcPr>
            <w:tcW w:w="1701" w:type="dxa"/>
            <w:shd w:val="clear" w:color="auto" w:fill="auto"/>
          </w:tcPr>
          <w:p w14:paraId="4A4E238A" w14:textId="77777777" w:rsidR="0096762E" w:rsidRPr="00666E25" w:rsidRDefault="0096762E" w:rsidP="00136643">
            <w:pPr>
              <w:rPr>
                <w:rFonts w:ascii="Arial" w:hAnsi="Arial" w:cs="Arial"/>
                <w:bCs/>
                <w:lang w:val="en-GB"/>
              </w:rPr>
            </w:pPr>
            <w:r w:rsidRPr="00666E25">
              <w:rPr>
                <w:rFonts w:ascii="Arial" w:hAnsi="Arial" w:cs="Arial"/>
                <w:bCs/>
                <w:lang w:val="en-GB"/>
              </w:rPr>
              <w:t>2020</w:t>
            </w:r>
          </w:p>
        </w:tc>
      </w:tr>
      <w:tr w:rsidR="0096762E" w:rsidRPr="00666E25" w14:paraId="55EF7687" w14:textId="77777777" w:rsidTr="0096762E">
        <w:tc>
          <w:tcPr>
            <w:tcW w:w="645" w:type="dxa"/>
            <w:shd w:val="clear" w:color="auto" w:fill="auto"/>
          </w:tcPr>
          <w:p w14:paraId="25E35111" w14:textId="77777777" w:rsidR="0096762E" w:rsidRPr="00666E25" w:rsidRDefault="0096762E" w:rsidP="00136643">
            <w:pPr>
              <w:rPr>
                <w:rFonts w:ascii="Arial" w:hAnsi="Arial" w:cs="Arial"/>
                <w:b/>
                <w:bCs/>
                <w:lang w:val="en-GB"/>
              </w:rPr>
            </w:pPr>
            <w:r w:rsidRPr="00666E25">
              <w:rPr>
                <w:rFonts w:ascii="Arial" w:hAnsi="Arial" w:cs="Arial"/>
                <w:b/>
                <w:bCs/>
                <w:lang w:val="en-GB"/>
              </w:rPr>
              <w:t>2.2</w:t>
            </w:r>
          </w:p>
        </w:tc>
        <w:tc>
          <w:tcPr>
            <w:tcW w:w="7430" w:type="dxa"/>
            <w:shd w:val="clear" w:color="auto" w:fill="auto"/>
          </w:tcPr>
          <w:p w14:paraId="1CA9B3EC" w14:textId="4DF32D1F" w:rsidR="0096762E" w:rsidRPr="00666E25" w:rsidRDefault="0096762E" w:rsidP="000F34C5">
            <w:pPr>
              <w:rPr>
                <w:rFonts w:ascii="Arial" w:hAnsi="Arial" w:cs="Arial"/>
                <w:bCs/>
                <w:lang w:val="en-GB"/>
              </w:rPr>
            </w:pPr>
            <w:r w:rsidRPr="00666E25">
              <w:rPr>
                <w:rFonts w:ascii="Arial" w:hAnsi="Arial" w:cs="Arial"/>
                <w:lang w:val="en-US"/>
              </w:rPr>
              <w:t xml:space="preserve">Promote the WCO’s </w:t>
            </w:r>
            <w:r>
              <w:rPr>
                <w:rFonts w:ascii="Arial" w:hAnsi="Arial" w:cs="Arial"/>
                <w:lang w:val="en-US"/>
              </w:rPr>
              <w:t xml:space="preserve">annual </w:t>
            </w:r>
            <w:r w:rsidRPr="00666E25">
              <w:rPr>
                <w:rFonts w:ascii="Arial" w:hAnsi="Arial" w:cs="Arial"/>
                <w:lang w:val="en-US"/>
              </w:rPr>
              <w:t>theme of the year</w:t>
            </w:r>
            <w:r>
              <w:t xml:space="preserve"> </w:t>
            </w:r>
            <w:r w:rsidRPr="002818B4">
              <w:rPr>
                <w:rFonts w:ascii="Arial" w:hAnsi="Arial" w:cs="Arial"/>
                <w:lang w:val="en-US"/>
              </w:rPr>
              <w:t>and Commission on Phytosanitary Measures annual themes</w:t>
            </w:r>
          </w:p>
        </w:tc>
        <w:tc>
          <w:tcPr>
            <w:tcW w:w="1701" w:type="dxa"/>
            <w:shd w:val="clear" w:color="auto" w:fill="auto"/>
          </w:tcPr>
          <w:p w14:paraId="356827CC" w14:textId="77777777" w:rsidR="0096762E" w:rsidRPr="00666E25" w:rsidRDefault="0096762E" w:rsidP="00136643">
            <w:pPr>
              <w:rPr>
                <w:rFonts w:ascii="Arial" w:hAnsi="Arial" w:cs="Arial"/>
                <w:bCs/>
                <w:lang w:val="en-GB"/>
              </w:rPr>
            </w:pPr>
            <w:r w:rsidRPr="00666E25">
              <w:rPr>
                <w:rFonts w:ascii="Arial" w:hAnsi="Arial" w:cs="Arial"/>
                <w:bCs/>
                <w:lang w:val="en-GB"/>
              </w:rPr>
              <w:t>2019-2022</w:t>
            </w:r>
          </w:p>
        </w:tc>
      </w:tr>
      <w:tr w:rsidR="0096762E" w:rsidRPr="00666E25" w14:paraId="7237D6D4" w14:textId="77777777" w:rsidTr="0096762E">
        <w:tc>
          <w:tcPr>
            <w:tcW w:w="645" w:type="dxa"/>
          </w:tcPr>
          <w:p w14:paraId="6196873D" w14:textId="408D2137" w:rsidR="0096762E" w:rsidRPr="00666E25" w:rsidRDefault="0096762E" w:rsidP="00C74A9C">
            <w:pPr>
              <w:rPr>
                <w:rFonts w:ascii="Arial" w:hAnsi="Arial" w:cs="Arial"/>
                <w:b/>
                <w:bCs/>
                <w:lang w:val="en-GB"/>
              </w:rPr>
            </w:pPr>
            <w:r w:rsidRPr="00666E25">
              <w:rPr>
                <w:rFonts w:ascii="Arial" w:hAnsi="Arial" w:cs="Arial"/>
                <w:b/>
                <w:bCs/>
                <w:lang w:val="en-GB"/>
              </w:rPr>
              <w:t>2.</w:t>
            </w:r>
            <w:r>
              <w:rPr>
                <w:rFonts w:ascii="Arial" w:hAnsi="Arial" w:cs="Arial"/>
                <w:b/>
                <w:bCs/>
                <w:lang w:val="en-GB"/>
              </w:rPr>
              <w:t>3</w:t>
            </w:r>
          </w:p>
        </w:tc>
        <w:tc>
          <w:tcPr>
            <w:tcW w:w="7430" w:type="dxa"/>
          </w:tcPr>
          <w:p w14:paraId="66CF1A15" w14:textId="05CE0BA5" w:rsidR="0096762E" w:rsidRPr="00666E25" w:rsidRDefault="0096762E" w:rsidP="00EB7097">
            <w:pPr>
              <w:rPr>
                <w:rFonts w:ascii="Arial" w:hAnsi="Arial" w:cs="Arial"/>
                <w:bCs/>
                <w:lang w:val="en-GB"/>
              </w:rPr>
            </w:pPr>
            <w:r w:rsidRPr="00666E25">
              <w:rPr>
                <w:rFonts w:ascii="Arial" w:hAnsi="Arial" w:cs="Arial"/>
                <w:lang w:val="en-US"/>
              </w:rPr>
              <w:t xml:space="preserve">Make available a </w:t>
            </w:r>
            <w:r>
              <w:rPr>
                <w:rFonts w:ascii="Arial" w:hAnsi="Arial" w:cs="Arial"/>
                <w:lang w:val="en-US"/>
              </w:rPr>
              <w:t>web</w:t>
            </w:r>
            <w:r w:rsidRPr="00666E25">
              <w:rPr>
                <w:rFonts w:ascii="Arial" w:hAnsi="Arial" w:cs="Arial"/>
                <w:lang w:val="en-US"/>
              </w:rPr>
              <w:t>page, on their respective website</w:t>
            </w:r>
            <w:r>
              <w:rPr>
                <w:rFonts w:ascii="Arial" w:hAnsi="Arial" w:cs="Arial"/>
                <w:lang w:val="en-US"/>
              </w:rPr>
              <w:t>s</w:t>
            </w:r>
            <w:r w:rsidRPr="00666E25">
              <w:rPr>
                <w:rFonts w:ascii="Arial" w:hAnsi="Arial" w:cs="Arial"/>
                <w:lang w:val="en-US"/>
              </w:rPr>
              <w:t xml:space="preserve">, </w:t>
            </w:r>
            <w:r>
              <w:rPr>
                <w:rFonts w:ascii="Arial" w:hAnsi="Arial" w:cs="Arial"/>
                <w:lang w:val="en-US"/>
              </w:rPr>
              <w:t xml:space="preserve">to </w:t>
            </w:r>
            <w:r w:rsidRPr="00666E25">
              <w:rPr>
                <w:rFonts w:ascii="Arial" w:hAnsi="Arial" w:cs="Arial"/>
                <w:lang w:val="en-US"/>
              </w:rPr>
              <w:t>includ</w:t>
            </w:r>
            <w:r>
              <w:rPr>
                <w:rFonts w:ascii="Arial" w:hAnsi="Arial" w:cs="Arial"/>
                <w:lang w:val="en-US"/>
              </w:rPr>
              <w:t>e</w:t>
            </w:r>
            <w:r w:rsidRPr="00666E25">
              <w:rPr>
                <w:rFonts w:ascii="Arial" w:hAnsi="Arial" w:cs="Arial"/>
                <w:lang w:val="en-US"/>
              </w:rPr>
              <w:t xml:space="preserve"> information on the </w:t>
            </w:r>
            <w:r>
              <w:rPr>
                <w:rFonts w:ascii="Arial" w:hAnsi="Arial" w:cs="Arial"/>
                <w:lang w:val="en-US"/>
              </w:rPr>
              <w:t xml:space="preserve">areas of collaboration and provide links to each other’s web sites </w:t>
            </w:r>
            <w:r w:rsidRPr="00666E25">
              <w:rPr>
                <w:rFonts w:ascii="Arial" w:hAnsi="Arial" w:cs="Arial"/>
                <w:lang w:val="en-US"/>
              </w:rPr>
              <w:t>and relevant contact</w:t>
            </w:r>
            <w:r>
              <w:rPr>
                <w:rFonts w:ascii="Arial" w:hAnsi="Arial" w:cs="Arial"/>
                <w:lang w:val="en-US"/>
              </w:rPr>
              <w:t xml:space="preserve"> information</w:t>
            </w:r>
          </w:p>
        </w:tc>
        <w:tc>
          <w:tcPr>
            <w:tcW w:w="1701" w:type="dxa"/>
            <w:shd w:val="clear" w:color="auto" w:fill="auto"/>
          </w:tcPr>
          <w:p w14:paraId="32287930" w14:textId="77777777" w:rsidR="0096762E" w:rsidRPr="00666E25" w:rsidRDefault="0096762E" w:rsidP="00136643">
            <w:pPr>
              <w:rPr>
                <w:rFonts w:ascii="Arial" w:hAnsi="Arial" w:cs="Arial"/>
                <w:bCs/>
                <w:lang w:val="en-GB"/>
              </w:rPr>
            </w:pPr>
            <w:r w:rsidRPr="00666E25">
              <w:rPr>
                <w:rFonts w:ascii="Arial" w:hAnsi="Arial" w:cs="Arial"/>
                <w:bCs/>
                <w:lang w:val="en-GB"/>
              </w:rPr>
              <w:t>2019-2022</w:t>
            </w:r>
          </w:p>
        </w:tc>
      </w:tr>
      <w:tr w:rsidR="0096762E" w:rsidRPr="00666E25" w14:paraId="38D8EC55" w14:textId="77777777" w:rsidTr="008D6864">
        <w:tc>
          <w:tcPr>
            <w:tcW w:w="9776" w:type="dxa"/>
            <w:gridSpan w:val="3"/>
            <w:shd w:val="clear" w:color="auto" w:fill="385623" w:themeFill="accent6" w:themeFillShade="80"/>
          </w:tcPr>
          <w:p w14:paraId="60763BD9" w14:textId="0C63A70F" w:rsidR="0096762E" w:rsidRPr="00666E25" w:rsidRDefault="0096762E" w:rsidP="00136643">
            <w:pPr>
              <w:rPr>
                <w:rFonts w:ascii="Arial" w:hAnsi="Arial" w:cs="Arial"/>
                <w:bCs/>
                <w:lang w:val="en-GB"/>
              </w:rPr>
            </w:pPr>
            <w:r w:rsidRPr="00A84588">
              <w:rPr>
                <w:rFonts w:ascii="Arial" w:eastAsia="Calibri" w:hAnsi="Arial" w:cs="Arial"/>
                <w:b/>
                <w:bCs/>
                <w:color w:val="FFFFFF"/>
                <w:lang w:val="en-GB"/>
              </w:rPr>
              <w:t xml:space="preserve">3. </w:t>
            </w:r>
            <w:r>
              <w:rPr>
                <w:rFonts w:ascii="Arial" w:eastAsia="Calibri" w:hAnsi="Arial" w:cs="Arial"/>
                <w:b/>
                <w:bCs/>
                <w:color w:val="FFFFFF"/>
                <w:lang w:val="en-GB"/>
              </w:rPr>
              <w:t xml:space="preserve">Cross-Border </w:t>
            </w:r>
            <w:r w:rsidRPr="00A84588">
              <w:rPr>
                <w:rFonts w:ascii="Arial" w:eastAsia="Calibri" w:hAnsi="Arial" w:cs="Arial"/>
                <w:b/>
                <w:bCs/>
                <w:color w:val="FFFFFF"/>
                <w:lang w:val="en-GB"/>
              </w:rPr>
              <w:t>E-Commerce</w:t>
            </w:r>
          </w:p>
        </w:tc>
      </w:tr>
      <w:tr w:rsidR="0096762E" w:rsidRPr="00666E25" w14:paraId="3AEC4CD8" w14:textId="77777777" w:rsidTr="0096762E">
        <w:tc>
          <w:tcPr>
            <w:tcW w:w="645" w:type="dxa"/>
            <w:shd w:val="clear" w:color="auto" w:fill="A8D08D" w:themeFill="accent6" w:themeFillTint="99"/>
          </w:tcPr>
          <w:p w14:paraId="74EF56C3" w14:textId="77777777" w:rsidR="0096762E" w:rsidRPr="00666E25" w:rsidRDefault="0096762E" w:rsidP="00B869C4">
            <w:pPr>
              <w:spacing w:before="120"/>
              <w:rPr>
                <w:rFonts w:ascii="Arial" w:hAnsi="Arial" w:cs="Arial"/>
                <w:b/>
                <w:bCs/>
                <w:lang w:val="en-GB"/>
              </w:rPr>
            </w:pPr>
            <w:r w:rsidRPr="00666E25">
              <w:rPr>
                <w:rFonts w:ascii="Arial" w:hAnsi="Arial" w:cs="Arial"/>
                <w:b/>
                <w:bCs/>
                <w:lang w:val="en-GB"/>
              </w:rPr>
              <w:t>No</w:t>
            </w:r>
          </w:p>
        </w:tc>
        <w:tc>
          <w:tcPr>
            <w:tcW w:w="7430" w:type="dxa"/>
            <w:shd w:val="clear" w:color="auto" w:fill="A8D08D" w:themeFill="accent6" w:themeFillTint="99"/>
            <w:vAlign w:val="center"/>
          </w:tcPr>
          <w:p w14:paraId="1CE06789" w14:textId="77777777" w:rsidR="0096762E" w:rsidRPr="00666E25" w:rsidRDefault="0096762E" w:rsidP="00136643">
            <w:pPr>
              <w:rPr>
                <w:rFonts w:ascii="Arial" w:hAnsi="Arial" w:cs="Arial"/>
                <w:b/>
                <w:bCs/>
                <w:lang w:val="en-GB"/>
              </w:rPr>
            </w:pPr>
            <w:r w:rsidRPr="00666E25">
              <w:rPr>
                <w:rFonts w:ascii="Arial" w:hAnsi="Arial" w:cs="Arial"/>
                <w:b/>
                <w:bCs/>
                <w:lang w:val="en-GB"/>
              </w:rPr>
              <w:t>Action</w:t>
            </w:r>
          </w:p>
        </w:tc>
        <w:tc>
          <w:tcPr>
            <w:tcW w:w="1701" w:type="dxa"/>
            <w:shd w:val="clear" w:color="auto" w:fill="A8D08D" w:themeFill="accent6" w:themeFillTint="99"/>
            <w:vAlign w:val="center"/>
          </w:tcPr>
          <w:p w14:paraId="67F0AD70" w14:textId="77777777" w:rsidR="0096762E" w:rsidRPr="00666E25" w:rsidRDefault="0096762E" w:rsidP="00136643">
            <w:pPr>
              <w:rPr>
                <w:rFonts w:ascii="Arial" w:hAnsi="Arial" w:cs="Arial"/>
                <w:b/>
                <w:bCs/>
                <w:lang w:val="en-GB"/>
              </w:rPr>
            </w:pPr>
            <w:r w:rsidRPr="00666E25">
              <w:rPr>
                <w:rFonts w:ascii="Arial" w:hAnsi="Arial" w:cs="Arial"/>
                <w:b/>
                <w:bCs/>
                <w:lang w:val="en-GB"/>
              </w:rPr>
              <w:t>Time frame</w:t>
            </w:r>
          </w:p>
        </w:tc>
      </w:tr>
      <w:tr w:rsidR="0096762E" w:rsidRPr="00666E25" w14:paraId="005C1A45" w14:textId="77777777" w:rsidTr="0096762E">
        <w:tc>
          <w:tcPr>
            <w:tcW w:w="645" w:type="dxa"/>
          </w:tcPr>
          <w:p w14:paraId="164CC64D" w14:textId="77777777" w:rsidR="0096762E" w:rsidRPr="00666E25" w:rsidRDefault="0096762E" w:rsidP="00136643">
            <w:pPr>
              <w:rPr>
                <w:rFonts w:ascii="Arial" w:hAnsi="Arial" w:cs="Arial"/>
                <w:b/>
                <w:bCs/>
              </w:rPr>
            </w:pPr>
            <w:r w:rsidRPr="00666E25">
              <w:rPr>
                <w:rFonts w:ascii="Arial" w:hAnsi="Arial" w:cs="Arial"/>
                <w:b/>
                <w:bCs/>
              </w:rPr>
              <w:t>3.1</w:t>
            </w:r>
          </w:p>
        </w:tc>
        <w:tc>
          <w:tcPr>
            <w:tcW w:w="7430" w:type="dxa"/>
            <w:shd w:val="clear" w:color="auto" w:fill="auto"/>
          </w:tcPr>
          <w:p w14:paraId="1A60248F" w14:textId="5BA34A21" w:rsidR="0096762E" w:rsidRPr="00666E25" w:rsidRDefault="0096762E" w:rsidP="004C3713">
            <w:pPr>
              <w:rPr>
                <w:rFonts w:ascii="Arial" w:hAnsi="Arial" w:cs="Arial"/>
                <w:lang w:val="en-US"/>
              </w:rPr>
            </w:pPr>
            <w:r w:rsidRPr="00666E25">
              <w:rPr>
                <w:rFonts w:ascii="Arial" w:hAnsi="Arial" w:cs="Arial"/>
                <w:bCs/>
              </w:rPr>
              <w:t>Address</w:t>
            </w:r>
            <w:r>
              <w:rPr>
                <w:rFonts w:ascii="Arial" w:hAnsi="Arial" w:cs="Arial"/>
                <w:bCs/>
              </w:rPr>
              <w:t xml:space="preserve"> phytosanitary</w:t>
            </w:r>
            <w:r w:rsidRPr="00666E25">
              <w:rPr>
                <w:rFonts w:ascii="Arial" w:hAnsi="Arial" w:cs="Arial"/>
                <w:bCs/>
              </w:rPr>
              <w:t xml:space="preserve"> risks in the </w:t>
            </w:r>
            <w:r>
              <w:rPr>
                <w:rFonts w:ascii="Arial" w:hAnsi="Arial" w:cs="Arial"/>
                <w:bCs/>
              </w:rPr>
              <w:t>E</w:t>
            </w:r>
            <w:r w:rsidRPr="00666E25">
              <w:rPr>
                <w:rFonts w:ascii="Arial" w:hAnsi="Arial" w:cs="Arial"/>
                <w:bCs/>
              </w:rPr>
              <w:t>-</w:t>
            </w:r>
            <w:r>
              <w:rPr>
                <w:rFonts w:ascii="Arial" w:hAnsi="Arial" w:cs="Arial"/>
                <w:bCs/>
              </w:rPr>
              <w:t>C</w:t>
            </w:r>
            <w:r w:rsidRPr="00666E25">
              <w:rPr>
                <w:rFonts w:ascii="Arial" w:hAnsi="Arial" w:cs="Arial"/>
                <w:bCs/>
              </w:rPr>
              <w:t xml:space="preserve">ommerce </w:t>
            </w:r>
          </w:p>
        </w:tc>
        <w:tc>
          <w:tcPr>
            <w:tcW w:w="1701" w:type="dxa"/>
            <w:shd w:val="clear" w:color="auto" w:fill="auto"/>
          </w:tcPr>
          <w:p w14:paraId="75673858" w14:textId="77777777" w:rsidR="0096762E" w:rsidRPr="00666E25" w:rsidRDefault="0096762E" w:rsidP="00136643">
            <w:pPr>
              <w:rPr>
                <w:rFonts w:ascii="Arial" w:hAnsi="Arial" w:cs="Arial"/>
                <w:bCs/>
                <w:lang w:val="en-GB"/>
              </w:rPr>
            </w:pPr>
            <w:r w:rsidRPr="00666E25">
              <w:rPr>
                <w:rFonts w:ascii="Arial" w:hAnsi="Arial" w:cs="Arial"/>
                <w:bCs/>
                <w:lang w:val="en-GB"/>
              </w:rPr>
              <w:t>2019-2</w:t>
            </w:r>
            <w:r>
              <w:rPr>
                <w:rFonts w:ascii="Arial" w:hAnsi="Arial" w:cs="Arial"/>
                <w:bCs/>
                <w:lang w:val="en-GB"/>
              </w:rPr>
              <w:t>0</w:t>
            </w:r>
            <w:r w:rsidRPr="00666E25">
              <w:rPr>
                <w:rFonts w:ascii="Arial" w:hAnsi="Arial" w:cs="Arial"/>
                <w:bCs/>
                <w:lang w:val="en-GB"/>
              </w:rPr>
              <w:t>20</w:t>
            </w:r>
          </w:p>
        </w:tc>
      </w:tr>
      <w:tr w:rsidR="0096762E" w:rsidRPr="00666E25" w14:paraId="6CFD3842" w14:textId="77777777" w:rsidTr="0096762E">
        <w:tc>
          <w:tcPr>
            <w:tcW w:w="645" w:type="dxa"/>
          </w:tcPr>
          <w:p w14:paraId="68688681" w14:textId="77777777" w:rsidR="0096762E" w:rsidRPr="00666E25" w:rsidRDefault="0096762E" w:rsidP="00136643">
            <w:pPr>
              <w:rPr>
                <w:rFonts w:ascii="Arial" w:hAnsi="Arial" w:cs="Arial"/>
                <w:b/>
                <w:bCs/>
              </w:rPr>
            </w:pPr>
            <w:r w:rsidRPr="00666E25">
              <w:rPr>
                <w:rFonts w:ascii="Arial" w:hAnsi="Arial" w:cs="Arial"/>
                <w:b/>
                <w:bCs/>
              </w:rPr>
              <w:t>3.2</w:t>
            </w:r>
          </w:p>
        </w:tc>
        <w:tc>
          <w:tcPr>
            <w:tcW w:w="7430" w:type="dxa"/>
            <w:shd w:val="clear" w:color="auto" w:fill="auto"/>
          </w:tcPr>
          <w:p w14:paraId="0CFD00F9" w14:textId="77777777" w:rsidR="0096762E" w:rsidRPr="00666E25" w:rsidRDefault="0096762E" w:rsidP="00BF632F">
            <w:pPr>
              <w:rPr>
                <w:rFonts w:ascii="Arial" w:hAnsi="Arial" w:cs="Arial"/>
                <w:bCs/>
              </w:rPr>
            </w:pPr>
            <w:r w:rsidRPr="00666E25">
              <w:rPr>
                <w:rFonts w:ascii="Arial" w:hAnsi="Arial" w:cs="Arial"/>
                <w:bCs/>
              </w:rPr>
              <w:t xml:space="preserve">Facilitate the implementation of the IPPC activities on </w:t>
            </w:r>
            <w:r>
              <w:rPr>
                <w:rFonts w:ascii="Arial" w:hAnsi="Arial" w:cs="Arial"/>
                <w:bCs/>
              </w:rPr>
              <w:t>E</w:t>
            </w:r>
            <w:r w:rsidRPr="00666E25">
              <w:rPr>
                <w:rFonts w:ascii="Arial" w:hAnsi="Arial" w:cs="Arial"/>
                <w:bCs/>
              </w:rPr>
              <w:t>-Commerce through collaboration among NPPOs, RPPOs, Customs administrations, commercial operators and any relevant stakeholder</w:t>
            </w:r>
          </w:p>
        </w:tc>
        <w:tc>
          <w:tcPr>
            <w:tcW w:w="1701" w:type="dxa"/>
            <w:shd w:val="clear" w:color="auto" w:fill="auto"/>
          </w:tcPr>
          <w:p w14:paraId="611B06DA" w14:textId="77777777" w:rsidR="0096762E" w:rsidRPr="00666E25" w:rsidRDefault="0096762E" w:rsidP="00136643">
            <w:pPr>
              <w:rPr>
                <w:rFonts w:ascii="Arial" w:hAnsi="Arial" w:cs="Arial"/>
                <w:bCs/>
                <w:lang w:val="en-GB"/>
              </w:rPr>
            </w:pPr>
            <w:r w:rsidRPr="00666E25">
              <w:rPr>
                <w:rFonts w:ascii="Arial" w:hAnsi="Arial" w:cs="Arial"/>
                <w:bCs/>
                <w:lang w:val="en-GB"/>
              </w:rPr>
              <w:t>2019-2020</w:t>
            </w:r>
          </w:p>
        </w:tc>
      </w:tr>
      <w:tr w:rsidR="0096762E" w:rsidRPr="00666E25" w14:paraId="7D4B2E7C" w14:textId="77777777" w:rsidTr="0016063F">
        <w:tc>
          <w:tcPr>
            <w:tcW w:w="9776" w:type="dxa"/>
            <w:gridSpan w:val="3"/>
            <w:shd w:val="clear" w:color="auto" w:fill="385623" w:themeFill="accent6" w:themeFillShade="80"/>
          </w:tcPr>
          <w:p w14:paraId="606A45AD" w14:textId="77777777" w:rsidR="0096762E" w:rsidRPr="00561A80" w:rsidRDefault="0096762E" w:rsidP="00D27638">
            <w:pPr>
              <w:spacing w:before="120"/>
              <w:rPr>
                <w:rFonts w:ascii="Arial" w:eastAsia="Calibri" w:hAnsi="Arial" w:cs="Arial"/>
                <w:b/>
                <w:bCs/>
                <w:color w:val="FFFFFF"/>
                <w:lang w:val="en-GB"/>
              </w:rPr>
            </w:pPr>
            <w:r w:rsidRPr="00561A80">
              <w:rPr>
                <w:rFonts w:ascii="Arial" w:eastAsia="Calibri" w:hAnsi="Arial" w:cs="Arial"/>
                <w:b/>
                <w:bCs/>
                <w:color w:val="FFFFFF"/>
                <w:lang w:val="en-GB"/>
              </w:rPr>
              <w:t xml:space="preserve">4. </w:t>
            </w:r>
            <w:r w:rsidRPr="00561A80">
              <w:rPr>
                <w:rFonts w:ascii="Arial" w:eastAsia="Calibri" w:hAnsi="Arial" w:cs="Arial"/>
              </w:rPr>
              <w:t xml:space="preserve"> </w:t>
            </w:r>
            <w:r w:rsidRPr="00561A80">
              <w:rPr>
                <w:rFonts w:ascii="Arial" w:eastAsia="Calibri" w:hAnsi="Arial" w:cs="Arial"/>
                <w:b/>
                <w:bCs/>
                <w:color w:val="FFFFFF"/>
                <w:lang w:val="en-GB"/>
              </w:rPr>
              <w:t>Cooperation on Electronic Data Exchange (ePhyto)</w:t>
            </w:r>
          </w:p>
          <w:p w14:paraId="72E2F187" w14:textId="51DB2D6B" w:rsidR="0096762E" w:rsidRPr="00666E25" w:rsidRDefault="0096762E" w:rsidP="00D27638">
            <w:pPr>
              <w:spacing w:after="120"/>
              <w:rPr>
                <w:rFonts w:ascii="Arial" w:hAnsi="Arial" w:cs="Arial"/>
                <w:bCs/>
                <w:lang w:val="en-GB"/>
              </w:rPr>
            </w:pPr>
            <w:r w:rsidRPr="00666E25">
              <w:rPr>
                <w:rFonts w:ascii="Arial" w:eastAsia="Calibri" w:hAnsi="Arial" w:cs="Arial"/>
                <w:color w:val="FFFF00"/>
                <w:lang w:val="en-GB"/>
              </w:rPr>
              <w:t xml:space="preserve">The Secretariats will collaborate on activities related to the implementation of electronic phytosanitary certification when and where possible. Emphasis will be placed on integrating the IPPC ePhyto system with national single windows systems when appropriate. </w:t>
            </w:r>
          </w:p>
        </w:tc>
      </w:tr>
      <w:tr w:rsidR="0096762E" w:rsidRPr="00666E25" w14:paraId="7B8F6475" w14:textId="77777777" w:rsidTr="0096762E">
        <w:tc>
          <w:tcPr>
            <w:tcW w:w="645" w:type="dxa"/>
            <w:shd w:val="clear" w:color="auto" w:fill="A8D08D" w:themeFill="accent6" w:themeFillTint="99"/>
          </w:tcPr>
          <w:p w14:paraId="48434A80" w14:textId="77777777" w:rsidR="0096762E" w:rsidRPr="00666E25" w:rsidRDefault="0096762E" w:rsidP="00B869C4">
            <w:pPr>
              <w:spacing w:before="120"/>
              <w:rPr>
                <w:rFonts w:ascii="Arial" w:hAnsi="Arial" w:cs="Arial"/>
                <w:b/>
                <w:bCs/>
                <w:lang w:val="en-GB"/>
              </w:rPr>
            </w:pPr>
            <w:r w:rsidRPr="00666E25">
              <w:rPr>
                <w:rFonts w:ascii="Arial" w:hAnsi="Arial" w:cs="Arial"/>
                <w:b/>
                <w:bCs/>
                <w:lang w:val="en-GB"/>
              </w:rPr>
              <w:t>No</w:t>
            </w:r>
          </w:p>
        </w:tc>
        <w:tc>
          <w:tcPr>
            <w:tcW w:w="7430" w:type="dxa"/>
            <w:shd w:val="clear" w:color="auto" w:fill="A8D08D" w:themeFill="accent6" w:themeFillTint="99"/>
            <w:vAlign w:val="center"/>
          </w:tcPr>
          <w:p w14:paraId="588DE94A" w14:textId="77777777" w:rsidR="0096762E" w:rsidRPr="00666E25" w:rsidRDefault="0096762E" w:rsidP="00136643">
            <w:pPr>
              <w:rPr>
                <w:rFonts w:ascii="Arial" w:hAnsi="Arial" w:cs="Arial"/>
                <w:b/>
                <w:bCs/>
                <w:lang w:val="en-GB"/>
              </w:rPr>
            </w:pPr>
            <w:r w:rsidRPr="00666E25">
              <w:rPr>
                <w:rFonts w:ascii="Arial" w:hAnsi="Arial" w:cs="Arial"/>
                <w:b/>
                <w:bCs/>
                <w:lang w:val="en-GB"/>
              </w:rPr>
              <w:t>Action</w:t>
            </w:r>
          </w:p>
        </w:tc>
        <w:tc>
          <w:tcPr>
            <w:tcW w:w="1701" w:type="dxa"/>
            <w:shd w:val="clear" w:color="auto" w:fill="A8D08D" w:themeFill="accent6" w:themeFillTint="99"/>
            <w:vAlign w:val="center"/>
          </w:tcPr>
          <w:p w14:paraId="573B9F16" w14:textId="77777777" w:rsidR="0096762E" w:rsidRPr="00666E25" w:rsidRDefault="0096762E" w:rsidP="00136643">
            <w:pPr>
              <w:rPr>
                <w:rFonts w:ascii="Arial" w:hAnsi="Arial" w:cs="Arial"/>
                <w:b/>
                <w:bCs/>
                <w:lang w:val="en-GB"/>
              </w:rPr>
            </w:pPr>
            <w:r w:rsidRPr="00666E25">
              <w:rPr>
                <w:rFonts w:ascii="Arial" w:hAnsi="Arial" w:cs="Arial"/>
                <w:b/>
                <w:bCs/>
                <w:lang w:val="en-GB"/>
              </w:rPr>
              <w:t>Time frame</w:t>
            </w:r>
          </w:p>
        </w:tc>
      </w:tr>
      <w:tr w:rsidR="0096762E" w:rsidRPr="00666E25" w14:paraId="0C7B4C40" w14:textId="77777777" w:rsidTr="0096762E">
        <w:tc>
          <w:tcPr>
            <w:tcW w:w="645" w:type="dxa"/>
            <w:shd w:val="clear" w:color="auto" w:fill="auto"/>
          </w:tcPr>
          <w:p w14:paraId="470DD98F" w14:textId="77777777" w:rsidR="0096762E" w:rsidRPr="00666E25" w:rsidRDefault="0096762E" w:rsidP="00136643">
            <w:pPr>
              <w:rPr>
                <w:rFonts w:ascii="Arial" w:hAnsi="Arial" w:cs="Arial"/>
                <w:b/>
                <w:bCs/>
                <w:lang w:val="en-GB"/>
              </w:rPr>
            </w:pPr>
            <w:r w:rsidRPr="00666E25">
              <w:rPr>
                <w:rFonts w:ascii="Arial" w:hAnsi="Arial" w:cs="Arial"/>
                <w:b/>
                <w:bCs/>
                <w:lang w:val="en-GB"/>
              </w:rPr>
              <w:t>4.1</w:t>
            </w:r>
          </w:p>
        </w:tc>
        <w:tc>
          <w:tcPr>
            <w:tcW w:w="7430" w:type="dxa"/>
            <w:shd w:val="clear" w:color="auto" w:fill="auto"/>
          </w:tcPr>
          <w:p w14:paraId="796022EE" w14:textId="2FE8B808" w:rsidR="0096762E" w:rsidRPr="00666E25" w:rsidRDefault="0096762E" w:rsidP="00314FEC">
            <w:pPr>
              <w:rPr>
                <w:rFonts w:ascii="Arial" w:hAnsi="Arial" w:cs="Arial"/>
                <w:lang w:val="en-GB"/>
              </w:rPr>
            </w:pPr>
            <w:r>
              <w:rPr>
                <w:rFonts w:ascii="Arial" w:hAnsi="Arial" w:cs="Arial"/>
                <w:lang w:val="en-GB"/>
              </w:rPr>
              <w:t xml:space="preserve">Facilitate the collaboration of </w:t>
            </w:r>
            <w:r w:rsidRPr="00666E25">
              <w:rPr>
                <w:rFonts w:ascii="Arial" w:hAnsi="Arial" w:cs="Arial"/>
                <w:lang w:val="en-GB"/>
              </w:rPr>
              <w:t>technical experts for the purpose of maintaining periodic interactions to ensure that all developments related to electronic phytosanitary certification are shared, understood, and when appropriate</w:t>
            </w:r>
            <w:r>
              <w:rPr>
                <w:rFonts w:ascii="Arial" w:hAnsi="Arial" w:cs="Arial"/>
                <w:lang w:val="en-GB"/>
              </w:rPr>
              <w:t>,</w:t>
            </w:r>
            <w:r w:rsidRPr="00666E25">
              <w:rPr>
                <w:rFonts w:ascii="Arial" w:hAnsi="Arial" w:cs="Arial"/>
                <w:lang w:val="en-GB"/>
              </w:rPr>
              <w:t xml:space="preserve"> are collaboratively implemented  </w:t>
            </w:r>
          </w:p>
        </w:tc>
        <w:tc>
          <w:tcPr>
            <w:tcW w:w="1701" w:type="dxa"/>
            <w:shd w:val="clear" w:color="auto" w:fill="auto"/>
          </w:tcPr>
          <w:p w14:paraId="7828F872" w14:textId="77777777" w:rsidR="0096762E" w:rsidRPr="00666E25" w:rsidRDefault="0096762E" w:rsidP="00136643">
            <w:pPr>
              <w:rPr>
                <w:rFonts w:ascii="Arial" w:hAnsi="Arial" w:cs="Arial"/>
                <w:bCs/>
                <w:lang w:val="en-GB"/>
              </w:rPr>
            </w:pPr>
            <w:r>
              <w:rPr>
                <w:rFonts w:ascii="Arial" w:hAnsi="Arial" w:cs="Arial"/>
                <w:bCs/>
                <w:lang w:val="en-GB"/>
              </w:rPr>
              <w:t>2019</w:t>
            </w:r>
          </w:p>
        </w:tc>
      </w:tr>
      <w:tr w:rsidR="0096762E" w:rsidRPr="00666E25" w14:paraId="586F97AE" w14:textId="77777777" w:rsidTr="0096762E">
        <w:tc>
          <w:tcPr>
            <w:tcW w:w="645" w:type="dxa"/>
            <w:shd w:val="clear" w:color="auto" w:fill="auto"/>
          </w:tcPr>
          <w:p w14:paraId="7128F1BD" w14:textId="77777777" w:rsidR="0096762E" w:rsidRPr="00666E25" w:rsidRDefault="0096762E" w:rsidP="00136643">
            <w:pPr>
              <w:rPr>
                <w:rFonts w:ascii="Arial" w:hAnsi="Arial" w:cs="Arial"/>
                <w:b/>
                <w:bCs/>
                <w:lang w:val="en-GB"/>
              </w:rPr>
            </w:pPr>
            <w:r w:rsidRPr="00666E25">
              <w:rPr>
                <w:rFonts w:ascii="Arial" w:hAnsi="Arial" w:cs="Arial"/>
                <w:b/>
                <w:bCs/>
                <w:lang w:val="en-GB"/>
              </w:rPr>
              <w:t>4.2</w:t>
            </w:r>
          </w:p>
        </w:tc>
        <w:tc>
          <w:tcPr>
            <w:tcW w:w="7430" w:type="dxa"/>
            <w:shd w:val="clear" w:color="auto" w:fill="auto"/>
          </w:tcPr>
          <w:p w14:paraId="4ACECC3B" w14:textId="2459B6BB" w:rsidR="0096762E" w:rsidRPr="00666E25" w:rsidRDefault="0096762E" w:rsidP="00BC3286">
            <w:pPr>
              <w:rPr>
                <w:rFonts w:ascii="Arial" w:hAnsi="Arial" w:cs="Arial"/>
                <w:lang w:val="en-US"/>
              </w:rPr>
            </w:pPr>
            <w:r w:rsidRPr="00666E25">
              <w:rPr>
                <w:rFonts w:ascii="Arial" w:hAnsi="Arial" w:cs="Arial"/>
                <w:lang w:val="en-GB"/>
              </w:rPr>
              <w:t xml:space="preserve">Align the WCO Data Model Derived Information Package (DIP) on E-Phyto </w:t>
            </w:r>
            <w:r>
              <w:rPr>
                <w:rFonts w:ascii="Arial" w:hAnsi="Arial" w:cs="Arial"/>
                <w:lang w:val="en-GB"/>
              </w:rPr>
              <w:t xml:space="preserve">in line with </w:t>
            </w:r>
            <w:r w:rsidRPr="00666E25">
              <w:rPr>
                <w:rFonts w:ascii="Arial" w:hAnsi="Arial" w:cs="Arial"/>
                <w:lang w:val="en-GB"/>
              </w:rPr>
              <w:t>International Standards for Phytosanitary Measures (ISPM) 12</w:t>
            </w:r>
            <w:r>
              <w:rPr>
                <w:rFonts w:ascii="Arial" w:hAnsi="Arial" w:cs="Arial"/>
                <w:lang w:val="en-GB"/>
              </w:rPr>
              <w:t xml:space="preserve"> </w:t>
            </w:r>
            <w:r w:rsidRPr="00F05F9D">
              <w:rPr>
                <w:rFonts w:ascii="Arial" w:hAnsi="Arial" w:cs="Arial"/>
                <w:i/>
                <w:lang w:val="en-GB"/>
              </w:rPr>
              <w:t>Phytosanitary certificates</w:t>
            </w:r>
          </w:p>
        </w:tc>
        <w:tc>
          <w:tcPr>
            <w:tcW w:w="1701" w:type="dxa"/>
            <w:shd w:val="clear" w:color="auto" w:fill="auto"/>
          </w:tcPr>
          <w:p w14:paraId="7A7DD4E9" w14:textId="7D1BF15C" w:rsidR="0096762E" w:rsidRPr="00666E25" w:rsidRDefault="0096762E" w:rsidP="00136643">
            <w:pPr>
              <w:rPr>
                <w:rFonts w:ascii="Arial" w:hAnsi="Arial" w:cs="Arial"/>
                <w:bCs/>
                <w:lang w:val="en-GB"/>
              </w:rPr>
            </w:pPr>
            <w:r>
              <w:rPr>
                <w:rFonts w:ascii="Arial" w:hAnsi="Arial" w:cs="Arial"/>
                <w:bCs/>
                <w:lang w:val="en-GB"/>
              </w:rPr>
              <w:t>2021</w:t>
            </w:r>
          </w:p>
        </w:tc>
      </w:tr>
      <w:tr w:rsidR="0096762E" w:rsidRPr="00666E25" w14:paraId="4AE50F44" w14:textId="77777777" w:rsidTr="00C20697">
        <w:tc>
          <w:tcPr>
            <w:tcW w:w="9776" w:type="dxa"/>
            <w:gridSpan w:val="3"/>
            <w:shd w:val="clear" w:color="auto" w:fill="385623" w:themeFill="accent6" w:themeFillShade="80"/>
          </w:tcPr>
          <w:p w14:paraId="6DA3F041" w14:textId="77777777" w:rsidR="0096762E" w:rsidRPr="0035116C" w:rsidRDefault="0096762E" w:rsidP="00D27638">
            <w:pPr>
              <w:spacing w:before="120"/>
              <w:rPr>
                <w:rFonts w:ascii="Arial" w:eastAsia="Calibri" w:hAnsi="Arial" w:cs="Arial"/>
                <w:b/>
                <w:bCs/>
                <w:color w:val="FFFFFF"/>
                <w:lang w:val="en-GB"/>
              </w:rPr>
            </w:pPr>
            <w:r w:rsidRPr="0035116C">
              <w:rPr>
                <w:rFonts w:ascii="Arial" w:eastAsia="Calibri" w:hAnsi="Arial" w:cs="Arial"/>
                <w:b/>
                <w:bCs/>
                <w:color w:val="FFFFFF"/>
                <w:lang w:val="en-GB"/>
              </w:rPr>
              <w:t xml:space="preserve">5. </w:t>
            </w:r>
            <w:r w:rsidRPr="0035116C">
              <w:rPr>
                <w:rFonts w:ascii="Arial" w:eastAsia="Calibri" w:hAnsi="Arial" w:cs="Arial"/>
              </w:rPr>
              <w:t xml:space="preserve">  </w:t>
            </w:r>
            <w:r w:rsidRPr="0035116C">
              <w:rPr>
                <w:rFonts w:ascii="Arial" w:eastAsia="Calibri" w:hAnsi="Arial" w:cs="Arial"/>
                <w:b/>
                <w:bCs/>
                <w:color w:val="FFFFFF"/>
                <w:lang w:val="en-GB"/>
              </w:rPr>
              <w:t>Sea Containers</w:t>
            </w:r>
          </w:p>
          <w:p w14:paraId="00BC7454" w14:textId="329A89C4" w:rsidR="0096762E" w:rsidRPr="00666E25" w:rsidRDefault="0096762E" w:rsidP="00D27638">
            <w:pPr>
              <w:spacing w:after="120"/>
              <w:rPr>
                <w:rFonts w:ascii="Arial" w:hAnsi="Arial" w:cs="Arial"/>
                <w:bCs/>
                <w:lang w:val="en-GB"/>
              </w:rPr>
            </w:pPr>
            <w:r w:rsidRPr="00666E25">
              <w:rPr>
                <w:rFonts w:ascii="Arial" w:eastAsia="Calibri" w:hAnsi="Arial" w:cs="Arial"/>
                <w:color w:val="FFFF00"/>
                <w:lang w:val="en-GB"/>
              </w:rPr>
              <w:t>The goal of the collaboration on sea containers related issues is to implement the Complementary Action Plan for Assessing and Managing the Pest Threats Associated with Sea Containers as endorsed by the CPM 12.</w:t>
            </w:r>
          </w:p>
        </w:tc>
      </w:tr>
      <w:tr w:rsidR="0096762E" w:rsidRPr="00666E25" w14:paraId="0E1E450C" w14:textId="77777777" w:rsidTr="0096762E">
        <w:tc>
          <w:tcPr>
            <w:tcW w:w="645" w:type="dxa"/>
            <w:shd w:val="clear" w:color="auto" w:fill="A8D08D" w:themeFill="accent6" w:themeFillTint="99"/>
          </w:tcPr>
          <w:p w14:paraId="508783D6" w14:textId="77777777" w:rsidR="0096762E" w:rsidRPr="00666E25" w:rsidRDefault="0096762E" w:rsidP="00B869C4">
            <w:pPr>
              <w:spacing w:before="120"/>
              <w:rPr>
                <w:rFonts w:ascii="Arial" w:hAnsi="Arial" w:cs="Arial"/>
                <w:b/>
                <w:bCs/>
                <w:lang w:val="en-GB"/>
              </w:rPr>
            </w:pPr>
            <w:r w:rsidRPr="00666E25">
              <w:rPr>
                <w:rFonts w:ascii="Arial" w:hAnsi="Arial" w:cs="Arial"/>
                <w:b/>
                <w:bCs/>
                <w:lang w:val="en-GB"/>
              </w:rPr>
              <w:t>No</w:t>
            </w:r>
          </w:p>
        </w:tc>
        <w:tc>
          <w:tcPr>
            <w:tcW w:w="7430" w:type="dxa"/>
            <w:shd w:val="clear" w:color="auto" w:fill="A8D08D" w:themeFill="accent6" w:themeFillTint="99"/>
            <w:vAlign w:val="center"/>
          </w:tcPr>
          <w:p w14:paraId="79D9844D" w14:textId="77777777" w:rsidR="0096762E" w:rsidRPr="00666E25" w:rsidRDefault="0096762E" w:rsidP="00136643">
            <w:pPr>
              <w:rPr>
                <w:rFonts w:ascii="Arial" w:hAnsi="Arial" w:cs="Arial"/>
                <w:b/>
                <w:bCs/>
                <w:lang w:val="en-GB"/>
              </w:rPr>
            </w:pPr>
            <w:r w:rsidRPr="00666E25">
              <w:rPr>
                <w:rFonts w:ascii="Arial" w:hAnsi="Arial" w:cs="Arial"/>
                <w:b/>
                <w:bCs/>
                <w:lang w:val="en-GB"/>
              </w:rPr>
              <w:t>Action</w:t>
            </w:r>
          </w:p>
        </w:tc>
        <w:tc>
          <w:tcPr>
            <w:tcW w:w="1701" w:type="dxa"/>
            <w:shd w:val="clear" w:color="auto" w:fill="A8D08D" w:themeFill="accent6" w:themeFillTint="99"/>
            <w:vAlign w:val="center"/>
          </w:tcPr>
          <w:p w14:paraId="28B57CD4" w14:textId="77777777" w:rsidR="0096762E" w:rsidRPr="00666E25" w:rsidRDefault="0096762E" w:rsidP="00136643">
            <w:pPr>
              <w:rPr>
                <w:rFonts w:ascii="Arial" w:hAnsi="Arial" w:cs="Arial"/>
                <w:b/>
                <w:bCs/>
                <w:lang w:val="en-GB"/>
              </w:rPr>
            </w:pPr>
            <w:r w:rsidRPr="00666E25">
              <w:rPr>
                <w:rFonts w:ascii="Arial" w:hAnsi="Arial" w:cs="Arial"/>
                <w:b/>
                <w:bCs/>
                <w:lang w:val="en-GB"/>
              </w:rPr>
              <w:t>Time frame</w:t>
            </w:r>
          </w:p>
        </w:tc>
      </w:tr>
      <w:tr w:rsidR="0096762E" w:rsidRPr="00666E25" w14:paraId="323E18B7" w14:textId="77777777" w:rsidTr="0096762E">
        <w:tc>
          <w:tcPr>
            <w:tcW w:w="645" w:type="dxa"/>
          </w:tcPr>
          <w:p w14:paraId="3A4BA0B8" w14:textId="77777777" w:rsidR="0096762E" w:rsidRPr="00666E25" w:rsidRDefault="0096762E" w:rsidP="00136643">
            <w:pPr>
              <w:autoSpaceDE w:val="0"/>
              <w:autoSpaceDN w:val="0"/>
              <w:adjustRightInd w:val="0"/>
              <w:rPr>
                <w:rFonts w:ascii="Arial" w:hAnsi="Arial" w:cs="Arial"/>
                <w:b/>
                <w:bCs/>
              </w:rPr>
            </w:pPr>
            <w:r w:rsidRPr="00666E25">
              <w:rPr>
                <w:rFonts w:ascii="Arial" w:hAnsi="Arial" w:cs="Arial"/>
                <w:b/>
                <w:bCs/>
              </w:rPr>
              <w:t>5.1</w:t>
            </w:r>
          </w:p>
        </w:tc>
        <w:tc>
          <w:tcPr>
            <w:tcW w:w="7430" w:type="dxa"/>
            <w:shd w:val="clear" w:color="auto" w:fill="auto"/>
          </w:tcPr>
          <w:p w14:paraId="02619800" w14:textId="23943737" w:rsidR="0096762E" w:rsidRPr="00C321C0" w:rsidRDefault="0096762E" w:rsidP="00C64FC7">
            <w:pPr>
              <w:autoSpaceDE w:val="0"/>
              <w:autoSpaceDN w:val="0"/>
              <w:adjustRightInd w:val="0"/>
              <w:rPr>
                <w:rFonts w:ascii="Arial" w:hAnsi="Arial" w:cs="Arial"/>
              </w:rPr>
            </w:pPr>
            <w:r>
              <w:rPr>
                <w:rFonts w:ascii="Arial" w:hAnsi="Arial" w:cs="Arial"/>
                <w:bCs/>
              </w:rPr>
              <w:t xml:space="preserve">Explore the feasibility of enhancing the </w:t>
            </w:r>
            <w:r w:rsidRPr="003E37AE">
              <w:rPr>
                <w:rFonts w:ascii="Arial" w:hAnsi="Arial" w:cs="Arial"/>
                <w:bCs/>
              </w:rPr>
              <w:t xml:space="preserve">Authorised Economic Operators </w:t>
            </w:r>
            <w:r>
              <w:rPr>
                <w:rFonts w:ascii="Arial" w:hAnsi="Arial" w:cs="Arial"/>
                <w:bCs/>
              </w:rPr>
              <w:t>(</w:t>
            </w:r>
            <w:r w:rsidRPr="00666E25">
              <w:rPr>
                <w:rFonts w:ascii="Arial" w:hAnsi="Arial" w:cs="Arial"/>
                <w:bCs/>
              </w:rPr>
              <w:t>AEO</w:t>
            </w:r>
            <w:r>
              <w:rPr>
                <w:rFonts w:ascii="Arial" w:hAnsi="Arial" w:cs="Arial"/>
                <w:bCs/>
              </w:rPr>
              <w:t xml:space="preserve">) programme </w:t>
            </w:r>
            <w:r w:rsidRPr="00F05F9D">
              <w:rPr>
                <w:rFonts w:ascii="Arial" w:hAnsi="Arial" w:cs="Arial"/>
                <w:bCs/>
                <w:iCs/>
              </w:rPr>
              <w:t>by adding</w:t>
            </w:r>
            <w:r>
              <w:rPr>
                <w:rFonts w:ascii="Arial" w:hAnsi="Arial" w:cs="Arial"/>
                <w:bCs/>
                <w:iCs/>
              </w:rPr>
              <w:t>/including</w:t>
            </w:r>
            <w:r w:rsidRPr="00F05F9D">
              <w:rPr>
                <w:rFonts w:ascii="Arial" w:hAnsi="Arial" w:cs="Arial"/>
                <w:bCs/>
                <w:iCs/>
              </w:rPr>
              <w:t xml:space="preserve"> requirements that other border agencies </w:t>
            </w:r>
            <w:r>
              <w:rPr>
                <w:rFonts w:ascii="Arial" w:hAnsi="Arial" w:cs="Arial"/>
                <w:bCs/>
                <w:iCs/>
              </w:rPr>
              <w:t xml:space="preserve">may enforce </w:t>
            </w:r>
          </w:p>
        </w:tc>
        <w:tc>
          <w:tcPr>
            <w:tcW w:w="1701" w:type="dxa"/>
            <w:shd w:val="clear" w:color="auto" w:fill="auto"/>
          </w:tcPr>
          <w:p w14:paraId="7510F3B7" w14:textId="77777777" w:rsidR="0096762E" w:rsidRPr="00666E25" w:rsidRDefault="0096762E" w:rsidP="00136643">
            <w:pPr>
              <w:rPr>
                <w:rFonts w:ascii="Arial" w:hAnsi="Arial" w:cs="Arial"/>
                <w:bCs/>
                <w:lang w:val="en-GB"/>
              </w:rPr>
            </w:pPr>
            <w:r>
              <w:rPr>
                <w:rFonts w:ascii="Arial" w:hAnsi="Arial" w:cs="Arial"/>
                <w:bCs/>
                <w:lang w:val="en-GB"/>
              </w:rPr>
              <w:t>2019-2020</w:t>
            </w:r>
          </w:p>
        </w:tc>
      </w:tr>
      <w:tr w:rsidR="0096762E" w:rsidRPr="00666E25" w14:paraId="5EC0B1F5" w14:textId="77777777" w:rsidTr="0096762E">
        <w:tc>
          <w:tcPr>
            <w:tcW w:w="645" w:type="dxa"/>
          </w:tcPr>
          <w:p w14:paraId="5A5DF88F" w14:textId="2177DE12" w:rsidR="0096762E" w:rsidRPr="00666E25" w:rsidRDefault="0096762E" w:rsidP="00136643">
            <w:pPr>
              <w:autoSpaceDE w:val="0"/>
              <w:autoSpaceDN w:val="0"/>
              <w:adjustRightInd w:val="0"/>
              <w:rPr>
                <w:rFonts w:ascii="Arial" w:hAnsi="Arial" w:cs="Arial"/>
                <w:b/>
                <w:bCs/>
              </w:rPr>
            </w:pPr>
            <w:r>
              <w:rPr>
                <w:rFonts w:ascii="Arial" w:hAnsi="Arial" w:cs="Arial"/>
                <w:b/>
                <w:bCs/>
              </w:rPr>
              <w:t>5.2</w:t>
            </w:r>
          </w:p>
        </w:tc>
        <w:tc>
          <w:tcPr>
            <w:tcW w:w="7430" w:type="dxa"/>
            <w:shd w:val="clear" w:color="auto" w:fill="auto"/>
          </w:tcPr>
          <w:p w14:paraId="62156E53" w14:textId="5BF70380" w:rsidR="0096762E" w:rsidRPr="00666E25" w:rsidRDefault="0096762E" w:rsidP="00314FEC">
            <w:pPr>
              <w:autoSpaceDE w:val="0"/>
              <w:autoSpaceDN w:val="0"/>
              <w:adjustRightInd w:val="0"/>
              <w:rPr>
                <w:rFonts w:ascii="Arial" w:hAnsi="Arial" w:cs="Arial"/>
                <w:bCs/>
              </w:rPr>
            </w:pPr>
            <w:r>
              <w:rPr>
                <w:rFonts w:ascii="Arial" w:hAnsi="Arial" w:cs="Arial"/>
                <w:lang w:val="en-GB"/>
              </w:rPr>
              <w:t>Investigate possibilities</w:t>
            </w:r>
            <w:r w:rsidRPr="00666E25">
              <w:rPr>
                <w:rFonts w:ascii="Arial" w:hAnsi="Arial" w:cs="Arial"/>
                <w:lang w:val="en-GB"/>
              </w:rPr>
              <w:t xml:space="preserve"> </w:t>
            </w:r>
            <w:r>
              <w:rPr>
                <w:rFonts w:ascii="Arial" w:hAnsi="Arial" w:cs="Arial"/>
                <w:lang w:val="en-GB"/>
              </w:rPr>
              <w:t xml:space="preserve">for the use of </w:t>
            </w:r>
            <w:r w:rsidRPr="00666E25">
              <w:rPr>
                <w:rFonts w:ascii="Arial" w:hAnsi="Arial" w:cs="Arial"/>
                <w:lang w:val="en-GB"/>
              </w:rPr>
              <w:t xml:space="preserve">the WCO Data Model </w:t>
            </w:r>
            <w:r>
              <w:rPr>
                <w:rFonts w:ascii="Arial" w:hAnsi="Arial" w:cs="Arial"/>
                <w:lang w:val="en-GB"/>
              </w:rPr>
              <w:t xml:space="preserve">to facilitate tracking of information related to the cleanliness of sea containers </w:t>
            </w:r>
          </w:p>
        </w:tc>
        <w:tc>
          <w:tcPr>
            <w:tcW w:w="1701" w:type="dxa"/>
            <w:shd w:val="clear" w:color="auto" w:fill="auto"/>
          </w:tcPr>
          <w:p w14:paraId="6B3640F7" w14:textId="3C87667E" w:rsidR="0096762E" w:rsidRPr="00666E25" w:rsidRDefault="0096762E" w:rsidP="00136643">
            <w:pPr>
              <w:rPr>
                <w:rFonts w:ascii="Arial" w:hAnsi="Arial" w:cs="Arial"/>
                <w:bCs/>
                <w:lang w:val="en-GB"/>
              </w:rPr>
            </w:pPr>
            <w:r>
              <w:rPr>
                <w:rFonts w:ascii="Arial" w:hAnsi="Arial" w:cs="Arial"/>
                <w:bCs/>
                <w:lang w:val="en-GB"/>
              </w:rPr>
              <w:t>2019-2020</w:t>
            </w:r>
          </w:p>
        </w:tc>
      </w:tr>
      <w:tr w:rsidR="0096762E" w:rsidRPr="00666E25" w14:paraId="4FC2F123" w14:textId="77777777" w:rsidTr="0096762E">
        <w:tc>
          <w:tcPr>
            <w:tcW w:w="645" w:type="dxa"/>
          </w:tcPr>
          <w:p w14:paraId="1346F375" w14:textId="71844676" w:rsidR="0096762E" w:rsidRPr="00666E25" w:rsidRDefault="0096762E" w:rsidP="00BC3286">
            <w:pPr>
              <w:autoSpaceDE w:val="0"/>
              <w:autoSpaceDN w:val="0"/>
              <w:adjustRightInd w:val="0"/>
              <w:rPr>
                <w:rFonts w:ascii="Arial" w:hAnsi="Arial" w:cs="Arial"/>
                <w:b/>
                <w:bCs/>
              </w:rPr>
            </w:pPr>
            <w:r w:rsidRPr="00666E25">
              <w:rPr>
                <w:rFonts w:ascii="Arial" w:hAnsi="Arial" w:cs="Arial"/>
                <w:b/>
                <w:bCs/>
              </w:rPr>
              <w:t>5.</w:t>
            </w:r>
            <w:r>
              <w:rPr>
                <w:rFonts w:ascii="Arial" w:hAnsi="Arial" w:cs="Arial"/>
                <w:b/>
                <w:bCs/>
              </w:rPr>
              <w:t>3</w:t>
            </w:r>
          </w:p>
        </w:tc>
        <w:tc>
          <w:tcPr>
            <w:tcW w:w="7430" w:type="dxa"/>
            <w:shd w:val="clear" w:color="auto" w:fill="auto"/>
          </w:tcPr>
          <w:p w14:paraId="23F69437" w14:textId="4E38C2AB" w:rsidR="0096762E" w:rsidRPr="00666E25" w:rsidRDefault="0096762E" w:rsidP="00CB5EC7">
            <w:pPr>
              <w:autoSpaceDE w:val="0"/>
              <w:autoSpaceDN w:val="0"/>
              <w:adjustRightInd w:val="0"/>
              <w:rPr>
                <w:rFonts w:ascii="Arial" w:hAnsi="Arial" w:cs="Arial"/>
                <w:bCs/>
              </w:rPr>
            </w:pPr>
            <w:r>
              <w:rPr>
                <w:rFonts w:ascii="Arial" w:hAnsi="Arial" w:cs="Arial"/>
                <w:bCs/>
              </w:rPr>
              <w:t>Facilitate s</w:t>
            </w:r>
            <w:r w:rsidRPr="00666E25">
              <w:rPr>
                <w:rFonts w:ascii="Arial" w:hAnsi="Arial" w:cs="Arial"/>
                <w:bCs/>
              </w:rPr>
              <w:t>trengthen</w:t>
            </w:r>
            <w:r>
              <w:rPr>
                <w:rFonts w:ascii="Arial" w:hAnsi="Arial" w:cs="Arial"/>
                <w:bCs/>
              </w:rPr>
              <w:t>ing</w:t>
            </w:r>
            <w:r w:rsidRPr="00666E25">
              <w:rPr>
                <w:rFonts w:ascii="Arial" w:hAnsi="Arial" w:cs="Arial"/>
                <w:bCs/>
              </w:rPr>
              <w:t xml:space="preserve"> collaboration between Customs and NPPO</w:t>
            </w:r>
            <w:r>
              <w:rPr>
                <w:rFonts w:ascii="Arial" w:hAnsi="Arial" w:cs="Arial"/>
                <w:bCs/>
              </w:rPr>
              <w:t>s</w:t>
            </w:r>
            <w:r w:rsidRPr="00666E25">
              <w:rPr>
                <w:rFonts w:ascii="Arial" w:hAnsi="Arial" w:cs="Arial"/>
                <w:bCs/>
              </w:rPr>
              <w:t xml:space="preserve"> </w:t>
            </w:r>
            <w:r w:rsidRPr="00666E25">
              <w:rPr>
                <w:rFonts w:ascii="Arial" w:hAnsi="Arial" w:cs="Arial"/>
              </w:rPr>
              <w:t xml:space="preserve"> </w:t>
            </w:r>
            <w:r>
              <w:rPr>
                <w:rFonts w:ascii="Arial" w:hAnsi="Arial" w:cs="Arial"/>
              </w:rPr>
              <w:t xml:space="preserve">to optimize </w:t>
            </w:r>
            <w:r w:rsidRPr="00666E25">
              <w:rPr>
                <w:rFonts w:ascii="Arial" w:hAnsi="Arial" w:cs="Arial"/>
                <w:bCs/>
              </w:rPr>
              <w:t>risk management and inspection processes</w:t>
            </w:r>
          </w:p>
        </w:tc>
        <w:tc>
          <w:tcPr>
            <w:tcW w:w="1701" w:type="dxa"/>
            <w:shd w:val="clear" w:color="auto" w:fill="auto"/>
          </w:tcPr>
          <w:p w14:paraId="45A0CB1C" w14:textId="3173CB43" w:rsidR="0096762E" w:rsidRPr="00666E25" w:rsidRDefault="0096762E" w:rsidP="00136643">
            <w:pPr>
              <w:rPr>
                <w:rFonts w:ascii="Arial" w:hAnsi="Arial" w:cs="Arial"/>
                <w:bCs/>
                <w:lang w:val="en-GB"/>
              </w:rPr>
            </w:pPr>
            <w:r>
              <w:rPr>
                <w:rFonts w:ascii="Arial" w:hAnsi="Arial" w:cs="Arial"/>
                <w:bCs/>
                <w:lang w:val="en-GB"/>
              </w:rPr>
              <w:t>2019-2020</w:t>
            </w:r>
          </w:p>
        </w:tc>
      </w:tr>
      <w:tr w:rsidR="0096762E" w:rsidRPr="00666E25" w14:paraId="5C5341A6" w14:textId="77777777" w:rsidTr="0096762E">
        <w:tc>
          <w:tcPr>
            <w:tcW w:w="645" w:type="dxa"/>
          </w:tcPr>
          <w:p w14:paraId="04A9B97D" w14:textId="7A9022FC" w:rsidR="0096762E" w:rsidRPr="00666E25" w:rsidRDefault="0096762E" w:rsidP="00136643">
            <w:pPr>
              <w:autoSpaceDE w:val="0"/>
              <w:autoSpaceDN w:val="0"/>
              <w:adjustRightInd w:val="0"/>
              <w:rPr>
                <w:rFonts w:ascii="Arial" w:hAnsi="Arial" w:cs="Arial"/>
                <w:b/>
                <w:bCs/>
              </w:rPr>
            </w:pPr>
            <w:r w:rsidRPr="00666E25">
              <w:rPr>
                <w:rFonts w:ascii="Arial" w:hAnsi="Arial" w:cs="Arial"/>
                <w:b/>
                <w:bCs/>
              </w:rPr>
              <w:t>5.</w:t>
            </w:r>
            <w:r>
              <w:rPr>
                <w:rFonts w:ascii="Arial" w:hAnsi="Arial" w:cs="Arial"/>
                <w:b/>
                <w:bCs/>
              </w:rPr>
              <w:t>4</w:t>
            </w:r>
          </w:p>
        </w:tc>
        <w:tc>
          <w:tcPr>
            <w:tcW w:w="7430" w:type="dxa"/>
            <w:shd w:val="clear" w:color="auto" w:fill="auto"/>
          </w:tcPr>
          <w:p w14:paraId="7E3DA7DB" w14:textId="2E4E27CF" w:rsidR="0096762E" w:rsidRPr="00666E25" w:rsidRDefault="0096762E" w:rsidP="00314FEC">
            <w:pPr>
              <w:autoSpaceDE w:val="0"/>
              <w:autoSpaceDN w:val="0"/>
              <w:adjustRightInd w:val="0"/>
              <w:rPr>
                <w:rFonts w:ascii="Arial" w:hAnsi="Arial" w:cs="Arial"/>
                <w:bCs/>
              </w:rPr>
            </w:pPr>
            <w:r w:rsidRPr="00666E25">
              <w:rPr>
                <w:rFonts w:ascii="Arial" w:hAnsi="Arial" w:cs="Arial"/>
                <w:bCs/>
              </w:rPr>
              <w:t>Rais</w:t>
            </w:r>
            <w:r>
              <w:rPr>
                <w:rFonts w:ascii="Arial" w:hAnsi="Arial" w:cs="Arial"/>
                <w:bCs/>
              </w:rPr>
              <w:t>e</w:t>
            </w:r>
            <w:r w:rsidRPr="00666E25">
              <w:rPr>
                <w:rFonts w:ascii="Arial" w:hAnsi="Arial" w:cs="Arial"/>
                <w:bCs/>
              </w:rPr>
              <w:t xml:space="preserve"> the awareness of Customs </w:t>
            </w:r>
            <w:r>
              <w:rPr>
                <w:rFonts w:ascii="Arial" w:hAnsi="Arial" w:cs="Arial"/>
                <w:bCs/>
              </w:rPr>
              <w:t xml:space="preserve">organizations </w:t>
            </w:r>
            <w:r w:rsidRPr="00666E25">
              <w:rPr>
                <w:rFonts w:ascii="Arial" w:hAnsi="Arial" w:cs="Arial"/>
                <w:bCs/>
              </w:rPr>
              <w:t xml:space="preserve">on pest </w:t>
            </w:r>
            <w:r>
              <w:rPr>
                <w:rFonts w:ascii="Arial" w:hAnsi="Arial" w:cs="Arial"/>
                <w:bCs/>
              </w:rPr>
              <w:t xml:space="preserve">risks associated with and cleanliness of </w:t>
            </w:r>
            <w:r w:rsidRPr="00666E25">
              <w:rPr>
                <w:rFonts w:ascii="Arial" w:hAnsi="Arial" w:cs="Arial"/>
                <w:bCs/>
              </w:rPr>
              <w:t>sea containers</w:t>
            </w:r>
            <w:r>
              <w:rPr>
                <w:rFonts w:ascii="Arial" w:hAnsi="Arial" w:cs="Arial"/>
                <w:bCs/>
              </w:rPr>
              <w:t xml:space="preserve"> through the developoment of targetted communicaiton material</w:t>
            </w:r>
          </w:p>
        </w:tc>
        <w:tc>
          <w:tcPr>
            <w:tcW w:w="1701" w:type="dxa"/>
            <w:shd w:val="clear" w:color="auto" w:fill="auto"/>
          </w:tcPr>
          <w:p w14:paraId="1E5D6649" w14:textId="42499ADD" w:rsidR="0096762E" w:rsidRPr="00666E25" w:rsidRDefault="0096762E" w:rsidP="00136643">
            <w:pPr>
              <w:rPr>
                <w:rFonts w:ascii="Arial" w:hAnsi="Arial" w:cs="Arial"/>
                <w:bCs/>
                <w:lang w:val="en-GB"/>
              </w:rPr>
            </w:pPr>
            <w:r>
              <w:rPr>
                <w:rFonts w:ascii="Arial" w:hAnsi="Arial" w:cs="Arial"/>
                <w:bCs/>
                <w:lang w:val="en-GB"/>
              </w:rPr>
              <w:t>2019-2020</w:t>
            </w:r>
          </w:p>
        </w:tc>
      </w:tr>
      <w:tr w:rsidR="0096762E" w:rsidRPr="00666E25" w14:paraId="4D4714B4" w14:textId="77777777" w:rsidTr="0096762E">
        <w:tc>
          <w:tcPr>
            <w:tcW w:w="645" w:type="dxa"/>
          </w:tcPr>
          <w:p w14:paraId="010A707A" w14:textId="069B2326" w:rsidR="0096762E" w:rsidRPr="00666E25" w:rsidRDefault="0096762E" w:rsidP="00136643">
            <w:pPr>
              <w:autoSpaceDE w:val="0"/>
              <w:autoSpaceDN w:val="0"/>
              <w:adjustRightInd w:val="0"/>
              <w:rPr>
                <w:rFonts w:ascii="Arial" w:hAnsi="Arial" w:cs="Arial"/>
                <w:b/>
                <w:bCs/>
              </w:rPr>
            </w:pPr>
            <w:r w:rsidRPr="00666E25">
              <w:rPr>
                <w:rFonts w:ascii="Arial" w:hAnsi="Arial" w:cs="Arial"/>
                <w:b/>
                <w:bCs/>
              </w:rPr>
              <w:lastRenderedPageBreak/>
              <w:t>5.</w:t>
            </w:r>
            <w:r>
              <w:rPr>
                <w:rFonts w:ascii="Arial" w:hAnsi="Arial" w:cs="Arial"/>
                <w:b/>
                <w:bCs/>
              </w:rPr>
              <w:t>5</w:t>
            </w:r>
          </w:p>
        </w:tc>
        <w:tc>
          <w:tcPr>
            <w:tcW w:w="7430" w:type="dxa"/>
            <w:shd w:val="clear" w:color="auto" w:fill="auto"/>
          </w:tcPr>
          <w:p w14:paraId="08899ACB" w14:textId="0759EFAB" w:rsidR="0096762E" w:rsidRPr="00666E25" w:rsidRDefault="0096762E" w:rsidP="00314FEC">
            <w:pPr>
              <w:autoSpaceDE w:val="0"/>
              <w:autoSpaceDN w:val="0"/>
              <w:adjustRightInd w:val="0"/>
              <w:rPr>
                <w:rFonts w:ascii="Arial" w:hAnsi="Arial" w:cs="Arial"/>
                <w:bCs/>
              </w:rPr>
            </w:pPr>
            <w:r w:rsidRPr="00666E25">
              <w:rPr>
                <w:rFonts w:ascii="Arial" w:hAnsi="Arial" w:cs="Arial"/>
                <w:bCs/>
              </w:rPr>
              <w:t xml:space="preserve">Facilitate implementation of the </w:t>
            </w:r>
            <w:r>
              <w:rPr>
                <w:rFonts w:ascii="Arial" w:hAnsi="Arial" w:cs="Arial"/>
                <w:bCs/>
              </w:rPr>
              <w:t xml:space="preserve">CPM endorsed </w:t>
            </w:r>
            <w:r w:rsidRPr="00200692">
              <w:rPr>
                <w:rFonts w:ascii="Arial" w:hAnsi="Arial" w:cs="Arial"/>
                <w:bCs/>
              </w:rPr>
              <w:t>Sea Containers Complementary Action Plan</w:t>
            </w:r>
            <w:r>
              <w:rPr>
                <w:rFonts w:ascii="Arial" w:hAnsi="Arial" w:cs="Arial"/>
                <w:bCs/>
              </w:rPr>
              <w:t xml:space="preserve"> (SCCAP)</w:t>
            </w:r>
            <w:r>
              <w:rPr>
                <w:rStyle w:val="FootnoteReference"/>
                <w:rFonts w:ascii="Arial" w:hAnsi="Arial" w:cs="Arial"/>
                <w:bCs/>
              </w:rPr>
              <w:footnoteReference w:id="1"/>
            </w:r>
            <w:r w:rsidRPr="00200692">
              <w:rPr>
                <w:rFonts w:ascii="Arial" w:hAnsi="Arial" w:cs="Arial"/>
                <w:bCs/>
              </w:rPr>
              <w:t xml:space="preserve"> </w:t>
            </w:r>
            <w:r>
              <w:rPr>
                <w:rFonts w:ascii="Arial" w:hAnsi="Arial" w:cs="Arial"/>
                <w:bCs/>
              </w:rPr>
              <w:t xml:space="preserve">through </w:t>
            </w:r>
            <w:r w:rsidRPr="00666E25">
              <w:rPr>
                <w:rFonts w:ascii="Arial" w:hAnsi="Arial" w:cs="Arial"/>
                <w:bCs/>
              </w:rPr>
              <w:t xml:space="preserve"> </w:t>
            </w:r>
            <w:r>
              <w:rPr>
                <w:rFonts w:ascii="Arial" w:hAnsi="Arial" w:cs="Arial"/>
                <w:bCs/>
              </w:rPr>
              <w:t>m</w:t>
            </w:r>
            <w:r w:rsidRPr="00666E25">
              <w:rPr>
                <w:rFonts w:ascii="Arial" w:hAnsi="Arial" w:cs="Arial"/>
                <w:bCs/>
              </w:rPr>
              <w:t>ultiyear  (2017 -2021) and annual work plans .</w:t>
            </w:r>
            <w:r>
              <w:rPr>
                <w:rFonts w:ascii="Arial" w:hAnsi="Arial" w:cs="Arial"/>
                <w:bCs/>
              </w:rPr>
              <w:t>WCO representative to participate actively in this work.</w:t>
            </w:r>
          </w:p>
        </w:tc>
        <w:tc>
          <w:tcPr>
            <w:tcW w:w="1701" w:type="dxa"/>
            <w:shd w:val="clear" w:color="auto" w:fill="auto"/>
          </w:tcPr>
          <w:p w14:paraId="22040024" w14:textId="77777777" w:rsidR="0096762E" w:rsidRPr="00666E25" w:rsidRDefault="0096762E" w:rsidP="00136643">
            <w:pPr>
              <w:rPr>
                <w:rFonts w:ascii="Arial" w:hAnsi="Arial" w:cs="Arial"/>
                <w:bCs/>
                <w:lang w:val="en-GB"/>
              </w:rPr>
            </w:pPr>
            <w:r>
              <w:rPr>
                <w:rFonts w:ascii="Arial" w:hAnsi="Arial" w:cs="Arial"/>
                <w:bCs/>
                <w:lang w:val="en-GB"/>
              </w:rPr>
              <w:t>2019-2021</w:t>
            </w:r>
          </w:p>
        </w:tc>
      </w:tr>
      <w:tr w:rsidR="0096762E" w:rsidRPr="00666E25" w14:paraId="03DFDF51" w14:textId="77777777" w:rsidTr="001F04B3">
        <w:tc>
          <w:tcPr>
            <w:tcW w:w="9776" w:type="dxa"/>
            <w:gridSpan w:val="3"/>
            <w:shd w:val="clear" w:color="auto" w:fill="385623" w:themeFill="accent6" w:themeFillShade="80"/>
          </w:tcPr>
          <w:p w14:paraId="38A19194" w14:textId="0827AE72" w:rsidR="0096762E" w:rsidRPr="00666E25" w:rsidRDefault="0096762E" w:rsidP="00136643">
            <w:pPr>
              <w:rPr>
                <w:rFonts w:ascii="Arial" w:hAnsi="Arial" w:cs="Arial"/>
                <w:bCs/>
                <w:lang w:val="en-GB"/>
              </w:rPr>
            </w:pPr>
            <w:r w:rsidRPr="0035116C">
              <w:rPr>
                <w:rFonts w:ascii="Arial" w:eastAsia="Calibri" w:hAnsi="Arial" w:cs="Arial"/>
                <w:b/>
                <w:bCs/>
                <w:color w:val="FFFFFF"/>
                <w:lang w:val="en-GB"/>
              </w:rPr>
              <w:t xml:space="preserve">6. </w:t>
            </w:r>
            <w:r w:rsidRPr="0035116C">
              <w:rPr>
                <w:rFonts w:ascii="Arial" w:eastAsia="Calibri" w:hAnsi="Arial" w:cs="Arial"/>
              </w:rPr>
              <w:t xml:space="preserve">  </w:t>
            </w:r>
            <w:r w:rsidRPr="0035116C">
              <w:rPr>
                <w:rFonts w:ascii="Arial" w:eastAsia="Calibri" w:hAnsi="Arial" w:cs="Arial"/>
                <w:b/>
                <w:bCs/>
                <w:color w:val="FFFFFF"/>
                <w:lang w:val="en-GB"/>
              </w:rPr>
              <w:t xml:space="preserve">Single Window </w:t>
            </w:r>
          </w:p>
        </w:tc>
      </w:tr>
      <w:tr w:rsidR="0096762E" w:rsidRPr="00666E25" w14:paraId="4525C315" w14:textId="77777777" w:rsidTr="0096762E">
        <w:tc>
          <w:tcPr>
            <w:tcW w:w="645" w:type="dxa"/>
            <w:shd w:val="clear" w:color="auto" w:fill="A8D08D" w:themeFill="accent6" w:themeFillTint="99"/>
          </w:tcPr>
          <w:p w14:paraId="3E86CCDD" w14:textId="77777777" w:rsidR="0096762E" w:rsidRPr="00666E25" w:rsidRDefault="0096762E" w:rsidP="00B869C4">
            <w:pPr>
              <w:spacing w:before="120"/>
              <w:rPr>
                <w:rFonts w:ascii="Arial" w:hAnsi="Arial" w:cs="Arial"/>
                <w:b/>
                <w:bCs/>
                <w:lang w:val="en-GB"/>
              </w:rPr>
            </w:pPr>
            <w:r w:rsidRPr="00666E25">
              <w:rPr>
                <w:rFonts w:ascii="Arial" w:hAnsi="Arial" w:cs="Arial"/>
                <w:b/>
                <w:bCs/>
                <w:lang w:val="en-GB"/>
              </w:rPr>
              <w:t>No</w:t>
            </w:r>
          </w:p>
        </w:tc>
        <w:tc>
          <w:tcPr>
            <w:tcW w:w="7430" w:type="dxa"/>
            <w:shd w:val="clear" w:color="auto" w:fill="A8D08D" w:themeFill="accent6" w:themeFillTint="99"/>
            <w:vAlign w:val="center"/>
          </w:tcPr>
          <w:p w14:paraId="546E1B17" w14:textId="77777777" w:rsidR="0096762E" w:rsidRPr="00666E25" w:rsidRDefault="0096762E" w:rsidP="00136643">
            <w:pPr>
              <w:rPr>
                <w:rFonts w:ascii="Arial" w:hAnsi="Arial" w:cs="Arial"/>
                <w:b/>
                <w:bCs/>
                <w:lang w:val="en-GB"/>
              </w:rPr>
            </w:pPr>
            <w:r w:rsidRPr="00666E25">
              <w:rPr>
                <w:rFonts w:ascii="Arial" w:hAnsi="Arial" w:cs="Arial"/>
                <w:b/>
                <w:bCs/>
                <w:lang w:val="en-GB"/>
              </w:rPr>
              <w:t>Action</w:t>
            </w:r>
          </w:p>
        </w:tc>
        <w:tc>
          <w:tcPr>
            <w:tcW w:w="1701" w:type="dxa"/>
            <w:shd w:val="clear" w:color="auto" w:fill="A8D08D" w:themeFill="accent6" w:themeFillTint="99"/>
            <w:vAlign w:val="center"/>
          </w:tcPr>
          <w:p w14:paraId="1F123546" w14:textId="77777777" w:rsidR="0096762E" w:rsidRPr="00666E25" w:rsidRDefault="0096762E" w:rsidP="00136643">
            <w:pPr>
              <w:rPr>
                <w:rFonts w:ascii="Arial" w:hAnsi="Arial" w:cs="Arial"/>
                <w:b/>
                <w:bCs/>
                <w:lang w:val="en-GB"/>
              </w:rPr>
            </w:pPr>
            <w:r w:rsidRPr="00666E25">
              <w:rPr>
                <w:rFonts w:ascii="Arial" w:hAnsi="Arial" w:cs="Arial"/>
                <w:b/>
                <w:bCs/>
                <w:lang w:val="en-GB"/>
              </w:rPr>
              <w:t>Time frame</w:t>
            </w:r>
          </w:p>
        </w:tc>
      </w:tr>
      <w:tr w:rsidR="0096762E" w:rsidRPr="00666E25" w14:paraId="2125A77E" w14:textId="77777777" w:rsidTr="0096762E">
        <w:tc>
          <w:tcPr>
            <w:tcW w:w="645" w:type="dxa"/>
            <w:shd w:val="clear" w:color="auto" w:fill="auto"/>
          </w:tcPr>
          <w:p w14:paraId="54B9DA23" w14:textId="77777777" w:rsidR="0096762E" w:rsidRPr="00666E25" w:rsidRDefault="0096762E" w:rsidP="00136643">
            <w:pPr>
              <w:rPr>
                <w:rFonts w:ascii="Arial" w:hAnsi="Arial" w:cs="Arial"/>
                <w:b/>
                <w:bCs/>
                <w:lang w:val="en-GB"/>
              </w:rPr>
            </w:pPr>
            <w:r w:rsidRPr="00666E25">
              <w:rPr>
                <w:rFonts w:ascii="Arial" w:hAnsi="Arial" w:cs="Arial"/>
                <w:b/>
                <w:bCs/>
                <w:lang w:val="en-GB"/>
              </w:rPr>
              <w:t>6.1</w:t>
            </w:r>
          </w:p>
        </w:tc>
        <w:tc>
          <w:tcPr>
            <w:tcW w:w="7430" w:type="dxa"/>
            <w:shd w:val="clear" w:color="auto" w:fill="auto"/>
          </w:tcPr>
          <w:p w14:paraId="78F264ED" w14:textId="204C20D4" w:rsidR="0096762E" w:rsidRPr="00666E25" w:rsidRDefault="0096762E" w:rsidP="00A216DB">
            <w:pPr>
              <w:rPr>
                <w:rFonts w:ascii="Arial" w:hAnsi="Arial" w:cs="Arial"/>
                <w:lang w:val="en-US"/>
              </w:rPr>
            </w:pPr>
            <w:r>
              <w:rPr>
                <w:rFonts w:ascii="Arial" w:hAnsi="Arial" w:cs="Arial"/>
                <w:lang w:val="en-US"/>
              </w:rPr>
              <w:t xml:space="preserve">Explore the development of </w:t>
            </w:r>
            <w:r w:rsidRPr="00666E25">
              <w:rPr>
                <w:rFonts w:ascii="Arial" w:hAnsi="Arial" w:cs="Arial"/>
                <w:lang w:val="en-US"/>
              </w:rPr>
              <w:t xml:space="preserve">a common </w:t>
            </w:r>
            <w:r>
              <w:rPr>
                <w:rFonts w:ascii="Arial" w:hAnsi="Arial" w:cs="Arial"/>
                <w:lang w:val="en-US"/>
              </w:rPr>
              <w:t>understanding of the single window environment</w:t>
            </w:r>
          </w:p>
        </w:tc>
        <w:tc>
          <w:tcPr>
            <w:tcW w:w="1701" w:type="dxa"/>
            <w:shd w:val="clear" w:color="auto" w:fill="auto"/>
          </w:tcPr>
          <w:p w14:paraId="0616CDBD" w14:textId="13E8B821" w:rsidR="0096762E" w:rsidRPr="00666E25" w:rsidRDefault="0096762E" w:rsidP="00136643">
            <w:pPr>
              <w:rPr>
                <w:rFonts w:ascii="Arial" w:hAnsi="Arial" w:cs="Arial"/>
                <w:bCs/>
                <w:lang w:val="en-GB"/>
              </w:rPr>
            </w:pPr>
            <w:r>
              <w:rPr>
                <w:rFonts w:ascii="Arial" w:hAnsi="Arial" w:cs="Arial"/>
                <w:bCs/>
                <w:lang w:val="en-GB"/>
              </w:rPr>
              <w:t>2019-2020</w:t>
            </w:r>
          </w:p>
        </w:tc>
      </w:tr>
      <w:tr w:rsidR="0096762E" w:rsidRPr="00666E25" w14:paraId="0096F0E1" w14:textId="77777777" w:rsidTr="0096762E">
        <w:tc>
          <w:tcPr>
            <w:tcW w:w="645" w:type="dxa"/>
            <w:shd w:val="clear" w:color="auto" w:fill="auto"/>
          </w:tcPr>
          <w:p w14:paraId="3C97444C" w14:textId="77777777" w:rsidR="0096762E" w:rsidRPr="00666E25" w:rsidRDefault="0096762E" w:rsidP="00136643">
            <w:pPr>
              <w:rPr>
                <w:rFonts w:ascii="Arial" w:hAnsi="Arial" w:cs="Arial"/>
                <w:b/>
                <w:bCs/>
                <w:lang w:val="en-GB"/>
              </w:rPr>
            </w:pPr>
            <w:r w:rsidRPr="00666E25">
              <w:rPr>
                <w:rFonts w:ascii="Arial" w:hAnsi="Arial" w:cs="Arial"/>
                <w:b/>
                <w:bCs/>
                <w:lang w:val="en-GB"/>
              </w:rPr>
              <w:t>6.2</w:t>
            </w:r>
          </w:p>
        </w:tc>
        <w:tc>
          <w:tcPr>
            <w:tcW w:w="7430" w:type="dxa"/>
            <w:shd w:val="clear" w:color="auto" w:fill="auto"/>
          </w:tcPr>
          <w:p w14:paraId="1223E1F1" w14:textId="4FD4A3D7" w:rsidR="0096762E" w:rsidRPr="00666E25" w:rsidRDefault="0096762E" w:rsidP="00F35269">
            <w:pPr>
              <w:rPr>
                <w:rFonts w:ascii="Arial" w:hAnsi="Arial" w:cs="Arial"/>
                <w:lang w:val="en-US"/>
              </w:rPr>
            </w:pPr>
            <w:r>
              <w:rPr>
                <w:rFonts w:ascii="Arial" w:hAnsi="Arial" w:cs="Arial"/>
                <w:lang w:val="en-US"/>
              </w:rPr>
              <w:t xml:space="preserve">Investigate </w:t>
            </w:r>
            <w:r w:rsidRPr="00666E25">
              <w:rPr>
                <w:rFonts w:ascii="Arial" w:hAnsi="Arial" w:cs="Arial"/>
                <w:lang w:val="en-US"/>
              </w:rPr>
              <w:t>best practice</w:t>
            </w:r>
            <w:r>
              <w:rPr>
                <w:rFonts w:ascii="Arial" w:hAnsi="Arial" w:cs="Arial"/>
                <w:lang w:val="en-US"/>
              </w:rPr>
              <w:t>s</w:t>
            </w:r>
            <w:r w:rsidRPr="00666E25">
              <w:rPr>
                <w:rFonts w:ascii="Arial" w:hAnsi="Arial" w:cs="Arial"/>
                <w:lang w:val="en-US"/>
              </w:rPr>
              <w:t xml:space="preserve"> </w:t>
            </w:r>
            <w:r>
              <w:rPr>
                <w:rFonts w:ascii="Arial" w:hAnsi="Arial" w:cs="Arial"/>
                <w:lang w:val="en-US"/>
              </w:rPr>
              <w:t>within a</w:t>
            </w:r>
            <w:r w:rsidRPr="00666E25">
              <w:rPr>
                <w:rFonts w:ascii="Arial" w:hAnsi="Arial" w:cs="Arial"/>
                <w:lang w:val="en-US"/>
              </w:rPr>
              <w:t xml:space="preserve"> </w:t>
            </w:r>
            <w:r>
              <w:rPr>
                <w:rFonts w:ascii="Arial" w:hAnsi="Arial" w:cs="Arial"/>
                <w:lang w:val="en-US"/>
              </w:rPr>
              <w:t>single window</w:t>
            </w:r>
            <w:r w:rsidRPr="00666E25">
              <w:rPr>
                <w:rFonts w:ascii="Arial" w:hAnsi="Arial" w:cs="Arial"/>
                <w:lang w:val="en-US"/>
              </w:rPr>
              <w:t xml:space="preserve"> </w:t>
            </w:r>
            <w:r>
              <w:rPr>
                <w:rFonts w:ascii="Arial" w:hAnsi="Arial" w:cs="Arial"/>
                <w:lang w:val="en-US"/>
              </w:rPr>
              <w:t>environment</w:t>
            </w:r>
          </w:p>
        </w:tc>
        <w:tc>
          <w:tcPr>
            <w:tcW w:w="1701" w:type="dxa"/>
            <w:shd w:val="clear" w:color="auto" w:fill="auto"/>
          </w:tcPr>
          <w:p w14:paraId="059F9539" w14:textId="61EC94FD" w:rsidR="0096762E" w:rsidRPr="00666E25" w:rsidRDefault="0096762E" w:rsidP="00136643">
            <w:pPr>
              <w:rPr>
                <w:rFonts w:ascii="Arial" w:hAnsi="Arial" w:cs="Arial"/>
                <w:bCs/>
                <w:lang w:val="en-GB"/>
              </w:rPr>
            </w:pPr>
            <w:r>
              <w:rPr>
                <w:rFonts w:ascii="Arial" w:hAnsi="Arial" w:cs="Arial"/>
                <w:bCs/>
                <w:lang w:val="en-GB"/>
              </w:rPr>
              <w:t>2019-2020</w:t>
            </w:r>
          </w:p>
        </w:tc>
      </w:tr>
      <w:tr w:rsidR="0096762E" w:rsidRPr="00666E25" w14:paraId="347AB7F8" w14:textId="77777777" w:rsidTr="0046245C">
        <w:tc>
          <w:tcPr>
            <w:tcW w:w="9776" w:type="dxa"/>
            <w:gridSpan w:val="3"/>
            <w:shd w:val="clear" w:color="auto" w:fill="385623" w:themeFill="accent6" w:themeFillShade="80"/>
          </w:tcPr>
          <w:p w14:paraId="433461B4" w14:textId="0AC62BEB" w:rsidR="0096762E" w:rsidRPr="00666E25" w:rsidRDefault="0096762E" w:rsidP="00136643">
            <w:pPr>
              <w:rPr>
                <w:rFonts w:ascii="Arial" w:hAnsi="Arial" w:cs="Arial"/>
                <w:bCs/>
                <w:lang w:val="en-GB"/>
              </w:rPr>
            </w:pPr>
            <w:r w:rsidRPr="00E63479">
              <w:rPr>
                <w:rFonts w:ascii="Arial" w:eastAsia="Calibri" w:hAnsi="Arial" w:cs="Arial"/>
                <w:b/>
                <w:bCs/>
                <w:color w:val="FFFFFF"/>
                <w:lang w:val="en-GB"/>
              </w:rPr>
              <w:t xml:space="preserve">7. </w:t>
            </w:r>
            <w:r w:rsidRPr="00E63479">
              <w:rPr>
                <w:rFonts w:ascii="Arial" w:eastAsia="Calibri" w:hAnsi="Arial" w:cs="Arial"/>
              </w:rPr>
              <w:t xml:space="preserve">   </w:t>
            </w:r>
            <w:r w:rsidRPr="00E63479">
              <w:rPr>
                <w:rFonts w:ascii="Arial" w:eastAsia="Calibri" w:hAnsi="Arial" w:cs="Arial"/>
                <w:b/>
                <w:bCs/>
                <w:color w:val="FFFFFF"/>
                <w:lang w:val="en-GB"/>
              </w:rPr>
              <w:t xml:space="preserve">Promote the use of </w:t>
            </w:r>
            <w:r w:rsidRPr="00573501">
              <w:rPr>
                <w:rFonts w:ascii="Arial" w:eastAsia="Calibri" w:hAnsi="Arial" w:cs="Arial"/>
                <w:b/>
                <w:bCs/>
                <w:color w:val="FFFFFF"/>
                <w:lang w:val="en-GB"/>
              </w:rPr>
              <w:t>Time Release Study</w:t>
            </w:r>
          </w:p>
        </w:tc>
      </w:tr>
      <w:tr w:rsidR="0096762E" w:rsidRPr="00666E25" w14:paraId="6C6C8E0E" w14:textId="77777777" w:rsidTr="0096762E">
        <w:tc>
          <w:tcPr>
            <w:tcW w:w="645" w:type="dxa"/>
            <w:shd w:val="clear" w:color="auto" w:fill="A8D08D" w:themeFill="accent6" w:themeFillTint="99"/>
          </w:tcPr>
          <w:p w14:paraId="62F071F8" w14:textId="77777777" w:rsidR="0096762E" w:rsidRPr="00666E25" w:rsidRDefault="0096762E" w:rsidP="00B869C4">
            <w:pPr>
              <w:spacing w:before="120"/>
              <w:rPr>
                <w:rFonts w:ascii="Arial" w:hAnsi="Arial" w:cs="Arial"/>
                <w:b/>
                <w:bCs/>
                <w:lang w:val="en-GB"/>
              </w:rPr>
            </w:pPr>
            <w:r w:rsidRPr="00666E25">
              <w:rPr>
                <w:rFonts w:ascii="Arial" w:hAnsi="Arial" w:cs="Arial"/>
                <w:b/>
                <w:bCs/>
                <w:lang w:val="en-GB"/>
              </w:rPr>
              <w:t>No</w:t>
            </w:r>
          </w:p>
        </w:tc>
        <w:tc>
          <w:tcPr>
            <w:tcW w:w="7430" w:type="dxa"/>
            <w:shd w:val="clear" w:color="auto" w:fill="A8D08D" w:themeFill="accent6" w:themeFillTint="99"/>
            <w:vAlign w:val="center"/>
          </w:tcPr>
          <w:p w14:paraId="3D511EDF" w14:textId="77777777" w:rsidR="0096762E" w:rsidRPr="00666E25" w:rsidRDefault="0096762E" w:rsidP="00B869C4">
            <w:pPr>
              <w:rPr>
                <w:rFonts w:ascii="Arial" w:hAnsi="Arial" w:cs="Arial"/>
                <w:b/>
                <w:bCs/>
                <w:lang w:val="en-GB"/>
              </w:rPr>
            </w:pPr>
            <w:r w:rsidRPr="00666E25">
              <w:rPr>
                <w:rFonts w:ascii="Arial" w:hAnsi="Arial" w:cs="Arial"/>
                <w:b/>
                <w:bCs/>
                <w:lang w:val="en-GB"/>
              </w:rPr>
              <w:t>Action</w:t>
            </w:r>
          </w:p>
        </w:tc>
        <w:tc>
          <w:tcPr>
            <w:tcW w:w="1701" w:type="dxa"/>
            <w:shd w:val="clear" w:color="auto" w:fill="A8D08D" w:themeFill="accent6" w:themeFillTint="99"/>
            <w:vAlign w:val="center"/>
          </w:tcPr>
          <w:p w14:paraId="6C1A1A70" w14:textId="77777777" w:rsidR="0096762E" w:rsidRPr="00666E25" w:rsidRDefault="0096762E" w:rsidP="00136643">
            <w:pPr>
              <w:rPr>
                <w:rFonts w:ascii="Arial" w:hAnsi="Arial" w:cs="Arial"/>
                <w:b/>
                <w:bCs/>
                <w:lang w:val="en-GB"/>
              </w:rPr>
            </w:pPr>
            <w:r w:rsidRPr="00666E25">
              <w:rPr>
                <w:rFonts w:ascii="Arial" w:hAnsi="Arial" w:cs="Arial"/>
                <w:b/>
                <w:bCs/>
                <w:lang w:val="en-GB"/>
              </w:rPr>
              <w:t>Time frame</w:t>
            </w:r>
          </w:p>
        </w:tc>
      </w:tr>
      <w:tr w:rsidR="0096762E" w:rsidRPr="00666E25" w14:paraId="3AE4EC71" w14:textId="77777777" w:rsidTr="0096762E">
        <w:tc>
          <w:tcPr>
            <w:tcW w:w="645" w:type="dxa"/>
            <w:shd w:val="clear" w:color="auto" w:fill="auto"/>
          </w:tcPr>
          <w:p w14:paraId="1B92A553" w14:textId="77777777" w:rsidR="0096762E" w:rsidRPr="00666E25" w:rsidRDefault="0096762E" w:rsidP="00136643">
            <w:pPr>
              <w:rPr>
                <w:rFonts w:ascii="Arial" w:hAnsi="Arial" w:cs="Arial"/>
                <w:b/>
                <w:bCs/>
                <w:lang w:val="en-GB"/>
              </w:rPr>
            </w:pPr>
            <w:r w:rsidRPr="00666E25">
              <w:rPr>
                <w:rFonts w:ascii="Arial" w:hAnsi="Arial" w:cs="Arial"/>
                <w:b/>
                <w:bCs/>
                <w:lang w:val="en-GB"/>
              </w:rPr>
              <w:t>7.1</w:t>
            </w:r>
          </w:p>
        </w:tc>
        <w:tc>
          <w:tcPr>
            <w:tcW w:w="7430" w:type="dxa"/>
            <w:shd w:val="clear" w:color="auto" w:fill="auto"/>
          </w:tcPr>
          <w:p w14:paraId="63DD2CE7" w14:textId="77777777" w:rsidR="0096762E" w:rsidRPr="00666E25" w:rsidRDefault="0096762E" w:rsidP="00136643">
            <w:pPr>
              <w:rPr>
                <w:rFonts w:ascii="Arial" w:hAnsi="Arial" w:cs="Arial"/>
                <w:lang w:val="en-US"/>
              </w:rPr>
            </w:pPr>
            <w:r w:rsidRPr="00666E25">
              <w:rPr>
                <w:rFonts w:ascii="Arial" w:hAnsi="Arial" w:cs="Arial"/>
                <w:lang w:val="en-US"/>
              </w:rPr>
              <w:t>Explore the possibility of strengthen</w:t>
            </w:r>
            <w:r>
              <w:rPr>
                <w:rFonts w:ascii="Arial" w:hAnsi="Arial" w:cs="Arial"/>
                <w:lang w:val="en-US"/>
              </w:rPr>
              <w:t>ing</w:t>
            </w:r>
            <w:r w:rsidRPr="00666E25">
              <w:rPr>
                <w:rFonts w:ascii="Arial" w:hAnsi="Arial" w:cs="Arial"/>
                <w:lang w:val="en-US"/>
              </w:rPr>
              <w:t xml:space="preserve"> NPPO participation in TRS at the national level</w:t>
            </w:r>
          </w:p>
        </w:tc>
        <w:tc>
          <w:tcPr>
            <w:tcW w:w="1701" w:type="dxa"/>
            <w:shd w:val="clear" w:color="auto" w:fill="auto"/>
          </w:tcPr>
          <w:p w14:paraId="37108C42" w14:textId="1CC6DBBE" w:rsidR="0096762E" w:rsidRPr="00666E25" w:rsidRDefault="0096762E" w:rsidP="00136643">
            <w:pPr>
              <w:rPr>
                <w:rFonts w:ascii="Arial" w:hAnsi="Arial" w:cs="Arial"/>
                <w:bCs/>
                <w:lang w:val="en-GB"/>
              </w:rPr>
            </w:pPr>
            <w:r>
              <w:rPr>
                <w:rFonts w:ascii="Arial" w:hAnsi="Arial" w:cs="Arial"/>
                <w:bCs/>
                <w:lang w:val="en-GB"/>
              </w:rPr>
              <w:t>On going</w:t>
            </w:r>
          </w:p>
        </w:tc>
      </w:tr>
    </w:tbl>
    <w:p w14:paraId="5DCD2870" w14:textId="77777777" w:rsidR="00CD7300" w:rsidRPr="00666E25" w:rsidRDefault="00CD7300" w:rsidP="00024BEE">
      <w:pPr>
        <w:rPr>
          <w:rFonts w:ascii="Arial" w:hAnsi="Arial" w:cs="Arial"/>
        </w:rPr>
      </w:pPr>
    </w:p>
    <w:sectPr w:rsidR="00CD7300" w:rsidRPr="00666E25" w:rsidSect="00734B7E">
      <w:headerReference w:type="default" r:id="rId8"/>
      <w:footerReference w:type="default" r:id="rId9"/>
      <w:pgSz w:w="12240" w:h="15840" w:code="1"/>
      <w:pgMar w:top="1152" w:right="1152" w:bottom="1152" w:left="1152" w:header="144" w:footer="28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6317B4" w16cid:durableId="202B6229"/>
  <w16cid:commentId w16cid:paraId="0BCF0E28" w16cid:durableId="202B622A"/>
  <w16cid:commentId w16cid:paraId="14794611" w16cid:durableId="202B622B"/>
  <w16cid:commentId w16cid:paraId="4801CF1C" w16cid:durableId="202B622C"/>
  <w16cid:commentId w16cid:paraId="333962B0" w16cid:durableId="202B622D"/>
  <w16cid:commentId w16cid:paraId="273DB94A" w16cid:durableId="202B622E"/>
  <w16cid:commentId w16cid:paraId="5093056D" w16cid:durableId="202B62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A57D5" w14:textId="77777777" w:rsidR="00CE1884" w:rsidRDefault="00CE1884" w:rsidP="001844BA">
      <w:pPr>
        <w:spacing w:after="0" w:line="240" w:lineRule="auto"/>
      </w:pPr>
      <w:r>
        <w:separator/>
      </w:r>
    </w:p>
  </w:endnote>
  <w:endnote w:type="continuationSeparator" w:id="0">
    <w:p w14:paraId="414B256C" w14:textId="77777777" w:rsidR="00CE1884" w:rsidRDefault="00CE1884" w:rsidP="0018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772176"/>
      <w:docPartObj>
        <w:docPartGallery w:val="Page Numbers (Bottom of Page)"/>
        <w:docPartUnique/>
      </w:docPartObj>
    </w:sdtPr>
    <w:sdtEndPr/>
    <w:sdtContent>
      <w:sdt>
        <w:sdtPr>
          <w:id w:val="-1705238520"/>
          <w:docPartObj>
            <w:docPartGallery w:val="Page Numbers (Top of Page)"/>
            <w:docPartUnique/>
          </w:docPartObj>
        </w:sdtPr>
        <w:sdtEndPr/>
        <w:sdtContent>
          <w:p w14:paraId="6EA76E1F" w14:textId="071CEE4F" w:rsidR="001844BA" w:rsidRDefault="0046161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6762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762E">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839FA" w14:textId="77777777" w:rsidR="00CE1884" w:rsidRDefault="00CE1884" w:rsidP="001844BA">
      <w:pPr>
        <w:spacing w:after="0" w:line="240" w:lineRule="auto"/>
      </w:pPr>
      <w:r>
        <w:separator/>
      </w:r>
    </w:p>
  </w:footnote>
  <w:footnote w:type="continuationSeparator" w:id="0">
    <w:p w14:paraId="312A26CF" w14:textId="77777777" w:rsidR="00CE1884" w:rsidRDefault="00CE1884" w:rsidP="001844BA">
      <w:pPr>
        <w:spacing w:after="0" w:line="240" w:lineRule="auto"/>
      </w:pPr>
      <w:r>
        <w:continuationSeparator/>
      </w:r>
    </w:p>
  </w:footnote>
  <w:footnote w:id="1">
    <w:p w14:paraId="2BFE69D0" w14:textId="19D6E083" w:rsidR="0096762E" w:rsidRPr="0039667A" w:rsidRDefault="0096762E">
      <w:pPr>
        <w:pStyle w:val="FootnoteText"/>
        <w:rPr>
          <w:lang w:val="en-US"/>
        </w:rPr>
      </w:pPr>
      <w:r>
        <w:rPr>
          <w:rStyle w:val="FootnoteReference"/>
        </w:rPr>
        <w:footnoteRef/>
      </w:r>
      <w:r>
        <w:t xml:space="preserve"> </w:t>
      </w:r>
      <w:r>
        <w:rPr>
          <w:lang w:val="en-US"/>
        </w:rPr>
        <w:t xml:space="preserve">CPM-12 (2017) Report, </w:t>
      </w:r>
      <w:r w:rsidRPr="00200692">
        <w:rPr>
          <w:lang w:val="en-US"/>
        </w:rPr>
        <w:t>SCCAP</w:t>
      </w:r>
      <w:r>
        <w:rPr>
          <w:lang w:val="en-US"/>
        </w:rPr>
        <w:t xml:space="preserve">, Appendix 05  </w:t>
      </w:r>
      <w:r w:rsidRPr="00200692">
        <w:rPr>
          <w:lang w:val="en-US"/>
        </w:rPr>
        <w:t>https://www.ippc.int/en/publications/84387/</w:t>
      </w:r>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490DF" w14:textId="77777777" w:rsidR="001844BA" w:rsidRDefault="001844BA" w:rsidP="001844BA">
    <w:pPr>
      <w:pStyle w:val="Header"/>
      <w:tabs>
        <w:tab w:val="clear" w:pos="4680"/>
        <w:tab w:val="clear" w:pos="9360"/>
        <w:tab w:val="left" w:pos="3540"/>
      </w:tabs>
    </w:pPr>
    <w:r w:rsidRPr="00E422D9">
      <w:rPr>
        <w:noProof/>
        <w:lang w:val="en-GB" w:eastAsia="en-GB"/>
      </w:rPr>
      <w:drawing>
        <wp:inline distT="0" distB="0" distL="0" distR="0" wp14:anchorId="7A158857" wp14:editId="271C7C73">
          <wp:extent cx="1181100" cy="820481"/>
          <wp:effectExtent l="0" t="0" r="0" b="0"/>
          <wp:docPr id="20" name="Resim 2" descr="İlgili resim">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gili resim">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4461" cy="836709"/>
                  </a:xfrm>
                  <a:prstGeom prst="rect">
                    <a:avLst/>
                  </a:prstGeom>
                  <a:noFill/>
                  <a:ln>
                    <a:noFill/>
                  </a:ln>
                </pic:spPr>
              </pic:pic>
            </a:graphicData>
          </a:graphic>
        </wp:inline>
      </w:drawing>
    </w:r>
    <w:r>
      <w:tab/>
      <w:t xml:space="preserve">                          </w:t>
    </w:r>
    <w:r>
      <w:rPr>
        <w:noProof/>
        <w:lang w:val="en-GB" w:eastAsia="en-GB"/>
      </w:rPr>
      <w:drawing>
        <wp:inline distT="0" distB="0" distL="0" distR="0" wp14:anchorId="0ADF1196" wp14:editId="2AB257BF">
          <wp:extent cx="3237230" cy="90233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7230" cy="902335"/>
                  </a:xfrm>
                  <a:prstGeom prst="rect">
                    <a:avLst/>
                  </a:prstGeom>
                  <a:noFill/>
                </pic:spPr>
              </pic:pic>
            </a:graphicData>
          </a:graphic>
        </wp:inline>
      </w:drawing>
    </w:r>
  </w:p>
  <w:p w14:paraId="4AE680FF" w14:textId="77777777" w:rsidR="001844BA" w:rsidRDefault="00184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E2CA7"/>
    <w:multiLevelType w:val="hybridMultilevel"/>
    <w:tmpl w:val="8CFC40F2"/>
    <w:lvl w:ilvl="0" w:tplc="C38C4B6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93"/>
    <w:rsid w:val="00006675"/>
    <w:rsid w:val="000106E6"/>
    <w:rsid w:val="00024BEE"/>
    <w:rsid w:val="00044533"/>
    <w:rsid w:val="00050CCF"/>
    <w:rsid w:val="000C265C"/>
    <w:rsid w:val="000F34C5"/>
    <w:rsid w:val="00117E23"/>
    <w:rsid w:val="00133D39"/>
    <w:rsid w:val="00136643"/>
    <w:rsid w:val="001812FA"/>
    <w:rsid w:val="001844BA"/>
    <w:rsid w:val="00186F07"/>
    <w:rsid w:val="00195F2D"/>
    <w:rsid w:val="001B738D"/>
    <w:rsid w:val="00200692"/>
    <w:rsid w:val="00217385"/>
    <w:rsid w:val="002667AB"/>
    <w:rsid w:val="002818B4"/>
    <w:rsid w:val="002A3C75"/>
    <w:rsid w:val="00314FEC"/>
    <w:rsid w:val="0033579B"/>
    <w:rsid w:val="0035116C"/>
    <w:rsid w:val="00380BBA"/>
    <w:rsid w:val="0039667A"/>
    <w:rsid w:val="003D2DC3"/>
    <w:rsid w:val="003E37AE"/>
    <w:rsid w:val="0043791F"/>
    <w:rsid w:val="00443380"/>
    <w:rsid w:val="00461613"/>
    <w:rsid w:val="004741C2"/>
    <w:rsid w:val="00482E89"/>
    <w:rsid w:val="004C3713"/>
    <w:rsid w:val="004F4AAD"/>
    <w:rsid w:val="0050516E"/>
    <w:rsid w:val="00561A80"/>
    <w:rsid w:val="00573501"/>
    <w:rsid w:val="005A6102"/>
    <w:rsid w:val="005D0AAF"/>
    <w:rsid w:val="005F71C9"/>
    <w:rsid w:val="00666E25"/>
    <w:rsid w:val="006711F8"/>
    <w:rsid w:val="00694B4A"/>
    <w:rsid w:val="006950DF"/>
    <w:rsid w:val="006B2DD5"/>
    <w:rsid w:val="006E07B2"/>
    <w:rsid w:val="006E0D0A"/>
    <w:rsid w:val="006E2D17"/>
    <w:rsid w:val="006E7CC8"/>
    <w:rsid w:val="006F19EE"/>
    <w:rsid w:val="00714400"/>
    <w:rsid w:val="00734B7E"/>
    <w:rsid w:val="007517BE"/>
    <w:rsid w:val="007656DF"/>
    <w:rsid w:val="007760A5"/>
    <w:rsid w:val="007A7D15"/>
    <w:rsid w:val="0080346C"/>
    <w:rsid w:val="00854F38"/>
    <w:rsid w:val="008841F1"/>
    <w:rsid w:val="008A277D"/>
    <w:rsid w:val="008B728D"/>
    <w:rsid w:val="008D7687"/>
    <w:rsid w:val="00910EE5"/>
    <w:rsid w:val="009137CD"/>
    <w:rsid w:val="00914E4A"/>
    <w:rsid w:val="00915C82"/>
    <w:rsid w:val="009524AA"/>
    <w:rsid w:val="00960A9B"/>
    <w:rsid w:val="009642A6"/>
    <w:rsid w:val="0096762E"/>
    <w:rsid w:val="00976A93"/>
    <w:rsid w:val="009A597C"/>
    <w:rsid w:val="009F396F"/>
    <w:rsid w:val="00A216DB"/>
    <w:rsid w:val="00A4326F"/>
    <w:rsid w:val="00A4781D"/>
    <w:rsid w:val="00A84588"/>
    <w:rsid w:val="00AA633B"/>
    <w:rsid w:val="00AE4E38"/>
    <w:rsid w:val="00B24E17"/>
    <w:rsid w:val="00B34EE1"/>
    <w:rsid w:val="00B72DC1"/>
    <w:rsid w:val="00B869C4"/>
    <w:rsid w:val="00BC3286"/>
    <w:rsid w:val="00BD7825"/>
    <w:rsid w:val="00BF632F"/>
    <w:rsid w:val="00C1788B"/>
    <w:rsid w:val="00C21682"/>
    <w:rsid w:val="00C321C0"/>
    <w:rsid w:val="00C55F7A"/>
    <w:rsid w:val="00C64FC7"/>
    <w:rsid w:val="00C74A9C"/>
    <w:rsid w:val="00C9491A"/>
    <w:rsid w:val="00CA7835"/>
    <w:rsid w:val="00CB5EC7"/>
    <w:rsid w:val="00CB7A3D"/>
    <w:rsid w:val="00CD7300"/>
    <w:rsid w:val="00CE1884"/>
    <w:rsid w:val="00CE2BFF"/>
    <w:rsid w:val="00D27638"/>
    <w:rsid w:val="00D31DA9"/>
    <w:rsid w:val="00DB4977"/>
    <w:rsid w:val="00DC5333"/>
    <w:rsid w:val="00DC7199"/>
    <w:rsid w:val="00DF2448"/>
    <w:rsid w:val="00E10D31"/>
    <w:rsid w:val="00E11B76"/>
    <w:rsid w:val="00E15314"/>
    <w:rsid w:val="00E24E23"/>
    <w:rsid w:val="00E36D7A"/>
    <w:rsid w:val="00E63479"/>
    <w:rsid w:val="00E65F53"/>
    <w:rsid w:val="00EB59C7"/>
    <w:rsid w:val="00EB7097"/>
    <w:rsid w:val="00EF3295"/>
    <w:rsid w:val="00EF450D"/>
    <w:rsid w:val="00EF7411"/>
    <w:rsid w:val="00F05F9D"/>
    <w:rsid w:val="00F06C53"/>
    <w:rsid w:val="00F264A5"/>
    <w:rsid w:val="00F35269"/>
    <w:rsid w:val="00F41EBE"/>
    <w:rsid w:val="00F574D0"/>
    <w:rsid w:val="00F673FF"/>
    <w:rsid w:val="00F71993"/>
    <w:rsid w:val="00F73EDF"/>
    <w:rsid w:val="00F911CF"/>
    <w:rsid w:val="00FA5EC4"/>
    <w:rsid w:val="00FF06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862E4D"/>
  <w15:docId w15:val="{83940C72-0490-40C2-BA73-36CAD3B0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33B"/>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7300"/>
    <w:rPr>
      <w:sz w:val="16"/>
      <w:szCs w:val="16"/>
    </w:rPr>
  </w:style>
  <w:style w:type="paragraph" w:styleId="CommentText">
    <w:name w:val="annotation text"/>
    <w:basedOn w:val="Normal"/>
    <w:link w:val="CommentTextChar"/>
    <w:uiPriority w:val="99"/>
    <w:semiHidden/>
    <w:unhideWhenUsed/>
    <w:rsid w:val="00CD7300"/>
    <w:pPr>
      <w:tabs>
        <w:tab w:val="left" w:pos="567"/>
        <w:tab w:val="left" w:pos="1134"/>
      </w:tabs>
      <w:spacing w:after="0" w:line="240" w:lineRule="auto"/>
    </w:pPr>
    <w:rPr>
      <w:rFonts w:ascii="Arial" w:eastAsia="Times New Roman" w:hAnsi="Arial" w:cs="Arial"/>
      <w:sz w:val="20"/>
      <w:szCs w:val="20"/>
      <w:lang w:val="en-GB" w:eastAsia="ja-JP"/>
    </w:rPr>
  </w:style>
  <w:style w:type="character" w:customStyle="1" w:styleId="CommentTextChar">
    <w:name w:val="Comment Text Char"/>
    <w:basedOn w:val="DefaultParagraphFont"/>
    <w:link w:val="CommentText"/>
    <w:uiPriority w:val="99"/>
    <w:semiHidden/>
    <w:rsid w:val="00CD7300"/>
    <w:rPr>
      <w:rFonts w:ascii="Arial" w:eastAsia="Times New Roman" w:hAnsi="Arial" w:cs="Arial"/>
      <w:sz w:val="20"/>
      <w:szCs w:val="20"/>
      <w:lang w:val="en-GB" w:eastAsia="ja-JP"/>
    </w:rPr>
  </w:style>
  <w:style w:type="paragraph" w:styleId="BalloonText">
    <w:name w:val="Balloon Text"/>
    <w:basedOn w:val="Normal"/>
    <w:link w:val="BalloonTextChar"/>
    <w:uiPriority w:val="99"/>
    <w:semiHidden/>
    <w:unhideWhenUsed/>
    <w:rsid w:val="00CD7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300"/>
    <w:rPr>
      <w:rFonts w:ascii="Segoe UI" w:hAnsi="Segoe UI" w:cs="Segoe UI"/>
      <w:sz w:val="18"/>
      <w:szCs w:val="18"/>
      <w:lang w:val="tr-TR"/>
    </w:rPr>
  </w:style>
  <w:style w:type="paragraph" w:styleId="Header">
    <w:name w:val="header"/>
    <w:basedOn w:val="Normal"/>
    <w:link w:val="HeaderChar"/>
    <w:uiPriority w:val="99"/>
    <w:unhideWhenUsed/>
    <w:rsid w:val="00184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4BA"/>
    <w:rPr>
      <w:lang w:val="tr-TR"/>
    </w:rPr>
  </w:style>
  <w:style w:type="paragraph" w:styleId="Footer">
    <w:name w:val="footer"/>
    <w:basedOn w:val="Normal"/>
    <w:link w:val="FooterChar"/>
    <w:uiPriority w:val="99"/>
    <w:unhideWhenUsed/>
    <w:rsid w:val="00184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4BA"/>
    <w:rPr>
      <w:lang w:val="tr-TR"/>
    </w:rPr>
  </w:style>
  <w:style w:type="table" w:styleId="TableGrid">
    <w:name w:val="Table Grid"/>
    <w:basedOn w:val="TableNormal"/>
    <w:uiPriority w:val="39"/>
    <w:rsid w:val="00F7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A3C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C75"/>
    <w:rPr>
      <w:sz w:val="20"/>
      <w:szCs w:val="20"/>
      <w:lang w:val="tr-TR"/>
    </w:rPr>
  </w:style>
  <w:style w:type="character" w:styleId="FootnoteReference">
    <w:name w:val="footnote reference"/>
    <w:basedOn w:val="DefaultParagraphFont"/>
    <w:uiPriority w:val="99"/>
    <w:semiHidden/>
    <w:unhideWhenUsed/>
    <w:rsid w:val="002A3C75"/>
    <w:rPr>
      <w:vertAlign w:val="superscript"/>
    </w:rPr>
  </w:style>
  <w:style w:type="paragraph" w:styleId="CommentSubject">
    <w:name w:val="annotation subject"/>
    <w:basedOn w:val="CommentText"/>
    <w:next w:val="CommentText"/>
    <w:link w:val="CommentSubjectChar"/>
    <w:uiPriority w:val="99"/>
    <w:semiHidden/>
    <w:unhideWhenUsed/>
    <w:rsid w:val="00714400"/>
    <w:pPr>
      <w:tabs>
        <w:tab w:val="clear" w:pos="567"/>
        <w:tab w:val="clear" w:pos="1134"/>
      </w:tabs>
      <w:spacing w:after="160"/>
    </w:pPr>
    <w:rPr>
      <w:rFonts w:asciiTheme="minorHAnsi" w:eastAsiaTheme="minorHAnsi" w:hAnsiTheme="minorHAnsi" w:cstheme="minorBidi"/>
      <w:b/>
      <w:bCs/>
      <w:lang w:val="tr-TR" w:eastAsia="en-US"/>
    </w:rPr>
  </w:style>
  <w:style w:type="character" w:customStyle="1" w:styleId="CommentSubjectChar">
    <w:name w:val="Comment Subject Char"/>
    <w:basedOn w:val="CommentTextChar"/>
    <w:link w:val="CommentSubject"/>
    <w:uiPriority w:val="99"/>
    <w:semiHidden/>
    <w:rsid w:val="00714400"/>
    <w:rPr>
      <w:rFonts w:ascii="Arial" w:eastAsia="Times New Roman" w:hAnsi="Arial" w:cs="Arial"/>
      <w:b/>
      <w:bCs/>
      <w:sz w:val="20"/>
      <w:szCs w:val="20"/>
      <w:lang w:val="tr-TR" w:eastAsia="ja-JP"/>
    </w:rPr>
  </w:style>
  <w:style w:type="character" w:styleId="Hyperlink">
    <w:name w:val="Hyperlink"/>
    <w:basedOn w:val="DefaultParagraphFont"/>
    <w:uiPriority w:val="99"/>
    <w:unhideWhenUsed/>
    <w:rsid w:val="002006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s://www.google.com.tr/url?sa=i&amp;rct=j&amp;q=&amp;esrc=s&amp;source=images&amp;cd=&amp;cad=rja&amp;uact=8&amp;ved=2ahUKEwjb6dCdtJbfAhXPL1AKHcWoDFEQjRx6BAgBEAU&amp;url=http://carlos-michel-fumero.blogspot.com/2017/03/carlos-michel-fumero-la-organizacion.html&amp;psig=AOvVaw0Yh5PEAJPkgEdDdDannPQB&amp;ust=1544570647072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B6C60-E4AC-4484-86A2-ABC4AC78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5046</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WCO-OMD</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 SOYSANLI</dc:creator>
  <cp:lastModifiedBy>Larson, Brent (AGDI)</cp:lastModifiedBy>
  <cp:revision>2</cp:revision>
  <dcterms:created xsi:type="dcterms:W3CDTF">2019-03-18T16:49:00Z</dcterms:created>
  <dcterms:modified xsi:type="dcterms:W3CDTF">2019-03-18T16:49:00Z</dcterms:modified>
</cp:coreProperties>
</file>